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BFFCF" w14:textId="77777777" w:rsidR="00F91C7B" w:rsidRPr="008863E4" w:rsidRDefault="00F91C7B" w:rsidP="001A5518">
      <w:pPr>
        <w:rPr>
          <w:b/>
          <w:bCs/>
          <w:i/>
          <w:iCs/>
          <w:sz w:val="22"/>
          <w:szCs w:val="22"/>
          <w:u w:val="single"/>
          <w:lang w:val="sr-Latn-ME"/>
        </w:rPr>
      </w:pPr>
    </w:p>
    <w:p w14:paraId="26F165A4" w14:textId="77777777" w:rsidR="002510A5" w:rsidRPr="008863E4" w:rsidRDefault="002510A5" w:rsidP="002510A5">
      <w:pPr>
        <w:jc w:val="center"/>
        <w:rPr>
          <w:b/>
          <w:bCs/>
          <w:iCs/>
          <w:sz w:val="22"/>
          <w:szCs w:val="22"/>
          <w:u w:val="single"/>
          <w:lang w:val="sr-Latn-ME"/>
        </w:rPr>
      </w:pPr>
      <w:r w:rsidRPr="008863E4">
        <w:rPr>
          <w:b/>
          <w:bCs/>
          <w:iCs/>
          <w:sz w:val="22"/>
          <w:szCs w:val="22"/>
          <w:u w:val="single"/>
          <w:lang w:val="sr-Latn-ME"/>
        </w:rPr>
        <w:t>SAŽETAK KARAKTERISTIKA LIJEKA</w:t>
      </w:r>
    </w:p>
    <w:p w14:paraId="15D51C52" w14:textId="77777777" w:rsidR="002510A5" w:rsidRPr="008863E4" w:rsidRDefault="002510A5" w:rsidP="002510A5">
      <w:pPr>
        <w:rPr>
          <w:b/>
          <w:bCs/>
          <w:i/>
          <w:iCs/>
          <w:sz w:val="22"/>
          <w:szCs w:val="22"/>
          <w:u w:val="single"/>
          <w:lang w:val="sr-Latn-ME"/>
        </w:rPr>
      </w:pPr>
    </w:p>
    <w:p w14:paraId="7CF2A602" w14:textId="77777777" w:rsidR="003C17AB" w:rsidRPr="008863E4" w:rsidRDefault="003C17AB" w:rsidP="00F5167F">
      <w:pPr>
        <w:tabs>
          <w:tab w:val="left" w:pos="540"/>
          <w:tab w:val="left" w:pos="569"/>
        </w:tabs>
        <w:rPr>
          <w:noProof/>
          <w:sz w:val="22"/>
          <w:szCs w:val="22"/>
          <w:lang w:val="sr-Latn-ME"/>
        </w:rPr>
      </w:pPr>
    </w:p>
    <w:p w14:paraId="03D7A2BA" w14:textId="77777777" w:rsidR="00C37FD7" w:rsidRPr="008863E4" w:rsidRDefault="00C37FD7" w:rsidP="0017187F">
      <w:pPr>
        <w:tabs>
          <w:tab w:val="left" w:pos="540"/>
          <w:tab w:val="left" w:pos="569"/>
        </w:tabs>
        <w:jc w:val="both"/>
        <w:rPr>
          <w:bCs/>
          <w:sz w:val="22"/>
          <w:szCs w:val="22"/>
          <w:lang w:val="sr-Latn-ME"/>
        </w:rPr>
      </w:pPr>
    </w:p>
    <w:p w14:paraId="028A60C3" w14:textId="77777777" w:rsidR="00411B4B" w:rsidRPr="008863E4" w:rsidRDefault="00411B4B" w:rsidP="0017187F">
      <w:pPr>
        <w:tabs>
          <w:tab w:val="left" w:pos="540"/>
          <w:tab w:val="left" w:pos="569"/>
        </w:tabs>
        <w:jc w:val="both"/>
        <w:rPr>
          <w:b/>
          <w:bCs/>
          <w:sz w:val="22"/>
          <w:szCs w:val="22"/>
          <w:lang w:val="sr-Latn-ME"/>
        </w:rPr>
      </w:pPr>
      <w:r w:rsidRPr="008863E4">
        <w:rPr>
          <w:b/>
          <w:bCs/>
          <w:sz w:val="22"/>
          <w:szCs w:val="22"/>
          <w:lang w:val="sr-Latn-ME"/>
        </w:rPr>
        <w:t>1.</w:t>
      </w:r>
      <w:r w:rsidR="00F5167F" w:rsidRPr="008863E4">
        <w:rPr>
          <w:b/>
          <w:bCs/>
          <w:sz w:val="22"/>
          <w:szCs w:val="22"/>
          <w:lang w:val="sr-Latn-ME"/>
        </w:rPr>
        <w:tab/>
      </w:r>
      <w:r w:rsidR="002846DB" w:rsidRPr="008863E4">
        <w:rPr>
          <w:b/>
          <w:bCs/>
          <w:sz w:val="22"/>
          <w:szCs w:val="22"/>
          <w:lang w:val="sr-Latn-ME"/>
        </w:rPr>
        <w:t xml:space="preserve">NAZIV </w:t>
      </w:r>
      <w:r w:rsidRPr="008863E4">
        <w:rPr>
          <w:b/>
          <w:bCs/>
          <w:sz w:val="22"/>
          <w:szCs w:val="22"/>
          <w:lang w:val="sr-Latn-ME"/>
        </w:rPr>
        <w:t>LIJEKA</w:t>
      </w:r>
    </w:p>
    <w:p w14:paraId="11AECC3E" w14:textId="77777777" w:rsidR="00EC2532" w:rsidRPr="008863E4" w:rsidRDefault="00EC2532" w:rsidP="0017187F">
      <w:pPr>
        <w:jc w:val="both"/>
        <w:rPr>
          <w:sz w:val="22"/>
          <w:szCs w:val="22"/>
          <w:lang w:val="sr-Latn-ME"/>
        </w:rPr>
      </w:pPr>
    </w:p>
    <w:p w14:paraId="7FF468E5" w14:textId="622E0356" w:rsidR="006D2622" w:rsidRPr="008863E4" w:rsidRDefault="006D2622" w:rsidP="00B46C2A">
      <w:pPr>
        <w:rPr>
          <w:bCs/>
          <w:sz w:val="22"/>
          <w:szCs w:val="22"/>
          <w:lang w:val="sr-Latn-ME"/>
        </w:rPr>
      </w:pPr>
      <w:r w:rsidRPr="008863E4">
        <w:rPr>
          <w:bCs/>
          <w:sz w:val="22"/>
          <w:szCs w:val="22"/>
          <w:lang w:val="sr-Latn-ME"/>
        </w:rPr>
        <w:fldChar w:fldCharType="begin"/>
      </w:r>
      <w:r w:rsidRPr="008863E4">
        <w:rPr>
          <w:bCs/>
          <w:sz w:val="22"/>
          <w:szCs w:val="22"/>
          <w:lang w:val="sr-Latn-ME"/>
        </w:rPr>
        <w:instrText xml:space="preserve">\QUOTE </w:instrText>
      </w:r>
      <w:r w:rsidRPr="008863E4">
        <w:rPr>
          <w:bCs/>
          <w:sz w:val="22"/>
          <w:szCs w:val="22"/>
          <w:lang w:val="sr-Latn-ME"/>
        </w:rPr>
        <w:fldChar w:fldCharType="end"/>
      </w:r>
      <w:r w:rsidRPr="008863E4">
        <w:rPr>
          <w:bCs/>
          <w:sz w:val="22"/>
          <w:szCs w:val="22"/>
          <w:lang w:val="sr-Latn-ME"/>
        </w:rPr>
        <w:t>Metalyse, 50 mg/10 ml, prašak i rastvarač za rastvor za injekciju</w:t>
      </w:r>
    </w:p>
    <w:p w14:paraId="5E690563" w14:textId="0BC0717F" w:rsidR="006D2622" w:rsidRPr="008863E4" w:rsidRDefault="006D2622" w:rsidP="0017187F">
      <w:pPr>
        <w:tabs>
          <w:tab w:val="left" w:pos="284"/>
          <w:tab w:val="center" w:pos="4320"/>
          <w:tab w:val="right" w:pos="8640"/>
        </w:tabs>
        <w:jc w:val="both"/>
        <w:rPr>
          <w:bCs/>
          <w:sz w:val="22"/>
          <w:szCs w:val="22"/>
          <w:lang w:val="sr-Latn-ME"/>
        </w:rPr>
      </w:pPr>
      <w:r w:rsidRPr="008863E4">
        <w:rPr>
          <w:bCs/>
          <w:sz w:val="22"/>
          <w:szCs w:val="22"/>
          <w:lang w:val="sr-Latn-ME"/>
        </w:rPr>
        <w:t>INN: tenekteplaza</w:t>
      </w:r>
    </w:p>
    <w:p w14:paraId="7E008BE4" w14:textId="2E61722A" w:rsidR="006D2622" w:rsidRPr="008863E4" w:rsidRDefault="006C6707" w:rsidP="0017187F">
      <w:pPr>
        <w:ind w:left="216"/>
        <w:rPr>
          <w:bCs/>
          <w:sz w:val="22"/>
          <w:szCs w:val="22"/>
          <w:lang w:val="sr-Latn-ME"/>
        </w:rPr>
      </w:pPr>
      <w:r w:rsidRPr="008863E4">
        <w:rPr>
          <w:bCs/>
          <w:sz w:val="22"/>
          <w:szCs w:val="22"/>
          <w:lang w:val="sr-Latn-ME"/>
        </w:rPr>
        <w:t xml:space="preserve"> </w:t>
      </w:r>
    </w:p>
    <w:p w14:paraId="24ACED61" w14:textId="77777777" w:rsidR="00530BD7" w:rsidRPr="008863E4" w:rsidRDefault="00530BD7" w:rsidP="0017187F">
      <w:pPr>
        <w:jc w:val="both"/>
        <w:rPr>
          <w:bCs/>
          <w:sz w:val="22"/>
          <w:szCs w:val="22"/>
          <w:lang w:val="sr-Latn-ME"/>
        </w:rPr>
      </w:pPr>
    </w:p>
    <w:p w14:paraId="191B623B" w14:textId="77777777" w:rsidR="00411B4B" w:rsidRPr="008863E4" w:rsidRDefault="00411B4B" w:rsidP="0017187F">
      <w:pPr>
        <w:tabs>
          <w:tab w:val="left" w:pos="540"/>
          <w:tab w:val="left" w:pos="569"/>
        </w:tabs>
        <w:jc w:val="both"/>
        <w:rPr>
          <w:b/>
          <w:bCs/>
          <w:sz w:val="22"/>
          <w:szCs w:val="22"/>
          <w:lang w:val="sr-Latn-ME"/>
        </w:rPr>
      </w:pPr>
      <w:r w:rsidRPr="008863E4">
        <w:rPr>
          <w:b/>
          <w:bCs/>
          <w:sz w:val="22"/>
          <w:szCs w:val="22"/>
          <w:lang w:val="sr-Latn-ME"/>
        </w:rPr>
        <w:t xml:space="preserve">2. </w:t>
      </w:r>
      <w:r w:rsidR="00F5167F" w:rsidRPr="008863E4">
        <w:rPr>
          <w:b/>
          <w:bCs/>
          <w:sz w:val="22"/>
          <w:szCs w:val="22"/>
          <w:lang w:val="sr-Latn-ME"/>
        </w:rPr>
        <w:tab/>
      </w:r>
      <w:r w:rsidRPr="008863E4">
        <w:rPr>
          <w:b/>
          <w:bCs/>
          <w:sz w:val="22"/>
          <w:szCs w:val="22"/>
          <w:lang w:val="sr-Latn-ME"/>
        </w:rPr>
        <w:t>KVALITATIVNI I KVANTITATIVNI SASTAV</w:t>
      </w:r>
    </w:p>
    <w:p w14:paraId="4A94298E" w14:textId="77777777" w:rsidR="005A0B2E" w:rsidRPr="008863E4" w:rsidRDefault="005A0B2E" w:rsidP="0017187F">
      <w:pPr>
        <w:jc w:val="both"/>
        <w:rPr>
          <w:sz w:val="22"/>
          <w:szCs w:val="22"/>
          <w:lang w:val="sr-Latn-ME"/>
        </w:rPr>
      </w:pPr>
    </w:p>
    <w:p w14:paraId="48E2C9F3" w14:textId="22DE14E4" w:rsidR="00DD5DD2" w:rsidRPr="008863E4" w:rsidRDefault="00B958AD" w:rsidP="0017187F">
      <w:pPr>
        <w:jc w:val="both"/>
        <w:rPr>
          <w:sz w:val="22"/>
          <w:szCs w:val="22"/>
          <w:lang w:val="sr-Latn-ME"/>
        </w:rPr>
      </w:pPr>
      <w:r w:rsidRPr="008863E4">
        <w:rPr>
          <w:sz w:val="22"/>
          <w:szCs w:val="22"/>
          <w:lang w:val="sr-Latn-ME"/>
        </w:rPr>
        <w:t>Jedna</w:t>
      </w:r>
      <w:r w:rsidR="00DD5DD2" w:rsidRPr="008863E4">
        <w:rPr>
          <w:sz w:val="22"/>
          <w:szCs w:val="22"/>
          <w:lang w:val="sr-Latn-ME"/>
        </w:rPr>
        <w:t xml:space="preserve"> bočica sadrži 10</w:t>
      </w:r>
      <w:r w:rsidR="00B61F96" w:rsidRPr="008863E4">
        <w:rPr>
          <w:sz w:val="22"/>
          <w:szCs w:val="22"/>
          <w:lang w:val="sr-Latn-ME"/>
        </w:rPr>
        <w:t xml:space="preserve"> </w:t>
      </w:r>
      <w:r w:rsidR="00DD5DD2" w:rsidRPr="008863E4">
        <w:rPr>
          <w:sz w:val="22"/>
          <w:szCs w:val="22"/>
          <w:lang w:val="sr-Latn-ME"/>
        </w:rPr>
        <w:t>000 jedinica (50 mg) tenekteplaze.</w:t>
      </w:r>
    </w:p>
    <w:p w14:paraId="3F6A4179" w14:textId="5C7274A1" w:rsidR="00DD5DD2" w:rsidRPr="008863E4" w:rsidRDefault="00B958AD" w:rsidP="0017187F">
      <w:pPr>
        <w:pStyle w:val="Header"/>
        <w:tabs>
          <w:tab w:val="left" w:pos="284"/>
        </w:tabs>
        <w:jc w:val="both"/>
        <w:rPr>
          <w:sz w:val="22"/>
          <w:szCs w:val="22"/>
          <w:lang w:val="sr-Latn-ME"/>
        </w:rPr>
      </w:pPr>
      <w:r w:rsidRPr="008863E4">
        <w:rPr>
          <w:sz w:val="22"/>
          <w:szCs w:val="22"/>
          <w:lang w:val="sr-Latn-ME"/>
        </w:rPr>
        <w:t>Jedan</w:t>
      </w:r>
      <w:r w:rsidR="00DD5DD2" w:rsidRPr="008863E4">
        <w:rPr>
          <w:sz w:val="22"/>
          <w:szCs w:val="22"/>
          <w:lang w:val="sr-Latn-ME"/>
        </w:rPr>
        <w:t xml:space="preserve"> napunjeni injekcioni špric sadrži 10 ml</w:t>
      </w:r>
      <w:r w:rsidR="00B02CDE" w:rsidRPr="008863E4">
        <w:rPr>
          <w:sz w:val="22"/>
          <w:szCs w:val="22"/>
          <w:lang w:val="sr-Latn-ME"/>
        </w:rPr>
        <w:t xml:space="preserve"> rastvarača</w:t>
      </w:r>
      <w:r w:rsidR="00DD5DD2" w:rsidRPr="008863E4">
        <w:rPr>
          <w:sz w:val="22"/>
          <w:szCs w:val="22"/>
          <w:lang w:val="sr-Latn-ME"/>
        </w:rPr>
        <w:t>.</w:t>
      </w:r>
    </w:p>
    <w:p w14:paraId="6A5EA2C2" w14:textId="77777777" w:rsidR="00DD5DD2" w:rsidRPr="008863E4" w:rsidRDefault="00DD5DD2" w:rsidP="0017187F">
      <w:pPr>
        <w:jc w:val="both"/>
        <w:rPr>
          <w:sz w:val="22"/>
          <w:szCs w:val="22"/>
          <w:lang w:val="sr-Latn-ME"/>
        </w:rPr>
      </w:pPr>
    </w:p>
    <w:p w14:paraId="4B96EA95" w14:textId="37E5056E" w:rsidR="00DD5DD2" w:rsidRPr="008863E4" w:rsidRDefault="00DD5DD2" w:rsidP="0017187F">
      <w:pPr>
        <w:autoSpaceDE w:val="0"/>
        <w:autoSpaceDN w:val="0"/>
        <w:adjustRightInd w:val="0"/>
        <w:jc w:val="both"/>
        <w:rPr>
          <w:sz w:val="22"/>
          <w:szCs w:val="22"/>
          <w:lang w:val="sr-Latn-ME"/>
        </w:rPr>
      </w:pPr>
      <w:r w:rsidRPr="008863E4">
        <w:rPr>
          <w:sz w:val="22"/>
          <w:szCs w:val="22"/>
          <w:lang w:val="sr-Latn-ME"/>
        </w:rPr>
        <w:t>Rekonstituisani rastvor sadrži 1</w:t>
      </w:r>
      <w:r w:rsidR="00B61F96" w:rsidRPr="008863E4">
        <w:rPr>
          <w:sz w:val="22"/>
          <w:szCs w:val="22"/>
          <w:lang w:val="sr-Latn-ME"/>
        </w:rPr>
        <w:t xml:space="preserve"> </w:t>
      </w:r>
      <w:r w:rsidRPr="008863E4">
        <w:rPr>
          <w:sz w:val="22"/>
          <w:szCs w:val="22"/>
          <w:lang w:val="sr-Latn-ME"/>
        </w:rPr>
        <w:t>000 jedinica (5 mg) tenekteplaze po ml.</w:t>
      </w:r>
    </w:p>
    <w:p w14:paraId="77B22480" w14:textId="77777777" w:rsidR="00DD5DD2" w:rsidRPr="008863E4" w:rsidRDefault="00DD5DD2" w:rsidP="0017187F">
      <w:pPr>
        <w:autoSpaceDE w:val="0"/>
        <w:autoSpaceDN w:val="0"/>
        <w:adjustRightInd w:val="0"/>
        <w:jc w:val="both"/>
        <w:rPr>
          <w:sz w:val="22"/>
          <w:szCs w:val="22"/>
          <w:lang w:val="sr-Latn-ME"/>
        </w:rPr>
      </w:pPr>
    </w:p>
    <w:p w14:paraId="082F428E" w14:textId="693FDC07" w:rsidR="00DD5DD2" w:rsidRPr="008863E4" w:rsidRDefault="006E6E97" w:rsidP="0017187F">
      <w:pPr>
        <w:autoSpaceDE w:val="0"/>
        <w:autoSpaceDN w:val="0"/>
        <w:adjustRightInd w:val="0"/>
        <w:jc w:val="both"/>
        <w:rPr>
          <w:sz w:val="22"/>
          <w:szCs w:val="22"/>
          <w:lang w:val="sr-Latn-ME"/>
        </w:rPr>
      </w:pPr>
      <w:r w:rsidRPr="008863E4">
        <w:rPr>
          <w:sz w:val="22"/>
          <w:szCs w:val="22"/>
          <w:lang w:val="sr-Latn-ME"/>
        </w:rPr>
        <w:t xml:space="preserve">Aktivnost tenekteplaze izražena je u jedinicama (j.) </w:t>
      </w:r>
      <w:r w:rsidR="00DD5DD2" w:rsidRPr="008863E4">
        <w:rPr>
          <w:sz w:val="22"/>
          <w:szCs w:val="22"/>
          <w:lang w:val="sr-Latn-ME"/>
        </w:rPr>
        <w:t>uz korišćenje referentnog standarda koji je specifičan za tenekteplazu i ne može se porediti sa jedinicama koje se koriste za druge trombolitičke l</w:t>
      </w:r>
      <w:r w:rsidR="0046756B" w:rsidRPr="008863E4">
        <w:rPr>
          <w:sz w:val="22"/>
          <w:szCs w:val="22"/>
          <w:lang w:val="sr-Latn-ME"/>
        </w:rPr>
        <w:t>j</w:t>
      </w:r>
      <w:r w:rsidR="00DD5DD2" w:rsidRPr="008863E4">
        <w:rPr>
          <w:sz w:val="22"/>
          <w:szCs w:val="22"/>
          <w:lang w:val="sr-Latn-ME"/>
        </w:rPr>
        <w:t>ekove.</w:t>
      </w:r>
    </w:p>
    <w:p w14:paraId="18190566" w14:textId="77777777" w:rsidR="00DD5DD2" w:rsidRPr="008863E4" w:rsidRDefault="00DD5DD2" w:rsidP="0017187F">
      <w:pPr>
        <w:autoSpaceDE w:val="0"/>
        <w:autoSpaceDN w:val="0"/>
        <w:adjustRightInd w:val="0"/>
        <w:jc w:val="both"/>
        <w:rPr>
          <w:sz w:val="22"/>
          <w:szCs w:val="22"/>
          <w:lang w:val="sr-Latn-ME"/>
        </w:rPr>
      </w:pPr>
    </w:p>
    <w:p w14:paraId="12F0DC4B" w14:textId="6C3FF1F1" w:rsidR="00DD5DD2" w:rsidRPr="008863E4" w:rsidRDefault="00DD5DD2" w:rsidP="0017187F">
      <w:pPr>
        <w:autoSpaceDE w:val="0"/>
        <w:autoSpaceDN w:val="0"/>
        <w:adjustRightInd w:val="0"/>
        <w:jc w:val="both"/>
        <w:rPr>
          <w:sz w:val="22"/>
          <w:szCs w:val="22"/>
          <w:lang w:val="sr-Latn-ME"/>
        </w:rPr>
      </w:pPr>
      <w:r w:rsidRPr="008863E4">
        <w:rPr>
          <w:sz w:val="22"/>
          <w:szCs w:val="22"/>
          <w:lang w:val="sr-Latn-ME"/>
        </w:rPr>
        <w:t xml:space="preserve">Tenekteplaza je fibrin-specifični aktivator plazminogena koji se proizvodi u ćelijskoj liniji jajnika kineskog hrčka (engl. </w:t>
      </w:r>
      <w:r w:rsidRPr="008863E4">
        <w:rPr>
          <w:i/>
          <w:sz w:val="22"/>
          <w:szCs w:val="22"/>
          <w:lang w:val="sr-Latn-ME"/>
        </w:rPr>
        <w:t>Chinese Hamster Ovary</w:t>
      </w:r>
      <w:r w:rsidRPr="008863E4">
        <w:rPr>
          <w:sz w:val="22"/>
          <w:szCs w:val="22"/>
          <w:lang w:val="sr-Latn-ME"/>
        </w:rPr>
        <w:t xml:space="preserve">, CHO) tehnologijom rekombinantne DNK. </w:t>
      </w:r>
    </w:p>
    <w:p w14:paraId="27ACF341" w14:textId="77777777" w:rsidR="00DD5DD2" w:rsidRPr="008863E4" w:rsidRDefault="00DD5DD2" w:rsidP="0017187F">
      <w:pPr>
        <w:jc w:val="both"/>
        <w:rPr>
          <w:sz w:val="22"/>
          <w:szCs w:val="22"/>
          <w:lang w:val="sr-Latn-ME"/>
        </w:rPr>
      </w:pPr>
    </w:p>
    <w:p w14:paraId="310B084D" w14:textId="2303DD7D" w:rsidR="0003793F" w:rsidRPr="008863E4" w:rsidRDefault="0003793F" w:rsidP="0017187F">
      <w:pPr>
        <w:jc w:val="both"/>
        <w:rPr>
          <w:sz w:val="22"/>
          <w:szCs w:val="22"/>
          <w:lang w:val="sr-Latn-ME"/>
        </w:rPr>
      </w:pPr>
      <w:r w:rsidRPr="008863E4">
        <w:rPr>
          <w:sz w:val="22"/>
          <w:szCs w:val="22"/>
          <w:lang w:val="sr-Latn-ME"/>
        </w:rPr>
        <w:t>Za spisak svih ekscipijenasa, pogledati dio 6.1.</w:t>
      </w:r>
    </w:p>
    <w:p w14:paraId="6654BF87" w14:textId="77777777" w:rsidR="006D2622" w:rsidRPr="008863E4" w:rsidRDefault="006D2622" w:rsidP="0017187F">
      <w:pPr>
        <w:jc w:val="both"/>
        <w:rPr>
          <w:sz w:val="22"/>
          <w:szCs w:val="22"/>
          <w:lang w:val="sr-Latn-ME"/>
        </w:rPr>
      </w:pPr>
    </w:p>
    <w:p w14:paraId="2C6E68B9" w14:textId="77777777" w:rsidR="00C37FD7" w:rsidRPr="008863E4" w:rsidRDefault="00C37FD7" w:rsidP="0017187F">
      <w:pPr>
        <w:jc w:val="both"/>
        <w:rPr>
          <w:sz w:val="22"/>
          <w:szCs w:val="22"/>
          <w:lang w:val="sr-Latn-ME"/>
        </w:rPr>
      </w:pPr>
    </w:p>
    <w:p w14:paraId="22B458CD" w14:textId="1D2880E8" w:rsidR="00411B4B" w:rsidRPr="008863E4" w:rsidRDefault="00411B4B" w:rsidP="0017187F">
      <w:pPr>
        <w:tabs>
          <w:tab w:val="left" w:pos="540"/>
          <w:tab w:val="left" w:pos="569"/>
        </w:tabs>
        <w:jc w:val="both"/>
        <w:rPr>
          <w:b/>
          <w:bCs/>
          <w:sz w:val="22"/>
          <w:szCs w:val="22"/>
          <w:lang w:val="sr-Latn-ME"/>
        </w:rPr>
      </w:pPr>
      <w:r w:rsidRPr="008863E4">
        <w:rPr>
          <w:b/>
          <w:bCs/>
          <w:sz w:val="22"/>
          <w:szCs w:val="22"/>
          <w:lang w:val="sr-Latn-ME"/>
        </w:rPr>
        <w:t xml:space="preserve">3. </w:t>
      </w:r>
      <w:r w:rsidR="00F5167F" w:rsidRPr="008863E4">
        <w:rPr>
          <w:b/>
          <w:bCs/>
          <w:sz w:val="22"/>
          <w:szCs w:val="22"/>
          <w:lang w:val="sr-Latn-ME"/>
        </w:rPr>
        <w:tab/>
      </w:r>
      <w:r w:rsidRPr="008863E4">
        <w:rPr>
          <w:b/>
          <w:bCs/>
          <w:sz w:val="22"/>
          <w:szCs w:val="22"/>
          <w:lang w:val="sr-Latn-ME"/>
        </w:rPr>
        <w:t>FARMACEUTSKI OBLIK</w:t>
      </w:r>
      <w:r w:rsidR="009F2D23" w:rsidRPr="008863E4">
        <w:rPr>
          <w:b/>
          <w:bCs/>
          <w:sz w:val="22"/>
          <w:szCs w:val="22"/>
          <w:lang w:val="sr-Latn-ME"/>
        </w:rPr>
        <w:t xml:space="preserve"> </w:t>
      </w:r>
    </w:p>
    <w:p w14:paraId="35E60971" w14:textId="77777777" w:rsidR="00DD5DD2" w:rsidRPr="008863E4" w:rsidRDefault="00DD5DD2" w:rsidP="0017187F">
      <w:pPr>
        <w:tabs>
          <w:tab w:val="left" w:pos="540"/>
          <w:tab w:val="left" w:pos="569"/>
        </w:tabs>
        <w:jc w:val="both"/>
        <w:rPr>
          <w:b/>
          <w:bCs/>
          <w:sz w:val="22"/>
          <w:szCs w:val="22"/>
          <w:lang w:val="sr-Latn-ME"/>
        </w:rPr>
      </w:pPr>
    </w:p>
    <w:p w14:paraId="2BE3892E" w14:textId="18CCA9A1" w:rsidR="00DD5DD2" w:rsidRPr="008863E4" w:rsidRDefault="00DD5DD2" w:rsidP="0017187F">
      <w:pPr>
        <w:pStyle w:val="Header"/>
        <w:tabs>
          <w:tab w:val="left" w:pos="284"/>
        </w:tabs>
        <w:jc w:val="both"/>
        <w:rPr>
          <w:sz w:val="22"/>
          <w:szCs w:val="22"/>
          <w:lang w:val="sr-Latn-ME"/>
        </w:rPr>
      </w:pPr>
      <w:r w:rsidRPr="008863E4">
        <w:rPr>
          <w:sz w:val="22"/>
          <w:szCs w:val="22"/>
          <w:lang w:val="sr-Latn-ME"/>
        </w:rPr>
        <w:t>Prašak i rastvarač za rastvor za injekciju.</w:t>
      </w:r>
    </w:p>
    <w:p w14:paraId="7E943297" w14:textId="77777777" w:rsidR="006D2622" w:rsidRPr="008863E4" w:rsidRDefault="006D2622" w:rsidP="0017187F">
      <w:pPr>
        <w:pStyle w:val="Header"/>
        <w:tabs>
          <w:tab w:val="left" w:pos="284"/>
        </w:tabs>
        <w:jc w:val="both"/>
        <w:rPr>
          <w:sz w:val="22"/>
          <w:szCs w:val="22"/>
          <w:lang w:val="sr-Latn-ME"/>
        </w:rPr>
      </w:pPr>
    </w:p>
    <w:p w14:paraId="40766FD2" w14:textId="517560D5" w:rsidR="00BF0A85" w:rsidRPr="008863E4" w:rsidRDefault="00BF0A85">
      <w:pPr>
        <w:tabs>
          <w:tab w:val="left" w:pos="284"/>
        </w:tabs>
        <w:jc w:val="both"/>
        <w:rPr>
          <w:sz w:val="22"/>
          <w:szCs w:val="22"/>
          <w:lang w:val="sr-Latn-ME"/>
        </w:rPr>
      </w:pPr>
      <w:r w:rsidRPr="008863E4">
        <w:rPr>
          <w:sz w:val="22"/>
          <w:szCs w:val="22"/>
          <w:lang w:val="sr-Latn-ME"/>
        </w:rPr>
        <w:t>Prašak je bijele do skoro bijele boje.</w:t>
      </w:r>
    </w:p>
    <w:p w14:paraId="1C75F6B0" w14:textId="4326BEE7" w:rsidR="00B958AD" w:rsidRPr="008863E4" w:rsidRDefault="00B958AD" w:rsidP="0017187F">
      <w:pPr>
        <w:tabs>
          <w:tab w:val="left" w:pos="284"/>
        </w:tabs>
        <w:jc w:val="both"/>
        <w:rPr>
          <w:sz w:val="22"/>
          <w:szCs w:val="22"/>
          <w:lang w:val="sr-Latn-ME"/>
        </w:rPr>
      </w:pPr>
      <w:r w:rsidRPr="008863E4">
        <w:rPr>
          <w:sz w:val="22"/>
          <w:szCs w:val="22"/>
          <w:lang w:val="sr-Latn-ME"/>
        </w:rPr>
        <w:t>Rastvarač je bistar i bezbojan.</w:t>
      </w:r>
    </w:p>
    <w:p w14:paraId="7A5B7C93" w14:textId="2F5049E7" w:rsidR="00EC2532" w:rsidRPr="008863E4" w:rsidRDefault="00EC2532" w:rsidP="0017187F">
      <w:pPr>
        <w:jc w:val="both"/>
        <w:rPr>
          <w:bCs/>
          <w:sz w:val="22"/>
          <w:szCs w:val="22"/>
          <w:lang w:val="sr-Latn-ME"/>
        </w:rPr>
      </w:pPr>
    </w:p>
    <w:p w14:paraId="13767070" w14:textId="77777777" w:rsidR="006D2622" w:rsidRPr="008863E4" w:rsidRDefault="006D2622" w:rsidP="0017187F">
      <w:pPr>
        <w:jc w:val="both"/>
        <w:rPr>
          <w:bCs/>
          <w:sz w:val="22"/>
          <w:szCs w:val="22"/>
          <w:lang w:val="sr-Latn-ME"/>
        </w:rPr>
      </w:pPr>
    </w:p>
    <w:p w14:paraId="22C6FCD4" w14:textId="52D58085" w:rsidR="00411B4B" w:rsidRPr="008863E4" w:rsidRDefault="00411B4B" w:rsidP="0017187F">
      <w:pPr>
        <w:tabs>
          <w:tab w:val="left" w:pos="540"/>
          <w:tab w:val="left" w:pos="569"/>
        </w:tabs>
        <w:jc w:val="both"/>
        <w:rPr>
          <w:b/>
          <w:bCs/>
          <w:sz w:val="22"/>
          <w:szCs w:val="22"/>
          <w:lang w:val="sr-Latn-ME"/>
        </w:rPr>
      </w:pPr>
      <w:r w:rsidRPr="008863E4">
        <w:rPr>
          <w:b/>
          <w:bCs/>
          <w:sz w:val="22"/>
          <w:szCs w:val="22"/>
          <w:lang w:val="sr-Latn-ME"/>
        </w:rPr>
        <w:t xml:space="preserve">4. </w:t>
      </w:r>
      <w:r w:rsidR="00480FB1" w:rsidRPr="008863E4">
        <w:rPr>
          <w:b/>
          <w:bCs/>
          <w:sz w:val="22"/>
          <w:szCs w:val="22"/>
          <w:lang w:val="sr-Latn-ME"/>
        </w:rPr>
        <w:tab/>
      </w:r>
      <w:r w:rsidRPr="008863E4">
        <w:rPr>
          <w:b/>
          <w:bCs/>
          <w:sz w:val="22"/>
          <w:szCs w:val="22"/>
          <w:lang w:val="sr-Latn-ME"/>
        </w:rPr>
        <w:t>KLINIČKI PODACI</w:t>
      </w:r>
    </w:p>
    <w:p w14:paraId="46DE1A5F" w14:textId="77777777" w:rsidR="00CD6F02" w:rsidRPr="008863E4" w:rsidRDefault="00CD6F02" w:rsidP="0017187F">
      <w:pPr>
        <w:tabs>
          <w:tab w:val="left" w:pos="540"/>
          <w:tab w:val="left" w:pos="569"/>
        </w:tabs>
        <w:jc w:val="both"/>
        <w:rPr>
          <w:bCs/>
          <w:sz w:val="22"/>
          <w:szCs w:val="22"/>
          <w:lang w:val="sr-Latn-ME"/>
        </w:rPr>
      </w:pPr>
    </w:p>
    <w:p w14:paraId="51A681AE" w14:textId="77777777" w:rsidR="00411B4B" w:rsidRPr="008863E4" w:rsidRDefault="00411B4B" w:rsidP="0017187F">
      <w:pPr>
        <w:tabs>
          <w:tab w:val="left" w:pos="540"/>
          <w:tab w:val="left" w:pos="569"/>
        </w:tabs>
        <w:jc w:val="both"/>
        <w:rPr>
          <w:b/>
          <w:bCs/>
          <w:sz w:val="22"/>
          <w:szCs w:val="22"/>
          <w:lang w:val="sr-Latn-ME"/>
        </w:rPr>
      </w:pPr>
      <w:r w:rsidRPr="008863E4">
        <w:rPr>
          <w:b/>
          <w:bCs/>
          <w:sz w:val="22"/>
          <w:szCs w:val="22"/>
          <w:lang w:val="sr-Latn-ME"/>
        </w:rPr>
        <w:t xml:space="preserve">4.1. </w:t>
      </w:r>
      <w:r w:rsidR="00480FB1" w:rsidRPr="008863E4">
        <w:rPr>
          <w:b/>
          <w:bCs/>
          <w:sz w:val="22"/>
          <w:szCs w:val="22"/>
          <w:lang w:val="sr-Latn-ME"/>
        </w:rPr>
        <w:tab/>
      </w:r>
      <w:r w:rsidRPr="008863E4">
        <w:rPr>
          <w:b/>
          <w:bCs/>
          <w:sz w:val="22"/>
          <w:szCs w:val="22"/>
          <w:lang w:val="sr-Latn-ME"/>
        </w:rPr>
        <w:t>Terapijske indikacije</w:t>
      </w:r>
    </w:p>
    <w:p w14:paraId="7418B86D" w14:textId="77777777" w:rsidR="00DD5DD2" w:rsidRPr="008863E4" w:rsidRDefault="00DD5DD2" w:rsidP="0017187F">
      <w:pPr>
        <w:tabs>
          <w:tab w:val="left" w:pos="540"/>
          <w:tab w:val="left" w:pos="569"/>
        </w:tabs>
        <w:jc w:val="both"/>
        <w:rPr>
          <w:b/>
          <w:bCs/>
          <w:sz w:val="22"/>
          <w:szCs w:val="22"/>
          <w:lang w:val="sr-Latn-ME"/>
        </w:rPr>
      </w:pPr>
    </w:p>
    <w:p w14:paraId="73681106" w14:textId="25149D38" w:rsidR="00DD5DD2" w:rsidRPr="008863E4" w:rsidRDefault="00DD5DD2" w:rsidP="0017187F">
      <w:pPr>
        <w:tabs>
          <w:tab w:val="left" w:pos="540"/>
          <w:tab w:val="left" w:pos="569"/>
        </w:tabs>
        <w:jc w:val="both"/>
        <w:rPr>
          <w:bCs/>
          <w:sz w:val="22"/>
          <w:szCs w:val="22"/>
          <w:lang w:val="sr-Latn-ME"/>
        </w:rPr>
      </w:pPr>
      <w:r w:rsidRPr="008863E4">
        <w:rPr>
          <w:bCs/>
          <w:sz w:val="22"/>
          <w:szCs w:val="22"/>
          <w:lang w:val="sr-Latn-ME"/>
        </w:rPr>
        <w:t>Lijek Metalyse je indikovan kod odraslih za trombolitičku terapiju suspektnog infarkta miokarda sa perzistentnom elevacijom ST segmenta ili nedavnim blokom lijeve grane nastalim u okviru 6 sati od nastupa simptoma akutnog infarkta miokarda (</w:t>
      </w:r>
      <w:smartTag w:uri="urn:schemas-microsoft-com:office:smarttags" w:element="stockticker">
        <w:r w:rsidRPr="008863E4">
          <w:rPr>
            <w:bCs/>
            <w:sz w:val="22"/>
            <w:szCs w:val="22"/>
            <w:lang w:val="sr-Latn-ME"/>
          </w:rPr>
          <w:t>AMI</w:t>
        </w:r>
      </w:smartTag>
      <w:r w:rsidRPr="008863E4">
        <w:rPr>
          <w:bCs/>
          <w:sz w:val="22"/>
          <w:szCs w:val="22"/>
          <w:lang w:val="sr-Latn-ME"/>
        </w:rPr>
        <w:t xml:space="preserve">). </w:t>
      </w:r>
    </w:p>
    <w:p w14:paraId="7BC9E1E0" w14:textId="77777777" w:rsidR="00411B4B" w:rsidRPr="008863E4" w:rsidRDefault="00411B4B" w:rsidP="0017187F">
      <w:pPr>
        <w:tabs>
          <w:tab w:val="left" w:pos="0"/>
          <w:tab w:val="left" w:pos="540"/>
          <w:tab w:val="left" w:pos="569"/>
        </w:tabs>
        <w:ind w:right="568"/>
        <w:jc w:val="both"/>
        <w:rPr>
          <w:bCs/>
          <w:sz w:val="22"/>
          <w:szCs w:val="22"/>
          <w:lang w:val="sr-Latn-ME"/>
        </w:rPr>
      </w:pPr>
    </w:p>
    <w:p w14:paraId="0AEB3D46" w14:textId="0B464D5A" w:rsidR="00411B4B" w:rsidRPr="008863E4" w:rsidRDefault="00411B4B" w:rsidP="0017187F">
      <w:pPr>
        <w:tabs>
          <w:tab w:val="left" w:pos="0"/>
          <w:tab w:val="left" w:pos="540"/>
          <w:tab w:val="left" w:pos="569"/>
        </w:tabs>
        <w:ind w:right="568"/>
        <w:jc w:val="both"/>
        <w:rPr>
          <w:b/>
          <w:bCs/>
          <w:sz w:val="22"/>
          <w:szCs w:val="22"/>
          <w:lang w:val="sr-Latn-ME"/>
        </w:rPr>
      </w:pPr>
      <w:r w:rsidRPr="008863E4">
        <w:rPr>
          <w:b/>
          <w:bCs/>
          <w:sz w:val="22"/>
          <w:szCs w:val="22"/>
          <w:lang w:val="sr-Latn-ME"/>
        </w:rPr>
        <w:t xml:space="preserve">4.2. </w:t>
      </w:r>
      <w:r w:rsidR="00480FB1" w:rsidRPr="008863E4">
        <w:rPr>
          <w:b/>
          <w:bCs/>
          <w:sz w:val="22"/>
          <w:szCs w:val="22"/>
          <w:lang w:val="sr-Latn-ME"/>
        </w:rPr>
        <w:tab/>
      </w:r>
      <w:r w:rsidRPr="008863E4">
        <w:rPr>
          <w:b/>
          <w:bCs/>
          <w:sz w:val="22"/>
          <w:szCs w:val="22"/>
          <w:lang w:val="sr-Latn-ME"/>
        </w:rPr>
        <w:t>Doziranje i način primjene</w:t>
      </w:r>
    </w:p>
    <w:p w14:paraId="23121C10" w14:textId="77777777" w:rsidR="001F5B7F" w:rsidRPr="008863E4" w:rsidRDefault="001F5B7F" w:rsidP="0017187F">
      <w:pPr>
        <w:tabs>
          <w:tab w:val="left" w:pos="0"/>
          <w:tab w:val="left" w:pos="540"/>
          <w:tab w:val="left" w:pos="569"/>
        </w:tabs>
        <w:ind w:right="568"/>
        <w:jc w:val="both"/>
        <w:rPr>
          <w:b/>
          <w:bCs/>
          <w:sz w:val="22"/>
          <w:szCs w:val="22"/>
          <w:lang w:val="sr-Latn-ME"/>
        </w:rPr>
      </w:pPr>
    </w:p>
    <w:tbl>
      <w:tblPr>
        <w:tblW w:w="9720" w:type="dxa"/>
        <w:tblInd w:w="-142" w:type="dxa"/>
        <w:tblLayout w:type="fixed"/>
        <w:tblLook w:val="0000" w:firstRow="0" w:lastRow="0" w:firstColumn="0" w:lastColumn="0" w:noHBand="0" w:noVBand="0"/>
      </w:tblPr>
      <w:tblGrid>
        <w:gridCol w:w="9720"/>
      </w:tblGrid>
      <w:tr w:rsidR="00DD5DD2" w:rsidRPr="008863E4" w14:paraId="03CF5CE7" w14:textId="77777777" w:rsidTr="0017187F">
        <w:tc>
          <w:tcPr>
            <w:tcW w:w="9720" w:type="dxa"/>
            <w:vAlign w:val="center"/>
          </w:tcPr>
          <w:p w14:paraId="30BC301F" w14:textId="77777777" w:rsidR="006E6E97" w:rsidRPr="008863E4" w:rsidRDefault="00DD5DD2" w:rsidP="0017187F">
            <w:pPr>
              <w:autoSpaceDE w:val="0"/>
              <w:autoSpaceDN w:val="0"/>
              <w:adjustRightInd w:val="0"/>
              <w:ind w:right="393"/>
              <w:jc w:val="both"/>
              <w:rPr>
                <w:sz w:val="22"/>
                <w:szCs w:val="22"/>
                <w:u w:val="single"/>
                <w:lang w:val="sr-Latn-ME"/>
              </w:rPr>
            </w:pPr>
            <w:r w:rsidRPr="008863E4">
              <w:rPr>
                <w:sz w:val="22"/>
                <w:szCs w:val="22"/>
                <w:u w:val="single"/>
                <w:lang w:val="sr-Latn-ME"/>
              </w:rPr>
              <w:t>Doziranje</w:t>
            </w:r>
          </w:p>
          <w:p w14:paraId="36C4D530" w14:textId="4340FD96" w:rsidR="00DD5DD2" w:rsidRPr="008863E4" w:rsidRDefault="00DD5DD2" w:rsidP="0017187F">
            <w:pPr>
              <w:autoSpaceDE w:val="0"/>
              <w:autoSpaceDN w:val="0"/>
              <w:adjustRightInd w:val="0"/>
              <w:ind w:right="393"/>
              <w:jc w:val="both"/>
              <w:rPr>
                <w:sz w:val="22"/>
                <w:szCs w:val="22"/>
                <w:lang w:val="sr-Latn-ME"/>
              </w:rPr>
            </w:pPr>
            <w:r w:rsidRPr="008863E4">
              <w:rPr>
                <w:sz w:val="22"/>
                <w:szCs w:val="22"/>
                <w:lang w:val="sr-Latn-ME"/>
              </w:rPr>
              <w:t>L</w:t>
            </w:r>
            <w:r w:rsidR="004641C5" w:rsidRPr="008863E4">
              <w:rPr>
                <w:sz w:val="22"/>
                <w:szCs w:val="22"/>
                <w:lang w:val="sr-Latn-ME"/>
              </w:rPr>
              <w:t>ij</w:t>
            </w:r>
            <w:r w:rsidRPr="008863E4">
              <w:rPr>
                <w:sz w:val="22"/>
                <w:szCs w:val="22"/>
                <w:lang w:val="sr-Latn-ME"/>
              </w:rPr>
              <w:t>ek Metalyse treba da propisuju ljekari koji imaju iskustva u prim</w:t>
            </w:r>
            <w:r w:rsidR="004641C5" w:rsidRPr="008863E4">
              <w:rPr>
                <w:sz w:val="22"/>
                <w:szCs w:val="22"/>
                <w:lang w:val="sr-Latn-ME"/>
              </w:rPr>
              <w:t>j</w:t>
            </w:r>
            <w:r w:rsidRPr="008863E4">
              <w:rPr>
                <w:sz w:val="22"/>
                <w:szCs w:val="22"/>
                <w:lang w:val="sr-Latn-ME"/>
              </w:rPr>
              <w:t xml:space="preserve">eni trombolitičke terapije i sa uslovima za praćenje </w:t>
            </w:r>
            <w:r w:rsidR="00BF0A85" w:rsidRPr="008863E4">
              <w:rPr>
                <w:sz w:val="22"/>
                <w:szCs w:val="22"/>
                <w:lang w:val="sr-Latn-ME"/>
              </w:rPr>
              <w:t>njegove</w:t>
            </w:r>
            <w:r w:rsidRPr="008863E4">
              <w:rPr>
                <w:sz w:val="22"/>
                <w:szCs w:val="22"/>
                <w:lang w:val="sr-Latn-ME"/>
              </w:rPr>
              <w:t xml:space="preserve"> prim</w:t>
            </w:r>
            <w:r w:rsidR="004641C5" w:rsidRPr="008863E4">
              <w:rPr>
                <w:sz w:val="22"/>
                <w:szCs w:val="22"/>
                <w:lang w:val="sr-Latn-ME"/>
              </w:rPr>
              <w:t>j</w:t>
            </w:r>
            <w:r w:rsidRPr="008863E4">
              <w:rPr>
                <w:sz w:val="22"/>
                <w:szCs w:val="22"/>
                <w:lang w:val="sr-Latn-ME"/>
              </w:rPr>
              <w:t xml:space="preserve">ene. </w:t>
            </w:r>
          </w:p>
          <w:p w14:paraId="38336289" w14:textId="77777777" w:rsidR="00DD5DD2" w:rsidRPr="008863E4" w:rsidRDefault="00DD5DD2" w:rsidP="0017187F">
            <w:pPr>
              <w:autoSpaceDE w:val="0"/>
              <w:autoSpaceDN w:val="0"/>
              <w:adjustRightInd w:val="0"/>
              <w:ind w:right="393"/>
              <w:jc w:val="both"/>
              <w:rPr>
                <w:sz w:val="22"/>
                <w:szCs w:val="22"/>
                <w:lang w:val="sr-Latn-ME"/>
              </w:rPr>
            </w:pPr>
          </w:p>
          <w:p w14:paraId="26580247" w14:textId="289059BB" w:rsidR="00DD5DD2" w:rsidRDefault="00DD5DD2" w:rsidP="0017187F">
            <w:pPr>
              <w:autoSpaceDE w:val="0"/>
              <w:autoSpaceDN w:val="0"/>
              <w:adjustRightInd w:val="0"/>
              <w:ind w:right="393"/>
              <w:jc w:val="both"/>
              <w:rPr>
                <w:sz w:val="22"/>
                <w:szCs w:val="22"/>
                <w:lang w:val="sr-Latn-ME"/>
              </w:rPr>
            </w:pPr>
            <w:r w:rsidRPr="008863E4">
              <w:rPr>
                <w:sz w:val="22"/>
                <w:szCs w:val="22"/>
                <w:lang w:val="sr-Latn-ME"/>
              </w:rPr>
              <w:t>Terapij</w:t>
            </w:r>
            <w:r w:rsidR="00BF0A85" w:rsidRPr="008863E4">
              <w:rPr>
                <w:sz w:val="22"/>
                <w:szCs w:val="22"/>
                <w:lang w:val="sr-Latn-ME"/>
              </w:rPr>
              <w:t>a</w:t>
            </w:r>
            <w:r w:rsidRPr="008863E4">
              <w:rPr>
                <w:sz w:val="22"/>
                <w:szCs w:val="22"/>
                <w:lang w:val="sr-Latn-ME"/>
              </w:rPr>
              <w:t xml:space="preserve"> lijekom Metalyse </w:t>
            </w:r>
            <w:r w:rsidR="00BF0A85" w:rsidRPr="008863E4">
              <w:rPr>
                <w:sz w:val="22"/>
                <w:szCs w:val="22"/>
                <w:lang w:val="sr-Latn-ME"/>
              </w:rPr>
              <w:t>mora se započeti</w:t>
            </w:r>
            <w:r w:rsidRPr="008863E4">
              <w:rPr>
                <w:sz w:val="22"/>
                <w:szCs w:val="22"/>
                <w:lang w:val="sr-Latn-ME"/>
              </w:rPr>
              <w:t xml:space="preserve"> što je ranije moguće nakon prve pojave simptoma.</w:t>
            </w:r>
          </w:p>
          <w:p w14:paraId="321BB51F" w14:textId="77777777" w:rsidR="002162BC" w:rsidRDefault="002162BC" w:rsidP="0017187F">
            <w:pPr>
              <w:autoSpaceDE w:val="0"/>
              <w:autoSpaceDN w:val="0"/>
              <w:adjustRightInd w:val="0"/>
              <w:ind w:right="393"/>
              <w:jc w:val="both"/>
              <w:rPr>
                <w:sz w:val="22"/>
                <w:szCs w:val="22"/>
                <w:lang w:val="sr-Latn-ME"/>
              </w:rPr>
            </w:pPr>
          </w:p>
          <w:p w14:paraId="195C35D6" w14:textId="42139871" w:rsidR="00DD5DD2" w:rsidRDefault="002162BC" w:rsidP="0017187F">
            <w:pPr>
              <w:autoSpaceDE w:val="0"/>
              <w:autoSpaceDN w:val="0"/>
              <w:adjustRightInd w:val="0"/>
              <w:ind w:right="393"/>
              <w:jc w:val="both"/>
              <w:rPr>
                <w:sz w:val="22"/>
                <w:szCs w:val="22"/>
                <w:lang w:val="sr-Latn-ME"/>
              </w:rPr>
            </w:pPr>
            <w:r>
              <w:rPr>
                <w:sz w:val="22"/>
                <w:szCs w:val="22"/>
                <w:lang w:val="sr-Latn-ME"/>
              </w:rPr>
              <w:t>Odgovarajući oblik tenekteplaze potrebno je pažljivo odabrati u skladu sa indikacijom. Oblik od 50 mg je namijenjen samo za primjenu kod akutnog infarkta miokarda.</w:t>
            </w:r>
          </w:p>
          <w:p w14:paraId="04CC0B0C" w14:textId="77777777" w:rsidR="007B4F2B" w:rsidRPr="008863E4" w:rsidRDefault="007B4F2B" w:rsidP="0017187F">
            <w:pPr>
              <w:autoSpaceDE w:val="0"/>
              <w:autoSpaceDN w:val="0"/>
              <w:adjustRightInd w:val="0"/>
              <w:ind w:right="393"/>
              <w:jc w:val="both"/>
              <w:rPr>
                <w:sz w:val="22"/>
                <w:szCs w:val="22"/>
                <w:lang w:val="sr-Latn-ME"/>
              </w:rPr>
            </w:pPr>
          </w:p>
          <w:p w14:paraId="2992E7B2" w14:textId="44CF30F4" w:rsidR="00DD5DD2" w:rsidRPr="008863E4" w:rsidRDefault="00DD5DD2" w:rsidP="0017187F">
            <w:pPr>
              <w:tabs>
                <w:tab w:val="right" w:pos="284"/>
                <w:tab w:val="center" w:pos="4320"/>
                <w:tab w:val="right" w:pos="8640"/>
              </w:tabs>
              <w:ind w:right="393"/>
              <w:jc w:val="both"/>
              <w:rPr>
                <w:b/>
                <w:bCs/>
                <w:sz w:val="22"/>
                <w:szCs w:val="22"/>
                <w:lang w:val="sr-Latn-ME"/>
              </w:rPr>
            </w:pPr>
            <w:r w:rsidRPr="008863E4">
              <w:rPr>
                <w:sz w:val="22"/>
                <w:szCs w:val="22"/>
                <w:lang w:val="sr-Latn-ME"/>
              </w:rPr>
              <w:lastRenderedPageBreak/>
              <w:t>Lijek Metalyse treba prim</w:t>
            </w:r>
            <w:r w:rsidR="004641C5" w:rsidRPr="008863E4">
              <w:rPr>
                <w:sz w:val="22"/>
                <w:szCs w:val="22"/>
                <w:lang w:val="sr-Latn-ME"/>
              </w:rPr>
              <w:t>ij</w:t>
            </w:r>
            <w:r w:rsidRPr="008863E4">
              <w:rPr>
                <w:sz w:val="22"/>
                <w:szCs w:val="22"/>
                <w:lang w:val="sr-Latn-ME"/>
              </w:rPr>
              <w:t xml:space="preserve">eniti na osnovu tjelesne mase, sa maksimalnom dozom od </w:t>
            </w:r>
            <w:r w:rsidR="00BF0A85" w:rsidRPr="008863E4">
              <w:rPr>
                <w:sz w:val="22"/>
                <w:szCs w:val="22"/>
                <w:lang w:val="sr-Latn-ME"/>
              </w:rPr>
              <w:t>10 000</w:t>
            </w:r>
            <w:r w:rsidRPr="008863E4">
              <w:rPr>
                <w:sz w:val="22"/>
                <w:szCs w:val="22"/>
                <w:lang w:val="sr-Latn-ME"/>
              </w:rPr>
              <w:t xml:space="preserve"> jedinica (50 mg tenekteplaze). Zapremina koja je potrebna da bi se dala odgovarajuća doza može se izračunati iz sljedeće tabele:</w:t>
            </w:r>
          </w:p>
        </w:tc>
      </w:tr>
      <w:tr w:rsidR="00DD5DD2" w:rsidRPr="008863E4" w14:paraId="64ACB606" w14:textId="77777777" w:rsidTr="0017187F">
        <w:trPr>
          <w:trHeight w:val="9796"/>
        </w:trPr>
        <w:tc>
          <w:tcPr>
            <w:tcW w:w="9720" w:type="dxa"/>
            <w:vAlign w:val="center"/>
          </w:tcPr>
          <w:p w14:paraId="452BC29A" w14:textId="77777777" w:rsidR="00DD5DD2" w:rsidRPr="008863E4" w:rsidRDefault="00DD5DD2" w:rsidP="00DD5DD2">
            <w:pPr>
              <w:tabs>
                <w:tab w:val="right" w:pos="284"/>
                <w:tab w:val="center" w:pos="4320"/>
                <w:tab w:val="right" w:pos="8640"/>
                <w:tab w:val="left" w:pos="9072"/>
              </w:tabs>
              <w:ind w:right="252"/>
              <w:rPr>
                <w:sz w:val="22"/>
                <w:szCs w:val="22"/>
                <w:lang w:val="sr-Latn-ME"/>
              </w:rPr>
            </w:pPr>
          </w:p>
          <w:tbl>
            <w:tblPr>
              <w:tblW w:w="0" w:type="auto"/>
              <w:tblLayout w:type="fixed"/>
              <w:tblCellMar>
                <w:left w:w="54" w:type="dxa"/>
                <w:right w:w="54" w:type="dxa"/>
              </w:tblCellMar>
              <w:tblLook w:val="0000" w:firstRow="0" w:lastRow="0" w:firstColumn="0" w:lastColumn="0" w:noHBand="0" w:noVBand="0"/>
            </w:tblPr>
            <w:tblGrid>
              <w:gridCol w:w="2322"/>
              <w:gridCol w:w="2127"/>
              <w:gridCol w:w="2268"/>
              <w:gridCol w:w="2527"/>
            </w:tblGrid>
            <w:tr w:rsidR="00DD5DD2" w:rsidRPr="008863E4" w14:paraId="62073264" w14:textId="77777777" w:rsidTr="0017187F">
              <w:trPr>
                <w:cantSplit/>
                <w:trHeight w:val="270"/>
              </w:trPr>
              <w:tc>
                <w:tcPr>
                  <w:tcW w:w="2322" w:type="dxa"/>
                  <w:tcBorders>
                    <w:top w:val="single" w:sz="6" w:space="0" w:color="auto"/>
                    <w:left w:val="single" w:sz="6" w:space="0" w:color="auto"/>
                    <w:bottom w:val="single" w:sz="4" w:space="0" w:color="auto"/>
                    <w:right w:val="single" w:sz="6" w:space="0" w:color="auto"/>
                  </w:tcBorders>
                  <w:vAlign w:val="center"/>
                </w:tcPr>
                <w:p w14:paraId="3AD56460" w14:textId="0BAA5794" w:rsidR="00DD5DD2" w:rsidRPr="008863E4" w:rsidRDefault="00DD5DD2" w:rsidP="00DD5DD2">
                  <w:pPr>
                    <w:jc w:val="center"/>
                    <w:rPr>
                      <w:sz w:val="22"/>
                      <w:szCs w:val="22"/>
                      <w:lang w:val="sr-Latn-ME"/>
                    </w:rPr>
                  </w:pPr>
                  <w:r w:rsidRPr="008863E4">
                    <w:rPr>
                      <w:sz w:val="22"/>
                      <w:szCs w:val="22"/>
                      <w:lang w:val="sr-Latn-ME"/>
                    </w:rPr>
                    <w:t>Kategorija kojoj pacijent pripada po svojoj tjelesnoj masi (kg)</w:t>
                  </w:r>
                </w:p>
              </w:tc>
              <w:tc>
                <w:tcPr>
                  <w:tcW w:w="2127" w:type="dxa"/>
                  <w:tcBorders>
                    <w:top w:val="single" w:sz="6" w:space="0" w:color="auto"/>
                    <w:left w:val="single" w:sz="6" w:space="0" w:color="auto"/>
                    <w:bottom w:val="single" w:sz="4" w:space="0" w:color="auto"/>
                    <w:right w:val="single" w:sz="6" w:space="0" w:color="auto"/>
                  </w:tcBorders>
                  <w:vAlign w:val="center"/>
                </w:tcPr>
                <w:p w14:paraId="2778918A" w14:textId="77777777" w:rsidR="00DD5DD2" w:rsidRPr="008863E4" w:rsidRDefault="00DD5DD2" w:rsidP="00DD5DD2">
                  <w:pPr>
                    <w:jc w:val="center"/>
                    <w:rPr>
                      <w:sz w:val="22"/>
                      <w:szCs w:val="22"/>
                      <w:lang w:val="sr-Latn-ME"/>
                    </w:rPr>
                  </w:pPr>
                  <w:r w:rsidRPr="008863E4">
                    <w:rPr>
                      <w:sz w:val="22"/>
                      <w:szCs w:val="22"/>
                      <w:lang w:val="sr-Latn-ME"/>
                    </w:rPr>
                    <w:t>tenekteplaza</w:t>
                  </w:r>
                </w:p>
                <w:p w14:paraId="57742CBB" w14:textId="5B95C832" w:rsidR="00DD5DD2" w:rsidRPr="008863E4" w:rsidRDefault="00DD5DD2" w:rsidP="00DD5DD2">
                  <w:pPr>
                    <w:jc w:val="center"/>
                    <w:rPr>
                      <w:sz w:val="22"/>
                      <w:szCs w:val="22"/>
                      <w:lang w:val="sr-Latn-ME"/>
                    </w:rPr>
                  </w:pPr>
                  <w:r w:rsidRPr="008863E4">
                    <w:rPr>
                      <w:sz w:val="22"/>
                      <w:szCs w:val="22"/>
                      <w:lang w:val="sr-Latn-ME"/>
                    </w:rPr>
                    <w:t>(</w:t>
                  </w:r>
                  <w:r w:rsidR="001530CA" w:rsidRPr="008863E4">
                    <w:rPr>
                      <w:sz w:val="22"/>
                      <w:szCs w:val="22"/>
                      <w:lang w:val="sr-Latn-ME"/>
                    </w:rPr>
                    <w:t>j.</w:t>
                  </w:r>
                  <w:r w:rsidRPr="008863E4">
                    <w:rPr>
                      <w:sz w:val="22"/>
                      <w:szCs w:val="22"/>
                      <w:lang w:val="sr-Latn-ME"/>
                    </w:rPr>
                    <w:t>)</w:t>
                  </w:r>
                </w:p>
              </w:tc>
              <w:tc>
                <w:tcPr>
                  <w:tcW w:w="2268" w:type="dxa"/>
                  <w:tcBorders>
                    <w:top w:val="single" w:sz="6" w:space="0" w:color="auto"/>
                    <w:left w:val="single" w:sz="6" w:space="0" w:color="auto"/>
                    <w:bottom w:val="single" w:sz="4" w:space="0" w:color="auto"/>
                    <w:right w:val="single" w:sz="6" w:space="0" w:color="auto"/>
                  </w:tcBorders>
                  <w:vAlign w:val="center"/>
                </w:tcPr>
                <w:p w14:paraId="1EE4D45B" w14:textId="77777777" w:rsidR="00DD5DD2" w:rsidRPr="008863E4" w:rsidRDefault="00DD5DD2" w:rsidP="00DD5DD2">
                  <w:pPr>
                    <w:jc w:val="center"/>
                    <w:rPr>
                      <w:sz w:val="22"/>
                      <w:szCs w:val="22"/>
                      <w:lang w:val="sr-Latn-ME"/>
                    </w:rPr>
                  </w:pPr>
                  <w:r w:rsidRPr="008863E4">
                    <w:rPr>
                      <w:sz w:val="22"/>
                      <w:szCs w:val="22"/>
                      <w:lang w:val="sr-Latn-ME"/>
                    </w:rPr>
                    <w:t>tenekteplaza</w:t>
                  </w:r>
                </w:p>
                <w:p w14:paraId="4BB37968" w14:textId="77777777" w:rsidR="00DD5DD2" w:rsidRPr="008863E4" w:rsidRDefault="00DD5DD2" w:rsidP="00DD5DD2">
                  <w:pPr>
                    <w:jc w:val="center"/>
                    <w:rPr>
                      <w:sz w:val="22"/>
                      <w:szCs w:val="22"/>
                      <w:lang w:val="sr-Latn-ME"/>
                    </w:rPr>
                  </w:pPr>
                  <w:r w:rsidRPr="008863E4">
                    <w:rPr>
                      <w:sz w:val="22"/>
                      <w:szCs w:val="22"/>
                      <w:lang w:val="sr-Latn-ME"/>
                    </w:rPr>
                    <w:t>(mg)</w:t>
                  </w:r>
                </w:p>
              </w:tc>
              <w:tc>
                <w:tcPr>
                  <w:tcW w:w="2527" w:type="dxa"/>
                  <w:tcBorders>
                    <w:top w:val="single" w:sz="6" w:space="0" w:color="auto"/>
                    <w:left w:val="single" w:sz="6" w:space="0" w:color="auto"/>
                    <w:bottom w:val="single" w:sz="4" w:space="0" w:color="auto"/>
                    <w:right w:val="single" w:sz="6" w:space="0" w:color="auto"/>
                  </w:tcBorders>
                  <w:vAlign w:val="center"/>
                </w:tcPr>
                <w:p w14:paraId="3F455629" w14:textId="77777777" w:rsidR="00DD5DD2" w:rsidRPr="008863E4" w:rsidRDefault="00DD5DD2" w:rsidP="00DD5DD2">
                  <w:pPr>
                    <w:jc w:val="center"/>
                    <w:rPr>
                      <w:sz w:val="22"/>
                      <w:szCs w:val="22"/>
                      <w:lang w:val="sr-Latn-ME"/>
                    </w:rPr>
                  </w:pPr>
                  <w:r w:rsidRPr="008863E4">
                    <w:rPr>
                      <w:sz w:val="22"/>
                      <w:szCs w:val="22"/>
                      <w:lang w:val="sr-Latn-ME"/>
                    </w:rPr>
                    <w:t>Odgovarajuća zapremina rekonstituisanog rastvora (ml)</w:t>
                  </w:r>
                </w:p>
              </w:tc>
            </w:tr>
            <w:tr w:rsidR="00DD5DD2" w:rsidRPr="008863E4" w14:paraId="6B512E09" w14:textId="77777777" w:rsidTr="0017187F">
              <w:trPr>
                <w:cantSplit/>
                <w:trHeight w:val="224"/>
              </w:trPr>
              <w:tc>
                <w:tcPr>
                  <w:tcW w:w="2322" w:type="dxa"/>
                  <w:tcBorders>
                    <w:top w:val="single" w:sz="4" w:space="0" w:color="auto"/>
                    <w:left w:val="single" w:sz="4" w:space="0" w:color="auto"/>
                    <w:bottom w:val="single" w:sz="4" w:space="0" w:color="auto"/>
                    <w:right w:val="single" w:sz="4" w:space="0" w:color="auto"/>
                  </w:tcBorders>
                  <w:vAlign w:val="center"/>
                </w:tcPr>
                <w:p w14:paraId="49251BD1" w14:textId="77777777" w:rsidR="00DD5DD2" w:rsidRPr="008863E4" w:rsidRDefault="00DD5DD2" w:rsidP="006A0569">
                  <w:pPr>
                    <w:jc w:val="center"/>
                    <w:rPr>
                      <w:sz w:val="22"/>
                      <w:szCs w:val="22"/>
                      <w:lang w:val="sr-Latn-ME"/>
                    </w:rPr>
                  </w:pPr>
                  <w:r w:rsidRPr="008863E4">
                    <w:rPr>
                      <w:sz w:val="22"/>
                      <w:szCs w:val="22"/>
                      <w:lang w:val="sr-Latn-ME"/>
                    </w:rPr>
                    <w:t>&lt;60</w:t>
                  </w:r>
                </w:p>
              </w:tc>
              <w:tc>
                <w:tcPr>
                  <w:tcW w:w="2127" w:type="dxa"/>
                  <w:tcBorders>
                    <w:top w:val="single" w:sz="4" w:space="0" w:color="auto"/>
                    <w:left w:val="single" w:sz="4" w:space="0" w:color="auto"/>
                    <w:bottom w:val="single" w:sz="4" w:space="0" w:color="auto"/>
                    <w:right w:val="single" w:sz="4" w:space="0" w:color="auto"/>
                  </w:tcBorders>
                  <w:vAlign w:val="center"/>
                </w:tcPr>
                <w:p w14:paraId="2FA8F393" w14:textId="20EE8E60" w:rsidR="00DD5DD2" w:rsidRPr="008863E4" w:rsidRDefault="00DD5DD2" w:rsidP="00DD5DD2">
                  <w:pPr>
                    <w:jc w:val="center"/>
                    <w:rPr>
                      <w:sz w:val="22"/>
                      <w:szCs w:val="22"/>
                      <w:lang w:val="sr-Latn-ME"/>
                    </w:rPr>
                  </w:pPr>
                  <w:r w:rsidRPr="008863E4">
                    <w:rPr>
                      <w:sz w:val="22"/>
                      <w:szCs w:val="22"/>
                      <w:lang w:val="sr-Latn-ME"/>
                    </w:rPr>
                    <w:t>6000</w:t>
                  </w:r>
                </w:p>
              </w:tc>
              <w:tc>
                <w:tcPr>
                  <w:tcW w:w="2268" w:type="dxa"/>
                  <w:tcBorders>
                    <w:top w:val="single" w:sz="4" w:space="0" w:color="auto"/>
                    <w:left w:val="single" w:sz="4" w:space="0" w:color="auto"/>
                    <w:bottom w:val="single" w:sz="4" w:space="0" w:color="auto"/>
                    <w:right w:val="single" w:sz="4" w:space="0" w:color="auto"/>
                  </w:tcBorders>
                  <w:vAlign w:val="center"/>
                </w:tcPr>
                <w:p w14:paraId="7F950F49" w14:textId="77777777" w:rsidR="00DD5DD2" w:rsidRPr="008863E4" w:rsidRDefault="00DD5DD2" w:rsidP="00DD5DD2">
                  <w:pPr>
                    <w:jc w:val="center"/>
                    <w:rPr>
                      <w:sz w:val="22"/>
                      <w:szCs w:val="22"/>
                      <w:lang w:val="sr-Latn-ME"/>
                    </w:rPr>
                  </w:pPr>
                  <w:r w:rsidRPr="008863E4">
                    <w:rPr>
                      <w:sz w:val="22"/>
                      <w:szCs w:val="22"/>
                      <w:lang w:val="sr-Latn-ME"/>
                    </w:rPr>
                    <w:t>30</w:t>
                  </w:r>
                </w:p>
              </w:tc>
              <w:tc>
                <w:tcPr>
                  <w:tcW w:w="2527" w:type="dxa"/>
                  <w:tcBorders>
                    <w:top w:val="single" w:sz="4" w:space="0" w:color="auto"/>
                    <w:left w:val="single" w:sz="4" w:space="0" w:color="auto"/>
                    <w:bottom w:val="single" w:sz="4" w:space="0" w:color="auto"/>
                    <w:right w:val="single" w:sz="4" w:space="0" w:color="auto"/>
                  </w:tcBorders>
                  <w:vAlign w:val="center"/>
                </w:tcPr>
                <w:p w14:paraId="14786F44" w14:textId="77777777" w:rsidR="00DD5DD2" w:rsidRPr="008863E4" w:rsidRDefault="00DD5DD2" w:rsidP="00DD5DD2">
                  <w:pPr>
                    <w:jc w:val="center"/>
                    <w:rPr>
                      <w:sz w:val="22"/>
                      <w:szCs w:val="22"/>
                      <w:lang w:val="sr-Latn-ME"/>
                    </w:rPr>
                  </w:pPr>
                  <w:r w:rsidRPr="008863E4">
                    <w:rPr>
                      <w:sz w:val="22"/>
                      <w:szCs w:val="22"/>
                      <w:lang w:val="sr-Latn-ME"/>
                    </w:rPr>
                    <w:t>6</w:t>
                  </w:r>
                </w:p>
              </w:tc>
            </w:tr>
            <w:tr w:rsidR="00DD5DD2" w:rsidRPr="008863E4" w14:paraId="0A99F015" w14:textId="77777777" w:rsidTr="0017187F">
              <w:trPr>
                <w:cantSplit/>
              </w:trPr>
              <w:tc>
                <w:tcPr>
                  <w:tcW w:w="2322" w:type="dxa"/>
                  <w:tcBorders>
                    <w:top w:val="single" w:sz="4" w:space="0" w:color="auto"/>
                    <w:left w:val="single" w:sz="4" w:space="0" w:color="auto"/>
                    <w:bottom w:val="single" w:sz="4" w:space="0" w:color="auto"/>
                    <w:right w:val="single" w:sz="4" w:space="0" w:color="auto"/>
                  </w:tcBorders>
                  <w:vAlign w:val="center"/>
                </w:tcPr>
                <w:p w14:paraId="2460012A" w14:textId="77777777" w:rsidR="00DD5DD2" w:rsidRPr="008863E4" w:rsidRDefault="00DD5DD2" w:rsidP="00DD5DD2">
                  <w:pPr>
                    <w:jc w:val="center"/>
                    <w:rPr>
                      <w:sz w:val="22"/>
                      <w:szCs w:val="22"/>
                      <w:lang w:val="sr-Latn-ME"/>
                    </w:rPr>
                  </w:pPr>
                  <w:r w:rsidRPr="008863E4">
                    <w:rPr>
                      <w:sz w:val="22"/>
                      <w:szCs w:val="22"/>
                      <w:lang w:val="sr-Latn-ME"/>
                    </w:rPr>
                    <w:sym w:font="Symbol" w:char="F0B3"/>
                  </w:r>
                  <w:r w:rsidRPr="008863E4">
                    <w:rPr>
                      <w:sz w:val="22"/>
                      <w:szCs w:val="22"/>
                      <w:lang w:val="sr-Latn-ME"/>
                    </w:rPr>
                    <w:t>60 do &lt;70</w:t>
                  </w:r>
                </w:p>
              </w:tc>
              <w:tc>
                <w:tcPr>
                  <w:tcW w:w="2127" w:type="dxa"/>
                  <w:tcBorders>
                    <w:top w:val="single" w:sz="4" w:space="0" w:color="auto"/>
                    <w:left w:val="single" w:sz="4" w:space="0" w:color="auto"/>
                    <w:bottom w:val="single" w:sz="4" w:space="0" w:color="auto"/>
                    <w:right w:val="single" w:sz="4" w:space="0" w:color="auto"/>
                  </w:tcBorders>
                  <w:vAlign w:val="center"/>
                </w:tcPr>
                <w:p w14:paraId="12195F55" w14:textId="7AD8C8E5" w:rsidR="00DD5DD2" w:rsidRPr="008863E4" w:rsidRDefault="00DD5DD2" w:rsidP="00DD5DD2">
                  <w:pPr>
                    <w:jc w:val="center"/>
                    <w:rPr>
                      <w:sz w:val="22"/>
                      <w:szCs w:val="22"/>
                      <w:lang w:val="sr-Latn-ME"/>
                    </w:rPr>
                  </w:pPr>
                  <w:r w:rsidRPr="008863E4">
                    <w:rPr>
                      <w:sz w:val="22"/>
                      <w:szCs w:val="22"/>
                      <w:lang w:val="sr-Latn-ME"/>
                    </w:rPr>
                    <w:t>7000</w:t>
                  </w:r>
                </w:p>
              </w:tc>
              <w:tc>
                <w:tcPr>
                  <w:tcW w:w="2268" w:type="dxa"/>
                  <w:tcBorders>
                    <w:top w:val="single" w:sz="4" w:space="0" w:color="auto"/>
                    <w:left w:val="single" w:sz="4" w:space="0" w:color="auto"/>
                    <w:bottom w:val="single" w:sz="4" w:space="0" w:color="auto"/>
                    <w:right w:val="single" w:sz="4" w:space="0" w:color="auto"/>
                  </w:tcBorders>
                  <w:vAlign w:val="center"/>
                </w:tcPr>
                <w:p w14:paraId="726B06C2" w14:textId="77777777" w:rsidR="00DD5DD2" w:rsidRPr="008863E4" w:rsidRDefault="00DD5DD2" w:rsidP="00DD5DD2">
                  <w:pPr>
                    <w:jc w:val="center"/>
                    <w:rPr>
                      <w:sz w:val="22"/>
                      <w:szCs w:val="22"/>
                      <w:lang w:val="sr-Latn-ME"/>
                    </w:rPr>
                  </w:pPr>
                  <w:r w:rsidRPr="008863E4">
                    <w:rPr>
                      <w:sz w:val="22"/>
                      <w:szCs w:val="22"/>
                      <w:lang w:val="sr-Latn-ME"/>
                    </w:rPr>
                    <w:t>35</w:t>
                  </w:r>
                </w:p>
              </w:tc>
              <w:tc>
                <w:tcPr>
                  <w:tcW w:w="2527" w:type="dxa"/>
                  <w:tcBorders>
                    <w:top w:val="single" w:sz="4" w:space="0" w:color="auto"/>
                    <w:left w:val="single" w:sz="4" w:space="0" w:color="auto"/>
                    <w:bottom w:val="single" w:sz="4" w:space="0" w:color="auto"/>
                    <w:right w:val="single" w:sz="4" w:space="0" w:color="auto"/>
                  </w:tcBorders>
                  <w:vAlign w:val="center"/>
                </w:tcPr>
                <w:p w14:paraId="0EEF3A3D" w14:textId="77777777" w:rsidR="00DD5DD2" w:rsidRPr="008863E4" w:rsidRDefault="00DD5DD2" w:rsidP="00DD5DD2">
                  <w:pPr>
                    <w:jc w:val="center"/>
                    <w:rPr>
                      <w:sz w:val="22"/>
                      <w:szCs w:val="22"/>
                      <w:lang w:val="sr-Latn-ME"/>
                    </w:rPr>
                  </w:pPr>
                  <w:r w:rsidRPr="008863E4">
                    <w:rPr>
                      <w:sz w:val="22"/>
                      <w:szCs w:val="22"/>
                      <w:lang w:val="sr-Latn-ME"/>
                    </w:rPr>
                    <w:t>7</w:t>
                  </w:r>
                </w:p>
              </w:tc>
            </w:tr>
            <w:tr w:rsidR="00DD5DD2" w:rsidRPr="008863E4" w14:paraId="37916EDD" w14:textId="77777777" w:rsidTr="0017187F">
              <w:trPr>
                <w:cantSplit/>
              </w:trPr>
              <w:tc>
                <w:tcPr>
                  <w:tcW w:w="2322" w:type="dxa"/>
                  <w:tcBorders>
                    <w:top w:val="single" w:sz="4" w:space="0" w:color="auto"/>
                    <w:left w:val="single" w:sz="4" w:space="0" w:color="auto"/>
                    <w:bottom w:val="single" w:sz="4" w:space="0" w:color="auto"/>
                    <w:right w:val="single" w:sz="4" w:space="0" w:color="auto"/>
                  </w:tcBorders>
                  <w:vAlign w:val="center"/>
                </w:tcPr>
                <w:p w14:paraId="4E9C18C4" w14:textId="77777777" w:rsidR="00DD5DD2" w:rsidRPr="008863E4" w:rsidRDefault="00DD5DD2" w:rsidP="00DD5DD2">
                  <w:pPr>
                    <w:jc w:val="center"/>
                    <w:rPr>
                      <w:sz w:val="22"/>
                      <w:szCs w:val="22"/>
                      <w:lang w:val="sr-Latn-ME"/>
                    </w:rPr>
                  </w:pPr>
                  <w:r w:rsidRPr="008863E4">
                    <w:rPr>
                      <w:sz w:val="22"/>
                      <w:szCs w:val="22"/>
                      <w:lang w:val="sr-Latn-ME"/>
                    </w:rPr>
                    <w:sym w:font="Symbol" w:char="F0B3"/>
                  </w:r>
                  <w:r w:rsidRPr="008863E4">
                    <w:rPr>
                      <w:sz w:val="22"/>
                      <w:szCs w:val="22"/>
                      <w:lang w:val="sr-Latn-ME"/>
                    </w:rPr>
                    <w:t>70 do &lt;80</w:t>
                  </w:r>
                </w:p>
              </w:tc>
              <w:tc>
                <w:tcPr>
                  <w:tcW w:w="2127" w:type="dxa"/>
                  <w:tcBorders>
                    <w:top w:val="single" w:sz="4" w:space="0" w:color="auto"/>
                    <w:left w:val="single" w:sz="4" w:space="0" w:color="auto"/>
                    <w:bottom w:val="single" w:sz="4" w:space="0" w:color="auto"/>
                    <w:right w:val="single" w:sz="4" w:space="0" w:color="auto"/>
                  </w:tcBorders>
                  <w:vAlign w:val="center"/>
                </w:tcPr>
                <w:p w14:paraId="556EE773" w14:textId="699FF917" w:rsidR="00DD5DD2" w:rsidRPr="008863E4" w:rsidRDefault="00DD5DD2" w:rsidP="00DD5DD2">
                  <w:pPr>
                    <w:jc w:val="center"/>
                    <w:rPr>
                      <w:sz w:val="22"/>
                      <w:szCs w:val="22"/>
                      <w:lang w:val="sr-Latn-ME"/>
                    </w:rPr>
                  </w:pPr>
                  <w:r w:rsidRPr="008863E4">
                    <w:rPr>
                      <w:sz w:val="22"/>
                      <w:szCs w:val="22"/>
                      <w:lang w:val="sr-Latn-ME"/>
                    </w:rPr>
                    <w:t>8000</w:t>
                  </w:r>
                </w:p>
              </w:tc>
              <w:tc>
                <w:tcPr>
                  <w:tcW w:w="2268" w:type="dxa"/>
                  <w:tcBorders>
                    <w:top w:val="single" w:sz="4" w:space="0" w:color="auto"/>
                    <w:left w:val="single" w:sz="4" w:space="0" w:color="auto"/>
                    <w:bottom w:val="single" w:sz="4" w:space="0" w:color="auto"/>
                    <w:right w:val="single" w:sz="4" w:space="0" w:color="auto"/>
                  </w:tcBorders>
                  <w:vAlign w:val="center"/>
                </w:tcPr>
                <w:p w14:paraId="1AB21539" w14:textId="77777777" w:rsidR="00DD5DD2" w:rsidRPr="008863E4" w:rsidRDefault="00DD5DD2" w:rsidP="00DD5DD2">
                  <w:pPr>
                    <w:jc w:val="center"/>
                    <w:rPr>
                      <w:sz w:val="22"/>
                      <w:szCs w:val="22"/>
                      <w:lang w:val="sr-Latn-ME"/>
                    </w:rPr>
                  </w:pPr>
                  <w:r w:rsidRPr="008863E4">
                    <w:rPr>
                      <w:sz w:val="22"/>
                      <w:szCs w:val="22"/>
                      <w:lang w:val="sr-Latn-ME"/>
                    </w:rPr>
                    <w:t>40</w:t>
                  </w:r>
                </w:p>
              </w:tc>
              <w:tc>
                <w:tcPr>
                  <w:tcW w:w="2527" w:type="dxa"/>
                  <w:tcBorders>
                    <w:top w:val="single" w:sz="4" w:space="0" w:color="auto"/>
                    <w:left w:val="single" w:sz="4" w:space="0" w:color="auto"/>
                    <w:bottom w:val="single" w:sz="4" w:space="0" w:color="auto"/>
                    <w:right w:val="single" w:sz="4" w:space="0" w:color="auto"/>
                  </w:tcBorders>
                  <w:vAlign w:val="center"/>
                </w:tcPr>
                <w:p w14:paraId="3CE4FB82" w14:textId="77777777" w:rsidR="00DD5DD2" w:rsidRPr="008863E4" w:rsidRDefault="00DD5DD2" w:rsidP="00DD5DD2">
                  <w:pPr>
                    <w:jc w:val="center"/>
                    <w:rPr>
                      <w:sz w:val="22"/>
                      <w:szCs w:val="22"/>
                      <w:lang w:val="sr-Latn-ME"/>
                    </w:rPr>
                  </w:pPr>
                  <w:r w:rsidRPr="008863E4">
                    <w:rPr>
                      <w:sz w:val="22"/>
                      <w:szCs w:val="22"/>
                      <w:lang w:val="sr-Latn-ME"/>
                    </w:rPr>
                    <w:t>8</w:t>
                  </w:r>
                </w:p>
              </w:tc>
            </w:tr>
            <w:tr w:rsidR="00DD5DD2" w:rsidRPr="008863E4" w14:paraId="3791BE39" w14:textId="77777777" w:rsidTr="0017187F">
              <w:trPr>
                <w:cantSplit/>
              </w:trPr>
              <w:tc>
                <w:tcPr>
                  <w:tcW w:w="2322" w:type="dxa"/>
                  <w:tcBorders>
                    <w:top w:val="single" w:sz="4" w:space="0" w:color="auto"/>
                    <w:left w:val="single" w:sz="4" w:space="0" w:color="auto"/>
                    <w:bottom w:val="single" w:sz="4" w:space="0" w:color="auto"/>
                    <w:right w:val="single" w:sz="4" w:space="0" w:color="auto"/>
                  </w:tcBorders>
                  <w:vAlign w:val="center"/>
                </w:tcPr>
                <w:p w14:paraId="6156D672" w14:textId="77777777" w:rsidR="00DD5DD2" w:rsidRPr="008863E4" w:rsidRDefault="00DD5DD2" w:rsidP="00DD5DD2">
                  <w:pPr>
                    <w:jc w:val="center"/>
                    <w:rPr>
                      <w:sz w:val="22"/>
                      <w:szCs w:val="22"/>
                      <w:lang w:val="sr-Latn-ME"/>
                    </w:rPr>
                  </w:pPr>
                  <w:r w:rsidRPr="008863E4">
                    <w:rPr>
                      <w:sz w:val="22"/>
                      <w:szCs w:val="22"/>
                      <w:lang w:val="sr-Latn-ME"/>
                    </w:rPr>
                    <w:sym w:font="Symbol" w:char="F0B3"/>
                  </w:r>
                  <w:r w:rsidRPr="008863E4">
                    <w:rPr>
                      <w:sz w:val="22"/>
                      <w:szCs w:val="22"/>
                      <w:lang w:val="sr-Latn-ME"/>
                    </w:rPr>
                    <w:t>80 do &lt;90</w:t>
                  </w:r>
                </w:p>
              </w:tc>
              <w:tc>
                <w:tcPr>
                  <w:tcW w:w="2127" w:type="dxa"/>
                  <w:tcBorders>
                    <w:top w:val="single" w:sz="4" w:space="0" w:color="auto"/>
                    <w:left w:val="single" w:sz="4" w:space="0" w:color="auto"/>
                    <w:bottom w:val="single" w:sz="4" w:space="0" w:color="auto"/>
                    <w:right w:val="single" w:sz="4" w:space="0" w:color="auto"/>
                  </w:tcBorders>
                  <w:vAlign w:val="center"/>
                </w:tcPr>
                <w:p w14:paraId="5B6DBC2A" w14:textId="3923E9F5" w:rsidR="00DD5DD2" w:rsidRPr="008863E4" w:rsidRDefault="00DD5DD2" w:rsidP="00DD5DD2">
                  <w:pPr>
                    <w:jc w:val="center"/>
                    <w:rPr>
                      <w:sz w:val="22"/>
                      <w:szCs w:val="22"/>
                      <w:lang w:val="sr-Latn-ME"/>
                    </w:rPr>
                  </w:pPr>
                  <w:r w:rsidRPr="008863E4">
                    <w:rPr>
                      <w:sz w:val="22"/>
                      <w:szCs w:val="22"/>
                      <w:lang w:val="sr-Latn-ME"/>
                    </w:rPr>
                    <w:t>9000</w:t>
                  </w:r>
                </w:p>
              </w:tc>
              <w:tc>
                <w:tcPr>
                  <w:tcW w:w="2268" w:type="dxa"/>
                  <w:tcBorders>
                    <w:top w:val="single" w:sz="4" w:space="0" w:color="auto"/>
                    <w:left w:val="single" w:sz="4" w:space="0" w:color="auto"/>
                    <w:bottom w:val="single" w:sz="4" w:space="0" w:color="auto"/>
                    <w:right w:val="single" w:sz="4" w:space="0" w:color="auto"/>
                  </w:tcBorders>
                  <w:vAlign w:val="center"/>
                </w:tcPr>
                <w:p w14:paraId="1BD86E8D" w14:textId="77777777" w:rsidR="00DD5DD2" w:rsidRPr="008863E4" w:rsidRDefault="00DD5DD2" w:rsidP="00DD5DD2">
                  <w:pPr>
                    <w:jc w:val="center"/>
                    <w:rPr>
                      <w:sz w:val="22"/>
                      <w:szCs w:val="22"/>
                      <w:lang w:val="sr-Latn-ME"/>
                    </w:rPr>
                  </w:pPr>
                  <w:r w:rsidRPr="008863E4">
                    <w:rPr>
                      <w:sz w:val="22"/>
                      <w:szCs w:val="22"/>
                      <w:lang w:val="sr-Latn-ME"/>
                    </w:rPr>
                    <w:t>45</w:t>
                  </w:r>
                </w:p>
              </w:tc>
              <w:tc>
                <w:tcPr>
                  <w:tcW w:w="2527" w:type="dxa"/>
                  <w:tcBorders>
                    <w:top w:val="single" w:sz="4" w:space="0" w:color="auto"/>
                    <w:left w:val="single" w:sz="4" w:space="0" w:color="auto"/>
                    <w:bottom w:val="single" w:sz="4" w:space="0" w:color="auto"/>
                    <w:right w:val="single" w:sz="4" w:space="0" w:color="auto"/>
                  </w:tcBorders>
                  <w:vAlign w:val="center"/>
                </w:tcPr>
                <w:p w14:paraId="5915E226" w14:textId="77777777" w:rsidR="00DD5DD2" w:rsidRPr="008863E4" w:rsidRDefault="00DD5DD2" w:rsidP="00DD5DD2">
                  <w:pPr>
                    <w:jc w:val="center"/>
                    <w:rPr>
                      <w:sz w:val="22"/>
                      <w:szCs w:val="22"/>
                      <w:lang w:val="sr-Latn-ME"/>
                    </w:rPr>
                  </w:pPr>
                  <w:r w:rsidRPr="008863E4">
                    <w:rPr>
                      <w:sz w:val="22"/>
                      <w:szCs w:val="22"/>
                      <w:lang w:val="sr-Latn-ME"/>
                    </w:rPr>
                    <w:t>9</w:t>
                  </w:r>
                </w:p>
              </w:tc>
            </w:tr>
            <w:tr w:rsidR="00DD5DD2" w:rsidRPr="008863E4" w14:paraId="71499DF6" w14:textId="77777777" w:rsidTr="0017187F">
              <w:trPr>
                <w:cantSplit/>
                <w:trHeight w:val="195"/>
              </w:trPr>
              <w:tc>
                <w:tcPr>
                  <w:tcW w:w="2322" w:type="dxa"/>
                  <w:tcBorders>
                    <w:top w:val="single" w:sz="4" w:space="0" w:color="auto"/>
                    <w:left w:val="single" w:sz="4" w:space="0" w:color="auto"/>
                    <w:bottom w:val="single" w:sz="4" w:space="0" w:color="auto"/>
                    <w:right w:val="single" w:sz="4" w:space="0" w:color="auto"/>
                  </w:tcBorders>
                  <w:vAlign w:val="center"/>
                </w:tcPr>
                <w:p w14:paraId="6D3B5231" w14:textId="77777777" w:rsidR="00DD5DD2" w:rsidRPr="008863E4" w:rsidRDefault="00DD5DD2" w:rsidP="00DD5DD2">
                  <w:pPr>
                    <w:jc w:val="center"/>
                    <w:rPr>
                      <w:sz w:val="22"/>
                      <w:szCs w:val="22"/>
                      <w:lang w:val="sr-Latn-ME"/>
                    </w:rPr>
                  </w:pPr>
                  <w:r w:rsidRPr="008863E4">
                    <w:rPr>
                      <w:sz w:val="22"/>
                      <w:szCs w:val="22"/>
                      <w:lang w:val="sr-Latn-ME"/>
                    </w:rPr>
                    <w:sym w:font="Symbol" w:char="F0B3"/>
                  </w:r>
                  <w:r w:rsidRPr="008863E4">
                    <w:rPr>
                      <w:sz w:val="22"/>
                      <w:szCs w:val="22"/>
                      <w:lang w:val="sr-Latn-ME"/>
                    </w:rPr>
                    <w:t>90</w:t>
                  </w:r>
                </w:p>
              </w:tc>
              <w:tc>
                <w:tcPr>
                  <w:tcW w:w="2127" w:type="dxa"/>
                  <w:tcBorders>
                    <w:top w:val="single" w:sz="4" w:space="0" w:color="auto"/>
                    <w:left w:val="single" w:sz="4" w:space="0" w:color="auto"/>
                    <w:bottom w:val="single" w:sz="4" w:space="0" w:color="auto"/>
                    <w:right w:val="single" w:sz="4" w:space="0" w:color="auto"/>
                  </w:tcBorders>
                  <w:vAlign w:val="center"/>
                </w:tcPr>
                <w:p w14:paraId="17CD1891" w14:textId="1C2E11EA" w:rsidR="00DD5DD2" w:rsidRPr="008863E4" w:rsidRDefault="00BF0A85" w:rsidP="00DD5DD2">
                  <w:pPr>
                    <w:jc w:val="center"/>
                    <w:rPr>
                      <w:sz w:val="22"/>
                      <w:szCs w:val="22"/>
                      <w:lang w:val="sr-Latn-ME"/>
                    </w:rPr>
                  </w:pPr>
                  <w:r w:rsidRPr="008863E4">
                    <w:rPr>
                      <w:sz w:val="22"/>
                      <w:szCs w:val="22"/>
                      <w:lang w:val="sr-Latn-ME"/>
                    </w:rPr>
                    <w:t>10 000</w:t>
                  </w:r>
                </w:p>
              </w:tc>
              <w:tc>
                <w:tcPr>
                  <w:tcW w:w="2268" w:type="dxa"/>
                  <w:tcBorders>
                    <w:top w:val="single" w:sz="4" w:space="0" w:color="auto"/>
                    <w:left w:val="single" w:sz="4" w:space="0" w:color="auto"/>
                    <w:bottom w:val="single" w:sz="4" w:space="0" w:color="auto"/>
                    <w:right w:val="single" w:sz="4" w:space="0" w:color="auto"/>
                  </w:tcBorders>
                  <w:vAlign w:val="center"/>
                </w:tcPr>
                <w:p w14:paraId="32342268" w14:textId="77777777" w:rsidR="00DD5DD2" w:rsidRPr="008863E4" w:rsidRDefault="00DD5DD2" w:rsidP="00DD5DD2">
                  <w:pPr>
                    <w:jc w:val="center"/>
                    <w:rPr>
                      <w:sz w:val="22"/>
                      <w:szCs w:val="22"/>
                      <w:lang w:val="sr-Latn-ME"/>
                    </w:rPr>
                  </w:pPr>
                  <w:r w:rsidRPr="008863E4">
                    <w:rPr>
                      <w:sz w:val="22"/>
                      <w:szCs w:val="22"/>
                      <w:lang w:val="sr-Latn-ME"/>
                    </w:rPr>
                    <w:t>50</w:t>
                  </w:r>
                </w:p>
              </w:tc>
              <w:tc>
                <w:tcPr>
                  <w:tcW w:w="2527" w:type="dxa"/>
                  <w:tcBorders>
                    <w:top w:val="single" w:sz="4" w:space="0" w:color="auto"/>
                    <w:left w:val="single" w:sz="4" w:space="0" w:color="auto"/>
                    <w:bottom w:val="single" w:sz="4" w:space="0" w:color="auto"/>
                    <w:right w:val="single" w:sz="4" w:space="0" w:color="auto"/>
                  </w:tcBorders>
                  <w:vAlign w:val="center"/>
                </w:tcPr>
                <w:p w14:paraId="1518BE4F" w14:textId="77777777" w:rsidR="00DD5DD2" w:rsidRPr="008863E4" w:rsidRDefault="00DD5DD2" w:rsidP="00DD5DD2">
                  <w:pPr>
                    <w:jc w:val="center"/>
                    <w:rPr>
                      <w:sz w:val="22"/>
                      <w:szCs w:val="22"/>
                      <w:lang w:val="sr-Latn-ME"/>
                    </w:rPr>
                  </w:pPr>
                  <w:r w:rsidRPr="008863E4">
                    <w:rPr>
                      <w:sz w:val="22"/>
                      <w:szCs w:val="22"/>
                      <w:lang w:val="sr-Latn-ME"/>
                    </w:rPr>
                    <w:t>10</w:t>
                  </w:r>
                </w:p>
              </w:tc>
            </w:tr>
            <w:tr w:rsidR="00DD5DD2" w:rsidRPr="008863E4" w14:paraId="4D37153D" w14:textId="77777777" w:rsidTr="0017187F">
              <w:trPr>
                <w:cantSplit/>
                <w:trHeight w:val="360"/>
              </w:trPr>
              <w:tc>
                <w:tcPr>
                  <w:tcW w:w="9244" w:type="dxa"/>
                  <w:gridSpan w:val="4"/>
                  <w:tcBorders>
                    <w:top w:val="single" w:sz="4" w:space="0" w:color="auto"/>
                    <w:left w:val="single" w:sz="6" w:space="0" w:color="auto"/>
                    <w:bottom w:val="single" w:sz="4" w:space="0" w:color="auto"/>
                    <w:right w:val="single" w:sz="6" w:space="0" w:color="auto"/>
                  </w:tcBorders>
                  <w:vAlign w:val="center"/>
                </w:tcPr>
                <w:p w14:paraId="303DC83A" w14:textId="2E71F921" w:rsidR="00DD5DD2" w:rsidRPr="008863E4" w:rsidRDefault="00DD5DD2" w:rsidP="00330451">
                  <w:pPr>
                    <w:rPr>
                      <w:sz w:val="22"/>
                      <w:szCs w:val="22"/>
                      <w:lang w:val="sr-Latn-ME"/>
                    </w:rPr>
                  </w:pPr>
                  <w:r w:rsidRPr="008863E4">
                    <w:rPr>
                      <w:sz w:val="22"/>
                      <w:szCs w:val="22"/>
                      <w:lang w:val="sr-Latn-ME"/>
                    </w:rPr>
                    <w:t xml:space="preserve">Za detaljne informacije vidjeti </w:t>
                  </w:r>
                  <w:r w:rsidR="001530CA" w:rsidRPr="008863E4">
                    <w:rPr>
                      <w:sz w:val="22"/>
                      <w:szCs w:val="22"/>
                      <w:lang w:val="sr-Latn-ME"/>
                    </w:rPr>
                    <w:t xml:space="preserve">dio </w:t>
                  </w:r>
                  <w:r w:rsidRPr="008863E4">
                    <w:rPr>
                      <w:sz w:val="22"/>
                      <w:szCs w:val="22"/>
                      <w:lang w:val="sr-Latn-ME"/>
                    </w:rPr>
                    <w:t>6.6: Posebne mjere opreza pri odlaganju materijala koji treba odbaciti nakon primjene lijeka</w:t>
                  </w:r>
                </w:p>
              </w:tc>
            </w:tr>
          </w:tbl>
          <w:p w14:paraId="55369987" w14:textId="77777777" w:rsidR="00DD5DD2" w:rsidRPr="008863E4" w:rsidRDefault="00DD5DD2" w:rsidP="00DD5DD2">
            <w:pPr>
              <w:ind w:right="-143"/>
              <w:rPr>
                <w:sz w:val="22"/>
                <w:szCs w:val="22"/>
                <w:lang w:val="sr-Latn-ME"/>
              </w:rPr>
            </w:pPr>
          </w:p>
          <w:p w14:paraId="2AACBE1D" w14:textId="6EF3D832" w:rsidR="00DD5DD2" w:rsidRPr="008863E4" w:rsidRDefault="00B02CDE">
            <w:pPr>
              <w:tabs>
                <w:tab w:val="left" w:pos="284"/>
              </w:tabs>
              <w:ind w:right="393"/>
              <w:jc w:val="both"/>
              <w:rPr>
                <w:i/>
                <w:iCs/>
                <w:sz w:val="22"/>
                <w:szCs w:val="22"/>
                <w:lang w:val="sr-Latn-ME"/>
              </w:rPr>
            </w:pPr>
            <w:r w:rsidRPr="008863E4">
              <w:rPr>
                <w:i/>
                <w:iCs/>
                <w:sz w:val="22"/>
                <w:szCs w:val="22"/>
                <w:lang w:val="sr-Latn-ME"/>
              </w:rPr>
              <w:t>Stariji p</w:t>
            </w:r>
            <w:r w:rsidR="00DD5DD2" w:rsidRPr="008863E4">
              <w:rPr>
                <w:i/>
                <w:iCs/>
                <w:sz w:val="22"/>
                <w:szCs w:val="22"/>
                <w:lang w:val="sr-Latn-ME"/>
              </w:rPr>
              <w:t>acijenti (</w:t>
            </w:r>
            <w:r w:rsidR="00482572" w:rsidRPr="008863E4">
              <w:rPr>
                <w:sz w:val="22"/>
                <w:szCs w:val="22"/>
                <w:lang w:val="sr-Latn-ME"/>
              </w:rPr>
              <w:sym w:font="Symbol" w:char="F0B3"/>
            </w:r>
            <w:r w:rsidR="00DD5DD2" w:rsidRPr="008863E4">
              <w:rPr>
                <w:i/>
                <w:iCs/>
                <w:sz w:val="22"/>
                <w:szCs w:val="22"/>
                <w:lang w:val="sr-Latn-ME"/>
              </w:rPr>
              <w:t> 75 godina)</w:t>
            </w:r>
          </w:p>
          <w:p w14:paraId="400631DB" w14:textId="7425E414" w:rsidR="00DD5DD2" w:rsidRPr="008863E4" w:rsidRDefault="00DD5DD2">
            <w:pPr>
              <w:tabs>
                <w:tab w:val="left" w:pos="0"/>
                <w:tab w:val="left" w:pos="284"/>
                <w:tab w:val="left" w:pos="851"/>
                <w:tab w:val="left" w:pos="1701"/>
                <w:tab w:val="left" w:pos="2552"/>
                <w:tab w:val="left" w:pos="3403"/>
                <w:tab w:val="left" w:pos="4254"/>
                <w:tab w:val="left" w:pos="5105"/>
                <w:tab w:val="left" w:pos="5955"/>
                <w:tab w:val="left" w:pos="6806"/>
                <w:tab w:val="left" w:pos="7657"/>
                <w:tab w:val="left" w:pos="8508"/>
              </w:tabs>
              <w:suppressAutoHyphens/>
              <w:ind w:right="393"/>
              <w:jc w:val="both"/>
              <w:rPr>
                <w:sz w:val="22"/>
                <w:szCs w:val="22"/>
                <w:lang w:val="sr-Latn-ME"/>
              </w:rPr>
            </w:pPr>
            <w:r w:rsidRPr="008863E4">
              <w:rPr>
                <w:sz w:val="22"/>
                <w:szCs w:val="22"/>
                <w:lang w:val="sr-Latn-ME"/>
              </w:rPr>
              <w:t>Lijek Metalyse treba oprezno prim</w:t>
            </w:r>
            <w:r w:rsidR="004641C5" w:rsidRPr="008863E4">
              <w:rPr>
                <w:sz w:val="22"/>
                <w:szCs w:val="22"/>
                <w:lang w:val="sr-Latn-ME"/>
              </w:rPr>
              <w:t>j</w:t>
            </w:r>
            <w:r w:rsidRPr="008863E4">
              <w:rPr>
                <w:sz w:val="22"/>
                <w:szCs w:val="22"/>
                <w:lang w:val="sr-Latn-ME"/>
              </w:rPr>
              <w:t>enjivati kod</w:t>
            </w:r>
            <w:r w:rsidR="00B02CDE" w:rsidRPr="008863E4">
              <w:rPr>
                <w:sz w:val="22"/>
                <w:szCs w:val="22"/>
                <w:lang w:val="sr-Latn-ME"/>
              </w:rPr>
              <w:t xml:space="preserve"> starijih</w:t>
            </w:r>
            <w:r w:rsidRPr="008863E4">
              <w:rPr>
                <w:sz w:val="22"/>
                <w:szCs w:val="22"/>
                <w:lang w:val="sr-Latn-ME"/>
              </w:rPr>
              <w:t xml:space="preserve"> pacijenata ( </w:t>
            </w:r>
            <w:r w:rsidR="00482572" w:rsidRPr="008863E4">
              <w:rPr>
                <w:sz w:val="22"/>
                <w:szCs w:val="22"/>
                <w:lang w:val="sr-Latn-ME"/>
              </w:rPr>
              <w:sym w:font="Symbol" w:char="F0B3"/>
            </w:r>
            <w:r w:rsidRPr="008863E4">
              <w:rPr>
                <w:sz w:val="22"/>
                <w:szCs w:val="22"/>
                <w:lang w:val="sr-Latn-ME"/>
              </w:rPr>
              <w:t xml:space="preserve">75 godina) zbog većeg rizika od krvarenja (vidjeti informacije o krvarenju u </w:t>
            </w:r>
            <w:r w:rsidR="001530CA" w:rsidRPr="008863E4">
              <w:rPr>
                <w:sz w:val="22"/>
                <w:szCs w:val="22"/>
                <w:lang w:val="sr-Latn-ME"/>
              </w:rPr>
              <w:t xml:space="preserve">dijelu </w:t>
            </w:r>
            <w:r w:rsidRPr="008863E4">
              <w:rPr>
                <w:sz w:val="22"/>
                <w:szCs w:val="22"/>
                <w:lang w:val="sr-Latn-ME"/>
              </w:rPr>
              <w:t xml:space="preserve">4.4 i u STREAM studiji u </w:t>
            </w:r>
            <w:r w:rsidR="001530CA" w:rsidRPr="008863E4">
              <w:rPr>
                <w:sz w:val="22"/>
                <w:szCs w:val="22"/>
                <w:lang w:val="sr-Latn-ME"/>
              </w:rPr>
              <w:t xml:space="preserve">dijelu </w:t>
            </w:r>
            <w:r w:rsidRPr="008863E4">
              <w:rPr>
                <w:sz w:val="22"/>
                <w:szCs w:val="22"/>
                <w:lang w:val="sr-Latn-ME"/>
              </w:rPr>
              <w:t>5.1).</w:t>
            </w:r>
          </w:p>
          <w:p w14:paraId="48B377CC" w14:textId="77777777" w:rsidR="00DD5DD2" w:rsidRPr="008863E4" w:rsidRDefault="00DD5DD2" w:rsidP="0017187F">
            <w:pPr>
              <w:ind w:right="393"/>
              <w:jc w:val="both"/>
              <w:rPr>
                <w:i/>
                <w:iCs/>
                <w:sz w:val="22"/>
                <w:szCs w:val="22"/>
                <w:lang w:val="sr-Latn-ME"/>
              </w:rPr>
            </w:pPr>
          </w:p>
          <w:p w14:paraId="2807B3C3" w14:textId="77777777" w:rsidR="00DD5DD2" w:rsidRPr="008863E4" w:rsidRDefault="00DD5DD2" w:rsidP="0017187F">
            <w:pPr>
              <w:ind w:right="393"/>
              <w:jc w:val="both"/>
              <w:rPr>
                <w:i/>
                <w:iCs/>
                <w:sz w:val="22"/>
                <w:szCs w:val="22"/>
                <w:lang w:val="sr-Latn-ME"/>
              </w:rPr>
            </w:pPr>
            <w:r w:rsidRPr="008863E4">
              <w:rPr>
                <w:i/>
                <w:iCs/>
                <w:sz w:val="22"/>
                <w:szCs w:val="22"/>
                <w:lang w:val="sr-Latn-ME"/>
              </w:rPr>
              <w:t>Pedijatrijska populacija</w:t>
            </w:r>
          </w:p>
          <w:p w14:paraId="4A8813D6" w14:textId="731E765A" w:rsidR="00DD5DD2" w:rsidRPr="008863E4" w:rsidRDefault="00DD5DD2" w:rsidP="0017187F">
            <w:pPr>
              <w:ind w:right="393"/>
              <w:jc w:val="both"/>
              <w:rPr>
                <w:sz w:val="22"/>
                <w:szCs w:val="22"/>
                <w:lang w:val="sr-Latn-ME"/>
              </w:rPr>
            </w:pPr>
            <w:r w:rsidRPr="008863E4">
              <w:rPr>
                <w:sz w:val="22"/>
                <w:szCs w:val="22"/>
                <w:lang w:val="sr-Latn-ME"/>
              </w:rPr>
              <w:t>Bezbjednost i efikasnost lijeka Metalyse kod djece (ispod 18 godina) nijesu ustanovljene. Nema dostupnih podataka.</w:t>
            </w:r>
          </w:p>
          <w:p w14:paraId="16E721A2" w14:textId="6649D6E2" w:rsidR="00DD5DD2" w:rsidRPr="008863E4" w:rsidRDefault="00DD5DD2" w:rsidP="0017187F">
            <w:pPr>
              <w:ind w:right="393"/>
              <w:jc w:val="both"/>
              <w:rPr>
                <w:sz w:val="22"/>
                <w:szCs w:val="22"/>
                <w:lang w:val="sr-Latn-ME"/>
              </w:rPr>
            </w:pPr>
          </w:p>
          <w:p w14:paraId="3C020CE8" w14:textId="77777777" w:rsidR="00DD5DD2" w:rsidRPr="008863E4" w:rsidRDefault="00DD5DD2" w:rsidP="0017187F">
            <w:pPr>
              <w:ind w:right="393"/>
              <w:jc w:val="both"/>
              <w:rPr>
                <w:bCs/>
                <w:i/>
                <w:caps/>
                <w:sz w:val="22"/>
                <w:szCs w:val="22"/>
                <w:u w:val="single"/>
                <w:lang w:val="sr-Latn-ME"/>
              </w:rPr>
            </w:pPr>
            <w:r w:rsidRPr="008863E4">
              <w:rPr>
                <w:bCs/>
                <w:sz w:val="22"/>
                <w:szCs w:val="22"/>
                <w:u w:val="single"/>
                <w:lang w:val="sr-Latn-ME"/>
              </w:rPr>
              <w:t>Dodatna terapija:</w:t>
            </w:r>
          </w:p>
          <w:p w14:paraId="35B5FDF1" w14:textId="151928B9" w:rsidR="00DD5DD2" w:rsidRPr="008863E4" w:rsidRDefault="00DD5DD2" w:rsidP="0017187F">
            <w:pPr>
              <w:ind w:right="393"/>
              <w:jc w:val="both"/>
              <w:rPr>
                <w:sz w:val="22"/>
                <w:szCs w:val="22"/>
                <w:lang w:val="sr-Latn-ME"/>
              </w:rPr>
            </w:pPr>
            <w:r w:rsidRPr="008863E4">
              <w:rPr>
                <w:sz w:val="22"/>
                <w:szCs w:val="22"/>
                <w:lang w:val="sr-Latn-ME"/>
              </w:rPr>
              <w:t>Dodatnu antitrombotičnu terapiju sa inhibitorima agregacije trombocita i antikoagulansima potrebno je primijeniti</w:t>
            </w:r>
            <w:r w:rsidR="0046756B" w:rsidRPr="008863E4">
              <w:rPr>
                <w:sz w:val="22"/>
                <w:szCs w:val="22"/>
                <w:lang w:val="sr-Latn-ME"/>
              </w:rPr>
              <w:t xml:space="preserve"> </w:t>
            </w:r>
            <w:r w:rsidRPr="008863E4">
              <w:rPr>
                <w:sz w:val="22"/>
                <w:szCs w:val="22"/>
                <w:lang w:val="sr-Latn-ME"/>
              </w:rPr>
              <w:t xml:space="preserve">prema važećim </w:t>
            </w:r>
            <w:r w:rsidR="00BF0A85" w:rsidRPr="008863E4">
              <w:rPr>
                <w:sz w:val="22"/>
                <w:szCs w:val="22"/>
                <w:lang w:val="sr-Latn-ME"/>
              </w:rPr>
              <w:t xml:space="preserve">relevantnim </w:t>
            </w:r>
            <w:r w:rsidRPr="008863E4">
              <w:rPr>
                <w:sz w:val="22"/>
                <w:szCs w:val="22"/>
                <w:lang w:val="sr-Latn-ME"/>
              </w:rPr>
              <w:t>preporukama za liječenje pacijenata sa infarktom miokarda sa elevacijom ST segmenta.</w:t>
            </w:r>
          </w:p>
          <w:p w14:paraId="21DBE257" w14:textId="013BFD14" w:rsidR="00DD5DD2" w:rsidRPr="008863E4" w:rsidRDefault="00DD5DD2">
            <w:pPr>
              <w:tabs>
                <w:tab w:val="left" w:pos="284"/>
              </w:tabs>
              <w:ind w:right="393"/>
              <w:jc w:val="both"/>
              <w:rPr>
                <w:sz w:val="22"/>
                <w:szCs w:val="22"/>
                <w:lang w:val="sr-Latn-ME"/>
              </w:rPr>
            </w:pPr>
            <w:r w:rsidRPr="008863E4">
              <w:rPr>
                <w:sz w:val="22"/>
                <w:szCs w:val="22"/>
                <w:lang w:val="sr-Latn-ME"/>
              </w:rPr>
              <w:t xml:space="preserve">Za koronarnu intervenciju, vidjeti </w:t>
            </w:r>
            <w:r w:rsidR="001530CA" w:rsidRPr="008863E4">
              <w:rPr>
                <w:sz w:val="22"/>
                <w:szCs w:val="22"/>
                <w:lang w:val="sr-Latn-ME"/>
              </w:rPr>
              <w:t xml:space="preserve">dio </w:t>
            </w:r>
            <w:r w:rsidRPr="008863E4">
              <w:rPr>
                <w:sz w:val="22"/>
                <w:szCs w:val="22"/>
                <w:lang w:val="sr-Latn-ME"/>
              </w:rPr>
              <w:t>4.4.</w:t>
            </w:r>
          </w:p>
          <w:p w14:paraId="0B86EAA4" w14:textId="77777777" w:rsidR="00DD5DD2" w:rsidRPr="008863E4" w:rsidRDefault="00DD5DD2" w:rsidP="0017187F">
            <w:pPr>
              <w:ind w:right="393"/>
              <w:jc w:val="both"/>
              <w:rPr>
                <w:sz w:val="22"/>
                <w:szCs w:val="22"/>
                <w:lang w:val="sr-Latn-ME"/>
              </w:rPr>
            </w:pPr>
          </w:p>
          <w:p w14:paraId="51E4508C" w14:textId="0C923C85" w:rsidR="00DD5DD2" w:rsidRPr="008863E4" w:rsidRDefault="00DD5DD2" w:rsidP="0017187F">
            <w:pPr>
              <w:ind w:right="393"/>
              <w:jc w:val="both"/>
              <w:rPr>
                <w:sz w:val="22"/>
                <w:szCs w:val="22"/>
                <w:lang w:val="sr-Latn-ME"/>
              </w:rPr>
            </w:pPr>
            <w:r w:rsidRPr="008863E4">
              <w:rPr>
                <w:sz w:val="22"/>
                <w:szCs w:val="22"/>
                <w:lang w:val="sr-Latn-ME"/>
              </w:rPr>
              <w:t>Nefrakcionisani heparin i enoksaparin su korišćeni kao dodatna antitrombotična terapija u kliničkim studijama sa lijekom Metalyse.</w:t>
            </w:r>
          </w:p>
          <w:p w14:paraId="3EF2E2D3" w14:textId="77777777" w:rsidR="00DD5DD2" w:rsidRPr="008863E4" w:rsidRDefault="00DD5DD2" w:rsidP="0017187F">
            <w:pPr>
              <w:ind w:right="393"/>
              <w:jc w:val="both"/>
              <w:rPr>
                <w:sz w:val="22"/>
                <w:szCs w:val="22"/>
                <w:lang w:val="sr-Latn-ME"/>
              </w:rPr>
            </w:pPr>
          </w:p>
          <w:p w14:paraId="06F49BF0" w14:textId="77777777" w:rsidR="00DD5DD2" w:rsidRPr="008863E4" w:rsidRDefault="00DD5DD2" w:rsidP="0017187F">
            <w:pPr>
              <w:ind w:right="393"/>
              <w:jc w:val="both"/>
              <w:rPr>
                <w:sz w:val="22"/>
                <w:szCs w:val="22"/>
                <w:lang w:val="sr-Latn-ME"/>
              </w:rPr>
            </w:pPr>
            <w:r w:rsidRPr="008863E4">
              <w:rPr>
                <w:sz w:val="22"/>
                <w:szCs w:val="22"/>
                <w:lang w:val="sr-Latn-ME"/>
              </w:rPr>
              <w:t xml:space="preserve">Primjena acetilsalicilne kiseline bi trebalo da bude inicirana što je prije moguće nakon pojave simptoma, </w:t>
            </w:r>
          </w:p>
          <w:p w14:paraId="7E127929" w14:textId="77777777" w:rsidR="00DD5DD2" w:rsidRDefault="00DD5DD2" w:rsidP="0017187F">
            <w:pPr>
              <w:ind w:right="393"/>
              <w:jc w:val="both"/>
              <w:rPr>
                <w:sz w:val="22"/>
                <w:szCs w:val="22"/>
                <w:lang w:val="sr-Latn-ME"/>
              </w:rPr>
            </w:pPr>
            <w:r w:rsidRPr="008863E4">
              <w:rPr>
                <w:sz w:val="22"/>
                <w:szCs w:val="22"/>
                <w:lang w:val="sr-Latn-ME"/>
              </w:rPr>
              <w:t xml:space="preserve">a zatim nastavljena kao doživotna terapija, osim ukoliko je to kontraindikovano. </w:t>
            </w:r>
          </w:p>
          <w:p w14:paraId="76ADFED0" w14:textId="77777777" w:rsidR="002162BC" w:rsidRDefault="002162BC" w:rsidP="0017187F">
            <w:pPr>
              <w:ind w:right="393"/>
              <w:jc w:val="both"/>
              <w:rPr>
                <w:sz w:val="22"/>
                <w:szCs w:val="22"/>
                <w:lang w:val="sr-Latn-ME"/>
              </w:rPr>
            </w:pPr>
          </w:p>
          <w:p w14:paraId="074ECFFF" w14:textId="77777777" w:rsidR="002162BC" w:rsidRPr="001332AA" w:rsidRDefault="002162BC" w:rsidP="0017187F">
            <w:pPr>
              <w:ind w:right="393"/>
              <w:jc w:val="both"/>
              <w:rPr>
                <w:sz w:val="22"/>
                <w:szCs w:val="22"/>
                <w:u w:val="single"/>
                <w:lang w:val="sr-Latn-ME"/>
              </w:rPr>
            </w:pPr>
            <w:r w:rsidRPr="001332AA">
              <w:rPr>
                <w:sz w:val="22"/>
                <w:szCs w:val="22"/>
                <w:u w:val="single"/>
                <w:lang w:val="sr-Latn-ME"/>
              </w:rPr>
              <w:t>Način primjene</w:t>
            </w:r>
          </w:p>
          <w:p w14:paraId="2F03CA52" w14:textId="77777777" w:rsidR="002162BC" w:rsidRDefault="002162BC" w:rsidP="0017187F">
            <w:pPr>
              <w:ind w:right="393"/>
              <w:jc w:val="both"/>
              <w:rPr>
                <w:sz w:val="22"/>
                <w:szCs w:val="22"/>
                <w:lang w:val="sr-Latn-ME"/>
              </w:rPr>
            </w:pPr>
          </w:p>
          <w:p w14:paraId="7674D84C" w14:textId="56CB7658" w:rsidR="002162BC" w:rsidRDefault="002162BC" w:rsidP="0017187F">
            <w:pPr>
              <w:ind w:right="393"/>
              <w:jc w:val="both"/>
              <w:rPr>
                <w:sz w:val="22"/>
                <w:szCs w:val="22"/>
                <w:lang w:val="sr-Latn-ME"/>
              </w:rPr>
            </w:pPr>
            <w:r>
              <w:rPr>
                <w:sz w:val="22"/>
                <w:szCs w:val="22"/>
                <w:lang w:val="sr-Latn-ME"/>
              </w:rPr>
              <w:t>Rekonstituisan rastvor treba primijeniti intravenski, i mora da se upotrijebi odmah.</w:t>
            </w:r>
          </w:p>
          <w:p w14:paraId="7867923B" w14:textId="77777777" w:rsidR="002162BC" w:rsidRDefault="002162BC" w:rsidP="0017187F">
            <w:pPr>
              <w:ind w:right="393"/>
              <w:jc w:val="both"/>
              <w:rPr>
                <w:sz w:val="22"/>
                <w:szCs w:val="22"/>
                <w:lang w:val="sr-Latn-ME"/>
              </w:rPr>
            </w:pPr>
            <w:r>
              <w:rPr>
                <w:sz w:val="22"/>
                <w:szCs w:val="22"/>
                <w:lang w:val="sr-Latn-ME"/>
              </w:rPr>
              <w:t>Rekonstituisani proizvod je bistar i bezbojan do blijedožut rastvor.</w:t>
            </w:r>
          </w:p>
          <w:p w14:paraId="1F3871A8" w14:textId="77777777" w:rsidR="002162BC" w:rsidRDefault="002162BC" w:rsidP="0017187F">
            <w:pPr>
              <w:ind w:right="393"/>
              <w:jc w:val="both"/>
              <w:rPr>
                <w:sz w:val="22"/>
                <w:szCs w:val="22"/>
                <w:lang w:val="sr-Latn-ME"/>
              </w:rPr>
            </w:pPr>
          </w:p>
          <w:p w14:paraId="7A036B47" w14:textId="77777777" w:rsidR="002162BC" w:rsidRDefault="002162BC" w:rsidP="0017187F">
            <w:pPr>
              <w:ind w:right="393"/>
              <w:jc w:val="both"/>
              <w:rPr>
                <w:sz w:val="22"/>
                <w:szCs w:val="22"/>
                <w:lang w:val="sr-Latn-ME"/>
              </w:rPr>
            </w:pPr>
            <w:r>
              <w:rPr>
                <w:sz w:val="22"/>
                <w:szCs w:val="22"/>
                <w:lang w:val="sr-Latn-ME"/>
              </w:rPr>
              <w:t>Potrebnu dozu treba primijeniti u vidu pojedinačnog intravenskog bolusa u trajanju od oko 10 sekundi.</w:t>
            </w:r>
          </w:p>
          <w:p w14:paraId="5A7B7E60" w14:textId="77777777" w:rsidR="002162BC" w:rsidRDefault="002162BC" w:rsidP="0017187F">
            <w:pPr>
              <w:ind w:right="393"/>
              <w:jc w:val="both"/>
              <w:rPr>
                <w:sz w:val="22"/>
                <w:szCs w:val="22"/>
                <w:lang w:val="sr-Latn-ME"/>
              </w:rPr>
            </w:pPr>
          </w:p>
          <w:p w14:paraId="710EED26" w14:textId="087B726E" w:rsidR="002162BC" w:rsidRPr="008863E4" w:rsidRDefault="002162BC" w:rsidP="0017187F">
            <w:pPr>
              <w:ind w:right="393"/>
              <w:jc w:val="both"/>
              <w:rPr>
                <w:sz w:val="22"/>
                <w:szCs w:val="22"/>
                <w:lang w:val="sr-Latn-ME"/>
              </w:rPr>
            </w:pPr>
            <w:r>
              <w:rPr>
                <w:sz w:val="22"/>
                <w:szCs w:val="22"/>
                <w:lang w:val="sr-Latn-ME"/>
              </w:rPr>
              <w:t>Za uputstva o rekonstituciji lijeka prije primjene, vidjeti dio 6.6.</w:t>
            </w:r>
          </w:p>
        </w:tc>
      </w:tr>
    </w:tbl>
    <w:p w14:paraId="4BC6D86A" w14:textId="77777777" w:rsidR="00452E9D" w:rsidRPr="008863E4" w:rsidRDefault="00452E9D" w:rsidP="00480FB1">
      <w:pPr>
        <w:tabs>
          <w:tab w:val="left" w:pos="540"/>
          <w:tab w:val="left" w:pos="569"/>
        </w:tabs>
        <w:rPr>
          <w:bCs/>
          <w:sz w:val="22"/>
          <w:szCs w:val="22"/>
          <w:lang w:val="sr-Latn-ME"/>
        </w:rPr>
      </w:pPr>
    </w:p>
    <w:p w14:paraId="2669316D" w14:textId="77777777" w:rsidR="00411B4B" w:rsidRPr="008863E4" w:rsidRDefault="00411B4B" w:rsidP="00480FB1">
      <w:pPr>
        <w:tabs>
          <w:tab w:val="left" w:pos="540"/>
          <w:tab w:val="left" w:pos="569"/>
        </w:tabs>
        <w:rPr>
          <w:b/>
          <w:bCs/>
          <w:sz w:val="22"/>
          <w:szCs w:val="22"/>
          <w:lang w:val="sr-Latn-ME"/>
        </w:rPr>
      </w:pPr>
      <w:r w:rsidRPr="008863E4">
        <w:rPr>
          <w:b/>
          <w:bCs/>
          <w:sz w:val="22"/>
          <w:szCs w:val="22"/>
          <w:lang w:val="sr-Latn-ME"/>
        </w:rPr>
        <w:t xml:space="preserve">4.3. </w:t>
      </w:r>
      <w:r w:rsidR="00480FB1" w:rsidRPr="008863E4">
        <w:rPr>
          <w:b/>
          <w:bCs/>
          <w:sz w:val="22"/>
          <w:szCs w:val="22"/>
          <w:lang w:val="sr-Latn-ME"/>
        </w:rPr>
        <w:tab/>
      </w:r>
      <w:r w:rsidRPr="008863E4">
        <w:rPr>
          <w:b/>
          <w:bCs/>
          <w:sz w:val="22"/>
          <w:szCs w:val="22"/>
          <w:lang w:val="sr-Latn-ME"/>
        </w:rPr>
        <w:t>Kontraindikacije</w:t>
      </w:r>
    </w:p>
    <w:p w14:paraId="3FB0F456" w14:textId="77777777" w:rsidR="006D2622" w:rsidRPr="008863E4" w:rsidRDefault="006D2622" w:rsidP="0017187F">
      <w:pPr>
        <w:autoSpaceDE w:val="0"/>
        <w:autoSpaceDN w:val="0"/>
        <w:adjustRightInd w:val="0"/>
        <w:ind w:left="74" w:hanging="44"/>
        <w:rPr>
          <w:b/>
          <w:bCs/>
          <w:sz w:val="22"/>
          <w:szCs w:val="22"/>
          <w:lang w:val="sr-Latn-ME"/>
        </w:rPr>
      </w:pPr>
    </w:p>
    <w:p w14:paraId="029A6821" w14:textId="6503CBA5" w:rsidR="006D2622" w:rsidRPr="008863E4" w:rsidRDefault="002162BC" w:rsidP="006D2622">
      <w:pPr>
        <w:autoSpaceDE w:val="0"/>
        <w:autoSpaceDN w:val="0"/>
        <w:adjustRightInd w:val="0"/>
        <w:ind w:right="1"/>
        <w:jc w:val="both"/>
        <w:rPr>
          <w:sz w:val="22"/>
          <w:szCs w:val="22"/>
          <w:lang w:val="sr-Latn-ME"/>
        </w:rPr>
      </w:pPr>
      <w:r>
        <w:rPr>
          <w:sz w:val="22"/>
          <w:szCs w:val="22"/>
          <w:lang w:val="sr-Latn-ME"/>
        </w:rPr>
        <w:t>Preosjetljivost na aktivnu supstancu ili</w:t>
      </w:r>
      <w:r w:rsidR="006D2622" w:rsidRPr="008863E4">
        <w:rPr>
          <w:sz w:val="22"/>
          <w:szCs w:val="22"/>
          <w:lang w:val="sr-Latn-ME"/>
        </w:rPr>
        <w:t xml:space="preserve"> na bilo </w:t>
      </w:r>
      <w:r w:rsidRPr="008863E4">
        <w:rPr>
          <w:sz w:val="22"/>
          <w:szCs w:val="22"/>
          <w:lang w:val="sr-Latn-ME"/>
        </w:rPr>
        <w:t>koj</w:t>
      </w:r>
      <w:r>
        <w:rPr>
          <w:sz w:val="22"/>
          <w:szCs w:val="22"/>
          <w:lang w:val="sr-Latn-ME"/>
        </w:rPr>
        <w:t>u</w:t>
      </w:r>
      <w:r w:rsidRPr="008863E4">
        <w:rPr>
          <w:sz w:val="22"/>
          <w:szCs w:val="22"/>
          <w:lang w:val="sr-Latn-ME"/>
        </w:rPr>
        <w:t xml:space="preserve"> </w:t>
      </w:r>
      <w:r w:rsidR="006D2622" w:rsidRPr="008863E4">
        <w:rPr>
          <w:sz w:val="22"/>
          <w:szCs w:val="22"/>
          <w:lang w:val="sr-Latn-ME"/>
        </w:rPr>
        <w:t>od pomoćnih supstanci</w:t>
      </w:r>
      <w:r>
        <w:rPr>
          <w:sz w:val="22"/>
          <w:szCs w:val="22"/>
          <w:lang w:val="sr-Latn-ME"/>
        </w:rPr>
        <w:t xml:space="preserve"> navedenih u dijelu 6.1</w:t>
      </w:r>
      <w:r w:rsidRPr="008863E4">
        <w:rPr>
          <w:sz w:val="22"/>
          <w:szCs w:val="22"/>
          <w:lang w:val="sr-Latn-ME"/>
        </w:rPr>
        <w:t xml:space="preserve"> </w:t>
      </w:r>
      <w:r w:rsidR="006D2622" w:rsidRPr="008863E4">
        <w:rPr>
          <w:sz w:val="22"/>
          <w:szCs w:val="22"/>
          <w:lang w:val="sr-Latn-ME"/>
        </w:rPr>
        <w:t xml:space="preserve">ili </w:t>
      </w:r>
      <w:r>
        <w:rPr>
          <w:sz w:val="22"/>
          <w:szCs w:val="22"/>
          <w:lang w:val="sr-Latn-ME"/>
        </w:rPr>
        <w:t xml:space="preserve">na </w:t>
      </w:r>
      <w:r w:rsidR="006D2622" w:rsidRPr="008863E4">
        <w:rPr>
          <w:sz w:val="22"/>
          <w:szCs w:val="22"/>
          <w:lang w:val="sr-Latn-ME"/>
        </w:rPr>
        <w:t>gentamicin (ostatak u tragovima iz procesa proizvodnje). Ako se terapija lijekom Metalyse ipak smatra neophodnom, odmah se mora osigurati dostupna oprema za reanimaciju  u slučaju potrebe.</w:t>
      </w:r>
    </w:p>
    <w:p w14:paraId="78996824" w14:textId="77777777" w:rsidR="006D2622" w:rsidRPr="008863E4" w:rsidRDefault="006D2622" w:rsidP="0017187F">
      <w:pPr>
        <w:autoSpaceDE w:val="0"/>
        <w:autoSpaceDN w:val="0"/>
        <w:adjustRightInd w:val="0"/>
        <w:ind w:left="74" w:right="393" w:hanging="44"/>
        <w:jc w:val="both"/>
        <w:rPr>
          <w:sz w:val="22"/>
          <w:szCs w:val="22"/>
          <w:lang w:val="sr-Latn-ME"/>
        </w:rPr>
      </w:pPr>
    </w:p>
    <w:p w14:paraId="303D2917" w14:textId="77777777" w:rsidR="006D2622" w:rsidRPr="008863E4" w:rsidRDefault="006D2622" w:rsidP="00B46C2A">
      <w:pPr>
        <w:autoSpaceDE w:val="0"/>
        <w:autoSpaceDN w:val="0"/>
        <w:adjustRightInd w:val="0"/>
        <w:ind w:right="1"/>
        <w:jc w:val="both"/>
        <w:rPr>
          <w:sz w:val="22"/>
          <w:szCs w:val="22"/>
          <w:lang w:val="sr-Latn-ME"/>
        </w:rPr>
      </w:pPr>
      <w:r w:rsidRPr="008863E4">
        <w:rPr>
          <w:sz w:val="22"/>
          <w:szCs w:val="22"/>
          <w:lang w:val="sr-Latn-ME"/>
        </w:rPr>
        <w:t>Osim toga, lijek Metalyse je kontraindikovan u sljedećim situacijama, jer se terapija tromboliticima</w:t>
      </w:r>
    </w:p>
    <w:p w14:paraId="355E1313" w14:textId="77777777" w:rsidR="006D2622" w:rsidRPr="008863E4" w:rsidRDefault="006D2622" w:rsidP="00B46C2A">
      <w:pPr>
        <w:autoSpaceDE w:val="0"/>
        <w:autoSpaceDN w:val="0"/>
        <w:adjustRightInd w:val="0"/>
        <w:ind w:right="1"/>
        <w:jc w:val="both"/>
        <w:rPr>
          <w:sz w:val="22"/>
          <w:szCs w:val="22"/>
          <w:lang w:val="sr-Latn-ME"/>
        </w:rPr>
      </w:pPr>
      <w:r w:rsidRPr="008863E4">
        <w:rPr>
          <w:sz w:val="22"/>
          <w:szCs w:val="22"/>
          <w:lang w:val="sr-Latn-ME"/>
        </w:rPr>
        <w:t>povezuje sa povećanim rizikom od krvarenja:</w:t>
      </w:r>
    </w:p>
    <w:p w14:paraId="750E90D2" w14:textId="77777777" w:rsidR="006D2622" w:rsidRPr="008863E4" w:rsidRDefault="006D2622" w:rsidP="0017187F">
      <w:pPr>
        <w:autoSpaceDE w:val="0"/>
        <w:autoSpaceDN w:val="0"/>
        <w:adjustRightInd w:val="0"/>
        <w:ind w:right="393"/>
        <w:jc w:val="both"/>
        <w:rPr>
          <w:sz w:val="22"/>
          <w:szCs w:val="22"/>
          <w:lang w:val="sr-Latn-ME"/>
        </w:rPr>
      </w:pPr>
    </w:p>
    <w:p w14:paraId="4AD6CF16" w14:textId="77777777" w:rsidR="006D2622" w:rsidRPr="008863E4" w:rsidRDefault="006D2622" w:rsidP="006D2622">
      <w:pPr>
        <w:tabs>
          <w:tab w:val="left" w:pos="360"/>
        </w:tabs>
        <w:ind w:left="360" w:right="1" w:hanging="360"/>
        <w:jc w:val="both"/>
        <w:rPr>
          <w:sz w:val="22"/>
          <w:szCs w:val="22"/>
          <w:lang w:val="sr-Latn-ME"/>
        </w:rPr>
      </w:pPr>
      <w:r w:rsidRPr="008863E4">
        <w:rPr>
          <w:sz w:val="22"/>
          <w:szCs w:val="22"/>
          <w:lang w:val="sr-Latn-ME"/>
        </w:rPr>
        <w:t>●</w:t>
      </w:r>
      <w:r w:rsidRPr="008863E4">
        <w:rPr>
          <w:sz w:val="22"/>
          <w:szCs w:val="22"/>
          <w:lang w:val="sr-Latn-ME"/>
        </w:rPr>
        <w:tab/>
        <w:t>značajan poremećaj koagulacije koji je prisutan ili je bio prisutan u prethodnih 6 mjeseci</w:t>
      </w:r>
    </w:p>
    <w:p w14:paraId="2DD35024" w14:textId="77777777" w:rsidR="006D2622" w:rsidRPr="008863E4" w:rsidRDefault="006D2622" w:rsidP="006D2622">
      <w:pPr>
        <w:ind w:left="318" w:right="1" w:hanging="284"/>
        <w:jc w:val="both"/>
        <w:rPr>
          <w:sz w:val="22"/>
          <w:szCs w:val="22"/>
          <w:lang w:val="sr-Latn-ME"/>
        </w:rPr>
      </w:pPr>
      <w:r w:rsidRPr="008863E4">
        <w:rPr>
          <w:sz w:val="22"/>
          <w:szCs w:val="22"/>
          <w:lang w:val="sr-Latn-ME"/>
        </w:rPr>
        <w:t>●</w:t>
      </w:r>
      <w:r w:rsidRPr="008863E4">
        <w:rPr>
          <w:sz w:val="22"/>
          <w:szCs w:val="22"/>
          <w:lang w:val="sr-Latn-ME"/>
        </w:rPr>
        <w:tab/>
        <w:t>pacijenti koji primaju efikasnu terapiju</w:t>
      </w:r>
      <w:r w:rsidRPr="008863E4" w:rsidDel="000D0C51">
        <w:rPr>
          <w:sz w:val="22"/>
          <w:szCs w:val="22"/>
          <w:lang w:val="sr-Latn-ME"/>
        </w:rPr>
        <w:t xml:space="preserve"> </w:t>
      </w:r>
      <w:r w:rsidRPr="008863E4">
        <w:rPr>
          <w:sz w:val="22"/>
          <w:szCs w:val="22"/>
          <w:lang w:val="sr-Latn-ME"/>
        </w:rPr>
        <w:t xml:space="preserve">oralnim antikoagulansima, npr. varfarin natrijum (INR &gt; 1,3) (vidjeti dio 4.4, podnaslov „Krvarenje”), </w:t>
      </w:r>
    </w:p>
    <w:p w14:paraId="1EB6440E" w14:textId="77777777" w:rsidR="006D2622" w:rsidRPr="008863E4" w:rsidRDefault="006D2622" w:rsidP="006D2622">
      <w:pPr>
        <w:tabs>
          <w:tab w:val="left" w:pos="360"/>
        </w:tabs>
        <w:ind w:left="360" w:right="1" w:hanging="360"/>
        <w:jc w:val="both"/>
        <w:rPr>
          <w:sz w:val="22"/>
          <w:szCs w:val="22"/>
          <w:lang w:val="sr-Latn-ME"/>
        </w:rPr>
      </w:pPr>
      <w:r w:rsidRPr="008863E4">
        <w:rPr>
          <w:sz w:val="22"/>
          <w:szCs w:val="22"/>
          <w:lang w:val="sr-Latn-ME"/>
        </w:rPr>
        <w:lastRenderedPageBreak/>
        <w:t>●</w:t>
      </w:r>
      <w:r w:rsidRPr="008863E4">
        <w:rPr>
          <w:sz w:val="22"/>
          <w:szCs w:val="22"/>
          <w:lang w:val="sr-Latn-ME"/>
        </w:rPr>
        <w:tab/>
        <w:t>bilo koje poznato oštećenje centralnog nervnog sistema (tj. neoplazma, aneurizma, intrakranijalna ili spinalna hirurška intervencija),</w:t>
      </w:r>
    </w:p>
    <w:p w14:paraId="515D91CB" w14:textId="77777777" w:rsidR="006D2622" w:rsidRPr="008863E4" w:rsidRDefault="006D2622" w:rsidP="006D2622">
      <w:pPr>
        <w:tabs>
          <w:tab w:val="left" w:pos="360"/>
        </w:tabs>
        <w:ind w:left="426" w:right="1" w:hanging="426"/>
        <w:jc w:val="both"/>
        <w:rPr>
          <w:sz w:val="22"/>
          <w:szCs w:val="22"/>
          <w:lang w:val="sr-Latn-ME"/>
        </w:rPr>
      </w:pPr>
      <w:r w:rsidRPr="008863E4">
        <w:rPr>
          <w:sz w:val="22"/>
          <w:szCs w:val="22"/>
          <w:lang w:val="sr-Latn-ME"/>
        </w:rPr>
        <w:t>●</w:t>
      </w:r>
      <w:r w:rsidRPr="008863E4">
        <w:rPr>
          <w:sz w:val="22"/>
          <w:szCs w:val="22"/>
          <w:lang w:val="sr-Latn-ME"/>
        </w:rPr>
        <w:tab/>
        <w:t>poznata hemoragijska dijateza,</w:t>
      </w:r>
    </w:p>
    <w:p w14:paraId="0DAF083E" w14:textId="77777777" w:rsidR="006D2622" w:rsidRPr="008863E4" w:rsidRDefault="006D2622" w:rsidP="006D2622">
      <w:pPr>
        <w:tabs>
          <w:tab w:val="left" w:pos="360"/>
        </w:tabs>
        <w:ind w:left="426" w:right="1" w:hanging="426"/>
        <w:jc w:val="both"/>
        <w:rPr>
          <w:sz w:val="22"/>
          <w:szCs w:val="22"/>
          <w:lang w:val="sr-Latn-ME"/>
        </w:rPr>
      </w:pPr>
      <w:r w:rsidRPr="008863E4">
        <w:rPr>
          <w:sz w:val="22"/>
          <w:szCs w:val="22"/>
          <w:lang w:val="sr-Latn-ME"/>
        </w:rPr>
        <w:t>●</w:t>
      </w:r>
      <w:r w:rsidRPr="008863E4">
        <w:rPr>
          <w:sz w:val="22"/>
          <w:szCs w:val="22"/>
          <w:lang w:val="sr-Latn-ME"/>
        </w:rPr>
        <w:tab/>
        <w:t>teška nekontrolisana hipertenzija,</w:t>
      </w:r>
    </w:p>
    <w:p w14:paraId="0EDBF0CB" w14:textId="77777777" w:rsidR="006D2622" w:rsidRPr="008863E4" w:rsidRDefault="006D2622" w:rsidP="006D2622">
      <w:pPr>
        <w:tabs>
          <w:tab w:val="left" w:pos="360"/>
        </w:tabs>
        <w:ind w:left="360" w:right="1" w:hanging="360"/>
        <w:jc w:val="both"/>
        <w:rPr>
          <w:sz w:val="22"/>
          <w:szCs w:val="22"/>
          <w:lang w:val="sr-Latn-ME"/>
        </w:rPr>
      </w:pPr>
      <w:r w:rsidRPr="008863E4">
        <w:rPr>
          <w:sz w:val="22"/>
          <w:szCs w:val="22"/>
          <w:lang w:val="sr-Latn-ME"/>
        </w:rPr>
        <w:t>●</w:t>
      </w:r>
      <w:r w:rsidRPr="008863E4">
        <w:rPr>
          <w:sz w:val="22"/>
          <w:szCs w:val="22"/>
          <w:lang w:val="sr-Latn-ME"/>
        </w:rPr>
        <w:tab/>
        <w:t xml:space="preserve">veće hirurške intervencije, biopsija parenhimalnih organa ili značajna trauma u prethodna dva mjeseca (ovdje spada i bilo koja trauma povezana sa sadašnjim </w:t>
      </w:r>
      <w:smartTag w:uri="urn:schemas-microsoft-com:office:smarttags" w:element="stockticker">
        <w:r w:rsidRPr="008863E4">
          <w:rPr>
            <w:sz w:val="22"/>
            <w:szCs w:val="22"/>
            <w:lang w:val="sr-Latn-ME"/>
          </w:rPr>
          <w:t>AMI</w:t>
        </w:r>
      </w:smartTag>
      <w:r w:rsidRPr="008863E4">
        <w:rPr>
          <w:sz w:val="22"/>
          <w:szCs w:val="22"/>
          <w:lang w:val="sr-Latn-ME"/>
        </w:rPr>
        <w:t>),</w:t>
      </w:r>
    </w:p>
    <w:p w14:paraId="26B14D0D" w14:textId="77777777" w:rsidR="006D2622" w:rsidRPr="008863E4" w:rsidRDefault="006D2622" w:rsidP="006D2622">
      <w:pPr>
        <w:tabs>
          <w:tab w:val="left" w:pos="360"/>
        </w:tabs>
        <w:ind w:left="360" w:right="1" w:hanging="360"/>
        <w:jc w:val="both"/>
        <w:rPr>
          <w:sz w:val="22"/>
          <w:szCs w:val="22"/>
          <w:lang w:val="sr-Latn-ME"/>
        </w:rPr>
      </w:pPr>
      <w:r w:rsidRPr="008863E4">
        <w:rPr>
          <w:sz w:val="22"/>
          <w:szCs w:val="22"/>
          <w:lang w:val="sr-Latn-ME"/>
        </w:rPr>
        <w:t>●</w:t>
      </w:r>
      <w:r w:rsidRPr="008863E4">
        <w:rPr>
          <w:sz w:val="22"/>
          <w:szCs w:val="22"/>
          <w:lang w:val="sr-Latn-ME"/>
        </w:rPr>
        <w:tab/>
        <w:t>nedavna povreda glave ili kostiju lobanje,</w:t>
      </w:r>
    </w:p>
    <w:p w14:paraId="7AE5B320" w14:textId="77777777" w:rsidR="006D2622" w:rsidRPr="008863E4" w:rsidRDefault="006D2622" w:rsidP="006D2622">
      <w:pPr>
        <w:tabs>
          <w:tab w:val="left" w:pos="360"/>
        </w:tabs>
        <w:ind w:left="426" w:right="1" w:hanging="426"/>
        <w:jc w:val="both"/>
        <w:rPr>
          <w:sz w:val="22"/>
          <w:szCs w:val="22"/>
          <w:lang w:val="sr-Latn-ME"/>
        </w:rPr>
      </w:pPr>
      <w:r w:rsidRPr="008863E4">
        <w:rPr>
          <w:sz w:val="22"/>
          <w:szCs w:val="22"/>
          <w:lang w:val="sr-Latn-ME"/>
        </w:rPr>
        <w:t>●</w:t>
      </w:r>
      <w:r w:rsidRPr="008863E4">
        <w:rPr>
          <w:sz w:val="22"/>
          <w:szCs w:val="22"/>
          <w:lang w:val="sr-Latn-ME"/>
        </w:rPr>
        <w:tab/>
        <w:t xml:space="preserve">produžena kardiopulmonalna reanimacija (&gt;2 minuta) u prethodne 2 nedjelje, </w:t>
      </w:r>
    </w:p>
    <w:p w14:paraId="5915D6CC" w14:textId="77777777" w:rsidR="006D2622" w:rsidRPr="008863E4" w:rsidRDefault="006D2622" w:rsidP="006D2622">
      <w:pPr>
        <w:tabs>
          <w:tab w:val="left" w:pos="360"/>
        </w:tabs>
        <w:ind w:left="426" w:right="1" w:hanging="426"/>
        <w:jc w:val="both"/>
        <w:rPr>
          <w:sz w:val="22"/>
          <w:szCs w:val="22"/>
          <w:lang w:val="sr-Latn-ME"/>
        </w:rPr>
      </w:pPr>
      <w:r w:rsidRPr="008863E4">
        <w:rPr>
          <w:sz w:val="22"/>
          <w:szCs w:val="22"/>
          <w:lang w:val="sr-Latn-ME"/>
        </w:rPr>
        <w:t>●</w:t>
      </w:r>
      <w:r w:rsidRPr="008863E4">
        <w:rPr>
          <w:sz w:val="22"/>
          <w:szCs w:val="22"/>
          <w:lang w:val="sr-Latn-ME"/>
        </w:rPr>
        <w:tab/>
        <w:t>akutni perikarditis i/ili subakutni bakterijski endokarditis,</w:t>
      </w:r>
    </w:p>
    <w:p w14:paraId="35DE39D6" w14:textId="77777777" w:rsidR="006D2622" w:rsidRPr="008863E4" w:rsidRDefault="006D2622" w:rsidP="006D2622">
      <w:pPr>
        <w:tabs>
          <w:tab w:val="left" w:pos="360"/>
        </w:tabs>
        <w:ind w:right="1"/>
        <w:jc w:val="both"/>
        <w:rPr>
          <w:sz w:val="22"/>
          <w:szCs w:val="22"/>
          <w:lang w:val="sr-Latn-ME"/>
        </w:rPr>
      </w:pPr>
      <w:r w:rsidRPr="008863E4">
        <w:rPr>
          <w:sz w:val="22"/>
          <w:szCs w:val="22"/>
          <w:lang w:val="sr-Latn-ME"/>
        </w:rPr>
        <w:t>●</w:t>
      </w:r>
      <w:r w:rsidRPr="008863E4">
        <w:rPr>
          <w:sz w:val="22"/>
          <w:szCs w:val="22"/>
          <w:lang w:val="sr-Latn-ME"/>
        </w:rPr>
        <w:tab/>
        <w:t>akutni pankreatitis,</w:t>
      </w:r>
    </w:p>
    <w:p w14:paraId="295D8589" w14:textId="77777777" w:rsidR="006D2622" w:rsidRPr="008863E4" w:rsidRDefault="006D2622" w:rsidP="006D2622">
      <w:pPr>
        <w:tabs>
          <w:tab w:val="left" w:pos="360"/>
          <w:tab w:val="left" w:pos="2977"/>
        </w:tabs>
        <w:ind w:left="360" w:right="1" w:hanging="360"/>
        <w:jc w:val="both"/>
        <w:rPr>
          <w:sz w:val="22"/>
          <w:szCs w:val="22"/>
          <w:lang w:val="sr-Latn-ME"/>
        </w:rPr>
      </w:pPr>
      <w:r w:rsidRPr="008863E4">
        <w:rPr>
          <w:sz w:val="22"/>
          <w:szCs w:val="22"/>
          <w:lang w:val="sr-Latn-ME"/>
        </w:rPr>
        <w:t>●</w:t>
      </w:r>
      <w:r w:rsidRPr="008863E4">
        <w:rPr>
          <w:sz w:val="22"/>
          <w:szCs w:val="22"/>
          <w:lang w:val="sr-Latn-ME"/>
        </w:rPr>
        <w:tab/>
        <w:t>teška disfunkcija jetre, uključujući insuficijenciju jetre, cirozu, portnu hipertenziju (varikoziteti jednjaka) i aktivni hepatitis,</w:t>
      </w:r>
    </w:p>
    <w:p w14:paraId="03D8947E" w14:textId="77777777" w:rsidR="006D2622" w:rsidRPr="008863E4" w:rsidRDefault="006D2622" w:rsidP="006D2622">
      <w:pPr>
        <w:tabs>
          <w:tab w:val="left" w:pos="360"/>
        </w:tabs>
        <w:ind w:left="426" w:right="1" w:hanging="426"/>
        <w:jc w:val="both"/>
        <w:rPr>
          <w:sz w:val="22"/>
          <w:szCs w:val="22"/>
          <w:lang w:val="sr-Latn-ME"/>
        </w:rPr>
      </w:pPr>
      <w:r w:rsidRPr="008863E4">
        <w:rPr>
          <w:sz w:val="22"/>
          <w:szCs w:val="22"/>
          <w:lang w:val="sr-Latn-ME"/>
        </w:rPr>
        <w:t>●</w:t>
      </w:r>
      <w:r w:rsidRPr="008863E4">
        <w:rPr>
          <w:sz w:val="22"/>
          <w:szCs w:val="22"/>
          <w:lang w:val="sr-Latn-ME"/>
        </w:rPr>
        <w:tab/>
        <w:t>aktivni peptički ulkus,</w:t>
      </w:r>
    </w:p>
    <w:p w14:paraId="26C55056" w14:textId="77777777" w:rsidR="006D2622" w:rsidRPr="008863E4" w:rsidRDefault="006D2622" w:rsidP="006D2622">
      <w:pPr>
        <w:tabs>
          <w:tab w:val="left" w:pos="360"/>
        </w:tabs>
        <w:ind w:right="1"/>
        <w:jc w:val="both"/>
        <w:rPr>
          <w:sz w:val="22"/>
          <w:szCs w:val="22"/>
          <w:lang w:val="sr-Latn-ME"/>
        </w:rPr>
      </w:pPr>
      <w:r w:rsidRPr="008863E4">
        <w:rPr>
          <w:sz w:val="22"/>
          <w:szCs w:val="22"/>
          <w:lang w:val="sr-Latn-ME"/>
        </w:rPr>
        <w:t>●</w:t>
      </w:r>
      <w:r w:rsidRPr="008863E4">
        <w:rPr>
          <w:sz w:val="22"/>
          <w:szCs w:val="22"/>
          <w:lang w:val="sr-Latn-ME"/>
        </w:rPr>
        <w:tab/>
        <w:t>arterijska aneurizma i poznata arterijska/venska malformacija,</w:t>
      </w:r>
    </w:p>
    <w:p w14:paraId="7AA7AD4F" w14:textId="77777777" w:rsidR="006D2622" w:rsidRPr="008863E4" w:rsidRDefault="006D2622" w:rsidP="006D2622">
      <w:pPr>
        <w:tabs>
          <w:tab w:val="left" w:pos="360"/>
        </w:tabs>
        <w:ind w:right="1"/>
        <w:jc w:val="both"/>
        <w:rPr>
          <w:sz w:val="22"/>
          <w:szCs w:val="22"/>
          <w:lang w:val="sr-Latn-ME"/>
        </w:rPr>
      </w:pPr>
      <w:r w:rsidRPr="008863E4">
        <w:rPr>
          <w:sz w:val="22"/>
          <w:szCs w:val="22"/>
          <w:lang w:val="sr-Latn-ME"/>
        </w:rPr>
        <w:t>●</w:t>
      </w:r>
      <w:r w:rsidRPr="008863E4">
        <w:rPr>
          <w:sz w:val="22"/>
          <w:szCs w:val="22"/>
          <w:lang w:val="sr-Latn-ME"/>
        </w:rPr>
        <w:tab/>
        <w:t>neoplazma sa povećanim rizikom krvarenja,</w:t>
      </w:r>
    </w:p>
    <w:p w14:paraId="0DB0A723" w14:textId="77777777" w:rsidR="006D2622" w:rsidRPr="008863E4" w:rsidRDefault="006D2622" w:rsidP="006D2622">
      <w:pPr>
        <w:tabs>
          <w:tab w:val="left" w:pos="360"/>
        </w:tabs>
        <w:ind w:right="1"/>
        <w:jc w:val="both"/>
        <w:rPr>
          <w:sz w:val="22"/>
          <w:szCs w:val="22"/>
          <w:lang w:val="sr-Latn-ME"/>
        </w:rPr>
      </w:pPr>
      <w:r w:rsidRPr="008863E4">
        <w:rPr>
          <w:sz w:val="22"/>
          <w:szCs w:val="22"/>
          <w:lang w:val="sr-Latn-ME"/>
        </w:rPr>
        <w:t>●</w:t>
      </w:r>
      <w:r w:rsidRPr="008863E4">
        <w:rPr>
          <w:sz w:val="22"/>
          <w:szCs w:val="22"/>
          <w:lang w:val="sr-Latn-ME"/>
        </w:rPr>
        <w:tab/>
        <w:t xml:space="preserve">bilo koja poznata anamneza hemoragijskog moždanog udara ili moždanog udara nepoznatog </w:t>
      </w:r>
    </w:p>
    <w:p w14:paraId="4D08B1DF" w14:textId="77777777" w:rsidR="006D2622" w:rsidRPr="008863E4" w:rsidRDefault="006D2622" w:rsidP="006D2622">
      <w:pPr>
        <w:tabs>
          <w:tab w:val="left" w:pos="360"/>
        </w:tabs>
        <w:ind w:left="360" w:right="1"/>
        <w:jc w:val="both"/>
        <w:rPr>
          <w:sz w:val="22"/>
          <w:szCs w:val="22"/>
          <w:lang w:val="sr-Latn-ME"/>
        </w:rPr>
      </w:pPr>
      <w:r w:rsidRPr="008863E4">
        <w:rPr>
          <w:sz w:val="22"/>
          <w:szCs w:val="22"/>
          <w:lang w:val="sr-Latn-ME"/>
        </w:rPr>
        <w:t>porijekla,</w:t>
      </w:r>
    </w:p>
    <w:p w14:paraId="619C8EC7" w14:textId="77777777" w:rsidR="006D2622" w:rsidRPr="008863E4" w:rsidRDefault="006D2622" w:rsidP="006D2622">
      <w:pPr>
        <w:tabs>
          <w:tab w:val="left" w:pos="360"/>
          <w:tab w:val="center" w:pos="4320"/>
          <w:tab w:val="right" w:pos="8640"/>
        </w:tabs>
        <w:ind w:left="360" w:right="1" w:hanging="360"/>
        <w:jc w:val="both"/>
        <w:rPr>
          <w:sz w:val="22"/>
          <w:szCs w:val="22"/>
          <w:lang w:val="sr-Latn-ME"/>
        </w:rPr>
      </w:pPr>
      <w:r w:rsidRPr="008863E4">
        <w:rPr>
          <w:sz w:val="22"/>
          <w:szCs w:val="22"/>
          <w:lang w:val="sr-Latn-ME"/>
        </w:rPr>
        <w:t>●</w:t>
      </w:r>
      <w:r w:rsidRPr="008863E4">
        <w:rPr>
          <w:sz w:val="22"/>
          <w:szCs w:val="22"/>
          <w:lang w:val="sr-Latn-ME"/>
        </w:rPr>
        <w:tab/>
        <w:t>poznata anamneza ishemijskog moždanog udara ili tranzitornog ishemijskog ataka (TIA) u posljednjih 6 mjeseci,</w:t>
      </w:r>
    </w:p>
    <w:p w14:paraId="4E1E4F2B" w14:textId="77777777" w:rsidR="006D2622" w:rsidRPr="008863E4" w:rsidRDefault="006D2622" w:rsidP="006D2622">
      <w:pPr>
        <w:tabs>
          <w:tab w:val="left" w:pos="360"/>
          <w:tab w:val="center" w:pos="4320"/>
          <w:tab w:val="right" w:pos="8640"/>
        </w:tabs>
        <w:ind w:right="1"/>
        <w:jc w:val="both"/>
        <w:rPr>
          <w:sz w:val="22"/>
          <w:szCs w:val="22"/>
          <w:lang w:val="sr-Latn-ME"/>
        </w:rPr>
      </w:pPr>
      <w:r w:rsidRPr="008863E4">
        <w:rPr>
          <w:sz w:val="22"/>
          <w:szCs w:val="22"/>
          <w:lang w:val="sr-Latn-ME"/>
        </w:rPr>
        <w:t>●</w:t>
      </w:r>
      <w:r w:rsidRPr="008863E4">
        <w:rPr>
          <w:sz w:val="22"/>
          <w:szCs w:val="22"/>
          <w:lang w:val="sr-Latn-ME"/>
        </w:rPr>
        <w:tab/>
        <w:t>demencija.</w:t>
      </w:r>
    </w:p>
    <w:p w14:paraId="7BD00D84" w14:textId="77777777" w:rsidR="006D2622" w:rsidRPr="008863E4" w:rsidRDefault="006D2622" w:rsidP="0017187F">
      <w:pPr>
        <w:ind w:left="-34" w:right="393"/>
        <w:rPr>
          <w:sz w:val="22"/>
          <w:szCs w:val="22"/>
          <w:lang w:val="sr-Latn-ME"/>
        </w:rPr>
      </w:pPr>
    </w:p>
    <w:p w14:paraId="28C13A05" w14:textId="77777777" w:rsidR="00411B4B" w:rsidRPr="008863E4" w:rsidRDefault="00411B4B" w:rsidP="00480FB1">
      <w:pPr>
        <w:tabs>
          <w:tab w:val="left" w:pos="540"/>
          <w:tab w:val="left" w:pos="569"/>
        </w:tabs>
        <w:rPr>
          <w:b/>
          <w:bCs/>
          <w:sz w:val="22"/>
          <w:szCs w:val="22"/>
          <w:lang w:val="sr-Latn-ME"/>
        </w:rPr>
      </w:pPr>
      <w:r w:rsidRPr="008863E4">
        <w:rPr>
          <w:b/>
          <w:bCs/>
          <w:sz w:val="22"/>
          <w:szCs w:val="22"/>
          <w:lang w:val="sr-Latn-ME"/>
        </w:rPr>
        <w:t xml:space="preserve">4.4. </w:t>
      </w:r>
      <w:r w:rsidR="00480FB1" w:rsidRPr="008863E4">
        <w:rPr>
          <w:b/>
          <w:bCs/>
          <w:sz w:val="22"/>
          <w:szCs w:val="22"/>
          <w:lang w:val="sr-Latn-ME"/>
        </w:rPr>
        <w:tab/>
      </w:r>
      <w:r w:rsidRPr="008863E4">
        <w:rPr>
          <w:b/>
          <w:bCs/>
          <w:sz w:val="22"/>
          <w:szCs w:val="22"/>
          <w:lang w:val="sr-Latn-ME"/>
        </w:rPr>
        <w:t>Posebna upozorenja i mjere opreza pri upotrebi lijeka</w:t>
      </w:r>
    </w:p>
    <w:p w14:paraId="69C8D1E0" w14:textId="77777777" w:rsidR="006D2622" w:rsidRPr="008863E4" w:rsidRDefault="006D2622" w:rsidP="001530CA">
      <w:pPr>
        <w:autoSpaceDE w:val="0"/>
        <w:autoSpaceDN w:val="0"/>
        <w:adjustRightInd w:val="0"/>
        <w:rPr>
          <w:sz w:val="22"/>
          <w:szCs w:val="22"/>
          <w:lang w:val="sr-Latn-ME"/>
        </w:rPr>
      </w:pPr>
    </w:p>
    <w:p w14:paraId="6AB27E16" w14:textId="4A8AA3B8" w:rsidR="00F67F16" w:rsidRDefault="00F67F16" w:rsidP="0017187F">
      <w:pPr>
        <w:tabs>
          <w:tab w:val="left" w:pos="284"/>
        </w:tabs>
        <w:ind w:right="401"/>
        <w:jc w:val="both"/>
        <w:rPr>
          <w:sz w:val="22"/>
          <w:szCs w:val="22"/>
          <w:u w:val="single"/>
          <w:lang w:val="sr-Latn-ME"/>
        </w:rPr>
      </w:pPr>
      <w:r>
        <w:rPr>
          <w:sz w:val="22"/>
          <w:szCs w:val="22"/>
          <w:u w:val="single"/>
          <w:lang w:val="sr-Latn-ME"/>
        </w:rPr>
        <w:t>Praćenje bioloških ljekova</w:t>
      </w:r>
    </w:p>
    <w:p w14:paraId="087D7A87" w14:textId="77777777" w:rsidR="00F67F16" w:rsidRDefault="00F67F16" w:rsidP="0017187F">
      <w:pPr>
        <w:tabs>
          <w:tab w:val="left" w:pos="284"/>
        </w:tabs>
        <w:ind w:right="401"/>
        <w:jc w:val="both"/>
        <w:rPr>
          <w:sz w:val="22"/>
          <w:szCs w:val="22"/>
          <w:u w:val="single"/>
          <w:lang w:val="sr-Latn-ME"/>
        </w:rPr>
      </w:pPr>
    </w:p>
    <w:p w14:paraId="2C348D3D" w14:textId="24E8D4FE" w:rsidR="00F67F16" w:rsidRPr="001332AA" w:rsidRDefault="00F67F16" w:rsidP="0017187F">
      <w:pPr>
        <w:tabs>
          <w:tab w:val="left" w:pos="284"/>
        </w:tabs>
        <w:ind w:right="401"/>
        <w:jc w:val="both"/>
        <w:rPr>
          <w:sz w:val="22"/>
          <w:szCs w:val="22"/>
          <w:lang w:val="sr-Latn-ME"/>
        </w:rPr>
      </w:pPr>
      <w:r>
        <w:rPr>
          <w:sz w:val="22"/>
          <w:szCs w:val="22"/>
          <w:lang w:val="sr-Latn-ME"/>
        </w:rPr>
        <w:t>U cilju poboljšanja praćenja bioloških ljekova, zaštićeno ime i broj serije primijenjenog lijeka treba da budu jasno evidentirani u kartonu pacijenta.</w:t>
      </w:r>
    </w:p>
    <w:p w14:paraId="7A685DBB" w14:textId="77777777" w:rsidR="00F67F16" w:rsidRDefault="00F67F16" w:rsidP="0017187F">
      <w:pPr>
        <w:tabs>
          <w:tab w:val="left" w:pos="284"/>
        </w:tabs>
        <w:ind w:right="401"/>
        <w:jc w:val="both"/>
        <w:rPr>
          <w:sz w:val="22"/>
          <w:szCs w:val="22"/>
          <w:u w:val="single"/>
          <w:lang w:val="sr-Latn-ME"/>
        </w:rPr>
      </w:pPr>
    </w:p>
    <w:p w14:paraId="58286EFE" w14:textId="51ACBBEE" w:rsidR="006D2622" w:rsidRPr="008863E4" w:rsidRDefault="006D2622" w:rsidP="0017187F">
      <w:pPr>
        <w:tabs>
          <w:tab w:val="left" w:pos="284"/>
        </w:tabs>
        <w:ind w:right="401"/>
        <w:jc w:val="both"/>
        <w:rPr>
          <w:sz w:val="22"/>
          <w:szCs w:val="22"/>
          <w:u w:val="single"/>
          <w:lang w:val="sr-Latn-ME"/>
        </w:rPr>
      </w:pPr>
      <w:r w:rsidRPr="008863E4">
        <w:rPr>
          <w:sz w:val="22"/>
          <w:szCs w:val="22"/>
          <w:u w:val="single"/>
          <w:lang w:val="sr-Latn-ME"/>
        </w:rPr>
        <w:t xml:space="preserve">Koronarna intervencija </w:t>
      </w:r>
    </w:p>
    <w:p w14:paraId="2236E057" w14:textId="77777777" w:rsidR="006D2622" w:rsidRPr="008863E4" w:rsidRDefault="006D2622" w:rsidP="0017187F">
      <w:pPr>
        <w:tabs>
          <w:tab w:val="left" w:pos="284"/>
        </w:tabs>
        <w:ind w:right="401"/>
        <w:jc w:val="both"/>
        <w:rPr>
          <w:sz w:val="22"/>
          <w:szCs w:val="22"/>
          <w:u w:val="single"/>
          <w:lang w:val="sr-Latn-ME"/>
        </w:rPr>
      </w:pPr>
    </w:p>
    <w:p w14:paraId="2E4929D2" w14:textId="77777777" w:rsidR="006D2622" w:rsidRPr="008863E4" w:rsidRDefault="006D2622" w:rsidP="006D2622">
      <w:pPr>
        <w:tabs>
          <w:tab w:val="left" w:pos="284"/>
        </w:tabs>
        <w:ind w:right="1"/>
        <w:jc w:val="both"/>
        <w:rPr>
          <w:iCs/>
          <w:sz w:val="22"/>
          <w:szCs w:val="22"/>
          <w:lang w:val="sr-Latn-ME"/>
        </w:rPr>
      </w:pPr>
      <w:r w:rsidRPr="008863E4">
        <w:rPr>
          <w:iCs/>
          <w:sz w:val="22"/>
          <w:szCs w:val="22"/>
          <w:lang w:val="sr-Latn-ME"/>
        </w:rPr>
        <w:t>Ukoliko se planira primarna perkutana koronarna intervencija (PCI) prema trenutno važećim terapijskim smjernicama, tenekteplaza (vidjeti dio 5.1 studija ASSENT-4) se ne smije primjeniti.</w:t>
      </w:r>
    </w:p>
    <w:p w14:paraId="47D62A51" w14:textId="77777777" w:rsidR="006D2622" w:rsidRPr="008863E4" w:rsidRDefault="006D2622" w:rsidP="006D2622">
      <w:pPr>
        <w:tabs>
          <w:tab w:val="left" w:pos="284"/>
        </w:tabs>
        <w:ind w:right="1"/>
        <w:jc w:val="both"/>
        <w:rPr>
          <w:iCs/>
          <w:sz w:val="22"/>
          <w:szCs w:val="22"/>
          <w:lang w:val="sr-Latn-ME"/>
        </w:rPr>
      </w:pPr>
    </w:p>
    <w:p w14:paraId="7E2234C5" w14:textId="77777777" w:rsidR="006D2622" w:rsidRPr="008863E4" w:rsidRDefault="006D2622" w:rsidP="006D2622">
      <w:pPr>
        <w:pStyle w:val="Footer"/>
        <w:tabs>
          <w:tab w:val="right" w:pos="284"/>
        </w:tabs>
        <w:ind w:right="1"/>
        <w:jc w:val="both"/>
        <w:rPr>
          <w:sz w:val="22"/>
          <w:szCs w:val="22"/>
          <w:lang w:val="sr-Latn-ME"/>
        </w:rPr>
      </w:pPr>
      <w:r w:rsidRPr="008863E4">
        <w:rPr>
          <w:sz w:val="22"/>
          <w:szCs w:val="22"/>
          <w:lang w:val="sr-Latn-ME"/>
        </w:rPr>
        <w:t>Pacijenti koji ne mogu biti podvrgnuti primarnoj PCI-i unutar jednog sata, kao što je preporučeno u smjernicama, i koji primaju tenekteplazu za primarnu koronarnu rekanalizaciju moraju, bez odlaganja, biti prebačeni na odjeljenje opremljeno za kornarnu intervenciju radi angiografije i pravovremene dodatne koronarne intervencije u roku 6-24 sata ili ranije ukoliko je to medicinski indikovano (vidjeti dio 5.1 studija STREAM).</w:t>
      </w:r>
    </w:p>
    <w:p w14:paraId="014F777C" w14:textId="77777777" w:rsidR="006D2622" w:rsidRPr="008863E4" w:rsidRDefault="006D2622" w:rsidP="0017187F">
      <w:pPr>
        <w:autoSpaceDE w:val="0"/>
        <w:autoSpaceDN w:val="0"/>
        <w:adjustRightInd w:val="0"/>
        <w:ind w:right="401"/>
        <w:jc w:val="both"/>
        <w:rPr>
          <w:sz w:val="22"/>
          <w:szCs w:val="22"/>
          <w:u w:val="single"/>
          <w:lang w:val="sr-Latn-ME"/>
        </w:rPr>
      </w:pPr>
    </w:p>
    <w:p w14:paraId="60A784B8" w14:textId="77777777" w:rsidR="006D2622" w:rsidRPr="008863E4" w:rsidRDefault="006D2622" w:rsidP="0017187F">
      <w:pPr>
        <w:autoSpaceDE w:val="0"/>
        <w:autoSpaceDN w:val="0"/>
        <w:adjustRightInd w:val="0"/>
        <w:ind w:right="401"/>
        <w:jc w:val="both"/>
        <w:rPr>
          <w:sz w:val="22"/>
          <w:szCs w:val="22"/>
          <w:u w:val="single"/>
          <w:lang w:val="sr-Latn-ME"/>
        </w:rPr>
      </w:pPr>
      <w:r w:rsidRPr="008863E4">
        <w:rPr>
          <w:sz w:val="22"/>
          <w:szCs w:val="22"/>
          <w:u w:val="single"/>
          <w:lang w:val="sr-Latn-ME"/>
        </w:rPr>
        <w:t>Krvarenje</w:t>
      </w:r>
    </w:p>
    <w:p w14:paraId="159B7B49" w14:textId="77777777" w:rsidR="006D2622" w:rsidRPr="008863E4" w:rsidRDefault="006D2622" w:rsidP="0017187F">
      <w:pPr>
        <w:ind w:right="401"/>
        <w:jc w:val="both"/>
        <w:rPr>
          <w:sz w:val="22"/>
          <w:szCs w:val="22"/>
          <w:lang w:val="sr-Latn-ME"/>
        </w:rPr>
      </w:pPr>
    </w:p>
    <w:p w14:paraId="08D568CE" w14:textId="77777777" w:rsidR="006D2622" w:rsidRPr="008863E4" w:rsidRDefault="006D2622" w:rsidP="006D2622">
      <w:pPr>
        <w:ind w:right="1"/>
        <w:jc w:val="both"/>
        <w:rPr>
          <w:sz w:val="22"/>
          <w:szCs w:val="22"/>
          <w:lang w:val="sr-Latn-ME"/>
        </w:rPr>
      </w:pPr>
      <w:r w:rsidRPr="008863E4">
        <w:rPr>
          <w:sz w:val="22"/>
          <w:szCs w:val="22"/>
          <w:lang w:val="sr-Latn-ME"/>
        </w:rPr>
        <w:t xml:space="preserve">Najčešća komplikacija koja se susrijeće tokom terapije tenekteplazom je krvarenje. Istovremena primjena antikoagulantne terapije heparinom može da doprinese pojavi krvarenja. S obzirom na to da tokom terapije tenekteplazom dolazi do liziranja fibrina, može doći do pojave krvarenja sa mjesta nedavne punkcije iglom. </w:t>
      </w:r>
    </w:p>
    <w:p w14:paraId="7E224CAC" w14:textId="77777777" w:rsidR="006D2622" w:rsidRPr="008863E4" w:rsidRDefault="006D2622" w:rsidP="006D2622">
      <w:pPr>
        <w:ind w:right="1"/>
        <w:jc w:val="both"/>
        <w:rPr>
          <w:sz w:val="22"/>
          <w:szCs w:val="22"/>
          <w:lang w:val="sr-Latn-ME"/>
        </w:rPr>
      </w:pPr>
      <w:r w:rsidRPr="008863E4">
        <w:rPr>
          <w:sz w:val="22"/>
          <w:szCs w:val="22"/>
          <w:lang w:val="sr-Latn-ME"/>
        </w:rPr>
        <w:t>Prema tome, kada se primjenjuje trombolitička terapija mora se strogo voditi računa o svim mogućim mjestima krvarenja (uključujući mjesta uvođenja katetera, mjesta arterijske ili venske punkcije, rezove i mjesta punkcije iglom). Tokom terapije tenekteplazom treba izbjegavati korišćenje krutih katetera, kao i intramuskularnih injekcija i suvišne manipulacije sa pacijentom.</w:t>
      </w:r>
    </w:p>
    <w:p w14:paraId="04E45847" w14:textId="77777777" w:rsidR="006D2622" w:rsidRPr="008863E4" w:rsidRDefault="006D2622" w:rsidP="006D2622">
      <w:pPr>
        <w:ind w:right="1"/>
        <w:jc w:val="both"/>
        <w:rPr>
          <w:sz w:val="22"/>
          <w:szCs w:val="22"/>
          <w:lang w:val="sr-Latn-ME"/>
        </w:rPr>
      </w:pPr>
    </w:p>
    <w:p w14:paraId="471B3D96" w14:textId="77777777" w:rsidR="006D2622" w:rsidRPr="008863E4" w:rsidRDefault="006D2622" w:rsidP="006D2622">
      <w:pPr>
        <w:autoSpaceDE w:val="0"/>
        <w:autoSpaceDN w:val="0"/>
        <w:adjustRightInd w:val="0"/>
        <w:ind w:right="1"/>
        <w:jc w:val="both"/>
        <w:rPr>
          <w:sz w:val="22"/>
          <w:szCs w:val="22"/>
          <w:lang w:val="sr-Latn-ME"/>
        </w:rPr>
      </w:pPr>
      <w:r w:rsidRPr="008863E4">
        <w:rPr>
          <w:sz w:val="22"/>
          <w:szCs w:val="22"/>
          <w:lang w:val="sr-Latn-ME"/>
        </w:rPr>
        <w:t xml:space="preserve">Najčešće zabilježene hemoragije su na mjestima primjene injekcije, a povremeno je primijećeno i genitourinarno krvarenje i gingivalno krvarenje. </w:t>
      </w:r>
    </w:p>
    <w:p w14:paraId="7B167A42" w14:textId="77777777" w:rsidR="006D2622" w:rsidRPr="008863E4" w:rsidRDefault="006D2622" w:rsidP="0017187F">
      <w:pPr>
        <w:pStyle w:val="Header"/>
        <w:tabs>
          <w:tab w:val="left" w:pos="284"/>
        </w:tabs>
        <w:ind w:right="401"/>
        <w:jc w:val="both"/>
        <w:rPr>
          <w:sz w:val="22"/>
          <w:szCs w:val="22"/>
          <w:lang w:val="sr-Latn-ME"/>
        </w:rPr>
      </w:pPr>
    </w:p>
    <w:p w14:paraId="285D1CDB" w14:textId="77777777" w:rsidR="006D2622" w:rsidRPr="008863E4" w:rsidRDefault="006D2622" w:rsidP="006D2622">
      <w:pPr>
        <w:ind w:right="1"/>
        <w:jc w:val="both"/>
        <w:rPr>
          <w:sz w:val="22"/>
          <w:szCs w:val="22"/>
          <w:lang w:val="sr-Latn-ME"/>
        </w:rPr>
      </w:pPr>
      <w:r w:rsidRPr="008863E4">
        <w:rPr>
          <w:sz w:val="22"/>
          <w:szCs w:val="22"/>
          <w:lang w:val="sr-Latn-ME"/>
        </w:rPr>
        <w:t>Ukoliko dođe do teškog krvarenja, posebno cerebralne hemoragije, odmah treba obustaviti istovremenu primjenu heparina. Treba razmotriti primjenu protamina ako je heparin primjenjen</w:t>
      </w:r>
      <w:r w:rsidRPr="008863E4" w:rsidDel="00AE716E">
        <w:rPr>
          <w:sz w:val="22"/>
          <w:szCs w:val="22"/>
          <w:lang w:val="sr-Latn-ME"/>
        </w:rPr>
        <w:t xml:space="preserve"> </w:t>
      </w:r>
      <w:r w:rsidRPr="008863E4">
        <w:rPr>
          <w:sz w:val="22"/>
          <w:szCs w:val="22"/>
          <w:lang w:val="sr-Latn-ME"/>
        </w:rPr>
        <w:t xml:space="preserve">u roku od 4 sata pre početka krvarenja. Kod manjeg broja pacijenata koji ne reaguju na primjenu ovih konzervativnih mjera </w:t>
      </w:r>
      <w:r w:rsidRPr="008863E4">
        <w:rPr>
          <w:sz w:val="22"/>
          <w:szCs w:val="22"/>
          <w:lang w:val="sr-Latn-ME"/>
        </w:rPr>
        <w:lastRenderedPageBreak/>
        <w:t>liječenja, treba razmisliti o mogućoj primjeni ljekova putem transfuzije. Potrebno je razmotriti primjenu transfuzije krioprecipitata, svježe zamrznute plazme i trombocita, uz kliničku i laboratorijsku</w:t>
      </w:r>
    </w:p>
    <w:p w14:paraId="1728C02C" w14:textId="77777777" w:rsidR="006D2622" w:rsidRPr="008863E4" w:rsidRDefault="006D2622" w:rsidP="006D2622">
      <w:pPr>
        <w:ind w:right="1"/>
        <w:jc w:val="both"/>
        <w:rPr>
          <w:sz w:val="22"/>
          <w:szCs w:val="22"/>
          <w:lang w:val="sr-Latn-ME"/>
        </w:rPr>
      </w:pPr>
      <w:r w:rsidRPr="008863E4">
        <w:rPr>
          <w:sz w:val="22"/>
          <w:szCs w:val="22"/>
          <w:lang w:val="sr-Latn-ME"/>
        </w:rPr>
        <w:t>procjenu nakon svake primjene. Kod infuzije krioprecipitata poželjna je vrijednost fibrinogena od 1 g/L. Antifibrinolitici su na raspolaganju kao posljednja alternativa. U sljedećim stanjima, rizik od primjene tenekteplaze može biti povećan i trebalo bi ga odmjeriti u odnosu na očekivane koristi:</w:t>
      </w:r>
    </w:p>
    <w:p w14:paraId="11611DD2" w14:textId="77777777" w:rsidR="006D2622" w:rsidRPr="008863E4" w:rsidRDefault="006D2622" w:rsidP="001530CA">
      <w:pPr>
        <w:rPr>
          <w:strike/>
          <w:sz w:val="22"/>
          <w:szCs w:val="22"/>
          <w:lang w:val="sr-Latn-ME"/>
        </w:rPr>
      </w:pPr>
      <w:r w:rsidRPr="008863E4">
        <w:rPr>
          <w:strike/>
          <w:sz w:val="22"/>
          <w:szCs w:val="22"/>
          <w:lang w:val="sr-Latn-ME"/>
        </w:rPr>
        <w:t xml:space="preserve"> </w:t>
      </w:r>
    </w:p>
    <w:p w14:paraId="55C1BFDA" w14:textId="366D4687" w:rsidR="006D2622" w:rsidRPr="008863E4" w:rsidRDefault="006D2622" w:rsidP="006D2622">
      <w:pPr>
        <w:numPr>
          <w:ilvl w:val="0"/>
          <w:numId w:val="13"/>
        </w:numPr>
        <w:ind w:right="1"/>
        <w:jc w:val="both"/>
        <w:rPr>
          <w:sz w:val="22"/>
          <w:szCs w:val="22"/>
          <w:lang w:val="sr-Latn-ME"/>
        </w:rPr>
      </w:pPr>
      <w:r w:rsidRPr="008863E4">
        <w:rPr>
          <w:sz w:val="22"/>
          <w:szCs w:val="22"/>
          <w:lang w:val="sr-Latn-ME"/>
        </w:rPr>
        <w:t>sistolni krvni pritisak &gt;160 mm Hg</w:t>
      </w:r>
      <w:r w:rsidR="00610B14">
        <w:rPr>
          <w:sz w:val="22"/>
          <w:szCs w:val="22"/>
          <w:lang w:val="sr-Latn-ME"/>
        </w:rPr>
        <w:t xml:space="preserve"> (</w:t>
      </w:r>
      <w:r w:rsidR="00F67F16">
        <w:rPr>
          <w:sz w:val="22"/>
          <w:szCs w:val="22"/>
          <w:lang w:val="sr-Latn-ME"/>
        </w:rPr>
        <w:t>vidjeti dio 4.3</w:t>
      </w:r>
      <w:r w:rsidR="00610B14">
        <w:rPr>
          <w:sz w:val="22"/>
          <w:szCs w:val="22"/>
          <w:lang w:val="sr-Latn-ME"/>
        </w:rPr>
        <w:t>),</w:t>
      </w:r>
    </w:p>
    <w:p w14:paraId="04EA01BD" w14:textId="77777777" w:rsidR="006D2622" w:rsidRPr="008863E4" w:rsidRDefault="006D2622" w:rsidP="006D2622">
      <w:pPr>
        <w:pStyle w:val="BodyTextIndent2"/>
        <w:numPr>
          <w:ilvl w:val="0"/>
          <w:numId w:val="13"/>
        </w:numPr>
        <w:tabs>
          <w:tab w:val="left" w:pos="567"/>
        </w:tabs>
        <w:ind w:right="1"/>
        <w:jc w:val="both"/>
        <w:rPr>
          <w:i w:val="0"/>
          <w:iCs/>
          <w:sz w:val="22"/>
          <w:szCs w:val="22"/>
        </w:rPr>
      </w:pPr>
      <w:r w:rsidRPr="008863E4">
        <w:rPr>
          <w:i w:val="0"/>
          <w:iCs/>
          <w:sz w:val="22"/>
          <w:szCs w:val="22"/>
        </w:rPr>
        <w:t>cerebrovaskularna bolest,</w:t>
      </w:r>
    </w:p>
    <w:p w14:paraId="20516696" w14:textId="77777777" w:rsidR="006D2622" w:rsidRPr="008863E4" w:rsidRDefault="006D2622" w:rsidP="006D2622">
      <w:pPr>
        <w:numPr>
          <w:ilvl w:val="0"/>
          <w:numId w:val="13"/>
        </w:numPr>
        <w:ind w:right="1"/>
        <w:jc w:val="both"/>
        <w:rPr>
          <w:sz w:val="22"/>
          <w:szCs w:val="22"/>
          <w:lang w:val="sr-Latn-ME"/>
        </w:rPr>
      </w:pPr>
      <w:r w:rsidRPr="008863E4">
        <w:rPr>
          <w:sz w:val="22"/>
          <w:szCs w:val="22"/>
          <w:lang w:val="sr-Latn-ME"/>
        </w:rPr>
        <w:t>nedavno gastrointestinalno ili genitourinarno krvarenje (u prethodnih 10 dana),</w:t>
      </w:r>
    </w:p>
    <w:p w14:paraId="6DD9416F" w14:textId="77777777" w:rsidR="006D2622" w:rsidRPr="008863E4" w:rsidRDefault="006D2622" w:rsidP="006D2622">
      <w:pPr>
        <w:numPr>
          <w:ilvl w:val="0"/>
          <w:numId w:val="13"/>
        </w:numPr>
        <w:ind w:right="1"/>
        <w:jc w:val="both"/>
        <w:rPr>
          <w:sz w:val="22"/>
          <w:szCs w:val="22"/>
          <w:lang w:val="sr-Latn-ME"/>
        </w:rPr>
      </w:pPr>
      <w:r w:rsidRPr="008863E4">
        <w:rPr>
          <w:sz w:val="22"/>
          <w:szCs w:val="22"/>
          <w:lang w:val="sr-Latn-ME"/>
        </w:rPr>
        <w:t>velika vjerovatnoća za nastanak tromba u lijevoj polovini srca, npr. mitralna stenoza sa atrijalnom fibrilacijom,</w:t>
      </w:r>
    </w:p>
    <w:p w14:paraId="42B04153" w14:textId="77777777" w:rsidR="006D2622" w:rsidRPr="008863E4" w:rsidRDefault="006D2622" w:rsidP="006D2622">
      <w:pPr>
        <w:pStyle w:val="BodyTextIndent2"/>
        <w:numPr>
          <w:ilvl w:val="0"/>
          <w:numId w:val="13"/>
        </w:numPr>
        <w:ind w:right="1"/>
        <w:jc w:val="both"/>
        <w:rPr>
          <w:i w:val="0"/>
          <w:iCs/>
          <w:sz w:val="22"/>
          <w:szCs w:val="22"/>
        </w:rPr>
      </w:pPr>
      <w:r w:rsidRPr="008863E4">
        <w:rPr>
          <w:i w:val="0"/>
          <w:iCs/>
          <w:sz w:val="22"/>
          <w:szCs w:val="22"/>
        </w:rPr>
        <w:t>bilo kakva poznata nedavna primjena intramuskularne injekcije (u protekla 2 dana),</w:t>
      </w:r>
    </w:p>
    <w:p w14:paraId="7EC6ECAF" w14:textId="77777777" w:rsidR="006D2622" w:rsidRPr="008863E4" w:rsidRDefault="006D2622" w:rsidP="006D2622">
      <w:pPr>
        <w:pStyle w:val="BodyTextIndent2"/>
        <w:numPr>
          <w:ilvl w:val="0"/>
          <w:numId w:val="13"/>
        </w:numPr>
        <w:ind w:right="1"/>
        <w:jc w:val="both"/>
        <w:rPr>
          <w:i w:val="0"/>
          <w:iCs/>
          <w:sz w:val="22"/>
          <w:szCs w:val="22"/>
        </w:rPr>
      </w:pPr>
      <w:r w:rsidRPr="008863E4">
        <w:rPr>
          <w:i w:val="0"/>
          <w:iCs/>
          <w:sz w:val="22"/>
          <w:szCs w:val="22"/>
        </w:rPr>
        <w:t>starije životno doba, tj. pacijenti stariji od 75 godina,</w:t>
      </w:r>
    </w:p>
    <w:p w14:paraId="3072E61E" w14:textId="77777777" w:rsidR="006D2622" w:rsidRPr="008863E4" w:rsidRDefault="006D2622" w:rsidP="006D2622">
      <w:pPr>
        <w:pStyle w:val="BodyTextIndent2"/>
        <w:numPr>
          <w:ilvl w:val="0"/>
          <w:numId w:val="13"/>
        </w:numPr>
        <w:tabs>
          <w:tab w:val="left" w:pos="567"/>
        </w:tabs>
        <w:ind w:right="1"/>
        <w:jc w:val="both"/>
        <w:rPr>
          <w:i w:val="0"/>
          <w:iCs/>
          <w:sz w:val="22"/>
          <w:szCs w:val="22"/>
        </w:rPr>
      </w:pPr>
      <w:r w:rsidRPr="008863E4">
        <w:rPr>
          <w:i w:val="0"/>
          <w:iCs/>
          <w:sz w:val="22"/>
          <w:szCs w:val="22"/>
        </w:rPr>
        <w:t>mala tjelesna masa (&lt; 60 kg),</w:t>
      </w:r>
    </w:p>
    <w:p w14:paraId="42F2E025" w14:textId="77777777" w:rsidR="006D2622" w:rsidRPr="008863E4" w:rsidRDefault="006D2622" w:rsidP="006D2622">
      <w:pPr>
        <w:pStyle w:val="ListParagraph"/>
        <w:numPr>
          <w:ilvl w:val="0"/>
          <w:numId w:val="13"/>
        </w:numPr>
        <w:tabs>
          <w:tab w:val="clear" w:pos="284"/>
          <w:tab w:val="left" w:pos="318"/>
        </w:tabs>
        <w:ind w:right="1"/>
        <w:contextualSpacing/>
        <w:rPr>
          <w:rFonts w:ascii="Times New Roman" w:hAnsi="Times New Roman"/>
          <w:sz w:val="22"/>
          <w:szCs w:val="22"/>
        </w:rPr>
      </w:pPr>
      <w:r w:rsidRPr="008863E4">
        <w:rPr>
          <w:rFonts w:ascii="Times New Roman" w:hAnsi="Times New Roman"/>
          <w:sz w:val="22"/>
          <w:szCs w:val="22"/>
        </w:rPr>
        <w:t>pacijenti koji uzimaju oralne antikoagulanse: Primjena lijeka Metalyse se može razmotriti kada se zbog doziranja ili vremena od posljednjeg uzimanja antikoagulantne terapije smatra je rezidualna efikasnost malo vjerovatna, i ako odgovarajući test(-ovi) antikoagulantne aktivnosti određenog(/-ih)  lijeka (/-ova) pokaže(/-u) da nema klinički relevantne aktivnosti sistema koagulacije (npr. INR ≤ 1,3 za antagoniste vitamina K ili kada su drugi relevantni testovi  za druge oralne antikoagulanse u odgovarajućim gornjim granicama normale).</w:t>
      </w:r>
    </w:p>
    <w:p w14:paraId="7A8DBDB6" w14:textId="77777777" w:rsidR="006D2622" w:rsidRPr="008863E4" w:rsidRDefault="006D2622" w:rsidP="001530CA">
      <w:pPr>
        <w:pStyle w:val="Heading3"/>
        <w:rPr>
          <w:rFonts w:ascii="Times New Roman" w:hAnsi="Times New Roman" w:cs="Times New Roman"/>
          <w:bCs/>
          <w:color w:val="auto"/>
          <w:sz w:val="22"/>
          <w:szCs w:val="22"/>
          <w:u w:val="single"/>
          <w:lang w:val="sr-Latn-ME"/>
        </w:rPr>
      </w:pPr>
    </w:p>
    <w:p w14:paraId="2AB3D9E4" w14:textId="77777777" w:rsidR="006D2622" w:rsidRPr="008863E4" w:rsidRDefault="006D2622" w:rsidP="0017187F">
      <w:pPr>
        <w:pStyle w:val="Heading3"/>
        <w:ind w:right="311"/>
        <w:jc w:val="both"/>
        <w:rPr>
          <w:rFonts w:ascii="Times New Roman" w:hAnsi="Times New Roman" w:cs="Times New Roman"/>
          <w:bCs/>
          <w:color w:val="auto"/>
          <w:sz w:val="22"/>
          <w:szCs w:val="22"/>
          <w:u w:val="single"/>
          <w:lang w:val="sr-Latn-ME"/>
        </w:rPr>
      </w:pPr>
      <w:r w:rsidRPr="008863E4">
        <w:rPr>
          <w:rFonts w:ascii="Times New Roman" w:hAnsi="Times New Roman" w:cs="Times New Roman"/>
          <w:bCs/>
          <w:color w:val="auto"/>
          <w:sz w:val="22"/>
          <w:szCs w:val="22"/>
          <w:u w:val="single"/>
          <w:lang w:val="sr-Latn-ME"/>
        </w:rPr>
        <w:t>Aritmije</w:t>
      </w:r>
    </w:p>
    <w:p w14:paraId="50BAD386" w14:textId="77777777" w:rsidR="006D2622" w:rsidRPr="008863E4" w:rsidRDefault="006D2622" w:rsidP="0017187F">
      <w:pPr>
        <w:ind w:right="311"/>
        <w:jc w:val="both"/>
        <w:rPr>
          <w:sz w:val="22"/>
          <w:szCs w:val="22"/>
          <w:lang w:val="sr-Latn-ME"/>
        </w:rPr>
      </w:pPr>
    </w:p>
    <w:p w14:paraId="2A519166" w14:textId="12F1BC6E" w:rsidR="006D2622" w:rsidRPr="008863E4" w:rsidRDefault="006D2622" w:rsidP="006D2622">
      <w:pPr>
        <w:ind w:right="1"/>
        <w:jc w:val="both"/>
        <w:rPr>
          <w:sz w:val="22"/>
          <w:szCs w:val="22"/>
          <w:lang w:val="sr-Latn-ME"/>
        </w:rPr>
      </w:pPr>
      <w:r w:rsidRPr="008863E4">
        <w:rPr>
          <w:sz w:val="22"/>
          <w:szCs w:val="22"/>
          <w:lang w:val="sr-Latn-ME"/>
        </w:rPr>
        <w:t xml:space="preserve">Koronarna tromboliza može da dovede do aritmija povezanih sa reperfuzijom. </w:t>
      </w:r>
      <w:r w:rsidR="00F67F16">
        <w:rPr>
          <w:sz w:val="22"/>
          <w:szCs w:val="22"/>
          <w:lang w:val="sr-Latn-ME"/>
        </w:rPr>
        <w:t xml:space="preserve">Reperfuzione aritmije mogu da dovedu do srčanog zastoja, mogu da budu životno ugrožavajuće i mogu da zahtijevaju upotrebu konvencionalne antiaritmijske terapije. </w:t>
      </w:r>
      <w:r w:rsidRPr="008863E4">
        <w:rPr>
          <w:sz w:val="22"/>
          <w:szCs w:val="22"/>
          <w:lang w:val="sr-Latn-ME"/>
        </w:rPr>
        <w:t>Preporučuje se da na raspolaganju bude dostupna i antiaritmijska terapija za bradikardiju i/ili ventrikularne tahiaritmije (pejsmejker/defibrilator) tokom primjene tenekteplaze.</w:t>
      </w:r>
    </w:p>
    <w:p w14:paraId="1643C81B" w14:textId="77777777" w:rsidR="006D2622" w:rsidRPr="008863E4" w:rsidRDefault="006D2622" w:rsidP="006D2622">
      <w:pPr>
        <w:ind w:right="1"/>
        <w:jc w:val="both"/>
        <w:rPr>
          <w:sz w:val="22"/>
          <w:szCs w:val="22"/>
          <w:lang w:val="sr-Latn-ME"/>
        </w:rPr>
      </w:pPr>
    </w:p>
    <w:p w14:paraId="41606350" w14:textId="4B5C366E" w:rsidR="006D2622" w:rsidRDefault="006D2622" w:rsidP="006D2622">
      <w:pPr>
        <w:ind w:right="1"/>
        <w:jc w:val="both"/>
        <w:rPr>
          <w:sz w:val="22"/>
          <w:szCs w:val="22"/>
          <w:u w:val="single"/>
          <w:lang w:val="sr-Latn-ME"/>
        </w:rPr>
      </w:pPr>
      <w:r w:rsidRPr="008863E4">
        <w:rPr>
          <w:sz w:val="22"/>
          <w:szCs w:val="22"/>
          <w:u w:val="single"/>
          <w:lang w:val="sr-Latn-ME"/>
        </w:rPr>
        <w:t>Antagonisti glikoproteina IIb/IIIa</w:t>
      </w:r>
    </w:p>
    <w:p w14:paraId="2BA0F4A0" w14:textId="77777777" w:rsidR="008863E4" w:rsidRPr="008863E4" w:rsidRDefault="008863E4" w:rsidP="006D2622">
      <w:pPr>
        <w:ind w:right="1"/>
        <w:jc w:val="both"/>
        <w:rPr>
          <w:sz w:val="22"/>
          <w:szCs w:val="22"/>
          <w:u w:val="single"/>
          <w:lang w:val="sr-Latn-ME"/>
        </w:rPr>
      </w:pPr>
    </w:p>
    <w:p w14:paraId="29CED40C" w14:textId="77777777" w:rsidR="006D2622" w:rsidRPr="008863E4" w:rsidRDefault="006D2622" w:rsidP="006D2622">
      <w:pPr>
        <w:ind w:right="1"/>
        <w:jc w:val="both"/>
        <w:rPr>
          <w:sz w:val="22"/>
          <w:szCs w:val="22"/>
          <w:u w:val="single"/>
          <w:lang w:val="sr-Latn-ME"/>
        </w:rPr>
      </w:pPr>
      <w:r w:rsidRPr="008863E4">
        <w:rPr>
          <w:sz w:val="22"/>
          <w:szCs w:val="22"/>
          <w:lang w:val="sr-Latn-ME"/>
        </w:rPr>
        <w:t>Istovremena upotreba GP IIb/IIIa antagonista povećava rizik od krvarenja.</w:t>
      </w:r>
    </w:p>
    <w:p w14:paraId="7EA99DFB" w14:textId="77777777" w:rsidR="006D2622" w:rsidRPr="008863E4" w:rsidRDefault="006D2622" w:rsidP="006D2622">
      <w:pPr>
        <w:pStyle w:val="BodyTextIndent2"/>
        <w:tabs>
          <w:tab w:val="left" w:pos="567"/>
        </w:tabs>
        <w:ind w:left="0" w:right="1"/>
        <w:jc w:val="both"/>
        <w:rPr>
          <w:sz w:val="22"/>
          <w:szCs w:val="22"/>
        </w:rPr>
      </w:pPr>
    </w:p>
    <w:p w14:paraId="4C1EAD47" w14:textId="77777777" w:rsidR="006D2622" w:rsidRPr="008863E4" w:rsidRDefault="006D2622" w:rsidP="006D2622">
      <w:pPr>
        <w:autoSpaceDE w:val="0"/>
        <w:autoSpaceDN w:val="0"/>
        <w:adjustRightInd w:val="0"/>
        <w:ind w:right="1"/>
        <w:jc w:val="both"/>
        <w:rPr>
          <w:sz w:val="22"/>
          <w:szCs w:val="22"/>
          <w:u w:val="single"/>
          <w:lang w:val="sr-Latn-ME"/>
        </w:rPr>
      </w:pPr>
      <w:r w:rsidRPr="008863E4">
        <w:rPr>
          <w:sz w:val="22"/>
          <w:szCs w:val="22"/>
          <w:u w:val="single"/>
          <w:lang w:val="sr-Latn-ME"/>
        </w:rPr>
        <w:t>Preosjetljivost/Ponovljena primjena</w:t>
      </w:r>
    </w:p>
    <w:p w14:paraId="4FEA69D0" w14:textId="77777777" w:rsidR="006D2622" w:rsidRPr="008863E4" w:rsidRDefault="006D2622" w:rsidP="006D2622">
      <w:pPr>
        <w:autoSpaceDE w:val="0"/>
        <w:autoSpaceDN w:val="0"/>
        <w:adjustRightInd w:val="0"/>
        <w:ind w:right="1"/>
        <w:jc w:val="both"/>
        <w:rPr>
          <w:sz w:val="22"/>
          <w:szCs w:val="22"/>
          <w:lang w:val="sr-Latn-ME"/>
        </w:rPr>
      </w:pPr>
    </w:p>
    <w:p w14:paraId="6EEA356A" w14:textId="77777777" w:rsidR="006D2622" w:rsidRPr="008863E4" w:rsidRDefault="006D2622" w:rsidP="006D2622">
      <w:pPr>
        <w:ind w:right="1"/>
        <w:jc w:val="both"/>
        <w:rPr>
          <w:sz w:val="22"/>
          <w:szCs w:val="22"/>
          <w:lang w:val="sr-Latn-ME"/>
        </w:rPr>
      </w:pPr>
      <w:r w:rsidRPr="008863E4">
        <w:rPr>
          <w:sz w:val="22"/>
          <w:szCs w:val="22"/>
          <w:lang w:val="sr-Latn-ME"/>
        </w:rPr>
        <w:t>Nakon terapije nije primijećeno produženo stvaranje antitijela na molekule tenekteplaze. Međutim, ne postoji sistematsko iskustvo sa ponovljenom primjenom tenekteplaze. Neophodan je oprez prilikom primjene tenekteplaze osobama sa poznatom preosjetljivošću (ne računajući  anafilaktičku reakciju) na aktivnu supstancu, na neku od pomoćnih supstanci, ili na gentamicin (ostatak iz procesa proizvodnje). Ako dođe do anafilaktoidne reakcije, treba odmah prekinuti primjenu injekcije i započeti odgovarajuću terapiju. U svakom slučaju, tenekteplazu ne treba ponovo primijeniti prije procjene hemostatskih faktora kao što su fibrinogen, plazminogen i alfa2-antiplazmin.</w:t>
      </w:r>
    </w:p>
    <w:p w14:paraId="2A101015" w14:textId="77777777" w:rsidR="006D2622" w:rsidRPr="008863E4" w:rsidRDefault="006D2622" w:rsidP="006D2622">
      <w:pPr>
        <w:autoSpaceDE w:val="0"/>
        <w:autoSpaceDN w:val="0"/>
        <w:adjustRightInd w:val="0"/>
        <w:ind w:right="1"/>
        <w:rPr>
          <w:sz w:val="22"/>
          <w:szCs w:val="22"/>
          <w:lang w:val="sr-Latn-ME"/>
        </w:rPr>
      </w:pPr>
    </w:p>
    <w:p w14:paraId="4545B0BF" w14:textId="77777777" w:rsidR="006D2622" w:rsidRPr="00F5090E" w:rsidRDefault="006D2622" w:rsidP="006D2622">
      <w:pPr>
        <w:autoSpaceDE w:val="0"/>
        <w:autoSpaceDN w:val="0"/>
        <w:adjustRightInd w:val="0"/>
        <w:ind w:right="1"/>
        <w:rPr>
          <w:sz w:val="22"/>
          <w:szCs w:val="22"/>
          <w:u w:val="single"/>
          <w:lang w:val="sr-Latn-ME"/>
        </w:rPr>
      </w:pPr>
      <w:r w:rsidRPr="00F5090E">
        <w:rPr>
          <w:sz w:val="22"/>
          <w:szCs w:val="22"/>
          <w:u w:val="single"/>
          <w:lang w:val="sr-Latn-ME"/>
        </w:rPr>
        <w:t>Pedijatrijska populacija</w:t>
      </w:r>
    </w:p>
    <w:p w14:paraId="1D9A754B" w14:textId="77777777" w:rsidR="006D2622" w:rsidRPr="008863E4" w:rsidRDefault="006D2622" w:rsidP="006D2622">
      <w:pPr>
        <w:autoSpaceDE w:val="0"/>
        <w:autoSpaceDN w:val="0"/>
        <w:adjustRightInd w:val="0"/>
        <w:ind w:right="1"/>
        <w:rPr>
          <w:sz w:val="22"/>
          <w:szCs w:val="22"/>
          <w:lang w:val="sr-Latn-ME"/>
        </w:rPr>
      </w:pPr>
    </w:p>
    <w:p w14:paraId="499272EC" w14:textId="77777777" w:rsidR="006D2622" w:rsidRPr="008863E4" w:rsidRDefault="006D2622" w:rsidP="006D2622">
      <w:pPr>
        <w:autoSpaceDE w:val="0"/>
        <w:autoSpaceDN w:val="0"/>
        <w:adjustRightInd w:val="0"/>
        <w:ind w:right="1"/>
        <w:rPr>
          <w:sz w:val="22"/>
          <w:szCs w:val="22"/>
          <w:lang w:val="sr-Latn-ME"/>
        </w:rPr>
      </w:pPr>
      <w:r w:rsidRPr="008863E4">
        <w:rPr>
          <w:sz w:val="22"/>
          <w:szCs w:val="22"/>
          <w:lang w:val="sr-Latn-ME"/>
        </w:rPr>
        <w:t>Ne preporučuje se primjena lijeka Metalyse kod djece (ispod 18 godina) zbog nedostatka podataka o bezbjednosti i efikasnosti.</w:t>
      </w:r>
    </w:p>
    <w:p w14:paraId="124F95D0" w14:textId="77777777" w:rsidR="006D2622" w:rsidRPr="008863E4" w:rsidRDefault="006D2622" w:rsidP="001530CA">
      <w:pPr>
        <w:pStyle w:val="Header"/>
        <w:tabs>
          <w:tab w:val="clear" w:pos="4320"/>
          <w:tab w:val="clear" w:pos="8640"/>
        </w:tabs>
        <w:ind w:left="108"/>
        <w:rPr>
          <w:sz w:val="22"/>
          <w:szCs w:val="22"/>
          <w:lang w:val="sr-Latn-ME"/>
        </w:rPr>
      </w:pPr>
    </w:p>
    <w:p w14:paraId="44B52EEA" w14:textId="409237E7" w:rsidR="00411B4B" w:rsidRPr="008863E4" w:rsidRDefault="00411B4B" w:rsidP="00480FB1">
      <w:pPr>
        <w:tabs>
          <w:tab w:val="left" w:pos="540"/>
          <w:tab w:val="left" w:pos="569"/>
        </w:tabs>
        <w:rPr>
          <w:b/>
          <w:bCs/>
          <w:sz w:val="22"/>
          <w:szCs w:val="22"/>
          <w:lang w:val="sr-Latn-ME"/>
        </w:rPr>
      </w:pPr>
      <w:r w:rsidRPr="008863E4">
        <w:rPr>
          <w:b/>
          <w:bCs/>
          <w:sz w:val="22"/>
          <w:szCs w:val="22"/>
          <w:lang w:val="sr-Latn-ME"/>
        </w:rPr>
        <w:t>4.5.</w:t>
      </w:r>
      <w:r w:rsidR="000D60CC" w:rsidRPr="008863E4">
        <w:rPr>
          <w:b/>
          <w:bCs/>
          <w:sz w:val="22"/>
          <w:szCs w:val="22"/>
          <w:lang w:val="sr-Latn-ME"/>
        </w:rPr>
        <w:tab/>
      </w:r>
      <w:r w:rsidRPr="008863E4">
        <w:rPr>
          <w:b/>
          <w:bCs/>
          <w:sz w:val="22"/>
          <w:szCs w:val="22"/>
          <w:lang w:val="sr-Latn-ME"/>
        </w:rPr>
        <w:t>Interakcije sa drugim ljekovima i druge vrste interakcija</w:t>
      </w:r>
    </w:p>
    <w:p w14:paraId="447768DE" w14:textId="77777777" w:rsidR="00862CCA" w:rsidRPr="008863E4" w:rsidRDefault="00862CCA" w:rsidP="00480FB1">
      <w:pPr>
        <w:tabs>
          <w:tab w:val="left" w:pos="540"/>
          <w:tab w:val="left" w:pos="569"/>
        </w:tabs>
        <w:rPr>
          <w:b/>
          <w:bCs/>
          <w:sz w:val="22"/>
          <w:szCs w:val="22"/>
          <w:lang w:val="sr-Latn-ME"/>
        </w:rPr>
      </w:pPr>
    </w:p>
    <w:p w14:paraId="6090FCC8" w14:textId="04427DA6" w:rsidR="00DD5DD2" w:rsidRDefault="00DD5DD2" w:rsidP="0017187F">
      <w:pPr>
        <w:jc w:val="both"/>
        <w:rPr>
          <w:sz w:val="22"/>
          <w:szCs w:val="22"/>
          <w:lang w:val="sr-Latn-ME"/>
        </w:rPr>
      </w:pPr>
      <w:r w:rsidRPr="008863E4">
        <w:rPr>
          <w:sz w:val="22"/>
          <w:szCs w:val="22"/>
          <w:lang w:val="sr-Latn-ME"/>
        </w:rPr>
        <w:t>Ni</w:t>
      </w:r>
      <w:r w:rsidR="00862CCA" w:rsidRPr="008863E4">
        <w:rPr>
          <w:sz w:val="22"/>
          <w:szCs w:val="22"/>
          <w:lang w:val="sr-Latn-ME"/>
        </w:rPr>
        <w:t>je</w:t>
      </w:r>
      <w:r w:rsidRPr="008863E4">
        <w:rPr>
          <w:sz w:val="22"/>
          <w:szCs w:val="22"/>
          <w:lang w:val="sr-Latn-ME"/>
        </w:rPr>
        <w:t xml:space="preserve">su sprovedene formalne studije interakcije tenekteplaze i ljekova koji se obično daju pacijentima sa </w:t>
      </w:r>
      <w:smartTag w:uri="urn:schemas-microsoft-com:office:smarttags" w:element="stockticker">
        <w:r w:rsidRPr="008863E4">
          <w:rPr>
            <w:sz w:val="22"/>
            <w:szCs w:val="22"/>
            <w:lang w:val="sr-Latn-ME"/>
          </w:rPr>
          <w:t>AMI</w:t>
        </w:r>
      </w:smartTag>
      <w:r w:rsidRPr="008863E4">
        <w:rPr>
          <w:sz w:val="22"/>
          <w:szCs w:val="22"/>
          <w:lang w:val="sr-Latn-ME"/>
        </w:rPr>
        <w:t xml:space="preserve">. Međutim, analiza podataka na više od 12000 pacijenata liječenih u fazama I, II i </w:t>
      </w:r>
      <w:smartTag w:uri="urn:schemas-microsoft-com:office:smarttags" w:element="stockticker">
        <w:r w:rsidRPr="008863E4">
          <w:rPr>
            <w:sz w:val="22"/>
            <w:szCs w:val="22"/>
            <w:lang w:val="sr-Latn-ME"/>
          </w:rPr>
          <w:t>III</w:t>
        </w:r>
      </w:smartTag>
      <w:r w:rsidRPr="008863E4">
        <w:rPr>
          <w:sz w:val="22"/>
          <w:szCs w:val="22"/>
          <w:lang w:val="sr-Latn-ME"/>
        </w:rPr>
        <w:t xml:space="preserve"> nije pokazala nikakve klinički relevantne interakcije sa ljekovima koji se uobičajeno </w:t>
      </w:r>
      <w:r w:rsidR="00B87DB8" w:rsidRPr="008863E4">
        <w:rPr>
          <w:sz w:val="22"/>
          <w:szCs w:val="22"/>
          <w:lang w:val="sr-Latn-ME"/>
        </w:rPr>
        <w:t>primjenjuju</w:t>
      </w:r>
      <w:r w:rsidRPr="008863E4">
        <w:rPr>
          <w:sz w:val="22"/>
          <w:szCs w:val="22"/>
          <w:lang w:val="sr-Latn-ME"/>
        </w:rPr>
        <w:t xml:space="preserve"> kod pacijenata sa </w:t>
      </w:r>
      <w:smartTag w:uri="urn:schemas-microsoft-com:office:smarttags" w:element="stockticker">
        <w:r w:rsidRPr="008863E4">
          <w:rPr>
            <w:sz w:val="22"/>
            <w:szCs w:val="22"/>
            <w:lang w:val="sr-Latn-ME"/>
          </w:rPr>
          <w:t>AMI</w:t>
        </w:r>
      </w:smartTag>
      <w:r w:rsidRPr="008863E4">
        <w:rPr>
          <w:sz w:val="22"/>
          <w:szCs w:val="22"/>
          <w:lang w:val="sr-Latn-ME"/>
        </w:rPr>
        <w:t xml:space="preserve"> i kod kojih je istovremeno korišćena tenekteplaza.</w:t>
      </w:r>
    </w:p>
    <w:p w14:paraId="40974E77" w14:textId="77777777" w:rsidR="00F67F16" w:rsidRDefault="00F67F16" w:rsidP="0017187F">
      <w:pPr>
        <w:jc w:val="both"/>
        <w:rPr>
          <w:sz w:val="22"/>
          <w:szCs w:val="22"/>
          <w:lang w:val="sr-Latn-ME"/>
        </w:rPr>
      </w:pPr>
    </w:p>
    <w:p w14:paraId="5B5371C8" w14:textId="4EE4AD34" w:rsidR="00F67F16" w:rsidRPr="00F5090E" w:rsidRDefault="00F67F16" w:rsidP="0017187F">
      <w:pPr>
        <w:jc w:val="both"/>
        <w:rPr>
          <w:sz w:val="22"/>
          <w:szCs w:val="22"/>
          <w:u w:val="single"/>
          <w:lang w:val="sr-Latn-ME"/>
        </w:rPr>
      </w:pPr>
      <w:r w:rsidRPr="00F5090E">
        <w:rPr>
          <w:sz w:val="22"/>
          <w:szCs w:val="22"/>
          <w:u w:val="single"/>
          <w:lang w:val="sr-Latn-ME"/>
        </w:rPr>
        <w:t>Ljekovi koji utiču na koagulaciju/funkciju trombocita</w:t>
      </w:r>
    </w:p>
    <w:p w14:paraId="353E6FF4" w14:textId="77777777" w:rsidR="00DD5DD2" w:rsidRPr="008863E4" w:rsidRDefault="00DD5DD2" w:rsidP="0017187F">
      <w:pPr>
        <w:jc w:val="both"/>
        <w:rPr>
          <w:sz w:val="22"/>
          <w:szCs w:val="22"/>
          <w:lang w:val="sr-Latn-ME"/>
        </w:rPr>
      </w:pPr>
    </w:p>
    <w:p w14:paraId="3759C1AD" w14:textId="7776395E" w:rsidR="00DD5DD2" w:rsidRPr="008863E4" w:rsidRDefault="00DD5DD2" w:rsidP="0017187F">
      <w:pPr>
        <w:jc w:val="both"/>
        <w:rPr>
          <w:strike/>
          <w:sz w:val="22"/>
          <w:szCs w:val="22"/>
          <w:lang w:val="sr-Latn-ME"/>
        </w:rPr>
      </w:pPr>
      <w:r w:rsidRPr="008863E4">
        <w:rPr>
          <w:sz w:val="22"/>
          <w:szCs w:val="22"/>
          <w:lang w:val="sr-Latn-ME"/>
        </w:rPr>
        <w:t>Ljekovi koji utiču na koagulaciju ili oni koji mijenjaju funkciju trombocita (npr. tiklopidin, klopidogrel, niskomolekularni heparini) mogu da povećaju rizik od krvarenja prije, tokom ili nakon terapije tenekteplazom.</w:t>
      </w:r>
    </w:p>
    <w:p w14:paraId="0967E21E" w14:textId="77777777" w:rsidR="00DD5DD2" w:rsidRPr="008863E4" w:rsidRDefault="00DD5DD2" w:rsidP="0017187F">
      <w:pPr>
        <w:jc w:val="both"/>
        <w:rPr>
          <w:sz w:val="22"/>
          <w:szCs w:val="22"/>
          <w:lang w:val="sr-Latn-ME"/>
        </w:rPr>
      </w:pPr>
    </w:p>
    <w:p w14:paraId="715A4B53" w14:textId="77777777" w:rsidR="00DD5DD2" w:rsidRPr="008863E4" w:rsidRDefault="00DD5DD2" w:rsidP="0017187F">
      <w:pPr>
        <w:jc w:val="both"/>
        <w:rPr>
          <w:sz w:val="22"/>
          <w:szCs w:val="22"/>
          <w:lang w:val="sr-Latn-ME"/>
        </w:rPr>
      </w:pPr>
      <w:r w:rsidRPr="008863E4">
        <w:rPr>
          <w:sz w:val="22"/>
          <w:szCs w:val="22"/>
          <w:lang w:val="sr-Latn-ME"/>
        </w:rPr>
        <w:t>Istovremena primjena GPIIb/IIIa antagonista povećava rizik od krvarenja.</w:t>
      </w:r>
    </w:p>
    <w:p w14:paraId="75D597B4" w14:textId="77777777" w:rsidR="0072020E" w:rsidRPr="008863E4" w:rsidRDefault="0072020E" w:rsidP="00480FB1">
      <w:pPr>
        <w:tabs>
          <w:tab w:val="left" w:pos="540"/>
          <w:tab w:val="left" w:pos="569"/>
        </w:tabs>
        <w:rPr>
          <w:bCs/>
          <w:sz w:val="22"/>
          <w:szCs w:val="22"/>
          <w:lang w:val="sr-Latn-ME"/>
        </w:rPr>
      </w:pPr>
    </w:p>
    <w:p w14:paraId="1E29C649" w14:textId="77777777" w:rsidR="0072020E" w:rsidRPr="008863E4" w:rsidRDefault="0072020E" w:rsidP="00480FB1">
      <w:pPr>
        <w:tabs>
          <w:tab w:val="left" w:pos="540"/>
          <w:tab w:val="left" w:pos="569"/>
        </w:tabs>
        <w:rPr>
          <w:b/>
          <w:sz w:val="22"/>
          <w:szCs w:val="22"/>
          <w:lang w:val="sr-Latn-ME"/>
        </w:rPr>
      </w:pPr>
      <w:r w:rsidRPr="008863E4">
        <w:rPr>
          <w:b/>
          <w:bCs/>
          <w:sz w:val="22"/>
          <w:szCs w:val="22"/>
          <w:lang w:val="sr-Latn-ME"/>
        </w:rPr>
        <w:t xml:space="preserve">4.6. </w:t>
      </w:r>
      <w:r w:rsidR="00480FB1" w:rsidRPr="008863E4">
        <w:rPr>
          <w:b/>
          <w:bCs/>
          <w:sz w:val="22"/>
          <w:szCs w:val="22"/>
          <w:lang w:val="sr-Latn-ME"/>
        </w:rPr>
        <w:tab/>
      </w:r>
      <w:r w:rsidR="006D20A5" w:rsidRPr="008863E4">
        <w:rPr>
          <w:b/>
          <w:sz w:val="22"/>
          <w:szCs w:val="22"/>
          <w:lang w:val="sr-Latn-ME"/>
        </w:rPr>
        <w:t>Plodnost, trudnoća i dojenje</w:t>
      </w:r>
    </w:p>
    <w:p w14:paraId="377C7859" w14:textId="7613BF5B" w:rsidR="008863E4" w:rsidRDefault="008863E4" w:rsidP="0017187F">
      <w:pPr>
        <w:jc w:val="both"/>
        <w:rPr>
          <w:sz w:val="22"/>
          <w:szCs w:val="22"/>
          <w:u w:val="single"/>
          <w:lang w:val="sr-Latn-ME"/>
        </w:rPr>
      </w:pPr>
    </w:p>
    <w:p w14:paraId="43977774" w14:textId="4C88CF10" w:rsidR="00D21842" w:rsidRPr="008863E4" w:rsidRDefault="00D21842" w:rsidP="0017187F">
      <w:pPr>
        <w:jc w:val="both"/>
        <w:rPr>
          <w:sz w:val="22"/>
          <w:szCs w:val="22"/>
          <w:u w:val="single"/>
          <w:lang w:val="sr-Latn-ME"/>
        </w:rPr>
      </w:pPr>
      <w:r w:rsidRPr="008863E4">
        <w:rPr>
          <w:sz w:val="22"/>
          <w:szCs w:val="22"/>
          <w:u w:val="single"/>
          <w:lang w:val="sr-Latn-ME"/>
        </w:rPr>
        <w:t>Trudnoća</w:t>
      </w:r>
    </w:p>
    <w:p w14:paraId="24CE769B" w14:textId="77777777" w:rsidR="00D21842" w:rsidRPr="008863E4" w:rsidRDefault="00D21842" w:rsidP="0017187F">
      <w:pPr>
        <w:jc w:val="both"/>
        <w:rPr>
          <w:sz w:val="22"/>
          <w:szCs w:val="22"/>
          <w:u w:val="single"/>
          <w:lang w:val="sr-Latn-ME"/>
        </w:rPr>
      </w:pPr>
    </w:p>
    <w:p w14:paraId="1FA8ED81" w14:textId="6B7BEDEB" w:rsidR="00D21842" w:rsidRPr="008863E4" w:rsidRDefault="00D21842">
      <w:pPr>
        <w:tabs>
          <w:tab w:val="left" w:pos="284"/>
        </w:tabs>
        <w:jc w:val="both"/>
        <w:rPr>
          <w:rFonts w:eastAsia="MS Mincho"/>
          <w:sz w:val="22"/>
          <w:szCs w:val="22"/>
          <w:lang w:val="sr-Latn-ME"/>
        </w:rPr>
      </w:pPr>
      <w:r w:rsidRPr="008863E4">
        <w:rPr>
          <w:rFonts w:eastAsia="MS Mincho"/>
          <w:sz w:val="22"/>
          <w:szCs w:val="22"/>
          <w:lang w:val="sr-Latn-ME"/>
        </w:rPr>
        <w:t xml:space="preserve">Podaci o </w:t>
      </w:r>
      <w:r w:rsidR="00B87DB8" w:rsidRPr="008863E4">
        <w:rPr>
          <w:rFonts w:eastAsia="MS Mincho"/>
          <w:sz w:val="22"/>
          <w:szCs w:val="22"/>
          <w:lang w:val="sr-Latn-ME"/>
        </w:rPr>
        <w:t>primjeni</w:t>
      </w:r>
      <w:r w:rsidRPr="008863E4">
        <w:rPr>
          <w:rFonts w:eastAsia="MS Mincho"/>
          <w:sz w:val="22"/>
          <w:szCs w:val="22"/>
          <w:lang w:val="sr-Latn-ME"/>
        </w:rPr>
        <w:t xml:space="preserve"> lijeka Metalyse kod trudnica su ograničeni.</w:t>
      </w:r>
    </w:p>
    <w:p w14:paraId="2EAC357F" w14:textId="5442E0C2" w:rsidR="00D21842" w:rsidRPr="008863E4" w:rsidRDefault="00D21842">
      <w:pPr>
        <w:tabs>
          <w:tab w:val="left" w:pos="284"/>
        </w:tabs>
        <w:jc w:val="both"/>
        <w:rPr>
          <w:bCs/>
          <w:iCs/>
          <w:sz w:val="22"/>
          <w:szCs w:val="22"/>
          <w:lang w:val="sr-Latn-ME"/>
        </w:rPr>
      </w:pPr>
      <w:r w:rsidRPr="008863E4">
        <w:rPr>
          <w:iCs/>
          <w:sz w:val="22"/>
          <w:szCs w:val="22"/>
          <w:lang w:val="sr-Latn-ME"/>
        </w:rPr>
        <w:t>Pretklinički podaci dobijeni ispitivanjima</w:t>
      </w:r>
      <w:r w:rsidRPr="008863E4">
        <w:rPr>
          <w:bCs/>
          <w:iCs/>
          <w:sz w:val="22"/>
          <w:szCs w:val="22"/>
          <w:lang w:val="sr-Latn-ME"/>
        </w:rPr>
        <w:t xml:space="preserve"> tenekteplaze</w:t>
      </w:r>
      <w:r w:rsidRPr="008863E4">
        <w:rPr>
          <w:iCs/>
          <w:sz w:val="22"/>
          <w:szCs w:val="22"/>
          <w:lang w:val="sr-Latn-ME"/>
        </w:rPr>
        <w:t xml:space="preserve"> pokazali su krvarenje sa sekundarnim mortalitetom ženki laboratorijskih životinja</w:t>
      </w:r>
      <w:r w:rsidR="00330451" w:rsidRPr="008863E4">
        <w:rPr>
          <w:iCs/>
          <w:sz w:val="22"/>
          <w:szCs w:val="22"/>
          <w:lang w:val="sr-Latn-ME"/>
        </w:rPr>
        <w:t xml:space="preserve"> </w:t>
      </w:r>
      <w:r w:rsidRPr="008863E4">
        <w:rPr>
          <w:iCs/>
          <w:sz w:val="22"/>
          <w:szCs w:val="22"/>
          <w:lang w:val="sr-Latn-ME"/>
        </w:rPr>
        <w:t>zbog poznatog farmakološkog dejstva ove aktivne supstance, a u nekoliko slučajeva došlo je do pobačaja i resorpcije fetusa</w:t>
      </w:r>
      <w:r w:rsidRPr="008863E4">
        <w:rPr>
          <w:bCs/>
          <w:iCs/>
          <w:sz w:val="22"/>
          <w:szCs w:val="22"/>
          <w:lang w:val="sr-Latn-ME"/>
        </w:rPr>
        <w:t xml:space="preserve"> </w:t>
      </w:r>
      <w:r w:rsidRPr="008863E4">
        <w:rPr>
          <w:iCs/>
          <w:sz w:val="22"/>
          <w:szCs w:val="22"/>
          <w:lang w:val="sr-Latn-ME"/>
        </w:rPr>
        <w:t>(ovo dejstvo je zabilježeno samo sa primjenom ponovljenih doza)</w:t>
      </w:r>
      <w:r w:rsidRPr="008863E4">
        <w:rPr>
          <w:bCs/>
          <w:iCs/>
          <w:sz w:val="22"/>
          <w:szCs w:val="22"/>
          <w:lang w:val="sr-Latn-ME"/>
        </w:rPr>
        <w:t xml:space="preserve">. Tenekteplaza se ne smatra teratogenom (vidjeti </w:t>
      </w:r>
      <w:r w:rsidR="00330451" w:rsidRPr="008863E4">
        <w:rPr>
          <w:bCs/>
          <w:iCs/>
          <w:sz w:val="22"/>
          <w:szCs w:val="22"/>
          <w:lang w:val="sr-Latn-ME"/>
        </w:rPr>
        <w:t xml:space="preserve">dio </w:t>
      </w:r>
      <w:r w:rsidRPr="008863E4">
        <w:rPr>
          <w:bCs/>
          <w:iCs/>
          <w:sz w:val="22"/>
          <w:szCs w:val="22"/>
          <w:lang w:val="sr-Latn-ME"/>
        </w:rPr>
        <w:t>5.3).</w:t>
      </w:r>
    </w:p>
    <w:p w14:paraId="1F8D157E" w14:textId="77777777" w:rsidR="00D21842" w:rsidRPr="008863E4" w:rsidRDefault="00D21842">
      <w:pPr>
        <w:tabs>
          <w:tab w:val="left" w:pos="284"/>
        </w:tabs>
        <w:jc w:val="both"/>
        <w:rPr>
          <w:sz w:val="22"/>
          <w:szCs w:val="22"/>
          <w:lang w:val="sr-Latn-ME"/>
        </w:rPr>
      </w:pPr>
    </w:p>
    <w:p w14:paraId="027E39C6" w14:textId="77777777" w:rsidR="00D21842" w:rsidRPr="008863E4" w:rsidRDefault="00D21842">
      <w:pPr>
        <w:tabs>
          <w:tab w:val="left" w:pos="284"/>
        </w:tabs>
        <w:jc w:val="both"/>
        <w:rPr>
          <w:sz w:val="22"/>
          <w:szCs w:val="22"/>
          <w:lang w:val="sr-Latn-ME"/>
        </w:rPr>
      </w:pPr>
      <w:r w:rsidRPr="008863E4">
        <w:rPr>
          <w:sz w:val="22"/>
          <w:szCs w:val="22"/>
          <w:lang w:val="sr-Latn-ME"/>
        </w:rPr>
        <w:t xml:space="preserve">Korist od terapije se mora procijeniti u odnosu na potencijalni rizik u slučaju da do infarkta miokarda dođe za vrijeme trudnoće. </w:t>
      </w:r>
    </w:p>
    <w:p w14:paraId="5383B1FD" w14:textId="77777777" w:rsidR="00D21842" w:rsidRPr="008863E4" w:rsidRDefault="00D21842" w:rsidP="0017187F">
      <w:pPr>
        <w:tabs>
          <w:tab w:val="left" w:pos="540"/>
          <w:tab w:val="left" w:pos="569"/>
        </w:tabs>
        <w:jc w:val="both"/>
        <w:rPr>
          <w:sz w:val="22"/>
          <w:szCs w:val="22"/>
          <w:u w:val="single"/>
          <w:lang w:val="sr-Latn-ME"/>
        </w:rPr>
      </w:pPr>
    </w:p>
    <w:p w14:paraId="36ADCE2D" w14:textId="1FE5F20D" w:rsidR="00D21842" w:rsidRPr="008863E4" w:rsidRDefault="00D21842" w:rsidP="0017187F">
      <w:pPr>
        <w:tabs>
          <w:tab w:val="left" w:pos="540"/>
          <w:tab w:val="left" w:pos="569"/>
        </w:tabs>
        <w:jc w:val="both"/>
        <w:rPr>
          <w:sz w:val="22"/>
          <w:szCs w:val="22"/>
          <w:u w:val="single"/>
          <w:lang w:val="sr-Latn-ME"/>
        </w:rPr>
      </w:pPr>
      <w:r w:rsidRPr="008863E4">
        <w:rPr>
          <w:sz w:val="22"/>
          <w:szCs w:val="22"/>
          <w:u w:val="single"/>
          <w:lang w:val="sr-Latn-ME"/>
        </w:rPr>
        <w:t>Dojenje</w:t>
      </w:r>
    </w:p>
    <w:p w14:paraId="44CB6233" w14:textId="77777777" w:rsidR="00D21842" w:rsidRPr="008863E4" w:rsidRDefault="00D21842" w:rsidP="0017187F">
      <w:pPr>
        <w:tabs>
          <w:tab w:val="left" w:pos="540"/>
          <w:tab w:val="left" w:pos="569"/>
        </w:tabs>
        <w:jc w:val="both"/>
        <w:rPr>
          <w:sz w:val="22"/>
          <w:szCs w:val="22"/>
          <w:u w:val="single"/>
          <w:lang w:val="sr-Latn-ME"/>
        </w:rPr>
      </w:pPr>
    </w:p>
    <w:p w14:paraId="18B72FE0" w14:textId="22F47559" w:rsidR="00D21842" w:rsidRPr="008863E4" w:rsidRDefault="00D21842" w:rsidP="0017187F">
      <w:pPr>
        <w:tabs>
          <w:tab w:val="left" w:pos="540"/>
          <w:tab w:val="left" w:pos="569"/>
        </w:tabs>
        <w:jc w:val="both"/>
        <w:rPr>
          <w:sz w:val="22"/>
          <w:szCs w:val="22"/>
          <w:lang w:val="sr-Latn-ME"/>
        </w:rPr>
      </w:pPr>
      <w:r w:rsidRPr="008863E4">
        <w:rPr>
          <w:sz w:val="22"/>
          <w:szCs w:val="22"/>
          <w:lang w:val="sr-Latn-ME"/>
        </w:rPr>
        <w:t xml:space="preserve">Nije poznato da li se tenekteplaza izlučuje u majčino mlijeko. </w:t>
      </w:r>
      <w:r w:rsidR="00F67F16">
        <w:rPr>
          <w:sz w:val="22"/>
          <w:szCs w:val="22"/>
          <w:lang w:val="sr-Latn-ME"/>
        </w:rPr>
        <w:t xml:space="preserve">Treba preduzeti mjere opreza kada se lijek Metalyse primjenjuje kod žena koje doje i mora se donijeti odluka da li se dojenje prekida </w:t>
      </w:r>
      <w:r w:rsidRPr="008863E4">
        <w:rPr>
          <w:sz w:val="22"/>
          <w:szCs w:val="22"/>
          <w:lang w:val="sr-Latn-ME"/>
        </w:rPr>
        <w:t>u prvih 24</w:t>
      </w:r>
      <w:r w:rsidR="00862CCA" w:rsidRPr="008863E4">
        <w:rPr>
          <w:sz w:val="22"/>
          <w:szCs w:val="22"/>
          <w:lang w:val="sr-Latn-ME"/>
        </w:rPr>
        <w:t xml:space="preserve"> </w:t>
      </w:r>
      <w:r w:rsidRPr="008863E4">
        <w:rPr>
          <w:sz w:val="22"/>
          <w:szCs w:val="22"/>
          <w:lang w:val="sr-Latn-ME"/>
        </w:rPr>
        <w:t xml:space="preserve">sata </w:t>
      </w:r>
      <w:r w:rsidR="00B87DB8" w:rsidRPr="008863E4">
        <w:rPr>
          <w:sz w:val="22"/>
          <w:szCs w:val="22"/>
          <w:lang w:val="sr-Latn-ME"/>
        </w:rPr>
        <w:t>nakon primjene</w:t>
      </w:r>
      <w:r w:rsidRPr="008863E4">
        <w:rPr>
          <w:sz w:val="22"/>
          <w:szCs w:val="22"/>
          <w:lang w:val="sr-Latn-ME"/>
        </w:rPr>
        <w:t xml:space="preserve"> </w:t>
      </w:r>
      <w:r w:rsidR="00F67F16">
        <w:rPr>
          <w:sz w:val="22"/>
          <w:szCs w:val="22"/>
          <w:lang w:val="sr-Latn-ME"/>
        </w:rPr>
        <w:t>lijeka Metalyse</w:t>
      </w:r>
      <w:r w:rsidRPr="008863E4">
        <w:rPr>
          <w:sz w:val="22"/>
          <w:szCs w:val="22"/>
          <w:lang w:val="sr-Latn-ME"/>
        </w:rPr>
        <w:t>.</w:t>
      </w:r>
    </w:p>
    <w:p w14:paraId="1C6CCF5D" w14:textId="77777777" w:rsidR="003147DC" w:rsidRPr="008863E4" w:rsidRDefault="003147DC" w:rsidP="003147DC">
      <w:pPr>
        <w:autoSpaceDE w:val="0"/>
        <w:autoSpaceDN w:val="0"/>
        <w:adjustRightInd w:val="0"/>
        <w:jc w:val="both"/>
        <w:rPr>
          <w:sz w:val="22"/>
          <w:szCs w:val="22"/>
          <w:u w:val="single"/>
          <w:lang w:val="sr-Latn-ME"/>
        </w:rPr>
      </w:pPr>
    </w:p>
    <w:p w14:paraId="6FF3A7B3" w14:textId="72C6AC67" w:rsidR="003147DC" w:rsidRPr="008863E4" w:rsidRDefault="003147DC" w:rsidP="003147DC">
      <w:pPr>
        <w:autoSpaceDE w:val="0"/>
        <w:autoSpaceDN w:val="0"/>
        <w:adjustRightInd w:val="0"/>
        <w:jc w:val="both"/>
        <w:rPr>
          <w:sz w:val="22"/>
          <w:szCs w:val="22"/>
          <w:u w:val="single"/>
          <w:lang w:val="sr-Latn-ME"/>
        </w:rPr>
      </w:pPr>
      <w:r w:rsidRPr="008863E4">
        <w:rPr>
          <w:sz w:val="22"/>
          <w:szCs w:val="22"/>
          <w:u w:val="single"/>
          <w:lang w:val="sr-Latn-ME"/>
        </w:rPr>
        <w:t>Plodnost</w:t>
      </w:r>
    </w:p>
    <w:p w14:paraId="4AD0E4E0" w14:textId="77777777" w:rsidR="006D2622" w:rsidRPr="008863E4" w:rsidRDefault="006D2622" w:rsidP="003147DC">
      <w:pPr>
        <w:autoSpaceDE w:val="0"/>
        <w:autoSpaceDN w:val="0"/>
        <w:adjustRightInd w:val="0"/>
        <w:jc w:val="both"/>
        <w:rPr>
          <w:sz w:val="22"/>
          <w:szCs w:val="22"/>
          <w:u w:val="single"/>
          <w:lang w:val="sr-Latn-ME"/>
        </w:rPr>
      </w:pPr>
    </w:p>
    <w:p w14:paraId="71756760" w14:textId="77777777" w:rsidR="003147DC" w:rsidRPr="008863E4" w:rsidRDefault="003147DC" w:rsidP="003147DC">
      <w:pPr>
        <w:tabs>
          <w:tab w:val="left" w:pos="7920"/>
        </w:tabs>
        <w:jc w:val="both"/>
        <w:rPr>
          <w:sz w:val="22"/>
          <w:szCs w:val="22"/>
          <w:lang w:val="sr-Latn-ME"/>
        </w:rPr>
      </w:pPr>
      <w:r w:rsidRPr="008863E4">
        <w:rPr>
          <w:iCs/>
          <w:sz w:val="22"/>
          <w:szCs w:val="22"/>
          <w:lang w:val="sr-Latn-ME" w:eastAsia="de-DE"/>
        </w:rPr>
        <w:t>Ne postoje dostupni podaci kliničkih i pretkliničkih ispitivanja dejstva</w:t>
      </w:r>
      <w:r w:rsidRPr="008863E4">
        <w:rPr>
          <w:bCs/>
          <w:iCs/>
          <w:sz w:val="22"/>
          <w:szCs w:val="22"/>
          <w:lang w:val="sr-Latn-ME" w:eastAsia="de-DE"/>
        </w:rPr>
        <w:t xml:space="preserve"> </w:t>
      </w:r>
      <w:r w:rsidRPr="008863E4">
        <w:rPr>
          <w:iCs/>
          <w:sz w:val="22"/>
          <w:szCs w:val="22"/>
          <w:lang w:val="sr-Latn-ME" w:eastAsia="de-DE"/>
        </w:rPr>
        <w:t>tenekteplaze (Metalyse) na plodnost.</w:t>
      </w:r>
    </w:p>
    <w:p w14:paraId="5F47818F" w14:textId="77777777" w:rsidR="00227BDB" w:rsidRPr="008863E4" w:rsidRDefault="00227BDB" w:rsidP="0017187F">
      <w:pPr>
        <w:tabs>
          <w:tab w:val="left" w:pos="540"/>
          <w:tab w:val="left" w:pos="569"/>
        </w:tabs>
        <w:ind w:left="540" w:hanging="540"/>
        <w:jc w:val="both"/>
        <w:rPr>
          <w:b/>
          <w:bCs/>
          <w:sz w:val="22"/>
          <w:szCs w:val="22"/>
          <w:lang w:val="sr-Latn-ME"/>
        </w:rPr>
      </w:pPr>
    </w:p>
    <w:p w14:paraId="554244A2" w14:textId="4398582A" w:rsidR="0072020E" w:rsidRPr="008863E4" w:rsidRDefault="0072020E" w:rsidP="00396DFD">
      <w:pPr>
        <w:tabs>
          <w:tab w:val="left" w:pos="540"/>
          <w:tab w:val="left" w:pos="569"/>
        </w:tabs>
        <w:ind w:left="540" w:hanging="540"/>
        <w:rPr>
          <w:b/>
          <w:bCs/>
          <w:sz w:val="22"/>
          <w:szCs w:val="22"/>
          <w:lang w:val="sr-Latn-ME"/>
        </w:rPr>
      </w:pPr>
      <w:r w:rsidRPr="008863E4">
        <w:rPr>
          <w:b/>
          <w:bCs/>
          <w:sz w:val="22"/>
          <w:szCs w:val="22"/>
          <w:lang w:val="sr-Latn-ME"/>
        </w:rPr>
        <w:t xml:space="preserve">4.7. </w:t>
      </w:r>
      <w:r w:rsidR="00480FB1" w:rsidRPr="008863E4">
        <w:rPr>
          <w:b/>
          <w:bCs/>
          <w:sz w:val="22"/>
          <w:szCs w:val="22"/>
          <w:lang w:val="sr-Latn-ME"/>
        </w:rPr>
        <w:tab/>
      </w:r>
      <w:r w:rsidRPr="008863E4">
        <w:rPr>
          <w:b/>
          <w:bCs/>
          <w:sz w:val="22"/>
          <w:szCs w:val="22"/>
          <w:lang w:val="sr-Latn-ME"/>
        </w:rPr>
        <w:t xml:space="preserve">Uticaj na </w:t>
      </w:r>
      <w:r w:rsidR="002031B3" w:rsidRPr="008863E4">
        <w:rPr>
          <w:b/>
          <w:bCs/>
          <w:sz w:val="22"/>
          <w:szCs w:val="22"/>
          <w:lang w:val="sr-Latn-ME"/>
        </w:rPr>
        <w:t xml:space="preserve">sposobnost </w:t>
      </w:r>
      <w:r w:rsidR="00F34554" w:rsidRPr="008863E4">
        <w:rPr>
          <w:b/>
          <w:bCs/>
          <w:sz w:val="22"/>
          <w:szCs w:val="22"/>
          <w:lang w:val="sr-Latn-ME"/>
        </w:rPr>
        <w:t>upravljanja vozili</w:t>
      </w:r>
      <w:r w:rsidRPr="008863E4">
        <w:rPr>
          <w:b/>
          <w:bCs/>
          <w:sz w:val="22"/>
          <w:szCs w:val="22"/>
          <w:lang w:val="sr-Latn-ME"/>
        </w:rPr>
        <w:t>m</w:t>
      </w:r>
      <w:r w:rsidR="00F34554" w:rsidRPr="008863E4">
        <w:rPr>
          <w:b/>
          <w:bCs/>
          <w:sz w:val="22"/>
          <w:szCs w:val="22"/>
          <w:lang w:val="sr-Latn-ME"/>
        </w:rPr>
        <w:t>a</w:t>
      </w:r>
      <w:r w:rsidRPr="008863E4">
        <w:rPr>
          <w:b/>
          <w:bCs/>
          <w:sz w:val="22"/>
          <w:szCs w:val="22"/>
          <w:lang w:val="sr-Latn-ME"/>
        </w:rPr>
        <w:t xml:space="preserve"> i </w:t>
      </w:r>
      <w:r w:rsidR="000D3449" w:rsidRPr="008863E4">
        <w:rPr>
          <w:b/>
          <w:bCs/>
          <w:sz w:val="22"/>
          <w:szCs w:val="22"/>
          <w:lang w:val="sr-Latn-ME"/>
        </w:rPr>
        <w:t xml:space="preserve">rukovanje </w:t>
      </w:r>
      <w:r w:rsidRPr="008863E4">
        <w:rPr>
          <w:b/>
          <w:bCs/>
          <w:sz w:val="22"/>
          <w:szCs w:val="22"/>
          <w:lang w:val="sr-Latn-ME"/>
        </w:rPr>
        <w:t>mašinama</w:t>
      </w:r>
    </w:p>
    <w:p w14:paraId="467B2890" w14:textId="77777777" w:rsidR="00D21842" w:rsidRPr="008863E4" w:rsidRDefault="00D21842" w:rsidP="00396DFD">
      <w:pPr>
        <w:tabs>
          <w:tab w:val="left" w:pos="540"/>
          <w:tab w:val="left" w:pos="569"/>
        </w:tabs>
        <w:ind w:left="540" w:hanging="540"/>
        <w:rPr>
          <w:b/>
          <w:bCs/>
          <w:sz w:val="22"/>
          <w:szCs w:val="22"/>
          <w:lang w:val="sr-Latn-ME"/>
        </w:rPr>
      </w:pPr>
    </w:p>
    <w:p w14:paraId="266D2104" w14:textId="475E79A6" w:rsidR="00D21842" w:rsidRPr="008863E4" w:rsidRDefault="00D21842" w:rsidP="00480FB1">
      <w:pPr>
        <w:tabs>
          <w:tab w:val="left" w:pos="540"/>
          <w:tab w:val="left" w:pos="569"/>
        </w:tabs>
        <w:rPr>
          <w:sz w:val="22"/>
          <w:szCs w:val="22"/>
          <w:lang w:val="sr-Latn-ME"/>
        </w:rPr>
      </w:pPr>
      <w:r w:rsidRPr="008863E4">
        <w:rPr>
          <w:sz w:val="22"/>
          <w:szCs w:val="22"/>
          <w:lang w:val="sr-Latn-ME"/>
        </w:rPr>
        <w:t>Nije relevantno.</w:t>
      </w:r>
    </w:p>
    <w:p w14:paraId="0E6DBF1B" w14:textId="77777777" w:rsidR="00E85062" w:rsidRPr="008863E4" w:rsidRDefault="00E85062" w:rsidP="00480FB1">
      <w:pPr>
        <w:tabs>
          <w:tab w:val="left" w:pos="540"/>
          <w:tab w:val="left" w:pos="569"/>
        </w:tabs>
        <w:rPr>
          <w:b/>
          <w:bCs/>
          <w:sz w:val="22"/>
          <w:szCs w:val="22"/>
          <w:lang w:val="sr-Latn-ME"/>
        </w:rPr>
      </w:pPr>
    </w:p>
    <w:p w14:paraId="13885D03" w14:textId="77777777" w:rsidR="0072020E" w:rsidRPr="008863E4" w:rsidRDefault="0072020E" w:rsidP="00480FB1">
      <w:pPr>
        <w:tabs>
          <w:tab w:val="left" w:pos="540"/>
          <w:tab w:val="left" w:pos="569"/>
        </w:tabs>
        <w:rPr>
          <w:b/>
          <w:bCs/>
          <w:sz w:val="22"/>
          <w:szCs w:val="22"/>
          <w:lang w:val="sr-Latn-ME"/>
        </w:rPr>
      </w:pPr>
      <w:r w:rsidRPr="008863E4">
        <w:rPr>
          <w:b/>
          <w:bCs/>
          <w:sz w:val="22"/>
          <w:szCs w:val="22"/>
          <w:lang w:val="sr-Latn-ME"/>
        </w:rPr>
        <w:t xml:space="preserve">4.8. </w:t>
      </w:r>
      <w:r w:rsidR="00480FB1" w:rsidRPr="008863E4">
        <w:rPr>
          <w:b/>
          <w:bCs/>
          <w:sz w:val="22"/>
          <w:szCs w:val="22"/>
          <w:lang w:val="sr-Latn-ME"/>
        </w:rPr>
        <w:tab/>
      </w:r>
      <w:r w:rsidRPr="008863E4">
        <w:rPr>
          <w:b/>
          <w:bCs/>
          <w:sz w:val="22"/>
          <w:szCs w:val="22"/>
          <w:lang w:val="sr-Latn-ME"/>
        </w:rPr>
        <w:t>Neželjena dejstva</w:t>
      </w:r>
    </w:p>
    <w:p w14:paraId="7164E9B8" w14:textId="258CC894" w:rsidR="004E70AD" w:rsidRPr="008863E4" w:rsidRDefault="004E70AD" w:rsidP="00480FB1">
      <w:pPr>
        <w:tabs>
          <w:tab w:val="left" w:pos="540"/>
          <w:tab w:val="left" w:pos="569"/>
        </w:tabs>
        <w:rPr>
          <w:b/>
          <w:bCs/>
          <w:sz w:val="22"/>
          <w:szCs w:val="22"/>
          <w:lang w:val="sr-Latn-ME"/>
        </w:rPr>
      </w:pPr>
    </w:p>
    <w:tbl>
      <w:tblPr>
        <w:tblW w:w="9498" w:type="dxa"/>
        <w:tblInd w:w="-142" w:type="dxa"/>
        <w:tblLayout w:type="fixed"/>
        <w:tblLook w:val="0000" w:firstRow="0" w:lastRow="0" w:firstColumn="0" w:lastColumn="0" w:noHBand="0" w:noVBand="0"/>
      </w:tblPr>
      <w:tblGrid>
        <w:gridCol w:w="9498"/>
      </w:tblGrid>
      <w:tr w:rsidR="00D21842" w:rsidRPr="008863E4" w14:paraId="10F1F81C" w14:textId="77777777" w:rsidTr="00B46C2A">
        <w:trPr>
          <w:trHeight w:val="1145"/>
        </w:trPr>
        <w:tc>
          <w:tcPr>
            <w:tcW w:w="9498" w:type="dxa"/>
            <w:vAlign w:val="center"/>
          </w:tcPr>
          <w:p w14:paraId="56801F5F" w14:textId="77777777" w:rsidR="00D21842" w:rsidRPr="008863E4" w:rsidRDefault="00D21842" w:rsidP="0017187F">
            <w:pPr>
              <w:tabs>
                <w:tab w:val="left" w:pos="8835"/>
              </w:tabs>
              <w:ind w:right="648"/>
              <w:jc w:val="both"/>
              <w:rPr>
                <w:sz w:val="22"/>
                <w:szCs w:val="22"/>
                <w:u w:val="single"/>
                <w:lang w:val="sr-Latn-ME"/>
              </w:rPr>
            </w:pPr>
            <w:r w:rsidRPr="008863E4">
              <w:rPr>
                <w:sz w:val="22"/>
                <w:szCs w:val="22"/>
                <w:u w:val="single"/>
                <w:lang w:val="sr-Latn-ME"/>
              </w:rPr>
              <w:t>Sažetak bezbjednosnog profila</w:t>
            </w:r>
          </w:p>
          <w:p w14:paraId="0C406D49" w14:textId="77777777" w:rsidR="00D21842" w:rsidRPr="008863E4" w:rsidRDefault="00D21842" w:rsidP="0017187F">
            <w:pPr>
              <w:tabs>
                <w:tab w:val="left" w:pos="8835"/>
              </w:tabs>
              <w:ind w:right="648"/>
              <w:jc w:val="both"/>
              <w:rPr>
                <w:sz w:val="22"/>
                <w:szCs w:val="22"/>
                <w:lang w:val="sr-Latn-ME"/>
              </w:rPr>
            </w:pPr>
          </w:p>
          <w:p w14:paraId="1EAD40F8" w14:textId="463FF6B2" w:rsidR="00D21842" w:rsidRPr="008863E4" w:rsidRDefault="00D21842" w:rsidP="006D2622">
            <w:pPr>
              <w:tabs>
                <w:tab w:val="left" w:pos="8835"/>
              </w:tabs>
              <w:ind w:right="36"/>
              <w:jc w:val="both"/>
              <w:rPr>
                <w:sz w:val="22"/>
                <w:szCs w:val="22"/>
                <w:lang w:val="sr-Latn-ME"/>
              </w:rPr>
            </w:pPr>
            <w:r w:rsidRPr="008863E4">
              <w:rPr>
                <w:sz w:val="22"/>
                <w:szCs w:val="22"/>
                <w:lang w:val="sr-Latn-ME"/>
              </w:rPr>
              <w:t xml:space="preserve">Hemoragija je veoma često neželjeno dejstvo povezano sa primjenom tenekteplaze. Tip hemoragije je pretežno površinski na mjestu primjene injekcije. Često se pojavljuju ekhimoze, ali obično ne zahtijevaju nikakvo posebno reagovanje. Smrt i trajni invaliditet su zabilježeni kod pacijenata koji su doživjeli moždani udar (uključujući intrakranijalno krvarenje) i druge </w:t>
            </w:r>
            <w:r w:rsidR="00B87DB8" w:rsidRPr="008863E4">
              <w:rPr>
                <w:sz w:val="22"/>
                <w:szCs w:val="22"/>
                <w:lang w:val="sr-Latn-ME"/>
              </w:rPr>
              <w:t xml:space="preserve">epizode teškog </w:t>
            </w:r>
            <w:r w:rsidRPr="008863E4">
              <w:rPr>
                <w:sz w:val="22"/>
                <w:szCs w:val="22"/>
                <w:lang w:val="sr-Latn-ME"/>
              </w:rPr>
              <w:t>krvarenja.</w:t>
            </w:r>
          </w:p>
          <w:p w14:paraId="77A22D74" w14:textId="77777777" w:rsidR="00D21842" w:rsidRPr="008863E4" w:rsidRDefault="00D21842" w:rsidP="006D2622">
            <w:pPr>
              <w:tabs>
                <w:tab w:val="left" w:pos="8835"/>
              </w:tabs>
              <w:ind w:right="36"/>
              <w:jc w:val="both"/>
              <w:rPr>
                <w:sz w:val="22"/>
                <w:szCs w:val="22"/>
                <w:highlight w:val="yellow"/>
                <w:lang w:val="sr-Latn-ME"/>
              </w:rPr>
            </w:pPr>
          </w:p>
          <w:p w14:paraId="23B6A04C" w14:textId="4AD18D88" w:rsidR="00D21842" w:rsidRPr="008863E4" w:rsidRDefault="00D21842" w:rsidP="006D2622">
            <w:pPr>
              <w:tabs>
                <w:tab w:val="left" w:pos="8835"/>
              </w:tabs>
              <w:ind w:right="36"/>
              <w:jc w:val="both"/>
              <w:rPr>
                <w:sz w:val="22"/>
                <w:szCs w:val="22"/>
                <w:u w:val="single"/>
                <w:lang w:val="sr-Latn-ME"/>
              </w:rPr>
            </w:pPr>
            <w:r w:rsidRPr="008863E4">
              <w:rPr>
                <w:sz w:val="22"/>
                <w:szCs w:val="22"/>
                <w:u w:val="single"/>
                <w:lang w:val="sr-Latn-ME"/>
              </w:rPr>
              <w:t>Tabelarni prikaz neželjenih reakcija</w:t>
            </w:r>
          </w:p>
          <w:p w14:paraId="30303F7A" w14:textId="77777777" w:rsidR="00D21842" w:rsidRPr="008863E4" w:rsidRDefault="00D21842" w:rsidP="006D2622">
            <w:pPr>
              <w:tabs>
                <w:tab w:val="left" w:pos="8835"/>
              </w:tabs>
              <w:ind w:right="36"/>
              <w:jc w:val="both"/>
              <w:rPr>
                <w:sz w:val="22"/>
                <w:szCs w:val="22"/>
                <w:u w:val="single"/>
                <w:lang w:val="sr-Latn-ME"/>
              </w:rPr>
            </w:pPr>
          </w:p>
          <w:p w14:paraId="46000A2E" w14:textId="47D8DCDC" w:rsidR="00D21842" w:rsidRPr="008863E4" w:rsidRDefault="00D21842" w:rsidP="006D2622">
            <w:pPr>
              <w:tabs>
                <w:tab w:val="left" w:pos="8835"/>
              </w:tabs>
              <w:ind w:right="36"/>
              <w:jc w:val="both"/>
              <w:rPr>
                <w:sz w:val="22"/>
                <w:szCs w:val="22"/>
                <w:lang w:val="sr-Latn-ME"/>
              </w:rPr>
            </w:pPr>
            <w:r w:rsidRPr="008863E4">
              <w:rPr>
                <w:sz w:val="22"/>
                <w:szCs w:val="22"/>
                <w:lang w:val="sr-Latn-ME"/>
              </w:rPr>
              <w:t xml:space="preserve">Neželjene reakcije prikazane u nastavku su klasifikovane prema kategorijama učestalosti i klasifikaciji sistema organa. Kategorije učestalosti su definisane prema sljedećoj konvenciji: </w:t>
            </w:r>
          </w:p>
          <w:p w14:paraId="0A935EE8" w14:textId="6EBF2BF6" w:rsidR="00D21842" w:rsidRPr="008863E4" w:rsidRDefault="00D21842" w:rsidP="006D2622">
            <w:pPr>
              <w:tabs>
                <w:tab w:val="left" w:pos="8835"/>
              </w:tabs>
              <w:ind w:right="36"/>
              <w:jc w:val="both"/>
              <w:rPr>
                <w:sz w:val="22"/>
                <w:szCs w:val="22"/>
                <w:lang w:val="sr-Latn-ME"/>
              </w:rPr>
            </w:pPr>
            <w:r w:rsidRPr="008863E4">
              <w:rPr>
                <w:sz w:val="22"/>
                <w:szCs w:val="22"/>
                <w:lang w:val="sr-Latn-ME"/>
              </w:rPr>
              <w:t>veoma često (≥1/10), često (</w:t>
            </w:r>
            <w:r w:rsidRPr="008863E4">
              <w:rPr>
                <w:sz w:val="22"/>
                <w:szCs w:val="22"/>
                <w:lang w:val="sr-Latn-ME"/>
              </w:rPr>
              <w:sym w:font="Symbol" w:char="F0B3"/>
            </w:r>
            <w:r w:rsidRPr="008863E4">
              <w:rPr>
                <w:sz w:val="22"/>
                <w:szCs w:val="22"/>
                <w:lang w:val="sr-Latn-ME"/>
              </w:rPr>
              <w:t>1/100, &lt;1/10), povremeno (</w:t>
            </w:r>
            <w:r w:rsidRPr="008863E4">
              <w:rPr>
                <w:sz w:val="22"/>
                <w:szCs w:val="22"/>
                <w:lang w:val="sr-Latn-ME"/>
              </w:rPr>
              <w:sym w:font="Symbol" w:char="F0B3"/>
            </w:r>
            <w:r w:rsidRPr="008863E4">
              <w:rPr>
                <w:sz w:val="22"/>
                <w:szCs w:val="22"/>
                <w:lang w:val="sr-Latn-ME"/>
              </w:rPr>
              <w:t>1/1000, &lt;1/100), rijetko (</w:t>
            </w:r>
            <w:r w:rsidRPr="008863E4">
              <w:rPr>
                <w:sz w:val="22"/>
                <w:szCs w:val="22"/>
                <w:lang w:val="sr-Latn-ME"/>
              </w:rPr>
              <w:sym w:font="Symbol" w:char="F0B3"/>
            </w:r>
            <w:r w:rsidRPr="008863E4">
              <w:rPr>
                <w:sz w:val="22"/>
                <w:szCs w:val="22"/>
                <w:lang w:val="sr-Latn-ME"/>
              </w:rPr>
              <w:t xml:space="preserve">1/10000, &lt;1/1000), veoma rijetko (&lt;1/10000), </w:t>
            </w:r>
            <w:r w:rsidR="00BB5030" w:rsidRPr="008863E4">
              <w:rPr>
                <w:sz w:val="22"/>
                <w:szCs w:val="22"/>
                <w:lang w:val="sr-Latn-ME"/>
              </w:rPr>
              <w:t>nepoznato</w:t>
            </w:r>
            <w:r w:rsidRPr="008863E4">
              <w:rPr>
                <w:sz w:val="22"/>
                <w:szCs w:val="22"/>
                <w:lang w:val="sr-Latn-ME"/>
              </w:rPr>
              <w:t xml:space="preserve"> (ne može se proc</w:t>
            </w:r>
            <w:r w:rsidR="00E85062" w:rsidRPr="008863E4">
              <w:rPr>
                <w:sz w:val="22"/>
                <w:szCs w:val="22"/>
                <w:lang w:val="sr-Latn-ME"/>
              </w:rPr>
              <w:t>ij</w:t>
            </w:r>
            <w:r w:rsidRPr="008863E4">
              <w:rPr>
                <w:sz w:val="22"/>
                <w:szCs w:val="22"/>
                <w:lang w:val="sr-Latn-ME"/>
              </w:rPr>
              <w:t>eniti na osnovu dostupnih podataka).</w:t>
            </w:r>
          </w:p>
          <w:p w14:paraId="52AC95BD" w14:textId="77777777" w:rsidR="00D21842" w:rsidRPr="008863E4" w:rsidRDefault="00D21842" w:rsidP="001530CA">
            <w:pPr>
              <w:rPr>
                <w:sz w:val="22"/>
                <w:szCs w:val="22"/>
                <w:lang w:val="sr-Latn-ME"/>
              </w:rPr>
            </w:pPr>
          </w:p>
          <w:p w14:paraId="41F95AFD" w14:textId="7F0BB79D" w:rsidR="00D21842" w:rsidRPr="008863E4" w:rsidRDefault="00D21842" w:rsidP="001530CA">
            <w:pPr>
              <w:pStyle w:val="Header"/>
              <w:tabs>
                <w:tab w:val="left" w:pos="284"/>
              </w:tabs>
              <w:spacing w:after="120"/>
              <w:rPr>
                <w:sz w:val="22"/>
                <w:szCs w:val="22"/>
                <w:lang w:val="sr-Latn-ME"/>
              </w:rPr>
            </w:pPr>
            <w:r w:rsidRPr="008863E4">
              <w:rPr>
                <w:sz w:val="22"/>
                <w:szCs w:val="22"/>
                <w:lang w:val="sr-Latn-ME"/>
              </w:rPr>
              <w:t>Tabela 1 prikazuje učestalost neželjenih reakcija</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8"/>
              <w:gridCol w:w="4690"/>
            </w:tblGrid>
            <w:tr w:rsidR="00D21842" w:rsidRPr="008863E4" w14:paraId="16C0239A" w14:textId="77777777" w:rsidTr="00B46C2A">
              <w:trPr>
                <w:trHeight w:val="253"/>
              </w:trPr>
              <w:tc>
                <w:tcPr>
                  <w:tcW w:w="4688" w:type="dxa"/>
                  <w:shd w:val="clear" w:color="auto" w:fill="auto"/>
                </w:tcPr>
                <w:p w14:paraId="162461E5" w14:textId="5DD6E8D3" w:rsidR="00D21842" w:rsidRPr="008863E4" w:rsidRDefault="00D21842" w:rsidP="001530CA">
                  <w:pPr>
                    <w:rPr>
                      <w:sz w:val="22"/>
                      <w:szCs w:val="22"/>
                      <w:lang w:val="sr-Latn-ME"/>
                    </w:rPr>
                  </w:pPr>
                  <w:r w:rsidRPr="008863E4">
                    <w:rPr>
                      <w:sz w:val="22"/>
                      <w:szCs w:val="22"/>
                      <w:lang w:val="sr-Latn-ME"/>
                    </w:rPr>
                    <w:t>Klasifikacija sistema organa</w:t>
                  </w:r>
                </w:p>
              </w:tc>
              <w:tc>
                <w:tcPr>
                  <w:tcW w:w="4689" w:type="dxa"/>
                  <w:shd w:val="clear" w:color="auto" w:fill="auto"/>
                </w:tcPr>
                <w:p w14:paraId="0CCC5AB2" w14:textId="77777777" w:rsidR="00D21842" w:rsidRPr="008863E4" w:rsidRDefault="00D21842" w:rsidP="001530CA">
                  <w:pPr>
                    <w:rPr>
                      <w:sz w:val="22"/>
                      <w:szCs w:val="22"/>
                      <w:lang w:val="sr-Latn-ME"/>
                    </w:rPr>
                  </w:pPr>
                  <w:r w:rsidRPr="008863E4">
                    <w:rPr>
                      <w:sz w:val="22"/>
                      <w:szCs w:val="22"/>
                      <w:lang w:val="sr-Latn-ME"/>
                    </w:rPr>
                    <w:t>Neželjena reakcija</w:t>
                  </w:r>
                </w:p>
              </w:tc>
            </w:tr>
            <w:tr w:rsidR="00D21842" w:rsidRPr="008863E4" w14:paraId="1AF9BFAB" w14:textId="77777777" w:rsidTr="00B46C2A">
              <w:trPr>
                <w:trHeight w:val="263"/>
              </w:trPr>
              <w:tc>
                <w:tcPr>
                  <w:tcW w:w="9378" w:type="dxa"/>
                  <w:gridSpan w:val="2"/>
                  <w:shd w:val="clear" w:color="auto" w:fill="auto"/>
                </w:tcPr>
                <w:p w14:paraId="6422829D" w14:textId="3706742E" w:rsidR="00D21842" w:rsidRPr="008863E4" w:rsidRDefault="00D21842" w:rsidP="001530CA">
                  <w:pPr>
                    <w:rPr>
                      <w:sz w:val="22"/>
                      <w:szCs w:val="22"/>
                      <w:lang w:val="sr-Latn-ME"/>
                    </w:rPr>
                  </w:pPr>
                  <w:r w:rsidRPr="008863E4">
                    <w:rPr>
                      <w:sz w:val="22"/>
                      <w:szCs w:val="22"/>
                      <w:lang w:val="sr-Latn-ME"/>
                    </w:rPr>
                    <w:t>Poremećaji imunog sistema</w:t>
                  </w:r>
                </w:p>
              </w:tc>
            </w:tr>
            <w:tr w:rsidR="00D21842" w:rsidRPr="008863E4" w14:paraId="580A1588" w14:textId="77777777" w:rsidTr="00B46C2A">
              <w:trPr>
                <w:trHeight w:val="506"/>
              </w:trPr>
              <w:tc>
                <w:tcPr>
                  <w:tcW w:w="4688" w:type="dxa"/>
                  <w:shd w:val="clear" w:color="auto" w:fill="auto"/>
                </w:tcPr>
                <w:p w14:paraId="7A3AB58B" w14:textId="5189853B" w:rsidR="00D21842" w:rsidRPr="008863E4" w:rsidRDefault="00D21842" w:rsidP="001530CA">
                  <w:pPr>
                    <w:pStyle w:val="Header"/>
                    <w:tabs>
                      <w:tab w:val="left" w:pos="284"/>
                    </w:tabs>
                    <w:rPr>
                      <w:sz w:val="22"/>
                      <w:szCs w:val="22"/>
                      <w:lang w:val="sr-Latn-ME"/>
                    </w:rPr>
                  </w:pPr>
                  <w:r w:rsidRPr="008863E4">
                    <w:rPr>
                      <w:sz w:val="22"/>
                      <w:szCs w:val="22"/>
                      <w:lang w:val="sr-Latn-ME"/>
                    </w:rPr>
                    <w:t>Rijetko</w:t>
                  </w:r>
                </w:p>
              </w:tc>
              <w:tc>
                <w:tcPr>
                  <w:tcW w:w="4689" w:type="dxa"/>
                  <w:shd w:val="clear" w:color="auto" w:fill="auto"/>
                </w:tcPr>
                <w:p w14:paraId="39539F11" w14:textId="74B902F3" w:rsidR="00D21842" w:rsidRPr="008863E4" w:rsidRDefault="00D21842" w:rsidP="001530CA">
                  <w:pPr>
                    <w:tabs>
                      <w:tab w:val="left" w:pos="138"/>
                    </w:tabs>
                    <w:ind w:left="-3" w:firstLine="3"/>
                    <w:rPr>
                      <w:sz w:val="22"/>
                      <w:szCs w:val="22"/>
                      <w:lang w:val="sr-Latn-ME"/>
                    </w:rPr>
                  </w:pPr>
                  <w:r w:rsidRPr="008863E4">
                    <w:rPr>
                      <w:sz w:val="22"/>
                      <w:szCs w:val="22"/>
                      <w:lang w:val="sr-Latn-ME"/>
                    </w:rPr>
                    <w:t>Anafilaktoidna reakcija (uključujući osip, urtikariju, bronhospazam, edem larinksa)</w:t>
                  </w:r>
                </w:p>
              </w:tc>
            </w:tr>
            <w:tr w:rsidR="00D21842" w:rsidRPr="008863E4" w14:paraId="248F2972" w14:textId="77777777" w:rsidTr="00B46C2A">
              <w:trPr>
                <w:trHeight w:val="253"/>
              </w:trPr>
              <w:tc>
                <w:tcPr>
                  <w:tcW w:w="9378" w:type="dxa"/>
                  <w:gridSpan w:val="2"/>
                  <w:shd w:val="clear" w:color="auto" w:fill="auto"/>
                </w:tcPr>
                <w:p w14:paraId="15E8F1C1" w14:textId="77777777" w:rsidR="00D21842" w:rsidRPr="008863E4" w:rsidRDefault="00D21842" w:rsidP="001530CA">
                  <w:pPr>
                    <w:rPr>
                      <w:sz w:val="22"/>
                      <w:szCs w:val="22"/>
                      <w:lang w:val="sr-Latn-ME"/>
                    </w:rPr>
                  </w:pPr>
                  <w:r w:rsidRPr="008863E4">
                    <w:rPr>
                      <w:sz w:val="22"/>
                      <w:szCs w:val="22"/>
                      <w:lang w:val="sr-Latn-ME"/>
                    </w:rPr>
                    <w:lastRenderedPageBreak/>
                    <w:t>Poremećaji nervnog sistema</w:t>
                  </w:r>
                </w:p>
              </w:tc>
            </w:tr>
            <w:tr w:rsidR="00D21842" w:rsidRPr="008863E4" w14:paraId="31BEEA09" w14:textId="77777777" w:rsidTr="00B46C2A">
              <w:trPr>
                <w:trHeight w:val="1804"/>
              </w:trPr>
              <w:tc>
                <w:tcPr>
                  <w:tcW w:w="4688" w:type="dxa"/>
                  <w:shd w:val="clear" w:color="auto" w:fill="auto"/>
                </w:tcPr>
                <w:p w14:paraId="2335B3F6" w14:textId="78B30994" w:rsidR="00D21842" w:rsidRPr="008863E4" w:rsidRDefault="00D21842" w:rsidP="001530CA">
                  <w:pPr>
                    <w:pStyle w:val="Header"/>
                    <w:tabs>
                      <w:tab w:val="left" w:pos="284"/>
                    </w:tabs>
                    <w:rPr>
                      <w:sz w:val="22"/>
                      <w:szCs w:val="22"/>
                      <w:lang w:val="sr-Latn-ME"/>
                    </w:rPr>
                  </w:pPr>
                  <w:r w:rsidRPr="008863E4">
                    <w:rPr>
                      <w:sz w:val="22"/>
                      <w:szCs w:val="22"/>
                      <w:lang w:val="sr-Latn-ME"/>
                    </w:rPr>
                    <w:t>Povremeno</w:t>
                  </w:r>
                </w:p>
              </w:tc>
              <w:tc>
                <w:tcPr>
                  <w:tcW w:w="4689" w:type="dxa"/>
                  <w:shd w:val="clear" w:color="auto" w:fill="auto"/>
                </w:tcPr>
                <w:p w14:paraId="5E45AB06" w14:textId="0DA3CD46" w:rsidR="00D21842" w:rsidRPr="008863E4" w:rsidRDefault="00D21842" w:rsidP="001530CA">
                  <w:pPr>
                    <w:pStyle w:val="Header"/>
                    <w:tabs>
                      <w:tab w:val="left" w:pos="284"/>
                    </w:tabs>
                    <w:rPr>
                      <w:sz w:val="22"/>
                      <w:szCs w:val="22"/>
                      <w:lang w:val="sr-Latn-ME"/>
                    </w:rPr>
                  </w:pPr>
                  <w:r w:rsidRPr="008863E4">
                    <w:rPr>
                      <w:sz w:val="22"/>
                      <w:szCs w:val="22"/>
                      <w:lang w:val="sr-Latn-ME"/>
                    </w:rPr>
                    <w:t xml:space="preserve">Intrakranijalna </w:t>
                  </w:r>
                  <w:r w:rsidR="00B87DB8" w:rsidRPr="008863E4">
                    <w:rPr>
                      <w:sz w:val="22"/>
                      <w:szCs w:val="22"/>
                      <w:lang w:val="sr-Latn-ME"/>
                    </w:rPr>
                    <w:t xml:space="preserve">krvarenja </w:t>
                  </w:r>
                  <w:r w:rsidRPr="008863E4">
                    <w:rPr>
                      <w:sz w:val="22"/>
                      <w:szCs w:val="22"/>
                      <w:lang w:val="sr-Latn-ME"/>
                    </w:rPr>
                    <w:t>(kao što je cerebralna hemoragija, cerebralni hematom, hemoragični moždani udar, hemoragična transformacija moždanog udara, intrakranijalni hematom, subarahnoidalna hemoragija) uključujući i prateće simptome kao što su pospanost, afazija, hemipareza, konvulzije</w:t>
                  </w:r>
                </w:p>
              </w:tc>
            </w:tr>
            <w:tr w:rsidR="00D21842" w:rsidRPr="008863E4" w14:paraId="1F8226BB" w14:textId="77777777" w:rsidTr="00B46C2A">
              <w:trPr>
                <w:trHeight w:val="253"/>
              </w:trPr>
              <w:tc>
                <w:tcPr>
                  <w:tcW w:w="9378" w:type="dxa"/>
                  <w:gridSpan w:val="2"/>
                  <w:shd w:val="clear" w:color="auto" w:fill="auto"/>
                </w:tcPr>
                <w:p w14:paraId="0425217B" w14:textId="078362CA" w:rsidR="00D21842" w:rsidRPr="008863E4" w:rsidRDefault="00D21842" w:rsidP="001530CA">
                  <w:pPr>
                    <w:tabs>
                      <w:tab w:val="left" w:pos="2268"/>
                    </w:tabs>
                    <w:ind w:left="2127" w:hanging="2127"/>
                    <w:rPr>
                      <w:sz w:val="22"/>
                      <w:szCs w:val="22"/>
                      <w:lang w:val="sr-Latn-ME"/>
                    </w:rPr>
                  </w:pPr>
                  <w:r w:rsidRPr="008863E4">
                    <w:rPr>
                      <w:sz w:val="22"/>
                      <w:szCs w:val="22"/>
                      <w:lang w:val="sr-Latn-ME"/>
                    </w:rPr>
                    <w:t>Poremećaji oka</w:t>
                  </w:r>
                </w:p>
              </w:tc>
            </w:tr>
            <w:tr w:rsidR="00D21842" w:rsidRPr="008863E4" w14:paraId="03F683E2" w14:textId="77777777" w:rsidTr="00B46C2A">
              <w:trPr>
                <w:trHeight w:val="253"/>
              </w:trPr>
              <w:tc>
                <w:tcPr>
                  <w:tcW w:w="4688" w:type="dxa"/>
                  <w:shd w:val="clear" w:color="auto" w:fill="auto"/>
                </w:tcPr>
                <w:p w14:paraId="5F148C81" w14:textId="567181C6" w:rsidR="00D21842" w:rsidRPr="008863E4" w:rsidRDefault="00D21842" w:rsidP="001530CA">
                  <w:pPr>
                    <w:tabs>
                      <w:tab w:val="left" w:pos="2268"/>
                    </w:tabs>
                    <w:ind w:left="2127" w:hanging="2127"/>
                    <w:rPr>
                      <w:sz w:val="22"/>
                      <w:szCs w:val="22"/>
                      <w:lang w:val="sr-Latn-ME"/>
                    </w:rPr>
                  </w:pPr>
                  <w:r w:rsidRPr="008863E4">
                    <w:rPr>
                      <w:sz w:val="22"/>
                      <w:szCs w:val="22"/>
                      <w:lang w:val="sr-Latn-ME"/>
                    </w:rPr>
                    <w:t>Povremeno</w:t>
                  </w:r>
                  <w:r w:rsidRPr="008863E4">
                    <w:rPr>
                      <w:sz w:val="22"/>
                      <w:szCs w:val="22"/>
                      <w:lang w:val="sr-Latn-ME"/>
                    </w:rPr>
                    <w:tab/>
                  </w:r>
                </w:p>
              </w:tc>
              <w:tc>
                <w:tcPr>
                  <w:tcW w:w="4689" w:type="dxa"/>
                  <w:shd w:val="clear" w:color="auto" w:fill="auto"/>
                </w:tcPr>
                <w:p w14:paraId="325F1006" w14:textId="77777777" w:rsidR="00D21842" w:rsidRPr="008863E4" w:rsidRDefault="00D21842" w:rsidP="001530CA">
                  <w:pPr>
                    <w:pStyle w:val="Header"/>
                    <w:tabs>
                      <w:tab w:val="left" w:pos="284"/>
                    </w:tabs>
                    <w:rPr>
                      <w:sz w:val="22"/>
                      <w:szCs w:val="22"/>
                      <w:lang w:val="sr-Latn-ME"/>
                    </w:rPr>
                  </w:pPr>
                  <w:r w:rsidRPr="008863E4">
                    <w:rPr>
                      <w:sz w:val="22"/>
                      <w:szCs w:val="22"/>
                      <w:lang w:val="sr-Latn-ME"/>
                    </w:rPr>
                    <w:t>Hemoragija oka</w:t>
                  </w:r>
                </w:p>
              </w:tc>
            </w:tr>
            <w:tr w:rsidR="00D21842" w:rsidRPr="008863E4" w14:paraId="3EEB4F83" w14:textId="77777777" w:rsidTr="00B46C2A">
              <w:trPr>
                <w:trHeight w:val="253"/>
              </w:trPr>
              <w:tc>
                <w:tcPr>
                  <w:tcW w:w="9378" w:type="dxa"/>
                  <w:gridSpan w:val="2"/>
                  <w:shd w:val="clear" w:color="auto" w:fill="auto"/>
                </w:tcPr>
                <w:p w14:paraId="232E3671" w14:textId="77777777" w:rsidR="00D21842" w:rsidRPr="008863E4" w:rsidRDefault="00D21842" w:rsidP="001530CA">
                  <w:pPr>
                    <w:tabs>
                      <w:tab w:val="left" w:pos="2268"/>
                    </w:tabs>
                    <w:ind w:left="2127" w:hanging="2127"/>
                    <w:rPr>
                      <w:sz w:val="22"/>
                      <w:szCs w:val="22"/>
                      <w:lang w:val="sr-Latn-ME"/>
                    </w:rPr>
                  </w:pPr>
                  <w:r w:rsidRPr="008863E4">
                    <w:rPr>
                      <w:sz w:val="22"/>
                      <w:szCs w:val="22"/>
                      <w:lang w:val="sr-Latn-ME"/>
                    </w:rPr>
                    <w:t>Kardiološki poremećaji</w:t>
                  </w:r>
                </w:p>
              </w:tc>
            </w:tr>
            <w:tr w:rsidR="00D21842" w:rsidRPr="008863E4" w14:paraId="72129ECA" w14:textId="77777777" w:rsidTr="00F5090E">
              <w:trPr>
                <w:trHeight w:val="2375"/>
              </w:trPr>
              <w:tc>
                <w:tcPr>
                  <w:tcW w:w="4688" w:type="dxa"/>
                  <w:shd w:val="clear" w:color="auto" w:fill="auto"/>
                </w:tcPr>
                <w:p w14:paraId="645632D9" w14:textId="5B8C7114" w:rsidR="00D21842" w:rsidRPr="008863E4" w:rsidRDefault="00D21842" w:rsidP="001530CA">
                  <w:pPr>
                    <w:pStyle w:val="Header"/>
                    <w:tabs>
                      <w:tab w:val="left" w:pos="284"/>
                    </w:tabs>
                    <w:rPr>
                      <w:sz w:val="22"/>
                      <w:szCs w:val="22"/>
                      <w:lang w:val="sr-Latn-ME"/>
                    </w:rPr>
                  </w:pPr>
                  <w:r w:rsidRPr="008863E4">
                    <w:rPr>
                      <w:sz w:val="22"/>
                      <w:szCs w:val="22"/>
                      <w:lang w:val="sr-Latn-ME"/>
                    </w:rPr>
                    <w:t>Povremeno</w:t>
                  </w:r>
                </w:p>
              </w:tc>
              <w:tc>
                <w:tcPr>
                  <w:tcW w:w="4689" w:type="dxa"/>
                  <w:shd w:val="clear" w:color="auto" w:fill="auto"/>
                </w:tcPr>
                <w:p w14:paraId="59E99C00" w14:textId="690810AE" w:rsidR="00D21842" w:rsidRPr="008863E4" w:rsidRDefault="00D21842" w:rsidP="001530CA">
                  <w:pPr>
                    <w:pStyle w:val="Header"/>
                    <w:tabs>
                      <w:tab w:val="left" w:pos="284"/>
                    </w:tabs>
                    <w:rPr>
                      <w:sz w:val="22"/>
                      <w:szCs w:val="22"/>
                      <w:lang w:val="sr-Latn-ME"/>
                    </w:rPr>
                  </w:pPr>
                  <w:r w:rsidRPr="008863E4">
                    <w:rPr>
                      <w:sz w:val="22"/>
                      <w:szCs w:val="22"/>
                      <w:lang w:val="sr-Latn-ME"/>
                    </w:rPr>
                    <w:t xml:space="preserve">Reperfuzione aritmije (kao što </w:t>
                  </w:r>
                  <w:r w:rsidR="00B87DB8" w:rsidRPr="008863E4">
                    <w:rPr>
                      <w:sz w:val="22"/>
                      <w:szCs w:val="22"/>
                      <w:lang w:val="sr-Latn-ME"/>
                    </w:rPr>
                    <w:t>su</w:t>
                  </w:r>
                  <w:r w:rsidRPr="008863E4">
                    <w:rPr>
                      <w:sz w:val="22"/>
                      <w:szCs w:val="22"/>
                      <w:lang w:val="sr-Latn-ME"/>
                    </w:rPr>
                    <w:t xml:space="preserve"> asistolija, ubrzana idioventrikularna aritmija, aritmija, ekstrasistole, atrijalna fibrilacija, atrioventrikularni blok I stepena do kompletnog atrioventrikularnog bloka, bradikardija, tahikardija, ventrikularna aritmija, ventrikularna fibrilacija, ventrikularna tahikardija) javljaju se u tijesnoj vremenskoj povezanosti sa </w:t>
                  </w:r>
                  <w:r w:rsidR="00B87DB8" w:rsidRPr="008863E4">
                    <w:rPr>
                      <w:sz w:val="22"/>
                      <w:szCs w:val="22"/>
                      <w:lang w:val="sr-Latn-ME"/>
                    </w:rPr>
                    <w:t xml:space="preserve"> primjenom </w:t>
                  </w:r>
                  <w:r w:rsidRPr="008863E4">
                    <w:rPr>
                      <w:sz w:val="22"/>
                      <w:szCs w:val="22"/>
                      <w:lang w:val="sr-Latn-ME"/>
                    </w:rPr>
                    <w:t xml:space="preserve">tenekteplaze. </w:t>
                  </w:r>
                </w:p>
              </w:tc>
            </w:tr>
            <w:tr w:rsidR="00D21842" w:rsidRPr="008863E4" w14:paraId="37960431" w14:textId="77777777" w:rsidTr="00B46C2A">
              <w:trPr>
                <w:trHeight w:val="253"/>
              </w:trPr>
              <w:tc>
                <w:tcPr>
                  <w:tcW w:w="4688" w:type="dxa"/>
                  <w:shd w:val="clear" w:color="auto" w:fill="auto"/>
                </w:tcPr>
                <w:p w14:paraId="4F628FB6" w14:textId="35DAF88A" w:rsidR="00D21842" w:rsidRPr="008863E4" w:rsidRDefault="00D21842" w:rsidP="001530CA">
                  <w:pPr>
                    <w:tabs>
                      <w:tab w:val="left" w:pos="2268"/>
                    </w:tabs>
                    <w:ind w:left="2127" w:hanging="2127"/>
                    <w:rPr>
                      <w:sz w:val="22"/>
                      <w:szCs w:val="22"/>
                      <w:lang w:val="sr-Latn-ME"/>
                    </w:rPr>
                  </w:pPr>
                  <w:r w:rsidRPr="008863E4">
                    <w:rPr>
                      <w:sz w:val="22"/>
                      <w:szCs w:val="22"/>
                      <w:lang w:val="sr-Latn-ME"/>
                    </w:rPr>
                    <w:t>Rijetko</w:t>
                  </w:r>
                  <w:r w:rsidRPr="008863E4">
                    <w:rPr>
                      <w:sz w:val="22"/>
                      <w:szCs w:val="22"/>
                      <w:lang w:val="sr-Latn-ME"/>
                    </w:rPr>
                    <w:tab/>
                  </w:r>
                </w:p>
              </w:tc>
              <w:tc>
                <w:tcPr>
                  <w:tcW w:w="4689" w:type="dxa"/>
                  <w:shd w:val="clear" w:color="auto" w:fill="auto"/>
                </w:tcPr>
                <w:p w14:paraId="13301B5A" w14:textId="77777777" w:rsidR="00D21842" w:rsidRPr="008863E4" w:rsidRDefault="00D21842" w:rsidP="001530CA">
                  <w:pPr>
                    <w:pStyle w:val="Header"/>
                    <w:tabs>
                      <w:tab w:val="left" w:pos="284"/>
                    </w:tabs>
                    <w:rPr>
                      <w:sz w:val="22"/>
                      <w:szCs w:val="22"/>
                      <w:lang w:val="sr-Latn-ME"/>
                    </w:rPr>
                  </w:pPr>
                  <w:r w:rsidRPr="008863E4">
                    <w:rPr>
                      <w:sz w:val="22"/>
                      <w:szCs w:val="22"/>
                      <w:lang w:val="sr-Latn-ME"/>
                    </w:rPr>
                    <w:t>Perikardijalna hemoragija</w:t>
                  </w:r>
                </w:p>
              </w:tc>
            </w:tr>
            <w:tr w:rsidR="00D21842" w:rsidRPr="008863E4" w14:paraId="523F1918" w14:textId="77777777" w:rsidTr="00B46C2A">
              <w:trPr>
                <w:trHeight w:val="253"/>
              </w:trPr>
              <w:tc>
                <w:tcPr>
                  <w:tcW w:w="9378" w:type="dxa"/>
                  <w:gridSpan w:val="2"/>
                  <w:shd w:val="clear" w:color="auto" w:fill="auto"/>
                </w:tcPr>
                <w:p w14:paraId="112BA3FF" w14:textId="77777777" w:rsidR="00D21842" w:rsidRPr="008863E4" w:rsidRDefault="00D21842" w:rsidP="001530CA">
                  <w:pPr>
                    <w:tabs>
                      <w:tab w:val="left" w:pos="2268"/>
                    </w:tabs>
                    <w:rPr>
                      <w:sz w:val="22"/>
                      <w:szCs w:val="22"/>
                      <w:lang w:val="sr-Latn-ME"/>
                    </w:rPr>
                  </w:pPr>
                  <w:r w:rsidRPr="008863E4">
                    <w:rPr>
                      <w:sz w:val="22"/>
                      <w:szCs w:val="22"/>
                      <w:lang w:val="sr-Latn-ME"/>
                    </w:rPr>
                    <w:t>Vaskularni poremećaji</w:t>
                  </w:r>
                </w:p>
              </w:tc>
            </w:tr>
            <w:tr w:rsidR="00D21842" w:rsidRPr="008863E4" w14:paraId="09490379" w14:textId="77777777" w:rsidTr="00B46C2A">
              <w:trPr>
                <w:trHeight w:val="253"/>
              </w:trPr>
              <w:tc>
                <w:tcPr>
                  <w:tcW w:w="4688" w:type="dxa"/>
                  <w:shd w:val="clear" w:color="auto" w:fill="auto"/>
                </w:tcPr>
                <w:p w14:paraId="59B2950B" w14:textId="2C7D8BAB" w:rsidR="00D21842" w:rsidRPr="008863E4" w:rsidRDefault="00D21842" w:rsidP="001530CA">
                  <w:pPr>
                    <w:rPr>
                      <w:sz w:val="22"/>
                      <w:szCs w:val="22"/>
                      <w:lang w:val="sr-Latn-ME"/>
                    </w:rPr>
                  </w:pPr>
                  <w:r w:rsidRPr="008863E4">
                    <w:rPr>
                      <w:sz w:val="22"/>
                      <w:szCs w:val="22"/>
                      <w:lang w:val="sr-Latn-ME"/>
                    </w:rPr>
                    <w:t>Veoma često</w:t>
                  </w:r>
                </w:p>
              </w:tc>
              <w:tc>
                <w:tcPr>
                  <w:tcW w:w="4689" w:type="dxa"/>
                  <w:shd w:val="clear" w:color="auto" w:fill="auto"/>
                </w:tcPr>
                <w:p w14:paraId="330CB358" w14:textId="77777777" w:rsidR="00D21842" w:rsidRPr="008863E4" w:rsidRDefault="00D21842" w:rsidP="001530CA">
                  <w:pPr>
                    <w:rPr>
                      <w:sz w:val="22"/>
                      <w:szCs w:val="22"/>
                      <w:lang w:val="sr-Latn-ME"/>
                    </w:rPr>
                  </w:pPr>
                  <w:r w:rsidRPr="008863E4">
                    <w:rPr>
                      <w:sz w:val="22"/>
                      <w:szCs w:val="22"/>
                      <w:lang w:val="sr-Latn-ME"/>
                    </w:rPr>
                    <w:t>Hemoragija</w:t>
                  </w:r>
                </w:p>
              </w:tc>
            </w:tr>
            <w:tr w:rsidR="00D21842" w:rsidRPr="008863E4" w14:paraId="5D49838D" w14:textId="77777777" w:rsidTr="00B46C2A">
              <w:trPr>
                <w:trHeight w:val="263"/>
              </w:trPr>
              <w:tc>
                <w:tcPr>
                  <w:tcW w:w="4688" w:type="dxa"/>
                  <w:shd w:val="clear" w:color="auto" w:fill="auto"/>
                </w:tcPr>
                <w:p w14:paraId="5116FDE4" w14:textId="6763E82D" w:rsidR="00D21842" w:rsidRPr="008863E4" w:rsidRDefault="00D21842" w:rsidP="001530CA">
                  <w:pPr>
                    <w:rPr>
                      <w:sz w:val="22"/>
                      <w:szCs w:val="22"/>
                      <w:lang w:val="sr-Latn-ME"/>
                    </w:rPr>
                  </w:pPr>
                  <w:r w:rsidRPr="008863E4">
                    <w:rPr>
                      <w:sz w:val="22"/>
                      <w:szCs w:val="22"/>
                      <w:lang w:val="sr-Latn-ME"/>
                    </w:rPr>
                    <w:t>Rijetko</w:t>
                  </w:r>
                </w:p>
              </w:tc>
              <w:tc>
                <w:tcPr>
                  <w:tcW w:w="4689" w:type="dxa"/>
                  <w:shd w:val="clear" w:color="auto" w:fill="auto"/>
                </w:tcPr>
                <w:p w14:paraId="7A16F1DC" w14:textId="77777777" w:rsidR="00D21842" w:rsidRPr="008863E4" w:rsidRDefault="00D21842" w:rsidP="001530CA">
                  <w:pPr>
                    <w:rPr>
                      <w:sz w:val="22"/>
                      <w:szCs w:val="22"/>
                      <w:lang w:val="sr-Latn-ME"/>
                    </w:rPr>
                  </w:pPr>
                  <w:r w:rsidRPr="008863E4">
                    <w:rPr>
                      <w:sz w:val="22"/>
                      <w:szCs w:val="22"/>
                      <w:lang w:val="sr-Latn-ME"/>
                    </w:rPr>
                    <w:t>Embolija (trombotična embolizacija)</w:t>
                  </w:r>
                </w:p>
              </w:tc>
            </w:tr>
            <w:tr w:rsidR="00D21842" w:rsidRPr="008863E4" w14:paraId="42F5C309" w14:textId="77777777" w:rsidTr="00B46C2A">
              <w:trPr>
                <w:trHeight w:val="253"/>
              </w:trPr>
              <w:tc>
                <w:tcPr>
                  <w:tcW w:w="9378" w:type="dxa"/>
                  <w:gridSpan w:val="2"/>
                  <w:shd w:val="clear" w:color="auto" w:fill="auto"/>
                </w:tcPr>
                <w:p w14:paraId="68489129" w14:textId="77777777" w:rsidR="00D21842" w:rsidRPr="008863E4" w:rsidRDefault="00D21842" w:rsidP="001530CA">
                  <w:pPr>
                    <w:tabs>
                      <w:tab w:val="left" w:pos="2268"/>
                    </w:tabs>
                    <w:ind w:left="2127" w:hanging="2127"/>
                    <w:rPr>
                      <w:sz w:val="22"/>
                      <w:szCs w:val="22"/>
                      <w:lang w:val="sr-Latn-ME"/>
                    </w:rPr>
                  </w:pPr>
                  <w:r w:rsidRPr="008863E4">
                    <w:rPr>
                      <w:sz w:val="22"/>
                      <w:szCs w:val="22"/>
                      <w:lang w:val="sr-Latn-ME"/>
                    </w:rPr>
                    <w:t>Respiratorni, torakalni i medijastinalni poremećaji</w:t>
                  </w:r>
                </w:p>
              </w:tc>
            </w:tr>
            <w:tr w:rsidR="00D21842" w:rsidRPr="008863E4" w14:paraId="70CDE554" w14:textId="77777777" w:rsidTr="00B46C2A">
              <w:trPr>
                <w:trHeight w:val="253"/>
              </w:trPr>
              <w:tc>
                <w:tcPr>
                  <w:tcW w:w="4688" w:type="dxa"/>
                  <w:shd w:val="clear" w:color="auto" w:fill="auto"/>
                </w:tcPr>
                <w:p w14:paraId="694814BF" w14:textId="4D9D1B0F" w:rsidR="00D21842" w:rsidRPr="008863E4" w:rsidRDefault="00D21842" w:rsidP="001530CA">
                  <w:pPr>
                    <w:rPr>
                      <w:sz w:val="22"/>
                      <w:szCs w:val="22"/>
                      <w:lang w:val="sr-Latn-ME"/>
                    </w:rPr>
                  </w:pPr>
                  <w:r w:rsidRPr="008863E4">
                    <w:rPr>
                      <w:sz w:val="22"/>
                      <w:szCs w:val="22"/>
                      <w:lang w:val="sr-Latn-ME"/>
                    </w:rPr>
                    <w:t>Često</w:t>
                  </w:r>
                </w:p>
              </w:tc>
              <w:tc>
                <w:tcPr>
                  <w:tcW w:w="4689" w:type="dxa"/>
                  <w:shd w:val="clear" w:color="auto" w:fill="auto"/>
                </w:tcPr>
                <w:p w14:paraId="0D50D37C" w14:textId="77777777" w:rsidR="00D21842" w:rsidRPr="008863E4" w:rsidRDefault="00D21842" w:rsidP="001530CA">
                  <w:pPr>
                    <w:rPr>
                      <w:sz w:val="22"/>
                      <w:szCs w:val="22"/>
                      <w:lang w:val="sr-Latn-ME"/>
                    </w:rPr>
                  </w:pPr>
                  <w:r w:rsidRPr="008863E4">
                    <w:rPr>
                      <w:sz w:val="22"/>
                      <w:szCs w:val="22"/>
                      <w:lang w:val="sr-Latn-ME"/>
                    </w:rPr>
                    <w:t>Epistaksa</w:t>
                  </w:r>
                </w:p>
              </w:tc>
            </w:tr>
            <w:tr w:rsidR="00D21842" w:rsidRPr="008863E4" w14:paraId="6040BD61" w14:textId="77777777" w:rsidTr="00B46C2A">
              <w:trPr>
                <w:trHeight w:val="263"/>
              </w:trPr>
              <w:tc>
                <w:tcPr>
                  <w:tcW w:w="4688" w:type="dxa"/>
                  <w:shd w:val="clear" w:color="auto" w:fill="auto"/>
                </w:tcPr>
                <w:p w14:paraId="25E3CAF1" w14:textId="28F81205" w:rsidR="00D21842" w:rsidRPr="008863E4" w:rsidRDefault="00D21842" w:rsidP="001530CA">
                  <w:pPr>
                    <w:rPr>
                      <w:sz w:val="22"/>
                      <w:szCs w:val="22"/>
                      <w:lang w:val="sr-Latn-ME"/>
                    </w:rPr>
                  </w:pPr>
                  <w:r w:rsidRPr="008863E4">
                    <w:rPr>
                      <w:sz w:val="22"/>
                      <w:szCs w:val="22"/>
                      <w:lang w:val="sr-Latn-ME"/>
                    </w:rPr>
                    <w:t>Rijetko</w:t>
                  </w:r>
                </w:p>
              </w:tc>
              <w:tc>
                <w:tcPr>
                  <w:tcW w:w="4689" w:type="dxa"/>
                  <w:shd w:val="clear" w:color="auto" w:fill="auto"/>
                </w:tcPr>
                <w:p w14:paraId="2EED4A1B" w14:textId="77777777" w:rsidR="00D21842" w:rsidRPr="008863E4" w:rsidRDefault="00D21842" w:rsidP="001530CA">
                  <w:pPr>
                    <w:rPr>
                      <w:sz w:val="22"/>
                      <w:szCs w:val="22"/>
                      <w:lang w:val="sr-Latn-ME"/>
                    </w:rPr>
                  </w:pPr>
                  <w:r w:rsidRPr="008863E4">
                    <w:rPr>
                      <w:sz w:val="22"/>
                      <w:szCs w:val="22"/>
                      <w:lang w:val="sr-Latn-ME"/>
                    </w:rPr>
                    <w:t>Plućna hemoragija</w:t>
                  </w:r>
                </w:p>
              </w:tc>
            </w:tr>
            <w:tr w:rsidR="00D21842" w:rsidRPr="008863E4" w14:paraId="6B423130" w14:textId="77777777" w:rsidTr="00B46C2A">
              <w:trPr>
                <w:trHeight w:val="253"/>
              </w:trPr>
              <w:tc>
                <w:tcPr>
                  <w:tcW w:w="9378" w:type="dxa"/>
                  <w:gridSpan w:val="2"/>
                  <w:shd w:val="clear" w:color="auto" w:fill="auto"/>
                </w:tcPr>
                <w:p w14:paraId="2EAE2EB2" w14:textId="77777777" w:rsidR="00D21842" w:rsidRPr="008863E4" w:rsidRDefault="00D21842" w:rsidP="001530CA">
                  <w:pPr>
                    <w:pStyle w:val="Header"/>
                    <w:tabs>
                      <w:tab w:val="left" w:pos="284"/>
                    </w:tabs>
                    <w:rPr>
                      <w:sz w:val="22"/>
                      <w:szCs w:val="22"/>
                      <w:lang w:val="sr-Latn-ME"/>
                    </w:rPr>
                  </w:pPr>
                  <w:r w:rsidRPr="008863E4">
                    <w:rPr>
                      <w:sz w:val="22"/>
                      <w:szCs w:val="22"/>
                      <w:lang w:val="sr-Latn-ME"/>
                    </w:rPr>
                    <w:t>Gastrointestinalni poremećaji</w:t>
                  </w:r>
                </w:p>
              </w:tc>
            </w:tr>
            <w:tr w:rsidR="00D21842" w:rsidRPr="008863E4" w14:paraId="260FC360" w14:textId="77777777" w:rsidTr="00B46C2A">
              <w:trPr>
                <w:trHeight w:val="770"/>
              </w:trPr>
              <w:tc>
                <w:tcPr>
                  <w:tcW w:w="4688" w:type="dxa"/>
                  <w:shd w:val="clear" w:color="auto" w:fill="auto"/>
                </w:tcPr>
                <w:p w14:paraId="6565E610" w14:textId="41BDF798" w:rsidR="00D21842" w:rsidRPr="008863E4" w:rsidRDefault="00D21842" w:rsidP="001530CA">
                  <w:pPr>
                    <w:rPr>
                      <w:sz w:val="22"/>
                      <w:szCs w:val="22"/>
                      <w:lang w:val="sr-Latn-ME"/>
                    </w:rPr>
                  </w:pPr>
                  <w:r w:rsidRPr="008863E4">
                    <w:rPr>
                      <w:sz w:val="22"/>
                      <w:szCs w:val="22"/>
                      <w:lang w:val="sr-Latn-ME"/>
                    </w:rPr>
                    <w:t>Često</w:t>
                  </w:r>
                </w:p>
              </w:tc>
              <w:tc>
                <w:tcPr>
                  <w:tcW w:w="4689" w:type="dxa"/>
                  <w:shd w:val="clear" w:color="auto" w:fill="auto"/>
                </w:tcPr>
                <w:p w14:paraId="1137D5BF" w14:textId="77777777" w:rsidR="00D21842" w:rsidRPr="008863E4" w:rsidRDefault="00D21842" w:rsidP="001530CA">
                  <w:pPr>
                    <w:rPr>
                      <w:sz w:val="22"/>
                      <w:szCs w:val="22"/>
                      <w:lang w:val="sr-Latn-ME"/>
                    </w:rPr>
                  </w:pPr>
                  <w:r w:rsidRPr="008863E4">
                    <w:rPr>
                      <w:sz w:val="22"/>
                      <w:szCs w:val="22"/>
                      <w:lang w:val="sr-Latn-ME"/>
                    </w:rPr>
                    <w:t>Gastrointestinalna hemoragija (kao što je gastrična hemoragija, krvarenje iz čira na želucu, krvarenje iz rektuma, hematemeza, melena, krvarenje iz usta)</w:t>
                  </w:r>
                </w:p>
              </w:tc>
            </w:tr>
            <w:tr w:rsidR="00D21842" w:rsidRPr="008863E4" w14:paraId="1EDC40E4" w14:textId="77777777" w:rsidTr="00B46C2A">
              <w:trPr>
                <w:trHeight w:val="506"/>
              </w:trPr>
              <w:tc>
                <w:tcPr>
                  <w:tcW w:w="4688" w:type="dxa"/>
                  <w:shd w:val="clear" w:color="auto" w:fill="auto"/>
                </w:tcPr>
                <w:p w14:paraId="45C6FC30" w14:textId="2FD065E0" w:rsidR="00D21842" w:rsidRPr="008863E4" w:rsidRDefault="00D21842" w:rsidP="001530CA">
                  <w:pPr>
                    <w:rPr>
                      <w:sz w:val="22"/>
                      <w:szCs w:val="22"/>
                      <w:lang w:val="sr-Latn-ME"/>
                    </w:rPr>
                  </w:pPr>
                  <w:r w:rsidRPr="008863E4">
                    <w:rPr>
                      <w:sz w:val="22"/>
                      <w:szCs w:val="22"/>
                      <w:lang w:val="sr-Latn-ME"/>
                    </w:rPr>
                    <w:t>Povremeno</w:t>
                  </w:r>
                </w:p>
              </w:tc>
              <w:tc>
                <w:tcPr>
                  <w:tcW w:w="4689" w:type="dxa"/>
                  <w:shd w:val="clear" w:color="auto" w:fill="auto"/>
                </w:tcPr>
                <w:p w14:paraId="7DC58DC2" w14:textId="77777777" w:rsidR="00D21842" w:rsidRPr="008863E4" w:rsidRDefault="00D21842" w:rsidP="001530CA">
                  <w:pPr>
                    <w:rPr>
                      <w:sz w:val="22"/>
                      <w:szCs w:val="22"/>
                      <w:lang w:val="sr-Latn-ME"/>
                    </w:rPr>
                  </w:pPr>
                  <w:r w:rsidRPr="008863E4">
                    <w:rPr>
                      <w:sz w:val="22"/>
                      <w:szCs w:val="22"/>
                      <w:lang w:val="sr-Latn-ME"/>
                    </w:rPr>
                    <w:t>Retroperitonealna hemoragija (kao što je retroperitonealni hematom)</w:t>
                  </w:r>
                </w:p>
              </w:tc>
            </w:tr>
            <w:tr w:rsidR="00D21842" w:rsidRPr="008863E4" w14:paraId="275DF2B2" w14:textId="77777777" w:rsidTr="00B46C2A">
              <w:trPr>
                <w:trHeight w:val="263"/>
              </w:trPr>
              <w:tc>
                <w:tcPr>
                  <w:tcW w:w="4688" w:type="dxa"/>
                  <w:shd w:val="clear" w:color="auto" w:fill="auto"/>
                </w:tcPr>
                <w:p w14:paraId="02B23696" w14:textId="4FD8041C" w:rsidR="00D21842" w:rsidRPr="008863E4" w:rsidRDefault="00D21842" w:rsidP="001530CA">
                  <w:pPr>
                    <w:rPr>
                      <w:sz w:val="22"/>
                      <w:szCs w:val="22"/>
                      <w:lang w:val="sr-Latn-ME"/>
                    </w:rPr>
                  </w:pPr>
                  <w:r w:rsidRPr="008863E4">
                    <w:rPr>
                      <w:sz w:val="22"/>
                      <w:szCs w:val="22"/>
                      <w:lang w:val="sr-Latn-ME"/>
                    </w:rPr>
                    <w:t>N</w:t>
                  </w:r>
                  <w:r w:rsidR="00BB5030" w:rsidRPr="008863E4">
                    <w:rPr>
                      <w:sz w:val="22"/>
                      <w:szCs w:val="22"/>
                      <w:lang w:val="sr-Latn-ME"/>
                    </w:rPr>
                    <w:t>epoznato</w:t>
                  </w:r>
                  <w:r w:rsidRPr="008863E4">
                    <w:rPr>
                      <w:sz w:val="22"/>
                      <w:szCs w:val="22"/>
                      <w:lang w:val="sr-Latn-ME"/>
                    </w:rPr>
                    <w:t xml:space="preserve"> </w:t>
                  </w:r>
                </w:p>
              </w:tc>
              <w:tc>
                <w:tcPr>
                  <w:tcW w:w="4689" w:type="dxa"/>
                  <w:shd w:val="clear" w:color="auto" w:fill="auto"/>
                </w:tcPr>
                <w:p w14:paraId="09E4BE1C" w14:textId="68E10C2D" w:rsidR="00D21842" w:rsidRPr="008863E4" w:rsidRDefault="00D21842" w:rsidP="001530CA">
                  <w:pPr>
                    <w:rPr>
                      <w:sz w:val="22"/>
                      <w:szCs w:val="22"/>
                      <w:lang w:val="sr-Latn-ME"/>
                    </w:rPr>
                  </w:pPr>
                  <w:r w:rsidRPr="008863E4">
                    <w:rPr>
                      <w:sz w:val="22"/>
                      <w:szCs w:val="22"/>
                      <w:lang w:val="sr-Latn-ME"/>
                    </w:rPr>
                    <w:t>Mučnina, povraćanje</w:t>
                  </w:r>
                </w:p>
              </w:tc>
            </w:tr>
            <w:tr w:rsidR="00D21842" w:rsidRPr="008863E4" w14:paraId="25B31E42" w14:textId="77777777" w:rsidTr="00B46C2A">
              <w:trPr>
                <w:trHeight w:val="253"/>
              </w:trPr>
              <w:tc>
                <w:tcPr>
                  <w:tcW w:w="9378" w:type="dxa"/>
                  <w:gridSpan w:val="2"/>
                  <w:shd w:val="clear" w:color="auto" w:fill="auto"/>
                </w:tcPr>
                <w:p w14:paraId="5A345BD0" w14:textId="1C9D1755" w:rsidR="00D21842" w:rsidRPr="008863E4" w:rsidRDefault="00D21842" w:rsidP="001530CA">
                  <w:pPr>
                    <w:tabs>
                      <w:tab w:val="left" w:pos="2268"/>
                    </w:tabs>
                    <w:ind w:left="2127" w:hanging="2127"/>
                    <w:rPr>
                      <w:sz w:val="22"/>
                      <w:szCs w:val="22"/>
                      <w:lang w:val="sr-Latn-ME"/>
                    </w:rPr>
                  </w:pPr>
                  <w:r w:rsidRPr="008863E4">
                    <w:rPr>
                      <w:sz w:val="22"/>
                      <w:szCs w:val="22"/>
                      <w:lang w:val="sr-Latn-ME"/>
                    </w:rPr>
                    <w:t>Poremećaji kože i potkožnog tkiva</w:t>
                  </w:r>
                </w:p>
              </w:tc>
            </w:tr>
            <w:tr w:rsidR="00D21842" w:rsidRPr="008863E4" w14:paraId="48588139" w14:textId="77777777" w:rsidTr="00B46C2A">
              <w:trPr>
                <w:trHeight w:val="253"/>
              </w:trPr>
              <w:tc>
                <w:tcPr>
                  <w:tcW w:w="4688" w:type="dxa"/>
                  <w:shd w:val="clear" w:color="auto" w:fill="auto"/>
                </w:tcPr>
                <w:p w14:paraId="639C841E" w14:textId="5194CA74" w:rsidR="00D21842" w:rsidRPr="008863E4" w:rsidRDefault="00D21842" w:rsidP="001530CA">
                  <w:pPr>
                    <w:rPr>
                      <w:sz w:val="22"/>
                      <w:szCs w:val="22"/>
                      <w:lang w:val="sr-Latn-ME"/>
                    </w:rPr>
                  </w:pPr>
                  <w:r w:rsidRPr="008863E4">
                    <w:rPr>
                      <w:sz w:val="22"/>
                      <w:szCs w:val="22"/>
                      <w:lang w:val="sr-Latn-ME"/>
                    </w:rPr>
                    <w:t>Često</w:t>
                  </w:r>
                </w:p>
              </w:tc>
              <w:tc>
                <w:tcPr>
                  <w:tcW w:w="4689" w:type="dxa"/>
                  <w:shd w:val="clear" w:color="auto" w:fill="auto"/>
                </w:tcPr>
                <w:p w14:paraId="0685714E" w14:textId="77777777" w:rsidR="00D21842" w:rsidRPr="008863E4" w:rsidRDefault="00D21842" w:rsidP="001530CA">
                  <w:pPr>
                    <w:rPr>
                      <w:sz w:val="22"/>
                      <w:szCs w:val="22"/>
                      <w:lang w:val="sr-Latn-ME"/>
                    </w:rPr>
                  </w:pPr>
                  <w:r w:rsidRPr="008863E4">
                    <w:rPr>
                      <w:sz w:val="22"/>
                      <w:szCs w:val="22"/>
                      <w:lang w:val="sr-Latn-ME"/>
                    </w:rPr>
                    <w:t>Ekhimoza</w:t>
                  </w:r>
                </w:p>
              </w:tc>
            </w:tr>
            <w:tr w:rsidR="00D21842" w:rsidRPr="008863E4" w14:paraId="7FFB463D" w14:textId="77777777" w:rsidTr="00B46C2A">
              <w:trPr>
                <w:trHeight w:val="263"/>
              </w:trPr>
              <w:tc>
                <w:tcPr>
                  <w:tcW w:w="9378" w:type="dxa"/>
                  <w:gridSpan w:val="2"/>
                  <w:shd w:val="clear" w:color="auto" w:fill="auto"/>
                </w:tcPr>
                <w:p w14:paraId="066230EA" w14:textId="5427B548" w:rsidR="00D21842" w:rsidRPr="008863E4" w:rsidRDefault="00D21842" w:rsidP="001530CA">
                  <w:pPr>
                    <w:tabs>
                      <w:tab w:val="left" w:pos="2268"/>
                    </w:tabs>
                    <w:ind w:left="2127" w:hanging="2127"/>
                    <w:rPr>
                      <w:sz w:val="22"/>
                      <w:szCs w:val="22"/>
                      <w:lang w:val="sr-Latn-ME"/>
                    </w:rPr>
                  </w:pPr>
                  <w:r w:rsidRPr="008863E4">
                    <w:rPr>
                      <w:sz w:val="22"/>
                      <w:szCs w:val="22"/>
                      <w:lang w:val="sr-Latn-ME"/>
                    </w:rPr>
                    <w:t>Poremećaji bubrega i urinarnog sistema</w:t>
                  </w:r>
                </w:p>
              </w:tc>
            </w:tr>
            <w:tr w:rsidR="00D21842" w:rsidRPr="008863E4" w14:paraId="36F341F3" w14:textId="77777777" w:rsidTr="00B46C2A">
              <w:trPr>
                <w:trHeight w:val="506"/>
              </w:trPr>
              <w:tc>
                <w:tcPr>
                  <w:tcW w:w="4688" w:type="dxa"/>
                  <w:shd w:val="clear" w:color="auto" w:fill="auto"/>
                </w:tcPr>
                <w:p w14:paraId="65C28C11" w14:textId="12626FA3" w:rsidR="00D21842" w:rsidRPr="008863E4" w:rsidRDefault="00D21842" w:rsidP="001530CA">
                  <w:pPr>
                    <w:rPr>
                      <w:sz w:val="22"/>
                      <w:szCs w:val="22"/>
                      <w:lang w:val="sr-Latn-ME"/>
                    </w:rPr>
                  </w:pPr>
                  <w:r w:rsidRPr="008863E4">
                    <w:rPr>
                      <w:sz w:val="22"/>
                      <w:szCs w:val="22"/>
                      <w:lang w:val="sr-Latn-ME"/>
                    </w:rPr>
                    <w:t>Često</w:t>
                  </w:r>
                </w:p>
              </w:tc>
              <w:tc>
                <w:tcPr>
                  <w:tcW w:w="4689" w:type="dxa"/>
                  <w:shd w:val="clear" w:color="auto" w:fill="auto"/>
                </w:tcPr>
                <w:p w14:paraId="73845664" w14:textId="77777777" w:rsidR="00D21842" w:rsidRPr="008863E4" w:rsidRDefault="00D21842" w:rsidP="001530CA">
                  <w:pPr>
                    <w:rPr>
                      <w:sz w:val="22"/>
                      <w:szCs w:val="22"/>
                      <w:lang w:val="sr-Latn-ME"/>
                    </w:rPr>
                  </w:pPr>
                  <w:r w:rsidRPr="008863E4">
                    <w:rPr>
                      <w:sz w:val="22"/>
                      <w:szCs w:val="22"/>
                      <w:lang w:val="sr-Latn-ME"/>
                    </w:rPr>
                    <w:t>Urogenitalna hemoragija (kao što je hematurija, hemoragija urinarnog trakta)</w:t>
                  </w:r>
                </w:p>
              </w:tc>
            </w:tr>
            <w:tr w:rsidR="00D21842" w:rsidRPr="008863E4" w14:paraId="05BC9C93" w14:textId="77777777" w:rsidTr="00B46C2A">
              <w:trPr>
                <w:trHeight w:val="263"/>
              </w:trPr>
              <w:tc>
                <w:tcPr>
                  <w:tcW w:w="9378" w:type="dxa"/>
                  <w:gridSpan w:val="2"/>
                  <w:shd w:val="clear" w:color="auto" w:fill="auto"/>
                </w:tcPr>
                <w:p w14:paraId="2D35D86D" w14:textId="6FC5D48E" w:rsidR="00D21842" w:rsidRPr="008863E4" w:rsidRDefault="00D21842" w:rsidP="001530CA">
                  <w:pPr>
                    <w:tabs>
                      <w:tab w:val="left" w:pos="2268"/>
                      <w:tab w:val="right" w:pos="4528"/>
                    </w:tabs>
                    <w:ind w:left="2127" w:hanging="2127"/>
                    <w:rPr>
                      <w:sz w:val="22"/>
                      <w:szCs w:val="22"/>
                      <w:lang w:val="sr-Latn-ME"/>
                    </w:rPr>
                  </w:pPr>
                  <w:r w:rsidRPr="008863E4">
                    <w:rPr>
                      <w:sz w:val="22"/>
                      <w:szCs w:val="22"/>
                      <w:lang w:val="sr-Latn-ME"/>
                    </w:rPr>
                    <w:t>Opšti poremećaji i reakcije na m</w:t>
                  </w:r>
                  <w:r w:rsidR="0002495E" w:rsidRPr="008863E4">
                    <w:rPr>
                      <w:sz w:val="22"/>
                      <w:szCs w:val="22"/>
                      <w:lang w:val="sr-Latn-ME"/>
                    </w:rPr>
                    <w:t>j</w:t>
                  </w:r>
                  <w:r w:rsidRPr="008863E4">
                    <w:rPr>
                      <w:sz w:val="22"/>
                      <w:szCs w:val="22"/>
                      <w:lang w:val="sr-Latn-ME"/>
                    </w:rPr>
                    <w:t>estu primjene</w:t>
                  </w:r>
                  <w:r w:rsidRPr="008863E4">
                    <w:rPr>
                      <w:sz w:val="22"/>
                      <w:szCs w:val="22"/>
                      <w:lang w:val="sr-Latn-ME"/>
                    </w:rPr>
                    <w:tab/>
                  </w:r>
                </w:p>
              </w:tc>
            </w:tr>
            <w:tr w:rsidR="00D21842" w:rsidRPr="008863E4" w14:paraId="38C29363" w14:textId="77777777" w:rsidTr="00B46C2A">
              <w:trPr>
                <w:trHeight w:val="506"/>
              </w:trPr>
              <w:tc>
                <w:tcPr>
                  <w:tcW w:w="4688" w:type="dxa"/>
                  <w:shd w:val="clear" w:color="auto" w:fill="auto"/>
                </w:tcPr>
                <w:p w14:paraId="2FCF781D" w14:textId="656189F1" w:rsidR="00D21842" w:rsidRPr="008863E4" w:rsidRDefault="00D21842" w:rsidP="001530CA">
                  <w:pPr>
                    <w:rPr>
                      <w:sz w:val="22"/>
                      <w:szCs w:val="22"/>
                      <w:lang w:val="sr-Latn-ME"/>
                    </w:rPr>
                  </w:pPr>
                  <w:r w:rsidRPr="008863E4">
                    <w:rPr>
                      <w:sz w:val="22"/>
                      <w:szCs w:val="22"/>
                      <w:lang w:val="sr-Latn-ME"/>
                    </w:rPr>
                    <w:t xml:space="preserve">Često </w:t>
                  </w:r>
                </w:p>
              </w:tc>
              <w:tc>
                <w:tcPr>
                  <w:tcW w:w="4689" w:type="dxa"/>
                  <w:shd w:val="clear" w:color="auto" w:fill="auto"/>
                </w:tcPr>
                <w:p w14:paraId="453FB9AA" w14:textId="440358B1" w:rsidR="00D21842" w:rsidRPr="008863E4" w:rsidRDefault="00D21842" w:rsidP="001530CA">
                  <w:pPr>
                    <w:rPr>
                      <w:sz w:val="22"/>
                      <w:szCs w:val="22"/>
                      <w:lang w:val="sr-Latn-ME"/>
                    </w:rPr>
                  </w:pPr>
                  <w:r w:rsidRPr="008863E4">
                    <w:rPr>
                      <w:sz w:val="22"/>
                      <w:szCs w:val="22"/>
                      <w:lang w:val="sr-Latn-ME"/>
                    </w:rPr>
                    <w:t xml:space="preserve">Krvarenje na mjestu </w:t>
                  </w:r>
                  <w:r w:rsidR="00233592" w:rsidRPr="008863E4">
                    <w:rPr>
                      <w:sz w:val="22"/>
                      <w:szCs w:val="22"/>
                      <w:lang w:val="sr-Latn-ME"/>
                    </w:rPr>
                    <w:t xml:space="preserve">primjene </w:t>
                  </w:r>
                  <w:r w:rsidRPr="008863E4">
                    <w:rPr>
                      <w:sz w:val="22"/>
                      <w:szCs w:val="22"/>
                      <w:lang w:val="sr-Latn-ME"/>
                    </w:rPr>
                    <w:t>injekcije, krvarenje na mjestu punkcije</w:t>
                  </w:r>
                </w:p>
              </w:tc>
            </w:tr>
            <w:tr w:rsidR="00D21842" w:rsidRPr="008863E4" w14:paraId="742D5241" w14:textId="77777777" w:rsidTr="00B46C2A">
              <w:trPr>
                <w:trHeight w:val="253"/>
              </w:trPr>
              <w:tc>
                <w:tcPr>
                  <w:tcW w:w="9378" w:type="dxa"/>
                  <w:gridSpan w:val="2"/>
                  <w:shd w:val="clear" w:color="auto" w:fill="auto"/>
                </w:tcPr>
                <w:p w14:paraId="1B9D14A2" w14:textId="77777777" w:rsidR="00D21842" w:rsidRPr="008863E4" w:rsidRDefault="00D21842" w:rsidP="001530CA">
                  <w:pPr>
                    <w:tabs>
                      <w:tab w:val="left" w:pos="2268"/>
                    </w:tabs>
                    <w:ind w:left="2127" w:hanging="2127"/>
                    <w:rPr>
                      <w:sz w:val="22"/>
                      <w:szCs w:val="22"/>
                      <w:lang w:val="sr-Latn-ME"/>
                    </w:rPr>
                  </w:pPr>
                  <w:r w:rsidRPr="008863E4">
                    <w:rPr>
                      <w:sz w:val="22"/>
                      <w:szCs w:val="22"/>
                      <w:lang w:val="sr-Latn-ME"/>
                    </w:rPr>
                    <w:t>Ispitivanja</w:t>
                  </w:r>
                </w:p>
              </w:tc>
            </w:tr>
            <w:tr w:rsidR="00D21842" w:rsidRPr="008863E4" w14:paraId="3048692E" w14:textId="77777777" w:rsidTr="00B46C2A">
              <w:trPr>
                <w:trHeight w:val="263"/>
              </w:trPr>
              <w:tc>
                <w:tcPr>
                  <w:tcW w:w="4688" w:type="dxa"/>
                  <w:shd w:val="clear" w:color="auto" w:fill="auto"/>
                </w:tcPr>
                <w:p w14:paraId="09B98BCA" w14:textId="69F5D890" w:rsidR="00D21842" w:rsidRPr="008863E4" w:rsidRDefault="00D21842" w:rsidP="001530CA">
                  <w:pPr>
                    <w:rPr>
                      <w:sz w:val="22"/>
                      <w:szCs w:val="22"/>
                      <w:lang w:val="sr-Latn-ME"/>
                    </w:rPr>
                  </w:pPr>
                  <w:r w:rsidRPr="008863E4">
                    <w:rPr>
                      <w:sz w:val="22"/>
                      <w:szCs w:val="22"/>
                      <w:lang w:val="sr-Latn-ME"/>
                    </w:rPr>
                    <w:t>Rijetko</w:t>
                  </w:r>
                </w:p>
              </w:tc>
              <w:tc>
                <w:tcPr>
                  <w:tcW w:w="4689" w:type="dxa"/>
                  <w:shd w:val="clear" w:color="auto" w:fill="auto"/>
                </w:tcPr>
                <w:p w14:paraId="2E3487BF" w14:textId="77777777" w:rsidR="00D21842" w:rsidRPr="008863E4" w:rsidRDefault="00D21842" w:rsidP="001530CA">
                  <w:pPr>
                    <w:rPr>
                      <w:sz w:val="22"/>
                      <w:szCs w:val="22"/>
                      <w:lang w:val="sr-Latn-ME"/>
                    </w:rPr>
                  </w:pPr>
                  <w:r w:rsidRPr="008863E4">
                    <w:rPr>
                      <w:sz w:val="22"/>
                      <w:szCs w:val="22"/>
                      <w:lang w:val="sr-Latn-ME"/>
                    </w:rPr>
                    <w:t>Snižen krvni pritisak</w:t>
                  </w:r>
                </w:p>
              </w:tc>
            </w:tr>
            <w:tr w:rsidR="00D21842" w:rsidRPr="008863E4" w14:paraId="7C160788" w14:textId="77777777" w:rsidTr="00B46C2A">
              <w:trPr>
                <w:trHeight w:val="253"/>
              </w:trPr>
              <w:tc>
                <w:tcPr>
                  <w:tcW w:w="4688" w:type="dxa"/>
                  <w:shd w:val="clear" w:color="auto" w:fill="auto"/>
                </w:tcPr>
                <w:p w14:paraId="64F7C56D" w14:textId="2D228C27" w:rsidR="00D21842" w:rsidRPr="008863E4" w:rsidRDefault="00D21842" w:rsidP="001530CA">
                  <w:pPr>
                    <w:rPr>
                      <w:sz w:val="22"/>
                      <w:szCs w:val="22"/>
                      <w:lang w:val="sr-Latn-ME"/>
                    </w:rPr>
                  </w:pPr>
                  <w:r w:rsidRPr="008863E4">
                    <w:rPr>
                      <w:sz w:val="22"/>
                      <w:szCs w:val="22"/>
                      <w:lang w:val="sr-Latn-ME"/>
                    </w:rPr>
                    <w:t>N</w:t>
                  </w:r>
                  <w:r w:rsidR="00BB5030" w:rsidRPr="008863E4">
                    <w:rPr>
                      <w:sz w:val="22"/>
                      <w:szCs w:val="22"/>
                      <w:lang w:val="sr-Latn-ME"/>
                    </w:rPr>
                    <w:t>epoznato</w:t>
                  </w:r>
                </w:p>
              </w:tc>
              <w:tc>
                <w:tcPr>
                  <w:tcW w:w="4689" w:type="dxa"/>
                  <w:shd w:val="clear" w:color="auto" w:fill="auto"/>
                </w:tcPr>
                <w:p w14:paraId="105DDDE3" w14:textId="35469BE0" w:rsidR="00D21842" w:rsidRPr="008863E4" w:rsidRDefault="00D21842" w:rsidP="001530CA">
                  <w:pPr>
                    <w:rPr>
                      <w:sz w:val="22"/>
                      <w:szCs w:val="22"/>
                      <w:lang w:val="sr-Latn-ME"/>
                    </w:rPr>
                  </w:pPr>
                  <w:r w:rsidRPr="008863E4">
                    <w:rPr>
                      <w:sz w:val="22"/>
                      <w:szCs w:val="22"/>
                      <w:lang w:val="sr-Latn-ME"/>
                    </w:rPr>
                    <w:t>Povišena t</w:t>
                  </w:r>
                  <w:r w:rsidR="00862CCA" w:rsidRPr="008863E4">
                    <w:rPr>
                      <w:sz w:val="22"/>
                      <w:szCs w:val="22"/>
                      <w:lang w:val="sr-Latn-ME"/>
                    </w:rPr>
                    <w:t>j</w:t>
                  </w:r>
                  <w:r w:rsidRPr="008863E4">
                    <w:rPr>
                      <w:sz w:val="22"/>
                      <w:szCs w:val="22"/>
                      <w:lang w:val="sr-Latn-ME"/>
                    </w:rPr>
                    <w:t>elesna temperatura</w:t>
                  </w:r>
                </w:p>
              </w:tc>
            </w:tr>
            <w:tr w:rsidR="00D21842" w:rsidRPr="008863E4" w14:paraId="52D09DA0" w14:textId="77777777" w:rsidTr="00B46C2A">
              <w:trPr>
                <w:trHeight w:val="253"/>
              </w:trPr>
              <w:tc>
                <w:tcPr>
                  <w:tcW w:w="9378" w:type="dxa"/>
                  <w:gridSpan w:val="2"/>
                  <w:shd w:val="clear" w:color="auto" w:fill="auto"/>
                </w:tcPr>
                <w:p w14:paraId="742BE3D7" w14:textId="77777777" w:rsidR="00D21842" w:rsidRPr="008863E4" w:rsidRDefault="00D21842" w:rsidP="001530CA">
                  <w:pPr>
                    <w:tabs>
                      <w:tab w:val="left" w:pos="2268"/>
                    </w:tabs>
                    <w:ind w:left="2127" w:hanging="2127"/>
                    <w:rPr>
                      <w:sz w:val="22"/>
                      <w:szCs w:val="22"/>
                      <w:lang w:val="sr-Latn-ME"/>
                    </w:rPr>
                  </w:pPr>
                  <w:r w:rsidRPr="008863E4">
                    <w:rPr>
                      <w:sz w:val="22"/>
                      <w:szCs w:val="22"/>
                      <w:lang w:val="sr-Latn-ME"/>
                    </w:rPr>
                    <w:t>Povrede, trovanja i proceduralne komplikacije</w:t>
                  </w:r>
                </w:p>
              </w:tc>
            </w:tr>
            <w:tr w:rsidR="00D21842" w:rsidRPr="008863E4" w14:paraId="133FDA2F" w14:textId="77777777" w:rsidTr="00B46C2A">
              <w:trPr>
                <w:trHeight w:val="516"/>
              </w:trPr>
              <w:tc>
                <w:tcPr>
                  <w:tcW w:w="4688" w:type="dxa"/>
                  <w:shd w:val="clear" w:color="auto" w:fill="auto"/>
                </w:tcPr>
                <w:p w14:paraId="283BD9F8" w14:textId="21676FD0" w:rsidR="00D21842" w:rsidRPr="008863E4" w:rsidRDefault="00D21842" w:rsidP="001530CA">
                  <w:pPr>
                    <w:rPr>
                      <w:sz w:val="22"/>
                      <w:szCs w:val="22"/>
                      <w:lang w:val="sr-Latn-ME"/>
                    </w:rPr>
                  </w:pPr>
                  <w:r w:rsidRPr="008863E4">
                    <w:rPr>
                      <w:sz w:val="22"/>
                      <w:szCs w:val="22"/>
                      <w:lang w:val="sr-Latn-ME"/>
                    </w:rPr>
                    <w:t>N</w:t>
                  </w:r>
                  <w:r w:rsidR="00BB5030" w:rsidRPr="008863E4">
                    <w:rPr>
                      <w:sz w:val="22"/>
                      <w:szCs w:val="22"/>
                      <w:lang w:val="sr-Latn-ME"/>
                    </w:rPr>
                    <w:t>epoznat</w:t>
                  </w:r>
                  <w:r w:rsidRPr="008863E4">
                    <w:rPr>
                      <w:sz w:val="22"/>
                      <w:szCs w:val="22"/>
                      <w:lang w:val="sr-Latn-ME"/>
                    </w:rPr>
                    <w:t>o:</w:t>
                  </w:r>
                </w:p>
              </w:tc>
              <w:tc>
                <w:tcPr>
                  <w:tcW w:w="4689" w:type="dxa"/>
                  <w:shd w:val="clear" w:color="auto" w:fill="auto"/>
                </w:tcPr>
                <w:p w14:paraId="1B25C694" w14:textId="18394885" w:rsidR="00D21842" w:rsidRPr="008863E4" w:rsidRDefault="00D21842" w:rsidP="001530CA">
                  <w:pPr>
                    <w:rPr>
                      <w:sz w:val="22"/>
                      <w:szCs w:val="22"/>
                      <w:lang w:val="sr-Latn-ME"/>
                    </w:rPr>
                  </w:pPr>
                  <w:r w:rsidRPr="008863E4">
                    <w:rPr>
                      <w:sz w:val="22"/>
                      <w:szCs w:val="22"/>
                      <w:lang w:val="sr-Latn-ME"/>
                    </w:rPr>
                    <w:t xml:space="preserve">Masna embolija, </w:t>
                  </w:r>
                  <w:r w:rsidR="00233592" w:rsidRPr="008863E4">
                    <w:rPr>
                      <w:sz w:val="22"/>
                      <w:szCs w:val="22"/>
                      <w:lang w:val="sr-Latn-ME"/>
                    </w:rPr>
                    <w:t>koja</w:t>
                  </w:r>
                  <w:r w:rsidRPr="008863E4">
                    <w:rPr>
                      <w:sz w:val="22"/>
                      <w:szCs w:val="22"/>
                      <w:lang w:val="sr-Latn-ME"/>
                    </w:rPr>
                    <w:t xml:space="preserve"> može da dovede do odgovarajućih posljedica na zahvaćenim organima.</w:t>
                  </w:r>
                </w:p>
              </w:tc>
            </w:tr>
          </w:tbl>
          <w:p w14:paraId="13A1FC51" w14:textId="77777777" w:rsidR="00D21842" w:rsidRPr="008863E4" w:rsidRDefault="00D21842" w:rsidP="001530CA">
            <w:pPr>
              <w:tabs>
                <w:tab w:val="left" w:pos="2268"/>
              </w:tabs>
              <w:ind w:left="2127" w:hanging="2127"/>
              <w:rPr>
                <w:sz w:val="22"/>
                <w:szCs w:val="22"/>
                <w:lang w:val="sr-Latn-ME"/>
              </w:rPr>
            </w:pPr>
          </w:p>
          <w:p w14:paraId="48596E97" w14:textId="64E4918F" w:rsidR="00D21842" w:rsidRPr="008863E4" w:rsidRDefault="00D21842" w:rsidP="006D2622">
            <w:pPr>
              <w:jc w:val="both"/>
              <w:rPr>
                <w:sz w:val="22"/>
                <w:szCs w:val="22"/>
                <w:lang w:val="sr-Latn-ME"/>
              </w:rPr>
            </w:pPr>
            <w:r w:rsidRPr="008863E4">
              <w:rPr>
                <w:sz w:val="22"/>
                <w:szCs w:val="22"/>
                <w:lang w:val="sr-Latn-ME"/>
              </w:rPr>
              <w:t xml:space="preserve">Kao što je slučaj i sa drugim trombolitičkim </w:t>
            </w:r>
            <w:r w:rsidR="00233592" w:rsidRPr="008863E4">
              <w:rPr>
                <w:sz w:val="22"/>
                <w:szCs w:val="22"/>
                <w:lang w:val="sr-Latn-ME"/>
              </w:rPr>
              <w:t>ljekovima</w:t>
            </w:r>
            <w:r w:rsidRPr="008863E4">
              <w:rPr>
                <w:sz w:val="22"/>
                <w:szCs w:val="22"/>
                <w:lang w:val="sr-Latn-ME"/>
              </w:rPr>
              <w:t xml:space="preserve">, zabilježeni su sljedeći događaji kao posljedice infarkta miokarda i/ili </w:t>
            </w:r>
            <w:r w:rsidR="00233592" w:rsidRPr="008863E4">
              <w:rPr>
                <w:sz w:val="22"/>
                <w:szCs w:val="22"/>
                <w:lang w:val="sr-Latn-ME"/>
              </w:rPr>
              <w:t>primjene</w:t>
            </w:r>
            <w:r w:rsidRPr="008863E4">
              <w:rPr>
                <w:sz w:val="22"/>
                <w:szCs w:val="22"/>
                <w:lang w:val="sr-Latn-ME"/>
              </w:rPr>
              <w:t xml:space="preserve"> trombolitika:</w:t>
            </w:r>
          </w:p>
          <w:p w14:paraId="29F4756B" w14:textId="77777777" w:rsidR="00D21842" w:rsidRPr="008863E4" w:rsidRDefault="00D21842" w:rsidP="0017187F">
            <w:pPr>
              <w:ind w:right="454"/>
              <w:jc w:val="both"/>
              <w:rPr>
                <w:sz w:val="22"/>
                <w:szCs w:val="22"/>
                <w:lang w:val="sr-Latn-ME"/>
              </w:rPr>
            </w:pPr>
          </w:p>
          <w:p w14:paraId="22494631" w14:textId="2FB10832" w:rsidR="00D21842" w:rsidRPr="008863E4" w:rsidRDefault="00D21842" w:rsidP="006D2622">
            <w:pPr>
              <w:numPr>
                <w:ilvl w:val="0"/>
                <w:numId w:val="14"/>
              </w:numPr>
              <w:tabs>
                <w:tab w:val="clear" w:pos="360"/>
                <w:tab w:val="num" w:pos="567"/>
              </w:tabs>
              <w:ind w:left="567" w:right="36" w:hanging="567"/>
              <w:jc w:val="both"/>
              <w:rPr>
                <w:sz w:val="22"/>
                <w:szCs w:val="22"/>
                <w:lang w:val="sr-Latn-ME"/>
              </w:rPr>
            </w:pPr>
            <w:r w:rsidRPr="008863E4">
              <w:rPr>
                <w:sz w:val="22"/>
                <w:szCs w:val="22"/>
                <w:lang w:val="sr-Latn-ME"/>
              </w:rPr>
              <w:t xml:space="preserve">veoma često: hipotenzija, poremećaji </w:t>
            </w:r>
            <w:r w:rsidR="00233592" w:rsidRPr="008863E4">
              <w:rPr>
                <w:sz w:val="22"/>
                <w:szCs w:val="22"/>
                <w:lang w:val="sr-Latn-ME"/>
              </w:rPr>
              <w:t>srčane frekvencije</w:t>
            </w:r>
            <w:r w:rsidRPr="008863E4">
              <w:rPr>
                <w:sz w:val="22"/>
                <w:szCs w:val="22"/>
                <w:lang w:val="sr-Latn-ME"/>
              </w:rPr>
              <w:t xml:space="preserve"> i ritma, angina pektoris</w:t>
            </w:r>
            <w:r w:rsidR="00233592" w:rsidRPr="008863E4">
              <w:rPr>
                <w:sz w:val="22"/>
                <w:szCs w:val="22"/>
                <w:lang w:val="sr-Latn-ME"/>
              </w:rPr>
              <w:t>,</w:t>
            </w:r>
          </w:p>
          <w:p w14:paraId="701681BE" w14:textId="3594398F" w:rsidR="00D21842" w:rsidRPr="008863E4" w:rsidRDefault="00D21842" w:rsidP="006D2622">
            <w:pPr>
              <w:numPr>
                <w:ilvl w:val="0"/>
                <w:numId w:val="14"/>
              </w:numPr>
              <w:tabs>
                <w:tab w:val="clear" w:pos="360"/>
                <w:tab w:val="num" w:pos="567"/>
              </w:tabs>
              <w:ind w:left="567" w:right="36" w:hanging="567"/>
              <w:jc w:val="both"/>
              <w:rPr>
                <w:sz w:val="22"/>
                <w:szCs w:val="22"/>
                <w:lang w:val="sr-Latn-ME"/>
              </w:rPr>
            </w:pPr>
            <w:r w:rsidRPr="008863E4">
              <w:rPr>
                <w:sz w:val="22"/>
                <w:szCs w:val="22"/>
                <w:lang w:val="sr-Latn-ME"/>
              </w:rPr>
              <w:lastRenderedPageBreak/>
              <w:t xml:space="preserve">često: </w:t>
            </w:r>
            <w:r w:rsidR="00233592" w:rsidRPr="008863E4">
              <w:rPr>
                <w:sz w:val="22"/>
                <w:szCs w:val="22"/>
                <w:lang w:val="sr-Latn-ME"/>
              </w:rPr>
              <w:t xml:space="preserve">recidivirajuća </w:t>
            </w:r>
            <w:r w:rsidRPr="008863E4">
              <w:rPr>
                <w:sz w:val="22"/>
                <w:szCs w:val="22"/>
                <w:lang w:val="sr-Latn-ME"/>
              </w:rPr>
              <w:t>(ponovljena) ishemija, srčana insuficijencija, infarkt miokarda, kardiogeni šok, perikarditis, plućni edem</w:t>
            </w:r>
            <w:r w:rsidR="00233592" w:rsidRPr="008863E4">
              <w:rPr>
                <w:sz w:val="22"/>
                <w:szCs w:val="22"/>
                <w:lang w:val="sr-Latn-ME"/>
              </w:rPr>
              <w:t>,</w:t>
            </w:r>
          </w:p>
          <w:p w14:paraId="2A7C3BDA" w14:textId="12710329" w:rsidR="00D21842" w:rsidRPr="008863E4" w:rsidRDefault="00D21842" w:rsidP="006D2622">
            <w:pPr>
              <w:numPr>
                <w:ilvl w:val="0"/>
                <w:numId w:val="14"/>
              </w:numPr>
              <w:tabs>
                <w:tab w:val="clear" w:pos="360"/>
                <w:tab w:val="num" w:pos="567"/>
              </w:tabs>
              <w:ind w:left="567" w:right="36" w:hanging="567"/>
              <w:jc w:val="both"/>
              <w:rPr>
                <w:sz w:val="22"/>
                <w:szCs w:val="22"/>
                <w:lang w:val="sr-Latn-ME"/>
              </w:rPr>
            </w:pPr>
            <w:r w:rsidRPr="008863E4">
              <w:rPr>
                <w:sz w:val="22"/>
                <w:szCs w:val="22"/>
                <w:lang w:val="sr-Latn-ME"/>
              </w:rPr>
              <w:t>povremen</w:t>
            </w:r>
            <w:r w:rsidR="006E6E97" w:rsidRPr="008863E4">
              <w:rPr>
                <w:sz w:val="22"/>
                <w:szCs w:val="22"/>
                <w:lang w:val="sr-Latn-ME"/>
              </w:rPr>
              <w:t>o</w:t>
            </w:r>
            <w:r w:rsidRPr="008863E4">
              <w:rPr>
                <w:sz w:val="22"/>
                <w:szCs w:val="22"/>
                <w:lang w:val="sr-Latn-ME"/>
              </w:rPr>
              <w:t>: srčani zastoj, insuficijencija</w:t>
            </w:r>
            <w:r w:rsidR="00233592" w:rsidRPr="008863E4">
              <w:rPr>
                <w:sz w:val="22"/>
                <w:szCs w:val="22"/>
                <w:lang w:val="sr-Latn-ME"/>
              </w:rPr>
              <w:t xml:space="preserve"> mitralne valvule</w:t>
            </w:r>
            <w:r w:rsidRPr="008863E4">
              <w:rPr>
                <w:sz w:val="22"/>
                <w:szCs w:val="22"/>
                <w:lang w:val="sr-Latn-ME"/>
              </w:rPr>
              <w:t>, perikardijalna efuzija, venska tromboza, srčana tamponada, ruptura miokarda</w:t>
            </w:r>
          </w:p>
          <w:p w14:paraId="7B10EE56" w14:textId="30C1388D" w:rsidR="00D21842" w:rsidRPr="008863E4" w:rsidRDefault="00D21842" w:rsidP="006D2622">
            <w:pPr>
              <w:numPr>
                <w:ilvl w:val="0"/>
                <w:numId w:val="14"/>
              </w:numPr>
              <w:tabs>
                <w:tab w:val="clear" w:pos="360"/>
                <w:tab w:val="num" w:pos="567"/>
              </w:tabs>
              <w:ind w:left="567" w:right="36" w:hanging="567"/>
              <w:jc w:val="both"/>
              <w:rPr>
                <w:sz w:val="22"/>
                <w:szCs w:val="22"/>
                <w:lang w:val="sr-Latn-ME"/>
              </w:rPr>
            </w:pPr>
            <w:r w:rsidRPr="008863E4">
              <w:rPr>
                <w:sz w:val="22"/>
                <w:szCs w:val="22"/>
                <w:lang w:val="sr-Latn-ME"/>
              </w:rPr>
              <w:t>rijetko: plućna embolija</w:t>
            </w:r>
          </w:p>
          <w:p w14:paraId="539458C5" w14:textId="77777777" w:rsidR="00D21842" w:rsidRPr="008863E4" w:rsidRDefault="00D21842" w:rsidP="006D2622">
            <w:pPr>
              <w:ind w:right="36"/>
              <w:jc w:val="both"/>
              <w:rPr>
                <w:sz w:val="22"/>
                <w:szCs w:val="22"/>
                <w:lang w:val="sr-Latn-ME"/>
              </w:rPr>
            </w:pPr>
          </w:p>
          <w:p w14:paraId="7D1E5D65" w14:textId="1492F811" w:rsidR="00D21842" w:rsidRPr="008863E4" w:rsidRDefault="00D21842" w:rsidP="006D2622">
            <w:pPr>
              <w:ind w:right="36"/>
              <w:jc w:val="both"/>
              <w:rPr>
                <w:sz w:val="22"/>
                <w:szCs w:val="22"/>
                <w:lang w:val="sr-Latn-ME"/>
              </w:rPr>
            </w:pPr>
            <w:r w:rsidRPr="008863E4">
              <w:rPr>
                <w:sz w:val="22"/>
                <w:szCs w:val="22"/>
                <w:lang w:val="sr-Latn-ME"/>
              </w:rPr>
              <w:t xml:space="preserve">Ovi kardiovaskularni događaji mogu da budu </w:t>
            </w:r>
            <w:r w:rsidR="00233592" w:rsidRPr="008863E4">
              <w:rPr>
                <w:sz w:val="22"/>
                <w:szCs w:val="22"/>
                <w:lang w:val="sr-Latn-ME"/>
              </w:rPr>
              <w:t xml:space="preserve">životno ugrožavajući </w:t>
            </w:r>
            <w:r w:rsidRPr="008863E4">
              <w:rPr>
                <w:sz w:val="22"/>
                <w:szCs w:val="22"/>
                <w:lang w:val="sr-Latn-ME"/>
              </w:rPr>
              <w:t>i dovedu do smrti.</w:t>
            </w:r>
          </w:p>
        </w:tc>
      </w:tr>
      <w:tr w:rsidR="00D21842" w:rsidRPr="008863E4" w14:paraId="2986C2B5" w14:textId="77777777" w:rsidTr="00B46C2A">
        <w:tc>
          <w:tcPr>
            <w:tcW w:w="9498" w:type="dxa"/>
            <w:vAlign w:val="center"/>
          </w:tcPr>
          <w:p w14:paraId="5655F5CD" w14:textId="77777777" w:rsidR="00E85062" w:rsidRPr="008863E4" w:rsidRDefault="00E85062" w:rsidP="00E85062">
            <w:pPr>
              <w:tabs>
                <w:tab w:val="left" w:pos="540"/>
                <w:tab w:val="left" w:pos="569"/>
              </w:tabs>
              <w:rPr>
                <w:b/>
                <w:bCs/>
                <w:sz w:val="22"/>
                <w:szCs w:val="22"/>
                <w:lang w:val="sr-Latn-ME"/>
              </w:rPr>
            </w:pPr>
          </w:p>
          <w:p w14:paraId="3AC39111" w14:textId="77777777" w:rsidR="00E85062" w:rsidRPr="008863E4" w:rsidRDefault="00E85062" w:rsidP="0017187F">
            <w:pPr>
              <w:spacing w:after="200" w:line="276" w:lineRule="auto"/>
              <w:ind w:right="454"/>
              <w:jc w:val="both"/>
              <w:rPr>
                <w:rFonts w:eastAsia="Calibri"/>
                <w:sz w:val="22"/>
                <w:szCs w:val="22"/>
                <w:u w:val="single"/>
                <w:lang w:val="sr-Latn-ME"/>
              </w:rPr>
            </w:pPr>
            <w:r w:rsidRPr="008863E4">
              <w:rPr>
                <w:rFonts w:eastAsia="Calibri"/>
                <w:sz w:val="22"/>
                <w:szCs w:val="22"/>
                <w:u w:val="single"/>
                <w:lang w:val="sr-Latn-ME"/>
              </w:rPr>
              <w:t>Prijavljivanje sumnji na neželjena dejstva</w:t>
            </w:r>
          </w:p>
          <w:p w14:paraId="7BA0F99C" w14:textId="77777777" w:rsidR="00E85062" w:rsidRPr="008863E4" w:rsidRDefault="00E85062" w:rsidP="006D2622">
            <w:pPr>
              <w:spacing w:after="200"/>
              <w:ind w:right="36"/>
              <w:jc w:val="both"/>
              <w:rPr>
                <w:rFonts w:eastAsia="Calibri"/>
                <w:sz w:val="22"/>
                <w:szCs w:val="22"/>
                <w:lang w:val="sr-Latn-ME"/>
              </w:rPr>
            </w:pPr>
            <w:r w:rsidRPr="008863E4">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994DDF7" w14:textId="77777777" w:rsidR="00E85062" w:rsidRPr="008863E4" w:rsidRDefault="00E85062" w:rsidP="006D2622">
            <w:pPr>
              <w:pStyle w:val="NoSpacing"/>
              <w:ind w:right="36"/>
              <w:jc w:val="both"/>
              <w:rPr>
                <w:rFonts w:eastAsia="Calibri"/>
                <w:sz w:val="22"/>
                <w:szCs w:val="22"/>
                <w:lang w:val="sr-Latn-ME"/>
              </w:rPr>
            </w:pPr>
            <w:r w:rsidRPr="008863E4">
              <w:rPr>
                <w:rFonts w:eastAsia="Calibri"/>
                <w:sz w:val="22"/>
                <w:szCs w:val="22"/>
                <w:lang w:val="sr-Latn-ME"/>
              </w:rPr>
              <w:t xml:space="preserve">Institut za ljekove i medicinska sredstva </w:t>
            </w:r>
          </w:p>
          <w:p w14:paraId="0F143628" w14:textId="77777777" w:rsidR="00E85062" w:rsidRPr="008863E4" w:rsidRDefault="00E85062" w:rsidP="006D2622">
            <w:pPr>
              <w:pStyle w:val="NoSpacing"/>
              <w:ind w:right="36"/>
              <w:jc w:val="both"/>
              <w:rPr>
                <w:rFonts w:eastAsia="Calibri"/>
                <w:sz w:val="22"/>
                <w:szCs w:val="22"/>
                <w:lang w:val="sr-Latn-ME"/>
              </w:rPr>
            </w:pPr>
            <w:r w:rsidRPr="008863E4">
              <w:rPr>
                <w:rFonts w:eastAsia="Calibri"/>
                <w:sz w:val="22"/>
                <w:szCs w:val="22"/>
                <w:lang w:val="sr-Latn-ME"/>
              </w:rPr>
              <w:t>Odjeljenje za farmakovigilancu</w:t>
            </w:r>
          </w:p>
          <w:p w14:paraId="156E65D0" w14:textId="77777777" w:rsidR="00E85062" w:rsidRPr="008863E4" w:rsidRDefault="00E85062" w:rsidP="006D2622">
            <w:pPr>
              <w:pStyle w:val="NoSpacing"/>
              <w:ind w:right="36"/>
              <w:jc w:val="both"/>
              <w:rPr>
                <w:rFonts w:eastAsia="Calibri"/>
                <w:sz w:val="22"/>
                <w:szCs w:val="22"/>
                <w:lang w:val="sr-Latn-ME"/>
              </w:rPr>
            </w:pPr>
            <w:r w:rsidRPr="008863E4">
              <w:rPr>
                <w:rFonts w:eastAsia="Calibri"/>
                <w:sz w:val="22"/>
                <w:szCs w:val="22"/>
                <w:lang w:val="sr-Latn-ME"/>
              </w:rPr>
              <w:t>Bulevar Ivana Crnojevića 64a, 81000 Podgorica</w:t>
            </w:r>
          </w:p>
          <w:p w14:paraId="4744A8C4" w14:textId="77777777" w:rsidR="00E85062" w:rsidRPr="008863E4" w:rsidRDefault="00E85062" w:rsidP="006D2622">
            <w:pPr>
              <w:pStyle w:val="NoSpacing"/>
              <w:ind w:right="36"/>
              <w:jc w:val="both"/>
              <w:rPr>
                <w:rFonts w:eastAsia="Calibri"/>
                <w:sz w:val="22"/>
                <w:szCs w:val="22"/>
                <w:lang w:val="sr-Latn-ME"/>
              </w:rPr>
            </w:pPr>
          </w:p>
          <w:p w14:paraId="300B36A1" w14:textId="77777777" w:rsidR="00E85062" w:rsidRPr="008863E4" w:rsidRDefault="00E85062" w:rsidP="006D2622">
            <w:pPr>
              <w:pStyle w:val="NoSpacing"/>
              <w:ind w:right="36"/>
              <w:jc w:val="both"/>
              <w:rPr>
                <w:rFonts w:eastAsia="Calibri"/>
                <w:sz w:val="22"/>
                <w:szCs w:val="22"/>
                <w:lang w:val="sr-Latn-ME"/>
              </w:rPr>
            </w:pPr>
            <w:r w:rsidRPr="008863E4">
              <w:rPr>
                <w:rFonts w:eastAsia="Calibri"/>
                <w:sz w:val="22"/>
                <w:szCs w:val="22"/>
                <w:lang w:val="sr-Latn-ME"/>
              </w:rPr>
              <w:t>tel: +382 (0) 20 310 280</w:t>
            </w:r>
          </w:p>
          <w:p w14:paraId="393B86A5" w14:textId="77777777" w:rsidR="00E85062" w:rsidRPr="008863E4" w:rsidRDefault="00E85062" w:rsidP="006D2622">
            <w:pPr>
              <w:pStyle w:val="NoSpacing"/>
              <w:ind w:right="36"/>
              <w:jc w:val="both"/>
              <w:rPr>
                <w:rFonts w:eastAsia="Calibri"/>
                <w:sz w:val="22"/>
                <w:szCs w:val="22"/>
                <w:lang w:val="sr-Latn-ME"/>
              </w:rPr>
            </w:pPr>
            <w:r w:rsidRPr="008863E4">
              <w:rPr>
                <w:rFonts w:eastAsia="Calibri"/>
                <w:sz w:val="22"/>
                <w:szCs w:val="22"/>
                <w:lang w:val="sr-Latn-ME"/>
              </w:rPr>
              <w:t>fax: +382 (0) 20 310 581</w:t>
            </w:r>
          </w:p>
          <w:p w14:paraId="3BA93EB5" w14:textId="77777777" w:rsidR="00E85062" w:rsidRPr="008863E4" w:rsidRDefault="00F30086" w:rsidP="006D2622">
            <w:pPr>
              <w:pStyle w:val="NoSpacing"/>
              <w:ind w:right="36"/>
              <w:jc w:val="both"/>
              <w:rPr>
                <w:rFonts w:eastAsia="Calibri"/>
                <w:sz w:val="22"/>
                <w:szCs w:val="22"/>
                <w:lang w:val="sr-Latn-ME"/>
              </w:rPr>
            </w:pPr>
            <w:hyperlink r:id="rId8" w:history="1">
              <w:r w:rsidR="00E85062" w:rsidRPr="008863E4">
                <w:rPr>
                  <w:rStyle w:val="Hyperlink"/>
                  <w:rFonts w:eastAsia="Calibri"/>
                  <w:sz w:val="22"/>
                  <w:szCs w:val="22"/>
                  <w:lang w:val="sr-Latn-ME"/>
                </w:rPr>
                <w:t>www.cinmed.me</w:t>
              </w:r>
            </w:hyperlink>
          </w:p>
          <w:p w14:paraId="66D78CA1" w14:textId="77777777" w:rsidR="00E85062" w:rsidRPr="008863E4" w:rsidRDefault="00F30086" w:rsidP="006D2622">
            <w:pPr>
              <w:pStyle w:val="NoSpacing"/>
              <w:ind w:right="36"/>
              <w:jc w:val="both"/>
              <w:rPr>
                <w:rFonts w:eastAsia="Calibri"/>
                <w:color w:val="0000FF"/>
                <w:sz w:val="22"/>
                <w:szCs w:val="22"/>
                <w:u w:val="single"/>
                <w:lang w:val="sr-Latn-ME"/>
              </w:rPr>
            </w:pPr>
            <w:hyperlink r:id="rId9" w:history="1">
              <w:r w:rsidR="00E85062" w:rsidRPr="008863E4">
                <w:rPr>
                  <w:rStyle w:val="Hyperlink"/>
                  <w:rFonts w:eastAsia="Calibri"/>
                  <w:sz w:val="22"/>
                  <w:szCs w:val="22"/>
                  <w:lang w:val="sr-Latn-ME"/>
                </w:rPr>
                <w:t>nezeljenadejstva@cinmed.me</w:t>
              </w:r>
            </w:hyperlink>
          </w:p>
          <w:p w14:paraId="763AE563" w14:textId="77777777" w:rsidR="00E85062" w:rsidRPr="008863E4" w:rsidRDefault="00E85062" w:rsidP="006D2622">
            <w:pPr>
              <w:pStyle w:val="NoSpacing"/>
              <w:ind w:right="36"/>
              <w:jc w:val="both"/>
              <w:rPr>
                <w:rFonts w:eastAsia="Calibri"/>
                <w:sz w:val="22"/>
                <w:szCs w:val="22"/>
                <w:lang w:val="sr-Latn-ME"/>
              </w:rPr>
            </w:pPr>
            <w:r w:rsidRPr="008863E4">
              <w:rPr>
                <w:rFonts w:eastAsia="Calibri"/>
                <w:sz w:val="22"/>
                <w:szCs w:val="22"/>
                <w:lang w:val="sr-Latn-ME"/>
              </w:rPr>
              <w:t>putem IS zdravstvene zaštite</w:t>
            </w:r>
          </w:p>
          <w:p w14:paraId="7AAC8657" w14:textId="77777777" w:rsidR="001D459E" w:rsidRPr="008863E4" w:rsidRDefault="001D459E" w:rsidP="006D2622">
            <w:pPr>
              <w:pStyle w:val="NoSpacing"/>
              <w:ind w:right="36"/>
              <w:jc w:val="both"/>
              <w:rPr>
                <w:rFonts w:eastAsia="Calibri"/>
                <w:sz w:val="22"/>
                <w:szCs w:val="22"/>
                <w:lang w:val="sr-Latn-ME"/>
              </w:rPr>
            </w:pPr>
            <w:r w:rsidRPr="008863E4">
              <w:rPr>
                <w:rFonts w:eastAsia="Calibri"/>
                <w:sz w:val="22"/>
                <w:szCs w:val="22"/>
                <w:lang w:val="sr-Latn-ME"/>
              </w:rPr>
              <w:t>QR kod za online prijavu sumnje na neželjeno dejstvo lijeka:</w:t>
            </w:r>
          </w:p>
          <w:p w14:paraId="47AABD0D" w14:textId="77777777" w:rsidR="001D459E" w:rsidRPr="008863E4" w:rsidRDefault="001D459E" w:rsidP="001D459E">
            <w:pPr>
              <w:pStyle w:val="NoSpacing"/>
              <w:jc w:val="both"/>
              <w:rPr>
                <w:rFonts w:eastAsia="Calibri"/>
                <w:sz w:val="22"/>
                <w:szCs w:val="22"/>
                <w:lang w:val="sr-Latn-ME"/>
              </w:rPr>
            </w:pPr>
          </w:p>
          <w:p w14:paraId="7C2388E4" w14:textId="1F10E15E" w:rsidR="001D459E" w:rsidRPr="008863E4" w:rsidRDefault="004C20AD" w:rsidP="001D459E">
            <w:pPr>
              <w:pStyle w:val="NoSpacing"/>
              <w:rPr>
                <w:rFonts w:eastAsia="Calibri"/>
                <w:sz w:val="22"/>
                <w:szCs w:val="22"/>
                <w:lang w:val="sr-Latn-ME"/>
              </w:rPr>
            </w:pPr>
            <w:r w:rsidRPr="007F661E">
              <w:rPr>
                <w:b/>
                <w:bCs/>
                <w:noProof/>
                <w:sz w:val="22"/>
                <w:szCs w:val="22"/>
              </w:rPr>
              <w:drawing>
                <wp:inline distT="0" distB="0" distL="0" distR="0" wp14:anchorId="19F5745E" wp14:editId="3F9D1EB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A347559" w14:textId="49A89856" w:rsidR="00D21842" w:rsidRPr="008863E4" w:rsidRDefault="00D21842" w:rsidP="001530CA">
            <w:pPr>
              <w:pStyle w:val="Header"/>
              <w:tabs>
                <w:tab w:val="left" w:pos="284"/>
              </w:tabs>
              <w:spacing w:before="80" w:after="80"/>
              <w:rPr>
                <w:b/>
                <w:bCs/>
                <w:sz w:val="22"/>
                <w:szCs w:val="22"/>
                <w:lang w:val="sr-Latn-ME"/>
              </w:rPr>
            </w:pPr>
          </w:p>
        </w:tc>
      </w:tr>
    </w:tbl>
    <w:p w14:paraId="4C38EB70" w14:textId="77777777" w:rsidR="00CD6F02" w:rsidRPr="008863E4" w:rsidRDefault="0072020E" w:rsidP="00480FB1">
      <w:pPr>
        <w:tabs>
          <w:tab w:val="left" w:pos="540"/>
          <w:tab w:val="left" w:pos="569"/>
        </w:tabs>
        <w:rPr>
          <w:b/>
          <w:bCs/>
          <w:sz w:val="22"/>
          <w:szCs w:val="22"/>
          <w:lang w:val="sr-Latn-ME"/>
        </w:rPr>
      </w:pPr>
      <w:r w:rsidRPr="008863E4">
        <w:rPr>
          <w:b/>
          <w:bCs/>
          <w:sz w:val="22"/>
          <w:szCs w:val="22"/>
          <w:lang w:val="sr-Latn-ME"/>
        </w:rPr>
        <w:t xml:space="preserve">4.9. </w:t>
      </w:r>
      <w:r w:rsidR="00480FB1" w:rsidRPr="008863E4">
        <w:rPr>
          <w:b/>
          <w:bCs/>
          <w:sz w:val="22"/>
          <w:szCs w:val="22"/>
          <w:lang w:val="sr-Latn-ME"/>
        </w:rPr>
        <w:tab/>
      </w:r>
      <w:r w:rsidRPr="008863E4">
        <w:rPr>
          <w:b/>
          <w:bCs/>
          <w:sz w:val="22"/>
          <w:szCs w:val="22"/>
          <w:lang w:val="sr-Latn-ME"/>
        </w:rPr>
        <w:t>Predoziranje</w:t>
      </w:r>
      <w:r w:rsidR="002846DB" w:rsidRPr="008863E4">
        <w:rPr>
          <w:b/>
          <w:bCs/>
          <w:sz w:val="22"/>
          <w:szCs w:val="22"/>
          <w:lang w:val="sr-Latn-ME"/>
        </w:rPr>
        <w:t xml:space="preserve"> </w:t>
      </w:r>
    </w:p>
    <w:p w14:paraId="726C1DB6" w14:textId="01D4F402" w:rsidR="002535E2" w:rsidRPr="008863E4" w:rsidRDefault="002535E2" w:rsidP="00480FB1">
      <w:pPr>
        <w:tabs>
          <w:tab w:val="left" w:pos="540"/>
          <w:tab w:val="left" w:pos="569"/>
        </w:tabs>
        <w:rPr>
          <w:b/>
          <w:bCs/>
          <w:sz w:val="22"/>
          <w:szCs w:val="22"/>
          <w:lang w:val="sr-Latn-ME"/>
        </w:rPr>
      </w:pPr>
    </w:p>
    <w:p w14:paraId="28B749AA" w14:textId="77777777" w:rsidR="002535E2" w:rsidRPr="001332AA" w:rsidRDefault="002535E2" w:rsidP="0017187F">
      <w:pPr>
        <w:jc w:val="both"/>
        <w:rPr>
          <w:sz w:val="22"/>
          <w:szCs w:val="22"/>
          <w:u w:val="single"/>
          <w:lang w:val="sr-Latn-ME"/>
        </w:rPr>
      </w:pPr>
      <w:r w:rsidRPr="001332AA">
        <w:rPr>
          <w:sz w:val="22"/>
          <w:szCs w:val="22"/>
          <w:u w:val="single"/>
          <w:lang w:val="sr-Latn-ME"/>
        </w:rPr>
        <w:t>Simptomi</w:t>
      </w:r>
    </w:p>
    <w:p w14:paraId="5BACF2BA" w14:textId="77777777" w:rsidR="002535E2" w:rsidRDefault="002535E2" w:rsidP="0017187F">
      <w:pPr>
        <w:jc w:val="both"/>
        <w:rPr>
          <w:sz w:val="22"/>
          <w:szCs w:val="22"/>
          <w:lang w:val="sr-Latn-ME"/>
        </w:rPr>
      </w:pPr>
    </w:p>
    <w:p w14:paraId="153AE6C3" w14:textId="4BBAE340" w:rsidR="002535E2" w:rsidRDefault="00D000B3" w:rsidP="0017187F">
      <w:pPr>
        <w:jc w:val="both"/>
        <w:rPr>
          <w:sz w:val="22"/>
          <w:szCs w:val="22"/>
          <w:lang w:val="sr-Latn-ME"/>
        </w:rPr>
      </w:pPr>
      <w:r w:rsidRPr="008863E4">
        <w:rPr>
          <w:sz w:val="22"/>
          <w:szCs w:val="22"/>
          <w:lang w:val="sr-Latn-ME"/>
        </w:rPr>
        <w:t xml:space="preserve">U slučaju predoziranja može postojati povećani rizik od krvarenja. </w:t>
      </w:r>
    </w:p>
    <w:p w14:paraId="53BDD558" w14:textId="77777777" w:rsidR="002535E2" w:rsidRDefault="002535E2" w:rsidP="0017187F">
      <w:pPr>
        <w:jc w:val="both"/>
        <w:rPr>
          <w:sz w:val="22"/>
          <w:szCs w:val="22"/>
          <w:lang w:val="sr-Latn-ME"/>
        </w:rPr>
      </w:pPr>
    </w:p>
    <w:p w14:paraId="728A6879" w14:textId="77777777" w:rsidR="002535E2" w:rsidRPr="001332AA" w:rsidRDefault="002535E2" w:rsidP="0017187F">
      <w:pPr>
        <w:jc w:val="both"/>
        <w:rPr>
          <w:sz w:val="22"/>
          <w:szCs w:val="22"/>
          <w:u w:val="single"/>
          <w:lang w:val="sr-Latn-ME"/>
        </w:rPr>
      </w:pPr>
      <w:r w:rsidRPr="001332AA">
        <w:rPr>
          <w:sz w:val="22"/>
          <w:szCs w:val="22"/>
          <w:u w:val="single"/>
          <w:lang w:val="sr-Latn-ME"/>
        </w:rPr>
        <w:t>Terapija</w:t>
      </w:r>
    </w:p>
    <w:p w14:paraId="45F9B772" w14:textId="77777777" w:rsidR="002535E2" w:rsidRDefault="002535E2" w:rsidP="0017187F">
      <w:pPr>
        <w:jc w:val="both"/>
        <w:rPr>
          <w:sz w:val="22"/>
          <w:szCs w:val="22"/>
          <w:lang w:val="sr-Latn-ME"/>
        </w:rPr>
      </w:pPr>
    </w:p>
    <w:p w14:paraId="30666D1A" w14:textId="623FD5CB" w:rsidR="00D000B3" w:rsidRPr="008863E4" w:rsidRDefault="00D000B3" w:rsidP="0017187F">
      <w:pPr>
        <w:jc w:val="both"/>
        <w:rPr>
          <w:sz w:val="22"/>
          <w:szCs w:val="22"/>
          <w:lang w:val="sr-Latn-ME"/>
        </w:rPr>
      </w:pPr>
      <w:r w:rsidRPr="008863E4">
        <w:rPr>
          <w:sz w:val="22"/>
          <w:szCs w:val="22"/>
          <w:lang w:val="sr-Latn-ME"/>
        </w:rPr>
        <w:t xml:space="preserve">U slučaju teškog produženog krvarenja, može se razmotriti </w:t>
      </w:r>
      <w:r w:rsidR="00233592" w:rsidRPr="008863E4">
        <w:rPr>
          <w:sz w:val="22"/>
          <w:szCs w:val="22"/>
          <w:lang w:val="sr-Latn-ME"/>
        </w:rPr>
        <w:t xml:space="preserve">primjena supstitucione terapije </w:t>
      </w:r>
      <w:r w:rsidRPr="008863E4">
        <w:rPr>
          <w:sz w:val="22"/>
          <w:szCs w:val="22"/>
          <w:lang w:val="sr-Latn-ME"/>
        </w:rPr>
        <w:t xml:space="preserve">(plazma, trombociti), vidjeti </w:t>
      </w:r>
      <w:r w:rsidR="00BB5030" w:rsidRPr="008863E4">
        <w:rPr>
          <w:sz w:val="22"/>
          <w:szCs w:val="22"/>
          <w:lang w:val="sr-Latn-ME"/>
        </w:rPr>
        <w:t>dio</w:t>
      </w:r>
      <w:r w:rsidRPr="008863E4">
        <w:rPr>
          <w:sz w:val="22"/>
          <w:szCs w:val="22"/>
          <w:lang w:val="sr-Latn-ME"/>
        </w:rPr>
        <w:t xml:space="preserve"> 4.4.</w:t>
      </w:r>
    </w:p>
    <w:p w14:paraId="0C90DBB2" w14:textId="01F21DD7" w:rsidR="00227BDB" w:rsidRPr="008863E4" w:rsidRDefault="00227BDB" w:rsidP="0017187F">
      <w:pPr>
        <w:tabs>
          <w:tab w:val="left" w:pos="540"/>
          <w:tab w:val="left" w:pos="569"/>
        </w:tabs>
        <w:jc w:val="both"/>
        <w:rPr>
          <w:b/>
          <w:bCs/>
          <w:sz w:val="22"/>
          <w:szCs w:val="22"/>
          <w:lang w:val="sr-Latn-ME"/>
        </w:rPr>
      </w:pPr>
    </w:p>
    <w:p w14:paraId="406F8225" w14:textId="77777777" w:rsidR="006D2622" w:rsidRPr="008863E4" w:rsidRDefault="006D2622" w:rsidP="0017187F">
      <w:pPr>
        <w:tabs>
          <w:tab w:val="left" w:pos="540"/>
          <w:tab w:val="left" w:pos="569"/>
        </w:tabs>
        <w:jc w:val="both"/>
        <w:rPr>
          <w:b/>
          <w:bCs/>
          <w:sz w:val="22"/>
          <w:szCs w:val="22"/>
          <w:lang w:val="sr-Latn-ME"/>
        </w:rPr>
      </w:pPr>
    </w:p>
    <w:p w14:paraId="2C48EC12" w14:textId="77777777" w:rsidR="0072020E" w:rsidRPr="008863E4" w:rsidRDefault="0072020E" w:rsidP="00480FB1">
      <w:pPr>
        <w:tabs>
          <w:tab w:val="left" w:pos="540"/>
          <w:tab w:val="left" w:pos="569"/>
        </w:tabs>
        <w:rPr>
          <w:b/>
          <w:bCs/>
          <w:sz w:val="22"/>
          <w:szCs w:val="22"/>
          <w:lang w:val="sr-Latn-ME"/>
        </w:rPr>
      </w:pPr>
      <w:r w:rsidRPr="008863E4">
        <w:rPr>
          <w:b/>
          <w:bCs/>
          <w:sz w:val="22"/>
          <w:szCs w:val="22"/>
          <w:lang w:val="sr-Latn-ME"/>
        </w:rPr>
        <w:t xml:space="preserve">5. </w:t>
      </w:r>
      <w:r w:rsidR="00480FB1" w:rsidRPr="008863E4">
        <w:rPr>
          <w:b/>
          <w:bCs/>
          <w:sz w:val="22"/>
          <w:szCs w:val="22"/>
          <w:lang w:val="sr-Latn-ME"/>
        </w:rPr>
        <w:tab/>
      </w:r>
      <w:r w:rsidRPr="008863E4">
        <w:rPr>
          <w:b/>
          <w:bCs/>
          <w:sz w:val="22"/>
          <w:szCs w:val="22"/>
          <w:lang w:val="sr-Latn-ME"/>
        </w:rPr>
        <w:t>FARMAKOLOŠK</w:t>
      </w:r>
      <w:r w:rsidR="000D425A" w:rsidRPr="008863E4">
        <w:rPr>
          <w:b/>
          <w:bCs/>
          <w:sz w:val="22"/>
          <w:szCs w:val="22"/>
          <w:lang w:val="sr-Latn-ME"/>
        </w:rPr>
        <w:t>I</w:t>
      </w:r>
      <w:r w:rsidRPr="008863E4">
        <w:rPr>
          <w:b/>
          <w:bCs/>
          <w:sz w:val="22"/>
          <w:szCs w:val="22"/>
          <w:lang w:val="sr-Latn-ME"/>
        </w:rPr>
        <w:t xml:space="preserve"> PODACI</w:t>
      </w:r>
    </w:p>
    <w:p w14:paraId="04952F0E" w14:textId="77777777" w:rsidR="0072020E" w:rsidRPr="008863E4" w:rsidRDefault="0072020E" w:rsidP="00480FB1">
      <w:pPr>
        <w:tabs>
          <w:tab w:val="left" w:pos="540"/>
          <w:tab w:val="left" w:pos="569"/>
        </w:tabs>
        <w:rPr>
          <w:b/>
          <w:bCs/>
          <w:sz w:val="22"/>
          <w:szCs w:val="22"/>
          <w:lang w:val="sr-Latn-ME"/>
        </w:rPr>
      </w:pPr>
    </w:p>
    <w:p w14:paraId="6A3AEE9F" w14:textId="7029FF18" w:rsidR="0072020E" w:rsidRPr="008863E4" w:rsidRDefault="0072020E" w:rsidP="00480FB1">
      <w:pPr>
        <w:tabs>
          <w:tab w:val="left" w:pos="540"/>
          <w:tab w:val="left" w:pos="569"/>
        </w:tabs>
        <w:rPr>
          <w:b/>
          <w:bCs/>
          <w:sz w:val="22"/>
          <w:szCs w:val="22"/>
          <w:lang w:val="sr-Latn-ME"/>
        </w:rPr>
      </w:pPr>
      <w:r w:rsidRPr="008863E4">
        <w:rPr>
          <w:b/>
          <w:bCs/>
          <w:sz w:val="22"/>
          <w:szCs w:val="22"/>
          <w:lang w:val="sr-Latn-ME"/>
        </w:rPr>
        <w:t xml:space="preserve">5.1. </w:t>
      </w:r>
      <w:r w:rsidR="00480FB1" w:rsidRPr="008863E4">
        <w:rPr>
          <w:b/>
          <w:bCs/>
          <w:sz w:val="22"/>
          <w:szCs w:val="22"/>
          <w:lang w:val="sr-Latn-ME"/>
        </w:rPr>
        <w:tab/>
      </w:r>
      <w:r w:rsidRPr="008863E4">
        <w:rPr>
          <w:b/>
          <w:bCs/>
          <w:sz w:val="22"/>
          <w:szCs w:val="22"/>
          <w:lang w:val="sr-Latn-ME"/>
        </w:rPr>
        <w:t>Farmakodinamski podaci</w:t>
      </w:r>
      <w:r w:rsidR="003A7059" w:rsidRPr="008863E4">
        <w:rPr>
          <w:b/>
          <w:bCs/>
          <w:sz w:val="22"/>
          <w:szCs w:val="22"/>
          <w:lang w:val="sr-Latn-ME"/>
        </w:rPr>
        <w:t xml:space="preserve"> </w:t>
      </w:r>
    </w:p>
    <w:p w14:paraId="71E12EFD" w14:textId="77777777" w:rsidR="00F45F77" w:rsidRPr="008863E4" w:rsidRDefault="00F45F77" w:rsidP="00480FB1">
      <w:pPr>
        <w:tabs>
          <w:tab w:val="left" w:pos="540"/>
          <w:tab w:val="left" w:pos="569"/>
        </w:tabs>
        <w:rPr>
          <w:b/>
          <w:bCs/>
          <w:sz w:val="22"/>
          <w:szCs w:val="22"/>
          <w:lang w:val="sr-Latn-ME"/>
        </w:rPr>
      </w:pPr>
    </w:p>
    <w:p w14:paraId="66D488F5" w14:textId="45EF77FA" w:rsidR="0072020E" w:rsidRPr="008863E4" w:rsidRDefault="0072020E" w:rsidP="00480FB1">
      <w:pPr>
        <w:tabs>
          <w:tab w:val="left" w:pos="540"/>
          <w:tab w:val="left" w:pos="569"/>
        </w:tabs>
        <w:rPr>
          <w:bCs/>
          <w:sz w:val="22"/>
          <w:szCs w:val="22"/>
          <w:lang w:val="sr-Latn-ME"/>
        </w:rPr>
      </w:pPr>
      <w:r w:rsidRPr="008863E4">
        <w:rPr>
          <w:bCs/>
          <w:sz w:val="22"/>
          <w:szCs w:val="22"/>
          <w:lang w:val="sr-Latn-ME"/>
        </w:rPr>
        <w:t>Farmakoterapijska grupa:</w:t>
      </w:r>
      <w:r w:rsidR="00D000B3" w:rsidRPr="008863E4">
        <w:rPr>
          <w:sz w:val="22"/>
          <w:szCs w:val="22"/>
          <w:lang w:val="sr-Latn-ME"/>
        </w:rPr>
        <w:t xml:space="preserve"> Antitrombotička sredstva</w:t>
      </w:r>
      <w:r w:rsidR="00233592" w:rsidRPr="008863E4">
        <w:rPr>
          <w:sz w:val="22"/>
          <w:szCs w:val="22"/>
          <w:lang w:val="sr-Latn-ME"/>
        </w:rPr>
        <w:t>, enzimi</w:t>
      </w:r>
    </w:p>
    <w:p w14:paraId="02971253" w14:textId="77777777" w:rsidR="0072020E" w:rsidRPr="008863E4" w:rsidRDefault="0072020E" w:rsidP="00480FB1">
      <w:pPr>
        <w:tabs>
          <w:tab w:val="left" w:pos="540"/>
          <w:tab w:val="left" w:pos="569"/>
        </w:tabs>
        <w:rPr>
          <w:bCs/>
          <w:sz w:val="22"/>
          <w:szCs w:val="22"/>
          <w:lang w:val="sr-Latn-ME"/>
        </w:rPr>
      </w:pPr>
    </w:p>
    <w:p w14:paraId="78A69C2B" w14:textId="3F8C1E32" w:rsidR="0072020E" w:rsidRPr="008863E4" w:rsidRDefault="0072020E" w:rsidP="00480FB1">
      <w:pPr>
        <w:tabs>
          <w:tab w:val="left" w:pos="540"/>
          <w:tab w:val="left" w:pos="569"/>
        </w:tabs>
        <w:rPr>
          <w:bCs/>
          <w:sz w:val="22"/>
          <w:szCs w:val="22"/>
          <w:lang w:val="sr-Latn-ME"/>
        </w:rPr>
      </w:pPr>
      <w:r w:rsidRPr="008863E4">
        <w:rPr>
          <w:bCs/>
          <w:sz w:val="22"/>
          <w:szCs w:val="22"/>
          <w:lang w:val="sr-Latn-ME"/>
        </w:rPr>
        <w:t>ATC kod:</w:t>
      </w:r>
      <w:r w:rsidR="00D000B3" w:rsidRPr="008863E4">
        <w:rPr>
          <w:sz w:val="22"/>
          <w:szCs w:val="22"/>
          <w:lang w:val="sr-Latn-ME"/>
        </w:rPr>
        <w:t xml:space="preserve"> B01AD11</w:t>
      </w:r>
    </w:p>
    <w:tbl>
      <w:tblPr>
        <w:tblW w:w="9720" w:type="dxa"/>
        <w:tblInd w:w="-142" w:type="dxa"/>
        <w:tblLayout w:type="fixed"/>
        <w:tblLook w:val="0000" w:firstRow="0" w:lastRow="0" w:firstColumn="0" w:lastColumn="0" w:noHBand="0" w:noVBand="0"/>
      </w:tblPr>
      <w:tblGrid>
        <w:gridCol w:w="9720"/>
      </w:tblGrid>
      <w:tr w:rsidR="00D000B3" w:rsidRPr="008863E4" w14:paraId="445EB689" w14:textId="77777777" w:rsidTr="0017187F">
        <w:trPr>
          <w:trHeight w:val="1145"/>
        </w:trPr>
        <w:tc>
          <w:tcPr>
            <w:tcW w:w="9720" w:type="dxa"/>
            <w:vAlign w:val="center"/>
          </w:tcPr>
          <w:p w14:paraId="7CBEFF91" w14:textId="77777777" w:rsidR="00D000B3" w:rsidRPr="008863E4" w:rsidRDefault="00D000B3" w:rsidP="001530CA">
            <w:pPr>
              <w:autoSpaceDE w:val="0"/>
              <w:autoSpaceDN w:val="0"/>
              <w:adjustRightInd w:val="0"/>
              <w:rPr>
                <w:sz w:val="22"/>
                <w:szCs w:val="22"/>
                <w:u w:val="single"/>
                <w:lang w:val="sr-Latn-ME"/>
              </w:rPr>
            </w:pPr>
          </w:p>
          <w:p w14:paraId="465F4C92" w14:textId="77777777" w:rsidR="00D000B3" w:rsidRPr="008863E4" w:rsidRDefault="00D000B3" w:rsidP="006D2622">
            <w:pPr>
              <w:ind w:right="256"/>
              <w:jc w:val="both"/>
              <w:rPr>
                <w:sz w:val="22"/>
                <w:szCs w:val="22"/>
                <w:u w:val="single"/>
                <w:lang w:val="sr-Latn-ME"/>
              </w:rPr>
            </w:pPr>
            <w:r w:rsidRPr="008863E4">
              <w:rPr>
                <w:sz w:val="22"/>
                <w:szCs w:val="22"/>
                <w:u w:val="single"/>
                <w:lang w:val="sr-Latn-ME"/>
              </w:rPr>
              <w:t>Mehanizam dejstva</w:t>
            </w:r>
          </w:p>
          <w:p w14:paraId="51095049" w14:textId="7FA35801" w:rsidR="00D000B3" w:rsidRPr="008863E4" w:rsidRDefault="00D000B3" w:rsidP="006D2622">
            <w:pPr>
              <w:ind w:right="256"/>
              <w:jc w:val="both"/>
              <w:rPr>
                <w:sz w:val="22"/>
                <w:szCs w:val="22"/>
                <w:lang w:val="sr-Latn-ME"/>
              </w:rPr>
            </w:pPr>
            <w:r w:rsidRPr="008863E4">
              <w:rPr>
                <w:sz w:val="22"/>
                <w:szCs w:val="22"/>
                <w:lang w:val="sr-Latn-ME"/>
              </w:rPr>
              <w:t>Tenekteplaza je rekombinantni fibrin-specifični aktivator plazminogena koji se</w:t>
            </w:r>
            <w:r w:rsidR="00233592" w:rsidRPr="008863E4">
              <w:rPr>
                <w:sz w:val="22"/>
                <w:szCs w:val="22"/>
                <w:lang w:val="sr-Latn-ME"/>
              </w:rPr>
              <w:t xml:space="preserve"> dobija</w:t>
            </w:r>
            <w:r w:rsidRPr="008863E4">
              <w:rPr>
                <w:sz w:val="22"/>
                <w:szCs w:val="22"/>
                <w:lang w:val="sr-Latn-ME"/>
              </w:rPr>
              <w:t xml:space="preserve"> iz </w:t>
            </w:r>
            <w:r w:rsidR="00233592" w:rsidRPr="008863E4">
              <w:rPr>
                <w:sz w:val="22"/>
                <w:szCs w:val="22"/>
                <w:lang w:val="sr-Latn-ME"/>
              </w:rPr>
              <w:t xml:space="preserve">fiziološkog </w:t>
            </w:r>
            <w:r w:rsidRPr="008863E4">
              <w:rPr>
                <w:sz w:val="22"/>
                <w:szCs w:val="22"/>
                <w:lang w:val="sr-Latn-ME"/>
              </w:rPr>
              <w:t xml:space="preserve">t-PA modifikacijom proteinske </w:t>
            </w:r>
            <w:r w:rsidR="00233592" w:rsidRPr="008863E4">
              <w:rPr>
                <w:sz w:val="22"/>
                <w:szCs w:val="22"/>
                <w:lang w:val="sr-Latn-ME"/>
              </w:rPr>
              <w:t>stru</w:t>
            </w:r>
            <w:r w:rsidR="0017187F" w:rsidRPr="008863E4">
              <w:rPr>
                <w:sz w:val="22"/>
                <w:szCs w:val="22"/>
                <w:lang w:val="sr-Latn-ME"/>
              </w:rPr>
              <w:t>k</w:t>
            </w:r>
            <w:r w:rsidR="00233592" w:rsidRPr="008863E4">
              <w:rPr>
                <w:sz w:val="22"/>
                <w:szCs w:val="22"/>
                <w:lang w:val="sr-Latn-ME"/>
              </w:rPr>
              <w:t>ture na tri mjesta</w:t>
            </w:r>
            <w:r w:rsidRPr="008863E4">
              <w:rPr>
                <w:sz w:val="22"/>
                <w:szCs w:val="22"/>
                <w:lang w:val="sr-Latn-ME"/>
              </w:rPr>
              <w:t xml:space="preserve">. Vezuje se za fibrinsku komponentu tromba (krvnog ugruška) i selektivno konvertuje plazminogen koji je vezan za tromb u plazmin, koji </w:t>
            </w:r>
            <w:r w:rsidR="00233592" w:rsidRPr="008863E4">
              <w:rPr>
                <w:sz w:val="22"/>
                <w:szCs w:val="22"/>
                <w:lang w:val="sr-Latn-ME"/>
              </w:rPr>
              <w:t xml:space="preserve">ima sposobnost </w:t>
            </w:r>
            <w:r w:rsidR="00233592" w:rsidRPr="008863E4">
              <w:rPr>
                <w:sz w:val="22"/>
                <w:szCs w:val="22"/>
                <w:lang w:val="sr-Latn-ME"/>
              </w:rPr>
              <w:lastRenderedPageBreak/>
              <w:t xml:space="preserve">razgradnje fibrinske osnove </w:t>
            </w:r>
            <w:r w:rsidRPr="008863E4">
              <w:rPr>
                <w:sz w:val="22"/>
                <w:szCs w:val="22"/>
                <w:lang w:val="sr-Latn-ME"/>
              </w:rPr>
              <w:t xml:space="preserve">tromba. Tenekteplaza ima veću specifičnost za fibrin i veću rezistenciju na inaktivaciju svojim endogenim inhibitorom (PAI-1) u poređenju sa </w:t>
            </w:r>
            <w:r w:rsidR="00233592" w:rsidRPr="008863E4">
              <w:rPr>
                <w:sz w:val="22"/>
                <w:szCs w:val="22"/>
                <w:lang w:val="sr-Latn-ME"/>
              </w:rPr>
              <w:t xml:space="preserve">fiziološkim </w:t>
            </w:r>
            <w:r w:rsidRPr="008863E4">
              <w:rPr>
                <w:sz w:val="22"/>
                <w:szCs w:val="22"/>
                <w:lang w:val="sr-Latn-ME"/>
              </w:rPr>
              <w:t>t-PA.</w:t>
            </w:r>
          </w:p>
          <w:p w14:paraId="6D59D2CA" w14:textId="77777777" w:rsidR="00D000B3" w:rsidRPr="008863E4" w:rsidRDefault="00D000B3" w:rsidP="006D2622">
            <w:pPr>
              <w:ind w:right="256"/>
              <w:jc w:val="both"/>
              <w:rPr>
                <w:sz w:val="22"/>
                <w:szCs w:val="22"/>
                <w:lang w:val="sr-Latn-ME"/>
              </w:rPr>
            </w:pPr>
          </w:p>
          <w:p w14:paraId="29F87A28" w14:textId="77777777" w:rsidR="00D000B3" w:rsidRPr="008863E4" w:rsidRDefault="00D000B3" w:rsidP="006D2622">
            <w:pPr>
              <w:ind w:right="256"/>
              <w:jc w:val="both"/>
              <w:rPr>
                <w:sz w:val="22"/>
                <w:szCs w:val="22"/>
                <w:u w:val="single"/>
                <w:lang w:val="sr-Latn-ME"/>
              </w:rPr>
            </w:pPr>
            <w:r w:rsidRPr="008863E4">
              <w:rPr>
                <w:sz w:val="22"/>
                <w:szCs w:val="22"/>
                <w:u w:val="single"/>
                <w:lang w:val="sr-Latn-ME"/>
              </w:rPr>
              <w:t>Farmakodinamski efekti</w:t>
            </w:r>
          </w:p>
          <w:p w14:paraId="3C73243A" w14:textId="23B85185" w:rsidR="00D000B3" w:rsidRPr="008863E4" w:rsidRDefault="00D000B3" w:rsidP="006D2622">
            <w:pPr>
              <w:ind w:right="256"/>
              <w:jc w:val="both"/>
              <w:rPr>
                <w:sz w:val="22"/>
                <w:szCs w:val="22"/>
                <w:lang w:val="sr-Latn-ME"/>
              </w:rPr>
            </w:pPr>
            <w:r w:rsidRPr="008863E4">
              <w:rPr>
                <w:sz w:val="22"/>
                <w:szCs w:val="22"/>
                <w:lang w:val="sr-Latn-ME"/>
              </w:rPr>
              <w:t xml:space="preserve">Poslije primjene tenekteplaze </w:t>
            </w:r>
            <w:r w:rsidR="00233592" w:rsidRPr="008863E4">
              <w:rPr>
                <w:sz w:val="22"/>
                <w:szCs w:val="22"/>
                <w:lang w:val="sr-Latn-ME"/>
              </w:rPr>
              <w:t xml:space="preserve">uočeno je </w:t>
            </w:r>
            <w:r w:rsidRPr="008863E4">
              <w:rPr>
                <w:sz w:val="22"/>
                <w:szCs w:val="22"/>
                <w:lang w:val="sr-Latn-ME"/>
              </w:rPr>
              <w:t xml:space="preserve">da dolazi do dozno zavisne potrošnje </w:t>
            </w:r>
            <w:r w:rsidRPr="008863E4">
              <w:rPr>
                <w:sz w:val="22"/>
                <w:szCs w:val="22"/>
                <w:lang w:val="sr-Latn-ME"/>
              </w:rPr>
              <w:sym w:font="Symbol" w:char="F061"/>
            </w:r>
            <w:r w:rsidRPr="008863E4">
              <w:rPr>
                <w:sz w:val="22"/>
                <w:szCs w:val="22"/>
                <w:lang w:val="sr-Latn-ME"/>
              </w:rPr>
              <w:t xml:space="preserve">2-antiplazmina (inhibitor plazmina u tečnoj fazi) sa posljedičnim povećanjem nivoa sistemskog stvaranja plazmina. Ovo </w:t>
            </w:r>
            <w:r w:rsidR="00233592" w:rsidRPr="008863E4">
              <w:rPr>
                <w:sz w:val="22"/>
                <w:szCs w:val="22"/>
                <w:lang w:val="sr-Latn-ME"/>
              </w:rPr>
              <w:t xml:space="preserve">opažanje </w:t>
            </w:r>
            <w:r w:rsidRPr="008863E4">
              <w:rPr>
                <w:sz w:val="22"/>
                <w:szCs w:val="22"/>
                <w:lang w:val="sr-Latn-ME"/>
              </w:rPr>
              <w:t xml:space="preserve">je u skladu sa očekivanim dejstvom aktivacije plazminogena. U komparativnim studijama kod ispitanika kojima je </w:t>
            </w:r>
            <w:r w:rsidR="00233592" w:rsidRPr="008863E4">
              <w:rPr>
                <w:sz w:val="22"/>
                <w:szCs w:val="22"/>
                <w:lang w:val="sr-Latn-ME"/>
              </w:rPr>
              <w:t xml:space="preserve">primijenjena </w:t>
            </w:r>
            <w:r w:rsidRPr="008863E4">
              <w:rPr>
                <w:sz w:val="22"/>
                <w:szCs w:val="22"/>
                <w:lang w:val="sr-Latn-ME"/>
              </w:rPr>
              <w:t>maksimalna doza tenekteplaze (</w:t>
            </w:r>
            <w:r w:rsidR="00233592" w:rsidRPr="008863E4">
              <w:rPr>
                <w:sz w:val="22"/>
                <w:szCs w:val="22"/>
                <w:lang w:val="sr-Latn-ME"/>
              </w:rPr>
              <w:t>10 000</w:t>
            </w:r>
            <w:r w:rsidRPr="008863E4">
              <w:rPr>
                <w:sz w:val="22"/>
                <w:szCs w:val="22"/>
                <w:lang w:val="sr-Latn-ME"/>
              </w:rPr>
              <w:t xml:space="preserve"> j., što odgovara dozi od 50 mg) zabilježeno je manje od 15% smanjenja fibrinogena i manje od 25% smanjenja plazminogena, dok je alteplaza dovodila do približno 50% smanjenja </w:t>
            </w:r>
            <w:r w:rsidR="00233592" w:rsidRPr="008863E4">
              <w:rPr>
                <w:sz w:val="22"/>
                <w:szCs w:val="22"/>
                <w:lang w:val="sr-Latn-ME"/>
              </w:rPr>
              <w:t>vrijednosti</w:t>
            </w:r>
            <w:r w:rsidRPr="008863E4">
              <w:rPr>
                <w:sz w:val="22"/>
                <w:szCs w:val="22"/>
                <w:lang w:val="sr-Latn-ME"/>
              </w:rPr>
              <w:t xml:space="preserve"> fibrinogena i plazminogena. Poslije 30 dana nije registrovano nikakvo klinički relevantno stvaranje antitijela.</w:t>
            </w:r>
          </w:p>
          <w:p w14:paraId="28419ACA" w14:textId="77777777" w:rsidR="00D000B3" w:rsidRPr="008863E4" w:rsidRDefault="00D000B3" w:rsidP="006D2622">
            <w:pPr>
              <w:autoSpaceDE w:val="0"/>
              <w:autoSpaceDN w:val="0"/>
              <w:adjustRightInd w:val="0"/>
              <w:ind w:right="256"/>
              <w:jc w:val="both"/>
              <w:rPr>
                <w:sz w:val="22"/>
                <w:szCs w:val="22"/>
                <w:u w:val="single"/>
                <w:lang w:val="sr-Latn-ME"/>
              </w:rPr>
            </w:pPr>
          </w:p>
          <w:p w14:paraId="77DC096D" w14:textId="77777777" w:rsidR="00D000B3" w:rsidRPr="008863E4" w:rsidRDefault="00D000B3" w:rsidP="006D2622">
            <w:pPr>
              <w:autoSpaceDE w:val="0"/>
              <w:autoSpaceDN w:val="0"/>
              <w:adjustRightInd w:val="0"/>
              <w:ind w:right="256"/>
              <w:jc w:val="both"/>
              <w:rPr>
                <w:sz w:val="22"/>
                <w:szCs w:val="22"/>
                <w:u w:val="single"/>
                <w:lang w:val="sr-Latn-ME"/>
              </w:rPr>
            </w:pPr>
            <w:r w:rsidRPr="008863E4">
              <w:rPr>
                <w:sz w:val="22"/>
                <w:szCs w:val="22"/>
                <w:u w:val="single"/>
                <w:lang w:val="sr-Latn-ME"/>
              </w:rPr>
              <w:t xml:space="preserve">Klinička efikasnost i bezbjednost </w:t>
            </w:r>
          </w:p>
          <w:p w14:paraId="4F6296D4" w14:textId="711C0EF0" w:rsidR="00D000B3" w:rsidRPr="008863E4" w:rsidRDefault="00D000B3" w:rsidP="006D2622">
            <w:pPr>
              <w:autoSpaceDE w:val="0"/>
              <w:autoSpaceDN w:val="0"/>
              <w:adjustRightInd w:val="0"/>
              <w:ind w:right="256"/>
              <w:jc w:val="both"/>
              <w:rPr>
                <w:sz w:val="22"/>
                <w:szCs w:val="22"/>
                <w:lang w:val="sr-Latn-ME"/>
              </w:rPr>
            </w:pPr>
            <w:r w:rsidRPr="008863E4">
              <w:rPr>
                <w:sz w:val="22"/>
                <w:szCs w:val="22"/>
                <w:lang w:val="sr-Latn-ME"/>
              </w:rPr>
              <w:t xml:space="preserve">Podaci o prohodnosti krvnih sudova iz angiografskih studija faze I i II ukazuju na to da je tenekteplaza, kada se </w:t>
            </w:r>
            <w:r w:rsidR="00233592" w:rsidRPr="008863E4">
              <w:rPr>
                <w:sz w:val="22"/>
                <w:szCs w:val="22"/>
                <w:lang w:val="sr-Latn-ME"/>
              </w:rPr>
              <w:t>primjenjuje</w:t>
            </w:r>
            <w:r w:rsidRPr="008863E4">
              <w:rPr>
                <w:sz w:val="22"/>
                <w:szCs w:val="22"/>
                <w:lang w:val="sr-Latn-ME"/>
              </w:rPr>
              <w:t xml:space="preserve"> u vidu pojedinačnog intravenskog bolusa, efikasna u razgradnji krvnih ugrušaka u arterijama pogođenim infarktom kod pacijenata koji su imali </w:t>
            </w:r>
            <w:smartTag w:uri="urn:schemas-microsoft-com:office:smarttags" w:element="stockticker">
              <w:r w:rsidRPr="008863E4">
                <w:rPr>
                  <w:sz w:val="22"/>
                  <w:szCs w:val="22"/>
                  <w:lang w:val="sr-Latn-ME"/>
                </w:rPr>
                <w:t>AMI</w:t>
              </w:r>
            </w:smartTag>
            <w:r w:rsidRPr="008863E4">
              <w:rPr>
                <w:sz w:val="22"/>
                <w:szCs w:val="22"/>
                <w:lang w:val="sr-Latn-ME"/>
              </w:rPr>
              <w:t xml:space="preserve"> (akutni infarkt miokarda) u dozno-zavisnom odnosu.</w:t>
            </w:r>
          </w:p>
          <w:p w14:paraId="14412327" w14:textId="77777777" w:rsidR="00D000B3" w:rsidRPr="008863E4" w:rsidRDefault="00D000B3" w:rsidP="006D2622">
            <w:pPr>
              <w:autoSpaceDE w:val="0"/>
              <w:autoSpaceDN w:val="0"/>
              <w:adjustRightInd w:val="0"/>
              <w:ind w:right="256"/>
              <w:jc w:val="both"/>
              <w:rPr>
                <w:sz w:val="22"/>
                <w:szCs w:val="22"/>
                <w:lang w:val="sr-Latn-ME"/>
              </w:rPr>
            </w:pPr>
          </w:p>
          <w:p w14:paraId="21EE445F" w14:textId="77777777" w:rsidR="00D000B3" w:rsidRPr="008863E4" w:rsidRDefault="00D000B3" w:rsidP="006D2622">
            <w:pPr>
              <w:tabs>
                <w:tab w:val="left" w:pos="284"/>
              </w:tabs>
              <w:autoSpaceDE w:val="0"/>
              <w:autoSpaceDN w:val="0"/>
              <w:adjustRightInd w:val="0"/>
              <w:ind w:right="256"/>
              <w:jc w:val="both"/>
              <w:rPr>
                <w:sz w:val="22"/>
                <w:szCs w:val="22"/>
                <w:u w:val="single"/>
                <w:lang w:val="sr-Latn-ME"/>
              </w:rPr>
            </w:pPr>
            <w:r w:rsidRPr="008863E4">
              <w:rPr>
                <w:sz w:val="22"/>
                <w:szCs w:val="22"/>
                <w:u w:val="single"/>
                <w:lang w:val="sr-Latn-ME"/>
              </w:rPr>
              <w:t>ASSENT-2</w:t>
            </w:r>
          </w:p>
          <w:p w14:paraId="4CC1A2A3" w14:textId="47506E7D" w:rsidR="00D000B3" w:rsidRPr="008863E4" w:rsidRDefault="00D000B3" w:rsidP="006D2622">
            <w:pPr>
              <w:ind w:right="256"/>
              <w:jc w:val="both"/>
              <w:rPr>
                <w:sz w:val="22"/>
                <w:szCs w:val="22"/>
                <w:lang w:val="sr-Latn-ME"/>
              </w:rPr>
            </w:pPr>
            <w:r w:rsidRPr="008863E4">
              <w:rPr>
                <w:sz w:val="22"/>
                <w:szCs w:val="22"/>
                <w:lang w:val="sr-Latn-ME"/>
              </w:rPr>
              <w:t xml:space="preserve">Jedno veliko ispitivanje </w:t>
            </w:r>
            <w:r w:rsidR="00233592" w:rsidRPr="008863E4">
              <w:rPr>
                <w:sz w:val="22"/>
                <w:szCs w:val="22"/>
                <w:lang w:val="sr-Latn-ME"/>
              </w:rPr>
              <w:t>smrtnosti</w:t>
            </w:r>
            <w:r w:rsidRPr="008863E4">
              <w:rPr>
                <w:sz w:val="22"/>
                <w:szCs w:val="22"/>
                <w:lang w:val="sr-Latn-ME"/>
              </w:rPr>
              <w:t xml:space="preserve"> (ASSENT-2) sprovedeno na približno </w:t>
            </w:r>
            <w:r w:rsidR="00233592" w:rsidRPr="008863E4">
              <w:rPr>
                <w:sz w:val="22"/>
                <w:szCs w:val="22"/>
                <w:lang w:val="sr-Latn-ME"/>
              </w:rPr>
              <w:t>17 000</w:t>
            </w:r>
            <w:r w:rsidRPr="008863E4">
              <w:rPr>
                <w:sz w:val="22"/>
                <w:szCs w:val="22"/>
                <w:lang w:val="sr-Latn-ME"/>
              </w:rPr>
              <w:t xml:space="preserve"> pacijenata pokazalo je da je tenekteplaza terapijski ekvivalentna alteplazi u smanjenju </w:t>
            </w:r>
            <w:r w:rsidR="00233592" w:rsidRPr="008863E4">
              <w:rPr>
                <w:sz w:val="22"/>
                <w:szCs w:val="22"/>
                <w:lang w:val="sr-Latn-ME"/>
              </w:rPr>
              <w:t xml:space="preserve">smrtnih ishoda </w:t>
            </w:r>
            <w:r w:rsidRPr="008863E4">
              <w:rPr>
                <w:sz w:val="22"/>
                <w:szCs w:val="22"/>
                <w:lang w:val="sr-Latn-ME"/>
              </w:rPr>
              <w:t>(6,2% za ob</w:t>
            </w:r>
            <w:r w:rsidR="00862CCA" w:rsidRPr="008863E4">
              <w:rPr>
                <w:sz w:val="22"/>
                <w:szCs w:val="22"/>
                <w:lang w:val="sr-Latn-ME"/>
              </w:rPr>
              <w:t>i</w:t>
            </w:r>
            <w:r w:rsidRPr="008863E4">
              <w:rPr>
                <w:sz w:val="22"/>
                <w:szCs w:val="22"/>
                <w:lang w:val="sr-Latn-ME"/>
              </w:rPr>
              <w:t>je terapije poslije 30 dana, sa gornjom granicom od 95% CI za relativni odnos rizika (</w:t>
            </w:r>
            <w:smartTag w:uri="urn:schemas-microsoft-com:office:smarttags" w:element="stockticker">
              <w:r w:rsidRPr="008863E4">
                <w:rPr>
                  <w:sz w:val="22"/>
                  <w:szCs w:val="22"/>
                  <w:lang w:val="sr-Latn-ME"/>
                </w:rPr>
                <w:t>RRR</w:t>
              </w:r>
            </w:smartTag>
            <w:r w:rsidRPr="008863E4">
              <w:rPr>
                <w:sz w:val="22"/>
                <w:szCs w:val="22"/>
                <w:lang w:val="sr-Latn-ME"/>
              </w:rPr>
              <w:t xml:space="preserve">) od 1.124), kao i da je </w:t>
            </w:r>
            <w:r w:rsidR="00233592" w:rsidRPr="008863E4">
              <w:rPr>
                <w:sz w:val="22"/>
                <w:szCs w:val="22"/>
                <w:lang w:val="sr-Latn-ME"/>
              </w:rPr>
              <w:t>primjena</w:t>
            </w:r>
            <w:r w:rsidRPr="008863E4">
              <w:rPr>
                <w:sz w:val="22"/>
                <w:szCs w:val="22"/>
                <w:lang w:val="sr-Latn-ME"/>
              </w:rPr>
              <w:t xml:space="preserve"> tenekteplaze povezana sa značajno </w:t>
            </w:r>
            <w:r w:rsidR="00233592" w:rsidRPr="008863E4">
              <w:rPr>
                <w:sz w:val="22"/>
                <w:szCs w:val="22"/>
                <w:lang w:val="sr-Latn-ME"/>
              </w:rPr>
              <w:t xml:space="preserve">manjom </w:t>
            </w:r>
            <w:r w:rsidRPr="008863E4">
              <w:rPr>
                <w:sz w:val="22"/>
                <w:szCs w:val="22"/>
                <w:lang w:val="sr-Latn-ME"/>
              </w:rPr>
              <w:t xml:space="preserve">incidencom neintrakranijalnih krvarenja (26,4% u poređenju sa 28,9%, p=0,0003). Ovo </w:t>
            </w:r>
            <w:r w:rsidR="00233592" w:rsidRPr="008863E4">
              <w:rPr>
                <w:sz w:val="22"/>
                <w:szCs w:val="22"/>
                <w:lang w:val="sr-Latn-ME"/>
              </w:rPr>
              <w:t xml:space="preserve">upućuje na </w:t>
            </w:r>
            <w:r w:rsidRPr="008863E4">
              <w:rPr>
                <w:sz w:val="22"/>
                <w:szCs w:val="22"/>
                <w:lang w:val="sr-Latn-ME"/>
              </w:rPr>
              <w:t xml:space="preserve">značajno </w:t>
            </w:r>
            <w:r w:rsidR="00233592" w:rsidRPr="008863E4">
              <w:rPr>
                <w:sz w:val="22"/>
                <w:szCs w:val="22"/>
                <w:lang w:val="sr-Latn-ME"/>
              </w:rPr>
              <w:t xml:space="preserve">manju potrebu </w:t>
            </w:r>
            <w:r w:rsidRPr="008863E4">
              <w:rPr>
                <w:sz w:val="22"/>
                <w:szCs w:val="22"/>
                <w:lang w:val="sr-Latn-ME"/>
              </w:rPr>
              <w:t xml:space="preserve">za transfuzijama (4.3% u poređenju sa 5,5%, p= 0,0002). Intrakranijalna </w:t>
            </w:r>
            <w:r w:rsidR="00233592" w:rsidRPr="008863E4">
              <w:rPr>
                <w:sz w:val="22"/>
                <w:szCs w:val="22"/>
                <w:lang w:val="sr-Latn-ME"/>
              </w:rPr>
              <w:t xml:space="preserve">krvarenja su </w:t>
            </w:r>
            <w:r w:rsidRPr="008863E4">
              <w:rPr>
                <w:sz w:val="22"/>
                <w:szCs w:val="22"/>
                <w:lang w:val="sr-Latn-ME"/>
              </w:rPr>
              <w:t>se pojavila sa stopom od 0,93% sa tenekteplazom u odnosu na 0,94% sa alteplazom.</w:t>
            </w:r>
          </w:p>
          <w:p w14:paraId="3B8934E9" w14:textId="3438C41F" w:rsidR="00D000B3" w:rsidRPr="008863E4" w:rsidRDefault="00D000B3" w:rsidP="006D2622">
            <w:pPr>
              <w:autoSpaceDE w:val="0"/>
              <w:autoSpaceDN w:val="0"/>
              <w:adjustRightInd w:val="0"/>
              <w:ind w:right="256"/>
              <w:jc w:val="both"/>
              <w:rPr>
                <w:sz w:val="22"/>
                <w:szCs w:val="22"/>
                <w:lang w:val="sr-Latn-ME"/>
              </w:rPr>
            </w:pPr>
            <w:r w:rsidRPr="008863E4">
              <w:rPr>
                <w:sz w:val="22"/>
                <w:szCs w:val="22"/>
                <w:lang w:val="sr-Latn-ME"/>
              </w:rPr>
              <w:t xml:space="preserve">Podaci o prohodnosti koronarnih krvnih sudova i ograničeni podaci o kliničkom ishodu pokazali su da su </w:t>
            </w:r>
            <w:smartTag w:uri="urn:schemas-microsoft-com:office:smarttags" w:element="stockticker">
              <w:r w:rsidRPr="008863E4">
                <w:rPr>
                  <w:sz w:val="22"/>
                  <w:szCs w:val="22"/>
                  <w:lang w:val="sr-Latn-ME"/>
                </w:rPr>
                <w:t>AMI</w:t>
              </w:r>
            </w:smartTag>
            <w:r w:rsidRPr="008863E4">
              <w:rPr>
                <w:sz w:val="22"/>
                <w:szCs w:val="22"/>
                <w:lang w:val="sr-Latn-ME"/>
              </w:rPr>
              <w:t xml:space="preserve"> pacijenti bili uspješno liječeni i nakon 6 sati od pojave simptoma.</w:t>
            </w:r>
          </w:p>
          <w:p w14:paraId="683C73E4" w14:textId="77777777" w:rsidR="00D000B3" w:rsidRPr="008863E4" w:rsidRDefault="00D000B3" w:rsidP="006D2622">
            <w:pPr>
              <w:autoSpaceDE w:val="0"/>
              <w:autoSpaceDN w:val="0"/>
              <w:adjustRightInd w:val="0"/>
              <w:ind w:right="256"/>
              <w:jc w:val="both"/>
              <w:rPr>
                <w:sz w:val="22"/>
                <w:szCs w:val="22"/>
                <w:lang w:val="sr-Latn-ME"/>
              </w:rPr>
            </w:pPr>
          </w:p>
          <w:p w14:paraId="5FBB3491" w14:textId="0BACEDF8" w:rsidR="001F5B7F" w:rsidRPr="008863E4" w:rsidRDefault="00D000B3" w:rsidP="006D2622">
            <w:pPr>
              <w:tabs>
                <w:tab w:val="left" w:pos="284"/>
              </w:tabs>
              <w:autoSpaceDE w:val="0"/>
              <w:autoSpaceDN w:val="0"/>
              <w:adjustRightInd w:val="0"/>
              <w:ind w:right="256"/>
              <w:jc w:val="both"/>
              <w:rPr>
                <w:sz w:val="22"/>
                <w:szCs w:val="22"/>
                <w:u w:val="single"/>
                <w:lang w:val="sr-Latn-ME"/>
              </w:rPr>
            </w:pPr>
            <w:r w:rsidRPr="008863E4">
              <w:rPr>
                <w:sz w:val="22"/>
                <w:szCs w:val="22"/>
                <w:u w:val="single"/>
                <w:lang w:val="sr-Latn-ME"/>
              </w:rPr>
              <w:t>ASSENT-4</w:t>
            </w:r>
          </w:p>
          <w:p w14:paraId="3CD3DDE9" w14:textId="78E2CB6A" w:rsidR="00D000B3" w:rsidRPr="008863E4" w:rsidRDefault="00D000B3" w:rsidP="006D2622">
            <w:pPr>
              <w:autoSpaceDE w:val="0"/>
              <w:autoSpaceDN w:val="0"/>
              <w:adjustRightInd w:val="0"/>
              <w:ind w:right="256"/>
              <w:jc w:val="both"/>
              <w:rPr>
                <w:sz w:val="22"/>
                <w:szCs w:val="22"/>
                <w:lang w:val="sr-Latn-ME"/>
              </w:rPr>
            </w:pPr>
            <w:r w:rsidRPr="008863E4">
              <w:rPr>
                <w:sz w:val="22"/>
                <w:szCs w:val="22"/>
                <w:lang w:val="sr-Latn-ME"/>
              </w:rPr>
              <w:t xml:space="preserve">ASSENT-4 PCI studija dizajnirana je kako bi pokazala da li kod </w:t>
            </w:r>
            <w:r w:rsidR="00277366" w:rsidRPr="008863E4">
              <w:rPr>
                <w:sz w:val="22"/>
                <w:szCs w:val="22"/>
                <w:lang w:val="sr-Latn-ME"/>
              </w:rPr>
              <w:t>4 000</w:t>
            </w:r>
            <w:r w:rsidRPr="008863E4">
              <w:rPr>
                <w:sz w:val="22"/>
                <w:szCs w:val="22"/>
                <w:lang w:val="sr-Latn-ME"/>
              </w:rPr>
              <w:t xml:space="preserve"> pacijenata sa </w:t>
            </w:r>
            <w:r w:rsidR="00277366" w:rsidRPr="008863E4">
              <w:rPr>
                <w:sz w:val="22"/>
                <w:szCs w:val="22"/>
                <w:lang w:val="sr-Latn-ME"/>
              </w:rPr>
              <w:t xml:space="preserve">opsežnim </w:t>
            </w:r>
            <w:r w:rsidRPr="008863E4">
              <w:rPr>
                <w:sz w:val="22"/>
                <w:szCs w:val="22"/>
                <w:lang w:val="sr-Latn-ME"/>
              </w:rPr>
              <w:t xml:space="preserve">infarktom miokarda, prethodna terapija sa punom dozom tenekteplaze i jednim pratećim bolusom koji sadrži do 4000 i.j. nefrakcionisanog heparina </w:t>
            </w:r>
            <w:r w:rsidR="005B2CCF" w:rsidRPr="008863E4">
              <w:rPr>
                <w:sz w:val="22"/>
                <w:szCs w:val="22"/>
                <w:lang w:val="sr-Latn-ME"/>
              </w:rPr>
              <w:t xml:space="preserve">primijenjenog </w:t>
            </w:r>
            <w:r w:rsidRPr="008863E4">
              <w:rPr>
                <w:sz w:val="22"/>
                <w:szCs w:val="22"/>
                <w:lang w:val="sr-Latn-ME"/>
              </w:rPr>
              <w:t>prije</w:t>
            </w:r>
            <w:r w:rsidR="00294635" w:rsidRPr="008863E4">
              <w:rPr>
                <w:sz w:val="22"/>
                <w:szCs w:val="22"/>
                <w:lang w:val="sr-Latn-ME"/>
              </w:rPr>
              <w:t xml:space="preserve"> primarne</w:t>
            </w:r>
            <w:r w:rsidRPr="008863E4">
              <w:rPr>
                <w:sz w:val="22"/>
                <w:szCs w:val="22"/>
                <w:lang w:val="sr-Latn-ME"/>
              </w:rPr>
              <w:t xml:space="preserve"> PCI koja će biti izvedena u narednih 60 do 180 minuta dovodi do boljih ishoda nego kada se primjenjuje samo primarna PCI. Klinička studija je prekinuta prije vremena sa </w:t>
            </w:r>
            <w:r w:rsidR="005B2CCF" w:rsidRPr="008863E4">
              <w:rPr>
                <w:sz w:val="22"/>
                <w:szCs w:val="22"/>
                <w:lang w:val="sr-Latn-ME"/>
              </w:rPr>
              <w:t>1 667</w:t>
            </w:r>
            <w:r w:rsidRPr="008863E4">
              <w:rPr>
                <w:sz w:val="22"/>
                <w:szCs w:val="22"/>
                <w:lang w:val="sr-Latn-ME"/>
              </w:rPr>
              <w:t xml:space="preserve"> randomizovanih pacijenata zbog numerički većeg </w:t>
            </w:r>
            <w:r w:rsidR="005B2CCF" w:rsidRPr="008863E4">
              <w:rPr>
                <w:sz w:val="22"/>
                <w:szCs w:val="22"/>
                <w:lang w:val="sr-Latn-ME"/>
              </w:rPr>
              <w:t xml:space="preserve">procenta ispitanika sa smrtnim ishodom </w:t>
            </w:r>
            <w:r w:rsidRPr="008863E4">
              <w:rPr>
                <w:sz w:val="22"/>
                <w:szCs w:val="22"/>
                <w:lang w:val="sr-Latn-ME"/>
              </w:rPr>
              <w:t>u grupi pacijenata sa facilitiranom PCI koji su primali tenekteplazu. Pojava primarne krajnje tačke istraživanja, koju čine smrtni ishod ili kardiogeni šok ili kongestivna srčana insuficijencija u roku od 90 dana, bila je statistički značajno veća kod grupe koja je primala tenekteplazu prema eksplorativnom režimu,</w:t>
            </w:r>
            <w:r w:rsidRPr="008863E4" w:rsidDel="00775B32">
              <w:rPr>
                <w:sz w:val="22"/>
                <w:szCs w:val="22"/>
                <w:lang w:val="sr-Latn-ME"/>
              </w:rPr>
              <w:t xml:space="preserve"> </w:t>
            </w:r>
            <w:r w:rsidRPr="008863E4">
              <w:rPr>
                <w:sz w:val="22"/>
                <w:szCs w:val="22"/>
                <w:lang w:val="sr-Latn-ME"/>
              </w:rPr>
              <w:t>za kojom je odmah slijedila rutinska PCI: 18,6% (151/810) u poređenju sa 13,4% (110/819) kod grupe koja je dobila samo PCI, p=0,0045. Ova značajna razlika između grupa u pogledu primarn</w:t>
            </w:r>
            <w:r w:rsidR="00D35871" w:rsidRPr="008863E4">
              <w:rPr>
                <w:sz w:val="22"/>
                <w:szCs w:val="22"/>
                <w:lang w:val="sr-Latn-ME"/>
              </w:rPr>
              <w:t>og</w:t>
            </w:r>
            <w:r w:rsidRPr="008863E4">
              <w:rPr>
                <w:sz w:val="22"/>
                <w:szCs w:val="22"/>
                <w:lang w:val="sr-Latn-ME"/>
              </w:rPr>
              <w:t xml:space="preserve"> </w:t>
            </w:r>
            <w:r w:rsidR="00D35871" w:rsidRPr="008863E4">
              <w:rPr>
                <w:sz w:val="22"/>
                <w:szCs w:val="22"/>
                <w:lang w:val="sr-Latn-ME"/>
              </w:rPr>
              <w:t>parametra ishoda</w:t>
            </w:r>
            <w:r w:rsidRPr="008863E4">
              <w:rPr>
                <w:sz w:val="22"/>
                <w:szCs w:val="22"/>
                <w:lang w:val="sr-Latn-ME"/>
              </w:rPr>
              <w:t xml:space="preserve"> istraživanja u roku od 90 dana bila je već prisutna intrahospitalno i nakon 30 dana.</w:t>
            </w:r>
          </w:p>
          <w:p w14:paraId="26F5192D" w14:textId="77777777" w:rsidR="00D000B3" w:rsidRPr="008863E4" w:rsidRDefault="00D000B3" w:rsidP="006D2622">
            <w:pPr>
              <w:pStyle w:val="Header"/>
              <w:tabs>
                <w:tab w:val="left" w:pos="284"/>
              </w:tabs>
              <w:ind w:right="256"/>
              <w:jc w:val="both"/>
              <w:rPr>
                <w:sz w:val="22"/>
                <w:szCs w:val="22"/>
                <w:lang w:val="sr-Latn-ME"/>
              </w:rPr>
            </w:pPr>
          </w:p>
          <w:p w14:paraId="23D38B8C" w14:textId="47B53704" w:rsidR="00D000B3" w:rsidRPr="008863E4" w:rsidRDefault="00D000B3" w:rsidP="006D2622">
            <w:pPr>
              <w:autoSpaceDE w:val="0"/>
              <w:autoSpaceDN w:val="0"/>
              <w:adjustRightInd w:val="0"/>
              <w:ind w:right="256"/>
              <w:jc w:val="both"/>
              <w:rPr>
                <w:sz w:val="22"/>
                <w:szCs w:val="22"/>
                <w:lang w:val="sr-Latn-ME"/>
              </w:rPr>
            </w:pPr>
            <w:r w:rsidRPr="008863E4">
              <w:rPr>
                <w:sz w:val="22"/>
                <w:szCs w:val="22"/>
                <w:lang w:val="sr-Latn-ME"/>
              </w:rPr>
              <w:t xml:space="preserve">Numerički gledano, sve komponente složene krajnje tačke govorile su u prilog režimu koji uključuje samo PCI: smrt: 6,7% u poređenju sa 4,9% p=0,14; kardiogeni šok: 6,3% u poređenju sa 4,8% p=0,19; odnosno kongestivna srčana insuficijencija: 12,0% u poređenju sa 9,2% p=0,06. Sekundarne </w:t>
            </w:r>
            <w:r w:rsidR="00D35871" w:rsidRPr="008863E4">
              <w:rPr>
                <w:sz w:val="22"/>
                <w:szCs w:val="22"/>
                <w:lang w:val="sr-Latn-ME"/>
              </w:rPr>
              <w:t xml:space="preserve">mjere ishoda </w:t>
            </w:r>
            <w:r w:rsidRPr="008863E4">
              <w:rPr>
                <w:sz w:val="22"/>
                <w:szCs w:val="22"/>
                <w:lang w:val="sr-Latn-ME"/>
              </w:rPr>
              <w:t xml:space="preserve">istraživanja koje su uključivale ponovljeni infarkt i ponovljenu revaskularizaciju ciljnog krvnog suda </w:t>
            </w:r>
            <w:r w:rsidR="005B2CCF" w:rsidRPr="008863E4">
              <w:rPr>
                <w:sz w:val="22"/>
                <w:szCs w:val="22"/>
                <w:lang w:val="sr-Latn-ME"/>
              </w:rPr>
              <w:t>bili</w:t>
            </w:r>
            <w:r w:rsidRPr="008863E4">
              <w:rPr>
                <w:sz w:val="22"/>
                <w:szCs w:val="22"/>
                <w:lang w:val="sr-Latn-ME"/>
              </w:rPr>
              <w:t xml:space="preserve"> su značajno uvećane u grupi koja je prethodno tretirana tenekteplazom: ponovljeni infarkt: 6,1% u poređenju sa 3,7%, p=0,0279; ponovljena revaskularizacija ciljnog krvnog suda: 6,6% u poređenju sa 3,4% p=0,0041.</w:t>
            </w:r>
          </w:p>
          <w:p w14:paraId="059D362E" w14:textId="77777777" w:rsidR="00D000B3" w:rsidRPr="008863E4" w:rsidRDefault="00D000B3" w:rsidP="006D2622">
            <w:pPr>
              <w:autoSpaceDE w:val="0"/>
              <w:autoSpaceDN w:val="0"/>
              <w:adjustRightInd w:val="0"/>
              <w:ind w:right="256"/>
              <w:jc w:val="both"/>
              <w:rPr>
                <w:sz w:val="22"/>
                <w:szCs w:val="22"/>
                <w:lang w:val="sr-Latn-ME"/>
              </w:rPr>
            </w:pPr>
          </w:p>
          <w:p w14:paraId="7B343EA6" w14:textId="77777777" w:rsidR="00D000B3" w:rsidRPr="008863E4" w:rsidRDefault="00D000B3" w:rsidP="006D2622">
            <w:pPr>
              <w:autoSpaceDE w:val="0"/>
              <w:autoSpaceDN w:val="0"/>
              <w:adjustRightInd w:val="0"/>
              <w:ind w:right="256"/>
              <w:jc w:val="both"/>
              <w:rPr>
                <w:sz w:val="22"/>
                <w:szCs w:val="22"/>
                <w:lang w:val="sr-Latn-ME"/>
              </w:rPr>
            </w:pPr>
            <w:r w:rsidRPr="008863E4">
              <w:rPr>
                <w:sz w:val="22"/>
                <w:szCs w:val="22"/>
                <w:lang w:val="sr-Latn-ME"/>
              </w:rPr>
              <w:t>Sljedeći neželjeni događaji bili su češći pri korišćenju tenekteplaze prije PCI: intrakranijalna hemoragija: 1% u poređenju sa 0%, p=0,0037; moždani udar: 1,8% u poređenju sa 0%, p&lt;0,0001; velika krvarenja: 5,6% u poređenju sa 4,4%, p=0,3118; manja krvarenja: 25,3% u poređenju sa 19,0%, p= 0,0021; transfuzije krvi: 6,2% u poređenju sa 4,2% p=0,0873; naglo zatvaranje krvnog suda: 1,9% u poređenju sa 0,1%, p=0,0001.</w:t>
            </w:r>
          </w:p>
          <w:p w14:paraId="1E54727F" w14:textId="77777777" w:rsidR="00D000B3" w:rsidRPr="008863E4" w:rsidRDefault="00D000B3" w:rsidP="006D2622">
            <w:pPr>
              <w:pStyle w:val="Header"/>
              <w:tabs>
                <w:tab w:val="left" w:pos="284"/>
              </w:tabs>
              <w:ind w:right="256"/>
              <w:jc w:val="both"/>
              <w:rPr>
                <w:sz w:val="22"/>
                <w:szCs w:val="22"/>
                <w:lang w:val="sr-Latn-ME"/>
              </w:rPr>
            </w:pPr>
          </w:p>
          <w:p w14:paraId="450109F9" w14:textId="66174047" w:rsidR="001F5B7F" w:rsidRPr="008863E4" w:rsidRDefault="00D000B3" w:rsidP="006D2622">
            <w:pPr>
              <w:widowControl w:val="0"/>
              <w:tabs>
                <w:tab w:val="left" w:pos="284"/>
              </w:tabs>
              <w:adjustRightInd w:val="0"/>
              <w:ind w:right="256"/>
              <w:jc w:val="both"/>
              <w:textAlignment w:val="baseline"/>
              <w:rPr>
                <w:rFonts w:eastAsia="MS Mincho"/>
                <w:sz w:val="22"/>
                <w:szCs w:val="22"/>
                <w:u w:val="single"/>
                <w:lang w:val="sr-Latn-ME" w:eastAsia="de-DE"/>
              </w:rPr>
            </w:pPr>
            <w:r w:rsidRPr="008863E4">
              <w:rPr>
                <w:rFonts w:eastAsia="MS Mincho"/>
                <w:sz w:val="22"/>
                <w:szCs w:val="22"/>
                <w:u w:val="single"/>
                <w:lang w:val="sr-Latn-ME" w:eastAsia="de-DE"/>
              </w:rPr>
              <w:lastRenderedPageBreak/>
              <w:t xml:space="preserve">Studija STREAM </w:t>
            </w:r>
          </w:p>
          <w:p w14:paraId="66CA1152" w14:textId="5A95CCE5" w:rsidR="00D000B3" w:rsidRPr="008863E4" w:rsidRDefault="00D000B3" w:rsidP="006D2622">
            <w:pPr>
              <w:widowControl w:val="0"/>
              <w:tabs>
                <w:tab w:val="left" w:pos="284"/>
              </w:tabs>
              <w:adjustRightInd w:val="0"/>
              <w:ind w:right="256"/>
              <w:jc w:val="both"/>
              <w:textAlignment w:val="baseline"/>
              <w:rPr>
                <w:rFonts w:eastAsia="MS Mincho"/>
                <w:sz w:val="22"/>
                <w:szCs w:val="22"/>
                <w:lang w:val="sr-Latn-ME" w:eastAsia="de-DE"/>
              </w:rPr>
            </w:pPr>
            <w:r w:rsidRPr="008863E4">
              <w:rPr>
                <w:rFonts w:eastAsia="MS Mincho"/>
                <w:sz w:val="22"/>
                <w:szCs w:val="22"/>
                <w:lang w:val="sr-Latn-ME" w:eastAsia="de-DE"/>
              </w:rPr>
              <w:t xml:space="preserve">Studija STREAM je osmišljena </w:t>
            </w:r>
            <w:r w:rsidR="005B2CCF" w:rsidRPr="008863E4">
              <w:rPr>
                <w:rFonts w:eastAsia="MS Mincho"/>
                <w:sz w:val="22"/>
                <w:szCs w:val="22"/>
                <w:lang w:val="sr-Latn-ME" w:eastAsia="de-DE"/>
              </w:rPr>
              <w:t xml:space="preserve">za procjenu efikasnosti i bezbjednosti </w:t>
            </w:r>
            <w:r w:rsidRPr="008863E4">
              <w:rPr>
                <w:rFonts w:eastAsia="MS Mincho"/>
                <w:sz w:val="22"/>
                <w:szCs w:val="22"/>
                <w:lang w:val="sr-Latn-ME" w:eastAsia="de-DE"/>
              </w:rPr>
              <w:t xml:space="preserve">farmakoinvazivne strategije  u poređenju sa strategijom standardne primarne PCI kod pacijenata koji dolaze sa akutnim infarktom miokarda  sa elevacijom ST segmenta u roku od 3 sata od pojave simptoma, a koji nijesu mogli da budu podvrgnuti primarnoj  PCI u roku od jednog sata po prvom kontaktu sa ljekarom. Farmakoinvazivna strategija  se sastojala od rane fibrinolitičke terapije sa </w:t>
            </w:r>
            <w:r w:rsidR="005B2CCF" w:rsidRPr="008863E4">
              <w:rPr>
                <w:rFonts w:eastAsia="MS Mincho"/>
                <w:sz w:val="22"/>
                <w:szCs w:val="22"/>
                <w:lang w:val="sr-Latn-ME" w:eastAsia="de-DE"/>
              </w:rPr>
              <w:t>primjenom bolus</w:t>
            </w:r>
            <w:r w:rsidRPr="008863E4">
              <w:rPr>
                <w:rFonts w:eastAsia="MS Mincho"/>
                <w:sz w:val="22"/>
                <w:szCs w:val="22"/>
                <w:lang w:val="sr-Latn-ME" w:eastAsia="de-DE"/>
              </w:rPr>
              <w:t xml:space="preserve"> </w:t>
            </w:r>
            <w:r w:rsidRPr="008863E4">
              <w:rPr>
                <w:iCs/>
                <w:sz w:val="22"/>
                <w:szCs w:val="22"/>
                <w:lang w:val="sr-Latn-ME"/>
              </w:rPr>
              <w:t>tenekteplaze</w:t>
            </w:r>
            <w:r w:rsidRPr="008863E4">
              <w:rPr>
                <w:rFonts w:eastAsia="MS Mincho"/>
                <w:sz w:val="22"/>
                <w:szCs w:val="22"/>
                <w:lang w:val="sr-Latn-ME" w:eastAsia="de-DE"/>
              </w:rPr>
              <w:t xml:space="preserve"> i dodatnom antitrombocitnom i antikoagulacionom terapijom, poslije koje slijedi angiografija u roku od 6</w:t>
            </w:r>
            <w:r w:rsidRPr="008863E4">
              <w:rPr>
                <w:rFonts w:eastAsia="MS Mincho"/>
                <w:sz w:val="22"/>
                <w:szCs w:val="22"/>
                <w:lang w:val="sr-Latn-ME" w:eastAsia="de-DE"/>
              </w:rPr>
              <w:noBreakHyphen/>
              <w:t xml:space="preserve">24 sati ili spasonosna koronarna intervencija. </w:t>
            </w:r>
          </w:p>
          <w:p w14:paraId="71075678" w14:textId="77777777" w:rsidR="00D000B3" w:rsidRPr="008863E4" w:rsidRDefault="00D000B3" w:rsidP="006D2622">
            <w:pPr>
              <w:pStyle w:val="Header"/>
              <w:tabs>
                <w:tab w:val="left" w:pos="284"/>
              </w:tabs>
              <w:ind w:right="256"/>
              <w:jc w:val="both"/>
              <w:rPr>
                <w:sz w:val="22"/>
                <w:szCs w:val="22"/>
                <w:lang w:val="sr-Latn-ME"/>
              </w:rPr>
            </w:pPr>
          </w:p>
          <w:p w14:paraId="418D3813" w14:textId="387415F3" w:rsidR="00D000B3" w:rsidRPr="008863E4" w:rsidRDefault="00D000B3" w:rsidP="006D2622">
            <w:pPr>
              <w:tabs>
                <w:tab w:val="left" w:pos="284"/>
              </w:tabs>
              <w:ind w:right="256"/>
              <w:jc w:val="both"/>
              <w:rPr>
                <w:rFonts w:eastAsia="MS Mincho"/>
                <w:sz w:val="22"/>
                <w:szCs w:val="22"/>
                <w:lang w:val="sr-Latn-ME" w:eastAsia="de-DE"/>
              </w:rPr>
            </w:pPr>
            <w:r w:rsidRPr="008863E4">
              <w:rPr>
                <w:rFonts w:eastAsia="MS Mincho"/>
                <w:sz w:val="22"/>
                <w:szCs w:val="22"/>
                <w:lang w:val="sr-Latn-ME" w:eastAsia="de-DE"/>
              </w:rPr>
              <w:t xml:space="preserve">Ispitivana populacija uključila je 1892 pacijenta </w:t>
            </w:r>
            <w:r w:rsidR="005B2CCF" w:rsidRPr="008863E4">
              <w:rPr>
                <w:rFonts w:eastAsia="MS Mincho"/>
                <w:sz w:val="22"/>
                <w:szCs w:val="22"/>
                <w:lang w:val="sr-Latn-ME" w:eastAsia="de-DE"/>
              </w:rPr>
              <w:t xml:space="preserve">randomizovana </w:t>
            </w:r>
            <w:r w:rsidRPr="008863E4">
              <w:rPr>
                <w:rFonts w:eastAsia="MS Mincho"/>
                <w:sz w:val="22"/>
                <w:szCs w:val="22"/>
                <w:lang w:val="sr-Latn-ME" w:eastAsia="de-DE"/>
              </w:rPr>
              <w:t>interaktivnim sistemom sa glasovnim odgovorom. Primarni parametar efikasnosti uključuje smrt ili kardiogeni šok, ili kongestivnu srčanu insuficijenciju ili ponovni infarkt u roku od 30 dana, zabilježen je kod 12,4% (116/939) pacijenata u grupi koja je primala farmako</w:t>
            </w:r>
            <w:r w:rsidR="00456D2E" w:rsidRPr="008863E4">
              <w:rPr>
                <w:rFonts w:eastAsia="MS Mincho"/>
                <w:sz w:val="22"/>
                <w:szCs w:val="22"/>
                <w:lang w:val="sr-Latn-ME" w:eastAsia="de-DE"/>
              </w:rPr>
              <w:t>i</w:t>
            </w:r>
            <w:r w:rsidRPr="008863E4">
              <w:rPr>
                <w:rFonts w:eastAsia="MS Mincho"/>
                <w:sz w:val="22"/>
                <w:szCs w:val="22"/>
                <w:lang w:val="sr-Latn-ME" w:eastAsia="de-DE"/>
              </w:rPr>
              <w:t xml:space="preserve">nvazivnu terapiju u poređenju sa 14,3% (135/943) </w:t>
            </w:r>
            <w:r w:rsidR="005B2CCF" w:rsidRPr="008863E4">
              <w:rPr>
                <w:rFonts w:eastAsia="MS Mincho"/>
                <w:sz w:val="22"/>
                <w:szCs w:val="22"/>
                <w:lang w:val="sr-Latn-ME" w:eastAsia="de-DE"/>
              </w:rPr>
              <w:t>pacijenta</w:t>
            </w:r>
            <w:r w:rsidR="00456D2E" w:rsidRPr="008863E4">
              <w:rPr>
                <w:rFonts w:eastAsia="MS Mincho"/>
                <w:sz w:val="22"/>
                <w:szCs w:val="22"/>
                <w:lang w:val="sr-Latn-ME" w:eastAsia="de-DE"/>
              </w:rPr>
              <w:t xml:space="preserve"> </w:t>
            </w:r>
            <w:r w:rsidRPr="008863E4">
              <w:rPr>
                <w:rFonts w:eastAsia="MS Mincho"/>
                <w:sz w:val="22"/>
                <w:szCs w:val="22"/>
                <w:lang w:val="sr-Latn-ME" w:eastAsia="de-DE"/>
              </w:rPr>
              <w:t xml:space="preserve">u grupi </w:t>
            </w:r>
            <w:r w:rsidR="005B2CCF" w:rsidRPr="008863E4">
              <w:rPr>
                <w:rFonts w:eastAsia="MS Mincho"/>
                <w:sz w:val="22"/>
                <w:szCs w:val="22"/>
                <w:lang w:val="sr-Latn-ME" w:eastAsia="de-DE"/>
              </w:rPr>
              <w:t>koja</w:t>
            </w:r>
            <w:r w:rsidRPr="008863E4">
              <w:rPr>
                <w:rFonts w:eastAsia="MS Mincho"/>
                <w:sz w:val="22"/>
                <w:szCs w:val="22"/>
                <w:lang w:val="sr-Latn-ME" w:eastAsia="de-DE"/>
              </w:rPr>
              <w:t xml:space="preserve"> je </w:t>
            </w:r>
            <w:r w:rsidR="005B2CCF" w:rsidRPr="008863E4">
              <w:rPr>
                <w:rFonts w:eastAsia="MS Mincho"/>
                <w:sz w:val="22"/>
                <w:szCs w:val="22"/>
                <w:lang w:val="sr-Latn-ME" w:eastAsia="de-DE"/>
              </w:rPr>
              <w:t xml:space="preserve">podvrgnuta primarnom </w:t>
            </w:r>
            <w:r w:rsidRPr="008863E4">
              <w:rPr>
                <w:rFonts w:eastAsia="MS Mincho"/>
                <w:sz w:val="22"/>
                <w:szCs w:val="22"/>
                <w:lang w:val="sr-Latn-ME" w:eastAsia="de-DE"/>
              </w:rPr>
              <w:t>PCI</w:t>
            </w:r>
            <w:r w:rsidR="005B2CCF" w:rsidRPr="008863E4">
              <w:rPr>
                <w:rFonts w:eastAsia="MS Mincho"/>
                <w:sz w:val="22"/>
                <w:szCs w:val="22"/>
                <w:lang w:val="sr-Latn-ME" w:eastAsia="de-DE"/>
              </w:rPr>
              <w:t>-u</w:t>
            </w:r>
            <w:r w:rsidRPr="008863E4">
              <w:rPr>
                <w:rFonts w:eastAsia="MS Mincho"/>
                <w:sz w:val="22"/>
                <w:szCs w:val="22"/>
                <w:lang w:val="sr-Latn-ME" w:eastAsia="de-DE"/>
              </w:rPr>
              <w:t xml:space="preserve"> (relativni rizik 0,86 (0,68</w:t>
            </w:r>
            <w:r w:rsidRPr="008863E4">
              <w:rPr>
                <w:rFonts w:eastAsia="MS Mincho"/>
                <w:sz w:val="22"/>
                <w:szCs w:val="22"/>
                <w:lang w:val="sr-Latn-ME" w:eastAsia="de-DE"/>
              </w:rPr>
              <w:noBreakHyphen/>
              <w:t>1,09)).</w:t>
            </w:r>
          </w:p>
          <w:p w14:paraId="61ACFBC1" w14:textId="77777777" w:rsidR="00D000B3" w:rsidRPr="008863E4" w:rsidRDefault="00D000B3" w:rsidP="006D2622">
            <w:pPr>
              <w:pStyle w:val="Header"/>
              <w:tabs>
                <w:tab w:val="left" w:pos="284"/>
              </w:tabs>
              <w:ind w:right="256"/>
              <w:jc w:val="both"/>
              <w:rPr>
                <w:sz w:val="22"/>
                <w:szCs w:val="22"/>
                <w:lang w:val="sr-Latn-ME"/>
              </w:rPr>
            </w:pPr>
          </w:p>
          <w:p w14:paraId="4443068F" w14:textId="3EFF8B8D" w:rsidR="00D000B3" w:rsidRPr="008863E4" w:rsidRDefault="00D000B3" w:rsidP="006D2622">
            <w:pPr>
              <w:widowControl w:val="0"/>
              <w:tabs>
                <w:tab w:val="left" w:pos="284"/>
              </w:tabs>
              <w:adjustRightInd w:val="0"/>
              <w:ind w:right="256"/>
              <w:jc w:val="both"/>
              <w:textAlignment w:val="baseline"/>
              <w:rPr>
                <w:rFonts w:eastAsia="MS Mincho"/>
                <w:sz w:val="22"/>
                <w:szCs w:val="22"/>
                <w:lang w:val="sr-Latn-ME" w:eastAsia="de-DE"/>
              </w:rPr>
            </w:pPr>
            <w:r w:rsidRPr="008863E4">
              <w:rPr>
                <w:rFonts w:eastAsia="MS Mincho"/>
                <w:sz w:val="22"/>
                <w:szCs w:val="22"/>
                <w:lang w:val="sr-Latn-ME" w:eastAsia="de-DE"/>
              </w:rPr>
              <w:t>Pojedinačne komponente složenog primarnog parametra efikasnosti za farmako-invazivnu terapiju u poređenju sa primarnom PCI zabilježene su sa sljedećim učestalostima:</w:t>
            </w:r>
          </w:p>
          <w:p w14:paraId="5A5F87EB" w14:textId="6885771D" w:rsidR="00D000B3" w:rsidRPr="008863E4" w:rsidRDefault="00D000B3" w:rsidP="001530CA">
            <w:pPr>
              <w:widowControl w:val="0"/>
              <w:tabs>
                <w:tab w:val="left" w:pos="284"/>
              </w:tabs>
              <w:adjustRightInd w:val="0"/>
              <w:jc w:val="both"/>
              <w:textAlignment w:val="baseline"/>
              <w:rPr>
                <w:rFonts w:eastAsia="MS Mincho"/>
                <w:sz w:val="22"/>
                <w:szCs w:val="22"/>
                <w:lang w:val="sr-Latn-ME"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2268"/>
              <w:gridCol w:w="1984"/>
              <w:gridCol w:w="1166"/>
            </w:tblGrid>
            <w:tr w:rsidR="00D000B3" w:rsidRPr="008863E4" w14:paraId="6C33985E" w14:textId="77777777" w:rsidTr="001530CA">
              <w:trPr>
                <w:trHeight w:val="832"/>
              </w:trPr>
              <w:tc>
                <w:tcPr>
                  <w:tcW w:w="3794" w:type="dxa"/>
                </w:tcPr>
                <w:p w14:paraId="1DEE38C3" w14:textId="77777777" w:rsidR="00D000B3" w:rsidRPr="008863E4" w:rsidRDefault="00D000B3" w:rsidP="001530CA">
                  <w:pPr>
                    <w:rPr>
                      <w:b/>
                      <w:sz w:val="22"/>
                      <w:szCs w:val="22"/>
                      <w:lang w:val="sr-Latn-ME"/>
                    </w:rPr>
                  </w:pPr>
                </w:p>
              </w:tc>
              <w:tc>
                <w:tcPr>
                  <w:tcW w:w="2268" w:type="dxa"/>
                </w:tcPr>
                <w:p w14:paraId="1D29C259" w14:textId="6C998500" w:rsidR="005B2CCF" w:rsidRPr="008863E4" w:rsidRDefault="00D000B3" w:rsidP="001530CA">
                  <w:pPr>
                    <w:jc w:val="center"/>
                    <w:rPr>
                      <w:b/>
                      <w:sz w:val="22"/>
                      <w:szCs w:val="22"/>
                      <w:lang w:val="sr-Latn-ME"/>
                    </w:rPr>
                  </w:pPr>
                  <w:r w:rsidRPr="008863E4">
                    <w:rPr>
                      <w:b/>
                      <w:sz w:val="22"/>
                      <w:szCs w:val="22"/>
                      <w:lang w:val="sr-Latn-ME"/>
                    </w:rPr>
                    <w:t>Farmakoinvazivna</w:t>
                  </w:r>
                </w:p>
                <w:p w14:paraId="57044404" w14:textId="1DC9278B" w:rsidR="00D000B3" w:rsidRPr="008863E4" w:rsidRDefault="005B2CCF" w:rsidP="001530CA">
                  <w:pPr>
                    <w:jc w:val="center"/>
                    <w:rPr>
                      <w:b/>
                      <w:sz w:val="22"/>
                      <w:szCs w:val="22"/>
                      <w:lang w:val="sr-Latn-ME"/>
                    </w:rPr>
                  </w:pPr>
                  <w:r w:rsidRPr="008863E4">
                    <w:rPr>
                      <w:b/>
                      <w:sz w:val="22"/>
                      <w:szCs w:val="22"/>
                      <w:lang w:val="sr-Latn-ME"/>
                    </w:rPr>
                    <w:t>metoda</w:t>
                  </w:r>
                  <w:r w:rsidR="00D000B3" w:rsidRPr="008863E4">
                    <w:rPr>
                      <w:b/>
                      <w:sz w:val="22"/>
                      <w:szCs w:val="22"/>
                      <w:lang w:val="sr-Latn-ME"/>
                    </w:rPr>
                    <w:br/>
                    <w:t>(n=944)</w:t>
                  </w:r>
                </w:p>
              </w:tc>
              <w:tc>
                <w:tcPr>
                  <w:tcW w:w="1984" w:type="dxa"/>
                </w:tcPr>
                <w:p w14:paraId="59B2299D" w14:textId="77777777" w:rsidR="00D000B3" w:rsidRPr="008863E4" w:rsidRDefault="00D000B3" w:rsidP="001530CA">
                  <w:pPr>
                    <w:jc w:val="center"/>
                    <w:rPr>
                      <w:b/>
                      <w:sz w:val="22"/>
                      <w:szCs w:val="22"/>
                      <w:lang w:val="sr-Latn-ME"/>
                    </w:rPr>
                  </w:pPr>
                  <w:r w:rsidRPr="008863E4">
                    <w:rPr>
                      <w:b/>
                      <w:sz w:val="22"/>
                      <w:szCs w:val="22"/>
                      <w:lang w:val="sr-Latn-ME"/>
                    </w:rPr>
                    <w:t xml:space="preserve">Primarna </w:t>
                  </w:r>
                  <w:r w:rsidRPr="008863E4">
                    <w:rPr>
                      <w:rFonts w:eastAsia="MS Mincho"/>
                      <w:b/>
                      <w:sz w:val="22"/>
                      <w:szCs w:val="22"/>
                      <w:lang w:val="sr-Latn-ME" w:eastAsia="de-DE"/>
                    </w:rPr>
                    <w:t>PCI</w:t>
                  </w:r>
                  <w:r w:rsidRPr="008863E4">
                    <w:rPr>
                      <w:b/>
                      <w:sz w:val="22"/>
                      <w:szCs w:val="22"/>
                      <w:lang w:val="sr-Latn-ME"/>
                    </w:rPr>
                    <w:br/>
                    <w:t>(n=948)</w:t>
                  </w:r>
                </w:p>
              </w:tc>
              <w:tc>
                <w:tcPr>
                  <w:tcW w:w="1166" w:type="dxa"/>
                </w:tcPr>
                <w:p w14:paraId="22F355E9" w14:textId="5890369A" w:rsidR="00D000B3" w:rsidRPr="008863E4" w:rsidRDefault="00D000B3" w:rsidP="001530CA">
                  <w:pPr>
                    <w:jc w:val="center"/>
                    <w:rPr>
                      <w:b/>
                      <w:sz w:val="22"/>
                      <w:szCs w:val="22"/>
                      <w:lang w:val="sr-Latn-ME"/>
                    </w:rPr>
                  </w:pPr>
                  <w:r w:rsidRPr="008863E4">
                    <w:rPr>
                      <w:b/>
                      <w:sz w:val="22"/>
                      <w:szCs w:val="22"/>
                      <w:lang w:val="sr-Latn-ME"/>
                    </w:rPr>
                    <w:t>p</w:t>
                  </w:r>
                </w:p>
              </w:tc>
            </w:tr>
            <w:tr w:rsidR="00D000B3" w:rsidRPr="008863E4" w14:paraId="321C6626" w14:textId="77777777" w:rsidTr="001530CA">
              <w:tc>
                <w:tcPr>
                  <w:tcW w:w="3794" w:type="dxa"/>
                </w:tcPr>
                <w:p w14:paraId="12694E5B" w14:textId="23D28D69" w:rsidR="00D000B3" w:rsidRPr="008863E4" w:rsidRDefault="00D000B3" w:rsidP="001530CA">
                  <w:pPr>
                    <w:pBdr>
                      <w:bottom w:val="single" w:sz="4" w:space="1" w:color="auto"/>
                    </w:pBdr>
                    <w:rPr>
                      <w:sz w:val="22"/>
                      <w:szCs w:val="22"/>
                      <w:lang w:val="sr-Latn-ME"/>
                    </w:rPr>
                  </w:pPr>
                  <w:r w:rsidRPr="008863E4">
                    <w:rPr>
                      <w:sz w:val="22"/>
                      <w:szCs w:val="22"/>
                      <w:lang w:val="sr-Latn-ME"/>
                    </w:rPr>
                    <w:t>Složeni parametar: smrt, šok, kongestivna srčana insuficijencija, ponovni infarkt</w:t>
                  </w:r>
                </w:p>
                <w:p w14:paraId="6CEFA471" w14:textId="2F8B9779" w:rsidR="00D000B3" w:rsidRPr="008863E4" w:rsidRDefault="005B2CCF" w:rsidP="001530CA">
                  <w:pPr>
                    <w:rPr>
                      <w:sz w:val="22"/>
                      <w:szCs w:val="22"/>
                      <w:lang w:val="sr-Latn-ME"/>
                    </w:rPr>
                  </w:pPr>
                  <w:r w:rsidRPr="008863E4">
                    <w:rPr>
                      <w:sz w:val="22"/>
                      <w:szCs w:val="22"/>
                      <w:lang w:val="sr-Latn-ME"/>
                    </w:rPr>
                    <w:t xml:space="preserve">Smrtni ishod </w:t>
                  </w:r>
                  <w:r w:rsidR="00D000B3" w:rsidRPr="008863E4">
                    <w:rPr>
                      <w:sz w:val="22"/>
                      <w:szCs w:val="22"/>
                      <w:lang w:val="sr-Latn-ME"/>
                    </w:rPr>
                    <w:t>svih uzroka</w:t>
                  </w:r>
                </w:p>
                <w:p w14:paraId="40846369" w14:textId="77777777" w:rsidR="00D000B3" w:rsidRPr="008863E4" w:rsidRDefault="00D000B3" w:rsidP="001530CA">
                  <w:pPr>
                    <w:rPr>
                      <w:sz w:val="22"/>
                      <w:szCs w:val="22"/>
                      <w:lang w:val="sr-Latn-ME"/>
                    </w:rPr>
                  </w:pPr>
                  <w:r w:rsidRPr="008863E4">
                    <w:rPr>
                      <w:sz w:val="22"/>
                      <w:szCs w:val="22"/>
                      <w:lang w:val="sr-Latn-ME"/>
                    </w:rPr>
                    <w:t>Kardiogeni šok</w:t>
                  </w:r>
                </w:p>
                <w:p w14:paraId="31E67D66" w14:textId="193EDB85" w:rsidR="00D000B3" w:rsidRPr="008863E4" w:rsidRDefault="00D000B3" w:rsidP="001530CA">
                  <w:pPr>
                    <w:rPr>
                      <w:sz w:val="22"/>
                      <w:szCs w:val="22"/>
                      <w:lang w:val="sr-Latn-ME"/>
                    </w:rPr>
                  </w:pPr>
                  <w:r w:rsidRPr="008863E4">
                    <w:rPr>
                      <w:sz w:val="22"/>
                      <w:szCs w:val="22"/>
                      <w:lang w:val="sr-Latn-ME"/>
                    </w:rPr>
                    <w:t xml:space="preserve">Kongestivna srčana insuficijencija </w:t>
                  </w:r>
                  <w:r w:rsidR="00A02C0F" w:rsidRPr="008863E4">
                    <w:rPr>
                      <w:sz w:val="22"/>
                      <w:szCs w:val="22"/>
                      <w:lang w:val="sr-Latn-ME"/>
                    </w:rPr>
                    <w:t>P</w:t>
                  </w:r>
                  <w:r w:rsidRPr="008863E4">
                    <w:rPr>
                      <w:sz w:val="22"/>
                      <w:szCs w:val="22"/>
                      <w:lang w:val="sr-Latn-ME"/>
                    </w:rPr>
                    <w:t>onovni infarkt</w:t>
                  </w:r>
                </w:p>
              </w:tc>
              <w:tc>
                <w:tcPr>
                  <w:tcW w:w="2268" w:type="dxa"/>
                </w:tcPr>
                <w:p w14:paraId="72658C1E" w14:textId="77777777" w:rsidR="00D000B3" w:rsidRPr="008863E4" w:rsidRDefault="00D000B3" w:rsidP="001530CA">
                  <w:pPr>
                    <w:pBdr>
                      <w:bottom w:val="single" w:sz="4" w:space="1" w:color="auto"/>
                    </w:pBdr>
                    <w:jc w:val="center"/>
                    <w:rPr>
                      <w:sz w:val="22"/>
                      <w:szCs w:val="22"/>
                      <w:lang w:val="sr-Latn-ME"/>
                    </w:rPr>
                  </w:pPr>
                </w:p>
                <w:p w14:paraId="3CBD417A" w14:textId="77777777" w:rsidR="00D000B3" w:rsidRPr="008863E4" w:rsidRDefault="00D000B3" w:rsidP="001530CA">
                  <w:pPr>
                    <w:pBdr>
                      <w:bottom w:val="single" w:sz="4" w:space="1" w:color="auto"/>
                    </w:pBdr>
                    <w:jc w:val="center"/>
                    <w:rPr>
                      <w:sz w:val="22"/>
                      <w:szCs w:val="22"/>
                      <w:lang w:val="sr-Latn-ME"/>
                    </w:rPr>
                  </w:pPr>
                </w:p>
                <w:p w14:paraId="4385B26C" w14:textId="77777777" w:rsidR="00D000B3" w:rsidRPr="008863E4" w:rsidRDefault="00D000B3" w:rsidP="001530CA">
                  <w:pPr>
                    <w:pBdr>
                      <w:bottom w:val="single" w:sz="4" w:space="1" w:color="auto"/>
                    </w:pBdr>
                    <w:jc w:val="center"/>
                    <w:rPr>
                      <w:sz w:val="22"/>
                      <w:szCs w:val="22"/>
                      <w:lang w:val="sr-Latn-ME"/>
                    </w:rPr>
                  </w:pPr>
                  <w:r w:rsidRPr="008863E4">
                    <w:rPr>
                      <w:sz w:val="22"/>
                      <w:szCs w:val="22"/>
                      <w:lang w:val="sr-Latn-ME"/>
                    </w:rPr>
                    <w:t>116/939 (12,4%)</w:t>
                  </w:r>
                </w:p>
                <w:p w14:paraId="7B1AAF8C" w14:textId="77777777" w:rsidR="00D000B3" w:rsidRPr="008863E4" w:rsidRDefault="00D000B3" w:rsidP="001530CA">
                  <w:pPr>
                    <w:jc w:val="center"/>
                    <w:rPr>
                      <w:sz w:val="22"/>
                      <w:szCs w:val="22"/>
                      <w:lang w:val="sr-Latn-ME"/>
                    </w:rPr>
                  </w:pPr>
                  <w:r w:rsidRPr="008863E4">
                    <w:rPr>
                      <w:sz w:val="22"/>
                      <w:szCs w:val="22"/>
                      <w:lang w:val="sr-Latn-ME"/>
                    </w:rPr>
                    <w:t>43/939 (4,6%)</w:t>
                  </w:r>
                </w:p>
                <w:p w14:paraId="49CD97A7" w14:textId="77777777" w:rsidR="00D000B3" w:rsidRPr="008863E4" w:rsidRDefault="00D000B3" w:rsidP="001530CA">
                  <w:pPr>
                    <w:jc w:val="center"/>
                    <w:rPr>
                      <w:sz w:val="22"/>
                      <w:szCs w:val="22"/>
                      <w:lang w:val="sr-Latn-ME"/>
                    </w:rPr>
                  </w:pPr>
                  <w:r w:rsidRPr="008863E4">
                    <w:rPr>
                      <w:sz w:val="22"/>
                      <w:szCs w:val="22"/>
                      <w:lang w:val="sr-Latn-ME"/>
                    </w:rPr>
                    <w:t>41/939 (4,4%)</w:t>
                  </w:r>
                </w:p>
                <w:p w14:paraId="6F3FBD01" w14:textId="77777777" w:rsidR="00D000B3" w:rsidRPr="008863E4" w:rsidRDefault="00D000B3" w:rsidP="001530CA">
                  <w:pPr>
                    <w:jc w:val="center"/>
                    <w:rPr>
                      <w:sz w:val="22"/>
                      <w:szCs w:val="22"/>
                      <w:lang w:val="sr-Latn-ME"/>
                    </w:rPr>
                  </w:pPr>
                  <w:r w:rsidRPr="008863E4">
                    <w:rPr>
                      <w:sz w:val="22"/>
                      <w:szCs w:val="22"/>
                      <w:lang w:val="sr-Latn-ME"/>
                    </w:rPr>
                    <w:t>57/939 (6,1%)</w:t>
                  </w:r>
                </w:p>
                <w:p w14:paraId="7B42B94F" w14:textId="77777777" w:rsidR="00D000B3" w:rsidRPr="008863E4" w:rsidRDefault="00D000B3" w:rsidP="001530CA">
                  <w:pPr>
                    <w:jc w:val="center"/>
                    <w:rPr>
                      <w:sz w:val="22"/>
                      <w:szCs w:val="22"/>
                      <w:lang w:val="sr-Latn-ME"/>
                    </w:rPr>
                  </w:pPr>
                  <w:r w:rsidRPr="008863E4">
                    <w:rPr>
                      <w:sz w:val="22"/>
                      <w:szCs w:val="22"/>
                      <w:lang w:val="sr-Latn-ME"/>
                    </w:rPr>
                    <w:t>23/938 (2,5%)</w:t>
                  </w:r>
                </w:p>
              </w:tc>
              <w:tc>
                <w:tcPr>
                  <w:tcW w:w="1984" w:type="dxa"/>
                </w:tcPr>
                <w:p w14:paraId="49CC05E8" w14:textId="77777777" w:rsidR="00D000B3" w:rsidRPr="008863E4" w:rsidRDefault="00D000B3" w:rsidP="001530CA">
                  <w:pPr>
                    <w:jc w:val="center"/>
                    <w:rPr>
                      <w:sz w:val="22"/>
                      <w:szCs w:val="22"/>
                      <w:lang w:val="sr-Latn-ME"/>
                    </w:rPr>
                  </w:pPr>
                </w:p>
                <w:p w14:paraId="330B7903" w14:textId="77777777" w:rsidR="00D000B3" w:rsidRPr="008863E4" w:rsidRDefault="00D000B3" w:rsidP="001530CA">
                  <w:pPr>
                    <w:jc w:val="center"/>
                    <w:rPr>
                      <w:sz w:val="22"/>
                      <w:szCs w:val="22"/>
                      <w:lang w:val="sr-Latn-ME"/>
                    </w:rPr>
                  </w:pPr>
                </w:p>
                <w:p w14:paraId="5A2E38DC" w14:textId="77777777" w:rsidR="00D000B3" w:rsidRPr="008863E4" w:rsidRDefault="00D000B3" w:rsidP="001530CA">
                  <w:pPr>
                    <w:pBdr>
                      <w:bottom w:val="single" w:sz="4" w:space="1" w:color="auto"/>
                    </w:pBdr>
                    <w:jc w:val="center"/>
                    <w:rPr>
                      <w:sz w:val="22"/>
                      <w:szCs w:val="22"/>
                      <w:lang w:val="sr-Latn-ME"/>
                    </w:rPr>
                  </w:pPr>
                  <w:r w:rsidRPr="008863E4">
                    <w:rPr>
                      <w:sz w:val="22"/>
                      <w:szCs w:val="22"/>
                      <w:lang w:val="sr-Latn-ME"/>
                    </w:rPr>
                    <w:t>135/943 (14,3%)</w:t>
                  </w:r>
                </w:p>
                <w:p w14:paraId="3A4848C8" w14:textId="77777777" w:rsidR="00D000B3" w:rsidRPr="008863E4" w:rsidRDefault="00D000B3" w:rsidP="001530CA">
                  <w:pPr>
                    <w:jc w:val="center"/>
                    <w:rPr>
                      <w:sz w:val="22"/>
                      <w:szCs w:val="22"/>
                      <w:lang w:val="sr-Latn-ME"/>
                    </w:rPr>
                  </w:pPr>
                  <w:r w:rsidRPr="008863E4">
                    <w:rPr>
                      <w:sz w:val="22"/>
                      <w:szCs w:val="22"/>
                      <w:lang w:val="sr-Latn-ME"/>
                    </w:rPr>
                    <w:t>42/946 (4,4%)</w:t>
                  </w:r>
                </w:p>
                <w:p w14:paraId="021CF9FA" w14:textId="77777777" w:rsidR="00D000B3" w:rsidRPr="008863E4" w:rsidRDefault="00D000B3" w:rsidP="001530CA">
                  <w:pPr>
                    <w:jc w:val="center"/>
                    <w:rPr>
                      <w:sz w:val="22"/>
                      <w:szCs w:val="22"/>
                      <w:lang w:val="sr-Latn-ME"/>
                    </w:rPr>
                  </w:pPr>
                  <w:r w:rsidRPr="008863E4">
                    <w:rPr>
                      <w:sz w:val="22"/>
                      <w:szCs w:val="22"/>
                      <w:lang w:val="sr-Latn-ME"/>
                    </w:rPr>
                    <w:t>56/944 (5,9%)</w:t>
                  </w:r>
                </w:p>
                <w:p w14:paraId="2CAE8CB7" w14:textId="77777777" w:rsidR="00D000B3" w:rsidRPr="008863E4" w:rsidRDefault="00D000B3" w:rsidP="001530CA">
                  <w:pPr>
                    <w:jc w:val="center"/>
                    <w:rPr>
                      <w:sz w:val="22"/>
                      <w:szCs w:val="22"/>
                      <w:lang w:val="sr-Latn-ME"/>
                    </w:rPr>
                  </w:pPr>
                  <w:r w:rsidRPr="008863E4">
                    <w:rPr>
                      <w:sz w:val="22"/>
                      <w:szCs w:val="22"/>
                      <w:lang w:val="sr-Latn-ME"/>
                    </w:rPr>
                    <w:t>72/943 (7,6%)</w:t>
                  </w:r>
                </w:p>
                <w:p w14:paraId="3F59185B" w14:textId="77777777" w:rsidR="00D000B3" w:rsidRPr="008863E4" w:rsidRDefault="00D000B3" w:rsidP="001530CA">
                  <w:pPr>
                    <w:jc w:val="center"/>
                    <w:rPr>
                      <w:sz w:val="22"/>
                      <w:szCs w:val="22"/>
                      <w:lang w:val="sr-Latn-ME"/>
                    </w:rPr>
                  </w:pPr>
                  <w:r w:rsidRPr="008863E4">
                    <w:rPr>
                      <w:sz w:val="22"/>
                      <w:szCs w:val="22"/>
                      <w:lang w:val="sr-Latn-ME"/>
                    </w:rPr>
                    <w:t>21/944 (2,2%)</w:t>
                  </w:r>
                </w:p>
              </w:tc>
              <w:tc>
                <w:tcPr>
                  <w:tcW w:w="1166" w:type="dxa"/>
                </w:tcPr>
                <w:p w14:paraId="58083DAA" w14:textId="77777777" w:rsidR="00D000B3" w:rsidRPr="008863E4" w:rsidRDefault="00D000B3" w:rsidP="001530CA">
                  <w:pPr>
                    <w:jc w:val="center"/>
                    <w:rPr>
                      <w:sz w:val="22"/>
                      <w:szCs w:val="22"/>
                      <w:lang w:val="sr-Latn-ME"/>
                    </w:rPr>
                  </w:pPr>
                </w:p>
                <w:p w14:paraId="4F327E18" w14:textId="77777777" w:rsidR="00D000B3" w:rsidRPr="008863E4" w:rsidRDefault="00D000B3" w:rsidP="001530CA">
                  <w:pPr>
                    <w:jc w:val="center"/>
                    <w:rPr>
                      <w:sz w:val="22"/>
                      <w:szCs w:val="22"/>
                      <w:lang w:val="sr-Latn-ME"/>
                    </w:rPr>
                  </w:pPr>
                </w:p>
                <w:p w14:paraId="5F1C48AA" w14:textId="77777777" w:rsidR="00D000B3" w:rsidRPr="008863E4" w:rsidRDefault="00D000B3" w:rsidP="001530CA">
                  <w:pPr>
                    <w:pBdr>
                      <w:bottom w:val="single" w:sz="4" w:space="1" w:color="auto"/>
                    </w:pBdr>
                    <w:jc w:val="center"/>
                    <w:rPr>
                      <w:sz w:val="22"/>
                      <w:szCs w:val="22"/>
                      <w:lang w:val="sr-Latn-ME"/>
                    </w:rPr>
                  </w:pPr>
                  <w:r w:rsidRPr="008863E4">
                    <w:rPr>
                      <w:sz w:val="22"/>
                      <w:szCs w:val="22"/>
                      <w:lang w:val="sr-Latn-ME"/>
                    </w:rPr>
                    <w:t>0,21</w:t>
                  </w:r>
                </w:p>
                <w:p w14:paraId="5B1C9BD1" w14:textId="77777777" w:rsidR="00D000B3" w:rsidRPr="008863E4" w:rsidRDefault="00D000B3" w:rsidP="001530CA">
                  <w:pPr>
                    <w:jc w:val="center"/>
                    <w:rPr>
                      <w:sz w:val="22"/>
                      <w:szCs w:val="22"/>
                      <w:lang w:val="sr-Latn-ME"/>
                    </w:rPr>
                  </w:pPr>
                  <w:r w:rsidRPr="008863E4">
                    <w:rPr>
                      <w:sz w:val="22"/>
                      <w:szCs w:val="22"/>
                      <w:lang w:val="sr-Latn-ME"/>
                    </w:rPr>
                    <w:t>0,88</w:t>
                  </w:r>
                </w:p>
                <w:p w14:paraId="739276A4" w14:textId="77777777" w:rsidR="00D000B3" w:rsidRPr="008863E4" w:rsidRDefault="00D000B3" w:rsidP="001530CA">
                  <w:pPr>
                    <w:jc w:val="center"/>
                    <w:rPr>
                      <w:sz w:val="22"/>
                      <w:szCs w:val="22"/>
                      <w:lang w:val="sr-Latn-ME"/>
                    </w:rPr>
                  </w:pPr>
                  <w:r w:rsidRPr="008863E4">
                    <w:rPr>
                      <w:sz w:val="22"/>
                      <w:szCs w:val="22"/>
                      <w:lang w:val="sr-Latn-ME"/>
                    </w:rPr>
                    <w:t>0,13</w:t>
                  </w:r>
                </w:p>
                <w:p w14:paraId="54DE69FD" w14:textId="77777777" w:rsidR="00D000B3" w:rsidRPr="008863E4" w:rsidRDefault="00D000B3" w:rsidP="001530CA">
                  <w:pPr>
                    <w:jc w:val="center"/>
                    <w:rPr>
                      <w:sz w:val="22"/>
                      <w:szCs w:val="22"/>
                      <w:lang w:val="sr-Latn-ME"/>
                    </w:rPr>
                  </w:pPr>
                  <w:r w:rsidRPr="008863E4">
                    <w:rPr>
                      <w:sz w:val="22"/>
                      <w:szCs w:val="22"/>
                      <w:lang w:val="sr-Latn-ME"/>
                    </w:rPr>
                    <w:t>0,18</w:t>
                  </w:r>
                </w:p>
                <w:p w14:paraId="7394E4DA" w14:textId="77777777" w:rsidR="00D000B3" w:rsidRPr="008863E4" w:rsidRDefault="00D000B3" w:rsidP="001530CA">
                  <w:pPr>
                    <w:jc w:val="center"/>
                    <w:rPr>
                      <w:sz w:val="22"/>
                      <w:szCs w:val="22"/>
                      <w:lang w:val="sr-Latn-ME"/>
                    </w:rPr>
                  </w:pPr>
                  <w:r w:rsidRPr="008863E4">
                    <w:rPr>
                      <w:sz w:val="22"/>
                      <w:szCs w:val="22"/>
                      <w:lang w:val="sr-Latn-ME"/>
                    </w:rPr>
                    <w:t>0,74</w:t>
                  </w:r>
                </w:p>
              </w:tc>
            </w:tr>
            <w:tr w:rsidR="00D000B3" w:rsidRPr="008863E4" w14:paraId="6B4469B3" w14:textId="77777777" w:rsidTr="001530CA">
              <w:tc>
                <w:tcPr>
                  <w:tcW w:w="3794" w:type="dxa"/>
                </w:tcPr>
                <w:p w14:paraId="06878977" w14:textId="1B7839A3" w:rsidR="00D000B3" w:rsidRPr="008863E4" w:rsidRDefault="005B2CCF" w:rsidP="001530CA">
                  <w:pPr>
                    <w:rPr>
                      <w:sz w:val="22"/>
                      <w:szCs w:val="22"/>
                      <w:lang w:val="sr-Latn-ME"/>
                    </w:rPr>
                  </w:pPr>
                  <w:r w:rsidRPr="008863E4">
                    <w:rPr>
                      <w:sz w:val="22"/>
                      <w:szCs w:val="22"/>
                      <w:lang w:val="sr-Latn-ME"/>
                    </w:rPr>
                    <w:t xml:space="preserve">Smrtni ishod nekog od kardioloških </w:t>
                  </w:r>
                  <w:r w:rsidR="00D000B3" w:rsidRPr="008863E4">
                    <w:rPr>
                      <w:sz w:val="22"/>
                      <w:szCs w:val="22"/>
                      <w:lang w:val="sr-Latn-ME"/>
                    </w:rPr>
                    <w:t>uzroka</w:t>
                  </w:r>
                </w:p>
              </w:tc>
              <w:tc>
                <w:tcPr>
                  <w:tcW w:w="2268" w:type="dxa"/>
                </w:tcPr>
                <w:p w14:paraId="18B13C8D" w14:textId="77777777" w:rsidR="00D000B3" w:rsidRPr="008863E4" w:rsidRDefault="00D000B3" w:rsidP="001530CA">
                  <w:pPr>
                    <w:jc w:val="center"/>
                    <w:rPr>
                      <w:sz w:val="22"/>
                      <w:szCs w:val="22"/>
                      <w:lang w:val="sr-Latn-ME"/>
                    </w:rPr>
                  </w:pPr>
                  <w:r w:rsidRPr="008863E4">
                    <w:rPr>
                      <w:sz w:val="22"/>
                      <w:szCs w:val="22"/>
                      <w:lang w:val="sr-Latn-ME"/>
                    </w:rPr>
                    <w:t>31/939 (3,3%)</w:t>
                  </w:r>
                </w:p>
              </w:tc>
              <w:tc>
                <w:tcPr>
                  <w:tcW w:w="1984" w:type="dxa"/>
                </w:tcPr>
                <w:p w14:paraId="626CA80A" w14:textId="77777777" w:rsidR="00D000B3" w:rsidRPr="008863E4" w:rsidRDefault="00D000B3" w:rsidP="001530CA">
                  <w:pPr>
                    <w:jc w:val="center"/>
                    <w:rPr>
                      <w:sz w:val="22"/>
                      <w:szCs w:val="22"/>
                      <w:lang w:val="sr-Latn-ME"/>
                    </w:rPr>
                  </w:pPr>
                  <w:r w:rsidRPr="008863E4">
                    <w:rPr>
                      <w:sz w:val="22"/>
                      <w:szCs w:val="22"/>
                      <w:lang w:val="sr-Latn-ME"/>
                    </w:rPr>
                    <w:t>32/946 (3,4%)</w:t>
                  </w:r>
                </w:p>
              </w:tc>
              <w:tc>
                <w:tcPr>
                  <w:tcW w:w="1166" w:type="dxa"/>
                </w:tcPr>
                <w:p w14:paraId="7D777806" w14:textId="77777777" w:rsidR="00D000B3" w:rsidRPr="008863E4" w:rsidRDefault="00D000B3" w:rsidP="001530CA">
                  <w:pPr>
                    <w:jc w:val="center"/>
                    <w:rPr>
                      <w:sz w:val="22"/>
                      <w:szCs w:val="22"/>
                      <w:lang w:val="sr-Latn-ME"/>
                    </w:rPr>
                  </w:pPr>
                  <w:r w:rsidRPr="008863E4">
                    <w:rPr>
                      <w:sz w:val="22"/>
                      <w:szCs w:val="22"/>
                      <w:lang w:val="sr-Latn-ME"/>
                    </w:rPr>
                    <w:t>0,92</w:t>
                  </w:r>
                </w:p>
              </w:tc>
            </w:tr>
          </w:tbl>
          <w:p w14:paraId="3A97EB0B" w14:textId="77777777" w:rsidR="00D000B3" w:rsidRPr="008863E4" w:rsidRDefault="00D000B3" w:rsidP="001530CA">
            <w:pPr>
              <w:widowControl w:val="0"/>
              <w:tabs>
                <w:tab w:val="left" w:pos="284"/>
              </w:tabs>
              <w:adjustRightInd w:val="0"/>
              <w:jc w:val="both"/>
              <w:textAlignment w:val="baseline"/>
              <w:rPr>
                <w:rFonts w:eastAsia="MS Mincho"/>
                <w:sz w:val="22"/>
                <w:szCs w:val="22"/>
                <w:lang w:val="sr-Latn-ME" w:eastAsia="de-DE"/>
              </w:rPr>
            </w:pPr>
          </w:p>
          <w:p w14:paraId="7120D7F0" w14:textId="587AE138" w:rsidR="00D000B3" w:rsidRPr="008863E4" w:rsidRDefault="00D000B3" w:rsidP="001530CA">
            <w:pPr>
              <w:widowControl w:val="0"/>
              <w:tabs>
                <w:tab w:val="left" w:pos="284"/>
              </w:tabs>
              <w:adjustRightInd w:val="0"/>
              <w:textAlignment w:val="baseline"/>
              <w:rPr>
                <w:rFonts w:eastAsia="MS Mincho"/>
                <w:sz w:val="22"/>
                <w:szCs w:val="22"/>
                <w:lang w:val="sr-Latn-ME" w:eastAsia="de-DE"/>
              </w:rPr>
            </w:pPr>
            <w:r w:rsidRPr="008863E4">
              <w:rPr>
                <w:rFonts w:eastAsia="MS Mincho"/>
                <w:sz w:val="22"/>
                <w:szCs w:val="22"/>
                <w:lang w:val="sr-Latn-ME" w:eastAsia="de-DE"/>
              </w:rPr>
              <w:t>Zabilježen</w:t>
            </w:r>
            <w:r w:rsidR="00456D2E" w:rsidRPr="008863E4">
              <w:rPr>
                <w:rFonts w:eastAsia="MS Mincho"/>
                <w:sz w:val="22"/>
                <w:szCs w:val="22"/>
                <w:lang w:val="sr-Latn-ME" w:eastAsia="de-DE"/>
              </w:rPr>
              <w:t>a</w:t>
            </w:r>
            <w:r w:rsidRPr="008863E4">
              <w:rPr>
                <w:rFonts w:eastAsia="MS Mincho"/>
                <w:sz w:val="22"/>
                <w:szCs w:val="22"/>
                <w:lang w:val="sr-Latn-ME" w:eastAsia="de-DE"/>
              </w:rPr>
              <w:t xml:space="preserve"> incidenc</w:t>
            </w:r>
            <w:r w:rsidR="00A02C0F" w:rsidRPr="008863E4">
              <w:rPr>
                <w:rFonts w:eastAsia="MS Mincho"/>
                <w:sz w:val="22"/>
                <w:szCs w:val="22"/>
                <w:lang w:val="sr-Latn-ME" w:eastAsia="de-DE"/>
              </w:rPr>
              <w:t>a</w:t>
            </w:r>
            <w:r w:rsidRPr="008863E4">
              <w:rPr>
                <w:rFonts w:eastAsia="MS Mincho"/>
                <w:sz w:val="22"/>
                <w:szCs w:val="22"/>
                <w:lang w:val="sr-Latn-ME" w:eastAsia="de-DE"/>
              </w:rPr>
              <w:t xml:space="preserve"> velikih i malih neintrakranijalnih krvarenja, bila je slična u ob</w:t>
            </w:r>
            <w:r w:rsidR="00862CCA" w:rsidRPr="008863E4">
              <w:rPr>
                <w:rFonts w:eastAsia="MS Mincho"/>
                <w:sz w:val="22"/>
                <w:szCs w:val="22"/>
                <w:lang w:val="sr-Latn-ME" w:eastAsia="de-DE"/>
              </w:rPr>
              <w:t>ij</w:t>
            </w:r>
            <w:r w:rsidRPr="008863E4">
              <w:rPr>
                <w:rFonts w:eastAsia="MS Mincho"/>
                <w:sz w:val="22"/>
                <w:szCs w:val="22"/>
                <w:lang w:val="sr-Latn-ME" w:eastAsia="de-DE"/>
              </w:rPr>
              <w:t>e grupe: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2268"/>
              <w:gridCol w:w="1984"/>
              <w:gridCol w:w="1134"/>
            </w:tblGrid>
            <w:tr w:rsidR="00D000B3" w:rsidRPr="008863E4" w14:paraId="09BBFE23" w14:textId="77777777" w:rsidTr="001530CA">
              <w:tc>
                <w:tcPr>
                  <w:tcW w:w="3794" w:type="dxa"/>
                  <w:tcBorders>
                    <w:top w:val="single" w:sz="4" w:space="0" w:color="auto"/>
                    <w:left w:val="single" w:sz="4" w:space="0" w:color="auto"/>
                    <w:bottom w:val="single" w:sz="4" w:space="0" w:color="auto"/>
                    <w:right w:val="single" w:sz="4" w:space="0" w:color="auto"/>
                  </w:tcBorders>
                </w:tcPr>
                <w:p w14:paraId="14091551" w14:textId="77777777" w:rsidR="00D000B3" w:rsidRPr="008863E4" w:rsidRDefault="00D000B3" w:rsidP="001530CA">
                  <w:pPr>
                    <w:rPr>
                      <w:sz w:val="22"/>
                      <w:szCs w:val="22"/>
                      <w:lang w:val="sr-Latn-ME"/>
                    </w:rPr>
                  </w:pPr>
                </w:p>
              </w:tc>
              <w:tc>
                <w:tcPr>
                  <w:tcW w:w="2268" w:type="dxa"/>
                  <w:tcBorders>
                    <w:top w:val="single" w:sz="4" w:space="0" w:color="auto"/>
                    <w:left w:val="single" w:sz="4" w:space="0" w:color="auto"/>
                    <w:bottom w:val="single" w:sz="4" w:space="0" w:color="auto"/>
                    <w:right w:val="single" w:sz="4" w:space="0" w:color="auto"/>
                  </w:tcBorders>
                </w:tcPr>
                <w:p w14:paraId="6559356D" w14:textId="0622BF92" w:rsidR="005B2CCF" w:rsidRPr="008863E4" w:rsidRDefault="00D000B3" w:rsidP="001530CA">
                  <w:pPr>
                    <w:jc w:val="center"/>
                    <w:rPr>
                      <w:b/>
                      <w:bCs/>
                      <w:sz w:val="22"/>
                      <w:szCs w:val="22"/>
                      <w:lang w:val="sr-Latn-ME"/>
                    </w:rPr>
                  </w:pPr>
                  <w:r w:rsidRPr="008863E4">
                    <w:rPr>
                      <w:b/>
                      <w:bCs/>
                      <w:sz w:val="22"/>
                      <w:szCs w:val="22"/>
                      <w:lang w:val="sr-Latn-ME"/>
                    </w:rPr>
                    <w:t>Farmako</w:t>
                  </w:r>
                  <w:r w:rsidR="00A02C0F" w:rsidRPr="008863E4">
                    <w:rPr>
                      <w:b/>
                      <w:bCs/>
                      <w:sz w:val="22"/>
                      <w:szCs w:val="22"/>
                      <w:lang w:val="sr-Latn-ME"/>
                    </w:rPr>
                    <w:t>i</w:t>
                  </w:r>
                  <w:r w:rsidRPr="008863E4">
                    <w:rPr>
                      <w:b/>
                      <w:bCs/>
                      <w:sz w:val="22"/>
                      <w:szCs w:val="22"/>
                      <w:lang w:val="sr-Latn-ME"/>
                    </w:rPr>
                    <w:t>nvazivna</w:t>
                  </w:r>
                </w:p>
                <w:p w14:paraId="3B83731B" w14:textId="67F69EC2" w:rsidR="00D000B3" w:rsidRPr="008863E4" w:rsidRDefault="005B2CCF" w:rsidP="001530CA">
                  <w:pPr>
                    <w:jc w:val="center"/>
                    <w:rPr>
                      <w:b/>
                      <w:bCs/>
                      <w:sz w:val="22"/>
                      <w:szCs w:val="22"/>
                      <w:lang w:val="sr-Latn-ME"/>
                    </w:rPr>
                  </w:pPr>
                  <w:r w:rsidRPr="008863E4">
                    <w:rPr>
                      <w:b/>
                      <w:bCs/>
                      <w:sz w:val="22"/>
                      <w:szCs w:val="22"/>
                      <w:lang w:val="sr-Latn-ME"/>
                    </w:rPr>
                    <w:t>metoda</w:t>
                  </w:r>
                  <w:r w:rsidR="00D000B3" w:rsidRPr="008863E4">
                    <w:rPr>
                      <w:b/>
                      <w:bCs/>
                      <w:sz w:val="22"/>
                      <w:szCs w:val="22"/>
                      <w:lang w:val="sr-Latn-ME"/>
                    </w:rPr>
                    <w:br/>
                    <w:t xml:space="preserve"> (n=944)</w:t>
                  </w:r>
                </w:p>
              </w:tc>
              <w:tc>
                <w:tcPr>
                  <w:tcW w:w="1984" w:type="dxa"/>
                  <w:tcBorders>
                    <w:top w:val="single" w:sz="4" w:space="0" w:color="auto"/>
                    <w:left w:val="single" w:sz="4" w:space="0" w:color="auto"/>
                    <w:bottom w:val="single" w:sz="4" w:space="0" w:color="auto"/>
                    <w:right w:val="single" w:sz="4" w:space="0" w:color="auto"/>
                  </w:tcBorders>
                </w:tcPr>
                <w:p w14:paraId="3CE3B2DE" w14:textId="77777777" w:rsidR="00D000B3" w:rsidRPr="008863E4" w:rsidRDefault="00D000B3" w:rsidP="001530CA">
                  <w:pPr>
                    <w:jc w:val="center"/>
                    <w:rPr>
                      <w:b/>
                      <w:bCs/>
                      <w:sz w:val="22"/>
                      <w:szCs w:val="22"/>
                      <w:lang w:val="sr-Latn-ME"/>
                    </w:rPr>
                  </w:pPr>
                  <w:r w:rsidRPr="008863E4">
                    <w:rPr>
                      <w:b/>
                      <w:bCs/>
                      <w:sz w:val="22"/>
                      <w:szCs w:val="22"/>
                      <w:lang w:val="sr-Latn-ME"/>
                    </w:rPr>
                    <w:t xml:space="preserve">Primarna </w:t>
                  </w:r>
                  <w:r w:rsidRPr="008863E4">
                    <w:rPr>
                      <w:rFonts w:eastAsia="MS Mincho"/>
                      <w:b/>
                      <w:sz w:val="22"/>
                      <w:szCs w:val="22"/>
                      <w:lang w:val="sr-Latn-ME" w:eastAsia="de-DE"/>
                    </w:rPr>
                    <w:t>PCI</w:t>
                  </w:r>
                  <w:r w:rsidRPr="008863E4">
                    <w:rPr>
                      <w:b/>
                      <w:bCs/>
                      <w:sz w:val="22"/>
                      <w:szCs w:val="22"/>
                      <w:lang w:val="sr-Latn-ME"/>
                    </w:rPr>
                    <w:br/>
                    <w:t xml:space="preserve"> (n=948)</w:t>
                  </w:r>
                </w:p>
              </w:tc>
              <w:tc>
                <w:tcPr>
                  <w:tcW w:w="1134" w:type="dxa"/>
                  <w:tcBorders>
                    <w:top w:val="single" w:sz="4" w:space="0" w:color="auto"/>
                    <w:left w:val="single" w:sz="4" w:space="0" w:color="auto"/>
                    <w:bottom w:val="single" w:sz="4" w:space="0" w:color="auto"/>
                    <w:right w:val="single" w:sz="4" w:space="0" w:color="auto"/>
                  </w:tcBorders>
                </w:tcPr>
                <w:p w14:paraId="0651C33F" w14:textId="68A8A67E" w:rsidR="00D000B3" w:rsidRPr="008863E4" w:rsidRDefault="00D000B3" w:rsidP="001530CA">
                  <w:pPr>
                    <w:jc w:val="center"/>
                    <w:rPr>
                      <w:b/>
                      <w:bCs/>
                      <w:sz w:val="22"/>
                      <w:szCs w:val="22"/>
                      <w:lang w:val="sr-Latn-ME"/>
                    </w:rPr>
                  </w:pPr>
                  <w:r w:rsidRPr="008863E4">
                    <w:rPr>
                      <w:b/>
                      <w:bCs/>
                      <w:sz w:val="22"/>
                      <w:szCs w:val="22"/>
                      <w:lang w:val="sr-Latn-ME"/>
                    </w:rPr>
                    <w:t>p</w:t>
                  </w:r>
                </w:p>
              </w:tc>
            </w:tr>
            <w:tr w:rsidR="00D000B3" w:rsidRPr="008863E4" w14:paraId="59F9A1A4" w14:textId="77777777" w:rsidTr="001530CA">
              <w:tc>
                <w:tcPr>
                  <w:tcW w:w="3794" w:type="dxa"/>
                </w:tcPr>
                <w:p w14:paraId="0C114BAD" w14:textId="29081321" w:rsidR="00D000B3" w:rsidRPr="008863E4" w:rsidRDefault="00D000B3" w:rsidP="001530CA">
                  <w:pPr>
                    <w:rPr>
                      <w:sz w:val="22"/>
                      <w:szCs w:val="22"/>
                      <w:lang w:val="sr-Latn-ME"/>
                    </w:rPr>
                  </w:pPr>
                  <w:r w:rsidRPr="008863E4">
                    <w:rPr>
                      <w:rFonts w:eastAsia="MS Mincho"/>
                      <w:sz w:val="22"/>
                      <w:szCs w:val="22"/>
                      <w:lang w:val="sr-Latn-ME" w:eastAsia="de-DE"/>
                    </w:rPr>
                    <w:t>veliko neintrakranijalno krvarenje</w:t>
                  </w:r>
                </w:p>
              </w:tc>
              <w:tc>
                <w:tcPr>
                  <w:tcW w:w="2268" w:type="dxa"/>
                </w:tcPr>
                <w:p w14:paraId="0E90DFDA" w14:textId="77777777" w:rsidR="00D000B3" w:rsidRPr="008863E4" w:rsidRDefault="00D000B3" w:rsidP="001530CA">
                  <w:pPr>
                    <w:jc w:val="center"/>
                    <w:rPr>
                      <w:sz w:val="22"/>
                      <w:szCs w:val="22"/>
                      <w:lang w:val="sr-Latn-ME"/>
                    </w:rPr>
                  </w:pPr>
                  <w:r w:rsidRPr="008863E4">
                    <w:rPr>
                      <w:sz w:val="22"/>
                      <w:szCs w:val="22"/>
                      <w:lang w:val="sr-Latn-ME"/>
                    </w:rPr>
                    <w:t>61/939 (6,5%)</w:t>
                  </w:r>
                </w:p>
              </w:tc>
              <w:tc>
                <w:tcPr>
                  <w:tcW w:w="1984" w:type="dxa"/>
                </w:tcPr>
                <w:p w14:paraId="66E863EB" w14:textId="77777777" w:rsidR="00D000B3" w:rsidRPr="008863E4" w:rsidRDefault="00D000B3" w:rsidP="001530CA">
                  <w:pPr>
                    <w:jc w:val="center"/>
                    <w:rPr>
                      <w:sz w:val="22"/>
                      <w:szCs w:val="22"/>
                      <w:lang w:val="sr-Latn-ME"/>
                    </w:rPr>
                  </w:pPr>
                  <w:r w:rsidRPr="008863E4">
                    <w:rPr>
                      <w:sz w:val="22"/>
                      <w:szCs w:val="22"/>
                      <w:lang w:val="sr-Latn-ME"/>
                    </w:rPr>
                    <w:t>45/944 (4,8%)</w:t>
                  </w:r>
                </w:p>
              </w:tc>
              <w:tc>
                <w:tcPr>
                  <w:tcW w:w="1134" w:type="dxa"/>
                </w:tcPr>
                <w:p w14:paraId="7C4E1146" w14:textId="77777777" w:rsidR="00D000B3" w:rsidRPr="008863E4" w:rsidRDefault="00D000B3" w:rsidP="001530CA">
                  <w:pPr>
                    <w:jc w:val="center"/>
                    <w:rPr>
                      <w:sz w:val="22"/>
                      <w:szCs w:val="22"/>
                      <w:lang w:val="sr-Latn-ME"/>
                    </w:rPr>
                  </w:pPr>
                  <w:r w:rsidRPr="008863E4">
                    <w:rPr>
                      <w:sz w:val="22"/>
                      <w:szCs w:val="22"/>
                      <w:lang w:val="sr-Latn-ME"/>
                    </w:rPr>
                    <w:t>0,11</w:t>
                  </w:r>
                </w:p>
              </w:tc>
            </w:tr>
            <w:tr w:rsidR="00D000B3" w:rsidRPr="008863E4" w14:paraId="359B5F94" w14:textId="77777777" w:rsidTr="001530CA">
              <w:tc>
                <w:tcPr>
                  <w:tcW w:w="3794" w:type="dxa"/>
                </w:tcPr>
                <w:p w14:paraId="58BAEA1E" w14:textId="6E4E8A41" w:rsidR="00D000B3" w:rsidRPr="008863E4" w:rsidRDefault="00D000B3" w:rsidP="001530CA">
                  <w:pPr>
                    <w:rPr>
                      <w:sz w:val="22"/>
                      <w:szCs w:val="22"/>
                      <w:lang w:val="sr-Latn-ME"/>
                    </w:rPr>
                  </w:pPr>
                  <w:r w:rsidRPr="008863E4">
                    <w:rPr>
                      <w:rFonts w:eastAsia="MS Mincho"/>
                      <w:sz w:val="22"/>
                      <w:szCs w:val="22"/>
                      <w:lang w:val="sr-Latn-ME" w:eastAsia="de-DE"/>
                    </w:rPr>
                    <w:t>malo neintrakranijalno krvarenje</w:t>
                  </w:r>
                </w:p>
              </w:tc>
              <w:tc>
                <w:tcPr>
                  <w:tcW w:w="2268" w:type="dxa"/>
                </w:tcPr>
                <w:p w14:paraId="15B45D10" w14:textId="77777777" w:rsidR="00D000B3" w:rsidRPr="008863E4" w:rsidRDefault="00D000B3" w:rsidP="001530CA">
                  <w:pPr>
                    <w:jc w:val="center"/>
                    <w:rPr>
                      <w:sz w:val="22"/>
                      <w:szCs w:val="22"/>
                      <w:lang w:val="sr-Latn-ME"/>
                    </w:rPr>
                  </w:pPr>
                  <w:r w:rsidRPr="008863E4">
                    <w:rPr>
                      <w:sz w:val="22"/>
                      <w:szCs w:val="22"/>
                      <w:lang w:val="sr-Latn-ME"/>
                    </w:rPr>
                    <w:t>205/939 (21,8%)</w:t>
                  </w:r>
                </w:p>
              </w:tc>
              <w:tc>
                <w:tcPr>
                  <w:tcW w:w="1984" w:type="dxa"/>
                </w:tcPr>
                <w:p w14:paraId="4362F253" w14:textId="77777777" w:rsidR="00D000B3" w:rsidRPr="008863E4" w:rsidRDefault="00D000B3" w:rsidP="001530CA">
                  <w:pPr>
                    <w:jc w:val="center"/>
                    <w:rPr>
                      <w:sz w:val="22"/>
                      <w:szCs w:val="22"/>
                      <w:lang w:val="sr-Latn-ME"/>
                    </w:rPr>
                  </w:pPr>
                  <w:r w:rsidRPr="008863E4">
                    <w:rPr>
                      <w:sz w:val="22"/>
                      <w:szCs w:val="22"/>
                      <w:lang w:val="sr-Latn-ME"/>
                    </w:rPr>
                    <w:t>191/944 (20,2%)</w:t>
                  </w:r>
                </w:p>
              </w:tc>
              <w:tc>
                <w:tcPr>
                  <w:tcW w:w="1134" w:type="dxa"/>
                </w:tcPr>
                <w:p w14:paraId="45F726E1" w14:textId="77777777" w:rsidR="00D000B3" w:rsidRPr="008863E4" w:rsidRDefault="00D000B3" w:rsidP="001530CA">
                  <w:pPr>
                    <w:jc w:val="center"/>
                    <w:rPr>
                      <w:sz w:val="22"/>
                      <w:szCs w:val="22"/>
                      <w:lang w:val="sr-Latn-ME"/>
                    </w:rPr>
                  </w:pPr>
                  <w:r w:rsidRPr="008863E4">
                    <w:rPr>
                      <w:sz w:val="22"/>
                      <w:szCs w:val="22"/>
                      <w:lang w:val="sr-Latn-ME"/>
                    </w:rPr>
                    <w:t>0,40</w:t>
                  </w:r>
                </w:p>
              </w:tc>
            </w:tr>
          </w:tbl>
          <w:p w14:paraId="24AE8271" w14:textId="77777777" w:rsidR="00D000B3" w:rsidRPr="008863E4" w:rsidRDefault="00D000B3" w:rsidP="001530CA">
            <w:pPr>
              <w:pStyle w:val="Header"/>
              <w:tabs>
                <w:tab w:val="left" w:pos="284"/>
              </w:tabs>
              <w:rPr>
                <w:sz w:val="22"/>
                <w:szCs w:val="22"/>
                <w:lang w:val="sr-Latn-ME"/>
              </w:rPr>
            </w:pPr>
          </w:p>
          <w:p w14:paraId="55CEDC13" w14:textId="5FAD2ACF" w:rsidR="00D000B3" w:rsidRPr="008863E4" w:rsidRDefault="00D000B3" w:rsidP="001530CA">
            <w:pPr>
              <w:widowControl w:val="0"/>
              <w:tabs>
                <w:tab w:val="left" w:pos="284"/>
              </w:tabs>
              <w:adjustRightInd w:val="0"/>
              <w:jc w:val="both"/>
              <w:textAlignment w:val="baseline"/>
              <w:rPr>
                <w:rFonts w:eastAsia="MS Mincho"/>
                <w:sz w:val="22"/>
                <w:szCs w:val="22"/>
                <w:lang w:val="sr-Latn-ME" w:eastAsia="de-DE"/>
              </w:rPr>
            </w:pPr>
            <w:r w:rsidRPr="008863E4">
              <w:rPr>
                <w:rFonts w:eastAsia="MS Mincho"/>
                <w:sz w:val="22"/>
                <w:szCs w:val="22"/>
                <w:lang w:val="sr-Latn-ME" w:eastAsia="de-DE"/>
              </w:rPr>
              <w:t xml:space="preserve">Incidencija ukupnih moždanih udara i intakranijalnih hemoragija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2268"/>
              <w:gridCol w:w="1984"/>
              <w:gridCol w:w="1134"/>
            </w:tblGrid>
            <w:tr w:rsidR="00D000B3" w:rsidRPr="008863E4" w14:paraId="1E741A71" w14:textId="77777777" w:rsidTr="001530CA">
              <w:tc>
                <w:tcPr>
                  <w:tcW w:w="3794" w:type="dxa"/>
                  <w:tcBorders>
                    <w:top w:val="single" w:sz="4" w:space="0" w:color="auto"/>
                    <w:left w:val="single" w:sz="4" w:space="0" w:color="auto"/>
                    <w:bottom w:val="single" w:sz="4" w:space="0" w:color="auto"/>
                    <w:right w:val="single" w:sz="4" w:space="0" w:color="auto"/>
                  </w:tcBorders>
                </w:tcPr>
                <w:p w14:paraId="7BDDB97D" w14:textId="77777777" w:rsidR="00D000B3" w:rsidRPr="008863E4" w:rsidRDefault="00D000B3" w:rsidP="001530CA">
                  <w:pPr>
                    <w:rPr>
                      <w:b/>
                      <w:sz w:val="22"/>
                      <w:szCs w:val="22"/>
                      <w:lang w:val="sr-Latn-ME"/>
                    </w:rPr>
                  </w:pPr>
                </w:p>
              </w:tc>
              <w:tc>
                <w:tcPr>
                  <w:tcW w:w="2268" w:type="dxa"/>
                  <w:tcBorders>
                    <w:top w:val="single" w:sz="4" w:space="0" w:color="auto"/>
                    <w:left w:val="single" w:sz="4" w:space="0" w:color="auto"/>
                    <w:bottom w:val="single" w:sz="4" w:space="0" w:color="auto"/>
                    <w:right w:val="single" w:sz="4" w:space="0" w:color="auto"/>
                  </w:tcBorders>
                  <w:hideMark/>
                </w:tcPr>
                <w:p w14:paraId="6AD8EE77" w14:textId="7E1BF6D6" w:rsidR="005B2CCF" w:rsidRPr="008863E4" w:rsidRDefault="00D000B3" w:rsidP="001530CA">
                  <w:pPr>
                    <w:jc w:val="center"/>
                    <w:rPr>
                      <w:b/>
                      <w:sz w:val="22"/>
                      <w:szCs w:val="22"/>
                      <w:lang w:val="sr-Latn-ME"/>
                    </w:rPr>
                  </w:pPr>
                  <w:r w:rsidRPr="008863E4">
                    <w:rPr>
                      <w:b/>
                      <w:sz w:val="22"/>
                      <w:szCs w:val="22"/>
                      <w:lang w:val="sr-Latn-ME"/>
                    </w:rPr>
                    <w:t>Farmakoinvazivna</w:t>
                  </w:r>
                </w:p>
                <w:p w14:paraId="0421E288" w14:textId="7A713052" w:rsidR="00D000B3" w:rsidRPr="008863E4" w:rsidRDefault="005B2CCF" w:rsidP="001530CA">
                  <w:pPr>
                    <w:jc w:val="center"/>
                    <w:rPr>
                      <w:b/>
                      <w:sz w:val="22"/>
                      <w:szCs w:val="22"/>
                      <w:lang w:val="sr-Latn-ME"/>
                    </w:rPr>
                  </w:pPr>
                  <w:r w:rsidRPr="008863E4">
                    <w:rPr>
                      <w:b/>
                      <w:sz w:val="22"/>
                      <w:szCs w:val="22"/>
                      <w:lang w:val="sr-Latn-ME"/>
                    </w:rPr>
                    <w:t>metoda</w:t>
                  </w:r>
                  <w:r w:rsidR="00D000B3" w:rsidRPr="008863E4">
                    <w:rPr>
                      <w:b/>
                      <w:sz w:val="22"/>
                      <w:szCs w:val="22"/>
                      <w:lang w:val="sr-Latn-ME"/>
                    </w:rPr>
                    <w:br/>
                    <w:t xml:space="preserve"> (n=944)</w:t>
                  </w:r>
                </w:p>
              </w:tc>
              <w:tc>
                <w:tcPr>
                  <w:tcW w:w="1984" w:type="dxa"/>
                  <w:tcBorders>
                    <w:top w:val="single" w:sz="4" w:space="0" w:color="auto"/>
                    <w:left w:val="single" w:sz="4" w:space="0" w:color="auto"/>
                    <w:bottom w:val="single" w:sz="4" w:space="0" w:color="auto"/>
                    <w:right w:val="single" w:sz="4" w:space="0" w:color="auto"/>
                  </w:tcBorders>
                  <w:hideMark/>
                </w:tcPr>
                <w:p w14:paraId="22FC2119" w14:textId="77777777" w:rsidR="00D000B3" w:rsidRPr="008863E4" w:rsidRDefault="00D000B3" w:rsidP="001530CA">
                  <w:pPr>
                    <w:jc w:val="center"/>
                    <w:rPr>
                      <w:b/>
                      <w:sz w:val="22"/>
                      <w:szCs w:val="22"/>
                      <w:lang w:val="sr-Latn-ME"/>
                    </w:rPr>
                  </w:pPr>
                  <w:r w:rsidRPr="008863E4">
                    <w:rPr>
                      <w:b/>
                      <w:sz w:val="22"/>
                      <w:szCs w:val="22"/>
                      <w:lang w:val="sr-Latn-ME"/>
                    </w:rPr>
                    <w:t xml:space="preserve">Primarna </w:t>
                  </w:r>
                  <w:r w:rsidRPr="008863E4">
                    <w:rPr>
                      <w:rFonts w:eastAsia="MS Mincho"/>
                      <w:b/>
                      <w:sz w:val="22"/>
                      <w:szCs w:val="22"/>
                      <w:lang w:val="sr-Latn-ME" w:eastAsia="de-DE"/>
                    </w:rPr>
                    <w:t>PCI</w:t>
                  </w:r>
                  <w:r w:rsidRPr="008863E4">
                    <w:rPr>
                      <w:b/>
                      <w:sz w:val="22"/>
                      <w:szCs w:val="22"/>
                      <w:lang w:val="sr-Latn-ME"/>
                    </w:rPr>
                    <w:br/>
                    <w:t xml:space="preserve"> (n=948)</w:t>
                  </w:r>
                </w:p>
              </w:tc>
              <w:tc>
                <w:tcPr>
                  <w:tcW w:w="1134" w:type="dxa"/>
                  <w:tcBorders>
                    <w:top w:val="single" w:sz="4" w:space="0" w:color="auto"/>
                    <w:left w:val="single" w:sz="4" w:space="0" w:color="auto"/>
                    <w:bottom w:val="single" w:sz="4" w:space="0" w:color="auto"/>
                    <w:right w:val="single" w:sz="4" w:space="0" w:color="auto"/>
                  </w:tcBorders>
                  <w:hideMark/>
                </w:tcPr>
                <w:p w14:paraId="3D8E7D92" w14:textId="11503858" w:rsidR="00D000B3" w:rsidRPr="008863E4" w:rsidRDefault="00D000B3" w:rsidP="001530CA">
                  <w:pPr>
                    <w:jc w:val="center"/>
                    <w:rPr>
                      <w:b/>
                      <w:sz w:val="22"/>
                      <w:szCs w:val="22"/>
                      <w:lang w:val="sr-Latn-ME"/>
                    </w:rPr>
                  </w:pPr>
                  <w:r w:rsidRPr="008863E4">
                    <w:rPr>
                      <w:b/>
                      <w:sz w:val="22"/>
                      <w:szCs w:val="22"/>
                      <w:lang w:val="sr-Latn-ME"/>
                    </w:rPr>
                    <w:t>p</w:t>
                  </w:r>
                </w:p>
              </w:tc>
            </w:tr>
            <w:tr w:rsidR="00D000B3" w:rsidRPr="008863E4" w14:paraId="3AD37A18" w14:textId="77777777" w:rsidTr="001530CA">
              <w:tc>
                <w:tcPr>
                  <w:tcW w:w="3794" w:type="dxa"/>
                  <w:tcBorders>
                    <w:top w:val="single" w:sz="4" w:space="0" w:color="auto"/>
                    <w:left w:val="single" w:sz="4" w:space="0" w:color="auto"/>
                    <w:bottom w:val="single" w:sz="4" w:space="0" w:color="auto"/>
                    <w:right w:val="single" w:sz="4" w:space="0" w:color="auto"/>
                  </w:tcBorders>
                  <w:hideMark/>
                </w:tcPr>
                <w:p w14:paraId="672710B4" w14:textId="77777777" w:rsidR="00D000B3" w:rsidRPr="008863E4" w:rsidRDefault="00D000B3" w:rsidP="001530CA">
                  <w:pPr>
                    <w:rPr>
                      <w:sz w:val="22"/>
                      <w:szCs w:val="22"/>
                      <w:lang w:val="sr-Latn-ME"/>
                    </w:rPr>
                  </w:pPr>
                  <w:r w:rsidRPr="008863E4">
                    <w:rPr>
                      <w:sz w:val="22"/>
                      <w:szCs w:val="22"/>
                      <w:lang w:val="sr-Latn-ME"/>
                    </w:rPr>
                    <w:t>Ukupno moždanih udara (sve vrste)</w:t>
                  </w:r>
                </w:p>
              </w:tc>
              <w:tc>
                <w:tcPr>
                  <w:tcW w:w="2268" w:type="dxa"/>
                  <w:tcBorders>
                    <w:top w:val="single" w:sz="4" w:space="0" w:color="auto"/>
                    <w:left w:val="single" w:sz="4" w:space="0" w:color="auto"/>
                    <w:bottom w:val="single" w:sz="4" w:space="0" w:color="auto"/>
                    <w:right w:val="single" w:sz="4" w:space="0" w:color="auto"/>
                  </w:tcBorders>
                  <w:hideMark/>
                </w:tcPr>
                <w:p w14:paraId="60B8B74F" w14:textId="77777777" w:rsidR="00D000B3" w:rsidRPr="008863E4" w:rsidRDefault="00D000B3" w:rsidP="001530CA">
                  <w:pPr>
                    <w:jc w:val="center"/>
                    <w:rPr>
                      <w:sz w:val="22"/>
                      <w:szCs w:val="22"/>
                      <w:lang w:val="sr-Latn-ME"/>
                    </w:rPr>
                  </w:pPr>
                  <w:r w:rsidRPr="008863E4">
                    <w:rPr>
                      <w:sz w:val="22"/>
                      <w:szCs w:val="22"/>
                      <w:lang w:val="sr-Latn-ME"/>
                    </w:rPr>
                    <w:t>15/939 (1,6%)</w:t>
                  </w:r>
                </w:p>
              </w:tc>
              <w:tc>
                <w:tcPr>
                  <w:tcW w:w="1984" w:type="dxa"/>
                  <w:tcBorders>
                    <w:top w:val="single" w:sz="4" w:space="0" w:color="auto"/>
                    <w:left w:val="single" w:sz="4" w:space="0" w:color="auto"/>
                    <w:bottom w:val="single" w:sz="4" w:space="0" w:color="auto"/>
                    <w:right w:val="single" w:sz="4" w:space="0" w:color="auto"/>
                  </w:tcBorders>
                  <w:hideMark/>
                </w:tcPr>
                <w:p w14:paraId="295D3D73" w14:textId="77777777" w:rsidR="00D000B3" w:rsidRPr="008863E4" w:rsidRDefault="00D000B3" w:rsidP="001530CA">
                  <w:pPr>
                    <w:jc w:val="center"/>
                    <w:rPr>
                      <w:sz w:val="22"/>
                      <w:szCs w:val="22"/>
                      <w:lang w:val="sr-Latn-ME"/>
                    </w:rPr>
                  </w:pPr>
                  <w:r w:rsidRPr="008863E4">
                    <w:rPr>
                      <w:sz w:val="22"/>
                      <w:szCs w:val="22"/>
                      <w:lang w:val="sr-Latn-ME"/>
                    </w:rPr>
                    <w:t>5/946 (0,5%)</w:t>
                  </w:r>
                </w:p>
              </w:tc>
              <w:tc>
                <w:tcPr>
                  <w:tcW w:w="1134" w:type="dxa"/>
                  <w:tcBorders>
                    <w:top w:val="single" w:sz="4" w:space="0" w:color="auto"/>
                    <w:left w:val="single" w:sz="4" w:space="0" w:color="auto"/>
                    <w:bottom w:val="single" w:sz="4" w:space="0" w:color="auto"/>
                    <w:right w:val="single" w:sz="4" w:space="0" w:color="auto"/>
                  </w:tcBorders>
                  <w:hideMark/>
                </w:tcPr>
                <w:p w14:paraId="790B1FE5" w14:textId="77777777" w:rsidR="00D000B3" w:rsidRPr="008863E4" w:rsidRDefault="00D000B3" w:rsidP="001530CA">
                  <w:pPr>
                    <w:jc w:val="center"/>
                    <w:rPr>
                      <w:sz w:val="22"/>
                      <w:szCs w:val="22"/>
                      <w:lang w:val="sr-Latn-ME"/>
                    </w:rPr>
                  </w:pPr>
                  <w:r w:rsidRPr="008863E4">
                    <w:rPr>
                      <w:sz w:val="22"/>
                      <w:szCs w:val="22"/>
                      <w:lang w:val="sr-Latn-ME"/>
                    </w:rPr>
                    <w:t>0,03*</w:t>
                  </w:r>
                </w:p>
              </w:tc>
            </w:tr>
            <w:tr w:rsidR="00D000B3" w:rsidRPr="008863E4" w14:paraId="1F6C2451" w14:textId="77777777" w:rsidTr="001530CA">
              <w:tc>
                <w:tcPr>
                  <w:tcW w:w="3794" w:type="dxa"/>
                  <w:tcBorders>
                    <w:top w:val="single" w:sz="4" w:space="0" w:color="auto"/>
                    <w:left w:val="single" w:sz="4" w:space="0" w:color="auto"/>
                    <w:bottom w:val="single" w:sz="4" w:space="0" w:color="auto"/>
                    <w:right w:val="single" w:sz="4" w:space="0" w:color="auto"/>
                  </w:tcBorders>
                  <w:hideMark/>
                </w:tcPr>
                <w:p w14:paraId="1C4F19AE" w14:textId="5E889E92" w:rsidR="005B2CCF" w:rsidRPr="008863E4" w:rsidRDefault="005B2CCF" w:rsidP="001530CA">
                  <w:pPr>
                    <w:rPr>
                      <w:sz w:val="22"/>
                      <w:szCs w:val="22"/>
                      <w:lang w:val="sr-Latn-ME"/>
                    </w:rPr>
                  </w:pPr>
                  <w:r w:rsidRPr="008863E4">
                    <w:rPr>
                      <w:sz w:val="22"/>
                      <w:szCs w:val="22"/>
                      <w:lang w:val="sr-Latn-ME"/>
                    </w:rPr>
                    <w:t xml:space="preserve">Intrakranijalno krvarenje </w:t>
                  </w:r>
                </w:p>
                <w:p w14:paraId="3A7885E4" w14:textId="4866D7D0" w:rsidR="005B2CCF" w:rsidRPr="008863E4" w:rsidRDefault="005B2CCF" w:rsidP="001530CA">
                  <w:pPr>
                    <w:rPr>
                      <w:sz w:val="22"/>
                      <w:szCs w:val="22"/>
                      <w:lang w:val="sr-Latn-ME"/>
                    </w:rPr>
                  </w:pPr>
                  <w:r w:rsidRPr="008863E4">
                    <w:rPr>
                      <w:sz w:val="22"/>
                      <w:szCs w:val="22"/>
                      <w:lang w:val="sr-Latn-ME"/>
                    </w:rPr>
                    <w:t>Intrakranijalno krvarenje</w:t>
                  </w:r>
                </w:p>
                <w:p w14:paraId="3852718D" w14:textId="3A383F3A" w:rsidR="00D000B3" w:rsidRPr="008863E4" w:rsidRDefault="00D000B3" w:rsidP="001530CA">
                  <w:pPr>
                    <w:rPr>
                      <w:sz w:val="22"/>
                      <w:szCs w:val="22"/>
                      <w:lang w:val="sr-Latn-ME"/>
                    </w:rPr>
                  </w:pPr>
                  <w:r w:rsidRPr="008863E4">
                    <w:rPr>
                      <w:sz w:val="22"/>
                      <w:szCs w:val="22"/>
                      <w:lang w:val="sr-Latn-ME"/>
                    </w:rPr>
                    <w:t>po izmjeni protokola: doza prepolovljena kod pacijenata ≥ 75 godina</w:t>
                  </w:r>
                </w:p>
              </w:tc>
              <w:tc>
                <w:tcPr>
                  <w:tcW w:w="2268" w:type="dxa"/>
                  <w:tcBorders>
                    <w:top w:val="single" w:sz="4" w:space="0" w:color="auto"/>
                    <w:left w:val="single" w:sz="4" w:space="0" w:color="auto"/>
                    <w:bottom w:val="single" w:sz="4" w:space="0" w:color="auto"/>
                    <w:right w:val="single" w:sz="4" w:space="0" w:color="auto"/>
                  </w:tcBorders>
                  <w:hideMark/>
                </w:tcPr>
                <w:p w14:paraId="4DDB1267" w14:textId="77777777" w:rsidR="00D000B3" w:rsidRPr="008863E4" w:rsidRDefault="00D000B3" w:rsidP="001530CA">
                  <w:pPr>
                    <w:jc w:val="center"/>
                    <w:rPr>
                      <w:sz w:val="22"/>
                      <w:szCs w:val="22"/>
                      <w:lang w:val="sr-Latn-ME"/>
                    </w:rPr>
                  </w:pPr>
                  <w:r w:rsidRPr="008863E4">
                    <w:rPr>
                      <w:sz w:val="22"/>
                      <w:szCs w:val="22"/>
                      <w:lang w:val="sr-Latn-ME"/>
                    </w:rPr>
                    <w:t>9/939 (0,96%)</w:t>
                  </w:r>
                  <w:r w:rsidRPr="008863E4">
                    <w:rPr>
                      <w:sz w:val="22"/>
                      <w:szCs w:val="22"/>
                      <w:lang w:val="sr-Latn-ME"/>
                    </w:rPr>
                    <w:br/>
                  </w:r>
                </w:p>
                <w:p w14:paraId="685DCDA3" w14:textId="77777777" w:rsidR="00D000B3" w:rsidRPr="008863E4" w:rsidRDefault="00D000B3" w:rsidP="001530CA">
                  <w:pPr>
                    <w:jc w:val="center"/>
                    <w:rPr>
                      <w:sz w:val="22"/>
                      <w:szCs w:val="22"/>
                      <w:lang w:val="sr-Latn-ME"/>
                    </w:rPr>
                  </w:pPr>
                </w:p>
                <w:p w14:paraId="71A6C658" w14:textId="77777777" w:rsidR="00D000B3" w:rsidRPr="008863E4" w:rsidRDefault="00D000B3" w:rsidP="001530CA">
                  <w:pPr>
                    <w:jc w:val="center"/>
                    <w:rPr>
                      <w:sz w:val="22"/>
                      <w:szCs w:val="22"/>
                      <w:lang w:val="sr-Latn-ME"/>
                    </w:rPr>
                  </w:pPr>
                  <w:r w:rsidRPr="008863E4">
                    <w:rPr>
                      <w:sz w:val="22"/>
                      <w:szCs w:val="22"/>
                      <w:lang w:val="sr-Latn-ME"/>
                    </w:rPr>
                    <w:t>4/747 (0,5%)</w:t>
                  </w:r>
                </w:p>
              </w:tc>
              <w:tc>
                <w:tcPr>
                  <w:tcW w:w="1984" w:type="dxa"/>
                  <w:tcBorders>
                    <w:top w:val="single" w:sz="4" w:space="0" w:color="auto"/>
                    <w:left w:val="single" w:sz="4" w:space="0" w:color="auto"/>
                    <w:bottom w:val="single" w:sz="4" w:space="0" w:color="auto"/>
                    <w:right w:val="single" w:sz="4" w:space="0" w:color="auto"/>
                  </w:tcBorders>
                  <w:hideMark/>
                </w:tcPr>
                <w:p w14:paraId="26141FE5" w14:textId="77777777" w:rsidR="00D000B3" w:rsidRPr="008863E4" w:rsidRDefault="00D000B3" w:rsidP="001530CA">
                  <w:pPr>
                    <w:jc w:val="center"/>
                    <w:rPr>
                      <w:sz w:val="22"/>
                      <w:szCs w:val="22"/>
                      <w:lang w:val="sr-Latn-ME"/>
                    </w:rPr>
                  </w:pPr>
                  <w:r w:rsidRPr="008863E4">
                    <w:rPr>
                      <w:sz w:val="22"/>
                      <w:szCs w:val="22"/>
                      <w:lang w:val="sr-Latn-ME"/>
                    </w:rPr>
                    <w:t>2/946 (0,21%)</w:t>
                  </w:r>
                  <w:r w:rsidRPr="008863E4">
                    <w:rPr>
                      <w:sz w:val="22"/>
                      <w:szCs w:val="22"/>
                      <w:lang w:val="sr-Latn-ME"/>
                    </w:rPr>
                    <w:br/>
                  </w:r>
                </w:p>
                <w:p w14:paraId="6D186CD4" w14:textId="77777777" w:rsidR="00D000B3" w:rsidRPr="008863E4" w:rsidRDefault="00D000B3" w:rsidP="001530CA">
                  <w:pPr>
                    <w:jc w:val="center"/>
                    <w:rPr>
                      <w:sz w:val="22"/>
                      <w:szCs w:val="22"/>
                      <w:lang w:val="sr-Latn-ME"/>
                    </w:rPr>
                  </w:pPr>
                </w:p>
                <w:p w14:paraId="5D13FCA5" w14:textId="77777777" w:rsidR="00D000B3" w:rsidRPr="008863E4" w:rsidRDefault="00D000B3" w:rsidP="001530CA">
                  <w:pPr>
                    <w:jc w:val="center"/>
                    <w:rPr>
                      <w:sz w:val="22"/>
                      <w:szCs w:val="22"/>
                      <w:lang w:val="sr-Latn-ME"/>
                    </w:rPr>
                  </w:pPr>
                  <w:r w:rsidRPr="008863E4">
                    <w:rPr>
                      <w:sz w:val="22"/>
                      <w:szCs w:val="22"/>
                      <w:lang w:val="sr-Latn-ME"/>
                    </w:rPr>
                    <w:t>2/758 (0,3%)</w:t>
                  </w:r>
                </w:p>
              </w:tc>
              <w:tc>
                <w:tcPr>
                  <w:tcW w:w="1134" w:type="dxa"/>
                  <w:tcBorders>
                    <w:top w:val="single" w:sz="4" w:space="0" w:color="auto"/>
                    <w:left w:val="single" w:sz="4" w:space="0" w:color="auto"/>
                    <w:bottom w:val="single" w:sz="4" w:space="0" w:color="auto"/>
                    <w:right w:val="single" w:sz="4" w:space="0" w:color="auto"/>
                  </w:tcBorders>
                  <w:hideMark/>
                </w:tcPr>
                <w:p w14:paraId="62D03B0D" w14:textId="77777777" w:rsidR="00D000B3" w:rsidRPr="008863E4" w:rsidRDefault="00D000B3" w:rsidP="001530CA">
                  <w:pPr>
                    <w:jc w:val="center"/>
                    <w:rPr>
                      <w:sz w:val="22"/>
                      <w:szCs w:val="22"/>
                      <w:lang w:val="sr-Latn-ME"/>
                    </w:rPr>
                  </w:pPr>
                  <w:r w:rsidRPr="008863E4">
                    <w:rPr>
                      <w:sz w:val="22"/>
                      <w:szCs w:val="22"/>
                      <w:lang w:val="sr-Latn-ME"/>
                    </w:rPr>
                    <w:t>0,04**</w:t>
                  </w:r>
                  <w:r w:rsidRPr="008863E4">
                    <w:rPr>
                      <w:sz w:val="22"/>
                      <w:szCs w:val="22"/>
                      <w:lang w:val="sr-Latn-ME"/>
                    </w:rPr>
                    <w:br/>
                  </w:r>
                </w:p>
                <w:p w14:paraId="69765E40" w14:textId="77777777" w:rsidR="00D000B3" w:rsidRPr="008863E4" w:rsidRDefault="00D000B3" w:rsidP="001530CA">
                  <w:pPr>
                    <w:jc w:val="center"/>
                    <w:rPr>
                      <w:sz w:val="22"/>
                      <w:szCs w:val="22"/>
                      <w:lang w:val="sr-Latn-ME"/>
                    </w:rPr>
                  </w:pPr>
                </w:p>
                <w:p w14:paraId="7D0AB91A" w14:textId="77777777" w:rsidR="00D000B3" w:rsidRPr="008863E4" w:rsidRDefault="00D000B3" w:rsidP="001530CA">
                  <w:pPr>
                    <w:jc w:val="center"/>
                    <w:rPr>
                      <w:sz w:val="22"/>
                      <w:szCs w:val="22"/>
                      <w:lang w:val="sr-Latn-ME"/>
                    </w:rPr>
                  </w:pPr>
                  <w:r w:rsidRPr="008863E4">
                    <w:rPr>
                      <w:sz w:val="22"/>
                      <w:szCs w:val="22"/>
                      <w:lang w:val="sr-Latn-ME"/>
                    </w:rPr>
                    <w:t>0,45</w:t>
                  </w:r>
                </w:p>
              </w:tc>
            </w:tr>
          </w:tbl>
          <w:p w14:paraId="12B9F34C" w14:textId="1ADE5509" w:rsidR="00D000B3" w:rsidRPr="008863E4" w:rsidRDefault="00D000B3" w:rsidP="0045785D">
            <w:pPr>
              <w:tabs>
                <w:tab w:val="left" w:pos="284"/>
              </w:tabs>
              <w:spacing w:before="120"/>
              <w:ind w:right="393"/>
              <w:jc w:val="both"/>
              <w:rPr>
                <w:sz w:val="22"/>
                <w:szCs w:val="22"/>
                <w:lang w:val="sr-Latn-ME" w:eastAsia="fr-FR"/>
              </w:rPr>
            </w:pPr>
            <w:r w:rsidRPr="008863E4">
              <w:rPr>
                <w:sz w:val="22"/>
                <w:szCs w:val="22"/>
                <w:lang w:val="sr-Latn-ME" w:eastAsia="fr-FR"/>
              </w:rPr>
              <w:t xml:space="preserve">* incidencije u obije grupe su bile u okviru očekivanih vrijednosti kod pacijenata sa </w:t>
            </w:r>
            <w:r w:rsidR="005B2CCF" w:rsidRPr="008863E4">
              <w:rPr>
                <w:sz w:val="22"/>
                <w:szCs w:val="22"/>
                <w:lang w:val="sr-Latn-ME" w:eastAsia="fr-FR"/>
              </w:rPr>
              <w:t xml:space="preserve">infarktom miokarda sa elevacijom ST segmenta koji su u terapiji </w:t>
            </w:r>
            <w:r w:rsidRPr="008863E4">
              <w:rPr>
                <w:sz w:val="22"/>
                <w:szCs w:val="22"/>
                <w:lang w:val="sr-Latn-ME" w:eastAsia="fr-FR"/>
              </w:rPr>
              <w:t>primali fibrinolitike ili primarnu PCI (kako je zabilježeno u prethodnim ispitivanjima).</w:t>
            </w:r>
          </w:p>
          <w:p w14:paraId="02B7631C" w14:textId="5E710040" w:rsidR="00D000B3" w:rsidRPr="008863E4" w:rsidRDefault="00D000B3" w:rsidP="0045785D">
            <w:pPr>
              <w:tabs>
                <w:tab w:val="left" w:pos="284"/>
              </w:tabs>
              <w:ind w:right="393"/>
              <w:jc w:val="both"/>
              <w:rPr>
                <w:sz w:val="22"/>
                <w:szCs w:val="22"/>
                <w:lang w:val="sr-Latn-ME" w:eastAsia="fr-FR"/>
              </w:rPr>
            </w:pPr>
            <w:r w:rsidRPr="008863E4">
              <w:rPr>
                <w:sz w:val="22"/>
                <w:szCs w:val="22"/>
                <w:lang w:val="sr-Latn-ME" w:eastAsia="fr-FR"/>
              </w:rPr>
              <w:t>** incidencija u farmakoinvazivnoj grupi je bila u okviru očekivanih vrijednosti sa fibrinolizom pomoću</w:t>
            </w:r>
            <w:r w:rsidR="005B2CCF" w:rsidRPr="008863E4">
              <w:rPr>
                <w:sz w:val="22"/>
                <w:szCs w:val="22"/>
                <w:lang w:val="sr-Latn-ME" w:eastAsia="fr-FR"/>
              </w:rPr>
              <w:t xml:space="preserve"> primjene</w:t>
            </w:r>
            <w:r w:rsidRPr="008863E4">
              <w:rPr>
                <w:sz w:val="22"/>
                <w:szCs w:val="22"/>
                <w:lang w:val="sr-Latn-ME" w:eastAsia="fr-FR"/>
              </w:rPr>
              <w:t xml:space="preserve"> </w:t>
            </w:r>
            <w:r w:rsidRPr="008863E4">
              <w:rPr>
                <w:sz w:val="22"/>
                <w:szCs w:val="22"/>
                <w:lang w:val="sr-Latn-ME"/>
              </w:rPr>
              <w:t>tenekteplaze</w:t>
            </w:r>
            <w:r w:rsidRPr="008863E4" w:rsidDel="00E42701">
              <w:rPr>
                <w:sz w:val="22"/>
                <w:szCs w:val="22"/>
                <w:lang w:val="sr-Latn-ME" w:eastAsia="fr-FR"/>
              </w:rPr>
              <w:t xml:space="preserve"> </w:t>
            </w:r>
            <w:r w:rsidRPr="008863E4">
              <w:rPr>
                <w:sz w:val="22"/>
                <w:szCs w:val="22"/>
                <w:lang w:val="sr-Latn-ME" w:eastAsia="fr-FR"/>
              </w:rPr>
              <w:t>(kako je zabilježeno u prethodnim ispitivanjima).</w:t>
            </w:r>
          </w:p>
          <w:p w14:paraId="5061DB00" w14:textId="77777777" w:rsidR="00D000B3" w:rsidRPr="008863E4" w:rsidRDefault="00D000B3" w:rsidP="0045785D">
            <w:pPr>
              <w:widowControl w:val="0"/>
              <w:tabs>
                <w:tab w:val="left" w:pos="284"/>
              </w:tabs>
              <w:adjustRightInd w:val="0"/>
              <w:ind w:right="393"/>
              <w:jc w:val="both"/>
              <w:textAlignment w:val="baseline"/>
              <w:rPr>
                <w:rFonts w:eastAsia="MS Mincho"/>
                <w:sz w:val="22"/>
                <w:szCs w:val="22"/>
                <w:lang w:val="sr-Latn-ME" w:eastAsia="de-DE"/>
              </w:rPr>
            </w:pPr>
          </w:p>
          <w:p w14:paraId="551B60D3" w14:textId="5E7665D5" w:rsidR="00D000B3" w:rsidRPr="008863E4" w:rsidRDefault="00D000B3" w:rsidP="0045785D">
            <w:pPr>
              <w:widowControl w:val="0"/>
              <w:tabs>
                <w:tab w:val="left" w:pos="284"/>
              </w:tabs>
              <w:adjustRightInd w:val="0"/>
              <w:ind w:right="393"/>
              <w:jc w:val="both"/>
              <w:textAlignment w:val="baseline"/>
              <w:rPr>
                <w:rFonts w:eastAsia="MS Mincho"/>
                <w:sz w:val="22"/>
                <w:szCs w:val="22"/>
                <w:lang w:val="sr-Latn-ME" w:eastAsia="de-DE"/>
              </w:rPr>
            </w:pPr>
            <w:r w:rsidRPr="008863E4">
              <w:rPr>
                <w:rFonts w:eastAsia="MS Mincho"/>
                <w:sz w:val="22"/>
                <w:szCs w:val="22"/>
                <w:lang w:val="sr-Latn-ME" w:eastAsia="de-DE"/>
              </w:rPr>
              <w:t xml:space="preserve">Pošto je </w:t>
            </w:r>
            <w:r w:rsidR="00C87AED" w:rsidRPr="008863E4">
              <w:rPr>
                <w:rFonts w:eastAsia="MS Mincho"/>
                <w:sz w:val="22"/>
                <w:szCs w:val="22"/>
                <w:lang w:val="sr-Latn-ME" w:eastAsia="de-DE"/>
              </w:rPr>
              <w:t xml:space="preserve">primjena doze </w:t>
            </w:r>
            <w:r w:rsidRPr="008863E4">
              <w:rPr>
                <w:rFonts w:eastAsia="MS Mincho"/>
                <w:sz w:val="22"/>
                <w:szCs w:val="22"/>
                <w:lang w:val="sr-Latn-ME" w:eastAsia="de-DE"/>
              </w:rPr>
              <w:t xml:space="preserve"> tenekteplaze </w:t>
            </w:r>
            <w:r w:rsidRPr="008863E4">
              <w:rPr>
                <w:sz w:val="22"/>
                <w:szCs w:val="22"/>
                <w:lang w:val="sr-Latn-ME"/>
              </w:rPr>
              <w:t>prepolovljena kod pacijenata</w:t>
            </w:r>
            <w:r w:rsidRPr="008863E4">
              <w:rPr>
                <w:rFonts w:eastAsia="MS Mincho"/>
                <w:sz w:val="22"/>
                <w:szCs w:val="22"/>
                <w:lang w:val="sr-Latn-ME" w:eastAsia="de-DE"/>
              </w:rPr>
              <w:t xml:space="preserve"> ≥ 75 godina, nije više bilo intrakranijalne hemoragije (0 od 97 pacijenata) (95% CI: 0,0</w:t>
            </w:r>
            <w:r w:rsidRPr="008863E4">
              <w:rPr>
                <w:rFonts w:eastAsia="MS Mincho"/>
                <w:sz w:val="22"/>
                <w:szCs w:val="22"/>
                <w:lang w:val="sr-Latn-ME" w:eastAsia="de-DE"/>
              </w:rPr>
              <w:noBreakHyphen/>
              <w:t xml:space="preserve">3,7) u poređenju sa 8,1% (3 od 37 </w:t>
            </w:r>
            <w:r w:rsidRPr="008863E4">
              <w:rPr>
                <w:rFonts w:eastAsia="MS Mincho"/>
                <w:sz w:val="22"/>
                <w:szCs w:val="22"/>
                <w:lang w:val="sr-Latn-ME" w:eastAsia="de-DE"/>
              </w:rPr>
              <w:lastRenderedPageBreak/>
              <w:t>pacijenata) (95% CI: 1,7</w:t>
            </w:r>
            <w:r w:rsidRPr="008863E4">
              <w:rPr>
                <w:rFonts w:eastAsia="MS Mincho"/>
                <w:sz w:val="22"/>
                <w:szCs w:val="22"/>
                <w:lang w:val="sr-Latn-ME" w:eastAsia="de-DE"/>
              </w:rPr>
              <w:noBreakHyphen/>
              <w:t>21,9) prije smanjenja doze. Granice intervala pouzdanosti zabilježenih incidencija prije i poslije smanjivanja doze se preklapaju.</w:t>
            </w:r>
          </w:p>
          <w:p w14:paraId="165E569F" w14:textId="1F4B95CB" w:rsidR="00D000B3" w:rsidRPr="008863E4" w:rsidRDefault="00D000B3" w:rsidP="0045785D">
            <w:pPr>
              <w:widowControl w:val="0"/>
              <w:tabs>
                <w:tab w:val="left" w:pos="284"/>
              </w:tabs>
              <w:adjustRightInd w:val="0"/>
              <w:ind w:right="393"/>
              <w:jc w:val="both"/>
              <w:textAlignment w:val="baseline"/>
              <w:rPr>
                <w:rFonts w:eastAsia="MS Mincho"/>
                <w:sz w:val="22"/>
                <w:szCs w:val="22"/>
                <w:lang w:val="sr-Latn-ME" w:eastAsia="de-DE"/>
              </w:rPr>
            </w:pPr>
            <w:r w:rsidRPr="008863E4">
              <w:rPr>
                <w:rFonts w:eastAsia="MS Mincho"/>
                <w:sz w:val="22"/>
                <w:szCs w:val="22"/>
                <w:lang w:val="sr-Latn-ME" w:eastAsia="de-DE"/>
              </w:rPr>
              <w:t xml:space="preserve">Kod pacijenata ≥ 75 godina zabilježene </w:t>
            </w:r>
            <w:r w:rsidR="00C87AED" w:rsidRPr="008863E4">
              <w:rPr>
                <w:rFonts w:eastAsia="MS Mincho"/>
                <w:sz w:val="22"/>
                <w:szCs w:val="22"/>
                <w:lang w:val="sr-Latn-ME" w:eastAsia="de-DE"/>
              </w:rPr>
              <w:t xml:space="preserve">incidence </w:t>
            </w:r>
            <w:r w:rsidR="000362DB" w:rsidRPr="008863E4">
              <w:rPr>
                <w:rFonts w:eastAsia="MS Mincho"/>
                <w:sz w:val="22"/>
                <w:szCs w:val="22"/>
                <w:lang w:val="sr-Latn-ME" w:eastAsia="de-DE"/>
              </w:rPr>
              <w:t>primarne kompozitne mjere ishoda efikasnosti</w:t>
            </w:r>
            <w:r w:rsidRPr="008863E4">
              <w:rPr>
                <w:rFonts w:eastAsia="MS Mincho"/>
                <w:sz w:val="22"/>
                <w:szCs w:val="22"/>
                <w:lang w:val="sr-Latn-ME" w:eastAsia="de-DE"/>
              </w:rPr>
              <w:t xml:space="preserve"> efikasnosti za farmakoinvazivnu strategiju i primarnu PCI bile su sljedeće: prije smanjenja doze 11/37 (29,7%) (95% CI: 15,9- 47,0) u poređenju sa 10/32 (31,3%) (95% CI: 16,1-50,0), poslije smanjenja doze: 25/97 (25,8%) (95% CI: 17,4-35,7) u poređenju sa 25/88 (24,8%) (95% CI: 19,3-39,0). U obije grupe granice intervala pouzdanosti za zabilježene incidencije  prije i poslije smanjivanja doze se preklapaju. </w:t>
            </w:r>
          </w:p>
          <w:p w14:paraId="3C2DCEAE" w14:textId="77777777" w:rsidR="00D000B3" w:rsidRPr="008863E4" w:rsidRDefault="00D000B3" w:rsidP="001530CA">
            <w:pPr>
              <w:pStyle w:val="Header"/>
              <w:tabs>
                <w:tab w:val="left" w:pos="284"/>
              </w:tabs>
              <w:rPr>
                <w:sz w:val="22"/>
                <w:szCs w:val="22"/>
                <w:lang w:val="sr-Latn-ME"/>
              </w:rPr>
            </w:pPr>
          </w:p>
        </w:tc>
      </w:tr>
    </w:tbl>
    <w:p w14:paraId="70EB73C3" w14:textId="1FCC71A2" w:rsidR="0072020E" w:rsidRPr="008863E4" w:rsidRDefault="0072020E" w:rsidP="00480FB1">
      <w:pPr>
        <w:tabs>
          <w:tab w:val="left" w:pos="540"/>
          <w:tab w:val="left" w:pos="569"/>
        </w:tabs>
        <w:rPr>
          <w:b/>
          <w:bCs/>
          <w:sz w:val="22"/>
          <w:szCs w:val="22"/>
          <w:lang w:val="sr-Latn-ME"/>
        </w:rPr>
      </w:pPr>
      <w:r w:rsidRPr="008863E4">
        <w:rPr>
          <w:b/>
          <w:bCs/>
          <w:sz w:val="22"/>
          <w:szCs w:val="22"/>
          <w:lang w:val="sr-Latn-ME"/>
        </w:rPr>
        <w:lastRenderedPageBreak/>
        <w:t xml:space="preserve">5.2. </w:t>
      </w:r>
      <w:r w:rsidR="00480FB1" w:rsidRPr="008863E4">
        <w:rPr>
          <w:b/>
          <w:bCs/>
          <w:sz w:val="22"/>
          <w:szCs w:val="22"/>
          <w:lang w:val="sr-Latn-ME"/>
        </w:rPr>
        <w:tab/>
      </w:r>
      <w:r w:rsidRPr="008863E4">
        <w:rPr>
          <w:b/>
          <w:bCs/>
          <w:sz w:val="22"/>
          <w:szCs w:val="22"/>
          <w:lang w:val="sr-Latn-ME"/>
        </w:rPr>
        <w:t>Farmakokinetički podaci</w:t>
      </w:r>
      <w:r w:rsidR="003A7059" w:rsidRPr="008863E4">
        <w:rPr>
          <w:b/>
          <w:bCs/>
          <w:sz w:val="22"/>
          <w:szCs w:val="22"/>
          <w:lang w:val="sr-Latn-ME"/>
        </w:rPr>
        <w:t xml:space="preserve"> </w:t>
      </w:r>
    </w:p>
    <w:p w14:paraId="01302381" w14:textId="77777777" w:rsidR="00526512" w:rsidRPr="008863E4" w:rsidRDefault="00526512" w:rsidP="00480FB1">
      <w:pPr>
        <w:tabs>
          <w:tab w:val="left" w:pos="540"/>
          <w:tab w:val="left" w:pos="569"/>
        </w:tabs>
        <w:rPr>
          <w:b/>
          <w:bCs/>
          <w:sz w:val="22"/>
          <w:szCs w:val="22"/>
          <w:lang w:val="sr-Latn-ME"/>
        </w:rPr>
      </w:pPr>
    </w:p>
    <w:p w14:paraId="3631E749" w14:textId="31BE4ADD" w:rsidR="0056696A" w:rsidRPr="008863E4" w:rsidRDefault="00D000B3" w:rsidP="0017187F">
      <w:pPr>
        <w:jc w:val="both"/>
        <w:rPr>
          <w:sz w:val="22"/>
          <w:szCs w:val="22"/>
          <w:u w:val="single"/>
          <w:lang w:val="sr-Latn-ME"/>
        </w:rPr>
      </w:pPr>
      <w:r w:rsidRPr="008863E4">
        <w:rPr>
          <w:sz w:val="22"/>
          <w:szCs w:val="22"/>
          <w:u w:val="single"/>
          <w:lang w:val="sr-Latn-ME"/>
        </w:rPr>
        <w:t>Resorpcija i distribucija</w:t>
      </w:r>
    </w:p>
    <w:p w14:paraId="3BE57899" w14:textId="77777777" w:rsidR="00D000B3" w:rsidRPr="008863E4" w:rsidRDefault="00D000B3" w:rsidP="0017187F">
      <w:pPr>
        <w:jc w:val="both"/>
        <w:rPr>
          <w:sz w:val="22"/>
          <w:szCs w:val="22"/>
          <w:u w:val="single"/>
          <w:lang w:val="sr-Latn-ME"/>
        </w:rPr>
      </w:pPr>
    </w:p>
    <w:p w14:paraId="6D504797" w14:textId="6C4ACA03" w:rsidR="00D000B3" w:rsidRPr="008863E4" w:rsidRDefault="00D000B3" w:rsidP="0017187F">
      <w:pPr>
        <w:jc w:val="both"/>
        <w:rPr>
          <w:sz w:val="22"/>
          <w:szCs w:val="22"/>
          <w:lang w:val="sr-Latn-ME"/>
        </w:rPr>
      </w:pPr>
      <w:r w:rsidRPr="008863E4">
        <w:rPr>
          <w:sz w:val="22"/>
          <w:szCs w:val="22"/>
          <w:lang w:val="sr-Latn-ME"/>
        </w:rPr>
        <w:t xml:space="preserve">Tenekteplaza je jedan rekombinantni protein koji aktivira plazminogen i koji se </w:t>
      </w:r>
      <w:r w:rsidR="00C87AED" w:rsidRPr="008863E4">
        <w:rPr>
          <w:sz w:val="22"/>
          <w:szCs w:val="22"/>
          <w:lang w:val="sr-Latn-ME"/>
        </w:rPr>
        <w:t xml:space="preserve">primjenjuje </w:t>
      </w:r>
      <w:r w:rsidRPr="008863E4">
        <w:rPr>
          <w:sz w:val="22"/>
          <w:szCs w:val="22"/>
          <w:lang w:val="sr-Latn-ME"/>
        </w:rPr>
        <w:t xml:space="preserve"> intravenskim putem. </w:t>
      </w:r>
    </w:p>
    <w:p w14:paraId="3BD76D08" w14:textId="7D1F084B" w:rsidR="00D000B3" w:rsidRPr="008863E4" w:rsidRDefault="00D000B3" w:rsidP="0017187F">
      <w:pPr>
        <w:tabs>
          <w:tab w:val="left" w:pos="284"/>
        </w:tabs>
        <w:jc w:val="both"/>
        <w:rPr>
          <w:sz w:val="22"/>
          <w:szCs w:val="22"/>
          <w:lang w:val="sr-Latn-ME"/>
        </w:rPr>
      </w:pPr>
      <w:r w:rsidRPr="008863E4">
        <w:rPr>
          <w:sz w:val="22"/>
          <w:szCs w:val="22"/>
          <w:lang w:val="sr-Latn-ME"/>
        </w:rPr>
        <w:t>Po intravenskoj primjeni bolusa od 30 mg tenekteplaze kod pacijenata sa akutnim infarktom miokarda, inicijalno procijenjene koncentracije tenekteplaze u plazmi iznosile su 6,45 ± 3,60 µg/m</w:t>
      </w:r>
      <w:r w:rsidR="0056696A" w:rsidRPr="008863E4">
        <w:rPr>
          <w:sz w:val="22"/>
          <w:szCs w:val="22"/>
          <w:lang w:val="sr-Latn-ME"/>
        </w:rPr>
        <w:t>l</w:t>
      </w:r>
      <w:r w:rsidRPr="008863E4">
        <w:rPr>
          <w:sz w:val="22"/>
          <w:szCs w:val="22"/>
          <w:lang w:val="sr-Latn-ME"/>
        </w:rPr>
        <w:t xml:space="preserve"> (srednja vrijednost  ± SD)</w:t>
      </w:r>
      <w:r w:rsidRPr="008863E4">
        <w:rPr>
          <w:sz w:val="22"/>
          <w:szCs w:val="22"/>
          <w:lang w:val="sr-Latn-ME"/>
        </w:rPr>
        <w:fldChar w:fldCharType="begin"/>
      </w:r>
      <w:r w:rsidRPr="008863E4">
        <w:rPr>
          <w:sz w:val="22"/>
          <w:szCs w:val="22"/>
          <w:lang w:val="sr-Latn-ME"/>
        </w:rPr>
        <w:instrText xml:space="preserve"> ADDIN REFMGR.CITE &lt;Refman&gt;&lt;Cite&gt;&lt;Author&gt;Modi&lt;/Author&gt;&lt;Year&gt;1998&lt;/Year&gt;&lt;RecNum&gt;30&lt;/RecNum&gt;&lt;IDText&gt;Pharmacokinetics of a slower clearing tissue plasminogen activator variant, TNK-tPA, in patients with acute myocardial infarction&lt;/IDText&gt;&lt;MDL Ref_Type="Journal"&gt;&lt;Ref_Type&gt;Journal&lt;/Ref_Type&gt;&lt;Ref_ID&gt;30&lt;/Ref_ID&gt;&lt;Title_Primary&gt;Pharmacokinetics of a slower clearing tissue plasminogen activator variant, TNK-tPA, in patients with acute myocardial infarction&lt;/Title_Primary&gt;&lt;Authors_Primary&gt;Modi,N.B.&lt;/Authors_Primary&gt;&lt;Authors_Primary&gt;Eppler,S.&lt;/Authors_Primary&gt;&lt;Authors_Primary&gt;Breed,J.&lt;/Authors_Primary&gt;&lt;Authors_Primary&gt;Cannon,C.P.&lt;/Authors_Primary&gt;&lt;Authors_Primary&gt;Braunwald,E.&lt;/Authors_Primary&gt;&lt;Authors_Primary&gt;Love,T.W.&lt;/Authors_Primary&gt;&lt;Date_Primary&gt;1998&lt;/Date_Primary&gt;&lt;Reprint&gt;Not in File&lt;/Reprint&gt;&lt;Start_Page&gt;134&lt;/Start_Page&gt;&lt;End_Page&gt;139&lt;/End_Page&gt;&lt;Periodical&gt;Thromb Haemost&lt;/Periodical&gt;&lt;Volume&gt;79&lt;/Volume&gt;&lt;Issue&gt;1&lt;/Issue&gt;&lt;User_Def_1&gt;P98-0480&lt;/User_Def_1&gt;&lt;ISSN_ISBN&gt;0340-6245&lt;/ISSN_ISBN&gt;&lt;ZZ_JournalStdAbbrev&gt;&lt;f name="System"&gt;Thromb Haemost&lt;/f&gt;&lt;/ZZ_JournalStdAbbrev&gt;&lt;ZZ_WorkformID&gt;1&lt;/ZZ_WorkformID&gt;&lt;/MDL&gt;&lt;/Cite&gt;&lt;/Refman&gt;</w:instrText>
      </w:r>
      <w:r w:rsidRPr="008863E4">
        <w:rPr>
          <w:sz w:val="22"/>
          <w:szCs w:val="22"/>
          <w:lang w:val="sr-Latn-ME"/>
        </w:rPr>
        <w:fldChar w:fldCharType="end"/>
      </w:r>
      <w:r w:rsidRPr="008863E4">
        <w:rPr>
          <w:sz w:val="22"/>
          <w:szCs w:val="22"/>
          <w:lang w:val="sr-Latn-ME"/>
        </w:rPr>
        <w:t xml:space="preserve">. Faza distribucije predstavlja 31% ± 22% do 69% ± 15% (srednja vrijednost ± SD) ukupne </w:t>
      </w:r>
      <w:r w:rsidR="00C87AED" w:rsidRPr="008863E4">
        <w:rPr>
          <w:sz w:val="22"/>
          <w:szCs w:val="22"/>
          <w:lang w:val="sr-Latn-ME"/>
        </w:rPr>
        <w:t xml:space="preserve">vrijednosti PIK-a nakon primjene </w:t>
      </w:r>
      <w:r w:rsidRPr="008863E4">
        <w:rPr>
          <w:sz w:val="22"/>
          <w:szCs w:val="22"/>
          <w:lang w:val="sr-Latn-ME"/>
        </w:rPr>
        <w:t>doza u rasponu od 5 do 50 mg.</w:t>
      </w:r>
    </w:p>
    <w:p w14:paraId="6083D83A" w14:textId="40117D26" w:rsidR="00D000B3" w:rsidRPr="008863E4" w:rsidRDefault="00D000B3" w:rsidP="0017187F">
      <w:pPr>
        <w:jc w:val="both"/>
        <w:rPr>
          <w:sz w:val="22"/>
          <w:szCs w:val="22"/>
          <w:u w:val="single"/>
          <w:lang w:val="sr-Latn-ME"/>
        </w:rPr>
      </w:pPr>
    </w:p>
    <w:p w14:paraId="3D0B2288" w14:textId="1948EC89" w:rsidR="00D000B3" w:rsidRPr="008863E4" w:rsidRDefault="00D000B3" w:rsidP="0017187F">
      <w:pPr>
        <w:jc w:val="both"/>
        <w:rPr>
          <w:sz w:val="22"/>
          <w:szCs w:val="22"/>
          <w:u w:val="single"/>
          <w:lang w:val="sr-Latn-ME"/>
        </w:rPr>
      </w:pPr>
      <w:r w:rsidRPr="008863E4">
        <w:rPr>
          <w:sz w:val="22"/>
          <w:szCs w:val="22"/>
          <w:lang w:val="sr-Latn-ME"/>
        </w:rPr>
        <w:t>Podaci o distribuciji u tkivima dobijeni su iz ispitivanja sa radioaktivno obilježenom tenekteplazom kod pacova. Glavni organ u koji se tenekteplaza distribuira bila je jetra. Nije poznato da li se i u kojoj mjeri tenekteplaza vezuje za proteine plazme kod ljudi. Srednje vrijeme zadržavanja (MRT) u tijelu je približno 1 </w:t>
      </w:r>
      <w:r w:rsidR="00C87AED" w:rsidRPr="008863E4">
        <w:rPr>
          <w:sz w:val="22"/>
          <w:szCs w:val="22"/>
          <w:lang w:val="sr-Latn-ME"/>
        </w:rPr>
        <w:t>sat</w:t>
      </w:r>
      <w:r w:rsidRPr="008863E4">
        <w:rPr>
          <w:sz w:val="22"/>
          <w:szCs w:val="22"/>
          <w:lang w:val="sr-Latn-ME"/>
        </w:rPr>
        <w:t xml:space="preserve">, a srednja vrijednost (± SD) volumena distribucije u stanju ravnoteže  (Vss) kretala se </w:t>
      </w:r>
      <w:r w:rsidR="00C87AED" w:rsidRPr="008863E4">
        <w:rPr>
          <w:sz w:val="22"/>
          <w:szCs w:val="22"/>
          <w:lang w:val="sr-Latn-ME"/>
        </w:rPr>
        <w:t xml:space="preserve">od </w:t>
      </w:r>
      <w:r w:rsidRPr="008863E4">
        <w:rPr>
          <w:sz w:val="22"/>
          <w:szCs w:val="22"/>
          <w:lang w:val="sr-Latn-ME"/>
        </w:rPr>
        <w:t xml:space="preserve">6,3 ± 2 L </w:t>
      </w:r>
      <w:r w:rsidR="00C87AED" w:rsidRPr="008863E4">
        <w:rPr>
          <w:sz w:val="22"/>
          <w:szCs w:val="22"/>
          <w:lang w:val="sr-Latn-ME"/>
        </w:rPr>
        <w:t>do</w:t>
      </w:r>
      <w:r w:rsidRPr="008863E4">
        <w:rPr>
          <w:sz w:val="22"/>
          <w:szCs w:val="22"/>
          <w:lang w:val="sr-Latn-ME"/>
        </w:rPr>
        <w:t xml:space="preserve"> 15 ± </w:t>
      </w:r>
      <w:r w:rsidR="00C87AED" w:rsidRPr="008863E4">
        <w:rPr>
          <w:sz w:val="22"/>
          <w:szCs w:val="22"/>
          <w:lang w:val="sr-Latn-ME"/>
        </w:rPr>
        <w:t>7L.</w:t>
      </w:r>
    </w:p>
    <w:p w14:paraId="6F387FBD" w14:textId="77777777" w:rsidR="00D000B3" w:rsidRPr="008863E4" w:rsidRDefault="00D000B3" w:rsidP="0017187F">
      <w:pPr>
        <w:jc w:val="both"/>
        <w:rPr>
          <w:sz w:val="22"/>
          <w:szCs w:val="22"/>
          <w:u w:val="single"/>
          <w:lang w:val="sr-Latn-ME"/>
        </w:rPr>
      </w:pPr>
    </w:p>
    <w:p w14:paraId="658968AC" w14:textId="77777777" w:rsidR="00D000B3" w:rsidRPr="008863E4" w:rsidRDefault="00D000B3" w:rsidP="0017187F">
      <w:pPr>
        <w:jc w:val="both"/>
        <w:rPr>
          <w:sz w:val="22"/>
          <w:szCs w:val="22"/>
          <w:u w:val="single"/>
          <w:lang w:val="sr-Latn-ME"/>
        </w:rPr>
      </w:pPr>
      <w:r w:rsidRPr="008863E4">
        <w:rPr>
          <w:sz w:val="22"/>
          <w:szCs w:val="22"/>
          <w:u w:val="single"/>
          <w:lang w:val="sr-Latn-ME"/>
        </w:rPr>
        <w:t>Biotranformacija</w:t>
      </w:r>
    </w:p>
    <w:p w14:paraId="638187CB" w14:textId="0B32AB68" w:rsidR="00D000B3" w:rsidRPr="008863E4" w:rsidRDefault="00D000B3" w:rsidP="0017187F">
      <w:pPr>
        <w:jc w:val="both"/>
        <w:rPr>
          <w:sz w:val="22"/>
          <w:szCs w:val="22"/>
          <w:lang w:val="sr-Latn-ME"/>
        </w:rPr>
      </w:pPr>
      <w:r w:rsidRPr="008863E4">
        <w:rPr>
          <w:sz w:val="22"/>
          <w:szCs w:val="22"/>
          <w:lang w:val="sr-Latn-ME"/>
        </w:rPr>
        <w:t xml:space="preserve">Tenekteplaza se uklanja iz cirkulacije tako što se vezuje za specifične receptore u jetri poslije čega slijedi katabolizam u male peptide. Međutim, vezivanje za hepatične receptore je smanjeno u poređenju sa </w:t>
      </w:r>
      <w:r w:rsidR="00C87AED" w:rsidRPr="008863E4">
        <w:rPr>
          <w:sz w:val="22"/>
          <w:szCs w:val="22"/>
          <w:lang w:val="sr-Latn-ME"/>
        </w:rPr>
        <w:t xml:space="preserve">fiziološkim </w:t>
      </w:r>
      <w:r w:rsidRPr="008863E4">
        <w:rPr>
          <w:sz w:val="22"/>
          <w:szCs w:val="22"/>
          <w:lang w:val="sr-Latn-ME"/>
        </w:rPr>
        <w:t xml:space="preserve">t-PA, što dovodi do produženog poluživota lijeka. </w:t>
      </w:r>
    </w:p>
    <w:p w14:paraId="7B435381" w14:textId="77777777" w:rsidR="00D000B3" w:rsidRPr="008863E4" w:rsidRDefault="00D000B3" w:rsidP="0017187F">
      <w:pPr>
        <w:jc w:val="both"/>
        <w:rPr>
          <w:sz w:val="22"/>
          <w:szCs w:val="22"/>
          <w:lang w:val="sr-Latn-ME"/>
        </w:rPr>
      </w:pPr>
    </w:p>
    <w:p w14:paraId="60E7771E" w14:textId="77777777" w:rsidR="00D000B3" w:rsidRPr="008863E4" w:rsidRDefault="00D000B3" w:rsidP="0017187F">
      <w:pPr>
        <w:jc w:val="both"/>
        <w:rPr>
          <w:sz w:val="22"/>
          <w:szCs w:val="22"/>
          <w:u w:val="single"/>
          <w:lang w:val="sr-Latn-ME"/>
        </w:rPr>
      </w:pPr>
      <w:r w:rsidRPr="008863E4">
        <w:rPr>
          <w:sz w:val="22"/>
          <w:szCs w:val="22"/>
          <w:u w:val="single"/>
          <w:lang w:val="sr-Latn-ME"/>
        </w:rPr>
        <w:t>Eliminacija</w:t>
      </w:r>
    </w:p>
    <w:p w14:paraId="2AD1B276" w14:textId="4BA5A061" w:rsidR="00D000B3" w:rsidRPr="008863E4" w:rsidRDefault="00C87AED" w:rsidP="0017187F">
      <w:pPr>
        <w:jc w:val="both"/>
        <w:rPr>
          <w:sz w:val="22"/>
          <w:szCs w:val="22"/>
          <w:lang w:val="sr-Latn-ME"/>
        </w:rPr>
      </w:pPr>
      <w:r w:rsidRPr="008863E4">
        <w:rPr>
          <w:sz w:val="22"/>
          <w:szCs w:val="22"/>
          <w:lang w:val="sr-Latn-ME"/>
        </w:rPr>
        <w:t xml:space="preserve">Nakon primjene </w:t>
      </w:r>
      <w:r w:rsidR="00D000B3" w:rsidRPr="008863E4">
        <w:rPr>
          <w:sz w:val="22"/>
          <w:szCs w:val="22"/>
          <w:lang w:val="sr-Latn-ME"/>
        </w:rPr>
        <w:t xml:space="preserve">samo jedne intravenske bolus injekcije tenekteplaze pacijentima sa akutnim infarktom miokarda, antigen tenekteplaze ispoljava bifaznu eliminaciju iz plazme. Nema dozne zavisnosti klirensa tenekteplaze kada se ovaj lijek </w:t>
      </w:r>
      <w:r w:rsidRPr="008863E4">
        <w:rPr>
          <w:sz w:val="22"/>
          <w:szCs w:val="22"/>
          <w:lang w:val="sr-Latn-ME"/>
        </w:rPr>
        <w:t xml:space="preserve">primjenjuje </w:t>
      </w:r>
      <w:r w:rsidR="00D000B3" w:rsidRPr="008863E4">
        <w:rPr>
          <w:sz w:val="22"/>
          <w:szCs w:val="22"/>
          <w:lang w:val="sr-Latn-ME"/>
        </w:rPr>
        <w:t>u terapijskom rasponu doza. Inicijalno predominantno poluvrijeme eliminacije je 24 ± 5.5 (srednja vrijednost +/- SD) min, što je pet puta duže nego za</w:t>
      </w:r>
      <w:r w:rsidRPr="008863E4">
        <w:rPr>
          <w:sz w:val="22"/>
          <w:szCs w:val="22"/>
          <w:lang w:val="sr-Latn-ME"/>
        </w:rPr>
        <w:t xml:space="preserve"> fiziološki </w:t>
      </w:r>
      <w:r w:rsidR="00D000B3" w:rsidRPr="008863E4">
        <w:rPr>
          <w:sz w:val="22"/>
          <w:szCs w:val="22"/>
          <w:lang w:val="sr-Latn-ME"/>
        </w:rPr>
        <w:t>t-PA. Terminalno poluvrijeme eliminacije iznosi 129 ± 87 min, a klirens iz plazme je 119 ± 49 ml/min.</w:t>
      </w:r>
    </w:p>
    <w:p w14:paraId="49B8164F" w14:textId="77777777" w:rsidR="00D000B3" w:rsidRPr="008863E4" w:rsidRDefault="00D000B3" w:rsidP="0017187F">
      <w:pPr>
        <w:jc w:val="both"/>
        <w:rPr>
          <w:sz w:val="22"/>
          <w:szCs w:val="22"/>
          <w:lang w:val="sr-Latn-ME"/>
        </w:rPr>
      </w:pPr>
    </w:p>
    <w:p w14:paraId="363CAC71" w14:textId="0674D031" w:rsidR="00D000B3" w:rsidRPr="008863E4" w:rsidRDefault="00D000B3" w:rsidP="0017187F">
      <w:pPr>
        <w:jc w:val="both"/>
        <w:rPr>
          <w:sz w:val="22"/>
          <w:szCs w:val="22"/>
          <w:lang w:val="sr-Latn-ME"/>
        </w:rPr>
      </w:pPr>
      <w:r w:rsidRPr="008863E4">
        <w:rPr>
          <w:sz w:val="22"/>
          <w:szCs w:val="22"/>
          <w:lang w:val="sr-Latn-ME"/>
        </w:rPr>
        <w:t xml:space="preserve">Sa </w:t>
      </w:r>
      <w:r w:rsidR="00C87AED" w:rsidRPr="008863E4">
        <w:rPr>
          <w:sz w:val="22"/>
          <w:szCs w:val="22"/>
          <w:lang w:val="sr-Latn-ME"/>
        </w:rPr>
        <w:t xml:space="preserve">povećanjem </w:t>
      </w:r>
      <w:r w:rsidRPr="008863E4">
        <w:rPr>
          <w:sz w:val="22"/>
          <w:szCs w:val="22"/>
          <w:lang w:val="sr-Latn-ME"/>
        </w:rPr>
        <w:t xml:space="preserve">tjelesne mase dolazi i do umjerenog </w:t>
      </w:r>
      <w:r w:rsidR="00C87AED" w:rsidRPr="008863E4">
        <w:rPr>
          <w:sz w:val="22"/>
          <w:szCs w:val="22"/>
          <w:lang w:val="sr-Latn-ME"/>
        </w:rPr>
        <w:t xml:space="preserve">povećanja </w:t>
      </w:r>
      <w:r w:rsidRPr="008863E4">
        <w:rPr>
          <w:sz w:val="22"/>
          <w:szCs w:val="22"/>
          <w:lang w:val="sr-Latn-ME"/>
        </w:rPr>
        <w:t xml:space="preserve">klirensa tenekteplaze, dok </w:t>
      </w:r>
      <w:r w:rsidR="00C87AED" w:rsidRPr="008863E4">
        <w:rPr>
          <w:sz w:val="22"/>
          <w:szCs w:val="22"/>
          <w:lang w:val="sr-Latn-ME"/>
        </w:rPr>
        <w:t xml:space="preserve">kod pacijenata starijeg životnog doba </w:t>
      </w:r>
      <w:r w:rsidRPr="008863E4">
        <w:rPr>
          <w:sz w:val="22"/>
          <w:szCs w:val="22"/>
          <w:lang w:val="sr-Latn-ME"/>
        </w:rPr>
        <w:t xml:space="preserve">dolazi i do neznatnog smanjenja klirensa. Po pravilu, kod žena </w:t>
      </w:r>
      <w:r w:rsidR="00C87AED" w:rsidRPr="008863E4">
        <w:rPr>
          <w:sz w:val="22"/>
          <w:szCs w:val="22"/>
          <w:lang w:val="sr-Latn-ME"/>
        </w:rPr>
        <w:t xml:space="preserve">klirens </w:t>
      </w:r>
      <w:r w:rsidRPr="008863E4">
        <w:rPr>
          <w:sz w:val="22"/>
          <w:szCs w:val="22"/>
          <w:lang w:val="sr-Latn-ME"/>
        </w:rPr>
        <w:t>je manji nego kod muškaraca, ali se ovo može opisati i time što je generalno u prosjeku tjelesna masa</w:t>
      </w:r>
      <w:r w:rsidR="00C87AED" w:rsidRPr="008863E4">
        <w:rPr>
          <w:sz w:val="22"/>
          <w:szCs w:val="22"/>
          <w:lang w:val="sr-Latn-ME"/>
        </w:rPr>
        <w:t xml:space="preserve"> manja kod</w:t>
      </w:r>
      <w:r w:rsidRPr="008863E4">
        <w:rPr>
          <w:sz w:val="22"/>
          <w:szCs w:val="22"/>
          <w:lang w:val="sr-Latn-ME"/>
        </w:rPr>
        <w:t xml:space="preserve"> žena.</w:t>
      </w:r>
    </w:p>
    <w:p w14:paraId="50B0396D" w14:textId="77777777" w:rsidR="00D000B3" w:rsidRPr="008863E4" w:rsidRDefault="00D000B3" w:rsidP="0017187F">
      <w:pPr>
        <w:pStyle w:val="Header"/>
        <w:tabs>
          <w:tab w:val="left" w:pos="284"/>
        </w:tabs>
        <w:jc w:val="both"/>
        <w:rPr>
          <w:sz w:val="22"/>
          <w:szCs w:val="22"/>
          <w:lang w:val="sr-Latn-ME"/>
        </w:rPr>
      </w:pPr>
    </w:p>
    <w:p w14:paraId="1397E44A" w14:textId="4A639B5A" w:rsidR="00D000B3" w:rsidRPr="008863E4" w:rsidRDefault="00D000B3" w:rsidP="0017187F">
      <w:pPr>
        <w:tabs>
          <w:tab w:val="left" w:pos="7920"/>
        </w:tabs>
        <w:jc w:val="both"/>
        <w:rPr>
          <w:sz w:val="22"/>
          <w:szCs w:val="22"/>
          <w:u w:val="single"/>
          <w:lang w:val="sr-Latn-ME" w:eastAsia="de-DE"/>
        </w:rPr>
      </w:pPr>
      <w:r w:rsidRPr="008863E4">
        <w:rPr>
          <w:sz w:val="22"/>
          <w:szCs w:val="22"/>
          <w:u w:val="single"/>
          <w:lang w:val="sr-Latn-ME" w:eastAsia="de-DE"/>
        </w:rPr>
        <w:t>Linearnost/nelinearnost</w:t>
      </w:r>
    </w:p>
    <w:p w14:paraId="451DAE9E" w14:textId="6A4BA455" w:rsidR="00D000B3" w:rsidRPr="008863E4" w:rsidRDefault="00D000B3" w:rsidP="0017187F">
      <w:pPr>
        <w:tabs>
          <w:tab w:val="left" w:pos="284"/>
        </w:tabs>
        <w:autoSpaceDE w:val="0"/>
        <w:autoSpaceDN w:val="0"/>
        <w:adjustRightInd w:val="0"/>
        <w:jc w:val="both"/>
        <w:rPr>
          <w:sz w:val="22"/>
          <w:szCs w:val="22"/>
          <w:lang w:val="sr-Latn-ME"/>
        </w:rPr>
      </w:pPr>
      <w:r w:rsidRPr="008863E4">
        <w:rPr>
          <w:sz w:val="22"/>
          <w:szCs w:val="22"/>
          <w:lang w:val="sr-Latn-ME"/>
        </w:rPr>
        <w:t>Analiza linearnosti doze na osnovu PIK-a pokazala je da tenekteplaza ispoljava nelinearnu farmakokinetiku u ispitivanom rasponu doza  tj. od 5</w:t>
      </w:r>
      <w:r w:rsidR="00C87AED" w:rsidRPr="008863E4">
        <w:rPr>
          <w:sz w:val="22"/>
          <w:szCs w:val="22"/>
          <w:lang w:val="sr-Latn-ME"/>
        </w:rPr>
        <w:t xml:space="preserve"> mg</w:t>
      </w:r>
      <w:r w:rsidRPr="008863E4">
        <w:rPr>
          <w:sz w:val="22"/>
          <w:szCs w:val="22"/>
          <w:lang w:val="sr-Latn-ME"/>
        </w:rPr>
        <w:t xml:space="preserve"> do 50 mg.</w:t>
      </w:r>
    </w:p>
    <w:p w14:paraId="1EC0C508" w14:textId="77777777" w:rsidR="00D000B3" w:rsidRPr="008863E4" w:rsidRDefault="00D000B3" w:rsidP="0017187F">
      <w:pPr>
        <w:tabs>
          <w:tab w:val="left" w:pos="284"/>
        </w:tabs>
        <w:jc w:val="both"/>
        <w:rPr>
          <w:sz w:val="22"/>
          <w:szCs w:val="22"/>
          <w:lang w:val="sr-Latn-ME"/>
        </w:rPr>
      </w:pPr>
    </w:p>
    <w:p w14:paraId="64539161" w14:textId="3A05B5CD" w:rsidR="00D000B3" w:rsidRPr="008863E4" w:rsidRDefault="00D000B3" w:rsidP="0017187F">
      <w:pPr>
        <w:keepNext/>
        <w:keepLines/>
        <w:tabs>
          <w:tab w:val="left" w:pos="284"/>
        </w:tabs>
        <w:jc w:val="both"/>
        <w:rPr>
          <w:sz w:val="22"/>
          <w:szCs w:val="22"/>
          <w:u w:val="single"/>
          <w:lang w:val="sr-Latn-ME"/>
        </w:rPr>
      </w:pPr>
      <w:r w:rsidRPr="008863E4">
        <w:rPr>
          <w:sz w:val="22"/>
          <w:szCs w:val="22"/>
          <w:u w:val="single"/>
          <w:lang w:val="sr-Latn-ME"/>
        </w:rPr>
        <w:t>Oštećenje funkcije bubrega i jetre</w:t>
      </w:r>
    </w:p>
    <w:p w14:paraId="74FD2F65" w14:textId="06F7EC19" w:rsidR="00D000B3" w:rsidRPr="008863E4" w:rsidRDefault="00C87AED" w:rsidP="0017187F">
      <w:pPr>
        <w:tabs>
          <w:tab w:val="left" w:pos="284"/>
        </w:tabs>
        <w:jc w:val="both"/>
        <w:rPr>
          <w:sz w:val="22"/>
          <w:szCs w:val="22"/>
          <w:lang w:val="sr-Latn-ME"/>
        </w:rPr>
      </w:pPr>
      <w:r w:rsidRPr="008863E4">
        <w:rPr>
          <w:sz w:val="22"/>
          <w:szCs w:val="22"/>
          <w:lang w:val="sr-Latn-ME"/>
        </w:rPr>
        <w:t xml:space="preserve">S obzirom na to </w:t>
      </w:r>
      <w:r w:rsidR="00D000B3" w:rsidRPr="008863E4">
        <w:rPr>
          <w:sz w:val="22"/>
          <w:szCs w:val="22"/>
          <w:lang w:val="sr-Latn-ME"/>
        </w:rPr>
        <w:t xml:space="preserve">da se tenekteplaza eliminiše </w:t>
      </w:r>
      <w:r w:rsidRPr="008863E4">
        <w:rPr>
          <w:sz w:val="22"/>
          <w:szCs w:val="22"/>
          <w:lang w:val="sr-Latn-ME"/>
        </w:rPr>
        <w:t xml:space="preserve">putem </w:t>
      </w:r>
      <w:r w:rsidR="00D000B3" w:rsidRPr="008863E4">
        <w:rPr>
          <w:sz w:val="22"/>
          <w:szCs w:val="22"/>
          <w:lang w:val="sr-Latn-ME"/>
        </w:rPr>
        <w:t xml:space="preserve">jetre, ne očekuje se da će disfunkcija bubrega da utiče na farmakokinetiku ovog lijeka. </w:t>
      </w:r>
      <w:r w:rsidRPr="008863E4">
        <w:rPr>
          <w:sz w:val="22"/>
          <w:szCs w:val="22"/>
          <w:lang w:val="sr-Latn-ME"/>
        </w:rPr>
        <w:t xml:space="preserve">Ovo </w:t>
      </w:r>
      <w:r w:rsidR="00D000B3" w:rsidRPr="008863E4">
        <w:rPr>
          <w:sz w:val="22"/>
          <w:szCs w:val="22"/>
          <w:lang w:val="sr-Latn-ME"/>
        </w:rPr>
        <w:t xml:space="preserve">podržavaju i podaci dobijeni na životinjama. Međutim, dejstvo disfunkcije bubrega i jetre na farmakokinetiku tenekteplaze kod ljudi nije posebno ispitivano. </w:t>
      </w:r>
      <w:r w:rsidRPr="008863E4">
        <w:rPr>
          <w:sz w:val="22"/>
          <w:szCs w:val="22"/>
          <w:lang w:val="sr-Latn-ME"/>
        </w:rPr>
        <w:t xml:space="preserve">Zbog toga </w:t>
      </w:r>
      <w:r w:rsidR="00D000B3" w:rsidRPr="008863E4">
        <w:rPr>
          <w:sz w:val="22"/>
          <w:szCs w:val="22"/>
          <w:lang w:val="sr-Latn-ME"/>
        </w:rPr>
        <w:t xml:space="preserve">nema nikakvih </w:t>
      </w:r>
      <w:r w:rsidRPr="008863E4">
        <w:rPr>
          <w:sz w:val="22"/>
          <w:szCs w:val="22"/>
          <w:lang w:val="sr-Latn-ME"/>
        </w:rPr>
        <w:t xml:space="preserve">smjernica </w:t>
      </w:r>
      <w:r w:rsidR="00D000B3" w:rsidRPr="008863E4">
        <w:rPr>
          <w:sz w:val="22"/>
          <w:szCs w:val="22"/>
          <w:lang w:val="sr-Latn-ME"/>
        </w:rPr>
        <w:t>za prilagođavanje doze tenekteplaze kod pacijenata sa insuficijencijom jetre i teškom insuficijencijom bubrega.</w:t>
      </w:r>
    </w:p>
    <w:p w14:paraId="13C4E0CD" w14:textId="77777777" w:rsidR="0072020E" w:rsidRPr="008863E4" w:rsidRDefault="0072020E" w:rsidP="0017187F">
      <w:pPr>
        <w:tabs>
          <w:tab w:val="left" w:pos="540"/>
          <w:tab w:val="left" w:pos="569"/>
        </w:tabs>
        <w:jc w:val="both"/>
        <w:rPr>
          <w:bCs/>
          <w:sz w:val="22"/>
          <w:szCs w:val="22"/>
          <w:lang w:val="sr-Latn-ME"/>
        </w:rPr>
      </w:pPr>
    </w:p>
    <w:p w14:paraId="02F0CDC0" w14:textId="5CCF3053" w:rsidR="0072020E" w:rsidRPr="008863E4" w:rsidRDefault="0072020E" w:rsidP="0017187F">
      <w:pPr>
        <w:tabs>
          <w:tab w:val="left" w:pos="540"/>
          <w:tab w:val="left" w:pos="569"/>
        </w:tabs>
        <w:jc w:val="both"/>
        <w:rPr>
          <w:b/>
          <w:bCs/>
          <w:sz w:val="22"/>
          <w:szCs w:val="22"/>
          <w:lang w:val="sr-Latn-ME"/>
        </w:rPr>
      </w:pPr>
      <w:r w:rsidRPr="008863E4">
        <w:rPr>
          <w:b/>
          <w:bCs/>
          <w:sz w:val="22"/>
          <w:szCs w:val="22"/>
          <w:lang w:val="sr-Latn-ME"/>
        </w:rPr>
        <w:t xml:space="preserve">5.3. </w:t>
      </w:r>
      <w:r w:rsidR="00480FB1" w:rsidRPr="008863E4">
        <w:rPr>
          <w:b/>
          <w:bCs/>
          <w:sz w:val="22"/>
          <w:szCs w:val="22"/>
          <w:lang w:val="sr-Latn-ME"/>
        </w:rPr>
        <w:tab/>
      </w:r>
      <w:r w:rsidRPr="008863E4">
        <w:rPr>
          <w:b/>
          <w:bCs/>
          <w:sz w:val="22"/>
          <w:szCs w:val="22"/>
          <w:lang w:val="sr-Latn-ME"/>
        </w:rPr>
        <w:t xml:space="preserve">Pretklinički podaci o bezbjednosti </w:t>
      </w:r>
      <w:r w:rsidR="00294635" w:rsidRPr="008863E4">
        <w:rPr>
          <w:b/>
          <w:bCs/>
          <w:sz w:val="22"/>
          <w:szCs w:val="22"/>
          <w:lang w:val="sr-Latn-ME"/>
        </w:rPr>
        <w:t>lijeka</w:t>
      </w:r>
    </w:p>
    <w:p w14:paraId="6B11F7D8" w14:textId="77777777" w:rsidR="00836B35" w:rsidRPr="008863E4" w:rsidRDefault="00836B35" w:rsidP="0017187F">
      <w:pPr>
        <w:tabs>
          <w:tab w:val="left" w:pos="540"/>
          <w:tab w:val="left" w:pos="569"/>
        </w:tabs>
        <w:jc w:val="both"/>
        <w:rPr>
          <w:bCs/>
          <w:sz w:val="22"/>
          <w:szCs w:val="22"/>
          <w:lang w:val="sr-Latn-ME"/>
        </w:rPr>
      </w:pPr>
    </w:p>
    <w:p w14:paraId="2F419E8F" w14:textId="790EE317" w:rsidR="00D000B3" w:rsidRPr="008863E4" w:rsidRDefault="00D000B3" w:rsidP="0017187F">
      <w:pPr>
        <w:jc w:val="both"/>
        <w:rPr>
          <w:sz w:val="22"/>
          <w:szCs w:val="22"/>
          <w:lang w:val="sr-Latn-ME"/>
        </w:rPr>
      </w:pPr>
      <w:r w:rsidRPr="008863E4">
        <w:rPr>
          <w:sz w:val="22"/>
          <w:szCs w:val="22"/>
          <w:lang w:val="sr-Latn-ME"/>
        </w:rPr>
        <w:lastRenderedPageBreak/>
        <w:t>Intravenska primjena pojedinačnih doza</w:t>
      </w:r>
      <w:r w:rsidR="00C87AED" w:rsidRPr="008863E4">
        <w:rPr>
          <w:sz w:val="22"/>
          <w:szCs w:val="22"/>
          <w:lang w:val="sr-Latn-ME"/>
        </w:rPr>
        <w:t xml:space="preserve"> primijenjena na </w:t>
      </w:r>
      <w:r w:rsidRPr="008863E4">
        <w:rPr>
          <w:sz w:val="22"/>
          <w:szCs w:val="22"/>
          <w:lang w:val="sr-Latn-ME"/>
        </w:rPr>
        <w:t>pacovima, kunićima i psima dovodil</w:t>
      </w:r>
      <w:r w:rsidR="0056696A" w:rsidRPr="008863E4">
        <w:rPr>
          <w:sz w:val="22"/>
          <w:szCs w:val="22"/>
          <w:lang w:val="sr-Latn-ME"/>
        </w:rPr>
        <w:t>a</w:t>
      </w:r>
      <w:r w:rsidRPr="008863E4">
        <w:rPr>
          <w:sz w:val="22"/>
          <w:szCs w:val="22"/>
          <w:lang w:val="sr-Latn-ME"/>
        </w:rPr>
        <w:t xml:space="preserve"> je do dozno-zavisnih i reverzibilnih promjena u parametrima koagulacije sa lokalnom hemoragijom na mjestu ubrizgavanja, što se smatralo posljedicom farmakodinamskog dejstva tenekteplaze. Ispitivanja toksičnosti višestrukih doza </w:t>
      </w:r>
      <w:r w:rsidR="00C87AED" w:rsidRPr="008863E4">
        <w:rPr>
          <w:sz w:val="22"/>
          <w:szCs w:val="22"/>
          <w:lang w:val="sr-Latn-ME"/>
        </w:rPr>
        <w:t xml:space="preserve">primijenjenih na pacovima </w:t>
      </w:r>
      <w:r w:rsidRPr="008863E4">
        <w:rPr>
          <w:sz w:val="22"/>
          <w:szCs w:val="22"/>
          <w:lang w:val="sr-Latn-ME"/>
        </w:rPr>
        <w:t xml:space="preserve">i </w:t>
      </w:r>
      <w:r w:rsidR="00C87AED" w:rsidRPr="008863E4">
        <w:rPr>
          <w:sz w:val="22"/>
          <w:szCs w:val="22"/>
          <w:lang w:val="sr-Latn-ME"/>
        </w:rPr>
        <w:t xml:space="preserve">psima </w:t>
      </w:r>
      <w:r w:rsidRPr="008863E4">
        <w:rPr>
          <w:sz w:val="22"/>
          <w:szCs w:val="22"/>
          <w:lang w:val="sr-Latn-ME"/>
        </w:rPr>
        <w:t xml:space="preserve">potvrdila su gore navedena </w:t>
      </w:r>
      <w:r w:rsidR="00C87AED" w:rsidRPr="008863E4">
        <w:rPr>
          <w:sz w:val="22"/>
          <w:szCs w:val="22"/>
          <w:lang w:val="sr-Latn-ME"/>
        </w:rPr>
        <w:t>zapažanja</w:t>
      </w:r>
      <w:r w:rsidRPr="008863E4">
        <w:rPr>
          <w:sz w:val="22"/>
          <w:szCs w:val="22"/>
          <w:lang w:val="sr-Latn-ME"/>
        </w:rPr>
        <w:t>, ali trajanje studije bilo je ograničeno na dvije nedjelje stvaranjem antitijela na humani protein tenekteplaze, što je za rezultat imalo pojavu anafilakse.</w:t>
      </w:r>
    </w:p>
    <w:p w14:paraId="036CA2EE" w14:textId="77777777" w:rsidR="00D000B3" w:rsidRPr="008863E4" w:rsidRDefault="00D000B3" w:rsidP="0017187F">
      <w:pPr>
        <w:jc w:val="both"/>
        <w:rPr>
          <w:sz w:val="22"/>
          <w:szCs w:val="22"/>
          <w:lang w:val="sr-Latn-ME"/>
        </w:rPr>
      </w:pPr>
    </w:p>
    <w:p w14:paraId="79B33131" w14:textId="3478B39F" w:rsidR="00D000B3" w:rsidRPr="008863E4" w:rsidRDefault="00D000B3" w:rsidP="0017187F">
      <w:pPr>
        <w:jc w:val="both"/>
        <w:rPr>
          <w:sz w:val="22"/>
          <w:szCs w:val="22"/>
          <w:lang w:val="sr-Latn-ME"/>
        </w:rPr>
      </w:pPr>
      <w:r w:rsidRPr="008863E4">
        <w:rPr>
          <w:sz w:val="22"/>
          <w:szCs w:val="22"/>
          <w:lang w:val="sr-Latn-ME"/>
        </w:rPr>
        <w:t>Farmakološki podaci o bezbjednosti kod makaki (engl.“</w:t>
      </w:r>
      <w:r w:rsidRPr="008863E4">
        <w:rPr>
          <w:i/>
          <w:iCs/>
          <w:sz w:val="22"/>
          <w:szCs w:val="22"/>
          <w:lang w:val="sr-Latn-ME"/>
        </w:rPr>
        <w:t>cynomolgus</w:t>
      </w:r>
      <w:r w:rsidRPr="008863E4">
        <w:rPr>
          <w:sz w:val="22"/>
          <w:szCs w:val="22"/>
          <w:lang w:val="sr-Latn-ME"/>
        </w:rPr>
        <w:t>”) majmuna pokazali su smanjenje krvnog pritiska praćeno promjenama EKG-a, ali je do ovoga dolazilo pri izlaganjima lijeku koja su bila znatno veća od onih u kliničkim uslovima.</w:t>
      </w:r>
    </w:p>
    <w:p w14:paraId="6A730F7F" w14:textId="77777777" w:rsidR="00D000B3" w:rsidRPr="008863E4" w:rsidRDefault="00D000B3" w:rsidP="0017187F">
      <w:pPr>
        <w:jc w:val="both"/>
        <w:rPr>
          <w:sz w:val="22"/>
          <w:szCs w:val="22"/>
          <w:lang w:val="sr-Latn-ME"/>
        </w:rPr>
      </w:pPr>
    </w:p>
    <w:p w14:paraId="5B266E26" w14:textId="705672D2" w:rsidR="00D000B3" w:rsidRPr="008863E4" w:rsidRDefault="00D000B3" w:rsidP="0017187F">
      <w:pPr>
        <w:autoSpaceDE w:val="0"/>
        <w:autoSpaceDN w:val="0"/>
        <w:adjustRightInd w:val="0"/>
        <w:jc w:val="both"/>
        <w:rPr>
          <w:sz w:val="22"/>
          <w:szCs w:val="22"/>
          <w:lang w:val="sr-Latn-ME"/>
        </w:rPr>
      </w:pPr>
      <w:r w:rsidRPr="008863E4">
        <w:rPr>
          <w:sz w:val="22"/>
          <w:szCs w:val="22"/>
          <w:lang w:val="sr-Latn-ME"/>
        </w:rPr>
        <w:t xml:space="preserve">Kada se radi o indikaciji i </w:t>
      </w:r>
      <w:r w:rsidR="00C87AED" w:rsidRPr="008863E4">
        <w:rPr>
          <w:sz w:val="22"/>
          <w:szCs w:val="22"/>
          <w:lang w:val="sr-Latn-ME"/>
        </w:rPr>
        <w:t xml:space="preserve">primjeni </w:t>
      </w:r>
      <w:r w:rsidRPr="008863E4">
        <w:rPr>
          <w:sz w:val="22"/>
          <w:szCs w:val="22"/>
          <w:lang w:val="sr-Latn-ME"/>
        </w:rPr>
        <w:t xml:space="preserve">pojedinačnih doza kod ljudi, </w:t>
      </w:r>
      <w:r w:rsidR="00C87AED" w:rsidRPr="008863E4">
        <w:rPr>
          <w:sz w:val="22"/>
          <w:szCs w:val="22"/>
          <w:lang w:val="sr-Latn-ME"/>
        </w:rPr>
        <w:t xml:space="preserve">ispitivanje </w:t>
      </w:r>
      <w:r w:rsidRPr="008863E4">
        <w:rPr>
          <w:sz w:val="22"/>
          <w:szCs w:val="22"/>
          <w:lang w:val="sr-Latn-ME"/>
        </w:rPr>
        <w:t xml:space="preserve">reproduktivne toksičnosti </w:t>
      </w:r>
      <w:r w:rsidR="00C87AED" w:rsidRPr="008863E4">
        <w:rPr>
          <w:sz w:val="22"/>
          <w:szCs w:val="22"/>
          <w:lang w:val="sr-Latn-ME"/>
        </w:rPr>
        <w:t xml:space="preserve">bilo je </w:t>
      </w:r>
      <w:r w:rsidRPr="008863E4">
        <w:rPr>
          <w:sz w:val="22"/>
          <w:szCs w:val="22"/>
          <w:lang w:val="sr-Latn-ME"/>
        </w:rPr>
        <w:t>ograničeno na embriotoksičnu studiju kod kunića, kao</w:t>
      </w:r>
      <w:r w:rsidR="00C87AED" w:rsidRPr="008863E4">
        <w:rPr>
          <w:sz w:val="22"/>
          <w:szCs w:val="22"/>
          <w:lang w:val="sr-Latn-ME"/>
        </w:rPr>
        <w:t xml:space="preserve"> osjetljive vrste</w:t>
      </w:r>
      <w:r w:rsidRPr="008863E4">
        <w:rPr>
          <w:sz w:val="22"/>
          <w:szCs w:val="22"/>
          <w:lang w:val="sr-Latn-ME"/>
        </w:rPr>
        <w:t xml:space="preserve">. Tenekteplaza je uzrokovala smrt cjelokupnih legla mladunaca na sredini embrionalnog perioda. Kada je tenekteplaza </w:t>
      </w:r>
      <w:r w:rsidR="00C87AED" w:rsidRPr="008863E4">
        <w:rPr>
          <w:sz w:val="22"/>
          <w:szCs w:val="22"/>
          <w:lang w:val="sr-Latn-ME"/>
        </w:rPr>
        <w:t xml:space="preserve">primjenjivana </w:t>
      </w:r>
      <w:r w:rsidRPr="008863E4">
        <w:rPr>
          <w:sz w:val="22"/>
          <w:szCs w:val="22"/>
          <w:lang w:val="sr-Latn-ME"/>
        </w:rPr>
        <w:t xml:space="preserve">tokom sredine ili pri kraju embrionalnog perioda, </w:t>
      </w:r>
      <w:r w:rsidR="00C87AED" w:rsidRPr="008863E4">
        <w:rPr>
          <w:sz w:val="22"/>
          <w:szCs w:val="22"/>
          <w:lang w:val="sr-Latn-ME"/>
        </w:rPr>
        <w:t xml:space="preserve">na životinjama </w:t>
      </w:r>
      <w:r w:rsidRPr="008863E4">
        <w:rPr>
          <w:sz w:val="22"/>
          <w:szCs w:val="22"/>
          <w:lang w:val="sr-Latn-ME"/>
        </w:rPr>
        <w:t xml:space="preserve">majki su zabilježena vaginalna krvarenja dan nakon </w:t>
      </w:r>
      <w:r w:rsidR="00C87AED" w:rsidRPr="008863E4">
        <w:rPr>
          <w:sz w:val="22"/>
          <w:szCs w:val="22"/>
          <w:lang w:val="sr-Latn-ME"/>
        </w:rPr>
        <w:t xml:space="preserve">primjene </w:t>
      </w:r>
      <w:r w:rsidRPr="008863E4">
        <w:rPr>
          <w:sz w:val="22"/>
          <w:szCs w:val="22"/>
          <w:lang w:val="sr-Latn-ME"/>
        </w:rPr>
        <w:t>prve doze. Sekundarni mortalitet je uočen 1-2 dana kasnije. Podaci o fetalnom periodu nisu dostupni.</w:t>
      </w:r>
    </w:p>
    <w:p w14:paraId="6C5CA109" w14:textId="77777777" w:rsidR="00D000B3" w:rsidRPr="008863E4" w:rsidRDefault="00D000B3" w:rsidP="0017187F">
      <w:pPr>
        <w:jc w:val="both"/>
        <w:rPr>
          <w:sz w:val="22"/>
          <w:szCs w:val="22"/>
          <w:lang w:val="sr-Latn-ME"/>
        </w:rPr>
      </w:pPr>
    </w:p>
    <w:p w14:paraId="389AD26D" w14:textId="7BA09474" w:rsidR="00D000B3" w:rsidRPr="008863E4" w:rsidRDefault="00D000B3" w:rsidP="0017187F">
      <w:pPr>
        <w:jc w:val="both"/>
        <w:rPr>
          <w:sz w:val="22"/>
          <w:szCs w:val="22"/>
          <w:lang w:val="sr-Latn-ME"/>
        </w:rPr>
      </w:pPr>
      <w:r w:rsidRPr="008863E4">
        <w:rPr>
          <w:sz w:val="22"/>
          <w:szCs w:val="22"/>
          <w:lang w:val="sr-Latn-ME"/>
        </w:rPr>
        <w:t xml:space="preserve">Za ovu klasu rekombinantnih proteina ne očekuje se pojava mutagenosti </w:t>
      </w:r>
      <w:r w:rsidR="000D0002" w:rsidRPr="008863E4">
        <w:rPr>
          <w:sz w:val="22"/>
          <w:szCs w:val="22"/>
          <w:lang w:val="sr-Latn-ME"/>
        </w:rPr>
        <w:t xml:space="preserve">i karcinogenosti, zbog toga ispitivanja </w:t>
      </w:r>
      <w:r w:rsidRPr="008863E4">
        <w:rPr>
          <w:sz w:val="22"/>
          <w:szCs w:val="22"/>
          <w:lang w:val="sr-Latn-ME"/>
        </w:rPr>
        <w:t>genotoksičnosti i karcinogenosti ni</w:t>
      </w:r>
      <w:r w:rsidR="000D0002" w:rsidRPr="008863E4">
        <w:rPr>
          <w:sz w:val="22"/>
          <w:szCs w:val="22"/>
          <w:lang w:val="sr-Latn-ME"/>
        </w:rPr>
        <w:t>je</w:t>
      </w:r>
      <w:r w:rsidRPr="008863E4">
        <w:rPr>
          <w:sz w:val="22"/>
          <w:szCs w:val="22"/>
          <w:lang w:val="sr-Latn-ME"/>
        </w:rPr>
        <w:t>su bila</w:t>
      </w:r>
      <w:r w:rsidR="000D0002" w:rsidRPr="008863E4">
        <w:rPr>
          <w:sz w:val="22"/>
          <w:szCs w:val="22"/>
          <w:lang w:val="sr-Latn-ME"/>
        </w:rPr>
        <w:t xml:space="preserve"> neophodna</w:t>
      </w:r>
      <w:r w:rsidRPr="008863E4">
        <w:rPr>
          <w:sz w:val="22"/>
          <w:szCs w:val="22"/>
          <w:lang w:val="sr-Latn-ME"/>
        </w:rPr>
        <w:t>.</w:t>
      </w:r>
    </w:p>
    <w:p w14:paraId="268778B0" w14:textId="77777777" w:rsidR="00D000B3" w:rsidRPr="008863E4" w:rsidRDefault="00D000B3" w:rsidP="0017187F">
      <w:pPr>
        <w:jc w:val="both"/>
        <w:rPr>
          <w:sz w:val="22"/>
          <w:szCs w:val="22"/>
          <w:lang w:val="sr-Latn-ME"/>
        </w:rPr>
      </w:pPr>
    </w:p>
    <w:p w14:paraId="362DD0A7" w14:textId="57365C73" w:rsidR="00D000B3" w:rsidRPr="008863E4" w:rsidRDefault="00D000B3" w:rsidP="0017187F">
      <w:pPr>
        <w:jc w:val="both"/>
        <w:rPr>
          <w:sz w:val="22"/>
          <w:szCs w:val="22"/>
          <w:lang w:val="sr-Latn-ME"/>
        </w:rPr>
      </w:pPr>
      <w:r w:rsidRPr="008863E4">
        <w:rPr>
          <w:sz w:val="22"/>
          <w:szCs w:val="22"/>
          <w:lang w:val="sr-Latn-ME"/>
        </w:rPr>
        <w:t>Nije zabilježena lokalna iritacija krvnih sudova nakon intravenske, intraarterijske ili paravenske prim</w:t>
      </w:r>
      <w:r w:rsidR="0056696A" w:rsidRPr="008863E4">
        <w:rPr>
          <w:sz w:val="22"/>
          <w:szCs w:val="22"/>
          <w:lang w:val="sr-Latn-ME"/>
        </w:rPr>
        <w:t>j</w:t>
      </w:r>
      <w:r w:rsidRPr="008863E4">
        <w:rPr>
          <w:sz w:val="22"/>
          <w:szCs w:val="22"/>
          <w:lang w:val="sr-Latn-ME"/>
        </w:rPr>
        <w:t>ene finalne formulacije tenekteplaze.</w:t>
      </w:r>
    </w:p>
    <w:p w14:paraId="2B5E030C" w14:textId="376194C1" w:rsidR="00396DFD" w:rsidRPr="008863E4" w:rsidRDefault="00396DFD" w:rsidP="0017187F">
      <w:pPr>
        <w:tabs>
          <w:tab w:val="left" w:pos="540"/>
          <w:tab w:val="left" w:pos="569"/>
        </w:tabs>
        <w:jc w:val="both"/>
        <w:rPr>
          <w:b/>
          <w:bCs/>
          <w:sz w:val="22"/>
          <w:szCs w:val="22"/>
          <w:lang w:val="sr-Latn-ME"/>
        </w:rPr>
      </w:pPr>
    </w:p>
    <w:p w14:paraId="35948828" w14:textId="77777777" w:rsidR="0045785D" w:rsidRPr="008863E4" w:rsidRDefault="0045785D" w:rsidP="0017187F">
      <w:pPr>
        <w:tabs>
          <w:tab w:val="left" w:pos="540"/>
          <w:tab w:val="left" w:pos="569"/>
        </w:tabs>
        <w:jc w:val="both"/>
        <w:rPr>
          <w:b/>
          <w:bCs/>
          <w:sz w:val="22"/>
          <w:szCs w:val="22"/>
          <w:lang w:val="sr-Latn-ME"/>
        </w:rPr>
      </w:pPr>
    </w:p>
    <w:p w14:paraId="50A7AB37" w14:textId="77777777" w:rsidR="0072020E" w:rsidRPr="008863E4" w:rsidRDefault="0072020E" w:rsidP="00480FB1">
      <w:pPr>
        <w:tabs>
          <w:tab w:val="left" w:pos="540"/>
          <w:tab w:val="left" w:pos="569"/>
        </w:tabs>
        <w:rPr>
          <w:b/>
          <w:bCs/>
          <w:sz w:val="22"/>
          <w:szCs w:val="22"/>
          <w:lang w:val="sr-Latn-ME"/>
        </w:rPr>
      </w:pPr>
      <w:r w:rsidRPr="008863E4">
        <w:rPr>
          <w:b/>
          <w:bCs/>
          <w:sz w:val="22"/>
          <w:szCs w:val="22"/>
          <w:lang w:val="sr-Latn-ME"/>
        </w:rPr>
        <w:t xml:space="preserve">6. </w:t>
      </w:r>
      <w:r w:rsidR="00480FB1" w:rsidRPr="008863E4">
        <w:rPr>
          <w:b/>
          <w:bCs/>
          <w:sz w:val="22"/>
          <w:szCs w:val="22"/>
          <w:lang w:val="sr-Latn-ME"/>
        </w:rPr>
        <w:tab/>
      </w:r>
      <w:r w:rsidRPr="008863E4">
        <w:rPr>
          <w:b/>
          <w:bCs/>
          <w:sz w:val="22"/>
          <w:szCs w:val="22"/>
          <w:lang w:val="sr-Latn-ME"/>
        </w:rPr>
        <w:t>FARMACEUTSKI PODACI</w:t>
      </w:r>
    </w:p>
    <w:p w14:paraId="4B603E3D" w14:textId="77777777" w:rsidR="00836B35" w:rsidRPr="008863E4" w:rsidRDefault="00836B35" w:rsidP="00480FB1">
      <w:pPr>
        <w:tabs>
          <w:tab w:val="left" w:pos="540"/>
          <w:tab w:val="left" w:pos="569"/>
        </w:tabs>
        <w:rPr>
          <w:bCs/>
          <w:sz w:val="22"/>
          <w:szCs w:val="22"/>
          <w:lang w:val="sr-Latn-ME"/>
        </w:rPr>
      </w:pPr>
    </w:p>
    <w:p w14:paraId="46407B28" w14:textId="77777777" w:rsidR="0072020E" w:rsidRPr="008863E4" w:rsidRDefault="0072020E" w:rsidP="00480FB1">
      <w:pPr>
        <w:tabs>
          <w:tab w:val="left" w:pos="540"/>
          <w:tab w:val="left" w:pos="569"/>
        </w:tabs>
        <w:rPr>
          <w:b/>
          <w:bCs/>
          <w:sz w:val="22"/>
          <w:szCs w:val="22"/>
          <w:lang w:val="sr-Latn-ME"/>
        </w:rPr>
      </w:pPr>
      <w:r w:rsidRPr="008863E4">
        <w:rPr>
          <w:b/>
          <w:bCs/>
          <w:sz w:val="22"/>
          <w:szCs w:val="22"/>
          <w:lang w:val="sr-Latn-ME"/>
        </w:rPr>
        <w:t xml:space="preserve">6.1. </w:t>
      </w:r>
      <w:r w:rsidR="00480FB1" w:rsidRPr="008863E4">
        <w:rPr>
          <w:b/>
          <w:bCs/>
          <w:sz w:val="22"/>
          <w:szCs w:val="22"/>
          <w:lang w:val="sr-Latn-ME"/>
        </w:rPr>
        <w:tab/>
      </w:r>
      <w:r w:rsidRPr="008863E4">
        <w:rPr>
          <w:b/>
          <w:bCs/>
          <w:sz w:val="22"/>
          <w:szCs w:val="22"/>
          <w:lang w:val="sr-Latn-ME"/>
        </w:rPr>
        <w:t>Lista pomoćnih supstanci</w:t>
      </w:r>
      <w:r w:rsidR="002E0135" w:rsidRPr="008863E4">
        <w:rPr>
          <w:b/>
          <w:bCs/>
          <w:sz w:val="22"/>
          <w:szCs w:val="22"/>
          <w:lang w:val="sr-Latn-ME"/>
        </w:rPr>
        <w:t xml:space="preserve"> (ekscipijenasa)</w:t>
      </w:r>
    </w:p>
    <w:p w14:paraId="6CBC3EAE" w14:textId="77777777" w:rsidR="00B61F96" w:rsidRPr="008863E4" w:rsidRDefault="00B61F96" w:rsidP="00D000B3">
      <w:pPr>
        <w:rPr>
          <w:sz w:val="22"/>
          <w:szCs w:val="22"/>
          <w:u w:val="single"/>
          <w:lang w:val="sr-Latn-ME"/>
        </w:rPr>
      </w:pPr>
    </w:p>
    <w:p w14:paraId="60FA4167" w14:textId="438F54FD" w:rsidR="00D000B3" w:rsidRPr="008863E4" w:rsidRDefault="00D000B3" w:rsidP="00D000B3">
      <w:pPr>
        <w:rPr>
          <w:sz w:val="22"/>
          <w:szCs w:val="22"/>
          <w:u w:val="single"/>
          <w:lang w:val="sr-Latn-ME"/>
        </w:rPr>
      </w:pPr>
      <w:r w:rsidRPr="008863E4">
        <w:rPr>
          <w:sz w:val="22"/>
          <w:szCs w:val="22"/>
          <w:u w:val="single"/>
          <w:lang w:val="sr-Latn-ME"/>
        </w:rPr>
        <w:t>Prašak</w:t>
      </w:r>
    </w:p>
    <w:p w14:paraId="5A75A79E" w14:textId="3366365A" w:rsidR="000D0002" w:rsidRPr="008863E4" w:rsidRDefault="007B4F2B" w:rsidP="00D000B3">
      <w:pPr>
        <w:rPr>
          <w:sz w:val="22"/>
          <w:szCs w:val="22"/>
          <w:lang w:val="sr-Latn-ME"/>
        </w:rPr>
      </w:pPr>
      <w:r>
        <w:rPr>
          <w:sz w:val="22"/>
          <w:szCs w:val="22"/>
          <w:lang w:val="sr-Latn-ME"/>
        </w:rPr>
        <w:t>Arginin</w:t>
      </w:r>
    </w:p>
    <w:p w14:paraId="0D25FE38" w14:textId="47F62DD4" w:rsidR="00D000B3" w:rsidRPr="008863E4" w:rsidRDefault="00D000B3" w:rsidP="00D000B3">
      <w:pPr>
        <w:rPr>
          <w:sz w:val="22"/>
          <w:szCs w:val="22"/>
          <w:lang w:val="sr-Latn-ME"/>
        </w:rPr>
      </w:pPr>
      <w:r w:rsidRPr="008863E4">
        <w:rPr>
          <w:sz w:val="22"/>
          <w:szCs w:val="22"/>
          <w:lang w:val="sr-Latn-ME"/>
        </w:rPr>
        <w:t>Fosforna kiselina</w:t>
      </w:r>
      <w:r w:rsidR="002535E2">
        <w:rPr>
          <w:sz w:val="22"/>
          <w:szCs w:val="22"/>
          <w:lang w:val="sr-Latn-ME"/>
        </w:rPr>
        <w:t>, koncentrovana</w:t>
      </w:r>
    </w:p>
    <w:p w14:paraId="0596701B" w14:textId="5C391BD1" w:rsidR="00D000B3" w:rsidRPr="008863E4" w:rsidRDefault="00D000B3" w:rsidP="00D000B3">
      <w:pPr>
        <w:rPr>
          <w:sz w:val="22"/>
          <w:szCs w:val="22"/>
          <w:lang w:val="sr-Latn-ME"/>
        </w:rPr>
      </w:pPr>
      <w:r w:rsidRPr="008863E4">
        <w:rPr>
          <w:sz w:val="22"/>
          <w:szCs w:val="22"/>
          <w:lang w:val="sr-Latn-ME"/>
        </w:rPr>
        <w:t>Polisorbat 20</w:t>
      </w:r>
    </w:p>
    <w:p w14:paraId="5947A2B3" w14:textId="77777777" w:rsidR="00B958AD" w:rsidRPr="008863E4" w:rsidRDefault="00B958AD" w:rsidP="00B958AD">
      <w:pPr>
        <w:tabs>
          <w:tab w:val="left" w:pos="284"/>
        </w:tabs>
        <w:rPr>
          <w:sz w:val="22"/>
          <w:szCs w:val="22"/>
          <w:lang w:val="sr-Latn-ME"/>
        </w:rPr>
      </w:pPr>
      <w:r w:rsidRPr="008863E4">
        <w:rPr>
          <w:sz w:val="22"/>
          <w:szCs w:val="22"/>
          <w:lang w:val="sr-Latn-ME"/>
        </w:rPr>
        <w:t>Ostaci u tragovima iz procesa proizvodnje: gentamicin</w:t>
      </w:r>
    </w:p>
    <w:p w14:paraId="77577367" w14:textId="77777777" w:rsidR="00D000B3" w:rsidRPr="008863E4" w:rsidRDefault="00D000B3" w:rsidP="00D000B3">
      <w:pPr>
        <w:rPr>
          <w:sz w:val="22"/>
          <w:szCs w:val="22"/>
          <w:lang w:val="sr-Latn-ME"/>
        </w:rPr>
      </w:pPr>
    </w:p>
    <w:p w14:paraId="70F32E13" w14:textId="77777777" w:rsidR="00D000B3" w:rsidRPr="008863E4" w:rsidRDefault="00D000B3" w:rsidP="00D000B3">
      <w:pPr>
        <w:rPr>
          <w:sz w:val="22"/>
          <w:szCs w:val="22"/>
          <w:u w:val="single"/>
          <w:lang w:val="sr-Latn-ME"/>
        </w:rPr>
      </w:pPr>
      <w:r w:rsidRPr="008863E4">
        <w:rPr>
          <w:sz w:val="22"/>
          <w:szCs w:val="22"/>
          <w:u w:val="single"/>
          <w:lang w:val="sr-Latn-ME"/>
        </w:rPr>
        <w:t>Rastvarač</w:t>
      </w:r>
    </w:p>
    <w:p w14:paraId="32C194EF" w14:textId="201FE331" w:rsidR="0072020E" w:rsidRPr="008863E4" w:rsidRDefault="007B4F2B" w:rsidP="00D000B3">
      <w:pPr>
        <w:tabs>
          <w:tab w:val="left" w:pos="540"/>
          <w:tab w:val="left" w:pos="569"/>
        </w:tabs>
        <w:rPr>
          <w:bCs/>
          <w:sz w:val="22"/>
          <w:szCs w:val="22"/>
          <w:lang w:val="sr-Latn-ME"/>
        </w:rPr>
      </w:pPr>
      <w:r>
        <w:rPr>
          <w:sz w:val="22"/>
          <w:szCs w:val="22"/>
          <w:lang w:val="sr-Latn-ME"/>
        </w:rPr>
        <w:t>Voda za injekcije</w:t>
      </w:r>
    </w:p>
    <w:p w14:paraId="1BF2F5D0" w14:textId="77777777" w:rsidR="00294635" w:rsidRPr="008863E4" w:rsidRDefault="00294635" w:rsidP="00480FB1">
      <w:pPr>
        <w:tabs>
          <w:tab w:val="left" w:pos="540"/>
          <w:tab w:val="left" w:pos="569"/>
        </w:tabs>
        <w:rPr>
          <w:b/>
          <w:bCs/>
          <w:sz w:val="22"/>
          <w:szCs w:val="22"/>
          <w:lang w:val="sr-Latn-ME"/>
        </w:rPr>
      </w:pPr>
    </w:p>
    <w:p w14:paraId="477B61C7" w14:textId="2535CC7F" w:rsidR="0072020E" w:rsidRPr="008863E4" w:rsidRDefault="0072020E" w:rsidP="00480FB1">
      <w:pPr>
        <w:tabs>
          <w:tab w:val="left" w:pos="540"/>
          <w:tab w:val="left" w:pos="569"/>
        </w:tabs>
        <w:rPr>
          <w:b/>
          <w:bCs/>
          <w:sz w:val="22"/>
          <w:szCs w:val="22"/>
          <w:lang w:val="sr-Latn-ME"/>
        </w:rPr>
      </w:pPr>
      <w:r w:rsidRPr="008863E4">
        <w:rPr>
          <w:b/>
          <w:bCs/>
          <w:sz w:val="22"/>
          <w:szCs w:val="22"/>
          <w:lang w:val="sr-Latn-ME"/>
        </w:rPr>
        <w:t xml:space="preserve">6.2. </w:t>
      </w:r>
      <w:r w:rsidR="00480FB1" w:rsidRPr="008863E4">
        <w:rPr>
          <w:b/>
          <w:bCs/>
          <w:sz w:val="22"/>
          <w:szCs w:val="22"/>
          <w:lang w:val="sr-Latn-ME"/>
        </w:rPr>
        <w:tab/>
      </w:r>
      <w:r w:rsidRPr="008863E4">
        <w:rPr>
          <w:b/>
          <w:bCs/>
          <w:sz w:val="22"/>
          <w:szCs w:val="22"/>
          <w:lang w:val="sr-Latn-ME"/>
        </w:rPr>
        <w:t>Inkompatibilnost</w:t>
      </w:r>
      <w:r w:rsidR="002846DB" w:rsidRPr="008863E4">
        <w:rPr>
          <w:b/>
          <w:bCs/>
          <w:sz w:val="22"/>
          <w:szCs w:val="22"/>
          <w:lang w:val="sr-Latn-ME"/>
        </w:rPr>
        <w:t>i</w:t>
      </w:r>
    </w:p>
    <w:p w14:paraId="06712602" w14:textId="77777777" w:rsidR="00B61F96" w:rsidRPr="008863E4" w:rsidRDefault="00B61F96" w:rsidP="00D000B3">
      <w:pPr>
        <w:tabs>
          <w:tab w:val="left" w:pos="284"/>
          <w:tab w:val="center" w:pos="4320"/>
          <w:tab w:val="right" w:pos="8640"/>
        </w:tabs>
        <w:rPr>
          <w:sz w:val="22"/>
          <w:szCs w:val="22"/>
          <w:lang w:val="sr-Latn-ME"/>
        </w:rPr>
      </w:pPr>
    </w:p>
    <w:p w14:paraId="2B077D36" w14:textId="7C3132A7" w:rsidR="00D000B3" w:rsidRPr="008863E4" w:rsidRDefault="00D000B3" w:rsidP="00D000B3">
      <w:pPr>
        <w:tabs>
          <w:tab w:val="left" w:pos="284"/>
          <w:tab w:val="center" w:pos="4320"/>
          <w:tab w:val="right" w:pos="8640"/>
        </w:tabs>
        <w:rPr>
          <w:sz w:val="22"/>
          <w:szCs w:val="22"/>
          <w:lang w:val="sr-Latn-ME"/>
        </w:rPr>
      </w:pPr>
      <w:r w:rsidRPr="008863E4">
        <w:rPr>
          <w:sz w:val="22"/>
          <w:szCs w:val="22"/>
          <w:lang w:val="sr-Latn-ME"/>
        </w:rPr>
        <w:t>Lijek Metalyse je inkompatibilan sa infuzionim rastvorom glukoze.</w:t>
      </w:r>
    </w:p>
    <w:p w14:paraId="6362D7AC" w14:textId="77777777" w:rsidR="0072020E" w:rsidRPr="008863E4" w:rsidRDefault="0072020E" w:rsidP="00480FB1">
      <w:pPr>
        <w:tabs>
          <w:tab w:val="left" w:pos="540"/>
          <w:tab w:val="left" w:pos="569"/>
        </w:tabs>
        <w:rPr>
          <w:bCs/>
          <w:sz w:val="22"/>
          <w:szCs w:val="22"/>
          <w:lang w:val="sr-Latn-ME"/>
        </w:rPr>
      </w:pPr>
    </w:p>
    <w:p w14:paraId="61F8CD28" w14:textId="77777777" w:rsidR="0072020E" w:rsidRPr="008863E4" w:rsidRDefault="0072020E" w:rsidP="00480FB1">
      <w:pPr>
        <w:tabs>
          <w:tab w:val="left" w:pos="540"/>
          <w:tab w:val="left" w:pos="569"/>
        </w:tabs>
        <w:rPr>
          <w:b/>
          <w:bCs/>
          <w:sz w:val="22"/>
          <w:szCs w:val="22"/>
          <w:lang w:val="sr-Latn-ME"/>
        </w:rPr>
      </w:pPr>
      <w:r w:rsidRPr="008863E4">
        <w:rPr>
          <w:b/>
          <w:bCs/>
          <w:sz w:val="22"/>
          <w:szCs w:val="22"/>
          <w:lang w:val="sr-Latn-ME"/>
        </w:rPr>
        <w:t>6.3.</w:t>
      </w:r>
      <w:r w:rsidR="00C05DF8" w:rsidRPr="008863E4">
        <w:rPr>
          <w:b/>
          <w:bCs/>
          <w:sz w:val="22"/>
          <w:szCs w:val="22"/>
          <w:lang w:val="sr-Latn-ME"/>
        </w:rPr>
        <w:t xml:space="preserve"> </w:t>
      </w:r>
      <w:r w:rsidR="00480FB1" w:rsidRPr="008863E4">
        <w:rPr>
          <w:b/>
          <w:bCs/>
          <w:sz w:val="22"/>
          <w:szCs w:val="22"/>
          <w:lang w:val="sr-Latn-ME"/>
        </w:rPr>
        <w:tab/>
      </w:r>
      <w:r w:rsidRPr="008863E4">
        <w:rPr>
          <w:b/>
          <w:bCs/>
          <w:sz w:val="22"/>
          <w:szCs w:val="22"/>
          <w:lang w:val="sr-Latn-ME"/>
        </w:rPr>
        <w:t>Rok upotrebe</w:t>
      </w:r>
    </w:p>
    <w:p w14:paraId="2F807E30" w14:textId="77777777" w:rsidR="00B61F96" w:rsidRPr="008863E4" w:rsidRDefault="00B61F96" w:rsidP="00293B76">
      <w:pPr>
        <w:rPr>
          <w:sz w:val="22"/>
          <w:szCs w:val="22"/>
          <w:u w:val="single"/>
          <w:lang w:val="sr-Latn-ME"/>
        </w:rPr>
      </w:pPr>
    </w:p>
    <w:p w14:paraId="76B798F0" w14:textId="31BA22B8" w:rsidR="00293B76" w:rsidRPr="008863E4" w:rsidRDefault="00293B76" w:rsidP="00293B76">
      <w:pPr>
        <w:rPr>
          <w:sz w:val="22"/>
          <w:szCs w:val="22"/>
          <w:u w:val="single"/>
          <w:lang w:val="sr-Latn-ME"/>
        </w:rPr>
      </w:pPr>
      <w:r w:rsidRPr="008863E4">
        <w:rPr>
          <w:sz w:val="22"/>
          <w:szCs w:val="22"/>
          <w:u w:val="single"/>
          <w:lang w:val="sr-Latn-ME"/>
        </w:rPr>
        <w:t xml:space="preserve">Rok upotrebe neotvorenog </w:t>
      </w:r>
      <w:r w:rsidR="000D0002" w:rsidRPr="008863E4">
        <w:rPr>
          <w:sz w:val="22"/>
          <w:szCs w:val="22"/>
          <w:u w:val="single"/>
          <w:lang w:val="sr-Latn-ME"/>
        </w:rPr>
        <w:t>lijeka</w:t>
      </w:r>
    </w:p>
    <w:p w14:paraId="7C731F5A" w14:textId="4CD2BD8B" w:rsidR="00293B76" w:rsidRPr="008863E4" w:rsidRDefault="00B958AD" w:rsidP="00293B76">
      <w:pPr>
        <w:rPr>
          <w:sz w:val="22"/>
          <w:szCs w:val="22"/>
          <w:lang w:val="sr-Latn-ME"/>
        </w:rPr>
      </w:pPr>
      <w:r w:rsidRPr="008863E4">
        <w:rPr>
          <w:sz w:val="22"/>
          <w:szCs w:val="22"/>
          <w:lang w:val="sr-Latn-ME"/>
        </w:rPr>
        <w:t>3</w:t>
      </w:r>
      <w:r w:rsidR="00293B76" w:rsidRPr="008863E4">
        <w:rPr>
          <w:sz w:val="22"/>
          <w:szCs w:val="22"/>
          <w:lang w:val="sr-Latn-ME"/>
        </w:rPr>
        <w:t xml:space="preserve"> godine</w:t>
      </w:r>
    </w:p>
    <w:p w14:paraId="6786BCC0" w14:textId="77777777" w:rsidR="00293B76" w:rsidRPr="008863E4" w:rsidRDefault="00293B76" w:rsidP="00293B76">
      <w:pPr>
        <w:rPr>
          <w:sz w:val="22"/>
          <w:szCs w:val="22"/>
          <w:lang w:val="sr-Latn-ME"/>
        </w:rPr>
      </w:pPr>
    </w:p>
    <w:p w14:paraId="3703F1BC" w14:textId="77777777" w:rsidR="00293B76" w:rsidRPr="008863E4" w:rsidRDefault="00293B76" w:rsidP="00293B76">
      <w:pPr>
        <w:autoSpaceDE w:val="0"/>
        <w:autoSpaceDN w:val="0"/>
        <w:adjustRightInd w:val="0"/>
        <w:rPr>
          <w:sz w:val="22"/>
          <w:szCs w:val="22"/>
          <w:u w:val="single"/>
          <w:lang w:val="sr-Latn-ME"/>
        </w:rPr>
      </w:pPr>
      <w:r w:rsidRPr="008863E4">
        <w:rPr>
          <w:sz w:val="22"/>
          <w:szCs w:val="22"/>
          <w:u w:val="single"/>
          <w:lang w:val="sr-Latn-ME"/>
        </w:rPr>
        <w:t>Rekonstituisani rastvor</w:t>
      </w:r>
    </w:p>
    <w:p w14:paraId="2D5D86ED" w14:textId="3DEEC9B3" w:rsidR="00293B76" w:rsidRPr="008863E4" w:rsidRDefault="00293B76" w:rsidP="00293B76">
      <w:pPr>
        <w:rPr>
          <w:sz w:val="22"/>
          <w:szCs w:val="22"/>
          <w:lang w:val="sr-Latn-ME"/>
        </w:rPr>
      </w:pPr>
      <w:r w:rsidRPr="008863E4">
        <w:rPr>
          <w:sz w:val="22"/>
          <w:szCs w:val="22"/>
          <w:lang w:val="sr-Latn-ME"/>
        </w:rPr>
        <w:t xml:space="preserve">Dokazana hemijska i fizička stabilnost u primjeni je 24 sata na temperaturi od 2°C do 8°C i 8 sati na 30°C. </w:t>
      </w:r>
    </w:p>
    <w:p w14:paraId="780DEC77" w14:textId="77777777" w:rsidR="00293B76" w:rsidRPr="008863E4" w:rsidRDefault="00293B76" w:rsidP="00293B76">
      <w:pPr>
        <w:rPr>
          <w:sz w:val="22"/>
          <w:szCs w:val="22"/>
          <w:lang w:val="sr-Latn-ME"/>
        </w:rPr>
      </w:pPr>
    </w:p>
    <w:p w14:paraId="49357E2D" w14:textId="4BBE4906" w:rsidR="00293B76" w:rsidRPr="008863E4" w:rsidRDefault="00293B76" w:rsidP="0017187F">
      <w:pPr>
        <w:jc w:val="both"/>
        <w:rPr>
          <w:sz w:val="22"/>
          <w:szCs w:val="22"/>
          <w:lang w:val="sr-Latn-ME"/>
        </w:rPr>
      </w:pPr>
      <w:r w:rsidRPr="008863E4">
        <w:rPr>
          <w:sz w:val="22"/>
          <w:szCs w:val="22"/>
          <w:lang w:val="sr-Latn-ME"/>
        </w:rPr>
        <w:t>Sa mikrobiološkog</w:t>
      </w:r>
      <w:r w:rsidR="00294635" w:rsidRPr="008863E4">
        <w:rPr>
          <w:sz w:val="22"/>
          <w:szCs w:val="22"/>
          <w:lang w:val="sr-Latn-ME"/>
        </w:rPr>
        <w:t xml:space="preserve"> </w:t>
      </w:r>
      <w:r w:rsidRPr="008863E4">
        <w:rPr>
          <w:sz w:val="22"/>
          <w:szCs w:val="22"/>
          <w:lang w:val="sr-Latn-ME"/>
        </w:rPr>
        <w:t xml:space="preserve">stanovišta, </w:t>
      </w:r>
      <w:r w:rsidR="00B958AD" w:rsidRPr="008863E4">
        <w:rPr>
          <w:sz w:val="22"/>
          <w:szCs w:val="22"/>
          <w:lang w:val="sr-Latn-ME"/>
        </w:rPr>
        <w:t xml:space="preserve">rekonstituisani rastvor </w:t>
      </w:r>
      <w:r w:rsidRPr="008863E4">
        <w:rPr>
          <w:sz w:val="22"/>
          <w:szCs w:val="22"/>
          <w:lang w:val="sr-Latn-ME"/>
        </w:rPr>
        <w:t xml:space="preserve">treba upotrijebiti odmah. </w:t>
      </w:r>
    </w:p>
    <w:p w14:paraId="20E3520C" w14:textId="07AED4D2" w:rsidR="0072020E" w:rsidRPr="008863E4" w:rsidRDefault="00293B76" w:rsidP="0017187F">
      <w:pPr>
        <w:tabs>
          <w:tab w:val="left" w:pos="540"/>
          <w:tab w:val="left" w:pos="569"/>
        </w:tabs>
        <w:jc w:val="both"/>
        <w:rPr>
          <w:sz w:val="22"/>
          <w:szCs w:val="22"/>
          <w:lang w:val="sr-Latn-ME"/>
        </w:rPr>
      </w:pPr>
      <w:r w:rsidRPr="008863E4">
        <w:rPr>
          <w:sz w:val="22"/>
          <w:szCs w:val="22"/>
          <w:lang w:val="sr-Latn-ME"/>
        </w:rPr>
        <w:t>Ukoliko se ne upotrijebi odmah, rok trajanja i uslovi čuvanja rekonstituisanog rastvora predstavljaju odgovornost korisnika, a normalno ne bi smjeli biti duži od 24 sata na temperaturi od 2</w:t>
      </w:r>
      <w:r w:rsidR="006D2622" w:rsidRPr="008863E4">
        <w:rPr>
          <w:sz w:val="22"/>
          <w:szCs w:val="22"/>
          <w:lang w:val="sr-Latn-ME"/>
        </w:rPr>
        <w:t xml:space="preserve">ºC do </w:t>
      </w:r>
      <w:r w:rsidRPr="008863E4">
        <w:rPr>
          <w:sz w:val="22"/>
          <w:szCs w:val="22"/>
          <w:lang w:val="sr-Latn-ME"/>
        </w:rPr>
        <w:t>8°C.</w:t>
      </w:r>
    </w:p>
    <w:p w14:paraId="2212F505" w14:textId="77777777" w:rsidR="00293B76" w:rsidRPr="008863E4" w:rsidRDefault="00293B76" w:rsidP="00293B76">
      <w:pPr>
        <w:tabs>
          <w:tab w:val="left" w:pos="540"/>
          <w:tab w:val="left" w:pos="569"/>
        </w:tabs>
        <w:rPr>
          <w:bCs/>
          <w:sz w:val="22"/>
          <w:szCs w:val="22"/>
          <w:lang w:val="sr-Latn-ME"/>
        </w:rPr>
      </w:pPr>
    </w:p>
    <w:p w14:paraId="4BCF5A05" w14:textId="235BAFBD" w:rsidR="0072020E" w:rsidRPr="008863E4" w:rsidRDefault="0072020E" w:rsidP="00480FB1">
      <w:pPr>
        <w:tabs>
          <w:tab w:val="left" w:pos="540"/>
          <w:tab w:val="left" w:pos="569"/>
        </w:tabs>
        <w:rPr>
          <w:b/>
          <w:bCs/>
          <w:sz w:val="22"/>
          <w:szCs w:val="22"/>
          <w:lang w:val="sr-Latn-ME"/>
        </w:rPr>
      </w:pPr>
      <w:r w:rsidRPr="008863E4">
        <w:rPr>
          <w:b/>
          <w:bCs/>
          <w:sz w:val="22"/>
          <w:szCs w:val="22"/>
          <w:lang w:val="sr-Latn-ME"/>
        </w:rPr>
        <w:t xml:space="preserve">6.4. </w:t>
      </w:r>
      <w:r w:rsidR="00480FB1" w:rsidRPr="008863E4">
        <w:rPr>
          <w:b/>
          <w:bCs/>
          <w:sz w:val="22"/>
          <w:szCs w:val="22"/>
          <w:lang w:val="sr-Latn-ME"/>
        </w:rPr>
        <w:tab/>
      </w:r>
      <w:r w:rsidRPr="008863E4">
        <w:rPr>
          <w:b/>
          <w:bCs/>
          <w:sz w:val="22"/>
          <w:szCs w:val="22"/>
          <w:lang w:val="sr-Latn-ME"/>
        </w:rPr>
        <w:t>Posebne mjere upozorenja pri čuvanju</w:t>
      </w:r>
      <w:r w:rsidR="00F8570A" w:rsidRPr="008863E4">
        <w:rPr>
          <w:b/>
          <w:bCs/>
          <w:sz w:val="22"/>
          <w:szCs w:val="22"/>
          <w:lang w:val="sr-Latn-ME"/>
        </w:rPr>
        <w:t xml:space="preserve"> lijeka</w:t>
      </w:r>
    </w:p>
    <w:p w14:paraId="0F71B889" w14:textId="77777777" w:rsidR="00293B76" w:rsidRPr="008863E4" w:rsidRDefault="00293B76" w:rsidP="00480FB1">
      <w:pPr>
        <w:tabs>
          <w:tab w:val="left" w:pos="540"/>
          <w:tab w:val="left" w:pos="569"/>
        </w:tabs>
        <w:rPr>
          <w:b/>
          <w:bCs/>
          <w:sz w:val="22"/>
          <w:szCs w:val="22"/>
          <w:lang w:val="sr-Latn-ME"/>
        </w:rPr>
      </w:pPr>
    </w:p>
    <w:p w14:paraId="52AAAFFB" w14:textId="3D0F8D76" w:rsidR="00293B76" w:rsidRPr="008863E4" w:rsidRDefault="00293B76" w:rsidP="00293B76">
      <w:pPr>
        <w:rPr>
          <w:sz w:val="22"/>
          <w:szCs w:val="22"/>
          <w:lang w:val="sr-Latn-ME"/>
        </w:rPr>
      </w:pPr>
      <w:r w:rsidRPr="008863E4">
        <w:rPr>
          <w:sz w:val="22"/>
          <w:szCs w:val="22"/>
          <w:lang w:val="sr-Latn-ME"/>
        </w:rPr>
        <w:lastRenderedPageBreak/>
        <w:t>Čuvati na temperaturi do 30°C. Čuvati lijek u spoljašn</w:t>
      </w:r>
      <w:r w:rsidR="000C09DE" w:rsidRPr="008863E4">
        <w:rPr>
          <w:sz w:val="22"/>
          <w:szCs w:val="22"/>
          <w:lang w:val="sr-Latn-ME"/>
        </w:rPr>
        <w:t>j</w:t>
      </w:r>
      <w:r w:rsidRPr="008863E4">
        <w:rPr>
          <w:sz w:val="22"/>
          <w:szCs w:val="22"/>
          <w:lang w:val="sr-Latn-ME"/>
        </w:rPr>
        <w:t>em pakovanju, radi zaštite od svjetlosti.</w:t>
      </w:r>
    </w:p>
    <w:p w14:paraId="6CBD4C7A" w14:textId="1312498E" w:rsidR="00EC2532" w:rsidRPr="008863E4" w:rsidRDefault="00293B76" w:rsidP="00293B76">
      <w:pPr>
        <w:tabs>
          <w:tab w:val="left" w:pos="540"/>
          <w:tab w:val="left" w:pos="569"/>
        </w:tabs>
        <w:rPr>
          <w:sz w:val="22"/>
          <w:szCs w:val="22"/>
          <w:lang w:val="sr-Latn-ME"/>
        </w:rPr>
      </w:pPr>
      <w:r w:rsidRPr="008863E4">
        <w:rPr>
          <w:sz w:val="22"/>
          <w:szCs w:val="22"/>
          <w:lang w:val="sr-Latn-ME"/>
        </w:rPr>
        <w:t xml:space="preserve">Za uslove čuvanja nakon rekonstitucije lijeka, vidjeti </w:t>
      </w:r>
      <w:r w:rsidR="0056696A" w:rsidRPr="008863E4">
        <w:rPr>
          <w:sz w:val="22"/>
          <w:szCs w:val="22"/>
          <w:lang w:val="sr-Latn-ME"/>
        </w:rPr>
        <w:t>dio</w:t>
      </w:r>
      <w:r w:rsidRPr="008863E4">
        <w:rPr>
          <w:sz w:val="22"/>
          <w:szCs w:val="22"/>
          <w:lang w:val="sr-Latn-ME"/>
        </w:rPr>
        <w:t xml:space="preserve"> 6.3.</w:t>
      </w:r>
    </w:p>
    <w:p w14:paraId="45DF520E" w14:textId="77777777" w:rsidR="00293B76" w:rsidRPr="008863E4" w:rsidRDefault="00293B76" w:rsidP="00293B76">
      <w:pPr>
        <w:tabs>
          <w:tab w:val="left" w:pos="540"/>
          <w:tab w:val="left" w:pos="569"/>
        </w:tabs>
        <w:rPr>
          <w:bCs/>
          <w:sz w:val="22"/>
          <w:szCs w:val="22"/>
          <w:lang w:val="sr-Latn-ME"/>
        </w:rPr>
      </w:pPr>
    </w:p>
    <w:p w14:paraId="352BDC48" w14:textId="5B539EE8" w:rsidR="0072020E" w:rsidRPr="008863E4" w:rsidRDefault="0072020E" w:rsidP="00480FB1">
      <w:pPr>
        <w:tabs>
          <w:tab w:val="left" w:pos="540"/>
          <w:tab w:val="left" w:pos="569"/>
        </w:tabs>
        <w:rPr>
          <w:b/>
          <w:bCs/>
          <w:sz w:val="22"/>
          <w:szCs w:val="22"/>
          <w:lang w:val="sr-Latn-ME"/>
        </w:rPr>
      </w:pPr>
      <w:r w:rsidRPr="008863E4">
        <w:rPr>
          <w:b/>
          <w:bCs/>
          <w:sz w:val="22"/>
          <w:szCs w:val="22"/>
          <w:lang w:val="sr-Latn-ME"/>
        </w:rPr>
        <w:t xml:space="preserve">6.5. </w:t>
      </w:r>
      <w:r w:rsidR="00480FB1" w:rsidRPr="008863E4">
        <w:rPr>
          <w:b/>
          <w:bCs/>
          <w:sz w:val="22"/>
          <w:szCs w:val="22"/>
          <w:lang w:val="sr-Latn-ME"/>
        </w:rPr>
        <w:tab/>
      </w:r>
      <w:r w:rsidR="002846DB" w:rsidRPr="008863E4">
        <w:rPr>
          <w:b/>
          <w:bCs/>
          <w:sz w:val="22"/>
          <w:szCs w:val="22"/>
          <w:lang w:val="sr-Latn-ME"/>
        </w:rPr>
        <w:t xml:space="preserve">Vrsta i sadržaj </w:t>
      </w:r>
      <w:r w:rsidR="00F8570A" w:rsidRPr="008863E4">
        <w:rPr>
          <w:b/>
          <w:bCs/>
          <w:sz w:val="22"/>
          <w:szCs w:val="22"/>
          <w:lang w:val="sr-Latn-ME"/>
        </w:rPr>
        <w:t>pakovanja</w:t>
      </w:r>
      <w:r w:rsidR="00C06864" w:rsidRPr="008863E4">
        <w:rPr>
          <w:b/>
          <w:bCs/>
          <w:sz w:val="22"/>
          <w:szCs w:val="22"/>
          <w:lang w:val="sr-Latn-ME"/>
        </w:rPr>
        <w:t xml:space="preserve"> </w:t>
      </w:r>
    </w:p>
    <w:p w14:paraId="0F4EB13E" w14:textId="77777777" w:rsidR="00293B76" w:rsidRPr="008863E4" w:rsidRDefault="00293B76" w:rsidP="00293B76">
      <w:pPr>
        <w:rPr>
          <w:sz w:val="22"/>
          <w:szCs w:val="22"/>
          <w:lang w:val="sr-Latn-ME"/>
        </w:rPr>
      </w:pPr>
    </w:p>
    <w:p w14:paraId="086C0793" w14:textId="34E6D1A2" w:rsidR="00CF2F4E" w:rsidRPr="008863E4" w:rsidRDefault="00293B76" w:rsidP="0017187F">
      <w:pPr>
        <w:pStyle w:val="Header"/>
        <w:tabs>
          <w:tab w:val="left" w:pos="284"/>
        </w:tabs>
        <w:jc w:val="both"/>
        <w:rPr>
          <w:sz w:val="22"/>
          <w:szCs w:val="22"/>
          <w:lang w:val="sr-Latn-ME"/>
        </w:rPr>
      </w:pPr>
      <w:r w:rsidRPr="008863E4">
        <w:rPr>
          <w:bCs/>
          <w:sz w:val="22"/>
          <w:szCs w:val="22"/>
          <w:lang w:val="sr-Latn-ME"/>
        </w:rPr>
        <w:t>Unutrašnje pakovanje</w:t>
      </w:r>
      <w:r w:rsidR="00D63C31" w:rsidRPr="008863E4">
        <w:rPr>
          <w:bCs/>
          <w:sz w:val="22"/>
          <w:szCs w:val="22"/>
          <w:lang w:val="sr-Latn-ME"/>
        </w:rPr>
        <w:t xml:space="preserve"> je s</w:t>
      </w:r>
      <w:r w:rsidRPr="008863E4">
        <w:rPr>
          <w:sz w:val="22"/>
          <w:szCs w:val="22"/>
          <w:lang w:val="sr-Latn-ME"/>
        </w:rPr>
        <w:t xml:space="preserve">taklena bočica </w:t>
      </w:r>
      <w:r w:rsidR="00D63C31" w:rsidRPr="008863E4">
        <w:rPr>
          <w:sz w:val="22"/>
          <w:szCs w:val="22"/>
          <w:lang w:val="sr-Latn-ME"/>
        </w:rPr>
        <w:t xml:space="preserve">tipa I </w:t>
      </w:r>
      <w:r w:rsidRPr="008863E4">
        <w:rPr>
          <w:sz w:val="22"/>
          <w:szCs w:val="22"/>
          <w:lang w:val="sr-Latn-ME"/>
        </w:rPr>
        <w:t xml:space="preserve">od 20 ml, sa obloženim (B2-42) sivim gumenim čepom i </w:t>
      </w:r>
      <w:r w:rsidRPr="008863E4">
        <w:rPr>
          <w:i/>
          <w:sz w:val="22"/>
          <w:szCs w:val="22"/>
          <w:lang w:val="sr-Latn-ME"/>
        </w:rPr>
        <w:t>flip-off</w:t>
      </w:r>
      <w:r w:rsidR="00294635" w:rsidRPr="008863E4">
        <w:rPr>
          <w:i/>
          <w:sz w:val="22"/>
          <w:szCs w:val="22"/>
          <w:lang w:val="sr-Latn-ME"/>
        </w:rPr>
        <w:t xml:space="preserve"> </w:t>
      </w:r>
      <w:r w:rsidR="00294635" w:rsidRPr="008863E4">
        <w:rPr>
          <w:iCs/>
          <w:sz w:val="22"/>
          <w:szCs w:val="22"/>
          <w:lang w:val="sr-Latn-ME"/>
        </w:rPr>
        <w:t>pokolopcem</w:t>
      </w:r>
      <w:r w:rsidR="006D2622" w:rsidRPr="008863E4">
        <w:rPr>
          <w:iCs/>
          <w:sz w:val="22"/>
          <w:szCs w:val="22"/>
          <w:lang w:val="sr-Latn-ME"/>
        </w:rPr>
        <w:t>,</w:t>
      </w:r>
      <w:r w:rsidR="00294635" w:rsidRPr="008863E4">
        <w:rPr>
          <w:sz w:val="22"/>
          <w:szCs w:val="22"/>
          <w:lang w:val="sr-Latn-ME"/>
        </w:rPr>
        <w:t xml:space="preserve"> napunjena praškom za rastvor za injekciju. </w:t>
      </w:r>
      <w:r w:rsidR="00CF2F4E" w:rsidRPr="008863E4">
        <w:rPr>
          <w:sz w:val="22"/>
          <w:szCs w:val="22"/>
          <w:lang w:val="sr-Latn-ME"/>
        </w:rPr>
        <w:t>Jedna bočica sadrži 50 mg tenekteplaze.</w:t>
      </w:r>
    </w:p>
    <w:p w14:paraId="6187986E" w14:textId="336B3C70" w:rsidR="00293B76" w:rsidRPr="008863E4" w:rsidRDefault="00293B76" w:rsidP="0017187F">
      <w:pPr>
        <w:jc w:val="both"/>
        <w:rPr>
          <w:sz w:val="22"/>
          <w:szCs w:val="22"/>
          <w:lang w:val="sr-Latn-ME"/>
        </w:rPr>
      </w:pPr>
    </w:p>
    <w:p w14:paraId="29EF9E70" w14:textId="265548D5" w:rsidR="00293B76" w:rsidRPr="008863E4" w:rsidRDefault="00293B76" w:rsidP="0017187F">
      <w:pPr>
        <w:jc w:val="both"/>
        <w:rPr>
          <w:sz w:val="22"/>
          <w:szCs w:val="22"/>
          <w:lang w:val="sr-Latn-ME"/>
        </w:rPr>
      </w:pPr>
      <w:r w:rsidRPr="008863E4">
        <w:rPr>
          <w:sz w:val="22"/>
          <w:szCs w:val="22"/>
          <w:lang w:val="sr-Latn-ME"/>
        </w:rPr>
        <w:t xml:space="preserve">Plastični špric od 10 ml </w:t>
      </w:r>
      <w:r w:rsidR="006D2622" w:rsidRPr="008863E4">
        <w:rPr>
          <w:sz w:val="22"/>
          <w:szCs w:val="22"/>
          <w:lang w:val="sr-Latn-ME"/>
        </w:rPr>
        <w:t xml:space="preserve">je </w:t>
      </w:r>
      <w:r w:rsidRPr="008863E4">
        <w:rPr>
          <w:sz w:val="22"/>
          <w:szCs w:val="22"/>
          <w:lang w:val="sr-Latn-ME"/>
        </w:rPr>
        <w:t xml:space="preserve">već napunjen sa 10 ml </w:t>
      </w:r>
      <w:r w:rsidR="00CF2F4E" w:rsidRPr="008863E4">
        <w:rPr>
          <w:sz w:val="22"/>
          <w:szCs w:val="22"/>
          <w:lang w:val="sr-Latn-ME"/>
        </w:rPr>
        <w:t>rastvarača</w:t>
      </w:r>
      <w:r w:rsidRPr="008863E4">
        <w:rPr>
          <w:sz w:val="22"/>
          <w:szCs w:val="22"/>
          <w:lang w:val="sr-Latn-ME"/>
        </w:rPr>
        <w:t>.</w:t>
      </w:r>
    </w:p>
    <w:p w14:paraId="689DE66F" w14:textId="77777777" w:rsidR="00293B76" w:rsidRPr="008863E4" w:rsidRDefault="00293B76" w:rsidP="0017187F">
      <w:pPr>
        <w:jc w:val="both"/>
        <w:rPr>
          <w:sz w:val="22"/>
          <w:szCs w:val="22"/>
          <w:lang w:val="sr-Latn-ME"/>
        </w:rPr>
      </w:pPr>
    </w:p>
    <w:p w14:paraId="26C7B59F" w14:textId="52D1CABE" w:rsidR="00293B76" w:rsidRPr="008863E4" w:rsidRDefault="00293B76" w:rsidP="0017187F">
      <w:pPr>
        <w:jc w:val="both"/>
        <w:rPr>
          <w:sz w:val="22"/>
          <w:szCs w:val="22"/>
          <w:lang w:val="sr-Latn-ME"/>
        </w:rPr>
      </w:pPr>
      <w:r w:rsidRPr="008863E4">
        <w:rPr>
          <w:sz w:val="22"/>
          <w:szCs w:val="22"/>
          <w:lang w:val="sr-Latn-ME"/>
        </w:rPr>
        <w:t>Spoljašnje pakovanje je složiva kartonska kutija u kojoj se nalazi jedna bočica sa liofiliziranim praškom, jedan napunjeni injekcioni špric sa rastvaračem, jedan sterilni nastavak za bočicu i Uputstvo za l</w:t>
      </w:r>
      <w:r w:rsidR="00E85062" w:rsidRPr="008863E4">
        <w:rPr>
          <w:sz w:val="22"/>
          <w:szCs w:val="22"/>
          <w:lang w:val="sr-Latn-ME"/>
        </w:rPr>
        <w:t>ij</w:t>
      </w:r>
      <w:r w:rsidRPr="008863E4">
        <w:rPr>
          <w:sz w:val="22"/>
          <w:szCs w:val="22"/>
          <w:lang w:val="sr-Latn-ME"/>
        </w:rPr>
        <w:t>ek.</w:t>
      </w:r>
    </w:p>
    <w:p w14:paraId="6EAE88A6" w14:textId="77777777" w:rsidR="0072020E" w:rsidRPr="008863E4" w:rsidRDefault="0072020E" w:rsidP="00480FB1">
      <w:pPr>
        <w:tabs>
          <w:tab w:val="left" w:pos="540"/>
          <w:tab w:val="left" w:pos="569"/>
        </w:tabs>
        <w:rPr>
          <w:bCs/>
          <w:sz w:val="22"/>
          <w:szCs w:val="22"/>
          <w:lang w:val="sr-Latn-ME"/>
        </w:rPr>
      </w:pPr>
    </w:p>
    <w:p w14:paraId="070A5C0F" w14:textId="77777777" w:rsidR="008863E4" w:rsidRDefault="008863E4" w:rsidP="00480FB1">
      <w:pPr>
        <w:tabs>
          <w:tab w:val="left" w:pos="540"/>
          <w:tab w:val="left" w:pos="569"/>
        </w:tabs>
        <w:rPr>
          <w:b/>
          <w:bCs/>
          <w:sz w:val="22"/>
          <w:szCs w:val="22"/>
          <w:lang w:val="sr-Latn-ME"/>
        </w:rPr>
      </w:pPr>
    </w:p>
    <w:p w14:paraId="38BD47FC" w14:textId="205564D7" w:rsidR="002846DB" w:rsidRPr="008863E4" w:rsidRDefault="0072020E" w:rsidP="00480FB1">
      <w:pPr>
        <w:tabs>
          <w:tab w:val="left" w:pos="540"/>
          <w:tab w:val="left" w:pos="569"/>
        </w:tabs>
        <w:rPr>
          <w:b/>
          <w:bCs/>
          <w:sz w:val="22"/>
          <w:szCs w:val="22"/>
          <w:lang w:val="sr-Latn-ME"/>
        </w:rPr>
      </w:pPr>
      <w:r w:rsidRPr="008863E4">
        <w:rPr>
          <w:b/>
          <w:bCs/>
          <w:sz w:val="22"/>
          <w:szCs w:val="22"/>
          <w:lang w:val="sr-Latn-ME"/>
        </w:rPr>
        <w:t xml:space="preserve">6.6. </w:t>
      </w:r>
      <w:r w:rsidR="00480FB1" w:rsidRPr="008863E4">
        <w:rPr>
          <w:b/>
          <w:bCs/>
          <w:sz w:val="22"/>
          <w:szCs w:val="22"/>
          <w:lang w:val="sr-Latn-ME"/>
        </w:rPr>
        <w:tab/>
      </w:r>
      <w:r w:rsidRPr="008863E4">
        <w:rPr>
          <w:b/>
          <w:bCs/>
          <w:color w:val="000000"/>
          <w:sz w:val="22"/>
          <w:szCs w:val="22"/>
          <w:lang w:val="sr-Latn-ME"/>
        </w:rPr>
        <w:t>Posebne mjere opreza pri odlaganju materijala koji treba odbaciti nakon primjene lijeka</w:t>
      </w:r>
      <w:r w:rsidRPr="008863E4">
        <w:rPr>
          <w:b/>
          <w:bCs/>
          <w:sz w:val="22"/>
          <w:szCs w:val="22"/>
          <w:lang w:val="sr-Latn-ME"/>
        </w:rPr>
        <w:t xml:space="preserve"> </w:t>
      </w:r>
      <w:r w:rsidR="00310F03" w:rsidRPr="008863E4">
        <w:rPr>
          <w:b/>
          <w:bCs/>
          <w:sz w:val="22"/>
          <w:szCs w:val="22"/>
          <w:lang w:val="sr-Latn-ME"/>
        </w:rPr>
        <w:t>(i druga uputs</w:t>
      </w:r>
      <w:r w:rsidR="004109FA" w:rsidRPr="008863E4">
        <w:rPr>
          <w:b/>
          <w:bCs/>
          <w:sz w:val="22"/>
          <w:szCs w:val="22"/>
          <w:lang w:val="sr-Latn-ME"/>
        </w:rPr>
        <w:t>t</w:t>
      </w:r>
      <w:r w:rsidR="00310F03" w:rsidRPr="008863E4">
        <w:rPr>
          <w:b/>
          <w:bCs/>
          <w:sz w:val="22"/>
          <w:szCs w:val="22"/>
          <w:lang w:val="sr-Latn-ME"/>
        </w:rPr>
        <w:t xml:space="preserve">va za rukovanje lijekom) </w:t>
      </w:r>
    </w:p>
    <w:p w14:paraId="507F55CE" w14:textId="0FD0F382" w:rsidR="00B66A70" w:rsidRPr="008863E4" w:rsidRDefault="00B66A70" w:rsidP="00480FB1">
      <w:pPr>
        <w:tabs>
          <w:tab w:val="left" w:pos="540"/>
          <w:tab w:val="left" w:pos="569"/>
        </w:tabs>
        <w:rPr>
          <w:b/>
          <w:bCs/>
          <w:sz w:val="22"/>
          <w:szCs w:val="22"/>
          <w:lang w:val="sr-Latn-ME"/>
        </w:rPr>
      </w:pPr>
    </w:p>
    <w:p w14:paraId="7B6C6D9F" w14:textId="1AE72900" w:rsidR="001F75D8" w:rsidRPr="008863E4" w:rsidRDefault="00293B76" w:rsidP="0017187F">
      <w:pPr>
        <w:jc w:val="both"/>
        <w:rPr>
          <w:sz w:val="22"/>
          <w:szCs w:val="22"/>
          <w:lang w:val="sr-Latn-ME"/>
        </w:rPr>
      </w:pPr>
      <w:r w:rsidRPr="008863E4">
        <w:rPr>
          <w:sz w:val="22"/>
          <w:szCs w:val="22"/>
          <w:lang w:val="sr-Latn-ME"/>
        </w:rPr>
        <w:t xml:space="preserve">Lijek Metalyse treba rekonstituisati dodavanjem cjelokupne zapremine </w:t>
      </w:r>
      <w:r w:rsidR="002535E2">
        <w:rPr>
          <w:sz w:val="22"/>
          <w:szCs w:val="22"/>
          <w:lang w:val="sr-Latn-ME"/>
        </w:rPr>
        <w:t>rastvarača</w:t>
      </w:r>
      <w:r w:rsidR="006D2622" w:rsidRPr="008863E4">
        <w:rPr>
          <w:sz w:val="22"/>
          <w:szCs w:val="22"/>
          <w:lang w:val="sr-Latn-ME"/>
        </w:rPr>
        <w:t xml:space="preserve"> </w:t>
      </w:r>
      <w:r w:rsidRPr="008863E4">
        <w:rPr>
          <w:sz w:val="22"/>
          <w:szCs w:val="22"/>
          <w:lang w:val="sr-Latn-ME"/>
        </w:rPr>
        <w:t xml:space="preserve">iz napunjenog šprica u bočicu </w:t>
      </w:r>
      <w:r w:rsidR="00B61F96" w:rsidRPr="008863E4">
        <w:rPr>
          <w:sz w:val="22"/>
          <w:szCs w:val="22"/>
          <w:lang w:val="sr-Latn-ME"/>
        </w:rPr>
        <w:t>koja sadrži prašak</w:t>
      </w:r>
      <w:r w:rsidRPr="008863E4">
        <w:rPr>
          <w:sz w:val="22"/>
          <w:szCs w:val="22"/>
          <w:lang w:val="sr-Latn-ME"/>
        </w:rPr>
        <w:t xml:space="preserve"> za </w:t>
      </w:r>
      <w:r w:rsidR="00B61F96" w:rsidRPr="008863E4">
        <w:rPr>
          <w:sz w:val="22"/>
          <w:szCs w:val="22"/>
          <w:lang w:val="sr-Latn-ME"/>
        </w:rPr>
        <w:t>ra</w:t>
      </w:r>
      <w:r w:rsidR="002535E2">
        <w:rPr>
          <w:sz w:val="22"/>
          <w:szCs w:val="22"/>
          <w:lang w:val="sr-Latn-ME"/>
        </w:rPr>
        <w:t>s</w:t>
      </w:r>
      <w:r w:rsidR="00B61F96" w:rsidRPr="008863E4">
        <w:rPr>
          <w:sz w:val="22"/>
          <w:szCs w:val="22"/>
          <w:lang w:val="sr-Latn-ME"/>
        </w:rPr>
        <w:t xml:space="preserve">tvor za </w:t>
      </w:r>
      <w:r w:rsidRPr="008863E4">
        <w:rPr>
          <w:sz w:val="22"/>
          <w:szCs w:val="22"/>
          <w:lang w:val="sr-Latn-ME"/>
        </w:rPr>
        <w:t>injekciju.</w:t>
      </w:r>
    </w:p>
    <w:p w14:paraId="332B81BE" w14:textId="77777777" w:rsidR="00293B76" w:rsidRPr="008863E4" w:rsidRDefault="00293B76" w:rsidP="00293B76">
      <w:pPr>
        <w:rPr>
          <w:sz w:val="22"/>
          <w:szCs w:val="22"/>
          <w:lang w:val="sr-Latn-ME"/>
        </w:rPr>
      </w:pPr>
    </w:p>
    <w:p w14:paraId="0C68C6C7" w14:textId="7C6DEFB4" w:rsidR="00293B76" w:rsidRPr="008863E4" w:rsidRDefault="00293B76" w:rsidP="0017187F">
      <w:pPr>
        <w:pStyle w:val="BodyText2"/>
        <w:numPr>
          <w:ilvl w:val="0"/>
          <w:numId w:val="15"/>
        </w:numPr>
        <w:spacing w:after="0" w:line="240" w:lineRule="auto"/>
        <w:jc w:val="both"/>
        <w:rPr>
          <w:sz w:val="22"/>
          <w:szCs w:val="22"/>
        </w:rPr>
      </w:pPr>
      <w:r w:rsidRPr="008863E4">
        <w:rPr>
          <w:sz w:val="22"/>
          <w:szCs w:val="22"/>
        </w:rPr>
        <w:t>Provjeriti da li</w:t>
      </w:r>
      <w:r w:rsidR="00D661BA" w:rsidRPr="008863E4">
        <w:rPr>
          <w:sz w:val="22"/>
          <w:szCs w:val="22"/>
        </w:rPr>
        <w:t xml:space="preserve"> je</w:t>
      </w:r>
      <w:r w:rsidRPr="008863E4">
        <w:rPr>
          <w:sz w:val="22"/>
          <w:szCs w:val="22"/>
        </w:rPr>
        <w:t xml:space="preserve"> </w:t>
      </w:r>
      <w:r w:rsidR="00B61F96" w:rsidRPr="008863E4">
        <w:rPr>
          <w:sz w:val="22"/>
          <w:szCs w:val="22"/>
        </w:rPr>
        <w:t xml:space="preserve">odabrana </w:t>
      </w:r>
      <w:r w:rsidRPr="008863E4">
        <w:rPr>
          <w:sz w:val="22"/>
          <w:szCs w:val="22"/>
        </w:rPr>
        <w:t>odgovarajuć</w:t>
      </w:r>
      <w:r w:rsidR="00B61F96" w:rsidRPr="008863E4">
        <w:rPr>
          <w:sz w:val="22"/>
          <w:szCs w:val="22"/>
        </w:rPr>
        <w:t>a</w:t>
      </w:r>
      <w:r w:rsidRPr="008863E4">
        <w:rPr>
          <w:sz w:val="22"/>
          <w:szCs w:val="22"/>
        </w:rPr>
        <w:t xml:space="preserve"> veličin</w:t>
      </w:r>
      <w:r w:rsidR="00B61F96" w:rsidRPr="008863E4">
        <w:rPr>
          <w:sz w:val="22"/>
          <w:szCs w:val="22"/>
        </w:rPr>
        <w:t>a</w:t>
      </w:r>
      <w:r w:rsidRPr="008863E4">
        <w:rPr>
          <w:sz w:val="22"/>
          <w:szCs w:val="22"/>
        </w:rPr>
        <w:t xml:space="preserve"> bočice u skladu sa tjelesnom masom pacijenta</w:t>
      </w:r>
      <w:r w:rsidR="00093F69">
        <w:rPr>
          <w:sz w:val="22"/>
          <w:szCs w:val="22"/>
        </w:rPr>
        <w:t>.</w:t>
      </w:r>
      <w:r w:rsidRPr="008863E4">
        <w:rPr>
          <w:sz w:val="22"/>
          <w:szCs w:val="22"/>
        </w:rPr>
        <w:t xml:space="preserve"> </w:t>
      </w:r>
    </w:p>
    <w:p w14:paraId="2A9E7262" w14:textId="77777777" w:rsidR="00293B76" w:rsidRPr="008863E4" w:rsidRDefault="00293B76" w:rsidP="00293B76">
      <w:pPr>
        <w:pStyle w:val="BodyText2"/>
        <w:spacing w:after="0" w:line="240" w:lineRule="auto"/>
        <w:ind w:left="360"/>
        <w:rPr>
          <w:sz w:val="22"/>
          <w:szCs w:val="22"/>
        </w:rPr>
      </w:pPr>
    </w:p>
    <w:tbl>
      <w:tblPr>
        <w:tblW w:w="9118" w:type="dxa"/>
        <w:tblLayout w:type="fixed"/>
        <w:tblCellMar>
          <w:left w:w="54" w:type="dxa"/>
          <w:right w:w="54" w:type="dxa"/>
        </w:tblCellMar>
        <w:tblLook w:val="0000" w:firstRow="0" w:lastRow="0" w:firstColumn="0" w:lastColumn="0" w:noHBand="0" w:noVBand="0"/>
      </w:tblPr>
      <w:tblGrid>
        <w:gridCol w:w="2238"/>
        <w:gridCol w:w="2508"/>
        <w:gridCol w:w="2186"/>
        <w:gridCol w:w="2186"/>
      </w:tblGrid>
      <w:tr w:rsidR="00293B76" w:rsidRPr="008863E4" w14:paraId="0187787E" w14:textId="77777777" w:rsidTr="00B46C2A">
        <w:trPr>
          <w:cantSplit/>
          <w:trHeight w:val="270"/>
        </w:trPr>
        <w:tc>
          <w:tcPr>
            <w:tcW w:w="2238" w:type="dxa"/>
            <w:tcBorders>
              <w:top w:val="single" w:sz="4" w:space="0" w:color="auto"/>
              <w:left w:val="single" w:sz="4" w:space="0" w:color="auto"/>
              <w:bottom w:val="single" w:sz="6" w:space="0" w:color="auto"/>
              <w:right w:val="single" w:sz="6" w:space="0" w:color="auto"/>
            </w:tcBorders>
            <w:vAlign w:val="center"/>
          </w:tcPr>
          <w:p w14:paraId="1B96F0A2" w14:textId="72550AE0" w:rsidR="00293B76" w:rsidRPr="008863E4" w:rsidRDefault="00293B76" w:rsidP="00B61F96">
            <w:pPr>
              <w:jc w:val="center"/>
              <w:rPr>
                <w:sz w:val="22"/>
                <w:szCs w:val="22"/>
                <w:lang w:val="sr-Latn-ME"/>
              </w:rPr>
            </w:pPr>
            <w:r w:rsidRPr="008863E4">
              <w:rPr>
                <w:sz w:val="22"/>
                <w:szCs w:val="22"/>
                <w:lang w:val="sr-Latn-ME"/>
              </w:rPr>
              <w:t>Kategorija kojoj pacijent pripada prema svojoj t</w:t>
            </w:r>
            <w:r w:rsidR="00E85062" w:rsidRPr="008863E4">
              <w:rPr>
                <w:sz w:val="22"/>
                <w:szCs w:val="22"/>
                <w:lang w:val="sr-Latn-ME"/>
              </w:rPr>
              <w:t>j</w:t>
            </w:r>
            <w:r w:rsidRPr="008863E4">
              <w:rPr>
                <w:sz w:val="22"/>
                <w:szCs w:val="22"/>
                <w:lang w:val="sr-Latn-ME"/>
              </w:rPr>
              <w:t>elesnoj masi (kg)</w:t>
            </w:r>
          </w:p>
        </w:tc>
        <w:tc>
          <w:tcPr>
            <w:tcW w:w="2508" w:type="dxa"/>
            <w:tcBorders>
              <w:top w:val="single" w:sz="4" w:space="0" w:color="auto"/>
              <w:left w:val="single" w:sz="6" w:space="0" w:color="auto"/>
              <w:bottom w:val="single" w:sz="6" w:space="0" w:color="auto"/>
              <w:right w:val="single" w:sz="6" w:space="0" w:color="auto"/>
            </w:tcBorders>
            <w:vAlign w:val="center"/>
          </w:tcPr>
          <w:p w14:paraId="089A3C93" w14:textId="77777777" w:rsidR="00293B76" w:rsidRPr="008863E4" w:rsidRDefault="00293B76" w:rsidP="001530CA">
            <w:pPr>
              <w:jc w:val="center"/>
              <w:rPr>
                <w:sz w:val="22"/>
                <w:szCs w:val="22"/>
                <w:lang w:val="sr-Latn-ME"/>
              </w:rPr>
            </w:pPr>
            <w:r w:rsidRPr="008863E4">
              <w:rPr>
                <w:sz w:val="22"/>
                <w:szCs w:val="22"/>
                <w:lang w:val="sr-Latn-ME"/>
              </w:rPr>
              <w:t>Odgovarajuća zapremina rekonstituisanog rastvora (ml)</w:t>
            </w:r>
          </w:p>
        </w:tc>
        <w:tc>
          <w:tcPr>
            <w:tcW w:w="2186" w:type="dxa"/>
            <w:tcBorders>
              <w:top w:val="single" w:sz="4" w:space="0" w:color="auto"/>
              <w:left w:val="single" w:sz="6" w:space="0" w:color="auto"/>
              <w:bottom w:val="single" w:sz="6" w:space="0" w:color="auto"/>
              <w:right w:val="single" w:sz="6" w:space="0" w:color="auto"/>
            </w:tcBorders>
            <w:vAlign w:val="center"/>
          </w:tcPr>
          <w:p w14:paraId="20129AB3" w14:textId="77777777" w:rsidR="00293B76" w:rsidRPr="008863E4" w:rsidRDefault="00293B76" w:rsidP="001530CA">
            <w:pPr>
              <w:jc w:val="center"/>
              <w:rPr>
                <w:sz w:val="22"/>
                <w:szCs w:val="22"/>
                <w:lang w:val="sr-Latn-ME"/>
              </w:rPr>
            </w:pPr>
            <w:r w:rsidRPr="008863E4">
              <w:rPr>
                <w:sz w:val="22"/>
                <w:szCs w:val="22"/>
                <w:lang w:val="sr-Latn-ME"/>
              </w:rPr>
              <w:t>tenekteplaza</w:t>
            </w:r>
          </w:p>
          <w:p w14:paraId="04C58535" w14:textId="77777777" w:rsidR="00293B76" w:rsidRPr="008863E4" w:rsidRDefault="00293B76" w:rsidP="001530CA">
            <w:pPr>
              <w:jc w:val="center"/>
              <w:rPr>
                <w:sz w:val="22"/>
                <w:szCs w:val="22"/>
                <w:lang w:val="sr-Latn-ME"/>
              </w:rPr>
            </w:pPr>
            <w:r w:rsidRPr="008863E4">
              <w:rPr>
                <w:sz w:val="22"/>
                <w:szCs w:val="22"/>
                <w:lang w:val="sr-Latn-ME"/>
              </w:rPr>
              <w:t>(U)</w:t>
            </w:r>
          </w:p>
        </w:tc>
        <w:tc>
          <w:tcPr>
            <w:tcW w:w="2186" w:type="dxa"/>
            <w:tcBorders>
              <w:top w:val="single" w:sz="4" w:space="0" w:color="auto"/>
              <w:left w:val="single" w:sz="6" w:space="0" w:color="auto"/>
              <w:bottom w:val="single" w:sz="6" w:space="0" w:color="auto"/>
              <w:right w:val="single" w:sz="4" w:space="0" w:color="auto"/>
            </w:tcBorders>
            <w:vAlign w:val="center"/>
          </w:tcPr>
          <w:p w14:paraId="2893F89E" w14:textId="77777777" w:rsidR="00293B76" w:rsidRPr="008863E4" w:rsidRDefault="00293B76" w:rsidP="001530CA">
            <w:pPr>
              <w:jc w:val="center"/>
              <w:rPr>
                <w:sz w:val="22"/>
                <w:szCs w:val="22"/>
                <w:lang w:val="sr-Latn-ME"/>
              </w:rPr>
            </w:pPr>
            <w:r w:rsidRPr="008863E4">
              <w:rPr>
                <w:sz w:val="22"/>
                <w:szCs w:val="22"/>
                <w:lang w:val="sr-Latn-ME"/>
              </w:rPr>
              <w:t>tenekteplaza</w:t>
            </w:r>
          </w:p>
          <w:p w14:paraId="4FB583A0" w14:textId="77777777" w:rsidR="00293B76" w:rsidRPr="008863E4" w:rsidRDefault="00293B76" w:rsidP="001530CA">
            <w:pPr>
              <w:jc w:val="center"/>
              <w:rPr>
                <w:sz w:val="22"/>
                <w:szCs w:val="22"/>
                <w:lang w:val="sr-Latn-ME"/>
              </w:rPr>
            </w:pPr>
            <w:r w:rsidRPr="008863E4">
              <w:rPr>
                <w:sz w:val="22"/>
                <w:szCs w:val="22"/>
                <w:lang w:val="sr-Latn-ME"/>
              </w:rPr>
              <w:t>(mg)</w:t>
            </w:r>
          </w:p>
        </w:tc>
      </w:tr>
      <w:tr w:rsidR="00293B76" w:rsidRPr="008863E4" w14:paraId="160869E0" w14:textId="77777777" w:rsidTr="00B46C2A">
        <w:trPr>
          <w:cantSplit/>
          <w:trHeight w:val="224"/>
        </w:trPr>
        <w:tc>
          <w:tcPr>
            <w:tcW w:w="2238" w:type="dxa"/>
            <w:tcBorders>
              <w:left w:val="single" w:sz="4" w:space="0" w:color="auto"/>
              <w:right w:val="single" w:sz="6" w:space="0" w:color="auto"/>
            </w:tcBorders>
            <w:vAlign w:val="center"/>
          </w:tcPr>
          <w:p w14:paraId="45263006" w14:textId="77777777" w:rsidR="00293B76" w:rsidRPr="008863E4" w:rsidRDefault="00293B76" w:rsidP="001530CA">
            <w:pPr>
              <w:pStyle w:val="EndnoteText"/>
              <w:jc w:val="center"/>
              <w:rPr>
                <w:rFonts w:ascii="Times New Roman" w:hAnsi="Times New Roman"/>
                <w:sz w:val="22"/>
                <w:szCs w:val="22"/>
              </w:rPr>
            </w:pPr>
            <w:r w:rsidRPr="008863E4">
              <w:rPr>
                <w:rFonts w:ascii="Times New Roman" w:hAnsi="Times New Roman"/>
                <w:sz w:val="22"/>
                <w:szCs w:val="22"/>
              </w:rPr>
              <w:t>&lt;60</w:t>
            </w:r>
          </w:p>
        </w:tc>
        <w:tc>
          <w:tcPr>
            <w:tcW w:w="2508" w:type="dxa"/>
            <w:vAlign w:val="center"/>
          </w:tcPr>
          <w:p w14:paraId="650D1D23" w14:textId="77777777" w:rsidR="00293B76" w:rsidRPr="008863E4" w:rsidRDefault="00293B76" w:rsidP="001530CA">
            <w:pPr>
              <w:jc w:val="center"/>
              <w:rPr>
                <w:sz w:val="22"/>
                <w:szCs w:val="22"/>
                <w:lang w:val="sr-Latn-ME"/>
              </w:rPr>
            </w:pPr>
            <w:r w:rsidRPr="008863E4">
              <w:rPr>
                <w:sz w:val="22"/>
                <w:szCs w:val="22"/>
                <w:lang w:val="sr-Latn-ME"/>
              </w:rPr>
              <w:t>6</w:t>
            </w:r>
          </w:p>
        </w:tc>
        <w:tc>
          <w:tcPr>
            <w:tcW w:w="2186" w:type="dxa"/>
            <w:vAlign w:val="center"/>
          </w:tcPr>
          <w:p w14:paraId="4323AD8B" w14:textId="30AB4EA6" w:rsidR="00293B76" w:rsidRPr="008863E4" w:rsidRDefault="00293B76" w:rsidP="001530CA">
            <w:pPr>
              <w:jc w:val="center"/>
              <w:rPr>
                <w:sz w:val="22"/>
                <w:szCs w:val="22"/>
                <w:lang w:val="sr-Latn-ME"/>
              </w:rPr>
            </w:pPr>
            <w:r w:rsidRPr="008863E4">
              <w:rPr>
                <w:sz w:val="22"/>
                <w:szCs w:val="22"/>
                <w:lang w:val="sr-Latn-ME"/>
              </w:rPr>
              <w:t>6</w:t>
            </w:r>
            <w:r w:rsidR="00B61F96" w:rsidRPr="008863E4">
              <w:rPr>
                <w:sz w:val="22"/>
                <w:szCs w:val="22"/>
                <w:lang w:val="sr-Latn-ME"/>
              </w:rPr>
              <w:t xml:space="preserve"> </w:t>
            </w:r>
            <w:r w:rsidRPr="008863E4">
              <w:rPr>
                <w:sz w:val="22"/>
                <w:szCs w:val="22"/>
                <w:lang w:val="sr-Latn-ME"/>
              </w:rPr>
              <w:t>000</w:t>
            </w:r>
          </w:p>
        </w:tc>
        <w:tc>
          <w:tcPr>
            <w:tcW w:w="2186" w:type="dxa"/>
            <w:tcBorders>
              <w:right w:val="single" w:sz="4" w:space="0" w:color="auto"/>
            </w:tcBorders>
            <w:vAlign w:val="center"/>
          </w:tcPr>
          <w:p w14:paraId="4AC58191" w14:textId="77777777" w:rsidR="00293B76" w:rsidRPr="008863E4" w:rsidRDefault="00293B76" w:rsidP="001530CA">
            <w:pPr>
              <w:jc w:val="center"/>
              <w:rPr>
                <w:sz w:val="22"/>
                <w:szCs w:val="22"/>
                <w:lang w:val="sr-Latn-ME"/>
              </w:rPr>
            </w:pPr>
            <w:r w:rsidRPr="008863E4">
              <w:rPr>
                <w:sz w:val="22"/>
                <w:szCs w:val="22"/>
                <w:lang w:val="sr-Latn-ME"/>
              </w:rPr>
              <w:t>30</w:t>
            </w:r>
          </w:p>
        </w:tc>
      </w:tr>
      <w:tr w:rsidR="00293B76" w:rsidRPr="008863E4" w14:paraId="498353C0" w14:textId="77777777" w:rsidTr="00B46C2A">
        <w:trPr>
          <w:cantSplit/>
          <w:trHeight w:val="270"/>
        </w:trPr>
        <w:tc>
          <w:tcPr>
            <w:tcW w:w="2238" w:type="dxa"/>
            <w:tcBorders>
              <w:left w:val="single" w:sz="4" w:space="0" w:color="auto"/>
              <w:right w:val="single" w:sz="6" w:space="0" w:color="auto"/>
            </w:tcBorders>
            <w:vAlign w:val="center"/>
          </w:tcPr>
          <w:p w14:paraId="5BD273D1" w14:textId="77777777" w:rsidR="00293B76" w:rsidRPr="008863E4" w:rsidRDefault="00293B76" w:rsidP="001530CA">
            <w:pPr>
              <w:jc w:val="center"/>
              <w:rPr>
                <w:sz w:val="22"/>
                <w:szCs w:val="22"/>
                <w:lang w:val="sr-Latn-ME"/>
              </w:rPr>
            </w:pPr>
            <w:r w:rsidRPr="008863E4">
              <w:rPr>
                <w:sz w:val="22"/>
                <w:szCs w:val="22"/>
                <w:lang w:val="sr-Latn-ME"/>
              </w:rPr>
              <w:sym w:font="Symbol" w:char="F0B3"/>
            </w:r>
            <w:r w:rsidRPr="008863E4">
              <w:rPr>
                <w:sz w:val="22"/>
                <w:szCs w:val="22"/>
                <w:lang w:val="sr-Latn-ME"/>
              </w:rPr>
              <w:t>60 do &lt;70</w:t>
            </w:r>
          </w:p>
        </w:tc>
        <w:tc>
          <w:tcPr>
            <w:tcW w:w="2508" w:type="dxa"/>
            <w:vAlign w:val="center"/>
          </w:tcPr>
          <w:p w14:paraId="33B1F0AB" w14:textId="77777777" w:rsidR="00293B76" w:rsidRPr="008863E4" w:rsidRDefault="00293B76" w:rsidP="001530CA">
            <w:pPr>
              <w:jc w:val="center"/>
              <w:rPr>
                <w:sz w:val="22"/>
                <w:szCs w:val="22"/>
                <w:lang w:val="sr-Latn-ME"/>
              </w:rPr>
            </w:pPr>
            <w:r w:rsidRPr="008863E4">
              <w:rPr>
                <w:sz w:val="22"/>
                <w:szCs w:val="22"/>
                <w:lang w:val="sr-Latn-ME"/>
              </w:rPr>
              <w:t>7</w:t>
            </w:r>
          </w:p>
        </w:tc>
        <w:tc>
          <w:tcPr>
            <w:tcW w:w="2186" w:type="dxa"/>
            <w:vAlign w:val="center"/>
          </w:tcPr>
          <w:p w14:paraId="4C6A9E7F" w14:textId="36F4F758" w:rsidR="00293B76" w:rsidRPr="008863E4" w:rsidRDefault="00293B76" w:rsidP="001530CA">
            <w:pPr>
              <w:jc w:val="center"/>
              <w:rPr>
                <w:sz w:val="22"/>
                <w:szCs w:val="22"/>
                <w:lang w:val="sr-Latn-ME"/>
              </w:rPr>
            </w:pPr>
            <w:r w:rsidRPr="008863E4">
              <w:rPr>
                <w:sz w:val="22"/>
                <w:szCs w:val="22"/>
                <w:lang w:val="sr-Latn-ME"/>
              </w:rPr>
              <w:t>7</w:t>
            </w:r>
            <w:r w:rsidR="00B61F96" w:rsidRPr="008863E4">
              <w:rPr>
                <w:sz w:val="22"/>
                <w:szCs w:val="22"/>
                <w:lang w:val="sr-Latn-ME"/>
              </w:rPr>
              <w:t xml:space="preserve"> </w:t>
            </w:r>
            <w:r w:rsidRPr="008863E4">
              <w:rPr>
                <w:sz w:val="22"/>
                <w:szCs w:val="22"/>
                <w:lang w:val="sr-Latn-ME"/>
              </w:rPr>
              <w:t>000</w:t>
            </w:r>
          </w:p>
        </w:tc>
        <w:tc>
          <w:tcPr>
            <w:tcW w:w="2186" w:type="dxa"/>
            <w:tcBorders>
              <w:right w:val="single" w:sz="4" w:space="0" w:color="auto"/>
            </w:tcBorders>
            <w:vAlign w:val="center"/>
          </w:tcPr>
          <w:p w14:paraId="314F47D4" w14:textId="77777777" w:rsidR="00293B76" w:rsidRPr="008863E4" w:rsidRDefault="00293B76" w:rsidP="001530CA">
            <w:pPr>
              <w:jc w:val="center"/>
              <w:rPr>
                <w:sz w:val="22"/>
                <w:szCs w:val="22"/>
                <w:lang w:val="sr-Latn-ME"/>
              </w:rPr>
            </w:pPr>
            <w:r w:rsidRPr="008863E4">
              <w:rPr>
                <w:sz w:val="22"/>
                <w:szCs w:val="22"/>
                <w:lang w:val="sr-Latn-ME"/>
              </w:rPr>
              <w:t>35</w:t>
            </w:r>
          </w:p>
        </w:tc>
      </w:tr>
      <w:tr w:rsidR="00293B76" w:rsidRPr="008863E4" w14:paraId="0DC4AF5B" w14:textId="77777777" w:rsidTr="00B46C2A">
        <w:trPr>
          <w:cantSplit/>
          <w:trHeight w:val="270"/>
        </w:trPr>
        <w:tc>
          <w:tcPr>
            <w:tcW w:w="2238" w:type="dxa"/>
            <w:tcBorders>
              <w:left w:val="single" w:sz="4" w:space="0" w:color="auto"/>
              <w:right w:val="single" w:sz="6" w:space="0" w:color="auto"/>
            </w:tcBorders>
            <w:vAlign w:val="center"/>
          </w:tcPr>
          <w:p w14:paraId="4E30CE62" w14:textId="77777777" w:rsidR="00293B76" w:rsidRPr="008863E4" w:rsidRDefault="00293B76" w:rsidP="001530CA">
            <w:pPr>
              <w:jc w:val="center"/>
              <w:rPr>
                <w:sz w:val="22"/>
                <w:szCs w:val="22"/>
                <w:lang w:val="sr-Latn-ME"/>
              </w:rPr>
            </w:pPr>
            <w:r w:rsidRPr="008863E4">
              <w:rPr>
                <w:sz w:val="22"/>
                <w:szCs w:val="22"/>
                <w:lang w:val="sr-Latn-ME"/>
              </w:rPr>
              <w:sym w:font="Symbol" w:char="F0B3"/>
            </w:r>
            <w:r w:rsidRPr="008863E4">
              <w:rPr>
                <w:sz w:val="22"/>
                <w:szCs w:val="22"/>
                <w:lang w:val="sr-Latn-ME"/>
              </w:rPr>
              <w:t>70 do &lt;80</w:t>
            </w:r>
          </w:p>
        </w:tc>
        <w:tc>
          <w:tcPr>
            <w:tcW w:w="2508" w:type="dxa"/>
            <w:vAlign w:val="center"/>
          </w:tcPr>
          <w:p w14:paraId="416A5314" w14:textId="77777777" w:rsidR="00293B76" w:rsidRPr="008863E4" w:rsidRDefault="00293B76" w:rsidP="001530CA">
            <w:pPr>
              <w:jc w:val="center"/>
              <w:rPr>
                <w:sz w:val="22"/>
                <w:szCs w:val="22"/>
                <w:lang w:val="sr-Latn-ME"/>
              </w:rPr>
            </w:pPr>
            <w:r w:rsidRPr="008863E4">
              <w:rPr>
                <w:sz w:val="22"/>
                <w:szCs w:val="22"/>
                <w:lang w:val="sr-Latn-ME"/>
              </w:rPr>
              <w:t>8</w:t>
            </w:r>
          </w:p>
        </w:tc>
        <w:tc>
          <w:tcPr>
            <w:tcW w:w="2186" w:type="dxa"/>
            <w:vAlign w:val="center"/>
          </w:tcPr>
          <w:p w14:paraId="2701F910" w14:textId="6EC1B7EB" w:rsidR="00293B76" w:rsidRPr="008863E4" w:rsidRDefault="00293B76" w:rsidP="001530CA">
            <w:pPr>
              <w:jc w:val="center"/>
              <w:rPr>
                <w:sz w:val="22"/>
                <w:szCs w:val="22"/>
                <w:lang w:val="sr-Latn-ME"/>
              </w:rPr>
            </w:pPr>
            <w:r w:rsidRPr="008863E4">
              <w:rPr>
                <w:sz w:val="22"/>
                <w:szCs w:val="22"/>
                <w:lang w:val="sr-Latn-ME"/>
              </w:rPr>
              <w:t>8</w:t>
            </w:r>
            <w:r w:rsidR="00B61F96" w:rsidRPr="008863E4">
              <w:rPr>
                <w:sz w:val="22"/>
                <w:szCs w:val="22"/>
                <w:lang w:val="sr-Latn-ME"/>
              </w:rPr>
              <w:t xml:space="preserve"> </w:t>
            </w:r>
            <w:r w:rsidRPr="008863E4">
              <w:rPr>
                <w:sz w:val="22"/>
                <w:szCs w:val="22"/>
                <w:lang w:val="sr-Latn-ME"/>
              </w:rPr>
              <w:t>000</w:t>
            </w:r>
          </w:p>
        </w:tc>
        <w:tc>
          <w:tcPr>
            <w:tcW w:w="2186" w:type="dxa"/>
            <w:tcBorders>
              <w:right w:val="single" w:sz="4" w:space="0" w:color="auto"/>
            </w:tcBorders>
            <w:vAlign w:val="center"/>
          </w:tcPr>
          <w:p w14:paraId="11BCA9A4" w14:textId="77777777" w:rsidR="00293B76" w:rsidRPr="008863E4" w:rsidRDefault="00293B76" w:rsidP="001530CA">
            <w:pPr>
              <w:jc w:val="center"/>
              <w:rPr>
                <w:sz w:val="22"/>
                <w:szCs w:val="22"/>
                <w:lang w:val="sr-Latn-ME"/>
              </w:rPr>
            </w:pPr>
            <w:r w:rsidRPr="008863E4">
              <w:rPr>
                <w:sz w:val="22"/>
                <w:szCs w:val="22"/>
                <w:lang w:val="sr-Latn-ME"/>
              </w:rPr>
              <w:t>40</w:t>
            </w:r>
          </w:p>
        </w:tc>
      </w:tr>
      <w:tr w:rsidR="00293B76" w:rsidRPr="008863E4" w14:paraId="7BE105D8" w14:textId="77777777" w:rsidTr="00B46C2A">
        <w:trPr>
          <w:cantSplit/>
          <w:trHeight w:val="270"/>
        </w:trPr>
        <w:tc>
          <w:tcPr>
            <w:tcW w:w="2238" w:type="dxa"/>
            <w:tcBorders>
              <w:left w:val="single" w:sz="4" w:space="0" w:color="auto"/>
              <w:right w:val="single" w:sz="6" w:space="0" w:color="auto"/>
            </w:tcBorders>
            <w:vAlign w:val="center"/>
          </w:tcPr>
          <w:p w14:paraId="4D87E111" w14:textId="77777777" w:rsidR="00293B76" w:rsidRPr="008863E4" w:rsidRDefault="00293B76" w:rsidP="001530CA">
            <w:pPr>
              <w:jc w:val="center"/>
              <w:rPr>
                <w:sz w:val="22"/>
                <w:szCs w:val="22"/>
                <w:lang w:val="sr-Latn-ME"/>
              </w:rPr>
            </w:pPr>
            <w:r w:rsidRPr="008863E4">
              <w:rPr>
                <w:sz w:val="22"/>
                <w:szCs w:val="22"/>
                <w:lang w:val="sr-Latn-ME"/>
              </w:rPr>
              <w:sym w:font="Symbol" w:char="F0B3"/>
            </w:r>
            <w:r w:rsidRPr="008863E4">
              <w:rPr>
                <w:sz w:val="22"/>
                <w:szCs w:val="22"/>
                <w:lang w:val="sr-Latn-ME"/>
              </w:rPr>
              <w:t>80 do &lt;90</w:t>
            </w:r>
          </w:p>
        </w:tc>
        <w:tc>
          <w:tcPr>
            <w:tcW w:w="2508" w:type="dxa"/>
            <w:vAlign w:val="center"/>
          </w:tcPr>
          <w:p w14:paraId="70D22D0D" w14:textId="77777777" w:rsidR="00293B76" w:rsidRPr="008863E4" w:rsidRDefault="00293B76" w:rsidP="001530CA">
            <w:pPr>
              <w:jc w:val="center"/>
              <w:rPr>
                <w:sz w:val="22"/>
                <w:szCs w:val="22"/>
                <w:lang w:val="sr-Latn-ME"/>
              </w:rPr>
            </w:pPr>
            <w:r w:rsidRPr="008863E4">
              <w:rPr>
                <w:sz w:val="22"/>
                <w:szCs w:val="22"/>
                <w:lang w:val="sr-Latn-ME"/>
              </w:rPr>
              <w:t>9</w:t>
            </w:r>
          </w:p>
        </w:tc>
        <w:tc>
          <w:tcPr>
            <w:tcW w:w="2186" w:type="dxa"/>
            <w:vAlign w:val="center"/>
          </w:tcPr>
          <w:p w14:paraId="4A1750CC" w14:textId="18B9A11E" w:rsidR="00293B76" w:rsidRPr="008863E4" w:rsidRDefault="00293B76" w:rsidP="001530CA">
            <w:pPr>
              <w:jc w:val="center"/>
              <w:rPr>
                <w:sz w:val="22"/>
                <w:szCs w:val="22"/>
                <w:lang w:val="sr-Latn-ME"/>
              </w:rPr>
            </w:pPr>
            <w:r w:rsidRPr="008863E4">
              <w:rPr>
                <w:sz w:val="22"/>
                <w:szCs w:val="22"/>
                <w:lang w:val="sr-Latn-ME"/>
              </w:rPr>
              <w:t>9</w:t>
            </w:r>
            <w:r w:rsidR="00B61F96" w:rsidRPr="008863E4">
              <w:rPr>
                <w:sz w:val="22"/>
                <w:szCs w:val="22"/>
                <w:lang w:val="sr-Latn-ME"/>
              </w:rPr>
              <w:t xml:space="preserve"> </w:t>
            </w:r>
            <w:r w:rsidRPr="008863E4">
              <w:rPr>
                <w:sz w:val="22"/>
                <w:szCs w:val="22"/>
                <w:lang w:val="sr-Latn-ME"/>
              </w:rPr>
              <w:t>000</w:t>
            </w:r>
          </w:p>
        </w:tc>
        <w:tc>
          <w:tcPr>
            <w:tcW w:w="2186" w:type="dxa"/>
            <w:tcBorders>
              <w:right w:val="single" w:sz="4" w:space="0" w:color="auto"/>
            </w:tcBorders>
            <w:vAlign w:val="center"/>
          </w:tcPr>
          <w:p w14:paraId="7B836C5C" w14:textId="77777777" w:rsidR="00293B76" w:rsidRPr="008863E4" w:rsidRDefault="00293B76" w:rsidP="001530CA">
            <w:pPr>
              <w:jc w:val="center"/>
              <w:rPr>
                <w:sz w:val="22"/>
                <w:szCs w:val="22"/>
                <w:lang w:val="sr-Latn-ME"/>
              </w:rPr>
            </w:pPr>
            <w:r w:rsidRPr="008863E4">
              <w:rPr>
                <w:sz w:val="22"/>
                <w:szCs w:val="22"/>
                <w:lang w:val="sr-Latn-ME"/>
              </w:rPr>
              <w:t>45</w:t>
            </w:r>
          </w:p>
        </w:tc>
      </w:tr>
      <w:tr w:rsidR="00293B76" w:rsidRPr="008863E4" w14:paraId="2CC2EA17" w14:textId="77777777" w:rsidTr="00B46C2A">
        <w:trPr>
          <w:cantSplit/>
          <w:trHeight w:val="270"/>
        </w:trPr>
        <w:tc>
          <w:tcPr>
            <w:tcW w:w="2238" w:type="dxa"/>
            <w:tcBorders>
              <w:left w:val="single" w:sz="4" w:space="0" w:color="auto"/>
              <w:bottom w:val="single" w:sz="4" w:space="0" w:color="auto"/>
              <w:right w:val="single" w:sz="6" w:space="0" w:color="auto"/>
            </w:tcBorders>
            <w:vAlign w:val="center"/>
          </w:tcPr>
          <w:p w14:paraId="02AA3C90" w14:textId="77777777" w:rsidR="00293B76" w:rsidRPr="008863E4" w:rsidRDefault="00293B76" w:rsidP="001530CA">
            <w:pPr>
              <w:jc w:val="center"/>
              <w:rPr>
                <w:sz w:val="22"/>
                <w:szCs w:val="22"/>
                <w:lang w:val="sr-Latn-ME"/>
              </w:rPr>
            </w:pPr>
            <w:r w:rsidRPr="008863E4">
              <w:rPr>
                <w:sz w:val="22"/>
                <w:szCs w:val="22"/>
                <w:lang w:val="sr-Latn-ME"/>
              </w:rPr>
              <w:sym w:font="Symbol" w:char="F0B3"/>
            </w:r>
            <w:r w:rsidRPr="008863E4">
              <w:rPr>
                <w:sz w:val="22"/>
                <w:szCs w:val="22"/>
                <w:lang w:val="sr-Latn-ME"/>
              </w:rPr>
              <w:t>90</w:t>
            </w:r>
          </w:p>
        </w:tc>
        <w:tc>
          <w:tcPr>
            <w:tcW w:w="2508" w:type="dxa"/>
            <w:tcBorders>
              <w:bottom w:val="single" w:sz="4" w:space="0" w:color="auto"/>
            </w:tcBorders>
            <w:vAlign w:val="center"/>
          </w:tcPr>
          <w:p w14:paraId="57E214FC" w14:textId="77777777" w:rsidR="00293B76" w:rsidRPr="008863E4" w:rsidRDefault="00293B76" w:rsidP="001530CA">
            <w:pPr>
              <w:jc w:val="center"/>
              <w:rPr>
                <w:sz w:val="22"/>
                <w:szCs w:val="22"/>
                <w:lang w:val="sr-Latn-ME"/>
              </w:rPr>
            </w:pPr>
            <w:r w:rsidRPr="008863E4">
              <w:rPr>
                <w:sz w:val="22"/>
                <w:szCs w:val="22"/>
                <w:lang w:val="sr-Latn-ME"/>
              </w:rPr>
              <w:t>10</w:t>
            </w:r>
          </w:p>
        </w:tc>
        <w:tc>
          <w:tcPr>
            <w:tcW w:w="2186" w:type="dxa"/>
            <w:tcBorders>
              <w:bottom w:val="single" w:sz="4" w:space="0" w:color="auto"/>
            </w:tcBorders>
            <w:vAlign w:val="center"/>
          </w:tcPr>
          <w:p w14:paraId="174BFBFE" w14:textId="2466C15C" w:rsidR="00293B76" w:rsidRPr="008863E4" w:rsidRDefault="00293B76" w:rsidP="001530CA">
            <w:pPr>
              <w:jc w:val="center"/>
              <w:rPr>
                <w:sz w:val="22"/>
                <w:szCs w:val="22"/>
                <w:lang w:val="sr-Latn-ME"/>
              </w:rPr>
            </w:pPr>
            <w:r w:rsidRPr="008863E4">
              <w:rPr>
                <w:sz w:val="22"/>
                <w:szCs w:val="22"/>
                <w:lang w:val="sr-Latn-ME"/>
              </w:rPr>
              <w:t>10</w:t>
            </w:r>
            <w:r w:rsidR="00B61F96" w:rsidRPr="008863E4">
              <w:rPr>
                <w:sz w:val="22"/>
                <w:szCs w:val="22"/>
                <w:lang w:val="sr-Latn-ME"/>
              </w:rPr>
              <w:t xml:space="preserve"> </w:t>
            </w:r>
            <w:r w:rsidRPr="008863E4">
              <w:rPr>
                <w:sz w:val="22"/>
                <w:szCs w:val="22"/>
                <w:lang w:val="sr-Latn-ME"/>
              </w:rPr>
              <w:t>000</w:t>
            </w:r>
          </w:p>
        </w:tc>
        <w:tc>
          <w:tcPr>
            <w:tcW w:w="2186" w:type="dxa"/>
            <w:tcBorders>
              <w:bottom w:val="single" w:sz="4" w:space="0" w:color="auto"/>
              <w:right w:val="single" w:sz="4" w:space="0" w:color="auto"/>
            </w:tcBorders>
            <w:vAlign w:val="center"/>
          </w:tcPr>
          <w:p w14:paraId="590EEDBA" w14:textId="77777777" w:rsidR="00293B76" w:rsidRPr="008863E4" w:rsidRDefault="00293B76" w:rsidP="001530CA">
            <w:pPr>
              <w:jc w:val="center"/>
              <w:rPr>
                <w:sz w:val="22"/>
                <w:szCs w:val="22"/>
                <w:lang w:val="sr-Latn-ME"/>
              </w:rPr>
            </w:pPr>
            <w:r w:rsidRPr="008863E4">
              <w:rPr>
                <w:sz w:val="22"/>
                <w:szCs w:val="22"/>
                <w:lang w:val="sr-Latn-ME"/>
              </w:rPr>
              <w:t>50</w:t>
            </w:r>
          </w:p>
        </w:tc>
      </w:tr>
    </w:tbl>
    <w:p w14:paraId="0A3AA056" w14:textId="77777777" w:rsidR="006D2622" w:rsidRPr="008863E4" w:rsidRDefault="006D2622" w:rsidP="00B46C2A">
      <w:pPr>
        <w:pStyle w:val="BodyText2"/>
        <w:spacing w:after="0" w:line="240" w:lineRule="auto"/>
        <w:ind w:left="284"/>
        <w:jc w:val="both"/>
        <w:rPr>
          <w:sz w:val="22"/>
          <w:szCs w:val="22"/>
        </w:rPr>
      </w:pPr>
    </w:p>
    <w:p w14:paraId="7864FBC3" w14:textId="613A0765" w:rsidR="00293B76" w:rsidRPr="008863E4" w:rsidRDefault="00293B76" w:rsidP="0017187F">
      <w:pPr>
        <w:pStyle w:val="BodyText2"/>
        <w:numPr>
          <w:ilvl w:val="0"/>
          <w:numId w:val="15"/>
        </w:numPr>
        <w:spacing w:after="0" w:line="240" w:lineRule="auto"/>
        <w:ind w:left="284" w:hanging="284"/>
        <w:jc w:val="both"/>
        <w:rPr>
          <w:sz w:val="22"/>
          <w:szCs w:val="22"/>
        </w:rPr>
      </w:pPr>
      <w:r w:rsidRPr="008863E4">
        <w:rPr>
          <w:sz w:val="22"/>
          <w:szCs w:val="22"/>
        </w:rPr>
        <w:t>Provjerite da li je poklopac bočice neoštećen.</w:t>
      </w:r>
    </w:p>
    <w:p w14:paraId="551B5FB9" w14:textId="77777777" w:rsidR="00293B76" w:rsidRPr="008863E4" w:rsidRDefault="00293B76" w:rsidP="0017187F">
      <w:pPr>
        <w:numPr>
          <w:ilvl w:val="0"/>
          <w:numId w:val="15"/>
        </w:numPr>
        <w:jc w:val="both"/>
        <w:rPr>
          <w:sz w:val="22"/>
          <w:szCs w:val="22"/>
          <w:lang w:val="sr-Latn-ME"/>
        </w:rPr>
      </w:pPr>
      <w:r w:rsidRPr="008863E4">
        <w:rPr>
          <w:sz w:val="22"/>
          <w:szCs w:val="22"/>
          <w:lang w:val="sr-Latn-ME"/>
        </w:rPr>
        <w:t>Skinite sa bočice dio poklopca koji se skida (</w:t>
      </w:r>
      <w:r w:rsidRPr="008863E4">
        <w:rPr>
          <w:i/>
          <w:sz w:val="22"/>
          <w:szCs w:val="22"/>
          <w:lang w:val="sr-Latn-ME"/>
        </w:rPr>
        <w:t>flip-off)</w:t>
      </w:r>
      <w:r w:rsidRPr="008863E4">
        <w:rPr>
          <w:sz w:val="22"/>
          <w:szCs w:val="22"/>
          <w:lang w:val="sr-Latn-ME"/>
        </w:rPr>
        <w:t>.</w:t>
      </w:r>
    </w:p>
    <w:p w14:paraId="16342E07" w14:textId="311CA55D" w:rsidR="00293B76" w:rsidRPr="008863E4" w:rsidRDefault="002535E2" w:rsidP="0017187F">
      <w:pPr>
        <w:numPr>
          <w:ilvl w:val="0"/>
          <w:numId w:val="15"/>
        </w:numPr>
        <w:jc w:val="both"/>
        <w:rPr>
          <w:sz w:val="22"/>
          <w:szCs w:val="22"/>
          <w:lang w:val="sr-Latn-ME"/>
        </w:rPr>
      </w:pPr>
      <w:r>
        <w:rPr>
          <w:sz w:val="22"/>
          <w:szCs w:val="22"/>
          <w:lang w:val="sr-Latn-ME"/>
        </w:rPr>
        <w:t xml:space="preserve">Otvorite vrh nastavka za bočicu. </w:t>
      </w:r>
      <w:r w:rsidR="00293B76" w:rsidRPr="008863E4">
        <w:rPr>
          <w:sz w:val="22"/>
          <w:szCs w:val="22"/>
          <w:lang w:val="sr-Latn-ME"/>
        </w:rPr>
        <w:t>Sa šprica</w:t>
      </w:r>
      <w:r>
        <w:rPr>
          <w:sz w:val="22"/>
          <w:szCs w:val="22"/>
          <w:lang w:val="sr-Latn-ME"/>
        </w:rPr>
        <w:t xml:space="preserve"> napunjenog rastvaračem</w:t>
      </w:r>
      <w:r w:rsidR="00293B76" w:rsidRPr="008863E4">
        <w:rPr>
          <w:sz w:val="22"/>
          <w:szCs w:val="22"/>
          <w:lang w:val="sr-Latn-ME"/>
        </w:rPr>
        <w:t xml:space="preserve"> skinite zaštitni poklopac. Zatim odmah </w:t>
      </w:r>
      <w:r>
        <w:rPr>
          <w:sz w:val="22"/>
          <w:szCs w:val="22"/>
          <w:lang w:val="sr-Latn-ME"/>
        </w:rPr>
        <w:t>napunjeni</w:t>
      </w:r>
      <w:r w:rsidRPr="008863E4">
        <w:rPr>
          <w:sz w:val="22"/>
          <w:szCs w:val="22"/>
          <w:lang w:val="sr-Latn-ME"/>
        </w:rPr>
        <w:t xml:space="preserve"> </w:t>
      </w:r>
      <w:r w:rsidR="00293B76" w:rsidRPr="008863E4">
        <w:rPr>
          <w:sz w:val="22"/>
          <w:szCs w:val="22"/>
          <w:lang w:val="sr-Latn-ME"/>
        </w:rPr>
        <w:t xml:space="preserve">špric </w:t>
      </w:r>
      <w:r w:rsidR="00F464FC" w:rsidRPr="008863E4">
        <w:rPr>
          <w:sz w:val="22"/>
          <w:szCs w:val="22"/>
          <w:lang w:val="sr-Latn-ME"/>
        </w:rPr>
        <w:t xml:space="preserve">čvrsto </w:t>
      </w:r>
      <w:r w:rsidR="00293B76" w:rsidRPr="008863E4">
        <w:rPr>
          <w:sz w:val="22"/>
          <w:szCs w:val="22"/>
          <w:lang w:val="sr-Latn-ME"/>
        </w:rPr>
        <w:t>spojite navrtanjem na nastavak za bočicu i probodite čep na bočici u sredini vrhom nastavka za bočicu.</w:t>
      </w:r>
    </w:p>
    <w:p w14:paraId="6AD672A5" w14:textId="3300BBC0" w:rsidR="00293B76" w:rsidRPr="008863E4" w:rsidRDefault="00293B76" w:rsidP="0017187F">
      <w:pPr>
        <w:numPr>
          <w:ilvl w:val="0"/>
          <w:numId w:val="15"/>
        </w:numPr>
        <w:jc w:val="both"/>
        <w:rPr>
          <w:sz w:val="22"/>
          <w:szCs w:val="22"/>
          <w:lang w:val="sr-Latn-ME"/>
        </w:rPr>
      </w:pPr>
      <w:r w:rsidRPr="008863E4">
        <w:rPr>
          <w:sz w:val="22"/>
          <w:szCs w:val="22"/>
          <w:lang w:val="sr-Latn-ME"/>
        </w:rPr>
        <w:t xml:space="preserve">Dodati </w:t>
      </w:r>
      <w:r w:rsidR="002535E2">
        <w:rPr>
          <w:sz w:val="22"/>
          <w:szCs w:val="22"/>
          <w:lang w:val="sr-Latn-ME"/>
        </w:rPr>
        <w:t>rastvarač</w:t>
      </w:r>
      <w:r w:rsidRPr="008863E4">
        <w:rPr>
          <w:sz w:val="22"/>
          <w:szCs w:val="22"/>
          <w:lang w:val="sr-Latn-ME"/>
        </w:rPr>
        <w:t xml:space="preserve"> u bočicu </w:t>
      </w:r>
      <w:r w:rsidR="008F1740" w:rsidRPr="008863E4">
        <w:rPr>
          <w:sz w:val="22"/>
          <w:szCs w:val="22"/>
          <w:lang w:val="sr-Latn-ME"/>
        </w:rPr>
        <w:t xml:space="preserve">polagano </w:t>
      </w:r>
      <w:r w:rsidRPr="008863E4">
        <w:rPr>
          <w:sz w:val="22"/>
          <w:szCs w:val="22"/>
          <w:lang w:val="sr-Latn-ME"/>
        </w:rPr>
        <w:t xml:space="preserve">potiskujući klip šprica </w:t>
      </w:r>
      <w:r w:rsidR="008F1740" w:rsidRPr="008863E4">
        <w:rPr>
          <w:sz w:val="22"/>
          <w:szCs w:val="22"/>
          <w:lang w:val="sr-Latn-ME"/>
        </w:rPr>
        <w:t xml:space="preserve">prema dolje </w:t>
      </w:r>
      <w:r w:rsidRPr="008863E4">
        <w:rPr>
          <w:sz w:val="22"/>
          <w:szCs w:val="22"/>
          <w:lang w:val="sr-Latn-ME"/>
        </w:rPr>
        <w:t xml:space="preserve">da </w:t>
      </w:r>
      <w:r w:rsidR="008F1740" w:rsidRPr="008863E4">
        <w:rPr>
          <w:sz w:val="22"/>
          <w:szCs w:val="22"/>
          <w:lang w:val="sr-Latn-ME"/>
        </w:rPr>
        <w:t xml:space="preserve">bi </w:t>
      </w:r>
      <w:r w:rsidRPr="008863E4">
        <w:rPr>
          <w:sz w:val="22"/>
          <w:szCs w:val="22"/>
          <w:lang w:val="sr-Latn-ME"/>
        </w:rPr>
        <w:t xml:space="preserve">se </w:t>
      </w:r>
      <w:r w:rsidR="008F1740" w:rsidRPr="008863E4">
        <w:rPr>
          <w:sz w:val="22"/>
          <w:szCs w:val="22"/>
          <w:lang w:val="sr-Latn-ME"/>
        </w:rPr>
        <w:t>izbjeglo</w:t>
      </w:r>
      <w:r w:rsidRPr="008863E4">
        <w:rPr>
          <w:sz w:val="22"/>
          <w:szCs w:val="22"/>
          <w:lang w:val="sr-Latn-ME"/>
        </w:rPr>
        <w:t xml:space="preserve"> stvaranje pjene.</w:t>
      </w:r>
    </w:p>
    <w:p w14:paraId="3FF9154F" w14:textId="3EAF68DC" w:rsidR="00293B76" w:rsidRPr="008863E4" w:rsidRDefault="002535E2" w:rsidP="0017187F">
      <w:pPr>
        <w:numPr>
          <w:ilvl w:val="0"/>
          <w:numId w:val="15"/>
        </w:numPr>
        <w:jc w:val="both"/>
        <w:rPr>
          <w:sz w:val="22"/>
          <w:szCs w:val="22"/>
          <w:lang w:val="sr-Latn-ME"/>
        </w:rPr>
      </w:pPr>
      <w:r>
        <w:rPr>
          <w:sz w:val="22"/>
          <w:szCs w:val="22"/>
          <w:lang w:val="sr-Latn-ME"/>
        </w:rPr>
        <w:t>Ostavite špric pričvršćen za nastavak za bočicu i r</w:t>
      </w:r>
      <w:r w:rsidRPr="008863E4">
        <w:rPr>
          <w:sz w:val="22"/>
          <w:szCs w:val="22"/>
          <w:lang w:val="sr-Latn-ME"/>
        </w:rPr>
        <w:t>ekonstitui</w:t>
      </w:r>
      <w:r>
        <w:rPr>
          <w:sz w:val="22"/>
          <w:szCs w:val="22"/>
          <w:lang w:val="sr-Latn-ME"/>
        </w:rPr>
        <w:t>šite</w:t>
      </w:r>
      <w:r w:rsidRPr="008863E4">
        <w:rPr>
          <w:sz w:val="22"/>
          <w:szCs w:val="22"/>
          <w:lang w:val="sr-Latn-ME"/>
        </w:rPr>
        <w:t xml:space="preserve"> </w:t>
      </w:r>
      <w:r w:rsidR="00293B76" w:rsidRPr="008863E4">
        <w:rPr>
          <w:sz w:val="22"/>
          <w:szCs w:val="22"/>
          <w:lang w:val="sr-Latn-ME"/>
        </w:rPr>
        <w:t>blagim kružnim pokretima.</w:t>
      </w:r>
    </w:p>
    <w:p w14:paraId="51B34ACB" w14:textId="6A5693C4" w:rsidR="00293B76" w:rsidRPr="008863E4" w:rsidRDefault="00293B76" w:rsidP="0017187F">
      <w:pPr>
        <w:pStyle w:val="BodyTextIndent"/>
        <w:numPr>
          <w:ilvl w:val="0"/>
          <w:numId w:val="15"/>
        </w:numPr>
        <w:spacing w:after="0"/>
        <w:jc w:val="both"/>
        <w:rPr>
          <w:sz w:val="22"/>
          <w:szCs w:val="22"/>
          <w:lang w:val="sr-Latn-ME"/>
        </w:rPr>
      </w:pPr>
      <w:r w:rsidRPr="008863E4">
        <w:rPr>
          <w:sz w:val="22"/>
          <w:szCs w:val="22"/>
          <w:lang w:val="sr-Latn-ME"/>
        </w:rPr>
        <w:t xml:space="preserve">Rekonstituisani </w:t>
      </w:r>
      <w:r w:rsidR="002535E2">
        <w:rPr>
          <w:sz w:val="22"/>
          <w:szCs w:val="22"/>
          <w:lang w:val="sr-Latn-ME"/>
        </w:rPr>
        <w:t>rastvor za injekciju</w:t>
      </w:r>
      <w:r w:rsidR="002535E2" w:rsidRPr="008863E4">
        <w:rPr>
          <w:sz w:val="22"/>
          <w:szCs w:val="22"/>
          <w:lang w:val="sr-Latn-ME"/>
        </w:rPr>
        <w:t xml:space="preserve"> </w:t>
      </w:r>
      <w:r w:rsidRPr="008863E4">
        <w:rPr>
          <w:sz w:val="22"/>
          <w:szCs w:val="22"/>
          <w:lang w:val="sr-Latn-ME"/>
        </w:rPr>
        <w:t>je bezbojan do blijedo žut, bistar rastvor. Samo bistar rastvor bez čestica se smije</w:t>
      </w:r>
      <w:r w:rsidR="008F1740" w:rsidRPr="008863E4">
        <w:rPr>
          <w:sz w:val="22"/>
          <w:szCs w:val="22"/>
          <w:lang w:val="sr-Latn-ME"/>
        </w:rPr>
        <w:t xml:space="preserve"> primijeniti</w:t>
      </w:r>
      <w:r w:rsidRPr="008863E4">
        <w:rPr>
          <w:sz w:val="22"/>
          <w:szCs w:val="22"/>
          <w:lang w:val="sr-Latn-ME"/>
        </w:rPr>
        <w:t>.</w:t>
      </w:r>
    </w:p>
    <w:p w14:paraId="66493871" w14:textId="41013642" w:rsidR="00293B76" w:rsidRPr="008863E4" w:rsidRDefault="00293B76" w:rsidP="0017187F">
      <w:pPr>
        <w:pStyle w:val="BodyText2"/>
        <w:numPr>
          <w:ilvl w:val="0"/>
          <w:numId w:val="15"/>
        </w:numPr>
        <w:spacing w:after="0" w:line="240" w:lineRule="auto"/>
        <w:jc w:val="both"/>
        <w:rPr>
          <w:sz w:val="22"/>
          <w:szCs w:val="22"/>
        </w:rPr>
      </w:pPr>
      <w:r w:rsidRPr="008863E4">
        <w:rPr>
          <w:sz w:val="22"/>
          <w:szCs w:val="22"/>
        </w:rPr>
        <w:t xml:space="preserve">Neposredno prije </w:t>
      </w:r>
      <w:r w:rsidR="00F464FC" w:rsidRPr="008863E4">
        <w:rPr>
          <w:sz w:val="22"/>
          <w:szCs w:val="22"/>
        </w:rPr>
        <w:t>primjene</w:t>
      </w:r>
      <w:r w:rsidRPr="008863E4">
        <w:rPr>
          <w:sz w:val="22"/>
          <w:szCs w:val="22"/>
        </w:rPr>
        <w:t>, okrenite bočicu naopako sa pričvršćenim špricem tako da špric bude ispod bočice.</w:t>
      </w:r>
    </w:p>
    <w:p w14:paraId="22073A11" w14:textId="32652E51" w:rsidR="00293B76" w:rsidRPr="008863E4" w:rsidRDefault="00293B76" w:rsidP="0017187F">
      <w:pPr>
        <w:numPr>
          <w:ilvl w:val="0"/>
          <w:numId w:val="15"/>
        </w:numPr>
        <w:jc w:val="both"/>
        <w:rPr>
          <w:sz w:val="22"/>
          <w:szCs w:val="22"/>
          <w:lang w:val="sr-Latn-ME"/>
        </w:rPr>
      </w:pPr>
      <w:r w:rsidRPr="008863E4">
        <w:rPr>
          <w:sz w:val="22"/>
          <w:szCs w:val="22"/>
          <w:lang w:val="sr-Latn-ME"/>
        </w:rPr>
        <w:t xml:space="preserve">Prenesite odgovarajuću zapreminu rekonstituisanog rastvora </w:t>
      </w:r>
      <w:r w:rsidR="00BA245D" w:rsidRPr="008863E4">
        <w:rPr>
          <w:sz w:val="22"/>
          <w:szCs w:val="22"/>
          <w:lang w:val="sr-Latn-ME"/>
        </w:rPr>
        <w:t xml:space="preserve">lijeka </w:t>
      </w:r>
      <w:r w:rsidRPr="008863E4">
        <w:rPr>
          <w:sz w:val="22"/>
          <w:szCs w:val="22"/>
          <w:lang w:val="sr-Latn-ME"/>
        </w:rPr>
        <w:t>M</w:t>
      </w:r>
      <w:r w:rsidR="0056696A" w:rsidRPr="008863E4">
        <w:rPr>
          <w:sz w:val="22"/>
          <w:szCs w:val="22"/>
          <w:lang w:val="sr-Latn-ME"/>
        </w:rPr>
        <w:t>etalyse</w:t>
      </w:r>
      <w:r w:rsidRPr="008863E4">
        <w:rPr>
          <w:sz w:val="22"/>
          <w:szCs w:val="22"/>
          <w:lang w:val="sr-Latn-ME"/>
        </w:rPr>
        <w:t xml:space="preserve"> u špric</w:t>
      </w:r>
      <w:r w:rsidR="00F464FC" w:rsidRPr="008863E4">
        <w:rPr>
          <w:sz w:val="22"/>
          <w:szCs w:val="22"/>
          <w:lang w:val="sr-Latn-ME"/>
        </w:rPr>
        <w:t>,</w:t>
      </w:r>
      <w:r w:rsidRPr="008863E4">
        <w:rPr>
          <w:sz w:val="22"/>
          <w:szCs w:val="22"/>
          <w:lang w:val="sr-Latn-ME"/>
        </w:rPr>
        <w:t xml:space="preserve"> na osnovu tjelesne </w:t>
      </w:r>
      <w:r w:rsidR="00437EB1" w:rsidRPr="008863E4">
        <w:rPr>
          <w:sz w:val="22"/>
          <w:szCs w:val="22"/>
          <w:lang w:val="sr-Latn-ME"/>
        </w:rPr>
        <w:t xml:space="preserve">mase </w:t>
      </w:r>
      <w:r w:rsidRPr="008863E4">
        <w:rPr>
          <w:sz w:val="22"/>
          <w:szCs w:val="22"/>
          <w:lang w:val="sr-Latn-ME"/>
        </w:rPr>
        <w:t>pacijenta.</w:t>
      </w:r>
    </w:p>
    <w:p w14:paraId="0A4B710D" w14:textId="54D426BA" w:rsidR="00293B76" w:rsidRDefault="002535E2" w:rsidP="0017187F">
      <w:pPr>
        <w:numPr>
          <w:ilvl w:val="0"/>
          <w:numId w:val="15"/>
        </w:numPr>
        <w:tabs>
          <w:tab w:val="left" w:pos="426"/>
        </w:tabs>
        <w:jc w:val="both"/>
        <w:rPr>
          <w:sz w:val="22"/>
          <w:szCs w:val="22"/>
          <w:lang w:val="sr-Latn-ME"/>
        </w:rPr>
      </w:pPr>
      <w:r w:rsidRPr="008863E4">
        <w:rPr>
          <w:sz w:val="22"/>
          <w:szCs w:val="22"/>
          <w:lang w:val="sr-Latn-ME"/>
        </w:rPr>
        <w:t>Odv</w:t>
      </w:r>
      <w:r>
        <w:rPr>
          <w:sz w:val="22"/>
          <w:szCs w:val="22"/>
          <w:lang w:val="sr-Latn-ME"/>
        </w:rPr>
        <w:t>rn</w:t>
      </w:r>
      <w:r w:rsidRPr="008863E4">
        <w:rPr>
          <w:sz w:val="22"/>
          <w:szCs w:val="22"/>
          <w:lang w:val="sr-Latn-ME"/>
        </w:rPr>
        <w:t xml:space="preserve">ite </w:t>
      </w:r>
      <w:r w:rsidR="00293B76" w:rsidRPr="008863E4">
        <w:rPr>
          <w:sz w:val="22"/>
          <w:szCs w:val="22"/>
          <w:lang w:val="sr-Latn-ME"/>
        </w:rPr>
        <w:t>špric sa nastavk</w:t>
      </w:r>
      <w:r w:rsidR="0056696A" w:rsidRPr="008863E4">
        <w:rPr>
          <w:sz w:val="22"/>
          <w:szCs w:val="22"/>
          <w:lang w:val="sr-Latn-ME"/>
        </w:rPr>
        <w:t>a</w:t>
      </w:r>
      <w:r w:rsidR="00293B76" w:rsidRPr="008863E4">
        <w:rPr>
          <w:sz w:val="22"/>
          <w:szCs w:val="22"/>
          <w:lang w:val="sr-Latn-ME"/>
        </w:rPr>
        <w:t xml:space="preserve"> za bočicu.</w:t>
      </w:r>
    </w:p>
    <w:p w14:paraId="4B523EC9" w14:textId="31F1C3C2" w:rsidR="002535E2" w:rsidRDefault="002535E2" w:rsidP="0017187F">
      <w:pPr>
        <w:numPr>
          <w:ilvl w:val="0"/>
          <w:numId w:val="15"/>
        </w:numPr>
        <w:tabs>
          <w:tab w:val="left" w:pos="426"/>
        </w:tabs>
        <w:jc w:val="both"/>
        <w:rPr>
          <w:sz w:val="22"/>
          <w:szCs w:val="22"/>
          <w:lang w:val="sr-Latn-ME"/>
        </w:rPr>
      </w:pPr>
      <w:r>
        <w:rPr>
          <w:sz w:val="22"/>
          <w:szCs w:val="22"/>
          <w:lang w:val="sr-Latn-ME"/>
        </w:rPr>
        <w:t xml:space="preserve"> Već postojeć</w:t>
      </w:r>
      <w:r w:rsidR="007E503F">
        <w:rPr>
          <w:sz w:val="22"/>
          <w:szCs w:val="22"/>
          <w:lang w:val="sr-Latn-ME"/>
        </w:rPr>
        <w:t>i</w:t>
      </w:r>
      <w:r>
        <w:rPr>
          <w:sz w:val="22"/>
          <w:szCs w:val="22"/>
          <w:lang w:val="sr-Latn-ME"/>
        </w:rPr>
        <w:t xml:space="preserve"> intravensk</w:t>
      </w:r>
      <w:r w:rsidR="007E503F">
        <w:rPr>
          <w:sz w:val="22"/>
          <w:szCs w:val="22"/>
          <w:lang w:val="sr-Latn-ME"/>
        </w:rPr>
        <w:t>i put</w:t>
      </w:r>
      <w:r>
        <w:rPr>
          <w:sz w:val="22"/>
          <w:szCs w:val="22"/>
          <w:lang w:val="sr-Latn-ME"/>
        </w:rPr>
        <w:t xml:space="preserve"> se može koristiti </w:t>
      </w:r>
      <w:r w:rsidR="007E503F">
        <w:rPr>
          <w:sz w:val="22"/>
          <w:szCs w:val="22"/>
          <w:lang w:val="sr-Latn-ME"/>
        </w:rPr>
        <w:t xml:space="preserve">samo </w:t>
      </w:r>
      <w:r>
        <w:rPr>
          <w:sz w:val="22"/>
          <w:szCs w:val="22"/>
          <w:lang w:val="sr-Latn-ME"/>
        </w:rPr>
        <w:t>za primjenu lijeka Metalyse u 9</w:t>
      </w:r>
      <w:r w:rsidR="00093F69">
        <w:rPr>
          <w:sz w:val="22"/>
          <w:szCs w:val="22"/>
          <w:lang w:val="sr-Latn-ME"/>
        </w:rPr>
        <w:t xml:space="preserve"> </w:t>
      </w:r>
      <w:r>
        <w:rPr>
          <w:sz w:val="22"/>
          <w:szCs w:val="22"/>
          <w:lang w:val="sr-Latn-ME"/>
        </w:rPr>
        <w:t>mg/ml (0,9%) rastvor</w:t>
      </w:r>
      <w:r w:rsidR="007E503F">
        <w:rPr>
          <w:sz w:val="22"/>
          <w:szCs w:val="22"/>
          <w:lang w:val="sr-Latn-ME"/>
        </w:rPr>
        <w:t>u</w:t>
      </w:r>
      <w:r>
        <w:rPr>
          <w:sz w:val="22"/>
          <w:szCs w:val="22"/>
          <w:lang w:val="sr-Latn-ME"/>
        </w:rPr>
        <w:t xml:space="preserve"> natrijum-hlorida.</w:t>
      </w:r>
    </w:p>
    <w:p w14:paraId="46E37BAB" w14:textId="22EFBB60" w:rsidR="002535E2" w:rsidRPr="008863E4" w:rsidRDefault="002535E2" w:rsidP="00F5090E">
      <w:pPr>
        <w:tabs>
          <w:tab w:val="left" w:pos="426"/>
        </w:tabs>
        <w:ind w:left="360"/>
        <w:jc w:val="both"/>
        <w:rPr>
          <w:sz w:val="22"/>
          <w:szCs w:val="22"/>
          <w:lang w:val="sr-Latn-ME"/>
        </w:rPr>
      </w:pPr>
      <w:r>
        <w:rPr>
          <w:sz w:val="22"/>
          <w:szCs w:val="22"/>
          <w:lang w:val="sr-Latn-ME"/>
        </w:rPr>
        <w:t>Nijedan drugi lijek se ne smije dodavati u rastvor za injekciju.</w:t>
      </w:r>
    </w:p>
    <w:p w14:paraId="2D6E969B" w14:textId="69DE842F" w:rsidR="00960440" w:rsidRPr="008863E4" w:rsidRDefault="00293B76">
      <w:pPr>
        <w:autoSpaceDE w:val="0"/>
        <w:autoSpaceDN w:val="0"/>
        <w:adjustRightInd w:val="0"/>
        <w:jc w:val="both"/>
        <w:rPr>
          <w:sz w:val="22"/>
          <w:szCs w:val="22"/>
          <w:lang w:val="sr-Latn-ME"/>
        </w:rPr>
      </w:pPr>
      <w:r w:rsidRPr="008863E4">
        <w:rPr>
          <w:sz w:val="22"/>
          <w:szCs w:val="22"/>
          <w:lang w:val="sr-Latn-ME"/>
        </w:rPr>
        <w:t>1</w:t>
      </w:r>
      <w:r w:rsidR="002535E2">
        <w:rPr>
          <w:sz w:val="22"/>
          <w:szCs w:val="22"/>
          <w:lang w:val="sr-Latn-ME"/>
        </w:rPr>
        <w:t>2</w:t>
      </w:r>
      <w:r w:rsidRPr="008863E4">
        <w:rPr>
          <w:sz w:val="22"/>
          <w:szCs w:val="22"/>
          <w:lang w:val="sr-Latn-ME"/>
        </w:rPr>
        <w:t>. L</w:t>
      </w:r>
      <w:r w:rsidR="00E85062" w:rsidRPr="008863E4">
        <w:rPr>
          <w:sz w:val="22"/>
          <w:szCs w:val="22"/>
          <w:lang w:val="sr-Latn-ME"/>
        </w:rPr>
        <w:t>ij</w:t>
      </w:r>
      <w:r w:rsidRPr="008863E4">
        <w:rPr>
          <w:sz w:val="22"/>
          <w:szCs w:val="22"/>
          <w:lang w:val="sr-Latn-ME"/>
        </w:rPr>
        <w:t xml:space="preserve">ek Metalyse treba </w:t>
      </w:r>
      <w:r w:rsidR="001F5FE4" w:rsidRPr="008863E4">
        <w:rPr>
          <w:sz w:val="22"/>
          <w:szCs w:val="22"/>
          <w:lang w:val="sr-Latn-ME"/>
        </w:rPr>
        <w:t xml:space="preserve">primjenjivati </w:t>
      </w:r>
      <w:r w:rsidRPr="008863E4">
        <w:rPr>
          <w:sz w:val="22"/>
          <w:szCs w:val="22"/>
          <w:lang w:val="sr-Latn-ME"/>
        </w:rPr>
        <w:t xml:space="preserve">pacijentima intravenski u trajanju od oko 10 sekundi. </w:t>
      </w:r>
      <w:r w:rsidR="00BA245D" w:rsidRPr="008863E4">
        <w:rPr>
          <w:sz w:val="22"/>
          <w:szCs w:val="22"/>
          <w:lang w:val="sr-Latn-ME"/>
        </w:rPr>
        <w:t xml:space="preserve">Ne smije </w:t>
      </w:r>
    </w:p>
    <w:p w14:paraId="0B3CAF28" w14:textId="6C8EDC0F" w:rsidR="00293B76" w:rsidRDefault="00093F69" w:rsidP="0017187F">
      <w:pPr>
        <w:autoSpaceDE w:val="0"/>
        <w:autoSpaceDN w:val="0"/>
        <w:adjustRightInd w:val="0"/>
        <w:jc w:val="both"/>
        <w:rPr>
          <w:sz w:val="22"/>
          <w:szCs w:val="22"/>
          <w:lang w:val="sr-Latn-ME"/>
        </w:rPr>
      </w:pPr>
      <w:r>
        <w:rPr>
          <w:sz w:val="22"/>
          <w:szCs w:val="22"/>
          <w:lang w:val="sr-Latn-ME"/>
        </w:rPr>
        <w:t xml:space="preserve"> </w:t>
      </w:r>
      <w:r w:rsidR="00BA245D" w:rsidRPr="008863E4">
        <w:rPr>
          <w:sz w:val="22"/>
          <w:szCs w:val="22"/>
          <w:lang w:val="sr-Latn-ME"/>
        </w:rPr>
        <w:t>se primjenjivati</w:t>
      </w:r>
      <w:r w:rsidR="00293B76" w:rsidRPr="008863E4">
        <w:rPr>
          <w:sz w:val="22"/>
          <w:szCs w:val="22"/>
          <w:lang w:val="sr-Latn-ME"/>
        </w:rPr>
        <w:t xml:space="preserve"> </w:t>
      </w:r>
      <w:r w:rsidR="007E503F">
        <w:rPr>
          <w:sz w:val="22"/>
          <w:szCs w:val="22"/>
          <w:lang w:val="sr-Latn-ME"/>
        </w:rPr>
        <w:t>linijom</w:t>
      </w:r>
      <w:r w:rsidR="00293B76" w:rsidRPr="008863E4">
        <w:rPr>
          <w:sz w:val="22"/>
          <w:szCs w:val="22"/>
          <w:lang w:val="sr-Latn-ME"/>
        </w:rPr>
        <w:t xml:space="preserve"> koja sadrži glukozu</w:t>
      </w:r>
      <w:r w:rsidR="007E68D7">
        <w:rPr>
          <w:sz w:val="22"/>
          <w:szCs w:val="22"/>
          <w:lang w:val="sr-Latn-ME"/>
        </w:rPr>
        <w:t>, jer je lijek Metalyse inkompatibilan sa rastvorom glukoze</w:t>
      </w:r>
      <w:r w:rsidR="00960440" w:rsidRPr="008863E4">
        <w:rPr>
          <w:sz w:val="22"/>
          <w:szCs w:val="22"/>
          <w:lang w:val="sr-Latn-ME"/>
        </w:rPr>
        <w:t>.</w:t>
      </w:r>
    </w:p>
    <w:p w14:paraId="0F3C28E5" w14:textId="5DC6765F" w:rsidR="007E68D7" w:rsidRPr="008863E4" w:rsidRDefault="007E68D7" w:rsidP="0017187F">
      <w:pPr>
        <w:autoSpaceDE w:val="0"/>
        <w:autoSpaceDN w:val="0"/>
        <w:adjustRightInd w:val="0"/>
        <w:jc w:val="both"/>
        <w:rPr>
          <w:sz w:val="22"/>
          <w:szCs w:val="22"/>
          <w:lang w:val="sr-Latn-ME"/>
        </w:rPr>
      </w:pPr>
      <w:r>
        <w:rPr>
          <w:sz w:val="22"/>
          <w:szCs w:val="22"/>
          <w:lang w:val="sr-Latn-ME"/>
        </w:rPr>
        <w:t>13. Linija se mora isprati nakon injekcije Metalyse, za pravilnu isporuku.</w:t>
      </w:r>
    </w:p>
    <w:p w14:paraId="3218442F" w14:textId="3B096FEF" w:rsidR="00293B76" w:rsidRPr="008863E4" w:rsidRDefault="007E68D7" w:rsidP="0017187F">
      <w:pPr>
        <w:jc w:val="both"/>
        <w:rPr>
          <w:sz w:val="22"/>
          <w:szCs w:val="22"/>
          <w:lang w:val="sr-Latn-ME"/>
        </w:rPr>
      </w:pPr>
      <w:r w:rsidRPr="008863E4">
        <w:rPr>
          <w:sz w:val="22"/>
          <w:szCs w:val="22"/>
          <w:lang w:val="sr-Latn-ME"/>
        </w:rPr>
        <w:t>1</w:t>
      </w:r>
      <w:r>
        <w:rPr>
          <w:sz w:val="22"/>
          <w:szCs w:val="22"/>
          <w:lang w:val="sr-Latn-ME"/>
        </w:rPr>
        <w:t>4</w:t>
      </w:r>
      <w:r w:rsidR="00293B76" w:rsidRPr="008863E4">
        <w:rPr>
          <w:sz w:val="22"/>
          <w:szCs w:val="22"/>
          <w:lang w:val="sr-Latn-ME"/>
        </w:rPr>
        <w:t>. Neupotr</w:t>
      </w:r>
      <w:r w:rsidR="00E46035" w:rsidRPr="008863E4">
        <w:rPr>
          <w:sz w:val="22"/>
          <w:szCs w:val="22"/>
          <w:lang w:val="sr-Latn-ME"/>
        </w:rPr>
        <w:t>ij</w:t>
      </w:r>
      <w:r w:rsidR="00293B76" w:rsidRPr="008863E4">
        <w:rPr>
          <w:sz w:val="22"/>
          <w:szCs w:val="22"/>
          <w:lang w:val="sr-Latn-ME"/>
        </w:rPr>
        <w:t>ebljen</w:t>
      </w:r>
      <w:r>
        <w:rPr>
          <w:sz w:val="22"/>
          <w:szCs w:val="22"/>
          <w:lang w:val="sr-Latn-ME"/>
        </w:rPr>
        <w:t xml:space="preserve"> rekonstituisan</w:t>
      </w:r>
      <w:r w:rsidR="00293B76" w:rsidRPr="008863E4">
        <w:rPr>
          <w:sz w:val="22"/>
          <w:szCs w:val="22"/>
          <w:lang w:val="sr-Latn-ME"/>
        </w:rPr>
        <w:t xml:space="preserve"> rastvor se mora</w:t>
      </w:r>
      <w:r w:rsidR="006D2622" w:rsidRPr="008863E4">
        <w:rPr>
          <w:sz w:val="22"/>
          <w:szCs w:val="22"/>
          <w:lang w:val="sr-Latn-ME"/>
        </w:rPr>
        <w:t xml:space="preserve"> </w:t>
      </w:r>
      <w:r w:rsidR="0017187F" w:rsidRPr="008863E4">
        <w:rPr>
          <w:sz w:val="22"/>
          <w:szCs w:val="22"/>
          <w:lang w:val="sr-Latn-ME"/>
        </w:rPr>
        <w:t>odbaciti</w:t>
      </w:r>
      <w:r w:rsidR="00293B76" w:rsidRPr="008863E4">
        <w:rPr>
          <w:sz w:val="22"/>
          <w:szCs w:val="22"/>
          <w:lang w:val="sr-Latn-ME"/>
        </w:rPr>
        <w:t>.</w:t>
      </w:r>
    </w:p>
    <w:p w14:paraId="67FC90D2" w14:textId="77777777" w:rsidR="00293B76" w:rsidRPr="008863E4" w:rsidRDefault="00293B76" w:rsidP="0017187F">
      <w:pPr>
        <w:pStyle w:val="NoSpacing"/>
        <w:jc w:val="both"/>
        <w:rPr>
          <w:sz w:val="22"/>
          <w:szCs w:val="22"/>
          <w:lang w:val="sr-Latn-ME"/>
        </w:rPr>
      </w:pPr>
    </w:p>
    <w:p w14:paraId="6A03A17C" w14:textId="0C6452E9" w:rsidR="005E44CE" w:rsidRPr="008863E4" w:rsidRDefault="005E44CE" w:rsidP="0017187F">
      <w:pPr>
        <w:pStyle w:val="BodyText2"/>
        <w:jc w:val="both"/>
        <w:rPr>
          <w:sz w:val="22"/>
          <w:szCs w:val="22"/>
        </w:rPr>
      </w:pPr>
      <w:bookmarkStart w:id="0" w:name="_Hlk124341069"/>
      <w:r w:rsidRPr="008863E4">
        <w:rPr>
          <w:sz w:val="22"/>
          <w:szCs w:val="22"/>
        </w:rPr>
        <w:t>Rekonstitucija se još može izvesti i uz pomoć igle, umjesto priloženog nastavka</w:t>
      </w:r>
      <w:r w:rsidR="00BA245D" w:rsidRPr="008863E4">
        <w:rPr>
          <w:sz w:val="22"/>
          <w:szCs w:val="22"/>
        </w:rPr>
        <w:t xml:space="preserve"> za</w:t>
      </w:r>
      <w:r w:rsidRPr="008863E4">
        <w:rPr>
          <w:sz w:val="22"/>
          <w:szCs w:val="22"/>
        </w:rPr>
        <w:t xml:space="preserve"> bočic</w:t>
      </w:r>
      <w:r w:rsidR="00BA245D" w:rsidRPr="008863E4">
        <w:rPr>
          <w:sz w:val="22"/>
          <w:szCs w:val="22"/>
        </w:rPr>
        <w:t>u</w:t>
      </w:r>
      <w:r w:rsidRPr="008863E4">
        <w:rPr>
          <w:sz w:val="22"/>
          <w:szCs w:val="22"/>
        </w:rPr>
        <w:t>.</w:t>
      </w:r>
      <w:bookmarkEnd w:id="0"/>
    </w:p>
    <w:p w14:paraId="1AEEB269" w14:textId="2214710F" w:rsidR="00293B76" w:rsidRPr="008863E4" w:rsidRDefault="00293B76" w:rsidP="0017187F">
      <w:pPr>
        <w:jc w:val="both"/>
        <w:rPr>
          <w:sz w:val="22"/>
          <w:szCs w:val="22"/>
          <w:lang w:val="sr-Latn-ME"/>
        </w:rPr>
      </w:pPr>
      <w:r w:rsidRPr="008863E4">
        <w:rPr>
          <w:sz w:val="22"/>
          <w:szCs w:val="22"/>
          <w:lang w:val="sr-Latn-ME"/>
        </w:rPr>
        <w:lastRenderedPageBreak/>
        <w:t>Svu neiskorišćenu količinu l</w:t>
      </w:r>
      <w:r w:rsidR="00E85062" w:rsidRPr="008863E4">
        <w:rPr>
          <w:sz w:val="22"/>
          <w:szCs w:val="22"/>
          <w:lang w:val="sr-Latn-ME"/>
        </w:rPr>
        <w:t>ij</w:t>
      </w:r>
      <w:r w:rsidRPr="008863E4">
        <w:rPr>
          <w:sz w:val="22"/>
          <w:szCs w:val="22"/>
          <w:lang w:val="sr-Latn-ME"/>
        </w:rPr>
        <w:t>eka ili otpadnog materijala nakon njegove upotrebe treba ukloniti, u skladu sa važećim propisima</w:t>
      </w:r>
      <w:r w:rsidR="00BA245D" w:rsidRPr="008863E4">
        <w:rPr>
          <w:sz w:val="22"/>
          <w:szCs w:val="22"/>
          <w:lang w:val="sr-Latn-ME"/>
        </w:rPr>
        <w:t>.</w:t>
      </w:r>
    </w:p>
    <w:p w14:paraId="6F48CC97" w14:textId="77777777" w:rsidR="00564A8A" w:rsidRPr="008863E4" w:rsidRDefault="00564A8A" w:rsidP="00480FB1">
      <w:pPr>
        <w:tabs>
          <w:tab w:val="left" w:pos="540"/>
          <w:tab w:val="left" w:pos="569"/>
        </w:tabs>
        <w:rPr>
          <w:b/>
          <w:bCs/>
          <w:sz w:val="22"/>
          <w:szCs w:val="22"/>
          <w:lang w:val="sr-Latn-ME"/>
        </w:rPr>
      </w:pPr>
    </w:p>
    <w:p w14:paraId="400B8FB6" w14:textId="77777777" w:rsidR="0072020E" w:rsidRPr="008863E4" w:rsidRDefault="0072020E" w:rsidP="00480FB1">
      <w:pPr>
        <w:tabs>
          <w:tab w:val="left" w:pos="540"/>
          <w:tab w:val="left" w:pos="569"/>
        </w:tabs>
        <w:rPr>
          <w:bCs/>
          <w:sz w:val="22"/>
          <w:szCs w:val="22"/>
          <w:lang w:val="sr-Latn-ME"/>
        </w:rPr>
      </w:pPr>
    </w:p>
    <w:p w14:paraId="169504B9" w14:textId="77777777" w:rsidR="00F8570A" w:rsidRPr="008863E4" w:rsidRDefault="0072020E" w:rsidP="00480FB1">
      <w:pPr>
        <w:tabs>
          <w:tab w:val="left" w:pos="540"/>
          <w:tab w:val="left" w:pos="569"/>
        </w:tabs>
        <w:rPr>
          <w:b/>
          <w:bCs/>
          <w:sz w:val="22"/>
          <w:szCs w:val="22"/>
          <w:lang w:val="sr-Latn-ME"/>
        </w:rPr>
      </w:pPr>
      <w:r w:rsidRPr="008863E4">
        <w:rPr>
          <w:b/>
          <w:bCs/>
          <w:sz w:val="22"/>
          <w:szCs w:val="22"/>
          <w:lang w:val="sr-Latn-ME"/>
        </w:rPr>
        <w:t xml:space="preserve">7. </w:t>
      </w:r>
      <w:r w:rsidR="00480FB1" w:rsidRPr="008863E4">
        <w:rPr>
          <w:b/>
          <w:bCs/>
          <w:sz w:val="22"/>
          <w:szCs w:val="22"/>
          <w:lang w:val="sr-Latn-ME"/>
        </w:rPr>
        <w:tab/>
      </w:r>
      <w:r w:rsidRPr="008863E4">
        <w:rPr>
          <w:b/>
          <w:bCs/>
          <w:sz w:val="22"/>
          <w:szCs w:val="22"/>
          <w:lang w:val="sr-Latn-ME"/>
        </w:rPr>
        <w:t>NOSILAC DOZVOLE</w:t>
      </w:r>
      <w:r w:rsidR="00483928" w:rsidRPr="008863E4">
        <w:rPr>
          <w:b/>
          <w:bCs/>
          <w:sz w:val="22"/>
          <w:szCs w:val="22"/>
          <w:lang w:val="sr-Latn-ME"/>
        </w:rPr>
        <w:t xml:space="preserve"> </w:t>
      </w:r>
    </w:p>
    <w:p w14:paraId="6DE2EB3F" w14:textId="77777777" w:rsidR="00C61BE0" w:rsidRPr="008863E4" w:rsidRDefault="00C61BE0" w:rsidP="00480FB1">
      <w:pPr>
        <w:tabs>
          <w:tab w:val="left" w:pos="540"/>
          <w:tab w:val="left" w:pos="569"/>
        </w:tabs>
        <w:rPr>
          <w:bCs/>
          <w:sz w:val="22"/>
          <w:szCs w:val="22"/>
          <w:lang w:val="sr-Latn-ME"/>
        </w:rPr>
      </w:pPr>
    </w:p>
    <w:p w14:paraId="25CE390E" w14:textId="33EBE0CA" w:rsidR="004641C5" w:rsidRPr="008863E4" w:rsidRDefault="004641C5" w:rsidP="004641C5">
      <w:pPr>
        <w:ind w:left="74" w:hanging="74"/>
        <w:rPr>
          <w:bCs/>
          <w:sz w:val="22"/>
          <w:szCs w:val="22"/>
          <w:lang w:val="sr-Latn-ME"/>
        </w:rPr>
      </w:pPr>
      <w:r w:rsidRPr="008863E4">
        <w:rPr>
          <w:bCs/>
          <w:sz w:val="22"/>
          <w:szCs w:val="22"/>
          <w:lang w:val="sr-Latn-ME"/>
        </w:rPr>
        <w:t>Glosarij d.o.o.</w:t>
      </w:r>
      <w:r w:rsidR="006D2622" w:rsidRPr="008863E4">
        <w:rPr>
          <w:bCs/>
          <w:sz w:val="22"/>
          <w:szCs w:val="22"/>
          <w:lang w:val="sr-Latn-ME"/>
        </w:rPr>
        <w:t>,</w:t>
      </w:r>
      <w:r w:rsidRPr="008863E4">
        <w:rPr>
          <w:b/>
          <w:sz w:val="22"/>
          <w:szCs w:val="22"/>
          <w:lang w:val="sr-Latn-ME"/>
        </w:rPr>
        <w:t xml:space="preserve"> </w:t>
      </w:r>
      <w:r w:rsidRPr="008863E4">
        <w:rPr>
          <w:bCs/>
          <w:sz w:val="22"/>
          <w:szCs w:val="22"/>
          <w:lang w:val="sr-Latn-ME"/>
        </w:rPr>
        <w:t>Vojislavljevića 76, Podgorica, Crna Gora</w:t>
      </w:r>
    </w:p>
    <w:p w14:paraId="7B1B6465" w14:textId="77777777" w:rsidR="006D2622" w:rsidRPr="008863E4" w:rsidRDefault="006D2622" w:rsidP="004641C5">
      <w:pPr>
        <w:ind w:left="74" w:hanging="74"/>
        <w:rPr>
          <w:bCs/>
          <w:sz w:val="22"/>
          <w:szCs w:val="22"/>
          <w:lang w:val="sr-Latn-ME"/>
        </w:rPr>
      </w:pPr>
    </w:p>
    <w:p w14:paraId="3567B903" w14:textId="77777777" w:rsidR="00C37FD7" w:rsidRPr="008863E4" w:rsidRDefault="00C37FD7" w:rsidP="00480FB1">
      <w:pPr>
        <w:tabs>
          <w:tab w:val="left" w:pos="540"/>
          <w:tab w:val="left" w:pos="569"/>
        </w:tabs>
        <w:rPr>
          <w:bCs/>
          <w:sz w:val="22"/>
          <w:szCs w:val="22"/>
          <w:lang w:val="sr-Latn-ME"/>
        </w:rPr>
      </w:pPr>
    </w:p>
    <w:p w14:paraId="67317BEF" w14:textId="6B906EE7" w:rsidR="0072020E" w:rsidRPr="008863E4" w:rsidRDefault="0072020E" w:rsidP="00480FB1">
      <w:pPr>
        <w:tabs>
          <w:tab w:val="left" w:pos="540"/>
          <w:tab w:val="left" w:pos="569"/>
        </w:tabs>
        <w:rPr>
          <w:b/>
          <w:bCs/>
          <w:sz w:val="22"/>
          <w:szCs w:val="22"/>
          <w:lang w:val="sr-Latn-ME"/>
        </w:rPr>
      </w:pPr>
      <w:r w:rsidRPr="008863E4">
        <w:rPr>
          <w:b/>
          <w:bCs/>
          <w:sz w:val="22"/>
          <w:szCs w:val="22"/>
          <w:lang w:val="sr-Latn-ME"/>
        </w:rPr>
        <w:t xml:space="preserve">8. </w:t>
      </w:r>
      <w:r w:rsidR="00480FB1" w:rsidRPr="008863E4">
        <w:rPr>
          <w:b/>
          <w:bCs/>
          <w:sz w:val="22"/>
          <w:szCs w:val="22"/>
          <w:lang w:val="sr-Latn-ME"/>
        </w:rPr>
        <w:tab/>
      </w:r>
      <w:r w:rsidRPr="008863E4">
        <w:rPr>
          <w:b/>
          <w:bCs/>
          <w:sz w:val="22"/>
          <w:szCs w:val="22"/>
          <w:lang w:val="sr-Latn-ME"/>
        </w:rPr>
        <w:t>BROJ DOZVOLE</w:t>
      </w:r>
      <w:r w:rsidR="008A6D43" w:rsidRPr="008863E4">
        <w:rPr>
          <w:b/>
          <w:bCs/>
          <w:sz w:val="22"/>
          <w:szCs w:val="22"/>
          <w:lang w:val="sr-Latn-ME"/>
        </w:rPr>
        <w:t xml:space="preserve"> ZA STAVLJANJE LIJEKA U PROME</w:t>
      </w:r>
      <w:r w:rsidR="004641C5" w:rsidRPr="008863E4">
        <w:rPr>
          <w:b/>
          <w:bCs/>
          <w:sz w:val="22"/>
          <w:szCs w:val="22"/>
          <w:lang w:val="sr-Latn-ME"/>
        </w:rPr>
        <w:t>T</w:t>
      </w:r>
    </w:p>
    <w:p w14:paraId="1EFB8729" w14:textId="77777777" w:rsidR="004641C5" w:rsidRPr="008863E4" w:rsidRDefault="004641C5" w:rsidP="00480FB1">
      <w:pPr>
        <w:tabs>
          <w:tab w:val="left" w:pos="540"/>
          <w:tab w:val="left" w:pos="569"/>
        </w:tabs>
        <w:rPr>
          <w:b/>
          <w:bCs/>
          <w:sz w:val="22"/>
          <w:szCs w:val="22"/>
          <w:lang w:val="sr-Latn-ME"/>
        </w:rPr>
      </w:pPr>
    </w:p>
    <w:p w14:paraId="706C637A" w14:textId="6412DE78" w:rsidR="0072020E" w:rsidRDefault="008863E4" w:rsidP="00480FB1">
      <w:pPr>
        <w:tabs>
          <w:tab w:val="left" w:pos="540"/>
          <w:tab w:val="left" w:pos="569"/>
        </w:tabs>
        <w:rPr>
          <w:bCs/>
          <w:sz w:val="22"/>
          <w:szCs w:val="22"/>
          <w:lang w:val="sr-Latn-ME"/>
        </w:rPr>
      </w:pPr>
      <w:r w:rsidRPr="008863E4">
        <w:rPr>
          <w:bCs/>
          <w:sz w:val="22"/>
          <w:szCs w:val="22"/>
          <w:lang w:val="sr-Latn-ME"/>
        </w:rPr>
        <w:t>2030/23/3947 - 7231</w:t>
      </w:r>
    </w:p>
    <w:p w14:paraId="0EE7EE46" w14:textId="59EDD55F" w:rsidR="008863E4" w:rsidRPr="008863E4" w:rsidRDefault="008863E4" w:rsidP="00480FB1">
      <w:pPr>
        <w:tabs>
          <w:tab w:val="left" w:pos="540"/>
          <w:tab w:val="left" w:pos="569"/>
        </w:tabs>
        <w:rPr>
          <w:bCs/>
          <w:sz w:val="22"/>
          <w:szCs w:val="22"/>
          <w:lang w:val="sr-Latn-ME"/>
        </w:rPr>
      </w:pPr>
    </w:p>
    <w:p w14:paraId="09312F7E" w14:textId="77777777" w:rsidR="00F45F77" w:rsidRPr="008863E4" w:rsidRDefault="00F45F77" w:rsidP="00480FB1">
      <w:pPr>
        <w:tabs>
          <w:tab w:val="left" w:pos="540"/>
          <w:tab w:val="left" w:pos="569"/>
        </w:tabs>
        <w:rPr>
          <w:bCs/>
          <w:sz w:val="22"/>
          <w:szCs w:val="22"/>
          <w:lang w:val="sr-Latn-ME"/>
        </w:rPr>
      </w:pPr>
    </w:p>
    <w:p w14:paraId="3EF7A51A" w14:textId="77777777" w:rsidR="0072020E" w:rsidRPr="008863E4" w:rsidRDefault="0072020E" w:rsidP="00480FB1">
      <w:pPr>
        <w:tabs>
          <w:tab w:val="left" w:pos="540"/>
          <w:tab w:val="left" w:pos="569"/>
        </w:tabs>
        <w:rPr>
          <w:b/>
          <w:bCs/>
          <w:sz w:val="22"/>
          <w:szCs w:val="22"/>
          <w:lang w:val="sr-Latn-ME"/>
        </w:rPr>
      </w:pPr>
      <w:r w:rsidRPr="008863E4">
        <w:rPr>
          <w:b/>
          <w:bCs/>
          <w:sz w:val="22"/>
          <w:szCs w:val="22"/>
          <w:lang w:val="sr-Latn-ME"/>
        </w:rPr>
        <w:t xml:space="preserve">9. </w:t>
      </w:r>
      <w:r w:rsidR="00480FB1" w:rsidRPr="008863E4">
        <w:rPr>
          <w:b/>
          <w:bCs/>
          <w:sz w:val="22"/>
          <w:szCs w:val="22"/>
          <w:lang w:val="sr-Latn-ME"/>
        </w:rPr>
        <w:tab/>
      </w:r>
      <w:r w:rsidRPr="008863E4">
        <w:rPr>
          <w:b/>
          <w:bCs/>
          <w:sz w:val="22"/>
          <w:szCs w:val="22"/>
          <w:lang w:val="sr-Latn-ME"/>
        </w:rPr>
        <w:t xml:space="preserve">DATUM </w:t>
      </w:r>
      <w:r w:rsidR="00C05DF8" w:rsidRPr="008863E4">
        <w:rPr>
          <w:b/>
          <w:bCs/>
          <w:sz w:val="22"/>
          <w:szCs w:val="22"/>
          <w:lang w:val="sr-Latn-ME"/>
        </w:rPr>
        <w:t xml:space="preserve">PRVE </w:t>
      </w:r>
      <w:r w:rsidR="008A6D43" w:rsidRPr="008863E4">
        <w:rPr>
          <w:b/>
          <w:bCs/>
          <w:sz w:val="22"/>
          <w:szCs w:val="22"/>
          <w:lang w:val="sr-Latn-ME"/>
        </w:rPr>
        <w:t>DOZVOLE</w:t>
      </w:r>
      <w:r w:rsidR="00C05DF8" w:rsidRPr="008863E4">
        <w:rPr>
          <w:b/>
          <w:bCs/>
          <w:sz w:val="22"/>
          <w:szCs w:val="22"/>
          <w:lang w:val="sr-Latn-ME"/>
        </w:rPr>
        <w:t>/OBNOVE DOZVOLE</w:t>
      </w:r>
      <w:r w:rsidR="008A6D43" w:rsidRPr="008863E4">
        <w:rPr>
          <w:b/>
          <w:bCs/>
          <w:sz w:val="22"/>
          <w:szCs w:val="22"/>
          <w:lang w:val="sr-Latn-ME"/>
        </w:rPr>
        <w:t xml:space="preserve"> ZA STAVLJANJE LIJEKA U PROMET</w:t>
      </w:r>
    </w:p>
    <w:p w14:paraId="0C84A747" w14:textId="77777777" w:rsidR="00BA245D" w:rsidRPr="008863E4" w:rsidRDefault="00BA245D" w:rsidP="004641C5">
      <w:pPr>
        <w:pStyle w:val="Header"/>
        <w:tabs>
          <w:tab w:val="left" w:pos="284"/>
        </w:tabs>
        <w:rPr>
          <w:sz w:val="22"/>
          <w:szCs w:val="22"/>
          <w:lang w:val="sr-Latn-ME"/>
        </w:rPr>
      </w:pPr>
    </w:p>
    <w:p w14:paraId="6B092291" w14:textId="77777777" w:rsidR="008863E4" w:rsidRDefault="008863E4" w:rsidP="004641C5">
      <w:pPr>
        <w:pStyle w:val="Header"/>
        <w:tabs>
          <w:tab w:val="left" w:pos="284"/>
        </w:tabs>
        <w:rPr>
          <w:sz w:val="22"/>
          <w:szCs w:val="22"/>
          <w:lang w:val="sr-Latn-ME"/>
        </w:rPr>
      </w:pPr>
    </w:p>
    <w:p w14:paraId="7C8B8A10" w14:textId="44221840" w:rsidR="006D2622" w:rsidRPr="008863E4" w:rsidRDefault="006D2622" w:rsidP="004641C5">
      <w:pPr>
        <w:pStyle w:val="Header"/>
        <w:tabs>
          <w:tab w:val="left" w:pos="284"/>
        </w:tabs>
        <w:rPr>
          <w:sz w:val="22"/>
          <w:szCs w:val="22"/>
          <w:lang w:val="sr-Latn-ME" w:eastAsia="sr-Latn-ME"/>
        </w:rPr>
      </w:pPr>
      <w:r w:rsidRPr="008863E4">
        <w:rPr>
          <w:sz w:val="22"/>
          <w:szCs w:val="22"/>
          <w:lang w:val="sr-Latn-ME"/>
        </w:rPr>
        <w:t>Datum prve dozvole</w:t>
      </w:r>
      <w:r w:rsidR="004641C5" w:rsidRPr="008863E4">
        <w:rPr>
          <w:sz w:val="22"/>
          <w:szCs w:val="22"/>
          <w:lang w:val="sr-Latn-ME"/>
        </w:rPr>
        <w:t xml:space="preserve">: </w:t>
      </w:r>
      <w:r w:rsidR="004641C5" w:rsidRPr="008863E4">
        <w:rPr>
          <w:sz w:val="22"/>
          <w:szCs w:val="22"/>
          <w:lang w:val="sr-Latn-ME" w:eastAsia="sr-Latn-ME"/>
        </w:rPr>
        <w:t>04.10.2013. godin</w:t>
      </w:r>
      <w:r w:rsidRPr="008863E4">
        <w:rPr>
          <w:sz w:val="22"/>
          <w:szCs w:val="22"/>
          <w:lang w:val="sr-Latn-ME" w:eastAsia="sr-Latn-ME"/>
        </w:rPr>
        <w:t>e</w:t>
      </w:r>
    </w:p>
    <w:p w14:paraId="7EA5141E" w14:textId="7506632D" w:rsidR="004641C5" w:rsidRPr="008863E4" w:rsidRDefault="006D2622" w:rsidP="004641C5">
      <w:pPr>
        <w:pStyle w:val="Header"/>
        <w:tabs>
          <w:tab w:val="left" w:pos="284"/>
        </w:tabs>
        <w:rPr>
          <w:sz w:val="22"/>
          <w:szCs w:val="22"/>
          <w:lang w:val="sr-Latn-ME"/>
        </w:rPr>
      </w:pPr>
      <w:r w:rsidRPr="008863E4">
        <w:rPr>
          <w:sz w:val="22"/>
          <w:szCs w:val="22"/>
          <w:lang w:val="sr-Latn-ME" w:eastAsia="sr-Latn-ME"/>
        </w:rPr>
        <w:t xml:space="preserve">Datum poslednje obnove dozvole: </w:t>
      </w:r>
      <w:r w:rsidR="008863E4" w:rsidRPr="008863E4">
        <w:rPr>
          <w:sz w:val="22"/>
          <w:szCs w:val="22"/>
          <w:lang w:val="sr-Latn-ME" w:eastAsia="sr-Latn-ME"/>
        </w:rPr>
        <w:t>23.10.2023. godine</w:t>
      </w:r>
    </w:p>
    <w:p w14:paraId="3D85B65B" w14:textId="77777777" w:rsidR="0072020E" w:rsidRPr="008863E4" w:rsidRDefault="0072020E" w:rsidP="00480FB1">
      <w:pPr>
        <w:tabs>
          <w:tab w:val="left" w:pos="540"/>
          <w:tab w:val="left" w:pos="569"/>
        </w:tabs>
        <w:rPr>
          <w:bCs/>
          <w:sz w:val="22"/>
          <w:szCs w:val="22"/>
          <w:lang w:val="sr-Latn-ME"/>
        </w:rPr>
      </w:pPr>
    </w:p>
    <w:p w14:paraId="4DB187B7" w14:textId="77777777" w:rsidR="00836B35" w:rsidRPr="008863E4" w:rsidRDefault="00836B35" w:rsidP="00480FB1">
      <w:pPr>
        <w:tabs>
          <w:tab w:val="left" w:pos="540"/>
          <w:tab w:val="left" w:pos="569"/>
        </w:tabs>
        <w:rPr>
          <w:bCs/>
          <w:sz w:val="22"/>
          <w:szCs w:val="22"/>
          <w:lang w:val="sr-Latn-ME"/>
        </w:rPr>
      </w:pPr>
    </w:p>
    <w:p w14:paraId="2EB05C56" w14:textId="77777777" w:rsidR="003F6A59" w:rsidRPr="008863E4" w:rsidRDefault="0072020E" w:rsidP="00C05DF8">
      <w:pPr>
        <w:tabs>
          <w:tab w:val="left" w:pos="540"/>
          <w:tab w:val="left" w:pos="569"/>
        </w:tabs>
        <w:ind w:left="540" w:hanging="540"/>
        <w:rPr>
          <w:bCs/>
          <w:sz w:val="22"/>
          <w:szCs w:val="22"/>
          <w:lang w:val="sr-Latn-ME"/>
        </w:rPr>
      </w:pPr>
      <w:r w:rsidRPr="008863E4">
        <w:rPr>
          <w:b/>
          <w:bCs/>
          <w:sz w:val="22"/>
          <w:szCs w:val="22"/>
          <w:lang w:val="sr-Latn-ME"/>
        </w:rPr>
        <w:t xml:space="preserve">10. </w:t>
      </w:r>
      <w:r w:rsidR="00480FB1" w:rsidRPr="008863E4">
        <w:rPr>
          <w:b/>
          <w:bCs/>
          <w:sz w:val="22"/>
          <w:szCs w:val="22"/>
          <w:lang w:val="sr-Latn-ME"/>
        </w:rPr>
        <w:tab/>
      </w:r>
      <w:r w:rsidR="002846DB" w:rsidRPr="008863E4">
        <w:rPr>
          <w:b/>
          <w:bCs/>
          <w:sz w:val="22"/>
          <w:szCs w:val="22"/>
          <w:lang w:val="sr-Latn-ME"/>
        </w:rPr>
        <w:t>D</w:t>
      </w:r>
      <w:r w:rsidR="00EC2532" w:rsidRPr="008863E4">
        <w:rPr>
          <w:b/>
          <w:bCs/>
          <w:sz w:val="22"/>
          <w:szCs w:val="22"/>
          <w:lang w:val="sr-Latn-ME"/>
        </w:rPr>
        <w:t xml:space="preserve">ATUM REVIZIJE TEKSTA </w:t>
      </w:r>
    </w:p>
    <w:p w14:paraId="3ED31573" w14:textId="77777777" w:rsidR="003F6A59" w:rsidRPr="008863E4" w:rsidRDefault="003F6A59" w:rsidP="00480FB1">
      <w:pPr>
        <w:tabs>
          <w:tab w:val="left" w:pos="540"/>
          <w:tab w:val="left" w:pos="569"/>
        </w:tabs>
        <w:rPr>
          <w:bCs/>
          <w:sz w:val="22"/>
          <w:szCs w:val="22"/>
          <w:lang w:val="sr-Latn-ME"/>
        </w:rPr>
      </w:pPr>
    </w:p>
    <w:p w14:paraId="67D06CF2" w14:textId="49A9587D" w:rsidR="003F6A59" w:rsidRPr="008863E4" w:rsidRDefault="007B4F2B" w:rsidP="00DE3F5C">
      <w:pPr>
        <w:rPr>
          <w:sz w:val="22"/>
          <w:szCs w:val="22"/>
          <w:lang w:val="sr-Latn-ME"/>
        </w:rPr>
      </w:pPr>
      <w:r>
        <w:rPr>
          <w:sz w:val="22"/>
          <w:szCs w:val="22"/>
          <w:lang w:val="sr-Latn-ME"/>
        </w:rPr>
        <w:t>Februar, 2025. godine</w:t>
      </w:r>
      <w:bookmarkStart w:id="1" w:name="_GoBack"/>
      <w:bookmarkEnd w:id="1"/>
    </w:p>
    <w:sectPr w:rsidR="003F6A59" w:rsidRPr="008863E4"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4265E" w14:textId="77777777" w:rsidR="00F30086" w:rsidRDefault="00F30086">
      <w:r>
        <w:separator/>
      </w:r>
    </w:p>
  </w:endnote>
  <w:endnote w:type="continuationSeparator" w:id="0">
    <w:p w14:paraId="66324ECC" w14:textId="77777777" w:rsidR="00F30086" w:rsidRDefault="00F3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15E05" w14:textId="01FCE522" w:rsidR="00610B14" w:rsidRPr="00B23F69" w:rsidRDefault="00610B14"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B4F2B">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B4F2B">
      <w:rPr>
        <w:noProof/>
        <w:sz w:val="22"/>
        <w:szCs w:val="22"/>
      </w:rPr>
      <w:t>13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B13B6" w14:textId="77777777" w:rsidR="00F30086" w:rsidRDefault="00F30086">
      <w:r>
        <w:separator/>
      </w:r>
    </w:p>
  </w:footnote>
  <w:footnote w:type="continuationSeparator" w:id="0">
    <w:p w14:paraId="1DA9B3A8" w14:textId="77777777" w:rsidR="00F30086" w:rsidRDefault="00F30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72E3B7A"/>
    <w:multiLevelType w:val="hybridMultilevel"/>
    <w:tmpl w:val="A96644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024EC7"/>
    <w:multiLevelType w:val="hybridMultilevel"/>
    <w:tmpl w:val="BDC47C94"/>
    <w:lvl w:ilvl="0" w:tplc="BA945CC6">
      <w:start w:val="1"/>
      <w:numFmt w:val="decimal"/>
      <w:lvlText w:val="%1."/>
      <w:legacy w:legacy="1" w:legacySpace="0" w:legacyIndent="360"/>
      <w:lvlJc w:val="left"/>
      <w:pPr>
        <w:ind w:left="360" w:hanging="360"/>
      </w:pPr>
      <w:rPr>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456402"/>
    <w:multiLevelType w:val="singleLevel"/>
    <w:tmpl w:val="7A0C8B6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B82E9A"/>
    <w:multiLevelType w:val="singleLevel"/>
    <w:tmpl w:val="F8C2E332"/>
    <w:lvl w:ilvl="0">
      <w:start w:val="1050"/>
      <w:numFmt w:val="bullet"/>
      <w:lvlText w:val="-"/>
      <w:lvlJc w:val="left"/>
      <w:pPr>
        <w:tabs>
          <w:tab w:val="num" w:pos="360"/>
        </w:tabs>
        <w:ind w:left="360" w:hanging="360"/>
      </w:pPr>
      <w:rPr>
        <w:rFonts w:hint="default"/>
      </w:rPr>
    </w:lvl>
  </w:abstractNum>
  <w:num w:numId="1">
    <w:abstractNumId w:val="2"/>
  </w:num>
  <w:num w:numId="2">
    <w:abstractNumId w:val="11"/>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3"/>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495E"/>
    <w:rsid w:val="000362DB"/>
    <w:rsid w:val="00036FA0"/>
    <w:rsid w:val="0003793F"/>
    <w:rsid w:val="00053F85"/>
    <w:rsid w:val="00057E35"/>
    <w:rsid w:val="00076726"/>
    <w:rsid w:val="00080303"/>
    <w:rsid w:val="000851F5"/>
    <w:rsid w:val="00093F69"/>
    <w:rsid w:val="000A3F58"/>
    <w:rsid w:val="000C09DE"/>
    <w:rsid w:val="000D0002"/>
    <w:rsid w:val="000D2343"/>
    <w:rsid w:val="000D3449"/>
    <w:rsid w:val="000D425A"/>
    <w:rsid w:val="000D60CC"/>
    <w:rsid w:val="000E2084"/>
    <w:rsid w:val="000E6F55"/>
    <w:rsid w:val="000F77FA"/>
    <w:rsid w:val="00107BBE"/>
    <w:rsid w:val="00107BF7"/>
    <w:rsid w:val="00117B06"/>
    <w:rsid w:val="00126F53"/>
    <w:rsid w:val="001332AA"/>
    <w:rsid w:val="00146A11"/>
    <w:rsid w:val="0014766D"/>
    <w:rsid w:val="001530CA"/>
    <w:rsid w:val="001536CC"/>
    <w:rsid w:val="0017187F"/>
    <w:rsid w:val="001A3FBA"/>
    <w:rsid w:val="001A5518"/>
    <w:rsid w:val="001B1C6A"/>
    <w:rsid w:val="001B5380"/>
    <w:rsid w:val="001C1263"/>
    <w:rsid w:val="001C1417"/>
    <w:rsid w:val="001D459E"/>
    <w:rsid w:val="001E2A6A"/>
    <w:rsid w:val="001E390B"/>
    <w:rsid w:val="001E777F"/>
    <w:rsid w:val="001F42FB"/>
    <w:rsid w:val="001F5B7F"/>
    <w:rsid w:val="001F5FE4"/>
    <w:rsid w:val="001F719A"/>
    <w:rsid w:val="001F75D8"/>
    <w:rsid w:val="002031B3"/>
    <w:rsid w:val="00215931"/>
    <w:rsid w:val="002162BC"/>
    <w:rsid w:val="00224C91"/>
    <w:rsid w:val="00227BDB"/>
    <w:rsid w:val="00233592"/>
    <w:rsid w:val="00234CB1"/>
    <w:rsid w:val="002352F8"/>
    <w:rsid w:val="002510A5"/>
    <w:rsid w:val="002535E2"/>
    <w:rsid w:val="00254A0A"/>
    <w:rsid w:val="00266046"/>
    <w:rsid w:val="00277366"/>
    <w:rsid w:val="002846DB"/>
    <w:rsid w:val="00284CCD"/>
    <w:rsid w:val="00293B76"/>
    <w:rsid w:val="00294635"/>
    <w:rsid w:val="002C6637"/>
    <w:rsid w:val="002D1C50"/>
    <w:rsid w:val="002E0135"/>
    <w:rsid w:val="002E37A5"/>
    <w:rsid w:val="00310F03"/>
    <w:rsid w:val="003147DC"/>
    <w:rsid w:val="003247D2"/>
    <w:rsid w:val="00330451"/>
    <w:rsid w:val="003370FF"/>
    <w:rsid w:val="003445C1"/>
    <w:rsid w:val="00355B61"/>
    <w:rsid w:val="00362686"/>
    <w:rsid w:val="00371510"/>
    <w:rsid w:val="00396DFD"/>
    <w:rsid w:val="003A7059"/>
    <w:rsid w:val="003B7A36"/>
    <w:rsid w:val="003C17AB"/>
    <w:rsid w:val="003C4939"/>
    <w:rsid w:val="003C7823"/>
    <w:rsid w:val="003D3E1B"/>
    <w:rsid w:val="003E1DCC"/>
    <w:rsid w:val="003F11A1"/>
    <w:rsid w:val="003F6A59"/>
    <w:rsid w:val="004065C8"/>
    <w:rsid w:val="004109FA"/>
    <w:rsid w:val="00411B4B"/>
    <w:rsid w:val="00415BEE"/>
    <w:rsid w:val="00427F85"/>
    <w:rsid w:val="00436F42"/>
    <w:rsid w:val="004378B4"/>
    <w:rsid w:val="00437EB1"/>
    <w:rsid w:val="00451314"/>
    <w:rsid w:val="00452E9D"/>
    <w:rsid w:val="004534C7"/>
    <w:rsid w:val="00456D2E"/>
    <w:rsid w:val="0045785D"/>
    <w:rsid w:val="004641C5"/>
    <w:rsid w:val="004671AA"/>
    <w:rsid w:val="0046756B"/>
    <w:rsid w:val="0047376B"/>
    <w:rsid w:val="00480FB1"/>
    <w:rsid w:val="00482572"/>
    <w:rsid w:val="00483928"/>
    <w:rsid w:val="0048512C"/>
    <w:rsid w:val="004C20AD"/>
    <w:rsid w:val="004C331F"/>
    <w:rsid w:val="004D6103"/>
    <w:rsid w:val="004E3BCE"/>
    <w:rsid w:val="004E70AD"/>
    <w:rsid w:val="004F0E97"/>
    <w:rsid w:val="00501DD1"/>
    <w:rsid w:val="00515C21"/>
    <w:rsid w:val="0051640A"/>
    <w:rsid w:val="0052165B"/>
    <w:rsid w:val="00526512"/>
    <w:rsid w:val="00530BD7"/>
    <w:rsid w:val="00545CD2"/>
    <w:rsid w:val="005476F3"/>
    <w:rsid w:val="00564A8A"/>
    <w:rsid w:val="0056696A"/>
    <w:rsid w:val="00567E7E"/>
    <w:rsid w:val="00572527"/>
    <w:rsid w:val="00573E40"/>
    <w:rsid w:val="00576348"/>
    <w:rsid w:val="00594E86"/>
    <w:rsid w:val="005A0B2E"/>
    <w:rsid w:val="005A23D2"/>
    <w:rsid w:val="005A36CB"/>
    <w:rsid w:val="005A62BC"/>
    <w:rsid w:val="005B2CCF"/>
    <w:rsid w:val="005B49B8"/>
    <w:rsid w:val="005C0741"/>
    <w:rsid w:val="005C1F86"/>
    <w:rsid w:val="005C4908"/>
    <w:rsid w:val="005C5EF4"/>
    <w:rsid w:val="005E2E0B"/>
    <w:rsid w:val="005E44CE"/>
    <w:rsid w:val="005E7A7D"/>
    <w:rsid w:val="005F7885"/>
    <w:rsid w:val="00602457"/>
    <w:rsid w:val="0060302A"/>
    <w:rsid w:val="00610B14"/>
    <w:rsid w:val="00644FC3"/>
    <w:rsid w:val="00646BD1"/>
    <w:rsid w:val="006561C2"/>
    <w:rsid w:val="00671CB3"/>
    <w:rsid w:val="00674BAF"/>
    <w:rsid w:val="00682200"/>
    <w:rsid w:val="00683431"/>
    <w:rsid w:val="006838FC"/>
    <w:rsid w:val="00692BF6"/>
    <w:rsid w:val="006A0569"/>
    <w:rsid w:val="006A1497"/>
    <w:rsid w:val="006B0BD1"/>
    <w:rsid w:val="006B3230"/>
    <w:rsid w:val="006B5404"/>
    <w:rsid w:val="006C6707"/>
    <w:rsid w:val="006D1B9F"/>
    <w:rsid w:val="006D20A5"/>
    <w:rsid w:val="006D2622"/>
    <w:rsid w:val="006D37BF"/>
    <w:rsid w:val="006E00D1"/>
    <w:rsid w:val="006E6E97"/>
    <w:rsid w:val="00702B67"/>
    <w:rsid w:val="00702E22"/>
    <w:rsid w:val="0072020E"/>
    <w:rsid w:val="00731467"/>
    <w:rsid w:val="00786071"/>
    <w:rsid w:val="00794363"/>
    <w:rsid w:val="007A3ECB"/>
    <w:rsid w:val="007A4F87"/>
    <w:rsid w:val="007B4F2B"/>
    <w:rsid w:val="007D65FF"/>
    <w:rsid w:val="007D7BB3"/>
    <w:rsid w:val="007E503F"/>
    <w:rsid w:val="007E68D7"/>
    <w:rsid w:val="00824AB9"/>
    <w:rsid w:val="00836945"/>
    <w:rsid w:val="00836B35"/>
    <w:rsid w:val="00843BDE"/>
    <w:rsid w:val="00862CCA"/>
    <w:rsid w:val="0087588C"/>
    <w:rsid w:val="008863E4"/>
    <w:rsid w:val="0089705C"/>
    <w:rsid w:val="008A6D43"/>
    <w:rsid w:val="008B491E"/>
    <w:rsid w:val="008C1A28"/>
    <w:rsid w:val="008C2E98"/>
    <w:rsid w:val="008D6A5D"/>
    <w:rsid w:val="008E49BD"/>
    <w:rsid w:val="008E53E9"/>
    <w:rsid w:val="008E5771"/>
    <w:rsid w:val="008F1740"/>
    <w:rsid w:val="008F4ACF"/>
    <w:rsid w:val="00924166"/>
    <w:rsid w:val="00940B9B"/>
    <w:rsid w:val="0095676E"/>
    <w:rsid w:val="00956983"/>
    <w:rsid w:val="00960440"/>
    <w:rsid w:val="00963CF0"/>
    <w:rsid w:val="00964BB1"/>
    <w:rsid w:val="009775D9"/>
    <w:rsid w:val="00997175"/>
    <w:rsid w:val="009A1847"/>
    <w:rsid w:val="009B062A"/>
    <w:rsid w:val="009E7C6F"/>
    <w:rsid w:val="009F1793"/>
    <w:rsid w:val="009F2D23"/>
    <w:rsid w:val="009F3C25"/>
    <w:rsid w:val="009F4EB3"/>
    <w:rsid w:val="00A01D69"/>
    <w:rsid w:val="00A02335"/>
    <w:rsid w:val="00A02C0F"/>
    <w:rsid w:val="00A31F5E"/>
    <w:rsid w:val="00A46C9A"/>
    <w:rsid w:val="00A619F3"/>
    <w:rsid w:val="00A62A73"/>
    <w:rsid w:val="00A87FF6"/>
    <w:rsid w:val="00AA0A3B"/>
    <w:rsid w:val="00AA2763"/>
    <w:rsid w:val="00AA33B6"/>
    <w:rsid w:val="00AB50CA"/>
    <w:rsid w:val="00AB6D64"/>
    <w:rsid w:val="00AC53CE"/>
    <w:rsid w:val="00AC5CF3"/>
    <w:rsid w:val="00AD2193"/>
    <w:rsid w:val="00AE1974"/>
    <w:rsid w:val="00AF2AC7"/>
    <w:rsid w:val="00AF3FE4"/>
    <w:rsid w:val="00AF74CE"/>
    <w:rsid w:val="00B02CDE"/>
    <w:rsid w:val="00B208DB"/>
    <w:rsid w:val="00B23F69"/>
    <w:rsid w:val="00B46C2A"/>
    <w:rsid w:val="00B473A0"/>
    <w:rsid w:val="00B5578C"/>
    <w:rsid w:val="00B60619"/>
    <w:rsid w:val="00B61F96"/>
    <w:rsid w:val="00B66A70"/>
    <w:rsid w:val="00B67366"/>
    <w:rsid w:val="00B75ABA"/>
    <w:rsid w:val="00B80EE1"/>
    <w:rsid w:val="00B84135"/>
    <w:rsid w:val="00B87DB8"/>
    <w:rsid w:val="00B958AD"/>
    <w:rsid w:val="00BA245D"/>
    <w:rsid w:val="00BB5030"/>
    <w:rsid w:val="00BF0A85"/>
    <w:rsid w:val="00BF61C2"/>
    <w:rsid w:val="00C04D34"/>
    <w:rsid w:val="00C05DF8"/>
    <w:rsid w:val="00C06864"/>
    <w:rsid w:val="00C10F54"/>
    <w:rsid w:val="00C11FBC"/>
    <w:rsid w:val="00C23D8D"/>
    <w:rsid w:val="00C37AA3"/>
    <w:rsid w:val="00C37FD7"/>
    <w:rsid w:val="00C43419"/>
    <w:rsid w:val="00C44CF3"/>
    <w:rsid w:val="00C503C4"/>
    <w:rsid w:val="00C611B5"/>
    <w:rsid w:val="00C61BE0"/>
    <w:rsid w:val="00C6707E"/>
    <w:rsid w:val="00C70B0E"/>
    <w:rsid w:val="00C73156"/>
    <w:rsid w:val="00C74311"/>
    <w:rsid w:val="00C773CA"/>
    <w:rsid w:val="00C83743"/>
    <w:rsid w:val="00C83785"/>
    <w:rsid w:val="00C87AED"/>
    <w:rsid w:val="00C94C0D"/>
    <w:rsid w:val="00CA1FEB"/>
    <w:rsid w:val="00CC74AE"/>
    <w:rsid w:val="00CD4F85"/>
    <w:rsid w:val="00CD6F02"/>
    <w:rsid w:val="00CE246D"/>
    <w:rsid w:val="00CE5E4A"/>
    <w:rsid w:val="00CF07A0"/>
    <w:rsid w:val="00CF2F4E"/>
    <w:rsid w:val="00CF3E03"/>
    <w:rsid w:val="00CF4296"/>
    <w:rsid w:val="00D000B3"/>
    <w:rsid w:val="00D0082A"/>
    <w:rsid w:val="00D21455"/>
    <w:rsid w:val="00D21842"/>
    <w:rsid w:val="00D35871"/>
    <w:rsid w:val="00D47634"/>
    <w:rsid w:val="00D63C31"/>
    <w:rsid w:val="00D661BA"/>
    <w:rsid w:val="00D709B3"/>
    <w:rsid w:val="00D715E8"/>
    <w:rsid w:val="00DA2ED6"/>
    <w:rsid w:val="00DA4E76"/>
    <w:rsid w:val="00DB76B8"/>
    <w:rsid w:val="00DC2EA1"/>
    <w:rsid w:val="00DD5DD2"/>
    <w:rsid w:val="00DD6AAF"/>
    <w:rsid w:val="00DE3F5C"/>
    <w:rsid w:val="00DF1D20"/>
    <w:rsid w:val="00E03912"/>
    <w:rsid w:val="00E130B8"/>
    <w:rsid w:val="00E21324"/>
    <w:rsid w:val="00E246B9"/>
    <w:rsid w:val="00E31FEA"/>
    <w:rsid w:val="00E45169"/>
    <w:rsid w:val="00E46035"/>
    <w:rsid w:val="00E47787"/>
    <w:rsid w:val="00E51C30"/>
    <w:rsid w:val="00E64180"/>
    <w:rsid w:val="00E74AEE"/>
    <w:rsid w:val="00E85062"/>
    <w:rsid w:val="00E868E5"/>
    <w:rsid w:val="00E9109A"/>
    <w:rsid w:val="00E9237A"/>
    <w:rsid w:val="00E939FA"/>
    <w:rsid w:val="00EA52BD"/>
    <w:rsid w:val="00EA5765"/>
    <w:rsid w:val="00EC2532"/>
    <w:rsid w:val="00ED7812"/>
    <w:rsid w:val="00EE1BD9"/>
    <w:rsid w:val="00EF3B86"/>
    <w:rsid w:val="00F30086"/>
    <w:rsid w:val="00F317E9"/>
    <w:rsid w:val="00F34554"/>
    <w:rsid w:val="00F37889"/>
    <w:rsid w:val="00F45F77"/>
    <w:rsid w:val="00F464FC"/>
    <w:rsid w:val="00F475E6"/>
    <w:rsid w:val="00F5090E"/>
    <w:rsid w:val="00F5167F"/>
    <w:rsid w:val="00F52258"/>
    <w:rsid w:val="00F67F16"/>
    <w:rsid w:val="00F77C6C"/>
    <w:rsid w:val="00F8570A"/>
    <w:rsid w:val="00F8598E"/>
    <w:rsid w:val="00F91C7B"/>
    <w:rsid w:val="00FD5A64"/>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817848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semiHidden/>
    <w:unhideWhenUsed/>
    <w:qFormat/>
    <w:rsid w:val="00DD5DD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uiPriority w:val="99"/>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D5DD2"/>
    <w:rPr>
      <w:sz w:val="24"/>
      <w:szCs w:val="24"/>
      <w:lang w:val="en-US" w:eastAsia="en-US"/>
    </w:rPr>
  </w:style>
  <w:style w:type="character" w:customStyle="1" w:styleId="Heading3Char">
    <w:name w:val="Heading 3 Char"/>
    <w:basedOn w:val="DefaultParagraphFont"/>
    <w:link w:val="Heading3"/>
    <w:semiHidden/>
    <w:rsid w:val="00DD5DD2"/>
    <w:rPr>
      <w:rFonts w:asciiTheme="majorHAnsi" w:eastAsiaTheme="majorEastAsia" w:hAnsiTheme="majorHAnsi" w:cstheme="majorBidi"/>
      <w:color w:val="1F4D78" w:themeColor="accent1" w:themeShade="7F"/>
      <w:sz w:val="24"/>
      <w:szCs w:val="24"/>
      <w:lang w:val="en-US" w:eastAsia="en-US"/>
    </w:rPr>
  </w:style>
  <w:style w:type="paragraph" w:styleId="BodyTextIndent2">
    <w:name w:val="Body Text Indent 2"/>
    <w:basedOn w:val="Normal"/>
    <w:link w:val="BodyTextIndent2Char"/>
    <w:rsid w:val="00DD5DD2"/>
    <w:pPr>
      <w:ind w:left="1440"/>
    </w:pPr>
    <w:rPr>
      <w:i/>
      <w:lang w:val="sr-Latn-ME"/>
    </w:rPr>
  </w:style>
  <w:style w:type="character" w:customStyle="1" w:styleId="BodyTextIndent2Char">
    <w:name w:val="Body Text Indent 2 Char"/>
    <w:basedOn w:val="DefaultParagraphFont"/>
    <w:link w:val="BodyTextIndent2"/>
    <w:rsid w:val="00DD5DD2"/>
    <w:rPr>
      <w:i/>
      <w:sz w:val="24"/>
      <w:szCs w:val="24"/>
      <w:lang w:eastAsia="en-US"/>
    </w:rPr>
  </w:style>
  <w:style w:type="paragraph" w:styleId="ListParagraph">
    <w:name w:val="List Paragraph"/>
    <w:basedOn w:val="Normal"/>
    <w:uiPriority w:val="34"/>
    <w:qFormat/>
    <w:rsid w:val="00DD5DD2"/>
    <w:pPr>
      <w:tabs>
        <w:tab w:val="left" w:pos="284"/>
      </w:tabs>
      <w:ind w:left="720"/>
      <w:jc w:val="both"/>
    </w:pPr>
    <w:rPr>
      <w:rFonts w:ascii="Humanist777" w:hAnsi="Humanist777"/>
      <w:lang w:val="sr-Latn-ME"/>
    </w:rPr>
  </w:style>
  <w:style w:type="character" w:customStyle="1" w:styleId="FooterChar">
    <w:name w:val="Footer Char"/>
    <w:link w:val="Footer"/>
    <w:uiPriority w:val="99"/>
    <w:rsid w:val="00DD5DD2"/>
    <w:rPr>
      <w:sz w:val="24"/>
      <w:szCs w:val="24"/>
      <w:lang w:val="en-US" w:eastAsia="en-US"/>
    </w:rPr>
  </w:style>
  <w:style w:type="paragraph" w:styleId="BodyTextIndent">
    <w:name w:val="Body Text Indent"/>
    <w:basedOn w:val="Normal"/>
    <w:link w:val="BodyTextIndentChar"/>
    <w:rsid w:val="00293B76"/>
    <w:pPr>
      <w:spacing w:after="120"/>
      <w:ind w:left="283"/>
    </w:pPr>
  </w:style>
  <w:style w:type="character" w:customStyle="1" w:styleId="BodyTextIndentChar">
    <w:name w:val="Body Text Indent Char"/>
    <w:basedOn w:val="DefaultParagraphFont"/>
    <w:link w:val="BodyTextIndent"/>
    <w:rsid w:val="00293B76"/>
    <w:rPr>
      <w:sz w:val="24"/>
      <w:szCs w:val="24"/>
      <w:lang w:val="en-US" w:eastAsia="en-US"/>
    </w:rPr>
  </w:style>
  <w:style w:type="paragraph" w:styleId="EndnoteText">
    <w:name w:val="endnote text"/>
    <w:basedOn w:val="Normal"/>
    <w:link w:val="EndnoteTextChar"/>
    <w:rsid w:val="00293B76"/>
    <w:rPr>
      <w:rFonts w:ascii="TmsRmn 12pt" w:hAnsi="TmsRmn 12pt"/>
      <w:lang w:val="sr-Latn-ME"/>
    </w:rPr>
  </w:style>
  <w:style w:type="character" w:customStyle="1" w:styleId="EndnoteTextChar">
    <w:name w:val="Endnote Text Char"/>
    <w:basedOn w:val="DefaultParagraphFont"/>
    <w:link w:val="EndnoteText"/>
    <w:rsid w:val="00293B76"/>
    <w:rPr>
      <w:rFonts w:ascii="TmsRmn 12pt" w:hAnsi="TmsRmn 12pt"/>
      <w:sz w:val="24"/>
      <w:szCs w:val="24"/>
      <w:lang w:eastAsia="en-US"/>
    </w:rPr>
  </w:style>
  <w:style w:type="paragraph" w:styleId="BodyText2">
    <w:name w:val="Body Text 2"/>
    <w:basedOn w:val="Normal"/>
    <w:link w:val="BodyText2Char"/>
    <w:rsid w:val="00293B76"/>
    <w:pPr>
      <w:spacing w:after="120" w:line="480" w:lineRule="auto"/>
    </w:pPr>
    <w:rPr>
      <w:sz w:val="20"/>
      <w:szCs w:val="20"/>
      <w:lang w:val="sr-Latn-ME"/>
    </w:rPr>
  </w:style>
  <w:style w:type="character" w:customStyle="1" w:styleId="BodyText2Char">
    <w:name w:val="Body Text 2 Char"/>
    <w:basedOn w:val="DefaultParagraphFont"/>
    <w:link w:val="BodyText2"/>
    <w:rsid w:val="00293B76"/>
    <w:rPr>
      <w:lang w:eastAsia="en-US"/>
    </w:rPr>
  </w:style>
  <w:style w:type="paragraph" w:styleId="Revision">
    <w:name w:val="Revision"/>
    <w:hidden/>
    <w:uiPriority w:val="99"/>
    <w:semiHidden/>
    <w:rsid w:val="00AF3FE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B45A8-0400-4977-81C3-94AF5303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5216</Words>
  <Characters>29733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34880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Dedejić</cp:lastModifiedBy>
  <cp:revision>8</cp:revision>
  <dcterms:created xsi:type="dcterms:W3CDTF">2024-11-20T10:07:00Z</dcterms:created>
  <dcterms:modified xsi:type="dcterms:W3CDTF">2025-02-25T13:06:00Z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