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BAEC2" w14:textId="77777777" w:rsidR="00B92A33" w:rsidRDefault="00B92A33" w:rsidP="005436C8">
      <w:pPr>
        <w:jc w:val="center"/>
        <w:rPr>
          <w:b/>
          <w:bCs/>
          <w:iCs/>
          <w:sz w:val="22"/>
          <w:szCs w:val="22"/>
          <w:u w:val="single"/>
          <w:lang w:val="sr-Latn-ME"/>
        </w:rPr>
      </w:pPr>
    </w:p>
    <w:p w14:paraId="0ACC1E7F" w14:textId="77777777" w:rsidR="002510A5" w:rsidRPr="005436C8" w:rsidRDefault="002510A5" w:rsidP="005436C8">
      <w:pPr>
        <w:jc w:val="center"/>
        <w:rPr>
          <w:b/>
          <w:bCs/>
          <w:iCs/>
          <w:sz w:val="22"/>
          <w:szCs w:val="22"/>
          <w:u w:val="single"/>
          <w:lang w:val="sr-Latn-ME"/>
        </w:rPr>
      </w:pPr>
      <w:r w:rsidRPr="005436C8">
        <w:rPr>
          <w:b/>
          <w:bCs/>
          <w:iCs/>
          <w:sz w:val="22"/>
          <w:szCs w:val="22"/>
          <w:u w:val="single"/>
          <w:lang w:val="sr-Latn-ME"/>
        </w:rPr>
        <w:t>SAŽETAK KARAKTERISTIKA LIJEKA</w:t>
      </w:r>
    </w:p>
    <w:p w14:paraId="53BAB5B1" w14:textId="77777777" w:rsidR="002510A5" w:rsidRPr="005436C8" w:rsidRDefault="002510A5" w:rsidP="005436C8">
      <w:pPr>
        <w:rPr>
          <w:b/>
          <w:bCs/>
          <w:i/>
          <w:iCs/>
          <w:sz w:val="22"/>
          <w:szCs w:val="22"/>
          <w:u w:val="single"/>
          <w:lang w:val="sr-Latn-ME"/>
        </w:rPr>
      </w:pPr>
    </w:p>
    <w:p w14:paraId="3CD9330C" w14:textId="77777777" w:rsidR="003C17AB" w:rsidRPr="005436C8" w:rsidRDefault="003C17AB" w:rsidP="005436C8">
      <w:pPr>
        <w:rPr>
          <w:sz w:val="22"/>
          <w:szCs w:val="22"/>
          <w:lang w:val="sr-Latn-ME"/>
        </w:rPr>
      </w:pPr>
    </w:p>
    <w:p w14:paraId="738834D7" w14:textId="77777777" w:rsidR="00C37FD7" w:rsidRPr="005436C8" w:rsidRDefault="005C5EF4" w:rsidP="005436C8">
      <w:pPr>
        <w:tabs>
          <w:tab w:val="left" w:pos="540"/>
          <w:tab w:val="left" w:pos="569"/>
        </w:tabs>
        <w:jc w:val="both"/>
        <w:rPr>
          <w:bCs/>
          <w:i/>
          <w:sz w:val="22"/>
          <w:szCs w:val="22"/>
          <w:lang w:val="sr-Latn-ME"/>
        </w:rPr>
      </w:pPr>
      <w:r w:rsidRPr="005436C8">
        <w:rPr>
          <w:noProof/>
          <w:sz w:val="22"/>
          <w:szCs w:val="22"/>
        </w:rPr>
        <w:drawing>
          <wp:inline distT="0" distB="0" distL="0" distR="0" wp14:anchorId="60AC1BDA" wp14:editId="45B56006">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5436C8">
        <w:rPr>
          <w:noProof/>
          <w:sz w:val="22"/>
          <w:szCs w:val="22"/>
          <w:lang w:val="sr-Latn-ME"/>
        </w:rPr>
        <w:t xml:space="preserve"> Ovaj lijek je pod dodatnim praćenjem.</w:t>
      </w:r>
      <w:r w:rsidR="003C17AB" w:rsidRPr="005436C8">
        <w:rPr>
          <w:sz w:val="22"/>
          <w:szCs w:val="22"/>
          <w:lang w:val="sr-Latn-ME"/>
        </w:rPr>
        <w:t xml:space="preserve"> </w:t>
      </w:r>
      <w:r w:rsidR="003C17AB" w:rsidRPr="005436C8">
        <w:rPr>
          <w:noProof/>
          <w:sz w:val="22"/>
          <w:szCs w:val="22"/>
          <w:lang w:val="sr-Latn-ME"/>
        </w:rPr>
        <w:t>Time se omogućava brzo otkrivanje novih bezbjednosnih informacija. Zdravstveni radnici treba da prijave svaku sumnju na neželjeno dejstvo ovog lijeka.</w:t>
      </w:r>
      <w:r w:rsidR="003C17AB" w:rsidRPr="005436C8">
        <w:rPr>
          <w:sz w:val="22"/>
          <w:szCs w:val="22"/>
          <w:lang w:val="sr-Latn-ME"/>
        </w:rPr>
        <w:t xml:space="preserve"> Za način prijavljivanja neželjenih dejstava vidjeti </w:t>
      </w:r>
      <w:r w:rsidR="007A3ECB" w:rsidRPr="005436C8">
        <w:rPr>
          <w:sz w:val="22"/>
          <w:szCs w:val="22"/>
          <w:lang w:val="sr-Latn-ME"/>
        </w:rPr>
        <w:t xml:space="preserve">dio </w:t>
      </w:r>
      <w:r w:rsidR="003C17AB" w:rsidRPr="005436C8">
        <w:rPr>
          <w:sz w:val="22"/>
          <w:szCs w:val="22"/>
          <w:lang w:val="sr-Latn-ME"/>
        </w:rPr>
        <w:t>4.8</w:t>
      </w:r>
      <w:r w:rsidR="003C17AB" w:rsidRPr="005436C8">
        <w:rPr>
          <w:noProof/>
          <w:sz w:val="22"/>
          <w:szCs w:val="22"/>
          <w:lang w:val="sr-Latn-ME"/>
        </w:rPr>
        <w:t>.</w:t>
      </w:r>
      <w:r w:rsidR="00107BF7" w:rsidRPr="005436C8">
        <w:rPr>
          <w:noProof/>
          <w:sz w:val="22"/>
          <w:szCs w:val="22"/>
          <w:lang w:val="sr-Latn-ME"/>
        </w:rPr>
        <w:t xml:space="preserve"> </w:t>
      </w:r>
    </w:p>
    <w:p w14:paraId="4B600202" w14:textId="77777777" w:rsidR="003C17AB" w:rsidRPr="005436C8" w:rsidRDefault="003C17AB" w:rsidP="005436C8">
      <w:pPr>
        <w:tabs>
          <w:tab w:val="left" w:pos="540"/>
          <w:tab w:val="left" w:pos="569"/>
        </w:tabs>
        <w:rPr>
          <w:noProof/>
          <w:sz w:val="22"/>
          <w:szCs w:val="22"/>
          <w:lang w:val="sr-Latn-ME"/>
        </w:rPr>
      </w:pPr>
    </w:p>
    <w:p w14:paraId="3D39E1C4" w14:textId="77777777" w:rsidR="00C37FD7" w:rsidRPr="005436C8" w:rsidRDefault="00C37FD7" w:rsidP="005436C8">
      <w:pPr>
        <w:tabs>
          <w:tab w:val="left" w:pos="540"/>
          <w:tab w:val="left" w:pos="569"/>
        </w:tabs>
        <w:rPr>
          <w:bCs/>
          <w:sz w:val="22"/>
          <w:szCs w:val="22"/>
          <w:lang w:val="sr-Latn-ME"/>
        </w:rPr>
      </w:pPr>
    </w:p>
    <w:p w14:paraId="7096EA47"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1.</w:t>
      </w:r>
      <w:r w:rsidR="00F5167F" w:rsidRPr="005436C8">
        <w:rPr>
          <w:b/>
          <w:bCs/>
          <w:sz w:val="22"/>
          <w:szCs w:val="22"/>
          <w:lang w:val="sr-Latn-ME"/>
        </w:rPr>
        <w:tab/>
      </w:r>
      <w:r w:rsidR="002846DB" w:rsidRPr="005436C8">
        <w:rPr>
          <w:b/>
          <w:bCs/>
          <w:sz w:val="22"/>
          <w:szCs w:val="22"/>
          <w:lang w:val="sr-Latn-ME"/>
        </w:rPr>
        <w:t xml:space="preserve">NAZIV </w:t>
      </w:r>
      <w:r w:rsidRPr="005436C8">
        <w:rPr>
          <w:b/>
          <w:bCs/>
          <w:sz w:val="22"/>
          <w:szCs w:val="22"/>
          <w:lang w:val="sr-Latn-ME"/>
        </w:rPr>
        <w:t>LIJEKA</w:t>
      </w:r>
    </w:p>
    <w:p w14:paraId="68A689F8" w14:textId="77777777" w:rsidR="00EC2532" w:rsidRPr="005436C8" w:rsidRDefault="00EC2532" w:rsidP="005436C8">
      <w:pPr>
        <w:rPr>
          <w:sz w:val="22"/>
          <w:szCs w:val="22"/>
          <w:lang w:val="sr-Latn-ME"/>
        </w:rPr>
      </w:pPr>
    </w:p>
    <w:p w14:paraId="5807E9C0" w14:textId="77777777" w:rsidR="000C7302" w:rsidRPr="005436C8" w:rsidRDefault="000C7302" w:rsidP="005436C8">
      <w:pPr>
        <w:rPr>
          <w:i/>
          <w:iCs/>
          <w:sz w:val="22"/>
          <w:szCs w:val="22"/>
          <w:lang w:val="sr-Latn-ME"/>
        </w:rPr>
      </w:pPr>
      <w:r w:rsidRPr="005436C8">
        <w:rPr>
          <w:i/>
          <w:iCs/>
          <w:sz w:val="22"/>
          <w:szCs w:val="22"/>
          <w:lang w:val="sr-Latn-ME"/>
        </w:rPr>
        <w:t>Phesgo</w:t>
      </w:r>
      <w:r w:rsidR="00480DE8" w:rsidRPr="005436C8">
        <w:rPr>
          <w:i/>
          <w:iCs/>
          <w:sz w:val="22"/>
          <w:szCs w:val="22"/>
          <w:lang w:val="sr-Latn-ME"/>
        </w:rPr>
        <w:t>,</w:t>
      </w:r>
      <w:r w:rsidRPr="005436C8">
        <w:rPr>
          <w:i/>
          <w:iCs/>
          <w:sz w:val="22"/>
          <w:szCs w:val="22"/>
          <w:lang w:val="sr-Latn-ME"/>
        </w:rPr>
        <w:t xml:space="preserve"> </w:t>
      </w:r>
      <w:r w:rsidR="00115EBA" w:rsidRPr="005436C8">
        <w:rPr>
          <w:i/>
          <w:iCs/>
          <w:sz w:val="22"/>
          <w:szCs w:val="22"/>
          <w:lang w:val="sr-Latn-ME"/>
        </w:rPr>
        <w:t>(</w:t>
      </w:r>
      <w:r w:rsidRPr="005436C8">
        <w:rPr>
          <w:i/>
          <w:iCs/>
          <w:sz w:val="22"/>
          <w:szCs w:val="22"/>
          <w:lang w:val="sr-Latn-ME"/>
        </w:rPr>
        <w:t>600 mg</w:t>
      </w:r>
      <w:r w:rsidR="00115EBA" w:rsidRPr="005436C8">
        <w:rPr>
          <w:i/>
          <w:iCs/>
          <w:sz w:val="22"/>
          <w:szCs w:val="22"/>
          <w:lang w:val="sr-Latn-ME"/>
        </w:rPr>
        <w:t xml:space="preserve"> + </w:t>
      </w:r>
      <w:r w:rsidRPr="005436C8">
        <w:rPr>
          <w:i/>
          <w:iCs/>
          <w:sz w:val="22"/>
          <w:szCs w:val="22"/>
          <w:lang w:val="sr-Latn-ME"/>
        </w:rPr>
        <w:t>600 mg</w:t>
      </w:r>
      <w:r w:rsidR="00115EBA" w:rsidRPr="005436C8">
        <w:rPr>
          <w:i/>
          <w:iCs/>
          <w:sz w:val="22"/>
          <w:szCs w:val="22"/>
          <w:lang w:val="sr-Latn-ME"/>
        </w:rPr>
        <w:t>)/</w:t>
      </w:r>
      <w:r w:rsidR="00873AFC" w:rsidRPr="005436C8">
        <w:rPr>
          <w:i/>
          <w:iCs/>
          <w:sz w:val="22"/>
          <w:szCs w:val="22"/>
          <w:lang w:val="sr-Latn-ME"/>
        </w:rPr>
        <w:t xml:space="preserve"> </w:t>
      </w:r>
      <w:r w:rsidR="00115EBA" w:rsidRPr="005436C8">
        <w:rPr>
          <w:i/>
          <w:iCs/>
          <w:sz w:val="22"/>
          <w:szCs w:val="22"/>
          <w:lang w:val="sr-Latn-ME"/>
        </w:rPr>
        <w:t>10 ml</w:t>
      </w:r>
      <w:r w:rsidR="00480DE8" w:rsidRPr="005436C8">
        <w:rPr>
          <w:i/>
          <w:iCs/>
          <w:sz w:val="22"/>
          <w:szCs w:val="22"/>
          <w:lang w:val="sr-Latn-ME"/>
        </w:rPr>
        <w:t>,</w:t>
      </w:r>
      <w:r w:rsidRPr="005436C8">
        <w:rPr>
          <w:i/>
          <w:iCs/>
          <w:sz w:val="22"/>
          <w:szCs w:val="22"/>
          <w:lang w:val="sr-Latn-ME"/>
        </w:rPr>
        <w:t xml:space="preserve"> rastvor za injekciju </w:t>
      </w:r>
    </w:p>
    <w:p w14:paraId="429F51DA" w14:textId="77777777" w:rsidR="000C7302" w:rsidRPr="005436C8" w:rsidRDefault="000C7302" w:rsidP="005436C8">
      <w:pPr>
        <w:rPr>
          <w:i/>
          <w:iCs/>
          <w:sz w:val="22"/>
          <w:szCs w:val="22"/>
          <w:lang w:val="sr-Latn-ME"/>
        </w:rPr>
      </w:pPr>
      <w:r w:rsidRPr="005436C8">
        <w:rPr>
          <w:i/>
          <w:iCs/>
          <w:sz w:val="22"/>
          <w:szCs w:val="22"/>
          <w:lang w:val="sr-Latn-ME"/>
        </w:rPr>
        <w:t>Phesgo</w:t>
      </w:r>
      <w:r w:rsidR="00480DE8" w:rsidRPr="005436C8">
        <w:rPr>
          <w:i/>
          <w:iCs/>
          <w:sz w:val="22"/>
          <w:szCs w:val="22"/>
          <w:lang w:val="sr-Latn-ME"/>
        </w:rPr>
        <w:t>,</w:t>
      </w:r>
      <w:r w:rsidRPr="005436C8">
        <w:rPr>
          <w:i/>
          <w:iCs/>
          <w:sz w:val="22"/>
          <w:szCs w:val="22"/>
          <w:lang w:val="sr-Latn-ME"/>
        </w:rPr>
        <w:t xml:space="preserve"> </w:t>
      </w:r>
      <w:r w:rsidR="00115EBA" w:rsidRPr="005436C8">
        <w:rPr>
          <w:i/>
          <w:iCs/>
          <w:sz w:val="22"/>
          <w:szCs w:val="22"/>
          <w:lang w:val="sr-Latn-ME"/>
        </w:rPr>
        <w:t>(</w:t>
      </w:r>
      <w:r w:rsidRPr="005436C8">
        <w:rPr>
          <w:i/>
          <w:iCs/>
          <w:sz w:val="22"/>
          <w:szCs w:val="22"/>
          <w:lang w:val="sr-Latn-ME"/>
        </w:rPr>
        <w:t>1200 mg</w:t>
      </w:r>
      <w:r w:rsidR="00115EBA" w:rsidRPr="005436C8">
        <w:rPr>
          <w:i/>
          <w:iCs/>
          <w:sz w:val="22"/>
          <w:szCs w:val="22"/>
          <w:lang w:val="sr-Latn-ME"/>
        </w:rPr>
        <w:t xml:space="preserve"> + </w:t>
      </w:r>
      <w:r w:rsidRPr="005436C8">
        <w:rPr>
          <w:i/>
          <w:iCs/>
          <w:sz w:val="22"/>
          <w:szCs w:val="22"/>
          <w:lang w:val="sr-Latn-ME"/>
        </w:rPr>
        <w:t>600 mg</w:t>
      </w:r>
      <w:r w:rsidR="00115EBA" w:rsidRPr="005436C8">
        <w:rPr>
          <w:i/>
          <w:iCs/>
          <w:sz w:val="22"/>
          <w:szCs w:val="22"/>
          <w:lang w:val="sr-Latn-ME"/>
        </w:rPr>
        <w:t>)/</w:t>
      </w:r>
      <w:r w:rsidR="00873AFC" w:rsidRPr="005436C8">
        <w:rPr>
          <w:i/>
          <w:iCs/>
          <w:sz w:val="22"/>
          <w:szCs w:val="22"/>
          <w:lang w:val="sr-Latn-ME"/>
        </w:rPr>
        <w:t xml:space="preserve"> </w:t>
      </w:r>
      <w:r w:rsidR="00115EBA" w:rsidRPr="005436C8">
        <w:rPr>
          <w:i/>
          <w:iCs/>
          <w:sz w:val="22"/>
          <w:szCs w:val="22"/>
          <w:lang w:val="sr-Latn-ME"/>
        </w:rPr>
        <w:t>15 ml</w:t>
      </w:r>
      <w:r w:rsidR="00480DE8" w:rsidRPr="005436C8">
        <w:rPr>
          <w:i/>
          <w:iCs/>
          <w:sz w:val="22"/>
          <w:szCs w:val="22"/>
          <w:lang w:val="sr-Latn-ME"/>
        </w:rPr>
        <w:t>,</w:t>
      </w:r>
      <w:r w:rsidRPr="005436C8">
        <w:rPr>
          <w:i/>
          <w:iCs/>
          <w:sz w:val="22"/>
          <w:szCs w:val="22"/>
          <w:lang w:val="sr-Latn-ME"/>
        </w:rPr>
        <w:t xml:space="preserve"> rastvor za injekciju</w:t>
      </w:r>
    </w:p>
    <w:p w14:paraId="7513EFA2" w14:textId="77777777" w:rsidR="000D425A" w:rsidRPr="005436C8" w:rsidRDefault="000D425A" w:rsidP="005436C8">
      <w:pPr>
        <w:rPr>
          <w:bCs/>
          <w:sz w:val="22"/>
          <w:szCs w:val="22"/>
          <w:lang w:val="sr-Latn-ME"/>
        </w:rPr>
      </w:pPr>
    </w:p>
    <w:p w14:paraId="18DD1915" w14:textId="77777777" w:rsidR="006D20A5" w:rsidRPr="005436C8" w:rsidRDefault="006D20A5" w:rsidP="005436C8">
      <w:pPr>
        <w:rPr>
          <w:sz w:val="22"/>
          <w:szCs w:val="22"/>
          <w:lang w:val="sr-Latn-ME"/>
        </w:rPr>
      </w:pPr>
      <w:r w:rsidRPr="005436C8">
        <w:rPr>
          <w:sz w:val="22"/>
          <w:szCs w:val="22"/>
          <w:lang w:val="sr-Latn-ME"/>
        </w:rPr>
        <w:t>INN:</w:t>
      </w:r>
      <w:r w:rsidR="000C7302" w:rsidRPr="005436C8">
        <w:rPr>
          <w:sz w:val="22"/>
          <w:szCs w:val="22"/>
          <w:lang w:val="sr-Latn-ME"/>
        </w:rPr>
        <w:t xml:space="preserve"> pertuzumab</w:t>
      </w:r>
      <w:r w:rsidR="00115EBA" w:rsidRPr="005436C8">
        <w:rPr>
          <w:sz w:val="22"/>
          <w:szCs w:val="22"/>
          <w:lang w:val="sr-Latn-ME"/>
        </w:rPr>
        <w:t>,</w:t>
      </w:r>
      <w:r w:rsidR="001E7729" w:rsidRPr="005436C8">
        <w:rPr>
          <w:sz w:val="22"/>
          <w:szCs w:val="22"/>
          <w:lang w:val="sr-Latn-ME"/>
        </w:rPr>
        <w:t xml:space="preserve"> </w:t>
      </w:r>
      <w:r w:rsidR="000C7302" w:rsidRPr="005436C8">
        <w:rPr>
          <w:sz w:val="22"/>
          <w:szCs w:val="22"/>
          <w:lang w:val="sr-Latn-ME"/>
        </w:rPr>
        <w:t>trastuzumab</w:t>
      </w:r>
    </w:p>
    <w:p w14:paraId="7517FE96" w14:textId="77777777" w:rsidR="006D20A5" w:rsidRPr="005436C8" w:rsidRDefault="006D20A5" w:rsidP="005436C8">
      <w:pPr>
        <w:rPr>
          <w:bCs/>
          <w:sz w:val="22"/>
          <w:szCs w:val="22"/>
          <w:lang w:val="sr-Latn-ME"/>
        </w:rPr>
      </w:pPr>
    </w:p>
    <w:p w14:paraId="348EB708" w14:textId="77777777" w:rsidR="00530BD7" w:rsidRPr="005436C8" w:rsidRDefault="00530BD7" w:rsidP="005436C8">
      <w:pPr>
        <w:rPr>
          <w:bCs/>
          <w:sz w:val="22"/>
          <w:szCs w:val="22"/>
          <w:lang w:val="sr-Latn-ME"/>
        </w:rPr>
      </w:pPr>
    </w:p>
    <w:p w14:paraId="62106F2B"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 xml:space="preserve">2. </w:t>
      </w:r>
      <w:r w:rsidR="00F5167F" w:rsidRPr="005436C8">
        <w:rPr>
          <w:b/>
          <w:bCs/>
          <w:sz w:val="22"/>
          <w:szCs w:val="22"/>
          <w:lang w:val="sr-Latn-ME"/>
        </w:rPr>
        <w:tab/>
      </w:r>
      <w:r w:rsidRPr="005436C8">
        <w:rPr>
          <w:b/>
          <w:bCs/>
          <w:sz w:val="22"/>
          <w:szCs w:val="22"/>
          <w:lang w:val="sr-Latn-ME"/>
        </w:rPr>
        <w:t>KVALITATIVNI I KVANTITATIVNI SASTAV</w:t>
      </w:r>
    </w:p>
    <w:p w14:paraId="2B85A67B" w14:textId="77777777" w:rsidR="005A0B2E" w:rsidRPr="005436C8" w:rsidRDefault="005A0B2E" w:rsidP="005436C8">
      <w:pPr>
        <w:rPr>
          <w:sz w:val="22"/>
          <w:szCs w:val="22"/>
          <w:lang w:val="sr-Latn-ME"/>
        </w:rPr>
      </w:pPr>
    </w:p>
    <w:p w14:paraId="415078B4" w14:textId="77777777" w:rsidR="000C7302" w:rsidRPr="005436C8" w:rsidRDefault="000C7302" w:rsidP="005436C8">
      <w:pPr>
        <w:rPr>
          <w:sz w:val="22"/>
          <w:szCs w:val="22"/>
          <w:u w:val="single"/>
          <w:lang w:val="sr-Latn-ME"/>
        </w:rPr>
      </w:pPr>
      <w:r w:rsidRPr="005436C8">
        <w:rPr>
          <w:sz w:val="22"/>
          <w:szCs w:val="22"/>
          <w:u w:val="single"/>
          <w:lang w:val="sr-Latn-ME"/>
        </w:rPr>
        <w:t xml:space="preserve">Phesgo </w:t>
      </w:r>
      <w:r w:rsidR="00115EBA" w:rsidRPr="005436C8">
        <w:rPr>
          <w:sz w:val="22"/>
          <w:szCs w:val="22"/>
          <w:u w:val="single"/>
          <w:lang w:val="sr-Latn-ME"/>
        </w:rPr>
        <w:t>(</w:t>
      </w:r>
      <w:r w:rsidRPr="005436C8">
        <w:rPr>
          <w:sz w:val="22"/>
          <w:szCs w:val="22"/>
          <w:u w:val="single"/>
          <w:lang w:val="sr-Latn-ME"/>
        </w:rPr>
        <w:t>600 mg</w:t>
      </w:r>
      <w:r w:rsidR="00115EBA" w:rsidRPr="005436C8">
        <w:rPr>
          <w:sz w:val="22"/>
          <w:szCs w:val="22"/>
          <w:u w:val="single"/>
          <w:lang w:val="sr-Latn-ME"/>
        </w:rPr>
        <w:t xml:space="preserve"> + </w:t>
      </w:r>
      <w:r w:rsidRPr="005436C8">
        <w:rPr>
          <w:sz w:val="22"/>
          <w:szCs w:val="22"/>
          <w:u w:val="single"/>
          <w:lang w:val="sr-Latn-ME"/>
        </w:rPr>
        <w:t>600 mg</w:t>
      </w:r>
      <w:r w:rsidR="00115EBA" w:rsidRPr="005436C8">
        <w:rPr>
          <w:sz w:val="22"/>
          <w:szCs w:val="22"/>
          <w:u w:val="single"/>
          <w:lang w:val="sr-Latn-ME"/>
        </w:rPr>
        <w:t>)/ 10 ml</w:t>
      </w:r>
      <w:r w:rsidRPr="005436C8">
        <w:rPr>
          <w:sz w:val="22"/>
          <w:szCs w:val="22"/>
          <w:u w:val="single"/>
          <w:lang w:val="sr-Latn-ME"/>
        </w:rPr>
        <w:t xml:space="preserve"> rastvor za injekciju </w:t>
      </w:r>
    </w:p>
    <w:p w14:paraId="473357D3" w14:textId="77777777" w:rsidR="000C7302" w:rsidRPr="005436C8" w:rsidRDefault="000C7302" w:rsidP="005436C8">
      <w:pPr>
        <w:rPr>
          <w:sz w:val="22"/>
          <w:szCs w:val="22"/>
          <w:lang w:val="sr-Latn-ME"/>
        </w:rPr>
      </w:pPr>
    </w:p>
    <w:p w14:paraId="17BD099B" w14:textId="77777777" w:rsidR="000C7302" w:rsidRPr="005436C8" w:rsidRDefault="000C7302" w:rsidP="005436C8">
      <w:pPr>
        <w:rPr>
          <w:sz w:val="22"/>
          <w:szCs w:val="22"/>
          <w:lang w:val="sr-Latn-ME"/>
        </w:rPr>
      </w:pPr>
      <w:r w:rsidRPr="005436C8">
        <w:rPr>
          <w:sz w:val="22"/>
          <w:szCs w:val="22"/>
          <w:lang w:val="sr-Latn-ME"/>
        </w:rPr>
        <w:t xml:space="preserve">Jedna bočica sa 10 </w:t>
      </w:r>
      <w:r w:rsidR="00115EBA" w:rsidRPr="005436C8">
        <w:rPr>
          <w:sz w:val="22"/>
          <w:szCs w:val="22"/>
          <w:lang w:val="sr-Latn-ME"/>
        </w:rPr>
        <w:t>ml</w:t>
      </w:r>
      <w:r w:rsidRPr="005436C8">
        <w:rPr>
          <w:sz w:val="22"/>
          <w:szCs w:val="22"/>
          <w:lang w:val="sr-Latn-ME"/>
        </w:rPr>
        <w:t xml:space="preserve"> rastvora sadrži 600 mg pertuzumaba i 600 mg trastuzumaba. </w:t>
      </w:r>
    </w:p>
    <w:p w14:paraId="4A262B84" w14:textId="77777777" w:rsidR="000C7302" w:rsidRPr="005436C8" w:rsidRDefault="000C7302" w:rsidP="005436C8">
      <w:pPr>
        <w:rPr>
          <w:sz w:val="22"/>
          <w:szCs w:val="22"/>
          <w:lang w:val="sr-Latn-ME"/>
        </w:rPr>
      </w:pPr>
      <w:r w:rsidRPr="005436C8">
        <w:rPr>
          <w:sz w:val="22"/>
          <w:szCs w:val="22"/>
          <w:lang w:val="sr-Latn-ME"/>
        </w:rPr>
        <w:t xml:space="preserve">Jedan </w:t>
      </w:r>
      <w:r w:rsidR="00115EBA" w:rsidRPr="005436C8">
        <w:rPr>
          <w:sz w:val="22"/>
          <w:szCs w:val="22"/>
          <w:lang w:val="sr-Latn-ME"/>
        </w:rPr>
        <w:t>ml</w:t>
      </w:r>
      <w:r w:rsidRPr="005436C8">
        <w:rPr>
          <w:sz w:val="22"/>
          <w:szCs w:val="22"/>
          <w:lang w:val="sr-Latn-ME"/>
        </w:rPr>
        <w:t xml:space="preserve"> rastvora sadrži 60 mg pertuzumaba i 60 mg trastuzumaba</w:t>
      </w:r>
      <w:r w:rsidR="001E7729" w:rsidRPr="005436C8">
        <w:rPr>
          <w:sz w:val="22"/>
          <w:szCs w:val="22"/>
          <w:lang w:val="sr-Latn-ME"/>
        </w:rPr>
        <w:t>.</w:t>
      </w:r>
    </w:p>
    <w:p w14:paraId="3560473D" w14:textId="77777777" w:rsidR="000C7302" w:rsidRPr="005436C8" w:rsidRDefault="000C7302" w:rsidP="005436C8">
      <w:pPr>
        <w:rPr>
          <w:sz w:val="22"/>
          <w:szCs w:val="22"/>
          <w:u w:val="single"/>
          <w:lang w:val="sr-Latn-ME"/>
        </w:rPr>
      </w:pPr>
    </w:p>
    <w:p w14:paraId="4999B24C" w14:textId="77777777" w:rsidR="000C7302" w:rsidRPr="005436C8" w:rsidRDefault="000C7302" w:rsidP="005436C8">
      <w:pPr>
        <w:rPr>
          <w:sz w:val="22"/>
          <w:szCs w:val="22"/>
          <w:u w:val="single"/>
          <w:lang w:val="sr-Latn-ME"/>
        </w:rPr>
      </w:pPr>
      <w:r w:rsidRPr="005436C8">
        <w:rPr>
          <w:sz w:val="22"/>
          <w:szCs w:val="22"/>
          <w:u w:val="single"/>
          <w:lang w:val="sr-Latn-ME"/>
        </w:rPr>
        <w:t xml:space="preserve">Phesgo </w:t>
      </w:r>
      <w:r w:rsidR="00115EBA" w:rsidRPr="005436C8">
        <w:rPr>
          <w:sz w:val="22"/>
          <w:szCs w:val="22"/>
          <w:u w:val="single"/>
          <w:lang w:val="sr-Latn-ME"/>
        </w:rPr>
        <w:t>(</w:t>
      </w:r>
      <w:r w:rsidRPr="005436C8">
        <w:rPr>
          <w:sz w:val="22"/>
          <w:szCs w:val="22"/>
          <w:u w:val="single"/>
          <w:lang w:val="sr-Latn-ME"/>
        </w:rPr>
        <w:t>1200 mg</w:t>
      </w:r>
      <w:r w:rsidR="00115EBA" w:rsidRPr="005436C8">
        <w:rPr>
          <w:sz w:val="22"/>
          <w:szCs w:val="22"/>
          <w:u w:val="single"/>
          <w:lang w:val="sr-Latn-ME"/>
        </w:rPr>
        <w:t xml:space="preserve"> + </w:t>
      </w:r>
      <w:r w:rsidRPr="005436C8">
        <w:rPr>
          <w:sz w:val="22"/>
          <w:szCs w:val="22"/>
          <w:u w:val="single"/>
          <w:lang w:val="sr-Latn-ME"/>
        </w:rPr>
        <w:t>600 mg</w:t>
      </w:r>
      <w:r w:rsidR="00115EBA" w:rsidRPr="005436C8">
        <w:rPr>
          <w:sz w:val="22"/>
          <w:szCs w:val="22"/>
          <w:u w:val="single"/>
          <w:lang w:val="sr-Latn-ME"/>
        </w:rPr>
        <w:t>)/ 15 ml</w:t>
      </w:r>
      <w:r w:rsidRPr="005436C8">
        <w:rPr>
          <w:sz w:val="22"/>
          <w:szCs w:val="22"/>
          <w:u w:val="single"/>
          <w:lang w:val="sr-Latn-ME"/>
        </w:rPr>
        <w:t xml:space="preserve"> rastvor za injekciju </w:t>
      </w:r>
    </w:p>
    <w:p w14:paraId="2859DDDC" w14:textId="77777777" w:rsidR="000C7302" w:rsidRPr="005436C8" w:rsidRDefault="000C7302" w:rsidP="005436C8">
      <w:pPr>
        <w:rPr>
          <w:sz w:val="22"/>
          <w:szCs w:val="22"/>
          <w:lang w:val="sr-Latn-ME"/>
        </w:rPr>
      </w:pPr>
    </w:p>
    <w:p w14:paraId="1AA10901" w14:textId="77777777" w:rsidR="000C7302" w:rsidRPr="005436C8" w:rsidRDefault="000C7302" w:rsidP="005436C8">
      <w:pPr>
        <w:rPr>
          <w:sz w:val="22"/>
          <w:szCs w:val="22"/>
          <w:lang w:val="sr-Latn-ME"/>
        </w:rPr>
      </w:pPr>
      <w:r w:rsidRPr="005436C8">
        <w:rPr>
          <w:sz w:val="22"/>
          <w:szCs w:val="22"/>
          <w:lang w:val="sr-Latn-ME"/>
        </w:rPr>
        <w:t xml:space="preserve">Jedna bočica sa 15 </w:t>
      </w:r>
      <w:r w:rsidR="00115EBA" w:rsidRPr="005436C8">
        <w:rPr>
          <w:sz w:val="22"/>
          <w:szCs w:val="22"/>
          <w:lang w:val="sr-Latn-ME"/>
        </w:rPr>
        <w:t>ml</w:t>
      </w:r>
      <w:r w:rsidRPr="005436C8">
        <w:rPr>
          <w:sz w:val="22"/>
          <w:szCs w:val="22"/>
          <w:lang w:val="sr-Latn-ME"/>
        </w:rPr>
        <w:t xml:space="preserve"> rastvora sadrži 1200 mg pertuzumaba i 600 mg trastuzumaba. </w:t>
      </w:r>
    </w:p>
    <w:p w14:paraId="2EE33B2A" w14:textId="77777777" w:rsidR="000C7302" w:rsidRPr="005436C8" w:rsidRDefault="000C7302" w:rsidP="005436C8">
      <w:pPr>
        <w:rPr>
          <w:sz w:val="22"/>
          <w:szCs w:val="22"/>
          <w:lang w:val="sr-Latn-ME"/>
        </w:rPr>
      </w:pPr>
      <w:r w:rsidRPr="005436C8">
        <w:rPr>
          <w:sz w:val="22"/>
          <w:szCs w:val="22"/>
          <w:lang w:val="sr-Latn-ME"/>
        </w:rPr>
        <w:t xml:space="preserve">Jedan </w:t>
      </w:r>
      <w:r w:rsidR="00115EBA" w:rsidRPr="005436C8">
        <w:rPr>
          <w:sz w:val="22"/>
          <w:szCs w:val="22"/>
          <w:lang w:val="sr-Latn-ME"/>
        </w:rPr>
        <w:t>ml</w:t>
      </w:r>
      <w:r w:rsidRPr="005436C8">
        <w:rPr>
          <w:sz w:val="22"/>
          <w:szCs w:val="22"/>
          <w:lang w:val="sr-Latn-ME"/>
        </w:rPr>
        <w:t xml:space="preserve"> rastvora sadrži 80 mg pertuzumaba i 40 mg trastuzumaba</w:t>
      </w:r>
      <w:r w:rsidR="00784ECC" w:rsidRPr="005436C8">
        <w:rPr>
          <w:sz w:val="22"/>
          <w:szCs w:val="22"/>
          <w:lang w:val="sr-Latn-ME"/>
        </w:rPr>
        <w:t>.</w:t>
      </w:r>
    </w:p>
    <w:p w14:paraId="5E617EE4" w14:textId="77777777" w:rsidR="000C7302" w:rsidRPr="005436C8" w:rsidRDefault="000C7302" w:rsidP="005436C8">
      <w:pPr>
        <w:rPr>
          <w:sz w:val="22"/>
          <w:szCs w:val="22"/>
          <w:lang w:val="sr-Latn-ME"/>
        </w:rPr>
      </w:pPr>
    </w:p>
    <w:p w14:paraId="5D4DD95A" w14:textId="77777777" w:rsidR="000C7302" w:rsidRPr="005436C8" w:rsidRDefault="000C7302" w:rsidP="00D61A6E">
      <w:pPr>
        <w:jc w:val="both"/>
        <w:rPr>
          <w:sz w:val="22"/>
          <w:szCs w:val="22"/>
          <w:lang w:val="sr-Latn-ME"/>
        </w:rPr>
      </w:pPr>
      <w:r w:rsidRPr="005436C8">
        <w:rPr>
          <w:sz w:val="22"/>
          <w:szCs w:val="22"/>
          <w:lang w:val="sr-Latn-ME"/>
        </w:rPr>
        <w:t>Pertuzumab i trastuzumab su humanizovana (Ig)G1 monoklonska antit</w:t>
      </w:r>
      <w:r w:rsidR="00784ECC" w:rsidRPr="005436C8">
        <w:rPr>
          <w:sz w:val="22"/>
          <w:szCs w:val="22"/>
          <w:lang w:val="sr-Latn-ME"/>
        </w:rPr>
        <w:t>ij</w:t>
      </w:r>
      <w:r w:rsidRPr="005436C8">
        <w:rPr>
          <w:sz w:val="22"/>
          <w:szCs w:val="22"/>
          <w:lang w:val="sr-Latn-ME"/>
        </w:rPr>
        <w:t>ela koja se proizvode u ćelijama sisara (ćelije jajnika kineskog hrčka) tehnologijom rekombinantne dezoksiribonukleinske kiseline (DNK).</w:t>
      </w:r>
    </w:p>
    <w:p w14:paraId="0E983A73" w14:textId="77777777" w:rsidR="000C7302" w:rsidRPr="005436C8" w:rsidRDefault="000C7302" w:rsidP="005436C8">
      <w:pPr>
        <w:rPr>
          <w:sz w:val="22"/>
          <w:szCs w:val="22"/>
          <w:lang w:val="sr-Latn-ME"/>
        </w:rPr>
      </w:pPr>
    </w:p>
    <w:p w14:paraId="0106FEB6" w14:textId="77777777" w:rsidR="0003793F" w:rsidRPr="005436C8" w:rsidRDefault="0003793F" w:rsidP="005436C8">
      <w:pPr>
        <w:rPr>
          <w:sz w:val="22"/>
          <w:szCs w:val="22"/>
          <w:lang w:val="sr-Latn-ME"/>
        </w:rPr>
      </w:pPr>
      <w:r w:rsidRPr="005436C8">
        <w:rPr>
          <w:sz w:val="22"/>
          <w:szCs w:val="22"/>
          <w:lang w:val="sr-Latn-ME"/>
        </w:rPr>
        <w:t>Za spisak svih ekscipijenasa, pogledati dio 6.1.</w:t>
      </w:r>
    </w:p>
    <w:p w14:paraId="046630B0" w14:textId="77777777" w:rsidR="0003793F" w:rsidRPr="005436C8" w:rsidRDefault="0003793F" w:rsidP="005436C8">
      <w:pPr>
        <w:rPr>
          <w:sz w:val="22"/>
          <w:szCs w:val="22"/>
          <w:lang w:val="sr-Latn-ME"/>
        </w:rPr>
      </w:pPr>
    </w:p>
    <w:p w14:paraId="5F6675A0" w14:textId="77777777" w:rsidR="00C37FD7" w:rsidRPr="005436C8" w:rsidRDefault="00C37FD7" w:rsidP="005436C8">
      <w:pPr>
        <w:rPr>
          <w:sz w:val="22"/>
          <w:szCs w:val="22"/>
          <w:lang w:val="sr-Latn-ME"/>
        </w:rPr>
      </w:pPr>
    </w:p>
    <w:p w14:paraId="78BB6E78"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 xml:space="preserve">3. </w:t>
      </w:r>
      <w:r w:rsidR="00F5167F" w:rsidRPr="005436C8">
        <w:rPr>
          <w:b/>
          <w:bCs/>
          <w:sz w:val="22"/>
          <w:szCs w:val="22"/>
          <w:lang w:val="sr-Latn-ME"/>
        </w:rPr>
        <w:tab/>
      </w:r>
      <w:r w:rsidRPr="005436C8">
        <w:rPr>
          <w:b/>
          <w:bCs/>
          <w:sz w:val="22"/>
          <w:szCs w:val="22"/>
          <w:lang w:val="sr-Latn-ME"/>
        </w:rPr>
        <w:t>FARMACEUTSKI OBLIK</w:t>
      </w:r>
      <w:r w:rsidR="009F2D23" w:rsidRPr="005436C8">
        <w:rPr>
          <w:b/>
          <w:bCs/>
          <w:sz w:val="22"/>
          <w:szCs w:val="22"/>
          <w:lang w:val="sr-Latn-ME"/>
        </w:rPr>
        <w:t xml:space="preserve"> </w:t>
      </w:r>
    </w:p>
    <w:p w14:paraId="4989EF66" w14:textId="77777777" w:rsidR="000C7302" w:rsidRPr="005436C8" w:rsidRDefault="000C7302" w:rsidP="005436C8">
      <w:pPr>
        <w:tabs>
          <w:tab w:val="left" w:pos="540"/>
          <w:tab w:val="left" w:pos="569"/>
        </w:tabs>
        <w:rPr>
          <w:b/>
          <w:bCs/>
          <w:sz w:val="22"/>
          <w:szCs w:val="22"/>
          <w:lang w:val="sr-Latn-ME"/>
        </w:rPr>
      </w:pPr>
    </w:p>
    <w:p w14:paraId="4BB1F4FF" w14:textId="77777777" w:rsidR="000C7302" w:rsidRPr="005436C8" w:rsidRDefault="000C7302" w:rsidP="005436C8">
      <w:pPr>
        <w:rPr>
          <w:sz w:val="22"/>
          <w:szCs w:val="22"/>
          <w:lang w:val="sr-Latn-ME"/>
        </w:rPr>
      </w:pPr>
      <w:r w:rsidRPr="005436C8">
        <w:rPr>
          <w:sz w:val="22"/>
          <w:szCs w:val="22"/>
          <w:lang w:val="sr-Latn-ME"/>
        </w:rPr>
        <w:t xml:space="preserve">Rastvor za injekciju. </w:t>
      </w:r>
    </w:p>
    <w:p w14:paraId="0510A56B" w14:textId="77777777" w:rsidR="000C7302" w:rsidRPr="005436C8" w:rsidRDefault="000C7302" w:rsidP="005436C8">
      <w:pPr>
        <w:rPr>
          <w:sz w:val="22"/>
          <w:szCs w:val="22"/>
          <w:lang w:val="sr-Latn-ME"/>
        </w:rPr>
      </w:pPr>
    </w:p>
    <w:p w14:paraId="6AA6B7FC" w14:textId="77777777" w:rsidR="000C7302" w:rsidRPr="005436C8" w:rsidRDefault="000C7302" w:rsidP="00D61A6E">
      <w:pPr>
        <w:jc w:val="both"/>
        <w:rPr>
          <w:sz w:val="22"/>
          <w:szCs w:val="22"/>
          <w:lang w:val="sr-Latn-ME"/>
        </w:rPr>
      </w:pPr>
      <w:r w:rsidRPr="005436C8">
        <w:rPr>
          <w:sz w:val="22"/>
          <w:szCs w:val="22"/>
          <w:lang w:val="sr-Latn-ME"/>
        </w:rPr>
        <w:t xml:space="preserve">Bistar do opalescentan, bezbojan do blago braonkasti rastvor, čija je pH </w:t>
      </w:r>
      <w:r w:rsidR="000A2EA9" w:rsidRPr="005436C8">
        <w:rPr>
          <w:sz w:val="22"/>
          <w:szCs w:val="22"/>
          <w:lang w:val="sr-Latn-ME"/>
        </w:rPr>
        <w:t>vrijednost</w:t>
      </w:r>
      <w:r w:rsidRPr="005436C8">
        <w:rPr>
          <w:sz w:val="22"/>
          <w:szCs w:val="22"/>
          <w:lang w:val="sr-Latn-ME"/>
        </w:rPr>
        <w:t xml:space="preserve"> 5,2–5,8, osmolarnost 270–370 mOsmol/kg za rastvor od </w:t>
      </w:r>
      <w:r w:rsidR="00FE754C" w:rsidRPr="005436C8">
        <w:rPr>
          <w:sz w:val="22"/>
          <w:szCs w:val="22"/>
          <w:lang w:val="sr-Latn-ME"/>
        </w:rPr>
        <w:t>(</w:t>
      </w:r>
      <w:r w:rsidRPr="005436C8">
        <w:rPr>
          <w:sz w:val="22"/>
          <w:szCs w:val="22"/>
          <w:lang w:val="sr-Latn-ME"/>
        </w:rPr>
        <w:t>1200 mg</w:t>
      </w:r>
      <w:r w:rsidR="00FE754C" w:rsidRPr="005436C8">
        <w:rPr>
          <w:sz w:val="22"/>
          <w:szCs w:val="22"/>
          <w:lang w:val="sr-Latn-ME"/>
        </w:rPr>
        <w:t xml:space="preserve"> + </w:t>
      </w:r>
      <w:r w:rsidRPr="005436C8">
        <w:rPr>
          <w:sz w:val="22"/>
          <w:szCs w:val="22"/>
          <w:lang w:val="sr-Latn-ME"/>
        </w:rPr>
        <w:t>600 mg</w:t>
      </w:r>
      <w:r w:rsidR="00FE754C" w:rsidRPr="005436C8">
        <w:rPr>
          <w:sz w:val="22"/>
          <w:szCs w:val="22"/>
          <w:lang w:val="sr-Latn-ME"/>
        </w:rPr>
        <w:t>)/ 15 ml</w:t>
      </w:r>
      <w:r w:rsidRPr="005436C8">
        <w:rPr>
          <w:sz w:val="22"/>
          <w:szCs w:val="22"/>
          <w:lang w:val="sr-Latn-ME"/>
        </w:rPr>
        <w:t xml:space="preserve"> i 275–375 mOsmol/kg za rastvor od </w:t>
      </w:r>
      <w:r w:rsidR="00FE754C" w:rsidRPr="005436C8">
        <w:rPr>
          <w:sz w:val="22"/>
          <w:szCs w:val="22"/>
          <w:lang w:val="sr-Latn-ME"/>
        </w:rPr>
        <w:t>(</w:t>
      </w:r>
      <w:r w:rsidRPr="005436C8">
        <w:rPr>
          <w:sz w:val="22"/>
          <w:szCs w:val="22"/>
          <w:lang w:val="sr-Latn-ME"/>
        </w:rPr>
        <w:t>600 mg</w:t>
      </w:r>
      <w:r w:rsidR="00FE754C" w:rsidRPr="005436C8">
        <w:rPr>
          <w:sz w:val="22"/>
          <w:szCs w:val="22"/>
          <w:lang w:val="sr-Latn-ME"/>
        </w:rPr>
        <w:t xml:space="preserve"> + </w:t>
      </w:r>
      <w:r w:rsidRPr="005436C8">
        <w:rPr>
          <w:sz w:val="22"/>
          <w:szCs w:val="22"/>
          <w:lang w:val="sr-Latn-ME"/>
        </w:rPr>
        <w:t>600 mg</w:t>
      </w:r>
      <w:r w:rsidR="00FE754C" w:rsidRPr="005436C8">
        <w:rPr>
          <w:sz w:val="22"/>
          <w:szCs w:val="22"/>
          <w:lang w:val="sr-Latn-ME"/>
        </w:rPr>
        <w:t>)/ 10 ml</w:t>
      </w:r>
      <w:r w:rsidRPr="005436C8">
        <w:rPr>
          <w:sz w:val="22"/>
          <w:szCs w:val="22"/>
          <w:lang w:val="sr-Latn-ME"/>
        </w:rPr>
        <w:t>.</w:t>
      </w:r>
    </w:p>
    <w:p w14:paraId="18ED2EA4" w14:textId="77777777" w:rsidR="00411B4B" w:rsidRPr="005436C8" w:rsidRDefault="00411B4B" w:rsidP="005436C8">
      <w:pPr>
        <w:rPr>
          <w:bCs/>
          <w:sz w:val="22"/>
          <w:szCs w:val="22"/>
          <w:lang w:val="sr-Latn-ME"/>
        </w:rPr>
      </w:pPr>
    </w:p>
    <w:p w14:paraId="5E23193A" w14:textId="77777777" w:rsidR="00EC2532" w:rsidRPr="005436C8" w:rsidRDefault="00EC2532" w:rsidP="005436C8">
      <w:pPr>
        <w:rPr>
          <w:bCs/>
          <w:sz w:val="22"/>
          <w:szCs w:val="22"/>
          <w:lang w:val="sr-Latn-ME"/>
        </w:rPr>
      </w:pPr>
    </w:p>
    <w:p w14:paraId="038BA323"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 xml:space="preserve">4. </w:t>
      </w:r>
      <w:r w:rsidR="00480FB1" w:rsidRPr="005436C8">
        <w:rPr>
          <w:b/>
          <w:bCs/>
          <w:sz w:val="22"/>
          <w:szCs w:val="22"/>
          <w:lang w:val="sr-Latn-ME"/>
        </w:rPr>
        <w:tab/>
      </w:r>
      <w:r w:rsidRPr="005436C8">
        <w:rPr>
          <w:b/>
          <w:bCs/>
          <w:sz w:val="22"/>
          <w:szCs w:val="22"/>
          <w:lang w:val="sr-Latn-ME"/>
        </w:rPr>
        <w:t>KLINIČKI PODACI</w:t>
      </w:r>
    </w:p>
    <w:p w14:paraId="1EFE19C2" w14:textId="77777777" w:rsidR="00CD6F02" w:rsidRPr="005436C8" w:rsidRDefault="00CD6F02" w:rsidP="005436C8">
      <w:pPr>
        <w:tabs>
          <w:tab w:val="left" w:pos="540"/>
          <w:tab w:val="left" w:pos="569"/>
        </w:tabs>
        <w:rPr>
          <w:bCs/>
          <w:sz w:val="22"/>
          <w:szCs w:val="22"/>
          <w:lang w:val="sr-Latn-ME"/>
        </w:rPr>
      </w:pPr>
    </w:p>
    <w:p w14:paraId="152EE91E" w14:textId="77777777" w:rsidR="00411B4B" w:rsidRPr="005436C8" w:rsidRDefault="00411B4B" w:rsidP="005436C8">
      <w:pPr>
        <w:tabs>
          <w:tab w:val="left" w:pos="540"/>
          <w:tab w:val="left" w:pos="569"/>
        </w:tabs>
        <w:jc w:val="both"/>
        <w:rPr>
          <w:b/>
          <w:bCs/>
          <w:sz w:val="22"/>
          <w:szCs w:val="22"/>
          <w:lang w:val="sr-Latn-ME"/>
        </w:rPr>
      </w:pPr>
      <w:r w:rsidRPr="005436C8">
        <w:rPr>
          <w:b/>
          <w:bCs/>
          <w:sz w:val="22"/>
          <w:szCs w:val="22"/>
          <w:lang w:val="sr-Latn-ME"/>
        </w:rPr>
        <w:t xml:space="preserve">4.1. </w:t>
      </w:r>
      <w:r w:rsidR="00480FB1" w:rsidRPr="005436C8">
        <w:rPr>
          <w:b/>
          <w:bCs/>
          <w:sz w:val="22"/>
          <w:szCs w:val="22"/>
          <w:lang w:val="sr-Latn-ME"/>
        </w:rPr>
        <w:tab/>
      </w:r>
      <w:r w:rsidRPr="005436C8">
        <w:rPr>
          <w:b/>
          <w:bCs/>
          <w:sz w:val="22"/>
          <w:szCs w:val="22"/>
          <w:lang w:val="sr-Latn-ME"/>
        </w:rPr>
        <w:t>Terapijske indikacije</w:t>
      </w:r>
    </w:p>
    <w:p w14:paraId="43B1DBDF" w14:textId="77777777" w:rsidR="000C7302" w:rsidRPr="005436C8" w:rsidRDefault="000C7302" w:rsidP="005436C8">
      <w:pPr>
        <w:tabs>
          <w:tab w:val="left" w:pos="540"/>
          <w:tab w:val="left" w:pos="569"/>
        </w:tabs>
        <w:jc w:val="both"/>
        <w:rPr>
          <w:b/>
          <w:bCs/>
          <w:sz w:val="22"/>
          <w:szCs w:val="22"/>
          <w:lang w:val="sr-Latn-ME"/>
        </w:rPr>
      </w:pPr>
    </w:p>
    <w:p w14:paraId="194CC7CA" w14:textId="77777777" w:rsidR="000C7302" w:rsidRPr="005436C8" w:rsidRDefault="000C7302" w:rsidP="005436C8">
      <w:pPr>
        <w:jc w:val="both"/>
        <w:rPr>
          <w:color w:val="000000" w:themeColor="text1"/>
          <w:sz w:val="22"/>
          <w:szCs w:val="22"/>
          <w:u w:val="single"/>
          <w:lang w:val="sr-Latn-ME"/>
        </w:rPr>
      </w:pPr>
      <w:r w:rsidRPr="005436C8">
        <w:rPr>
          <w:color w:val="000000" w:themeColor="text1"/>
          <w:sz w:val="22"/>
          <w:szCs w:val="22"/>
          <w:u w:val="single"/>
          <w:lang w:val="sr-Latn-ME"/>
        </w:rPr>
        <w:t>Rani karcinom dojke</w:t>
      </w:r>
    </w:p>
    <w:p w14:paraId="319958B1" w14:textId="77777777" w:rsidR="000C7302" w:rsidRPr="005436C8" w:rsidRDefault="000C7302" w:rsidP="005436C8">
      <w:pPr>
        <w:jc w:val="both"/>
        <w:rPr>
          <w:color w:val="000000" w:themeColor="text1"/>
          <w:sz w:val="22"/>
          <w:szCs w:val="22"/>
          <w:lang w:val="sr-Latn-ME"/>
        </w:rPr>
      </w:pPr>
    </w:p>
    <w:p w14:paraId="62EC3CA4" w14:textId="77777777" w:rsidR="000C7302" w:rsidRPr="005436C8" w:rsidRDefault="00166973" w:rsidP="005436C8">
      <w:pPr>
        <w:jc w:val="both"/>
        <w:rPr>
          <w:color w:val="000000" w:themeColor="text1"/>
          <w:sz w:val="22"/>
          <w:szCs w:val="22"/>
          <w:lang w:val="sr-Latn-ME"/>
        </w:rPr>
      </w:pPr>
      <w:r w:rsidRPr="005436C8">
        <w:rPr>
          <w:sz w:val="22"/>
          <w:szCs w:val="22"/>
          <w:lang w:val="sr-Latn-ME"/>
        </w:rPr>
        <w:t>Lijek</w:t>
      </w:r>
      <w:r w:rsidR="000C7302" w:rsidRPr="005436C8">
        <w:rPr>
          <w:sz w:val="22"/>
          <w:szCs w:val="22"/>
          <w:lang w:val="sr-Latn-ME"/>
        </w:rPr>
        <w:t xml:space="preserve"> </w:t>
      </w:r>
      <w:r w:rsidR="000C7302" w:rsidRPr="005436C8">
        <w:rPr>
          <w:noProof/>
          <w:color w:val="000000" w:themeColor="text1"/>
          <w:sz w:val="22"/>
          <w:szCs w:val="22"/>
          <w:lang w:val="sr-Latn-ME"/>
        </w:rPr>
        <w:t>Phesgo</w:t>
      </w:r>
      <w:r w:rsidR="000C7302" w:rsidRPr="005436C8">
        <w:rPr>
          <w:color w:val="000000" w:themeColor="text1"/>
          <w:sz w:val="22"/>
          <w:szCs w:val="22"/>
          <w:lang w:val="sr-Latn-ME"/>
        </w:rPr>
        <w:t xml:space="preserve"> je indikovan za </w:t>
      </w:r>
      <w:r w:rsidR="00097926" w:rsidRPr="005436C8">
        <w:rPr>
          <w:color w:val="000000" w:themeColor="text1"/>
          <w:sz w:val="22"/>
          <w:szCs w:val="22"/>
          <w:lang w:val="sr-Latn-ME"/>
        </w:rPr>
        <w:t>primjenu</w:t>
      </w:r>
      <w:r w:rsidR="000C7302" w:rsidRPr="005436C8">
        <w:rPr>
          <w:color w:val="000000" w:themeColor="text1"/>
          <w:sz w:val="22"/>
          <w:szCs w:val="22"/>
          <w:lang w:val="sr-Latn-ME"/>
        </w:rPr>
        <w:t xml:space="preserve"> u kombinaciji sa hemoterapijom za: </w:t>
      </w:r>
    </w:p>
    <w:p w14:paraId="1BDF3E37" w14:textId="1999F948" w:rsidR="000C7302" w:rsidRPr="005436C8" w:rsidRDefault="000C7302" w:rsidP="005436C8">
      <w:pPr>
        <w:ind w:left="518" w:hanging="158"/>
        <w:jc w:val="both"/>
        <w:rPr>
          <w:color w:val="000000" w:themeColor="text1"/>
          <w:sz w:val="22"/>
          <w:szCs w:val="22"/>
          <w:lang w:val="sr-Latn-ME"/>
        </w:rPr>
      </w:pPr>
      <w:r w:rsidRPr="005436C8">
        <w:rPr>
          <w:sz w:val="22"/>
          <w:szCs w:val="22"/>
          <w:lang w:val="sr-Latn-ME"/>
        </w:rPr>
        <w:sym w:font="Symbol" w:char="F0B7"/>
      </w:r>
      <w:r w:rsidRPr="005436C8">
        <w:rPr>
          <w:color w:val="000000" w:themeColor="text1"/>
          <w:sz w:val="22"/>
          <w:szCs w:val="22"/>
          <w:lang w:val="sr-Latn-ME"/>
        </w:rPr>
        <w:t xml:space="preserve"> neoadjuvantnu terapiju odraslih pacijenata sa HER2 pozitivnim lokalno uznapredovalim, inflamatornim karcinomom dojke</w:t>
      </w:r>
      <w:r w:rsidR="00B50700" w:rsidRPr="005436C8">
        <w:rPr>
          <w:color w:val="000000" w:themeColor="text1"/>
          <w:sz w:val="22"/>
          <w:szCs w:val="22"/>
          <w:lang w:val="sr-Latn-ME"/>
        </w:rPr>
        <w:t>,</w:t>
      </w:r>
      <w:r w:rsidRPr="005436C8">
        <w:rPr>
          <w:color w:val="000000" w:themeColor="text1"/>
          <w:sz w:val="22"/>
          <w:szCs w:val="22"/>
          <w:lang w:val="sr-Latn-ME"/>
        </w:rPr>
        <w:t xml:space="preserve"> ili karcinomom dojke u ranom stadijumu sa visokim rizikom od recidiva (pogledati </w:t>
      </w:r>
      <w:r w:rsidR="009B712A">
        <w:rPr>
          <w:color w:val="000000" w:themeColor="text1"/>
          <w:sz w:val="22"/>
          <w:szCs w:val="22"/>
          <w:lang w:val="sr-Latn-ME"/>
        </w:rPr>
        <w:t>dio</w:t>
      </w:r>
      <w:r w:rsidRPr="005436C8">
        <w:rPr>
          <w:color w:val="000000" w:themeColor="text1"/>
          <w:sz w:val="22"/>
          <w:szCs w:val="22"/>
          <w:lang w:val="sr-Latn-ME"/>
        </w:rPr>
        <w:t xml:space="preserve"> 5.1)</w:t>
      </w:r>
      <w:r w:rsidR="00B50700" w:rsidRPr="005436C8">
        <w:rPr>
          <w:color w:val="000000" w:themeColor="text1"/>
          <w:sz w:val="22"/>
          <w:szCs w:val="22"/>
          <w:lang w:val="sr-Latn-ME"/>
        </w:rPr>
        <w:t>;</w:t>
      </w:r>
    </w:p>
    <w:p w14:paraId="5E628744" w14:textId="30D61B32" w:rsidR="000C7302" w:rsidRPr="005436C8" w:rsidRDefault="000C7302" w:rsidP="005436C8">
      <w:pPr>
        <w:ind w:left="518" w:hanging="158"/>
        <w:jc w:val="both"/>
        <w:rPr>
          <w:color w:val="000000" w:themeColor="text1"/>
          <w:sz w:val="22"/>
          <w:szCs w:val="22"/>
          <w:lang w:val="sr-Latn-ME"/>
        </w:rPr>
      </w:pPr>
      <w:r w:rsidRPr="005436C8">
        <w:rPr>
          <w:sz w:val="22"/>
          <w:szCs w:val="22"/>
          <w:lang w:val="sr-Latn-ME"/>
        </w:rPr>
        <w:sym w:font="Symbol" w:char="F0B7"/>
      </w:r>
      <w:r w:rsidRPr="005436C8">
        <w:rPr>
          <w:color w:val="000000" w:themeColor="text1"/>
          <w:sz w:val="22"/>
          <w:szCs w:val="22"/>
          <w:lang w:val="sr-Latn-ME"/>
        </w:rPr>
        <w:t xml:space="preserve"> adjuvantnu terapiju odraslih pacijenata sa HER2 pozitivnim ranim karcinomom dojke sa visokim rizikom od recidiva (pogledati </w:t>
      </w:r>
      <w:r w:rsidR="009B712A">
        <w:rPr>
          <w:color w:val="000000" w:themeColor="text1"/>
          <w:sz w:val="22"/>
          <w:szCs w:val="22"/>
          <w:lang w:val="sr-Latn-ME"/>
        </w:rPr>
        <w:t>dio</w:t>
      </w:r>
      <w:r w:rsidRPr="005436C8">
        <w:rPr>
          <w:color w:val="000000" w:themeColor="text1"/>
          <w:sz w:val="22"/>
          <w:szCs w:val="22"/>
          <w:lang w:val="sr-Latn-ME"/>
        </w:rPr>
        <w:t xml:space="preserve"> 5.1)</w:t>
      </w:r>
      <w:r w:rsidR="00B50700" w:rsidRPr="005436C8">
        <w:rPr>
          <w:color w:val="000000" w:themeColor="text1"/>
          <w:sz w:val="22"/>
          <w:szCs w:val="22"/>
          <w:lang w:val="sr-Latn-ME"/>
        </w:rPr>
        <w:t>.</w:t>
      </w:r>
    </w:p>
    <w:p w14:paraId="04EC19E4" w14:textId="77777777" w:rsidR="000C7302" w:rsidRPr="005436C8" w:rsidRDefault="000C7302" w:rsidP="005436C8">
      <w:pPr>
        <w:jc w:val="both"/>
        <w:rPr>
          <w:color w:val="000000" w:themeColor="text1"/>
          <w:sz w:val="22"/>
          <w:szCs w:val="22"/>
          <w:lang w:val="sr-Latn-ME"/>
        </w:rPr>
      </w:pPr>
    </w:p>
    <w:p w14:paraId="70A9FFAA" w14:textId="77777777" w:rsidR="000C7302" w:rsidRPr="005436C8" w:rsidRDefault="000C7302" w:rsidP="005436C8">
      <w:pPr>
        <w:jc w:val="both"/>
        <w:rPr>
          <w:color w:val="000000" w:themeColor="text1"/>
          <w:sz w:val="22"/>
          <w:szCs w:val="22"/>
          <w:u w:val="single"/>
          <w:lang w:val="sr-Latn-ME"/>
        </w:rPr>
      </w:pPr>
      <w:r w:rsidRPr="005436C8">
        <w:rPr>
          <w:color w:val="000000" w:themeColor="text1"/>
          <w:sz w:val="22"/>
          <w:szCs w:val="22"/>
          <w:u w:val="single"/>
          <w:lang w:val="sr-Latn-ME"/>
        </w:rPr>
        <w:t>Metastatski karcinom dojke</w:t>
      </w:r>
    </w:p>
    <w:p w14:paraId="44C213AB" w14:textId="77777777" w:rsidR="000C7302" w:rsidRPr="005436C8" w:rsidRDefault="000C7302" w:rsidP="005436C8">
      <w:pPr>
        <w:jc w:val="both"/>
        <w:rPr>
          <w:color w:val="000000" w:themeColor="text1"/>
          <w:sz w:val="22"/>
          <w:szCs w:val="22"/>
          <w:u w:val="single"/>
          <w:lang w:val="sr-Latn-ME"/>
        </w:rPr>
      </w:pPr>
    </w:p>
    <w:p w14:paraId="64796B26" w14:textId="77777777" w:rsidR="000C7302" w:rsidRPr="005436C8" w:rsidRDefault="00166973" w:rsidP="005436C8">
      <w:pPr>
        <w:jc w:val="both"/>
        <w:rPr>
          <w:color w:val="000000" w:themeColor="text1"/>
          <w:sz w:val="22"/>
          <w:szCs w:val="22"/>
          <w:lang w:val="sr-Latn-ME"/>
        </w:rPr>
      </w:pPr>
      <w:r w:rsidRPr="005436C8">
        <w:rPr>
          <w:sz w:val="22"/>
          <w:szCs w:val="22"/>
          <w:lang w:val="sr-Latn-ME"/>
        </w:rPr>
        <w:t>Lijek</w:t>
      </w:r>
      <w:r w:rsidR="000C7302" w:rsidRPr="005436C8">
        <w:rPr>
          <w:sz w:val="22"/>
          <w:szCs w:val="22"/>
          <w:lang w:val="sr-Latn-ME"/>
        </w:rPr>
        <w:t xml:space="preserve"> </w:t>
      </w:r>
      <w:r w:rsidR="000C7302" w:rsidRPr="005436C8">
        <w:rPr>
          <w:noProof/>
          <w:color w:val="000000" w:themeColor="text1"/>
          <w:sz w:val="22"/>
          <w:szCs w:val="22"/>
          <w:lang w:val="sr-Latn-ME"/>
        </w:rPr>
        <w:t>Phesgo</w:t>
      </w:r>
      <w:r w:rsidR="000C7302" w:rsidRPr="005436C8">
        <w:rPr>
          <w:color w:val="000000" w:themeColor="text1"/>
          <w:sz w:val="22"/>
          <w:szCs w:val="22"/>
          <w:lang w:val="sr-Latn-ME"/>
        </w:rPr>
        <w:t xml:space="preserve"> je indikovan za </w:t>
      </w:r>
      <w:r w:rsidR="00097926" w:rsidRPr="005436C8">
        <w:rPr>
          <w:color w:val="000000" w:themeColor="text1"/>
          <w:sz w:val="22"/>
          <w:szCs w:val="22"/>
          <w:lang w:val="sr-Latn-ME"/>
        </w:rPr>
        <w:t>primjenu</w:t>
      </w:r>
      <w:r w:rsidR="000C7302" w:rsidRPr="005436C8">
        <w:rPr>
          <w:color w:val="000000" w:themeColor="text1"/>
          <w:sz w:val="22"/>
          <w:szCs w:val="22"/>
          <w:lang w:val="sr-Latn-ME"/>
        </w:rPr>
        <w:t xml:space="preserve"> u kombinaciji sa docetakselom kod odraslih pacijenata sa HER2 pozitivnim metastatskim ili lokalno rekurentnim neresektabilnim karcinomom dojke, koji nisu prethodno primali anti-HER2 terapiju ili hemoterapiju za </w:t>
      </w:r>
      <w:r w:rsidR="00841D7D" w:rsidRPr="005436C8">
        <w:rPr>
          <w:color w:val="000000" w:themeColor="text1"/>
          <w:sz w:val="22"/>
          <w:szCs w:val="22"/>
          <w:lang w:val="sr-Latn-ME"/>
        </w:rPr>
        <w:t>liječenje</w:t>
      </w:r>
      <w:r w:rsidR="000C7302" w:rsidRPr="005436C8">
        <w:rPr>
          <w:color w:val="000000" w:themeColor="text1"/>
          <w:sz w:val="22"/>
          <w:szCs w:val="22"/>
          <w:lang w:val="sr-Latn-ME"/>
        </w:rPr>
        <w:t xml:space="preserve"> metastatske bolesti.</w:t>
      </w:r>
    </w:p>
    <w:p w14:paraId="21107D74" w14:textId="77777777" w:rsidR="000C7302" w:rsidRPr="005436C8" w:rsidRDefault="000C7302" w:rsidP="005436C8">
      <w:pPr>
        <w:tabs>
          <w:tab w:val="left" w:pos="540"/>
          <w:tab w:val="left" w:pos="569"/>
        </w:tabs>
        <w:rPr>
          <w:b/>
          <w:bCs/>
          <w:sz w:val="22"/>
          <w:szCs w:val="22"/>
          <w:lang w:val="sr-Latn-ME"/>
        </w:rPr>
      </w:pPr>
    </w:p>
    <w:p w14:paraId="10A98D28"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 xml:space="preserve">4.2. </w:t>
      </w:r>
      <w:r w:rsidR="00480FB1" w:rsidRPr="005436C8">
        <w:rPr>
          <w:b/>
          <w:bCs/>
          <w:sz w:val="22"/>
          <w:szCs w:val="22"/>
          <w:lang w:val="sr-Latn-ME"/>
        </w:rPr>
        <w:tab/>
      </w:r>
      <w:r w:rsidRPr="005436C8">
        <w:rPr>
          <w:b/>
          <w:bCs/>
          <w:sz w:val="22"/>
          <w:szCs w:val="22"/>
          <w:lang w:val="sr-Latn-ME"/>
        </w:rPr>
        <w:t>Doziranje i način primjene</w:t>
      </w:r>
    </w:p>
    <w:p w14:paraId="5398EBFB" w14:textId="77777777" w:rsidR="0072020E" w:rsidRPr="005436C8" w:rsidRDefault="0072020E" w:rsidP="005436C8">
      <w:pPr>
        <w:tabs>
          <w:tab w:val="left" w:pos="540"/>
          <w:tab w:val="left" w:pos="569"/>
        </w:tabs>
        <w:rPr>
          <w:bCs/>
          <w:sz w:val="22"/>
          <w:szCs w:val="22"/>
          <w:lang w:val="sr-Latn-ME"/>
        </w:rPr>
      </w:pPr>
    </w:p>
    <w:p w14:paraId="2CA1DBB8" w14:textId="46DE72C5" w:rsidR="000C7302" w:rsidRPr="005436C8" w:rsidRDefault="000C7302" w:rsidP="005436C8">
      <w:pPr>
        <w:tabs>
          <w:tab w:val="left" w:pos="284"/>
        </w:tabs>
        <w:jc w:val="both"/>
        <w:rPr>
          <w:sz w:val="22"/>
          <w:szCs w:val="22"/>
          <w:lang w:val="sr-Latn-ME"/>
        </w:rPr>
      </w:pPr>
      <w:r w:rsidRPr="005436C8">
        <w:rPr>
          <w:sz w:val="22"/>
          <w:szCs w:val="22"/>
          <w:lang w:val="sr-Latn-ME"/>
        </w:rPr>
        <w:t xml:space="preserve">Terapiju </w:t>
      </w:r>
      <w:r w:rsidR="00166973" w:rsidRPr="005436C8">
        <w:rPr>
          <w:sz w:val="22"/>
          <w:szCs w:val="22"/>
          <w:lang w:val="sr-Latn-ME"/>
        </w:rPr>
        <w:t>lijek</w:t>
      </w:r>
      <w:r w:rsidRPr="005436C8">
        <w:rPr>
          <w:sz w:val="22"/>
          <w:szCs w:val="22"/>
          <w:lang w:val="sr-Latn-ME"/>
        </w:rPr>
        <w:t xml:space="preserve">om Phesgo treba započeti samo pod nadzorom </w:t>
      </w:r>
      <w:r w:rsidR="00841D7D" w:rsidRPr="005436C8">
        <w:rPr>
          <w:sz w:val="22"/>
          <w:szCs w:val="22"/>
          <w:lang w:val="sr-Latn-ME"/>
        </w:rPr>
        <w:t>ljekara</w:t>
      </w:r>
      <w:r w:rsidRPr="005436C8">
        <w:rPr>
          <w:sz w:val="22"/>
          <w:szCs w:val="22"/>
          <w:lang w:val="sr-Latn-ME"/>
        </w:rPr>
        <w:t xml:space="preserve"> koji ima iskustva u prim</w:t>
      </w:r>
      <w:r w:rsidR="002700CC" w:rsidRPr="005436C8">
        <w:rPr>
          <w:sz w:val="22"/>
          <w:szCs w:val="22"/>
          <w:lang w:val="sr-Latn-ME"/>
        </w:rPr>
        <w:t>j</w:t>
      </w:r>
      <w:r w:rsidRPr="005436C8">
        <w:rPr>
          <w:sz w:val="22"/>
          <w:szCs w:val="22"/>
          <w:lang w:val="sr-Latn-ME"/>
        </w:rPr>
        <w:t xml:space="preserve">eni antineoplastičnih </w:t>
      </w:r>
      <w:r w:rsidR="00FE754C" w:rsidRPr="005436C8">
        <w:rPr>
          <w:sz w:val="22"/>
          <w:szCs w:val="22"/>
          <w:lang w:val="sr-Latn-ME"/>
        </w:rPr>
        <w:t>ljekov</w:t>
      </w:r>
      <w:r w:rsidRPr="005436C8">
        <w:rPr>
          <w:sz w:val="22"/>
          <w:szCs w:val="22"/>
          <w:lang w:val="sr-Latn-ME"/>
        </w:rPr>
        <w:t xml:space="preserve">a. </w:t>
      </w:r>
      <w:r w:rsidR="00166973" w:rsidRPr="005436C8">
        <w:rPr>
          <w:sz w:val="22"/>
          <w:szCs w:val="22"/>
          <w:lang w:val="sr-Latn-ME"/>
        </w:rPr>
        <w:t>Lijek</w:t>
      </w:r>
      <w:r w:rsidRPr="005436C8">
        <w:rPr>
          <w:sz w:val="22"/>
          <w:szCs w:val="22"/>
          <w:lang w:val="sr-Latn-ME"/>
        </w:rPr>
        <w:t xml:space="preserve"> Phesgo mora prim</w:t>
      </w:r>
      <w:r w:rsidR="00E52A5F" w:rsidRPr="005436C8">
        <w:rPr>
          <w:sz w:val="22"/>
          <w:szCs w:val="22"/>
          <w:lang w:val="sr-Latn-ME"/>
        </w:rPr>
        <w:t>i</w:t>
      </w:r>
      <w:r w:rsidR="002700CC" w:rsidRPr="005436C8">
        <w:rPr>
          <w:sz w:val="22"/>
          <w:szCs w:val="22"/>
          <w:lang w:val="sr-Latn-ME"/>
        </w:rPr>
        <w:t>j</w:t>
      </w:r>
      <w:r w:rsidRPr="005436C8">
        <w:rPr>
          <w:sz w:val="22"/>
          <w:szCs w:val="22"/>
          <w:lang w:val="sr-Latn-ME"/>
        </w:rPr>
        <w:t xml:space="preserve">eniti zdravstveni radnik obučen za zbrinjavanje anafilakse i to u uslovima u kojima </w:t>
      </w:r>
      <w:r w:rsidR="00841D7D" w:rsidRPr="005436C8">
        <w:rPr>
          <w:sz w:val="22"/>
          <w:szCs w:val="22"/>
          <w:lang w:val="sr-Latn-ME"/>
        </w:rPr>
        <w:t>je</w:t>
      </w:r>
      <w:r w:rsidRPr="005436C8">
        <w:rPr>
          <w:sz w:val="22"/>
          <w:szCs w:val="22"/>
          <w:lang w:val="sr-Latn-ME"/>
        </w:rPr>
        <w:t xml:space="preserve"> odmah dostupna mogućnost za kompletnu reanimaciju (pogledati </w:t>
      </w:r>
      <w:r w:rsidR="009B712A">
        <w:rPr>
          <w:sz w:val="22"/>
          <w:szCs w:val="22"/>
          <w:lang w:val="sr-Latn-ME"/>
        </w:rPr>
        <w:t>dio</w:t>
      </w:r>
      <w:r w:rsidRPr="005436C8">
        <w:rPr>
          <w:sz w:val="22"/>
          <w:szCs w:val="22"/>
          <w:lang w:val="sr-Latn-ME"/>
        </w:rPr>
        <w:t xml:space="preserve"> 4.4). </w:t>
      </w:r>
    </w:p>
    <w:p w14:paraId="5876EC06" w14:textId="77777777" w:rsidR="000C7302" w:rsidRPr="005436C8" w:rsidRDefault="000C7302" w:rsidP="005436C8">
      <w:pPr>
        <w:tabs>
          <w:tab w:val="left" w:pos="284"/>
        </w:tabs>
        <w:jc w:val="both"/>
        <w:rPr>
          <w:sz w:val="22"/>
          <w:szCs w:val="22"/>
          <w:lang w:val="sr-Latn-ME"/>
        </w:rPr>
      </w:pPr>
    </w:p>
    <w:p w14:paraId="65497546"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Radi </w:t>
      </w:r>
      <w:r w:rsidR="00A21698" w:rsidRPr="005436C8">
        <w:rPr>
          <w:sz w:val="22"/>
          <w:szCs w:val="22"/>
          <w:lang w:val="sr-Latn-ME"/>
        </w:rPr>
        <w:t>sprječavanja</w:t>
      </w:r>
      <w:r w:rsidRPr="005436C8">
        <w:rPr>
          <w:sz w:val="22"/>
          <w:szCs w:val="22"/>
          <w:lang w:val="sr-Latn-ME"/>
        </w:rPr>
        <w:t xml:space="preserve"> medicinskih grešaka, važno je </w:t>
      </w:r>
      <w:r w:rsidR="00A21698" w:rsidRPr="005436C8">
        <w:rPr>
          <w:sz w:val="22"/>
          <w:szCs w:val="22"/>
          <w:lang w:val="sr-Latn-ME"/>
        </w:rPr>
        <w:t>provjeriti</w:t>
      </w:r>
      <w:r w:rsidRPr="005436C8">
        <w:rPr>
          <w:sz w:val="22"/>
          <w:szCs w:val="22"/>
          <w:lang w:val="sr-Latn-ME"/>
        </w:rPr>
        <w:t xml:space="preserve"> </w:t>
      </w:r>
      <w:r w:rsidR="00A21698" w:rsidRPr="005436C8">
        <w:rPr>
          <w:sz w:val="22"/>
          <w:szCs w:val="22"/>
          <w:lang w:val="sr-Latn-ME"/>
        </w:rPr>
        <w:t>naljepnicu</w:t>
      </w:r>
      <w:r w:rsidRPr="005436C8">
        <w:rPr>
          <w:sz w:val="22"/>
          <w:szCs w:val="22"/>
          <w:lang w:val="sr-Latn-ME"/>
        </w:rPr>
        <w:t xml:space="preserve"> na bočici kako bi se osiguralo da je </w:t>
      </w:r>
      <w:r w:rsidR="00166973" w:rsidRPr="005436C8">
        <w:rPr>
          <w:sz w:val="22"/>
          <w:szCs w:val="22"/>
          <w:lang w:val="sr-Latn-ME"/>
        </w:rPr>
        <w:t>lijek</w:t>
      </w:r>
      <w:r w:rsidRPr="005436C8">
        <w:rPr>
          <w:sz w:val="22"/>
          <w:szCs w:val="22"/>
          <w:lang w:val="sr-Latn-ME"/>
        </w:rPr>
        <w:t xml:space="preserve"> koji se priprema i prim</w:t>
      </w:r>
      <w:r w:rsidR="00E52A5F" w:rsidRPr="005436C8">
        <w:rPr>
          <w:sz w:val="22"/>
          <w:szCs w:val="22"/>
          <w:lang w:val="sr-Latn-ME"/>
        </w:rPr>
        <w:t>j</w:t>
      </w:r>
      <w:r w:rsidRPr="005436C8">
        <w:rPr>
          <w:sz w:val="22"/>
          <w:szCs w:val="22"/>
          <w:lang w:val="sr-Latn-ME"/>
        </w:rPr>
        <w:t xml:space="preserve">enjuje </w:t>
      </w:r>
      <w:r w:rsidR="00E52A5F" w:rsidRPr="005436C8">
        <w:rPr>
          <w:sz w:val="22"/>
          <w:szCs w:val="22"/>
          <w:lang w:val="sr-Latn-ME"/>
        </w:rPr>
        <w:t xml:space="preserve">lijek </w:t>
      </w:r>
      <w:r w:rsidRPr="005436C8">
        <w:rPr>
          <w:sz w:val="22"/>
          <w:szCs w:val="22"/>
          <w:lang w:val="sr-Latn-ME"/>
        </w:rPr>
        <w:t xml:space="preserve">Phesgo. </w:t>
      </w:r>
    </w:p>
    <w:p w14:paraId="4E24E921" w14:textId="77777777" w:rsidR="002E743C" w:rsidRPr="005436C8" w:rsidRDefault="002E743C" w:rsidP="005436C8">
      <w:pPr>
        <w:tabs>
          <w:tab w:val="left" w:pos="284"/>
        </w:tabs>
        <w:jc w:val="both"/>
        <w:rPr>
          <w:sz w:val="22"/>
          <w:szCs w:val="22"/>
          <w:lang w:val="sr-Latn-ME"/>
        </w:rPr>
      </w:pPr>
    </w:p>
    <w:p w14:paraId="791063A3" w14:textId="46FBF97D" w:rsidR="002E743C" w:rsidRPr="005436C8" w:rsidRDefault="002E743C" w:rsidP="005436C8">
      <w:pPr>
        <w:tabs>
          <w:tab w:val="left" w:pos="284"/>
        </w:tabs>
        <w:jc w:val="both"/>
        <w:rPr>
          <w:sz w:val="22"/>
          <w:szCs w:val="22"/>
          <w:lang w:val="sr-Latn-ME"/>
        </w:rPr>
      </w:pPr>
      <w:r w:rsidRPr="005436C8">
        <w:rPr>
          <w:sz w:val="22"/>
          <w:szCs w:val="22"/>
          <w:lang w:val="sr-Latn-ME"/>
        </w:rPr>
        <w:t xml:space="preserve">Pacijenti koji trenutno primaju intravensku formulaciju pertuzumaba i trastuzumaba mogu preći na terapiju lijekom Phesgo. Prelazak sa terapije intravenskom formulacijom pertuzumaba i trastuzumaba na lijek Phesgo (ili obrnuto) ispitivan je u studiji MO40628 (pogledati </w:t>
      </w:r>
      <w:r w:rsidR="009B712A">
        <w:rPr>
          <w:sz w:val="22"/>
          <w:szCs w:val="22"/>
          <w:lang w:val="sr-Latn-ME"/>
        </w:rPr>
        <w:t>djelove</w:t>
      </w:r>
      <w:r w:rsidRPr="005436C8">
        <w:rPr>
          <w:sz w:val="22"/>
          <w:szCs w:val="22"/>
          <w:lang w:val="sr-Latn-ME"/>
        </w:rPr>
        <w:t xml:space="preserve"> 4.8 i 5.1).</w:t>
      </w:r>
    </w:p>
    <w:p w14:paraId="04CB5D74" w14:textId="77777777" w:rsidR="000C7302" w:rsidRPr="005436C8" w:rsidRDefault="000C7302" w:rsidP="005436C8">
      <w:pPr>
        <w:tabs>
          <w:tab w:val="left" w:pos="284"/>
        </w:tabs>
        <w:jc w:val="both"/>
        <w:rPr>
          <w:sz w:val="22"/>
          <w:szCs w:val="22"/>
          <w:lang w:val="sr-Latn-ME"/>
        </w:rPr>
      </w:pPr>
    </w:p>
    <w:p w14:paraId="08CCDAB9" w14:textId="77777777" w:rsidR="000C7302" w:rsidRPr="005436C8" w:rsidRDefault="000C7302" w:rsidP="005436C8">
      <w:pPr>
        <w:tabs>
          <w:tab w:val="left" w:pos="284"/>
        </w:tabs>
        <w:jc w:val="both"/>
        <w:rPr>
          <w:sz w:val="22"/>
          <w:szCs w:val="22"/>
          <w:u w:val="single"/>
          <w:lang w:val="sr-Latn-ME"/>
        </w:rPr>
      </w:pPr>
      <w:r w:rsidRPr="005436C8">
        <w:rPr>
          <w:sz w:val="22"/>
          <w:szCs w:val="22"/>
          <w:u w:val="single"/>
          <w:lang w:val="sr-Latn-ME"/>
        </w:rPr>
        <w:t>Doziranje</w:t>
      </w:r>
    </w:p>
    <w:p w14:paraId="35EFABCC" w14:textId="77777777" w:rsidR="000C7302" w:rsidRPr="005436C8" w:rsidRDefault="000C7302" w:rsidP="005436C8">
      <w:pPr>
        <w:tabs>
          <w:tab w:val="left" w:pos="284"/>
        </w:tabs>
        <w:jc w:val="both"/>
        <w:rPr>
          <w:sz w:val="22"/>
          <w:szCs w:val="22"/>
          <w:lang w:val="sr-Latn-ME"/>
        </w:rPr>
      </w:pPr>
    </w:p>
    <w:p w14:paraId="469E7A9D"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Pacijenti </w:t>
      </w:r>
      <w:r w:rsidR="00097926" w:rsidRPr="005436C8">
        <w:rPr>
          <w:sz w:val="22"/>
          <w:szCs w:val="22"/>
          <w:lang w:val="sr-Latn-ME"/>
        </w:rPr>
        <w:t>liječeni</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om Phesgo moraju da imaju HER2 pozitivan tumorski status, definisan kao skor od 3+ dobijen imunohistohemijski (IHC) i/ili odnos od ≥ 2,0 dobijen </w:t>
      </w:r>
      <w:r w:rsidRPr="005436C8">
        <w:rPr>
          <w:i/>
          <w:sz w:val="22"/>
          <w:szCs w:val="22"/>
          <w:lang w:val="sr-Latn-ME"/>
        </w:rPr>
        <w:t>in situ</w:t>
      </w:r>
      <w:r w:rsidRPr="005436C8">
        <w:rPr>
          <w:sz w:val="22"/>
          <w:szCs w:val="22"/>
          <w:lang w:val="sr-Latn-ME"/>
        </w:rPr>
        <w:t xml:space="preserve"> hibridizacijom (ISH) uz pomoć validiranog testa.</w:t>
      </w:r>
    </w:p>
    <w:p w14:paraId="48D2BA24" w14:textId="77777777" w:rsidR="000C7302" w:rsidRPr="005436C8" w:rsidRDefault="000C7302" w:rsidP="005436C8">
      <w:pPr>
        <w:tabs>
          <w:tab w:val="left" w:pos="284"/>
        </w:tabs>
        <w:jc w:val="both"/>
        <w:rPr>
          <w:sz w:val="22"/>
          <w:szCs w:val="22"/>
          <w:lang w:val="sr-Latn-ME"/>
        </w:rPr>
      </w:pPr>
    </w:p>
    <w:p w14:paraId="573BE080"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Kako bi se </w:t>
      </w:r>
      <w:r w:rsidR="00841D7D" w:rsidRPr="005436C8">
        <w:rPr>
          <w:sz w:val="22"/>
          <w:szCs w:val="22"/>
          <w:lang w:val="sr-Latn-ME"/>
        </w:rPr>
        <w:t>obezb</w:t>
      </w:r>
      <w:r w:rsidR="00580C25" w:rsidRPr="005436C8">
        <w:rPr>
          <w:sz w:val="22"/>
          <w:szCs w:val="22"/>
          <w:lang w:val="sr-Latn-ME"/>
        </w:rPr>
        <w:t>i</w:t>
      </w:r>
      <w:r w:rsidR="00841D7D" w:rsidRPr="005436C8">
        <w:rPr>
          <w:sz w:val="22"/>
          <w:szCs w:val="22"/>
          <w:lang w:val="sr-Latn-ME"/>
        </w:rPr>
        <w:t>jedili</w:t>
      </w:r>
      <w:r w:rsidRPr="005436C8">
        <w:rPr>
          <w:sz w:val="22"/>
          <w:szCs w:val="22"/>
          <w:lang w:val="sr-Latn-ME"/>
        </w:rPr>
        <w:t xml:space="preserve"> precizni i reproducibilni rezultati, testiranje se mora vršiti u specijalizovanoj laboratoriji koja može da </w:t>
      </w:r>
      <w:r w:rsidR="00841D7D" w:rsidRPr="005436C8">
        <w:rPr>
          <w:sz w:val="22"/>
          <w:szCs w:val="22"/>
          <w:lang w:val="sr-Latn-ME"/>
        </w:rPr>
        <w:t>obezb</w:t>
      </w:r>
      <w:r w:rsidR="00580C25" w:rsidRPr="005436C8">
        <w:rPr>
          <w:sz w:val="22"/>
          <w:szCs w:val="22"/>
          <w:lang w:val="sr-Latn-ME"/>
        </w:rPr>
        <w:t>i</w:t>
      </w:r>
      <w:r w:rsidR="00841D7D" w:rsidRPr="005436C8">
        <w:rPr>
          <w:sz w:val="22"/>
          <w:szCs w:val="22"/>
          <w:lang w:val="sr-Latn-ME"/>
        </w:rPr>
        <w:t>jedi</w:t>
      </w:r>
      <w:r w:rsidRPr="005436C8">
        <w:rPr>
          <w:sz w:val="22"/>
          <w:szCs w:val="22"/>
          <w:lang w:val="sr-Latn-ME"/>
        </w:rPr>
        <w:t xml:space="preserve"> validaciju postupaka testiranja. Radi kompletnih uputstava o izvođenju i tumačenju testova, </w:t>
      </w:r>
      <w:r w:rsidR="00580C25" w:rsidRPr="005436C8">
        <w:rPr>
          <w:sz w:val="22"/>
          <w:szCs w:val="22"/>
          <w:lang w:val="sr-Latn-ME"/>
        </w:rPr>
        <w:t xml:space="preserve">pogledati </w:t>
      </w:r>
      <w:r w:rsidRPr="005436C8">
        <w:rPr>
          <w:sz w:val="22"/>
          <w:szCs w:val="22"/>
          <w:lang w:val="sr-Latn-ME"/>
        </w:rPr>
        <w:t>uputstvo priloženo u pakovanju validiranih testova na HER2.</w:t>
      </w:r>
    </w:p>
    <w:p w14:paraId="2F207E25" w14:textId="77777777" w:rsidR="000C7302" w:rsidRPr="005436C8" w:rsidRDefault="000C7302" w:rsidP="005436C8">
      <w:pPr>
        <w:tabs>
          <w:tab w:val="left" w:pos="284"/>
        </w:tabs>
        <w:jc w:val="both"/>
        <w:rPr>
          <w:sz w:val="22"/>
          <w:szCs w:val="22"/>
          <w:lang w:val="sr-Latn-ME"/>
        </w:rPr>
      </w:pPr>
    </w:p>
    <w:p w14:paraId="0C941DA6"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Za preporučeno doziranje </w:t>
      </w:r>
      <w:r w:rsidR="00166973" w:rsidRPr="005436C8">
        <w:rPr>
          <w:sz w:val="22"/>
          <w:szCs w:val="22"/>
          <w:lang w:val="sr-Latn-ME"/>
        </w:rPr>
        <w:t>lijek</w:t>
      </w:r>
      <w:r w:rsidRPr="005436C8">
        <w:rPr>
          <w:sz w:val="22"/>
          <w:szCs w:val="22"/>
          <w:lang w:val="sr-Latn-ME"/>
        </w:rPr>
        <w:t xml:space="preserve">a Phesgo kod ranog i metastatskog karcinoma dojke </w:t>
      </w:r>
      <w:r w:rsidR="00580C25" w:rsidRPr="005436C8">
        <w:rPr>
          <w:sz w:val="22"/>
          <w:szCs w:val="22"/>
          <w:lang w:val="sr-Latn-ME"/>
        </w:rPr>
        <w:t xml:space="preserve">pogledati </w:t>
      </w:r>
      <w:r w:rsidRPr="005436C8">
        <w:rPr>
          <w:sz w:val="22"/>
          <w:szCs w:val="22"/>
          <w:lang w:val="sr-Latn-ME"/>
        </w:rPr>
        <w:t xml:space="preserve">Tabelu 1. </w:t>
      </w:r>
    </w:p>
    <w:p w14:paraId="2942125E" w14:textId="77777777" w:rsidR="000C7302" w:rsidRPr="005436C8" w:rsidRDefault="000C7302" w:rsidP="005436C8">
      <w:pPr>
        <w:tabs>
          <w:tab w:val="left" w:pos="284"/>
        </w:tabs>
        <w:jc w:val="both"/>
        <w:rPr>
          <w:sz w:val="22"/>
          <w:szCs w:val="22"/>
          <w:lang w:val="sr-Latn-ME"/>
        </w:rPr>
      </w:pPr>
    </w:p>
    <w:p w14:paraId="66C7684D" w14:textId="77777777" w:rsidR="000C7302" w:rsidRPr="005436C8" w:rsidRDefault="000C7302" w:rsidP="005436C8">
      <w:pPr>
        <w:tabs>
          <w:tab w:val="left" w:pos="284"/>
        </w:tabs>
        <w:jc w:val="both"/>
        <w:rPr>
          <w:b/>
          <w:sz w:val="22"/>
          <w:szCs w:val="22"/>
          <w:lang w:val="sr-Latn-ME"/>
        </w:rPr>
      </w:pPr>
      <w:r w:rsidRPr="005436C8">
        <w:rPr>
          <w:b/>
          <w:sz w:val="22"/>
          <w:szCs w:val="22"/>
          <w:lang w:val="sr-Latn-ME"/>
        </w:rPr>
        <w:t xml:space="preserve">Tabela 1: Preporučeno doziranje i način </w:t>
      </w:r>
      <w:r w:rsidR="00A21698" w:rsidRPr="005436C8">
        <w:rPr>
          <w:b/>
          <w:sz w:val="22"/>
          <w:szCs w:val="22"/>
          <w:lang w:val="sr-Latn-ME"/>
        </w:rPr>
        <w:t>primjene</w:t>
      </w:r>
      <w:r w:rsidRPr="005436C8">
        <w:rPr>
          <w:b/>
          <w:sz w:val="22"/>
          <w:szCs w:val="22"/>
          <w:lang w:val="sr-Latn-ME"/>
        </w:rPr>
        <w:t xml:space="preserve"> </w:t>
      </w:r>
      <w:r w:rsidR="00166973" w:rsidRPr="005436C8">
        <w:rPr>
          <w:b/>
          <w:sz w:val="22"/>
          <w:szCs w:val="22"/>
          <w:lang w:val="sr-Latn-ME"/>
        </w:rPr>
        <w:t>lijek</w:t>
      </w:r>
      <w:r w:rsidRPr="005436C8">
        <w:rPr>
          <w:b/>
          <w:sz w:val="22"/>
          <w:szCs w:val="22"/>
          <w:lang w:val="sr-Latn-ME"/>
        </w:rPr>
        <w:t>a Phesgo</w:t>
      </w:r>
    </w:p>
    <w:p w14:paraId="0AF94F1B" w14:textId="77777777" w:rsidR="000C7302" w:rsidRPr="005436C8" w:rsidRDefault="000C7302" w:rsidP="005436C8">
      <w:pPr>
        <w:tabs>
          <w:tab w:val="left" w:pos="284"/>
        </w:tabs>
        <w:jc w:val="both"/>
        <w:rPr>
          <w:b/>
          <w:sz w:val="22"/>
          <w:szCs w:val="22"/>
          <w:lang w:val="sr-Latn-ME"/>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0C7302" w:rsidRPr="005436C8" w14:paraId="4DBB5D80" w14:textId="77777777" w:rsidTr="000C7302">
        <w:tc>
          <w:tcPr>
            <w:tcW w:w="1872" w:type="dxa"/>
            <w:shd w:val="clear" w:color="auto" w:fill="auto"/>
          </w:tcPr>
          <w:p w14:paraId="195C7F53"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p>
        </w:tc>
        <w:tc>
          <w:tcPr>
            <w:tcW w:w="2448" w:type="dxa"/>
            <w:shd w:val="clear" w:color="auto" w:fill="auto"/>
          </w:tcPr>
          <w:p w14:paraId="0C8D55B1"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 xml:space="preserve">Doza (nezavisno od </w:t>
            </w:r>
            <w:r w:rsidR="00BC7CBF" w:rsidRPr="005436C8">
              <w:rPr>
                <w:rFonts w:ascii="Times New Roman" w:eastAsia="Times New Roman" w:hAnsi="Times New Roman"/>
                <w:color w:val="000000" w:themeColor="text1"/>
                <w:szCs w:val="22"/>
                <w:lang w:val="sr-Latn-ME"/>
              </w:rPr>
              <w:t>tjelesne</w:t>
            </w:r>
            <w:r w:rsidRPr="005436C8">
              <w:rPr>
                <w:rFonts w:ascii="Times New Roman" w:eastAsia="Times New Roman" w:hAnsi="Times New Roman"/>
                <w:color w:val="000000" w:themeColor="text1"/>
                <w:szCs w:val="22"/>
                <w:lang w:val="sr-Latn-ME"/>
              </w:rPr>
              <w:t xml:space="preserve"> težine) </w:t>
            </w:r>
          </w:p>
        </w:tc>
        <w:tc>
          <w:tcPr>
            <w:tcW w:w="2790" w:type="dxa"/>
            <w:shd w:val="clear" w:color="auto" w:fill="auto"/>
          </w:tcPr>
          <w:p w14:paraId="251D262B" w14:textId="77777777" w:rsidR="000C7302" w:rsidRPr="005436C8" w:rsidRDefault="00BC7CBF"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Prosječno</w:t>
            </w:r>
            <w:r w:rsidR="000C7302" w:rsidRPr="005436C8">
              <w:rPr>
                <w:rFonts w:ascii="Times New Roman" w:eastAsia="Times New Roman" w:hAnsi="Times New Roman"/>
                <w:color w:val="000000" w:themeColor="text1"/>
                <w:szCs w:val="22"/>
                <w:lang w:val="sr-Latn-ME"/>
              </w:rPr>
              <w:t xml:space="preserve"> trajanje </w:t>
            </w:r>
            <w:r w:rsidR="00115EBA" w:rsidRPr="005436C8">
              <w:rPr>
                <w:rFonts w:ascii="Times New Roman" w:eastAsia="Times New Roman" w:hAnsi="Times New Roman"/>
                <w:color w:val="000000" w:themeColor="text1"/>
                <w:szCs w:val="22"/>
                <w:lang w:val="sr-Latn-ME"/>
              </w:rPr>
              <w:t>subkutan</w:t>
            </w:r>
            <w:r w:rsidR="000C7302" w:rsidRPr="005436C8">
              <w:rPr>
                <w:rFonts w:ascii="Times New Roman" w:eastAsia="Times New Roman" w:hAnsi="Times New Roman"/>
                <w:color w:val="000000" w:themeColor="text1"/>
                <w:szCs w:val="22"/>
                <w:lang w:val="sr-Latn-ME"/>
              </w:rPr>
              <w:t xml:space="preserve">e injekcije </w:t>
            </w:r>
          </w:p>
        </w:tc>
        <w:tc>
          <w:tcPr>
            <w:tcW w:w="1908" w:type="dxa"/>
          </w:tcPr>
          <w:p w14:paraId="6A4E024E" w14:textId="77777777" w:rsidR="000C7302" w:rsidRPr="005436C8" w:rsidRDefault="002700CC"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Vr</w:t>
            </w:r>
            <w:r w:rsidR="00580C25" w:rsidRPr="005436C8">
              <w:rPr>
                <w:rFonts w:ascii="Times New Roman" w:eastAsia="Times New Roman" w:hAnsi="Times New Roman"/>
                <w:color w:val="000000" w:themeColor="text1"/>
                <w:szCs w:val="22"/>
                <w:lang w:val="sr-Latn-ME"/>
              </w:rPr>
              <w:t>ij</w:t>
            </w:r>
            <w:r w:rsidRPr="005436C8">
              <w:rPr>
                <w:rFonts w:ascii="Times New Roman" w:eastAsia="Times New Roman" w:hAnsi="Times New Roman"/>
                <w:color w:val="000000" w:themeColor="text1"/>
                <w:szCs w:val="22"/>
                <w:lang w:val="sr-Latn-ME"/>
              </w:rPr>
              <w:t>em</w:t>
            </w:r>
            <w:r w:rsidR="00A21698" w:rsidRPr="005436C8">
              <w:rPr>
                <w:rFonts w:ascii="Times New Roman" w:eastAsia="Times New Roman" w:hAnsi="Times New Roman"/>
                <w:color w:val="000000" w:themeColor="text1"/>
                <w:szCs w:val="22"/>
                <w:lang w:val="sr-Latn-ME"/>
              </w:rPr>
              <w:t>e</w:t>
            </w:r>
            <w:r w:rsidR="000C7302" w:rsidRPr="005436C8">
              <w:rPr>
                <w:rFonts w:ascii="Times New Roman" w:eastAsia="Times New Roman" w:hAnsi="Times New Roman"/>
                <w:color w:val="000000" w:themeColor="text1"/>
                <w:szCs w:val="22"/>
                <w:lang w:val="sr-Latn-ME"/>
              </w:rPr>
              <w:t xml:space="preserve"> posmatranja</w:t>
            </w:r>
            <w:r w:rsidR="000C7302" w:rsidRPr="005436C8">
              <w:rPr>
                <w:rFonts w:ascii="Times New Roman" w:eastAsia="Times New Roman" w:hAnsi="Times New Roman"/>
                <w:color w:val="000000" w:themeColor="text1"/>
                <w:szCs w:val="22"/>
                <w:vertAlign w:val="superscript"/>
                <w:lang w:val="sr-Latn-ME"/>
              </w:rPr>
              <w:t>ab</w:t>
            </w:r>
          </w:p>
        </w:tc>
      </w:tr>
      <w:tr w:rsidR="000C7302" w:rsidRPr="005436C8" w14:paraId="346B34C9" w14:textId="77777777" w:rsidTr="000C7302">
        <w:tc>
          <w:tcPr>
            <w:tcW w:w="1872" w:type="dxa"/>
            <w:shd w:val="clear" w:color="auto" w:fill="auto"/>
          </w:tcPr>
          <w:p w14:paraId="27FED84F"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Udarna doza</w:t>
            </w:r>
          </w:p>
        </w:tc>
        <w:tc>
          <w:tcPr>
            <w:tcW w:w="2448" w:type="dxa"/>
            <w:shd w:val="clear" w:color="auto" w:fill="auto"/>
          </w:tcPr>
          <w:p w14:paraId="76BD1C3F" w14:textId="77777777" w:rsidR="000C7302" w:rsidRPr="005436C8" w:rsidRDefault="000C7302" w:rsidP="005436C8">
            <w:pPr>
              <w:pStyle w:val="Paragraph"/>
              <w:spacing w:line="240" w:lineRule="auto"/>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 xml:space="preserve">1200 mg pertuzumaba/600 mg trastuzumaba </w:t>
            </w:r>
          </w:p>
        </w:tc>
        <w:tc>
          <w:tcPr>
            <w:tcW w:w="2790" w:type="dxa"/>
            <w:shd w:val="clear" w:color="auto" w:fill="auto"/>
          </w:tcPr>
          <w:p w14:paraId="4FF19D03"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8 minuta</w:t>
            </w:r>
          </w:p>
        </w:tc>
        <w:tc>
          <w:tcPr>
            <w:tcW w:w="1908" w:type="dxa"/>
          </w:tcPr>
          <w:p w14:paraId="03216D4F"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30 minuta</w:t>
            </w:r>
          </w:p>
        </w:tc>
      </w:tr>
      <w:tr w:rsidR="000C7302" w:rsidRPr="005436C8" w14:paraId="525FEAAB" w14:textId="77777777" w:rsidTr="000C7302">
        <w:tc>
          <w:tcPr>
            <w:tcW w:w="1872" w:type="dxa"/>
            <w:shd w:val="clear" w:color="auto" w:fill="auto"/>
          </w:tcPr>
          <w:p w14:paraId="0FD4C8A2"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Doza održavanja (svake 3 ned</w:t>
            </w:r>
            <w:r w:rsidR="00580C25" w:rsidRPr="005436C8">
              <w:rPr>
                <w:rFonts w:ascii="Times New Roman" w:eastAsia="Times New Roman" w:hAnsi="Times New Roman"/>
                <w:color w:val="000000" w:themeColor="text1"/>
                <w:szCs w:val="22"/>
                <w:lang w:val="sr-Latn-ME"/>
              </w:rPr>
              <w:t>j</w:t>
            </w:r>
            <w:r w:rsidRPr="005436C8">
              <w:rPr>
                <w:rFonts w:ascii="Times New Roman" w:eastAsia="Times New Roman" w:hAnsi="Times New Roman"/>
                <w:color w:val="000000" w:themeColor="text1"/>
                <w:szCs w:val="22"/>
                <w:lang w:val="sr-Latn-ME"/>
              </w:rPr>
              <w:t xml:space="preserve">elje) </w:t>
            </w:r>
          </w:p>
        </w:tc>
        <w:tc>
          <w:tcPr>
            <w:tcW w:w="2448" w:type="dxa"/>
            <w:shd w:val="clear" w:color="auto" w:fill="auto"/>
          </w:tcPr>
          <w:p w14:paraId="7121AF83" w14:textId="77777777" w:rsidR="000C7302" w:rsidRPr="005436C8" w:rsidRDefault="000C7302" w:rsidP="005436C8">
            <w:pPr>
              <w:pStyle w:val="Paragraph"/>
              <w:spacing w:line="240" w:lineRule="auto"/>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600 mg pertuzumaba/600 mg trastuzumaba</w:t>
            </w:r>
          </w:p>
        </w:tc>
        <w:tc>
          <w:tcPr>
            <w:tcW w:w="2790" w:type="dxa"/>
            <w:shd w:val="clear" w:color="auto" w:fill="auto"/>
          </w:tcPr>
          <w:p w14:paraId="34572B6D"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5 minuta</w:t>
            </w:r>
          </w:p>
        </w:tc>
        <w:tc>
          <w:tcPr>
            <w:tcW w:w="1908" w:type="dxa"/>
          </w:tcPr>
          <w:p w14:paraId="0F29D1BD" w14:textId="77777777" w:rsidR="000C7302" w:rsidRPr="005436C8" w:rsidRDefault="000C7302" w:rsidP="005436C8">
            <w:pPr>
              <w:pStyle w:val="Paragraph"/>
              <w:spacing w:line="240" w:lineRule="auto"/>
              <w:jc w:val="both"/>
              <w:rPr>
                <w:rFonts w:ascii="Times New Roman" w:eastAsia="Times New Roman" w:hAnsi="Times New Roman"/>
                <w:color w:val="000000" w:themeColor="text1"/>
                <w:szCs w:val="22"/>
                <w:lang w:val="sr-Latn-ME"/>
              </w:rPr>
            </w:pPr>
            <w:r w:rsidRPr="005436C8">
              <w:rPr>
                <w:rFonts w:ascii="Times New Roman" w:eastAsia="Times New Roman" w:hAnsi="Times New Roman"/>
                <w:color w:val="000000" w:themeColor="text1"/>
                <w:szCs w:val="22"/>
                <w:lang w:val="sr-Latn-ME"/>
              </w:rPr>
              <w:t>15 minuta</w:t>
            </w:r>
          </w:p>
        </w:tc>
      </w:tr>
    </w:tbl>
    <w:p w14:paraId="44BA8600" w14:textId="77777777" w:rsidR="000C7302" w:rsidRPr="005436C8" w:rsidRDefault="000C7302" w:rsidP="005436C8">
      <w:pPr>
        <w:tabs>
          <w:tab w:val="left" w:pos="284"/>
        </w:tabs>
        <w:jc w:val="both"/>
        <w:rPr>
          <w:sz w:val="22"/>
          <w:szCs w:val="22"/>
          <w:lang w:val="sr-Latn-ME"/>
        </w:rPr>
      </w:pPr>
      <w:r w:rsidRPr="005436C8">
        <w:rPr>
          <w:sz w:val="22"/>
          <w:szCs w:val="22"/>
          <w:vertAlign w:val="superscript"/>
          <w:lang w:val="sr-Latn-ME"/>
        </w:rPr>
        <w:t>a</w:t>
      </w:r>
      <w:r w:rsidRPr="005436C8">
        <w:rPr>
          <w:sz w:val="22"/>
          <w:szCs w:val="22"/>
          <w:lang w:val="sr-Latn-ME"/>
        </w:rPr>
        <w:t xml:space="preserve">Potrebno je posmatrati pacijente zbog mogućih reakcija na injekciju i reakcija </w:t>
      </w:r>
      <w:r w:rsidR="00362B4E" w:rsidRPr="005436C8">
        <w:rPr>
          <w:sz w:val="22"/>
          <w:szCs w:val="22"/>
          <w:lang w:val="sr-Latn-ME"/>
        </w:rPr>
        <w:t>preosjetljivost</w:t>
      </w:r>
      <w:r w:rsidRPr="005436C8">
        <w:rPr>
          <w:sz w:val="22"/>
          <w:szCs w:val="22"/>
          <w:lang w:val="sr-Latn-ME"/>
        </w:rPr>
        <w:t>i</w:t>
      </w:r>
      <w:r w:rsidR="00580C25" w:rsidRPr="005436C8">
        <w:rPr>
          <w:sz w:val="22"/>
          <w:szCs w:val="22"/>
          <w:lang w:val="sr-Latn-ME"/>
        </w:rPr>
        <w:t>.</w:t>
      </w:r>
      <w:r w:rsidRPr="005436C8">
        <w:rPr>
          <w:sz w:val="22"/>
          <w:szCs w:val="22"/>
          <w:lang w:val="sr-Latn-ME"/>
        </w:rPr>
        <w:t xml:space="preserve"> </w:t>
      </w:r>
    </w:p>
    <w:p w14:paraId="42B38CB6" w14:textId="77777777" w:rsidR="000C7302" w:rsidRPr="005436C8" w:rsidRDefault="000C7302" w:rsidP="005436C8">
      <w:pPr>
        <w:tabs>
          <w:tab w:val="left" w:pos="284"/>
        </w:tabs>
        <w:jc w:val="both"/>
        <w:rPr>
          <w:sz w:val="22"/>
          <w:szCs w:val="22"/>
          <w:lang w:val="sr-Latn-ME"/>
        </w:rPr>
      </w:pPr>
      <w:r w:rsidRPr="005436C8">
        <w:rPr>
          <w:sz w:val="22"/>
          <w:szCs w:val="22"/>
          <w:vertAlign w:val="superscript"/>
          <w:lang w:val="sr-Latn-ME"/>
        </w:rPr>
        <w:t>b</w:t>
      </w:r>
      <w:r w:rsidRPr="005436C8">
        <w:rPr>
          <w:sz w:val="22"/>
          <w:szCs w:val="22"/>
          <w:lang w:val="sr-Latn-ME"/>
        </w:rPr>
        <w:t xml:space="preserve">Period posmatranja treba započeti nakon </w:t>
      </w:r>
      <w:r w:rsidR="00A21698" w:rsidRPr="005436C8">
        <w:rPr>
          <w:sz w:val="22"/>
          <w:szCs w:val="22"/>
          <w:lang w:val="sr-Latn-ME"/>
        </w:rPr>
        <w:t>primjene</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a </w:t>
      </w:r>
      <w:r w:rsidRPr="005436C8">
        <w:rPr>
          <w:noProof/>
          <w:color w:val="000000"/>
          <w:sz w:val="22"/>
          <w:szCs w:val="22"/>
          <w:lang w:val="sr-Latn-ME"/>
        </w:rPr>
        <w:t>Phesgo</w:t>
      </w:r>
      <w:r w:rsidRPr="005436C8">
        <w:rPr>
          <w:sz w:val="22"/>
          <w:szCs w:val="22"/>
          <w:lang w:val="sr-Latn-ME"/>
        </w:rPr>
        <w:t>, a završiti pr</w:t>
      </w:r>
      <w:r w:rsidR="00522BD8" w:rsidRPr="005436C8">
        <w:rPr>
          <w:sz w:val="22"/>
          <w:szCs w:val="22"/>
          <w:lang w:val="sr-Latn-ME"/>
        </w:rPr>
        <w:t>ij</w:t>
      </w:r>
      <w:r w:rsidRPr="005436C8">
        <w:rPr>
          <w:sz w:val="22"/>
          <w:szCs w:val="22"/>
          <w:lang w:val="sr-Latn-ME"/>
        </w:rPr>
        <w:t xml:space="preserve">e </w:t>
      </w:r>
      <w:r w:rsidR="00A21698" w:rsidRPr="005436C8">
        <w:rPr>
          <w:sz w:val="22"/>
          <w:szCs w:val="22"/>
          <w:lang w:val="sr-Latn-ME"/>
        </w:rPr>
        <w:t>primjene</w:t>
      </w:r>
      <w:r w:rsidRPr="005436C8">
        <w:rPr>
          <w:sz w:val="22"/>
          <w:szCs w:val="22"/>
          <w:lang w:val="sr-Latn-ME"/>
        </w:rPr>
        <w:t xml:space="preserve"> bilo koje naredne hemoterapije</w:t>
      </w:r>
      <w:r w:rsidR="00580C25" w:rsidRPr="005436C8">
        <w:rPr>
          <w:sz w:val="22"/>
          <w:szCs w:val="22"/>
          <w:lang w:val="sr-Latn-ME"/>
        </w:rPr>
        <w:t>.</w:t>
      </w:r>
      <w:r w:rsidRPr="005436C8">
        <w:rPr>
          <w:sz w:val="22"/>
          <w:szCs w:val="22"/>
          <w:lang w:val="sr-Latn-ME"/>
        </w:rPr>
        <w:t xml:space="preserve"> </w:t>
      </w:r>
    </w:p>
    <w:p w14:paraId="7D29EC5E" w14:textId="77777777" w:rsidR="000C7302" w:rsidRPr="005436C8" w:rsidRDefault="000C7302" w:rsidP="005436C8">
      <w:pPr>
        <w:tabs>
          <w:tab w:val="left" w:pos="284"/>
        </w:tabs>
        <w:jc w:val="both"/>
        <w:rPr>
          <w:b/>
          <w:sz w:val="22"/>
          <w:szCs w:val="22"/>
          <w:lang w:val="sr-Latn-ME"/>
        </w:rPr>
      </w:pPr>
    </w:p>
    <w:p w14:paraId="4C5DD293"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Kod pacijenata koji primaju taksan, </w:t>
      </w:r>
      <w:r w:rsidR="00166973" w:rsidRPr="005436C8">
        <w:rPr>
          <w:color w:val="000000"/>
          <w:sz w:val="22"/>
          <w:szCs w:val="22"/>
          <w:lang w:val="sr-Latn-ME"/>
        </w:rPr>
        <w:t>lijek</w:t>
      </w:r>
      <w:r w:rsidRPr="005436C8">
        <w:rPr>
          <w:color w:val="000000"/>
          <w:sz w:val="22"/>
          <w:szCs w:val="22"/>
          <w:lang w:val="sr-Latn-ME"/>
        </w:rPr>
        <w:t xml:space="preserve"> </w:t>
      </w:r>
      <w:r w:rsidRPr="005436C8">
        <w:rPr>
          <w:noProof/>
          <w:color w:val="000000"/>
          <w:sz w:val="22"/>
          <w:szCs w:val="22"/>
          <w:lang w:val="sr-Latn-ME"/>
        </w:rPr>
        <w:t>Phesgo</w:t>
      </w:r>
      <w:r w:rsidRPr="005436C8">
        <w:rPr>
          <w:color w:val="000000"/>
          <w:sz w:val="22"/>
          <w:szCs w:val="22"/>
          <w:lang w:val="sr-Latn-ME"/>
        </w:rPr>
        <w:t xml:space="preserve"> treba prim</w:t>
      </w:r>
      <w:r w:rsidR="00580C25" w:rsidRPr="005436C8">
        <w:rPr>
          <w:color w:val="000000"/>
          <w:sz w:val="22"/>
          <w:szCs w:val="22"/>
          <w:lang w:val="sr-Latn-ME"/>
        </w:rPr>
        <w:t>i</w:t>
      </w:r>
      <w:r w:rsidR="002700CC" w:rsidRPr="005436C8">
        <w:rPr>
          <w:color w:val="000000"/>
          <w:sz w:val="22"/>
          <w:szCs w:val="22"/>
          <w:lang w:val="sr-Latn-ME"/>
        </w:rPr>
        <w:t>j</w:t>
      </w:r>
      <w:r w:rsidRPr="005436C8">
        <w:rPr>
          <w:color w:val="000000"/>
          <w:sz w:val="22"/>
          <w:szCs w:val="22"/>
          <w:lang w:val="sr-Latn-ME"/>
        </w:rPr>
        <w:t xml:space="preserve">eniti </w:t>
      </w:r>
      <w:r w:rsidR="00522BD8" w:rsidRPr="005436C8">
        <w:rPr>
          <w:color w:val="000000"/>
          <w:sz w:val="22"/>
          <w:szCs w:val="22"/>
          <w:lang w:val="sr-Latn-ME"/>
        </w:rPr>
        <w:t>prije</w:t>
      </w:r>
      <w:r w:rsidRPr="005436C8">
        <w:rPr>
          <w:color w:val="000000"/>
          <w:sz w:val="22"/>
          <w:szCs w:val="22"/>
          <w:lang w:val="sr-Latn-ME"/>
        </w:rPr>
        <w:t xml:space="preserve"> taksana. </w:t>
      </w:r>
    </w:p>
    <w:p w14:paraId="46643821" w14:textId="77777777" w:rsidR="000C7302" w:rsidRPr="005436C8" w:rsidRDefault="000C7302" w:rsidP="005436C8">
      <w:pPr>
        <w:tabs>
          <w:tab w:val="left" w:pos="284"/>
        </w:tabs>
        <w:jc w:val="both"/>
        <w:rPr>
          <w:color w:val="000000"/>
          <w:sz w:val="22"/>
          <w:szCs w:val="22"/>
          <w:lang w:val="sr-Latn-ME"/>
        </w:rPr>
      </w:pPr>
    </w:p>
    <w:p w14:paraId="0DCA24F4"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Kada se prim</w:t>
      </w:r>
      <w:r w:rsidR="00580C25" w:rsidRPr="005436C8">
        <w:rPr>
          <w:color w:val="000000"/>
          <w:sz w:val="22"/>
          <w:szCs w:val="22"/>
          <w:lang w:val="sr-Latn-ME"/>
        </w:rPr>
        <w:t>j</w:t>
      </w:r>
      <w:r w:rsidRPr="005436C8">
        <w:rPr>
          <w:color w:val="000000"/>
          <w:sz w:val="22"/>
          <w:szCs w:val="22"/>
          <w:lang w:val="sr-Latn-ME"/>
        </w:rPr>
        <w:t xml:space="preserve">enjuje sa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00580C25" w:rsidRPr="005436C8">
        <w:rPr>
          <w:noProof/>
          <w:color w:val="000000"/>
          <w:sz w:val="22"/>
          <w:szCs w:val="22"/>
          <w:lang w:val="sr-Latn-ME"/>
        </w:rPr>
        <w:t>,</w:t>
      </w:r>
      <w:r w:rsidRPr="005436C8">
        <w:rPr>
          <w:color w:val="000000"/>
          <w:sz w:val="22"/>
          <w:szCs w:val="22"/>
          <w:lang w:val="sr-Latn-ME"/>
        </w:rPr>
        <w:t xml:space="preserve"> preporučena početna doza docetaksela je 75 mg/m</w:t>
      </w:r>
      <w:r w:rsidRPr="009B712A">
        <w:rPr>
          <w:color w:val="000000"/>
          <w:sz w:val="22"/>
          <w:szCs w:val="22"/>
          <w:vertAlign w:val="superscript"/>
          <w:lang w:val="sr-Latn-ME"/>
        </w:rPr>
        <w:t>2</w:t>
      </w:r>
      <w:r w:rsidRPr="005436C8">
        <w:rPr>
          <w:color w:val="000000"/>
          <w:sz w:val="22"/>
          <w:szCs w:val="22"/>
          <w:lang w:val="sr-Latn-ME"/>
        </w:rPr>
        <w:t>, a zatim se povećava na 100 mg/m</w:t>
      </w:r>
      <w:r w:rsidRPr="005436C8">
        <w:rPr>
          <w:color w:val="000000"/>
          <w:sz w:val="22"/>
          <w:szCs w:val="22"/>
          <w:vertAlign w:val="superscript"/>
          <w:lang w:val="sr-Latn-ME"/>
        </w:rPr>
        <w:t>2</w:t>
      </w:r>
      <w:r w:rsidR="00580C25" w:rsidRPr="005436C8">
        <w:rPr>
          <w:color w:val="000000"/>
          <w:sz w:val="22"/>
          <w:szCs w:val="22"/>
          <w:lang w:val="sr-Latn-ME"/>
        </w:rPr>
        <w:t>,</w:t>
      </w:r>
      <w:r w:rsidRPr="005436C8">
        <w:rPr>
          <w:color w:val="000000"/>
          <w:sz w:val="22"/>
          <w:szCs w:val="22"/>
          <w:lang w:val="sr-Latn-ME"/>
        </w:rPr>
        <w:t xml:space="preserve"> u zavisnosti od izabranog protokola </w:t>
      </w:r>
      <w:r w:rsidR="000A2EA9" w:rsidRPr="005436C8">
        <w:rPr>
          <w:color w:val="000000"/>
          <w:sz w:val="22"/>
          <w:szCs w:val="22"/>
          <w:lang w:val="sr-Latn-ME"/>
        </w:rPr>
        <w:t>liječenja</w:t>
      </w:r>
      <w:r w:rsidRPr="005436C8">
        <w:rPr>
          <w:color w:val="000000"/>
          <w:sz w:val="22"/>
          <w:szCs w:val="22"/>
          <w:lang w:val="sr-Latn-ME"/>
        </w:rPr>
        <w:t xml:space="preserve"> i podnošljivosti početne doze. Druga mogućnost je docetaksel od početka </w:t>
      </w:r>
      <w:r w:rsidR="00BC7CBF" w:rsidRPr="005436C8">
        <w:rPr>
          <w:color w:val="000000"/>
          <w:sz w:val="22"/>
          <w:szCs w:val="22"/>
          <w:lang w:val="sr-Latn-ME"/>
        </w:rPr>
        <w:t>primjenjivati</w:t>
      </w:r>
      <w:r w:rsidRPr="005436C8">
        <w:rPr>
          <w:color w:val="000000"/>
          <w:sz w:val="22"/>
          <w:szCs w:val="22"/>
          <w:lang w:val="sr-Latn-ME"/>
        </w:rPr>
        <w:t xml:space="preserve"> u dozi od 100 mg/m</w:t>
      </w:r>
      <w:r w:rsidRPr="005436C8">
        <w:rPr>
          <w:color w:val="000000"/>
          <w:sz w:val="22"/>
          <w:szCs w:val="22"/>
          <w:vertAlign w:val="superscript"/>
          <w:lang w:val="sr-Latn-ME"/>
        </w:rPr>
        <w:t>2</w:t>
      </w:r>
      <w:r w:rsidRPr="005436C8">
        <w:rPr>
          <w:color w:val="000000"/>
          <w:sz w:val="22"/>
          <w:szCs w:val="22"/>
          <w:lang w:val="sr-Latn-ME"/>
        </w:rPr>
        <w:t xml:space="preserve"> svake 3 ned</w:t>
      </w:r>
      <w:r w:rsidR="00580C25" w:rsidRPr="005436C8">
        <w:rPr>
          <w:color w:val="000000"/>
          <w:sz w:val="22"/>
          <w:szCs w:val="22"/>
          <w:lang w:val="sr-Latn-ME"/>
        </w:rPr>
        <w:t>j</w:t>
      </w:r>
      <w:r w:rsidRPr="005436C8">
        <w:rPr>
          <w:color w:val="000000"/>
          <w:sz w:val="22"/>
          <w:szCs w:val="22"/>
          <w:lang w:val="sr-Latn-ME"/>
        </w:rPr>
        <w:t>elje, opet u zavisnosti od odabranog protokola. Ako se prim</w:t>
      </w:r>
      <w:r w:rsidR="002700CC" w:rsidRPr="005436C8">
        <w:rPr>
          <w:color w:val="000000"/>
          <w:sz w:val="22"/>
          <w:szCs w:val="22"/>
          <w:lang w:val="sr-Latn-ME"/>
        </w:rPr>
        <w:t>j</w:t>
      </w:r>
      <w:r w:rsidRPr="005436C8">
        <w:rPr>
          <w:color w:val="000000"/>
          <w:sz w:val="22"/>
          <w:szCs w:val="22"/>
          <w:lang w:val="sr-Latn-ME"/>
        </w:rPr>
        <w:t>enjuje protokol koji se zasniva na karboplatinu, preporučena doza docetaksela iznosi 75 mg/m</w:t>
      </w:r>
      <w:r w:rsidRPr="005436C8">
        <w:rPr>
          <w:color w:val="000000"/>
          <w:sz w:val="22"/>
          <w:szCs w:val="22"/>
          <w:vertAlign w:val="superscript"/>
          <w:lang w:val="sr-Latn-ME"/>
        </w:rPr>
        <w:t>2</w:t>
      </w:r>
      <w:r w:rsidRPr="005436C8">
        <w:rPr>
          <w:color w:val="000000"/>
          <w:sz w:val="22"/>
          <w:szCs w:val="22"/>
          <w:lang w:val="sr-Latn-ME"/>
        </w:rPr>
        <w:t xml:space="preserve"> sve </w:t>
      </w:r>
      <w:r w:rsidR="002700CC" w:rsidRPr="005436C8">
        <w:rPr>
          <w:color w:val="000000"/>
          <w:sz w:val="22"/>
          <w:szCs w:val="22"/>
          <w:lang w:val="sr-Latn-ME"/>
        </w:rPr>
        <w:t>vr</w:t>
      </w:r>
      <w:r w:rsidR="006B212E" w:rsidRPr="005436C8">
        <w:rPr>
          <w:color w:val="000000"/>
          <w:sz w:val="22"/>
          <w:szCs w:val="22"/>
          <w:lang w:val="sr-Latn-ME"/>
        </w:rPr>
        <w:t>ij</w:t>
      </w:r>
      <w:r w:rsidR="002700CC" w:rsidRPr="005436C8">
        <w:rPr>
          <w:color w:val="000000"/>
          <w:sz w:val="22"/>
          <w:szCs w:val="22"/>
          <w:lang w:val="sr-Latn-ME"/>
        </w:rPr>
        <w:t>em</w:t>
      </w:r>
      <w:r w:rsidR="00A21698" w:rsidRPr="005436C8">
        <w:rPr>
          <w:color w:val="000000"/>
          <w:sz w:val="22"/>
          <w:szCs w:val="22"/>
          <w:lang w:val="sr-Latn-ME"/>
        </w:rPr>
        <w:t>e</w:t>
      </w:r>
      <w:r w:rsidRPr="005436C8">
        <w:rPr>
          <w:color w:val="000000"/>
          <w:sz w:val="22"/>
          <w:szCs w:val="22"/>
          <w:lang w:val="sr-Latn-ME"/>
        </w:rPr>
        <w:t xml:space="preserve"> (bez povećanja doze). Kada se prim</w:t>
      </w:r>
      <w:r w:rsidR="002700CC" w:rsidRPr="005436C8">
        <w:rPr>
          <w:color w:val="000000"/>
          <w:sz w:val="22"/>
          <w:szCs w:val="22"/>
          <w:lang w:val="sr-Latn-ME"/>
        </w:rPr>
        <w:t>j</w:t>
      </w:r>
      <w:r w:rsidRPr="005436C8">
        <w:rPr>
          <w:color w:val="000000"/>
          <w:sz w:val="22"/>
          <w:szCs w:val="22"/>
          <w:lang w:val="sr-Latn-ME"/>
        </w:rPr>
        <w:t xml:space="preserve">enjuje </w:t>
      </w:r>
      <w:r w:rsidRPr="005436C8">
        <w:rPr>
          <w:color w:val="000000"/>
          <w:sz w:val="22"/>
          <w:szCs w:val="22"/>
          <w:lang w:val="sr-Latn-ME"/>
        </w:rPr>
        <w:lastRenderedPageBreak/>
        <w:t xml:space="preserve">sa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kod adjuvantnog </w:t>
      </w:r>
      <w:r w:rsidR="000A2EA9" w:rsidRPr="005436C8">
        <w:rPr>
          <w:color w:val="000000"/>
          <w:sz w:val="22"/>
          <w:szCs w:val="22"/>
          <w:lang w:val="sr-Latn-ME"/>
        </w:rPr>
        <w:t>liječenja</w:t>
      </w:r>
      <w:r w:rsidRPr="005436C8">
        <w:rPr>
          <w:color w:val="000000"/>
          <w:sz w:val="22"/>
          <w:szCs w:val="22"/>
          <w:lang w:val="sr-Latn-ME"/>
        </w:rPr>
        <w:t>, preporučena doza paklitaksela iznosi 80 mg/m</w:t>
      </w:r>
      <w:r w:rsidRPr="005436C8">
        <w:rPr>
          <w:color w:val="000000"/>
          <w:sz w:val="22"/>
          <w:szCs w:val="22"/>
          <w:vertAlign w:val="superscript"/>
          <w:lang w:val="sr-Latn-ME"/>
        </w:rPr>
        <w:t>2</w:t>
      </w:r>
      <w:r w:rsidRPr="005436C8">
        <w:rPr>
          <w:color w:val="000000"/>
          <w:sz w:val="22"/>
          <w:szCs w:val="22"/>
          <w:lang w:val="sr-Latn-ME"/>
        </w:rPr>
        <w:t xml:space="preserve"> jednom ned</w:t>
      </w:r>
      <w:r w:rsidR="006B212E" w:rsidRPr="005436C8">
        <w:rPr>
          <w:color w:val="000000"/>
          <w:sz w:val="22"/>
          <w:szCs w:val="22"/>
          <w:lang w:val="sr-Latn-ME"/>
        </w:rPr>
        <w:t>j</w:t>
      </w:r>
      <w:r w:rsidRPr="005436C8">
        <w:rPr>
          <w:color w:val="000000"/>
          <w:sz w:val="22"/>
          <w:szCs w:val="22"/>
          <w:lang w:val="sr-Latn-ME"/>
        </w:rPr>
        <w:t>eljno u 12 ned</w:t>
      </w:r>
      <w:r w:rsidR="006B212E" w:rsidRPr="005436C8">
        <w:rPr>
          <w:color w:val="000000"/>
          <w:sz w:val="22"/>
          <w:szCs w:val="22"/>
          <w:lang w:val="sr-Latn-ME"/>
        </w:rPr>
        <w:t>j</w:t>
      </w:r>
      <w:r w:rsidRPr="005436C8">
        <w:rPr>
          <w:color w:val="000000"/>
          <w:sz w:val="22"/>
          <w:szCs w:val="22"/>
          <w:lang w:val="sr-Latn-ME"/>
        </w:rPr>
        <w:t>eljnih ciklusa.</w:t>
      </w:r>
    </w:p>
    <w:p w14:paraId="1EF86BC0" w14:textId="77777777" w:rsidR="000C7302" w:rsidRPr="005436C8" w:rsidRDefault="000C7302" w:rsidP="005436C8">
      <w:pPr>
        <w:tabs>
          <w:tab w:val="left" w:pos="284"/>
        </w:tabs>
        <w:jc w:val="both"/>
        <w:rPr>
          <w:color w:val="000000"/>
          <w:sz w:val="22"/>
          <w:szCs w:val="22"/>
          <w:lang w:val="sr-Latn-ME"/>
        </w:rPr>
      </w:pPr>
    </w:p>
    <w:p w14:paraId="3B4A66B0" w14:textId="4C4E4402"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Kod pacijenata koji primaju protokol na bazi antraciklina, </w:t>
      </w:r>
      <w:r w:rsidR="006B212E" w:rsidRPr="005436C8">
        <w:rPr>
          <w:color w:val="000000"/>
          <w:sz w:val="22"/>
          <w:szCs w:val="22"/>
          <w:lang w:val="sr-Latn-ME"/>
        </w:rPr>
        <w:t xml:space="preserve">lijek </w:t>
      </w:r>
      <w:r w:rsidRPr="005436C8">
        <w:rPr>
          <w:noProof/>
          <w:color w:val="000000"/>
          <w:sz w:val="22"/>
          <w:szCs w:val="22"/>
          <w:lang w:val="sr-Latn-ME"/>
        </w:rPr>
        <w:t>Phesgo</w:t>
      </w:r>
      <w:r w:rsidRPr="005436C8">
        <w:rPr>
          <w:color w:val="000000"/>
          <w:sz w:val="22"/>
          <w:szCs w:val="22"/>
          <w:lang w:val="sr-Latn-ME"/>
        </w:rPr>
        <w:t xml:space="preserve"> treba </w:t>
      </w:r>
      <w:r w:rsidR="009A54C5" w:rsidRPr="005436C8">
        <w:rPr>
          <w:color w:val="000000"/>
          <w:sz w:val="22"/>
          <w:szCs w:val="22"/>
          <w:lang w:val="sr-Latn-ME"/>
        </w:rPr>
        <w:t>prim</w:t>
      </w:r>
      <w:r w:rsidR="002700CC" w:rsidRPr="005436C8">
        <w:rPr>
          <w:color w:val="000000"/>
          <w:sz w:val="22"/>
          <w:szCs w:val="22"/>
          <w:lang w:val="sr-Latn-ME"/>
        </w:rPr>
        <w:t>i</w:t>
      </w:r>
      <w:r w:rsidR="009A54C5" w:rsidRPr="005436C8">
        <w:rPr>
          <w:color w:val="000000"/>
          <w:sz w:val="22"/>
          <w:szCs w:val="22"/>
          <w:lang w:val="sr-Latn-ME"/>
        </w:rPr>
        <w:t>jeniti</w:t>
      </w:r>
      <w:r w:rsidRPr="005436C8">
        <w:rPr>
          <w:color w:val="000000"/>
          <w:sz w:val="22"/>
          <w:szCs w:val="22"/>
          <w:lang w:val="sr-Latn-ME"/>
        </w:rPr>
        <w:t xml:space="preserve"> nakon završetka kompletnog ciklusa antraciklina (pogledati </w:t>
      </w:r>
      <w:r w:rsidR="009B712A">
        <w:rPr>
          <w:color w:val="000000"/>
          <w:sz w:val="22"/>
          <w:szCs w:val="22"/>
          <w:lang w:val="sr-Latn-ME"/>
        </w:rPr>
        <w:t>dio</w:t>
      </w:r>
      <w:r w:rsidRPr="005436C8">
        <w:rPr>
          <w:color w:val="000000"/>
          <w:sz w:val="22"/>
          <w:szCs w:val="22"/>
          <w:lang w:val="sr-Latn-ME"/>
        </w:rPr>
        <w:t xml:space="preserve"> 4.4).</w:t>
      </w:r>
    </w:p>
    <w:p w14:paraId="305241C9" w14:textId="77777777" w:rsidR="000C7302" w:rsidRPr="005436C8" w:rsidRDefault="000C7302" w:rsidP="005436C8">
      <w:pPr>
        <w:tabs>
          <w:tab w:val="left" w:pos="284"/>
        </w:tabs>
        <w:jc w:val="both"/>
        <w:rPr>
          <w:color w:val="000000"/>
          <w:sz w:val="22"/>
          <w:szCs w:val="22"/>
          <w:lang w:val="sr-Latn-ME"/>
        </w:rPr>
      </w:pPr>
    </w:p>
    <w:p w14:paraId="5EB2794F" w14:textId="77777777" w:rsidR="000C7302" w:rsidRPr="005436C8" w:rsidRDefault="000C7302" w:rsidP="005436C8">
      <w:pPr>
        <w:keepNext/>
        <w:keepLines/>
        <w:shd w:val="clear" w:color="auto" w:fill="FFFFFF"/>
        <w:tabs>
          <w:tab w:val="left" w:pos="284"/>
        </w:tabs>
        <w:autoSpaceDE w:val="0"/>
        <w:autoSpaceDN w:val="0"/>
        <w:adjustRightInd w:val="0"/>
        <w:jc w:val="both"/>
        <w:rPr>
          <w:i/>
          <w:color w:val="000000"/>
          <w:sz w:val="22"/>
          <w:szCs w:val="22"/>
          <w:u w:val="single"/>
          <w:lang w:val="sr-Latn-ME"/>
        </w:rPr>
      </w:pPr>
      <w:r w:rsidRPr="005436C8">
        <w:rPr>
          <w:i/>
          <w:iCs/>
          <w:color w:val="000000"/>
          <w:sz w:val="22"/>
          <w:szCs w:val="22"/>
          <w:u w:val="single"/>
          <w:lang w:val="sr-Latn-ME"/>
        </w:rPr>
        <w:t xml:space="preserve">Metastatski karcinom dojke </w:t>
      </w:r>
    </w:p>
    <w:p w14:paraId="7FE4BBDD" w14:textId="77777777" w:rsidR="000C7302" w:rsidRPr="005436C8" w:rsidRDefault="000C7302" w:rsidP="005436C8">
      <w:pPr>
        <w:keepNext/>
        <w:keepLines/>
        <w:shd w:val="clear" w:color="auto" w:fill="FFFFFF"/>
        <w:tabs>
          <w:tab w:val="left" w:pos="284"/>
        </w:tabs>
        <w:autoSpaceDE w:val="0"/>
        <w:autoSpaceDN w:val="0"/>
        <w:adjustRightInd w:val="0"/>
        <w:jc w:val="both"/>
        <w:rPr>
          <w:color w:val="000000"/>
          <w:sz w:val="22"/>
          <w:szCs w:val="22"/>
          <w:lang w:val="sr-Latn-ME"/>
        </w:rPr>
      </w:pPr>
    </w:p>
    <w:p w14:paraId="05080A45" w14:textId="520FBF76" w:rsidR="000C7302" w:rsidRPr="005436C8" w:rsidRDefault="00166973" w:rsidP="005436C8">
      <w:pPr>
        <w:shd w:val="clear" w:color="auto" w:fill="FFFFFF"/>
        <w:tabs>
          <w:tab w:val="left" w:pos="284"/>
        </w:tabs>
        <w:autoSpaceDE w:val="0"/>
        <w:autoSpaceDN w:val="0"/>
        <w:adjustRightInd w:val="0"/>
        <w:jc w:val="both"/>
        <w:rPr>
          <w:color w:val="000000"/>
          <w:sz w:val="22"/>
          <w:szCs w:val="22"/>
          <w:lang w:val="sr-Latn-ME"/>
        </w:rPr>
      </w:pPr>
      <w:r w:rsidRPr="005436C8">
        <w:rPr>
          <w:noProof/>
          <w:color w:val="000000"/>
          <w:sz w:val="22"/>
          <w:szCs w:val="22"/>
          <w:lang w:val="sr-Latn-ME"/>
        </w:rPr>
        <w:t>Lijek</w:t>
      </w:r>
      <w:r w:rsidR="000C7302" w:rsidRPr="005436C8">
        <w:rPr>
          <w:noProof/>
          <w:color w:val="000000"/>
          <w:sz w:val="22"/>
          <w:szCs w:val="22"/>
          <w:lang w:val="sr-Latn-ME"/>
        </w:rPr>
        <w:t xml:space="preserve"> Phesgo</w:t>
      </w:r>
      <w:r w:rsidR="000C7302" w:rsidRPr="005436C8">
        <w:rPr>
          <w:color w:val="000000"/>
          <w:sz w:val="22"/>
          <w:szCs w:val="22"/>
          <w:lang w:val="sr-Latn-ME"/>
        </w:rPr>
        <w:t xml:space="preserve"> treba </w:t>
      </w:r>
      <w:r w:rsidR="00BC7CBF" w:rsidRPr="005436C8">
        <w:rPr>
          <w:color w:val="000000"/>
          <w:sz w:val="22"/>
          <w:szCs w:val="22"/>
          <w:lang w:val="sr-Latn-ME"/>
        </w:rPr>
        <w:t>primjenjivati</w:t>
      </w:r>
      <w:r w:rsidR="000C7302" w:rsidRPr="005436C8">
        <w:rPr>
          <w:color w:val="000000"/>
          <w:sz w:val="22"/>
          <w:szCs w:val="22"/>
          <w:lang w:val="sr-Latn-ME"/>
        </w:rPr>
        <w:t xml:space="preserve"> u kombinaciji sa docetakselom. Terapija </w:t>
      </w:r>
      <w:r w:rsidRPr="005436C8">
        <w:rPr>
          <w:color w:val="000000"/>
          <w:sz w:val="22"/>
          <w:szCs w:val="22"/>
          <w:lang w:val="sr-Latn-ME"/>
        </w:rPr>
        <w:t>lijek</w:t>
      </w:r>
      <w:r w:rsidR="000C7302" w:rsidRPr="005436C8">
        <w:rPr>
          <w:color w:val="000000"/>
          <w:sz w:val="22"/>
          <w:szCs w:val="22"/>
          <w:lang w:val="sr-Latn-ME"/>
        </w:rPr>
        <w:t xml:space="preserve">om </w:t>
      </w:r>
      <w:r w:rsidR="000C7302" w:rsidRPr="005436C8">
        <w:rPr>
          <w:noProof/>
          <w:color w:val="000000"/>
          <w:sz w:val="22"/>
          <w:szCs w:val="22"/>
          <w:lang w:val="sr-Latn-ME"/>
        </w:rPr>
        <w:t>Phesgo</w:t>
      </w:r>
      <w:r w:rsidR="000C7302" w:rsidRPr="005436C8">
        <w:rPr>
          <w:color w:val="000000"/>
          <w:sz w:val="22"/>
          <w:szCs w:val="22"/>
          <w:lang w:val="sr-Latn-ME"/>
        </w:rPr>
        <w:t xml:space="preserve"> može se nastaviti do progresije bolesti ili do pojave toksičnosti koju je nemoguće otkloniti čak i ukoliko se terapija docetakselom prekine (pogledati </w:t>
      </w:r>
      <w:r w:rsidR="009B712A">
        <w:rPr>
          <w:color w:val="000000"/>
          <w:sz w:val="22"/>
          <w:szCs w:val="22"/>
          <w:lang w:val="sr-Latn-ME"/>
        </w:rPr>
        <w:t>dio</w:t>
      </w:r>
      <w:r w:rsidR="000C7302" w:rsidRPr="005436C8">
        <w:rPr>
          <w:color w:val="000000"/>
          <w:sz w:val="22"/>
          <w:szCs w:val="22"/>
          <w:lang w:val="sr-Latn-ME"/>
        </w:rPr>
        <w:t xml:space="preserve"> 4.4).</w:t>
      </w:r>
    </w:p>
    <w:p w14:paraId="207EABA5" w14:textId="77777777" w:rsidR="000C7302" w:rsidRPr="005436C8" w:rsidRDefault="000C7302" w:rsidP="005436C8">
      <w:pPr>
        <w:shd w:val="clear" w:color="auto" w:fill="FFFFFF"/>
        <w:tabs>
          <w:tab w:val="left" w:pos="284"/>
        </w:tabs>
        <w:autoSpaceDE w:val="0"/>
        <w:autoSpaceDN w:val="0"/>
        <w:adjustRightInd w:val="0"/>
        <w:jc w:val="both"/>
        <w:rPr>
          <w:color w:val="000000"/>
          <w:sz w:val="22"/>
          <w:szCs w:val="22"/>
          <w:lang w:val="sr-Latn-ME"/>
        </w:rPr>
      </w:pPr>
    </w:p>
    <w:p w14:paraId="368BA3B9" w14:textId="77777777" w:rsidR="000C7302" w:rsidRPr="005436C8" w:rsidRDefault="000C7302" w:rsidP="005436C8">
      <w:pPr>
        <w:shd w:val="clear" w:color="auto" w:fill="FFFFFF"/>
        <w:tabs>
          <w:tab w:val="left" w:pos="284"/>
        </w:tabs>
        <w:autoSpaceDE w:val="0"/>
        <w:autoSpaceDN w:val="0"/>
        <w:adjustRightInd w:val="0"/>
        <w:jc w:val="both"/>
        <w:rPr>
          <w:i/>
          <w:color w:val="000000"/>
          <w:sz w:val="22"/>
          <w:szCs w:val="22"/>
          <w:u w:val="single"/>
          <w:lang w:val="sr-Latn-ME"/>
        </w:rPr>
      </w:pPr>
      <w:r w:rsidRPr="005436C8">
        <w:rPr>
          <w:i/>
          <w:iCs/>
          <w:color w:val="000000"/>
          <w:sz w:val="22"/>
          <w:szCs w:val="22"/>
          <w:u w:val="single"/>
          <w:lang w:val="sr-Latn-ME"/>
        </w:rPr>
        <w:t xml:space="preserve">Rani karcinom dojke </w:t>
      </w:r>
    </w:p>
    <w:p w14:paraId="2614AE53" w14:textId="77777777" w:rsidR="000C7302" w:rsidRPr="005436C8" w:rsidRDefault="000C7302" w:rsidP="005436C8">
      <w:pPr>
        <w:shd w:val="clear" w:color="auto" w:fill="FFFFFF"/>
        <w:tabs>
          <w:tab w:val="left" w:pos="284"/>
        </w:tabs>
        <w:autoSpaceDE w:val="0"/>
        <w:autoSpaceDN w:val="0"/>
        <w:adjustRightInd w:val="0"/>
        <w:jc w:val="both"/>
        <w:rPr>
          <w:color w:val="000000"/>
          <w:sz w:val="22"/>
          <w:szCs w:val="22"/>
          <w:lang w:val="sr-Latn-ME"/>
        </w:rPr>
      </w:pPr>
    </w:p>
    <w:p w14:paraId="02706FE3" w14:textId="0147E553" w:rsidR="000C7302" w:rsidRPr="005436C8" w:rsidRDefault="000C7302" w:rsidP="005436C8">
      <w:pPr>
        <w:shd w:val="clear" w:color="auto" w:fill="FFFFFF"/>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Kod neoadjuvantnog </w:t>
      </w:r>
      <w:r w:rsidR="009A54C5" w:rsidRPr="005436C8">
        <w:rPr>
          <w:color w:val="000000"/>
          <w:sz w:val="22"/>
          <w:szCs w:val="22"/>
          <w:lang w:val="sr-Latn-ME"/>
        </w:rPr>
        <w:t>liječenja</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 </w:t>
      </w:r>
      <w:r w:rsidRPr="005436C8">
        <w:rPr>
          <w:noProof/>
          <w:color w:val="000000"/>
          <w:sz w:val="22"/>
          <w:szCs w:val="22"/>
          <w:lang w:val="sr-Latn-ME"/>
        </w:rPr>
        <w:t>Phesgo</w:t>
      </w:r>
      <w:r w:rsidRPr="005436C8">
        <w:rPr>
          <w:color w:val="000000"/>
          <w:sz w:val="22"/>
          <w:szCs w:val="22"/>
          <w:lang w:val="sr-Latn-ME"/>
        </w:rPr>
        <w:t xml:space="preserve"> treba </w:t>
      </w:r>
      <w:r w:rsidR="00BC7CBF" w:rsidRPr="005436C8">
        <w:rPr>
          <w:color w:val="000000"/>
          <w:sz w:val="22"/>
          <w:szCs w:val="22"/>
          <w:lang w:val="sr-Latn-ME"/>
        </w:rPr>
        <w:t>primjenjivati</w:t>
      </w:r>
      <w:r w:rsidRPr="005436C8">
        <w:rPr>
          <w:color w:val="000000"/>
          <w:sz w:val="22"/>
          <w:szCs w:val="22"/>
          <w:lang w:val="sr-Latn-ME"/>
        </w:rPr>
        <w:t xml:space="preserve"> u 3 do 6 ciklusa u kombinaciji sa hemoterapijom, kao </w:t>
      </w:r>
      <w:r w:rsidR="000A2EA9" w:rsidRPr="005436C8">
        <w:rPr>
          <w:color w:val="000000"/>
          <w:sz w:val="22"/>
          <w:szCs w:val="22"/>
          <w:lang w:val="sr-Latn-ME"/>
        </w:rPr>
        <w:t>dio</w:t>
      </w:r>
      <w:r w:rsidRPr="005436C8">
        <w:rPr>
          <w:color w:val="000000"/>
          <w:sz w:val="22"/>
          <w:szCs w:val="22"/>
          <w:lang w:val="sr-Latn-ME"/>
        </w:rPr>
        <w:t xml:space="preserve"> kompletnog protokola za </w:t>
      </w:r>
      <w:r w:rsidR="00841D7D" w:rsidRPr="005436C8">
        <w:rPr>
          <w:color w:val="000000"/>
          <w:sz w:val="22"/>
          <w:szCs w:val="22"/>
          <w:lang w:val="sr-Latn-ME"/>
        </w:rPr>
        <w:t>liječenje</w:t>
      </w:r>
      <w:r w:rsidRPr="005436C8">
        <w:rPr>
          <w:color w:val="000000"/>
          <w:sz w:val="22"/>
          <w:szCs w:val="22"/>
          <w:lang w:val="sr-Latn-ME"/>
        </w:rPr>
        <w:t xml:space="preserve"> ranog karcinoma dojke (pogledati </w:t>
      </w:r>
      <w:r w:rsidR="009B712A">
        <w:rPr>
          <w:color w:val="000000"/>
          <w:sz w:val="22"/>
          <w:szCs w:val="22"/>
          <w:lang w:val="sr-Latn-ME"/>
        </w:rPr>
        <w:t>dio</w:t>
      </w:r>
      <w:r w:rsidRPr="005436C8">
        <w:rPr>
          <w:color w:val="000000"/>
          <w:sz w:val="22"/>
          <w:szCs w:val="22"/>
          <w:lang w:val="sr-Latn-ME"/>
        </w:rPr>
        <w:t xml:space="preserve"> 5.1).</w:t>
      </w:r>
    </w:p>
    <w:p w14:paraId="2E8100C0" w14:textId="77777777" w:rsidR="000C7302" w:rsidRPr="005436C8" w:rsidRDefault="000C7302" w:rsidP="005436C8">
      <w:pPr>
        <w:shd w:val="clear" w:color="auto" w:fill="FFFFFF"/>
        <w:tabs>
          <w:tab w:val="left" w:pos="284"/>
        </w:tabs>
        <w:autoSpaceDE w:val="0"/>
        <w:autoSpaceDN w:val="0"/>
        <w:adjustRightInd w:val="0"/>
        <w:jc w:val="both"/>
        <w:rPr>
          <w:color w:val="000000"/>
          <w:sz w:val="22"/>
          <w:szCs w:val="22"/>
          <w:lang w:val="sr-Latn-ME"/>
        </w:rPr>
      </w:pPr>
    </w:p>
    <w:p w14:paraId="2606A2D1" w14:textId="77777777" w:rsidR="000C7302" w:rsidRPr="005436C8" w:rsidRDefault="000C7302" w:rsidP="005436C8">
      <w:pPr>
        <w:shd w:val="clear" w:color="auto" w:fill="FFFFFF"/>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Kod adjuvantnog </w:t>
      </w:r>
      <w:r w:rsidR="000A2EA9" w:rsidRPr="005436C8">
        <w:rPr>
          <w:color w:val="000000"/>
          <w:sz w:val="22"/>
          <w:szCs w:val="22"/>
          <w:lang w:val="sr-Latn-ME"/>
        </w:rPr>
        <w:t>liječenja</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 </w:t>
      </w:r>
      <w:r w:rsidRPr="005436C8">
        <w:rPr>
          <w:noProof/>
          <w:color w:val="000000"/>
          <w:sz w:val="22"/>
          <w:szCs w:val="22"/>
          <w:lang w:val="sr-Latn-ME"/>
        </w:rPr>
        <w:t>Phesgo</w:t>
      </w:r>
      <w:r w:rsidRPr="005436C8">
        <w:rPr>
          <w:color w:val="000000"/>
          <w:sz w:val="22"/>
          <w:szCs w:val="22"/>
          <w:lang w:val="sr-Latn-ME"/>
        </w:rPr>
        <w:t xml:space="preserve"> treba </w:t>
      </w:r>
      <w:r w:rsidR="00BC7CBF" w:rsidRPr="005436C8">
        <w:rPr>
          <w:color w:val="000000"/>
          <w:sz w:val="22"/>
          <w:szCs w:val="22"/>
          <w:lang w:val="sr-Latn-ME"/>
        </w:rPr>
        <w:t>primjenjivati</w:t>
      </w:r>
      <w:r w:rsidRPr="005436C8">
        <w:rPr>
          <w:color w:val="000000"/>
          <w:sz w:val="22"/>
          <w:szCs w:val="22"/>
          <w:lang w:val="sr-Latn-ME"/>
        </w:rPr>
        <w:t xml:space="preserve"> u periodu od ukupno godinu dana (do 18 ciklusa, do recidiva bolesti, ili do pojave toksičnosti koju je nemoguće otkloniti, do čega god prvo dođe) kao </w:t>
      </w:r>
      <w:r w:rsidR="000A2EA9" w:rsidRPr="005436C8">
        <w:rPr>
          <w:color w:val="000000"/>
          <w:sz w:val="22"/>
          <w:szCs w:val="22"/>
          <w:lang w:val="sr-Latn-ME"/>
        </w:rPr>
        <w:t>dio</w:t>
      </w:r>
      <w:r w:rsidRPr="005436C8">
        <w:rPr>
          <w:color w:val="000000"/>
          <w:sz w:val="22"/>
          <w:szCs w:val="22"/>
          <w:lang w:val="sr-Latn-ME"/>
        </w:rPr>
        <w:t xml:space="preserve"> kompletnog protokola za </w:t>
      </w:r>
      <w:r w:rsidR="00841D7D" w:rsidRPr="005436C8">
        <w:rPr>
          <w:color w:val="000000"/>
          <w:sz w:val="22"/>
          <w:szCs w:val="22"/>
          <w:lang w:val="sr-Latn-ME"/>
        </w:rPr>
        <w:t>liječenje</w:t>
      </w:r>
      <w:r w:rsidRPr="005436C8">
        <w:rPr>
          <w:color w:val="000000"/>
          <w:sz w:val="22"/>
          <w:szCs w:val="22"/>
          <w:lang w:val="sr-Latn-ME"/>
        </w:rPr>
        <w:t xml:space="preserve"> ranog karcinoma dojke i nezavisno od </w:t>
      </w:r>
      <w:r w:rsidR="002700CC" w:rsidRPr="005436C8">
        <w:rPr>
          <w:color w:val="000000"/>
          <w:sz w:val="22"/>
          <w:szCs w:val="22"/>
          <w:lang w:val="sr-Latn-ME"/>
        </w:rPr>
        <w:t>vrem</w:t>
      </w:r>
      <w:r w:rsidR="00A21698" w:rsidRPr="005436C8">
        <w:rPr>
          <w:color w:val="000000"/>
          <w:sz w:val="22"/>
          <w:szCs w:val="22"/>
          <w:lang w:val="sr-Latn-ME"/>
        </w:rPr>
        <w:t>e</w:t>
      </w:r>
      <w:r w:rsidRPr="005436C8">
        <w:rPr>
          <w:color w:val="000000"/>
          <w:sz w:val="22"/>
          <w:szCs w:val="22"/>
          <w:lang w:val="sr-Latn-ME"/>
        </w:rPr>
        <w:t xml:space="preserve">na hirurškog zahvata. </w:t>
      </w:r>
      <w:r w:rsidR="00841D7D" w:rsidRPr="005436C8">
        <w:rPr>
          <w:color w:val="000000"/>
          <w:sz w:val="22"/>
          <w:szCs w:val="22"/>
          <w:lang w:val="sr-Latn-ME"/>
        </w:rPr>
        <w:t>Liječenje</w:t>
      </w:r>
      <w:r w:rsidRPr="005436C8">
        <w:rPr>
          <w:color w:val="000000"/>
          <w:sz w:val="22"/>
          <w:szCs w:val="22"/>
          <w:lang w:val="sr-Latn-ME"/>
        </w:rPr>
        <w:t xml:space="preserve"> treba da obuhvati standardnu hemoterapiju na bazi antraciklina odnosno taksana. Terapiju </w:t>
      </w:r>
      <w:r w:rsidR="00166973" w:rsidRPr="005436C8">
        <w:rPr>
          <w:color w:val="000000"/>
          <w:sz w:val="22"/>
          <w:szCs w:val="22"/>
          <w:lang w:val="sr-Latn-ME"/>
        </w:rPr>
        <w:t>lijek</w:t>
      </w:r>
      <w:r w:rsidRPr="005436C8">
        <w:rPr>
          <w:color w:val="000000"/>
          <w:sz w:val="22"/>
          <w:szCs w:val="22"/>
          <w:lang w:val="sr-Latn-ME"/>
        </w:rPr>
        <w:t>om P</w:t>
      </w:r>
      <w:r w:rsidRPr="005436C8">
        <w:rPr>
          <w:noProof/>
          <w:color w:val="000000"/>
          <w:sz w:val="22"/>
          <w:szCs w:val="22"/>
          <w:lang w:val="sr-Latn-ME"/>
        </w:rPr>
        <w:t>hesgo</w:t>
      </w:r>
      <w:r w:rsidRPr="005436C8">
        <w:rPr>
          <w:color w:val="000000"/>
          <w:sz w:val="22"/>
          <w:szCs w:val="22"/>
          <w:lang w:val="sr-Latn-ME"/>
        </w:rPr>
        <w:t xml:space="preserve"> treba započeti 1. dana prvog ciklusa hemoterapije koja sadrži taksan i treba ga nastaviti čak i ako se hemoterapija prekine.</w:t>
      </w:r>
    </w:p>
    <w:p w14:paraId="67A0E6F8" w14:textId="77777777" w:rsidR="000C7302" w:rsidRPr="005436C8" w:rsidRDefault="000C7302" w:rsidP="005436C8">
      <w:pPr>
        <w:tabs>
          <w:tab w:val="left" w:pos="284"/>
        </w:tabs>
        <w:jc w:val="both"/>
        <w:rPr>
          <w:color w:val="000000"/>
          <w:sz w:val="22"/>
          <w:szCs w:val="22"/>
          <w:lang w:val="sr-Latn-ME"/>
        </w:rPr>
      </w:pPr>
    </w:p>
    <w:p w14:paraId="22C99708" w14:textId="77777777" w:rsidR="000C7302" w:rsidRPr="005436C8" w:rsidRDefault="000C7302" w:rsidP="005436C8">
      <w:pPr>
        <w:tabs>
          <w:tab w:val="left" w:pos="284"/>
        </w:tabs>
        <w:jc w:val="both"/>
        <w:rPr>
          <w:bCs/>
          <w:i/>
          <w:iCs/>
          <w:color w:val="000000"/>
          <w:sz w:val="22"/>
          <w:szCs w:val="22"/>
          <w:u w:val="single"/>
          <w:lang w:val="sr-Latn-ME"/>
        </w:rPr>
      </w:pPr>
      <w:r w:rsidRPr="005436C8">
        <w:rPr>
          <w:i/>
          <w:iCs/>
          <w:color w:val="000000"/>
          <w:sz w:val="22"/>
          <w:szCs w:val="22"/>
          <w:u w:val="single"/>
          <w:lang w:val="sr-Latn-ME"/>
        </w:rPr>
        <w:t>Odložene ili propuštene doze</w:t>
      </w:r>
    </w:p>
    <w:p w14:paraId="2AB3C6B4" w14:textId="77777777" w:rsidR="000C7302" w:rsidRPr="005436C8" w:rsidRDefault="000C7302" w:rsidP="005436C8">
      <w:pPr>
        <w:tabs>
          <w:tab w:val="left" w:pos="284"/>
        </w:tabs>
        <w:jc w:val="both"/>
        <w:rPr>
          <w:bCs/>
          <w:i/>
          <w:iCs/>
          <w:color w:val="000000"/>
          <w:sz w:val="22"/>
          <w:szCs w:val="22"/>
          <w:lang w:val="sr-Latn-ME"/>
        </w:rPr>
      </w:pPr>
    </w:p>
    <w:p w14:paraId="4DDAB517" w14:textId="77777777" w:rsidR="000C7302" w:rsidRPr="005436C8" w:rsidRDefault="000C7302" w:rsidP="005436C8">
      <w:pPr>
        <w:tabs>
          <w:tab w:val="left" w:pos="284"/>
        </w:tabs>
        <w:jc w:val="both"/>
        <w:rPr>
          <w:bCs/>
          <w:iCs/>
          <w:color w:val="000000"/>
          <w:sz w:val="22"/>
          <w:szCs w:val="22"/>
          <w:lang w:val="sr-Latn-ME"/>
        </w:rPr>
      </w:pPr>
      <w:r w:rsidRPr="005436C8">
        <w:rPr>
          <w:color w:val="000000"/>
          <w:sz w:val="22"/>
          <w:szCs w:val="22"/>
          <w:lang w:val="sr-Latn-ME"/>
        </w:rPr>
        <w:t xml:space="preserve">Ukoliko </w:t>
      </w:r>
      <w:r w:rsidR="002700CC" w:rsidRPr="005436C8">
        <w:rPr>
          <w:color w:val="000000"/>
          <w:sz w:val="22"/>
          <w:szCs w:val="22"/>
          <w:lang w:val="sr-Latn-ME"/>
        </w:rPr>
        <w:t>vr</w:t>
      </w:r>
      <w:r w:rsidR="006B212E" w:rsidRPr="005436C8">
        <w:rPr>
          <w:color w:val="000000"/>
          <w:sz w:val="22"/>
          <w:szCs w:val="22"/>
          <w:lang w:val="sr-Latn-ME"/>
        </w:rPr>
        <w:t>ij</w:t>
      </w:r>
      <w:r w:rsidR="002700CC" w:rsidRPr="005436C8">
        <w:rPr>
          <w:color w:val="000000"/>
          <w:sz w:val="22"/>
          <w:szCs w:val="22"/>
          <w:lang w:val="sr-Latn-ME"/>
        </w:rPr>
        <w:t>em</w:t>
      </w:r>
      <w:r w:rsidR="00A21698" w:rsidRPr="005436C8">
        <w:rPr>
          <w:color w:val="000000"/>
          <w:sz w:val="22"/>
          <w:szCs w:val="22"/>
          <w:lang w:val="sr-Latn-ME"/>
        </w:rPr>
        <w:t>e</w:t>
      </w:r>
      <w:r w:rsidRPr="005436C8">
        <w:rPr>
          <w:color w:val="000000"/>
          <w:sz w:val="22"/>
          <w:szCs w:val="22"/>
          <w:lang w:val="sr-Latn-ME"/>
        </w:rPr>
        <w:t xml:space="preserve"> između dv</w:t>
      </w:r>
      <w:r w:rsidR="006B212E" w:rsidRPr="005436C8">
        <w:rPr>
          <w:color w:val="000000"/>
          <w:sz w:val="22"/>
          <w:szCs w:val="22"/>
          <w:lang w:val="sr-Latn-ME"/>
        </w:rPr>
        <w:t>ij</w:t>
      </w:r>
      <w:r w:rsidRPr="005436C8">
        <w:rPr>
          <w:color w:val="000000"/>
          <w:sz w:val="22"/>
          <w:szCs w:val="22"/>
          <w:lang w:val="sr-Latn-ME"/>
        </w:rPr>
        <w:t>e uzastopne injekcija iznosi:</w:t>
      </w:r>
    </w:p>
    <w:p w14:paraId="5A621B0E" w14:textId="77777777" w:rsidR="000C7302" w:rsidRPr="005436C8" w:rsidRDefault="000C7302" w:rsidP="005436C8">
      <w:pPr>
        <w:shd w:val="clear" w:color="auto" w:fill="FFFFFF"/>
        <w:tabs>
          <w:tab w:val="left" w:pos="284"/>
        </w:tabs>
        <w:ind w:left="360" w:hanging="153"/>
        <w:jc w:val="both"/>
        <w:rPr>
          <w:bCs/>
          <w:iCs/>
          <w:color w:val="000000"/>
          <w:sz w:val="22"/>
          <w:szCs w:val="22"/>
          <w:lang w:val="sr-Latn-ME"/>
        </w:rPr>
      </w:pPr>
      <w:r w:rsidRPr="005436C8">
        <w:rPr>
          <w:sz w:val="22"/>
          <w:szCs w:val="22"/>
          <w:lang w:val="sr-Latn-ME"/>
        </w:rPr>
        <w:sym w:font="Symbol" w:char="F0B7"/>
      </w:r>
      <w:r w:rsidRPr="005436C8">
        <w:rPr>
          <w:color w:val="000000"/>
          <w:sz w:val="22"/>
          <w:szCs w:val="22"/>
          <w:lang w:val="sr-Latn-ME"/>
        </w:rPr>
        <w:t xml:space="preserve"> manje od 6 </w:t>
      </w:r>
      <w:r w:rsidR="00636A78" w:rsidRPr="005436C8">
        <w:rPr>
          <w:color w:val="000000"/>
          <w:sz w:val="22"/>
          <w:szCs w:val="22"/>
          <w:lang w:val="sr-Latn-ME"/>
        </w:rPr>
        <w:t>nedjelja</w:t>
      </w:r>
      <w:r w:rsidRPr="005436C8">
        <w:rPr>
          <w:color w:val="000000"/>
          <w:sz w:val="22"/>
          <w:szCs w:val="22"/>
          <w:lang w:val="sr-Latn-ME"/>
        </w:rPr>
        <w:t xml:space="preserve">, dozu održavanja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od </w:t>
      </w:r>
      <w:r w:rsidR="00FE754C" w:rsidRPr="005436C8">
        <w:rPr>
          <w:color w:val="000000"/>
          <w:sz w:val="22"/>
          <w:szCs w:val="22"/>
          <w:lang w:val="sr-Latn-ME"/>
        </w:rPr>
        <w:t>(</w:t>
      </w:r>
      <w:r w:rsidRPr="005436C8">
        <w:rPr>
          <w:color w:val="000000"/>
          <w:sz w:val="22"/>
          <w:szCs w:val="22"/>
          <w:lang w:val="sr-Latn-ME"/>
        </w:rPr>
        <w:t>600 mg</w:t>
      </w:r>
      <w:r w:rsidR="00FE754C" w:rsidRPr="005436C8">
        <w:rPr>
          <w:color w:val="000000"/>
          <w:sz w:val="22"/>
          <w:szCs w:val="22"/>
          <w:lang w:val="sr-Latn-ME"/>
        </w:rPr>
        <w:t xml:space="preserve"> + </w:t>
      </w:r>
      <w:r w:rsidRPr="005436C8">
        <w:rPr>
          <w:color w:val="000000"/>
          <w:sz w:val="22"/>
          <w:szCs w:val="22"/>
          <w:lang w:val="sr-Latn-ME"/>
        </w:rPr>
        <w:t>600 mg</w:t>
      </w:r>
      <w:r w:rsidR="00FE754C" w:rsidRPr="005436C8">
        <w:rPr>
          <w:color w:val="000000"/>
          <w:sz w:val="22"/>
          <w:szCs w:val="22"/>
          <w:lang w:val="sr-Latn-ME"/>
        </w:rPr>
        <w:t>)/ 10 ml</w:t>
      </w:r>
      <w:r w:rsidRPr="005436C8">
        <w:rPr>
          <w:color w:val="000000"/>
          <w:sz w:val="22"/>
          <w:szCs w:val="22"/>
          <w:lang w:val="sr-Latn-ME"/>
        </w:rPr>
        <w:t xml:space="preserve"> treba prim</w:t>
      </w:r>
      <w:r w:rsidR="006B212E" w:rsidRPr="005436C8">
        <w:rPr>
          <w:color w:val="000000"/>
          <w:sz w:val="22"/>
          <w:szCs w:val="22"/>
          <w:lang w:val="sr-Latn-ME"/>
        </w:rPr>
        <w:t>ij</w:t>
      </w:r>
      <w:r w:rsidRPr="005436C8">
        <w:rPr>
          <w:color w:val="000000"/>
          <w:sz w:val="22"/>
          <w:szCs w:val="22"/>
          <w:lang w:val="sr-Latn-ME"/>
        </w:rPr>
        <w:t xml:space="preserve">eniti što je </w:t>
      </w:r>
      <w:r w:rsidR="00522BD8" w:rsidRPr="005436C8">
        <w:rPr>
          <w:color w:val="000000"/>
          <w:sz w:val="22"/>
          <w:szCs w:val="22"/>
          <w:lang w:val="sr-Latn-ME"/>
        </w:rPr>
        <w:t>prije</w:t>
      </w:r>
      <w:r w:rsidRPr="005436C8">
        <w:rPr>
          <w:color w:val="000000"/>
          <w:sz w:val="22"/>
          <w:szCs w:val="22"/>
          <w:lang w:val="sr-Latn-ME"/>
        </w:rPr>
        <w:t xml:space="preserve"> moguće. Nakon toga</w:t>
      </w:r>
      <w:r w:rsidR="006B212E" w:rsidRPr="005436C8">
        <w:rPr>
          <w:color w:val="000000"/>
          <w:sz w:val="22"/>
          <w:szCs w:val="22"/>
          <w:lang w:val="sr-Latn-ME"/>
        </w:rPr>
        <w:t>,</w:t>
      </w:r>
      <w:r w:rsidRPr="005436C8">
        <w:rPr>
          <w:color w:val="000000"/>
          <w:sz w:val="22"/>
          <w:szCs w:val="22"/>
          <w:lang w:val="sr-Latn-ME"/>
        </w:rPr>
        <w:t xml:space="preserve"> </w:t>
      </w:r>
      <w:r w:rsidR="00841D7D" w:rsidRPr="005436C8">
        <w:rPr>
          <w:color w:val="000000"/>
          <w:sz w:val="22"/>
          <w:szCs w:val="22"/>
          <w:lang w:val="sr-Latn-ME"/>
        </w:rPr>
        <w:t>liječenje</w:t>
      </w:r>
      <w:r w:rsidRPr="005436C8">
        <w:rPr>
          <w:color w:val="000000"/>
          <w:sz w:val="22"/>
          <w:szCs w:val="22"/>
          <w:lang w:val="sr-Latn-ME"/>
        </w:rPr>
        <w:t xml:space="preserve"> treba nastaviti prema rasporedu na 3 ned</w:t>
      </w:r>
      <w:r w:rsidR="00636A78" w:rsidRPr="005436C8">
        <w:rPr>
          <w:color w:val="000000"/>
          <w:sz w:val="22"/>
          <w:szCs w:val="22"/>
          <w:lang w:val="sr-Latn-ME"/>
        </w:rPr>
        <w:t>j</w:t>
      </w:r>
      <w:r w:rsidRPr="005436C8">
        <w:rPr>
          <w:color w:val="000000"/>
          <w:sz w:val="22"/>
          <w:szCs w:val="22"/>
          <w:lang w:val="sr-Latn-ME"/>
        </w:rPr>
        <w:t>elje.</w:t>
      </w:r>
    </w:p>
    <w:p w14:paraId="00B4D0EA" w14:textId="77777777" w:rsidR="000C7302" w:rsidRPr="005436C8" w:rsidRDefault="000C7302" w:rsidP="005436C8">
      <w:pPr>
        <w:shd w:val="clear" w:color="auto" w:fill="FFFFFF"/>
        <w:tabs>
          <w:tab w:val="left" w:pos="284"/>
        </w:tabs>
        <w:ind w:left="360" w:hanging="153"/>
        <w:jc w:val="both"/>
        <w:rPr>
          <w:bCs/>
          <w:iCs/>
          <w:color w:val="000000"/>
          <w:sz w:val="22"/>
          <w:szCs w:val="22"/>
          <w:lang w:val="sr-Latn-ME"/>
        </w:rPr>
      </w:pPr>
      <w:r w:rsidRPr="005436C8">
        <w:rPr>
          <w:sz w:val="22"/>
          <w:szCs w:val="22"/>
          <w:lang w:val="sr-Latn-ME"/>
        </w:rPr>
        <w:sym w:font="Symbol" w:char="F0B7"/>
      </w:r>
      <w:r w:rsidRPr="005436C8">
        <w:rPr>
          <w:color w:val="000000"/>
          <w:sz w:val="22"/>
          <w:szCs w:val="22"/>
          <w:lang w:val="sr-Latn-ME"/>
        </w:rPr>
        <w:t xml:space="preserve"> Nakon 6 </w:t>
      </w:r>
      <w:r w:rsidR="00636A78" w:rsidRPr="005436C8">
        <w:rPr>
          <w:color w:val="000000"/>
          <w:sz w:val="22"/>
          <w:szCs w:val="22"/>
          <w:lang w:val="sr-Latn-ME"/>
        </w:rPr>
        <w:t>nedjelja</w:t>
      </w:r>
      <w:r w:rsidRPr="005436C8">
        <w:rPr>
          <w:color w:val="000000"/>
          <w:sz w:val="22"/>
          <w:szCs w:val="22"/>
          <w:lang w:val="sr-Latn-ME"/>
        </w:rPr>
        <w:t xml:space="preserve"> ili duže, treba ponovno prim</w:t>
      </w:r>
      <w:r w:rsidR="006B212E" w:rsidRPr="005436C8">
        <w:rPr>
          <w:color w:val="000000"/>
          <w:sz w:val="22"/>
          <w:szCs w:val="22"/>
          <w:lang w:val="sr-Latn-ME"/>
        </w:rPr>
        <w:t>ij</w:t>
      </w:r>
      <w:r w:rsidRPr="005436C8">
        <w:rPr>
          <w:color w:val="000000"/>
          <w:sz w:val="22"/>
          <w:szCs w:val="22"/>
          <w:lang w:val="sr-Latn-ME"/>
        </w:rPr>
        <w:t xml:space="preserve">eniti udarnu dozu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od </w:t>
      </w:r>
      <w:r w:rsidR="00FE754C" w:rsidRPr="005436C8">
        <w:rPr>
          <w:color w:val="000000"/>
          <w:sz w:val="22"/>
          <w:szCs w:val="22"/>
          <w:lang w:val="sr-Latn-ME"/>
        </w:rPr>
        <w:t>(</w:t>
      </w:r>
      <w:r w:rsidRPr="005436C8">
        <w:rPr>
          <w:color w:val="000000"/>
          <w:sz w:val="22"/>
          <w:szCs w:val="22"/>
          <w:lang w:val="sr-Latn-ME"/>
        </w:rPr>
        <w:t>1200 mg</w:t>
      </w:r>
      <w:r w:rsidR="00FE754C" w:rsidRPr="005436C8">
        <w:rPr>
          <w:color w:val="000000"/>
          <w:sz w:val="22"/>
          <w:szCs w:val="22"/>
          <w:lang w:val="sr-Latn-ME"/>
        </w:rPr>
        <w:t xml:space="preserve"> + </w:t>
      </w:r>
      <w:r w:rsidRPr="005436C8">
        <w:rPr>
          <w:color w:val="000000"/>
          <w:sz w:val="22"/>
          <w:szCs w:val="22"/>
          <w:lang w:val="sr-Latn-ME"/>
        </w:rPr>
        <w:t>600 mg</w:t>
      </w:r>
      <w:r w:rsidR="00FE754C" w:rsidRPr="005436C8">
        <w:rPr>
          <w:color w:val="000000"/>
          <w:sz w:val="22"/>
          <w:szCs w:val="22"/>
          <w:lang w:val="sr-Latn-ME"/>
        </w:rPr>
        <w:t>)/15 ml</w:t>
      </w:r>
      <w:r w:rsidRPr="005436C8">
        <w:rPr>
          <w:color w:val="000000"/>
          <w:sz w:val="22"/>
          <w:szCs w:val="22"/>
          <w:lang w:val="sr-Latn-ME"/>
        </w:rPr>
        <w:t xml:space="preserve">, a nakon toga </w:t>
      </w:r>
      <w:r w:rsidR="00841D7D" w:rsidRPr="005436C8">
        <w:rPr>
          <w:color w:val="000000"/>
          <w:sz w:val="22"/>
          <w:szCs w:val="22"/>
          <w:lang w:val="sr-Latn-ME"/>
        </w:rPr>
        <w:t>liječenje</w:t>
      </w:r>
      <w:r w:rsidRPr="005436C8">
        <w:rPr>
          <w:color w:val="000000"/>
          <w:sz w:val="22"/>
          <w:szCs w:val="22"/>
          <w:lang w:val="sr-Latn-ME"/>
        </w:rPr>
        <w:t xml:space="preserve"> nastaviti dozom održavanja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od </w:t>
      </w:r>
      <w:r w:rsidR="00FE754C" w:rsidRPr="005436C8">
        <w:rPr>
          <w:color w:val="000000"/>
          <w:sz w:val="22"/>
          <w:szCs w:val="22"/>
          <w:lang w:val="sr-Latn-ME"/>
        </w:rPr>
        <w:t>(</w:t>
      </w:r>
      <w:r w:rsidRPr="005436C8">
        <w:rPr>
          <w:color w:val="000000"/>
          <w:sz w:val="22"/>
          <w:szCs w:val="22"/>
          <w:lang w:val="sr-Latn-ME"/>
        </w:rPr>
        <w:t>600 mg</w:t>
      </w:r>
      <w:r w:rsidR="00FE754C" w:rsidRPr="005436C8">
        <w:rPr>
          <w:color w:val="000000"/>
          <w:sz w:val="22"/>
          <w:szCs w:val="22"/>
          <w:lang w:val="sr-Latn-ME"/>
        </w:rPr>
        <w:t xml:space="preserve"> + </w:t>
      </w:r>
      <w:r w:rsidRPr="005436C8">
        <w:rPr>
          <w:color w:val="000000"/>
          <w:sz w:val="22"/>
          <w:szCs w:val="22"/>
          <w:lang w:val="sr-Latn-ME"/>
        </w:rPr>
        <w:t>600 mg</w:t>
      </w:r>
      <w:r w:rsidR="00FE754C" w:rsidRPr="005436C8">
        <w:rPr>
          <w:color w:val="000000"/>
          <w:sz w:val="22"/>
          <w:szCs w:val="22"/>
          <w:lang w:val="sr-Latn-ME"/>
        </w:rPr>
        <w:t>)/ 10 ml</w:t>
      </w:r>
      <w:r w:rsidRPr="005436C8">
        <w:rPr>
          <w:color w:val="000000"/>
          <w:sz w:val="22"/>
          <w:szCs w:val="22"/>
          <w:lang w:val="sr-Latn-ME"/>
        </w:rPr>
        <w:t xml:space="preserve"> svake 3 ned</w:t>
      </w:r>
      <w:r w:rsidR="006B212E" w:rsidRPr="005436C8">
        <w:rPr>
          <w:color w:val="000000"/>
          <w:sz w:val="22"/>
          <w:szCs w:val="22"/>
          <w:lang w:val="sr-Latn-ME"/>
        </w:rPr>
        <w:t>j</w:t>
      </w:r>
      <w:r w:rsidRPr="005436C8">
        <w:rPr>
          <w:color w:val="000000"/>
          <w:sz w:val="22"/>
          <w:szCs w:val="22"/>
          <w:lang w:val="sr-Latn-ME"/>
        </w:rPr>
        <w:t>elje.</w:t>
      </w:r>
    </w:p>
    <w:p w14:paraId="33BF58E8" w14:textId="77777777" w:rsidR="000C7302" w:rsidRPr="005436C8" w:rsidRDefault="000C7302" w:rsidP="005436C8">
      <w:pPr>
        <w:shd w:val="clear" w:color="auto" w:fill="FFFFFF"/>
        <w:tabs>
          <w:tab w:val="left" w:pos="284"/>
        </w:tabs>
        <w:jc w:val="both"/>
        <w:rPr>
          <w:bCs/>
          <w:iCs/>
          <w:color w:val="000000"/>
          <w:sz w:val="22"/>
          <w:szCs w:val="22"/>
          <w:lang w:val="sr-Latn-ME"/>
        </w:rPr>
      </w:pPr>
    </w:p>
    <w:p w14:paraId="4EC28317" w14:textId="77777777" w:rsidR="000C7302" w:rsidRPr="005436C8" w:rsidRDefault="000C7302" w:rsidP="005436C8">
      <w:pPr>
        <w:shd w:val="clear" w:color="auto" w:fill="FFFFFF"/>
        <w:tabs>
          <w:tab w:val="left" w:pos="284"/>
        </w:tabs>
        <w:jc w:val="both"/>
        <w:rPr>
          <w:bCs/>
          <w:i/>
          <w:iCs/>
          <w:color w:val="000000"/>
          <w:sz w:val="22"/>
          <w:szCs w:val="22"/>
          <w:u w:val="single"/>
          <w:lang w:val="sr-Latn-ME"/>
        </w:rPr>
      </w:pPr>
      <w:r w:rsidRPr="005436C8">
        <w:rPr>
          <w:i/>
          <w:iCs/>
          <w:color w:val="000000"/>
          <w:sz w:val="22"/>
          <w:szCs w:val="22"/>
          <w:u w:val="single"/>
          <w:lang w:val="sr-Latn-ME"/>
        </w:rPr>
        <w:t>Prilagođavanje doza</w:t>
      </w:r>
    </w:p>
    <w:p w14:paraId="172BE149" w14:textId="77777777" w:rsidR="000C7302" w:rsidRPr="005436C8" w:rsidRDefault="000C7302" w:rsidP="005436C8">
      <w:pPr>
        <w:shd w:val="clear" w:color="auto" w:fill="FFFFFF"/>
        <w:tabs>
          <w:tab w:val="left" w:pos="284"/>
        </w:tabs>
        <w:jc w:val="both"/>
        <w:rPr>
          <w:bCs/>
          <w:iCs/>
          <w:color w:val="000000"/>
          <w:sz w:val="22"/>
          <w:szCs w:val="22"/>
          <w:lang w:val="sr-Latn-ME"/>
        </w:rPr>
      </w:pPr>
    </w:p>
    <w:p w14:paraId="096E7A1A" w14:textId="77777777" w:rsidR="000C7302" w:rsidRPr="005436C8" w:rsidRDefault="000C7302" w:rsidP="005436C8">
      <w:pPr>
        <w:tabs>
          <w:tab w:val="left" w:pos="284"/>
        </w:tabs>
        <w:jc w:val="both"/>
        <w:rPr>
          <w:noProof/>
          <w:sz w:val="22"/>
          <w:szCs w:val="22"/>
          <w:lang w:val="sr-Latn-ME"/>
        </w:rPr>
      </w:pPr>
      <w:r w:rsidRPr="005436C8">
        <w:rPr>
          <w:color w:val="000000"/>
          <w:sz w:val="22"/>
          <w:szCs w:val="22"/>
          <w:lang w:val="sr-Latn-ME"/>
        </w:rPr>
        <w:t xml:space="preserve">Smanjenje doze se ne preporučuje kada je u pitanju </w:t>
      </w:r>
      <w:r w:rsidR="00166973" w:rsidRPr="005436C8">
        <w:rPr>
          <w:color w:val="000000"/>
          <w:sz w:val="22"/>
          <w:szCs w:val="22"/>
          <w:lang w:val="sr-Latn-ME"/>
        </w:rPr>
        <w:t>lijek</w:t>
      </w:r>
      <w:r w:rsidRPr="005436C8">
        <w:rPr>
          <w:color w:val="000000"/>
          <w:sz w:val="22"/>
          <w:szCs w:val="22"/>
          <w:lang w:val="sr-Latn-ME"/>
        </w:rPr>
        <w:t xml:space="preserve"> </w:t>
      </w:r>
      <w:r w:rsidRPr="005436C8">
        <w:rPr>
          <w:noProof/>
          <w:color w:val="000000"/>
          <w:sz w:val="22"/>
          <w:szCs w:val="22"/>
          <w:lang w:val="sr-Latn-ME"/>
        </w:rPr>
        <w:t>Phesgo</w:t>
      </w:r>
      <w:r w:rsidRPr="005436C8">
        <w:rPr>
          <w:color w:val="000000"/>
          <w:sz w:val="22"/>
          <w:szCs w:val="22"/>
          <w:lang w:val="sr-Latn-ME"/>
        </w:rPr>
        <w:t>.</w:t>
      </w:r>
      <w:r w:rsidRPr="005436C8">
        <w:rPr>
          <w:noProof/>
          <w:sz w:val="22"/>
          <w:szCs w:val="22"/>
          <w:lang w:val="sr-Latn-ME"/>
        </w:rPr>
        <w:t xml:space="preserve"> Terapiju </w:t>
      </w:r>
      <w:r w:rsidR="00166973" w:rsidRPr="005436C8">
        <w:rPr>
          <w:noProof/>
          <w:sz w:val="22"/>
          <w:szCs w:val="22"/>
          <w:lang w:val="sr-Latn-ME"/>
        </w:rPr>
        <w:t>lijek</w:t>
      </w:r>
      <w:r w:rsidRPr="005436C8">
        <w:rPr>
          <w:noProof/>
          <w:sz w:val="22"/>
          <w:szCs w:val="22"/>
          <w:lang w:val="sr-Latn-ME"/>
        </w:rPr>
        <w:t xml:space="preserve">om Phesgo </w:t>
      </w:r>
      <w:r w:rsidR="006B212E" w:rsidRPr="005436C8">
        <w:rPr>
          <w:noProof/>
          <w:sz w:val="22"/>
          <w:szCs w:val="22"/>
          <w:lang w:val="sr-Latn-ME"/>
        </w:rPr>
        <w:t xml:space="preserve">će </w:t>
      </w:r>
      <w:r w:rsidRPr="005436C8">
        <w:rPr>
          <w:noProof/>
          <w:sz w:val="22"/>
          <w:szCs w:val="22"/>
          <w:lang w:val="sr-Latn-ME"/>
        </w:rPr>
        <w:t xml:space="preserve">možda biti potrebno trajno prekinuti ako tako odluči </w:t>
      </w:r>
      <w:r w:rsidR="00166973" w:rsidRPr="005436C8">
        <w:rPr>
          <w:noProof/>
          <w:sz w:val="22"/>
          <w:szCs w:val="22"/>
          <w:lang w:val="sr-Latn-ME"/>
        </w:rPr>
        <w:t>ljek</w:t>
      </w:r>
      <w:r w:rsidRPr="005436C8">
        <w:rPr>
          <w:noProof/>
          <w:sz w:val="22"/>
          <w:szCs w:val="22"/>
          <w:lang w:val="sr-Latn-ME"/>
        </w:rPr>
        <w:t>ar.</w:t>
      </w:r>
    </w:p>
    <w:p w14:paraId="6E4EDCFB" w14:textId="77777777" w:rsidR="000C7302" w:rsidRPr="005436C8" w:rsidRDefault="000C7302" w:rsidP="005436C8">
      <w:pPr>
        <w:shd w:val="clear" w:color="auto" w:fill="FFFFFF"/>
        <w:tabs>
          <w:tab w:val="left" w:pos="284"/>
        </w:tabs>
        <w:jc w:val="both"/>
        <w:rPr>
          <w:bCs/>
          <w:iCs/>
          <w:color w:val="000000"/>
          <w:sz w:val="22"/>
          <w:szCs w:val="22"/>
          <w:lang w:val="sr-Latn-ME"/>
        </w:rPr>
      </w:pPr>
    </w:p>
    <w:p w14:paraId="62808976" w14:textId="77777777" w:rsidR="000C7302" w:rsidRPr="005436C8" w:rsidRDefault="000C7302" w:rsidP="005436C8">
      <w:pPr>
        <w:shd w:val="clear" w:color="auto" w:fill="FFFFFF"/>
        <w:tabs>
          <w:tab w:val="left" w:pos="284"/>
        </w:tabs>
        <w:jc w:val="both"/>
        <w:rPr>
          <w:bCs/>
          <w:iCs/>
          <w:color w:val="000000"/>
          <w:sz w:val="22"/>
          <w:szCs w:val="22"/>
          <w:lang w:val="sr-Latn-ME"/>
        </w:rPr>
      </w:pPr>
      <w:r w:rsidRPr="005436C8">
        <w:rPr>
          <w:color w:val="000000"/>
          <w:sz w:val="22"/>
          <w:szCs w:val="22"/>
          <w:lang w:val="sr-Latn-ME"/>
        </w:rPr>
        <w:t xml:space="preserve">Pacijenti mogu da nastave </w:t>
      </w:r>
      <w:r w:rsidR="00841D7D" w:rsidRPr="005436C8">
        <w:rPr>
          <w:color w:val="000000"/>
          <w:sz w:val="22"/>
          <w:szCs w:val="22"/>
          <w:lang w:val="sr-Latn-ME"/>
        </w:rPr>
        <w:t>liječenje</w:t>
      </w:r>
      <w:r w:rsidRPr="005436C8">
        <w:rPr>
          <w:color w:val="000000"/>
          <w:sz w:val="22"/>
          <w:szCs w:val="22"/>
          <w:lang w:val="sr-Latn-ME"/>
        </w:rPr>
        <w:t xml:space="preserve"> tokom perioda reverzibilne mijelosupresije izazvane hemoterapijom, ali ih tokom tog </w:t>
      </w:r>
      <w:r w:rsidR="002700CC" w:rsidRPr="005436C8">
        <w:rPr>
          <w:color w:val="000000"/>
          <w:sz w:val="22"/>
          <w:szCs w:val="22"/>
          <w:lang w:val="sr-Latn-ME"/>
        </w:rPr>
        <w:t>vrem</w:t>
      </w:r>
      <w:r w:rsidR="00A21698" w:rsidRPr="005436C8">
        <w:rPr>
          <w:color w:val="000000"/>
          <w:sz w:val="22"/>
          <w:szCs w:val="22"/>
          <w:lang w:val="sr-Latn-ME"/>
        </w:rPr>
        <w:t>e</w:t>
      </w:r>
      <w:r w:rsidRPr="005436C8">
        <w:rPr>
          <w:color w:val="000000"/>
          <w:sz w:val="22"/>
          <w:szCs w:val="22"/>
          <w:lang w:val="sr-Latn-ME"/>
        </w:rPr>
        <w:t xml:space="preserve">na treba pažljivo pratiti zbog mogućih komplikacija povezanih sa neutropenijom. </w:t>
      </w:r>
    </w:p>
    <w:p w14:paraId="78264C81" w14:textId="77777777" w:rsidR="000C7302" w:rsidRPr="005436C8" w:rsidRDefault="000C7302" w:rsidP="005436C8">
      <w:pPr>
        <w:shd w:val="clear" w:color="auto" w:fill="FFFFFF"/>
        <w:tabs>
          <w:tab w:val="left" w:pos="284"/>
        </w:tabs>
        <w:jc w:val="both"/>
        <w:rPr>
          <w:bCs/>
          <w:iCs/>
          <w:color w:val="000000"/>
          <w:sz w:val="22"/>
          <w:szCs w:val="22"/>
          <w:lang w:val="sr-Latn-ME"/>
        </w:rPr>
      </w:pPr>
    </w:p>
    <w:p w14:paraId="7051EC7E" w14:textId="77777777" w:rsidR="000C7302" w:rsidRPr="005436C8" w:rsidRDefault="000C7302" w:rsidP="005436C8">
      <w:pPr>
        <w:shd w:val="clear" w:color="auto" w:fill="FFFFFF"/>
        <w:tabs>
          <w:tab w:val="left" w:pos="284"/>
        </w:tabs>
        <w:jc w:val="both"/>
        <w:rPr>
          <w:color w:val="000000"/>
          <w:sz w:val="22"/>
          <w:szCs w:val="22"/>
          <w:lang w:val="sr-Latn-ME"/>
        </w:rPr>
      </w:pPr>
      <w:r w:rsidRPr="005436C8">
        <w:rPr>
          <w:color w:val="000000"/>
          <w:sz w:val="22"/>
          <w:szCs w:val="22"/>
          <w:lang w:val="sr-Latn-ME"/>
        </w:rPr>
        <w:t xml:space="preserve">Za modifikacije doze docetaksela i drugih hemoterapija </w:t>
      </w:r>
      <w:r w:rsidR="006B212E" w:rsidRPr="005436C8">
        <w:rPr>
          <w:color w:val="000000"/>
          <w:sz w:val="22"/>
          <w:szCs w:val="22"/>
          <w:lang w:val="sr-Latn-ME"/>
        </w:rPr>
        <w:t xml:space="preserve">pogledati </w:t>
      </w:r>
      <w:r w:rsidRPr="005436C8">
        <w:rPr>
          <w:color w:val="000000"/>
          <w:sz w:val="22"/>
          <w:szCs w:val="22"/>
          <w:lang w:val="sr-Latn-ME"/>
        </w:rPr>
        <w:t xml:space="preserve">odgovarajući sažetak karakteristika </w:t>
      </w:r>
      <w:r w:rsidR="00166973" w:rsidRPr="005436C8">
        <w:rPr>
          <w:color w:val="000000"/>
          <w:sz w:val="22"/>
          <w:szCs w:val="22"/>
          <w:lang w:val="sr-Latn-ME"/>
        </w:rPr>
        <w:t>lijek</w:t>
      </w:r>
      <w:r w:rsidRPr="005436C8">
        <w:rPr>
          <w:color w:val="000000"/>
          <w:sz w:val="22"/>
          <w:szCs w:val="22"/>
          <w:lang w:val="sr-Latn-ME"/>
        </w:rPr>
        <w:t xml:space="preserve">a. </w:t>
      </w:r>
    </w:p>
    <w:p w14:paraId="11EA92E4" w14:textId="77777777" w:rsidR="000C7302" w:rsidRPr="005436C8" w:rsidRDefault="000C7302" w:rsidP="005436C8">
      <w:pPr>
        <w:shd w:val="clear" w:color="auto" w:fill="FFFFFF"/>
        <w:tabs>
          <w:tab w:val="left" w:pos="284"/>
        </w:tabs>
        <w:jc w:val="both"/>
        <w:rPr>
          <w:bCs/>
          <w:i/>
          <w:iCs/>
          <w:color w:val="000000"/>
          <w:sz w:val="22"/>
          <w:szCs w:val="22"/>
          <w:lang w:val="sr-Latn-ME"/>
        </w:rPr>
      </w:pPr>
    </w:p>
    <w:p w14:paraId="6F11E4B4" w14:textId="77777777" w:rsidR="002E743C" w:rsidRPr="005436C8" w:rsidRDefault="002E743C" w:rsidP="005436C8">
      <w:pPr>
        <w:shd w:val="clear" w:color="auto" w:fill="FFFFFF"/>
        <w:tabs>
          <w:tab w:val="left" w:pos="284"/>
        </w:tabs>
        <w:jc w:val="both"/>
        <w:rPr>
          <w:bCs/>
          <w:i/>
          <w:iCs/>
          <w:color w:val="000000"/>
          <w:sz w:val="22"/>
          <w:szCs w:val="22"/>
          <w:lang w:val="sr-Latn-ME"/>
        </w:rPr>
      </w:pPr>
      <w:r w:rsidRPr="005436C8">
        <w:rPr>
          <w:bCs/>
          <w:i/>
          <w:iCs/>
          <w:color w:val="000000"/>
          <w:sz w:val="22"/>
          <w:szCs w:val="22"/>
          <w:lang w:val="sr-Latn-ME"/>
        </w:rPr>
        <w:t>Prelazak sa intravenske formulacije pertuzumaba i trastuzumaba na lijek Phesgo</w:t>
      </w:r>
    </w:p>
    <w:p w14:paraId="1C7FD038" w14:textId="77777777" w:rsidR="002E743C" w:rsidRPr="005436C8" w:rsidRDefault="002E743C" w:rsidP="005436C8">
      <w:pPr>
        <w:shd w:val="clear" w:color="auto" w:fill="FFFFFF"/>
        <w:tabs>
          <w:tab w:val="left" w:pos="284"/>
        </w:tabs>
        <w:jc w:val="both"/>
        <w:rPr>
          <w:bCs/>
          <w:i/>
          <w:iCs/>
          <w:color w:val="000000"/>
          <w:sz w:val="22"/>
          <w:szCs w:val="22"/>
          <w:lang w:val="sr-Latn-ME"/>
        </w:rPr>
      </w:pPr>
    </w:p>
    <w:p w14:paraId="6E63AD83" w14:textId="77777777" w:rsidR="002E743C" w:rsidRPr="005436C8" w:rsidRDefault="002E743C" w:rsidP="005436C8">
      <w:pPr>
        <w:shd w:val="clear" w:color="auto" w:fill="FFFFFF"/>
        <w:tabs>
          <w:tab w:val="left" w:pos="284"/>
        </w:tabs>
        <w:jc w:val="both"/>
        <w:rPr>
          <w:bCs/>
          <w:iCs/>
          <w:color w:val="000000"/>
          <w:sz w:val="22"/>
          <w:szCs w:val="22"/>
          <w:lang w:val="sr-Latn-ME"/>
        </w:rPr>
      </w:pPr>
      <w:r w:rsidRPr="005436C8">
        <w:rPr>
          <w:bCs/>
          <w:iCs/>
          <w:color w:val="000000"/>
          <w:sz w:val="22"/>
          <w:szCs w:val="22"/>
          <w:lang w:val="sr-Latn-ME"/>
        </w:rPr>
        <w:t>•</w:t>
      </w:r>
      <w:r w:rsidRPr="005436C8">
        <w:rPr>
          <w:bCs/>
          <w:iCs/>
          <w:color w:val="000000"/>
          <w:sz w:val="22"/>
          <w:szCs w:val="22"/>
          <w:lang w:val="sr-Latn-ME"/>
        </w:rPr>
        <w:tab/>
        <w:t>Kod pacijenata koji su posl</w:t>
      </w:r>
      <w:r w:rsidR="006B212E" w:rsidRPr="005436C8">
        <w:rPr>
          <w:bCs/>
          <w:iCs/>
          <w:color w:val="000000"/>
          <w:sz w:val="22"/>
          <w:szCs w:val="22"/>
          <w:lang w:val="sr-Latn-ME"/>
        </w:rPr>
        <w:t>j</w:t>
      </w:r>
      <w:r w:rsidRPr="005436C8">
        <w:rPr>
          <w:bCs/>
          <w:iCs/>
          <w:color w:val="000000"/>
          <w:sz w:val="22"/>
          <w:szCs w:val="22"/>
          <w:lang w:val="sr-Latn-ME"/>
        </w:rPr>
        <w:t>ednju intravensku dozu pertuzumaba i trastuzumaba primili prije manje od 6 nedjelja, lijek Phesgo treba prim</w:t>
      </w:r>
      <w:r w:rsidR="002700CC" w:rsidRPr="005436C8">
        <w:rPr>
          <w:bCs/>
          <w:iCs/>
          <w:color w:val="000000"/>
          <w:sz w:val="22"/>
          <w:szCs w:val="22"/>
          <w:lang w:val="sr-Latn-ME"/>
        </w:rPr>
        <w:t>i</w:t>
      </w:r>
      <w:r w:rsidRPr="005436C8">
        <w:rPr>
          <w:bCs/>
          <w:iCs/>
          <w:color w:val="000000"/>
          <w:sz w:val="22"/>
          <w:szCs w:val="22"/>
          <w:lang w:val="sr-Latn-ME"/>
        </w:rPr>
        <w:t>jeniti u dozi održavanja od 600 mg pertuzumaba/600 mg trastuzumaba</w:t>
      </w:r>
      <w:r w:rsidR="006B212E" w:rsidRPr="005436C8">
        <w:rPr>
          <w:bCs/>
          <w:iCs/>
          <w:color w:val="000000"/>
          <w:sz w:val="22"/>
          <w:szCs w:val="22"/>
          <w:lang w:val="sr-Latn-ME"/>
        </w:rPr>
        <w:t>,</w:t>
      </w:r>
      <w:r w:rsidRPr="005436C8">
        <w:rPr>
          <w:bCs/>
          <w:iCs/>
          <w:color w:val="000000"/>
          <w:sz w:val="22"/>
          <w:szCs w:val="22"/>
          <w:lang w:val="sr-Latn-ME"/>
        </w:rPr>
        <w:t xml:space="preserve"> i zatim nastaviti sa primjenom na svake 3 nedjelje.</w:t>
      </w:r>
    </w:p>
    <w:p w14:paraId="01046B23" w14:textId="77777777" w:rsidR="002E743C" w:rsidRPr="005436C8" w:rsidRDefault="002E743C" w:rsidP="005436C8">
      <w:pPr>
        <w:shd w:val="clear" w:color="auto" w:fill="FFFFFF"/>
        <w:tabs>
          <w:tab w:val="left" w:pos="284"/>
        </w:tabs>
        <w:jc w:val="both"/>
        <w:rPr>
          <w:bCs/>
          <w:iCs/>
          <w:color w:val="000000"/>
          <w:sz w:val="22"/>
          <w:szCs w:val="22"/>
          <w:lang w:val="sr-Latn-ME"/>
        </w:rPr>
      </w:pPr>
      <w:r w:rsidRPr="005436C8">
        <w:rPr>
          <w:bCs/>
          <w:iCs/>
          <w:color w:val="000000"/>
          <w:sz w:val="22"/>
          <w:szCs w:val="22"/>
          <w:lang w:val="sr-Latn-ME"/>
        </w:rPr>
        <w:t>•</w:t>
      </w:r>
      <w:r w:rsidRPr="005436C8">
        <w:rPr>
          <w:bCs/>
          <w:iCs/>
          <w:color w:val="000000"/>
          <w:sz w:val="22"/>
          <w:szCs w:val="22"/>
          <w:lang w:val="sr-Latn-ME"/>
        </w:rPr>
        <w:tab/>
        <w:t>Kod pacijenata koji su posl</w:t>
      </w:r>
      <w:r w:rsidR="006B212E" w:rsidRPr="005436C8">
        <w:rPr>
          <w:bCs/>
          <w:iCs/>
          <w:color w:val="000000"/>
          <w:sz w:val="22"/>
          <w:szCs w:val="22"/>
          <w:lang w:val="sr-Latn-ME"/>
        </w:rPr>
        <w:t>j</w:t>
      </w:r>
      <w:r w:rsidRPr="005436C8">
        <w:rPr>
          <w:bCs/>
          <w:iCs/>
          <w:color w:val="000000"/>
          <w:sz w:val="22"/>
          <w:szCs w:val="22"/>
          <w:lang w:val="sr-Latn-ME"/>
        </w:rPr>
        <w:t>ednju intravensku dozu pertuzumaba i trastuzumaba primili prije 6 ili više nedjelja, lijek Phesgo treba prim</w:t>
      </w:r>
      <w:r w:rsidR="002700CC" w:rsidRPr="005436C8">
        <w:rPr>
          <w:bCs/>
          <w:iCs/>
          <w:color w:val="000000"/>
          <w:sz w:val="22"/>
          <w:szCs w:val="22"/>
          <w:lang w:val="sr-Latn-ME"/>
        </w:rPr>
        <w:t>i</w:t>
      </w:r>
      <w:r w:rsidRPr="005436C8">
        <w:rPr>
          <w:bCs/>
          <w:iCs/>
          <w:color w:val="000000"/>
          <w:sz w:val="22"/>
          <w:szCs w:val="22"/>
          <w:lang w:val="sr-Latn-ME"/>
        </w:rPr>
        <w:t>jeniti u udarnoj dozi od 1200 mg pertuzumaba/600 mg trastuzumaba, a zatim nastaviti sa liječenjem primjenom doze održavanja od 600 mg pertuzumaba/600 mg trastuzumaba na svake 3 nedjelje.</w:t>
      </w:r>
    </w:p>
    <w:p w14:paraId="3FC29E78" w14:textId="2A349DB0" w:rsidR="00D61A6E" w:rsidRDefault="00D61A6E" w:rsidP="005436C8">
      <w:pPr>
        <w:shd w:val="clear" w:color="auto" w:fill="FFFFFF"/>
        <w:tabs>
          <w:tab w:val="left" w:pos="284"/>
        </w:tabs>
        <w:jc w:val="both"/>
        <w:rPr>
          <w:i/>
          <w:iCs/>
          <w:color w:val="000000"/>
          <w:sz w:val="22"/>
          <w:szCs w:val="22"/>
          <w:u w:val="single"/>
          <w:lang w:val="sr-Latn-ME"/>
        </w:rPr>
      </w:pPr>
    </w:p>
    <w:p w14:paraId="284643FA" w14:textId="77777777" w:rsidR="000C7302" w:rsidRPr="005436C8" w:rsidRDefault="000C7302" w:rsidP="005436C8">
      <w:pPr>
        <w:shd w:val="clear" w:color="auto" w:fill="FFFFFF"/>
        <w:tabs>
          <w:tab w:val="left" w:pos="284"/>
        </w:tabs>
        <w:jc w:val="both"/>
        <w:rPr>
          <w:bCs/>
          <w:i/>
          <w:iCs/>
          <w:color w:val="000000"/>
          <w:sz w:val="22"/>
          <w:szCs w:val="22"/>
          <w:u w:val="single"/>
          <w:lang w:val="sr-Latn-ME"/>
        </w:rPr>
      </w:pPr>
      <w:r w:rsidRPr="005436C8">
        <w:rPr>
          <w:i/>
          <w:iCs/>
          <w:color w:val="000000"/>
          <w:sz w:val="22"/>
          <w:szCs w:val="22"/>
          <w:u w:val="single"/>
          <w:lang w:val="sr-Latn-ME"/>
        </w:rPr>
        <w:t xml:space="preserve">Disfunkcija </w:t>
      </w:r>
      <w:r w:rsidR="00EE66E8" w:rsidRPr="005436C8">
        <w:rPr>
          <w:i/>
          <w:iCs/>
          <w:color w:val="000000"/>
          <w:sz w:val="22"/>
          <w:szCs w:val="22"/>
          <w:u w:val="single"/>
          <w:lang w:val="sr-Latn-ME"/>
        </w:rPr>
        <w:t>lijeve</w:t>
      </w:r>
      <w:r w:rsidRPr="005436C8">
        <w:rPr>
          <w:i/>
          <w:iCs/>
          <w:color w:val="000000"/>
          <w:sz w:val="22"/>
          <w:szCs w:val="22"/>
          <w:u w:val="single"/>
          <w:lang w:val="sr-Latn-ME"/>
        </w:rPr>
        <w:t xml:space="preserve"> komore</w:t>
      </w:r>
    </w:p>
    <w:p w14:paraId="2AAA9441" w14:textId="77777777" w:rsidR="000C7302" w:rsidRPr="005436C8" w:rsidRDefault="000C7302" w:rsidP="005436C8">
      <w:pPr>
        <w:shd w:val="clear" w:color="auto" w:fill="FFFFFF"/>
        <w:tabs>
          <w:tab w:val="left" w:pos="284"/>
        </w:tabs>
        <w:jc w:val="both"/>
        <w:rPr>
          <w:bCs/>
          <w:i/>
          <w:iCs/>
          <w:color w:val="000000"/>
          <w:sz w:val="22"/>
          <w:szCs w:val="22"/>
          <w:u w:val="single"/>
          <w:lang w:val="sr-Latn-ME"/>
        </w:rPr>
      </w:pPr>
    </w:p>
    <w:p w14:paraId="6D06518F" w14:textId="62FCA341" w:rsidR="000C7302" w:rsidRPr="005436C8" w:rsidRDefault="00166973" w:rsidP="005436C8">
      <w:pPr>
        <w:shd w:val="clear" w:color="auto" w:fill="FFFFFF"/>
        <w:tabs>
          <w:tab w:val="left" w:pos="284"/>
        </w:tabs>
        <w:jc w:val="both"/>
        <w:rPr>
          <w:color w:val="000000"/>
          <w:sz w:val="22"/>
          <w:szCs w:val="22"/>
          <w:lang w:val="sr-Latn-ME"/>
        </w:rPr>
      </w:pPr>
      <w:r w:rsidRPr="005436C8">
        <w:rPr>
          <w:noProof/>
          <w:color w:val="000000"/>
          <w:sz w:val="22"/>
          <w:szCs w:val="22"/>
          <w:lang w:val="sr-Latn-ME"/>
        </w:rPr>
        <w:lastRenderedPageBreak/>
        <w:t>Lijek</w:t>
      </w:r>
      <w:r w:rsidR="000C7302" w:rsidRPr="005436C8">
        <w:rPr>
          <w:noProof/>
          <w:color w:val="000000"/>
          <w:sz w:val="22"/>
          <w:szCs w:val="22"/>
          <w:lang w:val="sr-Latn-ME"/>
        </w:rPr>
        <w:t xml:space="preserve"> Phesgo</w:t>
      </w:r>
      <w:r w:rsidR="000C7302" w:rsidRPr="005436C8">
        <w:rPr>
          <w:color w:val="000000"/>
          <w:sz w:val="22"/>
          <w:szCs w:val="22"/>
          <w:lang w:val="sr-Latn-ME"/>
        </w:rPr>
        <w:t xml:space="preserve"> ne treba davati najmanje 3 ned</w:t>
      </w:r>
      <w:r w:rsidR="006B212E" w:rsidRPr="005436C8">
        <w:rPr>
          <w:color w:val="000000"/>
          <w:sz w:val="22"/>
          <w:szCs w:val="22"/>
          <w:lang w:val="sr-Latn-ME"/>
        </w:rPr>
        <w:t>j</w:t>
      </w:r>
      <w:r w:rsidR="000C7302" w:rsidRPr="005436C8">
        <w:rPr>
          <w:color w:val="000000"/>
          <w:sz w:val="22"/>
          <w:szCs w:val="22"/>
          <w:lang w:val="sr-Latn-ME"/>
        </w:rPr>
        <w:t xml:space="preserve">elje u slučaju da se pojave bilo kakvi znaci i simptomi koji ukazuju na kongestivnu srčanu insuficijenciju. </w:t>
      </w:r>
      <w:r w:rsidR="00097926" w:rsidRPr="005436C8">
        <w:rPr>
          <w:color w:val="000000"/>
          <w:sz w:val="22"/>
          <w:szCs w:val="22"/>
          <w:lang w:val="sr-Latn-ME"/>
        </w:rPr>
        <w:t>Primjenu</w:t>
      </w:r>
      <w:r w:rsidR="000C7302" w:rsidRPr="005436C8">
        <w:rPr>
          <w:color w:val="000000"/>
          <w:sz w:val="22"/>
          <w:szCs w:val="22"/>
          <w:lang w:val="sr-Latn-ME"/>
        </w:rPr>
        <w:t xml:space="preserve"> </w:t>
      </w:r>
      <w:r w:rsidRPr="005436C8">
        <w:rPr>
          <w:color w:val="000000"/>
          <w:sz w:val="22"/>
          <w:szCs w:val="22"/>
          <w:lang w:val="sr-Latn-ME"/>
        </w:rPr>
        <w:t>lijek</w:t>
      </w:r>
      <w:r w:rsidR="000C7302" w:rsidRPr="005436C8">
        <w:rPr>
          <w:color w:val="000000"/>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treba trajno prekinuti ako se potvrdi simptomatska srčana insuficijencija (za više informacija pogledati </w:t>
      </w:r>
      <w:r w:rsidR="009B712A">
        <w:rPr>
          <w:color w:val="000000"/>
          <w:sz w:val="22"/>
          <w:szCs w:val="22"/>
          <w:lang w:val="sr-Latn-ME"/>
        </w:rPr>
        <w:t>dio</w:t>
      </w:r>
      <w:r w:rsidR="000C7302" w:rsidRPr="005436C8">
        <w:rPr>
          <w:color w:val="000000"/>
          <w:sz w:val="22"/>
          <w:szCs w:val="22"/>
          <w:lang w:val="sr-Latn-ME"/>
        </w:rPr>
        <w:t xml:space="preserve"> 4.4). </w:t>
      </w:r>
    </w:p>
    <w:p w14:paraId="2673D3E3" w14:textId="77777777" w:rsidR="000C7302" w:rsidRPr="005436C8" w:rsidRDefault="000C7302" w:rsidP="005436C8">
      <w:pPr>
        <w:tabs>
          <w:tab w:val="left" w:pos="284"/>
        </w:tabs>
        <w:jc w:val="both"/>
        <w:rPr>
          <w:color w:val="000000"/>
          <w:sz w:val="22"/>
          <w:szCs w:val="22"/>
          <w:lang w:val="sr-Latn-ME"/>
        </w:rPr>
      </w:pPr>
    </w:p>
    <w:p w14:paraId="44946589" w14:textId="77777777" w:rsidR="000C7302" w:rsidRPr="005436C8" w:rsidRDefault="000C7302" w:rsidP="005436C8">
      <w:pPr>
        <w:tabs>
          <w:tab w:val="left" w:pos="284"/>
        </w:tabs>
        <w:jc w:val="both"/>
        <w:rPr>
          <w:i/>
          <w:color w:val="000000"/>
          <w:sz w:val="22"/>
          <w:szCs w:val="22"/>
          <w:lang w:val="sr-Latn-ME"/>
        </w:rPr>
      </w:pPr>
      <w:r w:rsidRPr="005436C8">
        <w:rPr>
          <w:i/>
          <w:iCs/>
          <w:color w:val="000000"/>
          <w:sz w:val="22"/>
          <w:szCs w:val="22"/>
          <w:lang w:val="sr-Latn-ME"/>
        </w:rPr>
        <w:t xml:space="preserve">Pacijenti sa metastatskim karcinomom dojke </w:t>
      </w:r>
    </w:p>
    <w:p w14:paraId="0C0809D8" w14:textId="77777777" w:rsidR="000C7302" w:rsidRPr="005436C8" w:rsidRDefault="000C7302" w:rsidP="005436C8">
      <w:pPr>
        <w:tabs>
          <w:tab w:val="left" w:pos="284"/>
        </w:tabs>
        <w:jc w:val="both"/>
        <w:rPr>
          <w:color w:val="000000"/>
          <w:sz w:val="22"/>
          <w:szCs w:val="22"/>
          <w:u w:val="single"/>
          <w:lang w:val="sr-Latn-ME"/>
        </w:rPr>
      </w:pPr>
    </w:p>
    <w:p w14:paraId="2B6E6B7A"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Ejekciona frakcija </w:t>
      </w:r>
      <w:r w:rsidR="00C84402" w:rsidRPr="005436C8">
        <w:rPr>
          <w:color w:val="000000"/>
          <w:sz w:val="22"/>
          <w:szCs w:val="22"/>
          <w:lang w:val="sr-Latn-ME"/>
        </w:rPr>
        <w:t>lijeve</w:t>
      </w:r>
      <w:r w:rsidRPr="005436C8">
        <w:rPr>
          <w:color w:val="000000"/>
          <w:sz w:val="22"/>
          <w:szCs w:val="22"/>
          <w:lang w:val="sr-Latn-ME"/>
        </w:rPr>
        <w:t xml:space="preserve"> komore (LVEF) </w:t>
      </w:r>
      <w:r w:rsidR="00C84402" w:rsidRPr="005436C8">
        <w:rPr>
          <w:color w:val="000000"/>
          <w:sz w:val="22"/>
          <w:szCs w:val="22"/>
          <w:lang w:val="sr-Latn-ME"/>
        </w:rPr>
        <w:t>prije</w:t>
      </w:r>
      <w:r w:rsidRPr="005436C8">
        <w:rPr>
          <w:color w:val="000000"/>
          <w:sz w:val="22"/>
          <w:szCs w:val="22"/>
          <w:lang w:val="sr-Latn-ME"/>
        </w:rPr>
        <w:t xml:space="preserve"> početka </w:t>
      </w:r>
      <w:r w:rsidR="000A2EA9" w:rsidRPr="005436C8">
        <w:rPr>
          <w:color w:val="000000"/>
          <w:sz w:val="22"/>
          <w:szCs w:val="22"/>
          <w:lang w:val="sr-Latn-ME"/>
        </w:rPr>
        <w:t>liječenja</w:t>
      </w:r>
      <w:r w:rsidRPr="005436C8">
        <w:rPr>
          <w:color w:val="000000"/>
          <w:sz w:val="22"/>
          <w:szCs w:val="22"/>
          <w:lang w:val="sr-Latn-ME"/>
        </w:rPr>
        <w:t xml:space="preserve"> mora iznositi ≥ 50%. </w:t>
      </w:r>
      <w:r w:rsidR="00841D7D" w:rsidRPr="005436C8">
        <w:rPr>
          <w:color w:val="000000"/>
          <w:sz w:val="22"/>
          <w:szCs w:val="22"/>
          <w:lang w:val="sr-Latn-ME"/>
        </w:rPr>
        <w:t>Liječenje</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mora se odložiti za najmanje 3 ned</w:t>
      </w:r>
      <w:r w:rsidR="006B212E" w:rsidRPr="005436C8">
        <w:rPr>
          <w:color w:val="000000"/>
          <w:sz w:val="22"/>
          <w:szCs w:val="22"/>
          <w:lang w:val="sr-Latn-ME"/>
        </w:rPr>
        <w:t>j</w:t>
      </w:r>
      <w:r w:rsidRPr="005436C8">
        <w:rPr>
          <w:color w:val="000000"/>
          <w:sz w:val="22"/>
          <w:szCs w:val="22"/>
          <w:lang w:val="sr-Latn-ME"/>
        </w:rPr>
        <w:t xml:space="preserve">elje u slučaju da: </w:t>
      </w:r>
    </w:p>
    <w:p w14:paraId="461DF027" w14:textId="77777777" w:rsidR="000C7302" w:rsidRPr="005436C8" w:rsidRDefault="000C7302" w:rsidP="005436C8">
      <w:pPr>
        <w:tabs>
          <w:tab w:val="left" w:pos="284"/>
        </w:tabs>
        <w:ind w:left="567"/>
        <w:jc w:val="both"/>
        <w:rPr>
          <w:color w:val="000000"/>
          <w:sz w:val="22"/>
          <w:szCs w:val="22"/>
          <w:lang w:val="sr-Latn-ME"/>
        </w:rPr>
      </w:pPr>
      <w:r w:rsidRPr="005436C8">
        <w:rPr>
          <w:sz w:val="22"/>
          <w:szCs w:val="22"/>
          <w:lang w:val="sr-Latn-ME"/>
        </w:rPr>
        <w:sym w:font="Symbol" w:char="F0B7"/>
      </w:r>
      <w:r w:rsidRPr="005436C8">
        <w:rPr>
          <w:color w:val="000000"/>
          <w:sz w:val="22"/>
          <w:szCs w:val="22"/>
          <w:lang w:val="sr-Latn-ME"/>
        </w:rPr>
        <w:t xml:space="preserve"> LVEF padne ispod 40% </w:t>
      </w:r>
      <w:r w:rsidR="006B212E" w:rsidRPr="005436C8">
        <w:rPr>
          <w:color w:val="000000"/>
          <w:sz w:val="22"/>
          <w:szCs w:val="22"/>
          <w:lang w:val="sr-Latn-ME"/>
        </w:rPr>
        <w:t>,</w:t>
      </w:r>
    </w:p>
    <w:p w14:paraId="0592D0ED" w14:textId="77777777" w:rsidR="000C7302" w:rsidRPr="005436C8" w:rsidRDefault="000C7302" w:rsidP="005436C8">
      <w:pPr>
        <w:tabs>
          <w:tab w:val="left" w:pos="284"/>
        </w:tabs>
        <w:ind w:left="567"/>
        <w:jc w:val="both"/>
        <w:rPr>
          <w:color w:val="000000"/>
          <w:sz w:val="22"/>
          <w:szCs w:val="22"/>
          <w:lang w:val="sr-Latn-ME"/>
        </w:rPr>
      </w:pPr>
      <w:r w:rsidRPr="005436C8">
        <w:rPr>
          <w:sz w:val="22"/>
          <w:szCs w:val="22"/>
          <w:lang w:val="sr-Latn-ME"/>
        </w:rPr>
        <w:sym w:font="Symbol" w:char="F0B7"/>
      </w:r>
      <w:r w:rsidRPr="005436C8">
        <w:rPr>
          <w:color w:val="000000"/>
          <w:sz w:val="22"/>
          <w:szCs w:val="22"/>
          <w:lang w:val="sr-Latn-ME"/>
        </w:rPr>
        <w:t xml:space="preserve"> LVEF iznosi 40% - 45%, uz smanjenje za ≥ 10 procentnih poena u odnosu na </w:t>
      </w:r>
      <w:r w:rsidR="000A2EA9" w:rsidRPr="005436C8">
        <w:rPr>
          <w:color w:val="000000"/>
          <w:sz w:val="22"/>
          <w:szCs w:val="22"/>
          <w:lang w:val="sr-Latn-ME"/>
        </w:rPr>
        <w:t>vrijednost</w:t>
      </w:r>
      <w:r w:rsidRPr="005436C8">
        <w:rPr>
          <w:color w:val="000000"/>
          <w:sz w:val="22"/>
          <w:szCs w:val="22"/>
          <w:lang w:val="sr-Latn-ME"/>
        </w:rPr>
        <w:t xml:space="preserve"> </w:t>
      </w:r>
      <w:r w:rsidR="00522BD8" w:rsidRPr="005436C8">
        <w:rPr>
          <w:color w:val="000000"/>
          <w:sz w:val="22"/>
          <w:szCs w:val="22"/>
          <w:lang w:val="sr-Latn-ME"/>
        </w:rPr>
        <w:t>prije</w:t>
      </w:r>
      <w:r w:rsidRPr="005436C8">
        <w:rPr>
          <w:color w:val="000000"/>
          <w:sz w:val="22"/>
          <w:szCs w:val="22"/>
          <w:lang w:val="sr-Latn-ME"/>
        </w:rPr>
        <w:t xml:space="preserve"> početka </w:t>
      </w:r>
      <w:r w:rsidR="000A2EA9" w:rsidRPr="005436C8">
        <w:rPr>
          <w:color w:val="000000"/>
          <w:sz w:val="22"/>
          <w:szCs w:val="22"/>
          <w:lang w:val="sr-Latn-ME"/>
        </w:rPr>
        <w:t>liječenja</w:t>
      </w:r>
      <w:r w:rsidR="006B212E" w:rsidRPr="005436C8">
        <w:rPr>
          <w:color w:val="000000"/>
          <w:sz w:val="22"/>
          <w:szCs w:val="22"/>
          <w:lang w:val="sr-Latn-ME"/>
        </w:rPr>
        <w:t>.</w:t>
      </w:r>
    </w:p>
    <w:p w14:paraId="6C65D5E2" w14:textId="77777777" w:rsidR="000C7302" w:rsidRPr="005436C8" w:rsidRDefault="000C7302" w:rsidP="005436C8">
      <w:pPr>
        <w:tabs>
          <w:tab w:val="left" w:pos="284"/>
        </w:tabs>
        <w:jc w:val="both"/>
        <w:rPr>
          <w:color w:val="000000"/>
          <w:sz w:val="22"/>
          <w:szCs w:val="22"/>
          <w:lang w:val="sr-Latn-ME"/>
        </w:rPr>
      </w:pPr>
    </w:p>
    <w:p w14:paraId="19CB2B60" w14:textId="77777777" w:rsidR="000C7302" w:rsidRPr="005436C8" w:rsidRDefault="00A21698" w:rsidP="005436C8">
      <w:pPr>
        <w:tabs>
          <w:tab w:val="left" w:pos="284"/>
        </w:tabs>
        <w:jc w:val="both"/>
        <w:rPr>
          <w:bCs/>
          <w:i/>
          <w:iCs/>
          <w:color w:val="000000"/>
          <w:sz w:val="22"/>
          <w:szCs w:val="22"/>
          <w:lang w:val="sr-Latn-ME"/>
        </w:rPr>
      </w:pPr>
      <w:r w:rsidRPr="005436C8">
        <w:rPr>
          <w:sz w:val="22"/>
          <w:szCs w:val="22"/>
          <w:lang w:val="sr-Latn-ME"/>
        </w:rPr>
        <w:t>Primjena</w:t>
      </w:r>
      <w:r w:rsidR="000C7302" w:rsidRPr="005436C8">
        <w:rPr>
          <w:sz w:val="22"/>
          <w:szCs w:val="22"/>
          <w:lang w:val="sr-Latn-ME"/>
        </w:rPr>
        <w:t xml:space="preserve"> </w:t>
      </w:r>
      <w:r w:rsidR="00166973" w:rsidRPr="005436C8">
        <w:rPr>
          <w:sz w:val="22"/>
          <w:szCs w:val="22"/>
          <w:lang w:val="sr-Latn-ME"/>
        </w:rPr>
        <w:t>lijek</w:t>
      </w:r>
      <w:r w:rsidR="000C7302" w:rsidRPr="005436C8">
        <w:rPr>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može se nastaviti ukoliko se LVEF vrati na više od 45%, ili na 40–45% uz razliku &lt; 10 procentnih poena u odnosu na </w:t>
      </w:r>
      <w:r w:rsidR="000A2EA9" w:rsidRPr="005436C8">
        <w:rPr>
          <w:color w:val="000000"/>
          <w:sz w:val="22"/>
          <w:szCs w:val="22"/>
          <w:lang w:val="sr-Latn-ME"/>
        </w:rPr>
        <w:t>vrijednost</w:t>
      </w:r>
      <w:r w:rsidR="000C7302" w:rsidRPr="005436C8">
        <w:rPr>
          <w:color w:val="000000"/>
          <w:sz w:val="22"/>
          <w:szCs w:val="22"/>
          <w:lang w:val="sr-Latn-ME"/>
        </w:rPr>
        <w:t xml:space="preserve">i </w:t>
      </w:r>
      <w:r w:rsidR="00C84402" w:rsidRPr="005436C8">
        <w:rPr>
          <w:color w:val="000000"/>
          <w:sz w:val="22"/>
          <w:szCs w:val="22"/>
          <w:lang w:val="sr-Latn-ME"/>
        </w:rPr>
        <w:t>prije</w:t>
      </w:r>
      <w:r w:rsidR="000C7302" w:rsidRPr="005436C8">
        <w:rPr>
          <w:color w:val="000000"/>
          <w:sz w:val="22"/>
          <w:szCs w:val="22"/>
          <w:lang w:val="sr-Latn-ME"/>
        </w:rPr>
        <w:t xml:space="preserve"> početka </w:t>
      </w:r>
      <w:r w:rsidR="000A2EA9" w:rsidRPr="005436C8">
        <w:rPr>
          <w:color w:val="000000"/>
          <w:sz w:val="22"/>
          <w:szCs w:val="22"/>
          <w:lang w:val="sr-Latn-ME"/>
        </w:rPr>
        <w:t>liječenja</w:t>
      </w:r>
      <w:r w:rsidR="000C7302" w:rsidRPr="005436C8">
        <w:rPr>
          <w:color w:val="000000"/>
          <w:sz w:val="22"/>
          <w:szCs w:val="22"/>
          <w:lang w:val="sr-Latn-ME"/>
        </w:rPr>
        <w:t>.</w:t>
      </w:r>
    </w:p>
    <w:p w14:paraId="224BC77C" w14:textId="77777777" w:rsidR="000C7302" w:rsidRPr="005436C8" w:rsidRDefault="000C7302" w:rsidP="005436C8">
      <w:pPr>
        <w:tabs>
          <w:tab w:val="left" w:pos="284"/>
        </w:tabs>
        <w:jc w:val="both"/>
        <w:rPr>
          <w:bCs/>
          <w:i/>
          <w:iCs/>
          <w:color w:val="000000"/>
          <w:sz w:val="22"/>
          <w:szCs w:val="22"/>
          <w:lang w:val="sr-Latn-ME"/>
        </w:rPr>
      </w:pPr>
    </w:p>
    <w:p w14:paraId="5030B012" w14:textId="77777777" w:rsidR="000C7302" w:rsidRPr="005436C8" w:rsidRDefault="000C7302" w:rsidP="005436C8">
      <w:pPr>
        <w:keepNext/>
        <w:keepLines/>
        <w:tabs>
          <w:tab w:val="left" w:pos="284"/>
        </w:tabs>
        <w:jc w:val="both"/>
        <w:rPr>
          <w:i/>
          <w:color w:val="000000"/>
          <w:sz w:val="22"/>
          <w:szCs w:val="22"/>
          <w:lang w:val="sr-Latn-ME"/>
        </w:rPr>
      </w:pPr>
      <w:r w:rsidRPr="005436C8">
        <w:rPr>
          <w:i/>
          <w:iCs/>
          <w:color w:val="000000"/>
          <w:sz w:val="22"/>
          <w:szCs w:val="22"/>
          <w:lang w:val="sr-Latn-ME"/>
        </w:rPr>
        <w:t xml:space="preserve">Pacijenti sa ranim karcinomom dojke </w:t>
      </w:r>
    </w:p>
    <w:p w14:paraId="76DF7C13" w14:textId="77777777" w:rsidR="000C7302" w:rsidRPr="005436C8" w:rsidRDefault="000C7302" w:rsidP="005436C8">
      <w:pPr>
        <w:keepNext/>
        <w:keepLines/>
        <w:tabs>
          <w:tab w:val="left" w:pos="284"/>
        </w:tabs>
        <w:jc w:val="both"/>
        <w:rPr>
          <w:color w:val="000000"/>
          <w:sz w:val="22"/>
          <w:szCs w:val="22"/>
          <w:lang w:val="sr-Latn-ME"/>
        </w:rPr>
      </w:pPr>
    </w:p>
    <w:p w14:paraId="76A7E76D"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Ejekciona frakcija </w:t>
      </w:r>
      <w:r w:rsidR="00EE66E8" w:rsidRPr="005436C8">
        <w:rPr>
          <w:color w:val="000000"/>
          <w:sz w:val="22"/>
          <w:szCs w:val="22"/>
          <w:lang w:val="sr-Latn-ME"/>
        </w:rPr>
        <w:t>lijeve</w:t>
      </w:r>
      <w:r w:rsidRPr="005436C8">
        <w:rPr>
          <w:color w:val="000000"/>
          <w:sz w:val="22"/>
          <w:szCs w:val="22"/>
          <w:lang w:val="sr-Latn-ME"/>
        </w:rPr>
        <w:t xml:space="preserve"> komore (LVEF) </w:t>
      </w:r>
      <w:r w:rsidR="00522BD8" w:rsidRPr="005436C8">
        <w:rPr>
          <w:color w:val="000000"/>
          <w:sz w:val="22"/>
          <w:szCs w:val="22"/>
          <w:lang w:val="sr-Latn-ME"/>
        </w:rPr>
        <w:t>prije</w:t>
      </w:r>
      <w:r w:rsidRPr="005436C8">
        <w:rPr>
          <w:color w:val="000000"/>
          <w:sz w:val="22"/>
          <w:szCs w:val="22"/>
          <w:lang w:val="sr-Latn-ME"/>
        </w:rPr>
        <w:t xml:space="preserve"> početka </w:t>
      </w:r>
      <w:r w:rsidR="000A2EA9" w:rsidRPr="005436C8">
        <w:rPr>
          <w:color w:val="000000"/>
          <w:sz w:val="22"/>
          <w:szCs w:val="22"/>
          <w:lang w:val="sr-Latn-ME"/>
        </w:rPr>
        <w:t>liječenja</w:t>
      </w:r>
      <w:r w:rsidRPr="005436C8">
        <w:rPr>
          <w:color w:val="000000"/>
          <w:sz w:val="22"/>
          <w:szCs w:val="22"/>
          <w:lang w:val="sr-Latn-ME"/>
        </w:rPr>
        <w:t xml:space="preserve"> mora iznositi ≥ 55% (≥ 50% nakon završetka </w:t>
      </w:r>
      <w:r w:rsidR="000A2EA9" w:rsidRPr="005436C8">
        <w:rPr>
          <w:color w:val="000000"/>
          <w:sz w:val="22"/>
          <w:szCs w:val="22"/>
          <w:lang w:val="sr-Latn-ME"/>
        </w:rPr>
        <w:t>liječenja</w:t>
      </w:r>
      <w:r w:rsidRPr="005436C8">
        <w:rPr>
          <w:color w:val="000000"/>
          <w:sz w:val="22"/>
          <w:szCs w:val="22"/>
          <w:lang w:val="sr-Latn-ME"/>
        </w:rPr>
        <w:t xml:space="preserve"> antraciklinskom komponentom hemoterapije, ako se ona prim</w:t>
      </w:r>
      <w:r w:rsidR="006B212E" w:rsidRPr="005436C8">
        <w:rPr>
          <w:color w:val="000000"/>
          <w:sz w:val="22"/>
          <w:szCs w:val="22"/>
          <w:lang w:val="sr-Latn-ME"/>
        </w:rPr>
        <w:t>j</w:t>
      </w:r>
      <w:r w:rsidRPr="005436C8">
        <w:rPr>
          <w:color w:val="000000"/>
          <w:sz w:val="22"/>
          <w:szCs w:val="22"/>
          <w:lang w:val="sr-Latn-ME"/>
        </w:rPr>
        <w:t xml:space="preserve">enjuje). </w:t>
      </w:r>
    </w:p>
    <w:p w14:paraId="22662AA0" w14:textId="77777777" w:rsidR="000C7302" w:rsidRPr="005436C8" w:rsidRDefault="000C7302" w:rsidP="005436C8">
      <w:pPr>
        <w:tabs>
          <w:tab w:val="left" w:pos="284"/>
        </w:tabs>
        <w:jc w:val="both"/>
        <w:rPr>
          <w:color w:val="000000"/>
          <w:sz w:val="22"/>
          <w:szCs w:val="22"/>
          <w:lang w:val="sr-Latn-ME"/>
        </w:rPr>
      </w:pPr>
    </w:p>
    <w:p w14:paraId="447DF080" w14:textId="77777777" w:rsidR="000C7302" w:rsidRPr="005436C8" w:rsidRDefault="00841D7D" w:rsidP="005436C8">
      <w:pPr>
        <w:tabs>
          <w:tab w:val="left" w:pos="284"/>
        </w:tabs>
        <w:jc w:val="both"/>
        <w:rPr>
          <w:color w:val="000000"/>
          <w:sz w:val="22"/>
          <w:szCs w:val="22"/>
          <w:lang w:val="sr-Latn-ME"/>
        </w:rPr>
      </w:pPr>
      <w:r w:rsidRPr="005436C8">
        <w:rPr>
          <w:noProof/>
          <w:color w:val="000000"/>
          <w:sz w:val="22"/>
          <w:szCs w:val="22"/>
          <w:lang w:val="sr-Latn-ME"/>
        </w:rPr>
        <w:t>Liječenje</w:t>
      </w:r>
      <w:r w:rsidR="000C7302" w:rsidRPr="005436C8">
        <w:rPr>
          <w:noProof/>
          <w:color w:val="000000"/>
          <w:sz w:val="22"/>
          <w:szCs w:val="22"/>
          <w:lang w:val="sr-Latn-ME"/>
        </w:rPr>
        <w:t xml:space="preserve"> </w:t>
      </w:r>
      <w:r w:rsidR="00166973" w:rsidRPr="005436C8">
        <w:rPr>
          <w:noProof/>
          <w:color w:val="000000"/>
          <w:sz w:val="22"/>
          <w:szCs w:val="22"/>
          <w:lang w:val="sr-Latn-ME"/>
        </w:rPr>
        <w:t>lijek</w:t>
      </w:r>
      <w:r w:rsidR="000C7302" w:rsidRPr="005436C8">
        <w:rPr>
          <w:noProof/>
          <w:color w:val="000000"/>
          <w:sz w:val="22"/>
          <w:szCs w:val="22"/>
          <w:lang w:val="sr-Latn-ME"/>
        </w:rPr>
        <w:t>om Phesgo se mora odložiti za</w:t>
      </w:r>
      <w:r w:rsidR="000C7302" w:rsidRPr="005436C8">
        <w:rPr>
          <w:color w:val="000000"/>
          <w:sz w:val="22"/>
          <w:szCs w:val="22"/>
          <w:lang w:val="sr-Latn-ME"/>
        </w:rPr>
        <w:t xml:space="preserve"> najmanje 3 ned</w:t>
      </w:r>
      <w:r w:rsidR="006B212E" w:rsidRPr="005436C8">
        <w:rPr>
          <w:color w:val="000000"/>
          <w:sz w:val="22"/>
          <w:szCs w:val="22"/>
          <w:lang w:val="sr-Latn-ME"/>
        </w:rPr>
        <w:t>j</w:t>
      </w:r>
      <w:r w:rsidR="000C7302" w:rsidRPr="005436C8">
        <w:rPr>
          <w:color w:val="000000"/>
          <w:sz w:val="22"/>
          <w:szCs w:val="22"/>
          <w:lang w:val="sr-Latn-ME"/>
        </w:rPr>
        <w:t xml:space="preserve">elje u slučaju pada LVEF ispod 50%, uz smanjenje za ≥ 10 procentnih poena u odnosu na </w:t>
      </w:r>
      <w:r w:rsidR="000A2EA9" w:rsidRPr="005436C8">
        <w:rPr>
          <w:color w:val="000000"/>
          <w:sz w:val="22"/>
          <w:szCs w:val="22"/>
          <w:lang w:val="sr-Latn-ME"/>
        </w:rPr>
        <w:t>vrijednost</w:t>
      </w:r>
      <w:r w:rsidR="000C7302" w:rsidRPr="005436C8">
        <w:rPr>
          <w:color w:val="000000"/>
          <w:sz w:val="22"/>
          <w:szCs w:val="22"/>
          <w:lang w:val="sr-Latn-ME"/>
        </w:rPr>
        <w:t xml:space="preserve"> pr</w:t>
      </w:r>
      <w:r w:rsidR="002700CC" w:rsidRPr="005436C8">
        <w:rPr>
          <w:color w:val="000000"/>
          <w:sz w:val="22"/>
          <w:szCs w:val="22"/>
          <w:lang w:val="sr-Latn-ME"/>
        </w:rPr>
        <w:t>ij</w:t>
      </w:r>
      <w:r w:rsidR="000C7302" w:rsidRPr="005436C8">
        <w:rPr>
          <w:color w:val="000000"/>
          <w:sz w:val="22"/>
          <w:szCs w:val="22"/>
          <w:lang w:val="sr-Latn-ME"/>
        </w:rPr>
        <w:t xml:space="preserve">e početka </w:t>
      </w:r>
      <w:r w:rsidR="000A2EA9" w:rsidRPr="005436C8">
        <w:rPr>
          <w:color w:val="000000"/>
          <w:sz w:val="22"/>
          <w:szCs w:val="22"/>
          <w:lang w:val="sr-Latn-ME"/>
        </w:rPr>
        <w:t>liječenja</w:t>
      </w:r>
      <w:r w:rsidR="000C7302" w:rsidRPr="005436C8">
        <w:rPr>
          <w:color w:val="000000"/>
          <w:sz w:val="22"/>
          <w:szCs w:val="22"/>
          <w:lang w:val="sr-Latn-ME"/>
        </w:rPr>
        <w:t xml:space="preserve">. </w:t>
      </w:r>
    </w:p>
    <w:p w14:paraId="2E803711" w14:textId="77777777" w:rsidR="000C7302" w:rsidRPr="005436C8" w:rsidRDefault="000C7302" w:rsidP="005436C8">
      <w:pPr>
        <w:tabs>
          <w:tab w:val="left" w:pos="284"/>
        </w:tabs>
        <w:jc w:val="both"/>
        <w:rPr>
          <w:color w:val="000000"/>
          <w:sz w:val="22"/>
          <w:szCs w:val="22"/>
          <w:lang w:val="sr-Latn-ME"/>
        </w:rPr>
      </w:pPr>
    </w:p>
    <w:p w14:paraId="07CD557B" w14:textId="77777777" w:rsidR="000C7302" w:rsidRPr="005436C8" w:rsidRDefault="00A21698" w:rsidP="005436C8">
      <w:pPr>
        <w:tabs>
          <w:tab w:val="left" w:pos="284"/>
        </w:tabs>
        <w:jc w:val="both"/>
        <w:rPr>
          <w:bCs/>
          <w:i/>
          <w:iCs/>
          <w:color w:val="000000"/>
          <w:sz w:val="22"/>
          <w:szCs w:val="22"/>
          <w:lang w:val="sr-Latn-ME"/>
        </w:rPr>
      </w:pPr>
      <w:r w:rsidRPr="005436C8">
        <w:rPr>
          <w:sz w:val="22"/>
          <w:szCs w:val="22"/>
          <w:lang w:val="sr-Latn-ME"/>
        </w:rPr>
        <w:t>Primjena</w:t>
      </w:r>
      <w:r w:rsidR="000C7302" w:rsidRPr="005436C8">
        <w:rPr>
          <w:sz w:val="22"/>
          <w:szCs w:val="22"/>
          <w:lang w:val="sr-Latn-ME"/>
        </w:rPr>
        <w:t xml:space="preserve"> </w:t>
      </w:r>
      <w:r w:rsidR="00166973" w:rsidRPr="005436C8">
        <w:rPr>
          <w:sz w:val="22"/>
          <w:szCs w:val="22"/>
          <w:lang w:val="sr-Latn-ME"/>
        </w:rPr>
        <w:t>lijek</w:t>
      </w:r>
      <w:r w:rsidR="000C7302" w:rsidRPr="005436C8">
        <w:rPr>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može se nastaviti ukoliko se LVEF vrati na ≥ 50%, ili ako se razlika u odnosu na </w:t>
      </w:r>
      <w:r w:rsidR="000A2EA9" w:rsidRPr="005436C8">
        <w:rPr>
          <w:color w:val="000000"/>
          <w:sz w:val="22"/>
          <w:szCs w:val="22"/>
          <w:lang w:val="sr-Latn-ME"/>
        </w:rPr>
        <w:t>vrijednost</w:t>
      </w:r>
      <w:r w:rsidR="000C7302" w:rsidRPr="005436C8">
        <w:rPr>
          <w:color w:val="000000"/>
          <w:sz w:val="22"/>
          <w:szCs w:val="22"/>
          <w:lang w:val="sr-Latn-ME"/>
        </w:rPr>
        <w:t xml:space="preserve"> pr</w:t>
      </w:r>
      <w:r w:rsidR="002700CC" w:rsidRPr="005436C8">
        <w:rPr>
          <w:color w:val="000000"/>
          <w:sz w:val="22"/>
          <w:szCs w:val="22"/>
          <w:lang w:val="sr-Latn-ME"/>
        </w:rPr>
        <w:t>ij</w:t>
      </w:r>
      <w:r w:rsidR="000C7302" w:rsidRPr="005436C8">
        <w:rPr>
          <w:color w:val="000000"/>
          <w:sz w:val="22"/>
          <w:szCs w:val="22"/>
          <w:lang w:val="sr-Latn-ME"/>
        </w:rPr>
        <w:t xml:space="preserve">e početka </w:t>
      </w:r>
      <w:r w:rsidR="000A2EA9" w:rsidRPr="005436C8">
        <w:rPr>
          <w:color w:val="000000"/>
          <w:sz w:val="22"/>
          <w:szCs w:val="22"/>
          <w:lang w:val="sr-Latn-ME"/>
        </w:rPr>
        <w:t>liječenja</w:t>
      </w:r>
      <w:r w:rsidR="000C7302" w:rsidRPr="005436C8">
        <w:rPr>
          <w:color w:val="000000"/>
          <w:sz w:val="22"/>
          <w:szCs w:val="22"/>
          <w:lang w:val="sr-Latn-ME"/>
        </w:rPr>
        <w:t xml:space="preserve"> smanji na manje od 10 procentnih poena.</w:t>
      </w:r>
    </w:p>
    <w:p w14:paraId="6B54FC0A" w14:textId="77777777" w:rsidR="000C7302" w:rsidRPr="005436C8" w:rsidRDefault="000C7302" w:rsidP="005436C8">
      <w:pPr>
        <w:tabs>
          <w:tab w:val="left" w:pos="284"/>
        </w:tabs>
        <w:jc w:val="both"/>
        <w:rPr>
          <w:bCs/>
          <w:i/>
          <w:iCs/>
          <w:color w:val="000000"/>
          <w:sz w:val="22"/>
          <w:szCs w:val="22"/>
          <w:u w:val="single"/>
          <w:lang w:val="sr-Latn-ME"/>
        </w:rPr>
      </w:pPr>
    </w:p>
    <w:p w14:paraId="3655F9DA" w14:textId="77777777" w:rsidR="000C7302" w:rsidRPr="005436C8" w:rsidRDefault="000C7302" w:rsidP="005436C8">
      <w:pPr>
        <w:tabs>
          <w:tab w:val="left" w:pos="284"/>
        </w:tabs>
        <w:jc w:val="both"/>
        <w:rPr>
          <w:bCs/>
          <w:i/>
          <w:iCs/>
          <w:color w:val="000000"/>
          <w:sz w:val="22"/>
          <w:szCs w:val="22"/>
          <w:u w:val="single"/>
          <w:lang w:val="sr-Latn-ME"/>
        </w:rPr>
      </w:pPr>
      <w:r w:rsidRPr="005436C8">
        <w:rPr>
          <w:i/>
          <w:iCs/>
          <w:color w:val="000000"/>
          <w:sz w:val="22"/>
          <w:szCs w:val="22"/>
          <w:u w:val="single"/>
          <w:lang w:val="sr-Latn-ME"/>
        </w:rPr>
        <w:t>Posebne populacije</w:t>
      </w:r>
    </w:p>
    <w:p w14:paraId="1B5F0188" w14:textId="77777777" w:rsidR="000C7302" w:rsidRPr="005436C8" w:rsidRDefault="000C7302" w:rsidP="005436C8">
      <w:pPr>
        <w:tabs>
          <w:tab w:val="left" w:pos="284"/>
        </w:tabs>
        <w:jc w:val="both"/>
        <w:rPr>
          <w:bCs/>
          <w:i/>
          <w:iCs/>
          <w:color w:val="000000"/>
          <w:sz w:val="22"/>
          <w:szCs w:val="22"/>
          <w:lang w:val="sr-Latn-ME"/>
        </w:rPr>
      </w:pPr>
    </w:p>
    <w:p w14:paraId="26CA7003" w14:textId="77777777" w:rsidR="000C7302" w:rsidRPr="005436C8" w:rsidRDefault="000C7302" w:rsidP="005436C8">
      <w:pPr>
        <w:tabs>
          <w:tab w:val="left" w:pos="284"/>
        </w:tabs>
        <w:jc w:val="both"/>
        <w:rPr>
          <w:bCs/>
          <w:i/>
          <w:iCs/>
          <w:color w:val="000000"/>
          <w:sz w:val="22"/>
          <w:szCs w:val="22"/>
          <w:lang w:val="sr-Latn-ME"/>
        </w:rPr>
      </w:pPr>
      <w:r w:rsidRPr="005436C8">
        <w:rPr>
          <w:i/>
          <w:iCs/>
          <w:color w:val="000000"/>
          <w:sz w:val="22"/>
          <w:szCs w:val="22"/>
          <w:lang w:val="sr-Latn-ME"/>
        </w:rPr>
        <w:t xml:space="preserve">Starije osobe </w:t>
      </w:r>
    </w:p>
    <w:p w14:paraId="3F37E002" w14:textId="77777777" w:rsidR="000C7302" w:rsidRPr="005436C8" w:rsidRDefault="000C7302" w:rsidP="005436C8">
      <w:pPr>
        <w:tabs>
          <w:tab w:val="left" w:pos="284"/>
        </w:tabs>
        <w:jc w:val="both"/>
        <w:rPr>
          <w:bCs/>
          <w:iCs/>
          <w:color w:val="000000"/>
          <w:sz w:val="22"/>
          <w:szCs w:val="22"/>
          <w:lang w:val="sr-Latn-ME"/>
        </w:rPr>
      </w:pPr>
    </w:p>
    <w:p w14:paraId="5D997A0D"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Sveukupno nisu </w:t>
      </w:r>
      <w:r w:rsidR="00EE66E8" w:rsidRPr="005436C8">
        <w:rPr>
          <w:color w:val="000000"/>
          <w:sz w:val="22"/>
          <w:szCs w:val="22"/>
          <w:lang w:val="sr-Latn-ME"/>
        </w:rPr>
        <w:t>prim</w:t>
      </w:r>
      <w:r w:rsidR="006B212E" w:rsidRPr="005436C8">
        <w:rPr>
          <w:color w:val="000000"/>
          <w:sz w:val="22"/>
          <w:szCs w:val="22"/>
          <w:lang w:val="sr-Latn-ME"/>
        </w:rPr>
        <w:t>i</w:t>
      </w:r>
      <w:r w:rsidR="00EE66E8" w:rsidRPr="005436C8">
        <w:rPr>
          <w:color w:val="000000"/>
          <w:sz w:val="22"/>
          <w:szCs w:val="22"/>
          <w:lang w:val="sr-Latn-ME"/>
        </w:rPr>
        <w:t>jećene</w:t>
      </w:r>
      <w:r w:rsidRPr="005436C8">
        <w:rPr>
          <w:color w:val="000000"/>
          <w:sz w:val="22"/>
          <w:szCs w:val="22"/>
          <w:lang w:val="sr-Latn-ME"/>
        </w:rPr>
        <w:t xml:space="preserve"> razlike u efikasnosti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između pacijenata starosti ≥ 65 godina i mlađih od 65 godina. Ne preporučuje se podešavanje doze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za pacijente ≥ 65 godina. Dostupni su ograničeni podaci o prim</w:t>
      </w:r>
      <w:r w:rsidR="002700CC" w:rsidRPr="005436C8">
        <w:rPr>
          <w:color w:val="000000"/>
          <w:sz w:val="22"/>
          <w:szCs w:val="22"/>
          <w:lang w:val="sr-Latn-ME"/>
        </w:rPr>
        <w:t>j</w:t>
      </w:r>
      <w:r w:rsidRPr="005436C8">
        <w:rPr>
          <w:color w:val="000000"/>
          <w:sz w:val="22"/>
          <w:szCs w:val="22"/>
          <w:lang w:val="sr-Latn-ME"/>
        </w:rPr>
        <w:t>eni kod pacijenata starijih od 75 godina.</w:t>
      </w:r>
    </w:p>
    <w:p w14:paraId="63EC2FF1" w14:textId="77777777" w:rsidR="000C7302" w:rsidRPr="005436C8" w:rsidRDefault="000C7302" w:rsidP="005436C8">
      <w:pPr>
        <w:tabs>
          <w:tab w:val="left" w:pos="284"/>
        </w:tabs>
        <w:jc w:val="both"/>
        <w:rPr>
          <w:color w:val="000000"/>
          <w:sz w:val="22"/>
          <w:szCs w:val="22"/>
          <w:lang w:val="sr-Latn-ME"/>
        </w:rPr>
      </w:pPr>
    </w:p>
    <w:p w14:paraId="76F82DFA" w14:textId="2B43B03C" w:rsidR="000C7302" w:rsidRPr="005436C8" w:rsidRDefault="000C7302" w:rsidP="005436C8">
      <w:pPr>
        <w:tabs>
          <w:tab w:val="left" w:pos="284"/>
        </w:tabs>
        <w:jc w:val="both"/>
        <w:rPr>
          <w:bCs/>
          <w:iCs/>
          <w:color w:val="000000"/>
          <w:sz w:val="22"/>
          <w:szCs w:val="22"/>
          <w:lang w:val="sr-Latn-ME"/>
        </w:rPr>
      </w:pPr>
      <w:r w:rsidRPr="005436C8">
        <w:rPr>
          <w:sz w:val="22"/>
          <w:szCs w:val="22"/>
          <w:lang w:val="sr-Latn-ME"/>
        </w:rPr>
        <w:t xml:space="preserve">Za </w:t>
      </w:r>
      <w:r w:rsidR="00FE754C" w:rsidRPr="005436C8">
        <w:rPr>
          <w:sz w:val="22"/>
          <w:szCs w:val="22"/>
          <w:lang w:val="sr-Latn-ME"/>
        </w:rPr>
        <w:t>procjen</w:t>
      </w:r>
      <w:r w:rsidRPr="005436C8">
        <w:rPr>
          <w:sz w:val="22"/>
          <w:szCs w:val="22"/>
          <w:lang w:val="sr-Latn-ME"/>
        </w:rPr>
        <w:t xml:space="preserve">u </w:t>
      </w:r>
      <w:r w:rsidR="00385576" w:rsidRPr="005436C8">
        <w:rPr>
          <w:sz w:val="22"/>
          <w:szCs w:val="22"/>
          <w:lang w:val="sr-Latn-ME"/>
        </w:rPr>
        <w:t>bezbjednost</w:t>
      </w:r>
      <w:r w:rsidRPr="005436C8">
        <w:rPr>
          <w:sz w:val="22"/>
          <w:szCs w:val="22"/>
          <w:lang w:val="sr-Latn-ME"/>
        </w:rPr>
        <w:t>i kod starijih pacijenata</w:t>
      </w:r>
      <w:r w:rsidR="006B212E" w:rsidRPr="005436C8">
        <w:rPr>
          <w:sz w:val="22"/>
          <w:szCs w:val="22"/>
          <w:lang w:val="sr-Latn-ME"/>
        </w:rPr>
        <w:t>,</w:t>
      </w:r>
      <w:r w:rsidRPr="005436C8">
        <w:rPr>
          <w:sz w:val="22"/>
          <w:szCs w:val="22"/>
          <w:lang w:val="sr-Latn-ME"/>
        </w:rPr>
        <w:t xml:space="preserve"> </w:t>
      </w:r>
      <w:r w:rsidR="006B212E" w:rsidRPr="005436C8">
        <w:rPr>
          <w:sz w:val="22"/>
          <w:szCs w:val="22"/>
          <w:lang w:val="sr-Latn-ME"/>
        </w:rPr>
        <w:t xml:space="preserve">pogledati </w:t>
      </w:r>
      <w:r w:rsidR="009B712A">
        <w:rPr>
          <w:sz w:val="22"/>
          <w:szCs w:val="22"/>
          <w:lang w:val="sr-Latn-ME"/>
        </w:rPr>
        <w:t>dio</w:t>
      </w:r>
      <w:r w:rsidRPr="005436C8">
        <w:rPr>
          <w:sz w:val="22"/>
          <w:szCs w:val="22"/>
          <w:lang w:val="sr-Latn-ME"/>
        </w:rPr>
        <w:t xml:space="preserve"> 4.8.</w:t>
      </w:r>
    </w:p>
    <w:p w14:paraId="2A08D292" w14:textId="77777777" w:rsidR="000C7302" w:rsidRPr="005436C8" w:rsidRDefault="000C7302" w:rsidP="005436C8">
      <w:pPr>
        <w:tabs>
          <w:tab w:val="left" w:pos="284"/>
        </w:tabs>
        <w:jc w:val="both"/>
        <w:rPr>
          <w:bCs/>
          <w:i/>
          <w:iCs/>
          <w:color w:val="000000"/>
          <w:sz w:val="22"/>
          <w:szCs w:val="22"/>
          <w:lang w:val="sr-Latn-ME"/>
        </w:rPr>
      </w:pPr>
    </w:p>
    <w:p w14:paraId="2F830388" w14:textId="77777777" w:rsidR="000C7302" w:rsidRPr="005436C8" w:rsidRDefault="000C7302" w:rsidP="005436C8">
      <w:pPr>
        <w:tabs>
          <w:tab w:val="left" w:pos="284"/>
        </w:tabs>
        <w:jc w:val="both"/>
        <w:rPr>
          <w:bCs/>
          <w:i/>
          <w:iCs/>
          <w:color w:val="000000"/>
          <w:sz w:val="22"/>
          <w:szCs w:val="22"/>
          <w:lang w:val="sr-Latn-ME"/>
        </w:rPr>
      </w:pPr>
      <w:r w:rsidRPr="005436C8">
        <w:rPr>
          <w:i/>
          <w:iCs/>
          <w:color w:val="000000"/>
          <w:sz w:val="22"/>
          <w:szCs w:val="22"/>
          <w:lang w:val="sr-Latn-ME"/>
        </w:rPr>
        <w:t>Oštećenje funkcije bubrega</w:t>
      </w:r>
    </w:p>
    <w:p w14:paraId="502B3FBD" w14:textId="77777777" w:rsidR="000C7302" w:rsidRPr="005436C8" w:rsidRDefault="000C7302" w:rsidP="005436C8">
      <w:pPr>
        <w:tabs>
          <w:tab w:val="left" w:pos="284"/>
        </w:tabs>
        <w:jc w:val="both"/>
        <w:rPr>
          <w:bCs/>
          <w:iCs/>
          <w:color w:val="000000"/>
          <w:sz w:val="22"/>
          <w:szCs w:val="22"/>
          <w:u w:val="single"/>
          <w:lang w:val="sr-Latn-ME"/>
        </w:rPr>
      </w:pPr>
    </w:p>
    <w:p w14:paraId="26390C81" w14:textId="413383AD"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Za pacijente sa blagim ili um</w:t>
      </w:r>
      <w:r w:rsidR="006B212E" w:rsidRPr="005436C8">
        <w:rPr>
          <w:color w:val="000000"/>
          <w:sz w:val="22"/>
          <w:szCs w:val="22"/>
          <w:lang w:val="sr-Latn-ME"/>
        </w:rPr>
        <w:t>j</w:t>
      </w:r>
      <w:r w:rsidRPr="005436C8">
        <w:rPr>
          <w:color w:val="000000"/>
          <w:sz w:val="22"/>
          <w:szCs w:val="22"/>
          <w:lang w:val="sr-Latn-ME"/>
        </w:rPr>
        <w:t xml:space="preserve">erenim oštećenjem funkcije bubrega nisu potrebna podešavanja doze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Zbog ograničenih dostupnih farmakokinetičkih podataka ne mogu se dati preporuke za doziranje kod pacijenata sa teškim oštećenjem funkcije bubrega (pogledati </w:t>
      </w:r>
      <w:r w:rsidR="009B712A">
        <w:rPr>
          <w:color w:val="000000"/>
          <w:sz w:val="22"/>
          <w:szCs w:val="22"/>
          <w:lang w:val="sr-Latn-ME"/>
        </w:rPr>
        <w:t>dio</w:t>
      </w:r>
      <w:r w:rsidRPr="005436C8">
        <w:rPr>
          <w:color w:val="000000"/>
          <w:sz w:val="22"/>
          <w:szCs w:val="22"/>
          <w:lang w:val="sr-Latn-ME"/>
        </w:rPr>
        <w:t xml:space="preserve"> 5.2).</w:t>
      </w:r>
    </w:p>
    <w:p w14:paraId="75A17858" w14:textId="77777777" w:rsidR="000C7302" w:rsidRPr="005436C8" w:rsidRDefault="000C7302" w:rsidP="005436C8">
      <w:pPr>
        <w:tabs>
          <w:tab w:val="left" w:pos="284"/>
        </w:tabs>
        <w:jc w:val="both"/>
        <w:rPr>
          <w:bCs/>
          <w:i/>
          <w:iCs/>
          <w:color w:val="000000"/>
          <w:sz w:val="22"/>
          <w:szCs w:val="22"/>
          <w:lang w:val="sr-Latn-ME"/>
        </w:rPr>
      </w:pPr>
    </w:p>
    <w:p w14:paraId="4E92ACBF" w14:textId="77777777" w:rsidR="000C7302" w:rsidRPr="005436C8" w:rsidRDefault="000C7302" w:rsidP="005436C8">
      <w:pPr>
        <w:tabs>
          <w:tab w:val="left" w:pos="284"/>
        </w:tabs>
        <w:jc w:val="both"/>
        <w:rPr>
          <w:bCs/>
          <w:i/>
          <w:iCs/>
          <w:color w:val="000000"/>
          <w:sz w:val="22"/>
          <w:szCs w:val="22"/>
          <w:lang w:val="sr-Latn-ME"/>
        </w:rPr>
      </w:pPr>
      <w:r w:rsidRPr="005436C8">
        <w:rPr>
          <w:i/>
          <w:iCs/>
          <w:color w:val="000000"/>
          <w:sz w:val="22"/>
          <w:szCs w:val="22"/>
          <w:lang w:val="sr-Latn-ME"/>
        </w:rPr>
        <w:t>Oštećenje funkcije jetre</w:t>
      </w:r>
    </w:p>
    <w:p w14:paraId="6BFA0110" w14:textId="77777777" w:rsidR="000C7302" w:rsidRPr="005436C8" w:rsidRDefault="000C7302" w:rsidP="005436C8">
      <w:pPr>
        <w:tabs>
          <w:tab w:val="left" w:pos="284"/>
        </w:tabs>
        <w:jc w:val="both"/>
        <w:rPr>
          <w:bCs/>
          <w:i/>
          <w:iCs/>
          <w:color w:val="000000"/>
          <w:sz w:val="22"/>
          <w:szCs w:val="22"/>
          <w:u w:val="single"/>
          <w:lang w:val="sr-Latn-ME"/>
        </w:rPr>
      </w:pPr>
    </w:p>
    <w:p w14:paraId="7107AF4E" w14:textId="0BDAA902" w:rsidR="000C7302" w:rsidRPr="005436C8" w:rsidRDefault="00385576" w:rsidP="005436C8">
      <w:pPr>
        <w:tabs>
          <w:tab w:val="left" w:pos="284"/>
        </w:tabs>
        <w:jc w:val="both"/>
        <w:rPr>
          <w:bCs/>
          <w:i/>
          <w:iCs/>
          <w:color w:val="000000"/>
          <w:sz w:val="22"/>
          <w:szCs w:val="22"/>
          <w:lang w:val="sr-Latn-ME"/>
        </w:rPr>
      </w:pPr>
      <w:r w:rsidRPr="005436C8">
        <w:rPr>
          <w:color w:val="000000"/>
          <w:sz w:val="22"/>
          <w:szCs w:val="22"/>
          <w:lang w:val="sr-Latn-ME"/>
        </w:rPr>
        <w:t>Bezbjednost</w:t>
      </w:r>
      <w:r w:rsidR="000C7302" w:rsidRPr="005436C8">
        <w:rPr>
          <w:color w:val="000000"/>
          <w:sz w:val="22"/>
          <w:szCs w:val="22"/>
          <w:lang w:val="sr-Latn-ME"/>
        </w:rPr>
        <w:t xml:space="preserve"> i efikasnost </w:t>
      </w:r>
      <w:r w:rsidR="00166973" w:rsidRPr="005436C8">
        <w:rPr>
          <w:color w:val="000000"/>
          <w:sz w:val="22"/>
          <w:szCs w:val="22"/>
          <w:lang w:val="sr-Latn-ME"/>
        </w:rPr>
        <w:t>lijek</w:t>
      </w:r>
      <w:r w:rsidR="000C7302" w:rsidRPr="005436C8">
        <w:rPr>
          <w:color w:val="000000"/>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kod pacijenata sa oštećenom funkcijom jetre nisu ispitivani. Nije v</w:t>
      </w:r>
      <w:r w:rsidR="006B212E" w:rsidRPr="005436C8">
        <w:rPr>
          <w:color w:val="000000"/>
          <w:sz w:val="22"/>
          <w:szCs w:val="22"/>
          <w:lang w:val="sr-Latn-ME"/>
        </w:rPr>
        <w:t>j</w:t>
      </w:r>
      <w:r w:rsidR="000C7302" w:rsidRPr="005436C8">
        <w:rPr>
          <w:color w:val="000000"/>
          <w:sz w:val="22"/>
          <w:szCs w:val="22"/>
          <w:lang w:val="sr-Latn-ME"/>
        </w:rPr>
        <w:t xml:space="preserve">erovatno da će tim pacijentima biti potrebno podešavanje doze </w:t>
      </w:r>
      <w:r w:rsidR="00166973" w:rsidRPr="005436C8">
        <w:rPr>
          <w:color w:val="000000"/>
          <w:sz w:val="22"/>
          <w:szCs w:val="22"/>
          <w:lang w:val="sr-Latn-ME"/>
        </w:rPr>
        <w:t>lijek</w:t>
      </w:r>
      <w:r w:rsidR="000C7302" w:rsidRPr="005436C8">
        <w:rPr>
          <w:color w:val="000000"/>
          <w:sz w:val="22"/>
          <w:szCs w:val="22"/>
          <w:lang w:val="sr-Latn-ME"/>
        </w:rPr>
        <w:t>a Phesgo.</w:t>
      </w:r>
      <w:r w:rsidR="000C7302" w:rsidRPr="005436C8">
        <w:rPr>
          <w:i/>
          <w:iCs/>
          <w:color w:val="000000"/>
          <w:sz w:val="22"/>
          <w:szCs w:val="22"/>
          <w:lang w:val="sr-Latn-ME"/>
        </w:rPr>
        <w:t xml:space="preserve"> </w:t>
      </w:r>
      <w:r w:rsidR="000C7302" w:rsidRPr="005436C8">
        <w:rPr>
          <w:color w:val="000000"/>
          <w:sz w:val="22"/>
          <w:szCs w:val="22"/>
          <w:lang w:val="sr-Latn-ME"/>
        </w:rPr>
        <w:t>Nema posebnih preporuka za prilagođavanje doze</w:t>
      </w:r>
      <w:r w:rsidR="000C7302" w:rsidRPr="005436C8">
        <w:rPr>
          <w:sz w:val="22"/>
          <w:szCs w:val="22"/>
          <w:lang w:val="sr-Latn-ME"/>
        </w:rPr>
        <w:t xml:space="preserve"> </w:t>
      </w:r>
      <w:r w:rsidR="000C7302" w:rsidRPr="005436C8">
        <w:rPr>
          <w:color w:val="000000"/>
          <w:sz w:val="22"/>
          <w:szCs w:val="22"/>
          <w:lang w:val="sr-Latn-ME"/>
        </w:rPr>
        <w:t xml:space="preserve">(pogledati </w:t>
      </w:r>
      <w:r w:rsidR="009B712A">
        <w:rPr>
          <w:color w:val="000000"/>
          <w:sz w:val="22"/>
          <w:szCs w:val="22"/>
          <w:lang w:val="sr-Latn-ME"/>
        </w:rPr>
        <w:t>dio</w:t>
      </w:r>
      <w:r w:rsidR="000C7302" w:rsidRPr="005436C8">
        <w:rPr>
          <w:color w:val="000000"/>
          <w:sz w:val="22"/>
          <w:szCs w:val="22"/>
          <w:lang w:val="sr-Latn-ME"/>
        </w:rPr>
        <w:t> 5.2).</w:t>
      </w:r>
    </w:p>
    <w:p w14:paraId="4EDD4423" w14:textId="77777777" w:rsidR="000C7302" w:rsidRPr="005436C8" w:rsidRDefault="000C7302" w:rsidP="005436C8">
      <w:pPr>
        <w:tabs>
          <w:tab w:val="left" w:pos="284"/>
        </w:tabs>
        <w:jc w:val="both"/>
        <w:rPr>
          <w:bCs/>
          <w:i/>
          <w:iCs/>
          <w:color w:val="000000"/>
          <w:sz w:val="22"/>
          <w:szCs w:val="22"/>
          <w:lang w:val="sr-Latn-ME"/>
        </w:rPr>
      </w:pPr>
    </w:p>
    <w:p w14:paraId="198BD5D9" w14:textId="77777777" w:rsidR="000C7302" w:rsidRPr="005436C8" w:rsidRDefault="000C7302" w:rsidP="005436C8">
      <w:pPr>
        <w:tabs>
          <w:tab w:val="left" w:pos="284"/>
        </w:tabs>
        <w:jc w:val="both"/>
        <w:rPr>
          <w:bCs/>
          <w:i/>
          <w:iCs/>
          <w:color w:val="000000"/>
          <w:sz w:val="22"/>
          <w:szCs w:val="22"/>
          <w:lang w:val="sr-Latn-ME"/>
        </w:rPr>
      </w:pPr>
      <w:r w:rsidRPr="005436C8">
        <w:rPr>
          <w:i/>
          <w:iCs/>
          <w:color w:val="000000"/>
          <w:sz w:val="22"/>
          <w:szCs w:val="22"/>
          <w:lang w:val="sr-Latn-ME"/>
        </w:rPr>
        <w:t>Pedijatrijska populacija</w:t>
      </w:r>
    </w:p>
    <w:p w14:paraId="2497A539" w14:textId="77777777" w:rsidR="000C7302" w:rsidRPr="005436C8" w:rsidRDefault="000C7302" w:rsidP="005436C8">
      <w:pPr>
        <w:tabs>
          <w:tab w:val="left" w:pos="284"/>
        </w:tabs>
        <w:jc w:val="both"/>
        <w:rPr>
          <w:bCs/>
          <w:i/>
          <w:iCs/>
          <w:color w:val="000000"/>
          <w:sz w:val="22"/>
          <w:szCs w:val="22"/>
          <w:u w:val="single"/>
          <w:lang w:val="sr-Latn-ME"/>
        </w:rPr>
      </w:pPr>
    </w:p>
    <w:p w14:paraId="67B80384" w14:textId="24D3C36D" w:rsidR="00452E9D" w:rsidRPr="009B712A" w:rsidRDefault="00385576" w:rsidP="009B712A">
      <w:pPr>
        <w:tabs>
          <w:tab w:val="left" w:pos="284"/>
        </w:tabs>
        <w:jc w:val="both"/>
        <w:rPr>
          <w:bCs/>
          <w:i/>
          <w:iCs/>
          <w:color w:val="000000"/>
          <w:sz w:val="22"/>
          <w:szCs w:val="22"/>
          <w:lang w:val="sr-Latn-ME"/>
        </w:rPr>
      </w:pPr>
      <w:r w:rsidRPr="005436C8">
        <w:rPr>
          <w:color w:val="000000"/>
          <w:sz w:val="22"/>
          <w:szCs w:val="22"/>
          <w:lang w:val="sr-Latn-ME"/>
        </w:rPr>
        <w:t>Bezbjednost</w:t>
      </w:r>
      <w:r w:rsidR="000C7302" w:rsidRPr="005436C8">
        <w:rPr>
          <w:color w:val="000000"/>
          <w:sz w:val="22"/>
          <w:szCs w:val="22"/>
          <w:lang w:val="sr-Latn-ME"/>
        </w:rPr>
        <w:t xml:space="preserve"> i efikasnost </w:t>
      </w:r>
      <w:r w:rsidR="00166973" w:rsidRPr="005436C8">
        <w:rPr>
          <w:color w:val="000000"/>
          <w:sz w:val="22"/>
          <w:szCs w:val="22"/>
          <w:lang w:val="sr-Latn-ME"/>
        </w:rPr>
        <w:t>lijek</w:t>
      </w:r>
      <w:r w:rsidR="000C7302" w:rsidRPr="005436C8">
        <w:rPr>
          <w:color w:val="000000"/>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kod d</w:t>
      </w:r>
      <w:r w:rsidR="006B212E" w:rsidRPr="005436C8">
        <w:rPr>
          <w:color w:val="000000"/>
          <w:sz w:val="22"/>
          <w:szCs w:val="22"/>
          <w:lang w:val="sr-Latn-ME"/>
        </w:rPr>
        <w:t>j</w:t>
      </w:r>
      <w:r w:rsidR="000C7302" w:rsidRPr="005436C8">
        <w:rPr>
          <w:color w:val="000000"/>
          <w:sz w:val="22"/>
          <w:szCs w:val="22"/>
          <w:lang w:val="sr-Latn-ME"/>
        </w:rPr>
        <w:t xml:space="preserve">ece i adolescenata mlađih od 18 godina nisu još ustanovljene. Nema relevantne </w:t>
      </w:r>
      <w:r w:rsidR="00A21698" w:rsidRPr="005436C8">
        <w:rPr>
          <w:color w:val="000000"/>
          <w:sz w:val="22"/>
          <w:szCs w:val="22"/>
          <w:lang w:val="sr-Latn-ME"/>
        </w:rPr>
        <w:t>primjene</w:t>
      </w:r>
      <w:r w:rsidR="000C7302" w:rsidRPr="005436C8">
        <w:rPr>
          <w:color w:val="000000"/>
          <w:sz w:val="22"/>
          <w:szCs w:val="22"/>
          <w:lang w:val="sr-Latn-ME"/>
        </w:rPr>
        <w:t xml:space="preserve"> </w:t>
      </w:r>
      <w:r w:rsidR="00166973" w:rsidRPr="005436C8">
        <w:rPr>
          <w:color w:val="000000"/>
          <w:sz w:val="22"/>
          <w:szCs w:val="22"/>
          <w:lang w:val="sr-Latn-ME"/>
        </w:rPr>
        <w:t>lijek</w:t>
      </w:r>
      <w:r w:rsidR="000C7302" w:rsidRPr="005436C8">
        <w:rPr>
          <w:color w:val="000000"/>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u pedijatrijskoj populaciji u indikaciji karcinoma dojke.</w:t>
      </w:r>
    </w:p>
    <w:p w14:paraId="196BC263" w14:textId="77777777" w:rsidR="00D61A6E" w:rsidRDefault="00D61A6E" w:rsidP="005436C8">
      <w:pPr>
        <w:tabs>
          <w:tab w:val="left" w:pos="540"/>
          <w:tab w:val="left" w:pos="569"/>
        </w:tabs>
        <w:rPr>
          <w:bCs/>
          <w:sz w:val="22"/>
          <w:szCs w:val="22"/>
          <w:u w:val="single"/>
          <w:lang w:val="sr-Latn-ME"/>
        </w:rPr>
      </w:pPr>
    </w:p>
    <w:p w14:paraId="560D04DD" w14:textId="77777777" w:rsidR="00452E9D" w:rsidRPr="005436C8" w:rsidRDefault="00452E9D" w:rsidP="005436C8">
      <w:pPr>
        <w:tabs>
          <w:tab w:val="left" w:pos="540"/>
          <w:tab w:val="left" w:pos="569"/>
        </w:tabs>
        <w:rPr>
          <w:bCs/>
          <w:sz w:val="22"/>
          <w:szCs w:val="22"/>
          <w:u w:val="single"/>
          <w:lang w:val="sr-Latn-ME"/>
        </w:rPr>
      </w:pPr>
      <w:r w:rsidRPr="005436C8">
        <w:rPr>
          <w:bCs/>
          <w:sz w:val="22"/>
          <w:szCs w:val="22"/>
          <w:u w:val="single"/>
          <w:lang w:val="sr-Latn-ME"/>
        </w:rPr>
        <w:t>Način primjene</w:t>
      </w:r>
    </w:p>
    <w:p w14:paraId="4C807544" w14:textId="77777777" w:rsidR="000C7302" w:rsidRPr="005436C8" w:rsidRDefault="000C7302" w:rsidP="005436C8">
      <w:pPr>
        <w:tabs>
          <w:tab w:val="left" w:pos="540"/>
          <w:tab w:val="left" w:pos="569"/>
        </w:tabs>
        <w:rPr>
          <w:bCs/>
          <w:sz w:val="22"/>
          <w:szCs w:val="22"/>
          <w:u w:val="single"/>
          <w:lang w:val="sr-Latn-ME"/>
        </w:rPr>
      </w:pPr>
    </w:p>
    <w:p w14:paraId="771F8984" w14:textId="77777777" w:rsidR="000C7302" w:rsidRPr="005436C8" w:rsidRDefault="00166973" w:rsidP="005436C8">
      <w:pPr>
        <w:tabs>
          <w:tab w:val="left" w:pos="284"/>
        </w:tabs>
        <w:jc w:val="both"/>
        <w:rPr>
          <w:color w:val="000000"/>
          <w:sz w:val="22"/>
          <w:szCs w:val="22"/>
          <w:lang w:val="sr-Latn-ME"/>
        </w:rPr>
      </w:pPr>
      <w:r w:rsidRPr="005436C8">
        <w:rPr>
          <w:noProof/>
          <w:color w:val="000000"/>
          <w:sz w:val="22"/>
          <w:szCs w:val="22"/>
          <w:lang w:val="sr-Latn-ME"/>
        </w:rPr>
        <w:lastRenderedPageBreak/>
        <w:t>Lijek</w:t>
      </w:r>
      <w:r w:rsidR="000C7302" w:rsidRPr="005436C8">
        <w:rPr>
          <w:noProof/>
          <w:color w:val="000000"/>
          <w:sz w:val="22"/>
          <w:szCs w:val="22"/>
          <w:lang w:val="sr-Latn-ME"/>
        </w:rPr>
        <w:t xml:space="preserve"> Phesgo</w:t>
      </w:r>
      <w:r w:rsidR="000C7302" w:rsidRPr="005436C8">
        <w:rPr>
          <w:color w:val="000000"/>
          <w:sz w:val="22"/>
          <w:szCs w:val="22"/>
          <w:lang w:val="sr-Latn-ME"/>
        </w:rPr>
        <w:t xml:space="preserve"> se prim</w:t>
      </w:r>
      <w:r w:rsidR="003F5654" w:rsidRPr="005436C8">
        <w:rPr>
          <w:color w:val="000000"/>
          <w:sz w:val="22"/>
          <w:szCs w:val="22"/>
          <w:lang w:val="sr-Latn-ME"/>
        </w:rPr>
        <w:t>j</w:t>
      </w:r>
      <w:r w:rsidR="000C7302" w:rsidRPr="005436C8">
        <w:rPr>
          <w:color w:val="000000"/>
          <w:sz w:val="22"/>
          <w:szCs w:val="22"/>
          <w:lang w:val="sr-Latn-ME"/>
        </w:rPr>
        <w:t xml:space="preserve">enjuje isključivo kao </w:t>
      </w:r>
      <w:r w:rsidR="00115EBA" w:rsidRPr="005436C8">
        <w:rPr>
          <w:color w:val="000000"/>
          <w:sz w:val="22"/>
          <w:szCs w:val="22"/>
          <w:lang w:val="sr-Latn-ME"/>
        </w:rPr>
        <w:t>subkutan</w:t>
      </w:r>
      <w:r w:rsidR="000C7302" w:rsidRPr="005436C8">
        <w:rPr>
          <w:color w:val="000000"/>
          <w:sz w:val="22"/>
          <w:szCs w:val="22"/>
          <w:lang w:val="sr-Latn-ME"/>
        </w:rPr>
        <w:t xml:space="preserve">a injekcija. </w:t>
      </w:r>
      <w:r w:rsidRPr="005436C8">
        <w:rPr>
          <w:color w:val="000000"/>
          <w:sz w:val="22"/>
          <w:szCs w:val="22"/>
          <w:lang w:val="sr-Latn-ME"/>
        </w:rPr>
        <w:t>Lijek</w:t>
      </w:r>
      <w:r w:rsidR="000C7302" w:rsidRPr="005436C8">
        <w:rPr>
          <w:color w:val="000000"/>
          <w:sz w:val="22"/>
          <w:szCs w:val="22"/>
          <w:lang w:val="sr-Latn-ME"/>
        </w:rPr>
        <w:t xml:space="preserve"> </w:t>
      </w:r>
      <w:r w:rsidR="000C7302" w:rsidRPr="005436C8">
        <w:rPr>
          <w:noProof/>
          <w:color w:val="000000"/>
          <w:sz w:val="22"/>
          <w:szCs w:val="22"/>
          <w:lang w:val="sr-Latn-ME"/>
        </w:rPr>
        <w:t>Phesgo</w:t>
      </w:r>
      <w:r w:rsidR="000C7302" w:rsidRPr="005436C8">
        <w:rPr>
          <w:color w:val="000000"/>
          <w:sz w:val="22"/>
          <w:szCs w:val="22"/>
          <w:lang w:val="sr-Latn-ME"/>
        </w:rPr>
        <w:t xml:space="preserve"> nije </w:t>
      </w:r>
      <w:r w:rsidR="00EE66E8" w:rsidRPr="005436C8">
        <w:rPr>
          <w:color w:val="000000"/>
          <w:sz w:val="22"/>
          <w:szCs w:val="22"/>
          <w:lang w:val="sr-Latn-ME"/>
        </w:rPr>
        <w:t>nam</w:t>
      </w:r>
      <w:r w:rsidR="003F5654" w:rsidRPr="005436C8">
        <w:rPr>
          <w:color w:val="000000"/>
          <w:sz w:val="22"/>
          <w:szCs w:val="22"/>
          <w:lang w:val="sr-Latn-ME"/>
        </w:rPr>
        <w:t>i</w:t>
      </w:r>
      <w:r w:rsidR="00EE66E8" w:rsidRPr="005436C8">
        <w:rPr>
          <w:color w:val="000000"/>
          <w:sz w:val="22"/>
          <w:szCs w:val="22"/>
          <w:lang w:val="sr-Latn-ME"/>
        </w:rPr>
        <w:t>jenjen</w:t>
      </w:r>
      <w:r w:rsidR="000C7302" w:rsidRPr="005436C8">
        <w:rPr>
          <w:color w:val="000000"/>
          <w:sz w:val="22"/>
          <w:szCs w:val="22"/>
          <w:lang w:val="sr-Latn-ME"/>
        </w:rPr>
        <w:t xml:space="preserve"> za intravensku </w:t>
      </w:r>
      <w:r w:rsidR="00097926" w:rsidRPr="005436C8">
        <w:rPr>
          <w:color w:val="000000"/>
          <w:sz w:val="22"/>
          <w:szCs w:val="22"/>
          <w:lang w:val="sr-Latn-ME"/>
        </w:rPr>
        <w:t>primjenu</w:t>
      </w:r>
      <w:r w:rsidR="000C7302" w:rsidRPr="005436C8">
        <w:rPr>
          <w:color w:val="000000"/>
          <w:sz w:val="22"/>
          <w:szCs w:val="22"/>
          <w:lang w:val="sr-Latn-ME"/>
        </w:rPr>
        <w:t xml:space="preserve">. </w:t>
      </w:r>
    </w:p>
    <w:p w14:paraId="0FEB88AA" w14:textId="77777777" w:rsidR="000C7302" w:rsidRPr="005436C8" w:rsidRDefault="000C7302" w:rsidP="005436C8">
      <w:pPr>
        <w:tabs>
          <w:tab w:val="left" w:pos="284"/>
        </w:tabs>
        <w:jc w:val="both"/>
        <w:rPr>
          <w:color w:val="000000"/>
          <w:sz w:val="22"/>
          <w:szCs w:val="22"/>
          <w:lang w:val="sr-Latn-ME"/>
        </w:rPr>
      </w:pPr>
    </w:p>
    <w:p w14:paraId="59E69109"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Injekciju treba </w:t>
      </w:r>
      <w:r w:rsidR="00BC7CBF" w:rsidRPr="005436C8">
        <w:rPr>
          <w:color w:val="000000"/>
          <w:sz w:val="22"/>
          <w:szCs w:val="22"/>
          <w:lang w:val="sr-Latn-ME"/>
        </w:rPr>
        <w:t>primjenjivati</w:t>
      </w:r>
      <w:r w:rsidRPr="005436C8">
        <w:rPr>
          <w:color w:val="000000"/>
          <w:sz w:val="22"/>
          <w:szCs w:val="22"/>
          <w:lang w:val="sr-Latn-ME"/>
        </w:rPr>
        <w:t xml:space="preserve"> naizm</w:t>
      </w:r>
      <w:r w:rsidR="00EE66E8" w:rsidRPr="005436C8">
        <w:rPr>
          <w:color w:val="000000"/>
          <w:sz w:val="22"/>
          <w:szCs w:val="22"/>
          <w:lang w:val="sr-Latn-ME"/>
        </w:rPr>
        <w:t>j</w:t>
      </w:r>
      <w:r w:rsidRPr="005436C8">
        <w:rPr>
          <w:color w:val="000000"/>
          <w:sz w:val="22"/>
          <w:szCs w:val="22"/>
          <w:lang w:val="sr-Latn-ME"/>
        </w:rPr>
        <w:t>enično u l</w:t>
      </w:r>
      <w:r w:rsidR="00EE66E8" w:rsidRPr="005436C8">
        <w:rPr>
          <w:color w:val="000000"/>
          <w:sz w:val="22"/>
          <w:szCs w:val="22"/>
          <w:lang w:val="sr-Latn-ME"/>
        </w:rPr>
        <w:t>ij</w:t>
      </w:r>
      <w:r w:rsidRPr="005436C8">
        <w:rPr>
          <w:color w:val="000000"/>
          <w:sz w:val="22"/>
          <w:szCs w:val="22"/>
          <w:lang w:val="sr-Latn-ME"/>
        </w:rPr>
        <w:t>evu, pa u desnu butinu. Naredne injekcije treba davati najmanje 2,5 cm od m</w:t>
      </w:r>
      <w:r w:rsidR="002700CC" w:rsidRPr="005436C8">
        <w:rPr>
          <w:color w:val="000000"/>
          <w:sz w:val="22"/>
          <w:szCs w:val="22"/>
          <w:lang w:val="sr-Latn-ME"/>
        </w:rPr>
        <w:t>j</w:t>
      </w:r>
      <w:r w:rsidRPr="005436C8">
        <w:rPr>
          <w:color w:val="000000"/>
          <w:sz w:val="22"/>
          <w:szCs w:val="22"/>
          <w:lang w:val="sr-Latn-ME"/>
        </w:rPr>
        <w:t xml:space="preserve">esta </w:t>
      </w:r>
      <w:r w:rsidR="00A21698" w:rsidRPr="005436C8">
        <w:rPr>
          <w:color w:val="000000"/>
          <w:sz w:val="22"/>
          <w:szCs w:val="22"/>
          <w:lang w:val="sr-Latn-ME"/>
        </w:rPr>
        <w:t>primjene</w:t>
      </w:r>
      <w:r w:rsidRPr="005436C8">
        <w:rPr>
          <w:color w:val="000000"/>
          <w:sz w:val="22"/>
          <w:szCs w:val="22"/>
          <w:lang w:val="sr-Latn-ME"/>
        </w:rPr>
        <w:t xml:space="preserve"> prethodne injekcije, u zdravu kožu, a nikada u područja na kojima je koža crvena, prekrivena modricama, os</w:t>
      </w:r>
      <w:r w:rsidR="00EE66E8" w:rsidRPr="005436C8">
        <w:rPr>
          <w:color w:val="000000"/>
          <w:sz w:val="22"/>
          <w:szCs w:val="22"/>
          <w:lang w:val="sr-Latn-ME"/>
        </w:rPr>
        <w:t>j</w:t>
      </w:r>
      <w:r w:rsidRPr="005436C8">
        <w:rPr>
          <w:color w:val="000000"/>
          <w:sz w:val="22"/>
          <w:szCs w:val="22"/>
          <w:lang w:val="sr-Latn-ME"/>
        </w:rPr>
        <w:t>etljiva na dodir ili tvrda. Dozu ne treba d</w:t>
      </w:r>
      <w:r w:rsidR="00CC4053" w:rsidRPr="005436C8">
        <w:rPr>
          <w:color w:val="000000"/>
          <w:sz w:val="22"/>
          <w:szCs w:val="22"/>
          <w:lang w:val="sr-Latn-ME"/>
        </w:rPr>
        <w:t>i</w:t>
      </w:r>
      <w:r w:rsidR="00EE66E8" w:rsidRPr="005436C8">
        <w:rPr>
          <w:color w:val="000000"/>
          <w:sz w:val="22"/>
          <w:szCs w:val="22"/>
          <w:lang w:val="sr-Latn-ME"/>
        </w:rPr>
        <w:t>j</w:t>
      </w:r>
      <w:r w:rsidRPr="005436C8">
        <w:rPr>
          <w:color w:val="000000"/>
          <w:sz w:val="22"/>
          <w:szCs w:val="22"/>
          <w:lang w:val="sr-Latn-ME"/>
        </w:rPr>
        <w:t>eliti u dva šprica niti davati u dva m</w:t>
      </w:r>
      <w:r w:rsidR="00EE66E8" w:rsidRPr="005436C8">
        <w:rPr>
          <w:color w:val="000000"/>
          <w:sz w:val="22"/>
          <w:szCs w:val="22"/>
          <w:lang w:val="sr-Latn-ME"/>
        </w:rPr>
        <w:t>j</w:t>
      </w:r>
      <w:r w:rsidRPr="005436C8">
        <w:rPr>
          <w:color w:val="000000"/>
          <w:sz w:val="22"/>
          <w:szCs w:val="22"/>
          <w:lang w:val="sr-Latn-ME"/>
        </w:rPr>
        <w:t xml:space="preserve">esta. Tokom terapije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poželjno je injekcije drugih </w:t>
      </w:r>
      <w:r w:rsidR="00166973" w:rsidRPr="005436C8">
        <w:rPr>
          <w:color w:val="000000"/>
          <w:sz w:val="22"/>
          <w:szCs w:val="22"/>
          <w:lang w:val="sr-Latn-ME"/>
        </w:rPr>
        <w:t>ljek</w:t>
      </w:r>
      <w:r w:rsidRPr="005436C8">
        <w:rPr>
          <w:color w:val="000000"/>
          <w:sz w:val="22"/>
          <w:szCs w:val="22"/>
          <w:lang w:val="sr-Latn-ME"/>
        </w:rPr>
        <w:t xml:space="preserve">ova za </w:t>
      </w:r>
      <w:r w:rsidR="00115EBA" w:rsidRPr="005436C8">
        <w:rPr>
          <w:color w:val="000000"/>
          <w:sz w:val="22"/>
          <w:szCs w:val="22"/>
          <w:lang w:val="sr-Latn-ME"/>
        </w:rPr>
        <w:t>subkutan</w:t>
      </w:r>
      <w:r w:rsidRPr="005436C8">
        <w:rPr>
          <w:color w:val="000000"/>
          <w:sz w:val="22"/>
          <w:szCs w:val="22"/>
          <w:lang w:val="sr-Latn-ME"/>
        </w:rPr>
        <w:t xml:space="preserve">u </w:t>
      </w:r>
      <w:r w:rsidR="00097926" w:rsidRPr="005436C8">
        <w:rPr>
          <w:color w:val="000000"/>
          <w:sz w:val="22"/>
          <w:szCs w:val="22"/>
          <w:lang w:val="sr-Latn-ME"/>
        </w:rPr>
        <w:t>primjenu</w:t>
      </w:r>
      <w:r w:rsidRPr="005436C8">
        <w:rPr>
          <w:color w:val="000000"/>
          <w:sz w:val="22"/>
          <w:szCs w:val="22"/>
          <w:lang w:val="sr-Latn-ME"/>
        </w:rPr>
        <w:t xml:space="preserve"> davati u druga m</w:t>
      </w:r>
      <w:r w:rsidR="00EE66E8" w:rsidRPr="005436C8">
        <w:rPr>
          <w:color w:val="000000"/>
          <w:sz w:val="22"/>
          <w:szCs w:val="22"/>
          <w:lang w:val="sr-Latn-ME"/>
        </w:rPr>
        <w:t>j</w:t>
      </w:r>
      <w:r w:rsidRPr="005436C8">
        <w:rPr>
          <w:color w:val="000000"/>
          <w:sz w:val="22"/>
          <w:szCs w:val="22"/>
          <w:lang w:val="sr-Latn-ME"/>
        </w:rPr>
        <w:t xml:space="preserve">esta. </w:t>
      </w:r>
    </w:p>
    <w:p w14:paraId="7D56F7B5" w14:textId="77777777" w:rsidR="000C7302" w:rsidRPr="005436C8" w:rsidRDefault="000C7302" w:rsidP="005436C8">
      <w:pPr>
        <w:tabs>
          <w:tab w:val="left" w:pos="284"/>
        </w:tabs>
        <w:jc w:val="both"/>
        <w:rPr>
          <w:color w:val="000000"/>
          <w:sz w:val="22"/>
          <w:szCs w:val="22"/>
          <w:lang w:val="sr-Latn-ME"/>
        </w:rPr>
      </w:pPr>
    </w:p>
    <w:p w14:paraId="0C69DB1C"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Početnu dozu treba prim</w:t>
      </w:r>
      <w:r w:rsidR="00CC4053" w:rsidRPr="005436C8">
        <w:rPr>
          <w:color w:val="000000"/>
          <w:sz w:val="22"/>
          <w:szCs w:val="22"/>
          <w:lang w:val="sr-Latn-ME"/>
        </w:rPr>
        <w:t>i</w:t>
      </w:r>
      <w:r w:rsidR="00EE66E8" w:rsidRPr="005436C8">
        <w:rPr>
          <w:color w:val="000000"/>
          <w:sz w:val="22"/>
          <w:szCs w:val="22"/>
          <w:lang w:val="sr-Latn-ME"/>
        </w:rPr>
        <w:t>j</w:t>
      </w:r>
      <w:r w:rsidRPr="005436C8">
        <w:rPr>
          <w:color w:val="000000"/>
          <w:sz w:val="22"/>
          <w:szCs w:val="22"/>
          <w:lang w:val="sr-Latn-ME"/>
        </w:rPr>
        <w:t>eniti tokom 8 minuta, a dozu održavanja tokom 5 minuta.</w:t>
      </w:r>
    </w:p>
    <w:p w14:paraId="54077A7E" w14:textId="77777777" w:rsidR="000C7302" w:rsidRPr="005436C8" w:rsidRDefault="000C7302" w:rsidP="005436C8">
      <w:pPr>
        <w:tabs>
          <w:tab w:val="left" w:pos="284"/>
        </w:tabs>
        <w:jc w:val="both"/>
        <w:rPr>
          <w:color w:val="000000"/>
          <w:sz w:val="22"/>
          <w:szCs w:val="22"/>
          <w:lang w:val="sr-Latn-ME"/>
        </w:rPr>
      </w:pPr>
    </w:p>
    <w:p w14:paraId="3DF30BE4" w14:textId="3D404735" w:rsidR="000C7302" w:rsidRPr="005436C8" w:rsidRDefault="000C7302" w:rsidP="005436C8">
      <w:pPr>
        <w:tabs>
          <w:tab w:val="left" w:pos="284"/>
        </w:tabs>
        <w:autoSpaceDE w:val="0"/>
        <w:autoSpaceDN w:val="0"/>
        <w:adjustRightInd w:val="0"/>
        <w:jc w:val="both"/>
        <w:rPr>
          <w:color w:val="000000"/>
          <w:sz w:val="22"/>
          <w:szCs w:val="22"/>
          <w:lang w:val="sr-Latn-ME"/>
        </w:rPr>
      </w:pPr>
      <w:bookmarkStart w:id="0" w:name="OLE_LINK3"/>
      <w:bookmarkStart w:id="1" w:name="OLE_LINK4"/>
      <w:r w:rsidRPr="005436C8">
        <w:rPr>
          <w:color w:val="000000"/>
          <w:sz w:val="22"/>
          <w:szCs w:val="22"/>
          <w:lang w:val="sr-Latn-ME"/>
        </w:rPr>
        <w:t>Zbog mogućih reakcija na injekciju</w:t>
      </w:r>
      <w:r w:rsidR="00CC4053" w:rsidRPr="005436C8">
        <w:rPr>
          <w:color w:val="000000"/>
          <w:sz w:val="22"/>
          <w:szCs w:val="22"/>
          <w:lang w:val="sr-Latn-ME"/>
        </w:rPr>
        <w:t>,</w:t>
      </w:r>
      <w:r w:rsidRPr="005436C8">
        <w:rPr>
          <w:color w:val="000000"/>
          <w:sz w:val="22"/>
          <w:szCs w:val="22"/>
          <w:lang w:val="sr-Latn-ME"/>
        </w:rPr>
        <w:t xml:space="preserve"> preporučuje se period posmatranja od 30 minuta nakon završetka </w:t>
      </w:r>
      <w:r w:rsidR="00A21698" w:rsidRPr="005436C8">
        <w:rPr>
          <w:color w:val="000000"/>
          <w:sz w:val="22"/>
          <w:szCs w:val="22"/>
          <w:lang w:val="sr-Latn-ME"/>
        </w:rPr>
        <w:t>primjene</w:t>
      </w:r>
      <w:r w:rsidRPr="005436C8">
        <w:rPr>
          <w:color w:val="000000"/>
          <w:sz w:val="22"/>
          <w:szCs w:val="22"/>
          <w:lang w:val="sr-Latn-ME"/>
        </w:rPr>
        <w:t xml:space="preserve"> udarne doze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 15 minuta nakon završetka </w:t>
      </w:r>
      <w:r w:rsidR="00A21698" w:rsidRPr="005436C8">
        <w:rPr>
          <w:color w:val="000000"/>
          <w:sz w:val="22"/>
          <w:szCs w:val="22"/>
          <w:lang w:val="sr-Latn-ME"/>
        </w:rPr>
        <w:t>primjene</w:t>
      </w:r>
      <w:r w:rsidRPr="005436C8">
        <w:rPr>
          <w:color w:val="000000"/>
          <w:sz w:val="22"/>
          <w:szCs w:val="22"/>
          <w:lang w:val="sr-Latn-ME"/>
        </w:rPr>
        <w:t xml:space="preserve"> doze održavanja (pogledati </w:t>
      </w:r>
      <w:r w:rsidR="009B712A">
        <w:rPr>
          <w:color w:val="000000"/>
          <w:sz w:val="22"/>
          <w:szCs w:val="22"/>
          <w:lang w:val="sr-Latn-ME"/>
        </w:rPr>
        <w:t>djelove</w:t>
      </w:r>
      <w:r w:rsidRPr="005436C8">
        <w:rPr>
          <w:color w:val="000000"/>
          <w:sz w:val="22"/>
          <w:szCs w:val="22"/>
          <w:lang w:val="sr-Latn-ME"/>
        </w:rPr>
        <w:t xml:space="preserve"> 4.4 i 4.8).</w:t>
      </w:r>
      <w:bookmarkEnd w:id="0"/>
      <w:bookmarkEnd w:id="1"/>
    </w:p>
    <w:p w14:paraId="301BF4AF"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3B86A2A9" w14:textId="77777777" w:rsidR="000C7302" w:rsidRPr="005436C8" w:rsidRDefault="000C7302" w:rsidP="005436C8">
      <w:pPr>
        <w:keepNext/>
        <w:keepLines/>
        <w:shd w:val="clear" w:color="auto" w:fill="FFFFFF"/>
        <w:tabs>
          <w:tab w:val="left" w:pos="284"/>
        </w:tabs>
        <w:jc w:val="both"/>
        <w:rPr>
          <w:bCs/>
          <w:i/>
          <w:iCs/>
          <w:color w:val="000000"/>
          <w:sz w:val="22"/>
          <w:szCs w:val="22"/>
          <w:u w:val="single"/>
          <w:lang w:val="sr-Latn-ME"/>
        </w:rPr>
      </w:pPr>
      <w:r w:rsidRPr="005436C8">
        <w:rPr>
          <w:i/>
          <w:iCs/>
          <w:color w:val="000000"/>
          <w:sz w:val="22"/>
          <w:szCs w:val="22"/>
          <w:u w:val="single"/>
          <w:lang w:val="sr-Latn-ME"/>
        </w:rPr>
        <w:t xml:space="preserve">Reakcije povezane sa injekcijom </w:t>
      </w:r>
    </w:p>
    <w:p w14:paraId="371AF301" w14:textId="063C74CD" w:rsidR="000C7302" w:rsidRPr="005436C8" w:rsidRDefault="000C7302" w:rsidP="005436C8">
      <w:pPr>
        <w:keepNext/>
        <w:keepLines/>
        <w:shd w:val="clear" w:color="auto" w:fill="FFFFFF"/>
        <w:tabs>
          <w:tab w:val="left" w:pos="284"/>
        </w:tabs>
        <w:jc w:val="both"/>
        <w:rPr>
          <w:bCs/>
          <w:iCs/>
          <w:color w:val="000000"/>
          <w:sz w:val="22"/>
          <w:szCs w:val="22"/>
          <w:lang w:val="sr-Latn-ME"/>
        </w:rPr>
      </w:pPr>
      <w:r w:rsidRPr="005436C8">
        <w:rPr>
          <w:color w:val="000000"/>
          <w:sz w:val="22"/>
          <w:szCs w:val="22"/>
          <w:lang w:val="sr-Latn-ME"/>
        </w:rPr>
        <w:t xml:space="preserve">Ako se kod pacijenta jave simptomi povezani sa injekcijom, može se smanjiti brzina injekcije ili </w:t>
      </w:r>
      <w:r w:rsidR="00517645" w:rsidRPr="005436C8">
        <w:rPr>
          <w:color w:val="000000"/>
          <w:sz w:val="22"/>
          <w:szCs w:val="22"/>
          <w:lang w:val="sr-Latn-ME"/>
        </w:rPr>
        <w:t>privremeno</w:t>
      </w:r>
      <w:r w:rsidRPr="005436C8">
        <w:rPr>
          <w:color w:val="000000"/>
          <w:sz w:val="22"/>
          <w:szCs w:val="22"/>
          <w:lang w:val="sr-Latn-ME"/>
        </w:rPr>
        <w:t xml:space="preserve"> prekinuti njena </w:t>
      </w:r>
      <w:r w:rsidR="00A21698" w:rsidRPr="005436C8">
        <w:rPr>
          <w:color w:val="000000"/>
          <w:sz w:val="22"/>
          <w:szCs w:val="22"/>
          <w:lang w:val="sr-Latn-ME"/>
        </w:rPr>
        <w:t>primjena</w:t>
      </w:r>
      <w:r w:rsidRPr="005436C8">
        <w:rPr>
          <w:color w:val="000000"/>
          <w:sz w:val="22"/>
          <w:szCs w:val="22"/>
          <w:lang w:val="sr-Latn-ME"/>
        </w:rPr>
        <w:t xml:space="preserve"> (pogledati </w:t>
      </w:r>
      <w:r w:rsidR="009B712A">
        <w:rPr>
          <w:color w:val="000000"/>
          <w:sz w:val="22"/>
          <w:szCs w:val="22"/>
          <w:lang w:val="sr-Latn-ME"/>
        </w:rPr>
        <w:t>djelove</w:t>
      </w:r>
      <w:r w:rsidRPr="005436C8">
        <w:rPr>
          <w:color w:val="000000"/>
          <w:sz w:val="22"/>
          <w:szCs w:val="22"/>
          <w:lang w:val="sr-Latn-ME"/>
        </w:rPr>
        <w:t xml:space="preserve"> 4.4 i 4.8). Ublažavanju sistemskih simptoma može doprin</w:t>
      </w:r>
      <w:r w:rsidR="00517645" w:rsidRPr="005436C8">
        <w:rPr>
          <w:color w:val="000000"/>
          <w:sz w:val="22"/>
          <w:szCs w:val="22"/>
          <w:lang w:val="sr-Latn-ME"/>
        </w:rPr>
        <w:t>ij</w:t>
      </w:r>
      <w:r w:rsidRPr="005436C8">
        <w:rPr>
          <w:color w:val="000000"/>
          <w:sz w:val="22"/>
          <w:szCs w:val="22"/>
          <w:lang w:val="sr-Latn-ME"/>
        </w:rPr>
        <w:t>eti terapija kiseonikom, beta agonistima, antihistaminicima, brzom intravenskom nadoknadom tečnosti i antipireticima.</w:t>
      </w:r>
    </w:p>
    <w:p w14:paraId="1FE93D64" w14:textId="77777777" w:rsidR="000C7302" w:rsidRPr="005436C8" w:rsidRDefault="000C7302" w:rsidP="005436C8">
      <w:pPr>
        <w:shd w:val="clear" w:color="auto" w:fill="FFFFFF"/>
        <w:tabs>
          <w:tab w:val="left" w:pos="284"/>
        </w:tabs>
        <w:jc w:val="both"/>
        <w:rPr>
          <w:bCs/>
          <w:iCs/>
          <w:color w:val="000000"/>
          <w:sz w:val="22"/>
          <w:szCs w:val="22"/>
          <w:lang w:val="sr-Latn-ME"/>
        </w:rPr>
      </w:pPr>
    </w:p>
    <w:p w14:paraId="51E4D881" w14:textId="77777777" w:rsidR="000C7302" w:rsidRPr="005436C8" w:rsidRDefault="000C7302" w:rsidP="005436C8">
      <w:pPr>
        <w:shd w:val="clear" w:color="auto" w:fill="FFFFFF"/>
        <w:tabs>
          <w:tab w:val="left" w:pos="284"/>
        </w:tabs>
        <w:jc w:val="both"/>
        <w:rPr>
          <w:bCs/>
          <w:iCs/>
          <w:color w:val="000000"/>
          <w:sz w:val="22"/>
          <w:szCs w:val="22"/>
          <w:u w:val="single"/>
          <w:lang w:val="sr-Latn-ME"/>
        </w:rPr>
      </w:pPr>
      <w:r w:rsidRPr="005436C8">
        <w:rPr>
          <w:i/>
          <w:iCs/>
          <w:color w:val="000000"/>
          <w:sz w:val="22"/>
          <w:szCs w:val="22"/>
          <w:u w:val="single"/>
          <w:lang w:val="sr-Latn-ME"/>
        </w:rPr>
        <w:t xml:space="preserve">Reakcije </w:t>
      </w:r>
      <w:r w:rsidR="00362B4E" w:rsidRPr="005436C8">
        <w:rPr>
          <w:i/>
          <w:iCs/>
          <w:color w:val="000000"/>
          <w:sz w:val="22"/>
          <w:szCs w:val="22"/>
          <w:u w:val="single"/>
          <w:lang w:val="sr-Latn-ME"/>
        </w:rPr>
        <w:t>preosjetljivost</w:t>
      </w:r>
      <w:r w:rsidRPr="005436C8">
        <w:rPr>
          <w:i/>
          <w:iCs/>
          <w:color w:val="000000"/>
          <w:sz w:val="22"/>
          <w:szCs w:val="22"/>
          <w:u w:val="single"/>
          <w:lang w:val="sr-Latn-ME"/>
        </w:rPr>
        <w:t>i/anafilaksa</w:t>
      </w:r>
    </w:p>
    <w:p w14:paraId="5352A906" w14:textId="56F91449"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Injekciju treba odmah i trajno prekinuti ukoliko se kod pacijenta javi reakcija 4. gradusa prema NCI-CTCAE klasifikaciji (anafilaksa), bronhospazam ili sindrom akutnog respiratornog distresa (pogledati </w:t>
      </w:r>
      <w:r w:rsidR="009B712A">
        <w:rPr>
          <w:color w:val="000000"/>
          <w:sz w:val="22"/>
          <w:szCs w:val="22"/>
          <w:lang w:val="sr-Latn-ME"/>
        </w:rPr>
        <w:t>djelove</w:t>
      </w:r>
      <w:r w:rsidRPr="005436C8">
        <w:rPr>
          <w:color w:val="000000"/>
          <w:sz w:val="22"/>
          <w:szCs w:val="22"/>
          <w:lang w:val="sr-Latn-ME"/>
        </w:rPr>
        <w:t xml:space="preserve"> 4.4 i 4.8).</w:t>
      </w:r>
    </w:p>
    <w:p w14:paraId="252B350E"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059F26D1" w14:textId="1008B35B"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Za uputstva o upotrebi i rukovanju </w:t>
      </w:r>
      <w:r w:rsidR="00166973" w:rsidRPr="005436C8">
        <w:rPr>
          <w:color w:val="000000"/>
          <w:sz w:val="22"/>
          <w:szCs w:val="22"/>
          <w:lang w:val="sr-Latn-ME"/>
        </w:rPr>
        <w:t>lijek</w:t>
      </w:r>
      <w:r w:rsidRPr="005436C8">
        <w:rPr>
          <w:color w:val="000000"/>
          <w:sz w:val="22"/>
          <w:szCs w:val="22"/>
          <w:lang w:val="sr-Latn-ME"/>
        </w:rPr>
        <w:t>om pr</w:t>
      </w:r>
      <w:r w:rsidR="00517645" w:rsidRPr="005436C8">
        <w:rPr>
          <w:color w:val="000000"/>
          <w:sz w:val="22"/>
          <w:szCs w:val="22"/>
          <w:lang w:val="sr-Latn-ME"/>
        </w:rPr>
        <w:t>ij</w:t>
      </w:r>
      <w:r w:rsidRPr="005436C8">
        <w:rPr>
          <w:color w:val="000000"/>
          <w:sz w:val="22"/>
          <w:szCs w:val="22"/>
          <w:lang w:val="sr-Latn-ME"/>
        </w:rPr>
        <w:t xml:space="preserve">e </w:t>
      </w:r>
      <w:r w:rsidR="00A21698" w:rsidRPr="005436C8">
        <w:rPr>
          <w:color w:val="000000"/>
          <w:sz w:val="22"/>
          <w:szCs w:val="22"/>
          <w:lang w:val="sr-Latn-ME"/>
        </w:rPr>
        <w:t>primjene</w:t>
      </w:r>
      <w:r w:rsidR="00CC4053" w:rsidRPr="005436C8">
        <w:rPr>
          <w:color w:val="000000"/>
          <w:sz w:val="22"/>
          <w:szCs w:val="22"/>
          <w:lang w:val="sr-Latn-ME"/>
        </w:rPr>
        <w:t>,</w:t>
      </w:r>
      <w:r w:rsidRPr="005436C8">
        <w:rPr>
          <w:color w:val="000000"/>
          <w:sz w:val="22"/>
          <w:szCs w:val="22"/>
          <w:lang w:val="sr-Latn-ME"/>
        </w:rPr>
        <w:t xml:space="preserve"> </w:t>
      </w:r>
      <w:r w:rsidR="00CC4053" w:rsidRPr="005436C8">
        <w:rPr>
          <w:color w:val="000000"/>
          <w:sz w:val="22"/>
          <w:szCs w:val="22"/>
          <w:lang w:val="sr-Latn-ME"/>
        </w:rPr>
        <w:t xml:space="preserve">pogledati </w:t>
      </w:r>
      <w:r w:rsidR="009B712A">
        <w:rPr>
          <w:color w:val="000000"/>
          <w:sz w:val="22"/>
          <w:szCs w:val="22"/>
          <w:lang w:val="sr-Latn-ME"/>
        </w:rPr>
        <w:t>dio</w:t>
      </w:r>
      <w:r w:rsidRPr="005436C8">
        <w:rPr>
          <w:color w:val="000000"/>
          <w:sz w:val="22"/>
          <w:szCs w:val="22"/>
          <w:lang w:val="sr-Latn-ME"/>
        </w:rPr>
        <w:t xml:space="preserve"> 6.6.</w:t>
      </w:r>
    </w:p>
    <w:p w14:paraId="45A0D367" w14:textId="77777777" w:rsidR="00452E9D" w:rsidRPr="005436C8" w:rsidRDefault="00452E9D" w:rsidP="005436C8">
      <w:pPr>
        <w:tabs>
          <w:tab w:val="left" w:pos="540"/>
          <w:tab w:val="left" w:pos="569"/>
        </w:tabs>
        <w:rPr>
          <w:bCs/>
          <w:sz w:val="22"/>
          <w:szCs w:val="22"/>
          <w:lang w:val="sr-Latn-ME"/>
        </w:rPr>
      </w:pPr>
    </w:p>
    <w:p w14:paraId="45DAE817"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 xml:space="preserve">4.3. </w:t>
      </w:r>
      <w:r w:rsidR="00480FB1" w:rsidRPr="005436C8">
        <w:rPr>
          <w:b/>
          <w:bCs/>
          <w:sz w:val="22"/>
          <w:szCs w:val="22"/>
          <w:lang w:val="sr-Latn-ME"/>
        </w:rPr>
        <w:tab/>
      </w:r>
      <w:r w:rsidRPr="005436C8">
        <w:rPr>
          <w:b/>
          <w:bCs/>
          <w:sz w:val="22"/>
          <w:szCs w:val="22"/>
          <w:lang w:val="sr-Latn-ME"/>
        </w:rPr>
        <w:t>Kontraindikacije</w:t>
      </w:r>
    </w:p>
    <w:p w14:paraId="7A0693BE" w14:textId="77777777" w:rsidR="0072020E" w:rsidRPr="005436C8" w:rsidRDefault="0072020E" w:rsidP="005436C8">
      <w:pPr>
        <w:tabs>
          <w:tab w:val="left" w:pos="540"/>
          <w:tab w:val="left" w:pos="569"/>
        </w:tabs>
        <w:rPr>
          <w:bCs/>
          <w:sz w:val="22"/>
          <w:szCs w:val="22"/>
          <w:lang w:val="sr-Latn-ME"/>
        </w:rPr>
      </w:pPr>
    </w:p>
    <w:p w14:paraId="695ED49C" w14:textId="3BD292DA" w:rsidR="000C7302" w:rsidRPr="005436C8" w:rsidRDefault="00362B4E" w:rsidP="005436C8">
      <w:pPr>
        <w:tabs>
          <w:tab w:val="left" w:pos="284"/>
        </w:tabs>
        <w:jc w:val="both"/>
        <w:rPr>
          <w:noProof/>
          <w:color w:val="000000"/>
          <w:sz w:val="22"/>
          <w:szCs w:val="22"/>
          <w:lang w:val="sr-Latn-ME"/>
        </w:rPr>
      </w:pPr>
      <w:r w:rsidRPr="005436C8">
        <w:rPr>
          <w:noProof/>
          <w:color w:val="000000"/>
          <w:sz w:val="22"/>
          <w:szCs w:val="22"/>
          <w:lang w:val="sr-Latn-ME"/>
        </w:rPr>
        <w:t>Preosjetljivost</w:t>
      </w:r>
      <w:r w:rsidR="000C7302" w:rsidRPr="005436C8">
        <w:rPr>
          <w:noProof/>
          <w:color w:val="000000"/>
          <w:sz w:val="22"/>
          <w:szCs w:val="22"/>
          <w:lang w:val="sr-Latn-ME"/>
        </w:rPr>
        <w:t xml:space="preserve"> na aktivne supstance ili </w:t>
      </w:r>
      <w:r w:rsidR="00CD4BA3" w:rsidRPr="005436C8">
        <w:rPr>
          <w:noProof/>
          <w:color w:val="000000"/>
          <w:sz w:val="22"/>
          <w:szCs w:val="22"/>
          <w:lang w:val="sr-Latn-ME"/>
        </w:rPr>
        <w:t xml:space="preserve">na </w:t>
      </w:r>
      <w:r w:rsidR="000C7302" w:rsidRPr="005436C8">
        <w:rPr>
          <w:noProof/>
          <w:color w:val="000000"/>
          <w:sz w:val="22"/>
          <w:szCs w:val="22"/>
          <w:lang w:val="sr-Latn-ME"/>
        </w:rPr>
        <w:t xml:space="preserve">neku od pomoćnih supstanci navedenih u </w:t>
      </w:r>
      <w:r w:rsidR="009B712A">
        <w:rPr>
          <w:noProof/>
          <w:color w:val="000000"/>
          <w:sz w:val="22"/>
          <w:szCs w:val="22"/>
          <w:lang w:val="sr-Latn-ME"/>
        </w:rPr>
        <w:t>dijelu</w:t>
      </w:r>
      <w:r w:rsidR="000C7302" w:rsidRPr="005436C8">
        <w:rPr>
          <w:noProof/>
          <w:color w:val="000000"/>
          <w:sz w:val="22"/>
          <w:szCs w:val="22"/>
          <w:lang w:val="sr-Latn-ME"/>
        </w:rPr>
        <w:t xml:space="preserve"> 6.1.</w:t>
      </w:r>
    </w:p>
    <w:p w14:paraId="760F56C9" w14:textId="77777777" w:rsidR="000C7302" w:rsidRPr="005436C8" w:rsidRDefault="000C7302" w:rsidP="005436C8">
      <w:pPr>
        <w:tabs>
          <w:tab w:val="left" w:pos="540"/>
          <w:tab w:val="left" w:pos="569"/>
        </w:tabs>
        <w:rPr>
          <w:bCs/>
          <w:sz w:val="22"/>
          <w:szCs w:val="22"/>
          <w:lang w:val="sr-Latn-ME"/>
        </w:rPr>
      </w:pPr>
    </w:p>
    <w:p w14:paraId="45814F5C"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 xml:space="preserve">4.4. </w:t>
      </w:r>
      <w:r w:rsidR="00480FB1" w:rsidRPr="005436C8">
        <w:rPr>
          <w:b/>
          <w:bCs/>
          <w:sz w:val="22"/>
          <w:szCs w:val="22"/>
          <w:lang w:val="sr-Latn-ME"/>
        </w:rPr>
        <w:tab/>
      </w:r>
      <w:r w:rsidRPr="005436C8">
        <w:rPr>
          <w:b/>
          <w:bCs/>
          <w:sz w:val="22"/>
          <w:szCs w:val="22"/>
          <w:lang w:val="sr-Latn-ME"/>
        </w:rPr>
        <w:t>Posebna upozorenja i mjere opreza pri upotrebi lijeka</w:t>
      </w:r>
    </w:p>
    <w:p w14:paraId="0CCE5D75" w14:textId="77777777" w:rsidR="0072020E" w:rsidRPr="005436C8" w:rsidRDefault="0072020E" w:rsidP="005436C8">
      <w:pPr>
        <w:tabs>
          <w:tab w:val="left" w:pos="540"/>
          <w:tab w:val="left" w:pos="569"/>
        </w:tabs>
        <w:rPr>
          <w:bCs/>
          <w:sz w:val="22"/>
          <w:szCs w:val="22"/>
          <w:lang w:val="sr-Latn-ME"/>
        </w:rPr>
      </w:pPr>
    </w:p>
    <w:p w14:paraId="63E40D98" w14:textId="77777777" w:rsidR="000C7302" w:rsidRPr="005436C8" w:rsidRDefault="000C7302" w:rsidP="005436C8">
      <w:pPr>
        <w:keepNext/>
        <w:keepLines/>
        <w:tabs>
          <w:tab w:val="left" w:pos="284"/>
        </w:tabs>
        <w:jc w:val="both"/>
        <w:rPr>
          <w:noProof/>
          <w:color w:val="000000"/>
          <w:sz w:val="22"/>
          <w:szCs w:val="22"/>
          <w:u w:val="single"/>
          <w:lang w:val="sr-Latn-ME"/>
        </w:rPr>
      </w:pPr>
      <w:r w:rsidRPr="005436C8">
        <w:rPr>
          <w:noProof/>
          <w:color w:val="000000"/>
          <w:sz w:val="22"/>
          <w:szCs w:val="22"/>
          <w:u w:val="single"/>
          <w:lang w:val="sr-Latn-ME"/>
        </w:rPr>
        <w:t>Sl</w:t>
      </w:r>
      <w:r w:rsidR="005B791A" w:rsidRPr="005436C8">
        <w:rPr>
          <w:noProof/>
          <w:color w:val="000000"/>
          <w:sz w:val="22"/>
          <w:szCs w:val="22"/>
          <w:u w:val="single"/>
          <w:lang w:val="sr-Latn-ME"/>
        </w:rPr>
        <w:t>j</w:t>
      </w:r>
      <w:r w:rsidRPr="005436C8">
        <w:rPr>
          <w:noProof/>
          <w:color w:val="000000"/>
          <w:sz w:val="22"/>
          <w:szCs w:val="22"/>
          <w:u w:val="single"/>
          <w:lang w:val="sr-Latn-ME"/>
        </w:rPr>
        <w:t>edljivost</w:t>
      </w:r>
    </w:p>
    <w:p w14:paraId="3EEA73FC" w14:textId="77777777" w:rsidR="000C7302" w:rsidRPr="005436C8" w:rsidRDefault="000C7302" w:rsidP="005436C8">
      <w:pPr>
        <w:keepNext/>
        <w:keepLines/>
        <w:tabs>
          <w:tab w:val="left" w:pos="284"/>
        </w:tabs>
        <w:jc w:val="both"/>
        <w:rPr>
          <w:noProof/>
          <w:color w:val="000000"/>
          <w:sz w:val="22"/>
          <w:szCs w:val="22"/>
          <w:u w:val="single"/>
          <w:lang w:val="sr-Latn-ME"/>
        </w:rPr>
      </w:pPr>
    </w:p>
    <w:p w14:paraId="43705660" w14:textId="77777777" w:rsidR="000C7302" w:rsidRPr="005436C8" w:rsidRDefault="000C7302" w:rsidP="005436C8">
      <w:pPr>
        <w:tabs>
          <w:tab w:val="left" w:pos="284"/>
        </w:tabs>
        <w:jc w:val="both"/>
        <w:rPr>
          <w:noProof/>
          <w:color w:val="000000"/>
          <w:sz w:val="22"/>
          <w:szCs w:val="22"/>
          <w:lang w:val="sr-Latn-ME"/>
        </w:rPr>
      </w:pPr>
      <w:r w:rsidRPr="005436C8">
        <w:rPr>
          <w:color w:val="000000"/>
          <w:sz w:val="22"/>
          <w:szCs w:val="22"/>
          <w:lang w:val="sr-Latn-ME"/>
        </w:rPr>
        <w:t>Kako bi se poboljšala sl</w:t>
      </w:r>
      <w:r w:rsidR="005B791A" w:rsidRPr="005436C8">
        <w:rPr>
          <w:color w:val="000000"/>
          <w:sz w:val="22"/>
          <w:szCs w:val="22"/>
          <w:lang w:val="sr-Latn-ME"/>
        </w:rPr>
        <w:t>j</w:t>
      </w:r>
      <w:r w:rsidRPr="005436C8">
        <w:rPr>
          <w:color w:val="000000"/>
          <w:sz w:val="22"/>
          <w:szCs w:val="22"/>
          <w:lang w:val="sr-Latn-ME"/>
        </w:rPr>
        <w:t xml:space="preserve">edljivost bioloških </w:t>
      </w:r>
      <w:r w:rsidR="00FE754C" w:rsidRPr="005436C8">
        <w:rPr>
          <w:color w:val="000000"/>
          <w:sz w:val="22"/>
          <w:szCs w:val="22"/>
          <w:lang w:val="sr-Latn-ME"/>
        </w:rPr>
        <w:t>ljekov</w:t>
      </w:r>
      <w:r w:rsidRPr="005436C8">
        <w:rPr>
          <w:color w:val="000000"/>
          <w:sz w:val="22"/>
          <w:szCs w:val="22"/>
          <w:lang w:val="sr-Latn-ME"/>
        </w:rPr>
        <w:t>a, potrebno je jasno zab</w:t>
      </w:r>
      <w:r w:rsidR="002B37A8" w:rsidRPr="005436C8">
        <w:rPr>
          <w:color w:val="000000"/>
          <w:sz w:val="22"/>
          <w:szCs w:val="22"/>
          <w:lang w:val="sr-Latn-ME"/>
        </w:rPr>
        <w:t>ilj</w:t>
      </w:r>
      <w:r w:rsidRPr="005436C8">
        <w:rPr>
          <w:color w:val="000000"/>
          <w:sz w:val="22"/>
          <w:szCs w:val="22"/>
          <w:lang w:val="sr-Latn-ME"/>
        </w:rPr>
        <w:t xml:space="preserve">ežiti naziv i broj serije </w:t>
      </w:r>
      <w:r w:rsidR="00522BD8" w:rsidRPr="005436C8">
        <w:rPr>
          <w:color w:val="000000"/>
          <w:sz w:val="22"/>
          <w:szCs w:val="22"/>
          <w:lang w:val="sr-Latn-ME"/>
        </w:rPr>
        <w:t>prim</w:t>
      </w:r>
      <w:r w:rsidR="005B791A" w:rsidRPr="005436C8">
        <w:rPr>
          <w:color w:val="000000"/>
          <w:sz w:val="22"/>
          <w:szCs w:val="22"/>
          <w:lang w:val="sr-Latn-ME"/>
        </w:rPr>
        <w:t>i</w:t>
      </w:r>
      <w:r w:rsidR="00522BD8" w:rsidRPr="005436C8">
        <w:rPr>
          <w:color w:val="000000"/>
          <w:sz w:val="22"/>
          <w:szCs w:val="22"/>
          <w:lang w:val="sr-Latn-ME"/>
        </w:rPr>
        <w:t>jenjen</w:t>
      </w:r>
      <w:r w:rsidRPr="005436C8">
        <w:rPr>
          <w:color w:val="000000"/>
          <w:sz w:val="22"/>
          <w:szCs w:val="22"/>
          <w:lang w:val="sr-Latn-ME"/>
        </w:rPr>
        <w:t xml:space="preserve">og </w:t>
      </w:r>
      <w:r w:rsidR="00166973" w:rsidRPr="005436C8">
        <w:rPr>
          <w:color w:val="000000"/>
          <w:sz w:val="22"/>
          <w:szCs w:val="22"/>
          <w:lang w:val="sr-Latn-ME"/>
        </w:rPr>
        <w:t>lijek</w:t>
      </w:r>
      <w:r w:rsidRPr="005436C8">
        <w:rPr>
          <w:color w:val="000000"/>
          <w:sz w:val="22"/>
          <w:szCs w:val="22"/>
          <w:lang w:val="sr-Latn-ME"/>
        </w:rPr>
        <w:t>a</w:t>
      </w:r>
      <w:r w:rsidRPr="005436C8">
        <w:rPr>
          <w:noProof/>
          <w:color w:val="000000"/>
          <w:sz w:val="22"/>
          <w:szCs w:val="22"/>
          <w:lang w:val="sr-Latn-ME"/>
        </w:rPr>
        <w:t>.</w:t>
      </w:r>
    </w:p>
    <w:p w14:paraId="47AE73D2" w14:textId="77777777" w:rsidR="000C7302" w:rsidRPr="005436C8" w:rsidRDefault="000C7302" w:rsidP="005436C8">
      <w:pPr>
        <w:tabs>
          <w:tab w:val="left" w:pos="284"/>
        </w:tabs>
        <w:jc w:val="both"/>
        <w:rPr>
          <w:noProof/>
          <w:color w:val="000000"/>
          <w:sz w:val="22"/>
          <w:szCs w:val="22"/>
          <w:lang w:val="sr-Latn-ME"/>
        </w:rPr>
      </w:pPr>
    </w:p>
    <w:p w14:paraId="0A9E1C0E"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 xml:space="preserve">Disfunkcija </w:t>
      </w:r>
      <w:r w:rsidR="00EE66E8" w:rsidRPr="005436C8">
        <w:rPr>
          <w:noProof/>
          <w:color w:val="000000"/>
          <w:sz w:val="22"/>
          <w:szCs w:val="22"/>
          <w:u w:val="single"/>
          <w:lang w:val="sr-Latn-ME"/>
        </w:rPr>
        <w:t>lijeve</w:t>
      </w:r>
      <w:r w:rsidRPr="005436C8">
        <w:rPr>
          <w:noProof/>
          <w:color w:val="000000"/>
          <w:sz w:val="22"/>
          <w:szCs w:val="22"/>
          <w:u w:val="single"/>
          <w:lang w:val="sr-Latn-ME"/>
        </w:rPr>
        <w:t xml:space="preserve"> komore (uključujući kongestivnu srčanu insuficijenciju)</w:t>
      </w:r>
    </w:p>
    <w:p w14:paraId="6EA6F39D" w14:textId="77777777" w:rsidR="000C7302" w:rsidRPr="005436C8" w:rsidRDefault="000C7302" w:rsidP="005436C8">
      <w:pPr>
        <w:tabs>
          <w:tab w:val="left" w:pos="284"/>
        </w:tabs>
        <w:jc w:val="both"/>
        <w:rPr>
          <w:noProof/>
          <w:color w:val="000000"/>
          <w:sz w:val="22"/>
          <w:szCs w:val="22"/>
          <w:u w:val="single"/>
          <w:lang w:val="sr-Latn-ME"/>
        </w:rPr>
      </w:pPr>
    </w:p>
    <w:p w14:paraId="15DCC686" w14:textId="7C4BF96F"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Smanjenja LVEF zab</w:t>
      </w:r>
      <w:r w:rsidR="002B37A8" w:rsidRPr="005436C8">
        <w:rPr>
          <w:noProof/>
          <w:color w:val="000000"/>
          <w:sz w:val="22"/>
          <w:szCs w:val="22"/>
          <w:lang w:val="sr-Latn-ME"/>
        </w:rPr>
        <w:t>ilje</w:t>
      </w:r>
      <w:r w:rsidRPr="005436C8">
        <w:rPr>
          <w:noProof/>
          <w:color w:val="000000"/>
          <w:sz w:val="22"/>
          <w:szCs w:val="22"/>
          <w:lang w:val="sr-Latn-ME"/>
        </w:rPr>
        <w:t xml:space="preserve">žena su kod </w:t>
      </w:r>
      <w:r w:rsidR="00A21698" w:rsidRPr="005436C8">
        <w:rPr>
          <w:noProof/>
          <w:color w:val="000000"/>
          <w:sz w:val="22"/>
          <w:szCs w:val="22"/>
          <w:lang w:val="sr-Latn-ME"/>
        </w:rPr>
        <w:t>primjene</w:t>
      </w:r>
      <w:r w:rsidRPr="005436C8">
        <w:rPr>
          <w:noProof/>
          <w:color w:val="000000"/>
          <w:sz w:val="22"/>
          <w:szCs w:val="22"/>
          <w:lang w:val="sr-Latn-ME"/>
        </w:rPr>
        <w:t xml:space="preserve"> </w:t>
      </w:r>
      <w:r w:rsidR="00FE754C" w:rsidRPr="005436C8">
        <w:rPr>
          <w:noProof/>
          <w:color w:val="000000"/>
          <w:sz w:val="22"/>
          <w:szCs w:val="22"/>
          <w:lang w:val="sr-Latn-ME"/>
        </w:rPr>
        <w:t>ljekov</w:t>
      </w:r>
      <w:r w:rsidRPr="005436C8">
        <w:rPr>
          <w:noProof/>
          <w:color w:val="000000"/>
          <w:sz w:val="22"/>
          <w:szCs w:val="22"/>
          <w:lang w:val="sr-Latn-ME"/>
        </w:rPr>
        <w:t xml:space="preserve">a koji blokiraju aktivnost HER2 receptora, uključujući i pertuzumab i trastuzumab. Incidenca simptomatske sistolne disfunkcije </w:t>
      </w:r>
      <w:r w:rsidR="00EE66E8" w:rsidRPr="005436C8">
        <w:rPr>
          <w:noProof/>
          <w:color w:val="000000"/>
          <w:sz w:val="22"/>
          <w:szCs w:val="22"/>
          <w:lang w:val="sr-Latn-ME"/>
        </w:rPr>
        <w:t>lijeve</w:t>
      </w:r>
      <w:r w:rsidRPr="005436C8">
        <w:rPr>
          <w:noProof/>
          <w:color w:val="000000"/>
          <w:sz w:val="22"/>
          <w:szCs w:val="22"/>
          <w:lang w:val="sr-Latn-ME"/>
        </w:rPr>
        <w:t xml:space="preserve"> komore (kongestivna srčana insuficijencija) bila je viša kod pacijenata </w:t>
      </w:r>
      <w:r w:rsidR="00097926" w:rsidRPr="005436C8">
        <w:rPr>
          <w:noProof/>
          <w:color w:val="000000"/>
          <w:sz w:val="22"/>
          <w:szCs w:val="22"/>
          <w:lang w:val="sr-Latn-ME"/>
        </w:rPr>
        <w:t>liječeni</w:t>
      </w:r>
      <w:r w:rsidRPr="005436C8">
        <w:rPr>
          <w:noProof/>
          <w:color w:val="000000"/>
          <w:sz w:val="22"/>
          <w:szCs w:val="22"/>
          <w:lang w:val="sr-Latn-ME"/>
        </w:rPr>
        <w:t xml:space="preserve">h pertuzumabom u kombinaciji sa trastuzumabom i hemoterapijom nego kod onih koji su primali trastuzumab i hemoterapiju. </w:t>
      </w:r>
      <w:r w:rsidRPr="005436C8">
        <w:rPr>
          <w:color w:val="000000"/>
          <w:sz w:val="22"/>
          <w:szCs w:val="22"/>
          <w:lang w:val="sr-Latn-ME"/>
        </w:rPr>
        <w:t>U adjuvantim okolnostima, većina slučajeva simptomatske srčane insuficijencije zab</w:t>
      </w:r>
      <w:r w:rsidR="002B37A8" w:rsidRPr="005436C8">
        <w:rPr>
          <w:color w:val="000000"/>
          <w:sz w:val="22"/>
          <w:szCs w:val="22"/>
          <w:lang w:val="sr-Latn-ME"/>
        </w:rPr>
        <w:t>ilje</w:t>
      </w:r>
      <w:r w:rsidRPr="005436C8">
        <w:rPr>
          <w:color w:val="000000"/>
          <w:sz w:val="22"/>
          <w:szCs w:val="22"/>
          <w:lang w:val="sr-Latn-ME"/>
        </w:rPr>
        <w:t xml:space="preserve">žena je kod pacijenata koji su primali hemoterapiju na bazi antraciklina (pogledati </w:t>
      </w:r>
      <w:r w:rsidR="009B712A">
        <w:rPr>
          <w:color w:val="000000"/>
          <w:sz w:val="22"/>
          <w:szCs w:val="22"/>
          <w:lang w:val="sr-Latn-ME"/>
        </w:rPr>
        <w:t>dio</w:t>
      </w:r>
      <w:r w:rsidRPr="005436C8">
        <w:rPr>
          <w:color w:val="000000"/>
          <w:sz w:val="22"/>
          <w:szCs w:val="22"/>
          <w:lang w:val="sr-Latn-ME"/>
        </w:rPr>
        <w:t xml:space="preserve"> 4.8). Prema podacima iz studija sa intravenskim pertuzumabom u kombinaciji sa trastuzumabom i hemoterapijom, kod pacijenata prethodno </w:t>
      </w:r>
      <w:r w:rsidR="00097926" w:rsidRPr="005436C8">
        <w:rPr>
          <w:color w:val="000000"/>
          <w:sz w:val="22"/>
          <w:szCs w:val="22"/>
          <w:lang w:val="sr-Latn-ME"/>
        </w:rPr>
        <w:t>liječeni</w:t>
      </w:r>
      <w:r w:rsidRPr="005436C8">
        <w:rPr>
          <w:color w:val="000000"/>
          <w:sz w:val="22"/>
          <w:szCs w:val="22"/>
          <w:lang w:val="sr-Latn-ME"/>
        </w:rPr>
        <w:t>h antraciklinima ili radioterapijom oblasti grudnog koša, rizik od smanjenja LVEF može biti povećan.</w:t>
      </w:r>
    </w:p>
    <w:p w14:paraId="51B8B927" w14:textId="77777777" w:rsidR="000C7302" w:rsidRPr="005436C8" w:rsidRDefault="000C7302" w:rsidP="005436C8">
      <w:pPr>
        <w:spacing w:before="100" w:beforeAutospacing="1" w:after="100" w:afterAutospacing="1"/>
        <w:jc w:val="both"/>
        <w:rPr>
          <w:sz w:val="22"/>
          <w:szCs w:val="22"/>
          <w:lang w:val="sr-Latn-ME" w:eastAsia="zh-CN"/>
        </w:rPr>
      </w:pPr>
      <w:r w:rsidRPr="005436C8">
        <w:rPr>
          <w:sz w:val="22"/>
          <w:szCs w:val="22"/>
          <w:shd w:val="clear" w:color="auto" w:fill="FFFFFF"/>
          <w:lang w:val="sr-Latn-ME" w:eastAsia="zh-CN"/>
        </w:rPr>
        <w:t>Pacijenti</w:t>
      </w:r>
      <w:r w:rsidRPr="005436C8">
        <w:rPr>
          <w:sz w:val="22"/>
          <w:szCs w:val="22"/>
          <w:lang w:val="sr-Latn-ME" w:eastAsia="zh-CN"/>
        </w:rPr>
        <w:t xml:space="preserve"> koji u anamnezi imaju ozbiljnu srčanu ili neku drugu bolest, ventrikularne aritmije ili faktore rizika za ventrikularne aritmije, nisu mogli da učestvuju u pivotalnom ispitivanju </w:t>
      </w:r>
      <w:r w:rsidR="00166973" w:rsidRPr="005436C8">
        <w:rPr>
          <w:sz w:val="22"/>
          <w:szCs w:val="22"/>
          <w:lang w:val="sr-Latn-ME" w:eastAsia="zh-CN"/>
        </w:rPr>
        <w:t>lijek</w:t>
      </w:r>
      <w:r w:rsidRPr="005436C8">
        <w:rPr>
          <w:sz w:val="22"/>
          <w:szCs w:val="22"/>
          <w:lang w:val="sr-Latn-ME" w:eastAsia="zh-CN"/>
        </w:rPr>
        <w:t>a Phesgo u (neo)adjuvantnom l</w:t>
      </w:r>
      <w:r w:rsidR="002700CC" w:rsidRPr="005436C8">
        <w:rPr>
          <w:sz w:val="22"/>
          <w:szCs w:val="22"/>
          <w:lang w:val="sr-Latn-ME" w:eastAsia="zh-CN"/>
        </w:rPr>
        <w:t>ij</w:t>
      </w:r>
      <w:r w:rsidRPr="005436C8">
        <w:rPr>
          <w:sz w:val="22"/>
          <w:szCs w:val="22"/>
          <w:lang w:val="sr-Latn-ME" w:eastAsia="zh-CN"/>
        </w:rPr>
        <w:t>ečenju ranog karcinoma dojke pod nazivom FEDERICA.</w:t>
      </w:r>
    </w:p>
    <w:p w14:paraId="36A3E908" w14:textId="77777777" w:rsidR="000C7302" w:rsidRPr="005436C8" w:rsidRDefault="005B791A" w:rsidP="005436C8">
      <w:pPr>
        <w:tabs>
          <w:tab w:val="left" w:pos="284"/>
        </w:tabs>
        <w:jc w:val="both"/>
        <w:rPr>
          <w:noProof/>
          <w:color w:val="000000"/>
          <w:sz w:val="22"/>
          <w:szCs w:val="22"/>
          <w:lang w:val="sr-Latn-ME"/>
        </w:rPr>
      </w:pPr>
      <w:r w:rsidRPr="005436C8">
        <w:rPr>
          <w:noProof/>
          <w:color w:val="000000"/>
          <w:sz w:val="22"/>
          <w:szCs w:val="22"/>
          <w:lang w:val="sr-Latn-ME"/>
        </w:rPr>
        <w:t xml:space="preserve">Lijek </w:t>
      </w:r>
      <w:r w:rsidR="000C7302" w:rsidRPr="005436C8">
        <w:rPr>
          <w:noProof/>
          <w:color w:val="000000"/>
          <w:sz w:val="22"/>
          <w:szCs w:val="22"/>
          <w:lang w:val="sr-Latn-ME"/>
        </w:rPr>
        <w:t>Phesgo nije proučavan kod pacijenata koji su pr</w:t>
      </w:r>
      <w:r w:rsidR="002B37A8" w:rsidRPr="005436C8">
        <w:rPr>
          <w:noProof/>
          <w:color w:val="000000"/>
          <w:sz w:val="22"/>
          <w:szCs w:val="22"/>
          <w:lang w:val="sr-Latn-ME"/>
        </w:rPr>
        <w:t>ij</w:t>
      </w:r>
      <w:r w:rsidR="000C7302" w:rsidRPr="005436C8">
        <w:rPr>
          <w:noProof/>
          <w:color w:val="000000"/>
          <w:sz w:val="22"/>
          <w:szCs w:val="22"/>
          <w:lang w:val="sr-Latn-ME"/>
        </w:rPr>
        <w:t xml:space="preserve">e početka </w:t>
      </w:r>
      <w:r w:rsidR="000A2EA9" w:rsidRPr="005436C8">
        <w:rPr>
          <w:noProof/>
          <w:color w:val="000000"/>
          <w:sz w:val="22"/>
          <w:szCs w:val="22"/>
          <w:lang w:val="sr-Latn-ME"/>
        </w:rPr>
        <w:t>liječenja</w:t>
      </w:r>
      <w:r w:rsidR="000C7302" w:rsidRPr="005436C8">
        <w:rPr>
          <w:noProof/>
          <w:color w:val="000000"/>
          <w:sz w:val="22"/>
          <w:szCs w:val="22"/>
          <w:lang w:val="sr-Latn-ME"/>
        </w:rPr>
        <w:t xml:space="preserve"> imali LVEF manji od 55% (rani karcinom dojke) odnosno manji od 50% (metastatski karcinom dojke), kongestivnu srčanu </w:t>
      </w:r>
      <w:r w:rsidR="000C7302" w:rsidRPr="005436C8">
        <w:rPr>
          <w:noProof/>
          <w:color w:val="000000"/>
          <w:sz w:val="22"/>
          <w:szCs w:val="22"/>
          <w:lang w:val="sr-Latn-ME"/>
        </w:rPr>
        <w:lastRenderedPageBreak/>
        <w:t xml:space="preserve">insuficijenciju u anamnezi, stanja koja bi mogla da naruše funkciju </w:t>
      </w:r>
      <w:r w:rsidR="00EE66E8" w:rsidRPr="005436C8">
        <w:rPr>
          <w:noProof/>
          <w:color w:val="000000"/>
          <w:sz w:val="22"/>
          <w:szCs w:val="22"/>
          <w:lang w:val="sr-Latn-ME"/>
        </w:rPr>
        <w:t>lijeve</w:t>
      </w:r>
      <w:r w:rsidR="000C7302" w:rsidRPr="005436C8">
        <w:rPr>
          <w:noProof/>
          <w:color w:val="000000"/>
          <w:sz w:val="22"/>
          <w:szCs w:val="22"/>
          <w:lang w:val="sr-Latn-ME"/>
        </w:rPr>
        <w:t xml:space="preserve"> komore, poput nekontrolisane hipertenzije, nedavnog infarkta miokarda, teške srčane aritmije koja zaht</w:t>
      </w:r>
      <w:r w:rsidRPr="005436C8">
        <w:rPr>
          <w:noProof/>
          <w:color w:val="000000"/>
          <w:sz w:val="22"/>
          <w:szCs w:val="22"/>
          <w:lang w:val="sr-Latn-ME"/>
        </w:rPr>
        <w:t>i</w:t>
      </w:r>
      <w:r w:rsidR="002B37A8" w:rsidRPr="005436C8">
        <w:rPr>
          <w:noProof/>
          <w:color w:val="000000"/>
          <w:sz w:val="22"/>
          <w:szCs w:val="22"/>
          <w:lang w:val="sr-Latn-ME"/>
        </w:rPr>
        <w:t>j</w:t>
      </w:r>
      <w:r w:rsidR="000C7302" w:rsidRPr="005436C8">
        <w:rPr>
          <w:noProof/>
          <w:color w:val="000000"/>
          <w:sz w:val="22"/>
          <w:szCs w:val="22"/>
          <w:lang w:val="sr-Latn-ME"/>
        </w:rPr>
        <w:t xml:space="preserve">eva </w:t>
      </w:r>
      <w:r w:rsidR="00841D7D" w:rsidRPr="005436C8">
        <w:rPr>
          <w:noProof/>
          <w:color w:val="000000"/>
          <w:sz w:val="22"/>
          <w:szCs w:val="22"/>
          <w:lang w:val="sr-Latn-ME"/>
        </w:rPr>
        <w:t>liječenje</w:t>
      </w:r>
      <w:r w:rsidR="000C7302" w:rsidRPr="005436C8">
        <w:rPr>
          <w:noProof/>
          <w:color w:val="000000"/>
          <w:sz w:val="22"/>
          <w:szCs w:val="22"/>
          <w:lang w:val="sr-Latn-ME"/>
        </w:rPr>
        <w:t xml:space="preserve"> ili prethodne kumulativne izloženosti antraciklinima veće od 360 mg/m2 kod </w:t>
      </w:r>
      <w:r w:rsidR="00A21698" w:rsidRPr="005436C8">
        <w:rPr>
          <w:noProof/>
          <w:color w:val="000000"/>
          <w:sz w:val="22"/>
          <w:szCs w:val="22"/>
          <w:lang w:val="sr-Latn-ME"/>
        </w:rPr>
        <w:t>primjene</w:t>
      </w:r>
      <w:r w:rsidR="000C7302" w:rsidRPr="005436C8">
        <w:rPr>
          <w:noProof/>
          <w:color w:val="000000"/>
          <w:sz w:val="22"/>
          <w:szCs w:val="22"/>
          <w:lang w:val="sr-Latn-ME"/>
        </w:rPr>
        <w:t xml:space="preserve"> doksurubicina ili njegovog ekvivalenta. Pored toga, pertuzumab u kombinaciji sa trastuzumabom i hemoterapijom nije ispitivan kod pacijenata kod kojih je tokom prethodne </w:t>
      </w:r>
      <w:r w:rsidRPr="005436C8">
        <w:rPr>
          <w:noProof/>
          <w:color w:val="000000"/>
          <w:sz w:val="22"/>
          <w:szCs w:val="22"/>
          <w:lang w:val="sr-Latn-ME"/>
        </w:rPr>
        <w:t xml:space="preserve">adjuvantne </w:t>
      </w:r>
      <w:r w:rsidR="000C7302" w:rsidRPr="005436C8">
        <w:rPr>
          <w:noProof/>
          <w:color w:val="000000"/>
          <w:sz w:val="22"/>
          <w:szCs w:val="22"/>
          <w:lang w:val="sr-Latn-ME"/>
        </w:rPr>
        <w:t xml:space="preserve">terapije trastuzumabom došlo do smanjenja LVEF na </w:t>
      </w:r>
      <w:r w:rsidR="000A2EA9" w:rsidRPr="005436C8">
        <w:rPr>
          <w:noProof/>
          <w:color w:val="000000"/>
          <w:sz w:val="22"/>
          <w:szCs w:val="22"/>
          <w:lang w:val="sr-Latn-ME"/>
        </w:rPr>
        <w:t>vrijednost</w:t>
      </w:r>
      <w:r w:rsidR="000C7302" w:rsidRPr="005436C8">
        <w:rPr>
          <w:noProof/>
          <w:color w:val="000000"/>
          <w:sz w:val="22"/>
          <w:szCs w:val="22"/>
          <w:lang w:val="sr-Latn-ME"/>
        </w:rPr>
        <w:t xml:space="preserve"> manju od 50%. </w:t>
      </w:r>
    </w:p>
    <w:p w14:paraId="492FA5E8" w14:textId="77777777" w:rsidR="000C7302" w:rsidRPr="005436C8" w:rsidRDefault="000C7302" w:rsidP="005436C8">
      <w:pPr>
        <w:tabs>
          <w:tab w:val="left" w:pos="284"/>
        </w:tabs>
        <w:jc w:val="both"/>
        <w:rPr>
          <w:noProof/>
          <w:color w:val="000000"/>
          <w:sz w:val="22"/>
          <w:szCs w:val="22"/>
          <w:lang w:val="sr-Latn-ME"/>
        </w:rPr>
      </w:pPr>
    </w:p>
    <w:p w14:paraId="43FC927E" w14:textId="25314DA6"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LVEF treba proc</w:t>
      </w:r>
      <w:r w:rsidR="005B791A" w:rsidRPr="005436C8">
        <w:rPr>
          <w:noProof/>
          <w:color w:val="000000"/>
          <w:sz w:val="22"/>
          <w:szCs w:val="22"/>
          <w:lang w:val="sr-Latn-ME"/>
        </w:rPr>
        <w:t>i</w:t>
      </w:r>
      <w:r w:rsidR="00B979F3" w:rsidRPr="005436C8">
        <w:rPr>
          <w:noProof/>
          <w:color w:val="000000"/>
          <w:sz w:val="22"/>
          <w:szCs w:val="22"/>
          <w:lang w:val="sr-Latn-ME"/>
        </w:rPr>
        <w:t>j</w:t>
      </w:r>
      <w:r w:rsidRPr="005436C8">
        <w:rPr>
          <w:noProof/>
          <w:color w:val="000000"/>
          <w:sz w:val="22"/>
          <w:szCs w:val="22"/>
          <w:lang w:val="sr-Latn-ME"/>
        </w:rPr>
        <w:t>eniti pr</w:t>
      </w:r>
      <w:r w:rsidR="00B979F3" w:rsidRPr="005436C8">
        <w:rPr>
          <w:noProof/>
          <w:color w:val="000000"/>
          <w:sz w:val="22"/>
          <w:szCs w:val="22"/>
          <w:lang w:val="sr-Latn-ME"/>
        </w:rPr>
        <w:t>ij</w:t>
      </w:r>
      <w:r w:rsidRPr="005436C8">
        <w:rPr>
          <w:noProof/>
          <w:color w:val="000000"/>
          <w:sz w:val="22"/>
          <w:szCs w:val="22"/>
          <w:lang w:val="sr-Latn-ME"/>
        </w:rPr>
        <w:t xml:space="preserve">e uvođenja </w:t>
      </w:r>
      <w:r w:rsidR="00166973" w:rsidRPr="005436C8">
        <w:rPr>
          <w:noProof/>
          <w:color w:val="000000"/>
          <w:sz w:val="22"/>
          <w:szCs w:val="22"/>
          <w:lang w:val="sr-Latn-ME"/>
        </w:rPr>
        <w:t>lijek</w:t>
      </w:r>
      <w:r w:rsidRPr="005436C8">
        <w:rPr>
          <w:noProof/>
          <w:color w:val="000000"/>
          <w:sz w:val="22"/>
          <w:szCs w:val="22"/>
          <w:lang w:val="sr-Latn-ME"/>
        </w:rPr>
        <w:t>a Phesgo i u redovnim intervalima tokom terapije (npr. jednom tokom neoadjuvantne terapije i svakih 12 </w:t>
      </w:r>
      <w:r w:rsidR="00636A78" w:rsidRPr="005436C8">
        <w:rPr>
          <w:noProof/>
          <w:color w:val="000000"/>
          <w:sz w:val="22"/>
          <w:szCs w:val="22"/>
          <w:lang w:val="sr-Latn-ME"/>
        </w:rPr>
        <w:t>nedjelja</w:t>
      </w:r>
      <w:r w:rsidRPr="005436C8">
        <w:rPr>
          <w:noProof/>
          <w:color w:val="000000"/>
          <w:sz w:val="22"/>
          <w:szCs w:val="22"/>
          <w:lang w:val="sr-Latn-ME"/>
        </w:rPr>
        <w:t xml:space="preserve"> u adjuvantnim i metastatskim okolnostima)</w:t>
      </w:r>
      <w:r w:rsidR="005B791A" w:rsidRPr="005436C8">
        <w:rPr>
          <w:noProof/>
          <w:color w:val="000000"/>
          <w:sz w:val="22"/>
          <w:szCs w:val="22"/>
          <w:lang w:val="sr-Latn-ME"/>
        </w:rPr>
        <w:t>,</w:t>
      </w:r>
      <w:r w:rsidRPr="005436C8">
        <w:rPr>
          <w:noProof/>
          <w:color w:val="000000"/>
          <w:sz w:val="22"/>
          <w:szCs w:val="22"/>
          <w:lang w:val="sr-Latn-ME"/>
        </w:rPr>
        <w:t xml:space="preserve"> kako bi se osiguralo da je LVEF u uobičajenim granicama. Ukoliko je LVEF opala kako je navedeno u </w:t>
      </w:r>
      <w:r w:rsidR="009B712A">
        <w:rPr>
          <w:noProof/>
          <w:color w:val="000000"/>
          <w:sz w:val="22"/>
          <w:szCs w:val="22"/>
          <w:lang w:val="sr-Latn-ME"/>
        </w:rPr>
        <w:t>dijelu</w:t>
      </w:r>
      <w:r w:rsidRPr="005436C8">
        <w:rPr>
          <w:noProof/>
          <w:color w:val="000000"/>
          <w:sz w:val="22"/>
          <w:szCs w:val="22"/>
          <w:lang w:val="sr-Latn-ME"/>
        </w:rPr>
        <w:t xml:space="preserve"> 4.2 i nije se poboljšala, ili je opala dodatno nakon kasnije proc</w:t>
      </w:r>
      <w:r w:rsidR="00B979F3" w:rsidRPr="005436C8">
        <w:rPr>
          <w:noProof/>
          <w:color w:val="000000"/>
          <w:sz w:val="22"/>
          <w:szCs w:val="22"/>
          <w:lang w:val="sr-Latn-ME"/>
        </w:rPr>
        <w:t>j</w:t>
      </w:r>
      <w:r w:rsidRPr="005436C8">
        <w:rPr>
          <w:noProof/>
          <w:color w:val="000000"/>
          <w:sz w:val="22"/>
          <w:szCs w:val="22"/>
          <w:lang w:val="sr-Latn-ME"/>
        </w:rPr>
        <w:t xml:space="preserve">ene, treba ozbiljno razmotriti trajni prekid </w:t>
      </w:r>
      <w:r w:rsidR="00A21698" w:rsidRPr="005436C8">
        <w:rPr>
          <w:noProof/>
          <w:color w:val="000000"/>
          <w:sz w:val="22"/>
          <w:szCs w:val="22"/>
          <w:lang w:val="sr-Latn-ME"/>
        </w:rPr>
        <w:t>primjene</w:t>
      </w:r>
      <w:r w:rsidRPr="005436C8">
        <w:rPr>
          <w:noProof/>
          <w:color w:val="000000"/>
          <w:sz w:val="22"/>
          <w:szCs w:val="22"/>
          <w:lang w:val="sr-Latn-ME"/>
        </w:rPr>
        <w:t xml:space="preserve"> </w:t>
      </w:r>
      <w:r w:rsidR="00166973" w:rsidRPr="005436C8">
        <w:rPr>
          <w:noProof/>
          <w:color w:val="000000"/>
          <w:sz w:val="22"/>
          <w:szCs w:val="22"/>
          <w:lang w:val="sr-Latn-ME"/>
        </w:rPr>
        <w:t>lijek</w:t>
      </w:r>
      <w:r w:rsidRPr="005436C8">
        <w:rPr>
          <w:noProof/>
          <w:color w:val="000000"/>
          <w:sz w:val="22"/>
          <w:szCs w:val="22"/>
          <w:lang w:val="sr-Latn-ME"/>
        </w:rPr>
        <w:t>a Phesgo, osim ako se smatra da koristi terapije za pojedinačnog pacijenta nadmašuju rizike.</w:t>
      </w:r>
    </w:p>
    <w:p w14:paraId="4B8CC41D" w14:textId="77777777" w:rsidR="000C7302" w:rsidRPr="005436C8" w:rsidRDefault="000C7302" w:rsidP="005436C8">
      <w:pPr>
        <w:tabs>
          <w:tab w:val="left" w:pos="284"/>
        </w:tabs>
        <w:jc w:val="both"/>
        <w:rPr>
          <w:noProof/>
          <w:color w:val="000000"/>
          <w:sz w:val="22"/>
          <w:szCs w:val="22"/>
          <w:lang w:val="sr-Latn-ME"/>
        </w:rPr>
      </w:pPr>
    </w:p>
    <w:p w14:paraId="724C6C4A"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Pr</w:t>
      </w:r>
      <w:r w:rsidR="00DB4A24" w:rsidRPr="005436C8">
        <w:rPr>
          <w:noProof/>
          <w:color w:val="000000"/>
          <w:sz w:val="22"/>
          <w:szCs w:val="22"/>
          <w:lang w:val="sr-Latn-ME"/>
        </w:rPr>
        <w:t>ij</w:t>
      </w:r>
      <w:r w:rsidRPr="005436C8">
        <w:rPr>
          <w:noProof/>
          <w:color w:val="000000"/>
          <w:sz w:val="22"/>
          <w:szCs w:val="22"/>
          <w:lang w:val="sr-Latn-ME"/>
        </w:rPr>
        <w:t xml:space="preserve">e </w:t>
      </w:r>
      <w:r w:rsidR="00A21698" w:rsidRPr="005436C8">
        <w:rPr>
          <w:noProof/>
          <w:color w:val="000000"/>
          <w:sz w:val="22"/>
          <w:szCs w:val="22"/>
          <w:lang w:val="sr-Latn-ME"/>
        </w:rPr>
        <w:t>primjene</w:t>
      </w:r>
      <w:r w:rsidRPr="005436C8">
        <w:rPr>
          <w:noProof/>
          <w:color w:val="000000"/>
          <w:sz w:val="22"/>
          <w:szCs w:val="22"/>
          <w:lang w:val="sr-Latn-ME"/>
        </w:rPr>
        <w:t xml:space="preserve"> </w:t>
      </w:r>
      <w:r w:rsidR="00166973" w:rsidRPr="005436C8">
        <w:rPr>
          <w:noProof/>
          <w:color w:val="000000"/>
          <w:sz w:val="22"/>
          <w:szCs w:val="22"/>
          <w:lang w:val="sr-Latn-ME"/>
        </w:rPr>
        <w:t>lijek</w:t>
      </w:r>
      <w:r w:rsidRPr="005436C8">
        <w:rPr>
          <w:noProof/>
          <w:color w:val="000000"/>
          <w:sz w:val="22"/>
          <w:szCs w:val="22"/>
          <w:lang w:val="sr-Latn-ME"/>
        </w:rPr>
        <w:t>a Phesgo sa antraciklinom</w:t>
      </w:r>
      <w:r w:rsidR="005B791A" w:rsidRPr="005436C8">
        <w:rPr>
          <w:noProof/>
          <w:color w:val="000000"/>
          <w:sz w:val="22"/>
          <w:szCs w:val="22"/>
          <w:lang w:val="sr-Latn-ME"/>
        </w:rPr>
        <w:t>,</w:t>
      </w:r>
      <w:r w:rsidRPr="005436C8">
        <w:rPr>
          <w:noProof/>
          <w:color w:val="000000"/>
          <w:sz w:val="22"/>
          <w:szCs w:val="22"/>
          <w:lang w:val="sr-Latn-ME"/>
        </w:rPr>
        <w:t xml:space="preserve"> potrebno je pažljivo razmotriti srčani rizik i proc</w:t>
      </w:r>
      <w:r w:rsidR="009F09FE" w:rsidRPr="005436C8">
        <w:rPr>
          <w:noProof/>
          <w:color w:val="000000"/>
          <w:sz w:val="22"/>
          <w:szCs w:val="22"/>
          <w:lang w:val="sr-Latn-ME"/>
        </w:rPr>
        <w:t>i</w:t>
      </w:r>
      <w:r w:rsidR="00DB4A24" w:rsidRPr="005436C8">
        <w:rPr>
          <w:noProof/>
          <w:color w:val="000000"/>
          <w:sz w:val="22"/>
          <w:szCs w:val="22"/>
          <w:lang w:val="sr-Latn-ME"/>
        </w:rPr>
        <w:t>j</w:t>
      </w:r>
      <w:r w:rsidRPr="005436C8">
        <w:rPr>
          <w:noProof/>
          <w:color w:val="000000"/>
          <w:sz w:val="22"/>
          <w:szCs w:val="22"/>
          <w:lang w:val="sr-Latn-ME"/>
        </w:rPr>
        <w:t>eniti ga u odnosu na</w:t>
      </w:r>
      <w:r w:rsidR="005B791A" w:rsidRPr="005436C8">
        <w:rPr>
          <w:noProof/>
          <w:color w:val="000000"/>
          <w:sz w:val="22"/>
          <w:szCs w:val="22"/>
          <w:lang w:val="sr-Latn-ME"/>
        </w:rPr>
        <w:t xml:space="preserve"> </w:t>
      </w:r>
      <w:r w:rsidRPr="005436C8">
        <w:rPr>
          <w:noProof/>
          <w:color w:val="000000"/>
          <w:sz w:val="22"/>
          <w:szCs w:val="22"/>
          <w:lang w:val="sr-Latn-ME"/>
        </w:rPr>
        <w:t>medicinske potrebe pojedinačnog pacijenta. Na osnovu farmakološkog d</w:t>
      </w:r>
      <w:r w:rsidR="00DB4A24" w:rsidRPr="005436C8">
        <w:rPr>
          <w:noProof/>
          <w:color w:val="000000"/>
          <w:sz w:val="22"/>
          <w:szCs w:val="22"/>
          <w:lang w:val="sr-Latn-ME"/>
        </w:rPr>
        <w:t>j</w:t>
      </w:r>
      <w:r w:rsidRPr="005436C8">
        <w:rPr>
          <w:noProof/>
          <w:color w:val="000000"/>
          <w:sz w:val="22"/>
          <w:szCs w:val="22"/>
          <w:lang w:val="sr-Latn-ME"/>
        </w:rPr>
        <w:t xml:space="preserve">elovanja </w:t>
      </w:r>
      <w:r w:rsidR="00166973" w:rsidRPr="005436C8">
        <w:rPr>
          <w:noProof/>
          <w:color w:val="000000"/>
          <w:sz w:val="22"/>
          <w:szCs w:val="22"/>
          <w:lang w:val="sr-Latn-ME"/>
        </w:rPr>
        <w:t>ljek</w:t>
      </w:r>
      <w:r w:rsidRPr="005436C8">
        <w:rPr>
          <w:noProof/>
          <w:color w:val="000000"/>
          <w:sz w:val="22"/>
          <w:szCs w:val="22"/>
          <w:lang w:val="sr-Latn-ME"/>
        </w:rPr>
        <w:t>ova koji ciljano d</w:t>
      </w:r>
      <w:r w:rsidR="00DB4A24" w:rsidRPr="005436C8">
        <w:rPr>
          <w:noProof/>
          <w:color w:val="000000"/>
          <w:sz w:val="22"/>
          <w:szCs w:val="22"/>
          <w:lang w:val="sr-Latn-ME"/>
        </w:rPr>
        <w:t>j</w:t>
      </w:r>
      <w:r w:rsidRPr="005436C8">
        <w:rPr>
          <w:noProof/>
          <w:color w:val="000000"/>
          <w:sz w:val="22"/>
          <w:szCs w:val="22"/>
          <w:lang w:val="sr-Latn-ME"/>
        </w:rPr>
        <w:t xml:space="preserve">eluju na HER2 i antraciklina, može se očekivati povećan rizik od kardiotoksičnosti kod </w:t>
      </w:r>
      <w:r w:rsidR="002700CC" w:rsidRPr="005436C8">
        <w:rPr>
          <w:noProof/>
          <w:color w:val="000000"/>
          <w:sz w:val="22"/>
          <w:szCs w:val="22"/>
          <w:lang w:val="sr-Latn-ME"/>
        </w:rPr>
        <w:t>istovrem</w:t>
      </w:r>
      <w:r w:rsidR="00A21698" w:rsidRPr="005436C8">
        <w:rPr>
          <w:noProof/>
          <w:color w:val="000000"/>
          <w:sz w:val="22"/>
          <w:szCs w:val="22"/>
          <w:lang w:val="sr-Latn-ME"/>
        </w:rPr>
        <w:t>e</w:t>
      </w:r>
      <w:r w:rsidRPr="005436C8">
        <w:rPr>
          <w:noProof/>
          <w:color w:val="000000"/>
          <w:sz w:val="22"/>
          <w:szCs w:val="22"/>
          <w:lang w:val="sr-Latn-ME"/>
        </w:rPr>
        <w:t xml:space="preserve">ne </w:t>
      </w:r>
      <w:r w:rsidR="00A21698" w:rsidRPr="005436C8">
        <w:rPr>
          <w:noProof/>
          <w:color w:val="000000"/>
          <w:sz w:val="22"/>
          <w:szCs w:val="22"/>
          <w:lang w:val="sr-Latn-ME"/>
        </w:rPr>
        <w:t>primjene</w:t>
      </w:r>
      <w:r w:rsidRPr="005436C8">
        <w:rPr>
          <w:noProof/>
          <w:color w:val="000000"/>
          <w:sz w:val="22"/>
          <w:szCs w:val="22"/>
          <w:lang w:val="sr-Latn-ME"/>
        </w:rPr>
        <w:t xml:space="preserve"> </w:t>
      </w:r>
      <w:r w:rsidR="00166973" w:rsidRPr="005436C8">
        <w:rPr>
          <w:noProof/>
          <w:color w:val="000000"/>
          <w:sz w:val="22"/>
          <w:szCs w:val="22"/>
          <w:lang w:val="sr-Latn-ME"/>
        </w:rPr>
        <w:t>lijek</w:t>
      </w:r>
      <w:r w:rsidRPr="005436C8">
        <w:rPr>
          <w:noProof/>
          <w:color w:val="000000"/>
          <w:sz w:val="22"/>
          <w:szCs w:val="22"/>
          <w:lang w:val="sr-Latn-ME"/>
        </w:rPr>
        <w:t xml:space="preserve">a Phesgo i antraciklina u odnosu na njihovu </w:t>
      </w:r>
      <w:r w:rsidR="00097926" w:rsidRPr="005436C8">
        <w:rPr>
          <w:noProof/>
          <w:color w:val="000000"/>
          <w:sz w:val="22"/>
          <w:szCs w:val="22"/>
          <w:lang w:val="sr-Latn-ME"/>
        </w:rPr>
        <w:t>primjenu</w:t>
      </w:r>
      <w:r w:rsidRPr="005436C8">
        <w:rPr>
          <w:noProof/>
          <w:color w:val="000000"/>
          <w:sz w:val="22"/>
          <w:szCs w:val="22"/>
          <w:lang w:val="sr-Latn-ME"/>
        </w:rPr>
        <w:t xml:space="preserve"> jednog za drugim.</w:t>
      </w:r>
    </w:p>
    <w:p w14:paraId="78E35854" w14:textId="77777777" w:rsidR="000C7302" w:rsidRPr="005436C8" w:rsidRDefault="000C7302" w:rsidP="005436C8">
      <w:pPr>
        <w:tabs>
          <w:tab w:val="left" w:pos="284"/>
        </w:tabs>
        <w:jc w:val="both"/>
        <w:rPr>
          <w:noProof/>
          <w:color w:val="000000"/>
          <w:sz w:val="22"/>
          <w:szCs w:val="22"/>
          <w:lang w:val="sr-Latn-ME"/>
        </w:rPr>
      </w:pPr>
    </w:p>
    <w:p w14:paraId="44C07BB0" w14:textId="239C7071"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Sekvencijalna </w:t>
      </w:r>
      <w:r w:rsidR="00A21698" w:rsidRPr="005436C8">
        <w:rPr>
          <w:noProof/>
          <w:color w:val="000000"/>
          <w:sz w:val="22"/>
          <w:szCs w:val="22"/>
          <w:lang w:val="sr-Latn-ME"/>
        </w:rPr>
        <w:t>primjena</w:t>
      </w:r>
      <w:r w:rsidRPr="005436C8">
        <w:rPr>
          <w:noProof/>
          <w:color w:val="000000"/>
          <w:sz w:val="22"/>
          <w:szCs w:val="22"/>
          <w:lang w:val="sr-Latn-ME"/>
        </w:rPr>
        <w:t xml:space="preserve"> </w:t>
      </w:r>
      <w:r w:rsidR="00166973" w:rsidRPr="005436C8">
        <w:rPr>
          <w:noProof/>
          <w:color w:val="000000"/>
          <w:sz w:val="22"/>
          <w:szCs w:val="22"/>
          <w:lang w:val="sr-Latn-ME"/>
        </w:rPr>
        <w:t>lijek</w:t>
      </w:r>
      <w:r w:rsidRPr="005436C8">
        <w:rPr>
          <w:noProof/>
          <w:color w:val="000000"/>
          <w:sz w:val="22"/>
          <w:szCs w:val="22"/>
          <w:lang w:val="sr-Latn-ME"/>
        </w:rPr>
        <w:t>a Phesgo (u kombinaciji sa taksanom) proc</w:t>
      </w:r>
      <w:r w:rsidR="009F09FE" w:rsidRPr="005436C8">
        <w:rPr>
          <w:noProof/>
          <w:color w:val="000000"/>
          <w:sz w:val="22"/>
          <w:szCs w:val="22"/>
          <w:lang w:val="sr-Latn-ME"/>
        </w:rPr>
        <w:t>i</w:t>
      </w:r>
      <w:r w:rsidR="00DB4A24" w:rsidRPr="005436C8">
        <w:rPr>
          <w:noProof/>
          <w:color w:val="000000"/>
          <w:sz w:val="22"/>
          <w:szCs w:val="22"/>
          <w:lang w:val="sr-Latn-ME"/>
        </w:rPr>
        <w:t>j</w:t>
      </w:r>
      <w:r w:rsidRPr="005436C8">
        <w:rPr>
          <w:noProof/>
          <w:color w:val="000000"/>
          <w:sz w:val="22"/>
          <w:szCs w:val="22"/>
          <w:lang w:val="sr-Latn-ME"/>
        </w:rPr>
        <w:t xml:space="preserve">enjena je nakon </w:t>
      </w:r>
      <w:r w:rsidR="00A21698" w:rsidRPr="005436C8">
        <w:rPr>
          <w:noProof/>
          <w:color w:val="000000"/>
          <w:sz w:val="22"/>
          <w:szCs w:val="22"/>
          <w:lang w:val="sr-Latn-ME"/>
        </w:rPr>
        <w:t>primjene</w:t>
      </w:r>
      <w:r w:rsidRPr="005436C8">
        <w:rPr>
          <w:noProof/>
          <w:color w:val="000000"/>
          <w:sz w:val="22"/>
          <w:szCs w:val="22"/>
          <w:lang w:val="sr-Latn-ME"/>
        </w:rPr>
        <w:t xml:space="preserve"> komponente doksorubicina u dva protokola na bazi antraciklina u ispitivanju FEDERICA, dok se sekvencijalna </w:t>
      </w:r>
      <w:r w:rsidR="00A21698" w:rsidRPr="005436C8">
        <w:rPr>
          <w:noProof/>
          <w:color w:val="000000"/>
          <w:sz w:val="22"/>
          <w:szCs w:val="22"/>
          <w:lang w:val="sr-Latn-ME"/>
        </w:rPr>
        <w:t>primjena</w:t>
      </w:r>
      <w:r w:rsidRPr="005436C8">
        <w:rPr>
          <w:noProof/>
          <w:color w:val="000000"/>
          <w:sz w:val="22"/>
          <w:szCs w:val="22"/>
          <w:lang w:val="sr-Latn-ME"/>
        </w:rPr>
        <w:t xml:space="preserve"> intravenskog pertuzumaba (u kombinaciji sa trastuzumabom i taksanom) nakon </w:t>
      </w:r>
      <w:r w:rsidR="00A21698" w:rsidRPr="005436C8">
        <w:rPr>
          <w:noProof/>
          <w:color w:val="000000"/>
          <w:sz w:val="22"/>
          <w:szCs w:val="22"/>
          <w:lang w:val="sr-Latn-ME"/>
        </w:rPr>
        <w:t>primjene</w:t>
      </w:r>
      <w:r w:rsidRPr="005436C8">
        <w:rPr>
          <w:noProof/>
          <w:color w:val="000000"/>
          <w:sz w:val="22"/>
          <w:szCs w:val="22"/>
          <w:lang w:val="sr-Latn-ME"/>
        </w:rPr>
        <w:t xml:space="preserve"> komponente epirubicina ili doksorubicina mnogih protokola na bazi antraciklina oc</w:t>
      </w:r>
      <w:r w:rsidR="00385576" w:rsidRPr="005436C8">
        <w:rPr>
          <w:noProof/>
          <w:color w:val="000000"/>
          <w:sz w:val="22"/>
          <w:szCs w:val="22"/>
          <w:lang w:val="sr-Latn-ME"/>
        </w:rPr>
        <w:t>j</w:t>
      </w:r>
      <w:r w:rsidRPr="005436C8">
        <w:rPr>
          <w:noProof/>
          <w:color w:val="000000"/>
          <w:sz w:val="22"/>
          <w:szCs w:val="22"/>
          <w:lang w:val="sr-Latn-ME"/>
        </w:rPr>
        <w:t xml:space="preserve">enjivala u studijama APHINITY i BERENICE. Dostupni su samo ograničeni podaci o </w:t>
      </w:r>
      <w:r w:rsidR="00385576" w:rsidRPr="005436C8">
        <w:rPr>
          <w:noProof/>
          <w:color w:val="000000"/>
          <w:sz w:val="22"/>
          <w:szCs w:val="22"/>
          <w:lang w:val="sr-Latn-ME"/>
        </w:rPr>
        <w:t>bezbjednost</w:t>
      </w:r>
      <w:r w:rsidRPr="005436C8">
        <w:rPr>
          <w:noProof/>
          <w:color w:val="000000"/>
          <w:sz w:val="22"/>
          <w:szCs w:val="22"/>
          <w:lang w:val="sr-Latn-ME"/>
        </w:rPr>
        <w:t xml:space="preserve">i </w:t>
      </w:r>
      <w:r w:rsidR="002700CC" w:rsidRPr="005436C8">
        <w:rPr>
          <w:noProof/>
          <w:color w:val="000000"/>
          <w:sz w:val="22"/>
          <w:szCs w:val="22"/>
          <w:lang w:val="sr-Latn-ME"/>
        </w:rPr>
        <w:t>istovrem</w:t>
      </w:r>
      <w:r w:rsidR="00A21698" w:rsidRPr="005436C8">
        <w:rPr>
          <w:noProof/>
          <w:color w:val="000000"/>
          <w:sz w:val="22"/>
          <w:szCs w:val="22"/>
          <w:lang w:val="sr-Latn-ME"/>
        </w:rPr>
        <w:t>e</w:t>
      </w:r>
      <w:r w:rsidRPr="005436C8">
        <w:rPr>
          <w:noProof/>
          <w:color w:val="000000"/>
          <w:sz w:val="22"/>
          <w:szCs w:val="22"/>
          <w:lang w:val="sr-Latn-ME"/>
        </w:rPr>
        <w:t xml:space="preserve">ne </w:t>
      </w:r>
      <w:r w:rsidR="00A21698" w:rsidRPr="005436C8">
        <w:rPr>
          <w:noProof/>
          <w:color w:val="000000"/>
          <w:sz w:val="22"/>
          <w:szCs w:val="22"/>
          <w:lang w:val="sr-Latn-ME"/>
        </w:rPr>
        <w:t>primjene</w:t>
      </w:r>
      <w:r w:rsidRPr="005436C8">
        <w:rPr>
          <w:noProof/>
          <w:color w:val="000000"/>
          <w:sz w:val="22"/>
          <w:szCs w:val="22"/>
          <w:lang w:val="sr-Latn-ME"/>
        </w:rPr>
        <w:t xml:space="preserve"> intravenskog pertuzumaba u kombinaciji sa trastuzumabom i antraciklinom. U studiji TRYPHAENA</w:t>
      </w:r>
      <w:r w:rsidR="009F09FE" w:rsidRPr="005436C8">
        <w:rPr>
          <w:noProof/>
          <w:color w:val="000000"/>
          <w:sz w:val="22"/>
          <w:szCs w:val="22"/>
          <w:lang w:val="sr-Latn-ME"/>
        </w:rPr>
        <w:t>,</w:t>
      </w:r>
      <w:r w:rsidRPr="005436C8">
        <w:rPr>
          <w:noProof/>
          <w:color w:val="000000"/>
          <w:sz w:val="22"/>
          <w:szCs w:val="22"/>
          <w:lang w:val="sr-Latn-ME"/>
        </w:rPr>
        <w:t xml:space="preserve"> intravenski pertuzumab u kombinaciji sa trastuzumabom prim</w:t>
      </w:r>
      <w:r w:rsidR="00385576" w:rsidRPr="005436C8">
        <w:rPr>
          <w:noProof/>
          <w:color w:val="000000"/>
          <w:sz w:val="22"/>
          <w:szCs w:val="22"/>
          <w:lang w:val="sr-Latn-ME"/>
        </w:rPr>
        <w:t>j</w:t>
      </w:r>
      <w:r w:rsidRPr="005436C8">
        <w:rPr>
          <w:noProof/>
          <w:color w:val="000000"/>
          <w:sz w:val="22"/>
          <w:szCs w:val="22"/>
          <w:lang w:val="sr-Latn-ME"/>
        </w:rPr>
        <w:t xml:space="preserve">enjivan je </w:t>
      </w:r>
      <w:r w:rsidR="002700CC" w:rsidRPr="005436C8">
        <w:rPr>
          <w:noProof/>
          <w:color w:val="000000"/>
          <w:sz w:val="22"/>
          <w:szCs w:val="22"/>
          <w:lang w:val="sr-Latn-ME"/>
        </w:rPr>
        <w:t>istovrem</w:t>
      </w:r>
      <w:r w:rsidR="00A21698" w:rsidRPr="005436C8">
        <w:rPr>
          <w:noProof/>
          <w:color w:val="000000"/>
          <w:sz w:val="22"/>
          <w:szCs w:val="22"/>
          <w:lang w:val="sr-Latn-ME"/>
        </w:rPr>
        <w:t>e</w:t>
      </w:r>
      <w:r w:rsidRPr="005436C8">
        <w:rPr>
          <w:noProof/>
          <w:color w:val="000000"/>
          <w:sz w:val="22"/>
          <w:szCs w:val="22"/>
          <w:lang w:val="sr-Latn-ME"/>
        </w:rPr>
        <w:t>no sa epirubicinom kao d</w:t>
      </w:r>
      <w:r w:rsidR="00385576" w:rsidRPr="005436C8">
        <w:rPr>
          <w:noProof/>
          <w:color w:val="000000"/>
          <w:sz w:val="22"/>
          <w:szCs w:val="22"/>
          <w:lang w:val="sr-Latn-ME"/>
        </w:rPr>
        <w:t>ij</w:t>
      </w:r>
      <w:r w:rsidRPr="005436C8">
        <w:rPr>
          <w:noProof/>
          <w:color w:val="000000"/>
          <w:sz w:val="22"/>
          <w:szCs w:val="22"/>
          <w:lang w:val="sr-Latn-ME"/>
        </w:rPr>
        <w:t xml:space="preserve">elom režima FEC (5-fluorouracil, epirubicin, ciklofosfamid) (pogledati </w:t>
      </w:r>
      <w:r w:rsidR="009B712A">
        <w:rPr>
          <w:noProof/>
          <w:color w:val="000000"/>
          <w:sz w:val="22"/>
          <w:szCs w:val="22"/>
          <w:lang w:val="sr-Latn-ME"/>
        </w:rPr>
        <w:t>djelove</w:t>
      </w:r>
      <w:r w:rsidRPr="005436C8">
        <w:rPr>
          <w:noProof/>
          <w:color w:val="000000"/>
          <w:sz w:val="22"/>
          <w:szCs w:val="22"/>
          <w:lang w:val="sr-Latn-ME"/>
        </w:rPr>
        <w:t xml:space="preserve"> 4.8 i 5.1). </w:t>
      </w:r>
      <w:r w:rsidR="00097926" w:rsidRPr="005436C8">
        <w:rPr>
          <w:noProof/>
          <w:color w:val="000000"/>
          <w:sz w:val="22"/>
          <w:szCs w:val="22"/>
          <w:lang w:val="sr-Latn-ME"/>
        </w:rPr>
        <w:t>Liječeni</w:t>
      </w:r>
      <w:r w:rsidRPr="005436C8">
        <w:rPr>
          <w:noProof/>
          <w:color w:val="000000"/>
          <w:sz w:val="22"/>
          <w:szCs w:val="22"/>
          <w:lang w:val="sr-Latn-ME"/>
        </w:rPr>
        <w:t xml:space="preserve"> su samo pacijenti koji prethodno nisu primali hemoterapiju</w:t>
      </w:r>
      <w:r w:rsidR="009F09FE" w:rsidRPr="005436C8">
        <w:rPr>
          <w:noProof/>
          <w:color w:val="000000"/>
          <w:sz w:val="22"/>
          <w:szCs w:val="22"/>
          <w:lang w:val="sr-Latn-ME"/>
        </w:rPr>
        <w:t>,</w:t>
      </w:r>
      <w:r w:rsidRPr="005436C8">
        <w:rPr>
          <w:noProof/>
          <w:color w:val="000000"/>
          <w:sz w:val="22"/>
          <w:szCs w:val="22"/>
          <w:lang w:val="sr-Latn-ME"/>
        </w:rPr>
        <w:t xml:space="preserve"> i oni su primili male kumulativne doze epirubicina (do 300 mg/m</w:t>
      </w:r>
      <w:r w:rsidRPr="005436C8">
        <w:rPr>
          <w:noProof/>
          <w:color w:val="000000"/>
          <w:sz w:val="22"/>
          <w:szCs w:val="22"/>
          <w:vertAlign w:val="superscript"/>
          <w:lang w:val="sr-Latn-ME"/>
        </w:rPr>
        <w:t>2</w:t>
      </w:r>
      <w:r w:rsidRPr="005436C8">
        <w:rPr>
          <w:noProof/>
          <w:color w:val="000000"/>
          <w:sz w:val="22"/>
          <w:szCs w:val="22"/>
          <w:lang w:val="sr-Latn-ME"/>
        </w:rPr>
        <w:t xml:space="preserve">). U toj studiji, </w:t>
      </w:r>
      <w:r w:rsidR="00385576" w:rsidRPr="005436C8">
        <w:rPr>
          <w:noProof/>
          <w:color w:val="000000"/>
          <w:sz w:val="22"/>
          <w:szCs w:val="22"/>
          <w:lang w:val="sr-Latn-ME"/>
        </w:rPr>
        <w:t>bezbjednost</w:t>
      </w:r>
      <w:r w:rsidRPr="005436C8">
        <w:rPr>
          <w:noProof/>
          <w:color w:val="000000"/>
          <w:sz w:val="22"/>
          <w:szCs w:val="22"/>
          <w:lang w:val="sr-Latn-ME"/>
        </w:rPr>
        <w:t xml:space="preserve"> za srce je bila slična onoj zab</w:t>
      </w:r>
      <w:r w:rsidR="00385576" w:rsidRPr="005436C8">
        <w:rPr>
          <w:noProof/>
          <w:color w:val="000000"/>
          <w:sz w:val="22"/>
          <w:szCs w:val="22"/>
          <w:lang w:val="sr-Latn-ME"/>
        </w:rPr>
        <w:t>i</w:t>
      </w:r>
      <w:r w:rsidRPr="005436C8">
        <w:rPr>
          <w:noProof/>
          <w:color w:val="000000"/>
          <w:sz w:val="22"/>
          <w:szCs w:val="22"/>
          <w:lang w:val="sr-Latn-ME"/>
        </w:rPr>
        <w:t>l</w:t>
      </w:r>
      <w:r w:rsidR="00385576" w:rsidRPr="005436C8">
        <w:rPr>
          <w:noProof/>
          <w:color w:val="000000"/>
          <w:sz w:val="22"/>
          <w:szCs w:val="22"/>
          <w:lang w:val="sr-Latn-ME"/>
        </w:rPr>
        <w:t>j</w:t>
      </w:r>
      <w:r w:rsidRPr="005436C8">
        <w:rPr>
          <w:noProof/>
          <w:color w:val="000000"/>
          <w:sz w:val="22"/>
          <w:szCs w:val="22"/>
          <w:lang w:val="sr-Latn-ME"/>
        </w:rPr>
        <w:t xml:space="preserve">eženoj kod pacijenata koji su primali isti režim, ali uz sekvencijalnu </w:t>
      </w:r>
      <w:r w:rsidR="00097926" w:rsidRPr="005436C8">
        <w:rPr>
          <w:noProof/>
          <w:color w:val="000000"/>
          <w:sz w:val="22"/>
          <w:szCs w:val="22"/>
          <w:lang w:val="sr-Latn-ME"/>
        </w:rPr>
        <w:t>primjenu</w:t>
      </w:r>
      <w:r w:rsidRPr="005436C8">
        <w:rPr>
          <w:noProof/>
          <w:color w:val="000000"/>
          <w:sz w:val="22"/>
          <w:szCs w:val="22"/>
          <w:lang w:val="sr-Latn-ME"/>
        </w:rPr>
        <w:t xml:space="preserve"> pertuzumaba (nakon hemoterapije FEC).</w:t>
      </w:r>
      <w:r w:rsidRPr="005436C8">
        <w:rPr>
          <w:noProof/>
          <w:color w:val="000000"/>
          <w:sz w:val="22"/>
          <w:szCs w:val="22"/>
          <w:lang w:val="sr-Latn-ME"/>
        </w:rPr>
        <w:cr/>
      </w:r>
    </w:p>
    <w:p w14:paraId="2755DB71"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 xml:space="preserve">Reakcije povezane sa injekcijom/reakcije povezane sa infuzijom (IRR) </w:t>
      </w:r>
    </w:p>
    <w:p w14:paraId="23D042FD" w14:textId="77777777" w:rsidR="000C7302" w:rsidRPr="005436C8" w:rsidRDefault="000C7302" w:rsidP="005436C8">
      <w:pPr>
        <w:tabs>
          <w:tab w:val="left" w:pos="284"/>
        </w:tabs>
        <w:jc w:val="both"/>
        <w:rPr>
          <w:noProof/>
          <w:color w:val="000000"/>
          <w:sz w:val="22"/>
          <w:szCs w:val="22"/>
          <w:lang w:val="sr-Latn-ME"/>
        </w:rPr>
      </w:pPr>
    </w:p>
    <w:p w14:paraId="07A69B96" w14:textId="47ABCC4A" w:rsidR="000C7302" w:rsidRPr="005436C8" w:rsidRDefault="009F09FE" w:rsidP="005436C8">
      <w:pPr>
        <w:tabs>
          <w:tab w:val="left" w:pos="284"/>
        </w:tabs>
        <w:jc w:val="both"/>
        <w:rPr>
          <w:noProof/>
          <w:color w:val="000000"/>
          <w:sz w:val="22"/>
          <w:szCs w:val="22"/>
          <w:lang w:val="sr-Latn-ME"/>
        </w:rPr>
      </w:pPr>
      <w:r w:rsidRPr="005436C8">
        <w:rPr>
          <w:noProof/>
          <w:color w:val="000000"/>
          <w:sz w:val="22"/>
          <w:szCs w:val="22"/>
          <w:lang w:val="sr-Latn-ME"/>
        </w:rPr>
        <w:t xml:space="preserve">Lijek </w:t>
      </w:r>
      <w:r w:rsidR="000C7302" w:rsidRPr="005436C8">
        <w:rPr>
          <w:noProof/>
          <w:color w:val="000000"/>
          <w:sz w:val="22"/>
          <w:szCs w:val="22"/>
          <w:lang w:val="sr-Latn-ME"/>
        </w:rPr>
        <w:t xml:space="preserve">Phesgo se povezuje sa reakcijama na injekciju (pogledati </w:t>
      </w:r>
      <w:r w:rsidR="009B712A">
        <w:rPr>
          <w:noProof/>
          <w:color w:val="000000"/>
          <w:sz w:val="22"/>
          <w:szCs w:val="22"/>
          <w:lang w:val="sr-Latn-ME"/>
        </w:rPr>
        <w:t>dio</w:t>
      </w:r>
      <w:r w:rsidR="000C7302" w:rsidRPr="005436C8">
        <w:rPr>
          <w:noProof/>
          <w:color w:val="000000"/>
          <w:sz w:val="22"/>
          <w:szCs w:val="22"/>
          <w:lang w:val="sr-Latn-ME"/>
        </w:rPr>
        <w:t xml:space="preserve"> 4.8). Reakcije povezane sa injekcijom definisane su kao bilo koja sistemska reakcija praćena simptomima kao što su povišena temperatura, drhtavica i glavobolja, najv</w:t>
      </w:r>
      <w:r w:rsidR="00385576" w:rsidRPr="005436C8">
        <w:rPr>
          <w:noProof/>
          <w:color w:val="000000"/>
          <w:sz w:val="22"/>
          <w:szCs w:val="22"/>
          <w:lang w:val="sr-Latn-ME"/>
        </w:rPr>
        <w:t>j</w:t>
      </w:r>
      <w:r w:rsidR="000C7302" w:rsidRPr="005436C8">
        <w:rPr>
          <w:noProof/>
          <w:color w:val="000000"/>
          <w:sz w:val="22"/>
          <w:szCs w:val="22"/>
          <w:lang w:val="sr-Latn-ME"/>
        </w:rPr>
        <w:t xml:space="preserve">erovatnije zbog otpuštanja citokina u roku od 24 sata od </w:t>
      </w:r>
      <w:r w:rsidR="00A21698" w:rsidRPr="005436C8">
        <w:rPr>
          <w:noProof/>
          <w:color w:val="000000"/>
          <w:sz w:val="22"/>
          <w:szCs w:val="22"/>
          <w:lang w:val="sr-Latn-ME"/>
        </w:rPr>
        <w:t>primjene</w:t>
      </w:r>
      <w:r w:rsidR="000C7302" w:rsidRPr="005436C8">
        <w:rPr>
          <w:noProof/>
          <w:color w:val="000000"/>
          <w:sz w:val="22"/>
          <w:szCs w:val="22"/>
          <w:lang w:val="sr-Latn-ME"/>
        </w:rPr>
        <w:t xml:space="preserve"> </w:t>
      </w:r>
      <w:r w:rsidR="00166973" w:rsidRPr="005436C8">
        <w:rPr>
          <w:noProof/>
          <w:color w:val="000000"/>
          <w:sz w:val="22"/>
          <w:szCs w:val="22"/>
          <w:lang w:val="sr-Latn-ME"/>
        </w:rPr>
        <w:t>lijek</w:t>
      </w:r>
      <w:r w:rsidR="000C7302" w:rsidRPr="005436C8">
        <w:rPr>
          <w:noProof/>
          <w:color w:val="000000"/>
          <w:sz w:val="22"/>
          <w:szCs w:val="22"/>
          <w:lang w:val="sr-Latn-ME"/>
        </w:rPr>
        <w:t xml:space="preserve">a Phesgo. Preporučuje se pažljivo posmatranje pacijenta tokom </w:t>
      </w:r>
      <w:r w:rsidR="00A21698" w:rsidRPr="005436C8">
        <w:rPr>
          <w:noProof/>
          <w:color w:val="000000"/>
          <w:sz w:val="22"/>
          <w:szCs w:val="22"/>
          <w:lang w:val="sr-Latn-ME"/>
        </w:rPr>
        <w:t>primjene</w:t>
      </w:r>
      <w:r w:rsidR="000C7302" w:rsidRPr="005436C8">
        <w:rPr>
          <w:noProof/>
          <w:color w:val="000000"/>
          <w:sz w:val="22"/>
          <w:szCs w:val="22"/>
          <w:lang w:val="sr-Latn-ME"/>
        </w:rPr>
        <w:t xml:space="preserve"> </w:t>
      </w:r>
      <w:r w:rsidR="00166973" w:rsidRPr="005436C8">
        <w:rPr>
          <w:noProof/>
          <w:color w:val="000000"/>
          <w:sz w:val="22"/>
          <w:szCs w:val="22"/>
          <w:lang w:val="sr-Latn-ME"/>
        </w:rPr>
        <w:t>lijek</w:t>
      </w:r>
      <w:r w:rsidR="000C7302" w:rsidRPr="005436C8">
        <w:rPr>
          <w:noProof/>
          <w:color w:val="000000"/>
          <w:sz w:val="22"/>
          <w:szCs w:val="22"/>
          <w:lang w:val="sr-Latn-ME"/>
        </w:rPr>
        <w:t xml:space="preserve">a Phesgo i 30 minuta nakon </w:t>
      </w:r>
      <w:r w:rsidR="00A21698" w:rsidRPr="005436C8">
        <w:rPr>
          <w:noProof/>
          <w:color w:val="000000"/>
          <w:sz w:val="22"/>
          <w:szCs w:val="22"/>
          <w:lang w:val="sr-Latn-ME"/>
        </w:rPr>
        <w:t>primjene</w:t>
      </w:r>
      <w:r w:rsidR="000C7302" w:rsidRPr="005436C8">
        <w:rPr>
          <w:noProof/>
          <w:color w:val="000000"/>
          <w:sz w:val="22"/>
          <w:szCs w:val="22"/>
          <w:lang w:val="sr-Latn-ME"/>
        </w:rPr>
        <w:t xml:space="preserve"> udarne doze, kao i tokom </w:t>
      </w:r>
      <w:r w:rsidR="00A21698" w:rsidRPr="005436C8">
        <w:rPr>
          <w:noProof/>
          <w:color w:val="000000"/>
          <w:sz w:val="22"/>
          <w:szCs w:val="22"/>
          <w:lang w:val="sr-Latn-ME"/>
        </w:rPr>
        <w:t>primjene</w:t>
      </w:r>
      <w:r w:rsidR="000C7302" w:rsidRPr="005436C8">
        <w:rPr>
          <w:noProof/>
          <w:color w:val="000000"/>
          <w:sz w:val="22"/>
          <w:szCs w:val="22"/>
          <w:lang w:val="sr-Latn-ME"/>
        </w:rPr>
        <w:t xml:space="preserve"> i 15 minuta nakon </w:t>
      </w:r>
      <w:r w:rsidR="00A21698" w:rsidRPr="005436C8">
        <w:rPr>
          <w:noProof/>
          <w:color w:val="000000"/>
          <w:sz w:val="22"/>
          <w:szCs w:val="22"/>
          <w:lang w:val="sr-Latn-ME"/>
        </w:rPr>
        <w:t>primjene</w:t>
      </w:r>
      <w:r w:rsidR="000C7302" w:rsidRPr="005436C8">
        <w:rPr>
          <w:noProof/>
          <w:color w:val="000000"/>
          <w:sz w:val="22"/>
          <w:szCs w:val="22"/>
          <w:lang w:val="sr-Latn-ME"/>
        </w:rPr>
        <w:t xml:space="preserve"> doze održavanja. Ukoliko se javi značajna reakcija povezana sa injekcijom, injekciju treba usporiti ili pauzirati i treba prim</w:t>
      </w:r>
      <w:r w:rsidRPr="005436C8">
        <w:rPr>
          <w:noProof/>
          <w:color w:val="000000"/>
          <w:sz w:val="22"/>
          <w:szCs w:val="22"/>
          <w:lang w:val="sr-Latn-ME"/>
        </w:rPr>
        <w:t>i</w:t>
      </w:r>
      <w:r w:rsidR="00385576" w:rsidRPr="005436C8">
        <w:rPr>
          <w:noProof/>
          <w:color w:val="000000"/>
          <w:sz w:val="22"/>
          <w:szCs w:val="22"/>
          <w:lang w:val="sr-Latn-ME"/>
        </w:rPr>
        <w:t>j</w:t>
      </w:r>
      <w:r w:rsidR="000C7302" w:rsidRPr="005436C8">
        <w:rPr>
          <w:noProof/>
          <w:color w:val="000000"/>
          <w:sz w:val="22"/>
          <w:szCs w:val="22"/>
          <w:lang w:val="sr-Latn-ME"/>
        </w:rPr>
        <w:t>eniti odgovarajuću medicinsku terapiju. Pacijente treba proc</w:t>
      </w:r>
      <w:r w:rsidR="00385576" w:rsidRPr="005436C8">
        <w:rPr>
          <w:noProof/>
          <w:color w:val="000000"/>
          <w:sz w:val="22"/>
          <w:szCs w:val="22"/>
          <w:lang w:val="sr-Latn-ME"/>
        </w:rPr>
        <w:t>j</w:t>
      </w:r>
      <w:r w:rsidR="000C7302" w:rsidRPr="005436C8">
        <w:rPr>
          <w:noProof/>
          <w:color w:val="000000"/>
          <w:sz w:val="22"/>
          <w:szCs w:val="22"/>
          <w:lang w:val="sr-Latn-ME"/>
        </w:rPr>
        <w:t xml:space="preserve">enjivati i pažljivo pratiti sve do potpunog povlačenja znaka i simptoma. Treba razmotriti trajni prekid </w:t>
      </w:r>
      <w:r w:rsidR="00A21698" w:rsidRPr="005436C8">
        <w:rPr>
          <w:noProof/>
          <w:color w:val="000000"/>
          <w:sz w:val="22"/>
          <w:szCs w:val="22"/>
          <w:lang w:val="sr-Latn-ME"/>
        </w:rPr>
        <w:t>primjene</w:t>
      </w:r>
      <w:r w:rsidR="000C7302" w:rsidRPr="005436C8">
        <w:rPr>
          <w:noProof/>
          <w:color w:val="000000"/>
          <w:sz w:val="22"/>
          <w:szCs w:val="22"/>
          <w:lang w:val="sr-Latn-ME"/>
        </w:rPr>
        <w:t xml:space="preserve"> kod pacijenata sa teškim reakcijama povezanim sa injekcijom. Ta klinička proc</w:t>
      </w:r>
      <w:r w:rsidR="00385576" w:rsidRPr="005436C8">
        <w:rPr>
          <w:noProof/>
          <w:color w:val="000000"/>
          <w:sz w:val="22"/>
          <w:szCs w:val="22"/>
          <w:lang w:val="sr-Latn-ME"/>
        </w:rPr>
        <w:t>j</w:t>
      </w:r>
      <w:r w:rsidR="000C7302" w:rsidRPr="005436C8">
        <w:rPr>
          <w:noProof/>
          <w:color w:val="000000"/>
          <w:sz w:val="22"/>
          <w:szCs w:val="22"/>
          <w:lang w:val="sr-Latn-ME"/>
        </w:rPr>
        <w:t>ena treba da se zasniva na težini prethodne reakcije i odgovora na prim</w:t>
      </w:r>
      <w:r w:rsidR="002700CC" w:rsidRPr="005436C8">
        <w:rPr>
          <w:noProof/>
          <w:color w:val="000000"/>
          <w:sz w:val="22"/>
          <w:szCs w:val="22"/>
          <w:lang w:val="sr-Latn-ME"/>
        </w:rPr>
        <w:t>i</w:t>
      </w:r>
      <w:r w:rsidR="00385576" w:rsidRPr="005436C8">
        <w:rPr>
          <w:noProof/>
          <w:color w:val="000000"/>
          <w:sz w:val="22"/>
          <w:szCs w:val="22"/>
          <w:lang w:val="sr-Latn-ME"/>
        </w:rPr>
        <w:t>j</w:t>
      </w:r>
      <w:r w:rsidR="000C7302" w:rsidRPr="005436C8">
        <w:rPr>
          <w:noProof/>
          <w:color w:val="000000"/>
          <w:sz w:val="22"/>
          <w:szCs w:val="22"/>
          <w:lang w:val="sr-Latn-ME"/>
        </w:rPr>
        <w:t xml:space="preserve">enjenu terapiju za neželjene reakcije (pogledati </w:t>
      </w:r>
      <w:r w:rsidR="009B712A">
        <w:rPr>
          <w:noProof/>
          <w:color w:val="000000"/>
          <w:sz w:val="22"/>
          <w:szCs w:val="22"/>
          <w:lang w:val="sr-Latn-ME"/>
        </w:rPr>
        <w:t>dio</w:t>
      </w:r>
      <w:r w:rsidR="000C7302" w:rsidRPr="005436C8">
        <w:rPr>
          <w:noProof/>
          <w:color w:val="000000"/>
          <w:sz w:val="22"/>
          <w:szCs w:val="22"/>
          <w:lang w:val="sr-Latn-ME"/>
        </w:rPr>
        <w:t xml:space="preserve"> 4.2). </w:t>
      </w:r>
      <w:r w:rsidR="000C7302" w:rsidRPr="005436C8">
        <w:rPr>
          <w:color w:val="000000"/>
          <w:sz w:val="22"/>
          <w:szCs w:val="22"/>
          <w:lang w:val="sr-Latn-ME"/>
        </w:rPr>
        <w:t xml:space="preserve">Iako kod </w:t>
      </w:r>
      <w:r w:rsidR="00A21698" w:rsidRPr="005436C8">
        <w:rPr>
          <w:color w:val="000000"/>
          <w:sz w:val="22"/>
          <w:szCs w:val="22"/>
          <w:lang w:val="sr-Latn-ME"/>
        </w:rPr>
        <w:t>primjene</w:t>
      </w:r>
      <w:r w:rsidR="000C7302" w:rsidRPr="005436C8">
        <w:rPr>
          <w:color w:val="000000"/>
          <w:sz w:val="22"/>
          <w:szCs w:val="22"/>
          <w:lang w:val="sr-Latn-ME"/>
        </w:rPr>
        <w:t xml:space="preserve"> </w:t>
      </w:r>
      <w:r w:rsidR="00166973" w:rsidRPr="005436C8">
        <w:rPr>
          <w:color w:val="000000"/>
          <w:sz w:val="22"/>
          <w:szCs w:val="22"/>
          <w:lang w:val="sr-Latn-ME"/>
        </w:rPr>
        <w:t>lijek</w:t>
      </w:r>
      <w:r w:rsidR="000C7302" w:rsidRPr="005436C8">
        <w:rPr>
          <w:color w:val="000000"/>
          <w:sz w:val="22"/>
          <w:szCs w:val="22"/>
          <w:lang w:val="sr-Latn-ME"/>
        </w:rPr>
        <w:t xml:space="preserve">a </w:t>
      </w:r>
      <w:r w:rsidR="000C7302" w:rsidRPr="005436C8">
        <w:rPr>
          <w:noProof/>
          <w:color w:val="000000"/>
          <w:sz w:val="22"/>
          <w:szCs w:val="22"/>
          <w:lang w:val="sr-Latn-ME"/>
        </w:rPr>
        <w:t>Phesgo</w:t>
      </w:r>
      <w:r w:rsidR="000C7302" w:rsidRPr="005436C8">
        <w:rPr>
          <w:color w:val="000000"/>
          <w:sz w:val="22"/>
          <w:szCs w:val="22"/>
          <w:lang w:val="sr-Latn-ME"/>
        </w:rPr>
        <w:t xml:space="preserve"> nisu zab</w:t>
      </w:r>
      <w:r w:rsidR="000825A5" w:rsidRPr="005436C8">
        <w:rPr>
          <w:color w:val="000000"/>
          <w:sz w:val="22"/>
          <w:szCs w:val="22"/>
          <w:lang w:val="sr-Latn-ME"/>
        </w:rPr>
        <w:t>ilje</w:t>
      </w:r>
      <w:r w:rsidR="000C7302" w:rsidRPr="005436C8">
        <w:rPr>
          <w:color w:val="000000"/>
          <w:sz w:val="22"/>
          <w:szCs w:val="22"/>
          <w:lang w:val="sr-Latn-ME"/>
        </w:rPr>
        <w:t xml:space="preserve">žene reakcije povezane sa injekcijom sa smrtnim ishodom, potrebno je oprezno postupati jer je </w:t>
      </w:r>
      <w:r w:rsidR="00A21698" w:rsidRPr="005436C8">
        <w:rPr>
          <w:color w:val="000000"/>
          <w:sz w:val="22"/>
          <w:szCs w:val="22"/>
          <w:lang w:val="sr-Latn-ME"/>
        </w:rPr>
        <w:t>primjena</w:t>
      </w:r>
      <w:r w:rsidR="000C7302" w:rsidRPr="005436C8">
        <w:rPr>
          <w:color w:val="000000"/>
          <w:sz w:val="22"/>
          <w:szCs w:val="22"/>
          <w:lang w:val="sr-Latn-ME"/>
        </w:rPr>
        <w:t xml:space="preserve"> intravenskog pertuzumaba u kombinaciji sa intravenskim trastuzumabom i hemoterapijom povezana sa fatalnim reakcijama na infuziju</w:t>
      </w:r>
      <w:r w:rsidR="000C7302" w:rsidRPr="005436C8">
        <w:rPr>
          <w:noProof/>
          <w:color w:val="000000"/>
          <w:sz w:val="22"/>
          <w:szCs w:val="22"/>
          <w:lang w:val="sr-Latn-ME"/>
        </w:rPr>
        <w:t>.</w:t>
      </w:r>
    </w:p>
    <w:p w14:paraId="1DAB7B66" w14:textId="77777777" w:rsidR="000C7302" w:rsidRPr="005436C8" w:rsidRDefault="000C7302" w:rsidP="005436C8">
      <w:pPr>
        <w:tabs>
          <w:tab w:val="left" w:pos="284"/>
        </w:tabs>
        <w:jc w:val="both"/>
        <w:rPr>
          <w:noProof/>
          <w:color w:val="000000"/>
          <w:sz w:val="22"/>
          <w:szCs w:val="22"/>
          <w:u w:val="single"/>
          <w:lang w:val="sr-Latn-ME"/>
        </w:rPr>
      </w:pPr>
    </w:p>
    <w:p w14:paraId="56A9AA7B"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 xml:space="preserve">Reakcije </w:t>
      </w:r>
      <w:r w:rsidR="00362B4E" w:rsidRPr="005436C8">
        <w:rPr>
          <w:noProof/>
          <w:color w:val="000000"/>
          <w:sz w:val="22"/>
          <w:szCs w:val="22"/>
          <w:u w:val="single"/>
          <w:lang w:val="sr-Latn-ME"/>
        </w:rPr>
        <w:t>preosjetljivost</w:t>
      </w:r>
      <w:r w:rsidRPr="005436C8">
        <w:rPr>
          <w:noProof/>
          <w:color w:val="000000"/>
          <w:sz w:val="22"/>
          <w:szCs w:val="22"/>
          <w:u w:val="single"/>
          <w:lang w:val="sr-Latn-ME"/>
        </w:rPr>
        <w:t xml:space="preserve">i/anafilaksa </w:t>
      </w:r>
    </w:p>
    <w:p w14:paraId="45FE13E3" w14:textId="77777777" w:rsidR="000C7302" w:rsidRPr="005436C8" w:rsidRDefault="000C7302" w:rsidP="005436C8">
      <w:pPr>
        <w:tabs>
          <w:tab w:val="left" w:pos="284"/>
        </w:tabs>
        <w:jc w:val="both"/>
        <w:rPr>
          <w:noProof/>
          <w:color w:val="000000"/>
          <w:sz w:val="22"/>
          <w:szCs w:val="22"/>
          <w:lang w:val="sr-Latn-ME"/>
        </w:rPr>
      </w:pPr>
    </w:p>
    <w:p w14:paraId="3F4DD830" w14:textId="2C99EAD0"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Potrebno je pažljivo posmatrati pacijente zbog pojave reakcija </w:t>
      </w:r>
      <w:r w:rsidR="00362B4E" w:rsidRPr="005436C8">
        <w:rPr>
          <w:noProof/>
          <w:color w:val="000000"/>
          <w:sz w:val="22"/>
          <w:szCs w:val="22"/>
          <w:lang w:val="sr-Latn-ME"/>
        </w:rPr>
        <w:t>preosjetljivost</w:t>
      </w:r>
      <w:r w:rsidRPr="005436C8">
        <w:rPr>
          <w:noProof/>
          <w:color w:val="000000"/>
          <w:sz w:val="22"/>
          <w:szCs w:val="22"/>
          <w:lang w:val="sr-Latn-ME"/>
        </w:rPr>
        <w:t xml:space="preserve">i. Kod </w:t>
      </w:r>
      <w:r w:rsidR="00A21698" w:rsidRPr="005436C8">
        <w:rPr>
          <w:noProof/>
          <w:color w:val="000000"/>
          <w:sz w:val="22"/>
          <w:szCs w:val="22"/>
          <w:lang w:val="sr-Latn-ME"/>
        </w:rPr>
        <w:t>primjene</w:t>
      </w:r>
      <w:r w:rsidRPr="005436C8">
        <w:rPr>
          <w:noProof/>
          <w:color w:val="000000"/>
          <w:sz w:val="22"/>
          <w:szCs w:val="22"/>
          <w:lang w:val="sr-Latn-ME"/>
        </w:rPr>
        <w:t xml:space="preserve"> pertuzumaba u kombinaciji sa trastuzumabom i hemoterapijom</w:t>
      </w:r>
      <w:r w:rsidR="009F09FE" w:rsidRPr="005436C8">
        <w:rPr>
          <w:noProof/>
          <w:color w:val="000000"/>
          <w:sz w:val="22"/>
          <w:szCs w:val="22"/>
          <w:lang w:val="sr-Latn-ME"/>
        </w:rPr>
        <w:t>,</w:t>
      </w:r>
      <w:r w:rsidRPr="005436C8">
        <w:rPr>
          <w:noProof/>
          <w:color w:val="000000"/>
          <w:sz w:val="22"/>
          <w:szCs w:val="22"/>
          <w:lang w:val="sr-Latn-ME"/>
        </w:rPr>
        <w:t xml:space="preserve"> </w:t>
      </w:r>
      <w:r w:rsidRPr="005436C8">
        <w:rPr>
          <w:color w:val="000000"/>
          <w:sz w:val="22"/>
          <w:szCs w:val="22"/>
          <w:lang w:val="sr-Latn-ME"/>
        </w:rPr>
        <w:t>zab</w:t>
      </w:r>
      <w:r w:rsidR="000825A5" w:rsidRPr="005436C8">
        <w:rPr>
          <w:color w:val="000000"/>
          <w:sz w:val="22"/>
          <w:szCs w:val="22"/>
          <w:lang w:val="sr-Latn-ME"/>
        </w:rPr>
        <w:t>i</w:t>
      </w:r>
      <w:r w:rsidRPr="005436C8">
        <w:rPr>
          <w:color w:val="000000"/>
          <w:sz w:val="22"/>
          <w:szCs w:val="22"/>
          <w:lang w:val="sr-Latn-ME"/>
        </w:rPr>
        <w:t>l</w:t>
      </w:r>
      <w:r w:rsidR="000825A5" w:rsidRPr="005436C8">
        <w:rPr>
          <w:color w:val="000000"/>
          <w:sz w:val="22"/>
          <w:szCs w:val="22"/>
          <w:lang w:val="sr-Latn-ME"/>
        </w:rPr>
        <w:t>j</w:t>
      </w:r>
      <w:r w:rsidRPr="005436C8">
        <w:rPr>
          <w:color w:val="000000"/>
          <w:sz w:val="22"/>
          <w:szCs w:val="22"/>
          <w:lang w:val="sr-Latn-ME"/>
        </w:rPr>
        <w:t xml:space="preserve">ežene su teške reakcije </w:t>
      </w:r>
      <w:r w:rsidR="00362B4E" w:rsidRPr="005436C8">
        <w:rPr>
          <w:color w:val="000000"/>
          <w:sz w:val="22"/>
          <w:szCs w:val="22"/>
          <w:lang w:val="sr-Latn-ME"/>
        </w:rPr>
        <w:t>preosjetljivost</w:t>
      </w:r>
      <w:r w:rsidRPr="005436C8">
        <w:rPr>
          <w:color w:val="000000"/>
          <w:sz w:val="22"/>
          <w:szCs w:val="22"/>
          <w:lang w:val="sr-Latn-ME"/>
        </w:rPr>
        <w:t>i, uključujući anafilaksu i događaje sa smrtnim ishodom</w:t>
      </w:r>
      <w:r w:rsidRPr="005436C8">
        <w:rPr>
          <w:noProof/>
          <w:color w:val="000000"/>
          <w:sz w:val="22"/>
          <w:szCs w:val="22"/>
          <w:lang w:val="sr-Latn-ME"/>
        </w:rPr>
        <w:t xml:space="preserve"> (pogledati </w:t>
      </w:r>
      <w:r w:rsidR="009B712A">
        <w:rPr>
          <w:noProof/>
          <w:color w:val="000000"/>
          <w:sz w:val="22"/>
          <w:szCs w:val="22"/>
          <w:lang w:val="sr-Latn-ME"/>
        </w:rPr>
        <w:t>dio</w:t>
      </w:r>
      <w:r w:rsidRPr="005436C8">
        <w:rPr>
          <w:noProof/>
          <w:color w:val="000000"/>
          <w:sz w:val="22"/>
          <w:szCs w:val="22"/>
          <w:lang w:val="sr-Latn-ME"/>
        </w:rPr>
        <w:t xml:space="preserve"> 4.8). Većina anafilaktičkih reakcija se javila tokom prvih 6–8 ciklusa </w:t>
      </w:r>
      <w:r w:rsidR="000A2EA9" w:rsidRPr="005436C8">
        <w:rPr>
          <w:noProof/>
          <w:color w:val="000000"/>
          <w:sz w:val="22"/>
          <w:szCs w:val="22"/>
          <w:lang w:val="sr-Latn-ME"/>
        </w:rPr>
        <w:t>liječenja</w:t>
      </w:r>
      <w:r w:rsidRPr="005436C8">
        <w:rPr>
          <w:noProof/>
          <w:color w:val="000000"/>
          <w:sz w:val="22"/>
          <w:szCs w:val="22"/>
          <w:lang w:val="sr-Latn-ME"/>
        </w:rPr>
        <w:t xml:space="preserve"> kod </w:t>
      </w:r>
      <w:r w:rsidR="00A21698" w:rsidRPr="005436C8">
        <w:rPr>
          <w:noProof/>
          <w:color w:val="000000"/>
          <w:sz w:val="22"/>
          <w:szCs w:val="22"/>
          <w:lang w:val="sr-Latn-ME"/>
        </w:rPr>
        <w:t>primjene</w:t>
      </w:r>
      <w:r w:rsidRPr="005436C8">
        <w:rPr>
          <w:noProof/>
          <w:color w:val="000000"/>
          <w:sz w:val="22"/>
          <w:szCs w:val="22"/>
          <w:lang w:val="sr-Latn-ME"/>
        </w:rPr>
        <w:t xml:space="preserve"> pertuzumaba i trastuzumaba u kombinaciji sa hemoterapijom. </w:t>
      </w:r>
      <w:r w:rsidR="00A21698" w:rsidRPr="005436C8">
        <w:rPr>
          <w:noProof/>
          <w:color w:val="000000"/>
          <w:sz w:val="22"/>
          <w:szCs w:val="22"/>
          <w:lang w:val="sr-Latn-ME"/>
        </w:rPr>
        <w:t>Ljekovi</w:t>
      </w:r>
      <w:r w:rsidRPr="005436C8">
        <w:rPr>
          <w:noProof/>
          <w:color w:val="000000"/>
          <w:sz w:val="22"/>
          <w:szCs w:val="22"/>
          <w:lang w:val="sr-Latn-ME"/>
        </w:rPr>
        <w:t xml:space="preserve"> za </w:t>
      </w:r>
      <w:r w:rsidR="00841D7D" w:rsidRPr="005436C8">
        <w:rPr>
          <w:noProof/>
          <w:color w:val="000000"/>
          <w:sz w:val="22"/>
          <w:szCs w:val="22"/>
          <w:lang w:val="sr-Latn-ME"/>
        </w:rPr>
        <w:t>liječenje</w:t>
      </w:r>
      <w:r w:rsidRPr="005436C8">
        <w:rPr>
          <w:noProof/>
          <w:color w:val="000000"/>
          <w:sz w:val="22"/>
          <w:szCs w:val="22"/>
          <w:lang w:val="sr-Latn-ME"/>
        </w:rPr>
        <w:t xml:space="preserve"> takvih reakcija, kao i oprema za hitnu pomoć, treba da budu dostupni za trenutnu </w:t>
      </w:r>
      <w:r w:rsidR="00097926" w:rsidRPr="005436C8">
        <w:rPr>
          <w:noProof/>
          <w:color w:val="000000"/>
          <w:sz w:val="22"/>
          <w:szCs w:val="22"/>
          <w:lang w:val="sr-Latn-ME"/>
        </w:rPr>
        <w:t>primjenu</w:t>
      </w:r>
      <w:r w:rsidRPr="005436C8">
        <w:rPr>
          <w:noProof/>
          <w:color w:val="000000"/>
          <w:sz w:val="22"/>
          <w:szCs w:val="22"/>
          <w:lang w:val="sr-Latn-ME"/>
        </w:rPr>
        <w:t xml:space="preserve">. </w:t>
      </w:r>
      <w:r w:rsidR="009F09FE" w:rsidRPr="005436C8">
        <w:rPr>
          <w:noProof/>
          <w:color w:val="000000"/>
          <w:sz w:val="22"/>
          <w:szCs w:val="22"/>
          <w:lang w:val="sr-Latn-ME"/>
        </w:rPr>
        <w:t xml:space="preserve">Primjena lijeka </w:t>
      </w:r>
      <w:r w:rsidRPr="005436C8">
        <w:rPr>
          <w:noProof/>
          <w:color w:val="000000"/>
          <w:sz w:val="22"/>
          <w:szCs w:val="22"/>
          <w:lang w:val="sr-Latn-ME"/>
        </w:rPr>
        <w:t xml:space="preserve">Phesgo se mora trajno prekinuti ukoliko se kod pacijenta jave reakcije </w:t>
      </w:r>
      <w:r w:rsidR="00362B4E" w:rsidRPr="005436C8">
        <w:rPr>
          <w:noProof/>
          <w:color w:val="000000"/>
          <w:sz w:val="22"/>
          <w:szCs w:val="22"/>
          <w:lang w:val="sr-Latn-ME"/>
        </w:rPr>
        <w:t>preosjetljivost</w:t>
      </w:r>
      <w:r w:rsidRPr="005436C8">
        <w:rPr>
          <w:noProof/>
          <w:color w:val="000000"/>
          <w:sz w:val="22"/>
          <w:szCs w:val="22"/>
          <w:lang w:val="sr-Latn-ME"/>
        </w:rPr>
        <w:t xml:space="preserve">i 4. gradusa prema NCI-CTCAE </w:t>
      </w:r>
      <w:r w:rsidRPr="005436C8">
        <w:rPr>
          <w:noProof/>
          <w:color w:val="000000"/>
          <w:sz w:val="22"/>
          <w:szCs w:val="22"/>
          <w:lang w:val="sr-Latn-ME"/>
        </w:rPr>
        <w:lastRenderedPageBreak/>
        <w:t xml:space="preserve">(anafilaksa), bronhospazam ili sindrom akutnog respiratornog distresa (pogledati </w:t>
      </w:r>
      <w:r w:rsidR="009B712A">
        <w:rPr>
          <w:noProof/>
          <w:color w:val="000000"/>
          <w:sz w:val="22"/>
          <w:szCs w:val="22"/>
          <w:lang w:val="sr-Latn-ME"/>
        </w:rPr>
        <w:t>dio</w:t>
      </w:r>
      <w:r w:rsidRPr="005436C8">
        <w:rPr>
          <w:noProof/>
          <w:color w:val="000000"/>
          <w:sz w:val="22"/>
          <w:szCs w:val="22"/>
          <w:lang w:val="sr-Latn-ME"/>
        </w:rPr>
        <w:t xml:space="preserve"> 4.2). </w:t>
      </w:r>
      <w:r w:rsidR="00166973" w:rsidRPr="005436C8">
        <w:rPr>
          <w:noProof/>
          <w:color w:val="000000"/>
          <w:sz w:val="22"/>
          <w:szCs w:val="22"/>
          <w:lang w:val="sr-Latn-ME"/>
        </w:rPr>
        <w:t>Lijek</w:t>
      </w:r>
      <w:r w:rsidRPr="005436C8">
        <w:rPr>
          <w:noProof/>
          <w:color w:val="000000"/>
          <w:sz w:val="22"/>
          <w:szCs w:val="22"/>
          <w:lang w:val="sr-Latn-ME"/>
        </w:rPr>
        <w:t xml:space="preserve"> Phesgo je kontraindikovan kod pacijenata sa poznatom preos</w:t>
      </w:r>
      <w:r w:rsidR="002C62D2" w:rsidRPr="005436C8">
        <w:rPr>
          <w:noProof/>
          <w:color w:val="000000"/>
          <w:sz w:val="22"/>
          <w:szCs w:val="22"/>
          <w:lang w:val="sr-Latn-ME"/>
        </w:rPr>
        <w:t>j</w:t>
      </w:r>
      <w:r w:rsidRPr="005436C8">
        <w:rPr>
          <w:noProof/>
          <w:color w:val="000000"/>
          <w:sz w:val="22"/>
          <w:szCs w:val="22"/>
          <w:lang w:val="sr-Latn-ME"/>
        </w:rPr>
        <w:t xml:space="preserve">etljivošću na pertuzumab, trastuzumab ili </w:t>
      </w:r>
      <w:r w:rsidR="009F09FE" w:rsidRPr="005436C8">
        <w:rPr>
          <w:noProof/>
          <w:color w:val="000000"/>
          <w:sz w:val="22"/>
          <w:szCs w:val="22"/>
          <w:lang w:val="sr-Latn-ME"/>
        </w:rPr>
        <w:t xml:space="preserve">na </w:t>
      </w:r>
      <w:r w:rsidRPr="005436C8">
        <w:rPr>
          <w:noProof/>
          <w:color w:val="000000"/>
          <w:sz w:val="22"/>
          <w:szCs w:val="22"/>
          <w:lang w:val="sr-Latn-ME"/>
        </w:rPr>
        <w:t xml:space="preserve">bilo koju od njegovih pomoćnih supstanci (pogledati </w:t>
      </w:r>
      <w:r w:rsidR="009B712A">
        <w:rPr>
          <w:noProof/>
          <w:color w:val="000000"/>
          <w:sz w:val="22"/>
          <w:szCs w:val="22"/>
          <w:lang w:val="sr-Latn-ME"/>
        </w:rPr>
        <w:t>dio</w:t>
      </w:r>
      <w:r w:rsidRPr="005436C8">
        <w:rPr>
          <w:noProof/>
          <w:color w:val="000000"/>
          <w:sz w:val="22"/>
          <w:szCs w:val="22"/>
          <w:lang w:val="sr-Latn-ME"/>
        </w:rPr>
        <w:t xml:space="preserve"> 4.3). </w:t>
      </w:r>
    </w:p>
    <w:p w14:paraId="286B726B" w14:textId="77777777" w:rsidR="000C7302" w:rsidRPr="005436C8" w:rsidRDefault="000C7302" w:rsidP="005436C8">
      <w:pPr>
        <w:tabs>
          <w:tab w:val="left" w:pos="284"/>
        </w:tabs>
        <w:jc w:val="both"/>
        <w:rPr>
          <w:noProof/>
          <w:color w:val="000000"/>
          <w:sz w:val="22"/>
          <w:szCs w:val="22"/>
          <w:lang w:val="sr-Latn-ME"/>
        </w:rPr>
      </w:pPr>
    </w:p>
    <w:p w14:paraId="3D114990"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Febrilna neutropenija</w:t>
      </w:r>
    </w:p>
    <w:p w14:paraId="5B3FF938" w14:textId="77777777" w:rsidR="000C7302" w:rsidRPr="005436C8" w:rsidRDefault="000C7302" w:rsidP="005436C8">
      <w:pPr>
        <w:tabs>
          <w:tab w:val="left" w:pos="284"/>
        </w:tabs>
        <w:jc w:val="both"/>
        <w:rPr>
          <w:noProof/>
          <w:color w:val="000000"/>
          <w:sz w:val="22"/>
          <w:szCs w:val="22"/>
          <w:u w:val="single"/>
          <w:lang w:val="sr-Latn-ME"/>
        </w:rPr>
      </w:pPr>
    </w:p>
    <w:p w14:paraId="4048C65D"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Kod pacijenata </w:t>
      </w:r>
      <w:r w:rsidR="00097926" w:rsidRPr="005436C8">
        <w:rPr>
          <w:noProof/>
          <w:color w:val="000000"/>
          <w:sz w:val="22"/>
          <w:szCs w:val="22"/>
          <w:lang w:val="sr-Latn-ME"/>
        </w:rPr>
        <w:t>liječeni</w:t>
      </w:r>
      <w:r w:rsidRPr="005436C8">
        <w:rPr>
          <w:noProof/>
          <w:color w:val="000000"/>
          <w:sz w:val="22"/>
          <w:szCs w:val="22"/>
          <w:lang w:val="sr-Latn-ME"/>
        </w:rPr>
        <w:t xml:space="preserve">h </w:t>
      </w:r>
      <w:r w:rsidR="00166973" w:rsidRPr="005436C8">
        <w:rPr>
          <w:noProof/>
          <w:color w:val="000000"/>
          <w:sz w:val="22"/>
          <w:szCs w:val="22"/>
          <w:lang w:val="sr-Latn-ME"/>
        </w:rPr>
        <w:t>lijek</w:t>
      </w:r>
      <w:r w:rsidRPr="005436C8">
        <w:rPr>
          <w:noProof/>
          <w:color w:val="000000"/>
          <w:sz w:val="22"/>
          <w:szCs w:val="22"/>
          <w:lang w:val="sr-Latn-ME"/>
        </w:rPr>
        <w:t xml:space="preserve">om Phesgo u kombinaciji sa taksanom postoji povišeni rizik od pojave febrilne neutropenije. </w:t>
      </w:r>
    </w:p>
    <w:p w14:paraId="42EEC2A4" w14:textId="77777777" w:rsidR="000C7302" w:rsidRPr="005436C8" w:rsidRDefault="000C7302" w:rsidP="005436C8">
      <w:pPr>
        <w:tabs>
          <w:tab w:val="left" w:pos="284"/>
        </w:tabs>
        <w:jc w:val="both"/>
        <w:rPr>
          <w:noProof/>
          <w:color w:val="000000"/>
          <w:sz w:val="22"/>
          <w:szCs w:val="22"/>
          <w:lang w:val="sr-Latn-ME"/>
        </w:rPr>
      </w:pPr>
    </w:p>
    <w:p w14:paraId="5CADD3C9" w14:textId="3CE504FB"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Pacijenti </w:t>
      </w:r>
      <w:r w:rsidR="00097926" w:rsidRPr="005436C8">
        <w:rPr>
          <w:noProof/>
          <w:color w:val="000000"/>
          <w:sz w:val="22"/>
          <w:szCs w:val="22"/>
          <w:lang w:val="sr-Latn-ME"/>
        </w:rPr>
        <w:t>liječeni</w:t>
      </w:r>
      <w:r w:rsidRPr="005436C8">
        <w:rPr>
          <w:noProof/>
          <w:color w:val="000000"/>
          <w:sz w:val="22"/>
          <w:szCs w:val="22"/>
          <w:lang w:val="sr-Latn-ME"/>
        </w:rPr>
        <w:t xml:space="preserve"> intravenskim pertuzumabom u kombinaciji sa trastuzumabom i docetakselom imaju povećan rizik od febrilne neutropenije u poređenju sa pacijentima koji primaju placebo, trastuzumab i docetaksel, posebno tokom prva 3 ciklusa </w:t>
      </w:r>
      <w:r w:rsidR="000A2EA9" w:rsidRPr="005436C8">
        <w:rPr>
          <w:noProof/>
          <w:color w:val="000000"/>
          <w:sz w:val="22"/>
          <w:szCs w:val="22"/>
          <w:lang w:val="sr-Latn-ME"/>
        </w:rPr>
        <w:t>liječenja</w:t>
      </w:r>
      <w:r w:rsidRPr="005436C8">
        <w:rPr>
          <w:noProof/>
          <w:color w:val="000000"/>
          <w:sz w:val="22"/>
          <w:szCs w:val="22"/>
          <w:lang w:val="sr-Latn-ME"/>
        </w:rPr>
        <w:t xml:space="preserve"> (pogledati </w:t>
      </w:r>
      <w:r w:rsidR="009B712A">
        <w:rPr>
          <w:noProof/>
          <w:color w:val="000000"/>
          <w:sz w:val="22"/>
          <w:szCs w:val="22"/>
          <w:lang w:val="sr-Latn-ME"/>
        </w:rPr>
        <w:t>dio</w:t>
      </w:r>
      <w:r w:rsidRPr="005436C8">
        <w:rPr>
          <w:noProof/>
          <w:color w:val="000000"/>
          <w:sz w:val="22"/>
          <w:szCs w:val="22"/>
          <w:lang w:val="sr-Latn-ME"/>
        </w:rPr>
        <w:t xml:space="preserve"> 4.8). U ispitivanju metastatskog karcinoma dojke pod nazivom CLEOPATRA, najniža </w:t>
      </w:r>
      <w:r w:rsidR="000A2EA9" w:rsidRPr="005436C8">
        <w:rPr>
          <w:noProof/>
          <w:color w:val="000000"/>
          <w:sz w:val="22"/>
          <w:szCs w:val="22"/>
          <w:lang w:val="sr-Latn-ME"/>
        </w:rPr>
        <w:t>vrijednost</w:t>
      </w:r>
      <w:r w:rsidRPr="005436C8">
        <w:rPr>
          <w:noProof/>
          <w:color w:val="000000"/>
          <w:sz w:val="22"/>
          <w:szCs w:val="22"/>
          <w:lang w:val="sr-Latn-ME"/>
        </w:rPr>
        <w:t xml:space="preserve"> neutrofila bila je slična kod pacijenata </w:t>
      </w:r>
      <w:r w:rsidR="00097926" w:rsidRPr="005436C8">
        <w:rPr>
          <w:noProof/>
          <w:color w:val="000000"/>
          <w:sz w:val="22"/>
          <w:szCs w:val="22"/>
          <w:lang w:val="sr-Latn-ME"/>
        </w:rPr>
        <w:t>liječeni</w:t>
      </w:r>
      <w:r w:rsidRPr="005436C8">
        <w:rPr>
          <w:noProof/>
          <w:color w:val="000000"/>
          <w:sz w:val="22"/>
          <w:szCs w:val="22"/>
          <w:lang w:val="sr-Latn-ME"/>
        </w:rPr>
        <w:t xml:space="preserve">h pertuzumabom i onih koji su primali placebo. Viša incidenca febrilne neutropenije kod pacijenata </w:t>
      </w:r>
      <w:r w:rsidR="00097926" w:rsidRPr="005436C8">
        <w:rPr>
          <w:noProof/>
          <w:color w:val="000000"/>
          <w:sz w:val="22"/>
          <w:szCs w:val="22"/>
          <w:lang w:val="sr-Latn-ME"/>
        </w:rPr>
        <w:t>liječeni</w:t>
      </w:r>
      <w:r w:rsidRPr="005436C8">
        <w:rPr>
          <w:noProof/>
          <w:color w:val="000000"/>
          <w:sz w:val="22"/>
          <w:szCs w:val="22"/>
          <w:lang w:val="sr-Latn-ME"/>
        </w:rPr>
        <w:t xml:space="preserve">h pertuzumabom bila je povezana sa višom incidencom mukozitisa i dijareje kod tih pacijenata. Treba razmotriti simptomatsku terapiju za mukozitis i dijareju. Nakon prestanka </w:t>
      </w:r>
      <w:r w:rsidR="00A21698" w:rsidRPr="005436C8">
        <w:rPr>
          <w:noProof/>
          <w:color w:val="000000"/>
          <w:sz w:val="22"/>
          <w:szCs w:val="22"/>
          <w:lang w:val="sr-Latn-ME"/>
        </w:rPr>
        <w:t>primjene</w:t>
      </w:r>
      <w:r w:rsidRPr="005436C8">
        <w:rPr>
          <w:noProof/>
          <w:color w:val="000000"/>
          <w:sz w:val="22"/>
          <w:szCs w:val="22"/>
          <w:lang w:val="sr-Latn-ME"/>
        </w:rPr>
        <w:t xml:space="preserve"> docetaksela nisu </w:t>
      </w:r>
      <w:r w:rsidR="00FE754C" w:rsidRPr="005436C8">
        <w:rPr>
          <w:noProof/>
          <w:color w:val="000000"/>
          <w:sz w:val="22"/>
          <w:szCs w:val="22"/>
          <w:lang w:val="sr-Latn-ME"/>
        </w:rPr>
        <w:t>zabilježen</w:t>
      </w:r>
      <w:r w:rsidRPr="005436C8">
        <w:rPr>
          <w:noProof/>
          <w:color w:val="000000"/>
          <w:sz w:val="22"/>
          <w:szCs w:val="22"/>
          <w:lang w:val="sr-Latn-ME"/>
        </w:rPr>
        <w:t>i slučajevi febrilne neutropenije.</w:t>
      </w:r>
    </w:p>
    <w:p w14:paraId="13A2A76E" w14:textId="77777777" w:rsidR="000C7302" w:rsidRPr="005436C8" w:rsidRDefault="000C7302" w:rsidP="005436C8">
      <w:pPr>
        <w:tabs>
          <w:tab w:val="left" w:pos="284"/>
        </w:tabs>
        <w:jc w:val="both"/>
        <w:rPr>
          <w:noProof/>
          <w:color w:val="000000"/>
          <w:sz w:val="22"/>
          <w:szCs w:val="22"/>
          <w:lang w:val="sr-Latn-ME"/>
        </w:rPr>
      </w:pPr>
    </w:p>
    <w:p w14:paraId="61FDDF88" w14:textId="77777777" w:rsidR="000C7302" w:rsidRPr="005436C8" w:rsidRDefault="000C7302" w:rsidP="005436C8">
      <w:pPr>
        <w:keepNext/>
        <w:keepLines/>
        <w:tabs>
          <w:tab w:val="left" w:pos="284"/>
        </w:tabs>
        <w:jc w:val="both"/>
        <w:rPr>
          <w:noProof/>
          <w:color w:val="000000"/>
          <w:sz w:val="22"/>
          <w:szCs w:val="22"/>
          <w:u w:val="single"/>
          <w:lang w:val="sr-Latn-ME"/>
        </w:rPr>
      </w:pPr>
      <w:r w:rsidRPr="005436C8">
        <w:rPr>
          <w:noProof/>
          <w:color w:val="000000"/>
          <w:sz w:val="22"/>
          <w:szCs w:val="22"/>
          <w:u w:val="single"/>
          <w:lang w:val="sr-Latn-ME"/>
        </w:rPr>
        <w:t>Dijareja</w:t>
      </w:r>
    </w:p>
    <w:p w14:paraId="63754390" w14:textId="77777777" w:rsidR="000C7302" w:rsidRPr="005436C8" w:rsidRDefault="000C7302" w:rsidP="005436C8">
      <w:pPr>
        <w:keepNext/>
        <w:keepLines/>
        <w:tabs>
          <w:tab w:val="left" w:pos="284"/>
        </w:tabs>
        <w:jc w:val="both"/>
        <w:rPr>
          <w:noProof/>
          <w:color w:val="000000"/>
          <w:sz w:val="22"/>
          <w:szCs w:val="22"/>
          <w:u w:val="single"/>
          <w:lang w:val="sr-Latn-ME"/>
        </w:rPr>
      </w:pPr>
    </w:p>
    <w:p w14:paraId="24ADDF61" w14:textId="77777777" w:rsidR="000C7302" w:rsidRPr="005436C8" w:rsidRDefault="009F09FE" w:rsidP="005436C8">
      <w:pPr>
        <w:keepNext/>
        <w:keepLines/>
        <w:tabs>
          <w:tab w:val="left" w:pos="284"/>
        </w:tabs>
        <w:jc w:val="both"/>
        <w:rPr>
          <w:noProof/>
          <w:color w:val="000000"/>
          <w:sz w:val="22"/>
          <w:szCs w:val="22"/>
          <w:lang w:val="sr-Latn-ME"/>
        </w:rPr>
      </w:pPr>
      <w:r w:rsidRPr="005436C8">
        <w:rPr>
          <w:noProof/>
          <w:color w:val="000000"/>
          <w:sz w:val="22"/>
          <w:szCs w:val="22"/>
          <w:lang w:val="sr-Latn-ME"/>
        </w:rPr>
        <w:t xml:space="preserve">Lijek </w:t>
      </w:r>
      <w:r w:rsidR="000C7302" w:rsidRPr="005436C8">
        <w:rPr>
          <w:noProof/>
          <w:color w:val="000000"/>
          <w:sz w:val="22"/>
          <w:szCs w:val="22"/>
          <w:lang w:val="sr-Latn-ME"/>
        </w:rPr>
        <w:t xml:space="preserve">Phesgo može da izazove tešku dijareju. Dijareja je najčešća tokom </w:t>
      </w:r>
      <w:r w:rsidR="002700CC" w:rsidRPr="005436C8">
        <w:rPr>
          <w:noProof/>
          <w:color w:val="000000"/>
          <w:sz w:val="22"/>
          <w:szCs w:val="22"/>
          <w:lang w:val="sr-Latn-ME"/>
        </w:rPr>
        <w:t>istovrem</w:t>
      </w:r>
      <w:r w:rsidR="00A21698" w:rsidRPr="005436C8">
        <w:rPr>
          <w:noProof/>
          <w:color w:val="000000"/>
          <w:sz w:val="22"/>
          <w:szCs w:val="22"/>
          <w:lang w:val="sr-Latn-ME"/>
        </w:rPr>
        <w:t>e</w:t>
      </w:r>
      <w:r w:rsidR="000C7302" w:rsidRPr="005436C8">
        <w:rPr>
          <w:noProof/>
          <w:color w:val="000000"/>
          <w:sz w:val="22"/>
          <w:szCs w:val="22"/>
          <w:lang w:val="sr-Latn-ME"/>
        </w:rPr>
        <w:t xml:space="preserve">ne </w:t>
      </w:r>
      <w:r w:rsidR="00A21698" w:rsidRPr="005436C8">
        <w:rPr>
          <w:noProof/>
          <w:color w:val="000000"/>
          <w:sz w:val="22"/>
          <w:szCs w:val="22"/>
          <w:lang w:val="sr-Latn-ME"/>
        </w:rPr>
        <w:t>primjene</w:t>
      </w:r>
      <w:r w:rsidR="000C7302" w:rsidRPr="005436C8">
        <w:rPr>
          <w:noProof/>
          <w:color w:val="000000"/>
          <w:sz w:val="22"/>
          <w:szCs w:val="22"/>
          <w:lang w:val="sr-Latn-ME"/>
        </w:rPr>
        <w:t xml:space="preserve"> terapije taksanom. Rizik od dijareje veći je kod pacijenata starijih od 65 godina nego kod pacijenata mlađih od 65 godina. Dijareju treba l</w:t>
      </w:r>
      <w:r w:rsidR="002C62D2" w:rsidRPr="005436C8">
        <w:rPr>
          <w:noProof/>
          <w:color w:val="000000"/>
          <w:sz w:val="22"/>
          <w:szCs w:val="22"/>
          <w:lang w:val="sr-Latn-ME"/>
        </w:rPr>
        <w:t>ij</w:t>
      </w:r>
      <w:r w:rsidR="000C7302" w:rsidRPr="005436C8">
        <w:rPr>
          <w:noProof/>
          <w:color w:val="000000"/>
          <w:sz w:val="22"/>
          <w:szCs w:val="22"/>
          <w:lang w:val="sr-Latn-ME"/>
        </w:rPr>
        <w:t>ečiti u skladu sa standardnom praksom i sm</w:t>
      </w:r>
      <w:r w:rsidR="00CB373C" w:rsidRPr="005436C8">
        <w:rPr>
          <w:noProof/>
          <w:color w:val="000000"/>
          <w:sz w:val="22"/>
          <w:szCs w:val="22"/>
          <w:lang w:val="sr-Latn-ME"/>
        </w:rPr>
        <w:t>j</w:t>
      </w:r>
      <w:r w:rsidR="000C7302" w:rsidRPr="005436C8">
        <w:rPr>
          <w:noProof/>
          <w:color w:val="000000"/>
          <w:sz w:val="22"/>
          <w:szCs w:val="22"/>
          <w:lang w:val="sr-Latn-ME"/>
        </w:rPr>
        <w:t>ernicama. Treba razmotriti ranu intervenciju prim</w:t>
      </w:r>
      <w:r w:rsidR="00CB373C" w:rsidRPr="005436C8">
        <w:rPr>
          <w:noProof/>
          <w:color w:val="000000"/>
          <w:sz w:val="22"/>
          <w:szCs w:val="22"/>
          <w:lang w:val="sr-Latn-ME"/>
        </w:rPr>
        <w:t>j</w:t>
      </w:r>
      <w:r w:rsidR="000C7302" w:rsidRPr="005436C8">
        <w:rPr>
          <w:noProof/>
          <w:color w:val="000000"/>
          <w:sz w:val="22"/>
          <w:szCs w:val="22"/>
          <w:lang w:val="sr-Latn-ME"/>
        </w:rPr>
        <w:t>enom loperamida i nadoknadom tečnosti i e</w:t>
      </w:r>
      <w:r w:rsidR="00166973" w:rsidRPr="005436C8">
        <w:rPr>
          <w:noProof/>
          <w:color w:val="000000"/>
          <w:sz w:val="22"/>
          <w:szCs w:val="22"/>
          <w:lang w:val="sr-Latn-ME"/>
        </w:rPr>
        <w:t>lek</w:t>
      </w:r>
      <w:r w:rsidR="000C7302" w:rsidRPr="005436C8">
        <w:rPr>
          <w:noProof/>
          <w:color w:val="000000"/>
          <w:sz w:val="22"/>
          <w:szCs w:val="22"/>
          <w:lang w:val="sr-Latn-ME"/>
        </w:rPr>
        <w:t>trolita, posebno kod starijih pacijenata i u slučaju teške ili dugotrajne dijareje. Ako se stanje pacijenta ne poboljša, treba razmotriti pri</w:t>
      </w:r>
      <w:r w:rsidR="002700CC" w:rsidRPr="005436C8">
        <w:rPr>
          <w:noProof/>
          <w:color w:val="000000"/>
          <w:sz w:val="22"/>
          <w:szCs w:val="22"/>
          <w:lang w:val="sr-Latn-ME"/>
        </w:rPr>
        <w:t>je</w:t>
      </w:r>
      <w:r w:rsidR="00A21698" w:rsidRPr="005436C8">
        <w:rPr>
          <w:noProof/>
          <w:color w:val="000000"/>
          <w:sz w:val="22"/>
          <w:szCs w:val="22"/>
          <w:lang w:val="sr-Latn-ME"/>
        </w:rPr>
        <w:t>vreme</w:t>
      </w:r>
      <w:r w:rsidR="000C7302" w:rsidRPr="005436C8">
        <w:rPr>
          <w:noProof/>
          <w:color w:val="000000"/>
          <w:sz w:val="22"/>
          <w:szCs w:val="22"/>
          <w:lang w:val="sr-Latn-ME"/>
        </w:rPr>
        <w:t xml:space="preserve">ni prekid terapije </w:t>
      </w:r>
      <w:r w:rsidR="00166973" w:rsidRPr="005436C8">
        <w:rPr>
          <w:noProof/>
          <w:color w:val="000000"/>
          <w:sz w:val="22"/>
          <w:szCs w:val="22"/>
          <w:lang w:val="sr-Latn-ME"/>
        </w:rPr>
        <w:t>lijek</w:t>
      </w:r>
      <w:r w:rsidR="000C7302" w:rsidRPr="005436C8">
        <w:rPr>
          <w:noProof/>
          <w:color w:val="000000"/>
          <w:sz w:val="22"/>
          <w:szCs w:val="22"/>
          <w:lang w:val="sr-Latn-ME"/>
        </w:rPr>
        <w:t xml:space="preserve">om Phesgo. Kad se dijareja stavi pod kontrolu, </w:t>
      </w:r>
      <w:r w:rsidR="00841D7D" w:rsidRPr="005436C8">
        <w:rPr>
          <w:noProof/>
          <w:color w:val="000000"/>
          <w:sz w:val="22"/>
          <w:szCs w:val="22"/>
          <w:lang w:val="sr-Latn-ME"/>
        </w:rPr>
        <w:t>liječenje</w:t>
      </w:r>
      <w:r w:rsidR="000C7302" w:rsidRPr="005436C8">
        <w:rPr>
          <w:noProof/>
          <w:color w:val="000000"/>
          <w:sz w:val="22"/>
          <w:szCs w:val="22"/>
          <w:lang w:val="sr-Latn-ME"/>
        </w:rPr>
        <w:t xml:space="preserve"> </w:t>
      </w:r>
      <w:r w:rsidR="00166973" w:rsidRPr="005436C8">
        <w:rPr>
          <w:noProof/>
          <w:color w:val="000000"/>
          <w:sz w:val="22"/>
          <w:szCs w:val="22"/>
          <w:lang w:val="sr-Latn-ME"/>
        </w:rPr>
        <w:t>lijek</w:t>
      </w:r>
      <w:r w:rsidR="000C7302" w:rsidRPr="005436C8">
        <w:rPr>
          <w:noProof/>
          <w:color w:val="000000"/>
          <w:sz w:val="22"/>
          <w:szCs w:val="22"/>
          <w:lang w:val="sr-Latn-ME"/>
        </w:rPr>
        <w:t>om Phesgo može se ponovno započeti.</w:t>
      </w:r>
    </w:p>
    <w:p w14:paraId="3D5F4D94" w14:textId="77777777" w:rsidR="000C7302" w:rsidRPr="005436C8" w:rsidRDefault="000C7302" w:rsidP="005436C8">
      <w:pPr>
        <w:tabs>
          <w:tab w:val="left" w:pos="284"/>
        </w:tabs>
        <w:ind w:left="567" w:hanging="567"/>
        <w:jc w:val="both"/>
        <w:outlineLvl w:val="0"/>
        <w:rPr>
          <w:noProof/>
          <w:color w:val="000000"/>
          <w:sz w:val="22"/>
          <w:szCs w:val="22"/>
          <w:lang w:val="sr-Latn-ME"/>
        </w:rPr>
      </w:pPr>
    </w:p>
    <w:p w14:paraId="0C2FE93B" w14:textId="77777777" w:rsidR="000C7302" w:rsidRPr="005436C8" w:rsidRDefault="000C7302" w:rsidP="005436C8">
      <w:pPr>
        <w:keepNext/>
        <w:keepLines/>
        <w:tabs>
          <w:tab w:val="left" w:pos="284"/>
        </w:tabs>
        <w:jc w:val="both"/>
        <w:rPr>
          <w:noProof/>
          <w:color w:val="000000"/>
          <w:sz w:val="22"/>
          <w:szCs w:val="22"/>
          <w:u w:val="single"/>
          <w:lang w:val="sr-Latn-ME"/>
        </w:rPr>
      </w:pPr>
      <w:r w:rsidRPr="005436C8">
        <w:rPr>
          <w:noProof/>
          <w:color w:val="000000"/>
          <w:sz w:val="22"/>
          <w:szCs w:val="22"/>
          <w:u w:val="single"/>
          <w:lang w:val="sr-Latn-ME"/>
        </w:rPr>
        <w:t>Plućni događaji</w:t>
      </w:r>
    </w:p>
    <w:p w14:paraId="25133455" w14:textId="77777777" w:rsidR="000C7302" w:rsidRPr="005436C8" w:rsidRDefault="000C7302" w:rsidP="005436C8">
      <w:pPr>
        <w:keepNext/>
        <w:keepLines/>
        <w:tabs>
          <w:tab w:val="left" w:pos="284"/>
        </w:tabs>
        <w:jc w:val="both"/>
        <w:rPr>
          <w:noProof/>
          <w:color w:val="000000"/>
          <w:sz w:val="22"/>
          <w:szCs w:val="22"/>
          <w:u w:val="single"/>
          <w:lang w:val="sr-Latn-ME"/>
        </w:rPr>
      </w:pPr>
    </w:p>
    <w:p w14:paraId="6CCB67AF" w14:textId="77777777" w:rsidR="000C7302" w:rsidRPr="005436C8" w:rsidRDefault="000C7302" w:rsidP="005436C8">
      <w:pPr>
        <w:keepNext/>
        <w:keepLines/>
        <w:tabs>
          <w:tab w:val="left" w:pos="284"/>
        </w:tabs>
        <w:jc w:val="both"/>
        <w:rPr>
          <w:noProof/>
          <w:color w:val="000000"/>
          <w:sz w:val="22"/>
          <w:szCs w:val="22"/>
          <w:lang w:val="sr-Latn-ME"/>
        </w:rPr>
      </w:pPr>
      <w:r w:rsidRPr="005436C8">
        <w:rPr>
          <w:noProof/>
          <w:color w:val="000000"/>
          <w:sz w:val="22"/>
          <w:szCs w:val="22"/>
          <w:lang w:val="sr-Latn-ME"/>
        </w:rPr>
        <w:t xml:space="preserve">Kod </w:t>
      </w:r>
      <w:r w:rsidR="00A21698" w:rsidRPr="005436C8">
        <w:rPr>
          <w:noProof/>
          <w:color w:val="000000"/>
          <w:sz w:val="22"/>
          <w:szCs w:val="22"/>
          <w:lang w:val="sr-Latn-ME"/>
        </w:rPr>
        <w:t>primjene</w:t>
      </w:r>
      <w:r w:rsidRPr="005436C8">
        <w:rPr>
          <w:noProof/>
          <w:color w:val="000000"/>
          <w:sz w:val="22"/>
          <w:szCs w:val="22"/>
          <w:lang w:val="sr-Latn-ME"/>
        </w:rPr>
        <w:t xml:space="preserve"> trastuzumaba nakon stavljanja u promet zab</w:t>
      </w:r>
      <w:r w:rsidR="00C04650" w:rsidRPr="005436C8">
        <w:rPr>
          <w:noProof/>
          <w:color w:val="000000"/>
          <w:sz w:val="22"/>
          <w:szCs w:val="22"/>
          <w:lang w:val="sr-Latn-ME"/>
        </w:rPr>
        <w:t>ilje</w:t>
      </w:r>
      <w:r w:rsidRPr="005436C8">
        <w:rPr>
          <w:noProof/>
          <w:color w:val="000000"/>
          <w:sz w:val="22"/>
          <w:szCs w:val="22"/>
          <w:lang w:val="sr-Latn-ME"/>
        </w:rPr>
        <w:t xml:space="preserve">ženi su teški plućni događaji. Ti događaji su ponekad imali smrtni ishod. Pored toga, </w:t>
      </w:r>
      <w:r w:rsidR="008E7A18">
        <w:rPr>
          <w:noProof/>
          <w:color w:val="000000"/>
          <w:sz w:val="22"/>
          <w:szCs w:val="22"/>
          <w:lang w:val="sr-Latn-ME"/>
        </w:rPr>
        <w:t xml:space="preserve">takođe su </w:t>
      </w:r>
      <w:r w:rsidRPr="005436C8">
        <w:rPr>
          <w:noProof/>
          <w:color w:val="000000"/>
          <w:sz w:val="22"/>
          <w:szCs w:val="22"/>
          <w:lang w:val="sr-Latn-ME"/>
        </w:rPr>
        <w:t>zab</w:t>
      </w:r>
      <w:r w:rsidR="00C04650" w:rsidRPr="005436C8">
        <w:rPr>
          <w:noProof/>
          <w:color w:val="000000"/>
          <w:sz w:val="22"/>
          <w:szCs w:val="22"/>
          <w:lang w:val="sr-Latn-ME"/>
        </w:rPr>
        <w:t>i</w:t>
      </w:r>
      <w:r w:rsidRPr="005436C8">
        <w:rPr>
          <w:noProof/>
          <w:color w:val="000000"/>
          <w:sz w:val="22"/>
          <w:szCs w:val="22"/>
          <w:lang w:val="sr-Latn-ME"/>
        </w:rPr>
        <w:t>l</w:t>
      </w:r>
      <w:r w:rsidR="00C04650" w:rsidRPr="005436C8">
        <w:rPr>
          <w:noProof/>
          <w:color w:val="000000"/>
          <w:sz w:val="22"/>
          <w:szCs w:val="22"/>
          <w:lang w:val="sr-Latn-ME"/>
        </w:rPr>
        <w:t>je</w:t>
      </w:r>
      <w:r w:rsidRPr="005436C8">
        <w:rPr>
          <w:noProof/>
          <w:color w:val="000000"/>
          <w:sz w:val="22"/>
          <w:szCs w:val="22"/>
          <w:lang w:val="sr-Latn-ME"/>
        </w:rPr>
        <w:t>ženi i slučajevi intersticijalne bolesti pluća</w:t>
      </w:r>
      <w:r w:rsidR="009F09FE" w:rsidRPr="005436C8">
        <w:rPr>
          <w:noProof/>
          <w:color w:val="000000"/>
          <w:sz w:val="22"/>
          <w:szCs w:val="22"/>
          <w:lang w:val="sr-Latn-ME"/>
        </w:rPr>
        <w:t>,</w:t>
      </w:r>
      <w:r w:rsidRPr="005436C8">
        <w:rPr>
          <w:noProof/>
          <w:color w:val="000000"/>
          <w:sz w:val="22"/>
          <w:szCs w:val="22"/>
          <w:lang w:val="sr-Latn-ME"/>
        </w:rPr>
        <w:t xml:space="preserve"> uključujući plućne infiltrate, sindrom akutnog respiratornog distresa, pneumoniju, pneumonitis, pleuralnu efuziju, respiratorni distres, akutni plućni edem i respiratornu insuficijenciju. Faktori rizika povezani sa intersticijalnom bolešću pluća uključuju prethodnu ili </w:t>
      </w:r>
      <w:r w:rsidR="002700CC" w:rsidRPr="005436C8">
        <w:rPr>
          <w:noProof/>
          <w:color w:val="000000"/>
          <w:sz w:val="22"/>
          <w:szCs w:val="22"/>
          <w:lang w:val="sr-Latn-ME"/>
        </w:rPr>
        <w:t>istovrem</w:t>
      </w:r>
      <w:r w:rsidR="00C04650" w:rsidRPr="005436C8">
        <w:rPr>
          <w:noProof/>
          <w:color w:val="000000"/>
          <w:sz w:val="22"/>
          <w:szCs w:val="22"/>
          <w:lang w:val="sr-Latn-ME"/>
        </w:rPr>
        <w:t>enu</w:t>
      </w:r>
      <w:r w:rsidRPr="005436C8">
        <w:rPr>
          <w:noProof/>
          <w:color w:val="000000"/>
          <w:sz w:val="22"/>
          <w:szCs w:val="22"/>
          <w:lang w:val="sr-Latn-ME"/>
        </w:rPr>
        <w:t xml:space="preserve"> terapiju drugim antineoplastičnim terapijama za koje se zna da su sa njom povezane, kao što su taksani, gemcitabin, vinorelbin i radioterapija. Ti događaji mogu se javiti kao </w:t>
      </w:r>
      <w:r w:rsidR="000A2EA9" w:rsidRPr="005436C8">
        <w:rPr>
          <w:noProof/>
          <w:color w:val="000000"/>
          <w:sz w:val="22"/>
          <w:szCs w:val="22"/>
          <w:lang w:val="sr-Latn-ME"/>
        </w:rPr>
        <w:t>dio</w:t>
      </w:r>
      <w:r w:rsidRPr="005436C8">
        <w:rPr>
          <w:noProof/>
          <w:color w:val="000000"/>
          <w:sz w:val="22"/>
          <w:szCs w:val="22"/>
          <w:lang w:val="sr-Latn-ME"/>
        </w:rPr>
        <w:t xml:space="preserve"> reakcije povezane sa infuzijom ili se mogu javiti kasnije. Pacijenti sa dispnejom pri mirovanju zbog komplikacija uznapredovalog maligniteta i komorbiditetima mogu biti u povišenom riziku od pulmonalnih događaja. Zato te pacijente ne treba l</w:t>
      </w:r>
      <w:r w:rsidR="002700CC" w:rsidRPr="005436C8">
        <w:rPr>
          <w:noProof/>
          <w:color w:val="000000"/>
          <w:sz w:val="22"/>
          <w:szCs w:val="22"/>
          <w:lang w:val="sr-Latn-ME"/>
        </w:rPr>
        <w:t>ij</w:t>
      </w:r>
      <w:r w:rsidRPr="005436C8">
        <w:rPr>
          <w:noProof/>
          <w:color w:val="000000"/>
          <w:sz w:val="22"/>
          <w:szCs w:val="22"/>
          <w:lang w:val="sr-Latn-ME"/>
        </w:rPr>
        <w:t xml:space="preserve">ečiti </w:t>
      </w:r>
      <w:r w:rsidR="00166973" w:rsidRPr="005436C8">
        <w:rPr>
          <w:noProof/>
          <w:color w:val="000000"/>
          <w:sz w:val="22"/>
          <w:szCs w:val="22"/>
          <w:lang w:val="sr-Latn-ME"/>
        </w:rPr>
        <w:t>lijek</w:t>
      </w:r>
      <w:r w:rsidRPr="005436C8">
        <w:rPr>
          <w:noProof/>
          <w:color w:val="000000"/>
          <w:sz w:val="22"/>
          <w:szCs w:val="22"/>
          <w:lang w:val="sr-Latn-ME"/>
        </w:rPr>
        <w:t xml:space="preserve">om Phesgo. Potreban je oprez zbog pneumonitisa, posebno kod pacijenata koji </w:t>
      </w:r>
      <w:r w:rsidR="002700CC" w:rsidRPr="005436C8">
        <w:rPr>
          <w:noProof/>
          <w:color w:val="000000"/>
          <w:sz w:val="22"/>
          <w:szCs w:val="22"/>
          <w:lang w:val="sr-Latn-ME"/>
        </w:rPr>
        <w:t>istovrem</w:t>
      </w:r>
      <w:r w:rsidR="00A21698" w:rsidRPr="005436C8">
        <w:rPr>
          <w:noProof/>
          <w:color w:val="000000"/>
          <w:sz w:val="22"/>
          <w:szCs w:val="22"/>
          <w:lang w:val="sr-Latn-ME"/>
        </w:rPr>
        <w:t>e</w:t>
      </w:r>
      <w:r w:rsidRPr="005436C8">
        <w:rPr>
          <w:noProof/>
          <w:color w:val="000000"/>
          <w:sz w:val="22"/>
          <w:szCs w:val="22"/>
          <w:lang w:val="sr-Latn-ME"/>
        </w:rPr>
        <w:t>no primaju taksane.</w:t>
      </w:r>
    </w:p>
    <w:p w14:paraId="5255975D" w14:textId="77777777" w:rsidR="000C7302" w:rsidRPr="005436C8" w:rsidRDefault="000C7302" w:rsidP="005436C8">
      <w:pPr>
        <w:keepNext/>
        <w:keepLines/>
        <w:tabs>
          <w:tab w:val="left" w:pos="284"/>
        </w:tabs>
        <w:jc w:val="both"/>
        <w:rPr>
          <w:noProof/>
          <w:color w:val="000000"/>
          <w:sz w:val="22"/>
          <w:szCs w:val="22"/>
          <w:lang w:val="sr-Latn-ME"/>
        </w:rPr>
      </w:pPr>
    </w:p>
    <w:p w14:paraId="389CAF1D" w14:textId="77777777" w:rsidR="000C7302" w:rsidRPr="005436C8" w:rsidRDefault="000C7302" w:rsidP="005436C8">
      <w:pPr>
        <w:keepNext/>
        <w:keepLines/>
        <w:tabs>
          <w:tab w:val="left" w:pos="284"/>
        </w:tabs>
        <w:jc w:val="both"/>
        <w:rPr>
          <w:noProof/>
          <w:color w:val="000000"/>
          <w:sz w:val="22"/>
          <w:szCs w:val="22"/>
          <w:u w:val="single"/>
          <w:lang w:val="sr-Latn-ME"/>
        </w:rPr>
      </w:pPr>
      <w:r w:rsidRPr="005436C8">
        <w:rPr>
          <w:noProof/>
          <w:color w:val="000000"/>
          <w:sz w:val="22"/>
          <w:szCs w:val="22"/>
          <w:u w:val="single"/>
          <w:lang w:val="sr-Latn-ME"/>
        </w:rPr>
        <w:t>Pomoćne supstance</w:t>
      </w:r>
    </w:p>
    <w:p w14:paraId="6DF6CDB0" w14:textId="77777777" w:rsidR="000C7302" w:rsidRPr="005436C8" w:rsidRDefault="000C7302" w:rsidP="005436C8">
      <w:pPr>
        <w:keepNext/>
        <w:keepLines/>
        <w:tabs>
          <w:tab w:val="left" w:pos="284"/>
        </w:tabs>
        <w:jc w:val="both"/>
        <w:rPr>
          <w:noProof/>
          <w:color w:val="000000"/>
          <w:sz w:val="22"/>
          <w:szCs w:val="22"/>
          <w:lang w:val="sr-Latn-ME"/>
        </w:rPr>
      </w:pPr>
    </w:p>
    <w:p w14:paraId="303DD731" w14:textId="77777777" w:rsidR="000C7302" w:rsidRPr="005436C8" w:rsidRDefault="000C7302" w:rsidP="005436C8">
      <w:pPr>
        <w:keepNext/>
        <w:keepLines/>
        <w:tabs>
          <w:tab w:val="left" w:pos="284"/>
        </w:tabs>
        <w:jc w:val="both"/>
        <w:rPr>
          <w:noProof/>
          <w:color w:val="000000"/>
          <w:sz w:val="22"/>
          <w:szCs w:val="22"/>
          <w:lang w:val="sr-Latn-ME"/>
        </w:rPr>
      </w:pPr>
      <w:r w:rsidRPr="005436C8">
        <w:rPr>
          <w:noProof/>
          <w:sz w:val="22"/>
          <w:szCs w:val="22"/>
          <w:lang w:val="sr-Latn-ME"/>
        </w:rPr>
        <w:t xml:space="preserve">Ovaj </w:t>
      </w:r>
      <w:r w:rsidR="00166973" w:rsidRPr="005436C8">
        <w:rPr>
          <w:noProof/>
          <w:sz w:val="22"/>
          <w:szCs w:val="22"/>
          <w:lang w:val="sr-Latn-ME"/>
        </w:rPr>
        <w:t>lijek</w:t>
      </w:r>
      <w:r w:rsidRPr="005436C8">
        <w:rPr>
          <w:noProof/>
          <w:sz w:val="22"/>
          <w:szCs w:val="22"/>
          <w:lang w:val="sr-Latn-ME"/>
        </w:rPr>
        <w:t xml:space="preserve"> sadrži manje od 1 mmol natrijuma (23 mg) po dozi, tj. u suštini je bez natrijuma.</w:t>
      </w:r>
    </w:p>
    <w:p w14:paraId="4F754F30" w14:textId="77777777" w:rsidR="00057E35" w:rsidRPr="005436C8" w:rsidRDefault="00057E35" w:rsidP="005436C8">
      <w:pPr>
        <w:tabs>
          <w:tab w:val="left" w:pos="540"/>
          <w:tab w:val="left" w:pos="569"/>
        </w:tabs>
        <w:rPr>
          <w:bCs/>
          <w:sz w:val="22"/>
          <w:szCs w:val="22"/>
          <w:lang w:val="sr-Latn-ME"/>
        </w:rPr>
      </w:pPr>
    </w:p>
    <w:p w14:paraId="626BBCDA" w14:textId="77777777" w:rsidR="00411B4B" w:rsidRPr="005436C8" w:rsidRDefault="00411B4B" w:rsidP="005436C8">
      <w:pPr>
        <w:tabs>
          <w:tab w:val="left" w:pos="540"/>
          <w:tab w:val="left" w:pos="569"/>
        </w:tabs>
        <w:rPr>
          <w:b/>
          <w:bCs/>
          <w:sz w:val="22"/>
          <w:szCs w:val="22"/>
          <w:lang w:val="sr-Latn-ME"/>
        </w:rPr>
      </w:pPr>
      <w:r w:rsidRPr="005436C8">
        <w:rPr>
          <w:b/>
          <w:bCs/>
          <w:sz w:val="22"/>
          <w:szCs w:val="22"/>
          <w:lang w:val="sr-Latn-ME"/>
        </w:rPr>
        <w:t>4.5.</w:t>
      </w:r>
      <w:r w:rsidR="000D60CC" w:rsidRPr="005436C8">
        <w:rPr>
          <w:b/>
          <w:bCs/>
          <w:sz w:val="22"/>
          <w:szCs w:val="22"/>
          <w:lang w:val="sr-Latn-ME"/>
        </w:rPr>
        <w:tab/>
      </w:r>
      <w:r w:rsidRPr="005436C8">
        <w:rPr>
          <w:b/>
          <w:bCs/>
          <w:sz w:val="22"/>
          <w:szCs w:val="22"/>
          <w:lang w:val="sr-Latn-ME"/>
        </w:rPr>
        <w:t>Interakcije sa drugim ljekovima i druge vrste interakcija</w:t>
      </w:r>
    </w:p>
    <w:p w14:paraId="5A38DDEC" w14:textId="77777777" w:rsidR="0072020E" w:rsidRPr="005436C8" w:rsidRDefault="0072020E" w:rsidP="005436C8">
      <w:pPr>
        <w:tabs>
          <w:tab w:val="left" w:pos="540"/>
          <w:tab w:val="left" w:pos="569"/>
        </w:tabs>
        <w:rPr>
          <w:bCs/>
          <w:sz w:val="22"/>
          <w:szCs w:val="22"/>
          <w:lang w:val="sr-Latn-ME"/>
        </w:rPr>
      </w:pPr>
    </w:p>
    <w:p w14:paraId="52A681B2"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Nisu sprovedena formalna ispitivanja interakcija između </w:t>
      </w:r>
      <w:r w:rsidR="00166973" w:rsidRPr="005436C8">
        <w:rPr>
          <w:sz w:val="22"/>
          <w:szCs w:val="22"/>
          <w:lang w:val="sr-Latn-ME"/>
        </w:rPr>
        <w:t>ljek</w:t>
      </w:r>
      <w:r w:rsidRPr="005436C8">
        <w:rPr>
          <w:sz w:val="22"/>
          <w:szCs w:val="22"/>
          <w:lang w:val="sr-Latn-ME"/>
        </w:rPr>
        <w:t xml:space="preserve">ova. </w:t>
      </w:r>
    </w:p>
    <w:p w14:paraId="58CA7722" w14:textId="77777777" w:rsidR="000C7302" w:rsidRPr="005436C8" w:rsidRDefault="000C7302" w:rsidP="005436C8">
      <w:pPr>
        <w:tabs>
          <w:tab w:val="left" w:pos="284"/>
        </w:tabs>
        <w:jc w:val="both"/>
        <w:rPr>
          <w:sz w:val="22"/>
          <w:szCs w:val="22"/>
          <w:lang w:val="sr-Latn-ME"/>
        </w:rPr>
      </w:pPr>
    </w:p>
    <w:p w14:paraId="6A493BA6" w14:textId="77777777" w:rsidR="000C7302" w:rsidRPr="005436C8" w:rsidRDefault="000C7302" w:rsidP="005436C8">
      <w:pPr>
        <w:tabs>
          <w:tab w:val="left" w:pos="284"/>
        </w:tabs>
        <w:jc w:val="both"/>
        <w:rPr>
          <w:sz w:val="22"/>
          <w:szCs w:val="22"/>
          <w:lang w:val="sr-Latn-ME"/>
        </w:rPr>
      </w:pPr>
      <w:r w:rsidRPr="005436C8">
        <w:rPr>
          <w:sz w:val="22"/>
          <w:szCs w:val="22"/>
          <w:lang w:val="sr-Latn-ME"/>
        </w:rPr>
        <w:t>Pertuzumab</w:t>
      </w:r>
    </w:p>
    <w:p w14:paraId="16824984" w14:textId="77777777" w:rsidR="000C7302" w:rsidRPr="005436C8" w:rsidRDefault="000C7302" w:rsidP="005436C8">
      <w:pPr>
        <w:tabs>
          <w:tab w:val="left" w:pos="284"/>
        </w:tabs>
        <w:jc w:val="both"/>
        <w:rPr>
          <w:sz w:val="22"/>
          <w:szCs w:val="22"/>
          <w:lang w:val="sr-Latn-ME"/>
        </w:rPr>
      </w:pPr>
    </w:p>
    <w:p w14:paraId="1F4B0A3F" w14:textId="77777777" w:rsidR="000C7302" w:rsidRPr="005436C8" w:rsidRDefault="000C7302" w:rsidP="005436C8">
      <w:pPr>
        <w:tabs>
          <w:tab w:val="left" w:pos="284"/>
        </w:tabs>
        <w:jc w:val="both"/>
        <w:rPr>
          <w:sz w:val="22"/>
          <w:szCs w:val="22"/>
          <w:lang w:val="sr-Latn-ME"/>
        </w:rPr>
      </w:pPr>
      <w:r w:rsidRPr="005436C8">
        <w:rPr>
          <w:sz w:val="22"/>
          <w:szCs w:val="22"/>
          <w:lang w:val="sr-Latn-ME"/>
        </w:rPr>
        <w:t>U podstudiji sa 37 pacijenata u okviru randomizovanog pivotalnog ispitivanja CLEOPATRA kod metastatskog karcinoma dojke nisu zab</w:t>
      </w:r>
      <w:r w:rsidR="007C7DD4" w:rsidRPr="005436C8">
        <w:rPr>
          <w:sz w:val="22"/>
          <w:szCs w:val="22"/>
          <w:lang w:val="sr-Latn-ME"/>
        </w:rPr>
        <w:t>ilje</w:t>
      </w:r>
      <w:r w:rsidRPr="005436C8">
        <w:rPr>
          <w:sz w:val="22"/>
          <w:szCs w:val="22"/>
          <w:lang w:val="sr-Latn-ME"/>
        </w:rPr>
        <w:t xml:space="preserve">žene farmakokinetičke interakcije između pertuzumaba i trastuzumaba kao ni između pertuzumaba i docetaksela. Pored toga, u populacionoj farmakokinetičkoj analizi nije bilo znakova interakcije između pertuzumaba i trastuzumaba kao ni između pertuzumaba i </w:t>
      </w:r>
      <w:r w:rsidRPr="005436C8">
        <w:rPr>
          <w:sz w:val="22"/>
          <w:szCs w:val="22"/>
          <w:lang w:val="sr-Latn-ME"/>
        </w:rPr>
        <w:lastRenderedPageBreak/>
        <w:t xml:space="preserve">docetaksela. Taj izostanak interakcija između </w:t>
      </w:r>
      <w:r w:rsidR="00166973" w:rsidRPr="005436C8">
        <w:rPr>
          <w:sz w:val="22"/>
          <w:szCs w:val="22"/>
          <w:lang w:val="sr-Latn-ME"/>
        </w:rPr>
        <w:t>ljek</w:t>
      </w:r>
      <w:r w:rsidRPr="005436C8">
        <w:rPr>
          <w:sz w:val="22"/>
          <w:szCs w:val="22"/>
          <w:lang w:val="sr-Latn-ME"/>
        </w:rPr>
        <w:t xml:space="preserve">ova potvrdili su i farmakokinetički podaci iz studija NEOPSHERE i APHINITY. </w:t>
      </w:r>
    </w:p>
    <w:p w14:paraId="1CD4DCB2" w14:textId="77777777" w:rsidR="000C7302" w:rsidRPr="005436C8" w:rsidRDefault="000C7302" w:rsidP="005436C8">
      <w:pPr>
        <w:tabs>
          <w:tab w:val="left" w:pos="284"/>
        </w:tabs>
        <w:jc w:val="both"/>
        <w:rPr>
          <w:sz w:val="22"/>
          <w:szCs w:val="22"/>
          <w:lang w:val="sr-Latn-ME"/>
        </w:rPr>
      </w:pPr>
    </w:p>
    <w:p w14:paraId="2D2348EB" w14:textId="77777777" w:rsidR="000C7302" w:rsidRPr="005436C8" w:rsidRDefault="000C7302" w:rsidP="005436C8">
      <w:pPr>
        <w:tabs>
          <w:tab w:val="left" w:pos="284"/>
        </w:tabs>
        <w:jc w:val="both"/>
        <w:rPr>
          <w:sz w:val="22"/>
          <w:szCs w:val="22"/>
          <w:lang w:val="sr-Latn-ME"/>
        </w:rPr>
      </w:pPr>
      <w:r w:rsidRPr="005436C8">
        <w:rPr>
          <w:sz w:val="22"/>
          <w:szCs w:val="22"/>
          <w:lang w:val="sr-Latn-ME"/>
        </w:rPr>
        <w:t>Pet studija je proc</w:t>
      </w:r>
      <w:r w:rsidR="007C7DD4" w:rsidRPr="005436C8">
        <w:rPr>
          <w:sz w:val="22"/>
          <w:szCs w:val="22"/>
          <w:lang w:val="sr-Latn-ME"/>
        </w:rPr>
        <w:t>j</w:t>
      </w:r>
      <w:r w:rsidRPr="005436C8">
        <w:rPr>
          <w:sz w:val="22"/>
          <w:szCs w:val="22"/>
          <w:lang w:val="sr-Latn-ME"/>
        </w:rPr>
        <w:t xml:space="preserve">enjivalo dejstva pertuzumaba na farmakokinetiku </w:t>
      </w:r>
      <w:r w:rsidR="002700CC" w:rsidRPr="005436C8">
        <w:rPr>
          <w:sz w:val="22"/>
          <w:szCs w:val="22"/>
          <w:lang w:val="sr-Latn-ME"/>
        </w:rPr>
        <w:t>istovrem</w:t>
      </w:r>
      <w:r w:rsidR="00A21698" w:rsidRPr="005436C8">
        <w:rPr>
          <w:sz w:val="22"/>
          <w:szCs w:val="22"/>
          <w:lang w:val="sr-Latn-ME"/>
        </w:rPr>
        <w:t>e</w:t>
      </w:r>
      <w:r w:rsidRPr="005436C8">
        <w:rPr>
          <w:sz w:val="22"/>
          <w:szCs w:val="22"/>
          <w:lang w:val="sr-Latn-ME"/>
        </w:rPr>
        <w:t xml:space="preserve">no </w:t>
      </w:r>
      <w:r w:rsidR="00522BD8" w:rsidRPr="005436C8">
        <w:rPr>
          <w:sz w:val="22"/>
          <w:szCs w:val="22"/>
          <w:lang w:val="sr-Latn-ME"/>
        </w:rPr>
        <w:t>primijenjen</w:t>
      </w:r>
      <w:r w:rsidRPr="005436C8">
        <w:rPr>
          <w:sz w:val="22"/>
          <w:szCs w:val="22"/>
          <w:lang w:val="sr-Latn-ME"/>
        </w:rPr>
        <w:t>ih citotoksičnih agensa: docetaksela, paklitaksela, gemcitabina, kapecitabina, karboplatina i erlotiniba. Nisu pronađeni dokazi farmakokinetičkih interakcija između pertuzumaba i bilo kog od tih agensa. U tim studijama</w:t>
      </w:r>
      <w:r w:rsidR="007C4249" w:rsidRPr="005436C8">
        <w:rPr>
          <w:sz w:val="22"/>
          <w:szCs w:val="22"/>
          <w:lang w:val="sr-Latn-ME"/>
        </w:rPr>
        <w:t>,</w:t>
      </w:r>
      <w:r w:rsidRPr="005436C8">
        <w:rPr>
          <w:sz w:val="22"/>
          <w:szCs w:val="22"/>
          <w:lang w:val="sr-Latn-ME"/>
        </w:rPr>
        <w:t xml:space="preserve"> farmakokinetika pertuzumaba je bila uporediva sa onom zab</w:t>
      </w:r>
      <w:r w:rsidR="007C7DD4" w:rsidRPr="005436C8">
        <w:rPr>
          <w:sz w:val="22"/>
          <w:szCs w:val="22"/>
          <w:lang w:val="sr-Latn-ME"/>
        </w:rPr>
        <w:t>i</w:t>
      </w:r>
      <w:r w:rsidRPr="005436C8">
        <w:rPr>
          <w:sz w:val="22"/>
          <w:szCs w:val="22"/>
          <w:lang w:val="sr-Latn-ME"/>
        </w:rPr>
        <w:t>l</w:t>
      </w:r>
      <w:r w:rsidR="007C7DD4" w:rsidRPr="005436C8">
        <w:rPr>
          <w:sz w:val="22"/>
          <w:szCs w:val="22"/>
          <w:lang w:val="sr-Latn-ME"/>
        </w:rPr>
        <w:t>j</w:t>
      </w:r>
      <w:r w:rsidRPr="005436C8">
        <w:rPr>
          <w:sz w:val="22"/>
          <w:szCs w:val="22"/>
          <w:lang w:val="sr-Latn-ME"/>
        </w:rPr>
        <w:t>eženom u studijama sa jednim agensom.</w:t>
      </w:r>
    </w:p>
    <w:p w14:paraId="3DB13850" w14:textId="77777777" w:rsidR="000C7302" w:rsidRPr="005436C8" w:rsidRDefault="000C7302" w:rsidP="005436C8">
      <w:pPr>
        <w:tabs>
          <w:tab w:val="left" w:pos="284"/>
        </w:tabs>
        <w:jc w:val="both"/>
        <w:rPr>
          <w:sz w:val="22"/>
          <w:szCs w:val="22"/>
          <w:lang w:val="sr-Latn-ME"/>
        </w:rPr>
      </w:pPr>
    </w:p>
    <w:p w14:paraId="52CA1FD7" w14:textId="77777777" w:rsidR="000C7302" w:rsidRPr="005436C8" w:rsidRDefault="000C7302" w:rsidP="005436C8">
      <w:pPr>
        <w:tabs>
          <w:tab w:val="left" w:pos="284"/>
        </w:tabs>
        <w:jc w:val="both"/>
        <w:rPr>
          <w:sz w:val="22"/>
          <w:szCs w:val="22"/>
          <w:lang w:val="sr-Latn-ME"/>
        </w:rPr>
      </w:pPr>
      <w:r w:rsidRPr="005436C8">
        <w:rPr>
          <w:sz w:val="22"/>
          <w:szCs w:val="22"/>
          <w:lang w:val="sr-Latn-ME"/>
        </w:rPr>
        <w:t>Trastuzumab</w:t>
      </w:r>
    </w:p>
    <w:p w14:paraId="2F345F96" w14:textId="77777777" w:rsidR="000C7302" w:rsidRPr="005436C8" w:rsidRDefault="000C7302" w:rsidP="005436C8">
      <w:pPr>
        <w:tabs>
          <w:tab w:val="left" w:pos="284"/>
        </w:tabs>
        <w:jc w:val="both"/>
        <w:rPr>
          <w:sz w:val="22"/>
          <w:szCs w:val="22"/>
          <w:lang w:val="sr-Latn-ME"/>
        </w:rPr>
      </w:pPr>
    </w:p>
    <w:p w14:paraId="0743C73A"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Nisu sprovedena formalna ispitivanja interakcija između </w:t>
      </w:r>
      <w:r w:rsidR="00166973" w:rsidRPr="005436C8">
        <w:rPr>
          <w:sz w:val="22"/>
          <w:szCs w:val="22"/>
          <w:lang w:val="sr-Latn-ME"/>
        </w:rPr>
        <w:t>ljek</w:t>
      </w:r>
      <w:r w:rsidRPr="005436C8">
        <w:rPr>
          <w:sz w:val="22"/>
          <w:szCs w:val="22"/>
          <w:lang w:val="sr-Latn-ME"/>
        </w:rPr>
        <w:t xml:space="preserve">ova. Nisu </w:t>
      </w:r>
      <w:r w:rsidR="000307F0" w:rsidRPr="005436C8">
        <w:rPr>
          <w:sz w:val="22"/>
          <w:szCs w:val="22"/>
          <w:lang w:val="sr-Latn-ME"/>
        </w:rPr>
        <w:t>zabilježene</w:t>
      </w:r>
      <w:r w:rsidR="002700CC" w:rsidRPr="005436C8">
        <w:rPr>
          <w:sz w:val="22"/>
          <w:szCs w:val="22"/>
          <w:lang w:val="sr-Latn-ME"/>
        </w:rPr>
        <w:t xml:space="preserve"> </w:t>
      </w:r>
      <w:r w:rsidRPr="005436C8">
        <w:rPr>
          <w:sz w:val="22"/>
          <w:szCs w:val="22"/>
          <w:lang w:val="sr-Latn-ME"/>
        </w:rPr>
        <w:t xml:space="preserve">klinički značajne interakcije između trastuzumaba i </w:t>
      </w:r>
      <w:r w:rsidR="002700CC" w:rsidRPr="005436C8">
        <w:rPr>
          <w:sz w:val="22"/>
          <w:szCs w:val="22"/>
          <w:lang w:val="sr-Latn-ME"/>
        </w:rPr>
        <w:t>istovrem</w:t>
      </w:r>
      <w:r w:rsidR="00A21698" w:rsidRPr="005436C8">
        <w:rPr>
          <w:sz w:val="22"/>
          <w:szCs w:val="22"/>
          <w:lang w:val="sr-Latn-ME"/>
        </w:rPr>
        <w:t>e</w:t>
      </w:r>
      <w:r w:rsidRPr="005436C8">
        <w:rPr>
          <w:sz w:val="22"/>
          <w:szCs w:val="22"/>
          <w:lang w:val="sr-Latn-ME"/>
        </w:rPr>
        <w:t xml:space="preserve">no </w:t>
      </w:r>
      <w:r w:rsidR="00522BD8" w:rsidRPr="005436C8">
        <w:rPr>
          <w:sz w:val="22"/>
          <w:szCs w:val="22"/>
          <w:lang w:val="sr-Latn-ME"/>
        </w:rPr>
        <w:t>primijenjen</w:t>
      </w:r>
      <w:r w:rsidRPr="005436C8">
        <w:rPr>
          <w:sz w:val="22"/>
          <w:szCs w:val="22"/>
          <w:lang w:val="sr-Latn-ME"/>
        </w:rPr>
        <w:t xml:space="preserve">ih </w:t>
      </w:r>
      <w:r w:rsidR="00166973" w:rsidRPr="005436C8">
        <w:rPr>
          <w:sz w:val="22"/>
          <w:szCs w:val="22"/>
          <w:lang w:val="sr-Latn-ME"/>
        </w:rPr>
        <w:t>ljek</w:t>
      </w:r>
      <w:r w:rsidRPr="005436C8">
        <w:rPr>
          <w:sz w:val="22"/>
          <w:szCs w:val="22"/>
          <w:lang w:val="sr-Latn-ME"/>
        </w:rPr>
        <w:t>ova koji su se koristili u kliničkim ispitivanjima.</w:t>
      </w:r>
    </w:p>
    <w:p w14:paraId="4E3EA55B" w14:textId="77777777" w:rsidR="000C7302" w:rsidRPr="005436C8" w:rsidRDefault="000C7302" w:rsidP="005436C8">
      <w:pPr>
        <w:tabs>
          <w:tab w:val="left" w:pos="284"/>
        </w:tabs>
        <w:jc w:val="both"/>
        <w:rPr>
          <w:sz w:val="22"/>
          <w:szCs w:val="22"/>
          <w:lang w:val="sr-Latn-ME"/>
        </w:rPr>
      </w:pPr>
    </w:p>
    <w:p w14:paraId="545A711E"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Dejstvo trastuzumaba na farmakokinetiku drugih antineoplastika </w:t>
      </w:r>
    </w:p>
    <w:p w14:paraId="2CB27CAB" w14:textId="77777777" w:rsidR="000C7302" w:rsidRPr="005436C8" w:rsidRDefault="000C7302" w:rsidP="005436C8">
      <w:pPr>
        <w:tabs>
          <w:tab w:val="left" w:pos="284"/>
        </w:tabs>
        <w:jc w:val="both"/>
        <w:rPr>
          <w:sz w:val="22"/>
          <w:szCs w:val="22"/>
          <w:lang w:val="sr-Latn-ME"/>
        </w:rPr>
      </w:pPr>
    </w:p>
    <w:p w14:paraId="56656DC2" w14:textId="77777777" w:rsidR="000C7302" w:rsidRPr="005436C8" w:rsidRDefault="000C7302" w:rsidP="005436C8">
      <w:pPr>
        <w:tabs>
          <w:tab w:val="left" w:pos="284"/>
        </w:tabs>
        <w:jc w:val="both"/>
        <w:rPr>
          <w:sz w:val="22"/>
          <w:szCs w:val="22"/>
          <w:lang w:val="sr-Latn-ME"/>
        </w:rPr>
      </w:pPr>
      <w:r w:rsidRPr="005436C8">
        <w:rPr>
          <w:sz w:val="22"/>
          <w:szCs w:val="22"/>
          <w:lang w:val="sr-Latn-ME"/>
        </w:rPr>
        <w:t>Farmakokinetički podaci iz studija BO15935 i M77004 kod žena sa HER2 pozitivnim metastatskim karcinomom dojke pokazali su da prisustvo trastuzumaba (udarna intravenska doza od 8 mg/kg ili 4 mg/kg, nakon koje sl</w:t>
      </w:r>
      <w:r w:rsidR="002E1915" w:rsidRPr="005436C8">
        <w:rPr>
          <w:sz w:val="22"/>
          <w:szCs w:val="22"/>
          <w:lang w:val="sr-Latn-ME"/>
        </w:rPr>
        <w:t>ij</w:t>
      </w:r>
      <w:r w:rsidRPr="005436C8">
        <w:rPr>
          <w:sz w:val="22"/>
          <w:szCs w:val="22"/>
          <w:lang w:val="sr-Latn-ME"/>
        </w:rPr>
        <w:t>edi intravenska doza od 6 mg/kg svake 3 ned</w:t>
      </w:r>
      <w:r w:rsidR="002E1915" w:rsidRPr="005436C8">
        <w:rPr>
          <w:sz w:val="22"/>
          <w:szCs w:val="22"/>
          <w:lang w:val="sr-Latn-ME"/>
        </w:rPr>
        <w:t>j</w:t>
      </w:r>
      <w:r w:rsidRPr="005436C8">
        <w:rPr>
          <w:sz w:val="22"/>
          <w:szCs w:val="22"/>
          <w:lang w:val="sr-Latn-ME"/>
        </w:rPr>
        <w:t>elje odnosno 2 mg/kg je</w:t>
      </w:r>
      <w:r w:rsidR="002E1915" w:rsidRPr="005436C8">
        <w:rPr>
          <w:sz w:val="22"/>
          <w:szCs w:val="22"/>
          <w:lang w:val="sr-Latn-ME"/>
        </w:rPr>
        <w:t>d</w:t>
      </w:r>
      <w:r w:rsidRPr="005436C8">
        <w:rPr>
          <w:sz w:val="22"/>
          <w:szCs w:val="22"/>
          <w:lang w:val="sr-Latn-ME"/>
        </w:rPr>
        <w:t>nom ned</w:t>
      </w:r>
      <w:r w:rsidR="002E1915" w:rsidRPr="005436C8">
        <w:rPr>
          <w:sz w:val="22"/>
          <w:szCs w:val="22"/>
          <w:lang w:val="sr-Latn-ME"/>
        </w:rPr>
        <w:t>j</w:t>
      </w:r>
      <w:r w:rsidRPr="005436C8">
        <w:rPr>
          <w:sz w:val="22"/>
          <w:szCs w:val="22"/>
          <w:lang w:val="sr-Latn-ME"/>
        </w:rPr>
        <w:t>eljno) nije prom</w:t>
      </w:r>
      <w:r w:rsidR="00041C40" w:rsidRPr="005436C8">
        <w:rPr>
          <w:sz w:val="22"/>
          <w:szCs w:val="22"/>
          <w:lang w:val="sr-Latn-ME"/>
        </w:rPr>
        <w:t>i</w:t>
      </w:r>
      <w:r w:rsidR="002E1915" w:rsidRPr="005436C8">
        <w:rPr>
          <w:sz w:val="22"/>
          <w:szCs w:val="22"/>
          <w:lang w:val="sr-Latn-ME"/>
        </w:rPr>
        <w:t>j</w:t>
      </w:r>
      <w:r w:rsidRPr="005436C8">
        <w:rPr>
          <w:sz w:val="22"/>
          <w:szCs w:val="22"/>
          <w:lang w:val="sr-Latn-ME"/>
        </w:rPr>
        <w:t>enila izloženost paklitakselu i doksorubicinu (i njihovim glavnim metabolitima 6-α hidroksilpaklitakselu [POH] i doksorubicinolu [DOL]). Ipak, trastuzumab može da poveća ukupnu izloženost jednom od metabolita doksorubicina (7-</w:t>
      </w:r>
      <w:r w:rsidR="002E1915" w:rsidRPr="005436C8">
        <w:rPr>
          <w:sz w:val="22"/>
          <w:szCs w:val="22"/>
          <w:lang w:val="sr-Latn-ME"/>
        </w:rPr>
        <w:t>deo</w:t>
      </w:r>
      <w:r w:rsidRPr="005436C8">
        <w:rPr>
          <w:sz w:val="22"/>
          <w:szCs w:val="22"/>
          <w:lang w:val="sr-Latn-ME"/>
        </w:rPr>
        <w:t xml:space="preserve">ksi-13-dihidro-doksorubicinon, D7D). Bioaktivnost metabolita D7D i klinički značaj povećanih </w:t>
      </w:r>
      <w:r w:rsidR="000A2EA9" w:rsidRPr="005436C8">
        <w:rPr>
          <w:sz w:val="22"/>
          <w:szCs w:val="22"/>
          <w:lang w:val="sr-Latn-ME"/>
        </w:rPr>
        <w:t>vrijednost</w:t>
      </w:r>
      <w:r w:rsidRPr="005436C8">
        <w:rPr>
          <w:sz w:val="22"/>
          <w:szCs w:val="22"/>
          <w:lang w:val="sr-Latn-ME"/>
        </w:rPr>
        <w:t xml:space="preserve">i tog metabolita nisu jasno utvrđeni. </w:t>
      </w:r>
    </w:p>
    <w:p w14:paraId="0C3089D1" w14:textId="77777777" w:rsidR="000C7302" w:rsidRPr="005436C8" w:rsidRDefault="000C7302" w:rsidP="005436C8">
      <w:pPr>
        <w:tabs>
          <w:tab w:val="left" w:pos="284"/>
        </w:tabs>
        <w:jc w:val="both"/>
        <w:rPr>
          <w:sz w:val="22"/>
          <w:szCs w:val="22"/>
          <w:lang w:val="sr-Latn-ME"/>
        </w:rPr>
      </w:pPr>
    </w:p>
    <w:p w14:paraId="3D23BE57" w14:textId="77777777" w:rsidR="000C7302" w:rsidRPr="005436C8" w:rsidRDefault="000C7302" w:rsidP="005436C8">
      <w:pPr>
        <w:tabs>
          <w:tab w:val="left" w:pos="284"/>
        </w:tabs>
        <w:jc w:val="both"/>
        <w:rPr>
          <w:sz w:val="22"/>
          <w:szCs w:val="22"/>
          <w:lang w:val="sr-Latn-ME"/>
        </w:rPr>
      </w:pPr>
      <w:r w:rsidRPr="005436C8">
        <w:rPr>
          <w:sz w:val="22"/>
          <w:szCs w:val="22"/>
          <w:lang w:val="sr-Latn-ME"/>
        </w:rPr>
        <w:t>Podaci iz studije JP16003, ispitivanja trastuzumaba sa jednom grupom (udarna intravenska doza od 4 mg/kg i nakon toga intravenska doza od 2 mg/kg jednom ned</w:t>
      </w:r>
      <w:r w:rsidR="00041C40" w:rsidRPr="005436C8">
        <w:rPr>
          <w:sz w:val="22"/>
          <w:szCs w:val="22"/>
          <w:lang w:val="sr-Latn-ME"/>
        </w:rPr>
        <w:t>j</w:t>
      </w:r>
      <w:r w:rsidRPr="005436C8">
        <w:rPr>
          <w:sz w:val="22"/>
          <w:szCs w:val="22"/>
          <w:lang w:val="sr-Latn-ME"/>
        </w:rPr>
        <w:t>eljno) i docetaksela (intravenska doza od 60 mg/m</w:t>
      </w:r>
      <w:r w:rsidRPr="005436C8">
        <w:rPr>
          <w:sz w:val="22"/>
          <w:szCs w:val="22"/>
          <w:vertAlign w:val="superscript"/>
          <w:lang w:val="sr-Latn-ME"/>
        </w:rPr>
        <w:t>2</w:t>
      </w:r>
      <w:r w:rsidRPr="005436C8">
        <w:rPr>
          <w:sz w:val="22"/>
          <w:szCs w:val="22"/>
          <w:lang w:val="sr-Latn-ME"/>
        </w:rPr>
        <w:t xml:space="preserve">) sprovedenog sa ženama japanskog </w:t>
      </w:r>
      <w:r w:rsidR="00522BD8" w:rsidRPr="005436C8">
        <w:rPr>
          <w:sz w:val="22"/>
          <w:szCs w:val="22"/>
          <w:lang w:val="sr-Latn-ME"/>
        </w:rPr>
        <w:t>porijekla</w:t>
      </w:r>
      <w:r w:rsidRPr="005436C8">
        <w:rPr>
          <w:sz w:val="22"/>
          <w:szCs w:val="22"/>
          <w:lang w:val="sr-Latn-ME"/>
        </w:rPr>
        <w:t xml:space="preserve"> sa HER2 pozitivnim metastatskim karcinomom dojke pokazali su da </w:t>
      </w:r>
      <w:r w:rsidR="002700CC" w:rsidRPr="005436C8">
        <w:rPr>
          <w:sz w:val="22"/>
          <w:szCs w:val="22"/>
          <w:lang w:val="sr-Latn-ME"/>
        </w:rPr>
        <w:t>istovrem</w:t>
      </w:r>
      <w:r w:rsidR="002E1915" w:rsidRPr="005436C8">
        <w:rPr>
          <w:sz w:val="22"/>
          <w:szCs w:val="22"/>
          <w:lang w:val="sr-Latn-ME"/>
        </w:rPr>
        <w:t>ena</w:t>
      </w:r>
      <w:r w:rsidRPr="005436C8">
        <w:rPr>
          <w:sz w:val="22"/>
          <w:szCs w:val="22"/>
          <w:lang w:val="sr-Latn-ME"/>
        </w:rPr>
        <w:t xml:space="preserve"> </w:t>
      </w:r>
      <w:r w:rsidR="00A21698" w:rsidRPr="005436C8">
        <w:rPr>
          <w:sz w:val="22"/>
          <w:szCs w:val="22"/>
          <w:lang w:val="sr-Latn-ME"/>
        </w:rPr>
        <w:t>primjena</w:t>
      </w:r>
      <w:r w:rsidRPr="005436C8">
        <w:rPr>
          <w:sz w:val="22"/>
          <w:szCs w:val="22"/>
          <w:lang w:val="sr-Latn-ME"/>
        </w:rPr>
        <w:t xml:space="preserve"> trastuzumaba ne utiče na farmakokinetiku jednokratne doze docetaksela. Studija JP19959 bila je podstudija sprovedena u sklopu ispitivanja BO18255 (ToGA) sa muškarcima i ženama japanskog </w:t>
      </w:r>
      <w:r w:rsidR="00522BD8" w:rsidRPr="005436C8">
        <w:rPr>
          <w:sz w:val="22"/>
          <w:szCs w:val="22"/>
          <w:lang w:val="sr-Latn-ME"/>
        </w:rPr>
        <w:t>porijekla</w:t>
      </w:r>
      <w:r w:rsidRPr="005436C8">
        <w:rPr>
          <w:sz w:val="22"/>
          <w:szCs w:val="22"/>
          <w:lang w:val="sr-Latn-ME"/>
        </w:rPr>
        <w:t xml:space="preserve"> sa uznapredovalim karcinomom želuca, u kojoj se ispitivala farmakokinetika kapecitabina i cisplatina u kombinaciji sa trastuzumabom ili bez njega. Rezultati te podstudije pokazali su da </w:t>
      </w:r>
      <w:r w:rsidR="002700CC" w:rsidRPr="005436C8">
        <w:rPr>
          <w:sz w:val="22"/>
          <w:szCs w:val="22"/>
          <w:lang w:val="sr-Latn-ME"/>
        </w:rPr>
        <w:t>istovrem</w:t>
      </w:r>
      <w:r w:rsidR="002E1915" w:rsidRPr="005436C8">
        <w:rPr>
          <w:sz w:val="22"/>
          <w:szCs w:val="22"/>
          <w:lang w:val="sr-Latn-ME"/>
        </w:rPr>
        <w:t>ena</w:t>
      </w:r>
      <w:r w:rsidRPr="005436C8">
        <w:rPr>
          <w:sz w:val="22"/>
          <w:szCs w:val="22"/>
          <w:lang w:val="sr-Latn-ME"/>
        </w:rPr>
        <w:t xml:space="preserve"> </w:t>
      </w:r>
      <w:r w:rsidR="00A21698" w:rsidRPr="005436C8">
        <w:rPr>
          <w:sz w:val="22"/>
          <w:szCs w:val="22"/>
          <w:lang w:val="sr-Latn-ME"/>
        </w:rPr>
        <w:t>primjena</w:t>
      </w:r>
      <w:r w:rsidRPr="005436C8">
        <w:rPr>
          <w:sz w:val="22"/>
          <w:szCs w:val="22"/>
          <w:lang w:val="sr-Latn-ME"/>
        </w:rPr>
        <w:t xml:space="preserve"> cisplatina ili cisplatina i trastuzumaba nije uticala na izloženost bioaktivnim metabolitima kapecitabina (npr. 5-FU). Ipak, kod </w:t>
      </w:r>
      <w:r w:rsidR="00A21698" w:rsidRPr="005436C8">
        <w:rPr>
          <w:sz w:val="22"/>
          <w:szCs w:val="22"/>
          <w:lang w:val="sr-Latn-ME"/>
        </w:rPr>
        <w:t>primjene</w:t>
      </w:r>
      <w:r w:rsidRPr="005436C8">
        <w:rPr>
          <w:sz w:val="22"/>
          <w:szCs w:val="22"/>
          <w:lang w:val="sr-Latn-ME"/>
        </w:rPr>
        <w:t xml:space="preserve"> u kombinaciji sa trastuzumabom, koncentracije samog kapecitabina bile su povećane, a njegov</w:t>
      </w:r>
      <w:r w:rsidR="00041C40" w:rsidRPr="005436C8">
        <w:rPr>
          <w:sz w:val="22"/>
          <w:szCs w:val="22"/>
          <w:lang w:val="sr-Latn-ME"/>
        </w:rPr>
        <w:t>o</w:t>
      </w:r>
      <w:r w:rsidRPr="005436C8">
        <w:rPr>
          <w:sz w:val="22"/>
          <w:szCs w:val="22"/>
          <w:lang w:val="sr-Latn-ME"/>
        </w:rPr>
        <w:t xml:space="preserve"> </w:t>
      </w:r>
      <w:r w:rsidR="00041C40" w:rsidRPr="005436C8">
        <w:rPr>
          <w:sz w:val="22"/>
          <w:szCs w:val="22"/>
          <w:lang w:val="sr-Latn-ME"/>
        </w:rPr>
        <w:t xml:space="preserve">poluvrijeme eliminacije </w:t>
      </w:r>
      <w:r w:rsidRPr="005436C8">
        <w:rPr>
          <w:sz w:val="22"/>
          <w:szCs w:val="22"/>
          <w:lang w:val="sr-Latn-ME"/>
        </w:rPr>
        <w:t xml:space="preserve">produžen. Podaci su takođe pokazali da </w:t>
      </w:r>
      <w:r w:rsidR="002700CC" w:rsidRPr="005436C8">
        <w:rPr>
          <w:sz w:val="22"/>
          <w:szCs w:val="22"/>
          <w:lang w:val="sr-Latn-ME"/>
        </w:rPr>
        <w:t>istovrem</w:t>
      </w:r>
      <w:r w:rsidR="002E1915" w:rsidRPr="005436C8">
        <w:rPr>
          <w:sz w:val="22"/>
          <w:szCs w:val="22"/>
          <w:lang w:val="sr-Latn-ME"/>
        </w:rPr>
        <w:t>ena</w:t>
      </w:r>
      <w:r w:rsidRPr="005436C8">
        <w:rPr>
          <w:sz w:val="22"/>
          <w:szCs w:val="22"/>
          <w:lang w:val="sr-Latn-ME"/>
        </w:rPr>
        <w:t xml:space="preserve"> </w:t>
      </w:r>
      <w:r w:rsidR="00A21698" w:rsidRPr="005436C8">
        <w:rPr>
          <w:sz w:val="22"/>
          <w:szCs w:val="22"/>
          <w:lang w:val="sr-Latn-ME"/>
        </w:rPr>
        <w:t>primjena</w:t>
      </w:r>
      <w:r w:rsidRPr="005436C8">
        <w:rPr>
          <w:sz w:val="22"/>
          <w:szCs w:val="22"/>
          <w:lang w:val="sr-Latn-ME"/>
        </w:rPr>
        <w:t xml:space="preserve"> kapecitabina ili kapecitabina i trastuzumaba nije uticala na farmakokinetiku cisplatina. </w:t>
      </w:r>
    </w:p>
    <w:p w14:paraId="1F49D7EA" w14:textId="77777777" w:rsidR="000C7302" w:rsidRPr="005436C8" w:rsidRDefault="000C7302" w:rsidP="005436C8">
      <w:pPr>
        <w:tabs>
          <w:tab w:val="left" w:pos="284"/>
        </w:tabs>
        <w:jc w:val="both"/>
        <w:rPr>
          <w:sz w:val="22"/>
          <w:szCs w:val="22"/>
          <w:lang w:val="sr-Latn-ME"/>
        </w:rPr>
      </w:pPr>
    </w:p>
    <w:p w14:paraId="6EECEA58" w14:textId="77777777" w:rsidR="000C7302" w:rsidRPr="005436C8" w:rsidRDefault="000C7302" w:rsidP="005436C8">
      <w:pPr>
        <w:tabs>
          <w:tab w:val="left" w:pos="284"/>
        </w:tabs>
        <w:jc w:val="both"/>
        <w:rPr>
          <w:sz w:val="22"/>
          <w:szCs w:val="22"/>
          <w:lang w:val="sr-Latn-ME"/>
        </w:rPr>
      </w:pPr>
      <w:r w:rsidRPr="005436C8">
        <w:rPr>
          <w:sz w:val="22"/>
          <w:szCs w:val="22"/>
          <w:lang w:val="sr-Latn-ME"/>
        </w:rPr>
        <w:t>Farmakokinetički podaci iz studije H4613g/GO01305 sa pacijentima sa metastatskim ili lokalno uznapredovalim inoperabilnim HER2 pozitivnim karcinomom pokazali su da trastuzumab nije uticao na farmakokinetiku karboplatina.</w:t>
      </w:r>
    </w:p>
    <w:p w14:paraId="11E736F8" w14:textId="77777777" w:rsidR="000C7302" w:rsidRPr="005436C8" w:rsidRDefault="000C7302" w:rsidP="005436C8">
      <w:pPr>
        <w:tabs>
          <w:tab w:val="left" w:pos="284"/>
        </w:tabs>
        <w:jc w:val="both"/>
        <w:rPr>
          <w:sz w:val="22"/>
          <w:szCs w:val="22"/>
          <w:lang w:val="sr-Latn-ME"/>
        </w:rPr>
      </w:pPr>
    </w:p>
    <w:p w14:paraId="6E348B74"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Dejstvo antineoplastika na farmakokinetiku trastuzumaba </w:t>
      </w:r>
    </w:p>
    <w:p w14:paraId="70D6C64B" w14:textId="77777777" w:rsidR="000C7302" w:rsidRPr="005436C8" w:rsidRDefault="000C7302" w:rsidP="005436C8">
      <w:pPr>
        <w:tabs>
          <w:tab w:val="left" w:pos="284"/>
        </w:tabs>
        <w:jc w:val="both"/>
        <w:rPr>
          <w:sz w:val="22"/>
          <w:szCs w:val="22"/>
          <w:lang w:val="sr-Latn-ME"/>
        </w:rPr>
      </w:pPr>
    </w:p>
    <w:p w14:paraId="7A820D79"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Poređenjem simuliranih serumskih koncentracija trastuzumaba nakon </w:t>
      </w:r>
      <w:r w:rsidR="00A21698" w:rsidRPr="005436C8">
        <w:rPr>
          <w:sz w:val="22"/>
          <w:szCs w:val="22"/>
          <w:lang w:val="sr-Latn-ME"/>
        </w:rPr>
        <w:t>primjene</w:t>
      </w:r>
      <w:r w:rsidRPr="005436C8">
        <w:rPr>
          <w:sz w:val="22"/>
          <w:szCs w:val="22"/>
          <w:lang w:val="sr-Latn-ME"/>
        </w:rPr>
        <w:t xml:space="preserve"> tog </w:t>
      </w:r>
      <w:r w:rsidR="00166973" w:rsidRPr="005436C8">
        <w:rPr>
          <w:sz w:val="22"/>
          <w:szCs w:val="22"/>
          <w:lang w:val="sr-Latn-ME"/>
        </w:rPr>
        <w:t>lijek</w:t>
      </w:r>
      <w:r w:rsidRPr="005436C8">
        <w:rPr>
          <w:sz w:val="22"/>
          <w:szCs w:val="22"/>
          <w:lang w:val="sr-Latn-ME"/>
        </w:rPr>
        <w:t>a u monoterapiji (udarna intravenska doza od 4 mg/kg / doza od 2 mg/kg jednom ned</w:t>
      </w:r>
      <w:r w:rsidR="003D15D3" w:rsidRPr="005436C8">
        <w:rPr>
          <w:sz w:val="22"/>
          <w:szCs w:val="22"/>
          <w:lang w:val="sr-Latn-ME"/>
        </w:rPr>
        <w:t>j</w:t>
      </w:r>
      <w:r w:rsidRPr="005436C8">
        <w:rPr>
          <w:sz w:val="22"/>
          <w:szCs w:val="22"/>
          <w:lang w:val="sr-Latn-ME"/>
        </w:rPr>
        <w:t>eljno) i zab</w:t>
      </w:r>
      <w:r w:rsidR="002C4DF4" w:rsidRPr="005436C8">
        <w:rPr>
          <w:sz w:val="22"/>
          <w:szCs w:val="22"/>
          <w:lang w:val="sr-Latn-ME"/>
        </w:rPr>
        <w:t>i</w:t>
      </w:r>
      <w:r w:rsidRPr="005436C8">
        <w:rPr>
          <w:sz w:val="22"/>
          <w:szCs w:val="22"/>
          <w:lang w:val="sr-Latn-ME"/>
        </w:rPr>
        <w:t>l</w:t>
      </w:r>
      <w:r w:rsidR="002C4DF4" w:rsidRPr="005436C8">
        <w:rPr>
          <w:sz w:val="22"/>
          <w:szCs w:val="22"/>
          <w:lang w:val="sr-Latn-ME"/>
        </w:rPr>
        <w:t>j</w:t>
      </w:r>
      <w:r w:rsidRPr="005436C8">
        <w:rPr>
          <w:sz w:val="22"/>
          <w:szCs w:val="22"/>
          <w:lang w:val="sr-Latn-ME"/>
        </w:rPr>
        <w:t xml:space="preserve">eženih serumskih koncentracija kod žena japanskog </w:t>
      </w:r>
      <w:r w:rsidR="00522BD8" w:rsidRPr="005436C8">
        <w:rPr>
          <w:sz w:val="22"/>
          <w:szCs w:val="22"/>
          <w:lang w:val="sr-Latn-ME"/>
        </w:rPr>
        <w:t>porijekla</w:t>
      </w:r>
      <w:r w:rsidRPr="005436C8">
        <w:rPr>
          <w:sz w:val="22"/>
          <w:szCs w:val="22"/>
          <w:lang w:val="sr-Latn-ME"/>
        </w:rPr>
        <w:t xml:space="preserve"> sa HER2 pozitivnim metastatskim karcinomom dojke (studija JP16003), nisu pronađeni dokazi farmakokinetičkog dejstva </w:t>
      </w:r>
      <w:r w:rsidR="002700CC" w:rsidRPr="005436C8">
        <w:rPr>
          <w:sz w:val="22"/>
          <w:szCs w:val="22"/>
          <w:lang w:val="sr-Latn-ME"/>
        </w:rPr>
        <w:t>istovrem</w:t>
      </w:r>
      <w:r w:rsidR="00A21698" w:rsidRPr="005436C8">
        <w:rPr>
          <w:sz w:val="22"/>
          <w:szCs w:val="22"/>
          <w:lang w:val="sr-Latn-ME"/>
        </w:rPr>
        <w:t>e</w:t>
      </w:r>
      <w:r w:rsidRPr="005436C8">
        <w:rPr>
          <w:sz w:val="22"/>
          <w:szCs w:val="22"/>
          <w:lang w:val="sr-Latn-ME"/>
        </w:rPr>
        <w:t xml:space="preserve">ne </w:t>
      </w:r>
      <w:r w:rsidR="00A21698" w:rsidRPr="005436C8">
        <w:rPr>
          <w:sz w:val="22"/>
          <w:szCs w:val="22"/>
          <w:lang w:val="sr-Latn-ME"/>
        </w:rPr>
        <w:t>primjene</w:t>
      </w:r>
      <w:r w:rsidRPr="005436C8">
        <w:rPr>
          <w:sz w:val="22"/>
          <w:szCs w:val="22"/>
          <w:lang w:val="sr-Latn-ME"/>
        </w:rPr>
        <w:t xml:space="preserve"> docetaksela na farmakokinetiku trastuzumaba. Poređenjem farmakokinetičkih rezultata iz dv</w:t>
      </w:r>
      <w:r w:rsidR="002C4DF4" w:rsidRPr="005436C8">
        <w:rPr>
          <w:sz w:val="22"/>
          <w:szCs w:val="22"/>
          <w:lang w:val="sr-Latn-ME"/>
        </w:rPr>
        <w:t>ij</w:t>
      </w:r>
      <w:r w:rsidRPr="005436C8">
        <w:rPr>
          <w:sz w:val="22"/>
          <w:szCs w:val="22"/>
          <w:lang w:val="sr-Latn-ME"/>
        </w:rPr>
        <w:t xml:space="preserve">e studije faze II (BO15935 i M77004), jedne studije faze III (H0648g) u kojoj su pacijentkinje </w:t>
      </w:r>
      <w:r w:rsidR="002700CC" w:rsidRPr="005436C8">
        <w:rPr>
          <w:sz w:val="22"/>
          <w:szCs w:val="22"/>
          <w:lang w:val="sr-Latn-ME"/>
        </w:rPr>
        <w:t>istovrem</w:t>
      </w:r>
      <w:r w:rsidR="002C4DF4" w:rsidRPr="005436C8">
        <w:rPr>
          <w:sz w:val="22"/>
          <w:szCs w:val="22"/>
          <w:lang w:val="sr-Latn-ME"/>
        </w:rPr>
        <w:t>eno</w:t>
      </w:r>
      <w:r w:rsidRPr="005436C8">
        <w:rPr>
          <w:sz w:val="22"/>
          <w:szCs w:val="22"/>
          <w:lang w:val="sr-Latn-ME"/>
        </w:rPr>
        <w:t xml:space="preserve"> primale trastuzumab i paklitaksel, kao i dv</w:t>
      </w:r>
      <w:r w:rsidR="002C4DF4" w:rsidRPr="005436C8">
        <w:rPr>
          <w:sz w:val="22"/>
          <w:szCs w:val="22"/>
          <w:lang w:val="sr-Latn-ME"/>
        </w:rPr>
        <w:t>ij</w:t>
      </w:r>
      <w:r w:rsidRPr="005436C8">
        <w:rPr>
          <w:sz w:val="22"/>
          <w:szCs w:val="22"/>
          <w:lang w:val="sr-Latn-ME"/>
        </w:rPr>
        <w:t>e studije faze II u kojima se trastuzumab prim</w:t>
      </w:r>
      <w:r w:rsidR="002C4DF4" w:rsidRPr="005436C8">
        <w:rPr>
          <w:sz w:val="22"/>
          <w:szCs w:val="22"/>
          <w:lang w:val="sr-Latn-ME"/>
        </w:rPr>
        <w:t>j</w:t>
      </w:r>
      <w:r w:rsidRPr="005436C8">
        <w:rPr>
          <w:sz w:val="22"/>
          <w:szCs w:val="22"/>
          <w:lang w:val="sr-Latn-ME"/>
        </w:rPr>
        <w:t xml:space="preserve">enjivao u monoterapiji (W016229 i MO16982) kod žena sa HER2 pozitivnim metastatskim karcinomom dojke, utvrđeno je da pojedinačne i srednje </w:t>
      </w:r>
      <w:r w:rsidR="000A2EA9" w:rsidRPr="005436C8">
        <w:rPr>
          <w:sz w:val="22"/>
          <w:szCs w:val="22"/>
          <w:lang w:val="sr-Latn-ME"/>
        </w:rPr>
        <w:t>vrijednost</w:t>
      </w:r>
      <w:r w:rsidRPr="005436C8">
        <w:rPr>
          <w:sz w:val="22"/>
          <w:szCs w:val="22"/>
          <w:lang w:val="sr-Latn-ME"/>
        </w:rPr>
        <w:t xml:space="preserve">i najniže koncentracije trastuzumaba u serumu variraju u okviru pojedinačnih studija i među svim studijama, ali nije utvrđeno jasno </w:t>
      </w:r>
      <w:r w:rsidR="003D15D3" w:rsidRPr="005436C8">
        <w:rPr>
          <w:sz w:val="22"/>
          <w:szCs w:val="22"/>
          <w:lang w:val="sr-Latn-ME"/>
        </w:rPr>
        <w:t xml:space="preserve">dejstvo </w:t>
      </w:r>
      <w:r w:rsidRPr="005436C8">
        <w:rPr>
          <w:sz w:val="22"/>
          <w:szCs w:val="22"/>
          <w:lang w:val="sr-Latn-ME"/>
        </w:rPr>
        <w:t>ist</w:t>
      </w:r>
      <w:r w:rsidR="002700CC" w:rsidRPr="005436C8">
        <w:rPr>
          <w:sz w:val="22"/>
          <w:szCs w:val="22"/>
          <w:lang w:val="sr-Latn-ME"/>
        </w:rPr>
        <w:t>ovrem</w:t>
      </w:r>
      <w:r w:rsidR="002C4DF4" w:rsidRPr="005436C8">
        <w:rPr>
          <w:sz w:val="22"/>
          <w:szCs w:val="22"/>
          <w:lang w:val="sr-Latn-ME"/>
        </w:rPr>
        <w:t>ene</w:t>
      </w:r>
      <w:r w:rsidRPr="005436C8">
        <w:rPr>
          <w:sz w:val="22"/>
          <w:szCs w:val="22"/>
          <w:lang w:val="sr-Latn-ME"/>
        </w:rPr>
        <w:t xml:space="preserve"> </w:t>
      </w:r>
      <w:r w:rsidR="00A21698" w:rsidRPr="005436C8">
        <w:rPr>
          <w:sz w:val="22"/>
          <w:szCs w:val="22"/>
          <w:lang w:val="sr-Latn-ME"/>
        </w:rPr>
        <w:t>primjene</w:t>
      </w:r>
      <w:r w:rsidRPr="005436C8">
        <w:rPr>
          <w:sz w:val="22"/>
          <w:szCs w:val="22"/>
          <w:lang w:val="sr-Latn-ME"/>
        </w:rPr>
        <w:t xml:space="preserve"> paklitaksela na farmakokinetiku trastuzumaba. </w:t>
      </w:r>
    </w:p>
    <w:p w14:paraId="6A4BE041" w14:textId="77777777" w:rsidR="000C7302" w:rsidRPr="005436C8" w:rsidRDefault="000C7302" w:rsidP="005436C8">
      <w:pPr>
        <w:tabs>
          <w:tab w:val="left" w:pos="284"/>
        </w:tabs>
        <w:jc w:val="both"/>
        <w:rPr>
          <w:sz w:val="22"/>
          <w:szCs w:val="22"/>
          <w:lang w:val="sr-Latn-ME"/>
        </w:rPr>
      </w:pPr>
    </w:p>
    <w:p w14:paraId="7BE6FCD8" w14:textId="77777777" w:rsidR="000C7302" w:rsidRPr="005436C8" w:rsidRDefault="000C7302" w:rsidP="005436C8">
      <w:pPr>
        <w:tabs>
          <w:tab w:val="left" w:pos="284"/>
        </w:tabs>
        <w:jc w:val="both"/>
        <w:rPr>
          <w:sz w:val="22"/>
          <w:szCs w:val="22"/>
          <w:lang w:val="sr-Latn-ME"/>
        </w:rPr>
      </w:pPr>
      <w:r w:rsidRPr="005436C8">
        <w:rPr>
          <w:sz w:val="22"/>
          <w:szCs w:val="22"/>
          <w:lang w:val="sr-Latn-ME"/>
        </w:rPr>
        <w:lastRenderedPageBreak/>
        <w:t xml:space="preserve">Poređenje podataka o farmakokinetici trastuzumaba iz studije M77004, u kojoj su žene sa HER2 pozitivnim metastatskim karcinomom dojke bile </w:t>
      </w:r>
      <w:r w:rsidR="002700CC" w:rsidRPr="005436C8">
        <w:rPr>
          <w:sz w:val="22"/>
          <w:szCs w:val="22"/>
          <w:lang w:val="sr-Latn-ME"/>
        </w:rPr>
        <w:t>istovrem</w:t>
      </w:r>
      <w:r w:rsidR="002C4DF4" w:rsidRPr="005436C8">
        <w:rPr>
          <w:sz w:val="22"/>
          <w:szCs w:val="22"/>
          <w:lang w:val="sr-Latn-ME"/>
        </w:rPr>
        <w:t>eno</w:t>
      </w:r>
      <w:r w:rsidRPr="005436C8">
        <w:rPr>
          <w:sz w:val="22"/>
          <w:szCs w:val="22"/>
          <w:lang w:val="sr-Latn-ME"/>
        </w:rPr>
        <w:t xml:space="preserve"> l</w:t>
      </w:r>
      <w:r w:rsidR="002C4DF4" w:rsidRPr="005436C8">
        <w:rPr>
          <w:sz w:val="22"/>
          <w:szCs w:val="22"/>
          <w:lang w:val="sr-Latn-ME"/>
        </w:rPr>
        <w:t>ij</w:t>
      </w:r>
      <w:r w:rsidRPr="005436C8">
        <w:rPr>
          <w:sz w:val="22"/>
          <w:szCs w:val="22"/>
          <w:lang w:val="sr-Latn-ME"/>
        </w:rPr>
        <w:t>ečene trastuzumabom, paklitakselom i doksorubicinom, sa podacima o farmakokinetici trastuzumaba iz studija u kojima se on prim</w:t>
      </w:r>
      <w:r w:rsidR="002C4DF4" w:rsidRPr="005436C8">
        <w:rPr>
          <w:sz w:val="22"/>
          <w:szCs w:val="22"/>
          <w:lang w:val="sr-Latn-ME"/>
        </w:rPr>
        <w:t>j</w:t>
      </w:r>
      <w:r w:rsidRPr="005436C8">
        <w:rPr>
          <w:sz w:val="22"/>
          <w:szCs w:val="22"/>
          <w:lang w:val="sr-Latn-ME"/>
        </w:rPr>
        <w:t>enjivao u monoterapiji (H0649g) ili u kombinaciji sa antraciklinom i ciklofosfamidom ili paklitakselom (studija H0648g), pokazalo je da doksorubicin i paklitaksel nisu uticali na farmakokinetiku trastuzumaba.</w:t>
      </w:r>
      <w:r w:rsidR="00492BEB">
        <w:rPr>
          <w:sz w:val="22"/>
          <w:szCs w:val="22"/>
          <w:lang w:val="sr-Latn-ME"/>
        </w:rPr>
        <w:t xml:space="preserve"> </w:t>
      </w:r>
      <w:r w:rsidRPr="005436C8">
        <w:rPr>
          <w:sz w:val="22"/>
          <w:szCs w:val="22"/>
          <w:lang w:val="sr-Latn-ME"/>
        </w:rPr>
        <w:t>Farmakokinetički podaci iz studije H4613g/GO01305 pokazali su da trastuzumab nije uticao na farmakokinetiku trastuzumaba.</w:t>
      </w:r>
    </w:p>
    <w:p w14:paraId="677EE580" w14:textId="77777777" w:rsidR="000C7302" w:rsidRPr="005436C8" w:rsidRDefault="000C7302" w:rsidP="005436C8">
      <w:pPr>
        <w:tabs>
          <w:tab w:val="left" w:pos="284"/>
        </w:tabs>
        <w:jc w:val="both"/>
        <w:rPr>
          <w:sz w:val="22"/>
          <w:szCs w:val="22"/>
          <w:lang w:val="sr-Latn-ME"/>
        </w:rPr>
      </w:pPr>
    </w:p>
    <w:p w14:paraId="0A37433C" w14:textId="77777777" w:rsidR="000C7302" w:rsidRPr="005436C8" w:rsidRDefault="00522BD8" w:rsidP="005436C8">
      <w:pPr>
        <w:tabs>
          <w:tab w:val="left" w:pos="284"/>
        </w:tabs>
        <w:jc w:val="both"/>
        <w:rPr>
          <w:sz w:val="22"/>
          <w:szCs w:val="22"/>
          <w:lang w:val="sr-Latn-ME"/>
        </w:rPr>
      </w:pPr>
      <w:r w:rsidRPr="005436C8">
        <w:rPr>
          <w:sz w:val="22"/>
          <w:szCs w:val="22"/>
          <w:lang w:val="sr-Latn-ME"/>
        </w:rPr>
        <w:t>Djeluje</w:t>
      </w:r>
      <w:r w:rsidR="000C7302" w:rsidRPr="005436C8">
        <w:rPr>
          <w:sz w:val="22"/>
          <w:szCs w:val="22"/>
          <w:lang w:val="sr-Latn-ME"/>
        </w:rPr>
        <w:t xml:space="preserve"> da </w:t>
      </w:r>
      <w:r w:rsidR="002700CC" w:rsidRPr="005436C8">
        <w:rPr>
          <w:sz w:val="22"/>
          <w:szCs w:val="22"/>
          <w:lang w:val="sr-Latn-ME"/>
        </w:rPr>
        <w:t>istovrem</w:t>
      </w:r>
      <w:r w:rsidR="00A21698" w:rsidRPr="005436C8">
        <w:rPr>
          <w:sz w:val="22"/>
          <w:szCs w:val="22"/>
          <w:lang w:val="sr-Latn-ME"/>
        </w:rPr>
        <w:t>e</w:t>
      </w:r>
      <w:r w:rsidR="000C7302" w:rsidRPr="005436C8">
        <w:rPr>
          <w:sz w:val="22"/>
          <w:szCs w:val="22"/>
          <w:lang w:val="sr-Latn-ME"/>
        </w:rPr>
        <w:t xml:space="preserve">na </w:t>
      </w:r>
      <w:r w:rsidR="00A21698" w:rsidRPr="005436C8">
        <w:rPr>
          <w:sz w:val="22"/>
          <w:szCs w:val="22"/>
          <w:lang w:val="sr-Latn-ME"/>
        </w:rPr>
        <w:t>primjena</w:t>
      </w:r>
      <w:r w:rsidR="000C7302" w:rsidRPr="005436C8">
        <w:rPr>
          <w:sz w:val="22"/>
          <w:szCs w:val="22"/>
          <w:lang w:val="sr-Latn-ME"/>
        </w:rPr>
        <w:t xml:space="preserve"> anastrozola nije uticala na farmakokinetiku trastuzumaba.</w:t>
      </w:r>
    </w:p>
    <w:p w14:paraId="051AFF36" w14:textId="77777777" w:rsidR="000C7302" w:rsidRPr="005436C8" w:rsidRDefault="000C7302" w:rsidP="005436C8">
      <w:pPr>
        <w:tabs>
          <w:tab w:val="left" w:pos="540"/>
          <w:tab w:val="left" w:pos="569"/>
        </w:tabs>
        <w:rPr>
          <w:bCs/>
          <w:sz w:val="22"/>
          <w:szCs w:val="22"/>
          <w:lang w:val="sr-Latn-ME"/>
        </w:rPr>
      </w:pPr>
    </w:p>
    <w:p w14:paraId="77BD66BF" w14:textId="77777777" w:rsidR="0072020E" w:rsidRPr="005436C8" w:rsidRDefault="0072020E" w:rsidP="005436C8">
      <w:pPr>
        <w:tabs>
          <w:tab w:val="left" w:pos="540"/>
          <w:tab w:val="left" w:pos="569"/>
        </w:tabs>
        <w:rPr>
          <w:b/>
          <w:sz w:val="22"/>
          <w:szCs w:val="22"/>
          <w:lang w:val="sr-Latn-ME"/>
        </w:rPr>
      </w:pPr>
      <w:r w:rsidRPr="005436C8">
        <w:rPr>
          <w:b/>
          <w:bCs/>
          <w:sz w:val="22"/>
          <w:szCs w:val="22"/>
          <w:lang w:val="sr-Latn-ME"/>
        </w:rPr>
        <w:t xml:space="preserve">4.6. </w:t>
      </w:r>
      <w:r w:rsidR="00480FB1" w:rsidRPr="005436C8">
        <w:rPr>
          <w:b/>
          <w:bCs/>
          <w:sz w:val="22"/>
          <w:szCs w:val="22"/>
          <w:lang w:val="sr-Latn-ME"/>
        </w:rPr>
        <w:tab/>
      </w:r>
      <w:r w:rsidR="006D20A5" w:rsidRPr="005436C8">
        <w:rPr>
          <w:b/>
          <w:sz w:val="22"/>
          <w:szCs w:val="22"/>
          <w:lang w:val="sr-Latn-ME"/>
        </w:rPr>
        <w:t>Plodnost, trudnoća i dojenje</w:t>
      </w:r>
    </w:p>
    <w:p w14:paraId="381BAD11" w14:textId="77777777" w:rsidR="002031B3" w:rsidRPr="005436C8" w:rsidRDefault="002031B3" w:rsidP="005436C8">
      <w:pPr>
        <w:tabs>
          <w:tab w:val="left" w:pos="540"/>
          <w:tab w:val="left" w:pos="569"/>
        </w:tabs>
        <w:rPr>
          <w:sz w:val="22"/>
          <w:szCs w:val="22"/>
          <w:u w:val="single"/>
          <w:lang w:val="sr-Latn-ME"/>
        </w:rPr>
      </w:pPr>
    </w:p>
    <w:p w14:paraId="18CB2C6F" w14:textId="77777777" w:rsidR="000C7302" w:rsidRPr="005436C8" w:rsidRDefault="000C7302" w:rsidP="005436C8">
      <w:pPr>
        <w:tabs>
          <w:tab w:val="left" w:pos="284"/>
        </w:tabs>
        <w:jc w:val="both"/>
        <w:rPr>
          <w:noProof/>
          <w:color w:val="000000"/>
          <w:sz w:val="22"/>
          <w:szCs w:val="22"/>
          <w:u w:val="single"/>
          <w:lang w:val="sr-Latn-ME"/>
        </w:rPr>
      </w:pPr>
      <w:r w:rsidRPr="005436C8">
        <w:rPr>
          <w:color w:val="000000"/>
          <w:sz w:val="22"/>
          <w:szCs w:val="22"/>
          <w:u w:val="single"/>
          <w:lang w:val="sr-Latn-ME"/>
        </w:rPr>
        <w:t>Žene u reproduktivnom periodu/</w:t>
      </w:r>
      <w:r w:rsidRPr="005436C8">
        <w:rPr>
          <w:noProof/>
          <w:color w:val="000000"/>
          <w:sz w:val="22"/>
          <w:szCs w:val="22"/>
          <w:u w:val="single"/>
          <w:lang w:val="sr-Latn-ME"/>
        </w:rPr>
        <w:t>kontracepcija</w:t>
      </w:r>
    </w:p>
    <w:p w14:paraId="45746E33" w14:textId="77777777" w:rsidR="000C7302" w:rsidRPr="005436C8" w:rsidRDefault="000C7302" w:rsidP="005436C8">
      <w:pPr>
        <w:tabs>
          <w:tab w:val="left" w:pos="284"/>
        </w:tabs>
        <w:jc w:val="both"/>
        <w:rPr>
          <w:noProof/>
          <w:color w:val="000000"/>
          <w:sz w:val="22"/>
          <w:szCs w:val="22"/>
          <w:lang w:val="sr-Latn-ME"/>
        </w:rPr>
      </w:pPr>
    </w:p>
    <w:p w14:paraId="1EB46622"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Žene </w:t>
      </w:r>
      <w:r w:rsidR="00DB32FE" w:rsidRPr="005436C8">
        <w:rPr>
          <w:color w:val="000000"/>
          <w:sz w:val="22"/>
          <w:szCs w:val="22"/>
          <w:lang w:val="sr-Latn-ME"/>
        </w:rPr>
        <w:t>u reproduktivnom periodu</w:t>
      </w:r>
      <w:r w:rsidRPr="005436C8">
        <w:rPr>
          <w:color w:val="000000"/>
          <w:sz w:val="22"/>
          <w:szCs w:val="22"/>
          <w:lang w:val="sr-Latn-ME"/>
        </w:rPr>
        <w:t xml:space="preserve"> treba da koriste </w:t>
      </w:r>
      <w:r w:rsidR="00DB32FE" w:rsidRPr="005436C8">
        <w:rPr>
          <w:color w:val="000000"/>
          <w:sz w:val="22"/>
          <w:szCs w:val="22"/>
          <w:lang w:val="sr-Latn-ME"/>
        </w:rPr>
        <w:t xml:space="preserve">efikasnu </w:t>
      </w:r>
      <w:r w:rsidRPr="005436C8">
        <w:rPr>
          <w:color w:val="000000"/>
          <w:sz w:val="22"/>
          <w:szCs w:val="22"/>
          <w:lang w:val="sr-Latn-ME"/>
        </w:rPr>
        <w:t xml:space="preserve">kontracepciju dok primaju </w:t>
      </w:r>
      <w:r w:rsidR="00166973" w:rsidRPr="005436C8">
        <w:rPr>
          <w:color w:val="000000"/>
          <w:sz w:val="22"/>
          <w:szCs w:val="22"/>
          <w:lang w:val="sr-Latn-ME"/>
        </w:rPr>
        <w:t>lijek</w:t>
      </w:r>
      <w:r w:rsidRPr="005436C8">
        <w:rPr>
          <w:color w:val="000000"/>
          <w:sz w:val="22"/>
          <w:szCs w:val="22"/>
          <w:lang w:val="sr-Latn-ME"/>
        </w:rPr>
        <w:t xml:space="preserve"> </w:t>
      </w:r>
      <w:r w:rsidRPr="005436C8">
        <w:rPr>
          <w:noProof/>
          <w:color w:val="000000"/>
          <w:sz w:val="22"/>
          <w:szCs w:val="22"/>
          <w:lang w:val="sr-Latn-ME"/>
        </w:rPr>
        <w:t>Phesgo</w:t>
      </w:r>
      <w:r w:rsidRPr="005436C8">
        <w:rPr>
          <w:color w:val="000000"/>
          <w:sz w:val="22"/>
          <w:szCs w:val="22"/>
          <w:lang w:val="sr-Latn-ME"/>
        </w:rPr>
        <w:t>, kao i tokom 7 m</w:t>
      </w:r>
      <w:r w:rsidR="002C4DF4" w:rsidRPr="005436C8">
        <w:rPr>
          <w:color w:val="000000"/>
          <w:sz w:val="22"/>
          <w:szCs w:val="22"/>
          <w:lang w:val="sr-Latn-ME"/>
        </w:rPr>
        <w:t>j</w:t>
      </w:r>
      <w:r w:rsidRPr="005436C8">
        <w:rPr>
          <w:color w:val="000000"/>
          <w:sz w:val="22"/>
          <w:szCs w:val="22"/>
          <w:lang w:val="sr-Latn-ME"/>
        </w:rPr>
        <w:t>eseci nakon posl</w:t>
      </w:r>
      <w:r w:rsidR="002C4DF4" w:rsidRPr="005436C8">
        <w:rPr>
          <w:color w:val="000000"/>
          <w:sz w:val="22"/>
          <w:szCs w:val="22"/>
          <w:lang w:val="sr-Latn-ME"/>
        </w:rPr>
        <w:t>j</w:t>
      </w:r>
      <w:r w:rsidRPr="005436C8">
        <w:rPr>
          <w:color w:val="000000"/>
          <w:sz w:val="22"/>
          <w:szCs w:val="22"/>
          <w:lang w:val="sr-Latn-ME"/>
        </w:rPr>
        <w:t>ednje doze.</w:t>
      </w:r>
    </w:p>
    <w:p w14:paraId="09BEE465" w14:textId="77777777" w:rsidR="000C7302" w:rsidRPr="005436C8" w:rsidRDefault="000C7302" w:rsidP="005436C8">
      <w:pPr>
        <w:tabs>
          <w:tab w:val="left" w:pos="284"/>
        </w:tabs>
        <w:jc w:val="both"/>
        <w:rPr>
          <w:noProof/>
          <w:color w:val="000000"/>
          <w:sz w:val="22"/>
          <w:szCs w:val="22"/>
          <w:lang w:val="sr-Latn-ME"/>
        </w:rPr>
      </w:pPr>
    </w:p>
    <w:p w14:paraId="7B4CB973"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Trudnoća</w:t>
      </w:r>
    </w:p>
    <w:p w14:paraId="49736AE9" w14:textId="77777777" w:rsidR="000C7302" w:rsidRPr="005436C8" w:rsidRDefault="000C7302" w:rsidP="005436C8">
      <w:pPr>
        <w:tabs>
          <w:tab w:val="left" w:pos="284"/>
        </w:tabs>
        <w:jc w:val="both"/>
        <w:rPr>
          <w:color w:val="000000"/>
          <w:sz w:val="22"/>
          <w:szCs w:val="22"/>
          <w:lang w:val="sr-Latn-ME"/>
        </w:rPr>
      </w:pPr>
    </w:p>
    <w:p w14:paraId="6BD9497A" w14:textId="77777777" w:rsidR="000C7302" w:rsidRPr="005436C8" w:rsidRDefault="000C7302" w:rsidP="005436C8">
      <w:pPr>
        <w:tabs>
          <w:tab w:val="left" w:pos="284"/>
        </w:tabs>
        <w:autoSpaceDE w:val="0"/>
        <w:autoSpaceDN w:val="0"/>
        <w:adjustRightInd w:val="0"/>
        <w:jc w:val="both"/>
        <w:rPr>
          <w:sz w:val="22"/>
          <w:szCs w:val="22"/>
          <w:lang w:val="sr-Latn-ME"/>
        </w:rPr>
      </w:pPr>
      <w:r w:rsidRPr="005436C8">
        <w:rPr>
          <w:sz w:val="22"/>
          <w:szCs w:val="22"/>
          <w:lang w:val="sr-Latn-ME"/>
        </w:rPr>
        <w:t>U ispitivanjima na životinjama pertuzumab je pokazao reproduktivnu toksičnost. O prim</w:t>
      </w:r>
      <w:r w:rsidR="002C4DF4" w:rsidRPr="005436C8">
        <w:rPr>
          <w:sz w:val="22"/>
          <w:szCs w:val="22"/>
          <w:lang w:val="sr-Latn-ME"/>
        </w:rPr>
        <w:t>j</w:t>
      </w:r>
      <w:r w:rsidRPr="005436C8">
        <w:rPr>
          <w:sz w:val="22"/>
          <w:szCs w:val="22"/>
          <w:lang w:val="sr-Latn-ME"/>
        </w:rPr>
        <w:t xml:space="preserve">eni </w:t>
      </w:r>
      <w:r w:rsidR="00166973" w:rsidRPr="005436C8">
        <w:rPr>
          <w:sz w:val="22"/>
          <w:szCs w:val="22"/>
          <w:lang w:val="sr-Latn-ME"/>
        </w:rPr>
        <w:t>lijek</w:t>
      </w:r>
      <w:r w:rsidRPr="005436C8">
        <w:rPr>
          <w:sz w:val="22"/>
          <w:szCs w:val="22"/>
          <w:lang w:val="sr-Latn-ME"/>
        </w:rPr>
        <w:t>a pertuzumaba kod trudnica postoje samo ograničeni podaci.</w:t>
      </w:r>
    </w:p>
    <w:p w14:paraId="09E4CF8D" w14:textId="77777777" w:rsidR="000C7302" w:rsidRPr="005436C8" w:rsidRDefault="000C7302" w:rsidP="005436C8">
      <w:pPr>
        <w:tabs>
          <w:tab w:val="left" w:pos="284"/>
        </w:tabs>
        <w:autoSpaceDE w:val="0"/>
        <w:autoSpaceDN w:val="0"/>
        <w:adjustRightInd w:val="0"/>
        <w:jc w:val="both"/>
        <w:rPr>
          <w:sz w:val="22"/>
          <w:szCs w:val="22"/>
          <w:lang w:val="sr-Latn-ME"/>
        </w:rPr>
      </w:pPr>
    </w:p>
    <w:p w14:paraId="29FAFC03" w14:textId="7C37A8BD" w:rsidR="000C7302" w:rsidRPr="005436C8" w:rsidRDefault="000C7302" w:rsidP="005436C8">
      <w:pPr>
        <w:tabs>
          <w:tab w:val="left" w:pos="284"/>
        </w:tabs>
        <w:autoSpaceDE w:val="0"/>
        <w:autoSpaceDN w:val="0"/>
        <w:adjustRightInd w:val="0"/>
        <w:jc w:val="both"/>
        <w:rPr>
          <w:sz w:val="22"/>
          <w:szCs w:val="22"/>
          <w:lang w:val="sr-Latn-ME"/>
        </w:rPr>
      </w:pPr>
      <w:r w:rsidRPr="005436C8">
        <w:rPr>
          <w:color w:val="000000"/>
          <w:sz w:val="22"/>
          <w:szCs w:val="22"/>
          <w:lang w:val="sr-Latn-ME"/>
        </w:rPr>
        <w:t xml:space="preserve">Prema podacima iz ispitivanja na životinjama, nije poznato da li trastuzumab može da utiče na reproduktivni kapacitet (pogledati </w:t>
      </w:r>
      <w:r w:rsidR="009B712A">
        <w:rPr>
          <w:color w:val="000000"/>
          <w:sz w:val="22"/>
          <w:szCs w:val="22"/>
          <w:lang w:val="sr-Latn-ME"/>
        </w:rPr>
        <w:t>dio</w:t>
      </w:r>
      <w:r w:rsidRPr="005436C8">
        <w:rPr>
          <w:color w:val="000000"/>
          <w:sz w:val="22"/>
          <w:szCs w:val="22"/>
          <w:lang w:val="sr-Latn-ME"/>
        </w:rPr>
        <w:t xml:space="preserve"> 5.3). Ipak,</w:t>
      </w:r>
      <w:r w:rsidRPr="005436C8">
        <w:rPr>
          <w:sz w:val="22"/>
          <w:szCs w:val="22"/>
          <w:lang w:val="sr-Latn-ME"/>
        </w:rPr>
        <w:t xml:space="preserve"> nakon stavljanja </w:t>
      </w:r>
      <w:r w:rsidR="00166973" w:rsidRPr="005436C8">
        <w:rPr>
          <w:sz w:val="22"/>
          <w:szCs w:val="22"/>
          <w:lang w:val="sr-Latn-ME"/>
        </w:rPr>
        <w:t>lijek</w:t>
      </w:r>
      <w:r w:rsidRPr="005436C8">
        <w:rPr>
          <w:sz w:val="22"/>
          <w:szCs w:val="22"/>
          <w:lang w:val="sr-Latn-ME"/>
        </w:rPr>
        <w:t>a u promet,</w:t>
      </w:r>
      <w:r w:rsidRPr="005436C8">
        <w:rPr>
          <w:color w:val="000000"/>
          <w:sz w:val="22"/>
          <w:szCs w:val="22"/>
          <w:lang w:val="sr-Latn-ME"/>
        </w:rPr>
        <w:t xml:space="preserve"> kod trudnica koje su primale trastuzumab zab</w:t>
      </w:r>
      <w:r w:rsidR="002C4DF4" w:rsidRPr="005436C8">
        <w:rPr>
          <w:color w:val="000000"/>
          <w:sz w:val="22"/>
          <w:szCs w:val="22"/>
          <w:lang w:val="sr-Latn-ME"/>
        </w:rPr>
        <w:t>i</w:t>
      </w:r>
      <w:r w:rsidRPr="005436C8">
        <w:rPr>
          <w:color w:val="000000"/>
          <w:sz w:val="22"/>
          <w:szCs w:val="22"/>
          <w:lang w:val="sr-Latn-ME"/>
        </w:rPr>
        <w:t>l</w:t>
      </w:r>
      <w:r w:rsidR="002C4DF4" w:rsidRPr="005436C8">
        <w:rPr>
          <w:color w:val="000000"/>
          <w:sz w:val="22"/>
          <w:szCs w:val="22"/>
          <w:lang w:val="sr-Latn-ME"/>
        </w:rPr>
        <w:t>j</w:t>
      </w:r>
      <w:r w:rsidRPr="005436C8">
        <w:rPr>
          <w:color w:val="000000"/>
          <w:sz w:val="22"/>
          <w:szCs w:val="22"/>
          <w:lang w:val="sr-Latn-ME"/>
        </w:rPr>
        <w:t>eženi su slučajevi poremećaja rasta odnosno funkcije bubrega kod ploda povezani sa oligohidramnionom, od kojih su neki doveli do smrtonosne plućne hipoplazije kod ploda.</w:t>
      </w:r>
    </w:p>
    <w:p w14:paraId="1CA2C3E0"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2B41387A"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Na osnovu gorenavedenih podataka iz ispitivanja na životinjama i nakon stavljanja </w:t>
      </w:r>
      <w:r w:rsidR="00166973" w:rsidRPr="005436C8">
        <w:rPr>
          <w:color w:val="000000"/>
          <w:sz w:val="22"/>
          <w:szCs w:val="22"/>
          <w:lang w:val="sr-Latn-ME"/>
        </w:rPr>
        <w:t>lijek</w:t>
      </w:r>
      <w:r w:rsidRPr="005436C8">
        <w:rPr>
          <w:color w:val="000000"/>
          <w:sz w:val="22"/>
          <w:szCs w:val="22"/>
          <w:lang w:val="sr-Latn-ME"/>
        </w:rPr>
        <w:t xml:space="preserve">a u promet, </w:t>
      </w:r>
      <w:r w:rsidR="00166973" w:rsidRPr="005436C8">
        <w:rPr>
          <w:color w:val="000000"/>
          <w:sz w:val="22"/>
          <w:szCs w:val="22"/>
          <w:lang w:val="sr-Latn-ME"/>
        </w:rPr>
        <w:t>lijek</w:t>
      </w:r>
      <w:r w:rsidRPr="005436C8">
        <w:rPr>
          <w:color w:val="000000"/>
          <w:sz w:val="22"/>
          <w:szCs w:val="22"/>
          <w:lang w:val="sr-Latn-ME"/>
        </w:rPr>
        <w:t xml:space="preserve"> </w:t>
      </w:r>
      <w:r w:rsidRPr="005436C8">
        <w:rPr>
          <w:noProof/>
          <w:color w:val="000000"/>
          <w:sz w:val="22"/>
          <w:szCs w:val="22"/>
          <w:lang w:val="sr-Latn-ME"/>
        </w:rPr>
        <w:t xml:space="preserve">Phesgo </w:t>
      </w:r>
      <w:r w:rsidRPr="005436C8">
        <w:rPr>
          <w:color w:val="000000"/>
          <w:sz w:val="22"/>
          <w:szCs w:val="22"/>
          <w:lang w:val="sr-Latn-ME"/>
        </w:rPr>
        <w:t>treba izb</w:t>
      </w:r>
      <w:r w:rsidR="00DB32FE" w:rsidRPr="005436C8">
        <w:rPr>
          <w:color w:val="000000"/>
          <w:sz w:val="22"/>
          <w:szCs w:val="22"/>
          <w:lang w:val="sr-Latn-ME"/>
        </w:rPr>
        <w:t>j</w:t>
      </w:r>
      <w:r w:rsidRPr="005436C8">
        <w:rPr>
          <w:color w:val="000000"/>
          <w:sz w:val="22"/>
          <w:szCs w:val="22"/>
          <w:lang w:val="sr-Latn-ME"/>
        </w:rPr>
        <w:t>egavati tokom trudnoće, osim ukoliko potencijalna korist za majku nadmašuje potencijalni rizik za fetus. Žene koje zatrudne treba upozoriti na moguća štetna dejstva na fetus. Ako se trudnica l</w:t>
      </w:r>
      <w:r w:rsidR="002C4DF4" w:rsidRPr="005436C8">
        <w:rPr>
          <w:color w:val="000000"/>
          <w:sz w:val="22"/>
          <w:szCs w:val="22"/>
          <w:lang w:val="sr-Latn-ME"/>
        </w:rPr>
        <w:t>ij</w:t>
      </w:r>
      <w:r w:rsidRPr="005436C8">
        <w:rPr>
          <w:color w:val="000000"/>
          <w:sz w:val="22"/>
          <w:szCs w:val="22"/>
          <w:lang w:val="sr-Latn-ME"/>
        </w:rPr>
        <w:t xml:space="preserve">eči </w:t>
      </w:r>
      <w:r w:rsidR="00166973" w:rsidRPr="005436C8">
        <w:rPr>
          <w:color w:val="000000"/>
          <w:sz w:val="22"/>
          <w:szCs w:val="22"/>
          <w:lang w:val="sr-Latn-ME"/>
        </w:rPr>
        <w:t>lijek</w:t>
      </w:r>
      <w:r w:rsidRPr="005436C8">
        <w:rPr>
          <w:color w:val="000000"/>
          <w:sz w:val="22"/>
          <w:szCs w:val="22"/>
          <w:lang w:val="sr-Latn-ME"/>
        </w:rPr>
        <w:t xml:space="preserve">om Phesgo, ili ako pacijentkinja ostane u drugom stanju tokom </w:t>
      </w:r>
      <w:r w:rsidR="000A2EA9" w:rsidRPr="005436C8">
        <w:rPr>
          <w:color w:val="000000"/>
          <w:sz w:val="22"/>
          <w:szCs w:val="22"/>
          <w:lang w:val="sr-Latn-ME"/>
        </w:rPr>
        <w:t>liječenja</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om Phesgo</w:t>
      </w:r>
      <w:r w:rsidRPr="005436C8">
        <w:rPr>
          <w:sz w:val="22"/>
          <w:szCs w:val="22"/>
          <w:lang w:val="sr-Latn-ME"/>
        </w:rPr>
        <w:t xml:space="preserve"> </w:t>
      </w:r>
      <w:r w:rsidRPr="005436C8">
        <w:rPr>
          <w:color w:val="000000"/>
          <w:sz w:val="22"/>
          <w:szCs w:val="22"/>
          <w:lang w:val="sr-Latn-ME"/>
        </w:rPr>
        <w:t>ili u periodu od 7 m</w:t>
      </w:r>
      <w:r w:rsidR="002C4DF4" w:rsidRPr="005436C8">
        <w:rPr>
          <w:color w:val="000000"/>
          <w:sz w:val="22"/>
          <w:szCs w:val="22"/>
          <w:lang w:val="sr-Latn-ME"/>
        </w:rPr>
        <w:t>j</w:t>
      </w:r>
      <w:r w:rsidRPr="005436C8">
        <w:rPr>
          <w:color w:val="000000"/>
          <w:sz w:val="22"/>
          <w:szCs w:val="22"/>
          <w:lang w:val="sr-Latn-ME"/>
        </w:rPr>
        <w:t>eseci nakon posl</w:t>
      </w:r>
      <w:r w:rsidR="00DB32FE" w:rsidRPr="005436C8">
        <w:rPr>
          <w:color w:val="000000"/>
          <w:sz w:val="22"/>
          <w:szCs w:val="22"/>
          <w:lang w:val="sr-Latn-ME"/>
        </w:rPr>
        <w:t>j</w:t>
      </w:r>
      <w:r w:rsidRPr="005436C8">
        <w:rPr>
          <w:color w:val="000000"/>
          <w:sz w:val="22"/>
          <w:szCs w:val="22"/>
          <w:lang w:val="sr-Latn-ME"/>
        </w:rPr>
        <w:t xml:space="preserve">ednje doze </w:t>
      </w:r>
      <w:r w:rsidR="00166973" w:rsidRPr="005436C8">
        <w:rPr>
          <w:color w:val="000000"/>
          <w:sz w:val="22"/>
          <w:szCs w:val="22"/>
          <w:lang w:val="sr-Latn-ME"/>
        </w:rPr>
        <w:t>lijek</w:t>
      </w:r>
      <w:r w:rsidRPr="005436C8">
        <w:rPr>
          <w:color w:val="000000"/>
          <w:sz w:val="22"/>
          <w:szCs w:val="22"/>
          <w:lang w:val="sr-Latn-ME"/>
        </w:rPr>
        <w:t xml:space="preserve">a Phesgo, poželjno je da bude pod pažljivim nadzorom multidisciplinarnog tima. </w:t>
      </w:r>
    </w:p>
    <w:p w14:paraId="00205A78" w14:textId="77777777" w:rsidR="000C7302" w:rsidRPr="005436C8" w:rsidRDefault="000C7302" w:rsidP="005436C8">
      <w:pPr>
        <w:tabs>
          <w:tab w:val="left" w:pos="284"/>
        </w:tabs>
        <w:jc w:val="both"/>
        <w:rPr>
          <w:noProof/>
          <w:color w:val="000000"/>
          <w:sz w:val="22"/>
          <w:szCs w:val="22"/>
          <w:lang w:val="sr-Latn-ME"/>
        </w:rPr>
      </w:pPr>
    </w:p>
    <w:p w14:paraId="743B5F45"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u w:val="single"/>
          <w:lang w:val="sr-Latn-ME"/>
        </w:rPr>
        <w:t>Dojenje</w:t>
      </w:r>
    </w:p>
    <w:p w14:paraId="24C2C451" w14:textId="77777777" w:rsidR="000C7302" w:rsidRPr="005436C8" w:rsidRDefault="000C7302" w:rsidP="005436C8">
      <w:pPr>
        <w:tabs>
          <w:tab w:val="left" w:pos="284"/>
        </w:tabs>
        <w:jc w:val="both"/>
        <w:rPr>
          <w:noProof/>
          <w:color w:val="000000"/>
          <w:sz w:val="22"/>
          <w:szCs w:val="22"/>
          <w:lang w:val="sr-Latn-ME"/>
        </w:rPr>
      </w:pPr>
    </w:p>
    <w:p w14:paraId="5EF22F04"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Pošto se humani IgG izlučuje u majčino m</w:t>
      </w:r>
      <w:r w:rsidR="00166973" w:rsidRPr="005436C8">
        <w:rPr>
          <w:color w:val="000000"/>
          <w:sz w:val="22"/>
          <w:szCs w:val="22"/>
          <w:lang w:val="sr-Latn-ME"/>
        </w:rPr>
        <w:t>lijek</w:t>
      </w:r>
      <w:r w:rsidRPr="005436C8">
        <w:rPr>
          <w:color w:val="000000"/>
          <w:sz w:val="22"/>
          <w:szCs w:val="22"/>
          <w:lang w:val="sr-Latn-ME"/>
        </w:rPr>
        <w:t xml:space="preserve">o, a mogućnost </w:t>
      </w:r>
      <w:r w:rsidR="00DB32FE" w:rsidRPr="005436C8">
        <w:rPr>
          <w:color w:val="000000"/>
          <w:sz w:val="22"/>
          <w:szCs w:val="22"/>
          <w:lang w:val="sr-Latn-ME"/>
        </w:rPr>
        <w:t xml:space="preserve">resorpcije </w:t>
      </w:r>
      <w:r w:rsidRPr="005436C8">
        <w:rPr>
          <w:color w:val="000000"/>
          <w:sz w:val="22"/>
          <w:szCs w:val="22"/>
          <w:lang w:val="sr-Latn-ME"/>
        </w:rPr>
        <w:t xml:space="preserve">i štetnog dejstva na odojče nisu poznati, žene ne treba da doje tokom </w:t>
      </w:r>
      <w:r w:rsidR="000A2EA9" w:rsidRPr="005436C8">
        <w:rPr>
          <w:color w:val="000000"/>
          <w:sz w:val="22"/>
          <w:szCs w:val="22"/>
          <w:lang w:val="sr-Latn-ME"/>
        </w:rPr>
        <w:t>liječenja</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i barem 7 m</w:t>
      </w:r>
      <w:r w:rsidR="002C4DF4" w:rsidRPr="005436C8">
        <w:rPr>
          <w:color w:val="000000"/>
          <w:sz w:val="22"/>
          <w:szCs w:val="22"/>
          <w:lang w:val="sr-Latn-ME"/>
        </w:rPr>
        <w:t>j</w:t>
      </w:r>
      <w:r w:rsidRPr="005436C8">
        <w:rPr>
          <w:color w:val="000000"/>
          <w:sz w:val="22"/>
          <w:szCs w:val="22"/>
          <w:lang w:val="sr-Latn-ME"/>
        </w:rPr>
        <w:t>eseci nakon posl</w:t>
      </w:r>
      <w:r w:rsidR="00DB32FE" w:rsidRPr="005436C8">
        <w:rPr>
          <w:color w:val="000000"/>
          <w:sz w:val="22"/>
          <w:szCs w:val="22"/>
          <w:lang w:val="sr-Latn-ME"/>
        </w:rPr>
        <w:t>j</w:t>
      </w:r>
      <w:r w:rsidRPr="005436C8">
        <w:rPr>
          <w:color w:val="000000"/>
          <w:sz w:val="22"/>
          <w:szCs w:val="22"/>
          <w:lang w:val="sr-Latn-ME"/>
        </w:rPr>
        <w:t>ednje doze.</w:t>
      </w:r>
    </w:p>
    <w:p w14:paraId="0C029342" w14:textId="77777777" w:rsidR="000C7302" w:rsidRPr="005436C8" w:rsidRDefault="000C7302" w:rsidP="005436C8">
      <w:pPr>
        <w:tabs>
          <w:tab w:val="left" w:pos="284"/>
        </w:tabs>
        <w:jc w:val="both"/>
        <w:rPr>
          <w:noProof/>
          <w:color w:val="000000"/>
          <w:sz w:val="22"/>
          <w:szCs w:val="22"/>
          <w:lang w:val="sr-Latn-ME"/>
        </w:rPr>
      </w:pPr>
    </w:p>
    <w:p w14:paraId="59D8068B" w14:textId="77777777" w:rsidR="000C7302" w:rsidRPr="005436C8" w:rsidRDefault="000C7302" w:rsidP="005436C8">
      <w:pPr>
        <w:keepNext/>
        <w:keepLines/>
        <w:tabs>
          <w:tab w:val="left" w:pos="284"/>
        </w:tabs>
        <w:jc w:val="both"/>
        <w:rPr>
          <w:noProof/>
          <w:color w:val="000000"/>
          <w:sz w:val="22"/>
          <w:szCs w:val="22"/>
          <w:u w:val="single"/>
          <w:lang w:val="sr-Latn-ME"/>
        </w:rPr>
      </w:pPr>
      <w:r w:rsidRPr="005436C8">
        <w:rPr>
          <w:noProof/>
          <w:color w:val="000000"/>
          <w:sz w:val="22"/>
          <w:szCs w:val="22"/>
          <w:u w:val="single"/>
          <w:lang w:val="sr-Latn-ME"/>
        </w:rPr>
        <w:t>Plodnost</w:t>
      </w:r>
    </w:p>
    <w:p w14:paraId="4F7FEBD8" w14:textId="77777777" w:rsidR="000C7302" w:rsidRPr="005436C8" w:rsidRDefault="000C7302" w:rsidP="005436C8">
      <w:pPr>
        <w:keepNext/>
        <w:keepLines/>
        <w:tabs>
          <w:tab w:val="left" w:pos="284"/>
        </w:tabs>
        <w:jc w:val="both"/>
        <w:rPr>
          <w:sz w:val="22"/>
          <w:szCs w:val="22"/>
          <w:lang w:val="sr-Latn-ME"/>
        </w:rPr>
      </w:pPr>
    </w:p>
    <w:p w14:paraId="7987A624" w14:textId="77777777" w:rsidR="000C7302" w:rsidRPr="005436C8" w:rsidRDefault="000C7302" w:rsidP="005436C8">
      <w:pPr>
        <w:keepNext/>
        <w:keepLines/>
        <w:tabs>
          <w:tab w:val="left" w:pos="284"/>
        </w:tabs>
        <w:jc w:val="both"/>
        <w:rPr>
          <w:i/>
          <w:color w:val="000000"/>
          <w:sz w:val="22"/>
          <w:szCs w:val="22"/>
          <w:u w:val="single"/>
          <w:lang w:val="sr-Latn-ME"/>
        </w:rPr>
      </w:pPr>
      <w:r w:rsidRPr="005436C8">
        <w:rPr>
          <w:i/>
          <w:iCs/>
          <w:color w:val="000000"/>
          <w:sz w:val="22"/>
          <w:szCs w:val="22"/>
          <w:u w:val="single"/>
          <w:lang w:val="sr-Latn-ME"/>
        </w:rPr>
        <w:t>Pertuzumab</w:t>
      </w:r>
    </w:p>
    <w:p w14:paraId="63FDA9C3" w14:textId="77777777" w:rsidR="000C7302" w:rsidRPr="005436C8" w:rsidRDefault="000C7302" w:rsidP="005436C8">
      <w:pPr>
        <w:keepNext/>
        <w:keepLines/>
        <w:tabs>
          <w:tab w:val="left" w:pos="284"/>
        </w:tabs>
        <w:jc w:val="both"/>
        <w:rPr>
          <w:color w:val="000000"/>
          <w:sz w:val="22"/>
          <w:szCs w:val="22"/>
          <w:lang w:val="sr-Latn-ME"/>
        </w:rPr>
      </w:pPr>
    </w:p>
    <w:p w14:paraId="15669341" w14:textId="17B093E4"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Nisu sprovedena posebna ispitivanja na životinjama kojima bi se oc</w:t>
      </w:r>
      <w:r w:rsidR="002700CC" w:rsidRPr="005436C8">
        <w:rPr>
          <w:color w:val="000000"/>
          <w:sz w:val="22"/>
          <w:szCs w:val="22"/>
          <w:lang w:val="sr-Latn-ME"/>
        </w:rPr>
        <w:t>i</w:t>
      </w:r>
      <w:r w:rsidR="002C4DF4" w:rsidRPr="005436C8">
        <w:rPr>
          <w:color w:val="000000"/>
          <w:sz w:val="22"/>
          <w:szCs w:val="22"/>
          <w:lang w:val="sr-Latn-ME"/>
        </w:rPr>
        <w:t>j</w:t>
      </w:r>
      <w:r w:rsidRPr="005436C8">
        <w:rPr>
          <w:color w:val="000000"/>
          <w:sz w:val="22"/>
          <w:szCs w:val="22"/>
          <w:lang w:val="sr-Latn-ME"/>
        </w:rPr>
        <w:t>enilo dejstvo pertuzumaba. U ispitivanjima toksičnosti ponovljenih doza pertuzumaba u trajanju do šest m</w:t>
      </w:r>
      <w:r w:rsidR="002C4DF4" w:rsidRPr="005436C8">
        <w:rPr>
          <w:color w:val="000000"/>
          <w:sz w:val="22"/>
          <w:szCs w:val="22"/>
          <w:lang w:val="sr-Latn-ME"/>
        </w:rPr>
        <w:t>j</w:t>
      </w:r>
      <w:r w:rsidRPr="005436C8">
        <w:rPr>
          <w:color w:val="000000"/>
          <w:sz w:val="22"/>
          <w:szCs w:val="22"/>
          <w:lang w:val="sr-Latn-ME"/>
        </w:rPr>
        <w:t>eseci koja su izvršena na makaki majmunima nisu zab</w:t>
      </w:r>
      <w:r w:rsidR="00212549" w:rsidRPr="005436C8">
        <w:rPr>
          <w:color w:val="000000"/>
          <w:sz w:val="22"/>
          <w:szCs w:val="22"/>
          <w:lang w:val="sr-Latn-ME"/>
        </w:rPr>
        <w:t>i</w:t>
      </w:r>
      <w:r w:rsidRPr="005436C8">
        <w:rPr>
          <w:color w:val="000000"/>
          <w:sz w:val="22"/>
          <w:szCs w:val="22"/>
          <w:lang w:val="sr-Latn-ME"/>
        </w:rPr>
        <w:t>l</w:t>
      </w:r>
      <w:r w:rsidR="00212549" w:rsidRPr="005436C8">
        <w:rPr>
          <w:color w:val="000000"/>
          <w:sz w:val="22"/>
          <w:szCs w:val="22"/>
          <w:lang w:val="sr-Latn-ME"/>
        </w:rPr>
        <w:t>j</w:t>
      </w:r>
      <w:r w:rsidRPr="005436C8">
        <w:rPr>
          <w:color w:val="000000"/>
          <w:sz w:val="22"/>
          <w:szCs w:val="22"/>
          <w:lang w:val="sr-Latn-ME"/>
        </w:rPr>
        <w:t xml:space="preserve">ežena neželjena dejstva na reproduktivne organe mužjaka i ženki (pogledati </w:t>
      </w:r>
      <w:r w:rsidR="009B712A">
        <w:rPr>
          <w:color w:val="000000"/>
          <w:sz w:val="22"/>
          <w:szCs w:val="22"/>
          <w:lang w:val="sr-Latn-ME"/>
        </w:rPr>
        <w:t>dio</w:t>
      </w:r>
      <w:r w:rsidRPr="005436C8">
        <w:rPr>
          <w:color w:val="000000"/>
          <w:sz w:val="22"/>
          <w:szCs w:val="22"/>
          <w:lang w:val="sr-Latn-ME"/>
        </w:rPr>
        <w:t xml:space="preserve"> 5.3). </w:t>
      </w:r>
    </w:p>
    <w:p w14:paraId="1B2BF04B" w14:textId="77777777" w:rsidR="000C7302" w:rsidRPr="005436C8" w:rsidRDefault="000C7302" w:rsidP="005436C8">
      <w:pPr>
        <w:tabs>
          <w:tab w:val="left" w:pos="284"/>
        </w:tabs>
        <w:jc w:val="both"/>
        <w:rPr>
          <w:color w:val="000000"/>
          <w:sz w:val="22"/>
          <w:szCs w:val="22"/>
          <w:lang w:val="sr-Latn-ME"/>
        </w:rPr>
      </w:pPr>
    </w:p>
    <w:p w14:paraId="7FAE3240" w14:textId="77777777" w:rsidR="000C7302" w:rsidRPr="005436C8" w:rsidRDefault="000C7302" w:rsidP="005436C8">
      <w:pPr>
        <w:tabs>
          <w:tab w:val="left" w:pos="284"/>
        </w:tabs>
        <w:jc w:val="both"/>
        <w:rPr>
          <w:i/>
          <w:color w:val="000000"/>
          <w:sz w:val="22"/>
          <w:szCs w:val="22"/>
          <w:u w:val="single"/>
          <w:lang w:val="sr-Latn-ME"/>
        </w:rPr>
      </w:pPr>
      <w:r w:rsidRPr="005436C8">
        <w:rPr>
          <w:i/>
          <w:iCs/>
          <w:color w:val="000000"/>
          <w:sz w:val="22"/>
          <w:szCs w:val="22"/>
          <w:u w:val="single"/>
          <w:lang w:val="sr-Latn-ME"/>
        </w:rPr>
        <w:t>Trastuzumab</w:t>
      </w:r>
    </w:p>
    <w:p w14:paraId="58CACC9E" w14:textId="77777777" w:rsidR="000C7302" w:rsidRPr="005436C8" w:rsidRDefault="000C7302" w:rsidP="005436C8">
      <w:pPr>
        <w:tabs>
          <w:tab w:val="left" w:pos="284"/>
        </w:tabs>
        <w:jc w:val="both"/>
        <w:rPr>
          <w:color w:val="000000"/>
          <w:sz w:val="22"/>
          <w:szCs w:val="22"/>
          <w:u w:val="single"/>
          <w:lang w:val="sr-Latn-ME"/>
        </w:rPr>
      </w:pPr>
    </w:p>
    <w:p w14:paraId="55D5041F" w14:textId="3D672057" w:rsidR="00D61A6E" w:rsidRPr="009B712A" w:rsidRDefault="000C7302" w:rsidP="009B712A">
      <w:pPr>
        <w:tabs>
          <w:tab w:val="left" w:pos="284"/>
        </w:tabs>
        <w:jc w:val="both"/>
        <w:rPr>
          <w:color w:val="000000"/>
          <w:sz w:val="22"/>
          <w:szCs w:val="22"/>
          <w:lang w:val="sr-Latn-ME"/>
        </w:rPr>
      </w:pPr>
      <w:r w:rsidRPr="005436C8">
        <w:rPr>
          <w:color w:val="000000"/>
          <w:sz w:val="22"/>
          <w:szCs w:val="22"/>
          <w:lang w:val="sr-Latn-ME"/>
        </w:rPr>
        <w:t xml:space="preserve">Studije uticaja trastuzumaba na reprodukciju makaki majmuna nisu ukazale na smanjenu plodnost ženki makaki majmuna (pogledati </w:t>
      </w:r>
      <w:r w:rsidR="009B712A">
        <w:rPr>
          <w:color w:val="000000"/>
          <w:sz w:val="22"/>
          <w:szCs w:val="22"/>
          <w:lang w:val="sr-Latn-ME"/>
        </w:rPr>
        <w:t>dio</w:t>
      </w:r>
      <w:r w:rsidRPr="005436C8">
        <w:rPr>
          <w:color w:val="000000"/>
          <w:sz w:val="22"/>
          <w:szCs w:val="22"/>
          <w:lang w:val="sr-Latn-ME"/>
        </w:rPr>
        <w:t xml:space="preserve"> 5.3).</w:t>
      </w:r>
    </w:p>
    <w:p w14:paraId="680C023C" w14:textId="77777777" w:rsidR="00D61A6E" w:rsidRDefault="00D61A6E" w:rsidP="005436C8">
      <w:pPr>
        <w:tabs>
          <w:tab w:val="left" w:pos="540"/>
          <w:tab w:val="left" w:pos="569"/>
        </w:tabs>
        <w:ind w:left="540" w:hanging="540"/>
        <w:rPr>
          <w:b/>
          <w:bCs/>
          <w:sz w:val="22"/>
          <w:szCs w:val="22"/>
          <w:lang w:val="sr-Latn-ME"/>
        </w:rPr>
      </w:pPr>
    </w:p>
    <w:p w14:paraId="2FBEA3FF" w14:textId="77777777" w:rsidR="0072020E" w:rsidRPr="005436C8" w:rsidRDefault="0072020E" w:rsidP="005436C8">
      <w:pPr>
        <w:tabs>
          <w:tab w:val="left" w:pos="540"/>
          <w:tab w:val="left" w:pos="569"/>
        </w:tabs>
        <w:ind w:left="540" w:hanging="540"/>
        <w:rPr>
          <w:b/>
          <w:bCs/>
          <w:sz w:val="22"/>
          <w:szCs w:val="22"/>
          <w:lang w:val="sr-Latn-ME"/>
        </w:rPr>
      </w:pPr>
      <w:r w:rsidRPr="005436C8">
        <w:rPr>
          <w:b/>
          <w:bCs/>
          <w:sz w:val="22"/>
          <w:szCs w:val="22"/>
          <w:lang w:val="sr-Latn-ME"/>
        </w:rPr>
        <w:t xml:space="preserve">4.7. </w:t>
      </w:r>
      <w:r w:rsidR="00480FB1" w:rsidRPr="005436C8">
        <w:rPr>
          <w:b/>
          <w:bCs/>
          <w:sz w:val="22"/>
          <w:szCs w:val="22"/>
          <w:lang w:val="sr-Latn-ME"/>
        </w:rPr>
        <w:tab/>
      </w:r>
      <w:r w:rsidRPr="005436C8">
        <w:rPr>
          <w:b/>
          <w:bCs/>
          <w:sz w:val="22"/>
          <w:szCs w:val="22"/>
          <w:lang w:val="sr-Latn-ME"/>
        </w:rPr>
        <w:t xml:space="preserve">Uticaj na </w:t>
      </w:r>
      <w:r w:rsidR="002031B3" w:rsidRPr="005436C8">
        <w:rPr>
          <w:b/>
          <w:bCs/>
          <w:sz w:val="22"/>
          <w:szCs w:val="22"/>
          <w:lang w:val="sr-Latn-ME"/>
        </w:rPr>
        <w:t xml:space="preserve">sposobnost </w:t>
      </w:r>
      <w:r w:rsidR="00F34554" w:rsidRPr="005436C8">
        <w:rPr>
          <w:b/>
          <w:bCs/>
          <w:sz w:val="22"/>
          <w:szCs w:val="22"/>
          <w:lang w:val="sr-Latn-ME"/>
        </w:rPr>
        <w:t>upravljanja vozili</w:t>
      </w:r>
      <w:r w:rsidRPr="005436C8">
        <w:rPr>
          <w:b/>
          <w:bCs/>
          <w:sz w:val="22"/>
          <w:szCs w:val="22"/>
          <w:lang w:val="sr-Latn-ME"/>
        </w:rPr>
        <w:t>m</w:t>
      </w:r>
      <w:r w:rsidR="00F34554" w:rsidRPr="005436C8">
        <w:rPr>
          <w:b/>
          <w:bCs/>
          <w:sz w:val="22"/>
          <w:szCs w:val="22"/>
          <w:lang w:val="sr-Latn-ME"/>
        </w:rPr>
        <w:t>a</w:t>
      </w:r>
      <w:r w:rsidRPr="005436C8">
        <w:rPr>
          <w:b/>
          <w:bCs/>
          <w:sz w:val="22"/>
          <w:szCs w:val="22"/>
          <w:lang w:val="sr-Latn-ME"/>
        </w:rPr>
        <w:t xml:space="preserve"> i </w:t>
      </w:r>
      <w:r w:rsidR="000D3449" w:rsidRPr="005436C8">
        <w:rPr>
          <w:b/>
          <w:bCs/>
          <w:sz w:val="22"/>
          <w:szCs w:val="22"/>
          <w:lang w:val="sr-Latn-ME"/>
        </w:rPr>
        <w:t xml:space="preserve">rukovanje </w:t>
      </w:r>
      <w:r w:rsidRPr="005436C8">
        <w:rPr>
          <w:b/>
          <w:bCs/>
          <w:sz w:val="22"/>
          <w:szCs w:val="22"/>
          <w:lang w:val="sr-Latn-ME"/>
        </w:rPr>
        <w:t>mašinama</w:t>
      </w:r>
    </w:p>
    <w:p w14:paraId="3FA62C34" w14:textId="77777777" w:rsidR="000C7302" w:rsidRPr="005436C8" w:rsidRDefault="000C7302" w:rsidP="005436C8">
      <w:pPr>
        <w:tabs>
          <w:tab w:val="left" w:pos="540"/>
          <w:tab w:val="left" w:pos="569"/>
        </w:tabs>
        <w:ind w:left="540" w:hanging="540"/>
        <w:rPr>
          <w:b/>
          <w:bCs/>
          <w:sz w:val="22"/>
          <w:szCs w:val="22"/>
          <w:lang w:val="sr-Latn-ME"/>
        </w:rPr>
      </w:pPr>
    </w:p>
    <w:p w14:paraId="64FA9411" w14:textId="14AC07D0" w:rsidR="000C7302" w:rsidRPr="005436C8" w:rsidRDefault="00166973" w:rsidP="005436C8">
      <w:pPr>
        <w:tabs>
          <w:tab w:val="left" w:pos="284"/>
        </w:tabs>
        <w:jc w:val="both"/>
        <w:rPr>
          <w:noProof/>
          <w:color w:val="000000"/>
          <w:sz w:val="22"/>
          <w:szCs w:val="22"/>
          <w:lang w:val="sr-Latn-ME"/>
        </w:rPr>
      </w:pPr>
      <w:r w:rsidRPr="005436C8">
        <w:rPr>
          <w:sz w:val="22"/>
          <w:szCs w:val="22"/>
          <w:lang w:val="sr-Latn-ME"/>
        </w:rPr>
        <w:t>Lijek</w:t>
      </w:r>
      <w:r w:rsidR="000C7302" w:rsidRPr="005436C8">
        <w:rPr>
          <w:sz w:val="22"/>
          <w:szCs w:val="22"/>
          <w:lang w:val="sr-Latn-ME"/>
        </w:rPr>
        <w:t xml:space="preserve"> </w:t>
      </w:r>
      <w:r w:rsidR="000C7302" w:rsidRPr="005436C8">
        <w:rPr>
          <w:noProof/>
          <w:color w:val="000000"/>
          <w:sz w:val="22"/>
          <w:szCs w:val="22"/>
          <w:lang w:val="sr-Latn-ME"/>
        </w:rPr>
        <w:t xml:space="preserve">Phesgo ima mali uticaj na sposobnost upravljanja motornim vozilima i rukovanja mašinama (pogledati </w:t>
      </w:r>
      <w:r w:rsidR="009B712A">
        <w:rPr>
          <w:noProof/>
          <w:color w:val="000000"/>
          <w:sz w:val="22"/>
          <w:szCs w:val="22"/>
          <w:lang w:val="sr-Latn-ME"/>
        </w:rPr>
        <w:t>dio</w:t>
      </w:r>
      <w:r w:rsidR="000C7302" w:rsidRPr="005436C8">
        <w:rPr>
          <w:noProof/>
          <w:color w:val="000000"/>
          <w:sz w:val="22"/>
          <w:szCs w:val="22"/>
          <w:lang w:val="sr-Latn-ME"/>
        </w:rPr>
        <w:t xml:space="preserve"> 4.8). Pacijentima kod kojih se javljaju reakcije povezane na infuziju ili nesv</w:t>
      </w:r>
      <w:r w:rsidR="00212549" w:rsidRPr="005436C8">
        <w:rPr>
          <w:noProof/>
          <w:color w:val="000000"/>
          <w:sz w:val="22"/>
          <w:szCs w:val="22"/>
          <w:lang w:val="sr-Latn-ME"/>
        </w:rPr>
        <w:t>j</w:t>
      </w:r>
      <w:r w:rsidR="000C7302" w:rsidRPr="005436C8">
        <w:rPr>
          <w:noProof/>
          <w:color w:val="000000"/>
          <w:sz w:val="22"/>
          <w:szCs w:val="22"/>
          <w:lang w:val="sr-Latn-ME"/>
        </w:rPr>
        <w:t xml:space="preserve">estica </w:t>
      </w:r>
      <w:r w:rsidR="000C7302" w:rsidRPr="005436C8">
        <w:rPr>
          <w:noProof/>
          <w:color w:val="000000"/>
          <w:sz w:val="22"/>
          <w:szCs w:val="22"/>
          <w:lang w:val="sr-Latn-ME"/>
        </w:rPr>
        <w:lastRenderedPageBreak/>
        <w:t xml:space="preserve">(pogledati </w:t>
      </w:r>
      <w:r w:rsidR="009B712A">
        <w:rPr>
          <w:noProof/>
          <w:color w:val="000000"/>
          <w:sz w:val="22"/>
          <w:szCs w:val="22"/>
          <w:lang w:val="sr-Latn-ME"/>
        </w:rPr>
        <w:t>dio</w:t>
      </w:r>
      <w:r w:rsidR="000C7302" w:rsidRPr="005436C8">
        <w:rPr>
          <w:noProof/>
          <w:color w:val="000000"/>
          <w:sz w:val="22"/>
          <w:szCs w:val="22"/>
          <w:lang w:val="sr-Latn-ME"/>
        </w:rPr>
        <w:t xml:space="preserve"> 4.4) sav</w:t>
      </w:r>
      <w:r w:rsidR="00212549" w:rsidRPr="005436C8">
        <w:rPr>
          <w:noProof/>
          <w:color w:val="000000"/>
          <w:sz w:val="22"/>
          <w:szCs w:val="22"/>
          <w:lang w:val="sr-Latn-ME"/>
        </w:rPr>
        <w:t>j</w:t>
      </w:r>
      <w:r w:rsidR="000C7302" w:rsidRPr="005436C8">
        <w:rPr>
          <w:noProof/>
          <w:color w:val="000000"/>
          <w:sz w:val="22"/>
          <w:szCs w:val="22"/>
          <w:lang w:val="sr-Latn-ME"/>
        </w:rPr>
        <w:t>etuje se da ne upravljaju vozilima niti rukuju mašinama sve dok se simptomi ne povuku.</w:t>
      </w:r>
    </w:p>
    <w:p w14:paraId="7C0F2D75" w14:textId="77777777" w:rsidR="0072020E" w:rsidRPr="005436C8" w:rsidRDefault="0072020E" w:rsidP="005436C8">
      <w:pPr>
        <w:tabs>
          <w:tab w:val="left" w:pos="540"/>
          <w:tab w:val="left" w:pos="569"/>
        </w:tabs>
        <w:rPr>
          <w:b/>
          <w:bCs/>
          <w:sz w:val="22"/>
          <w:szCs w:val="22"/>
          <w:lang w:val="sr-Latn-ME"/>
        </w:rPr>
      </w:pPr>
    </w:p>
    <w:p w14:paraId="6D4FE72C"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4.8. </w:t>
      </w:r>
      <w:r w:rsidR="00480FB1" w:rsidRPr="005436C8">
        <w:rPr>
          <w:b/>
          <w:bCs/>
          <w:sz w:val="22"/>
          <w:szCs w:val="22"/>
          <w:lang w:val="sr-Latn-ME"/>
        </w:rPr>
        <w:tab/>
      </w:r>
      <w:r w:rsidRPr="005436C8">
        <w:rPr>
          <w:b/>
          <w:bCs/>
          <w:sz w:val="22"/>
          <w:szCs w:val="22"/>
          <w:lang w:val="sr-Latn-ME"/>
        </w:rPr>
        <w:t>Neželjena dejstva</w:t>
      </w:r>
    </w:p>
    <w:p w14:paraId="2D6484FD" w14:textId="77777777" w:rsidR="000C7302" w:rsidRPr="005436C8" w:rsidRDefault="000C7302" w:rsidP="005436C8">
      <w:pPr>
        <w:tabs>
          <w:tab w:val="left" w:pos="540"/>
          <w:tab w:val="left" w:pos="569"/>
        </w:tabs>
        <w:rPr>
          <w:b/>
          <w:bCs/>
          <w:sz w:val="22"/>
          <w:szCs w:val="22"/>
          <w:lang w:val="sr-Latn-ME"/>
        </w:rPr>
      </w:pPr>
    </w:p>
    <w:p w14:paraId="044E9716" w14:textId="77777777" w:rsidR="000C7302" w:rsidRPr="005436C8" w:rsidRDefault="000C7302" w:rsidP="005436C8">
      <w:pPr>
        <w:keepNext/>
        <w:keepLines/>
        <w:tabs>
          <w:tab w:val="left" w:pos="284"/>
        </w:tabs>
        <w:autoSpaceDE w:val="0"/>
        <w:autoSpaceDN w:val="0"/>
        <w:adjustRightInd w:val="0"/>
        <w:jc w:val="both"/>
        <w:rPr>
          <w:color w:val="000000"/>
          <w:sz w:val="22"/>
          <w:szCs w:val="22"/>
          <w:u w:val="single"/>
          <w:lang w:val="sr-Latn-ME"/>
        </w:rPr>
      </w:pPr>
      <w:r w:rsidRPr="005436C8">
        <w:rPr>
          <w:color w:val="000000"/>
          <w:sz w:val="22"/>
          <w:szCs w:val="22"/>
          <w:u w:val="single"/>
          <w:lang w:val="sr-Latn-ME"/>
        </w:rPr>
        <w:t>Sažetak bezb</w:t>
      </w:r>
      <w:r w:rsidR="00212549" w:rsidRPr="005436C8">
        <w:rPr>
          <w:color w:val="000000"/>
          <w:sz w:val="22"/>
          <w:szCs w:val="22"/>
          <w:u w:val="single"/>
          <w:lang w:val="sr-Latn-ME"/>
        </w:rPr>
        <w:t>j</w:t>
      </w:r>
      <w:r w:rsidRPr="005436C8">
        <w:rPr>
          <w:color w:val="000000"/>
          <w:sz w:val="22"/>
          <w:szCs w:val="22"/>
          <w:u w:val="single"/>
          <w:lang w:val="sr-Latn-ME"/>
        </w:rPr>
        <w:t>ednosnog profila</w:t>
      </w:r>
    </w:p>
    <w:p w14:paraId="5606CACF" w14:textId="77777777" w:rsidR="000C7302" w:rsidRPr="005436C8" w:rsidRDefault="000C7302" w:rsidP="005436C8">
      <w:pPr>
        <w:shd w:val="clear" w:color="auto" w:fill="FFFFFF"/>
        <w:tabs>
          <w:tab w:val="left" w:pos="284"/>
        </w:tabs>
        <w:jc w:val="both"/>
        <w:rPr>
          <w:color w:val="000000"/>
          <w:sz w:val="22"/>
          <w:szCs w:val="22"/>
          <w:lang w:val="sr-Latn-ME"/>
        </w:rPr>
      </w:pPr>
    </w:p>
    <w:p w14:paraId="5D9F3A4B" w14:textId="77777777" w:rsidR="000C7302" w:rsidRPr="005436C8" w:rsidRDefault="000C7302" w:rsidP="005436C8">
      <w:pPr>
        <w:shd w:val="clear" w:color="auto" w:fill="FFFFFF"/>
        <w:tabs>
          <w:tab w:val="left" w:pos="284"/>
        </w:tabs>
        <w:jc w:val="both"/>
        <w:rPr>
          <w:color w:val="000000"/>
          <w:sz w:val="22"/>
          <w:szCs w:val="22"/>
          <w:lang w:val="sr-Latn-ME"/>
        </w:rPr>
      </w:pPr>
      <w:r w:rsidRPr="005436C8">
        <w:rPr>
          <w:color w:val="000000"/>
          <w:sz w:val="22"/>
          <w:szCs w:val="22"/>
          <w:lang w:val="sr-Latn-ME"/>
        </w:rPr>
        <w:t xml:space="preserve">Najčešće neželjene reakcije (≥ 30%) prijavljene kod pacijenata </w:t>
      </w:r>
      <w:r w:rsidR="00097926" w:rsidRPr="005436C8">
        <w:rPr>
          <w:color w:val="000000"/>
          <w:sz w:val="22"/>
          <w:szCs w:val="22"/>
          <w:lang w:val="sr-Latn-ME"/>
        </w:rPr>
        <w:t>liječeni</w:t>
      </w:r>
      <w:r w:rsidRPr="005436C8">
        <w:rPr>
          <w:color w:val="000000"/>
          <w:sz w:val="22"/>
          <w:szCs w:val="22"/>
          <w:lang w:val="sr-Latn-ME"/>
        </w:rPr>
        <w:t xml:space="preserve">h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ili intravenskim pertuzumabom u kombinaciji sa trastuzumabom i hemoterapijom bile su alopecija, dijareja, mučnina, anemija, astenija i artralgija. </w:t>
      </w:r>
    </w:p>
    <w:p w14:paraId="408C39F2" w14:textId="77777777" w:rsidR="000C7302" w:rsidRPr="005436C8" w:rsidRDefault="000C7302" w:rsidP="005436C8">
      <w:pPr>
        <w:shd w:val="clear" w:color="auto" w:fill="FFFFFF"/>
        <w:tabs>
          <w:tab w:val="left" w:pos="284"/>
        </w:tabs>
        <w:jc w:val="both"/>
        <w:rPr>
          <w:color w:val="000000"/>
          <w:sz w:val="22"/>
          <w:szCs w:val="22"/>
          <w:lang w:val="sr-Latn-ME"/>
        </w:rPr>
      </w:pPr>
    </w:p>
    <w:p w14:paraId="5E97C590" w14:textId="77777777" w:rsidR="000C7302" w:rsidRPr="005436C8" w:rsidRDefault="000C7302" w:rsidP="005436C8">
      <w:pPr>
        <w:shd w:val="clear" w:color="auto" w:fill="FFFFFF"/>
        <w:tabs>
          <w:tab w:val="left" w:pos="284"/>
        </w:tabs>
        <w:jc w:val="both"/>
        <w:rPr>
          <w:color w:val="000000"/>
          <w:sz w:val="22"/>
          <w:szCs w:val="22"/>
          <w:lang w:val="sr-Latn-ME"/>
        </w:rPr>
      </w:pPr>
      <w:r w:rsidRPr="005436C8">
        <w:rPr>
          <w:color w:val="000000"/>
          <w:sz w:val="22"/>
          <w:szCs w:val="22"/>
          <w:lang w:val="sr-Latn-ME"/>
        </w:rPr>
        <w:t xml:space="preserve">Najčešći ozbiljni neželjeni događaji (≥ 1%) prijavljeni kod pacijenata </w:t>
      </w:r>
      <w:r w:rsidR="00097926" w:rsidRPr="005436C8">
        <w:rPr>
          <w:color w:val="000000"/>
          <w:sz w:val="22"/>
          <w:szCs w:val="22"/>
          <w:lang w:val="sr-Latn-ME"/>
        </w:rPr>
        <w:t>liječeni</w:t>
      </w:r>
      <w:r w:rsidRPr="005436C8">
        <w:rPr>
          <w:color w:val="000000"/>
          <w:sz w:val="22"/>
          <w:szCs w:val="22"/>
          <w:lang w:val="sr-Latn-ME"/>
        </w:rPr>
        <w:t xml:space="preserve">h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ili intravenskim pertuzumabom u kombinaciji sa trastuzumabom bili su febrilna neutropenija, srčana insuficijencija, pireksija, neutropenija, neutropenijska sepsa, smanjen broj neutrofila i pneumonija. </w:t>
      </w:r>
    </w:p>
    <w:p w14:paraId="7F831E8B" w14:textId="77777777" w:rsidR="000C7302" w:rsidRPr="005436C8" w:rsidRDefault="000C7302" w:rsidP="005436C8">
      <w:pPr>
        <w:shd w:val="clear" w:color="auto" w:fill="FFFFFF"/>
        <w:tabs>
          <w:tab w:val="left" w:pos="284"/>
        </w:tabs>
        <w:jc w:val="both"/>
        <w:rPr>
          <w:color w:val="000000"/>
          <w:sz w:val="22"/>
          <w:szCs w:val="22"/>
          <w:shd w:val="clear" w:color="auto" w:fill="FFFFFF"/>
          <w:lang w:val="sr-Latn-ME"/>
        </w:rPr>
      </w:pPr>
    </w:p>
    <w:p w14:paraId="6437B6A7" w14:textId="77777777" w:rsidR="000C7302" w:rsidRDefault="000C7302" w:rsidP="005436C8">
      <w:pPr>
        <w:shd w:val="clear" w:color="auto" w:fill="FFFFFF"/>
        <w:tabs>
          <w:tab w:val="left" w:pos="284"/>
        </w:tabs>
        <w:jc w:val="both"/>
        <w:rPr>
          <w:color w:val="000000"/>
          <w:sz w:val="22"/>
          <w:szCs w:val="22"/>
          <w:shd w:val="clear" w:color="auto" w:fill="FFFFFF"/>
          <w:lang w:val="sr-Latn-ME"/>
        </w:rPr>
      </w:pPr>
      <w:r w:rsidRPr="005436C8">
        <w:rPr>
          <w:color w:val="000000"/>
          <w:sz w:val="22"/>
          <w:szCs w:val="22"/>
          <w:shd w:val="clear" w:color="auto" w:fill="FFFFFF"/>
          <w:lang w:val="sr-Latn-ME"/>
        </w:rPr>
        <w:t>Bezb</w:t>
      </w:r>
      <w:r w:rsidR="00211115" w:rsidRPr="005436C8">
        <w:rPr>
          <w:color w:val="000000"/>
          <w:sz w:val="22"/>
          <w:szCs w:val="22"/>
          <w:shd w:val="clear" w:color="auto" w:fill="FFFFFF"/>
          <w:lang w:val="sr-Latn-ME"/>
        </w:rPr>
        <w:t>j</w:t>
      </w:r>
      <w:r w:rsidRPr="005436C8">
        <w:rPr>
          <w:color w:val="000000"/>
          <w:sz w:val="22"/>
          <w:szCs w:val="22"/>
          <w:shd w:val="clear" w:color="auto" w:fill="FFFFFF"/>
          <w:lang w:val="sr-Latn-ME"/>
        </w:rPr>
        <w:t xml:space="preserve">ednosni profil </w:t>
      </w:r>
      <w:r w:rsidR="00166973" w:rsidRPr="005436C8">
        <w:rPr>
          <w:color w:val="000000"/>
          <w:sz w:val="22"/>
          <w:szCs w:val="22"/>
          <w:shd w:val="clear" w:color="auto" w:fill="FFFFFF"/>
          <w:lang w:val="sr-Latn-ME"/>
        </w:rPr>
        <w:t>lijek</w:t>
      </w:r>
      <w:r w:rsidRPr="005436C8">
        <w:rPr>
          <w:color w:val="000000"/>
          <w:sz w:val="22"/>
          <w:szCs w:val="22"/>
          <w:shd w:val="clear" w:color="auto" w:fill="FFFFFF"/>
          <w:lang w:val="sr-Latn-ME"/>
        </w:rPr>
        <w:t xml:space="preserve">a </w:t>
      </w:r>
      <w:r w:rsidRPr="005436C8">
        <w:rPr>
          <w:color w:val="000000"/>
          <w:sz w:val="22"/>
          <w:szCs w:val="22"/>
          <w:lang w:val="sr-Latn-ME"/>
        </w:rPr>
        <w:t>Phesgo</w:t>
      </w:r>
      <w:r w:rsidRPr="005436C8">
        <w:rPr>
          <w:color w:val="000000"/>
          <w:sz w:val="22"/>
          <w:szCs w:val="22"/>
          <w:shd w:val="clear" w:color="auto" w:fill="FFFFFF"/>
          <w:lang w:val="sr-Latn-ME"/>
        </w:rPr>
        <w:t xml:space="preserve"> sveukupno je bio u skladu sa poznatim bezb</w:t>
      </w:r>
      <w:r w:rsidR="00211115" w:rsidRPr="005436C8">
        <w:rPr>
          <w:color w:val="000000"/>
          <w:sz w:val="22"/>
          <w:szCs w:val="22"/>
          <w:shd w:val="clear" w:color="auto" w:fill="FFFFFF"/>
          <w:lang w:val="sr-Latn-ME"/>
        </w:rPr>
        <w:t>j</w:t>
      </w:r>
      <w:r w:rsidRPr="005436C8">
        <w:rPr>
          <w:color w:val="000000"/>
          <w:sz w:val="22"/>
          <w:szCs w:val="22"/>
          <w:shd w:val="clear" w:color="auto" w:fill="FFFFFF"/>
          <w:lang w:val="sr-Latn-ME"/>
        </w:rPr>
        <w:t>ednosnim profilom intravenskog pertuzumaba u kombinaciji sa trastuzumabom, uz reakciju na m</w:t>
      </w:r>
      <w:r w:rsidR="00211115" w:rsidRPr="005436C8">
        <w:rPr>
          <w:color w:val="000000"/>
          <w:sz w:val="22"/>
          <w:szCs w:val="22"/>
          <w:shd w:val="clear" w:color="auto" w:fill="FFFFFF"/>
          <w:lang w:val="sr-Latn-ME"/>
        </w:rPr>
        <w:t>j</w:t>
      </w:r>
      <w:r w:rsidRPr="005436C8">
        <w:rPr>
          <w:color w:val="000000"/>
          <w:sz w:val="22"/>
          <w:szCs w:val="22"/>
          <w:shd w:val="clear" w:color="auto" w:fill="FFFFFF"/>
          <w:lang w:val="sr-Latn-ME"/>
        </w:rPr>
        <w:t>estu uboda kao dodatno neželjeno dejstvo (</w:t>
      </w:r>
      <w:r w:rsidR="008E7A18">
        <w:rPr>
          <w:color w:val="000000"/>
          <w:sz w:val="22"/>
          <w:szCs w:val="22"/>
          <w:shd w:val="clear" w:color="auto" w:fill="FFFFFF"/>
          <w:lang w:val="sr-Latn-ME"/>
        </w:rPr>
        <w:t>15,3</w:t>
      </w:r>
      <w:r w:rsidRPr="005436C8">
        <w:rPr>
          <w:color w:val="000000"/>
          <w:sz w:val="22"/>
          <w:szCs w:val="22"/>
          <w:shd w:val="clear" w:color="auto" w:fill="FFFFFF"/>
          <w:lang w:val="sr-Latn-ME"/>
        </w:rPr>
        <w:t>% prema 0,4%).</w:t>
      </w:r>
    </w:p>
    <w:p w14:paraId="4866FDC2" w14:textId="77777777" w:rsidR="008E7A18" w:rsidRDefault="008E7A18" w:rsidP="005436C8">
      <w:pPr>
        <w:shd w:val="clear" w:color="auto" w:fill="FFFFFF"/>
        <w:tabs>
          <w:tab w:val="left" w:pos="284"/>
        </w:tabs>
        <w:jc w:val="both"/>
        <w:rPr>
          <w:color w:val="000000"/>
          <w:sz w:val="22"/>
          <w:szCs w:val="22"/>
          <w:shd w:val="clear" w:color="auto" w:fill="FFFFFF"/>
          <w:lang w:val="sr-Latn-ME"/>
        </w:rPr>
      </w:pPr>
    </w:p>
    <w:p w14:paraId="3221D431" w14:textId="77777777" w:rsidR="008E7A18" w:rsidRPr="00F4539F" w:rsidRDefault="008E7A18" w:rsidP="005436C8">
      <w:pPr>
        <w:shd w:val="clear" w:color="auto" w:fill="FFFFFF"/>
        <w:tabs>
          <w:tab w:val="left" w:pos="284"/>
        </w:tabs>
        <w:jc w:val="both"/>
        <w:rPr>
          <w:color w:val="000000"/>
          <w:sz w:val="22"/>
          <w:szCs w:val="22"/>
          <w:shd w:val="clear" w:color="auto" w:fill="FFFFFF"/>
          <w:lang w:val="hr-HR"/>
        </w:rPr>
      </w:pPr>
      <w:r w:rsidRPr="008E7A18">
        <w:rPr>
          <w:color w:val="000000"/>
          <w:sz w:val="22"/>
          <w:szCs w:val="22"/>
          <w:shd w:val="clear" w:color="auto" w:fill="FFFFFF"/>
          <w:lang w:val="hr-HR"/>
        </w:rPr>
        <w:t>U pivotalnom ispitivanju FEDERICA ozbiljne neželjene reakcije bile su ravnom</w:t>
      </w:r>
      <w:r w:rsidR="00563BCD">
        <w:rPr>
          <w:color w:val="000000"/>
          <w:sz w:val="22"/>
          <w:szCs w:val="22"/>
          <w:shd w:val="clear" w:color="auto" w:fill="FFFFFF"/>
          <w:lang w:val="hr-HR"/>
        </w:rPr>
        <w:t>j</w:t>
      </w:r>
      <w:r w:rsidRPr="008E7A18">
        <w:rPr>
          <w:color w:val="000000"/>
          <w:sz w:val="22"/>
          <w:szCs w:val="22"/>
          <w:shd w:val="clear" w:color="auto" w:fill="FFFFFF"/>
          <w:lang w:val="hr-HR"/>
        </w:rPr>
        <w:t>erno raspod</w:t>
      </w:r>
      <w:r>
        <w:rPr>
          <w:color w:val="000000"/>
          <w:sz w:val="22"/>
          <w:szCs w:val="22"/>
          <w:shd w:val="clear" w:color="auto" w:fill="FFFFFF"/>
          <w:lang w:val="hr-HR"/>
        </w:rPr>
        <w:t>ij</w:t>
      </w:r>
      <w:r w:rsidRPr="008E7A18">
        <w:rPr>
          <w:color w:val="000000"/>
          <w:sz w:val="22"/>
          <w:szCs w:val="22"/>
          <w:shd w:val="clear" w:color="auto" w:fill="FFFFFF"/>
          <w:lang w:val="hr-HR"/>
        </w:rPr>
        <w:t>eljene između grupe l</w:t>
      </w:r>
      <w:r>
        <w:rPr>
          <w:color w:val="000000"/>
          <w:sz w:val="22"/>
          <w:szCs w:val="22"/>
          <w:shd w:val="clear" w:color="auto" w:fill="FFFFFF"/>
          <w:lang w:val="hr-HR"/>
        </w:rPr>
        <w:t>ij</w:t>
      </w:r>
      <w:r w:rsidRPr="008E7A18">
        <w:rPr>
          <w:color w:val="000000"/>
          <w:sz w:val="22"/>
          <w:szCs w:val="22"/>
          <w:shd w:val="clear" w:color="auto" w:fill="FFFFFF"/>
          <w:lang w:val="hr-HR"/>
        </w:rPr>
        <w:t>ečene l</w:t>
      </w:r>
      <w:r>
        <w:rPr>
          <w:color w:val="000000"/>
          <w:sz w:val="22"/>
          <w:szCs w:val="22"/>
          <w:shd w:val="clear" w:color="auto" w:fill="FFFFFF"/>
          <w:lang w:val="hr-HR"/>
        </w:rPr>
        <w:t>ij</w:t>
      </w:r>
      <w:r w:rsidRPr="008E7A18">
        <w:rPr>
          <w:color w:val="000000"/>
          <w:sz w:val="22"/>
          <w:szCs w:val="22"/>
          <w:shd w:val="clear" w:color="auto" w:fill="FFFFFF"/>
          <w:lang w:val="hr-HR"/>
        </w:rPr>
        <w:t>ekom Phesgo i grupe l</w:t>
      </w:r>
      <w:r>
        <w:rPr>
          <w:color w:val="000000"/>
          <w:sz w:val="22"/>
          <w:szCs w:val="22"/>
          <w:shd w:val="clear" w:color="auto" w:fill="FFFFFF"/>
          <w:lang w:val="hr-HR"/>
        </w:rPr>
        <w:t>ij</w:t>
      </w:r>
      <w:r w:rsidRPr="008E7A18">
        <w:rPr>
          <w:color w:val="000000"/>
          <w:sz w:val="22"/>
          <w:szCs w:val="22"/>
          <w:shd w:val="clear" w:color="auto" w:fill="FFFFFF"/>
          <w:lang w:val="hr-HR"/>
        </w:rPr>
        <w:t>ečene intravenskom formulacijom pertuzumaba u kombinaciji sa trastuzumabom. Sl</w:t>
      </w:r>
      <w:r>
        <w:rPr>
          <w:color w:val="000000"/>
          <w:sz w:val="22"/>
          <w:szCs w:val="22"/>
          <w:shd w:val="clear" w:color="auto" w:fill="FFFFFF"/>
          <w:lang w:val="hr-HR"/>
        </w:rPr>
        <w:t>j</w:t>
      </w:r>
      <w:r w:rsidRPr="008E7A18">
        <w:rPr>
          <w:color w:val="000000"/>
          <w:sz w:val="22"/>
          <w:szCs w:val="22"/>
          <w:shd w:val="clear" w:color="auto" w:fill="FFFFFF"/>
          <w:lang w:val="hr-HR"/>
        </w:rPr>
        <w:t>edeće neželjene reakcije prijavljene su sa većom učestalošću (≥ 5%) sa l</w:t>
      </w:r>
      <w:r>
        <w:rPr>
          <w:color w:val="000000"/>
          <w:sz w:val="22"/>
          <w:szCs w:val="22"/>
          <w:shd w:val="clear" w:color="auto" w:fill="FFFFFF"/>
          <w:lang w:val="hr-HR"/>
        </w:rPr>
        <w:t>ij</w:t>
      </w:r>
      <w:r w:rsidRPr="008E7A18">
        <w:rPr>
          <w:color w:val="000000"/>
          <w:sz w:val="22"/>
          <w:szCs w:val="22"/>
          <w:shd w:val="clear" w:color="auto" w:fill="FFFFFF"/>
          <w:lang w:val="hr-HR"/>
        </w:rPr>
        <w:t>ekom Phesgo nego sa intravenskom formulacijom pertuzumaba u kombinaciji sa trastuzumabom: alopecija 79% naspram 73%, mialgija 27% naspram 20,6% i dispneja 12,1% naspram 6%.</w:t>
      </w:r>
    </w:p>
    <w:p w14:paraId="56D63809" w14:textId="77777777" w:rsidR="000C7302" w:rsidRPr="005436C8" w:rsidRDefault="000C7302" w:rsidP="005436C8">
      <w:pPr>
        <w:shd w:val="clear" w:color="auto" w:fill="FFFFFF"/>
        <w:tabs>
          <w:tab w:val="left" w:pos="284"/>
        </w:tabs>
        <w:jc w:val="both"/>
        <w:rPr>
          <w:color w:val="000000"/>
          <w:sz w:val="22"/>
          <w:szCs w:val="22"/>
          <w:shd w:val="clear" w:color="auto" w:fill="FFFFFF"/>
          <w:lang w:val="sr-Latn-ME"/>
        </w:rPr>
      </w:pPr>
    </w:p>
    <w:p w14:paraId="7330A21C" w14:textId="77777777" w:rsidR="000C7302" w:rsidRPr="005436C8" w:rsidRDefault="000C7302" w:rsidP="005436C8">
      <w:pPr>
        <w:keepNext/>
        <w:keepLines/>
        <w:tabs>
          <w:tab w:val="left" w:pos="284"/>
        </w:tabs>
        <w:jc w:val="both"/>
        <w:rPr>
          <w:color w:val="000000"/>
          <w:sz w:val="22"/>
          <w:szCs w:val="22"/>
          <w:u w:val="single"/>
          <w:lang w:val="sr-Latn-ME"/>
        </w:rPr>
      </w:pPr>
      <w:r w:rsidRPr="005436C8">
        <w:rPr>
          <w:color w:val="000000"/>
          <w:sz w:val="22"/>
          <w:szCs w:val="22"/>
          <w:u w:val="single"/>
          <w:lang w:val="sr-Latn-ME"/>
        </w:rPr>
        <w:t xml:space="preserve">Tabelarni prikaz neželjenih reakcija </w:t>
      </w:r>
    </w:p>
    <w:p w14:paraId="2BC7FB24" w14:textId="77777777" w:rsidR="000C7302" w:rsidRPr="005436C8" w:rsidRDefault="000C7302" w:rsidP="005436C8">
      <w:pPr>
        <w:keepNext/>
        <w:keepLines/>
        <w:shd w:val="clear" w:color="auto" w:fill="FFFFFF"/>
        <w:tabs>
          <w:tab w:val="left" w:pos="284"/>
        </w:tabs>
        <w:jc w:val="both"/>
        <w:rPr>
          <w:color w:val="000000"/>
          <w:sz w:val="22"/>
          <w:szCs w:val="22"/>
          <w:shd w:val="clear" w:color="auto" w:fill="FFFFFF"/>
          <w:lang w:val="sr-Latn-ME"/>
        </w:rPr>
      </w:pPr>
    </w:p>
    <w:p w14:paraId="31FA6E5E" w14:textId="77777777" w:rsidR="000C7302" w:rsidRPr="005436C8" w:rsidRDefault="00385576" w:rsidP="005436C8">
      <w:pPr>
        <w:shd w:val="clear" w:color="auto" w:fill="FFFFFF"/>
        <w:tabs>
          <w:tab w:val="left" w:pos="284"/>
        </w:tabs>
        <w:jc w:val="both"/>
        <w:rPr>
          <w:color w:val="000000"/>
          <w:sz w:val="22"/>
          <w:szCs w:val="22"/>
          <w:shd w:val="clear" w:color="auto" w:fill="FFFFFF"/>
          <w:lang w:val="sr-Latn-ME"/>
        </w:rPr>
      </w:pPr>
      <w:r w:rsidRPr="005436C8">
        <w:rPr>
          <w:color w:val="000000"/>
          <w:sz w:val="22"/>
          <w:szCs w:val="22"/>
          <w:shd w:val="clear" w:color="auto" w:fill="FFFFFF"/>
          <w:lang w:val="sr-Latn-ME"/>
        </w:rPr>
        <w:t>Bezbjednost</w:t>
      </w:r>
      <w:r w:rsidR="000C7302" w:rsidRPr="005436C8">
        <w:rPr>
          <w:color w:val="000000"/>
          <w:sz w:val="22"/>
          <w:szCs w:val="22"/>
          <w:shd w:val="clear" w:color="auto" w:fill="FFFFFF"/>
          <w:lang w:val="sr-Latn-ME"/>
        </w:rPr>
        <w:t xml:space="preserve"> pertuzumaba u kombinaciji sa trastuzumabom </w:t>
      </w:r>
      <w:r w:rsidR="00FE754C" w:rsidRPr="005436C8">
        <w:rPr>
          <w:color w:val="000000"/>
          <w:sz w:val="22"/>
          <w:szCs w:val="22"/>
          <w:shd w:val="clear" w:color="auto" w:fill="FFFFFF"/>
          <w:lang w:val="sr-Latn-ME"/>
        </w:rPr>
        <w:t>procjen</w:t>
      </w:r>
      <w:r w:rsidR="000C7302" w:rsidRPr="005436C8">
        <w:rPr>
          <w:color w:val="000000"/>
          <w:sz w:val="22"/>
          <w:szCs w:val="22"/>
          <w:shd w:val="clear" w:color="auto" w:fill="FFFFFF"/>
          <w:lang w:val="sr-Latn-ME"/>
        </w:rPr>
        <w:t xml:space="preserve">jivana je kod </w:t>
      </w:r>
      <w:r w:rsidR="00456410">
        <w:rPr>
          <w:color w:val="000000"/>
          <w:sz w:val="22"/>
          <w:szCs w:val="22"/>
          <w:shd w:val="clear" w:color="auto" w:fill="FFFFFF"/>
          <w:lang w:val="sr-Latn-ME"/>
        </w:rPr>
        <w:t>3834</w:t>
      </w:r>
      <w:r w:rsidR="000C7302" w:rsidRPr="005436C8">
        <w:rPr>
          <w:color w:val="000000"/>
          <w:sz w:val="22"/>
          <w:szCs w:val="22"/>
          <w:shd w:val="clear" w:color="auto" w:fill="FFFFFF"/>
          <w:lang w:val="sr-Latn-ME"/>
        </w:rPr>
        <w:t xml:space="preserve"> pacijenta sa HER2 pozitivnim karcinomom dojke u pivotalnim ispitivanjima CLEOPATRA, NEOSPHERE, TRYPHAENA</w:t>
      </w:r>
      <w:r w:rsidR="00456410">
        <w:rPr>
          <w:color w:val="000000"/>
          <w:sz w:val="22"/>
          <w:szCs w:val="22"/>
          <w:shd w:val="clear" w:color="auto" w:fill="FFFFFF"/>
          <w:lang w:val="sr-Latn-ME"/>
        </w:rPr>
        <w:t>,</w:t>
      </w:r>
      <w:r w:rsidR="000C7302" w:rsidRPr="005436C8">
        <w:rPr>
          <w:color w:val="000000"/>
          <w:sz w:val="22"/>
          <w:szCs w:val="22"/>
          <w:shd w:val="clear" w:color="auto" w:fill="FFFFFF"/>
          <w:lang w:val="sr-Latn-ME"/>
        </w:rPr>
        <w:t xml:space="preserve"> APHINITY</w:t>
      </w:r>
      <w:r w:rsidR="00456410">
        <w:rPr>
          <w:color w:val="000000"/>
          <w:sz w:val="22"/>
          <w:szCs w:val="22"/>
          <w:shd w:val="clear" w:color="auto" w:fill="FFFFFF"/>
          <w:lang w:val="sr-Latn-ME"/>
        </w:rPr>
        <w:t xml:space="preserve"> i FEDERICA</w:t>
      </w:r>
      <w:r w:rsidR="000C7302" w:rsidRPr="005436C8">
        <w:rPr>
          <w:color w:val="000000"/>
          <w:sz w:val="22"/>
          <w:szCs w:val="22"/>
          <w:shd w:val="clear" w:color="auto" w:fill="FFFFFF"/>
          <w:lang w:val="sr-Latn-ME"/>
        </w:rPr>
        <w:t>. U načelu je bila dosl</w:t>
      </w:r>
      <w:r w:rsidR="002700CC" w:rsidRPr="005436C8">
        <w:rPr>
          <w:color w:val="000000"/>
          <w:sz w:val="22"/>
          <w:szCs w:val="22"/>
          <w:shd w:val="clear" w:color="auto" w:fill="FFFFFF"/>
          <w:lang w:val="sr-Latn-ME"/>
        </w:rPr>
        <w:t>j</w:t>
      </w:r>
      <w:r w:rsidR="000C7302" w:rsidRPr="005436C8">
        <w:rPr>
          <w:color w:val="000000"/>
          <w:sz w:val="22"/>
          <w:szCs w:val="22"/>
          <w:shd w:val="clear" w:color="auto" w:fill="FFFFFF"/>
          <w:lang w:val="sr-Latn-ME"/>
        </w:rPr>
        <w:t xml:space="preserve">edna u svim ispitivanjima, iako su se incidenca i najčešće </w:t>
      </w:r>
      <w:r w:rsidR="000C7302" w:rsidRPr="005436C8">
        <w:rPr>
          <w:color w:val="000000"/>
          <w:sz w:val="22"/>
          <w:szCs w:val="22"/>
          <w:lang w:val="sr-Latn-ME"/>
        </w:rPr>
        <w:t xml:space="preserve">neželjene reakcije </w:t>
      </w:r>
      <w:r w:rsidR="000C7302" w:rsidRPr="005436C8">
        <w:rPr>
          <w:color w:val="000000"/>
          <w:sz w:val="22"/>
          <w:szCs w:val="22"/>
          <w:shd w:val="clear" w:color="auto" w:fill="FFFFFF"/>
          <w:lang w:val="sr-Latn-ME"/>
        </w:rPr>
        <w:t xml:space="preserve">razlikovale u zavisnosti od toga da li je pertuzumab u kombinaciji sa trastuzumabom davan zajedno sa drugim antineoplastičnim </w:t>
      </w:r>
      <w:r w:rsidR="00A21698" w:rsidRPr="005436C8">
        <w:rPr>
          <w:color w:val="000000"/>
          <w:sz w:val="22"/>
          <w:szCs w:val="22"/>
          <w:shd w:val="clear" w:color="auto" w:fill="FFFFFF"/>
          <w:lang w:val="sr-Latn-ME"/>
        </w:rPr>
        <w:t>ljekovi</w:t>
      </w:r>
      <w:r w:rsidR="000C7302" w:rsidRPr="005436C8">
        <w:rPr>
          <w:color w:val="000000"/>
          <w:sz w:val="22"/>
          <w:szCs w:val="22"/>
          <w:shd w:val="clear" w:color="auto" w:fill="FFFFFF"/>
          <w:lang w:val="sr-Latn-ME"/>
        </w:rPr>
        <w:t>ma</w:t>
      </w:r>
      <w:r w:rsidR="003E59E9" w:rsidRPr="005436C8">
        <w:rPr>
          <w:color w:val="000000"/>
          <w:sz w:val="22"/>
          <w:szCs w:val="22"/>
          <w:shd w:val="clear" w:color="auto" w:fill="FFFFFF"/>
          <w:lang w:val="sr-Latn-ME"/>
        </w:rPr>
        <w:t>,</w:t>
      </w:r>
      <w:r w:rsidR="000C7302" w:rsidRPr="005436C8">
        <w:rPr>
          <w:color w:val="000000"/>
          <w:sz w:val="22"/>
          <w:szCs w:val="22"/>
          <w:shd w:val="clear" w:color="auto" w:fill="FFFFFF"/>
          <w:lang w:val="sr-Latn-ME"/>
        </w:rPr>
        <w:t xml:space="preserve"> ili bez njih.</w:t>
      </w:r>
    </w:p>
    <w:p w14:paraId="6F68E144" w14:textId="77777777" w:rsidR="000C7302" w:rsidRPr="005436C8" w:rsidRDefault="000C7302" w:rsidP="005436C8">
      <w:pPr>
        <w:shd w:val="clear" w:color="auto" w:fill="FFFFFF"/>
        <w:tabs>
          <w:tab w:val="left" w:pos="284"/>
        </w:tabs>
        <w:jc w:val="both"/>
        <w:rPr>
          <w:color w:val="000000"/>
          <w:sz w:val="22"/>
          <w:szCs w:val="22"/>
          <w:shd w:val="clear" w:color="auto" w:fill="FFFFFF"/>
          <w:lang w:val="sr-Latn-ME"/>
        </w:rPr>
      </w:pPr>
    </w:p>
    <w:p w14:paraId="2596D4BB" w14:textId="77777777" w:rsidR="000C7302" w:rsidRPr="00F4539F" w:rsidRDefault="000C7302" w:rsidP="005436C8">
      <w:pPr>
        <w:keepNext/>
        <w:keepLines/>
        <w:shd w:val="clear" w:color="auto" w:fill="FFFFFF"/>
        <w:tabs>
          <w:tab w:val="left" w:pos="284"/>
        </w:tabs>
        <w:jc w:val="both"/>
        <w:rPr>
          <w:color w:val="000000"/>
          <w:sz w:val="22"/>
          <w:szCs w:val="22"/>
          <w:lang w:val="hr-HR"/>
        </w:rPr>
      </w:pPr>
      <w:r w:rsidRPr="005436C8">
        <w:rPr>
          <w:color w:val="000000"/>
          <w:sz w:val="22"/>
          <w:szCs w:val="22"/>
          <w:lang w:val="sr-Latn-ME"/>
        </w:rPr>
        <w:t>U tabeli 2</w:t>
      </w:r>
      <w:r w:rsidR="008E7A18">
        <w:rPr>
          <w:color w:val="000000"/>
          <w:sz w:val="22"/>
          <w:szCs w:val="22"/>
          <w:lang w:val="sr-Latn-ME"/>
        </w:rPr>
        <w:t>, u prvoj koloni</w:t>
      </w:r>
      <w:r w:rsidRPr="005436C8">
        <w:rPr>
          <w:color w:val="000000"/>
          <w:sz w:val="22"/>
          <w:szCs w:val="22"/>
          <w:lang w:val="sr-Latn-ME"/>
        </w:rPr>
        <w:t xml:space="preserve"> prikazane su neželjene reakcije prijavljene kao one koja su povezane sa prim</w:t>
      </w:r>
      <w:r w:rsidR="00211115" w:rsidRPr="005436C8">
        <w:rPr>
          <w:color w:val="000000"/>
          <w:sz w:val="22"/>
          <w:szCs w:val="22"/>
          <w:lang w:val="sr-Latn-ME"/>
        </w:rPr>
        <w:t>j</w:t>
      </w:r>
      <w:r w:rsidRPr="005436C8">
        <w:rPr>
          <w:color w:val="000000"/>
          <w:sz w:val="22"/>
          <w:szCs w:val="22"/>
          <w:lang w:val="sr-Latn-ME"/>
        </w:rPr>
        <w:t>enom pertuzumaba u kombinaciji sa trastuzumabom i hemoterapijom u pivotalnim kliničkim ispitivanjima navedenim u nastavku (n=</w:t>
      </w:r>
      <w:r w:rsidR="00456410">
        <w:rPr>
          <w:color w:val="000000"/>
          <w:sz w:val="22"/>
          <w:szCs w:val="22"/>
          <w:lang w:val="sr-Latn-ME"/>
        </w:rPr>
        <w:t>3834</w:t>
      </w:r>
      <w:r w:rsidRPr="005436C8">
        <w:rPr>
          <w:color w:val="000000"/>
          <w:sz w:val="22"/>
          <w:szCs w:val="22"/>
          <w:lang w:val="sr-Latn-ME"/>
        </w:rPr>
        <w:t xml:space="preserve">) i nakon stavljanja </w:t>
      </w:r>
      <w:r w:rsidR="00166973" w:rsidRPr="005436C8">
        <w:rPr>
          <w:color w:val="000000"/>
          <w:sz w:val="22"/>
          <w:szCs w:val="22"/>
          <w:lang w:val="sr-Latn-ME"/>
        </w:rPr>
        <w:t>lijek</w:t>
      </w:r>
      <w:r w:rsidRPr="005436C8">
        <w:rPr>
          <w:color w:val="000000"/>
          <w:sz w:val="22"/>
          <w:szCs w:val="22"/>
          <w:lang w:val="sr-Latn-ME"/>
        </w:rPr>
        <w:t xml:space="preserve">a u promet. </w:t>
      </w:r>
      <w:r w:rsidR="008E7A18" w:rsidRPr="008E7A18">
        <w:rPr>
          <w:color w:val="000000"/>
          <w:sz w:val="22"/>
          <w:szCs w:val="22"/>
          <w:lang w:val="hr-HR"/>
        </w:rPr>
        <w:t>Pošto se pertuzumab prim</w:t>
      </w:r>
      <w:r w:rsidR="008E7A18">
        <w:rPr>
          <w:color w:val="000000"/>
          <w:sz w:val="22"/>
          <w:szCs w:val="22"/>
          <w:lang w:val="hr-HR"/>
        </w:rPr>
        <w:t>j</w:t>
      </w:r>
      <w:r w:rsidR="008E7A18" w:rsidRPr="008E7A18">
        <w:rPr>
          <w:color w:val="000000"/>
          <w:sz w:val="22"/>
          <w:szCs w:val="22"/>
          <w:lang w:val="hr-HR"/>
        </w:rPr>
        <w:t>enjuje u kombinaciji sa trastuzumabom i hemioterapijom, teško je utvrditi uzročnu vezu između ne</w:t>
      </w:r>
      <w:r w:rsidR="008E7A18" w:rsidRPr="008E7A18">
        <w:rPr>
          <w:color w:val="000000"/>
          <w:sz w:val="22"/>
          <w:szCs w:val="22"/>
          <w:lang w:val="sr-Latn-RS"/>
        </w:rPr>
        <w:t>željene reakcije</w:t>
      </w:r>
      <w:r w:rsidR="008E7A18" w:rsidRPr="008E7A18">
        <w:rPr>
          <w:color w:val="000000"/>
          <w:sz w:val="22"/>
          <w:szCs w:val="22"/>
          <w:lang w:val="hr-HR"/>
        </w:rPr>
        <w:t xml:space="preserve"> i određenog l</w:t>
      </w:r>
      <w:r w:rsidR="008E7A18">
        <w:rPr>
          <w:color w:val="000000"/>
          <w:sz w:val="22"/>
          <w:szCs w:val="22"/>
          <w:lang w:val="hr-HR"/>
        </w:rPr>
        <w:t>ij</w:t>
      </w:r>
      <w:r w:rsidR="008E7A18" w:rsidRPr="008E7A18">
        <w:rPr>
          <w:color w:val="000000"/>
          <w:sz w:val="22"/>
          <w:szCs w:val="22"/>
          <w:lang w:val="hr-HR"/>
        </w:rPr>
        <w:t>eka. U posl</w:t>
      </w:r>
      <w:r w:rsidR="00563BCD">
        <w:rPr>
          <w:color w:val="000000"/>
          <w:sz w:val="22"/>
          <w:szCs w:val="22"/>
          <w:lang w:val="hr-HR"/>
        </w:rPr>
        <w:t>j</w:t>
      </w:r>
      <w:r w:rsidR="008E7A18" w:rsidRPr="008E7A18">
        <w:rPr>
          <w:color w:val="000000"/>
          <w:sz w:val="22"/>
          <w:szCs w:val="22"/>
          <w:lang w:val="hr-HR"/>
        </w:rPr>
        <w:t>ednje dv</w:t>
      </w:r>
      <w:r w:rsidR="008E7A18">
        <w:rPr>
          <w:color w:val="000000"/>
          <w:sz w:val="22"/>
          <w:szCs w:val="22"/>
          <w:lang w:val="hr-HR"/>
        </w:rPr>
        <w:t>ij</w:t>
      </w:r>
      <w:r w:rsidR="008E7A18" w:rsidRPr="008E7A18">
        <w:rPr>
          <w:color w:val="000000"/>
          <w:sz w:val="22"/>
          <w:szCs w:val="22"/>
          <w:lang w:val="hr-HR"/>
        </w:rPr>
        <w:t>e kolone navedene su neželjene reakcije prijavljene u grupi koja je primala l</w:t>
      </w:r>
      <w:r w:rsidR="008E7A18">
        <w:rPr>
          <w:color w:val="000000"/>
          <w:sz w:val="22"/>
          <w:szCs w:val="22"/>
          <w:lang w:val="hr-HR"/>
        </w:rPr>
        <w:t>ij</w:t>
      </w:r>
      <w:r w:rsidR="008E7A18" w:rsidRPr="008E7A18">
        <w:rPr>
          <w:color w:val="000000"/>
          <w:sz w:val="22"/>
          <w:szCs w:val="22"/>
          <w:lang w:val="hr-HR"/>
        </w:rPr>
        <w:t>ek Phesgo u ispitivanju FEDERICA (n=243) kada se l</w:t>
      </w:r>
      <w:r w:rsidR="008E7A18">
        <w:rPr>
          <w:color w:val="000000"/>
          <w:sz w:val="22"/>
          <w:szCs w:val="22"/>
          <w:lang w:val="hr-HR"/>
        </w:rPr>
        <w:t>ij</w:t>
      </w:r>
      <w:r w:rsidR="008E7A18" w:rsidRPr="008E7A18">
        <w:rPr>
          <w:color w:val="000000"/>
          <w:sz w:val="22"/>
          <w:szCs w:val="22"/>
          <w:lang w:val="hr-HR"/>
        </w:rPr>
        <w:t>ek Phesgo primjenjivao u kombinaciji sa hemioterapijskim l</w:t>
      </w:r>
      <w:r w:rsidR="008E7A18">
        <w:rPr>
          <w:color w:val="000000"/>
          <w:sz w:val="22"/>
          <w:szCs w:val="22"/>
          <w:lang w:val="hr-HR"/>
        </w:rPr>
        <w:t>ij</w:t>
      </w:r>
      <w:r w:rsidR="008E7A18" w:rsidRPr="008E7A18">
        <w:rPr>
          <w:color w:val="000000"/>
          <w:sz w:val="22"/>
          <w:szCs w:val="22"/>
          <w:lang w:val="hr-HR"/>
        </w:rPr>
        <w:t>ekom i kao monoterapija.</w:t>
      </w:r>
    </w:p>
    <w:p w14:paraId="266BDA7C" w14:textId="77777777" w:rsidR="000C7302" w:rsidRPr="005436C8" w:rsidRDefault="000C7302" w:rsidP="005436C8">
      <w:pPr>
        <w:shd w:val="clear" w:color="auto" w:fill="FFFFFF"/>
        <w:tabs>
          <w:tab w:val="left" w:pos="284"/>
        </w:tabs>
        <w:jc w:val="both"/>
        <w:rPr>
          <w:color w:val="000000"/>
          <w:sz w:val="22"/>
          <w:szCs w:val="22"/>
          <w:shd w:val="clear" w:color="auto" w:fill="FFFFFF"/>
          <w:lang w:val="sr-Latn-ME"/>
        </w:rPr>
      </w:pPr>
    </w:p>
    <w:p w14:paraId="12A984A4" w14:textId="77777777" w:rsidR="000C7302" w:rsidRPr="005436C8" w:rsidRDefault="000C7302" w:rsidP="005436C8">
      <w:pPr>
        <w:tabs>
          <w:tab w:val="left" w:pos="284"/>
        </w:tabs>
        <w:ind w:left="714" w:hanging="357"/>
        <w:jc w:val="both"/>
        <w:rPr>
          <w:sz w:val="22"/>
          <w:szCs w:val="22"/>
          <w:lang w:val="sr-Latn-ME"/>
        </w:rPr>
      </w:pPr>
      <w:r w:rsidRPr="005436C8">
        <w:rPr>
          <w:sz w:val="22"/>
          <w:szCs w:val="22"/>
          <w:lang w:val="sr-Latn-ME"/>
        </w:rPr>
        <w:sym w:font="Symbol" w:char="F0B7"/>
      </w:r>
      <w:r w:rsidRPr="005436C8">
        <w:rPr>
          <w:sz w:val="22"/>
          <w:szCs w:val="22"/>
          <w:lang w:val="sr-Latn-ME"/>
        </w:rPr>
        <w:tab/>
        <w:t>CLEOPATRA, ispitivanje u kome je pertuzumab davan u kombinaciji sa trastuzumabom i docetakselom pacijentima sa metastatskim karcinomom dojke (n=453)</w:t>
      </w:r>
    </w:p>
    <w:p w14:paraId="0C5246E5" w14:textId="77777777" w:rsidR="000C7302" w:rsidRPr="005436C8" w:rsidRDefault="000C7302" w:rsidP="005436C8">
      <w:pPr>
        <w:tabs>
          <w:tab w:val="left" w:pos="284"/>
        </w:tabs>
        <w:ind w:left="714" w:hanging="357"/>
        <w:jc w:val="both"/>
        <w:rPr>
          <w:sz w:val="22"/>
          <w:szCs w:val="22"/>
          <w:lang w:val="sr-Latn-ME"/>
        </w:rPr>
      </w:pPr>
      <w:r w:rsidRPr="005436C8">
        <w:rPr>
          <w:sz w:val="22"/>
          <w:szCs w:val="22"/>
          <w:lang w:val="sr-Latn-ME"/>
        </w:rPr>
        <w:sym w:font="Symbol" w:char="F0B7"/>
      </w:r>
      <w:r w:rsidRPr="005436C8">
        <w:rPr>
          <w:sz w:val="22"/>
          <w:szCs w:val="22"/>
          <w:lang w:val="sr-Latn-ME"/>
        </w:rPr>
        <w:tab/>
        <w:t>NEOSPHERE (n=309) i TRYPHAENA (n=218), ispitivanja u kojima je neoadjuvantni pertuzumab davan u kombinaciji sa trastuzumabom i hemoterapijom pacijentima sa lokalno uznapredovalim, inflamatornim ili ranim karcinomom dojke</w:t>
      </w:r>
    </w:p>
    <w:p w14:paraId="4B768553" w14:textId="77777777" w:rsidR="000C7302" w:rsidRPr="005436C8" w:rsidRDefault="000C7302" w:rsidP="005436C8">
      <w:pPr>
        <w:tabs>
          <w:tab w:val="left" w:pos="284"/>
        </w:tabs>
        <w:ind w:left="714" w:hanging="357"/>
        <w:jc w:val="both"/>
        <w:rPr>
          <w:sz w:val="22"/>
          <w:szCs w:val="22"/>
          <w:lang w:val="sr-Latn-ME"/>
        </w:rPr>
      </w:pPr>
      <w:r w:rsidRPr="005436C8">
        <w:rPr>
          <w:sz w:val="22"/>
          <w:szCs w:val="22"/>
          <w:lang w:val="sr-Latn-ME"/>
        </w:rPr>
        <w:sym w:font="Symbol" w:char="F0B7"/>
      </w:r>
      <w:r w:rsidRPr="005436C8">
        <w:rPr>
          <w:sz w:val="22"/>
          <w:szCs w:val="22"/>
          <w:lang w:val="sr-Latn-ME"/>
        </w:rPr>
        <w:tab/>
        <w:t xml:space="preserve">APHINITY, ispitivanje u kome je pertuzumab davan u kombinaciji sa trastuzumabom i hemoterapijom na bazi antraciklina ili nekog drugog </w:t>
      </w:r>
      <w:r w:rsidR="00166973" w:rsidRPr="005436C8">
        <w:rPr>
          <w:sz w:val="22"/>
          <w:szCs w:val="22"/>
          <w:lang w:val="sr-Latn-ME"/>
        </w:rPr>
        <w:t>lijek</w:t>
      </w:r>
      <w:r w:rsidRPr="005436C8">
        <w:rPr>
          <w:sz w:val="22"/>
          <w:szCs w:val="22"/>
          <w:lang w:val="sr-Latn-ME"/>
        </w:rPr>
        <w:t>a koja je sadržala taksan, i to pacijentima sa ranim karcinomom dojke (n=2364)</w:t>
      </w:r>
    </w:p>
    <w:p w14:paraId="1CAA9636" w14:textId="1D5EBD9E" w:rsidR="003F1CD8" w:rsidRPr="003F1CD8" w:rsidRDefault="003F1CD8" w:rsidP="003F1CD8">
      <w:pPr>
        <w:pStyle w:val="CommentText"/>
        <w:numPr>
          <w:ilvl w:val="0"/>
          <w:numId w:val="13"/>
        </w:numPr>
        <w:jc w:val="both"/>
        <w:rPr>
          <w:sz w:val="22"/>
          <w:szCs w:val="22"/>
          <w:lang w:val="sr-Latn-ME"/>
        </w:rPr>
      </w:pPr>
      <w:r w:rsidRPr="003F1CD8">
        <w:rPr>
          <w:sz w:val="22"/>
          <w:szCs w:val="22"/>
          <w:lang w:val="sr-Latn-ME"/>
        </w:rPr>
        <w:t>FEDERICA, ispitivanje u kome su lijek Phesgo (n=243) ili intravenski pertuzumab i trastuzumab (n=247) prvo davani u kombinaciji sa hemoterapijom (faza neoadjuvantnog liječenja), a zatim u monoterapiji (faza adjuvantnog liječenja) kod pacijenata sa ranim karcinomom dojke</w:t>
      </w:r>
      <w:r>
        <w:rPr>
          <w:sz w:val="22"/>
          <w:szCs w:val="22"/>
          <w:lang w:val="sr-Latn-ME"/>
        </w:rPr>
        <w:t>.</w:t>
      </w:r>
    </w:p>
    <w:p w14:paraId="2F8ED2E9" w14:textId="77777777" w:rsidR="000C7302" w:rsidRPr="005436C8" w:rsidRDefault="000C7302" w:rsidP="003F1CD8">
      <w:pPr>
        <w:shd w:val="clear" w:color="auto" w:fill="FFFFFF"/>
        <w:tabs>
          <w:tab w:val="left" w:pos="284"/>
        </w:tabs>
        <w:jc w:val="both"/>
        <w:rPr>
          <w:sz w:val="22"/>
          <w:szCs w:val="22"/>
          <w:lang w:val="sr-Latn-ME"/>
        </w:rPr>
      </w:pPr>
    </w:p>
    <w:p w14:paraId="153E136F" w14:textId="77777777" w:rsidR="000C7302" w:rsidRPr="005436C8" w:rsidRDefault="008E7A18" w:rsidP="00DA50E6">
      <w:pPr>
        <w:tabs>
          <w:tab w:val="left" w:pos="284"/>
        </w:tabs>
        <w:autoSpaceDE w:val="0"/>
        <w:autoSpaceDN w:val="0"/>
        <w:adjustRightInd w:val="0"/>
        <w:jc w:val="both"/>
        <w:rPr>
          <w:color w:val="000000"/>
          <w:sz w:val="22"/>
          <w:szCs w:val="22"/>
          <w:lang w:val="sr-Latn-ME"/>
        </w:rPr>
      </w:pPr>
      <w:r>
        <w:rPr>
          <w:color w:val="000000"/>
          <w:sz w:val="22"/>
          <w:szCs w:val="22"/>
          <w:lang w:val="sr-Latn-ME"/>
        </w:rPr>
        <w:t>Sljedeće n</w:t>
      </w:r>
      <w:r w:rsidR="000C7302" w:rsidRPr="005436C8">
        <w:rPr>
          <w:color w:val="000000"/>
          <w:sz w:val="22"/>
          <w:szCs w:val="22"/>
          <w:lang w:val="sr-Latn-ME"/>
        </w:rPr>
        <w:t xml:space="preserve">eželjene reakcije na </w:t>
      </w:r>
      <w:r w:rsidR="00166973" w:rsidRPr="005436C8">
        <w:rPr>
          <w:color w:val="000000"/>
          <w:sz w:val="22"/>
          <w:szCs w:val="22"/>
          <w:lang w:val="sr-Latn-ME"/>
        </w:rPr>
        <w:t>lijek</w:t>
      </w:r>
      <w:r w:rsidR="000C7302" w:rsidRPr="005436C8">
        <w:rPr>
          <w:color w:val="000000"/>
          <w:sz w:val="22"/>
          <w:szCs w:val="22"/>
          <w:lang w:val="sr-Latn-ME"/>
        </w:rPr>
        <w:t xml:space="preserve"> navedene su u nastavku prema klasi sistema organa (SOC) i kategorijama učestalosti:</w:t>
      </w:r>
    </w:p>
    <w:p w14:paraId="097C3430" w14:textId="77777777" w:rsidR="000C7302" w:rsidRPr="005436C8" w:rsidRDefault="000C7302">
      <w:pPr>
        <w:tabs>
          <w:tab w:val="left" w:pos="284"/>
        </w:tabs>
        <w:autoSpaceDE w:val="0"/>
        <w:autoSpaceDN w:val="0"/>
        <w:adjustRightInd w:val="0"/>
        <w:jc w:val="both"/>
        <w:rPr>
          <w:color w:val="000000"/>
          <w:sz w:val="22"/>
          <w:szCs w:val="22"/>
          <w:u w:val="single"/>
          <w:lang w:val="sr-Latn-ME"/>
        </w:rPr>
      </w:pPr>
    </w:p>
    <w:p w14:paraId="7CEAC503" w14:textId="77777777" w:rsidR="000C7302" w:rsidRPr="005436C8" w:rsidRDefault="000C7302">
      <w:pPr>
        <w:tabs>
          <w:tab w:val="left" w:pos="284"/>
        </w:tabs>
        <w:autoSpaceDE w:val="0"/>
        <w:autoSpaceDN w:val="0"/>
        <w:adjustRightInd w:val="0"/>
        <w:ind w:left="714" w:hanging="357"/>
        <w:jc w:val="both"/>
        <w:rPr>
          <w:color w:val="000000"/>
          <w:sz w:val="22"/>
          <w:szCs w:val="22"/>
          <w:lang w:val="sr-Latn-ME"/>
        </w:rPr>
      </w:pPr>
      <w:r w:rsidRPr="005436C8">
        <w:rPr>
          <w:sz w:val="22"/>
          <w:szCs w:val="22"/>
          <w:lang w:val="sr-Latn-ME"/>
        </w:rPr>
        <w:lastRenderedPageBreak/>
        <w:sym w:font="Symbol" w:char="F0B7"/>
      </w:r>
      <w:r w:rsidRPr="005436C8">
        <w:rPr>
          <w:sz w:val="22"/>
          <w:szCs w:val="22"/>
          <w:lang w:val="sr-Latn-ME"/>
        </w:rPr>
        <w:tab/>
      </w:r>
      <w:r w:rsidRPr="005436C8">
        <w:rPr>
          <w:color w:val="000000"/>
          <w:sz w:val="22"/>
          <w:szCs w:val="22"/>
          <w:lang w:val="sr-Latn-ME"/>
        </w:rPr>
        <w:t>Veoma čest</w:t>
      </w:r>
      <w:r w:rsidR="00630E03" w:rsidRPr="005436C8">
        <w:rPr>
          <w:color w:val="000000"/>
          <w:sz w:val="22"/>
          <w:szCs w:val="22"/>
          <w:lang w:val="sr-Latn-ME"/>
        </w:rPr>
        <w:t>o</w:t>
      </w:r>
      <w:r w:rsidRPr="005436C8">
        <w:rPr>
          <w:color w:val="000000"/>
          <w:sz w:val="22"/>
          <w:szCs w:val="22"/>
          <w:lang w:val="sr-Latn-ME"/>
        </w:rPr>
        <w:t xml:space="preserve"> (≥ 1/10)</w:t>
      </w:r>
    </w:p>
    <w:p w14:paraId="55951167" w14:textId="77777777" w:rsidR="000C7302" w:rsidRPr="005436C8" w:rsidRDefault="000C7302">
      <w:pPr>
        <w:tabs>
          <w:tab w:val="left" w:pos="284"/>
        </w:tabs>
        <w:autoSpaceDE w:val="0"/>
        <w:autoSpaceDN w:val="0"/>
        <w:adjustRightInd w:val="0"/>
        <w:ind w:left="714" w:hanging="357"/>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Čest</w:t>
      </w:r>
      <w:r w:rsidR="00630E03" w:rsidRPr="005436C8">
        <w:rPr>
          <w:color w:val="000000"/>
          <w:sz w:val="22"/>
          <w:szCs w:val="22"/>
          <w:lang w:val="sr-Latn-ME"/>
        </w:rPr>
        <w:t>o</w:t>
      </w:r>
      <w:r w:rsidRPr="005436C8">
        <w:rPr>
          <w:color w:val="000000"/>
          <w:sz w:val="22"/>
          <w:szCs w:val="22"/>
          <w:lang w:val="sr-Latn-ME"/>
        </w:rPr>
        <w:t xml:space="preserve"> (≥ 1/100 do &lt; 1/10) </w:t>
      </w:r>
    </w:p>
    <w:p w14:paraId="52C98C6F" w14:textId="77777777" w:rsidR="000C7302" w:rsidRPr="005436C8" w:rsidRDefault="000C7302">
      <w:pPr>
        <w:tabs>
          <w:tab w:val="left" w:pos="284"/>
        </w:tabs>
        <w:autoSpaceDE w:val="0"/>
        <w:autoSpaceDN w:val="0"/>
        <w:adjustRightInd w:val="0"/>
        <w:ind w:left="714" w:hanging="357"/>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Po</w:t>
      </w:r>
      <w:r w:rsidR="002700CC" w:rsidRPr="005436C8">
        <w:rPr>
          <w:color w:val="000000"/>
          <w:sz w:val="22"/>
          <w:szCs w:val="22"/>
          <w:lang w:val="sr-Latn-ME"/>
        </w:rPr>
        <w:t>vrem</w:t>
      </w:r>
      <w:r w:rsidR="00A21698" w:rsidRPr="005436C8">
        <w:rPr>
          <w:color w:val="000000"/>
          <w:sz w:val="22"/>
          <w:szCs w:val="22"/>
          <w:lang w:val="sr-Latn-ME"/>
        </w:rPr>
        <w:t>e</w:t>
      </w:r>
      <w:r w:rsidRPr="005436C8">
        <w:rPr>
          <w:color w:val="000000"/>
          <w:sz w:val="22"/>
          <w:szCs w:val="22"/>
          <w:lang w:val="sr-Latn-ME"/>
        </w:rPr>
        <w:t>n</w:t>
      </w:r>
      <w:r w:rsidR="00630E03" w:rsidRPr="005436C8">
        <w:rPr>
          <w:color w:val="000000"/>
          <w:sz w:val="22"/>
          <w:szCs w:val="22"/>
          <w:lang w:val="sr-Latn-ME"/>
        </w:rPr>
        <w:t>o</w:t>
      </w:r>
      <w:r w:rsidRPr="005436C8">
        <w:rPr>
          <w:color w:val="000000"/>
          <w:sz w:val="22"/>
          <w:szCs w:val="22"/>
          <w:lang w:val="sr-Latn-ME"/>
        </w:rPr>
        <w:t xml:space="preserve"> (≥ 1/1.000 do &lt; 1/100)</w:t>
      </w:r>
    </w:p>
    <w:p w14:paraId="191D6D5F" w14:textId="77777777" w:rsidR="000C7302" w:rsidRPr="005436C8" w:rsidRDefault="000C7302">
      <w:pPr>
        <w:tabs>
          <w:tab w:val="left" w:pos="284"/>
        </w:tabs>
        <w:autoSpaceDE w:val="0"/>
        <w:autoSpaceDN w:val="0"/>
        <w:adjustRightInd w:val="0"/>
        <w:ind w:left="714" w:hanging="357"/>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R</w:t>
      </w:r>
      <w:r w:rsidR="00211115" w:rsidRPr="005436C8">
        <w:rPr>
          <w:color w:val="000000"/>
          <w:sz w:val="22"/>
          <w:szCs w:val="22"/>
          <w:lang w:val="sr-Latn-ME"/>
        </w:rPr>
        <w:t>ij</w:t>
      </w:r>
      <w:r w:rsidRPr="005436C8">
        <w:rPr>
          <w:color w:val="000000"/>
          <w:sz w:val="22"/>
          <w:szCs w:val="22"/>
          <w:lang w:val="sr-Latn-ME"/>
        </w:rPr>
        <w:t>etk</w:t>
      </w:r>
      <w:r w:rsidR="00630E03" w:rsidRPr="005436C8">
        <w:rPr>
          <w:color w:val="000000"/>
          <w:sz w:val="22"/>
          <w:szCs w:val="22"/>
          <w:lang w:val="sr-Latn-ME"/>
        </w:rPr>
        <w:t>o</w:t>
      </w:r>
      <w:r w:rsidRPr="005436C8">
        <w:rPr>
          <w:color w:val="000000"/>
          <w:sz w:val="22"/>
          <w:szCs w:val="22"/>
          <w:lang w:val="sr-Latn-ME"/>
        </w:rPr>
        <w:t xml:space="preserve"> (≥ 1/10.000 do &lt; 1/1.000) </w:t>
      </w:r>
    </w:p>
    <w:p w14:paraId="18F99055" w14:textId="77777777" w:rsidR="000C7302" w:rsidRPr="005436C8" w:rsidRDefault="000C7302">
      <w:pPr>
        <w:tabs>
          <w:tab w:val="left" w:pos="284"/>
        </w:tabs>
        <w:autoSpaceDE w:val="0"/>
        <w:autoSpaceDN w:val="0"/>
        <w:adjustRightInd w:val="0"/>
        <w:ind w:left="714" w:hanging="357"/>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Veoma r</w:t>
      </w:r>
      <w:r w:rsidR="00211115" w:rsidRPr="005436C8">
        <w:rPr>
          <w:color w:val="000000"/>
          <w:sz w:val="22"/>
          <w:szCs w:val="22"/>
          <w:lang w:val="sr-Latn-ME"/>
        </w:rPr>
        <w:t>ij</w:t>
      </w:r>
      <w:r w:rsidRPr="005436C8">
        <w:rPr>
          <w:color w:val="000000"/>
          <w:sz w:val="22"/>
          <w:szCs w:val="22"/>
          <w:lang w:val="sr-Latn-ME"/>
        </w:rPr>
        <w:t>etk</w:t>
      </w:r>
      <w:r w:rsidR="00630E03" w:rsidRPr="005436C8">
        <w:rPr>
          <w:color w:val="000000"/>
          <w:sz w:val="22"/>
          <w:szCs w:val="22"/>
          <w:lang w:val="sr-Latn-ME"/>
        </w:rPr>
        <w:t>o</w:t>
      </w:r>
      <w:r w:rsidRPr="005436C8">
        <w:rPr>
          <w:color w:val="000000"/>
          <w:sz w:val="22"/>
          <w:szCs w:val="22"/>
          <w:lang w:val="sr-Latn-ME"/>
        </w:rPr>
        <w:t xml:space="preserve"> (&lt; 1/10.000)</w:t>
      </w:r>
    </w:p>
    <w:p w14:paraId="3922D6E9" w14:textId="77777777" w:rsidR="000C7302" w:rsidRPr="005436C8" w:rsidRDefault="000C7302">
      <w:pPr>
        <w:tabs>
          <w:tab w:val="left" w:pos="284"/>
        </w:tabs>
        <w:autoSpaceDE w:val="0"/>
        <w:autoSpaceDN w:val="0"/>
        <w:adjustRightInd w:val="0"/>
        <w:ind w:left="714" w:hanging="357"/>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Nepoznato (ne može se proc</w:t>
      </w:r>
      <w:r w:rsidR="00211115" w:rsidRPr="005436C8">
        <w:rPr>
          <w:color w:val="000000"/>
          <w:sz w:val="22"/>
          <w:szCs w:val="22"/>
          <w:lang w:val="sr-Latn-ME"/>
        </w:rPr>
        <w:t>j</w:t>
      </w:r>
      <w:r w:rsidRPr="005436C8">
        <w:rPr>
          <w:color w:val="000000"/>
          <w:sz w:val="22"/>
          <w:szCs w:val="22"/>
          <w:lang w:val="sr-Latn-ME"/>
        </w:rPr>
        <w:t>eniti na osnovu postojećih podataka)</w:t>
      </w:r>
      <w:r w:rsidR="00C41765" w:rsidRPr="005436C8">
        <w:rPr>
          <w:color w:val="000000"/>
          <w:sz w:val="22"/>
          <w:szCs w:val="22"/>
          <w:lang w:val="sr-Latn-ME"/>
        </w:rPr>
        <w:t>.</w:t>
      </w:r>
    </w:p>
    <w:p w14:paraId="089B6DCF" w14:textId="77777777" w:rsidR="000C7302" w:rsidRPr="005436C8" w:rsidRDefault="000C7302">
      <w:pPr>
        <w:tabs>
          <w:tab w:val="left" w:pos="284"/>
        </w:tabs>
        <w:autoSpaceDE w:val="0"/>
        <w:autoSpaceDN w:val="0"/>
        <w:adjustRightInd w:val="0"/>
        <w:jc w:val="both"/>
        <w:rPr>
          <w:b/>
          <w:i/>
          <w:color w:val="000000"/>
          <w:sz w:val="22"/>
          <w:szCs w:val="22"/>
          <w:lang w:val="sr-Latn-ME"/>
        </w:rPr>
      </w:pPr>
    </w:p>
    <w:p w14:paraId="4DD0446A" w14:textId="77777777" w:rsidR="000C7302" w:rsidRPr="005436C8" w:rsidRDefault="000C7302">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U svakoj grupi učestalosti i klasi sistema organa, neželjene reakcije navedene su u opadajućem nizu prema ozbiljnosti.</w:t>
      </w:r>
    </w:p>
    <w:p w14:paraId="49DD6269" w14:textId="77777777" w:rsidR="000C7302" w:rsidRPr="005436C8" w:rsidRDefault="000C7302">
      <w:pPr>
        <w:tabs>
          <w:tab w:val="left" w:pos="284"/>
        </w:tabs>
        <w:autoSpaceDE w:val="0"/>
        <w:autoSpaceDN w:val="0"/>
        <w:adjustRightInd w:val="0"/>
        <w:jc w:val="both"/>
        <w:rPr>
          <w:b/>
          <w:i/>
          <w:color w:val="000000"/>
          <w:sz w:val="22"/>
          <w:szCs w:val="22"/>
          <w:lang w:val="sr-Latn-ME"/>
        </w:rPr>
      </w:pPr>
    </w:p>
    <w:p w14:paraId="4D15300F" w14:textId="77777777" w:rsidR="000C7302" w:rsidRPr="005436C8" w:rsidRDefault="000C7302">
      <w:pPr>
        <w:keepNext/>
        <w:keepLines/>
        <w:tabs>
          <w:tab w:val="left" w:pos="284"/>
        </w:tabs>
        <w:ind w:left="1080" w:hanging="1080"/>
        <w:jc w:val="both"/>
        <w:rPr>
          <w:rFonts w:eastAsia="SimSun"/>
          <w:b/>
          <w:noProof/>
          <w:color w:val="000000"/>
          <w:sz w:val="22"/>
          <w:szCs w:val="22"/>
          <w:lang w:val="sr-Latn-ME"/>
        </w:rPr>
      </w:pPr>
      <w:r w:rsidRPr="005436C8">
        <w:rPr>
          <w:b/>
          <w:bCs/>
          <w:color w:val="000000"/>
          <w:sz w:val="22"/>
          <w:szCs w:val="22"/>
          <w:lang w:val="sr-Latn-ME"/>
        </w:rPr>
        <w:t>Tabela 2</w:t>
      </w:r>
      <w:r w:rsidRPr="005436C8">
        <w:rPr>
          <w:b/>
          <w:bCs/>
          <w:color w:val="000000"/>
          <w:sz w:val="22"/>
          <w:szCs w:val="22"/>
          <w:lang w:val="sr-Latn-ME"/>
        </w:rPr>
        <w:tab/>
        <w:t xml:space="preserve">Sažetak neželjenih reakcija na </w:t>
      </w:r>
      <w:r w:rsidR="00166973" w:rsidRPr="005436C8">
        <w:rPr>
          <w:b/>
          <w:bCs/>
          <w:color w:val="000000"/>
          <w:sz w:val="22"/>
          <w:szCs w:val="22"/>
          <w:lang w:val="sr-Latn-ME"/>
        </w:rPr>
        <w:t>lijek</w:t>
      </w:r>
      <w:r w:rsidRPr="005436C8">
        <w:rPr>
          <w:b/>
          <w:bCs/>
          <w:color w:val="000000"/>
          <w:sz w:val="22"/>
          <w:szCs w:val="22"/>
          <w:lang w:val="sr-Latn-ME"/>
        </w:rPr>
        <w:t xml:space="preserve"> kod pacijenata </w:t>
      </w:r>
      <w:r w:rsidR="00097926" w:rsidRPr="005436C8">
        <w:rPr>
          <w:b/>
          <w:bCs/>
          <w:color w:val="000000"/>
          <w:sz w:val="22"/>
          <w:szCs w:val="22"/>
          <w:lang w:val="sr-Latn-ME"/>
        </w:rPr>
        <w:t>liječeni</w:t>
      </w:r>
      <w:r w:rsidRPr="005436C8">
        <w:rPr>
          <w:b/>
          <w:bCs/>
          <w:color w:val="000000"/>
          <w:sz w:val="22"/>
          <w:szCs w:val="22"/>
          <w:lang w:val="sr-Latn-ME"/>
        </w:rPr>
        <w:t xml:space="preserve">h pertuzumabom i trastuzumabom u pivotalnim kliničkim </w:t>
      </w:r>
      <w:r w:rsidRPr="000B45CE">
        <w:rPr>
          <w:b/>
          <w:bCs/>
          <w:color w:val="000000"/>
          <w:sz w:val="22"/>
          <w:szCs w:val="22"/>
          <w:lang w:val="sr-Latn-ME"/>
        </w:rPr>
        <w:t>ispitivanjima</w:t>
      </w:r>
      <w:bookmarkStart w:id="2" w:name="_GoBack"/>
      <w:r w:rsidR="000B45CE" w:rsidRPr="002D6E14">
        <w:rPr>
          <w:b/>
          <w:bCs/>
          <w:color w:val="000000"/>
          <w:sz w:val="22"/>
          <w:szCs w:val="22"/>
          <w:lang w:val="sr-Latn-ME"/>
        </w:rPr>
        <w:t>^</w:t>
      </w:r>
      <w:bookmarkEnd w:id="2"/>
      <w:r w:rsidR="008E7A18" w:rsidRPr="000B45CE">
        <w:rPr>
          <w:b/>
          <w:bCs/>
          <w:color w:val="000000"/>
          <w:sz w:val="22"/>
          <w:szCs w:val="22"/>
          <w:vertAlign w:val="superscript"/>
          <w:lang w:val="sr-Latn-ME"/>
        </w:rPr>
        <w:t>,</w:t>
      </w:r>
      <w:r w:rsidR="008E7A18" w:rsidRPr="000B45CE">
        <w:rPr>
          <w:b/>
          <w:bCs/>
          <w:color w:val="000000"/>
          <w:sz w:val="22"/>
          <w:szCs w:val="22"/>
          <w:lang w:val="sr-Latn-ME"/>
        </w:rPr>
        <w:t xml:space="preserve"> ^^</w:t>
      </w:r>
      <w:r w:rsidR="008E7A18" w:rsidRPr="005436C8">
        <w:rPr>
          <w:b/>
          <w:bCs/>
          <w:color w:val="000000"/>
          <w:sz w:val="22"/>
          <w:szCs w:val="22"/>
          <w:lang w:val="sr-Latn-ME"/>
        </w:rPr>
        <w:t xml:space="preserve"> </w:t>
      </w:r>
      <w:r w:rsidRPr="005436C8">
        <w:rPr>
          <w:b/>
          <w:bCs/>
          <w:color w:val="000000"/>
          <w:sz w:val="22"/>
          <w:szCs w:val="22"/>
          <w:lang w:val="sr-Latn-ME"/>
        </w:rPr>
        <w:t xml:space="preserve">i nakon stavljanja </w:t>
      </w:r>
      <w:r w:rsidR="00166973" w:rsidRPr="005436C8">
        <w:rPr>
          <w:b/>
          <w:bCs/>
          <w:color w:val="000000"/>
          <w:sz w:val="22"/>
          <w:szCs w:val="22"/>
          <w:lang w:val="sr-Latn-ME"/>
        </w:rPr>
        <w:t>lijek</w:t>
      </w:r>
      <w:r w:rsidRPr="005436C8">
        <w:rPr>
          <w:b/>
          <w:bCs/>
          <w:color w:val="000000"/>
          <w:sz w:val="22"/>
          <w:szCs w:val="22"/>
          <w:lang w:val="sr-Latn-ME"/>
        </w:rPr>
        <w:t>a u promet</w:t>
      </w:r>
      <w:r w:rsidRPr="005436C8">
        <w:rPr>
          <w:color w:val="000000"/>
          <w:sz w:val="22"/>
          <w:szCs w:val="22"/>
          <w:lang w:val="sr-Latn-ME"/>
        </w:rPr>
        <w:t>†</w:t>
      </w:r>
    </w:p>
    <w:p w14:paraId="40E18817" w14:textId="77777777" w:rsidR="000C7302" w:rsidRPr="005436C8" w:rsidRDefault="000C7302" w:rsidP="009B712A">
      <w:pPr>
        <w:tabs>
          <w:tab w:val="left" w:pos="540"/>
          <w:tab w:val="left" w:pos="569"/>
        </w:tabs>
        <w:jc w:val="both"/>
        <w:rPr>
          <w:b/>
          <w:bCs/>
          <w:sz w:val="22"/>
          <w:szCs w:val="22"/>
          <w:lang w:val="sr-Latn-ME"/>
        </w:rPr>
      </w:pPr>
    </w:p>
    <w:p w14:paraId="272EAFA0" w14:textId="77777777" w:rsidR="008E7A18" w:rsidRDefault="008E7A18" w:rsidP="005436C8">
      <w:pPr>
        <w:keepNext/>
        <w:keepLines/>
        <w:tabs>
          <w:tab w:val="left" w:pos="284"/>
        </w:tabs>
        <w:autoSpaceDE w:val="0"/>
        <w:autoSpaceDN w:val="0"/>
        <w:adjustRightInd w:val="0"/>
        <w:jc w:val="both"/>
        <w:rPr>
          <w:noProof/>
          <w:color w:val="000000"/>
          <w:sz w:val="22"/>
          <w:szCs w:val="22"/>
          <w:lang w:val="sr-Latn-ME"/>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938"/>
        <w:gridCol w:w="2093"/>
        <w:gridCol w:w="2466"/>
      </w:tblGrid>
      <w:tr w:rsidR="008E7A18" w:rsidRPr="008E7A18" w14:paraId="22E23803" w14:textId="77777777" w:rsidTr="008E7A18">
        <w:trPr>
          <w:tblHeader/>
        </w:trPr>
        <w:tc>
          <w:tcPr>
            <w:tcW w:w="3544" w:type="dxa"/>
            <w:shd w:val="clear" w:color="auto" w:fill="auto"/>
          </w:tcPr>
          <w:p w14:paraId="45145BBA" w14:textId="77777777" w:rsidR="008E7A18" w:rsidRPr="008E7A18" w:rsidRDefault="008E7A18" w:rsidP="008E7A18">
            <w:pPr>
              <w:tabs>
                <w:tab w:val="left" w:pos="284"/>
              </w:tabs>
              <w:spacing w:before="40" w:after="240"/>
              <w:rPr>
                <w:rFonts w:eastAsia="MS Mincho"/>
                <w:color w:val="000000"/>
                <w:sz w:val="22"/>
                <w:szCs w:val="22"/>
                <w:lang w:val="hr-HR"/>
              </w:rPr>
            </w:pPr>
          </w:p>
        </w:tc>
        <w:tc>
          <w:tcPr>
            <w:tcW w:w="2153" w:type="dxa"/>
          </w:tcPr>
          <w:p w14:paraId="390FB6CD" w14:textId="77777777" w:rsidR="008E7A18" w:rsidRPr="008E7A18" w:rsidRDefault="008E7A18" w:rsidP="008E7A18">
            <w:pPr>
              <w:tabs>
                <w:tab w:val="left" w:pos="284"/>
                <w:tab w:val="left" w:pos="3508"/>
              </w:tabs>
              <w:spacing w:before="40" w:after="240"/>
              <w:jc w:val="center"/>
              <w:rPr>
                <w:rFonts w:eastAsia="MS Mincho"/>
                <w:color w:val="000000"/>
                <w:sz w:val="22"/>
                <w:szCs w:val="22"/>
                <w:vertAlign w:val="superscript"/>
                <w:lang w:val="hr-HR"/>
              </w:rPr>
            </w:pPr>
            <w:r w:rsidRPr="008E7A18">
              <w:rPr>
                <w:rFonts w:eastAsia="MS Mincho"/>
                <w:color w:val="000000"/>
                <w:sz w:val="22"/>
                <w:szCs w:val="22"/>
                <w:lang w:val="hr-HR"/>
              </w:rPr>
              <w:t>N = 3834</w:t>
            </w:r>
            <w:r w:rsidRPr="008E7A18">
              <w:rPr>
                <w:rFonts w:eastAsia="MS Mincho"/>
                <w:color w:val="000000"/>
                <w:sz w:val="22"/>
                <w:szCs w:val="22"/>
                <w:vertAlign w:val="superscript"/>
                <w:lang w:val="hr-HR"/>
              </w:rPr>
              <w:t>^</w:t>
            </w:r>
          </w:p>
        </w:tc>
        <w:tc>
          <w:tcPr>
            <w:tcW w:w="4504" w:type="dxa"/>
            <w:gridSpan w:val="2"/>
            <w:shd w:val="clear" w:color="auto" w:fill="auto"/>
          </w:tcPr>
          <w:p w14:paraId="2AE4B436" w14:textId="77777777" w:rsidR="008E7A18" w:rsidRPr="008E7A18" w:rsidRDefault="008E7A18" w:rsidP="008E7A18">
            <w:pPr>
              <w:tabs>
                <w:tab w:val="left" w:pos="284"/>
              </w:tabs>
              <w:spacing w:before="40" w:after="240"/>
              <w:ind w:left="-716"/>
              <w:jc w:val="center"/>
              <w:rPr>
                <w:rFonts w:eastAsia="MS Mincho"/>
                <w:color w:val="000000"/>
                <w:sz w:val="22"/>
                <w:szCs w:val="22"/>
                <w:vertAlign w:val="superscript"/>
                <w:lang w:val="hr-HR"/>
              </w:rPr>
            </w:pPr>
            <w:r w:rsidRPr="008E7A18">
              <w:rPr>
                <w:rFonts w:eastAsia="MS Mincho"/>
                <w:color w:val="000000"/>
                <w:sz w:val="22"/>
                <w:szCs w:val="22"/>
                <w:lang w:val="hr-HR"/>
              </w:rPr>
              <w:t>N = 243</w:t>
            </w:r>
            <w:r w:rsidRPr="008E7A18">
              <w:rPr>
                <w:rFonts w:eastAsia="MS Mincho"/>
                <w:color w:val="000000"/>
                <w:sz w:val="22"/>
                <w:szCs w:val="22"/>
                <w:vertAlign w:val="superscript"/>
                <w:lang w:val="hr-HR"/>
              </w:rPr>
              <w:t>^^</w:t>
            </w:r>
          </w:p>
        </w:tc>
      </w:tr>
      <w:tr w:rsidR="008E7A18" w:rsidRPr="008E7A18" w14:paraId="05304818" w14:textId="77777777" w:rsidTr="008E7A18">
        <w:trPr>
          <w:tblHeader/>
        </w:trPr>
        <w:tc>
          <w:tcPr>
            <w:tcW w:w="3544" w:type="dxa"/>
            <w:shd w:val="clear" w:color="auto" w:fill="auto"/>
          </w:tcPr>
          <w:p w14:paraId="5B8B8E00" w14:textId="77777777" w:rsidR="008E7A18" w:rsidRPr="008E7A18" w:rsidRDefault="008E7A18" w:rsidP="008E7A18">
            <w:pPr>
              <w:tabs>
                <w:tab w:val="left" w:pos="284"/>
              </w:tabs>
              <w:spacing w:before="40" w:after="240"/>
              <w:rPr>
                <w:rFonts w:eastAsia="MS Mincho"/>
                <w:color w:val="000000"/>
                <w:sz w:val="22"/>
                <w:szCs w:val="22"/>
                <w:lang w:val="hr-HR"/>
              </w:rPr>
            </w:pPr>
          </w:p>
        </w:tc>
        <w:tc>
          <w:tcPr>
            <w:tcW w:w="2153" w:type="dxa"/>
          </w:tcPr>
          <w:p w14:paraId="13D377B6" w14:textId="77777777" w:rsidR="008E7A18" w:rsidRPr="008E7A18" w:rsidRDefault="008E7A18" w:rsidP="008E7A18">
            <w:pPr>
              <w:tabs>
                <w:tab w:val="left" w:pos="284"/>
              </w:tabs>
              <w:spacing w:before="40" w:after="240"/>
              <w:jc w:val="center"/>
              <w:rPr>
                <w:rFonts w:eastAsia="MS Mincho"/>
                <w:color w:val="000000"/>
                <w:sz w:val="22"/>
                <w:szCs w:val="22"/>
                <w:lang w:val="hr-HR"/>
              </w:rPr>
            </w:pPr>
            <w:r w:rsidRPr="008E7A18">
              <w:rPr>
                <w:rFonts w:eastAsia="MS Mincho"/>
                <w:color w:val="000000"/>
                <w:sz w:val="22"/>
                <w:szCs w:val="22"/>
                <w:lang w:val="hr-HR"/>
              </w:rPr>
              <w:t>Pertuzumab + trastuzumab</w:t>
            </w:r>
          </w:p>
        </w:tc>
        <w:tc>
          <w:tcPr>
            <w:tcW w:w="2310" w:type="dxa"/>
            <w:shd w:val="clear" w:color="auto" w:fill="auto"/>
          </w:tcPr>
          <w:p w14:paraId="32A42F33" w14:textId="77777777" w:rsidR="008E7A18" w:rsidRPr="008E7A18" w:rsidRDefault="008E7A18" w:rsidP="008E7A18">
            <w:pPr>
              <w:tabs>
                <w:tab w:val="left" w:pos="284"/>
              </w:tabs>
              <w:spacing w:before="40" w:after="240"/>
              <w:jc w:val="center"/>
              <w:rPr>
                <w:rFonts w:eastAsia="MS Mincho"/>
                <w:color w:val="000000"/>
                <w:sz w:val="22"/>
                <w:szCs w:val="22"/>
                <w:lang w:val="hr-HR"/>
              </w:rPr>
            </w:pPr>
            <w:r w:rsidRPr="008E7A18">
              <w:rPr>
                <w:rFonts w:eastAsia="MS Mincho"/>
                <w:color w:val="000000"/>
                <w:sz w:val="22"/>
                <w:szCs w:val="22"/>
                <w:lang w:val="hr-HR"/>
              </w:rPr>
              <w:t>L</w:t>
            </w:r>
            <w:r w:rsidR="00563BCD">
              <w:rPr>
                <w:rFonts w:eastAsia="MS Mincho"/>
                <w:color w:val="000000"/>
                <w:sz w:val="22"/>
                <w:szCs w:val="22"/>
                <w:lang w:val="hr-HR"/>
              </w:rPr>
              <w:t>ij</w:t>
            </w:r>
            <w:r w:rsidRPr="008E7A18">
              <w:rPr>
                <w:rFonts w:eastAsia="MS Mincho"/>
                <w:color w:val="000000"/>
                <w:sz w:val="22"/>
                <w:szCs w:val="22"/>
                <w:lang w:val="hr-HR"/>
              </w:rPr>
              <w:t>ek Phesgo uz hemioterapiju</w:t>
            </w:r>
          </w:p>
        </w:tc>
        <w:tc>
          <w:tcPr>
            <w:tcW w:w="0" w:type="auto"/>
            <w:shd w:val="clear" w:color="auto" w:fill="auto"/>
          </w:tcPr>
          <w:p w14:paraId="5FB38633" w14:textId="77777777" w:rsidR="008E7A18" w:rsidRPr="008E7A18" w:rsidRDefault="008E7A18" w:rsidP="008E7A18">
            <w:pPr>
              <w:tabs>
                <w:tab w:val="left" w:pos="284"/>
              </w:tabs>
              <w:spacing w:before="40" w:after="240"/>
              <w:jc w:val="center"/>
              <w:rPr>
                <w:rFonts w:eastAsia="MS Mincho"/>
                <w:color w:val="000000"/>
                <w:sz w:val="22"/>
                <w:szCs w:val="22"/>
                <w:lang w:val="hr-HR"/>
              </w:rPr>
            </w:pPr>
            <w:r w:rsidRPr="008E7A18">
              <w:rPr>
                <w:rFonts w:eastAsia="MS Mincho"/>
                <w:color w:val="000000"/>
                <w:sz w:val="22"/>
                <w:szCs w:val="22"/>
                <w:lang w:val="hr-HR"/>
              </w:rPr>
              <w:t>Monoterapija l</w:t>
            </w:r>
            <w:r>
              <w:rPr>
                <w:rFonts w:eastAsia="MS Mincho"/>
                <w:color w:val="000000"/>
                <w:sz w:val="22"/>
                <w:szCs w:val="22"/>
                <w:lang w:val="hr-HR"/>
              </w:rPr>
              <w:t>ij</w:t>
            </w:r>
            <w:r w:rsidRPr="008E7A18">
              <w:rPr>
                <w:rFonts w:eastAsia="MS Mincho"/>
                <w:color w:val="000000"/>
                <w:sz w:val="22"/>
                <w:szCs w:val="22"/>
                <w:lang w:val="hr-HR"/>
              </w:rPr>
              <w:t>ekom Phesgo</w:t>
            </w:r>
          </w:p>
        </w:tc>
      </w:tr>
      <w:tr w:rsidR="008E7A18" w:rsidRPr="008E7A18" w14:paraId="5E3CC0AA" w14:textId="77777777" w:rsidTr="008E7A18">
        <w:tc>
          <w:tcPr>
            <w:tcW w:w="3544" w:type="dxa"/>
            <w:shd w:val="clear" w:color="auto" w:fill="auto"/>
          </w:tcPr>
          <w:p w14:paraId="284A73F9" w14:textId="77777777" w:rsidR="008E7A18" w:rsidRPr="008E7A18" w:rsidRDefault="008E7A18" w:rsidP="008E7A18">
            <w:pPr>
              <w:tabs>
                <w:tab w:val="left" w:pos="284"/>
              </w:tabs>
              <w:autoSpaceDE w:val="0"/>
              <w:autoSpaceDN w:val="0"/>
              <w:adjustRightInd w:val="0"/>
              <w:jc w:val="center"/>
              <w:rPr>
                <w:b/>
                <w:color w:val="000000"/>
                <w:sz w:val="22"/>
                <w:szCs w:val="22"/>
                <w:lang w:val="hr-HR"/>
              </w:rPr>
            </w:pPr>
            <w:r w:rsidRPr="008E7A18">
              <w:rPr>
                <w:b/>
                <w:color w:val="000000"/>
                <w:sz w:val="22"/>
                <w:szCs w:val="22"/>
                <w:lang w:val="hr-HR"/>
              </w:rPr>
              <w:t>Neželjena reakcija</w:t>
            </w:r>
          </w:p>
          <w:p w14:paraId="4B4FD439" w14:textId="77777777" w:rsidR="008E7A18" w:rsidRPr="008E7A18" w:rsidRDefault="008E7A18" w:rsidP="008E7A18">
            <w:pPr>
              <w:tabs>
                <w:tab w:val="left" w:pos="284"/>
              </w:tabs>
              <w:autoSpaceDE w:val="0"/>
              <w:autoSpaceDN w:val="0"/>
              <w:adjustRightInd w:val="0"/>
              <w:jc w:val="center"/>
              <w:rPr>
                <w:b/>
                <w:bCs/>
                <w:color w:val="000000"/>
                <w:sz w:val="22"/>
                <w:szCs w:val="22"/>
                <w:lang w:val="hr-HR"/>
              </w:rPr>
            </w:pPr>
            <w:r w:rsidRPr="008E7A18">
              <w:rPr>
                <w:b/>
                <w:bCs/>
                <w:color w:val="000000"/>
                <w:sz w:val="22"/>
                <w:szCs w:val="22"/>
                <w:lang w:val="hr-HR"/>
              </w:rPr>
              <w:t>(MedDRA preporučeni pojam)</w:t>
            </w:r>
          </w:p>
          <w:p w14:paraId="508D7475" w14:textId="77777777" w:rsidR="008E7A18" w:rsidRPr="008E7A18" w:rsidRDefault="008E7A18" w:rsidP="008E7A18">
            <w:pPr>
              <w:tabs>
                <w:tab w:val="left" w:pos="284"/>
              </w:tabs>
              <w:spacing w:before="40" w:after="240"/>
              <w:rPr>
                <w:rFonts w:eastAsia="MS Mincho"/>
                <w:b/>
                <w:bCs/>
                <w:color w:val="000000"/>
                <w:sz w:val="22"/>
                <w:szCs w:val="22"/>
                <w:lang w:val="hr-HR"/>
              </w:rPr>
            </w:pPr>
            <w:r w:rsidRPr="008E7A18">
              <w:rPr>
                <w:b/>
                <w:bCs/>
                <w:color w:val="000000"/>
                <w:sz w:val="22"/>
                <w:szCs w:val="22"/>
                <w:lang w:val="hr-HR"/>
              </w:rPr>
              <w:t>Klasa sistema organa</w:t>
            </w:r>
          </w:p>
        </w:tc>
        <w:tc>
          <w:tcPr>
            <w:tcW w:w="2153" w:type="dxa"/>
          </w:tcPr>
          <w:p w14:paraId="5DB99FF8" w14:textId="77777777" w:rsidR="008E7A18" w:rsidRPr="008E7A18" w:rsidRDefault="008E7A18" w:rsidP="008E7A18">
            <w:pPr>
              <w:tabs>
                <w:tab w:val="left" w:pos="284"/>
              </w:tabs>
              <w:spacing w:before="40" w:after="240"/>
              <w:jc w:val="center"/>
              <w:rPr>
                <w:rFonts w:eastAsia="MS Mincho"/>
                <w:color w:val="000000"/>
                <w:sz w:val="22"/>
                <w:szCs w:val="22"/>
                <w:lang w:val="hr-HR"/>
              </w:rPr>
            </w:pPr>
            <w:r w:rsidRPr="008E7A18">
              <w:rPr>
                <w:rFonts w:eastAsia="MS Mincho"/>
                <w:color w:val="000000"/>
                <w:sz w:val="22"/>
                <w:szCs w:val="22"/>
                <w:lang w:val="hr-HR"/>
              </w:rPr>
              <w:t>Kategorija učestalosti</w:t>
            </w:r>
          </w:p>
        </w:tc>
        <w:tc>
          <w:tcPr>
            <w:tcW w:w="2310" w:type="dxa"/>
            <w:shd w:val="clear" w:color="auto" w:fill="auto"/>
          </w:tcPr>
          <w:p w14:paraId="353AC36A" w14:textId="77777777" w:rsidR="008E7A18" w:rsidRPr="008E7A18" w:rsidRDefault="008E7A18" w:rsidP="008E7A18">
            <w:pPr>
              <w:tabs>
                <w:tab w:val="left" w:pos="284"/>
              </w:tabs>
              <w:spacing w:before="40" w:after="240"/>
              <w:jc w:val="center"/>
              <w:rPr>
                <w:rFonts w:eastAsia="MS Mincho"/>
                <w:color w:val="000000"/>
                <w:sz w:val="22"/>
                <w:szCs w:val="22"/>
                <w:lang w:val="hr-HR"/>
              </w:rPr>
            </w:pPr>
            <w:r w:rsidRPr="008E7A18">
              <w:rPr>
                <w:rFonts w:eastAsia="MS Mincho"/>
                <w:color w:val="000000"/>
                <w:sz w:val="22"/>
                <w:szCs w:val="22"/>
                <w:lang w:val="hr-HR"/>
              </w:rPr>
              <w:t>Kategorija učestalosti</w:t>
            </w:r>
          </w:p>
        </w:tc>
        <w:tc>
          <w:tcPr>
            <w:tcW w:w="0" w:type="auto"/>
            <w:shd w:val="clear" w:color="auto" w:fill="auto"/>
          </w:tcPr>
          <w:p w14:paraId="2A677693" w14:textId="77777777" w:rsidR="008E7A18" w:rsidRPr="008E7A18" w:rsidRDefault="008E7A18" w:rsidP="008E7A18">
            <w:pPr>
              <w:tabs>
                <w:tab w:val="left" w:pos="284"/>
              </w:tabs>
              <w:spacing w:before="40" w:after="240"/>
              <w:jc w:val="center"/>
              <w:rPr>
                <w:rFonts w:eastAsia="MS Mincho"/>
                <w:color w:val="000000"/>
                <w:sz w:val="22"/>
                <w:szCs w:val="22"/>
                <w:lang w:val="hr-HR"/>
              </w:rPr>
            </w:pPr>
            <w:r w:rsidRPr="008E7A18">
              <w:rPr>
                <w:rFonts w:eastAsia="MS Mincho"/>
                <w:color w:val="000000"/>
                <w:sz w:val="22"/>
                <w:szCs w:val="22"/>
                <w:lang w:val="hr-HR"/>
              </w:rPr>
              <w:t>Kategorija učestalosti</w:t>
            </w:r>
          </w:p>
        </w:tc>
      </w:tr>
      <w:tr w:rsidR="008E7A18" w:rsidRPr="008E7A18" w14:paraId="20E4583D" w14:textId="77777777" w:rsidTr="008E7A18">
        <w:tc>
          <w:tcPr>
            <w:tcW w:w="3544" w:type="dxa"/>
            <w:shd w:val="clear" w:color="auto" w:fill="auto"/>
          </w:tcPr>
          <w:p w14:paraId="5BB81CBD" w14:textId="77777777" w:rsidR="008E7A18" w:rsidRPr="008E7A18" w:rsidRDefault="008E7A18" w:rsidP="008E7A18">
            <w:pPr>
              <w:tabs>
                <w:tab w:val="left" w:pos="284"/>
              </w:tabs>
              <w:spacing w:before="40"/>
              <w:jc w:val="both"/>
              <w:rPr>
                <w:b/>
                <w:color w:val="000000"/>
                <w:sz w:val="22"/>
                <w:szCs w:val="22"/>
                <w:lang w:val="hr-HR" w:eastAsia="de-DE"/>
              </w:rPr>
            </w:pPr>
            <w:r w:rsidRPr="008E7A18">
              <w:rPr>
                <w:b/>
                <w:color w:val="000000"/>
                <w:sz w:val="22"/>
                <w:szCs w:val="22"/>
                <w:lang w:val="hr-HR" w:eastAsia="de-DE"/>
              </w:rPr>
              <w:t>Poremećaji krvi i limfnog</w:t>
            </w:r>
          </w:p>
          <w:p w14:paraId="4133567A" w14:textId="77777777" w:rsidR="008E7A18" w:rsidRPr="008E7A18" w:rsidRDefault="008E7A18" w:rsidP="008E7A18">
            <w:pPr>
              <w:tabs>
                <w:tab w:val="left" w:pos="284"/>
              </w:tabs>
              <w:spacing w:before="40"/>
              <w:rPr>
                <w:rFonts w:eastAsia="MS Mincho"/>
                <w:color w:val="000000"/>
                <w:sz w:val="22"/>
                <w:szCs w:val="22"/>
                <w:lang w:val="hr-HR"/>
              </w:rPr>
            </w:pPr>
            <w:r w:rsidRPr="008E7A18">
              <w:rPr>
                <w:b/>
                <w:color w:val="000000"/>
                <w:sz w:val="22"/>
                <w:szCs w:val="22"/>
                <w:lang w:val="hr-HR" w:eastAsia="de-DE"/>
              </w:rPr>
              <w:t>sistema</w:t>
            </w:r>
          </w:p>
        </w:tc>
        <w:tc>
          <w:tcPr>
            <w:tcW w:w="2153" w:type="dxa"/>
          </w:tcPr>
          <w:p w14:paraId="69895BA9" w14:textId="77777777" w:rsidR="008E7A18" w:rsidRPr="008E7A18" w:rsidRDefault="008E7A18" w:rsidP="008E7A18">
            <w:pPr>
              <w:tabs>
                <w:tab w:val="left" w:pos="284"/>
              </w:tabs>
              <w:spacing w:before="40" w:after="240"/>
              <w:ind w:right="1489"/>
              <w:jc w:val="both"/>
              <w:rPr>
                <w:rFonts w:eastAsia="MS Mincho"/>
                <w:color w:val="000000"/>
                <w:sz w:val="22"/>
                <w:szCs w:val="22"/>
                <w:lang w:val="hr-HR"/>
              </w:rPr>
            </w:pPr>
          </w:p>
        </w:tc>
        <w:tc>
          <w:tcPr>
            <w:tcW w:w="2310" w:type="dxa"/>
            <w:shd w:val="clear" w:color="auto" w:fill="auto"/>
          </w:tcPr>
          <w:p w14:paraId="558E5E53"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0" w:type="auto"/>
            <w:shd w:val="clear" w:color="auto" w:fill="auto"/>
          </w:tcPr>
          <w:p w14:paraId="51C580A0"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429ACE1F" w14:textId="77777777" w:rsidTr="008E7A18">
        <w:tc>
          <w:tcPr>
            <w:tcW w:w="3544" w:type="dxa"/>
            <w:shd w:val="clear" w:color="auto" w:fill="auto"/>
          </w:tcPr>
          <w:p w14:paraId="7319D507"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Neutropenija</w:t>
            </w:r>
          </w:p>
        </w:tc>
        <w:tc>
          <w:tcPr>
            <w:tcW w:w="2153" w:type="dxa"/>
          </w:tcPr>
          <w:p w14:paraId="410E6893"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60CEB321"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74BAF01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58D432B6" w14:textId="77777777" w:rsidTr="008E7A18">
        <w:tc>
          <w:tcPr>
            <w:tcW w:w="3544" w:type="dxa"/>
            <w:shd w:val="clear" w:color="auto" w:fill="auto"/>
          </w:tcPr>
          <w:p w14:paraId="47E254A7"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Anemija</w:t>
            </w:r>
          </w:p>
        </w:tc>
        <w:tc>
          <w:tcPr>
            <w:tcW w:w="2153" w:type="dxa"/>
          </w:tcPr>
          <w:p w14:paraId="50D658E4"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4A1D14F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58B953E4"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18A08785" w14:textId="77777777" w:rsidTr="008E7A18">
        <w:tc>
          <w:tcPr>
            <w:tcW w:w="3544" w:type="dxa"/>
            <w:shd w:val="clear" w:color="auto" w:fill="auto"/>
          </w:tcPr>
          <w:p w14:paraId="5FAA44A2" w14:textId="77777777" w:rsidR="008E7A18" w:rsidRPr="008E7A18" w:rsidRDefault="008E7A18" w:rsidP="008E7A18">
            <w:pPr>
              <w:tabs>
                <w:tab w:val="left" w:pos="284"/>
              </w:tabs>
              <w:spacing w:before="40" w:after="240"/>
              <w:rPr>
                <w:rFonts w:eastAsia="MS Mincho"/>
                <w:color w:val="000000"/>
                <w:sz w:val="22"/>
                <w:szCs w:val="22"/>
                <w:vertAlign w:val="superscript"/>
                <w:lang w:val="hr-HR"/>
              </w:rPr>
            </w:pPr>
            <w:r w:rsidRPr="008E7A18">
              <w:rPr>
                <w:color w:val="000000"/>
                <w:sz w:val="22"/>
                <w:szCs w:val="22"/>
                <w:lang w:val="hr-HR"/>
              </w:rPr>
              <w:t>Febrilna neutropenija</w:t>
            </w:r>
            <w:r w:rsidRPr="008E7A18">
              <w:rPr>
                <w:color w:val="000000"/>
                <w:sz w:val="22"/>
                <w:szCs w:val="22"/>
                <w:vertAlign w:val="superscript"/>
                <w:lang w:val="hr-HR"/>
              </w:rPr>
              <w:t>*</w:t>
            </w:r>
          </w:p>
        </w:tc>
        <w:tc>
          <w:tcPr>
            <w:tcW w:w="2153" w:type="dxa"/>
          </w:tcPr>
          <w:p w14:paraId="2217F6DC"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0C662101"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450CD6FD"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nije poznato</w:t>
            </w:r>
          </w:p>
        </w:tc>
      </w:tr>
      <w:tr w:rsidR="008E7A18" w:rsidRPr="008E7A18" w14:paraId="407F338D" w14:textId="77777777" w:rsidTr="008E7A18">
        <w:tc>
          <w:tcPr>
            <w:tcW w:w="3544" w:type="dxa"/>
            <w:shd w:val="clear" w:color="auto" w:fill="auto"/>
          </w:tcPr>
          <w:p w14:paraId="617BCA76"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Leukopenija</w:t>
            </w:r>
          </w:p>
        </w:tc>
        <w:tc>
          <w:tcPr>
            <w:tcW w:w="2153" w:type="dxa"/>
          </w:tcPr>
          <w:p w14:paraId="65130634"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25E1E3F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65F343D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DE70FE7" w14:textId="77777777" w:rsidTr="008E7A18">
        <w:tc>
          <w:tcPr>
            <w:tcW w:w="3544" w:type="dxa"/>
            <w:shd w:val="clear" w:color="auto" w:fill="auto"/>
          </w:tcPr>
          <w:p w14:paraId="6AE97FE3"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b/>
                <w:color w:val="000000"/>
                <w:sz w:val="22"/>
                <w:szCs w:val="22"/>
                <w:lang w:val="hr-HR" w:eastAsia="de-DE"/>
              </w:rPr>
              <w:t>Srčani poremećaji</w:t>
            </w:r>
          </w:p>
        </w:tc>
        <w:tc>
          <w:tcPr>
            <w:tcW w:w="2153" w:type="dxa"/>
          </w:tcPr>
          <w:p w14:paraId="1ADC153D"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08277CB0"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140E18B6" w14:textId="77777777" w:rsidTr="008E7A18">
        <w:tc>
          <w:tcPr>
            <w:tcW w:w="3544" w:type="dxa"/>
            <w:shd w:val="clear" w:color="auto" w:fill="auto"/>
          </w:tcPr>
          <w:p w14:paraId="5459F1F3" w14:textId="77777777" w:rsidR="008E7A18" w:rsidRPr="008E7A18" w:rsidRDefault="008E7A18" w:rsidP="008E7A18">
            <w:pPr>
              <w:tabs>
                <w:tab w:val="left" w:pos="284"/>
              </w:tabs>
              <w:spacing w:before="40" w:after="240"/>
              <w:jc w:val="both"/>
              <w:rPr>
                <w:rFonts w:eastAsia="MS Mincho"/>
                <w:color w:val="000000"/>
                <w:sz w:val="22"/>
                <w:szCs w:val="22"/>
                <w:vertAlign w:val="superscript"/>
                <w:lang w:val="hr-HR"/>
              </w:rPr>
            </w:pPr>
            <w:r w:rsidRPr="008E7A18">
              <w:rPr>
                <w:color w:val="000000"/>
                <w:sz w:val="22"/>
                <w:szCs w:val="22"/>
                <w:lang w:val="hr-HR"/>
              </w:rPr>
              <w:t>Disfunkcija l</w:t>
            </w:r>
            <w:r w:rsidR="00563BCD">
              <w:rPr>
                <w:color w:val="000000"/>
                <w:sz w:val="22"/>
                <w:szCs w:val="22"/>
                <w:lang w:val="hr-HR"/>
              </w:rPr>
              <w:t>ij</w:t>
            </w:r>
            <w:r w:rsidRPr="008E7A18">
              <w:rPr>
                <w:color w:val="000000"/>
                <w:sz w:val="22"/>
                <w:szCs w:val="22"/>
                <w:lang w:val="hr-HR"/>
              </w:rPr>
              <w:t>eve komore**</w:t>
            </w:r>
          </w:p>
        </w:tc>
        <w:tc>
          <w:tcPr>
            <w:tcW w:w="2153" w:type="dxa"/>
          </w:tcPr>
          <w:p w14:paraId="19A3D9D0"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često</w:t>
            </w:r>
          </w:p>
        </w:tc>
        <w:tc>
          <w:tcPr>
            <w:tcW w:w="2310" w:type="dxa"/>
            <w:shd w:val="clear" w:color="auto" w:fill="auto"/>
          </w:tcPr>
          <w:p w14:paraId="3DE7AE9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povremeno</w:t>
            </w:r>
          </w:p>
        </w:tc>
        <w:tc>
          <w:tcPr>
            <w:tcW w:w="0" w:type="auto"/>
            <w:shd w:val="clear" w:color="auto" w:fill="auto"/>
          </w:tcPr>
          <w:p w14:paraId="7C20DEBE"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r>
      <w:tr w:rsidR="008E7A18" w:rsidRPr="008E7A18" w14:paraId="02986C7F" w14:textId="77777777" w:rsidTr="008E7A18">
        <w:tc>
          <w:tcPr>
            <w:tcW w:w="3544" w:type="dxa"/>
            <w:shd w:val="clear" w:color="auto" w:fill="auto"/>
          </w:tcPr>
          <w:p w14:paraId="7BD6B0FD"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sr-Latn-RS"/>
              </w:rPr>
              <w:t>Kongestivna insuficijencija srca</w:t>
            </w:r>
            <w:r w:rsidRPr="008E7A18">
              <w:rPr>
                <w:color w:val="000000"/>
                <w:sz w:val="22"/>
                <w:szCs w:val="22"/>
                <w:lang w:val="hr-HR"/>
              </w:rPr>
              <w:t xml:space="preserve"> ** </w:t>
            </w:r>
          </w:p>
        </w:tc>
        <w:tc>
          <w:tcPr>
            <w:tcW w:w="2153" w:type="dxa"/>
          </w:tcPr>
          <w:p w14:paraId="7650E6EC"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često</w:t>
            </w:r>
          </w:p>
        </w:tc>
        <w:tc>
          <w:tcPr>
            <w:tcW w:w="2310" w:type="dxa"/>
            <w:shd w:val="clear" w:color="auto" w:fill="auto"/>
          </w:tcPr>
          <w:p w14:paraId="18B7E63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povremeno</w:t>
            </w:r>
          </w:p>
        </w:tc>
        <w:tc>
          <w:tcPr>
            <w:tcW w:w="0" w:type="auto"/>
            <w:shd w:val="clear" w:color="auto" w:fill="auto"/>
          </w:tcPr>
          <w:p w14:paraId="6208B1C3"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1ADBC226" w14:textId="77777777" w:rsidTr="008E7A18">
        <w:tc>
          <w:tcPr>
            <w:tcW w:w="3544" w:type="dxa"/>
            <w:shd w:val="clear" w:color="auto" w:fill="auto"/>
          </w:tcPr>
          <w:p w14:paraId="2C86F1C5" w14:textId="77777777" w:rsidR="008E7A18" w:rsidRPr="008E7A18" w:rsidRDefault="008E7A18" w:rsidP="008E7A18">
            <w:pPr>
              <w:tabs>
                <w:tab w:val="left" w:pos="284"/>
              </w:tabs>
              <w:spacing w:before="40" w:after="240"/>
              <w:rPr>
                <w:color w:val="000000"/>
                <w:sz w:val="22"/>
                <w:szCs w:val="22"/>
                <w:lang w:val="hr-HR"/>
              </w:rPr>
            </w:pPr>
            <w:r w:rsidRPr="008E7A18">
              <w:rPr>
                <w:b/>
                <w:color w:val="000000"/>
                <w:sz w:val="22"/>
                <w:szCs w:val="22"/>
                <w:lang w:val="hr-HR"/>
              </w:rPr>
              <w:t>Poremećaji oka</w:t>
            </w:r>
          </w:p>
        </w:tc>
        <w:tc>
          <w:tcPr>
            <w:tcW w:w="2153" w:type="dxa"/>
          </w:tcPr>
          <w:p w14:paraId="4FF5DDCC"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264AB3AD"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0448CB3F" w14:textId="77777777" w:rsidTr="008E7A18">
        <w:tc>
          <w:tcPr>
            <w:tcW w:w="3544" w:type="dxa"/>
            <w:shd w:val="clear" w:color="auto" w:fill="auto"/>
          </w:tcPr>
          <w:p w14:paraId="7BB3FE86" w14:textId="77777777" w:rsidR="008E7A18" w:rsidRPr="008E7A18" w:rsidRDefault="008E7A18" w:rsidP="008E7A18">
            <w:pPr>
              <w:tabs>
                <w:tab w:val="left" w:pos="284"/>
              </w:tabs>
              <w:spacing w:before="40" w:after="240"/>
              <w:rPr>
                <w:color w:val="000000"/>
                <w:sz w:val="22"/>
                <w:szCs w:val="22"/>
                <w:lang w:val="hr-HR"/>
              </w:rPr>
            </w:pPr>
            <w:r w:rsidRPr="008E7A18">
              <w:rPr>
                <w:color w:val="000000"/>
                <w:sz w:val="22"/>
                <w:szCs w:val="22"/>
                <w:lang w:val="hr-HR"/>
              </w:rPr>
              <w:t>Pojačano suzenje</w:t>
            </w:r>
          </w:p>
        </w:tc>
        <w:tc>
          <w:tcPr>
            <w:tcW w:w="2153" w:type="dxa"/>
          </w:tcPr>
          <w:p w14:paraId="433848E6"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615180E3"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0ECA5C6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r>
      <w:tr w:rsidR="008E7A18" w:rsidRPr="008E7A18" w14:paraId="0100E26E" w14:textId="77777777" w:rsidTr="008E7A18">
        <w:tc>
          <w:tcPr>
            <w:tcW w:w="3544" w:type="dxa"/>
            <w:shd w:val="clear" w:color="auto" w:fill="auto"/>
          </w:tcPr>
          <w:p w14:paraId="77A9D6D9" w14:textId="77777777" w:rsidR="008E7A18" w:rsidRPr="008E7A18" w:rsidRDefault="008E7A18" w:rsidP="008E7A18">
            <w:pPr>
              <w:tabs>
                <w:tab w:val="left" w:pos="284"/>
              </w:tabs>
              <w:spacing w:before="40" w:after="240"/>
              <w:rPr>
                <w:b/>
                <w:color w:val="000000"/>
                <w:sz w:val="22"/>
                <w:szCs w:val="22"/>
                <w:lang w:val="sr-Latn-RS" w:eastAsia="de-DE"/>
              </w:rPr>
            </w:pPr>
            <w:r w:rsidRPr="008E7A18">
              <w:rPr>
                <w:b/>
                <w:color w:val="000000"/>
                <w:sz w:val="22"/>
                <w:szCs w:val="22"/>
                <w:lang w:val="hr-HR"/>
              </w:rPr>
              <w:t>Gastrointestinalni poremećaji</w:t>
            </w:r>
          </w:p>
        </w:tc>
        <w:tc>
          <w:tcPr>
            <w:tcW w:w="2153" w:type="dxa"/>
          </w:tcPr>
          <w:p w14:paraId="49A42E0E" w14:textId="77777777" w:rsidR="008E7A18" w:rsidRPr="008E7A18" w:rsidRDefault="008E7A18" w:rsidP="008E7A18">
            <w:pPr>
              <w:tabs>
                <w:tab w:val="left" w:pos="284"/>
              </w:tabs>
              <w:spacing w:before="40" w:after="240"/>
              <w:jc w:val="both"/>
              <w:rPr>
                <w:color w:val="000000"/>
                <w:sz w:val="22"/>
                <w:szCs w:val="22"/>
                <w:lang w:val="hr-HR" w:eastAsia="de-DE"/>
              </w:rPr>
            </w:pPr>
          </w:p>
        </w:tc>
        <w:tc>
          <w:tcPr>
            <w:tcW w:w="4504" w:type="dxa"/>
            <w:gridSpan w:val="2"/>
            <w:shd w:val="clear" w:color="auto" w:fill="auto"/>
          </w:tcPr>
          <w:p w14:paraId="3A87A63A" w14:textId="77777777" w:rsidR="008E7A18" w:rsidRPr="008E7A18" w:rsidRDefault="008E7A18" w:rsidP="008E7A18">
            <w:pPr>
              <w:tabs>
                <w:tab w:val="left" w:pos="284"/>
              </w:tabs>
              <w:spacing w:before="40" w:after="240"/>
              <w:jc w:val="both"/>
              <w:rPr>
                <w:color w:val="000000"/>
                <w:sz w:val="22"/>
                <w:szCs w:val="22"/>
                <w:lang w:val="hr-HR" w:eastAsia="de-DE"/>
              </w:rPr>
            </w:pPr>
          </w:p>
        </w:tc>
      </w:tr>
      <w:tr w:rsidR="008E7A18" w:rsidRPr="008E7A18" w14:paraId="0BC2FFFC" w14:textId="77777777" w:rsidTr="008E7A18">
        <w:tc>
          <w:tcPr>
            <w:tcW w:w="3544" w:type="dxa"/>
            <w:shd w:val="clear" w:color="auto" w:fill="auto"/>
          </w:tcPr>
          <w:p w14:paraId="19FB43E5" w14:textId="77777777" w:rsidR="008E7A18" w:rsidRPr="008E7A18" w:rsidRDefault="008E7A18" w:rsidP="008E7A18">
            <w:pPr>
              <w:tabs>
                <w:tab w:val="left" w:pos="284"/>
              </w:tabs>
              <w:spacing w:before="40" w:after="240"/>
              <w:rPr>
                <w:color w:val="000000"/>
                <w:sz w:val="22"/>
                <w:szCs w:val="22"/>
                <w:lang w:val="hr-HR"/>
              </w:rPr>
            </w:pPr>
            <w:r w:rsidRPr="008E7A18">
              <w:rPr>
                <w:color w:val="000000"/>
                <w:sz w:val="22"/>
                <w:szCs w:val="22"/>
                <w:lang w:val="hr-HR" w:eastAsia="de-DE"/>
              </w:rPr>
              <w:t>Dijareja</w:t>
            </w:r>
          </w:p>
        </w:tc>
        <w:tc>
          <w:tcPr>
            <w:tcW w:w="2153" w:type="dxa"/>
          </w:tcPr>
          <w:p w14:paraId="576868EE"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5B8E556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7E6F37F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r>
      <w:tr w:rsidR="008E7A18" w:rsidRPr="008E7A18" w14:paraId="65C6DC32" w14:textId="77777777" w:rsidTr="008E7A18">
        <w:tc>
          <w:tcPr>
            <w:tcW w:w="3544" w:type="dxa"/>
            <w:shd w:val="clear" w:color="auto" w:fill="auto"/>
          </w:tcPr>
          <w:p w14:paraId="52E326C2" w14:textId="77777777" w:rsidR="008E7A18" w:rsidRPr="008E7A18" w:rsidRDefault="008E7A18" w:rsidP="008E7A18">
            <w:pPr>
              <w:tabs>
                <w:tab w:val="left" w:pos="284"/>
              </w:tabs>
              <w:spacing w:before="40" w:after="240"/>
              <w:rPr>
                <w:color w:val="000000"/>
                <w:sz w:val="22"/>
                <w:szCs w:val="22"/>
                <w:lang w:val="hr-HR"/>
              </w:rPr>
            </w:pPr>
            <w:r w:rsidRPr="008E7A18">
              <w:rPr>
                <w:color w:val="000000"/>
                <w:sz w:val="22"/>
                <w:szCs w:val="22"/>
                <w:lang w:val="hr-HR" w:eastAsia="de-DE"/>
              </w:rPr>
              <w:t xml:space="preserve">Mučnina </w:t>
            </w:r>
          </w:p>
        </w:tc>
        <w:tc>
          <w:tcPr>
            <w:tcW w:w="2153" w:type="dxa"/>
          </w:tcPr>
          <w:p w14:paraId="6F52D3DD"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5796BAF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4C90B043"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42422294" w14:textId="77777777" w:rsidTr="008E7A18">
        <w:tc>
          <w:tcPr>
            <w:tcW w:w="3544" w:type="dxa"/>
            <w:shd w:val="clear" w:color="auto" w:fill="auto"/>
          </w:tcPr>
          <w:p w14:paraId="18FA4C8C" w14:textId="77777777" w:rsidR="008E7A18" w:rsidRPr="008E7A18" w:rsidRDefault="008E7A18" w:rsidP="008E7A18">
            <w:pPr>
              <w:tabs>
                <w:tab w:val="left" w:pos="284"/>
              </w:tabs>
              <w:spacing w:before="40" w:after="240"/>
              <w:rPr>
                <w:color w:val="000000"/>
                <w:sz w:val="22"/>
                <w:szCs w:val="22"/>
                <w:lang w:val="hr-HR" w:eastAsia="de-DE"/>
              </w:rPr>
            </w:pPr>
            <w:r w:rsidRPr="008E7A18">
              <w:rPr>
                <w:color w:val="000000"/>
                <w:sz w:val="22"/>
                <w:szCs w:val="22"/>
                <w:lang w:val="hr-HR" w:eastAsia="de-DE"/>
              </w:rPr>
              <w:t xml:space="preserve">Povraćanje </w:t>
            </w:r>
          </w:p>
        </w:tc>
        <w:tc>
          <w:tcPr>
            <w:tcW w:w="2153" w:type="dxa"/>
          </w:tcPr>
          <w:p w14:paraId="55575D4A"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13A2D633"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69000EB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04A49941" w14:textId="77777777" w:rsidTr="008E7A18">
        <w:tc>
          <w:tcPr>
            <w:tcW w:w="3544" w:type="dxa"/>
            <w:shd w:val="clear" w:color="auto" w:fill="auto"/>
          </w:tcPr>
          <w:p w14:paraId="7E357143" w14:textId="77777777" w:rsidR="008E7A18" w:rsidRPr="008E7A18" w:rsidRDefault="008E7A18" w:rsidP="008E7A18">
            <w:pPr>
              <w:tabs>
                <w:tab w:val="left" w:pos="284"/>
              </w:tabs>
              <w:spacing w:before="40" w:after="240"/>
              <w:rPr>
                <w:rFonts w:eastAsia="MS Mincho"/>
                <w:b/>
                <w:bCs/>
                <w:color w:val="000000"/>
                <w:sz w:val="22"/>
                <w:szCs w:val="22"/>
                <w:lang w:val="hr-HR"/>
              </w:rPr>
            </w:pPr>
            <w:r w:rsidRPr="008E7A18">
              <w:rPr>
                <w:color w:val="000000"/>
                <w:sz w:val="22"/>
                <w:szCs w:val="22"/>
                <w:lang w:val="hr-HR" w:eastAsia="de-DE"/>
              </w:rPr>
              <w:lastRenderedPageBreak/>
              <w:t>Stomatitis</w:t>
            </w:r>
          </w:p>
        </w:tc>
        <w:tc>
          <w:tcPr>
            <w:tcW w:w="2153" w:type="dxa"/>
          </w:tcPr>
          <w:p w14:paraId="63470DF3"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37EF11C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698A95E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7A8DA1A4" w14:textId="77777777" w:rsidTr="008E7A18">
        <w:tc>
          <w:tcPr>
            <w:tcW w:w="3544" w:type="dxa"/>
            <w:shd w:val="clear" w:color="auto" w:fill="auto"/>
          </w:tcPr>
          <w:p w14:paraId="39981526" w14:textId="77777777" w:rsidR="008E7A18" w:rsidRPr="008E7A18" w:rsidRDefault="008E7A18" w:rsidP="008E7A18">
            <w:pPr>
              <w:tabs>
                <w:tab w:val="left" w:pos="284"/>
              </w:tabs>
              <w:spacing w:before="40" w:after="240"/>
              <w:rPr>
                <w:color w:val="000000"/>
                <w:sz w:val="22"/>
                <w:szCs w:val="22"/>
                <w:lang w:val="hr-HR" w:eastAsia="de-DE"/>
              </w:rPr>
            </w:pPr>
            <w:r w:rsidRPr="008E7A18">
              <w:rPr>
                <w:color w:val="000000"/>
                <w:sz w:val="22"/>
                <w:szCs w:val="22"/>
                <w:lang w:val="hr-HR" w:eastAsia="de-DE"/>
              </w:rPr>
              <w:t xml:space="preserve">Konstipacija </w:t>
            </w:r>
          </w:p>
        </w:tc>
        <w:tc>
          <w:tcPr>
            <w:tcW w:w="2153" w:type="dxa"/>
          </w:tcPr>
          <w:p w14:paraId="1A703809"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5E2273F4"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6AC74ACE"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2F199169" w14:textId="77777777" w:rsidTr="008E7A18">
        <w:tc>
          <w:tcPr>
            <w:tcW w:w="3544" w:type="dxa"/>
            <w:shd w:val="clear" w:color="auto" w:fill="auto"/>
          </w:tcPr>
          <w:p w14:paraId="267F047E" w14:textId="77777777" w:rsidR="008E7A18" w:rsidRPr="008E7A18" w:rsidRDefault="008E7A18" w:rsidP="008E7A18">
            <w:pPr>
              <w:tabs>
                <w:tab w:val="left" w:pos="284"/>
              </w:tabs>
              <w:spacing w:before="40" w:after="240"/>
              <w:rPr>
                <w:color w:val="000000"/>
                <w:sz w:val="22"/>
                <w:szCs w:val="22"/>
                <w:lang w:val="hr-HR" w:eastAsia="de-DE"/>
              </w:rPr>
            </w:pPr>
            <w:r w:rsidRPr="008E7A18">
              <w:rPr>
                <w:color w:val="000000"/>
                <w:sz w:val="22"/>
                <w:szCs w:val="22"/>
                <w:lang w:val="hr-HR" w:eastAsia="de-DE"/>
              </w:rPr>
              <w:t xml:space="preserve">Dispepsija </w:t>
            </w:r>
          </w:p>
        </w:tc>
        <w:tc>
          <w:tcPr>
            <w:tcW w:w="2153" w:type="dxa"/>
          </w:tcPr>
          <w:p w14:paraId="71DC2F9C"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271B6BB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61FFD84B"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5BE226C4" w14:textId="77777777" w:rsidTr="008E7A18">
        <w:tc>
          <w:tcPr>
            <w:tcW w:w="3544" w:type="dxa"/>
            <w:shd w:val="clear" w:color="auto" w:fill="auto"/>
          </w:tcPr>
          <w:p w14:paraId="02EC2CA9"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eastAsia="de-DE"/>
              </w:rPr>
              <w:t>Bol u abdomenu</w:t>
            </w:r>
          </w:p>
        </w:tc>
        <w:tc>
          <w:tcPr>
            <w:tcW w:w="2153" w:type="dxa"/>
          </w:tcPr>
          <w:p w14:paraId="3979F5C2"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16D5ED5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27FE251A"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140416E" w14:textId="77777777" w:rsidTr="008E7A18">
        <w:tc>
          <w:tcPr>
            <w:tcW w:w="3544" w:type="dxa"/>
            <w:shd w:val="clear" w:color="auto" w:fill="auto"/>
          </w:tcPr>
          <w:p w14:paraId="0DF6229E"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b/>
                <w:color w:val="000000"/>
                <w:sz w:val="22"/>
                <w:szCs w:val="22"/>
                <w:lang w:val="hr-HR" w:eastAsia="de-DE"/>
              </w:rPr>
              <w:t xml:space="preserve">Opšti </w:t>
            </w:r>
            <w:r w:rsidRPr="008E7A18">
              <w:rPr>
                <w:b/>
                <w:color w:val="000000"/>
                <w:sz w:val="22"/>
                <w:szCs w:val="22"/>
                <w:lang w:val="hr-HR"/>
              </w:rPr>
              <w:t>poremećaji i reakcije na m</w:t>
            </w:r>
            <w:r w:rsidR="00563BCD">
              <w:rPr>
                <w:b/>
                <w:color w:val="000000"/>
                <w:sz w:val="22"/>
                <w:szCs w:val="22"/>
                <w:lang w:val="hr-HR"/>
              </w:rPr>
              <w:t>j</w:t>
            </w:r>
            <w:r w:rsidRPr="008E7A18">
              <w:rPr>
                <w:b/>
                <w:color w:val="000000"/>
                <w:sz w:val="22"/>
                <w:szCs w:val="22"/>
                <w:lang w:val="hr-HR"/>
              </w:rPr>
              <w:t>estu prim</w:t>
            </w:r>
            <w:r>
              <w:rPr>
                <w:b/>
                <w:color w:val="000000"/>
                <w:sz w:val="22"/>
                <w:szCs w:val="22"/>
                <w:lang w:val="hr-HR"/>
              </w:rPr>
              <w:t>j</w:t>
            </w:r>
            <w:r w:rsidRPr="008E7A18">
              <w:rPr>
                <w:b/>
                <w:color w:val="000000"/>
                <w:sz w:val="22"/>
                <w:szCs w:val="22"/>
                <w:lang w:val="hr-HR"/>
              </w:rPr>
              <w:t>ene</w:t>
            </w:r>
            <w:r w:rsidRPr="008E7A18">
              <w:rPr>
                <w:b/>
                <w:color w:val="000000"/>
                <w:sz w:val="22"/>
                <w:szCs w:val="22"/>
                <w:lang w:val="hr-HR" w:eastAsia="de-DE"/>
              </w:rPr>
              <w:t xml:space="preserve"> </w:t>
            </w:r>
          </w:p>
        </w:tc>
        <w:tc>
          <w:tcPr>
            <w:tcW w:w="2153" w:type="dxa"/>
          </w:tcPr>
          <w:p w14:paraId="369AD314" w14:textId="77777777" w:rsidR="008E7A18" w:rsidRPr="008E7A18" w:rsidRDefault="008E7A18" w:rsidP="008E7A18">
            <w:pPr>
              <w:keepNext/>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6CA06B46" w14:textId="77777777" w:rsidR="008E7A18" w:rsidRPr="008E7A18" w:rsidRDefault="008E7A18" w:rsidP="008E7A18">
            <w:pPr>
              <w:keepNext/>
              <w:tabs>
                <w:tab w:val="left" w:pos="284"/>
              </w:tabs>
              <w:spacing w:before="40" w:after="240"/>
              <w:jc w:val="both"/>
              <w:rPr>
                <w:rFonts w:eastAsia="MS Mincho"/>
                <w:color w:val="000000"/>
                <w:sz w:val="22"/>
                <w:szCs w:val="22"/>
                <w:lang w:val="hr-HR"/>
              </w:rPr>
            </w:pPr>
          </w:p>
        </w:tc>
      </w:tr>
      <w:tr w:rsidR="008E7A18" w:rsidRPr="008E7A18" w14:paraId="75A0A3B9" w14:textId="77777777" w:rsidTr="008E7A18">
        <w:tc>
          <w:tcPr>
            <w:tcW w:w="3544" w:type="dxa"/>
            <w:shd w:val="clear" w:color="auto" w:fill="auto"/>
          </w:tcPr>
          <w:p w14:paraId="791B1377" w14:textId="77777777" w:rsidR="008E7A18" w:rsidRPr="008E7A18" w:rsidRDefault="008E7A18" w:rsidP="003C18F7">
            <w:pPr>
              <w:keepNext/>
              <w:tabs>
                <w:tab w:val="left" w:pos="284"/>
              </w:tabs>
              <w:spacing w:before="40" w:after="240"/>
              <w:rPr>
                <w:color w:val="000000"/>
                <w:sz w:val="22"/>
                <w:szCs w:val="22"/>
                <w:lang w:val="hr-HR" w:eastAsia="de-DE"/>
              </w:rPr>
            </w:pPr>
            <w:r w:rsidRPr="008E7A18">
              <w:rPr>
                <w:color w:val="000000"/>
                <w:sz w:val="22"/>
                <w:szCs w:val="22"/>
                <w:lang w:val="hr-HR" w:eastAsia="de-DE"/>
              </w:rPr>
              <w:t>Umor</w:t>
            </w:r>
          </w:p>
        </w:tc>
        <w:tc>
          <w:tcPr>
            <w:tcW w:w="2153" w:type="dxa"/>
          </w:tcPr>
          <w:p w14:paraId="1EC6BBC3" w14:textId="77777777" w:rsidR="008E7A18" w:rsidRPr="008E7A18" w:rsidRDefault="008E7A18" w:rsidP="008E7A18">
            <w:pPr>
              <w:keepNext/>
              <w:tabs>
                <w:tab w:val="left" w:pos="284"/>
              </w:tabs>
              <w:spacing w:before="40" w:after="240"/>
              <w:jc w:val="both"/>
              <w:rPr>
                <w:color w:val="000000"/>
                <w:sz w:val="22"/>
                <w:szCs w:val="22"/>
                <w:lang w:val="hr-HR"/>
              </w:rPr>
            </w:pPr>
            <w:r w:rsidRPr="008E7A18">
              <w:rPr>
                <w:color w:val="000000"/>
                <w:sz w:val="22"/>
                <w:szCs w:val="22"/>
                <w:lang w:val="hr-HR" w:eastAsia="de-DE"/>
              </w:rPr>
              <w:t>veoma često</w:t>
            </w:r>
          </w:p>
        </w:tc>
        <w:tc>
          <w:tcPr>
            <w:tcW w:w="2310" w:type="dxa"/>
            <w:shd w:val="clear" w:color="auto" w:fill="auto"/>
          </w:tcPr>
          <w:p w14:paraId="491DE14F"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color w:val="000000"/>
                <w:sz w:val="22"/>
                <w:szCs w:val="22"/>
                <w:lang w:val="hr-HR"/>
              </w:rPr>
              <w:t>veoma često</w:t>
            </w:r>
          </w:p>
        </w:tc>
        <w:tc>
          <w:tcPr>
            <w:tcW w:w="0" w:type="auto"/>
            <w:shd w:val="clear" w:color="auto" w:fill="auto"/>
          </w:tcPr>
          <w:p w14:paraId="1A5979C1"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267733E7" w14:textId="77777777" w:rsidTr="008E7A18">
        <w:tc>
          <w:tcPr>
            <w:tcW w:w="3544" w:type="dxa"/>
            <w:shd w:val="clear" w:color="auto" w:fill="auto"/>
          </w:tcPr>
          <w:p w14:paraId="2EB5DC68"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eastAsia="de-DE"/>
              </w:rPr>
              <w:t>Upala sluznice</w:t>
            </w:r>
          </w:p>
        </w:tc>
        <w:tc>
          <w:tcPr>
            <w:tcW w:w="2153" w:type="dxa"/>
          </w:tcPr>
          <w:p w14:paraId="11D54059"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3D12638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05804F84"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r>
      <w:tr w:rsidR="008E7A18" w:rsidRPr="008E7A18" w14:paraId="21B7CD03" w14:textId="77777777" w:rsidTr="008E7A18">
        <w:tc>
          <w:tcPr>
            <w:tcW w:w="3544" w:type="dxa"/>
            <w:shd w:val="clear" w:color="auto" w:fill="auto"/>
          </w:tcPr>
          <w:p w14:paraId="460EDA31" w14:textId="77777777" w:rsidR="008E7A18" w:rsidRPr="008E7A18" w:rsidRDefault="008E7A18" w:rsidP="003C18F7">
            <w:pPr>
              <w:tabs>
                <w:tab w:val="left" w:pos="284"/>
              </w:tabs>
              <w:spacing w:before="40" w:after="240"/>
              <w:rPr>
                <w:color w:val="000000"/>
                <w:sz w:val="22"/>
                <w:szCs w:val="22"/>
                <w:lang w:val="hr-HR" w:eastAsia="de-DE"/>
              </w:rPr>
            </w:pPr>
            <w:r w:rsidRPr="008E7A18">
              <w:rPr>
                <w:color w:val="000000"/>
                <w:sz w:val="22"/>
                <w:szCs w:val="22"/>
                <w:lang w:val="hr-HR" w:eastAsia="de-DE"/>
              </w:rPr>
              <w:t>Astenija</w:t>
            </w:r>
          </w:p>
        </w:tc>
        <w:tc>
          <w:tcPr>
            <w:tcW w:w="2153" w:type="dxa"/>
          </w:tcPr>
          <w:p w14:paraId="42D56942" w14:textId="77777777" w:rsidR="008E7A18" w:rsidRPr="008E7A18" w:rsidRDefault="008E7A18" w:rsidP="008E7A18">
            <w:pPr>
              <w:tabs>
                <w:tab w:val="left" w:pos="284"/>
                <w:tab w:val="left" w:pos="952"/>
              </w:tabs>
              <w:spacing w:before="40" w:after="240"/>
              <w:jc w:val="both"/>
              <w:rPr>
                <w:color w:val="000000"/>
                <w:sz w:val="22"/>
                <w:szCs w:val="22"/>
                <w:lang w:val="hr-HR"/>
              </w:rPr>
            </w:pPr>
            <w:r w:rsidRPr="008E7A18">
              <w:rPr>
                <w:color w:val="000000"/>
                <w:sz w:val="22"/>
                <w:szCs w:val="22"/>
                <w:lang w:val="hr-HR" w:eastAsia="de-DE"/>
              </w:rPr>
              <w:t>veoma često</w:t>
            </w:r>
          </w:p>
        </w:tc>
        <w:tc>
          <w:tcPr>
            <w:tcW w:w="2310" w:type="dxa"/>
            <w:shd w:val="clear" w:color="auto" w:fill="auto"/>
          </w:tcPr>
          <w:p w14:paraId="1033F28E"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rPr>
              <w:t>veoma često</w:t>
            </w:r>
          </w:p>
        </w:tc>
        <w:tc>
          <w:tcPr>
            <w:tcW w:w="0" w:type="auto"/>
            <w:shd w:val="clear" w:color="auto" w:fill="auto"/>
          </w:tcPr>
          <w:p w14:paraId="33ECE271"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r>
      <w:tr w:rsidR="008E7A18" w:rsidRPr="008E7A18" w14:paraId="258C2167" w14:textId="77777777" w:rsidTr="008E7A18">
        <w:tc>
          <w:tcPr>
            <w:tcW w:w="3544" w:type="dxa"/>
            <w:shd w:val="clear" w:color="auto" w:fill="auto"/>
          </w:tcPr>
          <w:p w14:paraId="2340BC44" w14:textId="77777777" w:rsidR="008E7A18" w:rsidRPr="008E7A18" w:rsidRDefault="008E7A18" w:rsidP="003C18F7">
            <w:pPr>
              <w:tabs>
                <w:tab w:val="left" w:pos="284"/>
              </w:tabs>
              <w:spacing w:before="40" w:after="240"/>
              <w:rPr>
                <w:color w:val="000000"/>
                <w:sz w:val="22"/>
                <w:szCs w:val="22"/>
                <w:lang w:val="hr-HR" w:eastAsia="de-DE"/>
              </w:rPr>
            </w:pPr>
            <w:r w:rsidRPr="008E7A18">
              <w:rPr>
                <w:color w:val="000000"/>
                <w:sz w:val="22"/>
                <w:szCs w:val="22"/>
                <w:lang w:val="hr-HR" w:eastAsia="de-DE"/>
              </w:rPr>
              <w:t xml:space="preserve">Pireksija </w:t>
            </w:r>
          </w:p>
        </w:tc>
        <w:tc>
          <w:tcPr>
            <w:tcW w:w="2153" w:type="dxa"/>
          </w:tcPr>
          <w:p w14:paraId="05833DD2"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16E74ED9"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42C89F18"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3A3C40B6" w14:textId="77777777" w:rsidTr="008E7A18">
        <w:tc>
          <w:tcPr>
            <w:tcW w:w="3544" w:type="dxa"/>
            <w:shd w:val="clear" w:color="auto" w:fill="auto"/>
          </w:tcPr>
          <w:p w14:paraId="0BEA436A" w14:textId="77777777" w:rsidR="008E7A18" w:rsidRPr="008E7A18" w:rsidRDefault="008E7A18" w:rsidP="003C18F7">
            <w:pPr>
              <w:tabs>
                <w:tab w:val="left" w:pos="284"/>
              </w:tabs>
              <w:spacing w:before="40" w:after="240"/>
              <w:rPr>
                <w:color w:val="000000"/>
                <w:sz w:val="22"/>
                <w:szCs w:val="22"/>
                <w:lang w:val="hr-HR" w:eastAsia="de-DE"/>
              </w:rPr>
            </w:pPr>
            <w:r w:rsidRPr="008E7A18">
              <w:rPr>
                <w:color w:val="000000"/>
                <w:sz w:val="22"/>
                <w:szCs w:val="22"/>
                <w:lang w:val="hr-HR" w:eastAsia="de-DE"/>
              </w:rPr>
              <w:t>Periferni edem</w:t>
            </w:r>
          </w:p>
        </w:tc>
        <w:tc>
          <w:tcPr>
            <w:tcW w:w="2153" w:type="dxa"/>
          </w:tcPr>
          <w:p w14:paraId="3528E890"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7D6EB8D8"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1BB6433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3FBBFEA6" w14:textId="77777777" w:rsidTr="008E7A18">
        <w:tc>
          <w:tcPr>
            <w:tcW w:w="3544" w:type="dxa"/>
            <w:shd w:val="clear" w:color="auto" w:fill="auto"/>
          </w:tcPr>
          <w:p w14:paraId="348B4967" w14:textId="77777777" w:rsidR="008E7A18" w:rsidRPr="008E7A18" w:rsidRDefault="008E7A18" w:rsidP="009B712A">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Reakcija na m</w:t>
            </w:r>
            <w:r w:rsidR="00563BCD">
              <w:rPr>
                <w:color w:val="000000"/>
                <w:sz w:val="22"/>
                <w:szCs w:val="22"/>
                <w:lang w:val="hr-HR" w:eastAsia="de-DE"/>
              </w:rPr>
              <w:t>j</w:t>
            </w:r>
            <w:r w:rsidRPr="008E7A18">
              <w:rPr>
                <w:color w:val="000000"/>
                <w:sz w:val="22"/>
                <w:szCs w:val="22"/>
                <w:lang w:val="hr-HR" w:eastAsia="de-DE"/>
              </w:rPr>
              <w:t>estu prim</w:t>
            </w:r>
            <w:r w:rsidR="00563BCD">
              <w:rPr>
                <w:color w:val="000000"/>
                <w:sz w:val="22"/>
                <w:szCs w:val="22"/>
                <w:lang w:val="hr-HR" w:eastAsia="de-DE"/>
              </w:rPr>
              <w:t>j</w:t>
            </w:r>
            <w:r w:rsidRPr="008E7A18">
              <w:rPr>
                <w:color w:val="000000"/>
                <w:sz w:val="22"/>
                <w:szCs w:val="22"/>
                <w:lang w:val="hr-HR" w:eastAsia="de-DE"/>
              </w:rPr>
              <w:t>ene l</w:t>
            </w:r>
            <w:r w:rsidR="00563BCD">
              <w:rPr>
                <w:color w:val="000000"/>
                <w:sz w:val="22"/>
                <w:szCs w:val="22"/>
                <w:lang w:val="hr-HR" w:eastAsia="de-DE"/>
              </w:rPr>
              <w:t>ij</w:t>
            </w:r>
            <w:r w:rsidRPr="008E7A18">
              <w:rPr>
                <w:color w:val="000000"/>
                <w:sz w:val="22"/>
                <w:szCs w:val="22"/>
                <w:lang w:val="hr-HR" w:eastAsia="de-DE"/>
              </w:rPr>
              <w:t>eka</w:t>
            </w:r>
            <w:r w:rsidRPr="008E7A18">
              <w:rPr>
                <w:rFonts w:eastAsia="SimSun"/>
                <w:color w:val="000000"/>
                <w:sz w:val="22"/>
                <w:szCs w:val="22"/>
                <w:lang w:val="hr-HR"/>
              </w:rPr>
              <w:t>°°°</w:t>
            </w:r>
            <w:r w:rsidRPr="008E7A18">
              <w:rPr>
                <w:color w:val="000000"/>
                <w:sz w:val="22"/>
                <w:szCs w:val="22"/>
                <w:lang w:val="hr-HR" w:eastAsia="de-DE"/>
              </w:rPr>
              <w:t xml:space="preserve"> </w:t>
            </w:r>
          </w:p>
        </w:tc>
        <w:tc>
          <w:tcPr>
            <w:tcW w:w="2153" w:type="dxa"/>
          </w:tcPr>
          <w:p w14:paraId="5E8BD29A"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351B4426"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7212365A"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r>
      <w:tr w:rsidR="008E7A18" w:rsidRPr="008E7A18" w14:paraId="7B3444C3" w14:textId="77777777" w:rsidTr="008E7A18">
        <w:tc>
          <w:tcPr>
            <w:tcW w:w="3544" w:type="dxa"/>
            <w:shd w:val="clear" w:color="auto" w:fill="auto"/>
          </w:tcPr>
          <w:p w14:paraId="2A250C2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b/>
                <w:color w:val="000000"/>
                <w:sz w:val="22"/>
                <w:szCs w:val="22"/>
                <w:lang w:val="hr-HR"/>
              </w:rPr>
              <w:t>Poremećaji imunskog sistema</w:t>
            </w:r>
          </w:p>
        </w:tc>
        <w:tc>
          <w:tcPr>
            <w:tcW w:w="2153" w:type="dxa"/>
          </w:tcPr>
          <w:p w14:paraId="6A4F486B"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7E9A296D"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6CA8038C" w14:textId="77777777" w:rsidTr="008E7A18">
        <w:tc>
          <w:tcPr>
            <w:tcW w:w="3544" w:type="dxa"/>
            <w:shd w:val="clear" w:color="auto" w:fill="auto"/>
          </w:tcPr>
          <w:p w14:paraId="1F3EEAF2" w14:textId="77777777" w:rsidR="008E7A18" w:rsidRPr="008E7A18" w:rsidRDefault="008E7A18" w:rsidP="008E7A18">
            <w:pPr>
              <w:tabs>
                <w:tab w:val="left" w:pos="284"/>
              </w:tabs>
              <w:spacing w:before="40" w:after="240"/>
              <w:rPr>
                <w:rFonts w:eastAsia="MS Mincho"/>
                <w:color w:val="000000"/>
                <w:sz w:val="22"/>
                <w:szCs w:val="22"/>
                <w:vertAlign w:val="superscript"/>
                <w:lang w:val="hr-HR"/>
              </w:rPr>
            </w:pPr>
            <w:r w:rsidRPr="008E7A18">
              <w:rPr>
                <w:color w:val="000000"/>
                <w:sz w:val="22"/>
                <w:szCs w:val="22"/>
                <w:lang w:val="hr-HR" w:eastAsia="de-DE"/>
              </w:rPr>
              <w:t>Preos</w:t>
            </w:r>
            <w:r w:rsidR="00563BCD">
              <w:rPr>
                <w:color w:val="000000"/>
                <w:sz w:val="22"/>
                <w:szCs w:val="22"/>
                <w:lang w:val="hr-HR" w:eastAsia="de-DE"/>
              </w:rPr>
              <w:t>j</w:t>
            </w:r>
            <w:r w:rsidRPr="008E7A18">
              <w:rPr>
                <w:color w:val="000000"/>
                <w:sz w:val="22"/>
                <w:szCs w:val="22"/>
                <w:lang w:val="hr-HR" w:eastAsia="de-DE"/>
              </w:rPr>
              <w:t>etljivost</w:t>
            </w:r>
            <w:r w:rsidRPr="008E7A18">
              <w:rPr>
                <w:color w:val="000000"/>
                <w:sz w:val="22"/>
                <w:szCs w:val="22"/>
                <w:vertAlign w:val="superscript"/>
                <w:lang w:val="hr-HR" w:eastAsia="de-DE"/>
              </w:rPr>
              <w:t>*</w:t>
            </w:r>
            <w:r w:rsidRPr="008E7A18">
              <w:rPr>
                <w:rFonts w:eastAsia="SimSun"/>
                <w:color w:val="000000"/>
                <w:sz w:val="22"/>
                <w:szCs w:val="22"/>
                <w:lang w:val="hr-HR"/>
              </w:rPr>
              <w:t>°</w:t>
            </w:r>
          </w:p>
        </w:tc>
        <w:tc>
          <w:tcPr>
            <w:tcW w:w="2153" w:type="dxa"/>
          </w:tcPr>
          <w:p w14:paraId="4BC8145D"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2310" w:type="dxa"/>
            <w:shd w:val="clear" w:color="auto" w:fill="auto"/>
          </w:tcPr>
          <w:p w14:paraId="55C21471"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c>
          <w:tcPr>
            <w:tcW w:w="0" w:type="auto"/>
            <w:shd w:val="clear" w:color="auto" w:fill="auto"/>
          </w:tcPr>
          <w:p w14:paraId="11971908"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nije poznato</w:t>
            </w:r>
          </w:p>
        </w:tc>
      </w:tr>
      <w:tr w:rsidR="008E7A18" w:rsidRPr="008E7A18" w14:paraId="66EE73BC" w14:textId="77777777" w:rsidTr="008E7A18">
        <w:tc>
          <w:tcPr>
            <w:tcW w:w="3544" w:type="dxa"/>
            <w:shd w:val="clear" w:color="auto" w:fill="auto"/>
          </w:tcPr>
          <w:p w14:paraId="049D022E" w14:textId="77777777" w:rsidR="008E7A18" w:rsidRPr="008E7A18" w:rsidRDefault="008E7A18" w:rsidP="008E7A18">
            <w:pPr>
              <w:tabs>
                <w:tab w:val="left" w:pos="284"/>
              </w:tabs>
              <w:spacing w:before="40" w:after="240"/>
              <w:rPr>
                <w:rFonts w:eastAsia="MS Mincho"/>
                <w:color w:val="000000"/>
                <w:sz w:val="22"/>
                <w:szCs w:val="22"/>
                <w:vertAlign w:val="superscript"/>
                <w:lang w:val="hr-HR"/>
              </w:rPr>
            </w:pPr>
            <w:r w:rsidRPr="008E7A18">
              <w:rPr>
                <w:color w:val="000000"/>
                <w:sz w:val="22"/>
                <w:szCs w:val="22"/>
                <w:lang w:val="hr-HR" w:eastAsia="de-DE"/>
              </w:rPr>
              <w:t>Preos</w:t>
            </w:r>
            <w:r w:rsidR="00563BCD">
              <w:rPr>
                <w:color w:val="000000"/>
                <w:sz w:val="22"/>
                <w:szCs w:val="22"/>
                <w:lang w:val="hr-HR" w:eastAsia="de-DE"/>
              </w:rPr>
              <w:t>j</w:t>
            </w:r>
            <w:r w:rsidRPr="008E7A18">
              <w:rPr>
                <w:color w:val="000000"/>
                <w:sz w:val="22"/>
                <w:szCs w:val="22"/>
                <w:lang w:val="hr-HR" w:eastAsia="de-DE"/>
              </w:rPr>
              <w:t>etljivost na l</w:t>
            </w:r>
            <w:r w:rsidR="00563BCD">
              <w:rPr>
                <w:color w:val="000000"/>
                <w:sz w:val="22"/>
                <w:szCs w:val="22"/>
                <w:lang w:val="hr-HR" w:eastAsia="de-DE"/>
              </w:rPr>
              <w:t>ij</w:t>
            </w:r>
            <w:r w:rsidRPr="008E7A18">
              <w:rPr>
                <w:color w:val="000000"/>
                <w:sz w:val="22"/>
                <w:szCs w:val="22"/>
                <w:lang w:val="hr-HR" w:eastAsia="de-DE"/>
              </w:rPr>
              <w:t>ek</w:t>
            </w:r>
            <w:r w:rsidRPr="008E7A18">
              <w:rPr>
                <w:color w:val="000000"/>
                <w:sz w:val="22"/>
                <w:szCs w:val="22"/>
                <w:vertAlign w:val="superscript"/>
                <w:lang w:val="hr-HR" w:eastAsia="de-DE"/>
              </w:rPr>
              <w:t>*</w:t>
            </w:r>
            <w:r w:rsidRPr="008E7A18">
              <w:rPr>
                <w:rFonts w:eastAsia="SimSun"/>
                <w:color w:val="000000"/>
                <w:sz w:val="22"/>
                <w:szCs w:val="22"/>
                <w:lang w:val="hr-HR"/>
              </w:rPr>
              <w:t>°</w:t>
            </w:r>
          </w:p>
        </w:tc>
        <w:tc>
          <w:tcPr>
            <w:tcW w:w="2153" w:type="dxa"/>
          </w:tcPr>
          <w:p w14:paraId="16695CFB"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2310" w:type="dxa"/>
            <w:shd w:val="clear" w:color="auto" w:fill="auto"/>
          </w:tcPr>
          <w:p w14:paraId="6320BA7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c>
          <w:tcPr>
            <w:tcW w:w="0" w:type="auto"/>
            <w:shd w:val="clear" w:color="auto" w:fill="auto"/>
          </w:tcPr>
          <w:p w14:paraId="799F14D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r>
      <w:tr w:rsidR="008E7A18" w:rsidRPr="008E7A18" w14:paraId="7A91377F" w14:textId="77777777" w:rsidTr="008E7A18">
        <w:tc>
          <w:tcPr>
            <w:tcW w:w="3544" w:type="dxa"/>
            <w:shd w:val="clear" w:color="auto" w:fill="auto"/>
          </w:tcPr>
          <w:p w14:paraId="64DADD05" w14:textId="77777777" w:rsidR="008E7A18" w:rsidRPr="008E7A18" w:rsidRDefault="008E7A18" w:rsidP="008E7A18">
            <w:pPr>
              <w:tabs>
                <w:tab w:val="left" w:pos="284"/>
              </w:tabs>
              <w:spacing w:before="40" w:after="240"/>
              <w:rPr>
                <w:color w:val="000000"/>
                <w:sz w:val="22"/>
                <w:szCs w:val="22"/>
                <w:vertAlign w:val="superscript"/>
                <w:lang w:val="hr-HR" w:eastAsia="de-DE"/>
              </w:rPr>
            </w:pPr>
            <w:r w:rsidRPr="008E7A18">
              <w:rPr>
                <w:color w:val="000000"/>
                <w:sz w:val="22"/>
                <w:szCs w:val="22"/>
                <w:lang w:val="hr-HR" w:eastAsia="de-DE"/>
              </w:rPr>
              <w:t>Anafilaktička reakcija</w:t>
            </w:r>
            <w:r w:rsidRPr="008E7A18">
              <w:rPr>
                <w:color w:val="000000"/>
                <w:sz w:val="22"/>
                <w:szCs w:val="22"/>
                <w:vertAlign w:val="superscript"/>
                <w:lang w:val="hr-HR" w:eastAsia="de-DE"/>
              </w:rPr>
              <w:t>*</w:t>
            </w:r>
            <w:r w:rsidRPr="008E7A18">
              <w:rPr>
                <w:rFonts w:eastAsia="SimSun"/>
                <w:color w:val="000000"/>
                <w:sz w:val="22"/>
                <w:szCs w:val="22"/>
                <w:lang w:val="hr-HR"/>
              </w:rPr>
              <w:t>°</w:t>
            </w:r>
          </w:p>
        </w:tc>
        <w:tc>
          <w:tcPr>
            <w:tcW w:w="2153" w:type="dxa"/>
          </w:tcPr>
          <w:p w14:paraId="3B5DEDF8"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rFonts w:eastAsia="MS Mincho"/>
                <w:color w:val="000000"/>
                <w:sz w:val="22"/>
                <w:szCs w:val="22"/>
                <w:lang w:val="hr-HR"/>
              </w:rPr>
              <w:t>povremeno</w:t>
            </w:r>
          </w:p>
        </w:tc>
        <w:tc>
          <w:tcPr>
            <w:tcW w:w="2310" w:type="dxa"/>
            <w:shd w:val="clear" w:color="auto" w:fill="auto"/>
          </w:tcPr>
          <w:p w14:paraId="1D7F252D"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nije poznato</w:t>
            </w:r>
          </w:p>
        </w:tc>
        <w:tc>
          <w:tcPr>
            <w:tcW w:w="0" w:type="auto"/>
            <w:shd w:val="clear" w:color="auto" w:fill="auto"/>
          </w:tcPr>
          <w:p w14:paraId="31C2004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nije poznato</w:t>
            </w:r>
          </w:p>
        </w:tc>
      </w:tr>
      <w:tr w:rsidR="008E7A18" w:rsidRPr="008E7A18" w14:paraId="05203C09" w14:textId="77777777" w:rsidTr="008E7A18">
        <w:tc>
          <w:tcPr>
            <w:tcW w:w="3544" w:type="dxa"/>
            <w:shd w:val="clear" w:color="auto" w:fill="auto"/>
          </w:tcPr>
          <w:p w14:paraId="300AFA93" w14:textId="77777777" w:rsidR="008E7A18" w:rsidRPr="008E7A18" w:rsidRDefault="008E7A18" w:rsidP="008E7A18">
            <w:pPr>
              <w:tabs>
                <w:tab w:val="left" w:pos="284"/>
              </w:tabs>
              <w:spacing w:before="40" w:after="240"/>
              <w:rPr>
                <w:color w:val="000000"/>
                <w:sz w:val="22"/>
                <w:szCs w:val="22"/>
                <w:vertAlign w:val="superscript"/>
                <w:lang w:val="hr-HR" w:eastAsia="de-DE"/>
              </w:rPr>
            </w:pPr>
            <w:r w:rsidRPr="008E7A18">
              <w:rPr>
                <w:color w:val="000000"/>
                <w:sz w:val="22"/>
                <w:szCs w:val="22"/>
                <w:lang w:val="hr-HR" w:eastAsia="de-DE"/>
              </w:rPr>
              <w:t>Sindrom otpuštanja citokina</w:t>
            </w:r>
            <w:r w:rsidRPr="008E7A18">
              <w:rPr>
                <w:rFonts w:eastAsia="SimSun"/>
                <w:color w:val="000000"/>
                <w:sz w:val="22"/>
                <w:szCs w:val="22"/>
                <w:lang w:val="hr-HR"/>
              </w:rPr>
              <w:t>°</w:t>
            </w:r>
          </w:p>
        </w:tc>
        <w:tc>
          <w:tcPr>
            <w:tcW w:w="2153" w:type="dxa"/>
          </w:tcPr>
          <w:p w14:paraId="303BA18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r</w:t>
            </w:r>
            <w:r w:rsidR="00563BCD">
              <w:rPr>
                <w:rFonts w:eastAsia="MS Mincho"/>
                <w:color w:val="000000"/>
                <w:sz w:val="22"/>
                <w:szCs w:val="22"/>
                <w:lang w:val="hr-HR"/>
              </w:rPr>
              <w:t>ij</w:t>
            </w:r>
            <w:r w:rsidRPr="008E7A18">
              <w:rPr>
                <w:rFonts w:eastAsia="MS Mincho"/>
                <w:color w:val="000000"/>
                <w:sz w:val="22"/>
                <w:szCs w:val="22"/>
                <w:lang w:val="hr-HR"/>
              </w:rPr>
              <w:t>etko</w:t>
            </w:r>
          </w:p>
        </w:tc>
        <w:tc>
          <w:tcPr>
            <w:tcW w:w="2310" w:type="dxa"/>
            <w:shd w:val="clear" w:color="auto" w:fill="auto"/>
          </w:tcPr>
          <w:p w14:paraId="7AB1C1B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nije poznato</w:t>
            </w:r>
          </w:p>
        </w:tc>
        <w:tc>
          <w:tcPr>
            <w:tcW w:w="0" w:type="auto"/>
            <w:shd w:val="clear" w:color="auto" w:fill="auto"/>
          </w:tcPr>
          <w:p w14:paraId="1061705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nije poznato</w:t>
            </w:r>
          </w:p>
        </w:tc>
      </w:tr>
      <w:tr w:rsidR="008E7A18" w:rsidRPr="008E7A18" w14:paraId="1C537103" w14:textId="77777777" w:rsidTr="008E7A18">
        <w:tc>
          <w:tcPr>
            <w:tcW w:w="3544" w:type="dxa"/>
            <w:shd w:val="clear" w:color="auto" w:fill="auto"/>
          </w:tcPr>
          <w:p w14:paraId="40ABEB1A" w14:textId="77777777" w:rsidR="008E7A18" w:rsidRPr="008E7A18" w:rsidRDefault="008E7A18" w:rsidP="008E7A18">
            <w:pPr>
              <w:tabs>
                <w:tab w:val="left" w:pos="284"/>
              </w:tabs>
              <w:spacing w:before="40" w:after="240"/>
              <w:jc w:val="both"/>
              <w:rPr>
                <w:color w:val="000000"/>
                <w:sz w:val="22"/>
                <w:szCs w:val="22"/>
                <w:lang w:val="hr-HR"/>
              </w:rPr>
            </w:pPr>
            <w:r w:rsidRPr="008E7A18">
              <w:rPr>
                <w:b/>
                <w:color w:val="000000"/>
                <w:sz w:val="22"/>
                <w:szCs w:val="22"/>
                <w:lang w:val="hr-HR"/>
              </w:rPr>
              <w:t>Infekcije i infestacije</w:t>
            </w:r>
          </w:p>
        </w:tc>
        <w:tc>
          <w:tcPr>
            <w:tcW w:w="2153" w:type="dxa"/>
          </w:tcPr>
          <w:p w14:paraId="1E672960"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76AB150C"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6BEF0061" w14:textId="77777777" w:rsidTr="008E7A18">
        <w:tc>
          <w:tcPr>
            <w:tcW w:w="3544" w:type="dxa"/>
            <w:shd w:val="clear" w:color="auto" w:fill="auto"/>
          </w:tcPr>
          <w:p w14:paraId="4823391C"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rPr>
              <w:t>Nazofaringitis</w:t>
            </w:r>
          </w:p>
        </w:tc>
        <w:tc>
          <w:tcPr>
            <w:tcW w:w="2153" w:type="dxa"/>
          </w:tcPr>
          <w:p w14:paraId="0A52C9C8"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2513B2A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7FB8B46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25DDD3A" w14:textId="77777777" w:rsidTr="008E7A18">
        <w:tc>
          <w:tcPr>
            <w:tcW w:w="3544" w:type="dxa"/>
            <w:shd w:val="clear" w:color="auto" w:fill="auto"/>
          </w:tcPr>
          <w:p w14:paraId="4AEE8565" w14:textId="77777777" w:rsidR="008E7A18" w:rsidRPr="008E7A18" w:rsidRDefault="008E7A18" w:rsidP="009B712A">
            <w:pPr>
              <w:tabs>
                <w:tab w:val="left" w:pos="284"/>
              </w:tabs>
              <w:spacing w:before="40" w:after="240"/>
              <w:rPr>
                <w:rFonts w:eastAsia="MS Mincho"/>
                <w:color w:val="000000"/>
                <w:sz w:val="22"/>
                <w:szCs w:val="22"/>
                <w:lang w:val="hr-HR"/>
              </w:rPr>
            </w:pPr>
            <w:r w:rsidRPr="008E7A18">
              <w:rPr>
                <w:color w:val="000000"/>
                <w:sz w:val="22"/>
                <w:szCs w:val="22"/>
                <w:lang w:val="hr-HR"/>
              </w:rPr>
              <w:t>Infekcija gornjeg respiratornog trakta</w:t>
            </w:r>
          </w:p>
        </w:tc>
        <w:tc>
          <w:tcPr>
            <w:tcW w:w="2153" w:type="dxa"/>
          </w:tcPr>
          <w:p w14:paraId="3B804CC8"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često</w:t>
            </w:r>
          </w:p>
        </w:tc>
        <w:tc>
          <w:tcPr>
            <w:tcW w:w="2310" w:type="dxa"/>
            <w:shd w:val="clear" w:color="auto" w:fill="auto"/>
          </w:tcPr>
          <w:p w14:paraId="440E6D5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7886B1BF"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210EFBB8" w14:textId="77777777" w:rsidTr="008E7A18">
        <w:tc>
          <w:tcPr>
            <w:tcW w:w="3544" w:type="dxa"/>
            <w:shd w:val="clear" w:color="auto" w:fill="auto"/>
          </w:tcPr>
          <w:p w14:paraId="45FCE930"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rPr>
              <w:t>Paronihija</w:t>
            </w:r>
          </w:p>
        </w:tc>
        <w:tc>
          <w:tcPr>
            <w:tcW w:w="2153" w:type="dxa"/>
          </w:tcPr>
          <w:p w14:paraId="128ABE97"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često</w:t>
            </w:r>
          </w:p>
        </w:tc>
        <w:tc>
          <w:tcPr>
            <w:tcW w:w="2310" w:type="dxa"/>
            <w:shd w:val="clear" w:color="auto" w:fill="auto"/>
          </w:tcPr>
          <w:p w14:paraId="6FBE6CC3"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775F60B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3234E0BF" w14:textId="77777777" w:rsidTr="008E7A18">
        <w:tc>
          <w:tcPr>
            <w:tcW w:w="3544" w:type="dxa"/>
            <w:shd w:val="clear" w:color="auto" w:fill="auto"/>
          </w:tcPr>
          <w:p w14:paraId="56DB7937" w14:textId="77777777" w:rsidR="008E7A18" w:rsidRPr="008E7A18" w:rsidRDefault="008E7A18" w:rsidP="009B712A">
            <w:pPr>
              <w:tabs>
                <w:tab w:val="left" w:pos="284"/>
              </w:tabs>
              <w:spacing w:before="40" w:after="240"/>
              <w:rPr>
                <w:rFonts w:eastAsia="MS Mincho"/>
                <w:color w:val="000000"/>
                <w:sz w:val="22"/>
                <w:szCs w:val="22"/>
                <w:lang w:val="hr-HR"/>
              </w:rPr>
            </w:pPr>
            <w:r w:rsidRPr="008E7A18">
              <w:rPr>
                <w:b/>
                <w:color w:val="000000"/>
                <w:sz w:val="22"/>
                <w:szCs w:val="22"/>
                <w:lang w:val="hr-HR"/>
              </w:rPr>
              <w:t>Poremećaji metabolizma i ishrane</w:t>
            </w:r>
          </w:p>
        </w:tc>
        <w:tc>
          <w:tcPr>
            <w:tcW w:w="2153" w:type="dxa"/>
          </w:tcPr>
          <w:p w14:paraId="3CC615BD"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163CB693"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636D6A7B" w14:textId="77777777" w:rsidTr="008E7A18">
        <w:tc>
          <w:tcPr>
            <w:tcW w:w="3544" w:type="dxa"/>
            <w:shd w:val="clear" w:color="auto" w:fill="auto"/>
          </w:tcPr>
          <w:p w14:paraId="319ED3D5"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rPr>
              <w:t>Smanjen apetit</w:t>
            </w:r>
          </w:p>
        </w:tc>
        <w:tc>
          <w:tcPr>
            <w:tcW w:w="2153" w:type="dxa"/>
          </w:tcPr>
          <w:p w14:paraId="3531610E"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42652549"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3D543B2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3D1BBDA8" w14:textId="77777777" w:rsidTr="008E7A18">
        <w:tc>
          <w:tcPr>
            <w:tcW w:w="3544" w:type="dxa"/>
            <w:shd w:val="clear" w:color="auto" w:fill="auto"/>
          </w:tcPr>
          <w:p w14:paraId="779AD66F" w14:textId="77777777" w:rsidR="008E7A18" w:rsidRPr="008E7A18" w:rsidRDefault="008E7A18" w:rsidP="003C18F7">
            <w:pPr>
              <w:tabs>
                <w:tab w:val="left" w:pos="284"/>
              </w:tabs>
              <w:spacing w:before="40" w:after="240"/>
              <w:rPr>
                <w:color w:val="000000"/>
                <w:sz w:val="22"/>
                <w:szCs w:val="22"/>
                <w:vertAlign w:val="superscript"/>
                <w:lang w:val="hr-HR"/>
              </w:rPr>
            </w:pPr>
            <w:r w:rsidRPr="008E7A18">
              <w:rPr>
                <w:color w:val="000000"/>
                <w:sz w:val="22"/>
                <w:szCs w:val="22"/>
                <w:lang w:val="hr-HR" w:eastAsia="de-DE"/>
              </w:rPr>
              <w:lastRenderedPageBreak/>
              <w:t>Sindrom lize tumora</w:t>
            </w:r>
            <w:r w:rsidRPr="008E7A18">
              <w:rPr>
                <w:rFonts w:eastAsia="SimSun"/>
                <w:color w:val="000000"/>
                <w:sz w:val="22"/>
                <w:szCs w:val="22"/>
                <w:lang w:val="hr-HR" w:eastAsia="zh-CN"/>
              </w:rPr>
              <w:t>†</w:t>
            </w:r>
          </w:p>
        </w:tc>
        <w:tc>
          <w:tcPr>
            <w:tcW w:w="2153" w:type="dxa"/>
          </w:tcPr>
          <w:p w14:paraId="0A2153CB"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r</w:t>
            </w:r>
            <w:r w:rsidR="00563BCD">
              <w:rPr>
                <w:color w:val="000000"/>
                <w:sz w:val="22"/>
                <w:szCs w:val="22"/>
                <w:lang w:val="hr-HR" w:eastAsia="de-DE"/>
              </w:rPr>
              <w:t>ij</w:t>
            </w:r>
            <w:r w:rsidRPr="008E7A18">
              <w:rPr>
                <w:color w:val="000000"/>
                <w:sz w:val="22"/>
                <w:szCs w:val="22"/>
                <w:lang w:val="hr-HR" w:eastAsia="de-DE"/>
              </w:rPr>
              <w:t>etko</w:t>
            </w:r>
          </w:p>
        </w:tc>
        <w:tc>
          <w:tcPr>
            <w:tcW w:w="2310" w:type="dxa"/>
            <w:shd w:val="clear" w:color="auto" w:fill="auto"/>
          </w:tcPr>
          <w:p w14:paraId="3B9842C7"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rFonts w:eastAsia="MS Mincho"/>
                <w:color w:val="000000"/>
                <w:sz w:val="22"/>
                <w:szCs w:val="22"/>
                <w:lang w:val="hr-HR"/>
              </w:rPr>
              <w:t>nije poznato</w:t>
            </w:r>
          </w:p>
        </w:tc>
        <w:tc>
          <w:tcPr>
            <w:tcW w:w="0" w:type="auto"/>
            <w:shd w:val="clear" w:color="auto" w:fill="auto"/>
          </w:tcPr>
          <w:p w14:paraId="5B469054"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rFonts w:eastAsia="MS Mincho"/>
                <w:color w:val="000000"/>
                <w:sz w:val="22"/>
                <w:szCs w:val="22"/>
                <w:lang w:val="hr-HR"/>
              </w:rPr>
              <w:t>nije poznato</w:t>
            </w:r>
          </w:p>
        </w:tc>
      </w:tr>
      <w:tr w:rsidR="008E7A18" w:rsidRPr="008E7A18" w14:paraId="00A58C95" w14:textId="77777777" w:rsidTr="008E7A18">
        <w:tc>
          <w:tcPr>
            <w:tcW w:w="3544" w:type="dxa"/>
            <w:shd w:val="clear" w:color="auto" w:fill="auto"/>
          </w:tcPr>
          <w:p w14:paraId="6C47B962" w14:textId="77777777" w:rsidR="008E7A18" w:rsidRPr="008E7A18" w:rsidRDefault="008E7A18" w:rsidP="009B712A">
            <w:pPr>
              <w:keepNext/>
              <w:tabs>
                <w:tab w:val="left" w:pos="284"/>
              </w:tabs>
              <w:spacing w:before="40" w:after="240"/>
              <w:rPr>
                <w:rFonts w:eastAsia="MS Mincho"/>
                <w:color w:val="000000"/>
                <w:sz w:val="22"/>
                <w:szCs w:val="22"/>
                <w:lang w:val="hr-HR"/>
              </w:rPr>
            </w:pPr>
            <w:r w:rsidRPr="008E7A18">
              <w:rPr>
                <w:b/>
                <w:color w:val="000000"/>
                <w:sz w:val="22"/>
                <w:szCs w:val="22"/>
                <w:lang w:val="hr-HR"/>
              </w:rPr>
              <w:t>Poremećaji mišićno koštanog sistema i vezivnog tkiva</w:t>
            </w:r>
          </w:p>
        </w:tc>
        <w:tc>
          <w:tcPr>
            <w:tcW w:w="2153" w:type="dxa"/>
          </w:tcPr>
          <w:p w14:paraId="169FDF43" w14:textId="77777777" w:rsidR="008E7A18" w:rsidRPr="008E7A18" w:rsidRDefault="008E7A18" w:rsidP="008E7A18">
            <w:pPr>
              <w:keepNext/>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0E44CE28" w14:textId="77777777" w:rsidR="008E7A18" w:rsidRPr="008E7A18" w:rsidRDefault="008E7A18" w:rsidP="008E7A18">
            <w:pPr>
              <w:keepNext/>
              <w:tabs>
                <w:tab w:val="left" w:pos="284"/>
              </w:tabs>
              <w:spacing w:before="40" w:after="240"/>
              <w:jc w:val="both"/>
              <w:rPr>
                <w:rFonts w:eastAsia="MS Mincho"/>
                <w:color w:val="000000"/>
                <w:sz w:val="22"/>
                <w:szCs w:val="22"/>
                <w:lang w:val="hr-HR"/>
              </w:rPr>
            </w:pPr>
          </w:p>
        </w:tc>
      </w:tr>
      <w:tr w:rsidR="008E7A18" w:rsidRPr="008E7A18" w14:paraId="224B916C" w14:textId="77777777" w:rsidTr="008E7A18">
        <w:tc>
          <w:tcPr>
            <w:tcW w:w="3544" w:type="dxa"/>
            <w:shd w:val="clear" w:color="auto" w:fill="auto"/>
          </w:tcPr>
          <w:p w14:paraId="6A0EDE82" w14:textId="77777777" w:rsidR="008E7A18" w:rsidRPr="008E7A18" w:rsidRDefault="008E7A18" w:rsidP="003C18F7">
            <w:pPr>
              <w:keepNext/>
              <w:tabs>
                <w:tab w:val="left" w:pos="284"/>
              </w:tabs>
              <w:spacing w:before="40" w:after="240"/>
              <w:rPr>
                <w:rFonts w:eastAsia="MS Mincho"/>
                <w:color w:val="000000"/>
                <w:sz w:val="22"/>
                <w:szCs w:val="22"/>
                <w:lang w:val="hr-HR"/>
              </w:rPr>
            </w:pPr>
            <w:r w:rsidRPr="008E7A18">
              <w:rPr>
                <w:color w:val="000000"/>
                <w:sz w:val="22"/>
                <w:szCs w:val="22"/>
                <w:lang w:val="hr-HR"/>
              </w:rPr>
              <w:t>Artralgija</w:t>
            </w:r>
          </w:p>
        </w:tc>
        <w:tc>
          <w:tcPr>
            <w:tcW w:w="2153" w:type="dxa"/>
          </w:tcPr>
          <w:p w14:paraId="577B0BC6" w14:textId="77777777" w:rsidR="008E7A18" w:rsidRPr="008E7A18" w:rsidRDefault="008E7A18" w:rsidP="008E7A18">
            <w:pPr>
              <w:keepNext/>
              <w:tabs>
                <w:tab w:val="left" w:pos="284"/>
              </w:tabs>
              <w:spacing w:before="40" w:after="240"/>
              <w:jc w:val="both"/>
              <w:rPr>
                <w:color w:val="000000"/>
                <w:sz w:val="22"/>
                <w:szCs w:val="22"/>
                <w:lang w:val="hr-HR"/>
              </w:rPr>
            </w:pPr>
            <w:r w:rsidRPr="008E7A18">
              <w:rPr>
                <w:color w:val="000000"/>
                <w:sz w:val="22"/>
                <w:szCs w:val="22"/>
                <w:lang w:val="hr-HR" w:eastAsia="de-DE"/>
              </w:rPr>
              <w:t>veoma često</w:t>
            </w:r>
          </w:p>
        </w:tc>
        <w:tc>
          <w:tcPr>
            <w:tcW w:w="2310" w:type="dxa"/>
            <w:shd w:val="clear" w:color="auto" w:fill="auto"/>
          </w:tcPr>
          <w:p w14:paraId="267F9B79"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color w:val="000000"/>
                <w:sz w:val="22"/>
                <w:szCs w:val="22"/>
                <w:lang w:val="hr-HR"/>
              </w:rPr>
              <w:t>veoma često</w:t>
            </w:r>
          </w:p>
        </w:tc>
        <w:tc>
          <w:tcPr>
            <w:tcW w:w="0" w:type="auto"/>
            <w:shd w:val="clear" w:color="auto" w:fill="auto"/>
          </w:tcPr>
          <w:p w14:paraId="087C440E"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color w:val="000000"/>
                <w:sz w:val="22"/>
                <w:szCs w:val="22"/>
                <w:lang w:val="hr-HR"/>
              </w:rPr>
              <w:t>veoma često</w:t>
            </w:r>
          </w:p>
        </w:tc>
      </w:tr>
      <w:tr w:rsidR="008E7A18" w:rsidRPr="008E7A18" w14:paraId="236C8845" w14:textId="77777777" w:rsidTr="008E7A18">
        <w:tc>
          <w:tcPr>
            <w:tcW w:w="3544" w:type="dxa"/>
            <w:shd w:val="clear" w:color="auto" w:fill="auto"/>
          </w:tcPr>
          <w:p w14:paraId="4816A8E3" w14:textId="77777777" w:rsidR="008E7A18" w:rsidRPr="008E7A18" w:rsidRDefault="008E7A18" w:rsidP="003C18F7">
            <w:pPr>
              <w:keepNext/>
              <w:tabs>
                <w:tab w:val="left" w:pos="284"/>
              </w:tabs>
              <w:spacing w:before="40" w:after="240"/>
              <w:rPr>
                <w:rFonts w:eastAsia="MS Mincho"/>
                <w:color w:val="000000"/>
                <w:sz w:val="22"/>
                <w:szCs w:val="22"/>
                <w:lang w:val="hr-HR"/>
              </w:rPr>
            </w:pPr>
            <w:r w:rsidRPr="008E7A18">
              <w:rPr>
                <w:color w:val="000000"/>
                <w:sz w:val="22"/>
                <w:szCs w:val="22"/>
                <w:lang w:val="hr-HR"/>
              </w:rPr>
              <w:t>Mialgija</w:t>
            </w:r>
          </w:p>
        </w:tc>
        <w:tc>
          <w:tcPr>
            <w:tcW w:w="2153" w:type="dxa"/>
          </w:tcPr>
          <w:p w14:paraId="2859DF56" w14:textId="77777777" w:rsidR="008E7A18" w:rsidRPr="008E7A18" w:rsidRDefault="008E7A18" w:rsidP="008E7A18">
            <w:pPr>
              <w:keepNext/>
              <w:tabs>
                <w:tab w:val="left" w:pos="284"/>
              </w:tabs>
              <w:spacing w:before="40" w:after="240"/>
              <w:jc w:val="both"/>
              <w:rPr>
                <w:color w:val="000000"/>
                <w:sz w:val="22"/>
                <w:szCs w:val="22"/>
                <w:lang w:val="hr-HR"/>
              </w:rPr>
            </w:pPr>
            <w:r w:rsidRPr="008E7A18">
              <w:rPr>
                <w:color w:val="000000"/>
                <w:sz w:val="22"/>
                <w:szCs w:val="22"/>
                <w:lang w:val="hr-HR" w:eastAsia="de-DE"/>
              </w:rPr>
              <w:t>veoma često</w:t>
            </w:r>
          </w:p>
        </w:tc>
        <w:tc>
          <w:tcPr>
            <w:tcW w:w="2310" w:type="dxa"/>
            <w:shd w:val="clear" w:color="auto" w:fill="auto"/>
          </w:tcPr>
          <w:p w14:paraId="1AD9BC0A"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color w:val="000000"/>
                <w:sz w:val="22"/>
                <w:szCs w:val="22"/>
                <w:lang w:val="hr-HR"/>
              </w:rPr>
              <w:t>veoma često</w:t>
            </w:r>
          </w:p>
        </w:tc>
        <w:tc>
          <w:tcPr>
            <w:tcW w:w="0" w:type="auto"/>
            <w:shd w:val="clear" w:color="auto" w:fill="auto"/>
          </w:tcPr>
          <w:p w14:paraId="2E0F7E49" w14:textId="77777777" w:rsidR="008E7A18" w:rsidRPr="008E7A18" w:rsidRDefault="008E7A18" w:rsidP="008E7A18">
            <w:pPr>
              <w:keepNext/>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5244F048" w14:textId="77777777" w:rsidTr="008E7A18">
        <w:tc>
          <w:tcPr>
            <w:tcW w:w="3544" w:type="dxa"/>
            <w:shd w:val="clear" w:color="auto" w:fill="auto"/>
          </w:tcPr>
          <w:p w14:paraId="15B47910"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rPr>
              <w:t>Bolovi u ekstremitetima</w:t>
            </w:r>
          </w:p>
        </w:tc>
        <w:tc>
          <w:tcPr>
            <w:tcW w:w="2153" w:type="dxa"/>
          </w:tcPr>
          <w:p w14:paraId="479524EB" w14:textId="77777777" w:rsidR="008E7A18" w:rsidRPr="008E7A18" w:rsidRDefault="008E7A18" w:rsidP="008E7A18">
            <w:pPr>
              <w:tabs>
                <w:tab w:val="left" w:pos="284"/>
              </w:tabs>
              <w:spacing w:before="40" w:after="240"/>
              <w:jc w:val="both"/>
              <w:rPr>
                <w:color w:val="000000"/>
                <w:sz w:val="22"/>
                <w:szCs w:val="22"/>
                <w:lang w:val="hr-HR"/>
              </w:rPr>
            </w:pPr>
            <w:r w:rsidRPr="008E7A18">
              <w:rPr>
                <w:color w:val="000000"/>
                <w:sz w:val="22"/>
                <w:szCs w:val="22"/>
                <w:lang w:val="hr-HR" w:eastAsia="de-DE"/>
              </w:rPr>
              <w:t>veoma često</w:t>
            </w:r>
          </w:p>
        </w:tc>
        <w:tc>
          <w:tcPr>
            <w:tcW w:w="2310" w:type="dxa"/>
            <w:shd w:val="clear" w:color="auto" w:fill="auto"/>
          </w:tcPr>
          <w:p w14:paraId="3FB6178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rPr>
              <w:t>često</w:t>
            </w:r>
          </w:p>
        </w:tc>
        <w:tc>
          <w:tcPr>
            <w:tcW w:w="0" w:type="auto"/>
            <w:shd w:val="clear" w:color="auto" w:fill="auto"/>
          </w:tcPr>
          <w:p w14:paraId="47B051F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44112E41" w14:textId="77777777" w:rsidTr="008E7A18">
        <w:tc>
          <w:tcPr>
            <w:tcW w:w="3544" w:type="dxa"/>
            <w:shd w:val="clear" w:color="auto" w:fill="auto"/>
          </w:tcPr>
          <w:p w14:paraId="39C2D08D" w14:textId="77777777" w:rsidR="008E7A18" w:rsidRPr="008E7A18" w:rsidRDefault="008E7A18" w:rsidP="009B712A">
            <w:pPr>
              <w:tabs>
                <w:tab w:val="left" w:pos="284"/>
              </w:tabs>
              <w:spacing w:before="40" w:after="240"/>
              <w:rPr>
                <w:rFonts w:eastAsia="MS Mincho"/>
                <w:color w:val="000000"/>
                <w:sz w:val="22"/>
                <w:szCs w:val="22"/>
                <w:lang w:val="hr-HR"/>
              </w:rPr>
            </w:pPr>
            <w:r w:rsidRPr="008E7A18">
              <w:rPr>
                <w:b/>
                <w:color w:val="000000"/>
                <w:sz w:val="22"/>
                <w:szCs w:val="22"/>
                <w:lang w:val="hr-HR"/>
              </w:rPr>
              <w:t>Poremećaji nervnog sistema</w:t>
            </w:r>
          </w:p>
        </w:tc>
        <w:tc>
          <w:tcPr>
            <w:tcW w:w="2153" w:type="dxa"/>
          </w:tcPr>
          <w:p w14:paraId="01C77543"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5BEA3C1E"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4B493B60" w14:textId="77777777" w:rsidTr="008E7A18">
        <w:tc>
          <w:tcPr>
            <w:tcW w:w="3544" w:type="dxa"/>
            <w:shd w:val="clear" w:color="auto" w:fill="auto"/>
          </w:tcPr>
          <w:p w14:paraId="62285EE9"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rPr>
              <w:t>Disgeuzija</w:t>
            </w:r>
          </w:p>
        </w:tc>
        <w:tc>
          <w:tcPr>
            <w:tcW w:w="2153" w:type="dxa"/>
          </w:tcPr>
          <w:p w14:paraId="41CDEEAE"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144A617B"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048A5E1D"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BD22116" w14:textId="77777777" w:rsidTr="008E7A18">
        <w:tc>
          <w:tcPr>
            <w:tcW w:w="3544" w:type="dxa"/>
            <w:shd w:val="clear" w:color="auto" w:fill="auto"/>
          </w:tcPr>
          <w:p w14:paraId="5377BE98" w14:textId="77777777" w:rsidR="008E7A18" w:rsidRPr="008E7A18" w:rsidRDefault="008E7A18" w:rsidP="003C18F7">
            <w:pPr>
              <w:tabs>
                <w:tab w:val="left" w:pos="284"/>
              </w:tabs>
              <w:spacing w:before="40" w:after="240"/>
              <w:rPr>
                <w:color w:val="000000"/>
                <w:sz w:val="22"/>
                <w:szCs w:val="22"/>
                <w:lang w:val="hr-HR"/>
              </w:rPr>
            </w:pPr>
            <w:r w:rsidRPr="008E7A18">
              <w:rPr>
                <w:color w:val="000000"/>
                <w:sz w:val="22"/>
                <w:szCs w:val="22"/>
                <w:lang w:val="hr-HR"/>
              </w:rPr>
              <w:t xml:space="preserve">Glavobolja </w:t>
            </w:r>
          </w:p>
        </w:tc>
        <w:tc>
          <w:tcPr>
            <w:tcW w:w="2153" w:type="dxa"/>
          </w:tcPr>
          <w:p w14:paraId="33D7BC90"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7669B70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509E814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27DB2722" w14:textId="77777777" w:rsidTr="008E7A18">
        <w:tc>
          <w:tcPr>
            <w:tcW w:w="3544" w:type="dxa"/>
            <w:shd w:val="clear" w:color="auto" w:fill="auto"/>
          </w:tcPr>
          <w:p w14:paraId="774C2DD8" w14:textId="77777777" w:rsidR="008E7A18" w:rsidRPr="008E7A18" w:rsidRDefault="008E7A18" w:rsidP="003C18F7">
            <w:pPr>
              <w:tabs>
                <w:tab w:val="left" w:pos="284"/>
              </w:tabs>
              <w:spacing w:before="40" w:after="240"/>
              <w:rPr>
                <w:color w:val="000000"/>
                <w:sz w:val="22"/>
                <w:szCs w:val="22"/>
                <w:lang w:val="hr-HR"/>
              </w:rPr>
            </w:pPr>
            <w:r w:rsidRPr="008E7A18">
              <w:rPr>
                <w:color w:val="000000"/>
                <w:sz w:val="22"/>
                <w:szCs w:val="22"/>
                <w:lang w:val="hr-HR"/>
              </w:rPr>
              <w:t>Periferna senzorna neuropatija</w:t>
            </w:r>
          </w:p>
        </w:tc>
        <w:tc>
          <w:tcPr>
            <w:tcW w:w="2153" w:type="dxa"/>
          </w:tcPr>
          <w:p w14:paraId="4087A431" w14:textId="77777777" w:rsidR="008E7A18" w:rsidRPr="008E7A18" w:rsidRDefault="008E7A18" w:rsidP="008E7A18">
            <w:pPr>
              <w:tabs>
                <w:tab w:val="left" w:pos="284"/>
                <w:tab w:val="left" w:pos="1039"/>
              </w:tabs>
              <w:jc w:val="both"/>
              <w:rPr>
                <w:sz w:val="22"/>
                <w:szCs w:val="22"/>
                <w:lang w:val="hr-HR" w:eastAsia="de-DE"/>
              </w:rPr>
            </w:pPr>
            <w:r w:rsidRPr="008E7A18">
              <w:rPr>
                <w:color w:val="000000"/>
                <w:sz w:val="22"/>
                <w:szCs w:val="22"/>
                <w:lang w:val="hr-HR" w:eastAsia="de-DE"/>
              </w:rPr>
              <w:t>veoma često</w:t>
            </w:r>
          </w:p>
        </w:tc>
        <w:tc>
          <w:tcPr>
            <w:tcW w:w="2310" w:type="dxa"/>
            <w:shd w:val="clear" w:color="auto" w:fill="auto"/>
          </w:tcPr>
          <w:p w14:paraId="2EB2B4DB"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18D11339"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41E0B116" w14:textId="77777777" w:rsidTr="008E7A18">
        <w:tc>
          <w:tcPr>
            <w:tcW w:w="3544" w:type="dxa"/>
            <w:shd w:val="clear" w:color="auto" w:fill="auto"/>
          </w:tcPr>
          <w:p w14:paraId="1D790A63" w14:textId="77777777" w:rsidR="008E7A18" w:rsidRPr="008E7A18" w:rsidRDefault="008E7A18" w:rsidP="003C18F7">
            <w:pPr>
              <w:tabs>
                <w:tab w:val="left" w:pos="284"/>
              </w:tabs>
              <w:spacing w:before="40" w:after="240"/>
              <w:rPr>
                <w:color w:val="000000"/>
                <w:sz w:val="22"/>
                <w:szCs w:val="22"/>
                <w:lang w:val="hr-HR"/>
              </w:rPr>
            </w:pPr>
            <w:r w:rsidRPr="008E7A18">
              <w:rPr>
                <w:color w:val="000000"/>
                <w:sz w:val="22"/>
                <w:szCs w:val="22"/>
                <w:lang w:val="hr-HR"/>
              </w:rPr>
              <w:t>Periferna neuropatija</w:t>
            </w:r>
          </w:p>
        </w:tc>
        <w:tc>
          <w:tcPr>
            <w:tcW w:w="2153" w:type="dxa"/>
          </w:tcPr>
          <w:p w14:paraId="479032EF"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01FED2CB"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27E972AA"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54D28405" w14:textId="77777777" w:rsidTr="008E7A18">
        <w:tc>
          <w:tcPr>
            <w:tcW w:w="3544" w:type="dxa"/>
            <w:shd w:val="clear" w:color="auto" w:fill="auto"/>
          </w:tcPr>
          <w:p w14:paraId="63F674DA" w14:textId="77777777" w:rsidR="008E7A18" w:rsidRPr="008E7A18" w:rsidRDefault="008E7A18" w:rsidP="003C18F7">
            <w:pPr>
              <w:tabs>
                <w:tab w:val="left" w:pos="284"/>
              </w:tabs>
              <w:spacing w:before="40" w:after="240"/>
              <w:rPr>
                <w:color w:val="000000"/>
                <w:sz w:val="22"/>
                <w:szCs w:val="22"/>
                <w:lang w:val="hr-HR"/>
              </w:rPr>
            </w:pPr>
            <w:r w:rsidRPr="008E7A18">
              <w:rPr>
                <w:color w:val="000000"/>
                <w:sz w:val="22"/>
                <w:szCs w:val="22"/>
                <w:lang w:val="hr-HR"/>
              </w:rPr>
              <w:t>Vrtoglavica</w:t>
            </w:r>
          </w:p>
        </w:tc>
        <w:tc>
          <w:tcPr>
            <w:tcW w:w="2153" w:type="dxa"/>
          </w:tcPr>
          <w:p w14:paraId="00EDC390"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3C742229"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4E4F573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5AD66C33" w14:textId="77777777" w:rsidTr="008E7A18">
        <w:tc>
          <w:tcPr>
            <w:tcW w:w="3544" w:type="dxa"/>
            <w:shd w:val="clear" w:color="auto" w:fill="auto"/>
          </w:tcPr>
          <w:p w14:paraId="2B1F8AE2"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color w:val="000000"/>
                <w:sz w:val="22"/>
                <w:szCs w:val="22"/>
                <w:lang w:val="hr-HR"/>
              </w:rPr>
              <w:t>Parestezija</w:t>
            </w:r>
          </w:p>
        </w:tc>
        <w:tc>
          <w:tcPr>
            <w:tcW w:w="2153" w:type="dxa"/>
          </w:tcPr>
          <w:p w14:paraId="741FDC7C"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055A7FD4"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7BE6A86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4501C4B5" w14:textId="77777777" w:rsidTr="008E7A18">
        <w:tc>
          <w:tcPr>
            <w:tcW w:w="3544" w:type="dxa"/>
            <w:shd w:val="clear" w:color="auto" w:fill="auto"/>
          </w:tcPr>
          <w:p w14:paraId="6F01CE25" w14:textId="77777777" w:rsidR="008E7A18" w:rsidRPr="008E7A18" w:rsidRDefault="008E7A18" w:rsidP="003C18F7">
            <w:pPr>
              <w:tabs>
                <w:tab w:val="left" w:pos="284"/>
              </w:tabs>
              <w:spacing w:before="40" w:after="240"/>
              <w:rPr>
                <w:rFonts w:eastAsia="MS Mincho"/>
                <w:color w:val="000000"/>
                <w:sz w:val="22"/>
                <w:szCs w:val="22"/>
                <w:lang w:val="hr-HR"/>
              </w:rPr>
            </w:pPr>
            <w:r w:rsidRPr="008E7A18">
              <w:rPr>
                <w:b/>
                <w:color w:val="000000"/>
                <w:sz w:val="22"/>
                <w:szCs w:val="22"/>
                <w:lang w:val="hr-HR"/>
              </w:rPr>
              <w:t xml:space="preserve">Psihijatrijski poremećaji </w:t>
            </w:r>
          </w:p>
        </w:tc>
        <w:tc>
          <w:tcPr>
            <w:tcW w:w="2153" w:type="dxa"/>
          </w:tcPr>
          <w:p w14:paraId="334E57AE"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5F8679F6"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7604C479" w14:textId="77777777" w:rsidTr="008E7A18">
        <w:tc>
          <w:tcPr>
            <w:tcW w:w="3544" w:type="dxa"/>
            <w:shd w:val="clear" w:color="auto" w:fill="auto"/>
          </w:tcPr>
          <w:p w14:paraId="6FE434A2"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Insomnija</w:t>
            </w:r>
          </w:p>
        </w:tc>
        <w:tc>
          <w:tcPr>
            <w:tcW w:w="2153" w:type="dxa"/>
          </w:tcPr>
          <w:p w14:paraId="20C425BC"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1FE872F1"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338E52A1"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06F8122B" w14:textId="77777777" w:rsidTr="008E7A18">
        <w:tc>
          <w:tcPr>
            <w:tcW w:w="3544" w:type="dxa"/>
            <w:shd w:val="clear" w:color="auto" w:fill="auto"/>
          </w:tcPr>
          <w:p w14:paraId="2FF25BEE"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b/>
                <w:color w:val="000000"/>
                <w:sz w:val="22"/>
                <w:szCs w:val="22"/>
                <w:lang w:val="hr-HR"/>
              </w:rPr>
              <w:t>Respiratorni, torakalni i medijastinalni poremećaji</w:t>
            </w:r>
          </w:p>
        </w:tc>
        <w:tc>
          <w:tcPr>
            <w:tcW w:w="2153" w:type="dxa"/>
          </w:tcPr>
          <w:p w14:paraId="7FBD8A9B"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257B51A6"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4C6A9A58" w14:textId="77777777" w:rsidTr="008E7A18">
        <w:tc>
          <w:tcPr>
            <w:tcW w:w="3544" w:type="dxa"/>
            <w:shd w:val="clear" w:color="auto" w:fill="auto"/>
          </w:tcPr>
          <w:p w14:paraId="75DDAC52"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Epistaksa</w:t>
            </w:r>
          </w:p>
        </w:tc>
        <w:tc>
          <w:tcPr>
            <w:tcW w:w="2153" w:type="dxa"/>
          </w:tcPr>
          <w:p w14:paraId="5428C88A"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3BA22EA0"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57E3777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171CB4A" w14:textId="77777777" w:rsidTr="008E7A18">
        <w:tc>
          <w:tcPr>
            <w:tcW w:w="3544" w:type="dxa"/>
            <w:shd w:val="clear" w:color="auto" w:fill="auto"/>
          </w:tcPr>
          <w:p w14:paraId="30B00FD1" w14:textId="77777777" w:rsidR="008E7A18" w:rsidRPr="008E7A18" w:rsidRDefault="008E7A18" w:rsidP="008E7A18">
            <w:pPr>
              <w:tabs>
                <w:tab w:val="left" w:pos="284"/>
              </w:tabs>
              <w:spacing w:before="40" w:after="240"/>
              <w:rPr>
                <w:color w:val="000000"/>
                <w:sz w:val="22"/>
                <w:szCs w:val="22"/>
                <w:lang w:val="hr-HR"/>
              </w:rPr>
            </w:pPr>
            <w:r w:rsidRPr="008E7A18">
              <w:rPr>
                <w:color w:val="000000"/>
                <w:sz w:val="22"/>
                <w:szCs w:val="22"/>
                <w:lang w:val="hr-HR"/>
              </w:rPr>
              <w:t xml:space="preserve">Kašalj </w:t>
            </w:r>
          </w:p>
        </w:tc>
        <w:tc>
          <w:tcPr>
            <w:tcW w:w="2153" w:type="dxa"/>
          </w:tcPr>
          <w:p w14:paraId="6D5B8357"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6ACA863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768B84C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AFC6DE7" w14:textId="77777777" w:rsidTr="008E7A18">
        <w:tc>
          <w:tcPr>
            <w:tcW w:w="3544" w:type="dxa"/>
            <w:shd w:val="clear" w:color="auto" w:fill="auto"/>
          </w:tcPr>
          <w:p w14:paraId="6590BF9B"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Dispneja</w:t>
            </w:r>
          </w:p>
        </w:tc>
        <w:tc>
          <w:tcPr>
            <w:tcW w:w="2153" w:type="dxa"/>
          </w:tcPr>
          <w:p w14:paraId="7D138275"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7080CAF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17F69D4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1A93BBC0" w14:textId="77777777" w:rsidTr="008E7A18">
        <w:tc>
          <w:tcPr>
            <w:tcW w:w="3544" w:type="dxa"/>
            <w:shd w:val="clear" w:color="auto" w:fill="auto"/>
          </w:tcPr>
          <w:p w14:paraId="71113133" w14:textId="77777777" w:rsidR="008E7A18" w:rsidRPr="008E7A18" w:rsidRDefault="008E7A18" w:rsidP="008E7A18">
            <w:pPr>
              <w:tabs>
                <w:tab w:val="left" w:pos="284"/>
              </w:tabs>
              <w:spacing w:before="40" w:after="240"/>
              <w:jc w:val="both"/>
              <w:rPr>
                <w:color w:val="000000"/>
                <w:sz w:val="22"/>
                <w:szCs w:val="22"/>
                <w:vertAlign w:val="superscript"/>
                <w:lang w:val="hr-HR"/>
              </w:rPr>
            </w:pPr>
            <w:r w:rsidRPr="008E7A18">
              <w:rPr>
                <w:color w:val="000000"/>
                <w:sz w:val="22"/>
                <w:szCs w:val="22"/>
                <w:lang w:val="hr-HR"/>
              </w:rPr>
              <w:t>Intersticijalna bolest pluća</w:t>
            </w:r>
            <w:r w:rsidRPr="008E7A18">
              <w:rPr>
                <w:rFonts w:eastAsia="SimSun"/>
                <w:color w:val="000000"/>
                <w:sz w:val="22"/>
                <w:szCs w:val="22"/>
                <w:lang w:val="hr-HR"/>
              </w:rPr>
              <w:t>°°</w:t>
            </w:r>
          </w:p>
        </w:tc>
        <w:tc>
          <w:tcPr>
            <w:tcW w:w="2153" w:type="dxa"/>
          </w:tcPr>
          <w:p w14:paraId="3B995C27"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povremeno</w:t>
            </w:r>
          </w:p>
        </w:tc>
        <w:tc>
          <w:tcPr>
            <w:tcW w:w="2310" w:type="dxa"/>
            <w:shd w:val="clear" w:color="auto" w:fill="auto"/>
          </w:tcPr>
          <w:p w14:paraId="057109EE"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nije poznato</w:t>
            </w:r>
          </w:p>
        </w:tc>
        <w:tc>
          <w:tcPr>
            <w:tcW w:w="0" w:type="auto"/>
            <w:shd w:val="clear" w:color="auto" w:fill="auto"/>
          </w:tcPr>
          <w:p w14:paraId="5C96A70E"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nije poznato</w:t>
            </w:r>
          </w:p>
        </w:tc>
      </w:tr>
      <w:tr w:rsidR="008E7A18" w:rsidRPr="008E7A18" w14:paraId="71916D0B" w14:textId="77777777" w:rsidTr="008E7A18">
        <w:tc>
          <w:tcPr>
            <w:tcW w:w="3544" w:type="dxa"/>
            <w:shd w:val="clear" w:color="auto" w:fill="auto"/>
          </w:tcPr>
          <w:p w14:paraId="30966B4D" w14:textId="77777777" w:rsidR="008E7A18" w:rsidRPr="008E7A18" w:rsidRDefault="008E7A18" w:rsidP="009B712A">
            <w:pPr>
              <w:tabs>
                <w:tab w:val="left" w:pos="284"/>
              </w:tabs>
              <w:spacing w:before="40" w:after="240"/>
              <w:rPr>
                <w:rFonts w:eastAsia="MS Mincho"/>
                <w:color w:val="000000"/>
                <w:sz w:val="22"/>
                <w:szCs w:val="22"/>
                <w:lang w:val="hr-HR"/>
              </w:rPr>
            </w:pPr>
            <w:r w:rsidRPr="008E7A18">
              <w:rPr>
                <w:b/>
                <w:color w:val="000000"/>
                <w:sz w:val="22"/>
                <w:szCs w:val="22"/>
                <w:lang w:val="hr-HR" w:eastAsia="de-DE"/>
              </w:rPr>
              <w:t>Poremećaji kože i potkožnog tkiva</w:t>
            </w:r>
          </w:p>
        </w:tc>
        <w:tc>
          <w:tcPr>
            <w:tcW w:w="2153" w:type="dxa"/>
          </w:tcPr>
          <w:p w14:paraId="159F2571"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156C29EF"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7BE7585F" w14:textId="77777777" w:rsidTr="008E7A18">
        <w:tc>
          <w:tcPr>
            <w:tcW w:w="3544" w:type="dxa"/>
            <w:shd w:val="clear" w:color="auto" w:fill="auto"/>
          </w:tcPr>
          <w:p w14:paraId="73113A2D"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rPr>
              <w:t>Alopecija</w:t>
            </w:r>
          </w:p>
        </w:tc>
        <w:tc>
          <w:tcPr>
            <w:tcW w:w="2153" w:type="dxa"/>
          </w:tcPr>
          <w:p w14:paraId="76F1C1DC"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33A71C5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2CF631F5"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rFonts w:eastAsia="MS Mincho"/>
                <w:color w:val="000000"/>
                <w:sz w:val="22"/>
                <w:szCs w:val="22"/>
                <w:lang w:val="hr-HR"/>
              </w:rPr>
              <w:t>povremeno</w:t>
            </w:r>
          </w:p>
        </w:tc>
      </w:tr>
      <w:tr w:rsidR="008E7A18" w:rsidRPr="008E7A18" w14:paraId="68B21BE5" w14:textId="77777777" w:rsidTr="008E7A18">
        <w:tc>
          <w:tcPr>
            <w:tcW w:w="3544" w:type="dxa"/>
            <w:shd w:val="clear" w:color="auto" w:fill="auto"/>
          </w:tcPr>
          <w:p w14:paraId="75362294"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eastAsia="de-DE"/>
              </w:rPr>
              <w:t xml:space="preserve">Osip </w:t>
            </w:r>
          </w:p>
        </w:tc>
        <w:tc>
          <w:tcPr>
            <w:tcW w:w="2153" w:type="dxa"/>
          </w:tcPr>
          <w:p w14:paraId="38D98186"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0B4AD1F7"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c>
          <w:tcPr>
            <w:tcW w:w="0" w:type="auto"/>
            <w:shd w:val="clear" w:color="auto" w:fill="auto"/>
          </w:tcPr>
          <w:p w14:paraId="5065B3DE"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22A501B4" w14:textId="77777777" w:rsidTr="008E7A18">
        <w:tc>
          <w:tcPr>
            <w:tcW w:w="3544" w:type="dxa"/>
            <w:shd w:val="clear" w:color="auto" w:fill="auto"/>
          </w:tcPr>
          <w:p w14:paraId="13E50EA4" w14:textId="77777777" w:rsidR="008E7A18" w:rsidRPr="008E7A18" w:rsidRDefault="008E7A18" w:rsidP="008E7A18">
            <w:pPr>
              <w:tabs>
                <w:tab w:val="left" w:pos="284"/>
              </w:tabs>
              <w:spacing w:before="40" w:after="240"/>
              <w:rPr>
                <w:color w:val="000000"/>
                <w:sz w:val="22"/>
                <w:szCs w:val="22"/>
                <w:lang w:val="hr-HR" w:eastAsia="de-DE"/>
              </w:rPr>
            </w:pPr>
            <w:r w:rsidRPr="008E7A18">
              <w:rPr>
                <w:color w:val="000000"/>
                <w:sz w:val="22"/>
                <w:szCs w:val="22"/>
                <w:lang w:val="hr-HR" w:eastAsia="de-DE"/>
              </w:rPr>
              <w:lastRenderedPageBreak/>
              <w:t>Suva koža</w:t>
            </w:r>
          </w:p>
        </w:tc>
        <w:tc>
          <w:tcPr>
            <w:tcW w:w="2153" w:type="dxa"/>
          </w:tcPr>
          <w:p w14:paraId="556F5303"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2AD08517"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0" w:type="auto"/>
            <w:shd w:val="clear" w:color="auto" w:fill="auto"/>
          </w:tcPr>
          <w:p w14:paraId="1C8E8585"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često</w:t>
            </w:r>
          </w:p>
        </w:tc>
      </w:tr>
      <w:tr w:rsidR="008E7A18" w:rsidRPr="008E7A18" w14:paraId="6AD5D151" w14:textId="77777777" w:rsidTr="008E7A18">
        <w:tc>
          <w:tcPr>
            <w:tcW w:w="3544" w:type="dxa"/>
            <w:shd w:val="clear" w:color="auto" w:fill="auto"/>
          </w:tcPr>
          <w:p w14:paraId="2F3F2DAF" w14:textId="77777777" w:rsidR="008E7A18" w:rsidRPr="008E7A18" w:rsidRDefault="008E7A18" w:rsidP="008E7A18">
            <w:pPr>
              <w:tabs>
                <w:tab w:val="left" w:pos="284"/>
              </w:tabs>
              <w:spacing w:before="40" w:after="240"/>
              <w:rPr>
                <w:color w:val="000000"/>
                <w:sz w:val="22"/>
                <w:szCs w:val="22"/>
                <w:lang w:val="hr-HR" w:eastAsia="de-DE"/>
              </w:rPr>
            </w:pPr>
            <w:r w:rsidRPr="008E7A18">
              <w:rPr>
                <w:color w:val="000000"/>
                <w:sz w:val="22"/>
                <w:szCs w:val="22"/>
                <w:lang w:val="hr-HR" w:eastAsia="de-DE"/>
              </w:rPr>
              <w:t xml:space="preserve">Poremećaj noktiju </w:t>
            </w:r>
          </w:p>
        </w:tc>
        <w:tc>
          <w:tcPr>
            <w:tcW w:w="2153" w:type="dxa"/>
          </w:tcPr>
          <w:p w14:paraId="25C85D81"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12B7E9EB"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34959DD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6333C152" w14:textId="77777777" w:rsidTr="008E7A18">
        <w:tc>
          <w:tcPr>
            <w:tcW w:w="3544" w:type="dxa"/>
            <w:shd w:val="clear" w:color="auto" w:fill="auto"/>
          </w:tcPr>
          <w:p w14:paraId="27CC0CCF" w14:textId="77777777" w:rsidR="008E7A18" w:rsidRPr="008E7A18" w:rsidRDefault="008E7A18" w:rsidP="008E7A18">
            <w:pPr>
              <w:tabs>
                <w:tab w:val="left" w:pos="284"/>
              </w:tabs>
              <w:spacing w:before="40" w:after="240"/>
              <w:rPr>
                <w:rFonts w:eastAsia="MS Mincho"/>
                <w:color w:val="000000"/>
                <w:sz w:val="22"/>
                <w:szCs w:val="22"/>
                <w:lang w:val="hr-HR"/>
              </w:rPr>
            </w:pPr>
            <w:r w:rsidRPr="008E7A18">
              <w:rPr>
                <w:color w:val="000000"/>
                <w:sz w:val="22"/>
                <w:szCs w:val="22"/>
                <w:lang w:val="hr-HR" w:eastAsia="de-DE"/>
              </w:rPr>
              <w:t>Pruritus</w:t>
            </w:r>
          </w:p>
        </w:tc>
        <w:tc>
          <w:tcPr>
            <w:tcW w:w="2153" w:type="dxa"/>
          </w:tcPr>
          <w:p w14:paraId="5A1428C1"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tcPr>
          <w:p w14:paraId="526C5FDC"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c>
          <w:tcPr>
            <w:tcW w:w="0" w:type="auto"/>
            <w:shd w:val="clear" w:color="auto" w:fill="auto"/>
          </w:tcPr>
          <w:p w14:paraId="22A65C68"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često</w:t>
            </w:r>
          </w:p>
        </w:tc>
      </w:tr>
      <w:tr w:rsidR="008E7A18" w:rsidRPr="008E7A18" w14:paraId="0FE049FE" w14:textId="77777777" w:rsidTr="008E7A18">
        <w:tc>
          <w:tcPr>
            <w:tcW w:w="3544" w:type="dxa"/>
            <w:shd w:val="clear" w:color="auto" w:fill="auto"/>
          </w:tcPr>
          <w:p w14:paraId="538C41D3" w14:textId="77777777" w:rsidR="008E7A18" w:rsidRPr="008E7A18" w:rsidRDefault="008E7A18" w:rsidP="008E7A18">
            <w:pPr>
              <w:tabs>
                <w:tab w:val="left" w:pos="284"/>
              </w:tabs>
              <w:spacing w:before="40" w:after="240"/>
              <w:rPr>
                <w:color w:val="000000"/>
                <w:sz w:val="22"/>
                <w:szCs w:val="22"/>
                <w:lang w:val="hr-HR" w:eastAsia="de-DE"/>
              </w:rPr>
            </w:pPr>
            <w:r w:rsidRPr="008E7A18">
              <w:rPr>
                <w:b/>
                <w:color w:val="000000"/>
                <w:sz w:val="22"/>
                <w:szCs w:val="22"/>
                <w:lang w:val="hr-HR" w:eastAsia="de-DE"/>
              </w:rPr>
              <w:t xml:space="preserve">Vaskularni </w:t>
            </w:r>
            <w:r w:rsidRPr="008E7A18">
              <w:rPr>
                <w:b/>
                <w:color w:val="000000"/>
                <w:sz w:val="22"/>
                <w:szCs w:val="22"/>
                <w:lang w:val="hr-HR"/>
              </w:rPr>
              <w:t>poremećaji</w:t>
            </w:r>
          </w:p>
        </w:tc>
        <w:tc>
          <w:tcPr>
            <w:tcW w:w="2153" w:type="dxa"/>
          </w:tcPr>
          <w:p w14:paraId="46C63017" w14:textId="77777777" w:rsidR="008E7A18" w:rsidRPr="008E7A18" w:rsidRDefault="008E7A18" w:rsidP="008E7A18">
            <w:pPr>
              <w:tabs>
                <w:tab w:val="left" w:pos="284"/>
              </w:tabs>
              <w:spacing w:before="40" w:after="240"/>
              <w:jc w:val="both"/>
              <w:rPr>
                <w:rFonts w:eastAsia="MS Mincho"/>
                <w:color w:val="000000"/>
                <w:sz w:val="22"/>
                <w:szCs w:val="22"/>
                <w:lang w:val="hr-HR"/>
              </w:rPr>
            </w:pPr>
          </w:p>
        </w:tc>
        <w:tc>
          <w:tcPr>
            <w:tcW w:w="4504" w:type="dxa"/>
            <w:gridSpan w:val="2"/>
            <w:shd w:val="clear" w:color="auto" w:fill="auto"/>
          </w:tcPr>
          <w:p w14:paraId="3C2FC689" w14:textId="77777777" w:rsidR="008E7A18" w:rsidRPr="008E7A18" w:rsidRDefault="008E7A18" w:rsidP="008E7A18">
            <w:pPr>
              <w:tabs>
                <w:tab w:val="left" w:pos="284"/>
              </w:tabs>
              <w:spacing w:before="40" w:after="240"/>
              <w:jc w:val="both"/>
              <w:rPr>
                <w:rFonts w:eastAsia="MS Mincho"/>
                <w:color w:val="000000"/>
                <w:sz w:val="22"/>
                <w:szCs w:val="22"/>
                <w:lang w:val="hr-HR"/>
              </w:rPr>
            </w:pPr>
          </w:p>
        </w:tc>
      </w:tr>
      <w:tr w:rsidR="008E7A18" w:rsidRPr="008E7A18" w14:paraId="4C8E9E71" w14:textId="77777777" w:rsidTr="008E7A18">
        <w:tc>
          <w:tcPr>
            <w:tcW w:w="3544" w:type="dxa"/>
            <w:shd w:val="clear" w:color="auto" w:fill="auto"/>
          </w:tcPr>
          <w:p w14:paraId="2A834F0B" w14:textId="77777777" w:rsidR="008E7A18" w:rsidRPr="008E7A18" w:rsidRDefault="008E7A18" w:rsidP="008E7A18">
            <w:pPr>
              <w:tabs>
                <w:tab w:val="left" w:pos="284"/>
              </w:tabs>
              <w:spacing w:before="40" w:after="240"/>
              <w:rPr>
                <w:color w:val="000000"/>
                <w:sz w:val="22"/>
                <w:szCs w:val="22"/>
                <w:lang w:val="hr-HR" w:eastAsia="de-DE"/>
              </w:rPr>
            </w:pPr>
            <w:r w:rsidRPr="008E7A18">
              <w:rPr>
                <w:color w:val="000000"/>
                <w:sz w:val="22"/>
                <w:szCs w:val="22"/>
                <w:lang w:val="hr-HR" w:eastAsia="de-DE"/>
              </w:rPr>
              <w:t>Naleti vrućine</w:t>
            </w:r>
          </w:p>
        </w:tc>
        <w:tc>
          <w:tcPr>
            <w:tcW w:w="2153" w:type="dxa"/>
          </w:tcPr>
          <w:p w14:paraId="0A7C3490"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veoma često</w:t>
            </w:r>
          </w:p>
        </w:tc>
        <w:tc>
          <w:tcPr>
            <w:tcW w:w="2310" w:type="dxa"/>
            <w:shd w:val="clear" w:color="auto" w:fill="auto"/>
            <w:vAlign w:val="center"/>
          </w:tcPr>
          <w:p w14:paraId="59F92A70" w14:textId="77777777" w:rsidR="008E7A18" w:rsidRPr="008E7A18" w:rsidRDefault="008E7A18" w:rsidP="008E7A18">
            <w:pPr>
              <w:tabs>
                <w:tab w:val="left" w:pos="284"/>
              </w:tabs>
              <w:spacing w:before="40" w:after="240"/>
              <w:jc w:val="both"/>
              <w:rPr>
                <w:color w:val="000000"/>
                <w:sz w:val="22"/>
                <w:szCs w:val="22"/>
                <w:lang w:val="hr-HR" w:eastAsia="de-DE"/>
              </w:rPr>
            </w:pPr>
            <w:r w:rsidRPr="008E7A18">
              <w:rPr>
                <w:color w:val="000000"/>
                <w:sz w:val="22"/>
                <w:szCs w:val="22"/>
                <w:lang w:val="hr-HR" w:eastAsia="de-DE"/>
              </w:rPr>
              <w:t>često</w:t>
            </w:r>
          </w:p>
        </w:tc>
        <w:tc>
          <w:tcPr>
            <w:tcW w:w="0" w:type="auto"/>
            <w:shd w:val="clear" w:color="auto" w:fill="auto"/>
          </w:tcPr>
          <w:p w14:paraId="46DDF862" w14:textId="77777777" w:rsidR="008E7A18" w:rsidRPr="008E7A18" w:rsidRDefault="008E7A18" w:rsidP="008E7A18">
            <w:pPr>
              <w:tabs>
                <w:tab w:val="left" w:pos="284"/>
              </w:tabs>
              <w:spacing w:before="40" w:after="240"/>
              <w:jc w:val="both"/>
              <w:rPr>
                <w:rFonts w:eastAsia="MS Mincho"/>
                <w:color w:val="000000"/>
                <w:sz w:val="22"/>
                <w:szCs w:val="22"/>
                <w:lang w:val="hr-HR"/>
              </w:rPr>
            </w:pPr>
            <w:r w:rsidRPr="008E7A18">
              <w:rPr>
                <w:color w:val="000000"/>
                <w:sz w:val="22"/>
                <w:szCs w:val="22"/>
                <w:lang w:val="hr-HR" w:eastAsia="de-DE"/>
              </w:rPr>
              <w:t>veoma često</w:t>
            </w:r>
          </w:p>
        </w:tc>
      </w:tr>
    </w:tbl>
    <w:p w14:paraId="166142E6" w14:textId="77777777" w:rsidR="000C7302" w:rsidRDefault="00C12643" w:rsidP="005436C8">
      <w:pPr>
        <w:keepNext/>
        <w:keepLines/>
        <w:tabs>
          <w:tab w:val="left" w:pos="284"/>
        </w:tabs>
        <w:autoSpaceDE w:val="0"/>
        <w:autoSpaceDN w:val="0"/>
        <w:adjustRightInd w:val="0"/>
        <w:jc w:val="both"/>
        <w:rPr>
          <w:noProof/>
          <w:color w:val="000000"/>
          <w:sz w:val="22"/>
          <w:szCs w:val="22"/>
          <w:lang w:val="sr-Latn-ME"/>
        </w:rPr>
      </w:pPr>
      <w:r w:rsidRPr="005436C8">
        <w:rPr>
          <w:noProof/>
          <w:color w:val="000000"/>
          <w:sz w:val="22"/>
          <w:szCs w:val="22"/>
          <w:lang w:val="sr-Latn-ME"/>
        </w:rPr>
        <w:t xml:space="preserve">^ </w:t>
      </w:r>
      <w:r w:rsidR="008E7A18">
        <w:rPr>
          <w:noProof/>
          <w:color w:val="000000"/>
          <w:sz w:val="22"/>
          <w:szCs w:val="22"/>
          <w:lang w:val="sr-Latn-ME"/>
        </w:rPr>
        <w:t>P</w:t>
      </w:r>
      <w:r w:rsidR="000C7302" w:rsidRPr="005436C8">
        <w:rPr>
          <w:noProof/>
          <w:color w:val="000000"/>
          <w:sz w:val="22"/>
          <w:szCs w:val="22"/>
          <w:lang w:val="sr-Latn-ME"/>
        </w:rPr>
        <w:t>rikazuje objedinjene podatke prikupljene tokom c</w:t>
      </w:r>
      <w:r w:rsidR="00FA361A" w:rsidRPr="005436C8">
        <w:rPr>
          <w:noProof/>
          <w:color w:val="000000"/>
          <w:sz w:val="22"/>
          <w:szCs w:val="22"/>
          <w:lang w:val="sr-Latn-ME"/>
        </w:rPr>
        <w:t>j</w:t>
      </w:r>
      <w:r w:rsidR="000C7302" w:rsidRPr="005436C8">
        <w:rPr>
          <w:noProof/>
          <w:color w:val="000000"/>
          <w:sz w:val="22"/>
          <w:szCs w:val="22"/>
          <w:lang w:val="sr-Latn-ME"/>
        </w:rPr>
        <w:t xml:space="preserve">elokupnog perioda </w:t>
      </w:r>
      <w:r w:rsidR="000A2EA9" w:rsidRPr="005436C8">
        <w:rPr>
          <w:noProof/>
          <w:color w:val="000000"/>
          <w:sz w:val="22"/>
          <w:szCs w:val="22"/>
          <w:lang w:val="sr-Latn-ME"/>
        </w:rPr>
        <w:t>liječenja</w:t>
      </w:r>
      <w:r w:rsidR="000C7302" w:rsidRPr="005436C8">
        <w:rPr>
          <w:noProof/>
          <w:color w:val="000000"/>
          <w:sz w:val="22"/>
          <w:szCs w:val="22"/>
          <w:lang w:val="sr-Latn-ME"/>
        </w:rPr>
        <w:t xml:space="preserve"> u ispitivanju CLEOPATRA (datum prekida prikupljanja podataka: 11. februar 2014; medijana broja ciklusa pertuzumaba je bila 24), tokom perioda neoadjuvantnog </w:t>
      </w:r>
      <w:r w:rsidR="000A2EA9" w:rsidRPr="005436C8">
        <w:rPr>
          <w:noProof/>
          <w:color w:val="000000"/>
          <w:sz w:val="22"/>
          <w:szCs w:val="22"/>
          <w:lang w:val="sr-Latn-ME"/>
        </w:rPr>
        <w:t>liječenja</w:t>
      </w:r>
      <w:r w:rsidR="000C7302" w:rsidRPr="005436C8">
        <w:rPr>
          <w:noProof/>
          <w:color w:val="000000"/>
          <w:sz w:val="22"/>
          <w:szCs w:val="22"/>
          <w:lang w:val="sr-Latn-ME"/>
        </w:rPr>
        <w:t xml:space="preserve"> u ispitivanjima NEOSPHERE (medijana broja ciklusa pertuzumaba bila je 4 u svim terapijskim grupama) i TRYPHAENA (medijana broja ciklusa pertuzumab bila je 3–6 u svim terapijskim grupama) i tokom perioda </w:t>
      </w:r>
      <w:r w:rsidR="000A2EA9" w:rsidRPr="005436C8">
        <w:rPr>
          <w:noProof/>
          <w:color w:val="000000"/>
          <w:sz w:val="22"/>
          <w:szCs w:val="22"/>
          <w:lang w:val="sr-Latn-ME"/>
        </w:rPr>
        <w:t>liječenja</w:t>
      </w:r>
      <w:r w:rsidR="000C7302" w:rsidRPr="005436C8">
        <w:rPr>
          <w:noProof/>
          <w:color w:val="000000"/>
          <w:sz w:val="22"/>
          <w:szCs w:val="22"/>
          <w:lang w:val="sr-Latn-ME"/>
        </w:rPr>
        <w:t xml:space="preserve"> u ispitivanju </w:t>
      </w:r>
      <w:bookmarkStart w:id="3" w:name="OLE_LINK5"/>
      <w:r w:rsidR="000C7302" w:rsidRPr="005436C8">
        <w:rPr>
          <w:noProof/>
          <w:color w:val="000000"/>
          <w:sz w:val="22"/>
          <w:szCs w:val="22"/>
          <w:lang w:val="sr-Latn-ME"/>
        </w:rPr>
        <w:t>APHINITY (medijana broja ciklusa pertuzumaba je bila 18)</w:t>
      </w:r>
      <w:r w:rsidR="00456410">
        <w:rPr>
          <w:noProof/>
          <w:color w:val="000000"/>
          <w:sz w:val="22"/>
          <w:szCs w:val="22"/>
          <w:lang w:val="sr-Latn-ME"/>
        </w:rPr>
        <w:t xml:space="preserve"> </w:t>
      </w:r>
      <w:r w:rsidR="00456410" w:rsidRPr="00E75D6F">
        <w:rPr>
          <w:noProof/>
          <w:color w:val="000000"/>
          <w:sz w:val="22"/>
          <w:szCs w:val="22"/>
          <w:lang w:val="sr-Latn-ME"/>
        </w:rPr>
        <w:t xml:space="preserve">i tokom </w:t>
      </w:r>
      <w:r w:rsidR="008E7A18" w:rsidRPr="00E75D6F">
        <w:rPr>
          <w:noProof/>
          <w:color w:val="000000"/>
          <w:sz w:val="22"/>
          <w:szCs w:val="22"/>
          <w:lang w:val="sr-Latn-ME"/>
        </w:rPr>
        <w:t>c</w:t>
      </w:r>
      <w:r w:rsidR="00563BCD" w:rsidRPr="00E75D6F">
        <w:rPr>
          <w:noProof/>
          <w:color w:val="000000"/>
          <w:sz w:val="22"/>
          <w:szCs w:val="22"/>
          <w:lang w:val="sr-Latn-ME"/>
        </w:rPr>
        <w:t>j</w:t>
      </w:r>
      <w:r w:rsidR="008E7A18" w:rsidRPr="00E75D6F">
        <w:rPr>
          <w:noProof/>
          <w:color w:val="000000"/>
          <w:sz w:val="22"/>
          <w:szCs w:val="22"/>
          <w:lang w:val="sr-Latn-ME"/>
        </w:rPr>
        <w:t xml:space="preserve">elokupnog </w:t>
      </w:r>
      <w:r w:rsidR="00456410" w:rsidRPr="00E75D6F">
        <w:rPr>
          <w:noProof/>
          <w:color w:val="000000"/>
          <w:sz w:val="22"/>
          <w:szCs w:val="22"/>
          <w:lang w:val="sr-Latn-ME"/>
        </w:rPr>
        <w:t>perioda l</w:t>
      </w:r>
      <w:r w:rsidR="003A62A7" w:rsidRPr="00E75D6F">
        <w:rPr>
          <w:noProof/>
          <w:color w:val="000000"/>
          <w:sz w:val="22"/>
          <w:szCs w:val="22"/>
          <w:lang w:val="sr-Latn-ME"/>
        </w:rPr>
        <w:t>ij</w:t>
      </w:r>
      <w:r w:rsidR="00456410" w:rsidRPr="00E75D6F">
        <w:rPr>
          <w:noProof/>
          <w:color w:val="000000"/>
          <w:sz w:val="22"/>
          <w:szCs w:val="22"/>
          <w:lang w:val="sr-Latn-ME"/>
        </w:rPr>
        <w:t>ečenja u ispitivanju FEDERICA</w:t>
      </w:r>
      <w:bookmarkEnd w:id="3"/>
      <w:r w:rsidR="000C7302" w:rsidRPr="005436C8">
        <w:rPr>
          <w:noProof/>
          <w:color w:val="000000"/>
          <w:sz w:val="22"/>
          <w:szCs w:val="22"/>
          <w:lang w:val="sr-Latn-ME"/>
        </w:rPr>
        <w:t xml:space="preserve"> (medijana broja ciklusa </w:t>
      </w:r>
      <w:r w:rsidR="00166973" w:rsidRPr="005436C8">
        <w:rPr>
          <w:noProof/>
          <w:color w:val="000000"/>
          <w:sz w:val="22"/>
          <w:szCs w:val="22"/>
          <w:lang w:val="sr-Latn-ME"/>
        </w:rPr>
        <w:t>lijek</w:t>
      </w:r>
      <w:r w:rsidR="000C7302" w:rsidRPr="005436C8">
        <w:rPr>
          <w:noProof/>
          <w:color w:val="000000"/>
          <w:sz w:val="22"/>
          <w:szCs w:val="22"/>
          <w:lang w:val="sr-Latn-ME"/>
        </w:rPr>
        <w:t xml:space="preserve">a Phesgo je bila </w:t>
      </w:r>
      <w:r w:rsidR="008E7A18">
        <w:rPr>
          <w:noProof/>
          <w:color w:val="000000"/>
          <w:sz w:val="22"/>
          <w:szCs w:val="22"/>
          <w:lang w:val="sr-Latn-ME"/>
        </w:rPr>
        <w:t>18</w:t>
      </w:r>
      <w:r w:rsidR="000C7302" w:rsidRPr="005436C8">
        <w:rPr>
          <w:noProof/>
          <w:color w:val="000000"/>
          <w:sz w:val="22"/>
          <w:szCs w:val="22"/>
          <w:lang w:val="sr-Latn-ME"/>
        </w:rPr>
        <w:t>).</w:t>
      </w:r>
    </w:p>
    <w:p w14:paraId="2C502FF9" w14:textId="77777777" w:rsidR="00210293" w:rsidRDefault="008E7A18" w:rsidP="005436C8">
      <w:pPr>
        <w:keepNext/>
        <w:keepLines/>
        <w:tabs>
          <w:tab w:val="left" w:pos="284"/>
        </w:tabs>
        <w:autoSpaceDE w:val="0"/>
        <w:autoSpaceDN w:val="0"/>
        <w:adjustRightInd w:val="0"/>
        <w:jc w:val="both"/>
        <w:rPr>
          <w:noProof/>
          <w:color w:val="000000"/>
          <w:sz w:val="22"/>
          <w:szCs w:val="22"/>
          <w:lang w:val="sr-Latn-ME"/>
        </w:rPr>
      </w:pPr>
      <w:r w:rsidRPr="00E75D6F">
        <w:rPr>
          <w:noProof/>
          <w:color w:val="000000"/>
          <w:sz w:val="22"/>
          <w:szCs w:val="22"/>
          <w:lang w:val="sr-Latn-ME"/>
        </w:rPr>
        <w:t>^^</w:t>
      </w:r>
      <w:r w:rsidR="000B45CE">
        <w:rPr>
          <w:noProof/>
          <w:color w:val="000000"/>
          <w:sz w:val="22"/>
          <w:szCs w:val="22"/>
          <w:lang w:val="sr-Latn-ME"/>
        </w:rPr>
        <w:t xml:space="preserve"> </w:t>
      </w:r>
      <w:r w:rsidRPr="00E75D6F">
        <w:rPr>
          <w:noProof/>
          <w:color w:val="000000"/>
          <w:sz w:val="22"/>
          <w:szCs w:val="22"/>
          <w:lang w:val="sr-Latn-ME"/>
        </w:rPr>
        <w:t>Prikazuje podatke za lijek Phesgo tokom c</w:t>
      </w:r>
      <w:r w:rsidR="00563BCD" w:rsidRPr="00E75D6F">
        <w:rPr>
          <w:noProof/>
          <w:color w:val="000000"/>
          <w:sz w:val="22"/>
          <w:szCs w:val="22"/>
          <w:lang w:val="sr-Latn-ME"/>
        </w:rPr>
        <w:t>j</w:t>
      </w:r>
      <w:r w:rsidRPr="00E75D6F">
        <w:rPr>
          <w:noProof/>
          <w:color w:val="000000"/>
          <w:sz w:val="22"/>
          <w:szCs w:val="22"/>
          <w:lang w:val="sr-Latn-ME"/>
        </w:rPr>
        <w:t>elokupnog perioda terapije u ispitivanju FEDERICA (medijana broja ciklusa liječenja lijekom Phesgo je bila 18)</w:t>
      </w:r>
    </w:p>
    <w:p w14:paraId="1B4D22B3" w14:textId="77777777" w:rsidR="000C7302" w:rsidRPr="005436C8" w:rsidRDefault="000C7302" w:rsidP="005436C8">
      <w:pPr>
        <w:keepNext/>
        <w:keepLines/>
        <w:tabs>
          <w:tab w:val="left" w:pos="284"/>
        </w:tabs>
        <w:autoSpaceDE w:val="0"/>
        <w:autoSpaceDN w:val="0"/>
        <w:adjustRightInd w:val="0"/>
        <w:jc w:val="both"/>
        <w:rPr>
          <w:noProof/>
          <w:color w:val="000000"/>
          <w:sz w:val="22"/>
          <w:szCs w:val="22"/>
          <w:lang w:val="sr-Latn-ME"/>
        </w:rPr>
      </w:pPr>
      <w:r w:rsidRPr="005436C8">
        <w:rPr>
          <w:noProof/>
          <w:color w:val="000000"/>
          <w:sz w:val="22"/>
          <w:szCs w:val="22"/>
          <w:lang w:val="sr-Latn-ME"/>
        </w:rPr>
        <w:t>* Uključujući prijavljene neželjene reakcije sa smrtnim ishodom.</w:t>
      </w:r>
    </w:p>
    <w:p w14:paraId="7938EC30" w14:textId="77777777" w:rsidR="000C7302" w:rsidRPr="005436C8" w:rsidRDefault="000C7302" w:rsidP="005436C8">
      <w:pPr>
        <w:keepNext/>
        <w:keepLines/>
        <w:tabs>
          <w:tab w:val="left" w:pos="284"/>
        </w:tabs>
        <w:autoSpaceDE w:val="0"/>
        <w:autoSpaceDN w:val="0"/>
        <w:adjustRightInd w:val="0"/>
        <w:ind w:left="180" w:hanging="180"/>
        <w:jc w:val="both"/>
        <w:rPr>
          <w:noProof/>
          <w:color w:val="000000"/>
          <w:sz w:val="22"/>
          <w:szCs w:val="22"/>
          <w:lang w:val="sr-Latn-ME"/>
        </w:rPr>
      </w:pPr>
      <w:r w:rsidRPr="005436C8">
        <w:rPr>
          <w:noProof/>
          <w:color w:val="000000"/>
          <w:sz w:val="22"/>
          <w:szCs w:val="22"/>
          <w:lang w:val="sr-Latn-ME"/>
        </w:rPr>
        <w:t xml:space="preserve">** Za kompletan period </w:t>
      </w:r>
      <w:r w:rsidR="000A2EA9" w:rsidRPr="005436C8">
        <w:rPr>
          <w:noProof/>
          <w:color w:val="000000"/>
          <w:sz w:val="22"/>
          <w:szCs w:val="22"/>
          <w:lang w:val="sr-Latn-ME"/>
        </w:rPr>
        <w:t>liječenja</w:t>
      </w:r>
      <w:r w:rsidRPr="005436C8">
        <w:rPr>
          <w:noProof/>
          <w:color w:val="000000"/>
          <w:sz w:val="22"/>
          <w:szCs w:val="22"/>
          <w:lang w:val="sr-Latn-ME"/>
        </w:rPr>
        <w:t xml:space="preserve"> </w:t>
      </w:r>
      <w:r w:rsidR="00456410">
        <w:rPr>
          <w:noProof/>
          <w:color w:val="000000"/>
          <w:sz w:val="22"/>
          <w:szCs w:val="22"/>
          <w:lang w:val="sr-Latn-ME"/>
        </w:rPr>
        <w:t>tokom</w:t>
      </w:r>
      <w:r w:rsidRPr="005436C8">
        <w:rPr>
          <w:noProof/>
          <w:color w:val="000000"/>
          <w:sz w:val="22"/>
          <w:szCs w:val="22"/>
          <w:lang w:val="sr-Latn-ME"/>
        </w:rPr>
        <w:t xml:space="preserve"> </w:t>
      </w:r>
      <w:r w:rsidR="00456410">
        <w:rPr>
          <w:noProof/>
          <w:color w:val="000000"/>
          <w:sz w:val="22"/>
          <w:szCs w:val="22"/>
          <w:lang w:val="sr-Latn-ME"/>
        </w:rPr>
        <w:t>svih</w:t>
      </w:r>
      <w:r w:rsidRPr="005436C8">
        <w:rPr>
          <w:noProof/>
          <w:color w:val="000000"/>
          <w:sz w:val="22"/>
          <w:szCs w:val="22"/>
          <w:lang w:val="sr-Latn-ME"/>
        </w:rPr>
        <w:t xml:space="preserve"> </w:t>
      </w:r>
      <w:r w:rsidR="00456410">
        <w:rPr>
          <w:noProof/>
          <w:color w:val="000000"/>
          <w:sz w:val="22"/>
          <w:szCs w:val="22"/>
          <w:lang w:val="sr-Latn-ME"/>
        </w:rPr>
        <w:t>5</w:t>
      </w:r>
      <w:r w:rsidRPr="005436C8">
        <w:rPr>
          <w:noProof/>
          <w:color w:val="000000"/>
          <w:sz w:val="22"/>
          <w:szCs w:val="22"/>
          <w:lang w:val="sr-Latn-ME"/>
        </w:rPr>
        <w:t xml:space="preserve"> studij</w:t>
      </w:r>
      <w:r w:rsidR="00456410">
        <w:rPr>
          <w:noProof/>
          <w:color w:val="000000"/>
          <w:sz w:val="22"/>
          <w:szCs w:val="22"/>
          <w:lang w:val="sr-Latn-ME"/>
        </w:rPr>
        <w:t>a</w:t>
      </w:r>
      <w:r w:rsidRPr="005436C8">
        <w:rPr>
          <w:noProof/>
          <w:color w:val="000000"/>
          <w:sz w:val="22"/>
          <w:szCs w:val="22"/>
          <w:lang w:val="sr-Latn-ME"/>
        </w:rPr>
        <w:t xml:space="preserve"> (CLEOPATRA, NEOSPHERE, TRYPHAENA, APHINITY</w:t>
      </w:r>
      <w:r w:rsidR="00456410">
        <w:rPr>
          <w:noProof/>
          <w:color w:val="000000"/>
          <w:sz w:val="22"/>
          <w:szCs w:val="22"/>
          <w:lang w:val="sr-Latn-ME"/>
        </w:rPr>
        <w:t>, FEDERICA</w:t>
      </w:r>
      <w:r w:rsidRPr="005436C8">
        <w:rPr>
          <w:noProof/>
          <w:color w:val="000000"/>
          <w:sz w:val="22"/>
          <w:szCs w:val="22"/>
          <w:lang w:val="sr-Latn-ME"/>
        </w:rPr>
        <w:t xml:space="preserve">). Incidenca disfunkcije </w:t>
      </w:r>
      <w:r w:rsidR="00EE66E8" w:rsidRPr="005436C8">
        <w:rPr>
          <w:noProof/>
          <w:color w:val="000000"/>
          <w:sz w:val="22"/>
          <w:szCs w:val="22"/>
          <w:lang w:val="sr-Latn-ME"/>
        </w:rPr>
        <w:t>lijeve</w:t>
      </w:r>
      <w:r w:rsidRPr="005436C8">
        <w:rPr>
          <w:noProof/>
          <w:color w:val="000000"/>
          <w:sz w:val="22"/>
          <w:szCs w:val="22"/>
          <w:lang w:val="sr-Latn-ME"/>
        </w:rPr>
        <w:t xml:space="preserve"> komore i kongestivne srčane insuficijencije odražava </w:t>
      </w:r>
      <w:r w:rsidR="00C12643" w:rsidRPr="005436C8">
        <w:rPr>
          <w:noProof/>
          <w:color w:val="000000"/>
          <w:sz w:val="22"/>
          <w:szCs w:val="22"/>
          <w:lang w:val="sr-Latn-ME"/>
        </w:rPr>
        <w:t>preferirane</w:t>
      </w:r>
      <w:r w:rsidRPr="005436C8">
        <w:rPr>
          <w:noProof/>
          <w:color w:val="000000"/>
          <w:sz w:val="22"/>
          <w:szCs w:val="22"/>
          <w:lang w:val="sr-Latn-ME"/>
        </w:rPr>
        <w:t xml:space="preserve"> termine MedDRA </w:t>
      </w:r>
      <w:r w:rsidR="00C12643" w:rsidRPr="005436C8">
        <w:rPr>
          <w:noProof/>
          <w:color w:val="000000"/>
          <w:sz w:val="22"/>
          <w:szCs w:val="22"/>
          <w:lang w:val="sr-Latn-ME"/>
        </w:rPr>
        <w:t>(</w:t>
      </w:r>
      <w:r w:rsidR="00C12643" w:rsidRPr="00E75D6F">
        <w:rPr>
          <w:noProof/>
          <w:color w:val="000000"/>
          <w:sz w:val="22"/>
          <w:szCs w:val="22"/>
          <w:lang w:val="sr-Latn-ME"/>
        </w:rPr>
        <w:t>Preferred Terms</w:t>
      </w:r>
      <w:r w:rsidR="00C12643" w:rsidRPr="005436C8">
        <w:rPr>
          <w:noProof/>
          <w:color w:val="000000"/>
          <w:sz w:val="22"/>
          <w:szCs w:val="22"/>
          <w:lang w:val="sr-Latn-ME"/>
        </w:rPr>
        <w:t xml:space="preserve">, </w:t>
      </w:r>
      <w:r w:rsidR="00C12643" w:rsidRPr="00E75D6F">
        <w:rPr>
          <w:noProof/>
          <w:color w:val="000000"/>
          <w:sz w:val="22"/>
          <w:szCs w:val="22"/>
          <w:lang w:val="sr-Latn-ME"/>
        </w:rPr>
        <w:t>PT</w:t>
      </w:r>
      <w:r w:rsidR="00C12643" w:rsidRPr="005436C8">
        <w:rPr>
          <w:noProof/>
          <w:color w:val="000000"/>
          <w:sz w:val="22"/>
          <w:szCs w:val="22"/>
          <w:lang w:val="sr-Latn-ME"/>
        </w:rPr>
        <w:t xml:space="preserve">) </w:t>
      </w:r>
      <w:r w:rsidR="00FF329E" w:rsidRPr="005436C8">
        <w:rPr>
          <w:noProof/>
          <w:color w:val="000000"/>
          <w:sz w:val="22"/>
          <w:szCs w:val="22"/>
          <w:lang w:val="sr-Latn-ME"/>
        </w:rPr>
        <w:t>zabilježene</w:t>
      </w:r>
      <w:r w:rsidRPr="005436C8">
        <w:rPr>
          <w:noProof/>
          <w:color w:val="000000"/>
          <w:sz w:val="22"/>
          <w:szCs w:val="22"/>
          <w:lang w:val="sr-Latn-ME"/>
        </w:rPr>
        <w:t xml:space="preserve"> u pojedinačnim studijama.</w:t>
      </w:r>
    </w:p>
    <w:p w14:paraId="17C9F25D" w14:textId="77777777" w:rsidR="000C7302" w:rsidRPr="00E75D6F" w:rsidRDefault="000C7302" w:rsidP="005436C8">
      <w:pPr>
        <w:tabs>
          <w:tab w:val="left" w:pos="284"/>
        </w:tabs>
        <w:autoSpaceDE w:val="0"/>
        <w:autoSpaceDN w:val="0"/>
        <w:adjustRightInd w:val="0"/>
        <w:jc w:val="both"/>
        <w:rPr>
          <w:noProof/>
          <w:color w:val="000000"/>
          <w:sz w:val="22"/>
          <w:szCs w:val="22"/>
          <w:lang w:val="sr-Latn-ME"/>
        </w:rPr>
      </w:pPr>
      <w:r w:rsidRPr="005436C8">
        <w:rPr>
          <w:noProof/>
          <w:color w:val="000000"/>
          <w:sz w:val="22"/>
          <w:szCs w:val="22"/>
          <w:lang w:val="sr-Latn-ME"/>
        </w:rPr>
        <w:t>°</w:t>
      </w:r>
      <w:r w:rsidR="008E7A18" w:rsidRPr="00E75D6F">
        <w:rPr>
          <w:noProof/>
          <w:color w:val="000000"/>
          <w:sz w:val="22"/>
          <w:szCs w:val="22"/>
          <w:lang w:val="sr-Latn-ME"/>
        </w:rPr>
        <w:t xml:space="preserve"> Pojmovi koji su najčešće prijavljeni u okviru medicinskih termina „anafilaktička reakcija“ i „reakcija na injekciju/infuziju“, a koji su dalje opisani u dijelu Opis odobranih neželjenih reakcija</w:t>
      </w:r>
      <w:r w:rsidRPr="005436C8">
        <w:rPr>
          <w:noProof/>
          <w:color w:val="000000"/>
          <w:sz w:val="22"/>
          <w:szCs w:val="22"/>
          <w:lang w:val="sr-Latn-ME"/>
        </w:rPr>
        <w:t>.</w:t>
      </w:r>
    </w:p>
    <w:p w14:paraId="39639641" w14:textId="77777777" w:rsidR="000C7302" w:rsidRPr="00E75D6F" w:rsidRDefault="000C7302" w:rsidP="005436C8">
      <w:pPr>
        <w:keepNext/>
        <w:keepLines/>
        <w:tabs>
          <w:tab w:val="left" w:pos="284"/>
        </w:tabs>
        <w:ind w:left="180" w:hanging="180"/>
        <w:jc w:val="both"/>
        <w:rPr>
          <w:noProof/>
          <w:color w:val="000000"/>
          <w:sz w:val="22"/>
          <w:szCs w:val="22"/>
          <w:lang w:val="sr-Latn-ME"/>
        </w:rPr>
      </w:pPr>
      <w:r w:rsidRPr="00E75D6F">
        <w:rPr>
          <w:noProof/>
          <w:color w:val="000000"/>
          <w:sz w:val="22"/>
          <w:szCs w:val="22"/>
          <w:lang w:val="sr-Latn-ME"/>
        </w:rPr>
        <w:t>°°</w:t>
      </w:r>
      <w:r w:rsidR="008E7A18" w:rsidRPr="00E75D6F">
        <w:rPr>
          <w:noProof/>
          <w:color w:val="000000"/>
          <w:sz w:val="22"/>
          <w:szCs w:val="22"/>
          <w:lang w:val="sr-Latn-ME"/>
        </w:rPr>
        <w:t xml:space="preserve"> U studiji FEDERICA nije prijavljen nijedan događaj intersticijalne bolesti pluća, ali ovi događaji su zab</w:t>
      </w:r>
      <w:r w:rsidR="00563BCD" w:rsidRPr="00E75D6F">
        <w:rPr>
          <w:noProof/>
          <w:color w:val="000000"/>
          <w:sz w:val="22"/>
          <w:szCs w:val="22"/>
          <w:lang w:val="sr-Latn-ME"/>
        </w:rPr>
        <w:t>ilj</w:t>
      </w:r>
      <w:r w:rsidR="008E7A18" w:rsidRPr="00E75D6F">
        <w:rPr>
          <w:noProof/>
          <w:color w:val="000000"/>
          <w:sz w:val="22"/>
          <w:szCs w:val="22"/>
          <w:lang w:val="sr-Latn-ME"/>
        </w:rPr>
        <w:t>eženi kod primjene trastuzumaba</w:t>
      </w:r>
      <w:r w:rsidRPr="00E75D6F">
        <w:rPr>
          <w:noProof/>
          <w:color w:val="000000"/>
          <w:sz w:val="22"/>
          <w:szCs w:val="22"/>
          <w:lang w:val="sr-Latn-ME"/>
        </w:rPr>
        <w:t>.</w:t>
      </w:r>
    </w:p>
    <w:p w14:paraId="3C88057E" w14:textId="77777777" w:rsidR="000C7302" w:rsidRPr="00E75D6F" w:rsidRDefault="000C7302" w:rsidP="005436C8">
      <w:pPr>
        <w:keepNext/>
        <w:keepLines/>
        <w:tabs>
          <w:tab w:val="left" w:pos="284"/>
        </w:tabs>
        <w:ind w:left="180" w:hanging="180"/>
        <w:jc w:val="both"/>
        <w:rPr>
          <w:noProof/>
          <w:color w:val="000000"/>
          <w:sz w:val="22"/>
          <w:szCs w:val="22"/>
          <w:lang w:val="sr-Latn-ME"/>
        </w:rPr>
      </w:pPr>
      <w:r w:rsidRPr="00E75D6F">
        <w:rPr>
          <w:noProof/>
          <w:color w:val="000000"/>
          <w:sz w:val="22"/>
          <w:szCs w:val="22"/>
          <w:lang w:val="sr-Latn-ME"/>
        </w:rPr>
        <w:t>°°°</w:t>
      </w:r>
      <w:r w:rsidR="00FE754C" w:rsidRPr="00E75D6F">
        <w:rPr>
          <w:noProof/>
          <w:color w:val="000000"/>
          <w:sz w:val="22"/>
          <w:szCs w:val="22"/>
          <w:lang w:val="sr-Latn-ME"/>
        </w:rPr>
        <w:t>Zabilježen</w:t>
      </w:r>
      <w:r w:rsidRPr="00E75D6F">
        <w:rPr>
          <w:noProof/>
          <w:color w:val="000000"/>
          <w:sz w:val="22"/>
          <w:szCs w:val="22"/>
          <w:lang w:val="sr-Latn-ME"/>
        </w:rPr>
        <w:t xml:space="preserve">o samo </w:t>
      </w:r>
      <w:r w:rsidR="00246F49">
        <w:rPr>
          <w:noProof/>
          <w:color w:val="000000"/>
          <w:sz w:val="22"/>
          <w:szCs w:val="22"/>
          <w:lang w:val="sr-Latn-ME"/>
        </w:rPr>
        <w:t>kod</w:t>
      </w:r>
      <w:r w:rsidRPr="00E75D6F">
        <w:rPr>
          <w:noProof/>
          <w:color w:val="000000"/>
          <w:sz w:val="22"/>
          <w:szCs w:val="22"/>
          <w:lang w:val="sr-Latn-ME"/>
        </w:rPr>
        <w:t xml:space="preserve"> </w:t>
      </w:r>
      <w:r w:rsidR="00097926" w:rsidRPr="00E75D6F">
        <w:rPr>
          <w:noProof/>
          <w:color w:val="000000"/>
          <w:sz w:val="22"/>
          <w:szCs w:val="22"/>
          <w:lang w:val="sr-Latn-ME"/>
        </w:rPr>
        <w:t>primjen</w:t>
      </w:r>
      <w:r w:rsidR="00246F49">
        <w:rPr>
          <w:noProof/>
          <w:color w:val="000000"/>
          <w:sz w:val="22"/>
          <w:szCs w:val="22"/>
          <w:lang w:val="sr-Latn-ME"/>
        </w:rPr>
        <w:t>e</w:t>
      </w:r>
      <w:r w:rsidRPr="00E75D6F">
        <w:rPr>
          <w:noProof/>
          <w:color w:val="000000"/>
          <w:sz w:val="22"/>
          <w:szCs w:val="22"/>
          <w:lang w:val="sr-Latn-ME"/>
        </w:rPr>
        <w:t xml:space="preserve"> </w:t>
      </w:r>
      <w:r w:rsidR="00166973" w:rsidRPr="00E75D6F">
        <w:rPr>
          <w:noProof/>
          <w:color w:val="000000"/>
          <w:sz w:val="22"/>
          <w:szCs w:val="22"/>
          <w:lang w:val="sr-Latn-ME"/>
        </w:rPr>
        <w:t>lijek</w:t>
      </w:r>
      <w:r w:rsidRPr="00E75D6F">
        <w:rPr>
          <w:noProof/>
          <w:color w:val="000000"/>
          <w:sz w:val="22"/>
          <w:szCs w:val="22"/>
          <w:lang w:val="sr-Latn-ME"/>
        </w:rPr>
        <w:t>a Phesgo</w:t>
      </w:r>
      <w:r w:rsidR="00456410" w:rsidRPr="00E75D6F">
        <w:rPr>
          <w:noProof/>
          <w:color w:val="000000"/>
          <w:sz w:val="22"/>
          <w:szCs w:val="22"/>
          <w:lang w:val="sr-Latn-ME"/>
        </w:rPr>
        <w:t xml:space="preserve"> (povezano sa subkutanom primjenom)</w:t>
      </w:r>
      <w:r w:rsidR="008E7A18" w:rsidRPr="00E75D6F">
        <w:rPr>
          <w:noProof/>
          <w:color w:val="000000"/>
          <w:sz w:val="22"/>
          <w:szCs w:val="22"/>
          <w:lang w:val="sr-Latn-ME"/>
        </w:rPr>
        <w:t>. Veća učestalost zab</w:t>
      </w:r>
      <w:r w:rsidR="00563BCD" w:rsidRPr="00E75D6F">
        <w:rPr>
          <w:noProof/>
          <w:color w:val="000000"/>
          <w:sz w:val="22"/>
          <w:szCs w:val="22"/>
          <w:lang w:val="sr-Latn-ME"/>
        </w:rPr>
        <w:t>i</w:t>
      </w:r>
      <w:r w:rsidR="008E7A18" w:rsidRPr="00E75D6F">
        <w:rPr>
          <w:noProof/>
          <w:color w:val="000000"/>
          <w:sz w:val="22"/>
          <w:szCs w:val="22"/>
          <w:lang w:val="sr-Latn-ME"/>
        </w:rPr>
        <w:t>l</w:t>
      </w:r>
      <w:r w:rsidR="00563BCD" w:rsidRPr="00E75D6F">
        <w:rPr>
          <w:noProof/>
          <w:color w:val="000000"/>
          <w:sz w:val="22"/>
          <w:szCs w:val="22"/>
          <w:lang w:val="sr-Latn-ME"/>
        </w:rPr>
        <w:t>j</w:t>
      </w:r>
      <w:r w:rsidR="008E7A18" w:rsidRPr="00E75D6F">
        <w:rPr>
          <w:noProof/>
          <w:color w:val="000000"/>
          <w:sz w:val="22"/>
          <w:szCs w:val="22"/>
          <w:lang w:val="sr-Latn-ME"/>
        </w:rPr>
        <w:t xml:space="preserve">ežena u fazi adjuvantnog liječenja povezana je sa dužim periodom liječenja u kome se lijek Phesgo primjenjuje u monoterapiji. </w:t>
      </w:r>
    </w:p>
    <w:p w14:paraId="4947905C" w14:textId="77777777" w:rsidR="000C7302" w:rsidRPr="00E75D6F" w:rsidRDefault="000C7302" w:rsidP="005436C8">
      <w:pPr>
        <w:keepNext/>
        <w:keepLines/>
        <w:tabs>
          <w:tab w:val="left" w:pos="284"/>
        </w:tabs>
        <w:jc w:val="both"/>
        <w:rPr>
          <w:noProof/>
          <w:color w:val="000000"/>
          <w:sz w:val="22"/>
          <w:szCs w:val="22"/>
          <w:lang w:val="sr-Latn-ME"/>
        </w:rPr>
      </w:pPr>
      <w:r w:rsidRPr="005436C8">
        <w:rPr>
          <w:noProof/>
          <w:color w:val="000000"/>
          <w:sz w:val="22"/>
          <w:szCs w:val="22"/>
          <w:lang w:val="sr-Latn-ME"/>
        </w:rPr>
        <w:t xml:space="preserve">† Neželjene reakcije </w:t>
      </w:r>
      <w:r w:rsidR="00FF329E" w:rsidRPr="005436C8">
        <w:rPr>
          <w:noProof/>
          <w:color w:val="000000"/>
          <w:sz w:val="22"/>
          <w:szCs w:val="22"/>
          <w:lang w:val="sr-Latn-ME"/>
        </w:rPr>
        <w:t>zabilježene</w:t>
      </w:r>
      <w:r w:rsidRPr="005436C8">
        <w:rPr>
          <w:noProof/>
          <w:color w:val="000000"/>
          <w:sz w:val="22"/>
          <w:szCs w:val="22"/>
          <w:lang w:val="sr-Latn-ME"/>
        </w:rPr>
        <w:t xml:space="preserve"> nakon stavljanja u promet</w:t>
      </w:r>
      <w:r w:rsidR="008E7A18">
        <w:rPr>
          <w:noProof/>
          <w:color w:val="000000"/>
          <w:sz w:val="22"/>
          <w:szCs w:val="22"/>
          <w:lang w:val="sr-Latn-ME"/>
        </w:rPr>
        <w:t xml:space="preserve"> </w:t>
      </w:r>
      <w:r w:rsidR="008E7A18" w:rsidRPr="00E75D6F">
        <w:rPr>
          <w:noProof/>
          <w:color w:val="000000"/>
          <w:sz w:val="22"/>
          <w:szCs w:val="22"/>
          <w:lang w:val="sr-Latn-ME"/>
        </w:rPr>
        <w:t>intravenskih formulacija pertuzumaba i trastuzumaba</w:t>
      </w:r>
      <w:r w:rsidR="00AD1AC7" w:rsidRPr="00E75D6F">
        <w:rPr>
          <w:noProof/>
          <w:color w:val="000000"/>
          <w:sz w:val="22"/>
          <w:szCs w:val="22"/>
          <w:lang w:val="sr-Latn-ME"/>
        </w:rPr>
        <w:t>.</w:t>
      </w:r>
    </w:p>
    <w:p w14:paraId="5979EE3D" w14:textId="77777777" w:rsidR="000C7302" w:rsidRPr="005436C8" w:rsidRDefault="000C7302" w:rsidP="005436C8">
      <w:pPr>
        <w:tabs>
          <w:tab w:val="left" w:pos="284"/>
        </w:tabs>
        <w:jc w:val="both"/>
        <w:rPr>
          <w:noProof/>
          <w:sz w:val="22"/>
          <w:szCs w:val="22"/>
          <w:u w:val="single"/>
          <w:lang w:val="sr-Latn-ME"/>
        </w:rPr>
      </w:pPr>
    </w:p>
    <w:p w14:paraId="35B58BAD" w14:textId="77777777" w:rsidR="000C7302" w:rsidRPr="005436C8" w:rsidRDefault="000C7302" w:rsidP="005436C8">
      <w:pPr>
        <w:tabs>
          <w:tab w:val="left" w:pos="284"/>
        </w:tabs>
        <w:autoSpaceDE w:val="0"/>
        <w:autoSpaceDN w:val="0"/>
        <w:adjustRightInd w:val="0"/>
        <w:jc w:val="both"/>
        <w:rPr>
          <w:color w:val="000000"/>
          <w:sz w:val="22"/>
          <w:szCs w:val="22"/>
          <w:u w:val="single"/>
          <w:lang w:val="sr-Latn-ME"/>
        </w:rPr>
      </w:pPr>
      <w:r w:rsidRPr="005436C8">
        <w:rPr>
          <w:color w:val="000000"/>
          <w:sz w:val="22"/>
          <w:szCs w:val="22"/>
          <w:u w:val="single"/>
          <w:lang w:val="sr-Latn-ME"/>
        </w:rPr>
        <w:t>Opis odabranih neželjenih reakcija</w:t>
      </w:r>
    </w:p>
    <w:p w14:paraId="10BC4CCF" w14:textId="77777777" w:rsidR="000C7302" w:rsidRPr="005436C8" w:rsidRDefault="000C7302" w:rsidP="005436C8">
      <w:pPr>
        <w:tabs>
          <w:tab w:val="left" w:pos="284"/>
        </w:tabs>
        <w:autoSpaceDE w:val="0"/>
        <w:autoSpaceDN w:val="0"/>
        <w:adjustRightInd w:val="0"/>
        <w:jc w:val="both"/>
        <w:rPr>
          <w:color w:val="000000"/>
          <w:sz w:val="22"/>
          <w:szCs w:val="22"/>
          <w:u w:val="single"/>
          <w:lang w:val="sr-Latn-ME"/>
        </w:rPr>
      </w:pPr>
    </w:p>
    <w:p w14:paraId="22DB5653" w14:textId="77777777" w:rsidR="000C7302" w:rsidRPr="005436C8" w:rsidRDefault="000C7302" w:rsidP="005436C8">
      <w:pPr>
        <w:tabs>
          <w:tab w:val="left" w:pos="284"/>
        </w:tabs>
        <w:jc w:val="both"/>
        <w:rPr>
          <w:i/>
          <w:sz w:val="22"/>
          <w:szCs w:val="22"/>
          <w:u w:val="single"/>
          <w:lang w:val="sr-Latn-ME"/>
        </w:rPr>
      </w:pPr>
      <w:r w:rsidRPr="005436C8">
        <w:rPr>
          <w:i/>
          <w:iCs/>
          <w:sz w:val="22"/>
          <w:szCs w:val="22"/>
          <w:u w:val="single"/>
          <w:lang w:val="sr-Latn-ME"/>
        </w:rPr>
        <w:t xml:space="preserve">Disfunkcija </w:t>
      </w:r>
      <w:r w:rsidR="00EE66E8" w:rsidRPr="005436C8">
        <w:rPr>
          <w:i/>
          <w:iCs/>
          <w:sz w:val="22"/>
          <w:szCs w:val="22"/>
          <w:u w:val="single"/>
          <w:lang w:val="sr-Latn-ME"/>
        </w:rPr>
        <w:t>lijeve</w:t>
      </w:r>
      <w:r w:rsidRPr="005436C8">
        <w:rPr>
          <w:i/>
          <w:iCs/>
          <w:sz w:val="22"/>
          <w:szCs w:val="22"/>
          <w:u w:val="single"/>
          <w:lang w:val="sr-Latn-ME"/>
        </w:rPr>
        <w:t xml:space="preserve"> komore</w:t>
      </w:r>
    </w:p>
    <w:p w14:paraId="538B7FAC" w14:textId="77777777" w:rsidR="000C7302" w:rsidRPr="005436C8" w:rsidRDefault="000C7302" w:rsidP="005436C8">
      <w:pPr>
        <w:tabs>
          <w:tab w:val="left" w:pos="284"/>
        </w:tabs>
        <w:jc w:val="both"/>
        <w:rPr>
          <w:b/>
          <w:i/>
          <w:sz w:val="22"/>
          <w:szCs w:val="22"/>
          <w:lang w:val="sr-Latn-ME"/>
        </w:rPr>
      </w:pPr>
    </w:p>
    <w:p w14:paraId="29ADDB4D" w14:textId="77777777" w:rsidR="000C7302" w:rsidRPr="005436C8" w:rsidRDefault="008E7A18" w:rsidP="005436C8">
      <w:pPr>
        <w:tabs>
          <w:tab w:val="left" w:pos="284"/>
        </w:tabs>
        <w:jc w:val="both"/>
        <w:rPr>
          <w:i/>
          <w:sz w:val="22"/>
          <w:szCs w:val="22"/>
          <w:lang w:val="sr-Latn-ME"/>
        </w:rPr>
      </w:pPr>
      <w:r>
        <w:rPr>
          <w:i/>
          <w:iCs/>
          <w:sz w:val="22"/>
          <w:szCs w:val="22"/>
          <w:lang w:val="sr-Latn-ME"/>
        </w:rPr>
        <w:t xml:space="preserve">Lijek </w:t>
      </w:r>
      <w:r w:rsidR="000C7302" w:rsidRPr="005436C8">
        <w:rPr>
          <w:i/>
          <w:iCs/>
          <w:sz w:val="22"/>
          <w:szCs w:val="22"/>
          <w:lang w:val="sr-Latn-ME"/>
        </w:rPr>
        <w:t xml:space="preserve">Phesgo </w:t>
      </w:r>
    </w:p>
    <w:p w14:paraId="0DC2EF71" w14:textId="77777777" w:rsidR="000C7302" w:rsidRPr="005436C8" w:rsidRDefault="000C7302" w:rsidP="005436C8">
      <w:pPr>
        <w:tabs>
          <w:tab w:val="left" w:pos="284"/>
        </w:tabs>
        <w:jc w:val="both"/>
        <w:rPr>
          <w:i/>
          <w:sz w:val="22"/>
          <w:szCs w:val="22"/>
          <w:u w:val="single"/>
          <w:lang w:val="sr-Latn-ME"/>
        </w:rPr>
      </w:pPr>
    </w:p>
    <w:p w14:paraId="0A688D0F" w14:textId="5A4EF135" w:rsidR="000C7302" w:rsidRPr="005436C8" w:rsidRDefault="000C7302" w:rsidP="005436C8">
      <w:pPr>
        <w:tabs>
          <w:tab w:val="left" w:pos="284"/>
        </w:tabs>
        <w:jc w:val="both"/>
        <w:rPr>
          <w:i/>
          <w:sz w:val="22"/>
          <w:szCs w:val="22"/>
          <w:lang w:val="sr-Latn-ME"/>
        </w:rPr>
      </w:pPr>
      <w:r w:rsidRPr="005436C8">
        <w:rPr>
          <w:sz w:val="22"/>
          <w:szCs w:val="22"/>
          <w:lang w:val="sr-Latn-ME"/>
        </w:rPr>
        <w:t xml:space="preserve">U pivotalnom ispitivanju FEDERICA incidenca simptomatske srčane insuficijencije (NYHA klase III ili IV), uz pad LVEF od najmanje 10 procentnih poena u odnosu na početnu </w:t>
      </w:r>
      <w:r w:rsidR="000A2EA9" w:rsidRPr="005436C8">
        <w:rPr>
          <w:sz w:val="22"/>
          <w:szCs w:val="22"/>
          <w:lang w:val="sr-Latn-ME"/>
        </w:rPr>
        <w:t>vrijednost</w:t>
      </w:r>
      <w:r w:rsidRPr="005436C8">
        <w:rPr>
          <w:sz w:val="22"/>
          <w:szCs w:val="22"/>
          <w:lang w:val="sr-Latn-ME"/>
        </w:rPr>
        <w:t xml:space="preserve"> i na manje od 50% iznosila je </w:t>
      </w:r>
      <w:r w:rsidR="008E7A18">
        <w:rPr>
          <w:sz w:val="22"/>
          <w:szCs w:val="22"/>
          <w:lang w:val="sr-Latn-ME"/>
        </w:rPr>
        <w:t>0,4</w:t>
      </w:r>
      <w:r w:rsidRPr="005436C8">
        <w:rPr>
          <w:sz w:val="22"/>
          <w:szCs w:val="22"/>
          <w:lang w:val="sr-Latn-ME"/>
        </w:rPr>
        <w:t xml:space="preserve">% kod 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 xml:space="preserve">om </w:t>
      </w:r>
      <w:r w:rsidRPr="005436C8">
        <w:rPr>
          <w:noProof/>
          <w:color w:val="000000"/>
          <w:sz w:val="22"/>
          <w:szCs w:val="22"/>
          <w:lang w:val="sr-Latn-ME"/>
        </w:rPr>
        <w:t>Phesgo</w:t>
      </w:r>
      <w:r w:rsidRPr="005436C8">
        <w:rPr>
          <w:sz w:val="22"/>
          <w:szCs w:val="22"/>
          <w:lang w:val="sr-Latn-ME"/>
        </w:rPr>
        <w:t xml:space="preserve"> </w:t>
      </w:r>
      <w:r w:rsidRPr="000B45CE">
        <w:rPr>
          <w:sz w:val="22"/>
          <w:szCs w:val="22"/>
          <w:lang w:val="sr-Latn-ME"/>
        </w:rPr>
        <w:t>prema 0% kod</w:t>
      </w:r>
      <w:r w:rsidRPr="005436C8">
        <w:rPr>
          <w:sz w:val="22"/>
          <w:szCs w:val="22"/>
          <w:lang w:val="sr-Latn-ME"/>
        </w:rPr>
        <w:t xml:space="preserve"> onih koji su primali intravenski pertuzumab i trastuzumab</w:t>
      </w:r>
      <w:r w:rsidR="008E7A18">
        <w:rPr>
          <w:sz w:val="22"/>
          <w:szCs w:val="22"/>
          <w:lang w:val="sr-Latn-ME"/>
        </w:rPr>
        <w:t xml:space="preserve"> </w:t>
      </w:r>
      <w:r w:rsidR="008E7A18" w:rsidRPr="008E7A18">
        <w:rPr>
          <w:sz w:val="22"/>
          <w:szCs w:val="22"/>
          <w:lang w:val="sr-Latn-RS"/>
        </w:rPr>
        <w:t>u fazi neoadjuvantnog l</w:t>
      </w:r>
      <w:r w:rsidR="008E7A18">
        <w:rPr>
          <w:sz w:val="22"/>
          <w:szCs w:val="22"/>
          <w:lang w:val="sr-Latn-RS"/>
        </w:rPr>
        <w:t>ij</w:t>
      </w:r>
      <w:r w:rsidR="008E7A18" w:rsidRPr="008E7A18">
        <w:rPr>
          <w:sz w:val="22"/>
          <w:szCs w:val="22"/>
          <w:lang w:val="sr-Latn-RS"/>
        </w:rPr>
        <w:t>ečenja (kada su se prim</w:t>
      </w:r>
      <w:r w:rsidR="008E7A18">
        <w:rPr>
          <w:sz w:val="22"/>
          <w:szCs w:val="22"/>
          <w:lang w:val="sr-Latn-RS"/>
        </w:rPr>
        <w:t>j</w:t>
      </w:r>
      <w:r w:rsidR="008E7A18" w:rsidRPr="008E7A18">
        <w:rPr>
          <w:sz w:val="22"/>
          <w:szCs w:val="22"/>
          <w:lang w:val="sr-Latn-RS"/>
        </w:rPr>
        <w:t>enjivali istovremeno sa hemioterapijom</w:t>
      </w:r>
      <w:r w:rsidR="008E7A18">
        <w:rPr>
          <w:sz w:val="22"/>
          <w:szCs w:val="22"/>
          <w:lang w:val="sr-Latn-RS"/>
        </w:rPr>
        <w:t>)</w:t>
      </w:r>
      <w:r w:rsidRPr="005436C8">
        <w:rPr>
          <w:sz w:val="22"/>
          <w:szCs w:val="22"/>
          <w:lang w:val="sr-Latn-ME"/>
        </w:rPr>
        <w:t xml:space="preserve">. Među pacijentima sa simptomatskom srčanom insuficijencijom, nijedan od 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 xml:space="preserve">om </w:t>
      </w:r>
      <w:r w:rsidRPr="005436C8">
        <w:rPr>
          <w:noProof/>
          <w:color w:val="000000"/>
          <w:sz w:val="22"/>
          <w:szCs w:val="22"/>
          <w:lang w:val="sr-Latn-ME"/>
        </w:rPr>
        <w:t>Phesgo</w:t>
      </w:r>
      <w:r w:rsidR="00FA361A" w:rsidRPr="005436C8">
        <w:rPr>
          <w:noProof/>
          <w:color w:val="000000"/>
          <w:sz w:val="22"/>
          <w:szCs w:val="22"/>
          <w:lang w:val="sr-Latn-ME"/>
        </w:rPr>
        <w:t xml:space="preserve"> </w:t>
      </w:r>
      <w:r w:rsidRPr="005436C8">
        <w:rPr>
          <w:sz w:val="22"/>
          <w:szCs w:val="22"/>
          <w:lang w:val="sr-Latn-ME"/>
        </w:rPr>
        <w:t xml:space="preserve">nije se oporavio do završnog datuma prikupljanja podataka, a kod jednog pacijenta je </w:t>
      </w:r>
      <w:r w:rsidR="00841D7D" w:rsidRPr="005436C8">
        <w:rPr>
          <w:sz w:val="22"/>
          <w:szCs w:val="22"/>
          <w:lang w:val="sr-Latn-ME"/>
        </w:rPr>
        <w:t>liječenje</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om Phesgo prekinuto zbog simptomatske srčane insuficijencije. </w:t>
      </w:r>
      <w:r w:rsidR="008E7A18" w:rsidRPr="008E7A18">
        <w:rPr>
          <w:sz w:val="22"/>
          <w:szCs w:val="22"/>
          <w:lang w:val="sr-Latn-RS"/>
        </w:rPr>
        <w:t>Incidence simptomatske srčane insuficijencije uz pad LVEF za najmanje 10 procentnih poena u odnosu na početnu vr</w:t>
      </w:r>
      <w:r w:rsidR="008E7A18">
        <w:rPr>
          <w:sz w:val="22"/>
          <w:szCs w:val="22"/>
          <w:lang w:val="sr-Latn-RS"/>
        </w:rPr>
        <w:t>ij</w:t>
      </w:r>
      <w:r w:rsidR="008E7A18" w:rsidRPr="008E7A18">
        <w:rPr>
          <w:sz w:val="22"/>
          <w:szCs w:val="22"/>
          <w:lang w:val="sr-Latn-RS"/>
        </w:rPr>
        <w:t>ednost i na manje od 50% bile su slične u fazi adjuvantnog l</w:t>
      </w:r>
      <w:r w:rsidR="008E7A18">
        <w:rPr>
          <w:sz w:val="22"/>
          <w:szCs w:val="22"/>
          <w:lang w:val="sr-Latn-RS"/>
        </w:rPr>
        <w:t>ij</w:t>
      </w:r>
      <w:r w:rsidR="008E7A18" w:rsidRPr="008E7A18">
        <w:rPr>
          <w:sz w:val="22"/>
          <w:szCs w:val="22"/>
          <w:lang w:val="sr-Latn-RS"/>
        </w:rPr>
        <w:t>ečenja (kada se l</w:t>
      </w:r>
      <w:r w:rsidR="008E7A18">
        <w:rPr>
          <w:sz w:val="22"/>
          <w:szCs w:val="22"/>
          <w:lang w:val="sr-Latn-RS"/>
        </w:rPr>
        <w:t>ij</w:t>
      </w:r>
      <w:r w:rsidR="008E7A18" w:rsidRPr="008E7A18">
        <w:rPr>
          <w:sz w:val="22"/>
          <w:szCs w:val="22"/>
          <w:lang w:val="sr-Latn-RS"/>
        </w:rPr>
        <w:t>ek Phesgo prim</w:t>
      </w:r>
      <w:r w:rsidR="008E7A18">
        <w:rPr>
          <w:sz w:val="22"/>
          <w:szCs w:val="22"/>
          <w:lang w:val="sr-Latn-RS"/>
        </w:rPr>
        <w:t>j</w:t>
      </w:r>
      <w:r w:rsidR="008E7A18" w:rsidRPr="008E7A18">
        <w:rPr>
          <w:sz w:val="22"/>
          <w:szCs w:val="22"/>
          <w:lang w:val="sr-Latn-RS"/>
        </w:rPr>
        <w:t>enjivao samostalno) i u fazama praćenja. Tokom neoadjuvantnog l</w:t>
      </w:r>
      <w:r w:rsidR="00563BCD">
        <w:rPr>
          <w:sz w:val="22"/>
          <w:szCs w:val="22"/>
          <w:lang w:val="sr-Latn-RS"/>
        </w:rPr>
        <w:t>ij</w:t>
      </w:r>
      <w:r w:rsidR="008E7A18" w:rsidRPr="008E7A18">
        <w:rPr>
          <w:sz w:val="22"/>
          <w:szCs w:val="22"/>
          <w:lang w:val="sr-Latn-RS"/>
        </w:rPr>
        <w:t>ečenja</w:t>
      </w:r>
      <w:r w:rsidR="008E7A18">
        <w:rPr>
          <w:sz w:val="22"/>
          <w:szCs w:val="22"/>
          <w:lang w:val="sr-Latn-RS"/>
        </w:rPr>
        <w:t xml:space="preserve">, </w:t>
      </w:r>
      <w:r w:rsidR="008E7A18">
        <w:rPr>
          <w:sz w:val="22"/>
          <w:szCs w:val="22"/>
          <w:lang w:val="sr-Latn-ME"/>
        </w:rPr>
        <w:t>a</w:t>
      </w:r>
      <w:r w:rsidRPr="005436C8">
        <w:rPr>
          <w:sz w:val="22"/>
          <w:szCs w:val="22"/>
          <w:lang w:val="sr-Latn-ME"/>
        </w:rPr>
        <w:t xml:space="preserve">simptomatski ili blago simptomatski (NYHA klase II) padovi LVEF od najmanje 10 procentnih poena u odnosu na početnu </w:t>
      </w:r>
      <w:r w:rsidR="000A2EA9" w:rsidRPr="005436C8">
        <w:rPr>
          <w:sz w:val="22"/>
          <w:szCs w:val="22"/>
          <w:lang w:val="sr-Latn-ME"/>
        </w:rPr>
        <w:t>vrijednost</w:t>
      </w:r>
      <w:r w:rsidRPr="005436C8">
        <w:rPr>
          <w:sz w:val="22"/>
          <w:szCs w:val="22"/>
          <w:lang w:val="sr-Latn-ME"/>
        </w:rPr>
        <w:t xml:space="preserve"> i na manje od 50% (potvrđeno sekundarnom LVEF) </w:t>
      </w:r>
      <w:r w:rsidR="008E7A18">
        <w:rPr>
          <w:sz w:val="22"/>
          <w:szCs w:val="22"/>
          <w:lang w:val="sr-Latn-ME"/>
        </w:rPr>
        <w:t>ni</w:t>
      </w:r>
      <w:r w:rsidR="004E41D9">
        <w:rPr>
          <w:sz w:val="22"/>
          <w:szCs w:val="22"/>
          <w:lang w:val="sr-Latn-ME"/>
        </w:rPr>
        <w:t>je</w:t>
      </w:r>
      <w:r w:rsidR="008E7A18">
        <w:rPr>
          <w:sz w:val="22"/>
          <w:szCs w:val="22"/>
          <w:lang w:val="sr-Latn-ME"/>
        </w:rPr>
        <w:t xml:space="preserve">su </w:t>
      </w:r>
      <w:r w:rsidRPr="005436C8">
        <w:rPr>
          <w:sz w:val="22"/>
          <w:szCs w:val="22"/>
          <w:lang w:val="sr-Latn-ME"/>
        </w:rPr>
        <w:t xml:space="preserve">prijavljeni </w:t>
      </w:r>
      <w:r w:rsidRPr="005436C8">
        <w:rPr>
          <w:sz w:val="22"/>
          <w:szCs w:val="22"/>
          <w:lang w:val="sr-Latn-ME"/>
        </w:rPr>
        <w:lastRenderedPageBreak/>
        <w:t xml:space="preserve">kod 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 xml:space="preserve">om </w:t>
      </w:r>
      <w:r w:rsidRPr="005436C8">
        <w:rPr>
          <w:noProof/>
          <w:color w:val="000000"/>
          <w:sz w:val="22"/>
          <w:szCs w:val="22"/>
          <w:lang w:val="sr-Latn-ME"/>
        </w:rPr>
        <w:t>Phesgo</w:t>
      </w:r>
      <w:r w:rsidR="008E7A18">
        <w:rPr>
          <w:noProof/>
          <w:color w:val="000000"/>
          <w:sz w:val="22"/>
          <w:szCs w:val="22"/>
          <w:lang w:val="sr-Latn-ME"/>
        </w:rPr>
        <w:t>, a prijavljeno je kod</w:t>
      </w:r>
      <w:r w:rsidRPr="005436C8">
        <w:rPr>
          <w:sz w:val="22"/>
          <w:szCs w:val="22"/>
          <w:lang w:val="sr-Latn-ME"/>
        </w:rPr>
        <w:t xml:space="preserve"> i 4% onih koji su primali intravenski pertuzumab i trastuzumab</w:t>
      </w:r>
      <w:r w:rsidR="004E41D9">
        <w:rPr>
          <w:sz w:val="22"/>
          <w:szCs w:val="22"/>
          <w:lang w:val="sr-Latn-ME"/>
        </w:rPr>
        <w:t xml:space="preserve"> </w:t>
      </w:r>
      <w:r w:rsidRPr="005436C8">
        <w:rPr>
          <w:sz w:val="22"/>
          <w:szCs w:val="22"/>
          <w:lang w:val="sr-Latn-ME"/>
        </w:rPr>
        <w:t>(</w:t>
      </w:r>
      <w:r w:rsidR="004E41D9">
        <w:rPr>
          <w:sz w:val="22"/>
          <w:szCs w:val="22"/>
          <w:lang w:val="sr-Latn-ME"/>
        </w:rPr>
        <w:t xml:space="preserve">vidjeti </w:t>
      </w:r>
      <w:r w:rsidR="009B712A">
        <w:rPr>
          <w:sz w:val="22"/>
          <w:szCs w:val="22"/>
          <w:lang w:val="sr-Latn-ME"/>
        </w:rPr>
        <w:t>djelove</w:t>
      </w:r>
      <w:r w:rsidRPr="005436C8">
        <w:rPr>
          <w:sz w:val="22"/>
          <w:szCs w:val="22"/>
          <w:lang w:val="sr-Latn-ME"/>
        </w:rPr>
        <w:t xml:space="preserve"> 4.2 i 4.4). </w:t>
      </w:r>
      <w:r w:rsidR="008E7A18" w:rsidRPr="008E7A18">
        <w:rPr>
          <w:sz w:val="22"/>
          <w:szCs w:val="22"/>
          <w:lang w:val="hr-HR"/>
        </w:rPr>
        <w:t>U fazi adjuvantnog l</w:t>
      </w:r>
      <w:r w:rsidR="008E7A18">
        <w:rPr>
          <w:sz w:val="22"/>
          <w:szCs w:val="22"/>
          <w:lang w:val="hr-HR"/>
        </w:rPr>
        <w:t>ij</w:t>
      </w:r>
      <w:r w:rsidR="008E7A18" w:rsidRPr="008E7A18">
        <w:rPr>
          <w:sz w:val="22"/>
          <w:szCs w:val="22"/>
          <w:lang w:val="hr-HR"/>
        </w:rPr>
        <w:t>ečenja ni u jednoj grupi ni</w:t>
      </w:r>
      <w:r w:rsidR="004E41D9">
        <w:rPr>
          <w:sz w:val="22"/>
          <w:szCs w:val="22"/>
          <w:lang w:val="hr-HR"/>
        </w:rPr>
        <w:t>je</w:t>
      </w:r>
      <w:r w:rsidR="008E7A18" w:rsidRPr="008E7A18">
        <w:rPr>
          <w:sz w:val="22"/>
          <w:szCs w:val="22"/>
          <w:lang w:val="hr-HR"/>
        </w:rPr>
        <w:t>su prijavljeni asimptomatski ili blago simptomatski (NYHA klase II) padovi LVEF za najmanje 10 procentnih poena u odnosu na početnu vr</w:t>
      </w:r>
      <w:r w:rsidR="008E7A18">
        <w:rPr>
          <w:sz w:val="22"/>
          <w:szCs w:val="22"/>
          <w:lang w:val="hr-HR"/>
        </w:rPr>
        <w:t>ij</w:t>
      </w:r>
      <w:r w:rsidR="008E7A18" w:rsidRPr="008E7A18">
        <w:rPr>
          <w:sz w:val="22"/>
          <w:szCs w:val="22"/>
          <w:lang w:val="hr-HR"/>
        </w:rPr>
        <w:t>ednost i na manje od 50% (potvrđeno dodatnim m</w:t>
      </w:r>
      <w:r w:rsidR="004E41D9">
        <w:rPr>
          <w:sz w:val="22"/>
          <w:szCs w:val="22"/>
          <w:lang w:val="hr-HR"/>
        </w:rPr>
        <w:t>j</w:t>
      </w:r>
      <w:r w:rsidR="008E7A18" w:rsidRPr="008E7A18">
        <w:rPr>
          <w:sz w:val="22"/>
          <w:szCs w:val="22"/>
          <w:lang w:val="hr-HR"/>
        </w:rPr>
        <w:t>erenjem LVEF). U fazi praćenja, ova vrsta srčanih događaja zab</w:t>
      </w:r>
      <w:r w:rsidR="00563BCD">
        <w:rPr>
          <w:sz w:val="22"/>
          <w:szCs w:val="22"/>
          <w:lang w:val="hr-HR"/>
        </w:rPr>
        <w:t>i</w:t>
      </w:r>
      <w:r w:rsidR="008E7A18" w:rsidRPr="008E7A18">
        <w:rPr>
          <w:sz w:val="22"/>
          <w:szCs w:val="22"/>
          <w:lang w:val="hr-HR"/>
        </w:rPr>
        <w:t>l</w:t>
      </w:r>
      <w:r w:rsidR="00563BCD">
        <w:rPr>
          <w:sz w:val="22"/>
          <w:szCs w:val="22"/>
          <w:lang w:val="hr-HR"/>
        </w:rPr>
        <w:t>j</w:t>
      </w:r>
      <w:r w:rsidR="008E7A18" w:rsidRPr="008E7A18">
        <w:rPr>
          <w:sz w:val="22"/>
          <w:szCs w:val="22"/>
          <w:lang w:val="hr-HR"/>
        </w:rPr>
        <w:t>ežena je kod 1,6% pacijenata l</w:t>
      </w:r>
      <w:r w:rsidR="008E7A18">
        <w:rPr>
          <w:sz w:val="22"/>
          <w:szCs w:val="22"/>
          <w:lang w:val="hr-HR"/>
        </w:rPr>
        <w:t>ij</w:t>
      </w:r>
      <w:r w:rsidR="008E7A18" w:rsidRPr="008E7A18">
        <w:rPr>
          <w:sz w:val="22"/>
          <w:szCs w:val="22"/>
          <w:lang w:val="hr-HR"/>
        </w:rPr>
        <w:t>ečenih l</w:t>
      </w:r>
      <w:r w:rsidR="008E7A18">
        <w:rPr>
          <w:sz w:val="22"/>
          <w:szCs w:val="22"/>
          <w:lang w:val="hr-HR"/>
        </w:rPr>
        <w:t>ij</w:t>
      </w:r>
      <w:r w:rsidR="008E7A18" w:rsidRPr="008E7A18">
        <w:rPr>
          <w:sz w:val="22"/>
          <w:szCs w:val="22"/>
          <w:lang w:val="hr-HR"/>
        </w:rPr>
        <w:t>ekom Phesgo i kod 3,6% onih koji su primali pertuzumab i trastuzumab intravenski.</w:t>
      </w:r>
      <w:r w:rsidR="004E41D9">
        <w:rPr>
          <w:sz w:val="22"/>
          <w:szCs w:val="22"/>
          <w:lang w:val="hr-HR"/>
        </w:rPr>
        <w:t xml:space="preserve"> </w:t>
      </w:r>
      <w:r w:rsidRPr="005436C8">
        <w:rPr>
          <w:i/>
          <w:iCs/>
          <w:sz w:val="22"/>
          <w:szCs w:val="22"/>
          <w:lang w:val="sr-Latn-ME"/>
        </w:rPr>
        <w:t xml:space="preserve">Intravenski pertuzumab </w:t>
      </w:r>
      <w:r w:rsidRPr="005436C8">
        <w:rPr>
          <w:sz w:val="22"/>
          <w:szCs w:val="22"/>
          <w:lang w:val="sr-Latn-ME"/>
        </w:rPr>
        <w:t>u kombinaciji sa trastuzumabom i hemoterapijom</w:t>
      </w:r>
    </w:p>
    <w:p w14:paraId="67F8251B" w14:textId="77777777" w:rsidR="000C7302" w:rsidRPr="005436C8" w:rsidRDefault="000C7302" w:rsidP="005436C8">
      <w:pPr>
        <w:tabs>
          <w:tab w:val="left" w:pos="284"/>
        </w:tabs>
        <w:jc w:val="both"/>
        <w:rPr>
          <w:i/>
          <w:sz w:val="22"/>
          <w:szCs w:val="22"/>
          <w:u w:val="single"/>
          <w:lang w:val="sr-Latn-ME"/>
        </w:rPr>
      </w:pPr>
    </w:p>
    <w:p w14:paraId="35B4608A"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pivotalnom ispitivanju CLEOPATRA incidenca disfunkcije </w:t>
      </w:r>
      <w:r w:rsidR="00EE66E8" w:rsidRPr="005436C8">
        <w:rPr>
          <w:sz w:val="22"/>
          <w:szCs w:val="22"/>
          <w:lang w:val="sr-Latn-ME"/>
        </w:rPr>
        <w:t>lijeve</w:t>
      </w:r>
      <w:r w:rsidRPr="005436C8">
        <w:rPr>
          <w:sz w:val="22"/>
          <w:szCs w:val="22"/>
          <w:lang w:val="sr-Latn-ME"/>
        </w:rPr>
        <w:t xml:space="preserve"> komore tokom </w:t>
      </w:r>
      <w:r w:rsidR="000A2EA9" w:rsidRPr="005436C8">
        <w:rPr>
          <w:sz w:val="22"/>
          <w:szCs w:val="22"/>
          <w:lang w:val="sr-Latn-ME"/>
        </w:rPr>
        <w:t>liječenja</w:t>
      </w:r>
      <w:r w:rsidRPr="005436C8">
        <w:rPr>
          <w:sz w:val="22"/>
          <w:szCs w:val="22"/>
          <w:lang w:val="sr-Latn-ME"/>
        </w:rPr>
        <w:t xml:space="preserve"> ispitivanom terapijom bila je viša u grupi koja je primala placebo nego u onoj l</w:t>
      </w:r>
      <w:r w:rsidR="00FA361A" w:rsidRPr="005436C8">
        <w:rPr>
          <w:sz w:val="22"/>
          <w:szCs w:val="22"/>
          <w:lang w:val="sr-Latn-ME"/>
        </w:rPr>
        <w:t>ij</w:t>
      </w:r>
      <w:r w:rsidRPr="005436C8">
        <w:rPr>
          <w:sz w:val="22"/>
          <w:szCs w:val="22"/>
          <w:lang w:val="sr-Latn-ME"/>
        </w:rPr>
        <w:t xml:space="preserve">ečenoj pertuzumabom (8,6% odnosno 6,6%). Incidenca simptomatske disfunkcije </w:t>
      </w:r>
      <w:r w:rsidR="00EE66E8" w:rsidRPr="005436C8">
        <w:rPr>
          <w:sz w:val="22"/>
          <w:szCs w:val="22"/>
          <w:lang w:val="sr-Latn-ME"/>
        </w:rPr>
        <w:t>lijeve</w:t>
      </w:r>
      <w:r w:rsidRPr="005436C8">
        <w:rPr>
          <w:sz w:val="22"/>
          <w:szCs w:val="22"/>
          <w:lang w:val="sr-Latn-ME"/>
        </w:rPr>
        <w:t xml:space="preserve"> komore takođe je bila niža u grupi l</w:t>
      </w:r>
      <w:r w:rsidR="00FA361A" w:rsidRPr="005436C8">
        <w:rPr>
          <w:sz w:val="22"/>
          <w:szCs w:val="22"/>
          <w:lang w:val="sr-Latn-ME"/>
        </w:rPr>
        <w:t>ij</w:t>
      </w:r>
      <w:r w:rsidRPr="005436C8">
        <w:rPr>
          <w:sz w:val="22"/>
          <w:szCs w:val="22"/>
          <w:lang w:val="sr-Latn-ME"/>
        </w:rPr>
        <w:t>čenoj pertuzumabom (1,8% u grupi koja je primala placebo prema 1,5% u grupi l</w:t>
      </w:r>
      <w:r w:rsidR="00FA361A" w:rsidRPr="005436C8">
        <w:rPr>
          <w:sz w:val="22"/>
          <w:szCs w:val="22"/>
          <w:lang w:val="sr-Latn-ME"/>
        </w:rPr>
        <w:t>ij</w:t>
      </w:r>
      <w:r w:rsidRPr="005436C8">
        <w:rPr>
          <w:sz w:val="22"/>
          <w:szCs w:val="22"/>
          <w:lang w:val="sr-Latn-ME"/>
        </w:rPr>
        <w:t>ečenoj pertuzumabom) (</w:t>
      </w:r>
      <w:r w:rsidR="00492BEB">
        <w:rPr>
          <w:sz w:val="22"/>
          <w:szCs w:val="22"/>
          <w:lang w:val="sr-Latn-ME"/>
        </w:rPr>
        <w:t>vidjeti dio</w:t>
      </w:r>
      <w:r w:rsidRPr="005436C8">
        <w:rPr>
          <w:sz w:val="22"/>
          <w:szCs w:val="22"/>
          <w:lang w:val="sr-Latn-ME"/>
        </w:rPr>
        <w:t xml:space="preserve"> 4.4). </w:t>
      </w:r>
    </w:p>
    <w:p w14:paraId="63E85EE7" w14:textId="77777777" w:rsidR="000C7302" w:rsidRPr="005436C8" w:rsidRDefault="000C7302" w:rsidP="005436C8">
      <w:pPr>
        <w:tabs>
          <w:tab w:val="left" w:pos="284"/>
        </w:tabs>
        <w:jc w:val="both"/>
        <w:rPr>
          <w:sz w:val="22"/>
          <w:szCs w:val="22"/>
          <w:lang w:val="sr-Latn-ME"/>
        </w:rPr>
      </w:pPr>
    </w:p>
    <w:p w14:paraId="648DBCC7"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neoadjuvantnom ispitivanju NEOSPHERE, u kome su pacijenti primili četiri ciklusa pertuzumaba kao neoadjuvantnu terapiju, incidenca disfunkcije </w:t>
      </w:r>
      <w:r w:rsidR="00EE66E8" w:rsidRPr="005436C8">
        <w:rPr>
          <w:sz w:val="22"/>
          <w:szCs w:val="22"/>
          <w:lang w:val="sr-Latn-ME"/>
        </w:rPr>
        <w:t>lijeve</w:t>
      </w:r>
      <w:r w:rsidRPr="005436C8">
        <w:rPr>
          <w:sz w:val="22"/>
          <w:szCs w:val="22"/>
          <w:lang w:val="sr-Latn-ME"/>
        </w:rPr>
        <w:t xml:space="preserve"> komore (tokom c</w:t>
      </w:r>
      <w:r w:rsidR="00552A8A" w:rsidRPr="005436C8">
        <w:rPr>
          <w:sz w:val="22"/>
          <w:szCs w:val="22"/>
          <w:lang w:val="sr-Latn-ME"/>
        </w:rPr>
        <w:t>j</w:t>
      </w:r>
      <w:r w:rsidRPr="005436C8">
        <w:rPr>
          <w:sz w:val="22"/>
          <w:szCs w:val="22"/>
          <w:lang w:val="sr-Latn-ME"/>
        </w:rPr>
        <w:t xml:space="preserve">elokupnog perioda </w:t>
      </w:r>
      <w:r w:rsidR="000A2EA9" w:rsidRPr="005436C8">
        <w:rPr>
          <w:sz w:val="22"/>
          <w:szCs w:val="22"/>
          <w:lang w:val="sr-Latn-ME"/>
        </w:rPr>
        <w:t>liječenja</w:t>
      </w:r>
      <w:r w:rsidRPr="005436C8">
        <w:rPr>
          <w:sz w:val="22"/>
          <w:szCs w:val="22"/>
          <w:lang w:val="sr-Latn-ME"/>
        </w:rPr>
        <w:t xml:space="preserve">) bila je viša u grupi </w:t>
      </w:r>
      <w:r w:rsidR="00F90BE1" w:rsidRPr="005436C8">
        <w:rPr>
          <w:sz w:val="22"/>
          <w:szCs w:val="22"/>
          <w:lang w:val="sr-Latn-ME"/>
        </w:rPr>
        <w:t>liječenoj</w:t>
      </w:r>
      <w:r w:rsidRPr="005436C8">
        <w:rPr>
          <w:sz w:val="22"/>
          <w:szCs w:val="22"/>
          <w:lang w:val="sr-Latn-ME"/>
        </w:rPr>
        <w:t xml:space="preserve"> pertuzumabom, trastuzumabom i docetakselom (7,5%) nego u onoj </w:t>
      </w:r>
      <w:r w:rsidR="00F90BE1" w:rsidRPr="005436C8">
        <w:rPr>
          <w:sz w:val="22"/>
          <w:szCs w:val="22"/>
          <w:lang w:val="sr-Latn-ME"/>
        </w:rPr>
        <w:t>liječenoj</w:t>
      </w:r>
      <w:r w:rsidRPr="005436C8">
        <w:rPr>
          <w:sz w:val="22"/>
          <w:szCs w:val="22"/>
          <w:lang w:val="sr-Latn-ME"/>
        </w:rPr>
        <w:t xml:space="preserve"> trastuzumabom i docetakselom (1,9%). Pojavio se jedan slučaj simptomatske disfunkcije </w:t>
      </w:r>
      <w:r w:rsidR="00EE66E8" w:rsidRPr="005436C8">
        <w:rPr>
          <w:sz w:val="22"/>
          <w:szCs w:val="22"/>
          <w:lang w:val="sr-Latn-ME"/>
        </w:rPr>
        <w:t>lijeve</w:t>
      </w:r>
      <w:r w:rsidRPr="005436C8">
        <w:rPr>
          <w:sz w:val="22"/>
          <w:szCs w:val="22"/>
          <w:lang w:val="sr-Latn-ME"/>
        </w:rPr>
        <w:t xml:space="preserve"> komore u grupi </w:t>
      </w:r>
      <w:r w:rsidR="00F90BE1" w:rsidRPr="005436C8">
        <w:rPr>
          <w:sz w:val="22"/>
          <w:szCs w:val="22"/>
          <w:lang w:val="sr-Latn-ME"/>
        </w:rPr>
        <w:t>liječenoj</w:t>
      </w:r>
      <w:r w:rsidRPr="005436C8">
        <w:rPr>
          <w:sz w:val="22"/>
          <w:szCs w:val="22"/>
          <w:lang w:val="sr-Latn-ME"/>
        </w:rPr>
        <w:t xml:space="preserve"> pertuzumabom i trastuzumabom. </w:t>
      </w:r>
    </w:p>
    <w:p w14:paraId="2C8FF79C" w14:textId="77777777" w:rsidR="000C7302" w:rsidRPr="005436C8" w:rsidRDefault="000C7302" w:rsidP="005436C8">
      <w:pPr>
        <w:tabs>
          <w:tab w:val="left" w:pos="284"/>
        </w:tabs>
        <w:jc w:val="both"/>
        <w:rPr>
          <w:sz w:val="22"/>
          <w:szCs w:val="22"/>
          <w:lang w:val="sr-Latn-ME"/>
        </w:rPr>
      </w:pPr>
    </w:p>
    <w:p w14:paraId="2A1AE2EE"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neoadjuvantnom ispitivanju TRYPHAENA, incidenca disfunkcije </w:t>
      </w:r>
      <w:r w:rsidR="00EE66E8" w:rsidRPr="005436C8">
        <w:rPr>
          <w:sz w:val="22"/>
          <w:szCs w:val="22"/>
          <w:lang w:val="sr-Latn-ME"/>
        </w:rPr>
        <w:t>lijeve</w:t>
      </w:r>
      <w:r w:rsidRPr="005436C8">
        <w:rPr>
          <w:sz w:val="22"/>
          <w:szCs w:val="22"/>
          <w:lang w:val="sr-Latn-ME"/>
        </w:rPr>
        <w:t xml:space="preserve"> komore (tokom celokupnog perioda </w:t>
      </w:r>
      <w:r w:rsidR="000A2EA9" w:rsidRPr="005436C8">
        <w:rPr>
          <w:sz w:val="22"/>
          <w:szCs w:val="22"/>
          <w:lang w:val="sr-Latn-ME"/>
        </w:rPr>
        <w:t>liječenja</w:t>
      </w:r>
      <w:r w:rsidRPr="005436C8">
        <w:rPr>
          <w:sz w:val="22"/>
          <w:szCs w:val="22"/>
          <w:lang w:val="sr-Latn-ME"/>
        </w:rPr>
        <w:t>) iznosila je 8,3% u grupi l</w:t>
      </w:r>
      <w:r w:rsidR="00401D97" w:rsidRPr="005436C8">
        <w:rPr>
          <w:sz w:val="22"/>
          <w:szCs w:val="22"/>
          <w:lang w:val="sr-Latn-ME"/>
        </w:rPr>
        <w:t>ij</w:t>
      </w:r>
      <w:r w:rsidRPr="005436C8">
        <w:rPr>
          <w:sz w:val="22"/>
          <w:szCs w:val="22"/>
          <w:lang w:val="sr-Latn-ME"/>
        </w:rPr>
        <w:t>ečenoj pertuzumabom u kombinaciji sa trastuzumabom i FEC-om (5-fluorouracil, epirubicin, ciklofosfamid), a zatim pertuzumabom u kombinaciji sa trastuzumabom i docetakselom, 9,3% u grupi l</w:t>
      </w:r>
      <w:r w:rsidR="00401D97" w:rsidRPr="005436C8">
        <w:rPr>
          <w:sz w:val="22"/>
          <w:szCs w:val="22"/>
          <w:lang w:val="sr-Latn-ME"/>
        </w:rPr>
        <w:t>ij</w:t>
      </w:r>
      <w:r w:rsidRPr="005436C8">
        <w:rPr>
          <w:sz w:val="22"/>
          <w:szCs w:val="22"/>
          <w:lang w:val="sr-Latn-ME"/>
        </w:rPr>
        <w:t>ečenoj pertuzumabom u kombinaciji sa trastuzumabom i docetakselom nakon FEC-a i 6,6% u grupi l</w:t>
      </w:r>
      <w:r w:rsidR="00401D97" w:rsidRPr="005436C8">
        <w:rPr>
          <w:sz w:val="22"/>
          <w:szCs w:val="22"/>
          <w:lang w:val="sr-Latn-ME"/>
        </w:rPr>
        <w:t>ij</w:t>
      </w:r>
      <w:r w:rsidRPr="005436C8">
        <w:rPr>
          <w:sz w:val="22"/>
          <w:szCs w:val="22"/>
          <w:lang w:val="sr-Latn-ME"/>
        </w:rPr>
        <w:t xml:space="preserve">ečenoj pertuzumabom u kombinaciji sa TCH-om (docetaksel, karboplatin i trastuzumab). Incidenca simptomatske disfunkcije </w:t>
      </w:r>
      <w:r w:rsidR="00EE66E8" w:rsidRPr="005436C8">
        <w:rPr>
          <w:sz w:val="22"/>
          <w:szCs w:val="22"/>
          <w:lang w:val="sr-Latn-ME"/>
        </w:rPr>
        <w:t>lijeve</w:t>
      </w:r>
      <w:r w:rsidRPr="005436C8">
        <w:rPr>
          <w:sz w:val="22"/>
          <w:szCs w:val="22"/>
          <w:lang w:val="sr-Latn-ME"/>
        </w:rPr>
        <w:t xml:space="preserve"> komore (kongestivne srčane insuficijencije) iznosila je 1,3% u grupi l</w:t>
      </w:r>
      <w:r w:rsidR="00401D97" w:rsidRPr="005436C8">
        <w:rPr>
          <w:sz w:val="22"/>
          <w:szCs w:val="22"/>
          <w:lang w:val="sr-Latn-ME"/>
        </w:rPr>
        <w:t>ij</w:t>
      </w:r>
      <w:r w:rsidRPr="005436C8">
        <w:rPr>
          <w:sz w:val="22"/>
          <w:szCs w:val="22"/>
          <w:lang w:val="sr-Latn-ME"/>
        </w:rPr>
        <w:t>ečenoj pertuzumabom u kombinaciji sa trastuzumabom i FEC-om (to isključuje pacijenta koji je doživ</w:t>
      </w:r>
      <w:r w:rsidR="00FF329E" w:rsidRPr="005436C8">
        <w:rPr>
          <w:sz w:val="22"/>
          <w:szCs w:val="22"/>
          <w:lang w:val="sr-Latn-ME"/>
        </w:rPr>
        <w:t>i</w:t>
      </w:r>
      <w:r w:rsidRPr="005436C8">
        <w:rPr>
          <w:sz w:val="22"/>
          <w:szCs w:val="22"/>
          <w:lang w:val="sr-Latn-ME"/>
        </w:rPr>
        <w:t xml:space="preserve">o simptomatsku disfunkciju </w:t>
      </w:r>
      <w:r w:rsidR="00EE66E8" w:rsidRPr="005436C8">
        <w:rPr>
          <w:sz w:val="22"/>
          <w:szCs w:val="22"/>
          <w:lang w:val="sr-Latn-ME"/>
        </w:rPr>
        <w:t>lijeve</w:t>
      </w:r>
      <w:r w:rsidRPr="005436C8">
        <w:rPr>
          <w:sz w:val="22"/>
          <w:szCs w:val="22"/>
          <w:lang w:val="sr-Latn-ME"/>
        </w:rPr>
        <w:t xml:space="preserve"> komore tokom terapije FEC-om pr</w:t>
      </w:r>
      <w:r w:rsidR="002725F1" w:rsidRPr="005436C8">
        <w:rPr>
          <w:sz w:val="22"/>
          <w:szCs w:val="22"/>
          <w:lang w:val="sr-Latn-ME"/>
        </w:rPr>
        <w:t>ij</w:t>
      </w:r>
      <w:r w:rsidRPr="005436C8">
        <w:rPr>
          <w:sz w:val="22"/>
          <w:szCs w:val="22"/>
          <w:lang w:val="sr-Latn-ME"/>
        </w:rPr>
        <w:t xml:space="preserve">e nego što je primio pertuzumab u kombinaciji sa trastuzumabom i docetakselom) i takođe 1,3% u grupi </w:t>
      </w:r>
      <w:r w:rsidR="00F90BE1" w:rsidRPr="005436C8">
        <w:rPr>
          <w:sz w:val="22"/>
          <w:szCs w:val="22"/>
          <w:lang w:val="sr-Latn-ME"/>
        </w:rPr>
        <w:t>liječenoj</w:t>
      </w:r>
      <w:r w:rsidRPr="005436C8">
        <w:rPr>
          <w:sz w:val="22"/>
          <w:szCs w:val="22"/>
          <w:lang w:val="sr-Latn-ME"/>
        </w:rPr>
        <w:t xml:space="preserve"> pertuzumabom u kombinaciji sa TCH-om. Simptomatska disfunkcija </w:t>
      </w:r>
      <w:r w:rsidR="00EE66E8" w:rsidRPr="005436C8">
        <w:rPr>
          <w:sz w:val="22"/>
          <w:szCs w:val="22"/>
          <w:lang w:val="sr-Latn-ME"/>
        </w:rPr>
        <w:t>lijeve</w:t>
      </w:r>
      <w:r w:rsidRPr="005436C8">
        <w:rPr>
          <w:sz w:val="22"/>
          <w:szCs w:val="22"/>
          <w:lang w:val="sr-Latn-ME"/>
        </w:rPr>
        <w:t xml:space="preserve"> komore nije se javila ni kod jednog pacijenta u grupi </w:t>
      </w:r>
      <w:r w:rsidR="00F90BE1" w:rsidRPr="005436C8">
        <w:rPr>
          <w:sz w:val="22"/>
          <w:szCs w:val="22"/>
          <w:lang w:val="sr-Latn-ME"/>
        </w:rPr>
        <w:t>liječenoj</w:t>
      </w:r>
      <w:r w:rsidRPr="005436C8">
        <w:rPr>
          <w:sz w:val="22"/>
          <w:szCs w:val="22"/>
          <w:lang w:val="sr-Latn-ME"/>
        </w:rPr>
        <w:t xml:space="preserve"> pertuzumabom u kombinaciji sa trastuzumabom i FEC-om, a onda pertuzumabom u kombinaciji sa trastuzumabom i docetakselom.</w:t>
      </w:r>
    </w:p>
    <w:p w14:paraId="64809455" w14:textId="77777777" w:rsidR="000C7302" w:rsidRPr="005436C8" w:rsidRDefault="000C7302" w:rsidP="005436C8">
      <w:pPr>
        <w:tabs>
          <w:tab w:val="left" w:pos="284"/>
        </w:tabs>
        <w:jc w:val="both"/>
        <w:rPr>
          <w:sz w:val="22"/>
          <w:szCs w:val="22"/>
          <w:lang w:val="sr-Latn-ME"/>
        </w:rPr>
      </w:pPr>
    </w:p>
    <w:p w14:paraId="33C772D9" w14:textId="77777777" w:rsidR="000C7302" w:rsidRPr="005436C8" w:rsidRDefault="000C7302" w:rsidP="005436C8">
      <w:pPr>
        <w:tabs>
          <w:tab w:val="left" w:pos="284"/>
        </w:tabs>
        <w:jc w:val="both"/>
        <w:rPr>
          <w:sz w:val="22"/>
          <w:szCs w:val="22"/>
          <w:lang w:val="sr-Latn-ME"/>
        </w:rPr>
      </w:pPr>
      <w:r w:rsidRPr="005436C8">
        <w:rPr>
          <w:sz w:val="22"/>
          <w:szCs w:val="22"/>
          <w:lang w:val="sr-Latn-ME"/>
        </w:rPr>
        <w:t>U neoadjuvantnom periodu u okviru ispitivanja BERENICE</w:t>
      </w:r>
      <w:r w:rsidR="002725F1" w:rsidRPr="005436C8">
        <w:rPr>
          <w:sz w:val="22"/>
          <w:szCs w:val="22"/>
          <w:lang w:val="sr-Latn-ME"/>
        </w:rPr>
        <w:t>,</w:t>
      </w:r>
      <w:r w:rsidRPr="005436C8">
        <w:rPr>
          <w:sz w:val="22"/>
          <w:szCs w:val="22"/>
          <w:lang w:val="sr-Latn-ME"/>
        </w:rPr>
        <w:t xml:space="preserve"> incidenca simptomatske disfunkcije </w:t>
      </w:r>
      <w:r w:rsidR="00EE66E8" w:rsidRPr="005436C8">
        <w:rPr>
          <w:sz w:val="22"/>
          <w:szCs w:val="22"/>
          <w:lang w:val="sr-Latn-ME"/>
        </w:rPr>
        <w:t>lijeve</w:t>
      </w:r>
      <w:r w:rsidRPr="005436C8">
        <w:rPr>
          <w:sz w:val="22"/>
          <w:szCs w:val="22"/>
          <w:lang w:val="sr-Latn-ME"/>
        </w:rPr>
        <w:t xml:space="preserve"> komore NYHA klase III/IV (kongestivna srčana insuficijencija prema verziji 4 NCI-CTCAE) iznosila je 1,5% u grupi </w:t>
      </w:r>
      <w:r w:rsidR="00F90BE1" w:rsidRPr="005436C8">
        <w:rPr>
          <w:sz w:val="22"/>
          <w:szCs w:val="22"/>
          <w:lang w:val="sr-Latn-ME"/>
        </w:rPr>
        <w:t>liječenoj</w:t>
      </w:r>
      <w:r w:rsidRPr="005436C8">
        <w:rPr>
          <w:sz w:val="22"/>
          <w:szCs w:val="22"/>
          <w:lang w:val="sr-Latn-ME"/>
        </w:rPr>
        <w:t xml:space="preserve"> zgusnutim dozama doksorubicina i ciklofosfamida (AC), a zatim pertuzumabom u kombinaciji sa trastuzumabom i paklitakselom i 0% (nijedan od pacijenata) u grupi </w:t>
      </w:r>
      <w:r w:rsidR="00F90BE1" w:rsidRPr="005436C8">
        <w:rPr>
          <w:sz w:val="22"/>
          <w:szCs w:val="22"/>
          <w:lang w:val="sr-Latn-ME"/>
        </w:rPr>
        <w:t>liječenoj</w:t>
      </w:r>
      <w:r w:rsidRPr="005436C8">
        <w:rPr>
          <w:sz w:val="22"/>
          <w:szCs w:val="22"/>
          <w:lang w:val="sr-Latn-ME"/>
        </w:rPr>
        <w:t xml:space="preserve"> FEC-om, a zatim pertuzumabom u kombinaciji sa trastuzumabom i docetakselom. Incidenca asimptomatske disfunkcije </w:t>
      </w:r>
      <w:r w:rsidR="00EE66E8" w:rsidRPr="005436C8">
        <w:rPr>
          <w:sz w:val="22"/>
          <w:szCs w:val="22"/>
          <w:lang w:val="sr-Latn-ME"/>
        </w:rPr>
        <w:t>lijeve</w:t>
      </w:r>
      <w:r w:rsidRPr="005436C8">
        <w:rPr>
          <w:sz w:val="22"/>
          <w:szCs w:val="22"/>
          <w:lang w:val="sr-Latn-ME"/>
        </w:rPr>
        <w:t xml:space="preserve"> komore (smanjenje ejekcione frakcije prema verziji 4 NCI-CTCAE) iznosila je 7% u grupi </w:t>
      </w:r>
      <w:r w:rsidR="00F90BE1" w:rsidRPr="005436C8">
        <w:rPr>
          <w:sz w:val="22"/>
          <w:szCs w:val="22"/>
          <w:lang w:val="sr-Latn-ME"/>
        </w:rPr>
        <w:t>liječenoj</w:t>
      </w:r>
      <w:r w:rsidRPr="005436C8">
        <w:rPr>
          <w:sz w:val="22"/>
          <w:szCs w:val="22"/>
          <w:lang w:val="sr-Latn-ME"/>
        </w:rPr>
        <w:t xml:space="preserve"> zgusnutim dozama AC, a zatim pertuzumabom u kombinaciji sa trastuzumabom i paklitakselom i 3,5% u grupi </w:t>
      </w:r>
      <w:r w:rsidR="00F90BE1" w:rsidRPr="005436C8">
        <w:rPr>
          <w:sz w:val="22"/>
          <w:szCs w:val="22"/>
          <w:lang w:val="sr-Latn-ME"/>
        </w:rPr>
        <w:t>liječenoj</w:t>
      </w:r>
      <w:r w:rsidRPr="005436C8">
        <w:rPr>
          <w:sz w:val="22"/>
          <w:szCs w:val="22"/>
          <w:lang w:val="sr-Latn-ME"/>
        </w:rPr>
        <w:t xml:space="preserve"> FEC-om, a zatim pertuzumabom u kombinaciji sa trastuzumabom i docetakselom.</w:t>
      </w:r>
    </w:p>
    <w:p w14:paraId="058DACE0" w14:textId="77777777" w:rsidR="000C7302" w:rsidRPr="005436C8" w:rsidRDefault="000C7302" w:rsidP="005436C8">
      <w:pPr>
        <w:tabs>
          <w:tab w:val="left" w:pos="284"/>
        </w:tabs>
        <w:jc w:val="both"/>
        <w:rPr>
          <w:sz w:val="22"/>
          <w:szCs w:val="22"/>
          <w:lang w:val="sr-Latn-ME"/>
        </w:rPr>
      </w:pPr>
    </w:p>
    <w:p w14:paraId="272DD023" w14:textId="77777777" w:rsidR="000C7302" w:rsidRDefault="000C7302" w:rsidP="005436C8">
      <w:pPr>
        <w:tabs>
          <w:tab w:val="left" w:pos="284"/>
        </w:tabs>
        <w:jc w:val="both"/>
        <w:rPr>
          <w:sz w:val="22"/>
          <w:szCs w:val="22"/>
          <w:lang w:val="sr-Latn-ME"/>
        </w:rPr>
      </w:pPr>
      <w:r w:rsidRPr="005436C8">
        <w:rPr>
          <w:sz w:val="22"/>
          <w:szCs w:val="22"/>
          <w:lang w:val="sr-Latn-ME"/>
        </w:rPr>
        <w:t xml:space="preserve">U ispitivanju APHINITY incidenca simptomatske srčane insuficijencije (NYHA klase III ili IV), uz pad LVEF od najmanje 10 procentnih poena u odnosu na početnu </w:t>
      </w:r>
      <w:r w:rsidR="000A2EA9" w:rsidRPr="005436C8">
        <w:rPr>
          <w:sz w:val="22"/>
          <w:szCs w:val="22"/>
          <w:lang w:val="sr-Latn-ME"/>
        </w:rPr>
        <w:t>vrijednost</w:t>
      </w:r>
      <w:r w:rsidRPr="005436C8">
        <w:rPr>
          <w:sz w:val="22"/>
          <w:szCs w:val="22"/>
          <w:lang w:val="sr-Latn-ME"/>
        </w:rPr>
        <w:t xml:space="preserve"> i na manje od 50% iznosila je manje od 1% (0,6% kod pacijenata </w:t>
      </w:r>
      <w:r w:rsidR="00097926" w:rsidRPr="005436C8">
        <w:rPr>
          <w:sz w:val="22"/>
          <w:szCs w:val="22"/>
          <w:lang w:val="sr-Latn-ME"/>
        </w:rPr>
        <w:t>liječeni</w:t>
      </w:r>
      <w:r w:rsidRPr="005436C8">
        <w:rPr>
          <w:sz w:val="22"/>
          <w:szCs w:val="22"/>
          <w:lang w:val="sr-Latn-ME"/>
        </w:rPr>
        <w:t xml:space="preserve">h pertuzumabom prema 0,3% kod onih koji su primali placebo). Među pacijentima sa simptomatskom srčanom insuficijencijom, na završni datum prikupljanja podataka kod 46,7% pacijenata </w:t>
      </w:r>
      <w:r w:rsidR="00097926" w:rsidRPr="005436C8">
        <w:rPr>
          <w:sz w:val="22"/>
          <w:szCs w:val="22"/>
          <w:lang w:val="sr-Latn-ME"/>
        </w:rPr>
        <w:t>liječeni</w:t>
      </w:r>
      <w:r w:rsidRPr="005436C8">
        <w:rPr>
          <w:sz w:val="22"/>
          <w:szCs w:val="22"/>
          <w:lang w:val="sr-Latn-ME"/>
        </w:rPr>
        <w:t>h pertuzumabom i 57,1% onih koji su primali placebo zab</w:t>
      </w:r>
      <w:r w:rsidR="00FF329E" w:rsidRPr="005436C8">
        <w:rPr>
          <w:sz w:val="22"/>
          <w:szCs w:val="22"/>
          <w:lang w:val="sr-Latn-ME"/>
        </w:rPr>
        <w:t>i</w:t>
      </w:r>
      <w:r w:rsidRPr="005436C8">
        <w:rPr>
          <w:sz w:val="22"/>
          <w:szCs w:val="22"/>
          <w:lang w:val="sr-Latn-ME"/>
        </w:rPr>
        <w:t>l</w:t>
      </w:r>
      <w:r w:rsidR="00FF329E" w:rsidRPr="005436C8">
        <w:rPr>
          <w:sz w:val="22"/>
          <w:szCs w:val="22"/>
          <w:lang w:val="sr-Latn-ME"/>
        </w:rPr>
        <w:t>j</w:t>
      </w:r>
      <w:r w:rsidRPr="005436C8">
        <w:rPr>
          <w:sz w:val="22"/>
          <w:szCs w:val="22"/>
          <w:lang w:val="sr-Latn-ME"/>
        </w:rPr>
        <w:t>ežen je oporavak (definisan kao LVEF iznad 50% u 2 uzastopna m</w:t>
      </w:r>
      <w:r w:rsidR="002725F1" w:rsidRPr="005436C8">
        <w:rPr>
          <w:sz w:val="22"/>
          <w:szCs w:val="22"/>
          <w:lang w:val="sr-Latn-ME"/>
        </w:rPr>
        <w:t>j</w:t>
      </w:r>
      <w:r w:rsidRPr="005436C8">
        <w:rPr>
          <w:sz w:val="22"/>
          <w:szCs w:val="22"/>
          <w:lang w:val="sr-Latn-ME"/>
        </w:rPr>
        <w:t xml:space="preserve">erenja). Većina događaja prijavljena je kod pacijenata </w:t>
      </w:r>
      <w:r w:rsidR="00097926" w:rsidRPr="005436C8">
        <w:rPr>
          <w:sz w:val="22"/>
          <w:szCs w:val="22"/>
          <w:lang w:val="sr-Latn-ME"/>
        </w:rPr>
        <w:t>liječeni</w:t>
      </w:r>
      <w:r w:rsidRPr="005436C8">
        <w:rPr>
          <w:sz w:val="22"/>
          <w:szCs w:val="22"/>
          <w:lang w:val="sr-Latn-ME"/>
        </w:rPr>
        <w:t xml:space="preserve">h antraciklinom. Asimptomatski ili blago simptomatski (NYHA klase II) padovi LVEF od najmanje 10 procentnih poena u odnosu na početnu </w:t>
      </w:r>
      <w:r w:rsidR="000A2EA9" w:rsidRPr="005436C8">
        <w:rPr>
          <w:sz w:val="22"/>
          <w:szCs w:val="22"/>
          <w:lang w:val="sr-Latn-ME"/>
        </w:rPr>
        <w:t>vrijednost</w:t>
      </w:r>
      <w:r w:rsidRPr="005436C8">
        <w:rPr>
          <w:sz w:val="22"/>
          <w:szCs w:val="22"/>
          <w:lang w:val="sr-Latn-ME"/>
        </w:rPr>
        <w:t xml:space="preserve"> i na manje od 50% prijavljeni su kod 2,7% pacijenata </w:t>
      </w:r>
      <w:r w:rsidR="00097926" w:rsidRPr="005436C8">
        <w:rPr>
          <w:sz w:val="22"/>
          <w:szCs w:val="22"/>
          <w:lang w:val="sr-Latn-ME"/>
        </w:rPr>
        <w:t>liječeni</w:t>
      </w:r>
      <w:r w:rsidRPr="005436C8">
        <w:rPr>
          <w:sz w:val="22"/>
          <w:szCs w:val="22"/>
          <w:lang w:val="sr-Latn-ME"/>
        </w:rPr>
        <w:t xml:space="preserve">h pertuzumabom i 2,8% onih koji su primali placebo, od kojih je 79,7% pacijenata </w:t>
      </w:r>
      <w:r w:rsidR="00097926" w:rsidRPr="005436C8">
        <w:rPr>
          <w:sz w:val="22"/>
          <w:szCs w:val="22"/>
          <w:lang w:val="sr-Latn-ME"/>
        </w:rPr>
        <w:t>liječeni</w:t>
      </w:r>
      <w:r w:rsidRPr="005436C8">
        <w:rPr>
          <w:sz w:val="22"/>
          <w:szCs w:val="22"/>
          <w:lang w:val="sr-Latn-ME"/>
        </w:rPr>
        <w:t>h pertuzumabom i 80,6% pacijenata koji su primali placebo oporavilo do završnog datuma prikupljanja podataka.</w:t>
      </w:r>
    </w:p>
    <w:p w14:paraId="2396A27D" w14:textId="77777777" w:rsidR="008E7A18" w:rsidRPr="005436C8" w:rsidRDefault="008E7A18" w:rsidP="005436C8">
      <w:pPr>
        <w:tabs>
          <w:tab w:val="left" w:pos="284"/>
        </w:tabs>
        <w:jc w:val="both"/>
        <w:rPr>
          <w:sz w:val="22"/>
          <w:szCs w:val="22"/>
          <w:lang w:val="sr-Latn-ME"/>
        </w:rPr>
      </w:pPr>
    </w:p>
    <w:p w14:paraId="64E44BBB" w14:textId="77777777" w:rsidR="000C7302" w:rsidRPr="005436C8" w:rsidRDefault="000C7302" w:rsidP="005436C8">
      <w:pPr>
        <w:tabs>
          <w:tab w:val="left" w:pos="284"/>
        </w:tabs>
        <w:jc w:val="both"/>
        <w:rPr>
          <w:i/>
          <w:sz w:val="22"/>
          <w:szCs w:val="22"/>
          <w:u w:val="single"/>
          <w:lang w:val="sr-Latn-ME"/>
        </w:rPr>
      </w:pPr>
      <w:r w:rsidRPr="005436C8">
        <w:rPr>
          <w:i/>
          <w:iCs/>
          <w:sz w:val="22"/>
          <w:szCs w:val="22"/>
          <w:u w:val="single"/>
          <w:lang w:val="sr-Latn-ME"/>
        </w:rPr>
        <w:t>Reakcije povezane sa injekcijom/infuzijom</w:t>
      </w:r>
    </w:p>
    <w:p w14:paraId="253A3939" w14:textId="77777777" w:rsidR="000C7302" w:rsidRPr="005436C8" w:rsidRDefault="000C7302" w:rsidP="005436C8">
      <w:pPr>
        <w:tabs>
          <w:tab w:val="left" w:pos="284"/>
        </w:tabs>
        <w:jc w:val="both"/>
        <w:rPr>
          <w:b/>
          <w:i/>
          <w:sz w:val="22"/>
          <w:szCs w:val="22"/>
          <w:lang w:val="sr-Latn-ME"/>
        </w:rPr>
      </w:pPr>
    </w:p>
    <w:p w14:paraId="45B215F3" w14:textId="77777777" w:rsidR="000C7302" w:rsidRPr="005436C8" w:rsidRDefault="008E7A18" w:rsidP="005436C8">
      <w:pPr>
        <w:tabs>
          <w:tab w:val="left" w:pos="284"/>
        </w:tabs>
        <w:jc w:val="both"/>
        <w:rPr>
          <w:i/>
          <w:sz w:val="22"/>
          <w:szCs w:val="22"/>
          <w:lang w:val="sr-Latn-ME"/>
        </w:rPr>
      </w:pPr>
      <w:r>
        <w:rPr>
          <w:i/>
          <w:iCs/>
          <w:sz w:val="22"/>
          <w:szCs w:val="22"/>
          <w:lang w:val="sr-Latn-ME"/>
        </w:rPr>
        <w:lastRenderedPageBreak/>
        <w:t xml:space="preserve">Lijek </w:t>
      </w:r>
      <w:r w:rsidR="000C7302" w:rsidRPr="005436C8">
        <w:rPr>
          <w:i/>
          <w:iCs/>
          <w:sz w:val="22"/>
          <w:szCs w:val="22"/>
          <w:lang w:val="sr-Latn-ME"/>
        </w:rPr>
        <w:t>Phesgo</w:t>
      </w:r>
    </w:p>
    <w:p w14:paraId="5C00E7BD" w14:textId="77777777" w:rsidR="000C7302" w:rsidRPr="005436C8" w:rsidRDefault="000C7302" w:rsidP="005436C8">
      <w:pPr>
        <w:tabs>
          <w:tab w:val="left" w:pos="284"/>
        </w:tabs>
        <w:jc w:val="both"/>
        <w:rPr>
          <w:i/>
          <w:sz w:val="22"/>
          <w:szCs w:val="22"/>
          <w:u w:val="single"/>
          <w:lang w:val="sr-Latn-ME"/>
        </w:rPr>
      </w:pPr>
    </w:p>
    <w:p w14:paraId="29C71D0C"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pivotalnom ispitivanju FEDERICA, reakcija povezana sa injekcijom/infuzijom definisana je kao bilo koja sistemska reakcija prijavljena u roku od 24 sata nakon </w:t>
      </w:r>
      <w:r w:rsidR="00A21698" w:rsidRPr="005436C8">
        <w:rPr>
          <w:sz w:val="22"/>
          <w:szCs w:val="22"/>
          <w:lang w:val="sr-Latn-ME"/>
        </w:rPr>
        <w:t>primjene</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a </w:t>
      </w:r>
      <w:r w:rsidRPr="005436C8">
        <w:rPr>
          <w:noProof/>
          <w:color w:val="000000"/>
          <w:sz w:val="22"/>
          <w:szCs w:val="22"/>
          <w:lang w:val="sr-Latn-ME"/>
        </w:rPr>
        <w:t>Phesgo</w:t>
      </w:r>
      <w:r w:rsidRPr="005436C8">
        <w:rPr>
          <w:sz w:val="22"/>
          <w:szCs w:val="22"/>
          <w:lang w:val="sr-Latn-ME"/>
        </w:rPr>
        <w:t xml:space="preserve"> ili intravenskog pertuzumaba u kombinaciji sa trastuzumabom (</w:t>
      </w:r>
      <w:r w:rsidR="004E41D9">
        <w:rPr>
          <w:sz w:val="22"/>
          <w:szCs w:val="22"/>
          <w:lang w:val="sr-Latn-ME"/>
        </w:rPr>
        <w:t>vidjeti djelove</w:t>
      </w:r>
      <w:r w:rsidRPr="005436C8">
        <w:rPr>
          <w:sz w:val="22"/>
          <w:szCs w:val="22"/>
          <w:lang w:val="sr-Latn-ME"/>
        </w:rPr>
        <w:t xml:space="preserve"> 4.2 i 4.4).</w:t>
      </w:r>
    </w:p>
    <w:p w14:paraId="56B2119A" w14:textId="77777777" w:rsidR="000C7302" w:rsidRPr="005436C8" w:rsidRDefault="000C7302" w:rsidP="005436C8">
      <w:pPr>
        <w:tabs>
          <w:tab w:val="left" w:pos="284"/>
        </w:tabs>
        <w:jc w:val="both"/>
        <w:rPr>
          <w:sz w:val="22"/>
          <w:szCs w:val="22"/>
          <w:lang w:val="sr-Latn-ME"/>
        </w:rPr>
      </w:pPr>
    </w:p>
    <w:p w14:paraId="085A1C49" w14:textId="77777777" w:rsidR="000C7302" w:rsidRPr="005436C8" w:rsidRDefault="008E7A18" w:rsidP="005436C8">
      <w:pPr>
        <w:tabs>
          <w:tab w:val="left" w:pos="284"/>
        </w:tabs>
        <w:jc w:val="both"/>
        <w:rPr>
          <w:sz w:val="22"/>
          <w:szCs w:val="22"/>
          <w:lang w:val="sr-Latn-ME"/>
        </w:rPr>
      </w:pPr>
      <w:r>
        <w:rPr>
          <w:sz w:val="22"/>
          <w:szCs w:val="22"/>
          <w:lang w:val="sr-Latn-ME"/>
        </w:rPr>
        <w:t xml:space="preserve">U fazi neoadjuvantnog liječenja, </w:t>
      </w:r>
      <w:r w:rsidRPr="003E269C">
        <w:rPr>
          <w:sz w:val="22"/>
          <w:szCs w:val="22"/>
          <w:lang w:val="sr-Latn-ME"/>
        </w:rPr>
        <w:t>k</w:t>
      </w:r>
      <w:r w:rsidR="000C7302" w:rsidRPr="003E269C">
        <w:rPr>
          <w:sz w:val="22"/>
          <w:szCs w:val="22"/>
          <w:lang w:val="sr-Latn-ME"/>
        </w:rPr>
        <w:t>od 0,</w:t>
      </w:r>
      <w:r w:rsidR="00181898" w:rsidRPr="003E269C">
        <w:rPr>
          <w:sz w:val="22"/>
          <w:szCs w:val="22"/>
          <w:lang w:val="sr-Latn-ME"/>
        </w:rPr>
        <w:t>4</w:t>
      </w:r>
      <w:r w:rsidR="000C7302" w:rsidRPr="003E269C">
        <w:rPr>
          <w:sz w:val="22"/>
          <w:szCs w:val="22"/>
          <w:lang w:val="sr-Latn-ME"/>
        </w:rPr>
        <w:t>%</w:t>
      </w:r>
      <w:r w:rsidR="000C7302" w:rsidRPr="005436C8">
        <w:rPr>
          <w:sz w:val="22"/>
          <w:szCs w:val="22"/>
          <w:lang w:val="sr-Latn-ME"/>
        </w:rPr>
        <w:t xml:space="preserve"> pacijenata </w:t>
      </w:r>
      <w:r w:rsidR="00097926" w:rsidRPr="005436C8">
        <w:rPr>
          <w:sz w:val="22"/>
          <w:szCs w:val="22"/>
          <w:lang w:val="sr-Latn-ME"/>
        </w:rPr>
        <w:t>liječeni</w:t>
      </w:r>
      <w:r w:rsidR="000C7302" w:rsidRPr="005436C8">
        <w:rPr>
          <w:sz w:val="22"/>
          <w:szCs w:val="22"/>
          <w:lang w:val="sr-Latn-ME"/>
        </w:rPr>
        <w:t xml:space="preserve">h </w:t>
      </w:r>
      <w:r w:rsidR="00166973" w:rsidRPr="005436C8">
        <w:rPr>
          <w:sz w:val="22"/>
          <w:szCs w:val="22"/>
          <w:lang w:val="sr-Latn-ME"/>
        </w:rPr>
        <w:t>lijek</w:t>
      </w:r>
      <w:r w:rsidR="000C7302" w:rsidRPr="005436C8">
        <w:rPr>
          <w:sz w:val="22"/>
          <w:szCs w:val="22"/>
          <w:lang w:val="sr-Latn-ME"/>
        </w:rPr>
        <w:t xml:space="preserve">om </w:t>
      </w:r>
      <w:r w:rsidR="000C7302" w:rsidRPr="005436C8">
        <w:rPr>
          <w:noProof/>
          <w:color w:val="000000"/>
          <w:sz w:val="22"/>
          <w:szCs w:val="22"/>
          <w:lang w:val="sr-Latn-ME"/>
        </w:rPr>
        <w:t>Phesgo</w:t>
      </w:r>
      <w:r w:rsidR="000C7302" w:rsidRPr="005436C8">
        <w:rPr>
          <w:sz w:val="22"/>
          <w:szCs w:val="22"/>
          <w:lang w:val="sr-Latn-ME"/>
        </w:rPr>
        <w:t xml:space="preserve"> </w:t>
      </w:r>
      <w:r w:rsidR="00FF329E" w:rsidRPr="005436C8">
        <w:rPr>
          <w:sz w:val="22"/>
          <w:szCs w:val="22"/>
          <w:lang w:val="sr-Latn-ME"/>
        </w:rPr>
        <w:t>zabilježene</w:t>
      </w:r>
      <w:r w:rsidR="000C7302" w:rsidRPr="005436C8">
        <w:rPr>
          <w:sz w:val="22"/>
          <w:szCs w:val="22"/>
          <w:lang w:val="sr-Latn-ME"/>
        </w:rPr>
        <w:t xml:space="preserve"> su reakcije povezane sa injekcijom, a kod 10,7% pacijenata </w:t>
      </w:r>
      <w:r w:rsidR="00097926" w:rsidRPr="005436C8">
        <w:rPr>
          <w:sz w:val="22"/>
          <w:szCs w:val="22"/>
          <w:lang w:val="sr-Latn-ME"/>
        </w:rPr>
        <w:t>liječeni</w:t>
      </w:r>
      <w:r w:rsidR="000C7302" w:rsidRPr="005436C8">
        <w:rPr>
          <w:sz w:val="22"/>
          <w:szCs w:val="22"/>
          <w:lang w:val="sr-Latn-ME"/>
        </w:rPr>
        <w:t xml:space="preserve">h intravenskim pertuzumabom i trastuzumabom </w:t>
      </w:r>
      <w:r w:rsidR="00FF329E" w:rsidRPr="005436C8">
        <w:rPr>
          <w:sz w:val="22"/>
          <w:szCs w:val="22"/>
          <w:lang w:val="sr-Latn-ME"/>
        </w:rPr>
        <w:t>zabilježene</w:t>
      </w:r>
      <w:r w:rsidR="000C7302" w:rsidRPr="005436C8">
        <w:rPr>
          <w:sz w:val="22"/>
          <w:szCs w:val="22"/>
          <w:lang w:val="sr-Latn-ME"/>
        </w:rPr>
        <w:t xml:space="preserve"> su reakcije povezane sa infuzijom. </w:t>
      </w:r>
      <w:r w:rsidRPr="008E7A18">
        <w:rPr>
          <w:sz w:val="22"/>
          <w:szCs w:val="22"/>
          <w:lang w:val="sr-Latn-RS"/>
        </w:rPr>
        <w:t>U fazi adjuvantnog l</w:t>
      </w:r>
      <w:r>
        <w:rPr>
          <w:sz w:val="22"/>
          <w:szCs w:val="22"/>
          <w:lang w:val="sr-Latn-RS"/>
        </w:rPr>
        <w:t>ij</w:t>
      </w:r>
      <w:r w:rsidRPr="008E7A18">
        <w:rPr>
          <w:sz w:val="22"/>
          <w:szCs w:val="22"/>
          <w:lang w:val="sr-Latn-RS"/>
        </w:rPr>
        <w:t>ečenja, reakcije povezane sa prim</w:t>
      </w:r>
      <w:r>
        <w:rPr>
          <w:sz w:val="22"/>
          <w:szCs w:val="22"/>
          <w:lang w:val="sr-Latn-RS"/>
        </w:rPr>
        <w:t>j</w:t>
      </w:r>
      <w:r w:rsidRPr="008E7A18">
        <w:rPr>
          <w:sz w:val="22"/>
          <w:szCs w:val="22"/>
          <w:lang w:val="sr-Latn-RS"/>
        </w:rPr>
        <w:t>enom injekcije ni</w:t>
      </w:r>
      <w:r w:rsidR="004E41D9">
        <w:rPr>
          <w:sz w:val="22"/>
          <w:szCs w:val="22"/>
          <w:lang w:val="sr-Latn-RS"/>
        </w:rPr>
        <w:t>je</w:t>
      </w:r>
      <w:r w:rsidRPr="008E7A18">
        <w:rPr>
          <w:sz w:val="22"/>
          <w:szCs w:val="22"/>
          <w:lang w:val="sr-Latn-RS"/>
        </w:rPr>
        <w:t>su prijavljene kod pacijenata l</w:t>
      </w:r>
      <w:r>
        <w:rPr>
          <w:sz w:val="22"/>
          <w:szCs w:val="22"/>
          <w:lang w:val="sr-Latn-RS"/>
        </w:rPr>
        <w:t>ij</w:t>
      </w:r>
      <w:r w:rsidRPr="008E7A18">
        <w:rPr>
          <w:sz w:val="22"/>
          <w:szCs w:val="22"/>
          <w:lang w:val="sr-Latn-RS"/>
        </w:rPr>
        <w:t>ečenih l</w:t>
      </w:r>
      <w:r>
        <w:rPr>
          <w:sz w:val="22"/>
          <w:szCs w:val="22"/>
          <w:lang w:val="sr-Latn-RS"/>
        </w:rPr>
        <w:t>ij</w:t>
      </w:r>
      <w:r w:rsidRPr="008E7A18">
        <w:rPr>
          <w:sz w:val="22"/>
          <w:szCs w:val="22"/>
          <w:lang w:val="sr-Latn-RS"/>
        </w:rPr>
        <w:t>ekom Phesgo, dok su reakcije povezane sa prim</w:t>
      </w:r>
      <w:r>
        <w:rPr>
          <w:sz w:val="22"/>
          <w:szCs w:val="22"/>
          <w:lang w:val="sr-Latn-RS"/>
        </w:rPr>
        <w:t>j</w:t>
      </w:r>
      <w:r w:rsidRPr="008E7A18">
        <w:rPr>
          <w:sz w:val="22"/>
          <w:szCs w:val="22"/>
          <w:lang w:val="sr-Latn-RS"/>
        </w:rPr>
        <w:t>enom infuzije prijavljene kod 1,6% pacijenata l</w:t>
      </w:r>
      <w:r>
        <w:rPr>
          <w:sz w:val="22"/>
          <w:szCs w:val="22"/>
          <w:lang w:val="sr-Latn-RS"/>
        </w:rPr>
        <w:t>ij</w:t>
      </w:r>
      <w:r w:rsidRPr="008E7A18">
        <w:rPr>
          <w:sz w:val="22"/>
          <w:szCs w:val="22"/>
          <w:lang w:val="sr-Latn-RS"/>
        </w:rPr>
        <w:t>ečenih intravenskim formulacijama pertuzumaba i trastuzumaba</w:t>
      </w:r>
      <w:r>
        <w:rPr>
          <w:sz w:val="22"/>
          <w:szCs w:val="22"/>
          <w:lang w:val="sr-Latn-RS"/>
        </w:rPr>
        <w:t>.</w:t>
      </w:r>
      <w:r w:rsidR="004E41D9">
        <w:rPr>
          <w:sz w:val="22"/>
          <w:szCs w:val="22"/>
          <w:lang w:val="sr-Latn-RS"/>
        </w:rPr>
        <w:t xml:space="preserve"> </w:t>
      </w:r>
      <w:r w:rsidR="000C7302" w:rsidRPr="005436C8">
        <w:rPr>
          <w:sz w:val="22"/>
          <w:szCs w:val="22"/>
          <w:lang w:val="sr-Latn-ME"/>
        </w:rPr>
        <w:t xml:space="preserve">Većina sistemskih reakcija povezanih sa injekcijom/infuzijom </w:t>
      </w:r>
      <w:r w:rsidR="002700CC" w:rsidRPr="005436C8">
        <w:rPr>
          <w:sz w:val="22"/>
          <w:szCs w:val="22"/>
          <w:lang w:val="sr-Latn-ME"/>
        </w:rPr>
        <w:t>primijećen</w:t>
      </w:r>
      <w:r w:rsidR="000C7302" w:rsidRPr="005436C8">
        <w:rPr>
          <w:sz w:val="22"/>
          <w:szCs w:val="22"/>
          <w:lang w:val="sr-Latn-ME"/>
        </w:rPr>
        <w:t xml:space="preserve">ih kod </w:t>
      </w:r>
      <w:r w:rsidR="00A21698" w:rsidRPr="005436C8">
        <w:rPr>
          <w:sz w:val="22"/>
          <w:szCs w:val="22"/>
          <w:lang w:val="sr-Latn-ME"/>
        </w:rPr>
        <w:t>primjene</w:t>
      </w:r>
      <w:r w:rsidR="000C7302" w:rsidRPr="005436C8">
        <w:rPr>
          <w:sz w:val="22"/>
          <w:szCs w:val="22"/>
          <w:lang w:val="sr-Latn-ME"/>
        </w:rPr>
        <w:t xml:space="preserve"> </w:t>
      </w:r>
      <w:r w:rsidR="00166973" w:rsidRPr="005436C8">
        <w:rPr>
          <w:sz w:val="22"/>
          <w:szCs w:val="22"/>
          <w:lang w:val="sr-Latn-ME"/>
        </w:rPr>
        <w:t>lijek</w:t>
      </w:r>
      <w:r w:rsidR="000C7302" w:rsidRPr="005436C8">
        <w:rPr>
          <w:sz w:val="22"/>
          <w:szCs w:val="22"/>
          <w:lang w:val="sr-Latn-ME"/>
        </w:rPr>
        <w:t xml:space="preserve">a Phesgo ili pertuzumaba i trastuzumaba intravenskim putem bile su drhtavica, </w:t>
      </w:r>
      <w:r>
        <w:rPr>
          <w:sz w:val="22"/>
          <w:szCs w:val="22"/>
          <w:lang w:val="sr-Latn-ME"/>
        </w:rPr>
        <w:t>mučnina</w:t>
      </w:r>
      <w:r w:rsidR="000C7302" w:rsidRPr="005436C8">
        <w:rPr>
          <w:sz w:val="22"/>
          <w:szCs w:val="22"/>
          <w:lang w:val="sr-Latn-ME"/>
        </w:rPr>
        <w:t xml:space="preserve"> ili povraćanje.</w:t>
      </w:r>
    </w:p>
    <w:p w14:paraId="03FBE01C" w14:textId="77777777" w:rsidR="000C7302" w:rsidRPr="005436C8" w:rsidRDefault="000C7302" w:rsidP="005436C8">
      <w:pPr>
        <w:tabs>
          <w:tab w:val="left" w:pos="284"/>
        </w:tabs>
        <w:jc w:val="both"/>
        <w:rPr>
          <w:sz w:val="22"/>
          <w:szCs w:val="22"/>
          <w:lang w:val="sr-Latn-ME"/>
        </w:rPr>
      </w:pPr>
    </w:p>
    <w:p w14:paraId="70D13F80" w14:textId="77777777" w:rsidR="000C7302" w:rsidRPr="005436C8" w:rsidRDefault="000C7302" w:rsidP="005436C8">
      <w:pPr>
        <w:tabs>
          <w:tab w:val="left" w:pos="284"/>
        </w:tabs>
        <w:jc w:val="both"/>
        <w:rPr>
          <w:sz w:val="22"/>
          <w:szCs w:val="22"/>
          <w:lang w:val="sr-Latn-ME"/>
        </w:rPr>
      </w:pPr>
      <w:r w:rsidRPr="005436C8">
        <w:rPr>
          <w:sz w:val="22"/>
          <w:szCs w:val="22"/>
          <w:lang w:val="sr-Latn-ME"/>
        </w:rPr>
        <w:t>Reakcije na m</w:t>
      </w:r>
      <w:r w:rsidR="00FF329E" w:rsidRPr="005436C8">
        <w:rPr>
          <w:sz w:val="22"/>
          <w:szCs w:val="22"/>
          <w:lang w:val="sr-Latn-ME"/>
        </w:rPr>
        <w:t>j</w:t>
      </w:r>
      <w:r w:rsidRPr="005436C8">
        <w:rPr>
          <w:sz w:val="22"/>
          <w:szCs w:val="22"/>
          <w:lang w:val="sr-Latn-ME"/>
        </w:rPr>
        <w:t xml:space="preserve">estu uboda definisane kao bilo kakve lokalne reakcije prijavljene tokom 24 sata nakon </w:t>
      </w:r>
      <w:r w:rsidR="00A21698" w:rsidRPr="005436C8">
        <w:rPr>
          <w:sz w:val="22"/>
          <w:szCs w:val="22"/>
          <w:lang w:val="sr-Latn-ME"/>
        </w:rPr>
        <w:t>primjene</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a </w:t>
      </w:r>
      <w:r w:rsidRPr="005436C8">
        <w:rPr>
          <w:noProof/>
          <w:color w:val="000000"/>
          <w:sz w:val="22"/>
          <w:szCs w:val="22"/>
          <w:lang w:val="sr-Latn-ME"/>
        </w:rPr>
        <w:t>Phesgo</w:t>
      </w:r>
      <w:r w:rsidRPr="005436C8">
        <w:rPr>
          <w:sz w:val="22"/>
          <w:szCs w:val="22"/>
          <w:lang w:val="sr-Latn-ME"/>
        </w:rPr>
        <w:t xml:space="preserve">, prijavljene su kod </w:t>
      </w:r>
      <w:r w:rsidR="008E7A18">
        <w:rPr>
          <w:sz w:val="22"/>
          <w:szCs w:val="22"/>
          <w:lang w:val="sr-Latn-ME"/>
        </w:rPr>
        <w:t>6</w:t>
      </w:r>
      <w:r w:rsidRPr="005436C8">
        <w:rPr>
          <w:sz w:val="22"/>
          <w:szCs w:val="22"/>
          <w:lang w:val="sr-Latn-ME"/>
        </w:rPr>
        <w:t xml:space="preserve">,9% </w:t>
      </w:r>
      <w:r w:rsidR="008E7A18">
        <w:rPr>
          <w:sz w:val="22"/>
          <w:szCs w:val="22"/>
          <w:lang w:val="sr-Latn-ME"/>
        </w:rPr>
        <w:t xml:space="preserve">i </w:t>
      </w:r>
      <w:r w:rsidR="004E41D9">
        <w:rPr>
          <w:sz w:val="22"/>
          <w:szCs w:val="22"/>
          <w:lang w:val="sr-Latn-ME"/>
        </w:rPr>
        <w:t xml:space="preserve">kod </w:t>
      </w:r>
      <w:r w:rsidR="008E7A18">
        <w:rPr>
          <w:sz w:val="22"/>
          <w:szCs w:val="22"/>
          <w:lang w:val="sr-Latn-ME"/>
        </w:rPr>
        <w:t xml:space="preserve">12,9% </w:t>
      </w:r>
      <w:r w:rsidRPr="005436C8">
        <w:rPr>
          <w:sz w:val="22"/>
          <w:szCs w:val="22"/>
          <w:lang w:val="sr-Latn-ME"/>
        </w:rPr>
        <w:t xml:space="preserve">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 xml:space="preserve">om </w:t>
      </w:r>
      <w:r w:rsidRPr="005436C8">
        <w:rPr>
          <w:noProof/>
          <w:color w:val="000000"/>
          <w:sz w:val="22"/>
          <w:szCs w:val="22"/>
          <w:lang w:val="sr-Latn-ME"/>
        </w:rPr>
        <w:t>Phesgo</w:t>
      </w:r>
      <w:r w:rsidRPr="005436C8">
        <w:rPr>
          <w:sz w:val="22"/>
          <w:szCs w:val="22"/>
          <w:lang w:val="sr-Latn-ME"/>
        </w:rPr>
        <w:t xml:space="preserve"> </w:t>
      </w:r>
      <w:r w:rsidR="008E7A18">
        <w:rPr>
          <w:sz w:val="22"/>
          <w:szCs w:val="22"/>
          <w:lang w:val="sr-Latn-ME"/>
        </w:rPr>
        <w:t xml:space="preserve">u neoadjuvantnoj odnosno adjuvantnoj fazi </w:t>
      </w:r>
      <w:r w:rsidRPr="005436C8">
        <w:rPr>
          <w:sz w:val="22"/>
          <w:szCs w:val="22"/>
          <w:lang w:val="sr-Latn-ME"/>
        </w:rPr>
        <w:t xml:space="preserve">i sve su bile 1. ili 2. gradusa. Većina lokalnih reakcija na </w:t>
      </w:r>
      <w:r w:rsidR="00FF329E" w:rsidRPr="005436C8">
        <w:rPr>
          <w:sz w:val="22"/>
          <w:szCs w:val="22"/>
          <w:lang w:val="sr-Latn-ME"/>
        </w:rPr>
        <w:t>mjestu</w:t>
      </w:r>
      <w:r w:rsidRPr="005436C8">
        <w:rPr>
          <w:sz w:val="22"/>
          <w:szCs w:val="22"/>
          <w:lang w:val="sr-Latn-ME"/>
        </w:rPr>
        <w:t xml:space="preserve"> uboda </w:t>
      </w:r>
      <w:r w:rsidR="002700CC" w:rsidRPr="005436C8">
        <w:rPr>
          <w:sz w:val="22"/>
          <w:szCs w:val="22"/>
          <w:lang w:val="sr-Latn-ME"/>
        </w:rPr>
        <w:t>primijećen</w:t>
      </w:r>
      <w:r w:rsidRPr="005436C8">
        <w:rPr>
          <w:sz w:val="22"/>
          <w:szCs w:val="22"/>
          <w:lang w:val="sr-Latn-ME"/>
        </w:rPr>
        <w:t xml:space="preserve">ih kod </w:t>
      </w:r>
      <w:r w:rsidR="00A21698" w:rsidRPr="005436C8">
        <w:rPr>
          <w:sz w:val="22"/>
          <w:szCs w:val="22"/>
          <w:lang w:val="sr-Latn-ME"/>
        </w:rPr>
        <w:t>primjene</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a Phesgo bili su ili bol na </w:t>
      </w:r>
      <w:r w:rsidR="00FF329E" w:rsidRPr="005436C8">
        <w:rPr>
          <w:sz w:val="22"/>
          <w:szCs w:val="22"/>
          <w:lang w:val="sr-Latn-ME"/>
        </w:rPr>
        <w:t>mjestu</w:t>
      </w:r>
      <w:r w:rsidRPr="005436C8">
        <w:rPr>
          <w:sz w:val="22"/>
          <w:szCs w:val="22"/>
          <w:lang w:val="sr-Latn-ME"/>
        </w:rPr>
        <w:t xml:space="preserve"> uboda ili eritem na </w:t>
      </w:r>
      <w:r w:rsidR="00FF329E" w:rsidRPr="005436C8">
        <w:rPr>
          <w:sz w:val="22"/>
          <w:szCs w:val="22"/>
          <w:lang w:val="sr-Latn-ME"/>
        </w:rPr>
        <w:t>mjestu</w:t>
      </w:r>
      <w:r w:rsidRPr="005436C8">
        <w:rPr>
          <w:sz w:val="22"/>
          <w:szCs w:val="22"/>
          <w:lang w:val="sr-Latn-ME"/>
        </w:rPr>
        <w:t xml:space="preserve"> uboda.</w:t>
      </w:r>
    </w:p>
    <w:p w14:paraId="267E0D95" w14:textId="77777777" w:rsidR="000C7302" w:rsidRPr="005436C8" w:rsidRDefault="000C7302" w:rsidP="005436C8">
      <w:pPr>
        <w:tabs>
          <w:tab w:val="left" w:pos="284"/>
        </w:tabs>
        <w:jc w:val="both"/>
        <w:rPr>
          <w:sz w:val="22"/>
          <w:szCs w:val="22"/>
          <w:lang w:val="sr-Latn-ME"/>
        </w:rPr>
      </w:pPr>
    </w:p>
    <w:p w14:paraId="4CDBDF2D" w14:textId="77777777" w:rsidR="000C7302" w:rsidRPr="005436C8" w:rsidRDefault="000C7302" w:rsidP="005436C8">
      <w:pPr>
        <w:tabs>
          <w:tab w:val="left" w:pos="284"/>
        </w:tabs>
        <w:jc w:val="both"/>
        <w:rPr>
          <w:i/>
          <w:sz w:val="22"/>
          <w:szCs w:val="22"/>
          <w:lang w:val="sr-Latn-ME"/>
        </w:rPr>
      </w:pPr>
      <w:r w:rsidRPr="005436C8">
        <w:rPr>
          <w:i/>
          <w:iCs/>
          <w:sz w:val="22"/>
          <w:szCs w:val="22"/>
          <w:lang w:val="sr-Latn-ME"/>
        </w:rPr>
        <w:t xml:space="preserve">Intravenski pertuzumab </w:t>
      </w:r>
      <w:r w:rsidRPr="005436C8">
        <w:rPr>
          <w:sz w:val="22"/>
          <w:szCs w:val="22"/>
          <w:lang w:val="sr-Latn-ME"/>
        </w:rPr>
        <w:t>u kombinaciji sa trastuzumabom i hemoterapijom</w:t>
      </w:r>
    </w:p>
    <w:p w14:paraId="2A0D9738" w14:textId="77777777" w:rsidR="000C7302" w:rsidRPr="005436C8" w:rsidRDefault="000C7302" w:rsidP="005436C8">
      <w:pPr>
        <w:tabs>
          <w:tab w:val="left" w:pos="284"/>
        </w:tabs>
        <w:jc w:val="both"/>
        <w:rPr>
          <w:i/>
          <w:sz w:val="22"/>
          <w:szCs w:val="22"/>
          <w:u w:val="single"/>
          <w:lang w:val="sr-Latn-ME"/>
        </w:rPr>
      </w:pPr>
    </w:p>
    <w:p w14:paraId="666EF8F6"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Reakcija povezana sa </w:t>
      </w:r>
      <w:r w:rsidR="00FF329E" w:rsidRPr="005436C8">
        <w:rPr>
          <w:sz w:val="22"/>
          <w:szCs w:val="22"/>
          <w:lang w:val="sr-Latn-ME"/>
        </w:rPr>
        <w:t>primjenom</w:t>
      </w:r>
      <w:r w:rsidRPr="005436C8">
        <w:rPr>
          <w:sz w:val="22"/>
          <w:szCs w:val="22"/>
          <w:lang w:val="sr-Latn-ME"/>
        </w:rPr>
        <w:t xml:space="preserve"> u pivotalnim ispitivanjima definisana je kao svaki događaj prijavljen kao </w:t>
      </w:r>
      <w:r w:rsidR="00362B4E" w:rsidRPr="005436C8">
        <w:rPr>
          <w:sz w:val="22"/>
          <w:szCs w:val="22"/>
          <w:lang w:val="sr-Latn-ME"/>
        </w:rPr>
        <w:t>preosjetljivost</w:t>
      </w:r>
      <w:r w:rsidRPr="005436C8">
        <w:rPr>
          <w:sz w:val="22"/>
          <w:szCs w:val="22"/>
          <w:lang w:val="sr-Latn-ME"/>
        </w:rPr>
        <w:t>, anafilaktička reakcija, akutna reakcija na infuziju ili sindrom otpuštanja citokina, koji se javlja tokom infuzije ili istog dana kada je primljena infuzija. U pivotalnom ispitivanju CLEOPATRA početna doza pertuzumaba data je dan pr</w:t>
      </w:r>
      <w:r w:rsidR="00FF329E" w:rsidRPr="005436C8">
        <w:rPr>
          <w:sz w:val="22"/>
          <w:szCs w:val="22"/>
          <w:lang w:val="sr-Latn-ME"/>
        </w:rPr>
        <w:t>ij</w:t>
      </w:r>
      <w:r w:rsidRPr="005436C8">
        <w:rPr>
          <w:sz w:val="22"/>
          <w:szCs w:val="22"/>
          <w:lang w:val="sr-Latn-ME"/>
        </w:rPr>
        <w:t xml:space="preserve">e trastuzumaba i docetaksela kako bi mogle da se istraže reakcije povezane sa pertuzumabom. Prvog dana je </w:t>
      </w:r>
      <w:r w:rsidR="00522BD8" w:rsidRPr="005436C8">
        <w:rPr>
          <w:sz w:val="22"/>
          <w:szCs w:val="22"/>
          <w:lang w:val="sr-Latn-ME"/>
        </w:rPr>
        <w:t>primjenjen</w:t>
      </w:r>
      <w:r w:rsidRPr="005436C8">
        <w:rPr>
          <w:sz w:val="22"/>
          <w:szCs w:val="22"/>
          <w:lang w:val="sr-Latn-ME"/>
        </w:rPr>
        <w:t xml:space="preserve"> samo pertuzumab i ukupna učestalost reakcija povezanih sa infuzijom iznosila je 9,8% u grupi koja je primala placebo i 13,2% u grupi </w:t>
      </w:r>
      <w:r w:rsidR="00F90BE1" w:rsidRPr="005436C8">
        <w:rPr>
          <w:sz w:val="22"/>
          <w:szCs w:val="22"/>
          <w:lang w:val="sr-Latn-ME"/>
        </w:rPr>
        <w:t>liječenoj</w:t>
      </w:r>
      <w:r w:rsidRPr="005436C8">
        <w:rPr>
          <w:sz w:val="22"/>
          <w:szCs w:val="22"/>
          <w:lang w:val="sr-Latn-ME"/>
        </w:rPr>
        <w:t xml:space="preserve"> pertuzumabom, pri čemu su reakcije uglavnom bile blage ili um</w:t>
      </w:r>
      <w:r w:rsidR="00FF329E" w:rsidRPr="005436C8">
        <w:rPr>
          <w:sz w:val="22"/>
          <w:szCs w:val="22"/>
          <w:lang w:val="sr-Latn-ME"/>
        </w:rPr>
        <w:t>j</w:t>
      </w:r>
      <w:r w:rsidRPr="005436C8">
        <w:rPr>
          <w:sz w:val="22"/>
          <w:szCs w:val="22"/>
          <w:lang w:val="sr-Latn-ME"/>
        </w:rPr>
        <w:t xml:space="preserve">erene. Najčešće reakcije povezane sa infuzijom (≥ 1,0%) u grupi </w:t>
      </w:r>
      <w:r w:rsidR="00F90BE1" w:rsidRPr="005436C8">
        <w:rPr>
          <w:sz w:val="22"/>
          <w:szCs w:val="22"/>
          <w:lang w:val="sr-Latn-ME"/>
        </w:rPr>
        <w:t>liječenoj</w:t>
      </w:r>
      <w:r w:rsidRPr="005436C8">
        <w:rPr>
          <w:sz w:val="22"/>
          <w:szCs w:val="22"/>
          <w:lang w:val="sr-Latn-ME"/>
        </w:rPr>
        <w:t xml:space="preserve"> pertuzumabom bile su pireksija, drhtavica, umor, glavobolja, astenija, </w:t>
      </w:r>
      <w:r w:rsidR="00362B4E" w:rsidRPr="005436C8">
        <w:rPr>
          <w:sz w:val="22"/>
          <w:szCs w:val="22"/>
          <w:lang w:val="sr-Latn-ME"/>
        </w:rPr>
        <w:t>preosjetljivost</w:t>
      </w:r>
      <w:r w:rsidRPr="005436C8">
        <w:rPr>
          <w:sz w:val="22"/>
          <w:szCs w:val="22"/>
          <w:lang w:val="sr-Latn-ME"/>
        </w:rPr>
        <w:t xml:space="preserve"> i povraćanje. </w:t>
      </w:r>
    </w:p>
    <w:p w14:paraId="4A51E95B" w14:textId="77777777" w:rsidR="000C7302" w:rsidRPr="005436C8" w:rsidRDefault="000C7302" w:rsidP="005436C8">
      <w:pPr>
        <w:tabs>
          <w:tab w:val="left" w:pos="284"/>
        </w:tabs>
        <w:jc w:val="both"/>
        <w:rPr>
          <w:sz w:val="22"/>
          <w:szCs w:val="22"/>
          <w:lang w:val="sr-Latn-ME"/>
        </w:rPr>
      </w:pPr>
    </w:p>
    <w:p w14:paraId="437228CB"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Tokom drugog ciklusa </w:t>
      </w:r>
      <w:r w:rsidR="000A2EA9" w:rsidRPr="005436C8">
        <w:rPr>
          <w:sz w:val="22"/>
          <w:szCs w:val="22"/>
          <w:lang w:val="sr-Latn-ME"/>
        </w:rPr>
        <w:t>liječenja</w:t>
      </w:r>
      <w:r w:rsidRPr="005436C8">
        <w:rPr>
          <w:sz w:val="22"/>
          <w:szCs w:val="22"/>
          <w:lang w:val="sr-Latn-ME"/>
        </w:rPr>
        <w:t xml:space="preserve">, kada su svi </w:t>
      </w:r>
      <w:r w:rsidR="00A21698" w:rsidRPr="005436C8">
        <w:rPr>
          <w:sz w:val="22"/>
          <w:szCs w:val="22"/>
          <w:lang w:val="sr-Latn-ME"/>
        </w:rPr>
        <w:t>ljekovi</w:t>
      </w:r>
      <w:r w:rsidRPr="005436C8">
        <w:rPr>
          <w:sz w:val="22"/>
          <w:szCs w:val="22"/>
          <w:lang w:val="sr-Latn-ME"/>
        </w:rPr>
        <w:t xml:space="preserve"> davani istog dana, najčešće reakcije povezane sa infuzijom (≥ 1,0%) u grupi </w:t>
      </w:r>
      <w:r w:rsidR="00F90BE1" w:rsidRPr="005436C8">
        <w:rPr>
          <w:sz w:val="22"/>
          <w:szCs w:val="22"/>
          <w:lang w:val="sr-Latn-ME"/>
        </w:rPr>
        <w:t>liječenoj</w:t>
      </w:r>
      <w:r w:rsidRPr="005436C8">
        <w:rPr>
          <w:sz w:val="22"/>
          <w:szCs w:val="22"/>
          <w:lang w:val="sr-Latn-ME"/>
        </w:rPr>
        <w:t xml:space="preserve"> pertuzumabom bile su umor, </w:t>
      </w:r>
      <w:r w:rsidR="00362B4E" w:rsidRPr="005436C8">
        <w:rPr>
          <w:sz w:val="22"/>
          <w:szCs w:val="22"/>
          <w:lang w:val="sr-Latn-ME"/>
        </w:rPr>
        <w:t>preosjetljivost</w:t>
      </w:r>
      <w:r w:rsidRPr="005436C8">
        <w:rPr>
          <w:sz w:val="22"/>
          <w:szCs w:val="22"/>
          <w:lang w:val="sr-Latn-ME"/>
        </w:rPr>
        <w:t xml:space="preserve"> na </w:t>
      </w:r>
      <w:r w:rsidR="00166973" w:rsidRPr="005436C8">
        <w:rPr>
          <w:sz w:val="22"/>
          <w:szCs w:val="22"/>
          <w:lang w:val="sr-Latn-ME"/>
        </w:rPr>
        <w:t>lijek</w:t>
      </w:r>
      <w:r w:rsidRPr="005436C8">
        <w:rPr>
          <w:sz w:val="22"/>
          <w:szCs w:val="22"/>
          <w:lang w:val="sr-Latn-ME"/>
        </w:rPr>
        <w:t xml:space="preserve">, disgeuzija, </w:t>
      </w:r>
      <w:r w:rsidR="00362B4E" w:rsidRPr="005436C8">
        <w:rPr>
          <w:sz w:val="22"/>
          <w:szCs w:val="22"/>
          <w:lang w:val="sr-Latn-ME"/>
        </w:rPr>
        <w:t>preosjetljivost</w:t>
      </w:r>
      <w:r w:rsidRPr="005436C8">
        <w:rPr>
          <w:sz w:val="22"/>
          <w:szCs w:val="22"/>
          <w:lang w:val="sr-Latn-ME"/>
        </w:rPr>
        <w:t xml:space="preserve">, mijalgija i povraćanje </w:t>
      </w:r>
      <w:r w:rsidRPr="009B712A">
        <w:rPr>
          <w:sz w:val="22"/>
          <w:szCs w:val="22"/>
          <w:lang w:val="sr-Latn-ME"/>
        </w:rPr>
        <w:t>(</w:t>
      </w:r>
      <w:r w:rsidR="00DA50E6" w:rsidRPr="009B712A">
        <w:rPr>
          <w:iCs/>
          <w:sz w:val="22"/>
          <w:szCs w:val="22"/>
          <w:lang w:val="sr-Latn-ME"/>
        </w:rPr>
        <w:t>vidjeti dio</w:t>
      </w:r>
      <w:r w:rsidRPr="009B712A">
        <w:rPr>
          <w:iCs/>
          <w:sz w:val="22"/>
          <w:szCs w:val="22"/>
          <w:lang w:val="sr-Latn-ME"/>
        </w:rPr>
        <w:t xml:space="preserve"> 4.4</w:t>
      </w:r>
      <w:r w:rsidRPr="009B712A">
        <w:rPr>
          <w:sz w:val="22"/>
          <w:szCs w:val="22"/>
          <w:lang w:val="sr-Latn-ME"/>
        </w:rPr>
        <w:t>)</w:t>
      </w:r>
      <w:r w:rsidRPr="005436C8">
        <w:rPr>
          <w:sz w:val="22"/>
          <w:szCs w:val="22"/>
          <w:lang w:val="sr-Latn-ME"/>
        </w:rPr>
        <w:t xml:space="preserve">. </w:t>
      </w:r>
    </w:p>
    <w:p w14:paraId="0D93BA55" w14:textId="77777777" w:rsidR="000C7302" w:rsidRPr="005436C8" w:rsidRDefault="000C7302" w:rsidP="005436C8">
      <w:pPr>
        <w:tabs>
          <w:tab w:val="left" w:pos="284"/>
        </w:tabs>
        <w:jc w:val="both"/>
        <w:rPr>
          <w:sz w:val="22"/>
          <w:szCs w:val="22"/>
          <w:lang w:val="sr-Latn-ME"/>
        </w:rPr>
      </w:pPr>
    </w:p>
    <w:p w14:paraId="77600666" w14:textId="77777777" w:rsidR="000C7302" w:rsidRPr="005436C8" w:rsidRDefault="000C7302" w:rsidP="005436C8">
      <w:pPr>
        <w:tabs>
          <w:tab w:val="left" w:pos="284"/>
        </w:tabs>
        <w:jc w:val="both"/>
        <w:rPr>
          <w:sz w:val="22"/>
          <w:szCs w:val="22"/>
          <w:lang w:val="sr-Latn-ME"/>
        </w:rPr>
      </w:pPr>
      <w:r w:rsidRPr="005436C8">
        <w:rPr>
          <w:sz w:val="22"/>
          <w:szCs w:val="22"/>
          <w:lang w:val="sr-Latn-ME"/>
        </w:rPr>
        <w:t>U neoadjuvantnim i adjuvantnim ispitivanjima pertuzumab je prim</w:t>
      </w:r>
      <w:r w:rsidR="00FF329E" w:rsidRPr="005436C8">
        <w:rPr>
          <w:sz w:val="22"/>
          <w:szCs w:val="22"/>
          <w:lang w:val="sr-Latn-ME"/>
        </w:rPr>
        <w:t>j</w:t>
      </w:r>
      <w:r w:rsidRPr="005436C8">
        <w:rPr>
          <w:sz w:val="22"/>
          <w:szCs w:val="22"/>
          <w:lang w:val="sr-Latn-ME"/>
        </w:rPr>
        <w:t xml:space="preserve">enjivan istog dana kao i druge studijske terapije. Reakcije na infuziju javile su se kod 18,6%–25,0% pacijenata prvog dana </w:t>
      </w:r>
      <w:r w:rsidR="00A21698" w:rsidRPr="005436C8">
        <w:rPr>
          <w:sz w:val="22"/>
          <w:szCs w:val="22"/>
          <w:lang w:val="sr-Latn-ME"/>
        </w:rPr>
        <w:t>primjene</w:t>
      </w:r>
      <w:r w:rsidRPr="005436C8">
        <w:rPr>
          <w:sz w:val="22"/>
          <w:szCs w:val="22"/>
          <w:lang w:val="sr-Latn-ME"/>
        </w:rPr>
        <w:t xml:space="preserve"> pertuzumaba (u kombinaciji sa trastuzumabom i hemoterapijom). Vrsta i težina događaja bile su u skladu sa onima zab</w:t>
      </w:r>
      <w:r w:rsidR="00FF329E" w:rsidRPr="005436C8">
        <w:rPr>
          <w:sz w:val="22"/>
          <w:szCs w:val="22"/>
          <w:lang w:val="sr-Latn-ME"/>
        </w:rPr>
        <w:t>i</w:t>
      </w:r>
      <w:r w:rsidRPr="005436C8">
        <w:rPr>
          <w:sz w:val="22"/>
          <w:szCs w:val="22"/>
          <w:lang w:val="sr-Latn-ME"/>
        </w:rPr>
        <w:t>l</w:t>
      </w:r>
      <w:r w:rsidR="00FF329E" w:rsidRPr="005436C8">
        <w:rPr>
          <w:sz w:val="22"/>
          <w:szCs w:val="22"/>
          <w:lang w:val="sr-Latn-ME"/>
        </w:rPr>
        <w:t>j</w:t>
      </w:r>
      <w:r w:rsidRPr="005436C8">
        <w:rPr>
          <w:sz w:val="22"/>
          <w:szCs w:val="22"/>
          <w:lang w:val="sr-Latn-ME"/>
        </w:rPr>
        <w:t>eženim u ispitivanju CLEOPATRA, a te reakcije su uglavnom bile blage do um</w:t>
      </w:r>
      <w:r w:rsidR="00FF329E" w:rsidRPr="005436C8">
        <w:rPr>
          <w:sz w:val="22"/>
          <w:szCs w:val="22"/>
          <w:lang w:val="sr-Latn-ME"/>
        </w:rPr>
        <w:t>j</w:t>
      </w:r>
      <w:r w:rsidRPr="005436C8">
        <w:rPr>
          <w:sz w:val="22"/>
          <w:szCs w:val="22"/>
          <w:lang w:val="sr-Latn-ME"/>
        </w:rPr>
        <w:t>erene.</w:t>
      </w:r>
    </w:p>
    <w:p w14:paraId="39E267BF" w14:textId="77777777" w:rsidR="000C7302" w:rsidRPr="005436C8" w:rsidRDefault="000C7302" w:rsidP="005436C8">
      <w:pPr>
        <w:tabs>
          <w:tab w:val="left" w:pos="284"/>
        </w:tabs>
        <w:jc w:val="both"/>
        <w:rPr>
          <w:sz w:val="22"/>
          <w:szCs w:val="22"/>
          <w:lang w:val="sr-Latn-ME"/>
        </w:rPr>
      </w:pPr>
    </w:p>
    <w:p w14:paraId="3DB2EB6B" w14:textId="77777777" w:rsidR="000C7302" w:rsidRPr="005436C8" w:rsidRDefault="000C7302" w:rsidP="005436C8">
      <w:pPr>
        <w:tabs>
          <w:tab w:val="left" w:pos="284"/>
        </w:tabs>
        <w:jc w:val="both"/>
        <w:rPr>
          <w:i/>
          <w:sz w:val="22"/>
          <w:szCs w:val="22"/>
          <w:u w:val="single"/>
          <w:lang w:val="sr-Latn-ME"/>
        </w:rPr>
      </w:pPr>
      <w:r w:rsidRPr="005436C8">
        <w:rPr>
          <w:i/>
          <w:iCs/>
          <w:sz w:val="22"/>
          <w:szCs w:val="22"/>
          <w:u w:val="single"/>
          <w:lang w:val="sr-Latn-ME"/>
        </w:rPr>
        <w:t xml:space="preserve">Reakcije </w:t>
      </w:r>
      <w:r w:rsidR="00362B4E" w:rsidRPr="005436C8">
        <w:rPr>
          <w:i/>
          <w:iCs/>
          <w:sz w:val="22"/>
          <w:szCs w:val="22"/>
          <w:u w:val="single"/>
          <w:lang w:val="sr-Latn-ME"/>
        </w:rPr>
        <w:t>preosjetljivost</w:t>
      </w:r>
      <w:r w:rsidRPr="005436C8">
        <w:rPr>
          <w:i/>
          <w:iCs/>
          <w:sz w:val="22"/>
          <w:szCs w:val="22"/>
          <w:u w:val="single"/>
          <w:lang w:val="sr-Latn-ME"/>
        </w:rPr>
        <w:t>i/anafilaksa</w:t>
      </w:r>
    </w:p>
    <w:p w14:paraId="13FE4A54" w14:textId="77777777" w:rsidR="000C7302" w:rsidRPr="005436C8" w:rsidRDefault="000C7302" w:rsidP="005436C8">
      <w:pPr>
        <w:tabs>
          <w:tab w:val="left" w:pos="284"/>
        </w:tabs>
        <w:jc w:val="both"/>
        <w:rPr>
          <w:b/>
          <w:i/>
          <w:sz w:val="22"/>
          <w:szCs w:val="22"/>
          <w:lang w:val="sr-Latn-ME"/>
        </w:rPr>
      </w:pPr>
    </w:p>
    <w:p w14:paraId="1D7645EB" w14:textId="77777777" w:rsidR="000C7302" w:rsidRPr="005436C8" w:rsidRDefault="008E7A18" w:rsidP="005436C8">
      <w:pPr>
        <w:tabs>
          <w:tab w:val="left" w:pos="284"/>
        </w:tabs>
        <w:jc w:val="both"/>
        <w:rPr>
          <w:i/>
          <w:sz w:val="22"/>
          <w:szCs w:val="22"/>
          <w:lang w:val="sr-Latn-ME"/>
        </w:rPr>
      </w:pPr>
      <w:r>
        <w:rPr>
          <w:i/>
          <w:iCs/>
          <w:sz w:val="22"/>
          <w:szCs w:val="22"/>
          <w:lang w:val="sr-Latn-ME"/>
        </w:rPr>
        <w:t xml:space="preserve">Lijek </w:t>
      </w:r>
      <w:r w:rsidR="000C7302" w:rsidRPr="005436C8">
        <w:rPr>
          <w:i/>
          <w:iCs/>
          <w:sz w:val="22"/>
          <w:szCs w:val="22"/>
          <w:lang w:val="sr-Latn-ME"/>
        </w:rPr>
        <w:t xml:space="preserve">Phesgo </w:t>
      </w:r>
    </w:p>
    <w:p w14:paraId="5D651432" w14:textId="77777777" w:rsidR="000C7302" w:rsidRPr="005436C8" w:rsidRDefault="000C7302" w:rsidP="005436C8">
      <w:pPr>
        <w:tabs>
          <w:tab w:val="left" w:pos="284"/>
        </w:tabs>
        <w:jc w:val="both"/>
        <w:rPr>
          <w:i/>
          <w:sz w:val="22"/>
          <w:szCs w:val="22"/>
          <w:u w:val="single"/>
          <w:lang w:val="sr-Latn-ME"/>
        </w:rPr>
      </w:pPr>
    </w:p>
    <w:p w14:paraId="09C4BB7A" w14:textId="77777777" w:rsidR="000C7302" w:rsidRDefault="000C7302" w:rsidP="005436C8">
      <w:pPr>
        <w:tabs>
          <w:tab w:val="left" w:pos="284"/>
        </w:tabs>
        <w:jc w:val="both"/>
        <w:rPr>
          <w:sz w:val="22"/>
          <w:szCs w:val="22"/>
          <w:lang w:val="sr-Latn-ME"/>
        </w:rPr>
      </w:pPr>
      <w:r w:rsidRPr="005436C8">
        <w:rPr>
          <w:sz w:val="22"/>
          <w:szCs w:val="22"/>
          <w:lang w:val="sr-Latn-ME"/>
        </w:rPr>
        <w:t xml:space="preserve">U pivotalnom ispitivanju FEDERICA ukupna učestalost prijavljenih događaja </w:t>
      </w:r>
      <w:r w:rsidR="00362B4E" w:rsidRPr="005436C8">
        <w:rPr>
          <w:sz w:val="22"/>
          <w:szCs w:val="22"/>
          <w:lang w:val="sr-Latn-ME"/>
        </w:rPr>
        <w:t>preosjetljivost</w:t>
      </w:r>
      <w:r w:rsidRPr="005436C8">
        <w:rPr>
          <w:sz w:val="22"/>
          <w:szCs w:val="22"/>
          <w:lang w:val="sr-Latn-ME"/>
        </w:rPr>
        <w:t xml:space="preserve">i/anafilakse povezanih sa terapijom koja ciljano </w:t>
      </w:r>
      <w:r w:rsidR="00522BD8" w:rsidRPr="005436C8">
        <w:rPr>
          <w:sz w:val="22"/>
          <w:szCs w:val="22"/>
          <w:lang w:val="sr-Latn-ME"/>
        </w:rPr>
        <w:t>djeluje</w:t>
      </w:r>
      <w:r w:rsidRPr="005436C8">
        <w:rPr>
          <w:sz w:val="22"/>
          <w:szCs w:val="22"/>
          <w:lang w:val="sr-Latn-ME"/>
        </w:rPr>
        <w:t xml:space="preserve"> na HER2 iznosila je 1,</w:t>
      </w:r>
      <w:r w:rsidR="008E7A18">
        <w:rPr>
          <w:sz w:val="22"/>
          <w:szCs w:val="22"/>
          <w:lang w:val="sr-Latn-ME"/>
        </w:rPr>
        <w:t>2</w:t>
      </w:r>
      <w:r w:rsidRPr="005436C8">
        <w:rPr>
          <w:sz w:val="22"/>
          <w:szCs w:val="22"/>
          <w:lang w:val="sr-Latn-ME"/>
        </w:rPr>
        <w:t xml:space="preserve">% kod pacijenata koji su primali </w:t>
      </w:r>
      <w:r w:rsidRPr="003E269C">
        <w:rPr>
          <w:noProof/>
          <w:color w:val="000000"/>
          <w:sz w:val="22"/>
          <w:szCs w:val="22"/>
          <w:lang w:val="sr-Latn-ME"/>
        </w:rPr>
        <w:t>Phesgo</w:t>
      </w:r>
      <w:r w:rsidRPr="003E269C">
        <w:rPr>
          <w:sz w:val="22"/>
          <w:szCs w:val="22"/>
          <w:lang w:val="sr-Latn-ME"/>
        </w:rPr>
        <w:t xml:space="preserve"> i </w:t>
      </w:r>
      <w:r w:rsidR="005D5BF4" w:rsidRPr="003E269C">
        <w:rPr>
          <w:sz w:val="22"/>
          <w:szCs w:val="22"/>
          <w:lang w:val="sr-Latn-ME"/>
        </w:rPr>
        <w:t>0,8</w:t>
      </w:r>
      <w:r w:rsidRPr="003E269C">
        <w:rPr>
          <w:sz w:val="22"/>
          <w:szCs w:val="22"/>
          <w:lang w:val="sr-Latn-ME"/>
        </w:rPr>
        <w:t>%</w:t>
      </w:r>
      <w:r w:rsidRPr="005436C8">
        <w:rPr>
          <w:sz w:val="22"/>
          <w:szCs w:val="22"/>
          <w:lang w:val="sr-Latn-ME"/>
        </w:rPr>
        <w:t xml:space="preserve"> kod onih koji su </w:t>
      </w:r>
      <w:r w:rsidR="00097926" w:rsidRPr="005436C8">
        <w:rPr>
          <w:sz w:val="22"/>
          <w:szCs w:val="22"/>
          <w:lang w:val="sr-Latn-ME"/>
        </w:rPr>
        <w:t>liječeni</w:t>
      </w:r>
      <w:r w:rsidRPr="005436C8">
        <w:rPr>
          <w:sz w:val="22"/>
          <w:szCs w:val="22"/>
          <w:lang w:val="sr-Latn-ME"/>
        </w:rPr>
        <w:t xml:space="preserve"> intravenskim pertuzumabom</w:t>
      </w:r>
      <w:r w:rsidR="008E7A18">
        <w:rPr>
          <w:sz w:val="22"/>
          <w:szCs w:val="22"/>
          <w:lang w:val="sr-Latn-ME"/>
        </w:rPr>
        <w:t xml:space="preserve"> i trastuzumabom</w:t>
      </w:r>
      <w:r w:rsidRPr="005436C8">
        <w:rPr>
          <w:sz w:val="22"/>
          <w:szCs w:val="22"/>
          <w:lang w:val="sr-Latn-ME"/>
        </w:rPr>
        <w:t>, a nijedna reakcija nije bila gradusa 3-4 prema NCI-CTCAE (verzija 4.0) (</w:t>
      </w:r>
      <w:r w:rsidR="004E41D9">
        <w:rPr>
          <w:sz w:val="22"/>
          <w:szCs w:val="22"/>
          <w:lang w:val="sr-Latn-ME"/>
        </w:rPr>
        <w:t>vidjeti dio</w:t>
      </w:r>
      <w:r w:rsidRPr="005436C8">
        <w:rPr>
          <w:sz w:val="22"/>
          <w:szCs w:val="22"/>
          <w:lang w:val="sr-Latn-ME"/>
        </w:rPr>
        <w:t xml:space="preserve"> 4.4). Kod jednog pacijenta je zab</w:t>
      </w:r>
      <w:r w:rsidR="00FF329E" w:rsidRPr="005436C8">
        <w:rPr>
          <w:sz w:val="22"/>
          <w:szCs w:val="22"/>
          <w:lang w:val="sr-Latn-ME"/>
        </w:rPr>
        <w:t>i</w:t>
      </w:r>
      <w:r w:rsidRPr="005436C8">
        <w:rPr>
          <w:sz w:val="22"/>
          <w:szCs w:val="22"/>
          <w:lang w:val="sr-Latn-ME"/>
        </w:rPr>
        <w:t>l</w:t>
      </w:r>
      <w:r w:rsidR="00FF329E" w:rsidRPr="005436C8">
        <w:rPr>
          <w:sz w:val="22"/>
          <w:szCs w:val="22"/>
          <w:lang w:val="sr-Latn-ME"/>
        </w:rPr>
        <w:t>j</w:t>
      </w:r>
      <w:r w:rsidRPr="005436C8">
        <w:rPr>
          <w:sz w:val="22"/>
          <w:szCs w:val="22"/>
          <w:lang w:val="sr-Latn-ME"/>
        </w:rPr>
        <w:t xml:space="preserve">ežen događaj </w:t>
      </w:r>
      <w:r w:rsidR="00362B4E" w:rsidRPr="005436C8">
        <w:rPr>
          <w:sz w:val="22"/>
          <w:szCs w:val="22"/>
          <w:lang w:val="sr-Latn-ME"/>
        </w:rPr>
        <w:t>preosjetljivost</w:t>
      </w:r>
      <w:r w:rsidRPr="005436C8">
        <w:rPr>
          <w:sz w:val="22"/>
          <w:szCs w:val="22"/>
          <w:lang w:val="sr-Latn-ME"/>
        </w:rPr>
        <w:t xml:space="preserve">i/anafilakse tokom ili neposredno nakon </w:t>
      </w:r>
      <w:r w:rsidR="00A21698" w:rsidRPr="005436C8">
        <w:rPr>
          <w:sz w:val="22"/>
          <w:szCs w:val="22"/>
          <w:lang w:val="sr-Latn-ME"/>
        </w:rPr>
        <w:t>primjene</w:t>
      </w:r>
      <w:r w:rsidRPr="005436C8">
        <w:rPr>
          <w:sz w:val="22"/>
          <w:szCs w:val="22"/>
          <w:lang w:val="sr-Latn-ME"/>
        </w:rPr>
        <w:t xml:space="preserve"> </w:t>
      </w:r>
      <w:r w:rsidR="00166973" w:rsidRPr="005436C8">
        <w:rPr>
          <w:sz w:val="22"/>
          <w:szCs w:val="22"/>
          <w:lang w:val="sr-Latn-ME"/>
        </w:rPr>
        <w:t>lijek</w:t>
      </w:r>
      <w:r w:rsidRPr="005436C8">
        <w:rPr>
          <w:sz w:val="22"/>
          <w:szCs w:val="22"/>
          <w:lang w:val="sr-Latn-ME"/>
        </w:rPr>
        <w:t xml:space="preserve">a Phesgo u prvom ciklusu koji je doveo do prekida </w:t>
      </w:r>
      <w:r w:rsidR="000A2EA9" w:rsidRPr="005436C8">
        <w:rPr>
          <w:sz w:val="22"/>
          <w:szCs w:val="22"/>
          <w:lang w:val="sr-Latn-ME"/>
        </w:rPr>
        <w:t>liječenja</w:t>
      </w:r>
      <w:r w:rsidRPr="005436C8">
        <w:rPr>
          <w:sz w:val="22"/>
          <w:szCs w:val="22"/>
          <w:lang w:val="sr-Latn-ME"/>
        </w:rPr>
        <w:t xml:space="preserve"> (</w:t>
      </w:r>
      <w:r w:rsidR="004E41D9">
        <w:rPr>
          <w:sz w:val="22"/>
          <w:szCs w:val="22"/>
          <w:lang w:val="sr-Latn-ME"/>
        </w:rPr>
        <w:t>vidjeti djelove</w:t>
      </w:r>
      <w:r w:rsidRPr="005436C8">
        <w:rPr>
          <w:sz w:val="22"/>
          <w:szCs w:val="22"/>
          <w:lang w:val="sr-Latn-ME"/>
        </w:rPr>
        <w:t xml:space="preserve"> 4.2 i 4.4).</w:t>
      </w:r>
    </w:p>
    <w:p w14:paraId="5B58EDB8" w14:textId="77777777" w:rsidR="008E7A18" w:rsidRDefault="008E7A18" w:rsidP="005436C8">
      <w:pPr>
        <w:tabs>
          <w:tab w:val="left" w:pos="284"/>
        </w:tabs>
        <w:jc w:val="both"/>
        <w:rPr>
          <w:sz w:val="22"/>
          <w:szCs w:val="22"/>
          <w:lang w:val="sr-Latn-ME"/>
        </w:rPr>
      </w:pPr>
    </w:p>
    <w:p w14:paraId="7DA480BC" w14:textId="77777777" w:rsidR="008E7A18" w:rsidRPr="00F4539F" w:rsidRDefault="008E7A18" w:rsidP="005436C8">
      <w:pPr>
        <w:tabs>
          <w:tab w:val="left" w:pos="284"/>
        </w:tabs>
        <w:jc w:val="both"/>
        <w:rPr>
          <w:sz w:val="22"/>
          <w:szCs w:val="22"/>
          <w:lang w:val="hr-HR"/>
        </w:rPr>
      </w:pPr>
      <w:r w:rsidRPr="008E7A18">
        <w:rPr>
          <w:sz w:val="22"/>
          <w:szCs w:val="22"/>
          <w:lang w:val="hr-HR"/>
        </w:rPr>
        <w:t>U fazi neoadjuvantnog l</w:t>
      </w:r>
      <w:r>
        <w:rPr>
          <w:sz w:val="22"/>
          <w:szCs w:val="22"/>
          <w:lang w:val="hr-HR"/>
        </w:rPr>
        <w:t>ij</w:t>
      </w:r>
      <w:r w:rsidRPr="008E7A18">
        <w:rPr>
          <w:sz w:val="22"/>
          <w:szCs w:val="22"/>
          <w:lang w:val="hr-HR"/>
        </w:rPr>
        <w:t>ečenja, preos</w:t>
      </w:r>
      <w:r w:rsidR="00563BCD">
        <w:rPr>
          <w:sz w:val="22"/>
          <w:szCs w:val="22"/>
          <w:lang w:val="hr-HR"/>
        </w:rPr>
        <w:t>j</w:t>
      </w:r>
      <w:r w:rsidRPr="008E7A18">
        <w:rPr>
          <w:sz w:val="22"/>
          <w:szCs w:val="22"/>
          <w:lang w:val="hr-HR"/>
        </w:rPr>
        <w:t>etljivost na l</w:t>
      </w:r>
      <w:r>
        <w:rPr>
          <w:sz w:val="22"/>
          <w:szCs w:val="22"/>
          <w:lang w:val="hr-HR"/>
        </w:rPr>
        <w:t>ij</w:t>
      </w:r>
      <w:r w:rsidRPr="008E7A18">
        <w:rPr>
          <w:sz w:val="22"/>
          <w:szCs w:val="22"/>
          <w:lang w:val="hr-HR"/>
        </w:rPr>
        <w:t>ek zab</w:t>
      </w:r>
      <w:r w:rsidR="00563BCD">
        <w:rPr>
          <w:sz w:val="22"/>
          <w:szCs w:val="22"/>
          <w:lang w:val="hr-HR"/>
        </w:rPr>
        <w:t>i</w:t>
      </w:r>
      <w:r w:rsidRPr="008E7A18">
        <w:rPr>
          <w:sz w:val="22"/>
          <w:szCs w:val="22"/>
          <w:lang w:val="hr-HR"/>
        </w:rPr>
        <w:t>l</w:t>
      </w:r>
      <w:r w:rsidR="00563BCD">
        <w:rPr>
          <w:sz w:val="22"/>
          <w:szCs w:val="22"/>
          <w:lang w:val="hr-HR"/>
        </w:rPr>
        <w:t>j</w:t>
      </w:r>
      <w:r w:rsidRPr="008E7A18">
        <w:rPr>
          <w:sz w:val="22"/>
          <w:szCs w:val="22"/>
          <w:lang w:val="hr-HR"/>
        </w:rPr>
        <w:t>ežena je kod 0,4% pacijenata l</w:t>
      </w:r>
      <w:r>
        <w:rPr>
          <w:sz w:val="22"/>
          <w:szCs w:val="22"/>
          <w:lang w:val="hr-HR"/>
        </w:rPr>
        <w:t>ij</w:t>
      </w:r>
      <w:r w:rsidRPr="008E7A18">
        <w:rPr>
          <w:sz w:val="22"/>
          <w:szCs w:val="22"/>
          <w:lang w:val="hr-HR"/>
        </w:rPr>
        <w:t>ečenih l</w:t>
      </w:r>
      <w:r>
        <w:rPr>
          <w:sz w:val="22"/>
          <w:szCs w:val="22"/>
          <w:lang w:val="hr-HR"/>
        </w:rPr>
        <w:t>ij</w:t>
      </w:r>
      <w:r w:rsidRPr="008E7A18">
        <w:rPr>
          <w:sz w:val="22"/>
          <w:szCs w:val="22"/>
          <w:lang w:val="hr-HR"/>
        </w:rPr>
        <w:t>ekom Phesgo i kod 0,4% pacijenata l</w:t>
      </w:r>
      <w:r>
        <w:rPr>
          <w:sz w:val="22"/>
          <w:szCs w:val="22"/>
          <w:lang w:val="hr-HR"/>
        </w:rPr>
        <w:t>ij</w:t>
      </w:r>
      <w:r w:rsidRPr="008E7A18">
        <w:rPr>
          <w:sz w:val="22"/>
          <w:szCs w:val="22"/>
          <w:lang w:val="hr-HR"/>
        </w:rPr>
        <w:t>ečenih intravenskim formulacijama pertuzumaba i trastuzumaba. Tokom faze adjuvantnog l</w:t>
      </w:r>
      <w:r>
        <w:rPr>
          <w:sz w:val="22"/>
          <w:szCs w:val="22"/>
          <w:lang w:val="hr-HR"/>
        </w:rPr>
        <w:t>ij</w:t>
      </w:r>
      <w:r w:rsidRPr="008E7A18">
        <w:rPr>
          <w:sz w:val="22"/>
          <w:szCs w:val="22"/>
          <w:lang w:val="hr-HR"/>
        </w:rPr>
        <w:t>ečenja, preos</w:t>
      </w:r>
      <w:r w:rsidR="00563BCD">
        <w:rPr>
          <w:sz w:val="22"/>
          <w:szCs w:val="22"/>
          <w:lang w:val="hr-HR"/>
        </w:rPr>
        <w:t>j</w:t>
      </w:r>
      <w:r w:rsidRPr="008E7A18">
        <w:rPr>
          <w:sz w:val="22"/>
          <w:szCs w:val="22"/>
          <w:lang w:val="hr-HR"/>
        </w:rPr>
        <w:t>etljivost na l</w:t>
      </w:r>
      <w:r>
        <w:rPr>
          <w:sz w:val="22"/>
          <w:szCs w:val="22"/>
          <w:lang w:val="hr-HR"/>
        </w:rPr>
        <w:t>ij</w:t>
      </w:r>
      <w:r w:rsidRPr="008E7A18">
        <w:rPr>
          <w:sz w:val="22"/>
          <w:szCs w:val="22"/>
          <w:lang w:val="hr-HR"/>
        </w:rPr>
        <w:t xml:space="preserve">ek javila se kod 0,4% pacijenata </w:t>
      </w:r>
      <w:r w:rsidRPr="008E7A18">
        <w:rPr>
          <w:sz w:val="22"/>
          <w:szCs w:val="22"/>
          <w:lang w:val="hr-HR"/>
        </w:rPr>
        <w:lastRenderedPageBreak/>
        <w:t>l</w:t>
      </w:r>
      <w:r>
        <w:rPr>
          <w:sz w:val="22"/>
          <w:szCs w:val="22"/>
          <w:lang w:val="hr-HR"/>
        </w:rPr>
        <w:t>ij</w:t>
      </w:r>
      <w:r w:rsidRPr="008E7A18">
        <w:rPr>
          <w:sz w:val="22"/>
          <w:szCs w:val="22"/>
          <w:lang w:val="hr-HR"/>
        </w:rPr>
        <w:t>ečenih l</w:t>
      </w:r>
      <w:r>
        <w:rPr>
          <w:sz w:val="22"/>
          <w:szCs w:val="22"/>
          <w:lang w:val="hr-HR"/>
        </w:rPr>
        <w:t>ij</w:t>
      </w:r>
      <w:r w:rsidRPr="008E7A18">
        <w:rPr>
          <w:sz w:val="22"/>
          <w:szCs w:val="22"/>
          <w:lang w:val="hr-HR"/>
        </w:rPr>
        <w:t>ekom Phesgo, dok ni kod jednog pacijenta l</w:t>
      </w:r>
      <w:r w:rsidR="00563BCD">
        <w:rPr>
          <w:sz w:val="22"/>
          <w:szCs w:val="22"/>
          <w:lang w:val="hr-HR"/>
        </w:rPr>
        <w:t>ij</w:t>
      </w:r>
      <w:r w:rsidRPr="008E7A18">
        <w:rPr>
          <w:sz w:val="22"/>
          <w:szCs w:val="22"/>
          <w:lang w:val="hr-HR"/>
        </w:rPr>
        <w:t>ečenog intravenskim formulacijama pertuzumaba i trastuzumaba ni</w:t>
      </w:r>
      <w:r w:rsidR="004E41D9">
        <w:rPr>
          <w:sz w:val="22"/>
          <w:szCs w:val="22"/>
          <w:lang w:val="hr-HR"/>
        </w:rPr>
        <w:t>je</w:t>
      </w:r>
      <w:r w:rsidRPr="008E7A18">
        <w:rPr>
          <w:sz w:val="22"/>
          <w:szCs w:val="22"/>
          <w:lang w:val="hr-HR"/>
        </w:rPr>
        <w:t>su zab</w:t>
      </w:r>
      <w:r w:rsidR="00563BCD">
        <w:rPr>
          <w:sz w:val="22"/>
          <w:szCs w:val="22"/>
          <w:lang w:val="hr-HR"/>
        </w:rPr>
        <w:t>i</w:t>
      </w:r>
      <w:r w:rsidRPr="008E7A18">
        <w:rPr>
          <w:sz w:val="22"/>
          <w:szCs w:val="22"/>
          <w:lang w:val="hr-HR"/>
        </w:rPr>
        <w:t>l</w:t>
      </w:r>
      <w:r w:rsidR="00563BCD">
        <w:rPr>
          <w:sz w:val="22"/>
          <w:szCs w:val="22"/>
          <w:lang w:val="hr-HR"/>
        </w:rPr>
        <w:t>j</w:t>
      </w:r>
      <w:r w:rsidRPr="008E7A18">
        <w:rPr>
          <w:sz w:val="22"/>
          <w:szCs w:val="22"/>
          <w:lang w:val="hr-HR"/>
        </w:rPr>
        <w:t>ežene preos</w:t>
      </w:r>
      <w:r w:rsidR="00563BCD">
        <w:rPr>
          <w:sz w:val="22"/>
          <w:szCs w:val="22"/>
          <w:lang w:val="hr-HR"/>
        </w:rPr>
        <w:t>j</w:t>
      </w:r>
      <w:r w:rsidRPr="008E7A18">
        <w:rPr>
          <w:sz w:val="22"/>
          <w:szCs w:val="22"/>
          <w:lang w:val="hr-HR"/>
        </w:rPr>
        <w:t>etljivost ni preos</w:t>
      </w:r>
      <w:r w:rsidR="00563BCD">
        <w:rPr>
          <w:sz w:val="22"/>
          <w:szCs w:val="22"/>
          <w:lang w:val="hr-HR"/>
        </w:rPr>
        <w:t>j</w:t>
      </w:r>
      <w:r w:rsidRPr="008E7A18">
        <w:rPr>
          <w:sz w:val="22"/>
          <w:szCs w:val="22"/>
          <w:lang w:val="hr-HR"/>
        </w:rPr>
        <w:t>etljivost na l</w:t>
      </w:r>
      <w:r>
        <w:rPr>
          <w:sz w:val="22"/>
          <w:szCs w:val="22"/>
          <w:lang w:val="hr-HR"/>
        </w:rPr>
        <w:t>ij</w:t>
      </w:r>
      <w:r w:rsidRPr="008E7A18">
        <w:rPr>
          <w:sz w:val="22"/>
          <w:szCs w:val="22"/>
          <w:lang w:val="hr-HR"/>
        </w:rPr>
        <w:t>ek.</w:t>
      </w:r>
    </w:p>
    <w:p w14:paraId="2AEBA4C8" w14:textId="77777777" w:rsidR="000C7302" w:rsidRPr="005436C8" w:rsidRDefault="000C7302" w:rsidP="005436C8">
      <w:pPr>
        <w:tabs>
          <w:tab w:val="left" w:pos="284"/>
        </w:tabs>
        <w:jc w:val="both"/>
        <w:rPr>
          <w:sz w:val="22"/>
          <w:szCs w:val="22"/>
          <w:lang w:val="sr-Latn-ME"/>
        </w:rPr>
      </w:pPr>
    </w:p>
    <w:p w14:paraId="2D1D697E" w14:textId="77777777" w:rsidR="000C7302" w:rsidRPr="005436C8" w:rsidRDefault="000C7302" w:rsidP="005436C8">
      <w:pPr>
        <w:tabs>
          <w:tab w:val="left" w:pos="284"/>
        </w:tabs>
        <w:jc w:val="both"/>
        <w:rPr>
          <w:i/>
          <w:sz w:val="22"/>
          <w:szCs w:val="22"/>
          <w:lang w:val="sr-Latn-ME"/>
        </w:rPr>
      </w:pPr>
      <w:r w:rsidRPr="005436C8">
        <w:rPr>
          <w:i/>
          <w:iCs/>
          <w:sz w:val="22"/>
          <w:szCs w:val="22"/>
          <w:lang w:val="sr-Latn-ME"/>
        </w:rPr>
        <w:t xml:space="preserve">Intravenski pertuzumab </w:t>
      </w:r>
      <w:r w:rsidRPr="005436C8">
        <w:rPr>
          <w:sz w:val="22"/>
          <w:szCs w:val="22"/>
          <w:lang w:val="sr-Latn-ME"/>
        </w:rPr>
        <w:t>u kombinaciji sa trastuzumabom i hemoterapijom</w:t>
      </w:r>
    </w:p>
    <w:p w14:paraId="5C64E2A2" w14:textId="77777777" w:rsidR="000C7302" w:rsidRPr="005436C8" w:rsidRDefault="000C7302" w:rsidP="005436C8">
      <w:pPr>
        <w:tabs>
          <w:tab w:val="left" w:pos="284"/>
        </w:tabs>
        <w:jc w:val="both"/>
        <w:rPr>
          <w:i/>
          <w:sz w:val="22"/>
          <w:szCs w:val="22"/>
          <w:u w:val="single"/>
          <w:lang w:val="sr-Latn-ME"/>
        </w:rPr>
      </w:pPr>
    </w:p>
    <w:p w14:paraId="25575538"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pivotalnom ispitivanju CLEOPATRA kod metastatskog karcinoma dojke ukupna učestalost događaja </w:t>
      </w:r>
      <w:r w:rsidR="00362B4E" w:rsidRPr="005436C8">
        <w:rPr>
          <w:sz w:val="22"/>
          <w:szCs w:val="22"/>
          <w:lang w:val="sr-Latn-ME"/>
        </w:rPr>
        <w:t>preosjetljivost</w:t>
      </w:r>
      <w:r w:rsidRPr="005436C8">
        <w:rPr>
          <w:sz w:val="22"/>
          <w:szCs w:val="22"/>
          <w:lang w:val="sr-Latn-ME"/>
        </w:rPr>
        <w:t>i/anafilakse koje su prijavili istraživači tokom c</w:t>
      </w:r>
      <w:r w:rsidR="00570AA5" w:rsidRPr="005436C8">
        <w:rPr>
          <w:sz w:val="22"/>
          <w:szCs w:val="22"/>
          <w:lang w:val="sr-Latn-ME"/>
        </w:rPr>
        <w:t>ij</w:t>
      </w:r>
      <w:r w:rsidRPr="005436C8">
        <w:rPr>
          <w:sz w:val="22"/>
          <w:szCs w:val="22"/>
          <w:lang w:val="sr-Latn-ME"/>
        </w:rPr>
        <w:t xml:space="preserve">elog perioda </w:t>
      </w:r>
      <w:r w:rsidR="000A2EA9" w:rsidRPr="005436C8">
        <w:rPr>
          <w:sz w:val="22"/>
          <w:szCs w:val="22"/>
          <w:lang w:val="sr-Latn-ME"/>
        </w:rPr>
        <w:t>liječenja</w:t>
      </w:r>
      <w:r w:rsidRPr="005436C8">
        <w:rPr>
          <w:sz w:val="22"/>
          <w:szCs w:val="22"/>
          <w:lang w:val="sr-Latn-ME"/>
        </w:rPr>
        <w:t xml:space="preserve"> iznosila je 9,3% u grupi koja je primala placebo i 11,3% u grupi </w:t>
      </w:r>
      <w:r w:rsidR="00F90BE1" w:rsidRPr="005436C8">
        <w:rPr>
          <w:sz w:val="22"/>
          <w:szCs w:val="22"/>
          <w:lang w:val="sr-Latn-ME"/>
        </w:rPr>
        <w:t>liječenoj</w:t>
      </w:r>
      <w:r w:rsidRPr="005436C8">
        <w:rPr>
          <w:sz w:val="22"/>
          <w:szCs w:val="22"/>
          <w:lang w:val="sr-Latn-ME"/>
        </w:rPr>
        <w:t xml:space="preserve"> pertuzumabom, pri čemu je 2,5% odnosno 2,0% slučajeva bilo gradusa 3-4 prema NCI-CTCAE. Ukupno su 2 pacijenta u grupi koja je primala placebo i 4 pacijenta u grupi </w:t>
      </w:r>
      <w:r w:rsidR="00F90BE1" w:rsidRPr="005436C8">
        <w:rPr>
          <w:sz w:val="22"/>
          <w:szCs w:val="22"/>
          <w:lang w:val="sr-Latn-ME"/>
        </w:rPr>
        <w:t>liječenoj</w:t>
      </w:r>
      <w:r w:rsidRPr="005436C8">
        <w:rPr>
          <w:sz w:val="22"/>
          <w:szCs w:val="22"/>
          <w:lang w:val="sr-Latn-ME"/>
        </w:rPr>
        <w:t xml:space="preserve"> pertuzumabom imala događaje koje je istraživač opisao kao anafilaksu (</w:t>
      </w:r>
      <w:r w:rsidR="00CD5D69">
        <w:rPr>
          <w:sz w:val="22"/>
          <w:szCs w:val="22"/>
          <w:lang w:val="sr-Latn-ME"/>
        </w:rPr>
        <w:t>vidjeti dio</w:t>
      </w:r>
      <w:r w:rsidRPr="005436C8">
        <w:rPr>
          <w:sz w:val="22"/>
          <w:szCs w:val="22"/>
          <w:lang w:val="sr-Latn-ME"/>
        </w:rPr>
        <w:t xml:space="preserve"> 4.4). </w:t>
      </w:r>
    </w:p>
    <w:p w14:paraId="226CFC32" w14:textId="77777777" w:rsidR="000C7302" w:rsidRPr="005436C8" w:rsidRDefault="000C7302" w:rsidP="005436C8">
      <w:pPr>
        <w:tabs>
          <w:tab w:val="left" w:pos="284"/>
        </w:tabs>
        <w:jc w:val="both"/>
        <w:rPr>
          <w:sz w:val="22"/>
          <w:szCs w:val="22"/>
          <w:lang w:val="sr-Latn-ME"/>
        </w:rPr>
      </w:pPr>
    </w:p>
    <w:p w14:paraId="4A13BC24"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Ukupno posmatrajući, reakcije </w:t>
      </w:r>
      <w:r w:rsidR="00362B4E" w:rsidRPr="005436C8">
        <w:rPr>
          <w:sz w:val="22"/>
          <w:szCs w:val="22"/>
          <w:lang w:val="sr-Latn-ME"/>
        </w:rPr>
        <w:t>preosjetljivost</w:t>
      </w:r>
      <w:r w:rsidRPr="005436C8">
        <w:rPr>
          <w:sz w:val="22"/>
          <w:szCs w:val="22"/>
          <w:lang w:val="sr-Latn-ME"/>
        </w:rPr>
        <w:t xml:space="preserve">i su pretežno bile blage ili </w:t>
      </w:r>
      <w:r w:rsidR="00FF329E" w:rsidRPr="005436C8">
        <w:rPr>
          <w:sz w:val="22"/>
          <w:szCs w:val="22"/>
          <w:lang w:val="sr-Latn-ME"/>
        </w:rPr>
        <w:t>umjerene</w:t>
      </w:r>
      <w:r w:rsidRPr="005436C8">
        <w:rPr>
          <w:sz w:val="22"/>
          <w:szCs w:val="22"/>
          <w:lang w:val="sr-Latn-ME"/>
        </w:rPr>
        <w:t xml:space="preserve"> težine i povukle su se nakon terapije. Na osnovu modifikacija studijske terapije, većina reakcija proc</w:t>
      </w:r>
      <w:r w:rsidR="00570AA5" w:rsidRPr="005436C8">
        <w:rPr>
          <w:sz w:val="22"/>
          <w:szCs w:val="22"/>
          <w:lang w:val="sr-Latn-ME"/>
        </w:rPr>
        <w:t>i</w:t>
      </w:r>
      <w:r w:rsidR="00FF329E" w:rsidRPr="005436C8">
        <w:rPr>
          <w:sz w:val="22"/>
          <w:szCs w:val="22"/>
          <w:lang w:val="sr-Latn-ME"/>
        </w:rPr>
        <w:t>j</w:t>
      </w:r>
      <w:r w:rsidRPr="005436C8">
        <w:rPr>
          <w:sz w:val="22"/>
          <w:szCs w:val="22"/>
          <w:lang w:val="sr-Latn-ME"/>
        </w:rPr>
        <w:t>enjena je kao sekundarna za infuzije docetaksela.</w:t>
      </w:r>
    </w:p>
    <w:p w14:paraId="722590D5" w14:textId="77777777" w:rsidR="000C7302" w:rsidRPr="005436C8" w:rsidRDefault="000C7302" w:rsidP="005436C8">
      <w:pPr>
        <w:tabs>
          <w:tab w:val="left" w:pos="284"/>
        </w:tabs>
        <w:jc w:val="both"/>
        <w:rPr>
          <w:sz w:val="22"/>
          <w:szCs w:val="22"/>
          <w:lang w:val="sr-Latn-ME"/>
        </w:rPr>
      </w:pPr>
    </w:p>
    <w:p w14:paraId="263240D4"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Događaji </w:t>
      </w:r>
      <w:r w:rsidR="00362B4E" w:rsidRPr="005436C8">
        <w:rPr>
          <w:sz w:val="22"/>
          <w:szCs w:val="22"/>
          <w:lang w:val="sr-Latn-ME"/>
        </w:rPr>
        <w:t>preosjetljivost</w:t>
      </w:r>
      <w:r w:rsidRPr="005436C8">
        <w:rPr>
          <w:sz w:val="22"/>
          <w:szCs w:val="22"/>
          <w:lang w:val="sr-Latn-ME"/>
        </w:rPr>
        <w:t>i/anafilakse u neoadjuvantnim i adjuvantnim ispitivanjima bili su u skladu sa onima koji su zab</w:t>
      </w:r>
      <w:r w:rsidR="00FF329E" w:rsidRPr="005436C8">
        <w:rPr>
          <w:sz w:val="22"/>
          <w:szCs w:val="22"/>
          <w:lang w:val="sr-Latn-ME"/>
        </w:rPr>
        <w:t>i</w:t>
      </w:r>
      <w:r w:rsidRPr="005436C8">
        <w:rPr>
          <w:sz w:val="22"/>
          <w:szCs w:val="22"/>
          <w:lang w:val="sr-Latn-ME"/>
        </w:rPr>
        <w:t>l</w:t>
      </w:r>
      <w:r w:rsidR="00FF329E" w:rsidRPr="005436C8">
        <w:rPr>
          <w:sz w:val="22"/>
          <w:szCs w:val="22"/>
          <w:lang w:val="sr-Latn-ME"/>
        </w:rPr>
        <w:t>j</w:t>
      </w:r>
      <w:r w:rsidRPr="005436C8">
        <w:rPr>
          <w:sz w:val="22"/>
          <w:szCs w:val="22"/>
          <w:lang w:val="sr-Latn-ME"/>
        </w:rPr>
        <w:t xml:space="preserve">eženi u ispitivanju CLEOPATRA. U ispitivanju NEOSPHERE anafilaksa se javila kod dva pacijenta u grupi </w:t>
      </w:r>
      <w:r w:rsidR="00F90BE1" w:rsidRPr="005436C8">
        <w:rPr>
          <w:sz w:val="22"/>
          <w:szCs w:val="22"/>
          <w:lang w:val="sr-Latn-ME"/>
        </w:rPr>
        <w:t>liječenoj</w:t>
      </w:r>
      <w:r w:rsidRPr="005436C8">
        <w:rPr>
          <w:sz w:val="22"/>
          <w:szCs w:val="22"/>
          <w:lang w:val="sr-Latn-ME"/>
        </w:rPr>
        <w:t xml:space="preserve"> pertuzumabom i docetakselom. I u ispitivanju TRYPHAENA i u ispitivanju APHINITY ukupna učestalost </w:t>
      </w:r>
      <w:r w:rsidR="00362B4E" w:rsidRPr="005436C8">
        <w:rPr>
          <w:sz w:val="22"/>
          <w:szCs w:val="22"/>
          <w:lang w:val="sr-Latn-ME"/>
        </w:rPr>
        <w:t>preosjetljivost</w:t>
      </w:r>
      <w:r w:rsidRPr="005436C8">
        <w:rPr>
          <w:sz w:val="22"/>
          <w:szCs w:val="22"/>
          <w:lang w:val="sr-Latn-ME"/>
        </w:rPr>
        <w:t>i/anafilakse bila je najveća u grupi koja je primala pertuzumab i TCH (13,2% odnosno 7,6%), od čega je 2,6% odnosno 1,3% događaja bilo gradusa 3-4 prema NCI-CTCAE.</w:t>
      </w:r>
    </w:p>
    <w:p w14:paraId="70EDCBD2" w14:textId="77777777" w:rsidR="000C7302" w:rsidRPr="005436C8" w:rsidRDefault="000C7302" w:rsidP="005436C8">
      <w:pPr>
        <w:tabs>
          <w:tab w:val="left" w:pos="284"/>
        </w:tabs>
        <w:jc w:val="both"/>
        <w:rPr>
          <w:sz w:val="22"/>
          <w:szCs w:val="22"/>
          <w:lang w:val="sr-Latn-ME"/>
        </w:rPr>
      </w:pPr>
    </w:p>
    <w:p w14:paraId="6DB12A14" w14:textId="77777777" w:rsidR="000C7302" w:rsidRPr="005436C8" w:rsidRDefault="000C7302" w:rsidP="005436C8">
      <w:pPr>
        <w:tabs>
          <w:tab w:val="left" w:pos="284"/>
        </w:tabs>
        <w:jc w:val="both"/>
        <w:rPr>
          <w:i/>
          <w:color w:val="000000"/>
          <w:sz w:val="22"/>
          <w:szCs w:val="22"/>
          <w:u w:val="single"/>
          <w:lang w:val="sr-Latn-ME"/>
        </w:rPr>
      </w:pPr>
      <w:r w:rsidRPr="005436C8">
        <w:rPr>
          <w:i/>
          <w:iCs/>
          <w:color w:val="000000"/>
          <w:sz w:val="22"/>
          <w:szCs w:val="22"/>
          <w:u w:val="single"/>
          <w:lang w:val="sr-Latn-ME"/>
        </w:rPr>
        <w:t>Febrilna neutropenija</w:t>
      </w:r>
    </w:p>
    <w:p w14:paraId="40A82598" w14:textId="77777777" w:rsidR="000C7302" w:rsidRPr="005436C8" w:rsidRDefault="000C7302" w:rsidP="005436C8">
      <w:pPr>
        <w:tabs>
          <w:tab w:val="left" w:pos="284"/>
        </w:tabs>
        <w:jc w:val="both"/>
        <w:rPr>
          <w:b/>
          <w:i/>
          <w:color w:val="000000"/>
          <w:sz w:val="22"/>
          <w:szCs w:val="22"/>
          <w:lang w:val="sr-Latn-ME"/>
        </w:rPr>
      </w:pPr>
    </w:p>
    <w:p w14:paraId="0DB71A74" w14:textId="77777777" w:rsidR="000C7302" w:rsidRPr="005436C8" w:rsidRDefault="008E7A18" w:rsidP="005436C8">
      <w:pPr>
        <w:tabs>
          <w:tab w:val="left" w:pos="284"/>
        </w:tabs>
        <w:jc w:val="both"/>
        <w:rPr>
          <w:i/>
          <w:sz w:val="22"/>
          <w:szCs w:val="22"/>
          <w:lang w:val="sr-Latn-ME"/>
        </w:rPr>
      </w:pPr>
      <w:r>
        <w:rPr>
          <w:i/>
          <w:iCs/>
          <w:sz w:val="22"/>
          <w:szCs w:val="22"/>
          <w:lang w:val="sr-Latn-ME"/>
        </w:rPr>
        <w:t xml:space="preserve">Lijek </w:t>
      </w:r>
      <w:r w:rsidR="000C7302" w:rsidRPr="005436C8">
        <w:rPr>
          <w:i/>
          <w:iCs/>
          <w:sz w:val="22"/>
          <w:szCs w:val="22"/>
          <w:lang w:val="sr-Latn-ME"/>
        </w:rPr>
        <w:t xml:space="preserve">Phesgo </w:t>
      </w:r>
    </w:p>
    <w:p w14:paraId="447E8CA3" w14:textId="77777777" w:rsidR="000C7302" w:rsidRPr="005436C8" w:rsidRDefault="000C7302" w:rsidP="005436C8">
      <w:pPr>
        <w:tabs>
          <w:tab w:val="left" w:pos="284"/>
        </w:tabs>
        <w:jc w:val="both"/>
        <w:rPr>
          <w:i/>
          <w:sz w:val="22"/>
          <w:szCs w:val="22"/>
          <w:u w:val="single"/>
          <w:lang w:val="sr-Latn-ME"/>
        </w:rPr>
      </w:pPr>
    </w:p>
    <w:p w14:paraId="45E62168"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pivotalnom ispitivanju FEDERICA </w:t>
      </w:r>
      <w:r w:rsidR="008E7A18" w:rsidRPr="008E7A18">
        <w:rPr>
          <w:sz w:val="22"/>
          <w:szCs w:val="22"/>
          <w:lang w:val="sr-Latn-RS"/>
        </w:rPr>
        <w:t>tokom faze neoadjuvantnog l</w:t>
      </w:r>
      <w:r w:rsidR="008E7A18">
        <w:rPr>
          <w:sz w:val="22"/>
          <w:szCs w:val="22"/>
          <w:lang w:val="sr-Latn-RS"/>
        </w:rPr>
        <w:t>ij</w:t>
      </w:r>
      <w:r w:rsidR="008E7A18" w:rsidRPr="008E7A18">
        <w:rPr>
          <w:sz w:val="22"/>
          <w:szCs w:val="22"/>
          <w:lang w:val="sr-Latn-RS"/>
        </w:rPr>
        <w:t>ečenja</w:t>
      </w:r>
      <w:r w:rsidR="008E7A18">
        <w:rPr>
          <w:sz w:val="22"/>
          <w:szCs w:val="22"/>
          <w:lang w:val="sr-Latn-RS"/>
        </w:rPr>
        <w:t>,</w:t>
      </w:r>
      <w:r w:rsidR="008E7A18" w:rsidRPr="008E7A18">
        <w:rPr>
          <w:sz w:val="22"/>
          <w:szCs w:val="22"/>
          <w:lang w:val="sr-Latn-ME"/>
        </w:rPr>
        <w:t xml:space="preserve"> </w:t>
      </w:r>
      <w:r w:rsidRPr="005436C8">
        <w:rPr>
          <w:sz w:val="22"/>
          <w:szCs w:val="22"/>
          <w:lang w:val="sr-Latn-ME"/>
        </w:rPr>
        <w:t>febrilna neutropenija</w:t>
      </w:r>
      <w:r w:rsidR="008E7A18">
        <w:rPr>
          <w:sz w:val="22"/>
          <w:szCs w:val="22"/>
          <w:lang w:val="sr-Latn-ME"/>
        </w:rPr>
        <w:t xml:space="preserve"> (3. ili 4. gradusa)</w:t>
      </w:r>
      <w:r w:rsidRPr="005436C8">
        <w:rPr>
          <w:sz w:val="22"/>
          <w:szCs w:val="22"/>
          <w:lang w:val="sr-Latn-ME"/>
        </w:rPr>
        <w:t xml:space="preserve"> se javila kod 6,</w:t>
      </w:r>
      <w:r w:rsidR="008E7A18">
        <w:rPr>
          <w:sz w:val="22"/>
          <w:szCs w:val="22"/>
          <w:lang w:val="sr-Latn-ME"/>
        </w:rPr>
        <w:t>6</w:t>
      </w:r>
      <w:r w:rsidRPr="005436C8">
        <w:rPr>
          <w:sz w:val="22"/>
          <w:szCs w:val="22"/>
          <w:lang w:val="sr-Latn-ME"/>
        </w:rPr>
        <w:t xml:space="preserve">% 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 xml:space="preserve">om </w:t>
      </w:r>
      <w:r w:rsidRPr="005436C8">
        <w:rPr>
          <w:noProof/>
          <w:color w:val="000000"/>
          <w:sz w:val="22"/>
          <w:szCs w:val="22"/>
          <w:lang w:val="sr-Latn-ME"/>
        </w:rPr>
        <w:t>Phesgo</w:t>
      </w:r>
      <w:r w:rsidRPr="005436C8">
        <w:rPr>
          <w:sz w:val="22"/>
          <w:szCs w:val="22"/>
          <w:lang w:val="sr-Latn-ME"/>
        </w:rPr>
        <w:t xml:space="preserve"> i 5,6% onih koji su primali pertuzumab i trastuzumab intravenski. </w:t>
      </w:r>
      <w:r w:rsidR="008E7A18" w:rsidRPr="008E7A18">
        <w:rPr>
          <w:sz w:val="22"/>
          <w:szCs w:val="22"/>
          <w:lang w:val="sr-Latn-RS"/>
        </w:rPr>
        <w:t>Tokom faze adjuvantnog l</w:t>
      </w:r>
      <w:r w:rsidR="008E7A18">
        <w:rPr>
          <w:sz w:val="22"/>
          <w:szCs w:val="22"/>
          <w:lang w:val="sr-Latn-RS"/>
        </w:rPr>
        <w:t>ij</w:t>
      </w:r>
      <w:r w:rsidR="008E7A18" w:rsidRPr="008E7A18">
        <w:rPr>
          <w:sz w:val="22"/>
          <w:szCs w:val="22"/>
          <w:lang w:val="sr-Latn-RS"/>
        </w:rPr>
        <w:t>ečenja nije zab</w:t>
      </w:r>
      <w:r w:rsidR="00563BCD">
        <w:rPr>
          <w:sz w:val="22"/>
          <w:szCs w:val="22"/>
          <w:lang w:val="sr-Latn-RS"/>
        </w:rPr>
        <w:t>i</w:t>
      </w:r>
      <w:r w:rsidR="008E7A18" w:rsidRPr="008E7A18">
        <w:rPr>
          <w:sz w:val="22"/>
          <w:szCs w:val="22"/>
          <w:lang w:val="sr-Latn-RS"/>
        </w:rPr>
        <w:t>l</w:t>
      </w:r>
      <w:r w:rsidR="00563BCD">
        <w:rPr>
          <w:sz w:val="22"/>
          <w:szCs w:val="22"/>
          <w:lang w:val="sr-Latn-RS"/>
        </w:rPr>
        <w:t>j</w:t>
      </w:r>
      <w:r w:rsidR="008E7A18" w:rsidRPr="008E7A18">
        <w:rPr>
          <w:sz w:val="22"/>
          <w:szCs w:val="22"/>
          <w:lang w:val="sr-Latn-RS"/>
        </w:rPr>
        <w:t>ežen nijedan događaj febrilne neutropenije (3. ili 4. gradusa).</w:t>
      </w:r>
    </w:p>
    <w:p w14:paraId="289C649B" w14:textId="77777777" w:rsidR="000C7302" w:rsidRPr="005436C8" w:rsidRDefault="000C7302" w:rsidP="005436C8">
      <w:pPr>
        <w:tabs>
          <w:tab w:val="left" w:pos="284"/>
        </w:tabs>
        <w:jc w:val="both"/>
        <w:rPr>
          <w:sz w:val="22"/>
          <w:szCs w:val="22"/>
          <w:lang w:val="sr-Latn-ME"/>
        </w:rPr>
      </w:pPr>
    </w:p>
    <w:p w14:paraId="12CC4F46"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Kao i u pivotalnim ispitivanjima intravenskog pertuzumaba i trastuzumaba, u kojima je incidenca febrilne neutropenije </w:t>
      </w:r>
      <w:r w:rsidR="008E7A18">
        <w:rPr>
          <w:sz w:val="22"/>
          <w:szCs w:val="22"/>
          <w:lang w:val="sr-Latn-ME"/>
        </w:rPr>
        <w:t>(3. ili</w:t>
      </w:r>
      <w:r w:rsidR="004E41D9">
        <w:rPr>
          <w:sz w:val="22"/>
          <w:szCs w:val="22"/>
          <w:lang w:val="sr-Latn-ME"/>
        </w:rPr>
        <w:t xml:space="preserve"> </w:t>
      </w:r>
      <w:r w:rsidR="008E7A18">
        <w:rPr>
          <w:sz w:val="22"/>
          <w:szCs w:val="22"/>
          <w:lang w:val="sr-Latn-ME"/>
        </w:rPr>
        <w:t xml:space="preserve">4. gradusa) </w:t>
      </w:r>
      <w:r w:rsidRPr="005436C8">
        <w:rPr>
          <w:sz w:val="22"/>
          <w:szCs w:val="22"/>
          <w:lang w:val="sr-Latn-ME"/>
        </w:rPr>
        <w:t xml:space="preserve">bila viša kod pacijenata azijskog </w:t>
      </w:r>
      <w:r w:rsidR="00522BD8" w:rsidRPr="005436C8">
        <w:rPr>
          <w:sz w:val="22"/>
          <w:szCs w:val="22"/>
          <w:lang w:val="sr-Latn-ME"/>
        </w:rPr>
        <w:t>porijekla</w:t>
      </w:r>
      <w:r w:rsidRPr="005436C8">
        <w:rPr>
          <w:sz w:val="22"/>
          <w:szCs w:val="22"/>
          <w:lang w:val="sr-Latn-ME"/>
        </w:rPr>
        <w:t xml:space="preserve"> koji su primali intravenski pertuzumab i trastuzumab (13,0%), incidenca febrilne neutropenije takođe je bila viša kod pacijenata azijskog </w:t>
      </w:r>
      <w:r w:rsidR="00522BD8" w:rsidRPr="005436C8">
        <w:rPr>
          <w:sz w:val="22"/>
          <w:szCs w:val="22"/>
          <w:lang w:val="sr-Latn-ME"/>
        </w:rPr>
        <w:t>porijekla</w:t>
      </w:r>
      <w:r w:rsidRPr="005436C8">
        <w:rPr>
          <w:sz w:val="22"/>
          <w:szCs w:val="22"/>
          <w:lang w:val="sr-Latn-ME"/>
        </w:rPr>
        <w:t xml:space="preserve"> koji su primali Phesgo (13,7%)</w:t>
      </w:r>
      <w:r w:rsidR="008E7A18" w:rsidRPr="008E7A18">
        <w:rPr>
          <w:sz w:val="22"/>
          <w:lang w:val="sr-Latn-RS"/>
        </w:rPr>
        <w:t xml:space="preserve"> </w:t>
      </w:r>
      <w:r w:rsidR="008E7A18" w:rsidRPr="008E7A18">
        <w:rPr>
          <w:sz w:val="22"/>
          <w:szCs w:val="22"/>
          <w:lang w:val="sr-Latn-RS"/>
        </w:rPr>
        <w:t>tokom faze neoadjuvantnog l</w:t>
      </w:r>
      <w:r w:rsidR="008E7A18">
        <w:rPr>
          <w:sz w:val="22"/>
          <w:szCs w:val="22"/>
          <w:lang w:val="sr-Latn-RS"/>
        </w:rPr>
        <w:t>ij</w:t>
      </w:r>
      <w:r w:rsidR="008E7A18" w:rsidRPr="008E7A18">
        <w:rPr>
          <w:sz w:val="22"/>
          <w:szCs w:val="22"/>
          <w:lang w:val="sr-Latn-RS"/>
        </w:rPr>
        <w:t>ečenja. Tokom faze adjuvantnog l</w:t>
      </w:r>
      <w:r w:rsidR="008E7A18">
        <w:rPr>
          <w:sz w:val="22"/>
          <w:szCs w:val="22"/>
          <w:lang w:val="sr-Latn-RS"/>
        </w:rPr>
        <w:t>ij</w:t>
      </w:r>
      <w:r w:rsidR="008E7A18" w:rsidRPr="008E7A18">
        <w:rPr>
          <w:sz w:val="22"/>
          <w:szCs w:val="22"/>
          <w:lang w:val="sr-Latn-RS"/>
        </w:rPr>
        <w:t>ečenja nije zab</w:t>
      </w:r>
      <w:r w:rsidR="00563BCD">
        <w:rPr>
          <w:sz w:val="22"/>
          <w:szCs w:val="22"/>
          <w:lang w:val="sr-Latn-RS"/>
        </w:rPr>
        <w:t>i</w:t>
      </w:r>
      <w:r w:rsidR="008E7A18" w:rsidRPr="008E7A18">
        <w:rPr>
          <w:sz w:val="22"/>
          <w:szCs w:val="22"/>
          <w:lang w:val="sr-Latn-RS"/>
        </w:rPr>
        <w:t>l</w:t>
      </w:r>
      <w:r w:rsidR="00563BCD">
        <w:rPr>
          <w:sz w:val="22"/>
          <w:szCs w:val="22"/>
          <w:lang w:val="sr-Latn-RS"/>
        </w:rPr>
        <w:t>j</w:t>
      </w:r>
      <w:r w:rsidR="008E7A18" w:rsidRPr="008E7A18">
        <w:rPr>
          <w:sz w:val="22"/>
          <w:szCs w:val="22"/>
          <w:lang w:val="sr-Latn-RS"/>
        </w:rPr>
        <w:t>ežen nijedan događaj febrilne neutropenije (3. ili 4. gradusa) ni u jednoj grupi</w:t>
      </w:r>
      <w:r w:rsidRPr="005436C8">
        <w:rPr>
          <w:sz w:val="22"/>
          <w:szCs w:val="22"/>
          <w:lang w:val="sr-Latn-ME"/>
        </w:rPr>
        <w:t xml:space="preserve">. </w:t>
      </w:r>
    </w:p>
    <w:p w14:paraId="4309F66A" w14:textId="77777777" w:rsidR="000C7302" w:rsidRPr="005436C8" w:rsidRDefault="000C7302" w:rsidP="005436C8">
      <w:pPr>
        <w:tabs>
          <w:tab w:val="left" w:pos="284"/>
        </w:tabs>
        <w:jc w:val="both"/>
        <w:rPr>
          <w:sz w:val="22"/>
          <w:szCs w:val="22"/>
          <w:lang w:val="sr-Latn-ME"/>
        </w:rPr>
      </w:pPr>
    </w:p>
    <w:p w14:paraId="703F0D02" w14:textId="77777777" w:rsidR="000C7302" w:rsidRPr="005436C8" w:rsidRDefault="000C7302" w:rsidP="005436C8">
      <w:pPr>
        <w:tabs>
          <w:tab w:val="left" w:pos="284"/>
        </w:tabs>
        <w:jc w:val="both"/>
        <w:rPr>
          <w:i/>
          <w:sz w:val="22"/>
          <w:szCs w:val="22"/>
          <w:lang w:val="sr-Latn-ME"/>
        </w:rPr>
      </w:pPr>
      <w:r w:rsidRPr="005436C8">
        <w:rPr>
          <w:i/>
          <w:iCs/>
          <w:sz w:val="22"/>
          <w:szCs w:val="22"/>
          <w:lang w:val="sr-Latn-ME"/>
        </w:rPr>
        <w:t xml:space="preserve">Intravenski pertuzumab </w:t>
      </w:r>
      <w:r w:rsidRPr="005436C8">
        <w:rPr>
          <w:sz w:val="22"/>
          <w:szCs w:val="22"/>
          <w:lang w:val="sr-Latn-ME"/>
        </w:rPr>
        <w:t>u kombinaciji sa trastuzumabom i hemoterapijom</w:t>
      </w:r>
    </w:p>
    <w:p w14:paraId="3DE2F106" w14:textId="77777777" w:rsidR="000C7302" w:rsidRPr="005436C8" w:rsidRDefault="000C7302" w:rsidP="005436C8">
      <w:pPr>
        <w:tabs>
          <w:tab w:val="left" w:pos="284"/>
        </w:tabs>
        <w:jc w:val="both"/>
        <w:rPr>
          <w:i/>
          <w:sz w:val="22"/>
          <w:szCs w:val="22"/>
          <w:u w:val="single"/>
          <w:lang w:val="sr-Latn-ME"/>
        </w:rPr>
      </w:pPr>
    </w:p>
    <w:p w14:paraId="46455137"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pivotalnom ispitivanju CLEOPATRA većina pacijenata iz </w:t>
      </w:r>
      <w:r w:rsidR="00FE754C" w:rsidRPr="005436C8">
        <w:rPr>
          <w:color w:val="000000"/>
          <w:sz w:val="22"/>
          <w:szCs w:val="22"/>
          <w:lang w:val="sr-Latn-ME"/>
        </w:rPr>
        <w:t>obije</w:t>
      </w:r>
      <w:r w:rsidRPr="005436C8">
        <w:rPr>
          <w:color w:val="000000"/>
          <w:sz w:val="22"/>
          <w:szCs w:val="22"/>
          <w:lang w:val="sr-Latn-ME"/>
        </w:rPr>
        <w:t xml:space="preserve"> terapijske grupe imala je najmanje jedan događaj leukopenije (63,0% pacijenata u grupi </w:t>
      </w:r>
      <w:r w:rsidR="00F90BE1" w:rsidRPr="005436C8">
        <w:rPr>
          <w:color w:val="000000"/>
          <w:sz w:val="22"/>
          <w:szCs w:val="22"/>
          <w:lang w:val="sr-Latn-ME"/>
        </w:rPr>
        <w:t>liječenoj</w:t>
      </w:r>
      <w:r w:rsidRPr="005436C8">
        <w:rPr>
          <w:color w:val="000000"/>
          <w:sz w:val="22"/>
          <w:szCs w:val="22"/>
          <w:lang w:val="sr-Latn-ME"/>
        </w:rPr>
        <w:t xml:space="preserve"> pertuzumabom i 58,3% pacijenata u grupi koja je primala placebo), od kojih je većina bila neutropenija (</w:t>
      </w:r>
      <w:r w:rsidR="00492BEB">
        <w:rPr>
          <w:color w:val="000000"/>
          <w:sz w:val="22"/>
          <w:szCs w:val="22"/>
          <w:lang w:val="sr-Latn-ME"/>
        </w:rPr>
        <w:t>vidjeti dio</w:t>
      </w:r>
      <w:r w:rsidRPr="005436C8">
        <w:rPr>
          <w:color w:val="000000"/>
          <w:sz w:val="22"/>
          <w:szCs w:val="22"/>
          <w:lang w:val="sr-Latn-ME"/>
        </w:rPr>
        <w:t xml:space="preserve"> 4.4). Febrilna neutropenija se javila kod 13,7% pacijenata </w:t>
      </w:r>
      <w:r w:rsidR="00097926" w:rsidRPr="005436C8">
        <w:rPr>
          <w:color w:val="000000"/>
          <w:sz w:val="22"/>
          <w:szCs w:val="22"/>
          <w:lang w:val="sr-Latn-ME"/>
        </w:rPr>
        <w:t>liječeni</w:t>
      </w:r>
      <w:r w:rsidRPr="005436C8">
        <w:rPr>
          <w:color w:val="000000"/>
          <w:sz w:val="22"/>
          <w:szCs w:val="22"/>
          <w:lang w:val="sr-Latn-ME"/>
        </w:rPr>
        <w:t xml:space="preserve">h pertuzumabom i 7,6% onih koji su primali placebo. U </w:t>
      </w:r>
      <w:r w:rsidR="00FE754C" w:rsidRPr="005436C8">
        <w:rPr>
          <w:color w:val="000000"/>
          <w:sz w:val="22"/>
          <w:szCs w:val="22"/>
          <w:lang w:val="sr-Latn-ME"/>
        </w:rPr>
        <w:t>obije</w:t>
      </w:r>
      <w:r w:rsidRPr="005436C8">
        <w:rPr>
          <w:color w:val="000000"/>
          <w:sz w:val="22"/>
          <w:szCs w:val="22"/>
          <w:lang w:val="sr-Latn-ME"/>
        </w:rPr>
        <w:t xml:space="preserve"> l</w:t>
      </w:r>
      <w:r w:rsidR="008D6CF3" w:rsidRPr="005436C8">
        <w:rPr>
          <w:color w:val="000000"/>
          <w:sz w:val="22"/>
          <w:szCs w:val="22"/>
          <w:lang w:val="sr-Latn-ME"/>
        </w:rPr>
        <w:t>ij</w:t>
      </w:r>
      <w:r w:rsidRPr="005436C8">
        <w:rPr>
          <w:color w:val="000000"/>
          <w:sz w:val="22"/>
          <w:szCs w:val="22"/>
          <w:lang w:val="sr-Latn-ME"/>
        </w:rPr>
        <w:t xml:space="preserve">ečene grupe procenat pacijenata kod kojih se javila febrilna neutropenija bio je najveći tokom prvog ciklusa terapije, nakon čega se stalno smanjivao. U </w:t>
      </w:r>
      <w:r w:rsidR="00FE754C" w:rsidRPr="005436C8">
        <w:rPr>
          <w:color w:val="000000"/>
          <w:sz w:val="22"/>
          <w:szCs w:val="22"/>
          <w:lang w:val="sr-Latn-ME"/>
        </w:rPr>
        <w:t>obije</w:t>
      </w:r>
      <w:r w:rsidRPr="005436C8">
        <w:rPr>
          <w:color w:val="000000"/>
          <w:sz w:val="22"/>
          <w:szCs w:val="22"/>
          <w:lang w:val="sr-Latn-ME"/>
        </w:rPr>
        <w:t xml:space="preserve"> l</w:t>
      </w:r>
      <w:r w:rsidR="008D6CF3" w:rsidRPr="005436C8">
        <w:rPr>
          <w:color w:val="000000"/>
          <w:sz w:val="22"/>
          <w:szCs w:val="22"/>
          <w:lang w:val="sr-Latn-ME"/>
        </w:rPr>
        <w:t>ij</w:t>
      </w:r>
      <w:r w:rsidRPr="005436C8">
        <w:rPr>
          <w:color w:val="000000"/>
          <w:sz w:val="22"/>
          <w:szCs w:val="22"/>
          <w:lang w:val="sr-Latn-ME"/>
        </w:rPr>
        <w:t>ečene grupe je zab</w:t>
      </w:r>
      <w:r w:rsidR="008D6CF3"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 xml:space="preserve">ežena povećana incidenca febrilne neutropenije kod pacijenata azijskog </w:t>
      </w:r>
      <w:r w:rsidR="00522BD8" w:rsidRPr="005436C8">
        <w:rPr>
          <w:color w:val="000000"/>
          <w:sz w:val="22"/>
          <w:szCs w:val="22"/>
          <w:lang w:val="sr-Latn-ME"/>
        </w:rPr>
        <w:t>porijekla</w:t>
      </w:r>
      <w:r w:rsidRPr="005436C8">
        <w:rPr>
          <w:color w:val="000000"/>
          <w:sz w:val="22"/>
          <w:szCs w:val="22"/>
          <w:lang w:val="sr-Latn-ME"/>
        </w:rPr>
        <w:t xml:space="preserve"> u poređenju sa pacijentima drugih rasa ili iz drugih geografskih područja. Među pacijentima azijskog </w:t>
      </w:r>
      <w:r w:rsidR="00522BD8" w:rsidRPr="005436C8">
        <w:rPr>
          <w:color w:val="000000"/>
          <w:sz w:val="22"/>
          <w:szCs w:val="22"/>
          <w:lang w:val="sr-Latn-ME"/>
        </w:rPr>
        <w:t>porijekla</w:t>
      </w:r>
      <w:r w:rsidRPr="005436C8">
        <w:rPr>
          <w:color w:val="000000"/>
          <w:sz w:val="22"/>
          <w:szCs w:val="22"/>
          <w:lang w:val="sr-Latn-ME"/>
        </w:rPr>
        <w:t xml:space="preserve"> incidenca febrilne neutropenije bila je viša u grupi </w:t>
      </w:r>
      <w:r w:rsidR="00F90BE1" w:rsidRPr="005436C8">
        <w:rPr>
          <w:color w:val="000000"/>
          <w:sz w:val="22"/>
          <w:szCs w:val="22"/>
          <w:lang w:val="sr-Latn-ME"/>
        </w:rPr>
        <w:t>liječenoj</w:t>
      </w:r>
      <w:r w:rsidRPr="005436C8">
        <w:rPr>
          <w:color w:val="000000"/>
          <w:sz w:val="22"/>
          <w:szCs w:val="22"/>
          <w:lang w:val="sr-Latn-ME"/>
        </w:rPr>
        <w:t xml:space="preserve"> pertuzumabom (25,8%) nego u onoj koja je primala placebo (11,3%).</w:t>
      </w:r>
    </w:p>
    <w:p w14:paraId="6C49833E" w14:textId="77777777" w:rsidR="000C7302" w:rsidRPr="005436C8" w:rsidRDefault="000C7302" w:rsidP="005436C8">
      <w:pPr>
        <w:tabs>
          <w:tab w:val="left" w:pos="284"/>
        </w:tabs>
        <w:jc w:val="both"/>
        <w:rPr>
          <w:color w:val="000000"/>
          <w:sz w:val="22"/>
          <w:szCs w:val="22"/>
          <w:lang w:val="sr-Latn-ME"/>
        </w:rPr>
      </w:pPr>
    </w:p>
    <w:p w14:paraId="5B3CE0AD"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ispitivanju NEOSPHERE febrilna neutropenija javila se kod 8,4% pacijenata koji su neoadjuvantno primali pertuzumab, trastuzumab i docetaksel, u poređenju sa 7,5% pacijenata </w:t>
      </w:r>
      <w:r w:rsidR="00097926" w:rsidRPr="005436C8">
        <w:rPr>
          <w:color w:val="000000"/>
          <w:sz w:val="22"/>
          <w:szCs w:val="22"/>
          <w:lang w:val="sr-Latn-ME"/>
        </w:rPr>
        <w:t>liječeni</w:t>
      </w:r>
      <w:r w:rsidRPr="005436C8">
        <w:rPr>
          <w:color w:val="000000"/>
          <w:sz w:val="22"/>
          <w:szCs w:val="22"/>
          <w:lang w:val="sr-Latn-ME"/>
        </w:rPr>
        <w:t xml:space="preserve">h trastuzumabom i docetakselom. U ispitivanju TRYPHAENA febrilna neutropenija se javila kod 17,1% pacijenata koji su neoadjuvantno primali pertuzumab i TCH, i kod 9,3% pacijenata neoadjuvantno </w:t>
      </w:r>
      <w:r w:rsidR="00097926" w:rsidRPr="005436C8">
        <w:rPr>
          <w:color w:val="000000"/>
          <w:sz w:val="22"/>
          <w:szCs w:val="22"/>
          <w:lang w:val="sr-Latn-ME"/>
        </w:rPr>
        <w:t>liječeni</w:t>
      </w:r>
      <w:r w:rsidRPr="005436C8">
        <w:rPr>
          <w:color w:val="000000"/>
          <w:sz w:val="22"/>
          <w:szCs w:val="22"/>
          <w:lang w:val="sr-Latn-ME"/>
        </w:rPr>
        <w:t xml:space="preserve">h pertuzumabom, trastuzumabom i docetakselom nakon FEC. U ispitivanju TRYPHAENA incidenca febrilne neutropenije bila je viša kod pacijenata koji su primili šest ciklusa pertuzumaba nego kod onih </w:t>
      </w:r>
      <w:r w:rsidRPr="005436C8">
        <w:rPr>
          <w:color w:val="000000"/>
          <w:sz w:val="22"/>
          <w:szCs w:val="22"/>
          <w:lang w:val="sr-Latn-ME"/>
        </w:rPr>
        <w:lastRenderedPageBreak/>
        <w:t>koji su primili tri ciklusa pertuzumaba, nezavisno od prim</w:t>
      </w:r>
      <w:r w:rsidR="00B624AD" w:rsidRPr="005436C8">
        <w:rPr>
          <w:color w:val="000000"/>
          <w:sz w:val="22"/>
          <w:szCs w:val="22"/>
          <w:lang w:val="sr-Latn-ME"/>
        </w:rPr>
        <w:t>i</w:t>
      </w:r>
      <w:r w:rsidR="008D6CF3" w:rsidRPr="005436C8">
        <w:rPr>
          <w:color w:val="000000"/>
          <w:sz w:val="22"/>
          <w:szCs w:val="22"/>
          <w:lang w:val="sr-Latn-ME"/>
        </w:rPr>
        <w:t>j</w:t>
      </w:r>
      <w:r w:rsidRPr="005436C8">
        <w:rPr>
          <w:color w:val="000000"/>
          <w:sz w:val="22"/>
          <w:szCs w:val="22"/>
          <w:lang w:val="sr-Latn-ME"/>
        </w:rPr>
        <w:t>enjene hemoterapije. Kao i u ispitivanju CLEOPATRA, u oba neoadjuvantna ispitivanja zab</w:t>
      </w:r>
      <w:r w:rsidR="008D6CF3"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 xml:space="preserve">ežena je viša incidenca neutropenije i febrilne neutropenije među pacijentima azijskog </w:t>
      </w:r>
      <w:r w:rsidR="00522BD8" w:rsidRPr="005436C8">
        <w:rPr>
          <w:color w:val="000000"/>
          <w:sz w:val="22"/>
          <w:szCs w:val="22"/>
          <w:lang w:val="sr-Latn-ME"/>
        </w:rPr>
        <w:t>porijekla</w:t>
      </w:r>
      <w:r w:rsidRPr="005436C8">
        <w:rPr>
          <w:color w:val="000000"/>
          <w:sz w:val="22"/>
          <w:szCs w:val="22"/>
          <w:lang w:val="sr-Latn-ME"/>
        </w:rPr>
        <w:t xml:space="preserve"> u poređenju sa ostalim pacijentima. U ispitivanju NEOSPHERE febrilna neutropenija javila se kod 8,3% pacijenata koji su neoadjuvantno primali pertuzumab, trastuzumab i docetaksel, u poređenju sa 4,0% pacijenata azijskog </w:t>
      </w:r>
      <w:r w:rsidR="00522BD8" w:rsidRPr="005436C8">
        <w:rPr>
          <w:color w:val="000000"/>
          <w:sz w:val="22"/>
          <w:szCs w:val="22"/>
          <w:lang w:val="sr-Latn-ME"/>
        </w:rPr>
        <w:t>porijekla</w:t>
      </w:r>
      <w:r w:rsidRPr="005436C8">
        <w:rPr>
          <w:color w:val="000000"/>
          <w:sz w:val="22"/>
          <w:szCs w:val="22"/>
          <w:lang w:val="sr-Latn-ME"/>
        </w:rPr>
        <w:t xml:space="preserve"> </w:t>
      </w:r>
      <w:r w:rsidR="00097926" w:rsidRPr="005436C8">
        <w:rPr>
          <w:color w:val="000000"/>
          <w:sz w:val="22"/>
          <w:szCs w:val="22"/>
          <w:lang w:val="sr-Latn-ME"/>
        </w:rPr>
        <w:t>liječeni</w:t>
      </w:r>
      <w:r w:rsidRPr="005436C8">
        <w:rPr>
          <w:color w:val="000000"/>
          <w:sz w:val="22"/>
          <w:szCs w:val="22"/>
          <w:lang w:val="sr-Latn-ME"/>
        </w:rPr>
        <w:t>h neoadjuvantnim trastuzumabom i docetakselom.</w:t>
      </w:r>
    </w:p>
    <w:p w14:paraId="49843021" w14:textId="77777777" w:rsidR="000C7302" w:rsidRPr="005436C8" w:rsidRDefault="000C7302" w:rsidP="005436C8">
      <w:pPr>
        <w:tabs>
          <w:tab w:val="left" w:pos="284"/>
        </w:tabs>
        <w:jc w:val="both"/>
        <w:rPr>
          <w:color w:val="000000"/>
          <w:sz w:val="22"/>
          <w:szCs w:val="22"/>
          <w:lang w:val="sr-Latn-ME"/>
        </w:rPr>
      </w:pPr>
    </w:p>
    <w:p w14:paraId="6F372F50"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ispitivanju APHINITY febrilna neutropenija se javila kod 12,1% pacijenata </w:t>
      </w:r>
      <w:r w:rsidR="00097926" w:rsidRPr="005436C8">
        <w:rPr>
          <w:color w:val="000000"/>
          <w:sz w:val="22"/>
          <w:szCs w:val="22"/>
          <w:lang w:val="sr-Latn-ME"/>
        </w:rPr>
        <w:t>liječeni</w:t>
      </w:r>
      <w:r w:rsidRPr="005436C8">
        <w:rPr>
          <w:color w:val="000000"/>
          <w:sz w:val="22"/>
          <w:szCs w:val="22"/>
          <w:lang w:val="sr-Latn-ME"/>
        </w:rPr>
        <w:t>h pertuzumabom i 11,1% onih koji su primali placebo. Kao i u ispitivanjima CLEOPATRA, TRYPHAENA i NEOSPHERE, i u ispitivanju APHINITY zab</w:t>
      </w:r>
      <w:r w:rsidR="008D6CF3" w:rsidRPr="005436C8">
        <w:rPr>
          <w:color w:val="000000"/>
          <w:sz w:val="22"/>
          <w:szCs w:val="22"/>
          <w:lang w:val="sr-Latn-ME"/>
        </w:rPr>
        <w:t>j</w:t>
      </w:r>
      <w:r w:rsidRPr="005436C8">
        <w:rPr>
          <w:color w:val="000000"/>
          <w:sz w:val="22"/>
          <w:szCs w:val="22"/>
          <w:lang w:val="sr-Latn-ME"/>
        </w:rPr>
        <w:t xml:space="preserve">ležena je viša incidenca febrilne neutropenije kod pacijenata azijskog </w:t>
      </w:r>
      <w:r w:rsidR="00522BD8" w:rsidRPr="005436C8">
        <w:rPr>
          <w:color w:val="000000"/>
          <w:sz w:val="22"/>
          <w:szCs w:val="22"/>
          <w:lang w:val="sr-Latn-ME"/>
        </w:rPr>
        <w:t>porijekla</w:t>
      </w:r>
      <w:r w:rsidRPr="005436C8">
        <w:rPr>
          <w:color w:val="000000"/>
          <w:sz w:val="22"/>
          <w:szCs w:val="22"/>
          <w:lang w:val="sr-Latn-ME"/>
        </w:rPr>
        <w:t xml:space="preserve"> </w:t>
      </w:r>
      <w:r w:rsidR="00097926" w:rsidRPr="005436C8">
        <w:rPr>
          <w:color w:val="000000"/>
          <w:sz w:val="22"/>
          <w:szCs w:val="22"/>
          <w:lang w:val="sr-Latn-ME"/>
        </w:rPr>
        <w:t>liječeni</w:t>
      </w:r>
      <w:r w:rsidRPr="005436C8">
        <w:rPr>
          <w:color w:val="000000"/>
          <w:sz w:val="22"/>
          <w:szCs w:val="22"/>
          <w:lang w:val="sr-Latn-ME"/>
        </w:rPr>
        <w:t xml:space="preserve">h pertuzumabom nego kod pacijenata drugih rasa (15,9% pacijenata </w:t>
      </w:r>
      <w:r w:rsidR="00097926" w:rsidRPr="005436C8">
        <w:rPr>
          <w:color w:val="000000"/>
          <w:sz w:val="22"/>
          <w:szCs w:val="22"/>
          <w:lang w:val="sr-Latn-ME"/>
        </w:rPr>
        <w:t>liječeni</w:t>
      </w:r>
      <w:r w:rsidRPr="005436C8">
        <w:rPr>
          <w:color w:val="000000"/>
          <w:sz w:val="22"/>
          <w:szCs w:val="22"/>
          <w:lang w:val="sr-Latn-ME"/>
        </w:rPr>
        <w:t>h pertuzumabom i 9,9% pacijenata koji su primali placebo).</w:t>
      </w:r>
    </w:p>
    <w:p w14:paraId="331EFB49" w14:textId="77777777" w:rsidR="000C7302" w:rsidRPr="005436C8" w:rsidRDefault="000C7302" w:rsidP="005436C8">
      <w:pPr>
        <w:tabs>
          <w:tab w:val="left" w:pos="284"/>
        </w:tabs>
        <w:jc w:val="both"/>
        <w:rPr>
          <w:color w:val="000000"/>
          <w:sz w:val="22"/>
          <w:szCs w:val="22"/>
          <w:lang w:val="sr-Latn-ME"/>
        </w:rPr>
      </w:pPr>
    </w:p>
    <w:p w14:paraId="469AF6A9" w14:textId="77777777" w:rsidR="000C7302" w:rsidRPr="005436C8" w:rsidRDefault="000C7302" w:rsidP="005436C8">
      <w:pPr>
        <w:tabs>
          <w:tab w:val="left" w:pos="284"/>
        </w:tabs>
        <w:jc w:val="both"/>
        <w:rPr>
          <w:i/>
          <w:color w:val="000000"/>
          <w:sz w:val="22"/>
          <w:szCs w:val="22"/>
          <w:u w:val="single"/>
          <w:lang w:val="sr-Latn-ME"/>
        </w:rPr>
      </w:pPr>
      <w:r w:rsidRPr="005436C8">
        <w:rPr>
          <w:i/>
          <w:iCs/>
          <w:color w:val="000000"/>
          <w:sz w:val="22"/>
          <w:szCs w:val="22"/>
          <w:u w:val="single"/>
          <w:lang w:val="sr-Latn-ME"/>
        </w:rPr>
        <w:t>Dijareja</w:t>
      </w:r>
    </w:p>
    <w:p w14:paraId="41F594C0" w14:textId="77777777" w:rsidR="000C7302" w:rsidRPr="005436C8" w:rsidRDefault="000C7302" w:rsidP="005436C8">
      <w:pPr>
        <w:tabs>
          <w:tab w:val="left" w:pos="284"/>
        </w:tabs>
        <w:jc w:val="both"/>
        <w:rPr>
          <w:b/>
          <w:i/>
          <w:color w:val="000000"/>
          <w:sz w:val="22"/>
          <w:szCs w:val="22"/>
          <w:lang w:val="sr-Latn-ME"/>
        </w:rPr>
      </w:pPr>
    </w:p>
    <w:p w14:paraId="05585E0C" w14:textId="77777777" w:rsidR="000C7302" w:rsidRPr="005436C8" w:rsidRDefault="008E7A18" w:rsidP="005436C8">
      <w:pPr>
        <w:tabs>
          <w:tab w:val="left" w:pos="284"/>
        </w:tabs>
        <w:jc w:val="both"/>
        <w:rPr>
          <w:i/>
          <w:sz w:val="22"/>
          <w:szCs w:val="22"/>
          <w:lang w:val="sr-Latn-ME"/>
        </w:rPr>
      </w:pPr>
      <w:r>
        <w:rPr>
          <w:i/>
          <w:iCs/>
          <w:sz w:val="22"/>
          <w:szCs w:val="22"/>
          <w:lang w:val="sr-Latn-ME"/>
        </w:rPr>
        <w:t xml:space="preserve">Lijek </w:t>
      </w:r>
      <w:r w:rsidR="000C7302" w:rsidRPr="005436C8">
        <w:rPr>
          <w:i/>
          <w:iCs/>
          <w:sz w:val="22"/>
          <w:szCs w:val="22"/>
          <w:lang w:val="sr-Latn-ME"/>
        </w:rPr>
        <w:t xml:space="preserve">Phesgo </w:t>
      </w:r>
    </w:p>
    <w:p w14:paraId="2A1CB319" w14:textId="77777777" w:rsidR="000C7302" w:rsidRPr="005436C8" w:rsidRDefault="000C7302" w:rsidP="005436C8">
      <w:pPr>
        <w:tabs>
          <w:tab w:val="left" w:pos="284"/>
        </w:tabs>
        <w:jc w:val="both"/>
        <w:rPr>
          <w:i/>
          <w:sz w:val="22"/>
          <w:szCs w:val="22"/>
          <w:u w:val="single"/>
          <w:lang w:val="sr-Latn-ME"/>
        </w:rPr>
      </w:pPr>
    </w:p>
    <w:p w14:paraId="2A0F9D86" w14:textId="77777777" w:rsidR="000C7302" w:rsidRDefault="000C7302" w:rsidP="005436C8">
      <w:pPr>
        <w:tabs>
          <w:tab w:val="left" w:pos="284"/>
        </w:tabs>
        <w:jc w:val="both"/>
        <w:rPr>
          <w:color w:val="000000"/>
          <w:sz w:val="22"/>
          <w:szCs w:val="22"/>
          <w:lang w:val="sr-Latn-ME"/>
        </w:rPr>
      </w:pPr>
      <w:r w:rsidRPr="005436C8">
        <w:rPr>
          <w:color w:val="000000"/>
          <w:sz w:val="22"/>
          <w:szCs w:val="22"/>
          <w:lang w:val="sr-Latn-ME"/>
        </w:rPr>
        <w:t>U pivotalnom ispitivanju FEDERICA</w:t>
      </w:r>
      <w:r w:rsidR="008E7A18">
        <w:rPr>
          <w:color w:val="000000"/>
          <w:sz w:val="22"/>
          <w:szCs w:val="22"/>
          <w:lang w:val="sr-Latn-ME"/>
        </w:rPr>
        <w:t>,</w:t>
      </w:r>
      <w:r w:rsidRPr="005436C8">
        <w:rPr>
          <w:color w:val="000000"/>
          <w:sz w:val="22"/>
          <w:szCs w:val="22"/>
          <w:lang w:val="sr-Latn-ME"/>
        </w:rPr>
        <w:t xml:space="preserve"> </w:t>
      </w:r>
      <w:r w:rsidR="008E7A18" w:rsidRPr="008E7A18">
        <w:rPr>
          <w:color w:val="000000"/>
          <w:sz w:val="22"/>
          <w:szCs w:val="22"/>
          <w:lang w:val="sr-Latn-RS"/>
        </w:rPr>
        <w:t>tokom faze neoadjuvantnog l</w:t>
      </w:r>
      <w:r w:rsidR="008E7A18">
        <w:rPr>
          <w:color w:val="000000"/>
          <w:sz w:val="22"/>
          <w:szCs w:val="22"/>
          <w:lang w:val="sr-Latn-RS"/>
        </w:rPr>
        <w:t>ij</w:t>
      </w:r>
      <w:r w:rsidR="008E7A18" w:rsidRPr="008E7A18">
        <w:rPr>
          <w:color w:val="000000"/>
          <w:sz w:val="22"/>
          <w:szCs w:val="22"/>
          <w:lang w:val="sr-Latn-RS"/>
        </w:rPr>
        <w:t>ečenja</w:t>
      </w:r>
      <w:r w:rsidR="008E7A18">
        <w:rPr>
          <w:color w:val="000000"/>
          <w:sz w:val="22"/>
          <w:szCs w:val="22"/>
          <w:lang w:val="sr-Latn-RS"/>
        </w:rPr>
        <w:t>,</w:t>
      </w:r>
      <w:r w:rsidR="008E7A18" w:rsidRPr="008E7A18">
        <w:rPr>
          <w:color w:val="000000"/>
          <w:sz w:val="22"/>
          <w:szCs w:val="22"/>
          <w:lang w:val="sr-Latn-ME"/>
        </w:rPr>
        <w:t xml:space="preserve"> </w:t>
      </w:r>
      <w:r w:rsidRPr="005436C8">
        <w:rPr>
          <w:color w:val="000000"/>
          <w:sz w:val="22"/>
          <w:szCs w:val="22"/>
          <w:lang w:val="sr-Latn-ME"/>
        </w:rPr>
        <w:t xml:space="preserve">dijareja se javila kod </w:t>
      </w:r>
      <w:r w:rsidR="008E7A18">
        <w:rPr>
          <w:color w:val="000000"/>
          <w:sz w:val="22"/>
          <w:szCs w:val="22"/>
          <w:lang w:val="sr-Latn-ME"/>
        </w:rPr>
        <w:t>60,5</w:t>
      </w:r>
      <w:r w:rsidRPr="005436C8">
        <w:rPr>
          <w:color w:val="000000"/>
          <w:sz w:val="22"/>
          <w:szCs w:val="22"/>
          <w:lang w:val="sr-Latn-ME"/>
        </w:rPr>
        <w:t xml:space="preserve">% pacijenata </w:t>
      </w:r>
      <w:r w:rsidR="00097926" w:rsidRPr="005436C8">
        <w:rPr>
          <w:color w:val="000000"/>
          <w:sz w:val="22"/>
          <w:szCs w:val="22"/>
          <w:lang w:val="sr-Latn-ME"/>
        </w:rPr>
        <w:t>liječeni</w:t>
      </w:r>
      <w:r w:rsidRPr="005436C8">
        <w:rPr>
          <w:color w:val="000000"/>
          <w:sz w:val="22"/>
          <w:szCs w:val="22"/>
          <w:lang w:val="sr-Latn-ME"/>
        </w:rPr>
        <w:t xml:space="preserve">h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i </w:t>
      </w:r>
      <w:r w:rsidR="008E7A18">
        <w:rPr>
          <w:color w:val="000000"/>
          <w:sz w:val="22"/>
          <w:szCs w:val="22"/>
          <w:lang w:val="sr-Latn-ME"/>
        </w:rPr>
        <w:t>54,8</w:t>
      </w:r>
      <w:r w:rsidRPr="005436C8">
        <w:rPr>
          <w:color w:val="000000"/>
          <w:sz w:val="22"/>
          <w:szCs w:val="22"/>
          <w:lang w:val="sr-Latn-ME"/>
        </w:rPr>
        <w:t>% onih koji su primali pertuzumab i trastuzumab intravenski. Dijareja gradusa ≥ 3 zab</w:t>
      </w:r>
      <w:r w:rsidR="00522BD8"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 xml:space="preserve">ežena je kod </w:t>
      </w:r>
      <w:r w:rsidR="008E7A18">
        <w:rPr>
          <w:color w:val="000000"/>
          <w:sz w:val="22"/>
          <w:szCs w:val="22"/>
          <w:lang w:val="sr-Latn-ME"/>
        </w:rPr>
        <w:t>6,6</w:t>
      </w:r>
      <w:r w:rsidRPr="005436C8">
        <w:rPr>
          <w:color w:val="000000"/>
          <w:sz w:val="22"/>
          <w:szCs w:val="22"/>
          <w:lang w:val="sr-Latn-ME"/>
        </w:rPr>
        <w:t xml:space="preserve">% pacijenata u grupi koja je primala </w:t>
      </w:r>
      <w:r w:rsidRPr="005436C8">
        <w:rPr>
          <w:noProof/>
          <w:color w:val="000000"/>
          <w:sz w:val="22"/>
          <w:szCs w:val="22"/>
          <w:lang w:val="sr-Latn-ME"/>
        </w:rPr>
        <w:t>Phesgo</w:t>
      </w:r>
      <w:r w:rsidRPr="005436C8">
        <w:rPr>
          <w:color w:val="000000"/>
          <w:sz w:val="22"/>
          <w:szCs w:val="22"/>
          <w:lang w:val="sr-Latn-ME"/>
        </w:rPr>
        <w:t xml:space="preserve"> u poređenju sa </w:t>
      </w:r>
      <w:r w:rsidR="008E7A18">
        <w:rPr>
          <w:color w:val="000000"/>
          <w:sz w:val="22"/>
          <w:szCs w:val="22"/>
          <w:lang w:val="sr-Latn-ME"/>
        </w:rPr>
        <w:t>4,0</w:t>
      </w:r>
      <w:r w:rsidRPr="005436C8">
        <w:rPr>
          <w:color w:val="000000"/>
          <w:sz w:val="22"/>
          <w:szCs w:val="22"/>
          <w:lang w:val="sr-Latn-ME"/>
        </w:rPr>
        <w:t>% u grupi koja je primala intravenski pertuzumab i trastuzumab (</w:t>
      </w:r>
      <w:r w:rsidR="00CD5D69">
        <w:rPr>
          <w:color w:val="000000"/>
          <w:sz w:val="22"/>
          <w:szCs w:val="22"/>
          <w:lang w:val="sr-Latn-ME"/>
        </w:rPr>
        <w:t>vidjeti dio</w:t>
      </w:r>
      <w:r w:rsidRPr="005436C8">
        <w:rPr>
          <w:color w:val="000000"/>
          <w:sz w:val="22"/>
          <w:szCs w:val="22"/>
          <w:lang w:val="sr-Latn-ME"/>
        </w:rPr>
        <w:t xml:space="preserve"> 4.4). </w:t>
      </w:r>
    </w:p>
    <w:p w14:paraId="341AF68C" w14:textId="77777777" w:rsidR="008E7A18" w:rsidRDefault="008E7A18" w:rsidP="005436C8">
      <w:pPr>
        <w:tabs>
          <w:tab w:val="left" w:pos="284"/>
        </w:tabs>
        <w:jc w:val="both"/>
        <w:rPr>
          <w:color w:val="000000"/>
          <w:sz w:val="22"/>
          <w:szCs w:val="22"/>
          <w:lang w:val="sr-Latn-ME"/>
        </w:rPr>
      </w:pPr>
    </w:p>
    <w:p w14:paraId="09711CAC" w14:textId="77777777" w:rsidR="00181898" w:rsidRDefault="008E7A18" w:rsidP="008E7A18">
      <w:pPr>
        <w:tabs>
          <w:tab w:val="left" w:pos="284"/>
        </w:tabs>
        <w:jc w:val="both"/>
        <w:rPr>
          <w:color w:val="000000"/>
          <w:sz w:val="22"/>
          <w:szCs w:val="22"/>
          <w:lang w:val="hr-HR"/>
        </w:rPr>
      </w:pPr>
      <w:r w:rsidRPr="008E7A18">
        <w:rPr>
          <w:color w:val="000000"/>
          <w:sz w:val="22"/>
          <w:szCs w:val="22"/>
          <w:lang w:val="hr-HR"/>
        </w:rPr>
        <w:t>Tokom adjuvantne faze dijareja se javila kod 17,7% pacijenata l</w:t>
      </w:r>
      <w:r>
        <w:rPr>
          <w:color w:val="000000"/>
          <w:sz w:val="22"/>
          <w:szCs w:val="22"/>
          <w:lang w:val="hr-HR"/>
        </w:rPr>
        <w:t>ij</w:t>
      </w:r>
      <w:r w:rsidRPr="008E7A18">
        <w:rPr>
          <w:color w:val="000000"/>
          <w:sz w:val="22"/>
          <w:szCs w:val="22"/>
          <w:lang w:val="hr-HR"/>
        </w:rPr>
        <w:t>ečenih l</w:t>
      </w:r>
      <w:r>
        <w:rPr>
          <w:color w:val="000000"/>
          <w:sz w:val="22"/>
          <w:szCs w:val="22"/>
          <w:lang w:val="hr-HR"/>
        </w:rPr>
        <w:t>ij</w:t>
      </w:r>
      <w:r w:rsidRPr="008E7A18">
        <w:rPr>
          <w:color w:val="000000"/>
          <w:sz w:val="22"/>
          <w:szCs w:val="22"/>
          <w:lang w:val="hr-HR"/>
        </w:rPr>
        <w:t>ekom Phesgo i 20,6% onih koji su primali pertuzumab i trastuzumab intravenski. Dijareja ≥ 3. gradusa prijavljena je kod 0% pacijenata koji su primali Phesgo i 1,2% onih l</w:t>
      </w:r>
      <w:r w:rsidR="00563BCD">
        <w:rPr>
          <w:color w:val="000000"/>
          <w:sz w:val="22"/>
          <w:szCs w:val="22"/>
          <w:lang w:val="hr-HR"/>
        </w:rPr>
        <w:t>ij</w:t>
      </w:r>
      <w:r w:rsidRPr="008E7A18">
        <w:rPr>
          <w:color w:val="000000"/>
          <w:sz w:val="22"/>
          <w:szCs w:val="22"/>
          <w:lang w:val="hr-HR"/>
        </w:rPr>
        <w:t>ečenih pertuzumabom i trastuzumabom intravenski.</w:t>
      </w:r>
    </w:p>
    <w:p w14:paraId="5365B4B8" w14:textId="77777777" w:rsidR="00181898" w:rsidRPr="008E7A18" w:rsidRDefault="00181898" w:rsidP="008E7A18">
      <w:pPr>
        <w:tabs>
          <w:tab w:val="left" w:pos="284"/>
        </w:tabs>
        <w:jc w:val="both"/>
        <w:rPr>
          <w:color w:val="000000"/>
          <w:sz w:val="22"/>
          <w:szCs w:val="22"/>
          <w:lang w:val="hr-HR"/>
        </w:rPr>
      </w:pPr>
    </w:p>
    <w:p w14:paraId="7FD2E68F" w14:textId="77777777" w:rsidR="000C7302" w:rsidRPr="005436C8" w:rsidRDefault="000C7302" w:rsidP="005436C8">
      <w:pPr>
        <w:keepNext/>
        <w:keepLines/>
        <w:tabs>
          <w:tab w:val="left" w:pos="284"/>
        </w:tabs>
        <w:jc w:val="both"/>
        <w:rPr>
          <w:i/>
          <w:sz w:val="22"/>
          <w:szCs w:val="22"/>
          <w:lang w:val="sr-Latn-ME"/>
        </w:rPr>
      </w:pPr>
      <w:r w:rsidRPr="005436C8">
        <w:rPr>
          <w:i/>
          <w:iCs/>
          <w:sz w:val="22"/>
          <w:szCs w:val="22"/>
          <w:lang w:val="sr-Latn-ME"/>
        </w:rPr>
        <w:t xml:space="preserve">Intravenski pertuzumab </w:t>
      </w:r>
      <w:r w:rsidRPr="005436C8">
        <w:rPr>
          <w:sz w:val="22"/>
          <w:szCs w:val="22"/>
          <w:lang w:val="sr-Latn-ME"/>
        </w:rPr>
        <w:t>u kombinaciji sa trastuzumabom i hemoterapijom</w:t>
      </w:r>
    </w:p>
    <w:p w14:paraId="58E3F57B" w14:textId="77777777" w:rsidR="000C7302" w:rsidRPr="005436C8" w:rsidRDefault="000C7302" w:rsidP="005436C8">
      <w:pPr>
        <w:keepNext/>
        <w:keepLines/>
        <w:tabs>
          <w:tab w:val="left" w:pos="284"/>
        </w:tabs>
        <w:jc w:val="both"/>
        <w:rPr>
          <w:i/>
          <w:sz w:val="22"/>
          <w:szCs w:val="22"/>
          <w:u w:val="single"/>
          <w:lang w:val="sr-Latn-ME"/>
        </w:rPr>
      </w:pPr>
    </w:p>
    <w:p w14:paraId="3C4D6180"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U pivotalnom ispitivanju CLEOPATRA kod metastatskog karcinoma dojke dijareja se javila kod 68,4% pacijenata </w:t>
      </w:r>
      <w:r w:rsidR="00097926" w:rsidRPr="005436C8">
        <w:rPr>
          <w:color w:val="000000"/>
          <w:sz w:val="22"/>
          <w:szCs w:val="22"/>
          <w:lang w:val="sr-Latn-ME"/>
        </w:rPr>
        <w:t>liječeni</w:t>
      </w:r>
      <w:r w:rsidRPr="005436C8">
        <w:rPr>
          <w:color w:val="000000"/>
          <w:sz w:val="22"/>
          <w:szCs w:val="22"/>
          <w:lang w:val="sr-Latn-ME"/>
        </w:rPr>
        <w:t xml:space="preserve">h pertuzumabom i 48,7% onih koji su primali placebo (pogledati </w:t>
      </w:r>
      <w:r w:rsidR="00A21698" w:rsidRPr="005436C8">
        <w:rPr>
          <w:color w:val="000000"/>
          <w:sz w:val="22"/>
          <w:szCs w:val="22"/>
          <w:lang w:val="sr-Latn-ME"/>
        </w:rPr>
        <w:t>odjeljak</w:t>
      </w:r>
      <w:r w:rsidRPr="005436C8">
        <w:rPr>
          <w:color w:val="000000"/>
          <w:sz w:val="22"/>
          <w:szCs w:val="22"/>
          <w:lang w:val="sr-Latn-ME"/>
        </w:rPr>
        <w:t xml:space="preserve"> 4.4). Većina događaja bila je blage do </w:t>
      </w:r>
      <w:r w:rsidR="00FF329E" w:rsidRPr="005436C8">
        <w:rPr>
          <w:color w:val="000000"/>
          <w:sz w:val="22"/>
          <w:szCs w:val="22"/>
          <w:lang w:val="sr-Latn-ME"/>
        </w:rPr>
        <w:t>umjerene</w:t>
      </w:r>
      <w:r w:rsidRPr="005436C8">
        <w:rPr>
          <w:color w:val="000000"/>
          <w:sz w:val="22"/>
          <w:szCs w:val="22"/>
          <w:lang w:val="sr-Latn-ME"/>
        </w:rPr>
        <w:t xml:space="preserve"> težine, a javila se tokom prvih nekoliko ciklusa terapije. Incidencija dijareje gradusa 3-4 prema klasifikaciji NCI-CTCAE iznosila je 9,3% kod pacijenata </w:t>
      </w:r>
      <w:r w:rsidR="00097926" w:rsidRPr="005436C8">
        <w:rPr>
          <w:color w:val="000000"/>
          <w:sz w:val="22"/>
          <w:szCs w:val="22"/>
          <w:lang w:val="sr-Latn-ME"/>
        </w:rPr>
        <w:t>liječeni</w:t>
      </w:r>
      <w:r w:rsidRPr="005436C8">
        <w:rPr>
          <w:color w:val="000000"/>
          <w:sz w:val="22"/>
          <w:szCs w:val="22"/>
          <w:lang w:val="sr-Latn-ME"/>
        </w:rPr>
        <w:t xml:space="preserve">h pertuzumabom i 5,1% kod onih koji su primali placebo. Medijana trajanja najduže epizode iznosila je 18 dana kod pacijenata </w:t>
      </w:r>
      <w:r w:rsidR="00097926" w:rsidRPr="005436C8">
        <w:rPr>
          <w:color w:val="000000"/>
          <w:sz w:val="22"/>
          <w:szCs w:val="22"/>
          <w:lang w:val="sr-Latn-ME"/>
        </w:rPr>
        <w:t>liječeni</w:t>
      </w:r>
      <w:r w:rsidRPr="005436C8">
        <w:rPr>
          <w:color w:val="000000"/>
          <w:sz w:val="22"/>
          <w:szCs w:val="22"/>
          <w:lang w:val="sr-Latn-ME"/>
        </w:rPr>
        <w:t xml:space="preserve">h pertuzumabom i 8 dana kod onih koji su primali placebo. Slučajevi dijareje dobro su reagovali na proaktivno </w:t>
      </w:r>
      <w:r w:rsidR="00841D7D" w:rsidRPr="005436C8">
        <w:rPr>
          <w:color w:val="000000"/>
          <w:sz w:val="22"/>
          <w:szCs w:val="22"/>
          <w:lang w:val="sr-Latn-ME"/>
        </w:rPr>
        <w:t>liječenje</w:t>
      </w:r>
      <w:r w:rsidRPr="005436C8">
        <w:rPr>
          <w:color w:val="000000"/>
          <w:sz w:val="22"/>
          <w:szCs w:val="22"/>
          <w:lang w:val="sr-Latn-ME"/>
        </w:rPr>
        <w:t xml:space="preserve"> agensima protiv dijareje.</w:t>
      </w:r>
    </w:p>
    <w:p w14:paraId="7FA241F7" w14:textId="77777777" w:rsidR="000C7302" w:rsidRPr="005436C8" w:rsidRDefault="000C7302" w:rsidP="005436C8">
      <w:pPr>
        <w:tabs>
          <w:tab w:val="left" w:pos="284"/>
        </w:tabs>
        <w:jc w:val="both"/>
        <w:rPr>
          <w:color w:val="000000"/>
          <w:sz w:val="22"/>
          <w:szCs w:val="22"/>
          <w:lang w:val="sr-Latn-ME"/>
        </w:rPr>
      </w:pPr>
    </w:p>
    <w:p w14:paraId="0EC9921A"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ispitivanju NEOSPHERE dijareja se javila kod 45,8% pacijenata koji su neoadjuvantno primali pertuzumab, trastuzumab i docetaksel, u poređenju sa 33,6% pacijenata </w:t>
      </w:r>
      <w:r w:rsidR="00097926" w:rsidRPr="005436C8">
        <w:rPr>
          <w:color w:val="000000"/>
          <w:sz w:val="22"/>
          <w:szCs w:val="22"/>
          <w:lang w:val="sr-Latn-ME"/>
        </w:rPr>
        <w:t>liječeni</w:t>
      </w:r>
      <w:r w:rsidRPr="005436C8">
        <w:rPr>
          <w:color w:val="000000"/>
          <w:sz w:val="22"/>
          <w:szCs w:val="22"/>
          <w:lang w:val="sr-Latn-ME"/>
        </w:rPr>
        <w:t xml:space="preserve">h trastuzumabom i docetakselom. U ispitivanju TRYPHAENA dijareja se javila kod 72,3% pacijenata koji su neoadjuvantno primali pertuzumab i TCH, i kod 61,4% pacijenata neoadjuvantno </w:t>
      </w:r>
      <w:r w:rsidR="00097926" w:rsidRPr="005436C8">
        <w:rPr>
          <w:color w:val="000000"/>
          <w:sz w:val="22"/>
          <w:szCs w:val="22"/>
          <w:lang w:val="sr-Latn-ME"/>
        </w:rPr>
        <w:t>liječeni</w:t>
      </w:r>
      <w:r w:rsidRPr="005436C8">
        <w:rPr>
          <w:color w:val="000000"/>
          <w:sz w:val="22"/>
          <w:szCs w:val="22"/>
          <w:lang w:val="sr-Latn-ME"/>
        </w:rPr>
        <w:t xml:space="preserve">h pertuzumabom, trastuzumabom i docetakselom nakon FEC. U </w:t>
      </w:r>
      <w:r w:rsidR="00FE754C" w:rsidRPr="005436C8">
        <w:rPr>
          <w:color w:val="000000"/>
          <w:sz w:val="22"/>
          <w:szCs w:val="22"/>
          <w:lang w:val="sr-Latn-ME"/>
        </w:rPr>
        <w:t>obije</w:t>
      </w:r>
      <w:r w:rsidRPr="005436C8">
        <w:rPr>
          <w:color w:val="000000"/>
          <w:sz w:val="22"/>
          <w:szCs w:val="22"/>
          <w:lang w:val="sr-Latn-ME"/>
        </w:rPr>
        <w:t xml:space="preserve"> studije većina događaja bila je blage do </w:t>
      </w:r>
      <w:r w:rsidR="00FF329E" w:rsidRPr="005436C8">
        <w:rPr>
          <w:color w:val="000000"/>
          <w:sz w:val="22"/>
          <w:szCs w:val="22"/>
          <w:lang w:val="sr-Latn-ME"/>
        </w:rPr>
        <w:t>umjerene</w:t>
      </w:r>
      <w:r w:rsidRPr="005436C8">
        <w:rPr>
          <w:color w:val="000000"/>
          <w:sz w:val="22"/>
          <w:szCs w:val="22"/>
          <w:lang w:val="sr-Latn-ME"/>
        </w:rPr>
        <w:t xml:space="preserve"> težine. </w:t>
      </w:r>
    </w:p>
    <w:p w14:paraId="65F69C2D" w14:textId="77777777" w:rsidR="000C7302" w:rsidRPr="005436C8" w:rsidRDefault="000C7302" w:rsidP="005436C8">
      <w:pPr>
        <w:tabs>
          <w:tab w:val="left" w:pos="284"/>
        </w:tabs>
        <w:jc w:val="both"/>
        <w:rPr>
          <w:color w:val="000000"/>
          <w:sz w:val="22"/>
          <w:szCs w:val="22"/>
          <w:lang w:val="sr-Latn-ME"/>
        </w:rPr>
      </w:pPr>
    </w:p>
    <w:p w14:paraId="40D2550C"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U ispitivanju APHINITY zab</w:t>
      </w:r>
      <w:r w:rsidR="008D6CF3"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 xml:space="preserve">ežena je viša incidenca dijareje u grupi </w:t>
      </w:r>
      <w:r w:rsidR="00F90BE1" w:rsidRPr="005436C8">
        <w:rPr>
          <w:color w:val="000000"/>
          <w:sz w:val="22"/>
          <w:szCs w:val="22"/>
          <w:lang w:val="sr-Latn-ME"/>
        </w:rPr>
        <w:t>liječenoj</w:t>
      </w:r>
      <w:r w:rsidRPr="005436C8">
        <w:rPr>
          <w:color w:val="000000"/>
          <w:sz w:val="22"/>
          <w:szCs w:val="22"/>
          <w:lang w:val="sr-Latn-ME"/>
        </w:rPr>
        <w:t xml:space="preserve"> pertuzumabom (71,2%) nego u grupi koja je primala placebo (45,2%). Dijareja gradusa ≥ 3 zab</w:t>
      </w:r>
      <w:r w:rsidR="008D6CF3"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ežena je kod 9,8% pacijenata u grupi koja je primala pertuzumab u poređenju sa 3,7% u grupi koja je primala placebo. Težina najvećeg broja zab</w:t>
      </w:r>
      <w:r w:rsidR="008D6CF3"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eženih događaja bila je gradusa 1 ili 2. Najviša incidenca dijareje (svih gradusa) zab</w:t>
      </w:r>
      <w:r w:rsidR="008D6CF3" w:rsidRPr="005436C8">
        <w:rPr>
          <w:color w:val="000000"/>
          <w:sz w:val="22"/>
          <w:szCs w:val="22"/>
          <w:lang w:val="sr-Latn-ME"/>
        </w:rPr>
        <w:t>i</w:t>
      </w:r>
      <w:r w:rsidRPr="005436C8">
        <w:rPr>
          <w:color w:val="000000"/>
          <w:sz w:val="22"/>
          <w:szCs w:val="22"/>
          <w:lang w:val="sr-Latn-ME"/>
        </w:rPr>
        <w:t>l</w:t>
      </w:r>
      <w:r w:rsidR="008D6CF3" w:rsidRPr="005436C8">
        <w:rPr>
          <w:color w:val="000000"/>
          <w:sz w:val="22"/>
          <w:szCs w:val="22"/>
          <w:lang w:val="sr-Latn-ME"/>
        </w:rPr>
        <w:t>j</w:t>
      </w:r>
      <w:r w:rsidRPr="005436C8">
        <w:rPr>
          <w:color w:val="000000"/>
          <w:sz w:val="22"/>
          <w:szCs w:val="22"/>
          <w:lang w:val="sr-Latn-ME"/>
        </w:rPr>
        <w:t xml:space="preserve">ežena je tokom perioda </w:t>
      </w:r>
      <w:r w:rsidR="00A21698" w:rsidRPr="005436C8">
        <w:rPr>
          <w:color w:val="000000"/>
          <w:sz w:val="22"/>
          <w:szCs w:val="22"/>
          <w:lang w:val="sr-Latn-ME"/>
        </w:rPr>
        <w:t>primjene</w:t>
      </w:r>
      <w:r w:rsidRPr="005436C8">
        <w:rPr>
          <w:color w:val="000000"/>
          <w:sz w:val="22"/>
          <w:szCs w:val="22"/>
          <w:lang w:val="sr-Latn-ME"/>
        </w:rPr>
        <w:t xml:space="preserve"> ciljane terapije i hemoterapije taksanom (61,4% pacijenata u grupi koja je primala pertuzumab u poređenju sa 33,8% pacijenata u grupi koja je primala placebo). Incidenca dijareje bila je mnogo niža nakon prestanka hemoterapije, javljajući se kod 18,1% pacijenata u grupi koja je primala pertuzumab u poređenju sa 9,2% u grupi koja je primala placebo, u periodu </w:t>
      </w:r>
      <w:r w:rsidR="00A21698" w:rsidRPr="005436C8">
        <w:rPr>
          <w:color w:val="000000"/>
          <w:sz w:val="22"/>
          <w:szCs w:val="22"/>
          <w:lang w:val="sr-Latn-ME"/>
        </w:rPr>
        <w:t>primjene</w:t>
      </w:r>
      <w:r w:rsidRPr="005436C8">
        <w:rPr>
          <w:color w:val="000000"/>
          <w:sz w:val="22"/>
          <w:szCs w:val="22"/>
          <w:lang w:val="sr-Latn-ME"/>
        </w:rPr>
        <w:t xml:space="preserve"> ciljane terapije nakon hemoterapije.</w:t>
      </w:r>
    </w:p>
    <w:p w14:paraId="60157A02" w14:textId="77777777" w:rsidR="000C7302" w:rsidRPr="005436C8" w:rsidRDefault="000C7302" w:rsidP="005436C8">
      <w:pPr>
        <w:tabs>
          <w:tab w:val="left" w:pos="284"/>
        </w:tabs>
        <w:jc w:val="both"/>
        <w:rPr>
          <w:color w:val="000000"/>
          <w:sz w:val="22"/>
          <w:szCs w:val="22"/>
          <w:lang w:val="sr-Latn-ME"/>
        </w:rPr>
      </w:pPr>
    </w:p>
    <w:p w14:paraId="32F697F6" w14:textId="77777777" w:rsidR="000C7302" w:rsidRPr="005436C8" w:rsidRDefault="000C7302" w:rsidP="005436C8">
      <w:pPr>
        <w:keepNext/>
        <w:keepLines/>
        <w:tabs>
          <w:tab w:val="left" w:pos="284"/>
        </w:tabs>
        <w:jc w:val="both"/>
        <w:rPr>
          <w:i/>
          <w:color w:val="000000"/>
          <w:sz w:val="22"/>
          <w:szCs w:val="22"/>
          <w:u w:val="single"/>
          <w:lang w:val="sr-Latn-ME"/>
        </w:rPr>
      </w:pPr>
      <w:r w:rsidRPr="005436C8">
        <w:rPr>
          <w:i/>
          <w:iCs/>
          <w:color w:val="000000"/>
          <w:sz w:val="22"/>
          <w:szCs w:val="22"/>
          <w:u w:val="single"/>
          <w:lang w:val="sr-Latn-ME"/>
        </w:rPr>
        <w:t>Osip</w:t>
      </w:r>
    </w:p>
    <w:p w14:paraId="39308E29" w14:textId="77777777" w:rsidR="000C7302" w:rsidRPr="005436C8" w:rsidRDefault="000C7302" w:rsidP="005436C8">
      <w:pPr>
        <w:keepNext/>
        <w:keepLines/>
        <w:tabs>
          <w:tab w:val="left" w:pos="284"/>
        </w:tabs>
        <w:jc w:val="both"/>
        <w:rPr>
          <w:b/>
          <w:i/>
          <w:color w:val="000000"/>
          <w:sz w:val="22"/>
          <w:szCs w:val="22"/>
          <w:lang w:val="sr-Latn-ME"/>
        </w:rPr>
      </w:pPr>
    </w:p>
    <w:p w14:paraId="16CA93EA" w14:textId="77777777" w:rsidR="000C7302" w:rsidRPr="005436C8" w:rsidRDefault="008E7A18" w:rsidP="005436C8">
      <w:pPr>
        <w:tabs>
          <w:tab w:val="left" w:pos="284"/>
        </w:tabs>
        <w:jc w:val="both"/>
        <w:rPr>
          <w:i/>
          <w:sz w:val="22"/>
          <w:szCs w:val="22"/>
          <w:lang w:val="sr-Latn-ME"/>
        </w:rPr>
      </w:pPr>
      <w:r>
        <w:rPr>
          <w:i/>
          <w:iCs/>
          <w:sz w:val="22"/>
          <w:szCs w:val="22"/>
          <w:lang w:val="sr-Latn-ME"/>
        </w:rPr>
        <w:t xml:space="preserve">Lijek </w:t>
      </w:r>
      <w:r w:rsidR="000C7302" w:rsidRPr="005436C8">
        <w:rPr>
          <w:i/>
          <w:iCs/>
          <w:sz w:val="22"/>
          <w:szCs w:val="22"/>
          <w:lang w:val="sr-Latn-ME"/>
        </w:rPr>
        <w:t xml:space="preserve">Phesgo </w:t>
      </w:r>
    </w:p>
    <w:p w14:paraId="74992363" w14:textId="77777777" w:rsidR="000C7302" w:rsidRPr="005436C8" w:rsidRDefault="000C7302" w:rsidP="005436C8">
      <w:pPr>
        <w:tabs>
          <w:tab w:val="left" w:pos="284"/>
        </w:tabs>
        <w:jc w:val="both"/>
        <w:rPr>
          <w:i/>
          <w:sz w:val="22"/>
          <w:szCs w:val="22"/>
          <w:u w:val="single"/>
          <w:lang w:val="sr-Latn-ME"/>
        </w:rPr>
      </w:pPr>
    </w:p>
    <w:p w14:paraId="31EF93B0" w14:textId="77777777" w:rsidR="000C7302" w:rsidRPr="005436C8" w:rsidRDefault="000C7302" w:rsidP="005436C8">
      <w:pPr>
        <w:tabs>
          <w:tab w:val="left" w:pos="284"/>
        </w:tabs>
        <w:jc w:val="both"/>
        <w:rPr>
          <w:sz w:val="22"/>
          <w:szCs w:val="22"/>
          <w:lang w:val="sr-Latn-ME"/>
        </w:rPr>
      </w:pPr>
      <w:r w:rsidRPr="005436C8">
        <w:rPr>
          <w:sz w:val="22"/>
          <w:szCs w:val="22"/>
          <w:lang w:val="sr-Latn-ME"/>
        </w:rPr>
        <w:lastRenderedPageBreak/>
        <w:t>U pivotalnom ispitivanju FEDERICA</w:t>
      </w:r>
      <w:r w:rsidR="008E7A18" w:rsidRPr="008E7A18">
        <w:rPr>
          <w:sz w:val="22"/>
          <w:szCs w:val="22"/>
          <w:lang w:val="sr-Latn-RS"/>
        </w:rPr>
        <w:t>, tokom faze neoadjuvantnog l</w:t>
      </w:r>
      <w:r w:rsidR="008E7A18">
        <w:rPr>
          <w:sz w:val="22"/>
          <w:szCs w:val="22"/>
          <w:lang w:val="sr-Latn-RS"/>
        </w:rPr>
        <w:t>ij</w:t>
      </w:r>
      <w:r w:rsidR="008E7A18" w:rsidRPr="008E7A18">
        <w:rPr>
          <w:sz w:val="22"/>
          <w:szCs w:val="22"/>
          <w:lang w:val="sr-Latn-RS"/>
        </w:rPr>
        <w:t>ečenja</w:t>
      </w:r>
      <w:r w:rsidR="008E7A18">
        <w:rPr>
          <w:sz w:val="22"/>
          <w:szCs w:val="22"/>
          <w:lang w:val="sr-Latn-RS"/>
        </w:rPr>
        <w:t>,</w:t>
      </w:r>
      <w:r w:rsidR="008E7A18" w:rsidRPr="008E7A18">
        <w:rPr>
          <w:sz w:val="22"/>
          <w:szCs w:val="22"/>
          <w:lang w:val="sr-Latn-ME"/>
        </w:rPr>
        <w:t xml:space="preserve"> </w:t>
      </w:r>
      <w:r w:rsidRPr="005436C8">
        <w:rPr>
          <w:sz w:val="22"/>
          <w:szCs w:val="22"/>
          <w:lang w:val="sr-Latn-ME"/>
        </w:rPr>
        <w:t xml:space="preserve">osip se javio kod </w:t>
      </w:r>
      <w:r w:rsidR="008E7A18">
        <w:rPr>
          <w:sz w:val="22"/>
          <w:szCs w:val="22"/>
          <w:lang w:val="sr-Latn-ME"/>
        </w:rPr>
        <w:t>10,7</w:t>
      </w:r>
      <w:r w:rsidRPr="005436C8">
        <w:rPr>
          <w:sz w:val="22"/>
          <w:szCs w:val="22"/>
          <w:lang w:val="sr-Latn-ME"/>
        </w:rPr>
        <w:t xml:space="preserve">% 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 xml:space="preserve">om </w:t>
      </w:r>
      <w:r w:rsidRPr="005436C8">
        <w:rPr>
          <w:noProof/>
          <w:color w:val="000000"/>
          <w:sz w:val="22"/>
          <w:szCs w:val="22"/>
          <w:lang w:val="sr-Latn-ME"/>
        </w:rPr>
        <w:t>Phesgo</w:t>
      </w:r>
      <w:r w:rsidRPr="005436C8">
        <w:rPr>
          <w:sz w:val="22"/>
          <w:szCs w:val="22"/>
          <w:lang w:val="sr-Latn-ME"/>
        </w:rPr>
        <w:t xml:space="preserve"> i </w:t>
      </w:r>
      <w:r w:rsidR="008E7A18">
        <w:rPr>
          <w:sz w:val="22"/>
          <w:szCs w:val="22"/>
          <w:lang w:val="sr-Latn-ME"/>
        </w:rPr>
        <w:t>15,5</w:t>
      </w:r>
      <w:r w:rsidRPr="005436C8">
        <w:rPr>
          <w:sz w:val="22"/>
          <w:szCs w:val="22"/>
          <w:lang w:val="sr-Latn-ME"/>
        </w:rPr>
        <w:t xml:space="preserve">% onih koji su primali pertuzumab i trastuzumab intravenski. </w:t>
      </w:r>
      <w:r w:rsidR="008E7A18" w:rsidRPr="008E7A18">
        <w:rPr>
          <w:sz w:val="22"/>
          <w:szCs w:val="22"/>
          <w:lang w:val="hr-HR"/>
        </w:rPr>
        <w:t>Tokom faze adjuvantnog l</w:t>
      </w:r>
      <w:r w:rsidR="008E7A18">
        <w:rPr>
          <w:sz w:val="22"/>
          <w:szCs w:val="22"/>
          <w:lang w:val="hr-HR"/>
        </w:rPr>
        <w:t>ij</w:t>
      </w:r>
      <w:r w:rsidR="008E7A18" w:rsidRPr="008E7A18">
        <w:rPr>
          <w:sz w:val="22"/>
          <w:szCs w:val="22"/>
          <w:lang w:val="hr-HR"/>
        </w:rPr>
        <w:t>ečenja osip se javio kod 8,2% pacijenata l</w:t>
      </w:r>
      <w:r w:rsidR="008E7A18">
        <w:rPr>
          <w:sz w:val="22"/>
          <w:szCs w:val="22"/>
          <w:lang w:val="hr-HR"/>
        </w:rPr>
        <w:t>ij</w:t>
      </w:r>
      <w:r w:rsidR="008E7A18" w:rsidRPr="008E7A18">
        <w:rPr>
          <w:sz w:val="22"/>
          <w:szCs w:val="22"/>
          <w:lang w:val="hr-HR"/>
        </w:rPr>
        <w:t>ečenih l</w:t>
      </w:r>
      <w:r w:rsidR="008E7A18">
        <w:rPr>
          <w:sz w:val="22"/>
          <w:szCs w:val="22"/>
          <w:lang w:val="hr-HR"/>
        </w:rPr>
        <w:t>ij</w:t>
      </w:r>
      <w:r w:rsidR="008E7A18" w:rsidRPr="008E7A18">
        <w:rPr>
          <w:sz w:val="22"/>
          <w:szCs w:val="22"/>
          <w:lang w:val="hr-HR"/>
        </w:rPr>
        <w:t>ekom Phesgo i 8,7% onih koji su primali pertuzumab i trastuzumab</w:t>
      </w:r>
      <w:r w:rsidR="008E7A18" w:rsidRPr="008E7A18">
        <w:rPr>
          <w:sz w:val="22"/>
          <w:szCs w:val="22"/>
          <w:lang w:val="sr-Latn-RS"/>
        </w:rPr>
        <w:t xml:space="preserve"> </w:t>
      </w:r>
      <w:r w:rsidR="008E7A18" w:rsidRPr="008E7A18">
        <w:rPr>
          <w:sz w:val="22"/>
          <w:szCs w:val="22"/>
          <w:lang w:val="hr-HR"/>
        </w:rPr>
        <w:t>intravenski</w:t>
      </w:r>
      <w:r w:rsidR="008E7A18">
        <w:rPr>
          <w:sz w:val="22"/>
          <w:szCs w:val="22"/>
          <w:lang w:val="hr-HR"/>
        </w:rPr>
        <w:t>.</w:t>
      </w:r>
      <w:r w:rsidR="008E7A18" w:rsidRPr="008E7A18">
        <w:rPr>
          <w:sz w:val="22"/>
          <w:szCs w:val="22"/>
          <w:lang w:val="sr-Latn-ME"/>
        </w:rPr>
        <w:t xml:space="preserve"> </w:t>
      </w:r>
      <w:r w:rsidRPr="005436C8">
        <w:rPr>
          <w:sz w:val="22"/>
          <w:szCs w:val="22"/>
          <w:lang w:val="sr-Latn-ME"/>
        </w:rPr>
        <w:t>Najveći broj događaja osipa bio je gradusa 1 ili 2.</w:t>
      </w:r>
    </w:p>
    <w:p w14:paraId="4F019131" w14:textId="77777777" w:rsidR="000C7302" w:rsidRPr="005436C8" w:rsidRDefault="000C7302" w:rsidP="005436C8">
      <w:pPr>
        <w:tabs>
          <w:tab w:val="left" w:pos="284"/>
        </w:tabs>
        <w:jc w:val="both"/>
        <w:rPr>
          <w:sz w:val="22"/>
          <w:szCs w:val="22"/>
          <w:lang w:val="sr-Latn-ME"/>
        </w:rPr>
      </w:pPr>
    </w:p>
    <w:p w14:paraId="0A2BDEDE" w14:textId="77777777" w:rsidR="000C7302" w:rsidRPr="005436C8" w:rsidRDefault="000C7302" w:rsidP="005436C8">
      <w:pPr>
        <w:tabs>
          <w:tab w:val="left" w:pos="284"/>
        </w:tabs>
        <w:jc w:val="both"/>
        <w:rPr>
          <w:i/>
          <w:sz w:val="22"/>
          <w:szCs w:val="22"/>
          <w:lang w:val="sr-Latn-ME"/>
        </w:rPr>
      </w:pPr>
      <w:r w:rsidRPr="005436C8">
        <w:rPr>
          <w:i/>
          <w:iCs/>
          <w:sz w:val="22"/>
          <w:szCs w:val="22"/>
          <w:lang w:val="sr-Latn-ME"/>
        </w:rPr>
        <w:t xml:space="preserve">Intravenski pertuzumab </w:t>
      </w:r>
      <w:r w:rsidRPr="005436C8">
        <w:rPr>
          <w:sz w:val="22"/>
          <w:szCs w:val="22"/>
          <w:lang w:val="sr-Latn-ME"/>
        </w:rPr>
        <w:t>u kombinaciji sa trastuzumabom i hemoterapijom</w:t>
      </w:r>
    </w:p>
    <w:p w14:paraId="5011AADD" w14:textId="77777777" w:rsidR="000C7302" w:rsidRPr="005436C8" w:rsidRDefault="000C7302" w:rsidP="005436C8">
      <w:pPr>
        <w:tabs>
          <w:tab w:val="left" w:pos="284"/>
        </w:tabs>
        <w:jc w:val="both"/>
        <w:rPr>
          <w:i/>
          <w:sz w:val="22"/>
          <w:szCs w:val="22"/>
          <w:u w:val="single"/>
          <w:lang w:val="sr-Latn-ME"/>
        </w:rPr>
      </w:pPr>
    </w:p>
    <w:p w14:paraId="50D4AD50"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pivotalnom ispitivanju CLEOPATRA kod metastatskog karcinoma dojke osip se javio kod 51,7% pacijenata </w:t>
      </w:r>
      <w:r w:rsidR="00097926" w:rsidRPr="005436C8">
        <w:rPr>
          <w:color w:val="000000"/>
          <w:sz w:val="22"/>
          <w:szCs w:val="22"/>
          <w:lang w:val="sr-Latn-ME"/>
        </w:rPr>
        <w:t>liječeni</w:t>
      </w:r>
      <w:r w:rsidRPr="005436C8">
        <w:rPr>
          <w:color w:val="000000"/>
          <w:sz w:val="22"/>
          <w:szCs w:val="22"/>
          <w:lang w:val="sr-Latn-ME"/>
        </w:rPr>
        <w:t xml:space="preserve">h pertuzumabom u poređenju sa 38,9% onih koji su primali placebo. Ti događaji su uglavnom bili težine gradusa 1 ili 2, javljali su se tokom prva dva ciklusa i reagovali su na standardnu terapiju poput topikalne ili peroralne terapije za </w:t>
      </w:r>
      <w:r w:rsidR="00841D7D" w:rsidRPr="005436C8">
        <w:rPr>
          <w:color w:val="000000"/>
          <w:sz w:val="22"/>
          <w:szCs w:val="22"/>
          <w:lang w:val="sr-Latn-ME"/>
        </w:rPr>
        <w:t>liječenje</w:t>
      </w:r>
      <w:r w:rsidRPr="005436C8">
        <w:rPr>
          <w:color w:val="000000"/>
          <w:sz w:val="22"/>
          <w:szCs w:val="22"/>
          <w:lang w:val="sr-Latn-ME"/>
        </w:rPr>
        <w:t xml:space="preserve"> akni.</w:t>
      </w:r>
    </w:p>
    <w:p w14:paraId="0A09A56A" w14:textId="77777777" w:rsidR="000C7302" w:rsidRPr="005436C8" w:rsidRDefault="000C7302" w:rsidP="005436C8">
      <w:pPr>
        <w:tabs>
          <w:tab w:val="left" w:pos="284"/>
        </w:tabs>
        <w:jc w:val="both"/>
        <w:rPr>
          <w:color w:val="000000"/>
          <w:sz w:val="22"/>
          <w:szCs w:val="22"/>
          <w:lang w:val="sr-Latn-ME"/>
        </w:rPr>
      </w:pPr>
    </w:p>
    <w:p w14:paraId="2F1B94B2"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ispitivanju NEOSPHERE osip se javio kod 40,2% pacijenata koji su neoadjuvantno primali pertuzumab, trastuzumab i docetaksel, u poređenju sa 29,0% pacijenata </w:t>
      </w:r>
      <w:r w:rsidR="00097926" w:rsidRPr="005436C8">
        <w:rPr>
          <w:color w:val="000000"/>
          <w:sz w:val="22"/>
          <w:szCs w:val="22"/>
          <w:lang w:val="sr-Latn-ME"/>
        </w:rPr>
        <w:t>liječeni</w:t>
      </w:r>
      <w:r w:rsidRPr="005436C8">
        <w:rPr>
          <w:color w:val="000000"/>
          <w:sz w:val="22"/>
          <w:szCs w:val="22"/>
          <w:lang w:val="sr-Latn-ME"/>
        </w:rPr>
        <w:t xml:space="preserve">h trastuzumabom i docetakselom. U ispitivanju TRYPHAENA osip se javio kod 36,8% pacijenata koji su neoadjuvantno primali pertuzumab i TCH, i kod 20,0% pacijenata neoadjuvantno </w:t>
      </w:r>
      <w:r w:rsidR="00097926" w:rsidRPr="005436C8">
        <w:rPr>
          <w:color w:val="000000"/>
          <w:sz w:val="22"/>
          <w:szCs w:val="22"/>
          <w:lang w:val="sr-Latn-ME"/>
        </w:rPr>
        <w:t>liječeni</w:t>
      </w:r>
      <w:r w:rsidRPr="005436C8">
        <w:rPr>
          <w:color w:val="000000"/>
          <w:sz w:val="22"/>
          <w:szCs w:val="22"/>
          <w:lang w:val="sr-Latn-ME"/>
        </w:rPr>
        <w:t xml:space="preserve">h pertuzumabom, trastuzumabom i docetakselom nakon FEC. Incidenca osipa bila je viša kod pacijenata koji su primili šest ciklusa pertuzumaba nego kod onih koji su primili tri ciklusa pertuzumaba, nezavisno od </w:t>
      </w:r>
      <w:r w:rsidR="00522BD8" w:rsidRPr="005436C8">
        <w:rPr>
          <w:color w:val="000000"/>
          <w:sz w:val="22"/>
          <w:szCs w:val="22"/>
          <w:lang w:val="sr-Latn-ME"/>
        </w:rPr>
        <w:t>primjenjen</w:t>
      </w:r>
      <w:r w:rsidRPr="005436C8">
        <w:rPr>
          <w:color w:val="000000"/>
          <w:sz w:val="22"/>
          <w:szCs w:val="22"/>
          <w:lang w:val="sr-Latn-ME"/>
        </w:rPr>
        <w:t>e hemoterapije.</w:t>
      </w:r>
    </w:p>
    <w:p w14:paraId="50244B8D" w14:textId="77777777" w:rsidR="000C7302" w:rsidRPr="005436C8" w:rsidRDefault="000C7302" w:rsidP="005436C8">
      <w:pPr>
        <w:tabs>
          <w:tab w:val="left" w:pos="284"/>
        </w:tabs>
        <w:jc w:val="both"/>
        <w:rPr>
          <w:color w:val="000000"/>
          <w:sz w:val="22"/>
          <w:szCs w:val="22"/>
          <w:lang w:val="sr-Latn-ME"/>
        </w:rPr>
      </w:pPr>
    </w:p>
    <w:p w14:paraId="1B7346BA"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U ispitivanju APHINITY neželjena reakcija u obliku osipa javila se kod 25,8% pacijenata u grupi koja je primala pertuzumab u poređenju sa 20,3% pacijenata u grupi koja je primala placebo. Najveći broj događaja osipa bio je gradusa 1 ili 2.</w:t>
      </w:r>
    </w:p>
    <w:p w14:paraId="306D13A1" w14:textId="77777777" w:rsidR="000C7302" w:rsidRPr="005436C8" w:rsidRDefault="000C7302" w:rsidP="005436C8">
      <w:pPr>
        <w:tabs>
          <w:tab w:val="left" w:pos="284"/>
        </w:tabs>
        <w:jc w:val="both"/>
        <w:rPr>
          <w:color w:val="000000"/>
          <w:sz w:val="22"/>
          <w:szCs w:val="22"/>
          <w:lang w:val="sr-Latn-ME"/>
        </w:rPr>
      </w:pPr>
    </w:p>
    <w:p w14:paraId="6396DAF5" w14:textId="77777777" w:rsidR="000C7302" w:rsidRPr="005436C8" w:rsidRDefault="000C7302" w:rsidP="005436C8">
      <w:pPr>
        <w:keepNext/>
        <w:keepLines/>
        <w:tabs>
          <w:tab w:val="left" w:pos="284"/>
        </w:tabs>
        <w:jc w:val="both"/>
        <w:rPr>
          <w:i/>
          <w:iCs/>
          <w:color w:val="000000"/>
          <w:kern w:val="32"/>
          <w:sz w:val="22"/>
          <w:szCs w:val="22"/>
          <w:u w:val="single"/>
          <w:lang w:val="sr-Latn-ME"/>
        </w:rPr>
      </w:pPr>
      <w:r w:rsidRPr="005436C8">
        <w:rPr>
          <w:i/>
          <w:iCs/>
          <w:color w:val="000000"/>
          <w:kern w:val="32"/>
          <w:sz w:val="22"/>
          <w:szCs w:val="22"/>
          <w:u w:val="single"/>
          <w:lang w:val="sr-Latn-ME"/>
        </w:rPr>
        <w:t>Odstupanja u laboratorijskim rezultatima</w:t>
      </w:r>
    </w:p>
    <w:p w14:paraId="2D5AD02E" w14:textId="77777777" w:rsidR="000C7302" w:rsidRPr="005436C8" w:rsidRDefault="000C7302" w:rsidP="005436C8">
      <w:pPr>
        <w:keepNext/>
        <w:keepLines/>
        <w:tabs>
          <w:tab w:val="left" w:pos="284"/>
        </w:tabs>
        <w:jc w:val="both"/>
        <w:rPr>
          <w:color w:val="000000"/>
          <w:sz w:val="22"/>
          <w:szCs w:val="22"/>
          <w:lang w:val="sr-Latn-ME"/>
        </w:rPr>
      </w:pPr>
    </w:p>
    <w:p w14:paraId="0FF15320" w14:textId="77777777" w:rsidR="000C7302" w:rsidRPr="005436C8" w:rsidRDefault="008E7A18" w:rsidP="005436C8">
      <w:pPr>
        <w:keepNext/>
        <w:keepLines/>
        <w:tabs>
          <w:tab w:val="left" w:pos="284"/>
        </w:tabs>
        <w:jc w:val="both"/>
        <w:rPr>
          <w:i/>
          <w:sz w:val="22"/>
          <w:szCs w:val="22"/>
          <w:lang w:val="sr-Latn-ME"/>
        </w:rPr>
      </w:pPr>
      <w:r>
        <w:rPr>
          <w:i/>
          <w:iCs/>
          <w:sz w:val="22"/>
          <w:szCs w:val="22"/>
          <w:lang w:val="sr-Latn-ME"/>
        </w:rPr>
        <w:t xml:space="preserve">Lijek </w:t>
      </w:r>
      <w:r w:rsidR="000C7302" w:rsidRPr="005436C8">
        <w:rPr>
          <w:i/>
          <w:iCs/>
          <w:sz w:val="22"/>
          <w:szCs w:val="22"/>
          <w:lang w:val="sr-Latn-ME"/>
        </w:rPr>
        <w:t xml:space="preserve">Phesgo </w:t>
      </w:r>
    </w:p>
    <w:p w14:paraId="380EA102" w14:textId="77777777" w:rsidR="000C7302" w:rsidRPr="005436C8" w:rsidRDefault="000C7302" w:rsidP="005436C8">
      <w:pPr>
        <w:keepNext/>
        <w:keepLines/>
        <w:tabs>
          <w:tab w:val="left" w:pos="284"/>
        </w:tabs>
        <w:jc w:val="both"/>
        <w:rPr>
          <w:i/>
          <w:sz w:val="22"/>
          <w:szCs w:val="22"/>
          <w:u w:val="single"/>
          <w:lang w:val="sr-Latn-ME"/>
        </w:rPr>
      </w:pPr>
    </w:p>
    <w:p w14:paraId="24438DEA" w14:textId="77777777" w:rsidR="000C7302" w:rsidRPr="005436C8" w:rsidRDefault="000C7302" w:rsidP="005436C8">
      <w:pPr>
        <w:keepNext/>
        <w:keepLines/>
        <w:tabs>
          <w:tab w:val="left" w:pos="284"/>
        </w:tabs>
        <w:jc w:val="both"/>
        <w:rPr>
          <w:sz w:val="22"/>
          <w:szCs w:val="22"/>
          <w:lang w:val="sr-Latn-ME"/>
        </w:rPr>
      </w:pPr>
      <w:r w:rsidRPr="005436C8">
        <w:rPr>
          <w:sz w:val="22"/>
          <w:szCs w:val="22"/>
          <w:lang w:val="sr-Latn-ME"/>
        </w:rPr>
        <w:t xml:space="preserve">U pivotalnom ispitivanju FEDERICA incidenca neutropenije gradusa 3-4 prema verziji 4 NCI-CTCAE bila je podjednaka u </w:t>
      </w:r>
      <w:r w:rsidR="00FE754C" w:rsidRPr="005436C8">
        <w:rPr>
          <w:sz w:val="22"/>
          <w:szCs w:val="22"/>
          <w:lang w:val="sr-Latn-ME"/>
        </w:rPr>
        <w:t>obije</w:t>
      </w:r>
      <w:r w:rsidRPr="005436C8">
        <w:rPr>
          <w:sz w:val="22"/>
          <w:szCs w:val="22"/>
          <w:lang w:val="sr-Latn-ME"/>
        </w:rPr>
        <w:t xml:space="preserve"> l</w:t>
      </w:r>
      <w:r w:rsidR="008D6CF3" w:rsidRPr="005436C8">
        <w:rPr>
          <w:sz w:val="22"/>
          <w:szCs w:val="22"/>
          <w:lang w:val="sr-Latn-ME"/>
        </w:rPr>
        <w:t>ij</w:t>
      </w:r>
      <w:r w:rsidRPr="005436C8">
        <w:rPr>
          <w:sz w:val="22"/>
          <w:szCs w:val="22"/>
          <w:lang w:val="sr-Latn-ME"/>
        </w:rPr>
        <w:t>ečene grupe (</w:t>
      </w:r>
      <w:r w:rsidR="008E7A18">
        <w:rPr>
          <w:sz w:val="22"/>
          <w:szCs w:val="22"/>
          <w:lang w:val="sr-Latn-ME"/>
        </w:rPr>
        <w:t>13,6</w:t>
      </w:r>
      <w:r w:rsidRPr="005436C8">
        <w:rPr>
          <w:sz w:val="22"/>
          <w:szCs w:val="22"/>
          <w:lang w:val="sr-Latn-ME"/>
        </w:rPr>
        <w:t xml:space="preserve">% pacijenata koji su primali </w:t>
      </w:r>
      <w:r w:rsidRPr="005436C8">
        <w:rPr>
          <w:noProof/>
          <w:color w:val="000000"/>
          <w:sz w:val="22"/>
          <w:szCs w:val="22"/>
          <w:lang w:val="sr-Latn-ME"/>
        </w:rPr>
        <w:t>Phesgo</w:t>
      </w:r>
      <w:r w:rsidRPr="005436C8">
        <w:rPr>
          <w:sz w:val="22"/>
          <w:szCs w:val="22"/>
          <w:lang w:val="sr-Latn-ME"/>
        </w:rPr>
        <w:t xml:space="preserve"> i 13,9% onih </w:t>
      </w:r>
      <w:r w:rsidR="00097926" w:rsidRPr="005436C8">
        <w:rPr>
          <w:sz w:val="22"/>
          <w:szCs w:val="22"/>
          <w:lang w:val="sr-Latn-ME"/>
        </w:rPr>
        <w:t>liječeni</w:t>
      </w:r>
      <w:r w:rsidRPr="005436C8">
        <w:rPr>
          <w:sz w:val="22"/>
          <w:szCs w:val="22"/>
          <w:lang w:val="sr-Latn-ME"/>
        </w:rPr>
        <w:t>h intravenskim pertuzumabom i trastuzumabom)</w:t>
      </w:r>
      <w:r w:rsidR="008E7A18" w:rsidRPr="008E7A18">
        <w:rPr>
          <w:sz w:val="22"/>
          <w:lang w:val="sr-Latn-RS"/>
        </w:rPr>
        <w:t xml:space="preserve"> </w:t>
      </w:r>
      <w:r w:rsidR="008E7A18" w:rsidRPr="008E7A18">
        <w:rPr>
          <w:sz w:val="22"/>
          <w:szCs w:val="22"/>
          <w:lang w:val="sr-Latn-RS"/>
        </w:rPr>
        <w:t>tokom neoadjuvantnog l</w:t>
      </w:r>
      <w:r w:rsidR="008E7A18">
        <w:rPr>
          <w:sz w:val="22"/>
          <w:szCs w:val="22"/>
          <w:lang w:val="sr-Latn-RS"/>
        </w:rPr>
        <w:t>ij</w:t>
      </w:r>
      <w:r w:rsidR="008E7A18" w:rsidRPr="008E7A18">
        <w:rPr>
          <w:sz w:val="22"/>
          <w:szCs w:val="22"/>
          <w:lang w:val="sr-Latn-RS"/>
        </w:rPr>
        <w:t>ečenja, a značajno niža u fazi adjuvantnog l</w:t>
      </w:r>
      <w:r w:rsidR="008E7A18">
        <w:rPr>
          <w:sz w:val="22"/>
          <w:szCs w:val="22"/>
          <w:lang w:val="sr-Latn-RS"/>
        </w:rPr>
        <w:t>ij</w:t>
      </w:r>
      <w:r w:rsidR="008E7A18" w:rsidRPr="008E7A18">
        <w:rPr>
          <w:sz w:val="22"/>
          <w:szCs w:val="22"/>
          <w:lang w:val="sr-Latn-RS"/>
        </w:rPr>
        <w:t>ečenja (0,8% pacijenata koji su primali l</w:t>
      </w:r>
      <w:r w:rsidR="008E7A18">
        <w:rPr>
          <w:sz w:val="22"/>
          <w:szCs w:val="22"/>
          <w:lang w:val="sr-Latn-RS"/>
        </w:rPr>
        <w:t>ij</w:t>
      </w:r>
      <w:r w:rsidR="008E7A18" w:rsidRPr="008E7A18">
        <w:rPr>
          <w:sz w:val="22"/>
          <w:szCs w:val="22"/>
          <w:lang w:val="sr-Latn-RS"/>
        </w:rPr>
        <w:t>ek Phesgo i 0% onih koji su l</w:t>
      </w:r>
      <w:r w:rsidR="008E7A18">
        <w:rPr>
          <w:sz w:val="22"/>
          <w:szCs w:val="22"/>
          <w:lang w:val="sr-Latn-RS"/>
        </w:rPr>
        <w:t>ij</w:t>
      </w:r>
      <w:r w:rsidR="008E7A18" w:rsidRPr="008E7A18">
        <w:rPr>
          <w:sz w:val="22"/>
          <w:szCs w:val="22"/>
          <w:lang w:val="sr-Latn-RS"/>
        </w:rPr>
        <w:t>ečeni pertuzumabom i trastuzumabom intravenski)</w:t>
      </w:r>
      <w:r w:rsidRPr="005436C8">
        <w:rPr>
          <w:sz w:val="22"/>
          <w:szCs w:val="22"/>
          <w:lang w:val="sr-Latn-ME"/>
        </w:rPr>
        <w:t>.</w:t>
      </w:r>
    </w:p>
    <w:p w14:paraId="4EA808B9" w14:textId="77777777" w:rsidR="000C7302" w:rsidRPr="005436C8" w:rsidRDefault="000C7302" w:rsidP="005436C8">
      <w:pPr>
        <w:tabs>
          <w:tab w:val="left" w:pos="284"/>
        </w:tabs>
        <w:jc w:val="both"/>
        <w:rPr>
          <w:sz w:val="22"/>
          <w:szCs w:val="22"/>
          <w:lang w:val="sr-Latn-ME"/>
        </w:rPr>
      </w:pPr>
    </w:p>
    <w:p w14:paraId="1F637C52" w14:textId="77777777" w:rsidR="000C7302" w:rsidRPr="005436C8" w:rsidRDefault="000C7302" w:rsidP="005436C8">
      <w:pPr>
        <w:tabs>
          <w:tab w:val="left" w:pos="284"/>
        </w:tabs>
        <w:jc w:val="both"/>
        <w:rPr>
          <w:i/>
          <w:sz w:val="22"/>
          <w:szCs w:val="22"/>
          <w:lang w:val="sr-Latn-ME"/>
        </w:rPr>
      </w:pPr>
      <w:r w:rsidRPr="005436C8">
        <w:rPr>
          <w:i/>
          <w:iCs/>
          <w:sz w:val="22"/>
          <w:szCs w:val="22"/>
          <w:lang w:val="sr-Latn-ME"/>
        </w:rPr>
        <w:t xml:space="preserve">Intravenski pertuzumab </w:t>
      </w:r>
      <w:r w:rsidRPr="005436C8">
        <w:rPr>
          <w:sz w:val="22"/>
          <w:szCs w:val="22"/>
          <w:lang w:val="sr-Latn-ME"/>
        </w:rPr>
        <w:t>u kombinaciji sa trastuzumabom i hemoterapijom</w:t>
      </w:r>
    </w:p>
    <w:p w14:paraId="46A52AD5" w14:textId="77777777" w:rsidR="000C7302" w:rsidRPr="005436C8" w:rsidRDefault="000C7302" w:rsidP="005436C8">
      <w:pPr>
        <w:tabs>
          <w:tab w:val="left" w:pos="284"/>
        </w:tabs>
        <w:jc w:val="both"/>
        <w:rPr>
          <w:i/>
          <w:sz w:val="22"/>
          <w:szCs w:val="22"/>
          <w:u w:val="single"/>
          <w:lang w:val="sr-Latn-ME"/>
        </w:rPr>
      </w:pPr>
    </w:p>
    <w:p w14:paraId="49690D70"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pivotalnom ispitivanju CLEOPATRA kod metastatskog karcinoma dojke incidenca neutropenije gradusa 3-4 prema verziji 3 NCI-CTCAE bila je podjednaka u </w:t>
      </w:r>
      <w:r w:rsidR="00FE754C" w:rsidRPr="005436C8">
        <w:rPr>
          <w:sz w:val="22"/>
          <w:szCs w:val="22"/>
          <w:lang w:val="sr-Latn-ME"/>
        </w:rPr>
        <w:t>obije</w:t>
      </w:r>
      <w:r w:rsidRPr="005436C8">
        <w:rPr>
          <w:sz w:val="22"/>
          <w:szCs w:val="22"/>
          <w:lang w:val="sr-Latn-ME"/>
        </w:rPr>
        <w:t xml:space="preserve"> l</w:t>
      </w:r>
      <w:r w:rsidR="008D6CF3" w:rsidRPr="005436C8">
        <w:rPr>
          <w:sz w:val="22"/>
          <w:szCs w:val="22"/>
          <w:lang w:val="sr-Latn-ME"/>
        </w:rPr>
        <w:t>ij</w:t>
      </w:r>
      <w:r w:rsidRPr="005436C8">
        <w:rPr>
          <w:sz w:val="22"/>
          <w:szCs w:val="22"/>
          <w:lang w:val="sr-Latn-ME"/>
        </w:rPr>
        <w:t>ečene grupe (86,3% pacijenata koji su primali pertuzumab i 86,6% onih koji su primali placebo, uključujući i neutropeniju gradusa 4 kod 60,7% odnosno 64,8% pacijenata).</w:t>
      </w:r>
    </w:p>
    <w:p w14:paraId="5E355648" w14:textId="77777777" w:rsidR="000C7302" w:rsidRPr="005436C8" w:rsidRDefault="000C7302" w:rsidP="005436C8">
      <w:pPr>
        <w:tabs>
          <w:tab w:val="left" w:pos="284"/>
        </w:tabs>
        <w:jc w:val="both"/>
        <w:rPr>
          <w:sz w:val="22"/>
          <w:szCs w:val="22"/>
          <w:lang w:val="sr-Latn-ME"/>
        </w:rPr>
      </w:pPr>
    </w:p>
    <w:p w14:paraId="3F3BE4C5"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ispitivanju NEOSPHERE incidenca neutropenije gradusa 3-4 prema verziji 3 NCI-CTCAE iznosila je 74,5% kod pacijenata neoadjuvantno </w:t>
      </w:r>
      <w:r w:rsidR="00097926" w:rsidRPr="005436C8">
        <w:rPr>
          <w:sz w:val="22"/>
          <w:szCs w:val="22"/>
          <w:lang w:val="sr-Latn-ME"/>
        </w:rPr>
        <w:t>liječeni</w:t>
      </w:r>
      <w:r w:rsidRPr="005436C8">
        <w:rPr>
          <w:sz w:val="22"/>
          <w:szCs w:val="22"/>
          <w:lang w:val="sr-Latn-ME"/>
        </w:rPr>
        <w:t xml:space="preserve">h pertuzumabom, trastuzumabom i docetakselom, u poređenju sa 84,5% kod pacijenata </w:t>
      </w:r>
      <w:r w:rsidR="00097926" w:rsidRPr="005436C8">
        <w:rPr>
          <w:sz w:val="22"/>
          <w:szCs w:val="22"/>
          <w:lang w:val="sr-Latn-ME"/>
        </w:rPr>
        <w:t>liječeni</w:t>
      </w:r>
      <w:r w:rsidRPr="005436C8">
        <w:rPr>
          <w:sz w:val="22"/>
          <w:szCs w:val="22"/>
          <w:lang w:val="sr-Latn-ME"/>
        </w:rPr>
        <w:t xml:space="preserve">h trastuzumabom i docetakselom, uključujući neutropeniju gradusa 4 u 50,9% odnosno 60,2% slučajeva. U ispitivanju TRYPHAENA incidenca neutropenije gradusa 3-4 prema verziji 3 NCI-CTCAE iznosila je 85,3% kod pacijenata koji su neoadjuvantno primali pertuzumab i TCH, a 77,0% kod pacijenata neoadjuvantno </w:t>
      </w:r>
      <w:r w:rsidR="00097926" w:rsidRPr="005436C8">
        <w:rPr>
          <w:sz w:val="22"/>
          <w:szCs w:val="22"/>
          <w:lang w:val="sr-Latn-ME"/>
        </w:rPr>
        <w:t>liječeni</w:t>
      </w:r>
      <w:r w:rsidRPr="005436C8">
        <w:rPr>
          <w:sz w:val="22"/>
          <w:szCs w:val="22"/>
          <w:lang w:val="sr-Latn-ME"/>
        </w:rPr>
        <w:t xml:space="preserve">h pertuzumabom, trastuzumabom i docetakselom nakon FEC, uključujući neutropeniju gradusa 4 u 66,7% odnosno 59,5% slučajeva. </w:t>
      </w:r>
    </w:p>
    <w:p w14:paraId="77C42085" w14:textId="77777777" w:rsidR="000C7302" w:rsidRPr="005436C8" w:rsidRDefault="000C7302" w:rsidP="005436C8">
      <w:pPr>
        <w:tabs>
          <w:tab w:val="left" w:pos="284"/>
        </w:tabs>
        <w:jc w:val="both"/>
        <w:rPr>
          <w:sz w:val="22"/>
          <w:szCs w:val="22"/>
          <w:lang w:val="sr-Latn-ME"/>
        </w:rPr>
      </w:pPr>
    </w:p>
    <w:p w14:paraId="3A208F0B"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U ispitivanju APHINITY incidenca neutropenije gradusa 3-4 prema verziji 4 NCI-CTCAE iznosila je 40,6% kod pacijenata </w:t>
      </w:r>
      <w:r w:rsidR="00097926" w:rsidRPr="005436C8">
        <w:rPr>
          <w:sz w:val="22"/>
          <w:szCs w:val="22"/>
          <w:lang w:val="sr-Latn-ME"/>
        </w:rPr>
        <w:t>liječeni</w:t>
      </w:r>
      <w:r w:rsidRPr="005436C8">
        <w:rPr>
          <w:sz w:val="22"/>
          <w:szCs w:val="22"/>
          <w:lang w:val="sr-Latn-ME"/>
        </w:rPr>
        <w:t>h pertuzumabom, trastuzumabom i hemoterapijom, u poređenju sa 39,1% kod pacijenata koji su primali placebo, trastuzumab i hemoterapiju, uključujući neutropeniju gradusa 4 u 28,3% odnosno 26,5% slučajeva.</w:t>
      </w:r>
    </w:p>
    <w:p w14:paraId="0E1C753C" w14:textId="77777777" w:rsidR="000C7302" w:rsidRPr="005436C8" w:rsidRDefault="000C7302" w:rsidP="005436C8">
      <w:pPr>
        <w:tabs>
          <w:tab w:val="left" w:pos="284"/>
        </w:tabs>
        <w:jc w:val="both"/>
        <w:rPr>
          <w:sz w:val="22"/>
          <w:szCs w:val="22"/>
          <w:lang w:val="sr-Latn-ME"/>
        </w:rPr>
      </w:pPr>
    </w:p>
    <w:p w14:paraId="74CA4946" w14:textId="77777777" w:rsidR="000C7302" w:rsidRPr="005436C8" w:rsidRDefault="000C7302" w:rsidP="005436C8">
      <w:pPr>
        <w:tabs>
          <w:tab w:val="left" w:pos="284"/>
        </w:tabs>
        <w:jc w:val="both"/>
        <w:rPr>
          <w:i/>
          <w:noProof/>
          <w:color w:val="000000"/>
          <w:sz w:val="22"/>
          <w:szCs w:val="22"/>
          <w:u w:val="single"/>
          <w:lang w:val="sr-Latn-ME"/>
        </w:rPr>
      </w:pPr>
      <w:r w:rsidRPr="005436C8">
        <w:rPr>
          <w:i/>
          <w:iCs/>
          <w:noProof/>
          <w:color w:val="000000"/>
          <w:sz w:val="22"/>
          <w:szCs w:val="22"/>
          <w:u w:val="single"/>
          <w:lang w:val="sr-Latn-ME"/>
        </w:rPr>
        <w:t>Imunogenost</w:t>
      </w:r>
    </w:p>
    <w:p w14:paraId="0F69F167" w14:textId="77777777" w:rsidR="000C7302" w:rsidRPr="005436C8" w:rsidRDefault="000C7302" w:rsidP="005436C8">
      <w:pPr>
        <w:tabs>
          <w:tab w:val="left" w:pos="284"/>
        </w:tabs>
        <w:jc w:val="both"/>
        <w:rPr>
          <w:color w:val="000000"/>
          <w:sz w:val="22"/>
          <w:szCs w:val="22"/>
          <w:lang w:val="sr-Latn-ME"/>
        </w:rPr>
      </w:pPr>
    </w:p>
    <w:p w14:paraId="6E5EB057" w14:textId="77777777" w:rsidR="000C7302" w:rsidRPr="005436C8" w:rsidRDefault="000C7302" w:rsidP="005436C8">
      <w:pPr>
        <w:tabs>
          <w:tab w:val="left" w:pos="284"/>
        </w:tabs>
        <w:jc w:val="both"/>
        <w:rPr>
          <w:color w:val="000000"/>
          <w:sz w:val="22"/>
          <w:szCs w:val="22"/>
          <w:lang w:val="sr-Latn-ME"/>
        </w:rPr>
      </w:pPr>
      <w:r w:rsidRPr="005436C8">
        <w:rPr>
          <w:sz w:val="22"/>
          <w:szCs w:val="22"/>
          <w:lang w:val="sr-Latn-ME"/>
        </w:rPr>
        <w:lastRenderedPageBreak/>
        <w:t xml:space="preserve">Kao i sa svim terapijskim proteinima, postoji potencijal za imunski odgovor na pertuzumab i trastuzumab kod pacijenata </w:t>
      </w:r>
      <w:r w:rsidR="00097926" w:rsidRPr="005436C8">
        <w:rPr>
          <w:sz w:val="22"/>
          <w:szCs w:val="22"/>
          <w:lang w:val="sr-Latn-ME"/>
        </w:rPr>
        <w:t>liječeni</w:t>
      </w:r>
      <w:r w:rsidRPr="005436C8">
        <w:rPr>
          <w:sz w:val="22"/>
          <w:szCs w:val="22"/>
          <w:lang w:val="sr-Latn-ME"/>
        </w:rPr>
        <w:t xml:space="preserve">h </w:t>
      </w:r>
      <w:r w:rsidR="00166973" w:rsidRPr="005436C8">
        <w:rPr>
          <w:sz w:val="22"/>
          <w:szCs w:val="22"/>
          <w:lang w:val="sr-Latn-ME"/>
        </w:rPr>
        <w:t>lijek</w:t>
      </w:r>
      <w:r w:rsidRPr="005436C8">
        <w:rPr>
          <w:sz w:val="22"/>
          <w:szCs w:val="22"/>
          <w:lang w:val="sr-Latn-ME"/>
        </w:rPr>
        <w:t>om Phesgo</w:t>
      </w:r>
      <w:r w:rsidRPr="005436C8">
        <w:rPr>
          <w:color w:val="000000"/>
          <w:sz w:val="22"/>
          <w:szCs w:val="22"/>
          <w:lang w:val="sr-Latn-ME"/>
        </w:rPr>
        <w:t xml:space="preserve">. </w:t>
      </w:r>
    </w:p>
    <w:p w14:paraId="419FF516" w14:textId="77777777" w:rsidR="000C7302" w:rsidRPr="005436C8" w:rsidRDefault="000C7302" w:rsidP="005436C8">
      <w:pPr>
        <w:tabs>
          <w:tab w:val="left" w:pos="284"/>
        </w:tabs>
        <w:jc w:val="both"/>
        <w:rPr>
          <w:color w:val="000000"/>
          <w:sz w:val="22"/>
          <w:szCs w:val="22"/>
          <w:lang w:val="sr-Latn-ME"/>
        </w:rPr>
      </w:pPr>
    </w:p>
    <w:p w14:paraId="308A3405"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ispitivanju FEDERICA incidenca razvoja antitela na pertuzumab i trastuzumab tokom terapije iznosila je </w:t>
      </w:r>
      <w:r w:rsidR="008E7A18">
        <w:rPr>
          <w:color w:val="000000"/>
          <w:sz w:val="22"/>
          <w:szCs w:val="22"/>
          <w:lang w:val="sr-Latn-ME"/>
        </w:rPr>
        <w:t>10,6</w:t>
      </w:r>
      <w:r w:rsidR="001C79FD" w:rsidRPr="005436C8">
        <w:rPr>
          <w:color w:val="000000"/>
          <w:sz w:val="22"/>
          <w:szCs w:val="22"/>
          <w:lang w:val="sr-Latn-ME"/>
        </w:rPr>
        <w:t>% (</w:t>
      </w:r>
      <w:r w:rsidR="008E7A18">
        <w:rPr>
          <w:color w:val="000000"/>
          <w:sz w:val="22"/>
          <w:szCs w:val="22"/>
          <w:lang w:val="sr-Latn-ME"/>
        </w:rPr>
        <w:t>26</w:t>
      </w:r>
      <w:r w:rsidR="001C79FD" w:rsidRPr="005436C8">
        <w:rPr>
          <w:color w:val="000000"/>
          <w:sz w:val="22"/>
          <w:szCs w:val="22"/>
          <w:lang w:val="sr-Latn-ME"/>
        </w:rPr>
        <w:t xml:space="preserve">/245) </w:t>
      </w:r>
      <w:r w:rsidRPr="005436C8">
        <w:rPr>
          <w:color w:val="000000"/>
          <w:sz w:val="22"/>
          <w:szCs w:val="22"/>
          <w:lang w:val="sr-Latn-ME"/>
        </w:rPr>
        <w:t xml:space="preserve">odnosno 0,4% </w:t>
      </w:r>
      <w:r w:rsidR="001C79FD" w:rsidRPr="005436C8">
        <w:rPr>
          <w:color w:val="000000" w:themeColor="text1"/>
          <w:sz w:val="22"/>
          <w:szCs w:val="22"/>
          <w:lang w:val="sr-Latn-ME"/>
        </w:rPr>
        <w:t xml:space="preserve">(1/245) </w:t>
      </w:r>
      <w:r w:rsidRPr="005436C8">
        <w:rPr>
          <w:color w:val="000000"/>
          <w:sz w:val="22"/>
          <w:szCs w:val="22"/>
          <w:lang w:val="sr-Latn-ME"/>
        </w:rPr>
        <w:t xml:space="preserve">kod pacijenata </w:t>
      </w:r>
      <w:r w:rsidR="00097926" w:rsidRPr="005436C8">
        <w:rPr>
          <w:color w:val="000000"/>
          <w:sz w:val="22"/>
          <w:szCs w:val="22"/>
          <w:lang w:val="sr-Latn-ME"/>
        </w:rPr>
        <w:t>liječeni</w:t>
      </w:r>
      <w:r w:rsidRPr="005436C8">
        <w:rPr>
          <w:color w:val="000000"/>
          <w:sz w:val="22"/>
          <w:szCs w:val="22"/>
          <w:lang w:val="sr-Latn-ME"/>
        </w:rPr>
        <w:t>h intravenski</w:t>
      </w:r>
      <w:r w:rsidR="001C79FD" w:rsidRPr="005436C8">
        <w:rPr>
          <w:color w:val="000000"/>
          <w:sz w:val="22"/>
          <w:szCs w:val="22"/>
          <w:lang w:val="sr-Latn-ME"/>
        </w:rPr>
        <w:t xml:space="preserve"> prim</w:t>
      </w:r>
      <w:r w:rsidR="00761FC0" w:rsidRPr="005436C8">
        <w:rPr>
          <w:color w:val="000000"/>
          <w:sz w:val="22"/>
          <w:szCs w:val="22"/>
          <w:lang w:val="sr-Latn-ME"/>
        </w:rPr>
        <w:t>i</w:t>
      </w:r>
      <w:r w:rsidR="001C79FD" w:rsidRPr="005436C8">
        <w:rPr>
          <w:color w:val="000000"/>
          <w:sz w:val="22"/>
          <w:szCs w:val="22"/>
          <w:lang w:val="sr-Latn-ME"/>
        </w:rPr>
        <w:t>jenjenim</w:t>
      </w:r>
      <w:r w:rsidRPr="005436C8">
        <w:rPr>
          <w:color w:val="000000"/>
          <w:sz w:val="22"/>
          <w:szCs w:val="22"/>
          <w:lang w:val="sr-Latn-ME"/>
        </w:rPr>
        <w:t xml:space="preserve"> pertuzumabom i trastuzumabom. </w:t>
      </w:r>
      <w:r w:rsidR="001C79FD" w:rsidRPr="005436C8">
        <w:rPr>
          <w:color w:val="000000"/>
          <w:sz w:val="22"/>
          <w:szCs w:val="22"/>
          <w:lang w:val="sr-Latn-ME"/>
        </w:rPr>
        <w:t>Među pacijentima pozitivnim na antit</w:t>
      </w:r>
      <w:r w:rsidR="00D67445" w:rsidRPr="005436C8">
        <w:rPr>
          <w:color w:val="000000"/>
          <w:sz w:val="22"/>
          <w:szCs w:val="22"/>
          <w:lang w:val="sr-Latn-ME"/>
        </w:rPr>
        <w:t>ij</w:t>
      </w:r>
      <w:r w:rsidR="001C79FD" w:rsidRPr="005436C8">
        <w:rPr>
          <w:color w:val="000000"/>
          <w:sz w:val="22"/>
          <w:szCs w:val="22"/>
          <w:lang w:val="sr-Latn-ME"/>
        </w:rPr>
        <w:t>ela na pertuzumab, neutrališuća antit</w:t>
      </w:r>
      <w:r w:rsidR="00D67445" w:rsidRPr="005436C8">
        <w:rPr>
          <w:color w:val="000000"/>
          <w:sz w:val="22"/>
          <w:szCs w:val="22"/>
          <w:lang w:val="sr-Latn-ME"/>
        </w:rPr>
        <w:t>ij</w:t>
      </w:r>
      <w:r w:rsidR="001C79FD" w:rsidRPr="005436C8">
        <w:rPr>
          <w:color w:val="000000"/>
          <w:sz w:val="22"/>
          <w:szCs w:val="22"/>
          <w:lang w:val="sr-Latn-ME"/>
        </w:rPr>
        <w:t xml:space="preserve">ela na pertuzumab otkrivena su kod </w:t>
      </w:r>
      <w:r w:rsidR="00B00D6D">
        <w:rPr>
          <w:color w:val="000000"/>
          <w:sz w:val="22"/>
          <w:szCs w:val="22"/>
          <w:lang w:val="sr-Latn-ME"/>
        </w:rPr>
        <w:t>tri</w:t>
      </w:r>
      <w:r w:rsidR="001C79FD" w:rsidRPr="005436C8">
        <w:rPr>
          <w:color w:val="000000"/>
          <w:sz w:val="22"/>
          <w:szCs w:val="22"/>
          <w:lang w:val="sr-Latn-ME"/>
        </w:rPr>
        <w:t xml:space="preserve"> pacijenta.</w:t>
      </w:r>
    </w:p>
    <w:p w14:paraId="40FA744A" w14:textId="77777777" w:rsidR="001C79FD" w:rsidRPr="005436C8" w:rsidRDefault="001C79FD" w:rsidP="005436C8">
      <w:pPr>
        <w:tabs>
          <w:tab w:val="left" w:pos="284"/>
        </w:tabs>
        <w:jc w:val="both"/>
        <w:rPr>
          <w:color w:val="000000"/>
          <w:sz w:val="22"/>
          <w:szCs w:val="22"/>
          <w:lang w:val="sr-Latn-ME"/>
        </w:rPr>
      </w:pPr>
    </w:p>
    <w:p w14:paraId="634C17DE" w14:textId="77777777" w:rsidR="000C7302" w:rsidRPr="005436C8" w:rsidRDefault="000C7302" w:rsidP="005436C8">
      <w:pPr>
        <w:tabs>
          <w:tab w:val="left" w:pos="284"/>
        </w:tabs>
        <w:jc w:val="both"/>
        <w:rPr>
          <w:sz w:val="22"/>
          <w:szCs w:val="22"/>
          <w:lang w:val="sr-Latn-ME"/>
        </w:rPr>
      </w:pPr>
      <w:r w:rsidRPr="005436C8">
        <w:rPr>
          <w:color w:val="000000"/>
          <w:sz w:val="22"/>
          <w:szCs w:val="22"/>
          <w:lang w:val="sr-Latn-ME"/>
        </w:rPr>
        <w:t>Incidenca razvoja antit</w:t>
      </w:r>
      <w:r w:rsidR="00D67445" w:rsidRPr="005436C8">
        <w:rPr>
          <w:color w:val="000000"/>
          <w:sz w:val="22"/>
          <w:szCs w:val="22"/>
          <w:lang w:val="sr-Latn-ME"/>
        </w:rPr>
        <w:t>ij</w:t>
      </w:r>
      <w:r w:rsidRPr="005436C8">
        <w:rPr>
          <w:color w:val="000000"/>
          <w:sz w:val="22"/>
          <w:szCs w:val="22"/>
          <w:lang w:val="sr-Latn-ME"/>
        </w:rPr>
        <w:t xml:space="preserve">ela na pertuzumab, trastuzumab i vorhijaluronidazu alfa tokom terapije iznosila je redom </w:t>
      </w:r>
      <w:r w:rsidR="008E7A18">
        <w:rPr>
          <w:color w:val="000000" w:themeColor="text1"/>
          <w:sz w:val="22"/>
          <w:szCs w:val="22"/>
          <w:lang w:val="sr-Latn-ME"/>
        </w:rPr>
        <w:t>12,9</w:t>
      </w:r>
      <w:r w:rsidR="001C79FD" w:rsidRPr="005436C8">
        <w:rPr>
          <w:color w:val="000000" w:themeColor="text1"/>
          <w:sz w:val="22"/>
          <w:szCs w:val="22"/>
          <w:lang w:val="sr-Latn-ME"/>
        </w:rPr>
        <w:t>% (</w:t>
      </w:r>
      <w:r w:rsidR="008E7A18">
        <w:rPr>
          <w:color w:val="000000" w:themeColor="text1"/>
          <w:sz w:val="22"/>
          <w:szCs w:val="22"/>
          <w:lang w:val="sr-Latn-ME"/>
        </w:rPr>
        <w:t>31</w:t>
      </w:r>
      <w:r w:rsidR="001C79FD" w:rsidRPr="005436C8">
        <w:rPr>
          <w:color w:val="000000" w:themeColor="text1"/>
          <w:sz w:val="22"/>
          <w:szCs w:val="22"/>
          <w:lang w:val="sr-Latn-ME"/>
        </w:rPr>
        <w:t>/241),</w:t>
      </w:r>
      <w:r w:rsidR="001C79FD" w:rsidRPr="005436C8">
        <w:rPr>
          <w:color w:val="000000"/>
          <w:sz w:val="22"/>
          <w:szCs w:val="22"/>
          <w:lang w:val="sr-Latn-ME"/>
        </w:rPr>
        <w:t xml:space="preserve"> </w:t>
      </w:r>
      <w:r w:rsidR="008E7A18">
        <w:rPr>
          <w:color w:val="000000" w:themeColor="text1"/>
          <w:sz w:val="22"/>
          <w:szCs w:val="22"/>
          <w:lang w:val="sr-Latn-ME"/>
        </w:rPr>
        <w:t>2,1</w:t>
      </w:r>
      <w:r w:rsidR="001C79FD" w:rsidRPr="005436C8">
        <w:rPr>
          <w:color w:val="000000" w:themeColor="text1"/>
          <w:sz w:val="22"/>
          <w:szCs w:val="22"/>
          <w:lang w:val="sr-Latn-ME"/>
        </w:rPr>
        <w:t>% (</w:t>
      </w:r>
      <w:r w:rsidR="008E7A18">
        <w:rPr>
          <w:color w:val="000000" w:themeColor="text1"/>
          <w:sz w:val="22"/>
          <w:szCs w:val="22"/>
          <w:lang w:val="sr-Latn-ME"/>
        </w:rPr>
        <w:t>5</w:t>
      </w:r>
      <w:r w:rsidR="001C79FD" w:rsidRPr="005436C8">
        <w:rPr>
          <w:color w:val="000000" w:themeColor="text1"/>
          <w:sz w:val="22"/>
          <w:szCs w:val="22"/>
          <w:lang w:val="sr-Latn-ME"/>
        </w:rPr>
        <w:t xml:space="preserve">/241) </w:t>
      </w:r>
      <w:r w:rsidRPr="005436C8">
        <w:rPr>
          <w:color w:val="000000"/>
          <w:sz w:val="22"/>
          <w:szCs w:val="22"/>
          <w:lang w:val="sr-Latn-ME"/>
        </w:rPr>
        <w:t xml:space="preserve">i </w:t>
      </w:r>
      <w:r w:rsidR="00782B97">
        <w:rPr>
          <w:color w:val="000000" w:themeColor="text1"/>
          <w:sz w:val="22"/>
          <w:szCs w:val="22"/>
          <w:lang w:val="sr-Latn-ME"/>
        </w:rPr>
        <w:t>6,3</w:t>
      </w:r>
      <w:r w:rsidR="001C79FD" w:rsidRPr="005436C8">
        <w:rPr>
          <w:color w:val="000000" w:themeColor="text1"/>
          <w:sz w:val="22"/>
          <w:szCs w:val="22"/>
          <w:lang w:val="sr-Latn-ME"/>
        </w:rPr>
        <w:t>% (</w:t>
      </w:r>
      <w:r w:rsidR="00782B97">
        <w:rPr>
          <w:color w:val="000000" w:themeColor="text1"/>
          <w:sz w:val="22"/>
          <w:szCs w:val="22"/>
          <w:lang w:val="sr-Latn-ME"/>
        </w:rPr>
        <w:t>15</w:t>
      </w:r>
      <w:r w:rsidR="001C79FD" w:rsidRPr="005436C8">
        <w:rPr>
          <w:color w:val="000000" w:themeColor="text1"/>
          <w:sz w:val="22"/>
          <w:szCs w:val="22"/>
          <w:lang w:val="sr-Latn-ME"/>
        </w:rPr>
        <w:t xml:space="preserve">/238) </w:t>
      </w:r>
      <w:r w:rsidRPr="005436C8">
        <w:rPr>
          <w:color w:val="000000"/>
          <w:sz w:val="22"/>
          <w:szCs w:val="22"/>
          <w:lang w:val="sr-Latn-ME"/>
        </w:rPr>
        <w:t xml:space="preserve">kod pacijenata </w:t>
      </w:r>
      <w:r w:rsidR="00097926" w:rsidRPr="005436C8">
        <w:rPr>
          <w:color w:val="000000"/>
          <w:sz w:val="22"/>
          <w:szCs w:val="22"/>
          <w:lang w:val="sr-Latn-ME"/>
        </w:rPr>
        <w:t>liječeni</w:t>
      </w:r>
      <w:r w:rsidRPr="005436C8">
        <w:rPr>
          <w:color w:val="000000"/>
          <w:sz w:val="22"/>
          <w:szCs w:val="22"/>
          <w:lang w:val="sr-Latn-ME"/>
        </w:rPr>
        <w:t xml:space="preserve">h </w:t>
      </w:r>
      <w:r w:rsidR="00166973" w:rsidRPr="005436C8">
        <w:rPr>
          <w:color w:val="000000"/>
          <w:sz w:val="22"/>
          <w:szCs w:val="22"/>
          <w:lang w:val="sr-Latn-ME"/>
        </w:rPr>
        <w:t>lijek</w:t>
      </w:r>
      <w:r w:rsidRPr="005436C8">
        <w:rPr>
          <w:color w:val="000000"/>
          <w:sz w:val="22"/>
          <w:szCs w:val="22"/>
          <w:lang w:val="sr-Latn-ME"/>
        </w:rPr>
        <w:t xml:space="preserve">om </w:t>
      </w:r>
      <w:r w:rsidRPr="005436C8">
        <w:rPr>
          <w:sz w:val="22"/>
          <w:szCs w:val="22"/>
          <w:lang w:val="sr-Latn-ME"/>
        </w:rPr>
        <w:t>Phesgo</w:t>
      </w:r>
      <w:r w:rsidRPr="005436C8">
        <w:rPr>
          <w:color w:val="000000"/>
          <w:sz w:val="22"/>
          <w:szCs w:val="22"/>
          <w:lang w:val="sr-Latn-ME"/>
        </w:rPr>
        <w:t xml:space="preserve">. Među </w:t>
      </w:r>
      <w:r w:rsidR="001C79FD" w:rsidRPr="005436C8">
        <w:rPr>
          <w:color w:val="000000"/>
          <w:sz w:val="22"/>
          <w:szCs w:val="22"/>
          <w:lang w:val="sr-Latn-ME"/>
        </w:rPr>
        <w:t xml:space="preserve">tim </w:t>
      </w:r>
      <w:r w:rsidRPr="005436C8">
        <w:rPr>
          <w:color w:val="000000"/>
          <w:sz w:val="22"/>
          <w:szCs w:val="22"/>
          <w:lang w:val="sr-Latn-ME"/>
        </w:rPr>
        <w:t>p</w:t>
      </w:r>
      <w:r w:rsidRPr="005436C8">
        <w:rPr>
          <w:sz w:val="22"/>
          <w:szCs w:val="22"/>
          <w:lang w:val="sr-Latn-ME"/>
        </w:rPr>
        <w:t>acijentima</w:t>
      </w:r>
      <w:r w:rsidR="001C79FD" w:rsidRPr="005436C8">
        <w:rPr>
          <w:sz w:val="22"/>
          <w:szCs w:val="22"/>
          <w:lang w:val="sr-Latn-ME"/>
        </w:rPr>
        <w:t>,</w:t>
      </w:r>
      <w:r w:rsidRPr="005436C8">
        <w:rPr>
          <w:sz w:val="22"/>
          <w:szCs w:val="22"/>
          <w:lang w:val="sr-Latn-ME"/>
        </w:rPr>
        <w:t xml:space="preserve"> neutrališuća antit</w:t>
      </w:r>
      <w:r w:rsidR="00D67445" w:rsidRPr="005436C8">
        <w:rPr>
          <w:sz w:val="22"/>
          <w:szCs w:val="22"/>
          <w:lang w:val="sr-Latn-ME"/>
        </w:rPr>
        <w:t>ij</w:t>
      </w:r>
      <w:r w:rsidRPr="005436C8">
        <w:rPr>
          <w:sz w:val="22"/>
          <w:szCs w:val="22"/>
          <w:lang w:val="sr-Latn-ME"/>
        </w:rPr>
        <w:t xml:space="preserve">ela na pertuzumab otkrivena su kod </w:t>
      </w:r>
      <w:r w:rsidR="001C79FD" w:rsidRPr="005436C8">
        <w:rPr>
          <w:sz w:val="22"/>
          <w:szCs w:val="22"/>
          <w:lang w:val="sr-Latn-ME"/>
        </w:rPr>
        <w:t>dva</w:t>
      </w:r>
      <w:r w:rsidRPr="005436C8">
        <w:rPr>
          <w:sz w:val="22"/>
          <w:szCs w:val="22"/>
          <w:lang w:val="sr-Latn-ME"/>
        </w:rPr>
        <w:t xml:space="preserve"> pacijenta,</w:t>
      </w:r>
      <w:r w:rsidR="001C79FD" w:rsidRPr="005436C8">
        <w:rPr>
          <w:sz w:val="22"/>
          <w:szCs w:val="22"/>
          <w:lang w:val="sr-Latn-ME"/>
        </w:rPr>
        <w:t xml:space="preserve"> dok su</w:t>
      </w:r>
      <w:r w:rsidRPr="005436C8">
        <w:rPr>
          <w:sz w:val="22"/>
          <w:szCs w:val="22"/>
          <w:lang w:val="sr-Latn-ME"/>
        </w:rPr>
        <w:t xml:space="preserve"> neutrališuća antit</w:t>
      </w:r>
      <w:r w:rsidR="00D67445" w:rsidRPr="005436C8">
        <w:rPr>
          <w:sz w:val="22"/>
          <w:szCs w:val="22"/>
          <w:lang w:val="sr-Latn-ME"/>
        </w:rPr>
        <w:t>ij</w:t>
      </w:r>
      <w:r w:rsidRPr="005436C8">
        <w:rPr>
          <w:sz w:val="22"/>
          <w:szCs w:val="22"/>
          <w:lang w:val="sr-Latn-ME"/>
        </w:rPr>
        <w:t>ela na trastuzumab otkrivena kod jednog pacijenta</w:t>
      </w:r>
      <w:r w:rsidR="001C79FD" w:rsidRPr="005436C8">
        <w:rPr>
          <w:sz w:val="22"/>
          <w:szCs w:val="22"/>
          <w:lang w:val="sr-Latn-ME"/>
        </w:rPr>
        <w:t>.</w:t>
      </w:r>
    </w:p>
    <w:p w14:paraId="793C8972" w14:textId="77777777" w:rsidR="000C7302" w:rsidRPr="005436C8" w:rsidRDefault="000C7302" w:rsidP="005436C8">
      <w:pPr>
        <w:tabs>
          <w:tab w:val="left" w:pos="284"/>
        </w:tabs>
        <w:jc w:val="both"/>
        <w:rPr>
          <w:sz w:val="22"/>
          <w:szCs w:val="22"/>
          <w:lang w:val="sr-Latn-ME"/>
        </w:rPr>
      </w:pPr>
    </w:p>
    <w:p w14:paraId="2271C68A"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Klinički značaj razvoja antit</w:t>
      </w:r>
      <w:r w:rsidR="00BA333B" w:rsidRPr="005436C8">
        <w:rPr>
          <w:color w:val="000000"/>
          <w:sz w:val="22"/>
          <w:szCs w:val="22"/>
          <w:lang w:val="sr-Latn-ME"/>
        </w:rPr>
        <w:t>ij</w:t>
      </w:r>
      <w:r w:rsidRPr="005436C8">
        <w:rPr>
          <w:color w:val="000000"/>
          <w:sz w:val="22"/>
          <w:szCs w:val="22"/>
          <w:lang w:val="sr-Latn-ME"/>
        </w:rPr>
        <w:t xml:space="preserve">ela na pertuzumab, trastuzumab i vorhijaluronidazu alfa nakon terapije </w:t>
      </w:r>
      <w:r w:rsidR="00166973" w:rsidRPr="005436C8">
        <w:rPr>
          <w:color w:val="000000"/>
          <w:sz w:val="22"/>
          <w:szCs w:val="22"/>
          <w:lang w:val="sr-Latn-ME"/>
        </w:rPr>
        <w:t>lijek</w:t>
      </w:r>
      <w:r w:rsidRPr="005436C8">
        <w:rPr>
          <w:color w:val="000000"/>
          <w:sz w:val="22"/>
          <w:szCs w:val="22"/>
          <w:lang w:val="sr-Latn-ME"/>
        </w:rPr>
        <w:t xml:space="preserve">om </w:t>
      </w:r>
      <w:r w:rsidRPr="005436C8">
        <w:rPr>
          <w:sz w:val="22"/>
          <w:szCs w:val="22"/>
          <w:lang w:val="sr-Latn-ME"/>
        </w:rPr>
        <w:t>Phesgo</w:t>
      </w:r>
      <w:r w:rsidRPr="005436C8">
        <w:rPr>
          <w:color w:val="000000"/>
          <w:sz w:val="22"/>
          <w:szCs w:val="22"/>
          <w:lang w:val="sr-Latn-ME"/>
        </w:rPr>
        <w:t xml:space="preserve"> nije poznat.</w:t>
      </w:r>
    </w:p>
    <w:p w14:paraId="01DA53CF" w14:textId="77777777" w:rsidR="000C7302" w:rsidRPr="005436C8" w:rsidRDefault="000C7302" w:rsidP="005436C8">
      <w:pPr>
        <w:tabs>
          <w:tab w:val="left" w:pos="284"/>
        </w:tabs>
        <w:jc w:val="both"/>
        <w:rPr>
          <w:sz w:val="22"/>
          <w:szCs w:val="22"/>
          <w:lang w:val="sr-Latn-ME"/>
        </w:rPr>
      </w:pPr>
      <w:bookmarkStart w:id="4" w:name="_Hlk23841708"/>
      <w:bookmarkEnd w:id="4"/>
    </w:p>
    <w:p w14:paraId="2FCDDE1A" w14:textId="77777777" w:rsidR="002E743C" w:rsidRPr="005436C8" w:rsidRDefault="002E743C" w:rsidP="005436C8">
      <w:pPr>
        <w:tabs>
          <w:tab w:val="left" w:pos="284"/>
        </w:tabs>
        <w:jc w:val="both"/>
        <w:rPr>
          <w:i/>
          <w:sz w:val="22"/>
          <w:szCs w:val="22"/>
          <w:lang w:val="sr-Latn-ME"/>
        </w:rPr>
      </w:pPr>
      <w:r w:rsidRPr="005436C8">
        <w:rPr>
          <w:i/>
          <w:sz w:val="22"/>
          <w:szCs w:val="22"/>
          <w:lang w:val="sr-Latn-ME"/>
        </w:rPr>
        <w:t>Prelazak sa terapije intravenskom formulacijom pertuzumaba i trastuzumaba na lijek Phesgo (ili obrnuto)</w:t>
      </w:r>
    </w:p>
    <w:p w14:paraId="07CE643E" w14:textId="77777777" w:rsidR="002E743C" w:rsidRPr="005436C8" w:rsidRDefault="002E743C" w:rsidP="005436C8">
      <w:pPr>
        <w:tabs>
          <w:tab w:val="left" w:pos="284"/>
        </w:tabs>
        <w:jc w:val="both"/>
        <w:rPr>
          <w:sz w:val="22"/>
          <w:szCs w:val="22"/>
          <w:lang w:val="sr-Latn-ME"/>
        </w:rPr>
      </w:pPr>
    </w:p>
    <w:p w14:paraId="13E84C02" w14:textId="77777777" w:rsidR="002E743C" w:rsidRPr="005436C8" w:rsidRDefault="002E743C" w:rsidP="005436C8">
      <w:pPr>
        <w:tabs>
          <w:tab w:val="left" w:pos="284"/>
        </w:tabs>
        <w:jc w:val="both"/>
        <w:rPr>
          <w:sz w:val="22"/>
          <w:szCs w:val="22"/>
          <w:lang w:val="sr-Latn-ME"/>
        </w:rPr>
      </w:pPr>
      <w:r w:rsidRPr="005436C8">
        <w:rPr>
          <w:sz w:val="22"/>
          <w:szCs w:val="22"/>
          <w:lang w:val="sr-Latn-ME"/>
        </w:rPr>
        <w:t xml:space="preserve">U studiji MO40628 ispitivana je bezbjednost prelaska sa intravenske formulacije pertuzumaba i trastuzumaba na </w:t>
      </w:r>
      <w:r w:rsidR="00115EBA" w:rsidRPr="005436C8">
        <w:rPr>
          <w:sz w:val="22"/>
          <w:szCs w:val="22"/>
          <w:lang w:val="sr-Latn-ME"/>
        </w:rPr>
        <w:t>subkutan</w:t>
      </w:r>
      <w:r w:rsidRPr="005436C8">
        <w:rPr>
          <w:sz w:val="22"/>
          <w:szCs w:val="22"/>
          <w:lang w:val="sr-Latn-ME"/>
        </w:rPr>
        <w:t>u primjenu lijeka Phesgo (grupa A) i obrnuto (grupa B), a primarni cilj je bio procjena preferencije pacijenata za lijek Phesgo (</w:t>
      </w:r>
      <w:r w:rsidR="00B506E4">
        <w:rPr>
          <w:sz w:val="22"/>
          <w:szCs w:val="22"/>
          <w:lang w:val="sr-Latn-ME"/>
        </w:rPr>
        <w:t>vidjeti dio</w:t>
      </w:r>
      <w:r w:rsidRPr="005436C8">
        <w:rPr>
          <w:sz w:val="22"/>
          <w:szCs w:val="22"/>
          <w:lang w:val="sr-Latn-ME"/>
        </w:rPr>
        <w:t xml:space="preserve"> 5.1 za pojedinosti o dizajnu studije). </w:t>
      </w:r>
    </w:p>
    <w:p w14:paraId="51B8A604" w14:textId="77777777" w:rsidR="002E743C" w:rsidRPr="005436C8" w:rsidRDefault="002E743C" w:rsidP="005436C8">
      <w:pPr>
        <w:tabs>
          <w:tab w:val="left" w:pos="284"/>
        </w:tabs>
        <w:jc w:val="both"/>
        <w:rPr>
          <w:sz w:val="22"/>
          <w:szCs w:val="22"/>
          <w:lang w:val="sr-Latn-ME"/>
        </w:rPr>
      </w:pPr>
    </w:p>
    <w:p w14:paraId="33C5D79F" w14:textId="77777777" w:rsidR="002E743C" w:rsidRPr="005436C8" w:rsidRDefault="002E743C" w:rsidP="005436C8">
      <w:pPr>
        <w:tabs>
          <w:tab w:val="left" w:pos="284"/>
        </w:tabs>
        <w:jc w:val="both"/>
        <w:rPr>
          <w:sz w:val="22"/>
          <w:szCs w:val="22"/>
          <w:lang w:val="sr-Latn-ME"/>
        </w:rPr>
      </w:pPr>
      <w:r w:rsidRPr="005436C8">
        <w:rPr>
          <w:sz w:val="22"/>
          <w:szCs w:val="22"/>
          <w:lang w:val="sr-Latn-ME"/>
        </w:rPr>
        <w:t>Incidenca neželjenih događaja kod pacijenata iz grupe A tokom 1. - 3. ciklusa (intravenska terapija) iznosila je 77,5% (62/80 pacijenata), dok je tokom 4. - 6. ciklusa (</w:t>
      </w:r>
      <w:r w:rsidR="00115EBA" w:rsidRPr="005436C8">
        <w:rPr>
          <w:sz w:val="22"/>
          <w:szCs w:val="22"/>
          <w:lang w:val="sr-Latn-ME"/>
        </w:rPr>
        <w:t>subkutan</w:t>
      </w:r>
      <w:r w:rsidRPr="005436C8">
        <w:rPr>
          <w:sz w:val="22"/>
          <w:szCs w:val="22"/>
          <w:lang w:val="sr-Latn-ME"/>
        </w:rPr>
        <w:t xml:space="preserve">a terapija) iznosila 72,5% (58/80  pacijenata). </w:t>
      </w:r>
    </w:p>
    <w:p w14:paraId="47EDC561" w14:textId="77777777" w:rsidR="002E743C" w:rsidRPr="005436C8" w:rsidRDefault="002E743C" w:rsidP="005436C8">
      <w:pPr>
        <w:tabs>
          <w:tab w:val="left" w:pos="284"/>
        </w:tabs>
        <w:jc w:val="both"/>
        <w:rPr>
          <w:sz w:val="22"/>
          <w:szCs w:val="22"/>
          <w:lang w:val="sr-Latn-ME"/>
        </w:rPr>
      </w:pPr>
    </w:p>
    <w:p w14:paraId="07B9F32F" w14:textId="77777777" w:rsidR="002E743C" w:rsidRPr="005436C8" w:rsidRDefault="002E743C" w:rsidP="005436C8">
      <w:pPr>
        <w:tabs>
          <w:tab w:val="left" w:pos="284"/>
        </w:tabs>
        <w:jc w:val="both"/>
        <w:rPr>
          <w:sz w:val="22"/>
          <w:szCs w:val="22"/>
          <w:lang w:val="sr-Latn-ME"/>
        </w:rPr>
      </w:pPr>
      <w:r w:rsidRPr="005436C8">
        <w:rPr>
          <w:sz w:val="22"/>
          <w:szCs w:val="22"/>
          <w:lang w:val="sr-Latn-ME"/>
        </w:rPr>
        <w:t>Incidenca neželjenih događaja kod pacijenata iz grupe B tokom 1. - 3. ciklusa (</w:t>
      </w:r>
      <w:r w:rsidR="00115EBA" w:rsidRPr="005436C8">
        <w:rPr>
          <w:sz w:val="22"/>
          <w:szCs w:val="22"/>
          <w:lang w:val="sr-Latn-ME"/>
        </w:rPr>
        <w:t>subkutan</w:t>
      </w:r>
      <w:r w:rsidRPr="005436C8">
        <w:rPr>
          <w:sz w:val="22"/>
          <w:szCs w:val="22"/>
          <w:lang w:val="sr-Latn-ME"/>
        </w:rPr>
        <w:t>a terapija) iznosila je 77,5% (62/80 pacijenata), dok je tokom 4. - 6. ciklusa (intravenska terapija) iznosila 63,8% (51/80 pacijenata), što je uglavnom bila posledica više incidence lokalnih reakcija na mjestu primjene (sve 1. ili 2. stepena težine) tokom primjene lijeka Phesgo. Stope ozbiljnih neželjenih događaja, neželjenih događaja 3. stepena i prekida terapije usled neželjenih događaja prije prelaska (1.  –  3. ciklus) bile su niske (&lt; 6%) i slične stopama nakon prelaska (4. – 6. ciklus).</w:t>
      </w:r>
    </w:p>
    <w:p w14:paraId="03B2F67E" w14:textId="77777777" w:rsidR="002E743C" w:rsidRPr="005436C8" w:rsidRDefault="002E743C" w:rsidP="005436C8">
      <w:pPr>
        <w:tabs>
          <w:tab w:val="left" w:pos="284"/>
        </w:tabs>
        <w:jc w:val="both"/>
        <w:rPr>
          <w:sz w:val="22"/>
          <w:szCs w:val="22"/>
          <w:lang w:val="sr-Latn-ME"/>
        </w:rPr>
      </w:pPr>
    </w:p>
    <w:p w14:paraId="03A6FDE5" w14:textId="77777777" w:rsidR="002E743C" w:rsidRPr="005436C8" w:rsidRDefault="002E743C" w:rsidP="005436C8">
      <w:pPr>
        <w:tabs>
          <w:tab w:val="left" w:pos="284"/>
        </w:tabs>
        <w:jc w:val="both"/>
        <w:rPr>
          <w:sz w:val="22"/>
          <w:szCs w:val="22"/>
          <w:lang w:val="sr-Latn-ME"/>
        </w:rPr>
      </w:pPr>
      <w:r w:rsidRPr="005436C8">
        <w:rPr>
          <w:sz w:val="22"/>
          <w:szCs w:val="22"/>
          <w:lang w:val="sr-Latn-ME"/>
        </w:rPr>
        <w:t>Nisu prijavljeni neželjeni događaji 4. ili 5. stepena težine.</w:t>
      </w:r>
    </w:p>
    <w:p w14:paraId="3866DD8F" w14:textId="77777777" w:rsidR="002E743C" w:rsidRPr="005436C8" w:rsidRDefault="002E743C" w:rsidP="005436C8">
      <w:pPr>
        <w:tabs>
          <w:tab w:val="left" w:pos="284"/>
        </w:tabs>
        <w:jc w:val="both"/>
        <w:rPr>
          <w:sz w:val="22"/>
          <w:szCs w:val="22"/>
          <w:lang w:val="sr-Latn-ME"/>
        </w:rPr>
      </w:pPr>
    </w:p>
    <w:p w14:paraId="5D4E8699" w14:textId="77777777" w:rsidR="000C7302" w:rsidRPr="005436C8" w:rsidRDefault="000C7302" w:rsidP="005436C8">
      <w:pPr>
        <w:tabs>
          <w:tab w:val="left" w:pos="284"/>
        </w:tabs>
        <w:jc w:val="both"/>
        <w:rPr>
          <w:i/>
          <w:color w:val="000000"/>
          <w:sz w:val="22"/>
          <w:szCs w:val="22"/>
          <w:u w:val="single"/>
          <w:lang w:val="sr-Latn-ME"/>
        </w:rPr>
      </w:pPr>
      <w:r w:rsidRPr="005436C8">
        <w:rPr>
          <w:i/>
          <w:iCs/>
          <w:color w:val="000000"/>
          <w:sz w:val="22"/>
          <w:szCs w:val="22"/>
          <w:u w:val="single"/>
          <w:lang w:val="sr-Latn-ME"/>
        </w:rPr>
        <w:t>Stariji pacijenti</w:t>
      </w:r>
    </w:p>
    <w:p w14:paraId="288E78A5" w14:textId="77777777" w:rsidR="000C7302" w:rsidRPr="005436C8" w:rsidRDefault="000C7302" w:rsidP="005436C8">
      <w:pPr>
        <w:tabs>
          <w:tab w:val="left" w:pos="284"/>
        </w:tabs>
        <w:jc w:val="both"/>
        <w:rPr>
          <w:bCs/>
          <w:iCs/>
          <w:color w:val="000000"/>
          <w:sz w:val="22"/>
          <w:szCs w:val="22"/>
          <w:lang w:val="sr-Latn-ME"/>
        </w:rPr>
      </w:pPr>
    </w:p>
    <w:p w14:paraId="7CB71C58"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ispitivanju FEDERICA nisu </w:t>
      </w:r>
      <w:r w:rsidR="00FF329E" w:rsidRPr="005436C8">
        <w:rPr>
          <w:color w:val="000000"/>
          <w:sz w:val="22"/>
          <w:szCs w:val="22"/>
          <w:lang w:val="sr-Latn-ME"/>
        </w:rPr>
        <w:t>zabilježene</w:t>
      </w:r>
      <w:r w:rsidRPr="005436C8">
        <w:rPr>
          <w:color w:val="000000"/>
          <w:sz w:val="22"/>
          <w:szCs w:val="22"/>
          <w:lang w:val="sr-Latn-ME"/>
        </w:rPr>
        <w:t xml:space="preserve"> generalne razlike u </w:t>
      </w:r>
      <w:r w:rsidR="00385576" w:rsidRPr="005436C8">
        <w:rPr>
          <w:color w:val="000000"/>
          <w:sz w:val="22"/>
          <w:szCs w:val="22"/>
          <w:lang w:val="sr-Latn-ME"/>
        </w:rPr>
        <w:t>bezbjednost</w:t>
      </w:r>
      <w:r w:rsidRPr="005436C8">
        <w:rPr>
          <w:color w:val="000000"/>
          <w:sz w:val="22"/>
          <w:szCs w:val="22"/>
          <w:lang w:val="sr-Latn-ME"/>
        </w:rPr>
        <w:t xml:space="preserve">i </w:t>
      </w:r>
      <w:r w:rsidR="00166973" w:rsidRPr="005436C8">
        <w:rPr>
          <w:color w:val="000000"/>
          <w:sz w:val="22"/>
          <w:szCs w:val="22"/>
          <w:lang w:val="sr-Latn-ME"/>
        </w:rPr>
        <w:t>lijek</w:t>
      </w:r>
      <w:r w:rsidRPr="005436C8">
        <w:rPr>
          <w:color w:val="000000"/>
          <w:sz w:val="22"/>
          <w:szCs w:val="22"/>
          <w:lang w:val="sr-Latn-ME"/>
        </w:rPr>
        <w:t xml:space="preserve">a Phesgo između pacijenata starosti ≥ 65 godina i mlađih od 65 godina. </w:t>
      </w:r>
    </w:p>
    <w:p w14:paraId="17C743F9" w14:textId="77777777" w:rsidR="000C7302" w:rsidRPr="005436C8" w:rsidRDefault="000C7302" w:rsidP="005436C8">
      <w:pPr>
        <w:tabs>
          <w:tab w:val="left" w:pos="284"/>
        </w:tabs>
        <w:jc w:val="both"/>
        <w:rPr>
          <w:sz w:val="22"/>
          <w:szCs w:val="22"/>
          <w:lang w:val="sr-Latn-ME"/>
        </w:rPr>
      </w:pPr>
    </w:p>
    <w:p w14:paraId="52875F6D"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Međutim, u pivotalnim kliničkim ispitivanjima intravenskog pertuzumaba u kombinaciji sa trastuzumabom, incidenca smanjenog apetita, anemije, smanjenja </w:t>
      </w:r>
      <w:r w:rsidR="00BC7CBF" w:rsidRPr="005436C8">
        <w:rPr>
          <w:sz w:val="22"/>
          <w:szCs w:val="22"/>
          <w:lang w:val="sr-Latn-ME"/>
        </w:rPr>
        <w:t>tjelesne</w:t>
      </w:r>
      <w:r w:rsidRPr="005436C8">
        <w:rPr>
          <w:sz w:val="22"/>
          <w:szCs w:val="22"/>
          <w:lang w:val="sr-Latn-ME"/>
        </w:rPr>
        <w:t xml:space="preserve"> težine, astenije, disgeuzije, periferne neuropatije, hipomagnezemije i dijareje bila je ≥ 5% viša kod pacijenata starosti ≥ 65 godina (n=418) nego kod pacijenata mlađih od 65 godina (n=2926). </w:t>
      </w:r>
    </w:p>
    <w:p w14:paraId="2E64CCBD" w14:textId="77777777" w:rsidR="000C7302" w:rsidRPr="005436C8" w:rsidRDefault="000C7302" w:rsidP="005436C8">
      <w:pPr>
        <w:tabs>
          <w:tab w:val="left" w:pos="284"/>
        </w:tabs>
        <w:jc w:val="both"/>
        <w:rPr>
          <w:sz w:val="22"/>
          <w:szCs w:val="22"/>
          <w:lang w:val="sr-Latn-ME"/>
        </w:rPr>
      </w:pPr>
    </w:p>
    <w:p w14:paraId="6C0F36F7" w14:textId="77777777" w:rsidR="000C7302" w:rsidRPr="005436C8" w:rsidRDefault="000C7302" w:rsidP="005436C8">
      <w:pPr>
        <w:tabs>
          <w:tab w:val="left" w:pos="284"/>
        </w:tabs>
        <w:jc w:val="both"/>
        <w:rPr>
          <w:bCs/>
          <w:iCs/>
          <w:color w:val="000000"/>
          <w:sz w:val="22"/>
          <w:szCs w:val="22"/>
          <w:lang w:val="sr-Latn-ME"/>
        </w:rPr>
      </w:pPr>
      <w:r w:rsidRPr="005436C8">
        <w:rPr>
          <w:color w:val="000000"/>
          <w:sz w:val="22"/>
          <w:szCs w:val="22"/>
          <w:lang w:val="sr-Latn-ME"/>
        </w:rPr>
        <w:t>Za pacijente starije od 75 godina l</w:t>
      </w:r>
      <w:r w:rsidR="007E4D65" w:rsidRPr="005436C8">
        <w:rPr>
          <w:color w:val="000000"/>
          <w:sz w:val="22"/>
          <w:szCs w:val="22"/>
          <w:lang w:val="sr-Latn-ME"/>
        </w:rPr>
        <w:t>ij</w:t>
      </w:r>
      <w:r w:rsidRPr="005436C8">
        <w:rPr>
          <w:color w:val="000000"/>
          <w:sz w:val="22"/>
          <w:szCs w:val="22"/>
          <w:lang w:val="sr-Latn-ME"/>
        </w:rPr>
        <w:t xml:space="preserve">ečene </w:t>
      </w:r>
      <w:r w:rsidR="00166973" w:rsidRPr="005436C8">
        <w:rPr>
          <w:color w:val="000000"/>
          <w:sz w:val="22"/>
          <w:szCs w:val="22"/>
          <w:lang w:val="sr-Latn-ME"/>
        </w:rPr>
        <w:t>lijek</w:t>
      </w:r>
      <w:r w:rsidRPr="005436C8">
        <w:rPr>
          <w:color w:val="000000"/>
          <w:sz w:val="22"/>
          <w:szCs w:val="22"/>
          <w:lang w:val="sr-Latn-ME"/>
        </w:rPr>
        <w:t>om Phesgo ili intravenskim pertuzumab i trastuzumabom postoje ograničeni podaci iz kliničkih ispitivanja.</w:t>
      </w:r>
      <w:r w:rsidRPr="005436C8">
        <w:rPr>
          <w:color w:val="000000"/>
          <w:sz w:val="22"/>
          <w:szCs w:val="22"/>
          <w:shd w:val="clear" w:color="auto" w:fill="FFFFFF"/>
          <w:lang w:val="sr-Latn-ME"/>
        </w:rPr>
        <w:t xml:space="preserve"> </w:t>
      </w:r>
      <w:r w:rsidRPr="005436C8">
        <w:rPr>
          <w:color w:val="000000"/>
          <w:sz w:val="22"/>
          <w:szCs w:val="22"/>
          <w:lang w:val="sr-Latn-ME"/>
        </w:rPr>
        <w:t xml:space="preserve">Podaci nakon stavljanja </w:t>
      </w:r>
      <w:r w:rsidR="00166973" w:rsidRPr="005436C8">
        <w:rPr>
          <w:color w:val="000000"/>
          <w:sz w:val="22"/>
          <w:szCs w:val="22"/>
          <w:lang w:val="sr-Latn-ME"/>
        </w:rPr>
        <w:t>lijek</w:t>
      </w:r>
      <w:r w:rsidRPr="005436C8">
        <w:rPr>
          <w:color w:val="000000"/>
          <w:sz w:val="22"/>
          <w:szCs w:val="22"/>
          <w:lang w:val="sr-Latn-ME"/>
        </w:rPr>
        <w:t xml:space="preserve">a u promet ne pokazuju razlike u </w:t>
      </w:r>
      <w:r w:rsidR="00385576" w:rsidRPr="005436C8">
        <w:rPr>
          <w:color w:val="000000"/>
          <w:sz w:val="22"/>
          <w:szCs w:val="22"/>
          <w:lang w:val="sr-Latn-ME"/>
        </w:rPr>
        <w:t>bezbjednost</w:t>
      </w:r>
      <w:r w:rsidRPr="005436C8">
        <w:rPr>
          <w:color w:val="000000"/>
          <w:sz w:val="22"/>
          <w:szCs w:val="22"/>
          <w:lang w:val="sr-Latn-ME"/>
        </w:rPr>
        <w:t>i pertuzumaba između pacijenata starosti ≥ 65 godina i mlađih od 65 godina.</w:t>
      </w:r>
    </w:p>
    <w:p w14:paraId="1EBC8670" w14:textId="77777777" w:rsidR="000C7302" w:rsidRPr="005436C8" w:rsidRDefault="000C7302" w:rsidP="005436C8">
      <w:pPr>
        <w:tabs>
          <w:tab w:val="left" w:pos="540"/>
          <w:tab w:val="left" w:pos="569"/>
        </w:tabs>
        <w:rPr>
          <w:b/>
          <w:bCs/>
          <w:sz w:val="22"/>
          <w:szCs w:val="22"/>
          <w:lang w:val="sr-Latn-ME"/>
        </w:rPr>
      </w:pPr>
    </w:p>
    <w:p w14:paraId="417E2EF5" w14:textId="77777777" w:rsidR="005A23D2" w:rsidRPr="005436C8" w:rsidRDefault="005A23D2" w:rsidP="005436C8">
      <w:pPr>
        <w:spacing w:after="200"/>
        <w:rPr>
          <w:rFonts w:eastAsia="Calibri"/>
          <w:sz w:val="22"/>
          <w:szCs w:val="22"/>
          <w:u w:val="single"/>
          <w:lang w:val="sr-Latn-ME"/>
        </w:rPr>
      </w:pPr>
      <w:r w:rsidRPr="005436C8">
        <w:rPr>
          <w:rFonts w:eastAsia="Calibri"/>
          <w:sz w:val="22"/>
          <w:szCs w:val="22"/>
          <w:u w:val="single"/>
          <w:lang w:val="sr-Latn-ME"/>
        </w:rPr>
        <w:t>Prijavljivanje sumnji na neželjena dejstva</w:t>
      </w:r>
    </w:p>
    <w:p w14:paraId="20DC56A8" w14:textId="77777777" w:rsidR="00480DE8" w:rsidRPr="005436C8" w:rsidRDefault="005A23D2" w:rsidP="005436C8">
      <w:pPr>
        <w:spacing w:after="200"/>
        <w:jc w:val="both"/>
        <w:rPr>
          <w:rFonts w:eastAsia="Calibri"/>
          <w:sz w:val="22"/>
          <w:szCs w:val="22"/>
          <w:lang w:val="sr-Latn-ME"/>
        </w:rPr>
      </w:pPr>
      <w:r w:rsidRPr="005436C8">
        <w:rPr>
          <w:rFonts w:eastAsia="Calibri"/>
          <w:sz w:val="22"/>
          <w:szCs w:val="22"/>
          <w:lang w:val="sr-Latn-ME"/>
        </w:rPr>
        <w:t>Prijavljivanje neželjenih dejstava nakon dobijanja dozvole je od velikog značaja jer obezbjeđuje kont</w:t>
      </w:r>
      <w:r w:rsidR="00EA5765" w:rsidRPr="005436C8">
        <w:rPr>
          <w:rFonts w:eastAsia="Calibri"/>
          <w:sz w:val="22"/>
          <w:szCs w:val="22"/>
          <w:lang w:val="sr-Latn-ME"/>
        </w:rPr>
        <w:t>inuirano praćenje odnosa korist</w:t>
      </w:r>
      <w:r w:rsidRPr="005436C8">
        <w:rPr>
          <w:rFonts w:eastAsia="Calibri"/>
          <w:sz w:val="22"/>
          <w:szCs w:val="22"/>
          <w:lang w:val="sr-Latn-ME"/>
        </w:rPr>
        <w:t>/rizik primjene lijeka. Zdravstveni radnici treba da prijave svaku sumnju na neželjeno</w:t>
      </w:r>
      <w:r w:rsidR="009B062A" w:rsidRPr="005436C8">
        <w:rPr>
          <w:rFonts w:eastAsia="Calibri"/>
          <w:sz w:val="22"/>
          <w:szCs w:val="22"/>
          <w:lang w:val="sr-Latn-ME"/>
        </w:rPr>
        <w:t xml:space="preserve"> </w:t>
      </w:r>
      <w:r w:rsidRPr="005436C8">
        <w:rPr>
          <w:rFonts w:eastAsia="Calibri"/>
          <w:sz w:val="22"/>
          <w:szCs w:val="22"/>
          <w:lang w:val="sr-Latn-ME"/>
        </w:rPr>
        <w:t xml:space="preserve">dejstvo ovog lijeka </w:t>
      </w:r>
      <w:r w:rsidR="00480DE8" w:rsidRPr="005436C8">
        <w:rPr>
          <w:rFonts w:eastAsia="Calibri"/>
          <w:sz w:val="22"/>
          <w:szCs w:val="22"/>
          <w:lang w:val="sr-Latn-ME"/>
        </w:rPr>
        <w:t>Institutu za ljekove i medicinska sredstva (CInMED):</w:t>
      </w:r>
    </w:p>
    <w:p w14:paraId="3FF522DA" w14:textId="77777777" w:rsidR="00480DE8" w:rsidRPr="005436C8" w:rsidRDefault="00480DE8" w:rsidP="005436C8">
      <w:pPr>
        <w:pStyle w:val="NoSpacing"/>
        <w:jc w:val="both"/>
        <w:rPr>
          <w:rFonts w:eastAsia="Calibri"/>
          <w:sz w:val="22"/>
          <w:szCs w:val="22"/>
          <w:lang w:val="sr-Latn-ME"/>
        </w:rPr>
      </w:pPr>
      <w:r w:rsidRPr="005436C8">
        <w:rPr>
          <w:rFonts w:eastAsia="Calibri"/>
          <w:sz w:val="22"/>
          <w:szCs w:val="22"/>
          <w:lang w:val="sr-Latn-ME"/>
        </w:rPr>
        <w:t xml:space="preserve">Institut za ljekove i medicinska sredstva </w:t>
      </w:r>
    </w:p>
    <w:p w14:paraId="3A46EB66" w14:textId="77777777" w:rsidR="00480DE8" w:rsidRPr="005436C8" w:rsidRDefault="00480DE8" w:rsidP="005436C8">
      <w:pPr>
        <w:pStyle w:val="NoSpacing"/>
        <w:jc w:val="both"/>
        <w:rPr>
          <w:rFonts w:eastAsia="Calibri"/>
          <w:sz w:val="22"/>
          <w:szCs w:val="22"/>
          <w:lang w:val="sr-Latn-ME"/>
        </w:rPr>
      </w:pPr>
      <w:r w:rsidRPr="005436C8">
        <w:rPr>
          <w:rFonts w:eastAsia="Calibri"/>
          <w:sz w:val="22"/>
          <w:szCs w:val="22"/>
          <w:lang w:val="sr-Latn-ME"/>
        </w:rPr>
        <w:lastRenderedPageBreak/>
        <w:t>Odjeljenje za farmakovigilancu</w:t>
      </w:r>
    </w:p>
    <w:p w14:paraId="4DC1789A" w14:textId="77777777" w:rsidR="00480DE8" w:rsidRPr="005436C8" w:rsidRDefault="00480DE8" w:rsidP="005436C8">
      <w:pPr>
        <w:pStyle w:val="NoSpacing"/>
        <w:jc w:val="both"/>
        <w:rPr>
          <w:rFonts w:eastAsia="Calibri"/>
          <w:sz w:val="22"/>
          <w:szCs w:val="22"/>
          <w:lang w:val="sr-Latn-ME"/>
        </w:rPr>
      </w:pPr>
      <w:r w:rsidRPr="005436C8">
        <w:rPr>
          <w:rFonts w:eastAsia="Calibri"/>
          <w:sz w:val="22"/>
          <w:szCs w:val="22"/>
          <w:lang w:val="sr-Latn-ME"/>
        </w:rPr>
        <w:t>Bulevar Ivana Crnojevića 64a, 81000 Podgorica</w:t>
      </w:r>
    </w:p>
    <w:p w14:paraId="123C8FE7" w14:textId="77777777" w:rsidR="00480DE8" w:rsidRPr="005436C8" w:rsidRDefault="00480DE8" w:rsidP="005436C8">
      <w:pPr>
        <w:pStyle w:val="NoSpacing"/>
        <w:rPr>
          <w:rFonts w:eastAsia="Calibri"/>
          <w:sz w:val="22"/>
          <w:szCs w:val="22"/>
          <w:lang w:val="sr-Latn-ME"/>
        </w:rPr>
      </w:pPr>
    </w:p>
    <w:p w14:paraId="3869503C" w14:textId="77777777" w:rsidR="00480DE8" w:rsidRPr="005436C8" w:rsidRDefault="00480DE8" w:rsidP="005436C8">
      <w:pPr>
        <w:pStyle w:val="NoSpacing"/>
        <w:jc w:val="both"/>
        <w:rPr>
          <w:rFonts w:eastAsia="Calibri"/>
          <w:sz w:val="22"/>
          <w:szCs w:val="22"/>
          <w:lang w:val="sr-Latn-ME"/>
        </w:rPr>
      </w:pPr>
      <w:r w:rsidRPr="005436C8">
        <w:rPr>
          <w:rFonts w:eastAsia="Calibri"/>
          <w:sz w:val="22"/>
          <w:szCs w:val="22"/>
          <w:lang w:val="sr-Latn-ME"/>
        </w:rPr>
        <w:t>tel: +382 (0) 20 310 280</w:t>
      </w:r>
    </w:p>
    <w:p w14:paraId="3B37D3EE" w14:textId="77777777" w:rsidR="00480DE8" w:rsidRPr="005436C8" w:rsidRDefault="00480DE8" w:rsidP="005436C8">
      <w:pPr>
        <w:pStyle w:val="NoSpacing"/>
        <w:jc w:val="both"/>
        <w:rPr>
          <w:rFonts w:eastAsia="Calibri"/>
          <w:sz w:val="22"/>
          <w:szCs w:val="22"/>
          <w:lang w:val="sr-Latn-ME"/>
        </w:rPr>
      </w:pPr>
      <w:r w:rsidRPr="005436C8">
        <w:rPr>
          <w:rFonts w:eastAsia="Calibri"/>
          <w:sz w:val="22"/>
          <w:szCs w:val="22"/>
          <w:lang w:val="sr-Latn-ME"/>
        </w:rPr>
        <w:t>fax: +382 (0) 20 310 581</w:t>
      </w:r>
    </w:p>
    <w:p w14:paraId="67CA2BE6" w14:textId="77777777" w:rsidR="00480DE8" w:rsidRPr="005436C8" w:rsidRDefault="00D61642" w:rsidP="005436C8">
      <w:pPr>
        <w:pStyle w:val="NoSpacing"/>
        <w:jc w:val="both"/>
        <w:rPr>
          <w:rFonts w:eastAsia="Calibri"/>
          <w:sz w:val="22"/>
          <w:szCs w:val="22"/>
          <w:lang w:val="sr-Latn-ME"/>
        </w:rPr>
      </w:pPr>
      <w:hyperlink r:id="rId9" w:history="1">
        <w:r w:rsidR="00480DE8" w:rsidRPr="005436C8">
          <w:rPr>
            <w:rStyle w:val="Hyperlink"/>
            <w:rFonts w:eastAsia="Calibri"/>
            <w:sz w:val="22"/>
            <w:szCs w:val="22"/>
            <w:lang w:val="sr-Latn-ME"/>
          </w:rPr>
          <w:t>www.cinmed.me</w:t>
        </w:r>
      </w:hyperlink>
    </w:p>
    <w:p w14:paraId="5202F99C" w14:textId="77777777" w:rsidR="00480DE8" w:rsidRPr="005436C8" w:rsidRDefault="00D61642" w:rsidP="005436C8">
      <w:pPr>
        <w:pStyle w:val="NoSpacing"/>
        <w:jc w:val="both"/>
        <w:rPr>
          <w:rFonts w:eastAsia="Calibri"/>
          <w:color w:val="0000FF"/>
          <w:sz w:val="22"/>
          <w:szCs w:val="22"/>
          <w:u w:val="single"/>
          <w:lang w:val="sr-Latn-ME"/>
        </w:rPr>
      </w:pPr>
      <w:hyperlink r:id="rId10" w:history="1">
        <w:r w:rsidR="00480DE8" w:rsidRPr="005436C8">
          <w:rPr>
            <w:rStyle w:val="Hyperlink"/>
            <w:rFonts w:eastAsia="Calibri"/>
            <w:sz w:val="22"/>
            <w:szCs w:val="22"/>
            <w:lang w:val="sr-Latn-ME"/>
          </w:rPr>
          <w:t>nezeljenadejstva@cinmed.me</w:t>
        </w:r>
      </w:hyperlink>
    </w:p>
    <w:p w14:paraId="572EB474" w14:textId="77777777" w:rsidR="00B00D6D" w:rsidRDefault="00480DE8" w:rsidP="005436C8">
      <w:pPr>
        <w:pStyle w:val="NoSpacing"/>
        <w:jc w:val="both"/>
        <w:rPr>
          <w:rFonts w:eastAsia="Calibri"/>
          <w:sz w:val="22"/>
          <w:szCs w:val="22"/>
          <w:lang w:val="sr-Latn-ME"/>
        </w:rPr>
      </w:pPr>
      <w:r w:rsidRPr="005436C8">
        <w:rPr>
          <w:rFonts w:eastAsia="Calibri"/>
          <w:sz w:val="22"/>
          <w:szCs w:val="22"/>
          <w:lang w:val="sr-Latn-ME"/>
        </w:rPr>
        <w:t>putem IS zdravstvene zaštite</w:t>
      </w:r>
    </w:p>
    <w:p w14:paraId="35CDBDBA" w14:textId="77777777" w:rsidR="00B00D6D" w:rsidRDefault="00B00D6D" w:rsidP="00B00D6D">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0F45E84" w14:textId="77777777" w:rsidR="00B00D6D" w:rsidRDefault="00B00D6D" w:rsidP="00B00D6D">
      <w:pPr>
        <w:pStyle w:val="NoSpacing"/>
        <w:rPr>
          <w:rFonts w:eastAsia="Calibri"/>
          <w:sz w:val="22"/>
          <w:szCs w:val="22"/>
          <w:lang w:val="sr-Latn-RS"/>
        </w:rPr>
      </w:pPr>
    </w:p>
    <w:p w14:paraId="29DAAE8B" w14:textId="77777777" w:rsidR="00B00D6D" w:rsidRDefault="00B00D6D" w:rsidP="00B00D6D">
      <w:pPr>
        <w:tabs>
          <w:tab w:val="left" w:pos="540"/>
          <w:tab w:val="left" w:pos="569"/>
        </w:tabs>
        <w:rPr>
          <w:b/>
          <w:bCs/>
          <w:sz w:val="22"/>
          <w:szCs w:val="22"/>
        </w:rPr>
      </w:pPr>
      <w:r w:rsidRPr="007F661E">
        <w:rPr>
          <w:b/>
          <w:bCs/>
          <w:noProof/>
          <w:sz w:val="22"/>
          <w:szCs w:val="22"/>
        </w:rPr>
        <w:drawing>
          <wp:inline distT="0" distB="0" distL="0" distR="0" wp14:anchorId="422D975B" wp14:editId="6A145DBD">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566D400" w14:textId="77777777" w:rsidR="00B00D6D" w:rsidRPr="005436C8" w:rsidRDefault="00B00D6D" w:rsidP="005436C8">
      <w:pPr>
        <w:pStyle w:val="NoSpacing"/>
        <w:jc w:val="both"/>
        <w:rPr>
          <w:rFonts w:eastAsia="Calibri"/>
          <w:sz w:val="22"/>
          <w:szCs w:val="22"/>
          <w:lang w:val="sr-Latn-ME"/>
        </w:rPr>
      </w:pPr>
    </w:p>
    <w:p w14:paraId="14DFE51C" w14:textId="77777777" w:rsidR="00836B35" w:rsidRPr="005436C8" w:rsidRDefault="00836B35" w:rsidP="005436C8">
      <w:pPr>
        <w:tabs>
          <w:tab w:val="left" w:pos="540"/>
          <w:tab w:val="left" w:pos="569"/>
        </w:tabs>
        <w:rPr>
          <w:b/>
          <w:bCs/>
          <w:sz w:val="22"/>
          <w:szCs w:val="22"/>
          <w:lang w:val="sr-Latn-ME"/>
        </w:rPr>
      </w:pPr>
    </w:p>
    <w:p w14:paraId="6C65263B" w14:textId="77777777" w:rsidR="00CD6F02"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4.9. </w:t>
      </w:r>
      <w:r w:rsidR="00480FB1" w:rsidRPr="005436C8">
        <w:rPr>
          <w:b/>
          <w:bCs/>
          <w:sz w:val="22"/>
          <w:szCs w:val="22"/>
          <w:lang w:val="sr-Latn-ME"/>
        </w:rPr>
        <w:tab/>
      </w:r>
      <w:r w:rsidRPr="005436C8">
        <w:rPr>
          <w:b/>
          <w:bCs/>
          <w:sz w:val="22"/>
          <w:szCs w:val="22"/>
          <w:lang w:val="sr-Latn-ME"/>
        </w:rPr>
        <w:t>Predoziranje</w:t>
      </w:r>
      <w:r w:rsidR="002846DB" w:rsidRPr="005436C8">
        <w:rPr>
          <w:b/>
          <w:bCs/>
          <w:sz w:val="22"/>
          <w:szCs w:val="22"/>
          <w:lang w:val="sr-Latn-ME"/>
        </w:rPr>
        <w:t xml:space="preserve"> </w:t>
      </w:r>
    </w:p>
    <w:p w14:paraId="7F789513" w14:textId="77777777" w:rsidR="00CD6F02" w:rsidRPr="005436C8" w:rsidRDefault="00CD6F02" w:rsidP="005436C8">
      <w:pPr>
        <w:tabs>
          <w:tab w:val="left" w:pos="540"/>
          <w:tab w:val="left" w:pos="569"/>
        </w:tabs>
        <w:rPr>
          <w:b/>
          <w:bCs/>
          <w:sz w:val="22"/>
          <w:szCs w:val="22"/>
          <w:lang w:val="sr-Latn-ME"/>
        </w:rPr>
      </w:pPr>
    </w:p>
    <w:p w14:paraId="4FFBEC9E"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Najviša ispitana doza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je 1200 mg pertuzumaba/600 mg trastuzumaba. U slučaju predoziranja, pacijente je neophodno pažljivo pratiti zbog</w:t>
      </w:r>
      <w:r w:rsidR="007E4D65" w:rsidRPr="005436C8">
        <w:rPr>
          <w:color w:val="000000"/>
          <w:sz w:val="22"/>
          <w:szCs w:val="22"/>
          <w:lang w:val="sr-Latn-ME"/>
        </w:rPr>
        <w:t xml:space="preserve"> eventualne pojave</w:t>
      </w:r>
      <w:r w:rsidRPr="005436C8">
        <w:rPr>
          <w:color w:val="000000"/>
          <w:sz w:val="22"/>
          <w:szCs w:val="22"/>
          <w:lang w:val="sr-Latn-ME"/>
        </w:rPr>
        <w:t xml:space="preserve"> znak</w:t>
      </w:r>
      <w:r w:rsidR="007E4D65" w:rsidRPr="005436C8">
        <w:rPr>
          <w:color w:val="000000"/>
          <w:sz w:val="22"/>
          <w:szCs w:val="22"/>
          <w:lang w:val="sr-Latn-ME"/>
        </w:rPr>
        <w:t>ova</w:t>
      </w:r>
      <w:r w:rsidRPr="005436C8">
        <w:rPr>
          <w:color w:val="000000"/>
          <w:sz w:val="22"/>
          <w:szCs w:val="22"/>
          <w:lang w:val="sr-Latn-ME"/>
        </w:rPr>
        <w:t xml:space="preserve"> i simptoma neželjenih reakcija, a treba i uvesti odgovarajuću simptomatsku terapiju.</w:t>
      </w:r>
    </w:p>
    <w:p w14:paraId="0EB146D6" w14:textId="77777777" w:rsidR="00227BDB" w:rsidRDefault="00227BDB" w:rsidP="005436C8">
      <w:pPr>
        <w:tabs>
          <w:tab w:val="left" w:pos="540"/>
          <w:tab w:val="left" w:pos="569"/>
        </w:tabs>
        <w:rPr>
          <w:b/>
          <w:bCs/>
          <w:sz w:val="22"/>
          <w:szCs w:val="22"/>
          <w:lang w:val="sr-Latn-ME"/>
        </w:rPr>
      </w:pPr>
    </w:p>
    <w:p w14:paraId="41F746A0" w14:textId="77777777" w:rsidR="00D61A6E" w:rsidRPr="005436C8" w:rsidRDefault="00D61A6E" w:rsidP="005436C8">
      <w:pPr>
        <w:tabs>
          <w:tab w:val="left" w:pos="540"/>
          <w:tab w:val="left" w:pos="569"/>
        </w:tabs>
        <w:rPr>
          <w:b/>
          <w:bCs/>
          <w:sz w:val="22"/>
          <w:szCs w:val="22"/>
          <w:lang w:val="sr-Latn-ME"/>
        </w:rPr>
      </w:pPr>
    </w:p>
    <w:p w14:paraId="465D3B85"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5. </w:t>
      </w:r>
      <w:r w:rsidR="00480FB1" w:rsidRPr="005436C8">
        <w:rPr>
          <w:b/>
          <w:bCs/>
          <w:sz w:val="22"/>
          <w:szCs w:val="22"/>
          <w:lang w:val="sr-Latn-ME"/>
        </w:rPr>
        <w:tab/>
      </w:r>
      <w:r w:rsidRPr="005436C8">
        <w:rPr>
          <w:b/>
          <w:bCs/>
          <w:sz w:val="22"/>
          <w:szCs w:val="22"/>
          <w:lang w:val="sr-Latn-ME"/>
        </w:rPr>
        <w:t>FARMAKOLOŠK</w:t>
      </w:r>
      <w:r w:rsidR="000D425A" w:rsidRPr="005436C8">
        <w:rPr>
          <w:b/>
          <w:bCs/>
          <w:sz w:val="22"/>
          <w:szCs w:val="22"/>
          <w:lang w:val="sr-Latn-ME"/>
        </w:rPr>
        <w:t>I</w:t>
      </w:r>
      <w:r w:rsidRPr="005436C8">
        <w:rPr>
          <w:b/>
          <w:bCs/>
          <w:sz w:val="22"/>
          <w:szCs w:val="22"/>
          <w:lang w:val="sr-Latn-ME"/>
        </w:rPr>
        <w:t xml:space="preserve"> PODACI</w:t>
      </w:r>
    </w:p>
    <w:p w14:paraId="01C13D87" w14:textId="77777777" w:rsidR="0072020E" w:rsidRPr="005436C8" w:rsidRDefault="0072020E" w:rsidP="005436C8">
      <w:pPr>
        <w:tabs>
          <w:tab w:val="left" w:pos="540"/>
          <w:tab w:val="left" w:pos="569"/>
        </w:tabs>
        <w:rPr>
          <w:b/>
          <w:bCs/>
          <w:sz w:val="22"/>
          <w:szCs w:val="22"/>
          <w:lang w:val="sr-Latn-ME"/>
        </w:rPr>
      </w:pPr>
    </w:p>
    <w:p w14:paraId="6D622035"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5.1. </w:t>
      </w:r>
      <w:r w:rsidR="00480FB1" w:rsidRPr="005436C8">
        <w:rPr>
          <w:b/>
          <w:bCs/>
          <w:sz w:val="22"/>
          <w:szCs w:val="22"/>
          <w:lang w:val="sr-Latn-ME"/>
        </w:rPr>
        <w:tab/>
      </w:r>
      <w:r w:rsidRPr="005436C8">
        <w:rPr>
          <w:b/>
          <w:bCs/>
          <w:sz w:val="22"/>
          <w:szCs w:val="22"/>
          <w:lang w:val="sr-Latn-ME"/>
        </w:rPr>
        <w:t>Farmakodinamski podaci</w:t>
      </w:r>
      <w:r w:rsidR="003A7059" w:rsidRPr="005436C8">
        <w:rPr>
          <w:b/>
          <w:bCs/>
          <w:sz w:val="22"/>
          <w:szCs w:val="22"/>
          <w:lang w:val="sr-Latn-ME"/>
        </w:rPr>
        <w:t xml:space="preserve"> </w:t>
      </w:r>
    </w:p>
    <w:p w14:paraId="687A8BFD" w14:textId="77777777" w:rsidR="00F45F77" w:rsidRPr="005436C8" w:rsidRDefault="00F45F77" w:rsidP="005436C8">
      <w:pPr>
        <w:tabs>
          <w:tab w:val="left" w:pos="540"/>
          <w:tab w:val="left" w:pos="569"/>
        </w:tabs>
        <w:rPr>
          <w:b/>
          <w:bCs/>
          <w:sz w:val="22"/>
          <w:szCs w:val="22"/>
          <w:lang w:val="sr-Latn-ME"/>
        </w:rPr>
      </w:pPr>
    </w:p>
    <w:p w14:paraId="405947B2" w14:textId="77777777" w:rsidR="0072020E" w:rsidRPr="005436C8" w:rsidRDefault="0072020E" w:rsidP="005436C8">
      <w:pPr>
        <w:tabs>
          <w:tab w:val="left" w:pos="540"/>
          <w:tab w:val="left" w:pos="569"/>
        </w:tabs>
        <w:rPr>
          <w:bCs/>
          <w:sz w:val="22"/>
          <w:szCs w:val="22"/>
          <w:lang w:val="sr-Latn-ME"/>
        </w:rPr>
      </w:pPr>
      <w:r w:rsidRPr="005436C8">
        <w:rPr>
          <w:bCs/>
          <w:sz w:val="22"/>
          <w:szCs w:val="22"/>
          <w:lang w:val="sr-Latn-ME"/>
        </w:rPr>
        <w:t>Farmakoterapijska grupa:</w:t>
      </w:r>
      <w:r w:rsidR="000C7302" w:rsidRPr="005436C8">
        <w:rPr>
          <w:sz w:val="22"/>
          <w:szCs w:val="22"/>
          <w:lang w:val="sr-Latn-ME"/>
        </w:rPr>
        <w:t xml:space="preserve"> </w:t>
      </w:r>
      <w:r w:rsidR="000C7302" w:rsidRPr="005436C8">
        <w:rPr>
          <w:bCs/>
          <w:sz w:val="22"/>
          <w:szCs w:val="22"/>
          <w:lang w:val="sr-Latn-ME"/>
        </w:rPr>
        <w:t>Antineoplastici, monoklonska antit</w:t>
      </w:r>
      <w:r w:rsidR="002B6D8C" w:rsidRPr="005436C8">
        <w:rPr>
          <w:bCs/>
          <w:sz w:val="22"/>
          <w:szCs w:val="22"/>
          <w:lang w:val="sr-Latn-ME"/>
        </w:rPr>
        <w:t>ij</w:t>
      </w:r>
      <w:r w:rsidR="000C7302" w:rsidRPr="005436C8">
        <w:rPr>
          <w:bCs/>
          <w:sz w:val="22"/>
          <w:szCs w:val="22"/>
          <w:lang w:val="sr-Latn-ME"/>
        </w:rPr>
        <w:t>ela</w:t>
      </w:r>
    </w:p>
    <w:p w14:paraId="3C2048E3" w14:textId="77777777" w:rsidR="0072020E" w:rsidRPr="005436C8" w:rsidRDefault="0072020E" w:rsidP="005436C8">
      <w:pPr>
        <w:tabs>
          <w:tab w:val="left" w:pos="540"/>
          <w:tab w:val="left" w:pos="569"/>
        </w:tabs>
        <w:rPr>
          <w:bCs/>
          <w:sz w:val="22"/>
          <w:szCs w:val="22"/>
          <w:lang w:val="sr-Latn-ME"/>
        </w:rPr>
      </w:pPr>
    </w:p>
    <w:p w14:paraId="3D990268" w14:textId="77777777" w:rsidR="002E37A5" w:rsidRPr="005436C8" w:rsidRDefault="0072020E" w:rsidP="005436C8">
      <w:pPr>
        <w:tabs>
          <w:tab w:val="left" w:pos="540"/>
          <w:tab w:val="left" w:pos="569"/>
        </w:tabs>
        <w:rPr>
          <w:bCs/>
          <w:sz w:val="22"/>
          <w:szCs w:val="22"/>
          <w:lang w:val="sr-Latn-ME"/>
        </w:rPr>
      </w:pPr>
      <w:r w:rsidRPr="005436C8">
        <w:rPr>
          <w:bCs/>
          <w:sz w:val="22"/>
          <w:szCs w:val="22"/>
          <w:lang w:val="sr-Latn-ME"/>
        </w:rPr>
        <w:t>ATC kod:</w:t>
      </w:r>
      <w:r w:rsidR="000C7302" w:rsidRPr="005436C8">
        <w:rPr>
          <w:sz w:val="22"/>
          <w:szCs w:val="22"/>
          <w:lang w:val="sr-Latn-ME"/>
        </w:rPr>
        <w:t xml:space="preserve"> </w:t>
      </w:r>
      <w:r w:rsidR="00782B97">
        <w:rPr>
          <w:bCs/>
          <w:sz w:val="22"/>
          <w:szCs w:val="22"/>
          <w:lang w:val="sr-Latn-ME"/>
        </w:rPr>
        <w:t>L01FY01</w:t>
      </w:r>
    </w:p>
    <w:p w14:paraId="31FE36BC" w14:textId="77777777" w:rsidR="000C7302" w:rsidRPr="005436C8" w:rsidRDefault="000C7302" w:rsidP="005436C8">
      <w:pPr>
        <w:tabs>
          <w:tab w:val="left" w:pos="540"/>
          <w:tab w:val="left" w:pos="569"/>
        </w:tabs>
        <w:rPr>
          <w:b/>
          <w:bCs/>
          <w:sz w:val="22"/>
          <w:szCs w:val="22"/>
          <w:lang w:val="sr-Latn-ME"/>
        </w:rPr>
      </w:pPr>
    </w:p>
    <w:p w14:paraId="008693CE"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u w:val="single"/>
          <w:lang w:val="sr-Latn-ME"/>
        </w:rPr>
        <w:t xml:space="preserve">Mehanizam dejstva </w:t>
      </w:r>
    </w:p>
    <w:p w14:paraId="45E10094" w14:textId="77777777" w:rsidR="000C7302" w:rsidRPr="005436C8" w:rsidRDefault="000C7302" w:rsidP="005436C8">
      <w:pPr>
        <w:tabs>
          <w:tab w:val="left" w:pos="284"/>
        </w:tabs>
        <w:jc w:val="both"/>
        <w:rPr>
          <w:noProof/>
          <w:color w:val="000000"/>
          <w:sz w:val="22"/>
          <w:szCs w:val="22"/>
          <w:lang w:val="sr-Latn-ME"/>
        </w:rPr>
      </w:pPr>
    </w:p>
    <w:p w14:paraId="63E01730" w14:textId="77777777" w:rsidR="000C7302" w:rsidRPr="005436C8" w:rsidRDefault="002B6D8C" w:rsidP="005436C8">
      <w:pPr>
        <w:tabs>
          <w:tab w:val="left" w:pos="284"/>
        </w:tabs>
        <w:jc w:val="both"/>
        <w:rPr>
          <w:color w:val="000000"/>
          <w:sz w:val="22"/>
          <w:szCs w:val="22"/>
          <w:lang w:val="sr-Latn-ME"/>
        </w:rPr>
      </w:pPr>
      <w:r w:rsidRPr="005436C8">
        <w:rPr>
          <w:noProof/>
          <w:color w:val="000000"/>
          <w:sz w:val="22"/>
          <w:szCs w:val="22"/>
          <w:lang w:val="sr-Latn-ME"/>
        </w:rPr>
        <w:t xml:space="preserve">Lijek </w:t>
      </w:r>
      <w:r w:rsidR="000C7302" w:rsidRPr="005436C8">
        <w:rPr>
          <w:noProof/>
          <w:color w:val="000000"/>
          <w:sz w:val="22"/>
          <w:szCs w:val="22"/>
          <w:lang w:val="sr-Latn-ME"/>
        </w:rPr>
        <w:t xml:space="preserve">Phesgo sadrži pertuzumab i trastuzumab, koji su odgovorni za terapijsko dejstvo ovog </w:t>
      </w:r>
      <w:r w:rsidR="00166973" w:rsidRPr="005436C8">
        <w:rPr>
          <w:noProof/>
          <w:color w:val="000000"/>
          <w:sz w:val="22"/>
          <w:szCs w:val="22"/>
          <w:lang w:val="sr-Latn-ME"/>
        </w:rPr>
        <w:t>lijek</w:t>
      </w:r>
      <w:r w:rsidR="000C7302" w:rsidRPr="005436C8">
        <w:rPr>
          <w:noProof/>
          <w:color w:val="000000"/>
          <w:sz w:val="22"/>
          <w:szCs w:val="22"/>
          <w:lang w:val="sr-Latn-ME"/>
        </w:rPr>
        <w:t>a, kao i vorhijaluronidazu alfa, enzim koji posp</w:t>
      </w:r>
      <w:r w:rsidRPr="005436C8">
        <w:rPr>
          <w:noProof/>
          <w:color w:val="000000"/>
          <w:sz w:val="22"/>
          <w:szCs w:val="22"/>
          <w:lang w:val="sr-Latn-ME"/>
        </w:rPr>
        <w:t>j</w:t>
      </w:r>
      <w:r w:rsidR="000C7302" w:rsidRPr="005436C8">
        <w:rPr>
          <w:noProof/>
          <w:color w:val="000000"/>
          <w:sz w:val="22"/>
          <w:szCs w:val="22"/>
          <w:lang w:val="sr-Latn-ME"/>
        </w:rPr>
        <w:t xml:space="preserve">ešuje disperziju i </w:t>
      </w:r>
      <w:r w:rsidRPr="005436C8">
        <w:rPr>
          <w:noProof/>
          <w:color w:val="000000"/>
          <w:sz w:val="22"/>
          <w:szCs w:val="22"/>
          <w:lang w:val="sr-Latn-ME"/>
        </w:rPr>
        <w:t xml:space="preserve">resorpciju </w:t>
      </w:r>
      <w:r w:rsidR="000C7302" w:rsidRPr="005436C8">
        <w:rPr>
          <w:noProof/>
          <w:color w:val="000000"/>
          <w:sz w:val="22"/>
          <w:szCs w:val="22"/>
          <w:lang w:val="sr-Latn-ME"/>
        </w:rPr>
        <w:t xml:space="preserve">supstance u formulaciji nakon </w:t>
      </w:r>
      <w:r w:rsidR="00115EBA" w:rsidRPr="005436C8">
        <w:rPr>
          <w:noProof/>
          <w:color w:val="000000"/>
          <w:sz w:val="22"/>
          <w:szCs w:val="22"/>
          <w:lang w:val="sr-Latn-ME"/>
        </w:rPr>
        <w:t>subkutan</w:t>
      </w:r>
      <w:r w:rsidR="000C7302" w:rsidRPr="005436C8">
        <w:rPr>
          <w:noProof/>
          <w:color w:val="000000"/>
          <w:sz w:val="22"/>
          <w:szCs w:val="22"/>
          <w:lang w:val="sr-Latn-ME"/>
        </w:rPr>
        <w:t xml:space="preserve">e </w:t>
      </w:r>
      <w:r w:rsidR="00A21698" w:rsidRPr="005436C8">
        <w:rPr>
          <w:noProof/>
          <w:color w:val="000000"/>
          <w:sz w:val="22"/>
          <w:szCs w:val="22"/>
          <w:lang w:val="sr-Latn-ME"/>
        </w:rPr>
        <w:t>primjene</w:t>
      </w:r>
      <w:r w:rsidR="000C7302" w:rsidRPr="005436C8">
        <w:rPr>
          <w:noProof/>
          <w:color w:val="000000"/>
          <w:sz w:val="22"/>
          <w:szCs w:val="22"/>
          <w:lang w:val="sr-Latn-ME"/>
        </w:rPr>
        <w:t>.</w:t>
      </w:r>
    </w:p>
    <w:p w14:paraId="26E6878C"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74EACA0B"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Pertuzumab i trastuzumab predstavljaju rekombinantna humanizovana IgG1 monoklonska antit</w:t>
      </w:r>
      <w:r w:rsidR="007E4D65" w:rsidRPr="005436C8">
        <w:rPr>
          <w:color w:val="000000"/>
          <w:sz w:val="22"/>
          <w:szCs w:val="22"/>
          <w:lang w:val="sr-Latn-ME"/>
        </w:rPr>
        <w:t>ij</w:t>
      </w:r>
      <w:r w:rsidRPr="005436C8">
        <w:rPr>
          <w:color w:val="000000"/>
          <w:sz w:val="22"/>
          <w:szCs w:val="22"/>
          <w:lang w:val="sr-Latn-ME"/>
        </w:rPr>
        <w:t xml:space="preserve">ela koja ciljaju receptor humanog epidermalnog faktora rasta 2 (HER2). </w:t>
      </w:r>
      <w:r w:rsidR="00FE754C" w:rsidRPr="005436C8">
        <w:rPr>
          <w:color w:val="000000"/>
          <w:sz w:val="22"/>
          <w:szCs w:val="22"/>
          <w:lang w:val="sr-Latn-ME"/>
        </w:rPr>
        <w:t>Obije</w:t>
      </w:r>
      <w:r w:rsidRPr="005436C8">
        <w:rPr>
          <w:color w:val="000000"/>
          <w:sz w:val="22"/>
          <w:szCs w:val="22"/>
          <w:lang w:val="sr-Latn-ME"/>
        </w:rPr>
        <w:t xml:space="preserve"> supstance se nekompetitivno vezuju za različite poddomene HER2 i imaju komplementarne mehanizme </w:t>
      </w:r>
      <w:r w:rsidR="007E4D65" w:rsidRPr="005436C8">
        <w:rPr>
          <w:color w:val="000000"/>
          <w:sz w:val="22"/>
          <w:szCs w:val="22"/>
          <w:lang w:val="sr-Latn-ME"/>
        </w:rPr>
        <w:t>koji</w:t>
      </w:r>
      <w:r w:rsidRPr="005436C8">
        <w:rPr>
          <w:color w:val="000000"/>
          <w:sz w:val="22"/>
          <w:szCs w:val="22"/>
          <w:lang w:val="sr-Latn-ME"/>
        </w:rPr>
        <w:t xml:space="preserve"> ometa</w:t>
      </w:r>
      <w:r w:rsidR="007E4D65" w:rsidRPr="005436C8">
        <w:rPr>
          <w:color w:val="000000"/>
          <w:sz w:val="22"/>
          <w:szCs w:val="22"/>
          <w:lang w:val="sr-Latn-ME"/>
        </w:rPr>
        <w:t>ju</w:t>
      </w:r>
      <w:r w:rsidRPr="005436C8">
        <w:rPr>
          <w:color w:val="000000"/>
          <w:sz w:val="22"/>
          <w:szCs w:val="22"/>
          <w:lang w:val="sr-Latn-ME"/>
        </w:rPr>
        <w:t xml:space="preserve"> signalizaciju HER2:</w:t>
      </w:r>
    </w:p>
    <w:p w14:paraId="6E55ED12"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7174CD16" w14:textId="77777777" w:rsidR="000C7302" w:rsidRPr="005436C8" w:rsidRDefault="000C7302" w:rsidP="005436C8">
      <w:pPr>
        <w:tabs>
          <w:tab w:val="left" w:pos="284"/>
          <w:tab w:val="left" w:pos="630"/>
        </w:tabs>
        <w:autoSpaceDE w:val="0"/>
        <w:autoSpaceDN w:val="0"/>
        <w:adjustRightInd w:val="0"/>
        <w:ind w:left="629" w:hanging="272"/>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 xml:space="preserve">Pertuzumab specifično ciljano </w:t>
      </w:r>
      <w:r w:rsidR="00522BD8" w:rsidRPr="005436C8">
        <w:rPr>
          <w:color w:val="000000"/>
          <w:sz w:val="22"/>
          <w:szCs w:val="22"/>
          <w:lang w:val="sr-Latn-ME"/>
        </w:rPr>
        <w:t>djeluje</w:t>
      </w:r>
      <w:r w:rsidRPr="005436C8">
        <w:rPr>
          <w:color w:val="000000"/>
          <w:sz w:val="22"/>
          <w:szCs w:val="22"/>
          <w:lang w:val="sr-Latn-ME"/>
        </w:rPr>
        <w:t xml:space="preserve"> na ekstracelularni dimerizioni domen (poddomen II) HER2 i tako blokira </w:t>
      </w:r>
      <w:r w:rsidR="007E4D65" w:rsidRPr="005436C8">
        <w:rPr>
          <w:color w:val="000000"/>
          <w:sz w:val="22"/>
          <w:szCs w:val="22"/>
          <w:lang w:val="sr-Latn-ME"/>
        </w:rPr>
        <w:t xml:space="preserve">ligand zavisnu </w:t>
      </w:r>
      <w:r w:rsidRPr="005436C8">
        <w:rPr>
          <w:color w:val="000000"/>
          <w:sz w:val="22"/>
          <w:szCs w:val="22"/>
          <w:lang w:val="sr-Latn-ME"/>
        </w:rPr>
        <w:t>heterodimerizaciju HER2  sa drugim članovima</w:t>
      </w:r>
      <w:r w:rsidR="00522BD8" w:rsidRPr="005436C8">
        <w:rPr>
          <w:color w:val="000000"/>
          <w:sz w:val="22"/>
          <w:szCs w:val="22"/>
          <w:lang w:val="sr-Latn-ME"/>
        </w:rPr>
        <w:t xml:space="preserve"> </w:t>
      </w:r>
      <w:r w:rsidRPr="005436C8">
        <w:rPr>
          <w:color w:val="000000"/>
          <w:sz w:val="22"/>
          <w:szCs w:val="22"/>
          <w:lang w:val="sr-Latn-ME"/>
        </w:rPr>
        <w:t>porodice</w:t>
      </w:r>
      <w:r w:rsidR="007E4D65" w:rsidRPr="005436C8">
        <w:rPr>
          <w:color w:val="000000"/>
          <w:sz w:val="22"/>
          <w:szCs w:val="22"/>
          <w:lang w:val="sr-Latn-ME"/>
        </w:rPr>
        <w:t xml:space="preserve"> HER receptora</w:t>
      </w:r>
      <w:r w:rsidRPr="005436C8">
        <w:rPr>
          <w:color w:val="000000"/>
          <w:sz w:val="22"/>
          <w:szCs w:val="22"/>
          <w:lang w:val="sr-Latn-ME"/>
        </w:rPr>
        <w:t>, uključujući receptor epidermalnog faktora rasta (EGFR), HER3 i HER4. Tako pertuzumab inhibira ligandom aktiviranu intracelularnu signalizaciju kroz dv</w:t>
      </w:r>
      <w:r w:rsidR="007E4D65" w:rsidRPr="005436C8">
        <w:rPr>
          <w:color w:val="000000"/>
          <w:sz w:val="22"/>
          <w:szCs w:val="22"/>
          <w:lang w:val="sr-Latn-ME"/>
        </w:rPr>
        <w:t>ij</w:t>
      </w:r>
      <w:r w:rsidRPr="005436C8">
        <w:rPr>
          <w:color w:val="000000"/>
          <w:sz w:val="22"/>
          <w:szCs w:val="22"/>
          <w:lang w:val="sr-Latn-ME"/>
        </w:rPr>
        <w:t>e glavne signalne putanje, mitogenom aktivirane proteinske (MAP) kinaze i fosfoinozitid-3-kinaze (PI3K). Inhibicija signalnih put</w:t>
      </w:r>
      <w:r w:rsidR="007E4D65" w:rsidRPr="005436C8">
        <w:rPr>
          <w:color w:val="000000"/>
          <w:sz w:val="22"/>
          <w:szCs w:val="22"/>
          <w:lang w:val="sr-Latn-ME"/>
        </w:rPr>
        <w:t>eva</w:t>
      </w:r>
      <w:r w:rsidRPr="005436C8">
        <w:rPr>
          <w:color w:val="000000"/>
          <w:sz w:val="22"/>
          <w:szCs w:val="22"/>
          <w:lang w:val="sr-Latn-ME"/>
        </w:rPr>
        <w:t xml:space="preserve"> MAP kinaze može dovesti do zaustavljanja rasta ćelija, a inhibicija puta PI3K do apoptoze</w:t>
      </w:r>
      <w:r w:rsidR="002B6D8C" w:rsidRPr="005436C8">
        <w:rPr>
          <w:color w:val="000000"/>
          <w:sz w:val="22"/>
          <w:szCs w:val="22"/>
          <w:lang w:val="sr-Latn-ME"/>
        </w:rPr>
        <w:t>.</w:t>
      </w:r>
    </w:p>
    <w:p w14:paraId="28ECC772"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1EAC1D09" w14:textId="77777777" w:rsidR="000C7302" w:rsidRPr="005436C8" w:rsidRDefault="000C7302" w:rsidP="005436C8">
      <w:pPr>
        <w:shd w:val="clear" w:color="auto" w:fill="FFFFFF"/>
        <w:tabs>
          <w:tab w:val="left" w:pos="284"/>
        </w:tabs>
        <w:autoSpaceDE w:val="0"/>
        <w:autoSpaceDN w:val="0"/>
        <w:adjustRightInd w:val="0"/>
        <w:ind w:left="629" w:hanging="272"/>
        <w:jc w:val="both"/>
        <w:rPr>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Trastuzumab se vezuje za poddomen IV ekstracelularnog domena proteina HER2 kako bi inhibirao proliferaciju i preživljavanje signala putem HER2 koje ne zavise od liganda, i to u ljudskim tumorskim ćelijama sa prekom</w:t>
      </w:r>
      <w:r w:rsidR="002B6D8C" w:rsidRPr="005436C8">
        <w:rPr>
          <w:color w:val="000000"/>
          <w:sz w:val="22"/>
          <w:szCs w:val="22"/>
          <w:lang w:val="sr-Latn-ME"/>
        </w:rPr>
        <w:t>j</w:t>
      </w:r>
      <w:r w:rsidRPr="005436C8">
        <w:rPr>
          <w:color w:val="000000"/>
          <w:sz w:val="22"/>
          <w:szCs w:val="22"/>
          <w:lang w:val="sr-Latn-ME"/>
        </w:rPr>
        <w:t>ernom ekspresijom HER2.</w:t>
      </w:r>
    </w:p>
    <w:p w14:paraId="4BE293B9"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4E49F58D"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lastRenderedPageBreak/>
        <w:t xml:space="preserve">Osim toga, </w:t>
      </w:r>
      <w:r w:rsidR="00FE754C" w:rsidRPr="005436C8">
        <w:rPr>
          <w:color w:val="000000"/>
          <w:sz w:val="22"/>
          <w:szCs w:val="22"/>
          <w:lang w:val="sr-Latn-ME"/>
        </w:rPr>
        <w:t>obije</w:t>
      </w:r>
      <w:r w:rsidRPr="005436C8">
        <w:rPr>
          <w:color w:val="000000"/>
          <w:sz w:val="22"/>
          <w:szCs w:val="22"/>
          <w:lang w:val="sr-Latn-ME"/>
        </w:rPr>
        <w:t xml:space="preserve"> supstance posreduju u ćelijskoj citotoksičnosti zavisnoj od antit</w:t>
      </w:r>
      <w:r w:rsidR="002B6D8C" w:rsidRPr="005436C8">
        <w:rPr>
          <w:color w:val="000000"/>
          <w:sz w:val="22"/>
          <w:szCs w:val="22"/>
          <w:lang w:val="sr-Latn-ME"/>
        </w:rPr>
        <w:t>ij</w:t>
      </w:r>
      <w:r w:rsidRPr="005436C8">
        <w:rPr>
          <w:color w:val="000000"/>
          <w:sz w:val="22"/>
          <w:szCs w:val="22"/>
          <w:lang w:val="sr-Latn-ME"/>
        </w:rPr>
        <w:t xml:space="preserve">ela (ADCC). </w:t>
      </w:r>
      <w:r w:rsidRPr="005436C8">
        <w:rPr>
          <w:i/>
          <w:iCs/>
          <w:color w:val="000000"/>
          <w:sz w:val="22"/>
          <w:szCs w:val="22"/>
          <w:lang w:val="sr-Latn-ME"/>
        </w:rPr>
        <w:t>In vitro</w:t>
      </w:r>
      <w:r w:rsidRPr="005436C8">
        <w:rPr>
          <w:color w:val="000000"/>
          <w:sz w:val="22"/>
          <w:szCs w:val="22"/>
          <w:lang w:val="sr-Latn-ME"/>
        </w:rPr>
        <w:t>, ADCC i pertuzumaba i trastuzumaba preferencijalno se odvija na tumorskim ćelijama sa prekom</w:t>
      </w:r>
      <w:r w:rsidR="007E4D65" w:rsidRPr="005436C8">
        <w:rPr>
          <w:color w:val="000000"/>
          <w:sz w:val="22"/>
          <w:szCs w:val="22"/>
          <w:lang w:val="sr-Latn-ME"/>
        </w:rPr>
        <w:t>j</w:t>
      </w:r>
      <w:r w:rsidRPr="005436C8">
        <w:rPr>
          <w:color w:val="000000"/>
          <w:sz w:val="22"/>
          <w:szCs w:val="22"/>
          <w:lang w:val="sr-Latn-ME"/>
        </w:rPr>
        <w:t>ernom ekspresijom HER2 u poređenju sa tumorskim ćelijama koje nemaju prekom</w:t>
      </w:r>
      <w:r w:rsidR="007E4D65" w:rsidRPr="005436C8">
        <w:rPr>
          <w:color w:val="000000"/>
          <w:sz w:val="22"/>
          <w:szCs w:val="22"/>
          <w:lang w:val="sr-Latn-ME"/>
        </w:rPr>
        <w:t>j</w:t>
      </w:r>
      <w:r w:rsidRPr="005436C8">
        <w:rPr>
          <w:color w:val="000000"/>
          <w:sz w:val="22"/>
          <w:szCs w:val="22"/>
          <w:lang w:val="sr-Latn-ME"/>
        </w:rPr>
        <w:t>ernu ekspresiju HER2.</w:t>
      </w:r>
    </w:p>
    <w:p w14:paraId="065DF7CB" w14:textId="77777777" w:rsidR="000C7302" w:rsidRPr="005436C8" w:rsidRDefault="000C7302" w:rsidP="005436C8">
      <w:pPr>
        <w:tabs>
          <w:tab w:val="left" w:pos="284"/>
        </w:tabs>
        <w:autoSpaceDE w:val="0"/>
        <w:autoSpaceDN w:val="0"/>
        <w:adjustRightInd w:val="0"/>
        <w:jc w:val="both"/>
        <w:rPr>
          <w:color w:val="000000"/>
          <w:sz w:val="22"/>
          <w:szCs w:val="22"/>
          <w:u w:val="single"/>
          <w:lang w:val="sr-Latn-ME"/>
        </w:rPr>
      </w:pPr>
    </w:p>
    <w:p w14:paraId="5DF7EADB" w14:textId="77777777" w:rsidR="000C7302" w:rsidRPr="005436C8" w:rsidRDefault="000C7302" w:rsidP="005436C8">
      <w:pPr>
        <w:tabs>
          <w:tab w:val="left" w:pos="284"/>
        </w:tabs>
        <w:autoSpaceDE w:val="0"/>
        <w:autoSpaceDN w:val="0"/>
        <w:adjustRightInd w:val="0"/>
        <w:jc w:val="both"/>
        <w:rPr>
          <w:color w:val="000000"/>
          <w:sz w:val="22"/>
          <w:szCs w:val="22"/>
          <w:u w:val="single"/>
          <w:lang w:val="sr-Latn-ME"/>
        </w:rPr>
      </w:pPr>
      <w:r w:rsidRPr="005436C8">
        <w:rPr>
          <w:color w:val="000000"/>
          <w:sz w:val="22"/>
          <w:szCs w:val="22"/>
          <w:u w:val="single"/>
          <w:lang w:val="sr-Latn-ME"/>
        </w:rPr>
        <w:t xml:space="preserve">Klinička efikasnost i </w:t>
      </w:r>
      <w:r w:rsidR="00385576" w:rsidRPr="005436C8">
        <w:rPr>
          <w:color w:val="000000"/>
          <w:sz w:val="22"/>
          <w:szCs w:val="22"/>
          <w:u w:val="single"/>
          <w:lang w:val="sr-Latn-ME"/>
        </w:rPr>
        <w:t>bezbjednost</w:t>
      </w:r>
    </w:p>
    <w:p w14:paraId="0AF9B1AC" w14:textId="77777777" w:rsidR="000C7302" w:rsidRPr="005436C8" w:rsidRDefault="000C7302" w:rsidP="005436C8">
      <w:pPr>
        <w:tabs>
          <w:tab w:val="left" w:pos="284"/>
        </w:tabs>
        <w:autoSpaceDE w:val="0"/>
        <w:autoSpaceDN w:val="0"/>
        <w:adjustRightInd w:val="0"/>
        <w:jc w:val="both"/>
        <w:rPr>
          <w:color w:val="000000"/>
          <w:sz w:val="22"/>
          <w:szCs w:val="22"/>
          <w:u w:val="single"/>
          <w:lang w:val="sr-Latn-ME"/>
        </w:rPr>
      </w:pPr>
    </w:p>
    <w:p w14:paraId="2821CC5B"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U ovom od</w:t>
      </w:r>
      <w:r w:rsidR="007E4D65" w:rsidRPr="005436C8">
        <w:rPr>
          <w:color w:val="000000"/>
          <w:sz w:val="22"/>
          <w:szCs w:val="22"/>
          <w:lang w:val="sr-Latn-ME"/>
        </w:rPr>
        <w:t>j</w:t>
      </w:r>
      <w:r w:rsidRPr="005436C8">
        <w:rPr>
          <w:color w:val="000000"/>
          <w:sz w:val="22"/>
          <w:szCs w:val="22"/>
          <w:lang w:val="sr-Latn-ME"/>
        </w:rPr>
        <w:t xml:space="preserve">eljku se opisuje kliničko iskustvo sa </w:t>
      </w:r>
      <w:r w:rsidR="00FF329E" w:rsidRPr="005436C8">
        <w:rPr>
          <w:color w:val="000000"/>
          <w:sz w:val="22"/>
          <w:szCs w:val="22"/>
          <w:lang w:val="sr-Latn-ME"/>
        </w:rPr>
        <w:t>primjenom</w:t>
      </w:r>
      <w:r w:rsidRPr="005436C8">
        <w:rPr>
          <w:color w:val="000000"/>
          <w:sz w:val="22"/>
          <w:szCs w:val="22"/>
          <w:lang w:val="sr-Latn-ME"/>
        </w:rPr>
        <w:t xml:space="preserve"> kombinacije fiksnih doza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 pertuzumaba i trastuzumaba, i intravenskog pertuzumaba u kombinaciji sa trastuzumabom kod pacijenata sa ranim ili metastatskih karcinomom dojke i prekom</w:t>
      </w:r>
      <w:r w:rsidR="007E4D65" w:rsidRPr="005436C8">
        <w:rPr>
          <w:color w:val="000000"/>
          <w:sz w:val="22"/>
          <w:szCs w:val="22"/>
          <w:lang w:val="sr-Latn-ME"/>
        </w:rPr>
        <w:t>j</w:t>
      </w:r>
      <w:r w:rsidRPr="005436C8">
        <w:rPr>
          <w:color w:val="000000"/>
          <w:sz w:val="22"/>
          <w:szCs w:val="22"/>
          <w:lang w:val="sr-Latn-ME"/>
        </w:rPr>
        <w:t xml:space="preserve">ernom ekspresijom HER2. </w:t>
      </w:r>
    </w:p>
    <w:p w14:paraId="33A993BB" w14:textId="77777777" w:rsidR="000C7302" w:rsidRPr="005436C8" w:rsidRDefault="000C7302" w:rsidP="005436C8">
      <w:pPr>
        <w:tabs>
          <w:tab w:val="left" w:pos="284"/>
        </w:tabs>
        <w:autoSpaceDE w:val="0"/>
        <w:autoSpaceDN w:val="0"/>
        <w:adjustRightInd w:val="0"/>
        <w:jc w:val="both"/>
        <w:rPr>
          <w:i/>
          <w:color w:val="000000"/>
          <w:sz w:val="22"/>
          <w:szCs w:val="22"/>
          <w:u w:val="single"/>
          <w:lang w:val="sr-Latn-ME"/>
        </w:rPr>
      </w:pPr>
    </w:p>
    <w:p w14:paraId="0B952A27" w14:textId="77777777" w:rsidR="000C7302" w:rsidRPr="005436C8" w:rsidRDefault="000C7302" w:rsidP="005436C8">
      <w:pPr>
        <w:tabs>
          <w:tab w:val="left" w:pos="284"/>
        </w:tabs>
        <w:autoSpaceDE w:val="0"/>
        <w:autoSpaceDN w:val="0"/>
        <w:adjustRightInd w:val="0"/>
        <w:jc w:val="both"/>
        <w:rPr>
          <w:i/>
          <w:color w:val="000000"/>
          <w:sz w:val="22"/>
          <w:szCs w:val="22"/>
          <w:u w:val="single"/>
          <w:lang w:val="sr-Latn-ME"/>
        </w:rPr>
      </w:pPr>
      <w:r w:rsidRPr="005436C8">
        <w:rPr>
          <w:i/>
          <w:iCs/>
          <w:color w:val="000000"/>
          <w:sz w:val="22"/>
          <w:szCs w:val="22"/>
          <w:u w:val="single"/>
          <w:lang w:val="sr-Latn-ME"/>
        </w:rPr>
        <w:t xml:space="preserve">Kliničko iskustvo sa </w:t>
      </w:r>
      <w:r w:rsidR="00FF329E" w:rsidRPr="005436C8">
        <w:rPr>
          <w:i/>
          <w:iCs/>
          <w:color w:val="000000"/>
          <w:sz w:val="22"/>
          <w:szCs w:val="22"/>
          <w:u w:val="single"/>
          <w:lang w:val="sr-Latn-ME"/>
        </w:rPr>
        <w:t>primjenom</w:t>
      </w:r>
      <w:r w:rsidRPr="005436C8">
        <w:rPr>
          <w:i/>
          <w:iCs/>
          <w:color w:val="000000"/>
          <w:sz w:val="22"/>
          <w:szCs w:val="22"/>
          <w:u w:val="single"/>
          <w:lang w:val="sr-Latn-ME"/>
        </w:rPr>
        <w:t xml:space="preserve"> </w:t>
      </w:r>
      <w:r w:rsidR="00166973" w:rsidRPr="005436C8">
        <w:rPr>
          <w:i/>
          <w:iCs/>
          <w:color w:val="000000"/>
          <w:sz w:val="22"/>
          <w:szCs w:val="22"/>
          <w:u w:val="single"/>
          <w:lang w:val="sr-Latn-ME"/>
        </w:rPr>
        <w:t>lijek</w:t>
      </w:r>
      <w:r w:rsidRPr="005436C8">
        <w:rPr>
          <w:i/>
          <w:iCs/>
          <w:color w:val="000000"/>
          <w:sz w:val="22"/>
          <w:szCs w:val="22"/>
          <w:u w:val="single"/>
          <w:lang w:val="sr-Latn-ME"/>
        </w:rPr>
        <w:t xml:space="preserve">a Phesgo kod pacijenata sa HER2 pozitivnim ranim karcinomom dojke </w:t>
      </w:r>
    </w:p>
    <w:p w14:paraId="747EDD00" w14:textId="77777777" w:rsidR="000C7302" w:rsidRPr="005436C8" w:rsidRDefault="000C7302" w:rsidP="005436C8">
      <w:pPr>
        <w:keepNext/>
        <w:keepLines/>
        <w:tabs>
          <w:tab w:val="left" w:pos="284"/>
        </w:tabs>
        <w:jc w:val="both"/>
        <w:rPr>
          <w:rFonts w:eastAsia="SimSun"/>
          <w:color w:val="000000"/>
          <w:sz w:val="22"/>
          <w:szCs w:val="22"/>
          <w:lang w:val="sr-Latn-ME"/>
        </w:rPr>
      </w:pPr>
    </w:p>
    <w:p w14:paraId="41F14A1A"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color w:val="000000"/>
          <w:sz w:val="22"/>
          <w:szCs w:val="22"/>
          <w:lang w:val="sr-Latn-ME"/>
        </w:rPr>
        <w:t xml:space="preserve">Kliničko iskustvo sa </w:t>
      </w:r>
      <w:r w:rsidR="00FF329E" w:rsidRPr="005436C8">
        <w:rPr>
          <w:color w:val="000000"/>
          <w:sz w:val="22"/>
          <w:szCs w:val="22"/>
          <w:lang w:val="sr-Latn-ME"/>
        </w:rPr>
        <w:t>primjenom</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zasniva se na podacima iz kliničkog ispitivanja faze III (FEDERICA WO40324) </w:t>
      </w:r>
      <w:r w:rsidR="002E743C" w:rsidRPr="005436C8">
        <w:rPr>
          <w:color w:val="000000"/>
          <w:sz w:val="22"/>
          <w:szCs w:val="22"/>
          <w:lang w:val="sr-Latn-ME"/>
        </w:rPr>
        <w:t xml:space="preserve">i kliničkog ispitivanja faze II (PHRANCESCA MO40628) </w:t>
      </w:r>
      <w:r w:rsidRPr="005436C8">
        <w:rPr>
          <w:color w:val="000000"/>
          <w:sz w:val="22"/>
          <w:szCs w:val="22"/>
          <w:lang w:val="sr-Latn-ME"/>
        </w:rPr>
        <w:t>sproveden</w:t>
      </w:r>
      <w:r w:rsidR="002E743C" w:rsidRPr="005436C8">
        <w:rPr>
          <w:color w:val="000000"/>
          <w:sz w:val="22"/>
          <w:szCs w:val="22"/>
          <w:lang w:val="sr-Latn-ME"/>
        </w:rPr>
        <w:t>ih</w:t>
      </w:r>
      <w:r w:rsidRPr="005436C8">
        <w:rPr>
          <w:color w:val="000000"/>
          <w:sz w:val="22"/>
          <w:szCs w:val="22"/>
          <w:lang w:val="sr-Latn-ME"/>
        </w:rPr>
        <w:t xml:space="preserve"> na pacijentima sa ranim karcinomom dojke sa prekom</w:t>
      </w:r>
      <w:r w:rsidR="007E4D65" w:rsidRPr="005436C8">
        <w:rPr>
          <w:color w:val="000000"/>
          <w:sz w:val="22"/>
          <w:szCs w:val="22"/>
          <w:lang w:val="sr-Latn-ME"/>
        </w:rPr>
        <w:t>j</w:t>
      </w:r>
      <w:r w:rsidRPr="005436C8">
        <w:rPr>
          <w:color w:val="000000"/>
          <w:sz w:val="22"/>
          <w:szCs w:val="22"/>
          <w:lang w:val="sr-Latn-ME"/>
        </w:rPr>
        <w:t>ernom ekspresijom HER2. Prekom</w:t>
      </w:r>
      <w:r w:rsidR="007E4D65" w:rsidRPr="005436C8">
        <w:rPr>
          <w:color w:val="000000"/>
          <w:sz w:val="22"/>
          <w:szCs w:val="22"/>
          <w:lang w:val="sr-Latn-ME"/>
        </w:rPr>
        <w:t>j</w:t>
      </w:r>
      <w:r w:rsidRPr="005436C8">
        <w:rPr>
          <w:color w:val="000000"/>
          <w:sz w:val="22"/>
          <w:szCs w:val="22"/>
          <w:lang w:val="sr-Latn-ME"/>
        </w:rPr>
        <w:t>erna ekspresija HER2 utvrđivana je u centralnoj laboratoriji, a definisana je kao rezultat IHC 3+ ili amplifikacioni rezultat ISH ≥ 2,0 u ispitivanju opisanom u nastavku.</w:t>
      </w:r>
    </w:p>
    <w:p w14:paraId="60B4A015" w14:textId="77777777" w:rsidR="000C7302" w:rsidRPr="005436C8" w:rsidRDefault="000C7302" w:rsidP="005436C8">
      <w:pPr>
        <w:tabs>
          <w:tab w:val="left" w:pos="284"/>
        </w:tabs>
        <w:jc w:val="both"/>
        <w:rPr>
          <w:rFonts w:eastAsia="SimSun"/>
          <w:b/>
          <w:color w:val="000000"/>
          <w:sz w:val="22"/>
          <w:szCs w:val="22"/>
          <w:lang w:val="sr-Latn-ME"/>
        </w:rPr>
      </w:pPr>
    </w:p>
    <w:p w14:paraId="0C6E4144" w14:textId="77777777" w:rsidR="002E743C" w:rsidRPr="005436C8" w:rsidRDefault="002E743C" w:rsidP="005436C8">
      <w:pPr>
        <w:tabs>
          <w:tab w:val="left" w:pos="284"/>
        </w:tabs>
        <w:jc w:val="both"/>
        <w:rPr>
          <w:rFonts w:eastAsia="SimSun"/>
          <w:b/>
          <w:color w:val="000000"/>
          <w:sz w:val="22"/>
          <w:szCs w:val="22"/>
          <w:lang w:val="sr-Latn-ME"/>
        </w:rPr>
      </w:pPr>
      <w:r w:rsidRPr="005436C8">
        <w:rPr>
          <w:rFonts w:eastAsia="SimSun"/>
          <w:b/>
          <w:color w:val="000000"/>
          <w:sz w:val="22"/>
          <w:szCs w:val="22"/>
          <w:lang w:val="sr-Latn-ME"/>
        </w:rPr>
        <w:t>FEDERICA (WO40324)</w:t>
      </w:r>
    </w:p>
    <w:p w14:paraId="7CCA75F0" w14:textId="77777777" w:rsidR="002E743C" w:rsidRPr="005436C8" w:rsidRDefault="002E743C" w:rsidP="005436C8">
      <w:pPr>
        <w:tabs>
          <w:tab w:val="left" w:pos="284"/>
        </w:tabs>
        <w:jc w:val="both"/>
        <w:rPr>
          <w:rFonts w:eastAsia="SimSun"/>
          <w:b/>
          <w:color w:val="000000"/>
          <w:sz w:val="22"/>
          <w:szCs w:val="22"/>
          <w:lang w:val="sr-Latn-ME"/>
        </w:rPr>
      </w:pPr>
    </w:p>
    <w:p w14:paraId="7E1B66C7"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color w:val="000000"/>
          <w:sz w:val="22"/>
          <w:szCs w:val="22"/>
          <w:lang w:val="sr-Latn-ME"/>
        </w:rPr>
        <w:t xml:space="preserve">FEDERICA je </w:t>
      </w:r>
      <w:r w:rsidR="00782B97">
        <w:rPr>
          <w:color w:val="000000"/>
          <w:sz w:val="22"/>
          <w:szCs w:val="22"/>
          <w:lang w:val="sr-Latn-ME"/>
        </w:rPr>
        <w:t xml:space="preserve">bilo </w:t>
      </w:r>
      <w:r w:rsidRPr="005436C8">
        <w:rPr>
          <w:color w:val="000000"/>
          <w:sz w:val="22"/>
          <w:szCs w:val="22"/>
          <w:lang w:val="sr-Latn-ME"/>
        </w:rPr>
        <w:t>otvoreno, multicentrično, randomizovano ispitivanje sprovedeno na 500 pacijenata sa operabilnim ili lokalno uznapredovalim (uključujući inflamatorni) HER2 pozitivnim ranim karcinomom dojke sa tumorom većim od 2 cm ili zahvaćen</w:t>
      </w:r>
      <w:r w:rsidR="007D3F2E" w:rsidRPr="005436C8">
        <w:rPr>
          <w:color w:val="000000"/>
          <w:sz w:val="22"/>
          <w:szCs w:val="22"/>
          <w:lang w:val="sr-Latn-ME"/>
        </w:rPr>
        <w:t>im</w:t>
      </w:r>
      <w:r w:rsidRPr="005436C8">
        <w:rPr>
          <w:color w:val="000000"/>
          <w:sz w:val="22"/>
          <w:szCs w:val="22"/>
          <w:lang w:val="sr-Latn-ME"/>
        </w:rPr>
        <w:t xml:space="preserve"> limfni</w:t>
      </w:r>
      <w:r w:rsidR="007D3F2E" w:rsidRPr="005436C8">
        <w:rPr>
          <w:color w:val="000000"/>
          <w:sz w:val="22"/>
          <w:szCs w:val="22"/>
          <w:lang w:val="sr-Latn-ME"/>
        </w:rPr>
        <w:t>m</w:t>
      </w:r>
      <w:r w:rsidRPr="005436C8">
        <w:rPr>
          <w:color w:val="000000"/>
          <w:sz w:val="22"/>
          <w:szCs w:val="22"/>
          <w:lang w:val="sr-Latn-ME"/>
        </w:rPr>
        <w:t xml:space="preserve"> čvorov</w:t>
      </w:r>
      <w:r w:rsidR="007D3F2E" w:rsidRPr="005436C8">
        <w:rPr>
          <w:color w:val="000000"/>
          <w:sz w:val="22"/>
          <w:szCs w:val="22"/>
          <w:lang w:val="sr-Latn-ME"/>
        </w:rPr>
        <w:t>ima</w:t>
      </w:r>
      <w:r w:rsidRPr="005436C8">
        <w:rPr>
          <w:color w:val="000000"/>
          <w:sz w:val="22"/>
          <w:szCs w:val="22"/>
          <w:lang w:val="sr-Latn-ME"/>
        </w:rPr>
        <w:t xml:space="preserve"> u neoadjuvantnom i adjuvantnom </w:t>
      </w:r>
      <w:r w:rsidR="007D3F2E" w:rsidRPr="005436C8">
        <w:rPr>
          <w:color w:val="000000"/>
          <w:sz w:val="22"/>
          <w:szCs w:val="22"/>
          <w:lang w:val="sr-Latn-ME"/>
        </w:rPr>
        <w:t xml:space="preserve">liječenju ranog karcinoma </w:t>
      </w:r>
      <w:r w:rsidR="002B6D8C" w:rsidRPr="005436C8">
        <w:rPr>
          <w:color w:val="000000"/>
          <w:sz w:val="22"/>
          <w:szCs w:val="22"/>
          <w:lang w:val="sr-Latn-ME"/>
        </w:rPr>
        <w:t>dojke</w:t>
      </w:r>
      <w:r w:rsidRPr="005436C8">
        <w:rPr>
          <w:color w:val="000000"/>
          <w:sz w:val="22"/>
          <w:szCs w:val="22"/>
          <w:lang w:val="sr-Latn-ME"/>
        </w:rPr>
        <w:t xml:space="preserve">. Pacijenti su randomizovani da primaju 8 ciklusa neoadjuvantne hemoterapije uz </w:t>
      </w:r>
      <w:r w:rsidR="002700CC" w:rsidRPr="005436C8">
        <w:rPr>
          <w:color w:val="000000"/>
          <w:sz w:val="22"/>
          <w:szCs w:val="22"/>
          <w:lang w:val="sr-Latn-ME"/>
        </w:rPr>
        <w:t>istovrem</w:t>
      </w:r>
      <w:r w:rsidR="007D3F2E" w:rsidRPr="005436C8">
        <w:rPr>
          <w:color w:val="000000"/>
          <w:sz w:val="22"/>
          <w:szCs w:val="22"/>
          <w:lang w:val="sr-Latn-ME"/>
        </w:rPr>
        <w:t>enu</w:t>
      </w:r>
      <w:r w:rsidRPr="005436C8">
        <w:rPr>
          <w:color w:val="000000"/>
          <w:sz w:val="22"/>
          <w:szCs w:val="22"/>
          <w:lang w:val="sr-Latn-ME"/>
        </w:rPr>
        <w:t xml:space="preserve"> </w:t>
      </w:r>
      <w:r w:rsidR="00097926" w:rsidRPr="005436C8">
        <w:rPr>
          <w:color w:val="000000"/>
          <w:sz w:val="22"/>
          <w:szCs w:val="22"/>
          <w:lang w:val="sr-Latn-ME"/>
        </w:rPr>
        <w:t>primjenu</w:t>
      </w:r>
      <w:r w:rsidRPr="005436C8">
        <w:rPr>
          <w:color w:val="000000"/>
          <w:sz w:val="22"/>
          <w:szCs w:val="22"/>
          <w:lang w:val="sr-Latn-ME"/>
        </w:rPr>
        <w:t xml:space="preserve"> 4 ciklusa ili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ili intravenskog pertuzumaba i trastuzumaba tokom 5–8 ciklusa. Istraživači su za svakog pacijenta pojedinačno izabrali jednu od sl</w:t>
      </w:r>
      <w:r w:rsidR="002B6D8C" w:rsidRPr="005436C8">
        <w:rPr>
          <w:color w:val="000000"/>
          <w:sz w:val="22"/>
          <w:szCs w:val="22"/>
          <w:lang w:val="sr-Latn-ME"/>
        </w:rPr>
        <w:t>j</w:t>
      </w:r>
      <w:r w:rsidRPr="005436C8">
        <w:rPr>
          <w:color w:val="000000"/>
          <w:sz w:val="22"/>
          <w:szCs w:val="22"/>
          <w:lang w:val="sr-Latn-ME"/>
        </w:rPr>
        <w:t>edeće dv</w:t>
      </w:r>
      <w:r w:rsidR="007D3F2E" w:rsidRPr="005436C8">
        <w:rPr>
          <w:color w:val="000000"/>
          <w:sz w:val="22"/>
          <w:szCs w:val="22"/>
          <w:lang w:val="sr-Latn-ME"/>
        </w:rPr>
        <w:t>ij</w:t>
      </w:r>
      <w:r w:rsidRPr="005436C8">
        <w:rPr>
          <w:color w:val="000000"/>
          <w:sz w:val="22"/>
          <w:szCs w:val="22"/>
          <w:lang w:val="sr-Latn-ME"/>
        </w:rPr>
        <w:t xml:space="preserve">e neoadjuvantne hemoterapije: </w:t>
      </w:r>
    </w:p>
    <w:p w14:paraId="7C42E463" w14:textId="77777777" w:rsidR="000C7302" w:rsidRPr="005436C8" w:rsidRDefault="000C7302" w:rsidP="005436C8">
      <w:pPr>
        <w:tabs>
          <w:tab w:val="left" w:pos="284"/>
        </w:tabs>
        <w:jc w:val="both"/>
        <w:rPr>
          <w:rFonts w:eastAsia="SimSun"/>
          <w:color w:val="000000"/>
          <w:sz w:val="22"/>
          <w:szCs w:val="22"/>
          <w:lang w:val="sr-Latn-ME"/>
        </w:rPr>
      </w:pPr>
    </w:p>
    <w:p w14:paraId="2D40B329" w14:textId="77777777" w:rsidR="000C7302" w:rsidRPr="005436C8" w:rsidRDefault="000C7302" w:rsidP="005436C8">
      <w:pPr>
        <w:tabs>
          <w:tab w:val="left" w:pos="284"/>
        </w:tabs>
        <w:ind w:left="714" w:hanging="357"/>
        <w:jc w:val="both"/>
        <w:rPr>
          <w:rFonts w:eastAsia="SimSun"/>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4 ciklusa doksorubicina (60 mg/m</w:t>
      </w:r>
      <w:r w:rsidRPr="005436C8">
        <w:rPr>
          <w:color w:val="000000"/>
          <w:sz w:val="22"/>
          <w:szCs w:val="22"/>
          <w:vertAlign w:val="superscript"/>
          <w:lang w:val="sr-Latn-ME"/>
        </w:rPr>
        <w:t>2</w:t>
      </w:r>
      <w:r w:rsidRPr="005436C8">
        <w:rPr>
          <w:color w:val="000000"/>
          <w:sz w:val="22"/>
          <w:szCs w:val="22"/>
          <w:lang w:val="sr-Latn-ME"/>
        </w:rPr>
        <w:t>) i ciklofosfamida (600 mg/m</w:t>
      </w:r>
      <w:r w:rsidRPr="005436C8">
        <w:rPr>
          <w:color w:val="000000"/>
          <w:sz w:val="22"/>
          <w:szCs w:val="22"/>
          <w:vertAlign w:val="superscript"/>
          <w:lang w:val="sr-Latn-ME"/>
        </w:rPr>
        <w:t>2</w:t>
      </w:r>
      <w:r w:rsidRPr="005436C8">
        <w:rPr>
          <w:color w:val="000000"/>
          <w:sz w:val="22"/>
          <w:szCs w:val="22"/>
          <w:lang w:val="sr-Latn-ME"/>
        </w:rPr>
        <w:t>) svake 2 ned</w:t>
      </w:r>
      <w:r w:rsidR="007D3F2E" w:rsidRPr="005436C8">
        <w:rPr>
          <w:color w:val="000000"/>
          <w:sz w:val="22"/>
          <w:szCs w:val="22"/>
          <w:lang w:val="sr-Latn-ME"/>
        </w:rPr>
        <w:t>j</w:t>
      </w:r>
      <w:r w:rsidRPr="005436C8">
        <w:rPr>
          <w:color w:val="000000"/>
          <w:sz w:val="22"/>
          <w:szCs w:val="22"/>
          <w:lang w:val="sr-Latn-ME"/>
        </w:rPr>
        <w:t>elje, nakon čega sl</w:t>
      </w:r>
      <w:r w:rsidR="007D3F2E" w:rsidRPr="005436C8">
        <w:rPr>
          <w:color w:val="000000"/>
          <w:sz w:val="22"/>
          <w:szCs w:val="22"/>
          <w:lang w:val="sr-Latn-ME"/>
        </w:rPr>
        <w:t>ij</w:t>
      </w:r>
      <w:r w:rsidRPr="005436C8">
        <w:rPr>
          <w:color w:val="000000"/>
          <w:sz w:val="22"/>
          <w:szCs w:val="22"/>
          <w:lang w:val="sr-Latn-ME"/>
        </w:rPr>
        <w:t>edi paklitaksel (80 mg/m</w:t>
      </w:r>
      <w:r w:rsidRPr="005436C8">
        <w:rPr>
          <w:color w:val="000000"/>
          <w:sz w:val="22"/>
          <w:szCs w:val="22"/>
          <w:vertAlign w:val="superscript"/>
          <w:lang w:val="sr-Latn-ME"/>
        </w:rPr>
        <w:t>2</w:t>
      </w:r>
      <w:r w:rsidRPr="005436C8">
        <w:rPr>
          <w:color w:val="000000"/>
          <w:sz w:val="22"/>
          <w:szCs w:val="22"/>
          <w:lang w:val="sr-Latn-ME"/>
        </w:rPr>
        <w:t>) jednom ned</w:t>
      </w:r>
      <w:r w:rsidR="002B6D8C" w:rsidRPr="005436C8">
        <w:rPr>
          <w:color w:val="000000"/>
          <w:sz w:val="22"/>
          <w:szCs w:val="22"/>
          <w:lang w:val="sr-Latn-ME"/>
        </w:rPr>
        <w:t>j</w:t>
      </w:r>
      <w:r w:rsidRPr="005436C8">
        <w:rPr>
          <w:color w:val="000000"/>
          <w:sz w:val="22"/>
          <w:szCs w:val="22"/>
          <w:lang w:val="sr-Latn-ME"/>
        </w:rPr>
        <w:t xml:space="preserve">eljno tokom 12 </w:t>
      </w:r>
      <w:r w:rsidR="00636A78" w:rsidRPr="005436C8">
        <w:rPr>
          <w:color w:val="000000"/>
          <w:sz w:val="22"/>
          <w:szCs w:val="22"/>
          <w:lang w:val="sr-Latn-ME"/>
        </w:rPr>
        <w:t>nedjelja</w:t>
      </w:r>
      <w:r w:rsidR="002B6D8C" w:rsidRPr="005436C8">
        <w:rPr>
          <w:color w:val="000000"/>
          <w:sz w:val="22"/>
          <w:szCs w:val="22"/>
          <w:lang w:val="sr-Latn-ME"/>
        </w:rPr>
        <w:t>,</w:t>
      </w:r>
      <w:r w:rsidRPr="005436C8">
        <w:rPr>
          <w:color w:val="000000"/>
          <w:sz w:val="22"/>
          <w:szCs w:val="22"/>
          <w:lang w:val="sr-Latn-ME"/>
        </w:rPr>
        <w:t xml:space="preserve"> </w:t>
      </w:r>
    </w:p>
    <w:p w14:paraId="2625F5DA" w14:textId="77777777" w:rsidR="000C7302" w:rsidRPr="005436C8" w:rsidRDefault="000C7302" w:rsidP="005436C8">
      <w:pPr>
        <w:tabs>
          <w:tab w:val="left" w:pos="284"/>
        </w:tabs>
        <w:ind w:left="714" w:hanging="357"/>
        <w:jc w:val="both"/>
        <w:rPr>
          <w:rFonts w:eastAsia="SimSun"/>
          <w:color w:val="000000"/>
          <w:sz w:val="22"/>
          <w:szCs w:val="22"/>
          <w:lang w:val="sr-Latn-ME"/>
        </w:rPr>
      </w:pPr>
      <w:r w:rsidRPr="005436C8">
        <w:rPr>
          <w:sz w:val="22"/>
          <w:szCs w:val="22"/>
          <w:lang w:val="sr-Latn-ME"/>
        </w:rPr>
        <w:sym w:font="Symbol" w:char="F0B7"/>
      </w:r>
      <w:r w:rsidRPr="005436C8">
        <w:rPr>
          <w:sz w:val="22"/>
          <w:szCs w:val="22"/>
          <w:lang w:val="sr-Latn-ME"/>
        </w:rPr>
        <w:tab/>
      </w:r>
      <w:r w:rsidRPr="005436C8">
        <w:rPr>
          <w:color w:val="000000"/>
          <w:sz w:val="22"/>
          <w:szCs w:val="22"/>
          <w:lang w:val="sr-Latn-ME"/>
        </w:rPr>
        <w:t>4 ciklusa doksorubicina (60 mg/m</w:t>
      </w:r>
      <w:r w:rsidRPr="005436C8">
        <w:rPr>
          <w:color w:val="000000"/>
          <w:sz w:val="22"/>
          <w:szCs w:val="22"/>
          <w:vertAlign w:val="superscript"/>
          <w:lang w:val="sr-Latn-ME"/>
        </w:rPr>
        <w:t>2</w:t>
      </w:r>
      <w:r w:rsidRPr="005436C8">
        <w:rPr>
          <w:color w:val="000000"/>
          <w:sz w:val="22"/>
          <w:szCs w:val="22"/>
          <w:lang w:val="sr-Latn-ME"/>
        </w:rPr>
        <w:t>) i ciklofosfamida (600 mg/m</w:t>
      </w:r>
      <w:r w:rsidRPr="005436C8">
        <w:rPr>
          <w:color w:val="000000"/>
          <w:sz w:val="22"/>
          <w:szCs w:val="22"/>
          <w:vertAlign w:val="superscript"/>
          <w:lang w:val="sr-Latn-ME"/>
        </w:rPr>
        <w:t>2</w:t>
      </w:r>
      <w:r w:rsidRPr="005436C8">
        <w:rPr>
          <w:color w:val="000000"/>
          <w:sz w:val="22"/>
          <w:szCs w:val="22"/>
          <w:lang w:val="sr-Latn-ME"/>
        </w:rPr>
        <w:t>) svake 3 ned</w:t>
      </w:r>
      <w:r w:rsidR="007D3F2E" w:rsidRPr="005436C8">
        <w:rPr>
          <w:color w:val="000000"/>
          <w:sz w:val="22"/>
          <w:szCs w:val="22"/>
          <w:lang w:val="sr-Latn-ME"/>
        </w:rPr>
        <w:t>j</w:t>
      </w:r>
      <w:r w:rsidRPr="005436C8">
        <w:rPr>
          <w:color w:val="000000"/>
          <w:sz w:val="22"/>
          <w:szCs w:val="22"/>
          <w:lang w:val="sr-Latn-ME"/>
        </w:rPr>
        <w:t>elje, nakon čega sl</w:t>
      </w:r>
      <w:r w:rsidR="007D3F2E" w:rsidRPr="005436C8">
        <w:rPr>
          <w:color w:val="000000"/>
          <w:sz w:val="22"/>
          <w:szCs w:val="22"/>
          <w:lang w:val="sr-Latn-ME"/>
        </w:rPr>
        <w:t>ij</w:t>
      </w:r>
      <w:r w:rsidRPr="005436C8">
        <w:rPr>
          <w:color w:val="000000"/>
          <w:sz w:val="22"/>
          <w:szCs w:val="22"/>
          <w:lang w:val="sr-Latn-ME"/>
        </w:rPr>
        <w:t>ede 4 ciklusa docetaksela (75 mg/m</w:t>
      </w:r>
      <w:r w:rsidRPr="005436C8">
        <w:rPr>
          <w:color w:val="000000"/>
          <w:sz w:val="22"/>
          <w:szCs w:val="22"/>
          <w:vertAlign w:val="superscript"/>
          <w:lang w:val="sr-Latn-ME"/>
        </w:rPr>
        <w:t>2</w:t>
      </w:r>
      <w:r w:rsidRPr="005436C8">
        <w:rPr>
          <w:color w:val="000000"/>
          <w:sz w:val="22"/>
          <w:szCs w:val="22"/>
          <w:lang w:val="sr-Latn-ME"/>
        </w:rPr>
        <w:t xml:space="preserve"> u prvom ciklusu a onda 100 mg/m</w:t>
      </w:r>
      <w:r w:rsidRPr="005436C8">
        <w:rPr>
          <w:color w:val="000000"/>
          <w:sz w:val="22"/>
          <w:szCs w:val="22"/>
          <w:vertAlign w:val="superscript"/>
          <w:lang w:val="sr-Latn-ME"/>
        </w:rPr>
        <w:t>2</w:t>
      </w:r>
      <w:r w:rsidRPr="005436C8">
        <w:rPr>
          <w:color w:val="000000"/>
          <w:sz w:val="22"/>
          <w:szCs w:val="22"/>
          <w:lang w:val="sr-Latn-ME"/>
        </w:rPr>
        <w:t xml:space="preserve"> u narednim ciklusima prema odluci istraživača) svake 3 ned</w:t>
      </w:r>
      <w:r w:rsidR="007D3F2E" w:rsidRPr="005436C8">
        <w:rPr>
          <w:color w:val="000000"/>
          <w:sz w:val="22"/>
          <w:szCs w:val="22"/>
          <w:lang w:val="sr-Latn-ME"/>
        </w:rPr>
        <w:t>j</w:t>
      </w:r>
      <w:r w:rsidRPr="005436C8">
        <w:rPr>
          <w:color w:val="000000"/>
          <w:sz w:val="22"/>
          <w:szCs w:val="22"/>
          <w:lang w:val="sr-Latn-ME"/>
        </w:rPr>
        <w:t>elje</w:t>
      </w:r>
      <w:r w:rsidR="002B6D8C" w:rsidRPr="005436C8">
        <w:rPr>
          <w:color w:val="000000"/>
          <w:sz w:val="22"/>
          <w:szCs w:val="22"/>
          <w:lang w:val="sr-Latn-ME"/>
        </w:rPr>
        <w:t>.</w:t>
      </w:r>
      <w:r w:rsidRPr="005436C8">
        <w:rPr>
          <w:color w:val="000000"/>
          <w:sz w:val="22"/>
          <w:szCs w:val="22"/>
          <w:lang w:val="sr-Latn-ME"/>
        </w:rPr>
        <w:t xml:space="preserve"> </w:t>
      </w:r>
    </w:p>
    <w:p w14:paraId="19556A63" w14:textId="77777777" w:rsidR="000C7302" w:rsidRPr="005436C8" w:rsidRDefault="000C7302" w:rsidP="005436C8">
      <w:pPr>
        <w:tabs>
          <w:tab w:val="left" w:pos="284"/>
        </w:tabs>
        <w:jc w:val="both"/>
        <w:rPr>
          <w:rFonts w:eastAsia="SimSun"/>
          <w:color w:val="000000"/>
          <w:sz w:val="22"/>
          <w:szCs w:val="22"/>
          <w:lang w:val="sr-Latn-ME"/>
        </w:rPr>
      </w:pPr>
    </w:p>
    <w:p w14:paraId="7CDF28A9" w14:textId="77777777" w:rsidR="000C7302" w:rsidRPr="005436C8" w:rsidRDefault="000C7302" w:rsidP="005436C8">
      <w:pPr>
        <w:tabs>
          <w:tab w:val="left" w:pos="284"/>
        </w:tabs>
        <w:jc w:val="both"/>
        <w:rPr>
          <w:rFonts w:eastAsia="SimSun"/>
          <w:color w:val="000000"/>
          <w:sz w:val="22"/>
          <w:szCs w:val="22"/>
          <w:lang w:val="sr-Latn-ME"/>
        </w:rPr>
      </w:pPr>
      <w:r w:rsidRPr="005436C8">
        <w:rPr>
          <w:color w:val="000000"/>
          <w:sz w:val="22"/>
          <w:szCs w:val="22"/>
          <w:lang w:val="sr-Latn-ME"/>
        </w:rPr>
        <w:t>Nakon hirurškog zahvata</w:t>
      </w:r>
      <w:r w:rsidR="002B6D8C" w:rsidRPr="005436C8">
        <w:rPr>
          <w:color w:val="000000"/>
          <w:sz w:val="22"/>
          <w:szCs w:val="22"/>
          <w:lang w:val="sr-Latn-ME"/>
        </w:rPr>
        <w:t>,</w:t>
      </w:r>
      <w:r w:rsidRPr="005436C8">
        <w:rPr>
          <w:color w:val="000000"/>
          <w:sz w:val="22"/>
          <w:szCs w:val="22"/>
          <w:lang w:val="sr-Latn-ME"/>
        </w:rPr>
        <w:t xml:space="preserve"> pacijenti su nastavili terapiju </w:t>
      </w:r>
      <w:r w:rsidR="00166973" w:rsidRPr="005436C8">
        <w:rPr>
          <w:color w:val="000000"/>
          <w:sz w:val="22"/>
          <w:szCs w:val="22"/>
          <w:lang w:val="sr-Latn-ME"/>
        </w:rPr>
        <w:t>lijek</w:t>
      </w:r>
      <w:r w:rsidRPr="005436C8">
        <w:rPr>
          <w:color w:val="000000"/>
          <w:sz w:val="22"/>
          <w:szCs w:val="22"/>
          <w:lang w:val="sr-Latn-ME"/>
        </w:rPr>
        <w:t xml:space="preserve">om </w:t>
      </w:r>
      <w:r w:rsidRPr="005436C8">
        <w:rPr>
          <w:noProof/>
          <w:color w:val="000000"/>
          <w:sz w:val="22"/>
          <w:szCs w:val="22"/>
          <w:lang w:val="sr-Latn-ME"/>
        </w:rPr>
        <w:t>Phesgo</w:t>
      </w:r>
      <w:r w:rsidRPr="005436C8">
        <w:rPr>
          <w:color w:val="000000"/>
          <w:sz w:val="22"/>
          <w:szCs w:val="22"/>
          <w:lang w:val="sr-Latn-ME"/>
        </w:rPr>
        <w:t xml:space="preserve"> ili intravenskim pertuzumabom i trastuzumabom koje su primali i pr</w:t>
      </w:r>
      <w:r w:rsidR="007D3F2E" w:rsidRPr="005436C8">
        <w:rPr>
          <w:color w:val="000000"/>
          <w:sz w:val="22"/>
          <w:szCs w:val="22"/>
          <w:lang w:val="sr-Latn-ME"/>
        </w:rPr>
        <w:t>ij</w:t>
      </w:r>
      <w:r w:rsidRPr="005436C8">
        <w:rPr>
          <w:color w:val="000000"/>
          <w:sz w:val="22"/>
          <w:szCs w:val="22"/>
          <w:lang w:val="sr-Latn-ME"/>
        </w:rPr>
        <w:t xml:space="preserve">e zahvata tokom dodatnih 14 ciklusa, što je ukupno iznosilo 18 ciklusa ciljane HER2 terapije. Pacijenti su primali i adjuvantnu radioterapiju i endokrinu terapiju u skladu sa lokalnom praksom. U adjuvantnom periodu je bila dozvoljena </w:t>
      </w:r>
      <w:r w:rsidR="00522BD8" w:rsidRPr="005436C8">
        <w:rPr>
          <w:color w:val="000000"/>
          <w:sz w:val="22"/>
          <w:szCs w:val="22"/>
          <w:lang w:val="sr-Latn-ME"/>
        </w:rPr>
        <w:t>zamjen</w:t>
      </w:r>
      <w:r w:rsidRPr="005436C8">
        <w:rPr>
          <w:color w:val="000000"/>
          <w:sz w:val="22"/>
          <w:szCs w:val="22"/>
          <w:lang w:val="sr-Latn-ME"/>
        </w:rPr>
        <w:t xml:space="preserve">a intravenskog trastuzumaba </w:t>
      </w:r>
      <w:r w:rsidR="00115EBA" w:rsidRPr="005436C8">
        <w:rPr>
          <w:color w:val="000000"/>
          <w:sz w:val="22"/>
          <w:szCs w:val="22"/>
          <w:lang w:val="sr-Latn-ME"/>
        </w:rPr>
        <w:t>subkutan</w:t>
      </w:r>
      <w:r w:rsidRPr="005436C8">
        <w:rPr>
          <w:color w:val="000000"/>
          <w:sz w:val="22"/>
          <w:szCs w:val="22"/>
          <w:lang w:val="sr-Latn-ME"/>
        </w:rPr>
        <w:t>im trastuzumabom, prema odluci istraživača. HER2 ciljana terapija davana je svake 3 ned</w:t>
      </w:r>
      <w:r w:rsidR="007D3F2E" w:rsidRPr="005436C8">
        <w:rPr>
          <w:color w:val="000000"/>
          <w:sz w:val="22"/>
          <w:szCs w:val="22"/>
          <w:lang w:val="sr-Latn-ME"/>
        </w:rPr>
        <w:t>j</w:t>
      </w:r>
      <w:r w:rsidRPr="005436C8">
        <w:rPr>
          <w:color w:val="000000"/>
          <w:sz w:val="22"/>
          <w:szCs w:val="22"/>
          <w:lang w:val="sr-Latn-ME"/>
        </w:rPr>
        <w:t>elje prema tabeli 3 na sl</w:t>
      </w:r>
      <w:r w:rsidR="007D3F2E" w:rsidRPr="005436C8">
        <w:rPr>
          <w:color w:val="000000"/>
          <w:sz w:val="22"/>
          <w:szCs w:val="22"/>
          <w:lang w:val="sr-Latn-ME"/>
        </w:rPr>
        <w:t>j</w:t>
      </w:r>
      <w:r w:rsidRPr="005436C8">
        <w:rPr>
          <w:color w:val="000000"/>
          <w:sz w:val="22"/>
          <w:szCs w:val="22"/>
          <w:lang w:val="sr-Latn-ME"/>
        </w:rPr>
        <w:t xml:space="preserve">edeći način: </w:t>
      </w:r>
    </w:p>
    <w:p w14:paraId="1827CD4A" w14:textId="77777777" w:rsidR="000C7302" w:rsidRPr="005436C8" w:rsidRDefault="000C7302" w:rsidP="005436C8">
      <w:pPr>
        <w:tabs>
          <w:tab w:val="left" w:pos="284"/>
        </w:tabs>
        <w:jc w:val="both"/>
        <w:rPr>
          <w:rFonts w:eastAsia="SimSun"/>
          <w:color w:val="000000"/>
          <w:sz w:val="22"/>
          <w:szCs w:val="22"/>
          <w:lang w:val="sr-Latn-ME"/>
        </w:rPr>
      </w:pPr>
    </w:p>
    <w:p w14:paraId="49FB46F4" w14:textId="77777777" w:rsidR="000C7302" w:rsidRPr="005436C8" w:rsidRDefault="000C7302" w:rsidP="005436C8">
      <w:pPr>
        <w:tabs>
          <w:tab w:val="left" w:pos="284"/>
        </w:tabs>
        <w:jc w:val="both"/>
        <w:rPr>
          <w:rFonts w:eastAsia="SimSun"/>
          <w:b/>
          <w:color w:val="000000"/>
          <w:sz w:val="22"/>
          <w:szCs w:val="22"/>
          <w:lang w:val="sr-Latn-ME"/>
        </w:rPr>
      </w:pPr>
      <w:r w:rsidRPr="005436C8">
        <w:rPr>
          <w:rFonts w:eastAsia="SimSun"/>
          <w:b/>
          <w:bCs/>
          <w:color w:val="000000"/>
          <w:sz w:val="22"/>
          <w:szCs w:val="22"/>
          <w:lang w:val="sr-Latn-ME"/>
        </w:rPr>
        <w:t xml:space="preserve">Tabela 3: Doziranje i </w:t>
      </w:r>
      <w:r w:rsidR="00A21698" w:rsidRPr="005436C8">
        <w:rPr>
          <w:rFonts w:eastAsia="SimSun"/>
          <w:b/>
          <w:bCs/>
          <w:color w:val="000000"/>
          <w:sz w:val="22"/>
          <w:szCs w:val="22"/>
          <w:lang w:val="sr-Latn-ME"/>
        </w:rPr>
        <w:t>primjena</w:t>
      </w:r>
      <w:r w:rsidRPr="005436C8">
        <w:rPr>
          <w:rFonts w:eastAsia="SimSun"/>
          <w:b/>
          <w:bCs/>
          <w:color w:val="000000"/>
          <w:sz w:val="22"/>
          <w:szCs w:val="22"/>
          <w:lang w:val="sr-Latn-ME"/>
        </w:rPr>
        <w:t xml:space="preserve"> </w:t>
      </w:r>
      <w:r w:rsidR="00166973" w:rsidRPr="005436C8">
        <w:rPr>
          <w:rFonts w:eastAsia="SimSun"/>
          <w:b/>
          <w:bCs/>
          <w:color w:val="000000"/>
          <w:sz w:val="22"/>
          <w:szCs w:val="22"/>
          <w:lang w:val="sr-Latn-ME"/>
        </w:rPr>
        <w:t>lijek</w:t>
      </w:r>
      <w:r w:rsidRPr="005436C8">
        <w:rPr>
          <w:rFonts w:eastAsia="SimSun"/>
          <w:b/>
          <w:bCs/>
          <w:color w:val="000000"/>
          <w:sz w:val="22"/>
          <w:szCs w:val="22"/>
          <w:lang w:val="sr-Latn-ME"/>
        </w:rPr>
        <w:t xml:space="preserve">a Phesgo, intravenskog pertuzumaba, intravenskog trastuzumaba i </w:t>
      </w:r>
      <w:r w:rsidR="00115EBA" w:rsidRPr="005436C8">
        <w:rPr>
          <w:rFonts w:eastAsia="SimSun"/>
          <w:b/>
          <w:bCs/>
          <w:color w:val="000000"/>
          <w:sz w:val="22"/>
          <w:szCs w:val="22"/>
          <w:lang w:val="sr-Latn-ME"/>
        </w:rPr>
        <w:t>subkutan</w:t>
      </w:r>
      <w:r w:rsidRPr="005436C8">
        <w:rPr>
          <w:rFonts w:eastAsia="SimSun"/>
          <w:b/>
          <w:bCs/>
          <w:color w:val="000000"/>
          <w:sz w:val="22"/>
          <w:szCs w:val="22"/>
          <w:lang w:val="sr-Latn-ME"/>
        </w:rPr>
        <w:t xml:space="preserve">og trastuzumaba </w:t>
      </w:r>
    </w:p>
    <w:p w14:paraId="47DDEBE3" w14:textId="77777777" w:rsidR="000C7302" w:rsidRPr="005436C8" w:rsidRDefault="000C7302" w:rsidP="005436C8">
      <w:pPr>
        <w:tabs>
          <w:tab w:val="left" w:pos="540"/>
          <w:tab w:val="left" w:pos="569"/>
        </w:tabs>
        <w:rPr>
          <w:b/>
          <w:bCs/>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591"/>
        <w:gridCol w:w="2210"/>
        <w:gridCol w:w="2368"/>
      </w:tblGrid>
      <w:tr w:rsidR="000C7302" w:rsidRPr="005436C8" w14:paraId="18256CB0" w14:textId="77777777" w:rsidTr="000C7302">
        <w:tc>
          <w:tcPr>
            <w:tcW w:w="1792" w:type="dxa"/>
            <w:vMerge w:val="restart"/>
            <w:shd w:val="clear" w:color="auto" w:fill="auto"/>
          </w:tcPr>
          <w:p w14:paraId="27AF36DD" w14:textId="77777777" w:rsidR="000C7302" w:rsidRPr="005436C8" w:rsidRDefault="00166973" w:rsidP="005436C8">
            <w:pPr>
              <w:rPr>
                <w:rFonts w:eastAsia="SimSun"/>
                <w:color w:val="000000" w:themeColor="text1"/>
                <w:sz w:val="22"/>
                <w:szCs w:val="22"/>
                <w:lang w:val="sr-Latn-ME"/>
              </w:rPr>
            </w:pPr>
            <w:r w:rsidRPr="005436C8">
              <w:rPr>
                <w:rFonts w:eastAsia="SimSun"/>
                <w:color w:val="000000" w:themeColor="text1"/>
                <w:sz w:val="22"/>
                <w:szCs w:val="22"/>
                <w:lang w:val="sr-Latn-ME"/>
              </w:rPr>
              <w:t>Lijek</w:t>
            </w:r>
            <w:r w:rsidR="000C7302" w:rsidRPr="005436C8">
              <w:rPr>
                <w:rFonts w:eastAsia="SimSun"/>
                <w:color w:val="000000" w:themeColor="text1"/>
                <w:sz w:val="22"/>
                <w:szCs w:val="22"/>
                <w:lang w:val="sr-Latn-ME"/>
              </w:rPr>
              <w:t xml:space="preserve"> </w:t>
            </w:r>
          </w:p>
        </w:tc>
        <w:tc>
          <w:tcPr>
            <w:tcW w:w="2610" w:type="dxa"/>
            <w:vMerge w:val="restart"/>
            <w:shd w:val="clear" w:color="auto" w:fill="auto"/>
          </w:tcPr>
          <w:p w14:paraId="07D87622"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 xml:space="preserve">Način </w:t>
            </w:r>
            <w:r w:rsidR="00A21698" w:rsidRPr="005436C8">
              <w:rPr>
                <w:rFonts w:eastAsia="SimSun"/>
                <w:color w:val="000000" w:themeColor="text1"/>
                <w:sz w:val="22"/>
                <w:szCs w:val="22"/>
                <w:lang w:val="sr-Latn-ME"/>
              </w:rPr>
              <w:t>primjene</w:t>
            </w:r>
          </w:p>
        </w:tc>
        <w:tc>
          <w:tcPr>
            <w:tcW w:w="4328" w:type="dxa"/>
            <w:gridSpan w:val="2"/>
            <w:shd w:val="clear" w:color="auto" w:fill="auto"/>
          </w:tcPr>
          <w:p w14:paraId="1638B286" w14:textId="77777777" w:rsidR="000C7302" w:rsidRPr="005436C8" w:rsidRDefault="000C7302" w:rsidP="005436C8">
            <w:pPr>
              <w:jc w:val="center"/>
              <w:rPr>
                <w:rFonts w:eastAsia="SimSun"/>
                <w:color w:val="000000" w:themeColor="text1"/>
                <w:sz w:val="22"/>
                <w:szCs w:val="22"/>
                <w:lang w:val="sr-Latn-ME"/>
              </w:rPr>
            </w:pPr>
            <w:r w:rsidRPr="005436C8">
              <w:rPr>
                <w:rFonts w:eastAsia="SimSun"/>
                <w:color w:val="000000" w:themeColor="text1"/>
                <w:sz w:val="22"/>
                <w:szCs w:val="22"/>
                <w:lang w:val="sr-Latn-ME"/>
              </w:rPr>
              <w:t>Doza</w:t>
            </w:r>
          </w:p>
        </w:tc>
      </w:tr>
      <w:tr w:rsidR="000C7302" w:rsidRPr="005436C8" w14:paraId="51E5CFBC" w14:textId="77777777" w:rsidTr="000C7302">
        <w:tc>
          <w:tcPr>
            <w:tcW w:w="1792" w:type="dxa"/>
            <w:vMerge/>
            <w:shd w:val="clear" w:color="auto" w:fill="auto"/>
          </w:tcPr>
          <w:p w14:paraId="6EC763A4" w14:textId="77777777" w:rsidR="000C7302" w:rsidRPr="005436C8" w:rsidRDefault="000C7302" w:rsidP="005436C8">
            <w:pPr>
              <w:rPr>
                <w:rFonts w:eastAsia="SimSun"/>
                <w:color w:val="000000" w:themeColor="text1"/>
                <w:sz w:val="22"/>
                <w:szCs w:val="22"/>
                <w:lang w:val="sr-Latn-ME"/>
              </w:rPr>
            </w:pPr>
          </w:p>
        </w:tc>
        <w:tc>
          <w:tcPr>
            <w:tcW w:w="2610" w:type="dxa"/>
            <w:vMerge/>
            <w:shd w:val="clear" w:color="auto" w:fill="auto"/>
          </w:tcPr>
          <w:p w14:paraId="72468442" w14:textId="77777777" w:rsidR="000C7302" w:rsidRPr="005436C8" w:rsidRDefault="000C7302" w:rsidP="005436C8">
            <w:pPr>
              <w:rPr>
                <w:rFonts w:eastAsia="SimSun"/>
                <w:color w:val="000000" w:themeColor="text1"/>
                <w:sz w:val="22"/>
                <w:szCs w:val="22"/>
                <w:lang w:val="sr-Latn-ME"/>
              </w:rPr>
            </w:pPr>
          </w:p>
        </w:tc>
        <w:tc>
          <w:tcPr>
            <w:tcW w:w="1956" w:type="dxa"/>
            <w:shd w:val="clear" w:color="auto" w:fill="auto"/>
          </w:tcPr>
          <w:p w14:paraId="164CD795"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Udarna</w:t>
            </w:r>
          </w:p>
        </w:tc>
        <w:tc>
          <w:tcPr>
            <w:tcW w:w="2372" w:type="dxa"/>
            <w:shd w:val="clear" w:color="auto" w:fill="auto"/>
          </w:tcPr>
          <w:p w14:paraId="1CF72F7F"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 xml:space="preserve">Održavanje </w:t>
            </w:r>
          </w:p>
        </w:tc>
      </w:tr>
      <w:tr w:rsidR="000C7302" w:rsidRPr="005436C8" w14:paraId="7C8E53D1" w14:textId="77777777" w:rsidTr="000C7302">
        <w:tc>
          <w:tcPr>
            <w:tcW w:w="1792" w:type="dxa"/>
            <w:shd w:val="clear" w:color="auto" w:fill="auto"/>
          </w:tcPr>
          <w:p w14:paraId="785F4CC4"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Phesgo</w:t>
            </w:r>
          </w:p>
        </w:tc>
        <w:tc>
          <w:tcPr>
            <w:tcW w:w="2610" w:type="dxa"/>
            <w:shd w:val="clear" w:color="auto" w:fill="auto"/>
          </w:tcPr>
          <w:p w14:paraId="7B10E380" w14:textId="77777777" w:rsidR="000C7302" w:rsidRPr="005436C8" w:rsidRDefault="00115EBA" w:rsidP="005436C8">
            <w:pPr>
              <w:rPr>
                <w:rFonts w:eastAsia="SimSun"/>
                <w:color w:val="000000" w:themeColor="text1"/>
                <w:sz w:val="22"/>
                <w:szCs w:val="22"/>
                <w:lang w:val="sr-Latn-ME"/>
              </w:rPr>
            </w:pPr>
            <w:r w:rsidRPr="005436C8">
              <w:rPr>
                <w:rFonts w:eastAsia="SimSun"/>
                <w:color w:val="000000" w:themeColor="text1"/>
                <w:sz w:val="22"/>
                <w:szCs w:val="22"/>
                <w:lang w:val="sr-Latn-ME"/>
              </w:rPr>
              <w:t>Subkutan</w:t>
            </w:r>
            <w:r w:rsidR="000C7302" w:rsidRPr="005436C8">
              <w:rPr>
                <w:rFonts w:eastAsia="SimSun"/>
                <w:color w:val="000000" w:themeColor="text1"/>
                <w:sz w:val="22"/>
                <w:szCs w:val="22"/>
                <w:lang w:val="sr-Latn-ME"/>
              </w:rPr>
              <w:t>a injekcija</w:t>
            </w:r>
          </w:p>
        </w:tc>
        <w:tc>
          <w:tcPr>
            <w:tcW w:w="1956" w:type="dxa"/>
            <w:shd w:val="clear" w:color="auto" w:fill="auto"/>
          </w:tcPr>
          <w:p w14:paraId="51F49FB5" w14:textId="77777777" w:rsidR="000C7302" w:rsidRPr="005436C8" w:rsidRDefault="00FE754C" w:rsidP="005436C8">
            <w:pPr>
              <w:rPr>
                <w:rFonts w:eastAsia="SimSun"/>
                <w:color w:val="000000" w:themeColor="text1"/>
                <w:sz w:val="22"/>
                <w:szCs w:val="22"/>
                <w:lang w:val="sr-Latn-ME"/>
              </w:rPr>
            </w:pPr>
            <w:r w:rsidRPr="005436C8">
              <w:rPr>
                <w:rFonts w:eastAsia="SimSun"/>
                <w:color w:val="000000" w:themeColor="text1"/>
                <w:sz w:val="22"/>
                <w:szCs w:val="22"/>
                <w:lang w:val="sr-Latn-ME"/>
              </w:rPr>
              <w:t>(</w:t>
            </w:r>
            <w:r w:rsidR="000C7302" w:rsidRPr="005436C8">
              <w:rPr>
                <w:rFonts w:eastAsia="SimSun"/>
                <w:color w:val="000000" w:themeColor="text1"/>
                <w:sz w:val="22"/>
                <w:szCs w:val="22"/>
                <w:lang w:val="sr-Latn-ME"/>
              </w:rPr>
              <w:t>1200 mg</w:t>
            </w:r>
            <w:r w:rsidRPr="005436C8">
              <w:rPr>
                <w:rFonts w:eastAsia="SimSun"/>
                <w:color w:val="000000" w:themeColor="text1"/>
                <w:sz w:val="22"/>
                <w:szCs w:val="22"/>
                <w:lang w:val="sr-Latn-ME"/>
              </w:rPr>
              <w:t>+</w:t>
            </w:r>
            <w:r w:rsidR="000C7302" w:rsidRPr="005436C8">
              <w:rPr>
                <w:rFonts w:eastAsia="SimSun"/>
                <w:color w:val="000000" w:themeColor="text1"/>
                <w:sz w:val="22"/>
                <w:szCs w:val="22"/>
                <w:lang w:val="sr-Latn-ME"/>
              </w:rPr>
              <w:t>600 mg</w:t>
            </w:r>
            <w:r w:rsidRPr="005436C8">
              <w:rPr>
                <w:rFonts w:eastAsia="SimSun"/>
                <w:color w:val="000000" w:themeColor="text1"/>
                <w:sz w:val="22"/>
                <w:szCs w:val="22"/>
                <w:lang w:val="sr-Latn-ME"/>
              </w:rPr>
              <w:t>)/15 ml</w:t>
            </w:r>
          </w:p>
        </w:tc>
        <w:tc>
          <w:tcPr>
            <w:tcW w:w="2372" w:type="dxa"/>
            <w:shd w:val="clear" w:color="auto" w:fill="auto"/>
          </w:tcPr>
          <w:p w14:paraId="309FC67C" w14:textId="77777777" w:rsidR="000C7302" w:rsidRPr="005436C8" w:rsidRDefault="00FE754C" w:rsidP="005436C8">
            <w:pPr>
              <w:rPr>
                <w:rFonts w:eastAsia="SimSun"/>
                <w:color w:val="000000" w:themeColor="text1"/>
                <w:sz w:val="22"/>
                <w:szCs w:val="22"/>
                <w:lang w:val="sr-Latn-ME"/>
              </w:rPr>
            </w:pPr>
            <w:r w:rsidRPr="005436C8">
              <w:rPr>
                <w:rFonts w:eastAsia="SimSun"/>
                <w:color w:val="000000" w:themeColor="text1"/>
                <w:sz w:val="22"/>
                <w:szCs w:val="22"/>
                <w:lang w:val="sr-Latn-ME"/>
              </w:rPr>
              <w:t>(</w:t>
            </w:r>
            <w:r w:rsidR="000C7302" w:rsidRPr="005436C8">
              <w:rPr>
                <w:rFonts w:eastAsia="SimSun"/>
                <w:color w:val="000000" w:themeColor="text1"/>
                <w:sz w:val="22"/>
                <w:szCs w:val="22"/>
                <w:lang w:val="sr-Latn-ME"/>
              </w:rPr>
              <w:t>600 mg</w:t>
            </w:r>
            <w:r w:rsidRPr="005436C8">
              <w:rPr>
                <w:rFonts w:eastAsia="SimSun"/>
                <w:color w:val="000000" w:themeColor="text1"/>
                <w:sz w:val="22"/>
                <w:szCs w:val="22"/>
                <w:lang w:val="sr-Latn-ME"/>
              </w:rPr>
              <w:t>+</w:t>
            </w:r>
            <w:r w:rsidR="000C7302" w:rsidRPr="005436C8">
              <w:rPr>
                <w:rFonts w:eastAsia="SimSun"/>
                <w:color w:val="000000" w:themeColor="text1"/>
                <w:sz w:val="22"/>
                <w:szCs w:val="22"/>
                <w:lang w:val="sr-Latn-ME"/>
              </w:rPr>
              <w:t>600 mg</w:t>
            </w:r>
            <w:r w:rsidRPr="005436C8">
              <w:rPr>
                <w:rFonts w:eastAsia="SimSun"/>
                <w:color w:val="000000" w:themeColor="text1"/>
                <w:sz w:val="22"/>
                <w:szCs w:val="22"/>
                <w:lang w:val="sr-Latn-ME"/>
              </w:rPr>
              <w:t>)/10 ml</w:t>
            </w:r>
          </w:p>
        </w:tc>
      </w:tr>
      <w:tr w:rsidR="000C7302" w:rsidRPr="005436C8" w14:paraId="37E5C192" w14:textId="77777777" w:rsidTr="000C7302">
        <w:tc>
          <w:tcPr>
            <w:tcW w:w="1792" w:type="dxa"/>
            <w:shd w:val="clear" w:color="auto" w:fill="auto"/>
          </w:tcPr>
          <w:p w14:paraId="7B3271C8"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Pertuzumab</w:t>
            </w:r>
          </w:p>
        </w:tc>
        <w:tc>
          <w:tcPr>
            <w:tcW w:w="2610" w:type="dxa"/>
            <w:shd w:val="clear" w:color="auto" w:fill="auto"/>
          </w:tcPr>
          <w:p w14:paraId="59440568"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Intravenska infuzija</w:t>
            </w:r>
          </w:p>
        </w:tc>
        <w:tc>
          <w:tcPr>
            <w:tcW w:w="1956" w:type="dxa"/>
            <w:shd w:val="clear" w:color="auto" w:fill="auto"/>
          </w:tcPr>
          <w:p w14:paraId="21905B72"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840 mg</w:t>
            </w:r>
          </w:p>
        </w:tc>
        <w:tc>
          <w:tcPr>
            <w:tcW w:w="2372" w:type="dxa"/>
            <w:shd w:val="clear" w:color="auto" w:fill="auto"/>
          </w:tcPr>
          <w:p w14:paraId="3A10F723"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420 mg</w:t>
            </w:r>
          </w:p>
        </w:tc>
      </w:tr>
      <w:tr w:rsidR="000C7302" w:rsidRPr="005436C8" w14:paraId="5D225DEB" w14:textId="77777777" w:rsidTr="000C7302">
        <w:tc>
          <w:tcPr>
            <w:tcW w:w="1792" w:type="dxa"/>
            <w:shd w:val="clear" w:color="auto" w:fill="auto"/>
          </w:tcPr>
          <w:p w14:paraId="043FDF4D"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Trastuzumab</w:t>
            </w:r>
          </w:p>
        </w:tc>
        <w:tc>
          <w:tcPr>
            <w:tcW w:w="2610" w:type="dxa"/>
            <w:shd w:val="clear" w:color="auto" w:fill="auto"/>
          </w:tcPr>
          <w:p w14:paraId="2166379C"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Intravenska infuzija</w:t>
            </w:r>
          </w:p>
        </w:tc>
        <w:tc>
          <w:tcPr>
            <w:tcW w:w="1956" w:type="dxa"/>
            <w:shd w:val="clear" w:color="auto" w:fill="auto"/>
          </w:tcPr>
          <w:p w14:paraId="69701CB5"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8 mg/kg</w:t>
            </w:r>
          </w:p>
        </w:tc>
        <w:tc>
          <w:tcPr>
            <w:tcW w:w="2372" w:type="dxa"/>
            <w:shd w:val="clear" w:color="auto" w:fill="auto"/>
          </w:tcPr>
          <w:p w14:paraId="0D0A3F12"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6 mg/kg</w:t>
            </w:r>
          </w:p>
        </w:tc>
      </w:tr>
      <w:tr w:rsidR="000C7302" w:rsidRPr="005436C8" w14:paraId="307D3EEB" w14:textId="77777777" w:rsidTr="000C7302">
        <w:tc>
          <w:tcPr>
            <w:tcW w:w="1792" w:type="dxa"/>
            <w:shd w:val="clear" w:color="auto" w:fill="auto"/>
          </w:tcPr>
          <w:p w14:paraId="0A79EC0C" w14:textId="77777777" w:rsidR="000C7302" w:rsidRPr="005436C8" w:rsidRDefault="000C7302" w:rsidP="005436C8">
            <w:pPr>
              <w:rPr>
                <w:rFonts w:eastAsia="SimSun"/>
                <w:color w:val="000000" w:themeColor="text1"/>
                <w:sz w:val="22"/>
                <w:szCs w:val="22"/>
                <w:lang w:val="sr-Latn-ME"/>
              </w:rPr>
            </w:pPr>
            <w:r w:rsidRPr="005436C8">
              <w:rPr>
                <w:rFonts w:eastAsia="SimSun"/>
                <w:color w:val="000000" w:themeColor="text1"/>
                <w:sz w:val="22"/>
                <w:szCs w:val="22"/>
                <w:lang w:val="sr-Latn-ME"/>
              </w:rPr>
              <w:t xml:space="preserve">Trastuzumab </w:t>
            </w:r>
          </w:p>
        </w:tc>
        <w:tc>
          <w:tcPr>
            <w:tcW w:w="2610" w:type="dxa"/>
            <w:shd w:val="clear" w:color="auto" w:fill="auto"/>
          </w:tcPr>
          <w:p w14:paraId="02613C83" w14:textId="77777777" w:rsidR="000C7302" w:rsidRPr="005436C8" w:rsidRDefault="00115EBA" w:rsidP="005436C8">
            <w:pPr>
              <w:rPr>
                <w:rFonts w:eastAsia="SimSun"/>
                <w:color w:val="000000" w:themeColor="text1"/>
                <w:sz w:val="22"/>
                <w:szCs w:val="22"/>
                <w:lang w:val="sr-Latn-ME"/>
              </w:rPr>
            </w:pPr>
            <w:r w:rsidRPr="005436C8">
              <w:rPr>
                <w:rFonts w:eastAsia="SimSun"/>
                <w:color w:val="000000" w:themeColor="text1"/>
                <w:sz w:val="22"/>
                <w:szCs w:val="22"/>
                <w:lang w:val="sr-Latn-ME"/>
              </w:rPr>
              <w:t>Subkutan</w:t>
            </w:r>
            <w:r w:rsidR="000C7302" w:rsidRPr="005436C8">
              <w:rPr>
                <w:rFonts w:eastAsia="SimSun"/>
                <w:color w:val="000000" w:themeColor="text1"/>
                <w:sz w:val="22"/>
                <w:szCs w:val="22"/>
                <w:lang w:val="sr-Latn-ME"/>
              </w:rPr>
              <w:t xml:space="preserve">a injekcija </w:t>
            </w:r>
          </w:p>
        </w:tc>
        <w:tc>
          <w:tcPr>
            <w:tcW w:w="4328" w:type="dxa"/>
            <w:gridSpan w:val="2"/>
            <w:shd w:val="clear" w:color="auto" w:fill="auto"/>
          </w:tcPr>
          <w:p w14:paraId="675B313F" w14:textId="77777777" w:rsidR="000C7302" w:rsidRPr="005436C8" w:rsidRDefault="000C7302" w:rsidP="005436C8">
            <w:pPr>
              <w:jc w:val="center"/>
              <w:rPr>
                <w:rFonts w:eastAsia="SimSun"/>
                <w:color w:val="000000" w:themeColor="text1"/>
                <w:sz w:val="22"/>
                <w:szCs w:val="22"/>
                <w:lang w:val="sr-Latn-ME"/>
              </w:rPr>
            </w:pPr>
            <w:r w:rsidRPr="005436C8">
              <w:rPr>
                <w:rFonts w:eastAsia="SimSun"/>
                <w:color w:val="000000" w:themeColor="text1"/>
                <w:sz w:val="22"/>
                <w:szCs w:val="22"/>
                <w:lang w:val="sr-Latn-ME"/>
              </w:rPr>
              <w:t>600 mg</w:t>
            </w:r>
          </w:p>
        </w:tc>
      </w:tr>
    </w:tbl>
    <w:p w14:paraId="4FE37F9B" w14:textId="77777777" w:rsidR="000C7302" w:rsidRPr="005436C8" w:rsidRDefault="000C7302" w:rsidP="005436C8">
      <w:pPr>
        <w:tabs>
          <w:tab w:val="left" w:pos="540"/>
          <w:tab w:val="left" w:pos="569"/>
        </w:tabs>
        <w:rPr>
          <w:b/>
          <w:bCs/>
          <w:sz w:val="22"/>
          <w:szCs w:val="22"/>
          <w:lang w:val="sr-Latn-ME"/>
        </w:rPr>
      </w:pPr>
    </w:p>
    <w:p w14:paraId="65A34D06"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Ispitivanje FEDERICA bilo je dizajnirano tako da pokaže neinferiornost najnižih serumskih koncentracija C</w:t>
      </w:r>
      <w:r w:rsidRPr="005436C8">
        <w:rPr>
          <w:color w:val="000000"/>
          <w:sz w:val="22"/>
          <w:szCs w:val="22"/>
          <w:vertAlign w:val="subscript"/>
          <w:lang w:val="sr-Latn-ME"/>
        </w:rPr>
        <w:t>trough</w:t>
      </w:r>
      <w:r w:rsidRPr="005436C8">
        <w:rPr>
          <w:color w:val="000000"/>
          <w:sz w:val="22"/>
          <w:szCs w:val="22"/>
          <w:lang w:val="sr-Latn-ME"/>
        </w:rPr>
        <w:t xml:space="preserve"> pertuzumaba u 7. ciklusu (tj. </w:t>
      </w:r>
      <w:r w:rsidR="00522BD8" w:rsidRPr="005436C8">
        <w:rPr>
          <w:color w:val="000000"/>
          <w:sz w:val="22"/>
          <w:szCs w:val="22"/>
          <w:lang w:val="sr-Latn-ME"/>
        </w:rPr>
        <w:t>prije</w:t>
      </w:r>
      <w:r w:rsidRPr="005436C8">
        <w:rPr>
          <w:color w:val="000000"/>
          <w:sz w:val="22"/>
          <w:szCs w:val="22"/>
          <w:lang w:val="sr-Latn-ME"/>
        </w:rPr>
        <w:t xml:space="preserve"> </w:t>
      </w:r>
      <w:r w:rsidR="00A21698" w:rsidRPr="005436C8">
        <w:rPr>
          <w:color w:val="000000"/>
          <w:sz w:val="22"/>
          <w:szCs w:val="22"/>
          <w:lang w:val="sr-Latn-ME"/>
        </w:rPr>
        <w:t>primjene</w:t>
      </w:r>
      <w:r w:rsidRPr="005436C8">
        <w:rPr>
          <w:color w:val="000000"/>
          <w:sz w:val="22"/>
          <w:szCs w:val="22"/>
          <w:lang w:val="sr-Latn-ME"/>
        </w:rPr>
        <w:t xml:space="preserve"> doze u 8. ciklusu) kod </w:t>
      </w:r>
      <w:r w:rsidR="00A21698" w:rsidRPr="005436C8">
        <w:rPr>
          <w:color w:val="000000"/>
          <w:sz w:val="22"/>
          <w:szCs w:val="22"/>
          <w:lang w:val="sr-Latn-ME"/>
        </w:rPr>
        <w:t>primjene</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u odnosu na intravenski pertuzumab (primarna krajnja tačka). </w:t>
      </w:r>
      <w:r w:rsidR="00782B97">
        <w:rPr>
          <w:color w:val="000000"/>
          <w:sz w:val="22"/>
          <w:szCs w:val="22"/>
          <w:lang w:val="sr-Latn-ME"/>
        </w:rPr>
        <w:t>Ključne</w:t>
      </w:r>
      <w:r w:rsidR="00782B97" w:rsidRPr="005436C8">
        <w:rPr>
          <w:color w:val="000000"/>
          <w:sz w:val="22"/>
          <w:szCs w:val="22"/>
          <w:lang w:val="sr-Latn-ME"/>
        </w:rPr>
        <w:t xml:space="preserve"> </w:t>
      </w:r>
      <w:r w:rsidRPr="005436C8">
        <w:rPr>
          <w:color w:val="000000"/>
          <w:sz w:val="22"/>
          <w:szCs w:val="22"/>
          <w:lang w:val="sr-Latn-ME"/>
        </w:rPr>
        <w:t xml:space="preserve">sekundarne krajnje tačke </w:t>
      </w:r>
      <w:r w:rsidR="00782B97">
        <w:rPr>
          <w:color w:val="000000"/>
          <w:sz w:val="22"/>
          <w:szCs w:val="22"/>
          <w:lang w:val="sr-Latn-ME"/>
        </w:rPr>
        <w:t>u vr</w:t>
      </w:r>
      <w:r w:rsidR="007A7EC2">
        <w:rPr>
          <w:color w:val="000000"/>
          <w:sz w:val="22"/>
          <w:szCs w:val="22"/>
          <w:lang w:val="sr-Latn-ME"/>
        </w:rPr>
        <w:t>ij</w:t>
      </w:r>
      <w:r w:rsidR="00782B97">
        <w:rPr>
          <w:color w:val="000000"/>
          <w:sz w:val="22"/>
          <w:szCs w:val="22"/>
          <w:lang w:val="sr-Latn-ME"/>
        </w:rPr>
        <w:t xml:space="preserve">eme primarne analize </w:t>
      </w:r>
      <w:r w:rsidRPr="005436C8">
        <w:rPr>
          <w:color w:val="000000"/>
          <w:sz w:val="22"/>
          <w:szCs w:val="22"/>
          <w:lang w:val="sr-Latn-ME"/>
        </w:rPr>
        <w:t>obuhvatile su neinferiornost C</w:t>
      </w:r>
      <w:r w:rsidRPr="005436C8">
        <w:rPr>
          <w:color w:val="000000"/>
          <w:sz w:val="22"/>
          <w:szCs w:val="22"/>
          <w:vertAlign w:val="subscript"/>
          <w:lang w:val="sr-Latn-ME"/>
        </w:rPr>
        <w:t>trough</w:t>
      </w:r>
      <w:r w:rsidRPr="005436C8">
        <w:rPr>
          <w:color w:val="000000"/>
          <w:sz w:val="22"/>
          <w:szCs w:val="22"/>
          <w:lang w:val="sr-Latn-ME"/>
        </w:rPr>
        <w:t xml:space="preserve"> trastuzumaba u serumu u 7. ciklusu kod </w:t>
      </w:r>
      <w:r w:rsidR="00A21698" w:rsidRPr="005436C8">
        <w:rPr>
          <w:color w:val="000000"/>
          <w:sz w:val="22"/>
          <w:szCs w:val="22"/>
          <w:lang w:val="sr-Latn-ME"/>
        </w:rPr>
        <w:lastRenderedPageBreak/>
        <w:t>primjene</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u poređenju sa intravenskim trastuzumabom i ishode za </w:t>
      </w:r>
      <w:r w:rsidR="00680BD5" w:rsidRPr="005436C8">
        <w:rPr>
          <w:color w:val="000000"/>
          <w:sz w:val="22"/>
          <w:szCs w:val="22"/>
          <w:lang w:val="sr-Latn-ME"/>
        </w:rPr>
        <w:t xml:space="preserve">efikasnost </w:t>
      </w:r>
      <w:r w:rsidRPr="005436C8">
        <w:rPr>
          <w:color w:val="000000"/>
          <w:sz w:val="22"/>
          <w:szCs w:val="22"/>
          <w:lang w:val="sr-Latn-ME"/>
        </w:rPr>
        <w:t xml:space="preserve">(lokalno </w:t>
      </w:r>
      <w:r w:rsidR="00FE754C" w:rsidRPr="005436C8">
        <w:rPr>
          <w:color w:val="000000"/>
          <w:sz w:val="22"/>
          <w:szCs w:val="22"/>
          <w:lang w:val="sr-Latn-ME"/>
        </w:rPr>
        <w:t>procijenjen</w:t>
      </w:r>
      <w:r w:rsidRPr="005436C8">
        <w:rPr>
          <w:color w:val="000000"/>
          <w:sz w:val="22"/>
          <w:szCs w:val="22"/>
          <w:lang w:val="sr-Latn-ME"/>
        </w:rPr>
        <w:t xml:space="preserve"> ukupan patološki kompletan odgovor, tpCR) i </w:t>
      </w:r>
      <w:r w:rsidR="00385576" w:rsidRPr="005436C8">
        <w:rPr>
          <w:color w:val="000000"/>
          <w:sz w:val="22"/>
          <w:szCs w:val="22"/>
          <w:lang w:val="sr-Latn-ME"/>
        </w:rPr>
        <w:t>bezbjednost</w:t>
      </w:r>
      <w:r w:rsidRPr="005436C8">
        <w:rPr>
          <w:color w:val="000000"/>
          <w:sz w:val="22"/>
          <w:szCs w:val="22"/>
          <w:lang w:val="sr-Latn-ME"/>
        </w:rPr>
        <w:t>.</w:t>
      </w:r>
      <w:r w:rsidR="00782B97" w:rsidRPr="00782B97">
        <w:rPr>
          <w:color w:val="000000" w:themeColor="text1"/>
          <w:sz w:val="22"/>
          <w:szCs w:val="22"/>
          <w:lang w:val="hr-HR"/>
        </w:rPr>
        <w:t xml:space="preserve"> </w:t>
      </w:r>
      <w:r w:rsidR="00782B97" w:rsidRPr="00782B97">
        <w:rPr>
          <w:color w:val="000000"/>
          <w:sz w:val="22"/>
          <w:szCs w:val="22"/>
          <w:lang w:val="hr-HR"/>
        </w:rPr>
        <w:t>Druge sekundarne krajnje tačke uključivale su dugoročnu bezb</w:t>
      </w:r>
      <w:r w:rsidR="00782B97">
        <w:rPr>
          <w:color w:val="000000"/>
          <w:sz w:val="22"/>
          <w:szCs w:val="22"/>
          <w:lang w:val="hr-HR"/>
        </w:rPr>
        <w:t>j</w:t>
      </w:r>
      <w:r w:rsidR="00782B97" w:rsidRPr="00782B97">
        <w:rPr>
          <w:color w:val="000000"/>
          <w:sz w:val="22"/>
          <w:szCs w:val="22"/>
          <w:lang w:val="hr-HR"/>
        </w:rPr>
        <w:t xml:space="preserve">ednost i kliničke ishode (preživljavanje bez znakova invazivne bolesti </w:t>
      </w:r>
      <w:r w:rsidR="00782B97" w:rsidRPr="00782B97">
        <w:rPr>
          <w:color w:val="000000"/>
          <w:sz w:val="22"/>
          <w:szCs w:val="22"/>
          <w:lang w:val="hr-HR"/>
        </w:rPr>
        <w:sym w:font="Symbol" w:char="F05B"/>
      </w:r>
      <w:r w:rsidR="00782B97" w:rsidRPr="00782B97">
        <w:rPr>
          <w:color w:val="000000"/>
          <w:sz w:val="22"/>
          <w:szCs w:val="22"/>
          <w:lang w:val="hr-HR"/>
        </w:rPr>
        <w:t xml:space="preserve">(engl. </w:t>
      </w:r>
      <w:r w:rsidR="00782B97" w:rsidRPr="00782B97">
        <w:rPr>
          <w:i/>
          <w:iCs/>
          <w:color w:val="000000"/>
          <w:sz w:val="22"/>
          <w:szCs w:val="22"/>
          <w:lang w:val="hr-HR"/>
        </w:rPr>
        <w:t>invasive</w:t>
      </w:r>
      <w:r w:rsidR="00782B97" w:rsidRPr="00782B97">
        <w:rPr>
          <w:color w:val="000000"/>
          <w:sz w:val="22"/>
          <w:szCs w:val="22"/>
          <w:lang w:val="hr-HR"/>
        </w:rPr>
        <w:t xml:space="preserve"> </w:t>
      </w:r>
      <w:r w:rsidR="00782B97" w:rsidRPr="00782B97">
        <w:rPr>
          <w:i/>
          <w:iCs/>
          <w:color w:val="000000"/>
          <w:sz w:val="22"/>
          <w:szCs w:val="22"/>
          <w:lang w:val="hr-HR"/>
        </w:rPr>
        <w:t>disease</w:t>
      </w:r>
      <w:r w:rsidR="00782B97" w:rsidRPr="00782B97">
        <w:rPr>
          <w:i/>
          <w:iCs/>
          <w:color w:val="000000"/>
          <w:sz w:val="22"/>
          <w:szCs w:val="22"/>
          <w:lang w:val="hr-HR"/>
        </w:rPr>
        <w:noBreakHyphen/>
        <w:t>free survival</w:t>
      </w:r>
      <w:r w:rsidR="00782B97" w:rsidRPr="00782B97">
        <w:rPr>
          <w:color w:val="000000"/>
          <w:sz w:val="22"/>
          <w:szCs w:val="22"/>
          <w:lang w:val="hr-HR"/>
        </w:rPr>
        <w:t>, iDFS</w:t>
      </w:r>
      <w:r w:rsidR="00782B97" w:rsidRPr="00782B97">
        <w:rPr>
          <w:color w:val="000000"/>
          <w:sz w:val="22"/>
          <w:szCs w:val="22"/>
          <w:lang w:val="hr-HR"/>
        </w:rPr>
        <w:sym w:font="Symbol" w:char="F05D"/>
      </w:r>
      <w:r w:rsidR="00782B97" w:rsidRPr="00782B97">
        <w:rPr>
          <w:color w:val="000000"/>
          <w:sz w:val="22"/>
          <w:szCs w:val="22"/>
          <w:lang w:val="hr-HR"/>
        </w:rPr>
        <w:t xml:space="preserve">) i ukupno preživljavanje </w:t>
      </w:r>
      <w:r w:rsidR="00782B97" w:rsidRPr="00782B97">
        <w:rPr>
          <w:color w:val="000000"/>
          <w:sz w:val="22"/>
          <w:szCs w:val="22"/>
          <w:lang w:val="hr-HR"/>
        </w:rPr>
        <w:sym w:font="Symbol" w:char="F05B"/>
      </w:r>
      <w:r w:rsidR="00782B97" w:rsidRPr="00782B97">
        <w:rPr>
          <w:color w:val="000000"/>
          <w:sz w:val="22"/>
          <w:szCs w:val="22"/>
          <w:lang w:val="hr-HR"/>
        </w:rPr>
        <w:t xml:space="preserve">engl. </w:t>
      </w:r>
      <w:r w:rsidR="00782B97" w:rsidRPr="00782B97">
        <w:rPr>
          <w:i/>
          <w:iCs/>
          <w:color w:val="000000"/>
          <w:sz w:val="22"/>
          <w:szCs w:val="22"/>
          <w:lang w:val="hr-HR"/>
        </w:rPr>
        <w:t>overall survival,</w:t>
      </w:r>
      <w:r w:rsidR="00782B97" w:rsidRPr="00782B97">
        <w:rPr>
          <w:color w:val="000000"/>
          <w:sz w:val="22"/>
          <w:szCs w:val="22"/>
          <w:lang w:val="hr-HR"/>
        </w:rPr>
        <w:t xml:space="preserve"> OS</w:t>
      </w:r>
      <w:r w:rsidR="00782B97" w:rsidRPr="00782B97">
        <w:rPr>
          <w:color w:val="000000"/>
          <w:sz w:val="22"/>
          <w:szCs w:val="22"/>
          <w:lang w:val="hr-HR"/>
        </w:rPr>
        <w:sym w:font="Symbol" w:char="F05D"/>
      </w:r>
      <w:r w:rsidR="00782B97" w:rsidRPr="00782B97">
        <w:rPr>
          <w:color w:val="000000"/>
          <w:sz w:val="22"/>
          <w:szCs w:val="22"/>
          <w:lang w:val="hr-HR"/>
        </w:rPr>
        <w:t>).</w:t>
      </w:r>
      <w:r w:rsidRPr="005436C8">
        <w:rPr>
          <w:color w:val="000000"/>
          <w:sz w:val="22"/>
          <w:szCs w:val="22"/>
          <w:lang w:val="sr-Latn-ME"/>
        </w:rPr>
        <w:t xml:space="preserve"> Demografske karakteristike bile su dobro ujednačene između dv</w:t>
      </w:r>
      <w:r w:rsidR="00680BD5" w:rsidRPr="005436C8">
        <w:rPr>
          <w:color w:val="000000"/>
          <w:sz w:val="22"/>
          <w:szCs w:val="22"/>
          <w:lang w:val="sr-Latn-ME"/>
        </w:rPr>
        <w:t>ij</w:t>
      </w:r>
      <w:r w:rsidRPr="005436C8">
        <w:rPr>
          <w:color w:val="000000"/>
          <w:sz w:val="22"/>
          <w:szCs w:val="22"/>
          <w:lang w:val="sr-Latn-ME"/>
        </w:rPr>
        <w:t xml:space="preserve">e terapijske grupe, a medijana starosti pacijenata </w:t>
      </w:r>
      <w:r w:rsidR="00097926" w:rsidRPr="005436C8">
        <w:rPr>
          <w:color w:val="000000"/>
          <w:sz w:val="22"/>
          <w:szCs w:val="22"/>
          <w:lang w:val="sr-Latn-ME"/>
        </w:rPr>
        <w:t>liječeni</w:t>
      </w:r>
      <w:r w:rsidRPr="005436C8">
        <w:rPr>
          <w:color w:val="000000"/>
          <w:sz w:val="22"/>
          <w:szCs w:val="22"/>
          <w:lang w:val="sr-Latn-ME"/>
        </w:rPr>
        <w:t xml:space="preserve">h u sklopu ispitivanja iznosila je 51 godinu. </w:t>
      </w:r>
      <w:r w:rsidRPr="005436C8">
        <w:rPr>
          <w:color w:val="000000"/>
          <w:sz w:val="22"/>
          <w:szCs w:val="22"/>
          <w:shd w:val="clear" w:color="auto" w:fill="FFFFFF"/>
          <w:lang w:val="sr-Latn-ME"/>
        </w:rPr>
        <w:t>Većina pacijenata je bila b</w:t>
      </w:r>
      <w:r w:rsidR="00680BD5" w:rsidRPr="005436C8">
        <w:rPr>
          <w:color w:val="000000"/>
          <w:sz w:val="22"/>
          <w:szCs w:val="22"/>
          <w:shd w:val="clear" w:color="auto" w:fill="FFFFFF"/>
          <w:lang w:val="sr-Latn-ME"/>
        </w:rPr>
        <w:t>ij</w:t>
      </w:r>
      <w:r w:rsidRPr="005436C8">
        <w:rPr>
          <w:color w:val="000000"/>
          <w:sz w:val="22"/>
          <w:szCs w:val="22"/>
          <w:shd w:val="clear" w:color="auto" w:fill="FFFFFF"/>
          <w:lang w:val="sr-Latn-ME"/>
        </w:rPr>
        <w:t>ele rase (65,8%) i imala je bolest pozitivnu na hormonske receptore (61,2%) i zahvaćene limfne čvorove (57,6%).</w:t>
      </w:r>
    </w:p>
    <w:p w14:paraId="44CED8B7" w14:textId="77777777" w:rsidR="000C7302" w:rsidRPr="005436C8" w:rsidRDefault="000C7302" w:rsidP="005436C8">
      <w:pPr>
        <w:tabs>
          <w:tab w:val="left" w:pos="284"/>
        </w:tabs>
        <w:jc w:val="both"/>
        <w:rPr>
          <w:rFonts w:eastAsia="SimSun"/>
          <w:color w:val="000000"/>
          <w:sz w:val="22"/>
          <w:szCs w:val="22"/>
          <w:lang w:val="sr-Latn-ME"/>
        </w:rPr>
      </w:pPr>
    </w:p>
    <w:p w14:paraId="4E5CAFC8" w14:textId="77777777" w:rsidR="000C7302" w:rsidRPr="005436C8" w:rsidRDefault="000C7302">
      <w:pPr>
        <w:tabs>
          <w:tab w:val="left" w:pos="284"/>
        </w:tabs>
        <w:jc w:val="both"/>
        <w:rPr>
          <w:rFonts w:eastAsia="SimSun"/>
          <w:color w:val="000000"/>
          <w:sz w:val="22"/>
          <w:szCs w:val="22"/>
          <w:lang w:val="sr-Latn-ME"/>
        </w:rPr>
      </w:pPr>
      <w:r w:rsidRPr="005436C8">
        <w:rPr>
          <w:color w:val="000000"/>
          <w:sz w:val="22"/>
          <w:szCs w:val="22"/>
          <w:lang w:val="sr-Latn-ME"/>
        </w:rPr>
        <w:t xml:space="preserve">Za informacije o neinferiornoj izloženosti pertuzumabu i trastuzumabu kod </w:t>
      </w:r>
      <w:r w:rsidR="00A21698" w:rsidRPr="005436C8">
        <w:rPr>
          <w:color w:val="000000"/>
          <w:sz w:val="22"/>
          <w:szCs w:val="22"/>
          <w:lang w:val="sr-Latn-ME"/>
        </w:rPr>
        <w:t>primjene</w:t>
      </w:r>
      <w:r w:rsidRPr="005436C8">
        <w:rPr>
          <w:color w:val="000000"/>
          <w:sz w:val="22"/>
          <w:szCs w:val="22"/>
          <w:lang w:val="sr-Latn-ME"/>
        </w:rPr>
        <w:t xml:space="preserve">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w:t>
      </w:r>
      <w:r w:rsidR="00042D9A">
        <w:rPr>
          <w:color w:val="000000"/>
          <w:sz w:val="22"/>
          <w:szCs w:val="22"/>
          <w:lang w:val="sr-Latn-ME"/>
        </w:rPr>
        <w:t>vidjeti dio</w:t>
      </w:r>
      <w:r w:rsidRPr="005436C8">
        <w:rPr>
          <w:color w:val="000000"/>
          <w:sz w:val="22"/>
          <w:szCs w:val="22"/>
          <w:lang w:val="sr-Latn-ME"/>
        </w:rPr>
        <w:t xml:space="preserve"> 5.2. Za informacije o bezb</w:t>
      </w:r>
      <w:r w:rsidR="005537B1" w:rsidRPr="005436C8">
        <w:rPr>
          <w:color w:val="000000"/>
          <w:sz w:val="22"/>
          <w:szCs w:val="22"/>
          <w:lang w:val="sr-Latn-ME"/>
        </w:rPr>
        <w:t>j</w:t>
      </w:r>
      <w:r w:rsidRPr="005436C8">
        <w:rPr>
          <w:color w:val="000000"/>
          <w:sz w:val="22"/>
          <w:szCs w:val="22"/>
          <w:lang w:val="sr-Latn-ME"/>
        </w:rPr>
        <w:t xml:space="preserve">ednosnom profilu </w:t>
      </w:r>
      <w:r w:rsidR="002A2CA8">
        <w:rPr>
          <w:color w:val="000000"/>
          <w:sz w:val="22"/>
          <w:szCs w:val="22"/>
          <w:lang w:val="sr-Latn-ME"/>
        </w:rPr>
        <w:t>vidjeti dio</w:t>
      </w:r>
      <w:r w:rsidRPr="005436C8">
        <w:rPr>
          <w:color w:val="000000"/>
          <w:sz w:val="22"/>
          <w:szCs w:val="22"/>
          <w:lang w:val="sr-Latn-ME"/>
        </w:rPr>
        <w:t xml:space="preserve"> 4.8.</w:t>
      </w:r>
    </w:p>
    <w:p w14:paraId="54D07A8D" w14:textId="77777777" w:rsidR="000C7302" w:rsidRPr="005436C8" w:rsidRDefault="000C7302">
      <w:pPr>
        <w:tabs>
          <w:tab w:val="left" w:pos="284"/>
        </w:tabs>
        <w:jc w:val="both"/>
        <w:rPr>
          <w:rFonts w:eastAsia="SimSun"/>
          <w:color w:val="000000"/>
          <w:sz w:val="22"/>
          <w:szCs w:val="22"/>
          <w:lang w:val="sr-Latn-ME"/>
        </w:rPr>
      </w:pPr>
    </w:p>
    <w:p w14:paraId="07FB7810" w14:textId="6B63FCD1" w:rsidR="000C7302" w:rsidRPr="005436C8" w:rsidRDefault="000C7302" w:rsidP="007920A4">
      <w:pPr>
        <w:jc w:val="both"/>
        <w:rPr>
          <w:rFonts w:eastAsia="SimSun"/>
          <w:color w:val="000000"/>
          <w:sz w:val="22"/>
          <w:szCs w:val="22"/>
          <w:lang w:val="sr-Latn-ME"/>
        </w:rPr>
      </w:pPr>
      <w:r w:rsidRPr="005436C8">
        <w:rPr>
          <w:color w:val="000000"/>
          <w:sz w:val="22"/>
          <w:szCs w:val="22"/>
          <w:lang w:val="sr-Latn-ME"/>
        </w:rPr>
        <w:t xml:space="preserve">Analiza sekundarne krajnje tačke efikasnosti, tpCR (lokalno </w:t>
      </w:r>
      <w:r w:rsidR="00FE754C" w:rsidRPr="005436C8">
        <w:rPr>
          <w:color w:val="000000"/>
          <w:sz w:val="22"/>
          <w:szCs w:val="22"/>
          <w:lang w:val="sr-Latn-ME"/>
        </w:rPr>
        <w:t>procijenjen</w:t>
      </w:r>
      <w:r w:rsidRPr="005436C8">
        <w:rPr>
          <w:color w:val="000000"/>
          <w:sz w:val="22"/>
          <w:szCs w:val="22"/>
          <w:lang w:val="sr-Latn-ME"/>
        </w:rPr>
        <w:t>e), definisane kao odsustvo invazivne bolesti u dojci i aksili (ypT0/is, ypN0)</w:t>
      </w:r>
      <w:r w:rsidR="00680BD5" w:rsidRPr="005436C8">
        <w:rPr>
          <w:color w:val="000000"/>
          <w:sz w:val="22"/>
          <w:szCs w:val="22"/>
          <w:lang w:val="sr-Latn-ME"/>
        </w:rPr>
        <w:t>,</w:t>
      </w:r>
      <w:r w:rsidRPr="005436C8">
        <w:rPr>
          <w:color w:val="000000"/>
          <w:sz w:val="22"/>
          <w:szCs w:val="22"/>
          <w:lang w:val="sr-Latn-ME"/>
        </w:rPr>
        <w:t xml:space="preserve"> prikazana je u tabeli 4. </w:t>
      </w:r>
      <w:r w:rsidR="007920A4">
        <w:rPr>
          <w:lang w:val="hr-HR"/>
        </w:rPr>
        <w:t xml:space="preserve">Rezultati finalne analize </w:t>
      </w:r>
      <w:r w:rsidR="007920A4" w:rsidRPr="00FD7AF9">
        <w:rPr>
          <w:lang w:val="hr-HR"/>
        </w:rPr>
        <w:t>preživljavanj</w:t>
      </w:r>
      <w:r w:rsidR="007920A4">
        <w:rPr>
          <w:lang w:val="hr-HR"/>
        </w:rPr>
        <w:t>a</w:t>
      </w:r>
      <w:r w:rsidR="007920A4" w:rsidRPr="00FD7AF9">
        <w:rPr>
          <w:lang w:val="hr-HR"/>
        </w:rPr>
        <w:t xml:space="preserve"> bez znakova invazivne bolesti </w:t>
      </w:r>
      <w:r w:rsidR="007920A4" w:rsidRPr="00FD7AF9">
        <w:rPr>
          <w:lang w:val="hr-HR"/>
        </w:rPr>
        <w:sym w:font="Symbol" w:char="F05B"/>
      </w:r>
      <w:r w:rsidR="007920A4" w:rsidRPr="00FD7AF9">
        <w:rPr>
          <w:lang w:val="hr-HR"/>
        </w:rPr>
        <w:t xml:space="preserve">(engl. </w:t>
      </w:r>
      <w:r w:rsidR="007920A4" w:rsidRPr="00FD7AF9">
        <w:rPr>
          <w:i/>
          <w:iCs/>
          <w:lang w:val="hr-HR"/>
        </w:rPr>
        <w:t>invasive</w:t>
      </w:r>
      <w:r w:rsidR="007920A4" w:rsidRPr="00FD7AF9">
        <w:rPr>
          <w:lang w:val="hr-HR"/>
        </w:rPr>
        <w:t xml:space="preserve"> </w:t>
      </w:r>
      <w:r w:rsidR="007920A4" w:rsidRPr="00FD7AF9">
        <w:rPr>
          <w:i/>
          <w:iCs/>
          <w:lang w:val="hr-HR"/>
        </w:rPr>
        <w:t>disease</w:t>
      </w:r>
      <w:r w:rsidR="007920A4" w:rsidRPr="00FD7AF9">
        <w:rPr>
          <w:i/>
          <w:iCs/>
          <w:lang w:val="hr-HR"/>
        </w:rPr>
        <w:noBreakHyphen/>
        <w:t>free survival</w:t>
      </w:r>
      <w:r w:rsidR="007920A4" w:rsidRPr="00FD7AF9">
        <w:rPr>
          <w:lang w:val="hr-HR"/>
        </w:rPr>
        <w:t>, iDFS</w:t>
      </w:r>
      <w:r w:rsidR="007920A4" w:rsidRPr="00FD7AF9">
        <w:rPr>
          <w:lang w:val="hr-HR"/>
        </w:rPr>
        <w:sym w:font="Symbol" w:char="F05D"/>
      </w:r>
      <w:r w:rsidR="007920A4" w:rsidRPr="00FD7AF9">
        <w:rPr>
          <w:lang w:val="hr-HR"/>
        </w:rPr>
        <w:t>) i ukupno</w:t>
      </w:r>
      <w:r w:rsidR="007920A4">
        <w:rPr>
          <w:lang w:val="hr-HR"/>
        </w:rPr>
        <w:t>g</w:t>
      </w:r>
      <w:r w:rsidR="007920A4" w:rsidRPr="00FD7AF9">
        <w:rPr>
          <w:lang w:val="hr-HR"/>
        </w:rPr>
        <w:t xml:space="preserve"> preživljavanje </w:t>
      </w:r>
      <w:r w:rsidR="007920A4" w:rsidRPr="00FD7AF9">
        <w:rPr>
          <w:lang w:val="hr-HR"/>
        </w:rPr>
        <w:sym w:font="Symbol" w:char="F05B"/>
      </w:r>
      <w:r w:rsidR="007920A4" w:rsidRPr="00FD7AF9">
        <w:rPr>
          <w:lang w:val="hr-HR"/>
        </w:rPr>
        <w:t xml:space="preserve">engl. </w:t>
      </w:r>
      <w:r w:rsidR="007920A4" w:rsidRPr="00FD7AF9">
        <w:rPr>
          <w:i/>
          <w:iCs/>
          <w:lang w:val="hr-HR"/>
        </w:rPr>
        <w:t>overall survival,</w:t>
      </w:r>
      <w:r w:rsidR="007920A4" w:rsidRPr="00FD7AF9">
        <w:rPr>
          <w:lang w:val="hr-HR"/>
        </w:rPr>
        <w:t xml:space="preserve"> OS</w:t>
      </w:r>
      <w:r w:rsidR="007920A4" w:rsidRPr="00FD7AF9">
        <w:rPr>
          <w:lang w:val="hr-HR"/>
        </w:rPr>
        <w:sym w:font="Symbol" w:char="F05D"/>
      </w:r>
      <w:r w:rsidR="007920A4" w:rsidRPr="00FD7AF9">
        <w:rPr>
          <w:lang w:val="hr-HR"/>
        </w:rPr>
        <w:t>)</w:t>
      </w:r>
      <w:r w:rsidR="007920A4">
        <w:rPr>
          <w:lang w:val="hr-HR"/>
        </w:rPr>
        <w:t xml:space="preserve"> do 2 Juna 2023 kao završnim datumom kliničkog prikupljanja podataka</w:t>
      </w:r>
      <w:r w:rsidR="007920A4">
        <w:rPr>
          <w:lang w:val="sr-Latn-RS"/>
        </w:rPr>
        <w:t xml:space="preserve"> i medijanom praćenja od 51 mjesec takođe su prikazani u Tabeli 4</w:t>
      </w:r>
      <w:r w:rsidR="007920A4" w:rsidRPr="00FD7AF9">
        <w:rPr>
          <w:lang w:val="hr-HR"/>
        </w:rPr>
        <w:t>.</w:t>
      </w:r>
    </w:p>
    <w:p w14:paraId="5539AB11" w14:textId="77777777" w:rsidR="000C7302" w:rsidRPr="005436C8" w:rsidRDefault="000C7302" w:rsidP="005436C8">
      <w:pPr>
        <w:keepNext/>
        <w:keepLines/>
        <w:tabs>
          <w:tab w:val="left" w:pos="284"/>
        </w:tabs>
        <w:jc w:val="both"/>
        <w:rPr>
          <w:rFonts w:eastAsia="SimSun"/>
          <w:b/>
          <w:color w:val="000000"/>
          <w:sz w:val="22"/>
          <w:szCs w:val="22"/>
          <w:lang w:val="sr-Latn-ME"/>
        </w:rPr>
      </w:pPr>
      <w:r w:rsidRPr="005436C8">
        <w:rPr>
          <w:rFonts w:eastAsia="SimSun"/>
          <w:b/>
          <w:bCs/>
          <w:color w:val="000000"/>
          <w:sz w:val="22"/>
          <w:szCs w:val="22"/>
          <w:lang w:val="sr-Latn-ME"/>
        </w:rPr>
        <w:t xml:space="preserve">Tabela 4: Sažet pregled </w:t>
      </w:r>
      <w:r w:rsidR="00782B97">
        <w:rPr>
          <w:rFonts w:eastAsia="SimSun"/>
          <w:b/>
          <w:bCs/>
          <w:color w:val="000000"/>
          <w:sz w:val="22"/>
          <w:szCs w:val="22"/>
          <w:lang w:val="sr-Latn-ME"/>
        </w:rPr>
        <w:t>efikasnosti</w:t>
      </w:r>
    </w:p>
    <w:p w14:paraId="2064A04A" w14:textId="77777777" w:rsidR="000C7302" w:rsidRPr="005436C8" w:rsidRDefault="000C7302" w:rsidP="005436C8">
      <w:pPr>
        <w:tabs>
          <w:tab w:val="left" w:pos="540"/>
          <w:tab w:val="left" w:pos="569"/>
        </w:tabs>
        <w:rPr>
          <w:b/>
          <w:bCs/>
          <w:sz w:val="22"/>
          <w:szCs w:val="22"/>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1"/>
        <w:gridCol w:w="48"/>
        <w:gridCol w:w="1880"/>
      </w:tblGrid>
      <w:tr w:rsidR="000C7302" w:rsidRPr="005436C8" w14:paraId="4E4C94F0" w14:textId="77777777" w:rsidTr="000C7302">
        <w:tc>
          <w:tcPr>
            <w:tcW w:w="5307" w:type="dxa"/>
            <w:shd w:val="clear" w:color="auto" w:fill="auto"/>
          </w:tcPr>
          <w:p w14:paraId="4F660D0D" w14:textId="77777777" w:rsidR="000C7302" w:rsidRPr="005436C8" w:rsidRDefault="000C7302" w:rsidP="005436C8">
            <w:pPr>
              <w:keepNext/>
              <w:keepLines/>
              <w:tabs>
                <w:tab w:val="left" w:pos="284"/>
              </w:tabs>
              <w:jc w:val="both"/>
              <w:rPr>
                <w:rFonts w:eastAsia="SimSun"/>
                <w:color w:val="000000"/>
                <w:sz w:val="22"/>
                <w:szCs w:val="22"/>
                <w:lang w:val="sr-Latn-ME"/>
              </w:rPr>
            </w:pPr>
          </w:p>
        </w:tc>
        <w:tc>
          <w:tcPr>
            <w:tcW w:w="1831" w:type="dxa"/>
            <w:shd w:val="clear" w:color="auto" w:fill="auto"/>
          </w:tcPr>
          <w:p w14:paraId="190F8138" w14:textId="77777777" w:rsidR="000C7302" w:rsidRPr="005436C8" w:rsidRDefault="000C7302" w:rsidP="009B712A">
            <w:pPr>
              <w:keepNext/>
              <w:keepLines/>
              <w:tabs>
                <w:tab w:val="left" w:pos="284"/>
              </w:tabs>
              <w:jc w:val="center"/>
              <w:rPr>
                <w:rFonts w:eastAsia="SimSun"/>
                <w:color w:val="000000"/>
                <w:sz w:val="22"/>
                <w:szCs w:val="22"/>
                <w:lang w:val="sr-Latn-ME"/>
              </w:rPr>
            </w:pPr>
            <w:r w:rsidRPr="005436C8">
              <w:rPr>
                <w:rFonts w:eastAsia="SimSun"/>
                <w:color w:val="000000"/>
                <w:sz w:val="22"/>
                <w:szCs w:val="22"/>
                <w:lang w:val="sr-Latn-ME"/>
              </w:rPr>
              <w:t>Phesgo</w:t>
            </w:r>
          </w:p>
          <w:p w14:paraId="02DCFE7D" w14:textId="77777777" w:rsidR="000C7302" w:rsidRPr="005436C8" w:rsidRDefault="000C7302" w:rsidP="009B712A">
            <w:pPr>
              <w:keepNext/>
              <w:keepLines/>
              <w:tabs>
                <w:tab w:val="left" w:pos="284"/>
              </w:tabs>
              <w:jc w:val="center"/>
              <w:rPr>
                <w:rFonts w:eastAsia="SimSun"/>
                <w:color w:val="000000"/>
                <w:sz w:val="22"/>
                <w:szCs w:val="22"/>
                <w:lang w:val="sr-Latn-ME"/>
              </w:rPr>
            </w:pPr>
            <w:r w:rsidRPr="005436C8">
              <w:rPr>
                <w:rFonts w:eastAsia="SimSun"/>
                <w:color w:val="000000"/>
                <w:sz w:val="22"/>
                <w:szCs w:val="22"/>
                <w:lang w:val="sr-Latn-ME"/>
              </w:rPr>
              <w:t>(n=248)</w:t>
            </w:r>
          </w:p>
        </w:tc>
        <w:tc>
          <w:tcPr>
            <w:tcW w:w="1928" w:type="dxa"/>
            <w:gridSpan w:val="2"/>
            <w:shd w:val="clear" w:color="auto" w:fill="auto"/>
          </w:tcPr>
          <w:p w14:paraId="731BBD46" w14:textId="77777777" w:rsidR="000C7302" w:rsidRPr="005436C8" w:rsidRDefault="000C7302" w:rsidP="009B712A">
            <w:pPr>
              <w:keepNext/>
              <w:keepLines/>
              <w:tabs>
                <w:tab w:val="left" w:pos="284"/>
              </w:tabs>
              <w:jc w:val="center"/>
              <w:rPr>
                <w:rFonts w:eastAsia="SimSun"/>
                <w:color w:val="000000"/>
                <w:sz w:val="22"/>
                <w:szCs w:val="22"/>
                <w:lang w:val="sr-Latn-ME"/>
              </w:rPr>
            </w:pPr>
            <w:r w:rsidRPr="005436C8">
              <w:rPr>
                <w:rFonts w:eastAsia="SimSun"/>
                <w:color w:val="000000"/>
                <w:sz w:val="22"/>
                <w:szCs w:val="22"/>
                <w:lang w:val="sr-Latn-ME"/>
              </w:rPr>
              <w:t>Intravenski pertuzumab + trastuzumab</w:t>
            </w:r>
          </w:p>
          <w:p w14:paraId="0A392BA8" w14:textId="77777777" w:rsidR="000C7302" w:rsidRPr="005436C8" w:rsidRDefault="000C7302" w:rsidP="009B712A">
            <w:pPr>
              <w:keepNext/>
              <w:keepLines/>
              <w:tabs>
                <w:tab w:val="left" w:pos="284"/>
              </w:tabs>
              <w:jc w:val="center"/>
              <w:rPr>
                <w:rFonts w:eastAsia="SimSun"/>
                <w:color w:val="000000"/>
                <w:sz w:val="22"/>
                <w:szCs w:val="22"/>
                <w:lang w:val="sr-Latn-ME"/>
              </w:rPr>
            </w:pPr>
            <w:r w:rsidRPr="005436C8">
              <w:rPr>
                <w:rFonts w:eastAsia="SimSun"/>
                <w:color w:val="000000"/>
                <w:sz w:val="22"/>
                <w:szCs w:val="22"/>
                <w:lang w:val="sr-Latn-ME"/>
              </w:rPr>
              <w:t>(n=252)</w:t>
            </w:r>
          </w:p>
        </w:tc>
      </w:tr>
      <w:tr w:rsidR="00782B97" w:rsidRPr="005436C8" w14:paraId="1D09313D" w14:textId="77777777" w:rsidTr="000C7302">
        <w:tc>
          <w:tcPr>
            <w:tcW w:w="5307" w:type="dxa"/>
            <w:shd w:val="clear" w:color="auto" w:fill="auto"/>
          </w:tcPr>
          <w:p w14:paraId="6AFA8AE9" w14:textId="77777777" w:rsidR="00782B97" w:rsidRPr="00F4539F" w:rsidRDefault="00782B97" w:rsidP="009B712A">
            <w:pPr>
              <w:keepNext/>
              <w:keepLines/>
              <w:tabs>
                <w:tab w:val="left" w:pos="284"/>
              </w:tabs>
              <w:rPr>
                <w:rFonts w:eastAsia="SimSun"/>
                <w:b/>
                <w:color w:val="000000"/>
                <w:sz w:val="22"/>
                <w:szCs w:val="22"/>
                <w:lang w:val="sr-Latn-ME"/>
              </w:rPr>
            </w:pPr>
            <w:r w:rsidRPr="00F4539F">
              <w:rPr>
                <w:rFonts w:eastAsia="SimSun"/>
                <w:b/>
                <w:color w:val="000000"/>
                <w:sz w:val="22"/>
                <w:szCs w:val="22"/>
                <w:lang w:val="sr-Latn-ME"/>
              </w:rPr>
              <w:t>Ukupan patološki kompletan odgovor (tpCR)</w:t>
            </w:r>
          </w:p>
        </w:tc>
        <w:tc>
          <w:tcPr>
            <w:tcW w:w="1831" w:type="dxa"/>
            <w:shd w:val="clear" w:color="auto" w:fill="auto"/>
          </w:tcPr>
          <w:p w14:paraId="28AFF0AD" w14:textId="77777777" w:rsidR="00782B97" w:rsidRPr="005436C8" w:rsidRDefault="00782B97" w:rsidP="005436C8">
            <w:pPr>
              <w:keepNext/>
              <w:keepLines/>
              <w:tabs>
                <w:tab w:val="left" w:pos="284"/>
              </w:tabs>
              <w:jc w:val="both"/>
              <w:rPr>
                <w:rFonts w:eastAsia="SimSun"/>
                <w:color w:val="000000"/>
                <w:sz w:val="22"/>
                <w:szCs w:val="22"/>
                <w:lang w:val="sr-Latn-ME"/>
              </w:rPr>
            </w:pPr>
          </w:p>
        </w:tc>
        <w:tc>
          <w:tcPr>
            <w:tcW w:w="1928" w:type="dxa"/>
            <w:gridSpan w:val="2"/>
            <w:shd w:val="clear" w:color="auto" w:fill="auto"/>
          </w:tcPr>
          <w:p w14:paraId="00B0E336" w14:textId="77777777" w:rsidR="00782B97" w:rsidRPr="005436C8" w:rsidRDefault="00782B97" w:rsidP="005436C8">
            <w:pPr>
              <w:keepNext/>
              <w:keepLines/>
              <w:tabs>
                <w:tab w:val="left" w:pos="284"/>
              </w:tabs>
              <w:jc w:val="both"/>
              <w:rPr>
                <w:rFonts w:eastAsia="SimSun"/>
                <w:color w:val="000000"/>
                <w:sz w:val="22"/>
                <w:szCs w:val="22"/>
                <w:lang w:val="sr-Latn-ME"/>
              </w:rPr>
            </w:pPr>
          </w:p>
        </w:tc>
      </w:tr>
      <w:tr w:rsidR="00782B97" w:rsidRPr="005436C8" w14:paraId="69562085" w14:textId="77777777" w:rsidTr="000C7302">
        <w:tc>
          <w:tcPr>
            <w:tcW w:w="5307" w:type="dxa"/>
            <w:shd w:val="clear" w:color="auto" w:fill="auto"/>
          </w:tcPr>
          <w:p w14:paraId="04B2A17E" w14:textId="77777777" w:rsidR="00782B97" w:rsidRPr="005436C8" w:rsidRDefault="00782B97" w:rsidP="009B712A">
            <w:pPr>
              <w:keepNext/>
              <w:keepLines/>
              <w:tabs>
                <w:tab w:val="left" w:pos="284"/>
              </w:tabs>
              <w:rPr>
                <w:rFonts w:eastAsia="SimSun"/>
                <w:color w:val="000000"/>
                <w:sz w:val="22"/>
                <w:szCs w:val="22"/>
                <w:lang w:val="sr-Latn-ME"/>
              </w:rPr>
            </w:pPr>
            <w:r>
              <w:rPr>
                <w:rFonts w:eastAsia="SimSun"/>
                <w:color w:val="000000"/>
                <w:sz w:val="22"/>
                <w:szCs w:val="22"/>
                <w:lang w:val="sr-Latn-ME"/>
              </w:rPr>
              <w:t>n</w:t>
            </w:r>
          </w:p>
        </w:tc>
        <w:tc>
          <w:tcPr>
            <w:tcW w:w="1831" w:type="dxa"/>
            <w:shd w:val="clear" w:color="auto" w:fill="auto"/>
          </w:tcPr>
          <w:p w14:paraId="53EA23D2" w14:textId="77777777" w:rsidR="00782B97" w:rsidRPr="005436C8" w:rsidRDefault="00782B97" w:rsidP="009B712A">
            <w:pPr>
              <w:keepNext/>
              <w:keepLines/>
              <w:tabs>
                <w:tab w:val="left" w:pos="284"/>
              </w:tabs>
              <w:jc w:val="center"/>
              <w:rPr>
                <w:rFonts w:eastAsia="SimSun"/>
                <w:color w:val="000000"/>
                <w:sz w:val="22"/>
                <w:szCs w:val="22"/>
                <w:lang w:val="sr-Latn-ME"/>
              </w:rPr>
            </w:pPr>
            <w:r>
              <w:rPr>
                <w:rFonts w:eastAsia="SimSun"/>
                <w:color w:val="000000"/>
                <w:sz w:val="22"/>
                <w:szCs w:val="22"/>
                <w:lang w:val="sr-Latn-ME"/>
              </w:rPr>
              <w:t>248</w:t>
            </w:r>
          </w:p>
        </w:tc>
        <w:tc>
          <w:tcPr>
            <w:tcW w:w="1928" w:type="dxa"/>
            <w:gridSpan w:val="2"/>
            <w:shd w:val="clear" w:color="auto" w:fill="auto"/>
          </w:tcPr>
          <w:p w14:paraId="586D0498" w14:textId="77777777" w:rsidR="00782B97" w:rsidRPr="005436C8" w:rsidRDefault="00782B97" w:rsidP="009B712A">
            <w:pPr>
              <w:keepNext/>
              <w:keepLines/>
              <w:tabs>
                <w:tab w:val="left" w:pos="284"/>
              </w:tabs>
              <w:jc w:val="center"/>
              <w:rPr>
                <w:rFonts w:eastAsia="SimSun"/>
                <w:color w:val="000000"/>
                <w:sz w:val="22"/>
                <w:szCs w:val="22"/>
                <w:lang w:val="sr-Latn-ME"/>
              </w:rPr>
            </w:pPr>
            <w:r>
              <w:rPr>
                <w:rFonts w:eastAsia="SimSun"/>
                <w:color w:val="000000"/>
                <w:sz w:val="22"/>
                <w:szCs w:val="22"/>
                <w:lang w:val="sr-Latn-ME"/>
              </w:rPr>
              <w:t>252</w:t>
            </w:r>
          </w:p>
        </w:tc>
      </w:tr>
      <w:tr w:rsidR="000C7302" w:rsidRPr="005436C8" w14:paraId="49954067" w14:textId="77777777" w:rsidTr="000C7302">
        <w:tc>
          <w:tcPr>
            <w:tcW w:w="5307" w:type="dxa"/>
            <w:shd w:val="clear" w:color="auto" w:fill="auto"/>
          </w:tcPr>
          <w:p w14:paraId="282A7E56" w14:textId="77777777" w:rsidR="000C7302" w:rsidRPr="005436C8" w:rsidRDefault="000C7302" w:rsidP="009B712A">
            <w:pPr>
              <w:tabs>
                <w:tab w:val="left" w:pos="284"/>
              </w:tabs>
              <w:rPr>
                <w:rFonts w:eastAsia="SimSun"/>
                <w:color w:val="000000"/>
                <w:sz w:val="22"/>
                <w:szCs w:val="22"/>
                <w:lang w:val="sr-Latn-ME"/>
              </w:rPr>
            </w:pPr>
            <w:r w:rsidRPr="005436C8">
              <w:rPr>
                <w:rFonts w:eastAsia="SimSun"/>
                <w:color w:val="000000"/>
                <w:sz w:val="22"/>
                <w:szCs w:val="22"/>
                <w:lang w:val="sr-Latn-ME"/>
              </w:rPr>
              <w:t>tpCR (ypT0/is, ypN0)</w:t>
            </w:r>
          </w:p>
        </w:tc>
        <w:tc>
          <w:tcPr>
            <w:tcW w:w="1831" w:type="dxa"/>
            <w:shd w:val="clear" w:color="auto" w:fill="auto"/>
          </w:tcPr>
          <w:p w14:paraId="013D71ED" w14:textId="77777777" w:rsidR="000C7302" w:rsidRPr="005436C8" w:rsidRDefault="000C7302" w:rsidP="009B712A">
            <w:pPr>
              <w:spacing w:before="100" w:beforeAutospacing="1" w:after="100" w:afterAutospacing="1"/>
              <w:jc w:val="center"/>
              <w:rPr>
                <w:color w:val="000000"/>
                <w:sz w:val="22"/>
                <w:szCs w:val="22"/>
                <w:lang w:val="sr-Latn-ME" w:eastAsia="zh-CN"/>
              </w:rPr>
            </w:pPr>
            <w:r w:rsidRPr="005436C8">
              <w:rPr>
                <w:color w:val="000000"/>
                <w:sz w:val="22"/>
                <w:szCs w:val="22"/>
                <w:lang w:val="sr-Latn-ME" w:eastAsia="zh-CN"/>
              </w:rPr>
              <w:t>148 (59,7%)</w:t>
            </w:r>
          </w:p>
        </w:tc>
        <w:tc>
          <w:tcPr>
            <w:tcW w:w="1928" w:type="dxa"/>
            <w:gridSpan w:val="2"/>
            <w:shd w:val="clear" w:color="auto" w:fill="auto"/>
          </w:tcPr>
          <w:p w14:paraId="2D484BEB" w14:textId="77777777" w:rsidR="000C7302" w:rsidRPr="005436C8" w:rsidRDefault="000C7302" w:rsidP="009B712A">
            <w:pPr>
              <w:spacing w:before="100" w:beforeAutospacing="1" w:after="100" w:afterAutospacing="1"/>
              <w:jc w:val="center"/>
              <w:rPr>
                <w:color w:val="000000"/>
                <w:sz w:val="22"/>
                <w:szCs w:val="22"/>
                <w:lang w:val="sr-Latn-ME" w:eastAsia="zh-CN"/>
              </w:rPr>
            </w:pPr>
            <w:r w:rsidRPr="005436C8">
              <w:rPr>
                <w:color w:val="000000"/>
                <w:sz w:val="22"/>
                <w:szCs w:val="22"/>
                <w:lang w:val="sr-Latn-ME" w:eastAsia="zh-CN"/>
              </w:rPr>
              <w:t>150 (59,5%)</w:t>
            </w:r>
          </w:p>
        </w:tc>
      </w:tr>
      <w:tr w:rsidR="000C7302" w:rsidRPr="005436C8" w14:paraId="731A0DBC" w14:textId="77777777" w:rsidTr="000C7302">
        <w:tc>
          <w:tcPr>
            <w:tcW w:w="5307" w:type="dxa"/>
            <w:shd w:val="clear" w:color="auto" w:fill="auto"/>
          </w:tcPr>
          <w:p w14:paraId="7DD48013" w14:textId="77777777" w:rsidR="000C7302" w:rsidRPr="005436C8" w:rsidRDefault="000C7302" w:rsidP="009B712A">
            <w:pPr>
              <w:tabs>
                <w:tab w:val="left" w:pos="284"/>
              </w:tabs>
              <w:rPr>
                <w:rFonts w:eastAsia="SimSun"/>
                <w:color w:val="000000"/>
                <w:sz w:val="22"/>
                <w:szCs w:val="22"/>
                <w:lang w:val="sr-Latn-ME"/>
              </w:rPr>
            </w:pPr>
            <w:r w:rsidRPr="005436C8">
              <w:rPr>
                <w:rFonts w:eastAsia="SimSun"/>
                <w:color w:val="000000"/>
                <w:sz w:val="22"/>
                <w:szCs w:val="22"/>
                <w:lang w:val="sr-Latn-ME"/>
              </w:rPr>
              <w:t xml:space="preserve">95% CI </w:t>
            </w:r>
            <w:r w:rsidRPr="005436C8">
              <w:rPr>
                <w:rFonts w:eastAsia="SimSun"/>
                <w:color w:val="000000"/>
                <w:sz w:val="22"/>
                <w:szCs w:val="22"/>
                <w:vertAlign w:val="superscript"/>
                <w:lang w:val="sr-Latn-ME"/>
              </w:rPr>
              <w:t>1</w:t>
            </w:r>
          </w:p>
        </w:tc>
        <w:tc>
          <w:tcPr>
            <w:tcW w:w="1831" w:type="dxa"/>
            <w:shd w:val="clear" w:color="auto" w:fill="auto"/>
          </w:tcPr>
          <w:p w14:paraId="5C425A87" w14:textId="77777777" w:rsidR="000C7302" w:rsidRPr="005436C8" w:rsidRDefault="000C7302" w:rsidP="009B712A">
            <w:pPr>
              <w:tabs>
                <w:tab w:val="left" w:pos="284"/>
              </w:tabs>
              <w:jc w:val="center"/>
              <w:rPr>
                <w:rFonts w:eastAsia="SimSun"/>
                <w:color w:val="000000"/>
                <w:sz w:val="22"/>
                <w:szCs w:val="22"/>
                <w:lang w:val="sr-Latn-ME"/>
              </w:rPr>
            </w:pPr>
            <w:r w:rsidRPr="005436C8">
              <w:rPr>
                <w:color w:val="000000"/>
                <w:sz w:val="22"/>
                <w:szCs w:val="22"/>
                <w:lang w:val="sr-Latn-ME"/>
              </w:rPr>
              <w:t>(53,28; 65,84)</w:t>
            </w:r>
          </w:p>
        </w:tc>
        <w:tc>
          <w:tcPr>
            <w:tcW w:w="1928" w:type="dxa"/>
            <w:gridSpan w:val="2"/>
            <w:shd w:val="clear" w:color="auto" w:fill="auto"/>
          </w:tcPr>
          <w:p w14:paraId="7897D02C" w14:textId="77777777" w:rsidR="000C7302" w:rsidRPr="005436C8" w:rsidRDefault="000C7302" w:rsidP="009B712A">
            <w:pPr>
              <w:tabs>
                <w:tab w:val="left" w:pos="284"/>
              </w:tabs>
              <w:jc w:val="center"/>
              <w:rPr>
                <w:rFonts w:eastAsia="SimSun"/>
                <w:color w:val="000000"/>
                <w:sz w:val="22"/>
                <w:szCs w:val="22"/>
                <w:lang w:val="sr-Latn-ME"/>
              </w:rPr>
            </w:pPr>
            <w:r w:rsidRPr="005436C8">
              <w:rPr>
                <w:color w:val="000000"/>
                <w:sz w:val="22"/>
                <w:szCs w:val="22"/>
                <w:lang w:val="sr-Latn-ME"/>
              </w:rPr>
              <w:t>(53,18; 65,64)</w:t>
            </w:r>
          </w:p>
        </w:tc>
      </w:tr>
      <w:tr w:rsidR="00782B97" w:rsidRPr="001802A5" w14:paraId="34FAA09D" w14:textId="77777777" w:rsidTr="00782B97">
        <w:tc>
          <w:tcPr>
            <w:tcW w:w="5307" w:type="dxa"/>
            <w:tcBorders>
              <w:top w:val="single" w:sz="4" w:space="0" w:color="auto"/>
              <w:left w:val="single" w:sz="4" w:space="0" w:color="auto"/>
              <w:bottom w:val="single" w:sz="4" w:space="0" w:color="auto"/>
              <w:right w:val="single" w:sz="4" w:space="0" w:color="auto"/>
            </w:tcBorders>
            <w:shd w:val="clear" w:color="auto" w:fill="auto"/>
          </w:tcPr>
          <w:p w14:paraId="498DD8E9" w14:textId="77777777" w:rsidR="00782B97" w:rsidRPr="00F4539F" w:rsidRDefault="00782B97" w:rsidP="009B712A">
            <w:pPr>
              <w:tabs>
                <w:tab w:val="left" w:pos="284"/>
              </w:tabs>
              <w:rPr>
                <w:rFonts w:eastAsia="SimSun"/>
                <w:b/>
                <w:color w:val="000000"/>
                <w:sz w:val="22"/>
                <w:szCs w:val="22"/>
                <w:lang w:val="sr-Latn-ME"/>
              </w:rPr>
            </w:pPr>
            <w:r w:rsidRPr="00F4539F">
              <w:rPr>
                <w:rFonts w:eastAsia="SimSun"/>
                <w:b/>
                <w:color w:val="000000"/>
                <w:sz w:val="22"/>
                <w:szCs w:val="22"/>
                <w:lang w:val="sr-Latn-ME"/>
              </w:rPr>
              <w:t>Preživljavanje bez invazivne bolesti (iDFS)</w:t>
            </w:r>
          </w:p>
        </w:tc>
        <w:tc>
          <w:tcPr>
            <w:tcW w:w="3759" w:type="dxa"/>
            <w:gridSpan w:val="3"/>
            <w:tcBorders>
              <w:top w:val="single" w:sz="4" w:space="0" w:color="auto"/>
              <w:left w:val="single" w:sz="4" w:space="0" w:color="auto"/>
              <w:bottom w:val="single" w:sz="4" w:space="0" w:color="auto"/>
              <w:right w:val="single" w:sz="4" w:space="0" w:color="auto"/>
            </w:tcBorders>
            <w:shd w:val="clear" w:color="auto" w:fill="auto"/>
          </w:tcPr>
          <w:p w14:paraId="61C746F9" w14:textId="77777777" w:rsidR="00782B97" w:rsidRPr="00782B97" w:rsidRDefault="00782B97" w:rsidP="009B712A">
            <w:pPr>
              <w:jc w:val="center"/>
              <w:rPr>
                <w:color w:val="000000"/>
                <w:sz w:val="22"/>
                <w:szCs w:val="22"/>
                <w:lang w:val="sr-Latn-ME" w:eastAsia="zh-CN"/>
              </w:rPr>
            </w:pPr>
          </w:p>
        </w:tc>
      </w:tr>
      <w:tr w:rsidR="00782B97" w:rsidRPr="001802A5" w14:paraId="636E9AB4" w14:textId="77777777" w:rsidTr="00563BCD">
        <w:tc>
          <w:tcPr>
            <w:tcW w:w="5307" w:type="dxa"/>
            <w:shd w:val="clear" w:color="auto" w:fill="auto"/>
          </w:tcPr>
          <w:p w14:paraId="0DF07EEE" w14:textId="77777777" w:rsidR="00782B97" w:rsidRPr="001802A5" w:rsidRDefault="00782B97" w:rsidP="009B712A">
            <w:pPr>
              <w:keepNext/>
              <w:keepLines/>
              <w:tabs>
                <w:tab w:val="left" w:pos="284"/>
              </w:tabs>
              <w:rPr>
                <w:rFonts w:eastAsia="SimSun"/>
                <w:color w:val="000000" w:themeColor="text1"/>
                <w:lang w:val="sr-Latn-RS"/>
              </w:rPr>
            </w:pPr>
            <w:r w:rsidRPr="00F4539F">
              <w:rPr>
                <w:rFonts w:eastAsia="SimSun"/>
                <w:color w:val="000000"/>
                <w:sz w:val="22"/>
                <w:szCs w:val="22"/>
                <w:lang w:val="sr-Latn-ME"/>
              </w:rPr>
              <w:t>n</w:t>
            </w:r>
          </w:p>
        </w:tc>
        <w:tc>
          <w:tcPr>
            <w:tcW w:w="1879" w:type="dxa"/>
            <w:gridSpan w:val="2"/>
            <w:shd w:val="clear" w:color="auto" w:fill="auto"/>
          </w:tcPr>
          <w:p w14:paraId="5E422668" w14:textId="77777777" w:rsidR="00782B97" w:rsidRPr="001802A5" w:rsidRDefault="00782B97">
            <w:pPr>
              <w:pStyle w:val="NormalWeb"/>
              <w:jc w:val="center"/>
              <w:rPr>
                <w:color w:val="000000" w:themeColor="text1"/>
                <w:sz w:val="22"/>
                <w:szCs w:val="22"/>
                <w:lang w:val="sr-Latn-RS"/>
              </w:rPr>
            </w:pPr>
            <w:r>
              <w:rPr>
                <w:color w:val="000000" w:themeColor="text1"/>
                <w:sz w:val="22"/>
                <w:szCs w:val="22"/>
                <w:lang w:val="sr-Latn-RS"/>
              </w:rPr>
              <w:t>234</w:t>
            </w:r>
          </w:p>
        </w:tc>
        <w:tc>
          <w:tcPr>
            <w:tcW w:w="1880" w:type="dxa"/>
            <w:shd w:val="clear" w:color="auto" w:fill="auto"/>
          </w:tcPr>
          <w:p w14:paraId="2AC85B98" w14:textId="77777777" w:rsidR="00782B97" w:rsidRPr="001802A5" w:rsidRDefault="00782B97">
            <w:pPr>
              <w:pStyle w:val="NormalWeb"/>
              <w:jc w:val="center"/>
              <w:rPr>
                <w:color w:val="000000" w:themeColor="text1"/>
                <w:sz w:val="22"/>
                <w:szCs w:val="22"/>
                <w:lang w:val="sr-Latn-RS"/>
              </w:rPr>
            </w:pPr>
            <w:r>
              <w:rPr>
                <w:color w:val="000000" w:themeColor="text1"/>
                <w:sz w:val="22"/>
                <w:szCs w:val="22"/>
                <w:lang w:val="sr-Latn-RS"/>
              </w:rPr>
              <w:t>239</w:t>
            </w:r>
          </w:p>
        </w:tc>
      </w:tr>
      <w:tr w:rsidR="00782B97" w:rsidRPr="001802A5" w14:paraId="66D84FC7" w14:textId="77777777" w:rsidTr="00563BCD">
        <w:tc>
          <w:tcPr>
            <w:tcW w:w="5307" w:type="dxa"/>
            <w:shd w:val="clear" w:color="auto" w:fill="auto"/>
          </w:tcPr>
          <w:p w14:paraId="2531C5FB" w14:textId="77777777" w:rsidR="00782B97" w:rsidRPr="00F4539F" w:rsidRDefault="00782B97">
            <w:pPr>
              <w:rPr>
                <w:rFonts w:eastAsia="SimSun"/>
                <w:color w:val="000000"/>
                <w:sz w:val="22"/>
                <w:szCs w:val="22"/>
                <w:lang w:val="sr-Latn-ME"/>
              </w:rPr>
            </w:pPr>
            <w:r w:rsidRPr="00F4539F">
              <w:rPr>
                <w:rFonts w:eastAsia="SimSun"/>
                <w:color w:val="000000"/>
                <w:sz w:val="22"/>
                <w:szCs w:val="22"/>
                <w:lang w:val="sr-Latn-ME"/>
              </w:rPr>
              <w:t>Pacijenti sa događajem (%)</w:t>
            </w:r>
          </w:p>
        </w:tc>
        <w:tc>
          <w:tcPr>
            <w:tcW w:w="1879" w:type="dxa"/>
            <w:gridSpan w:val="2"/>
            <w:shd w:val="clear" w:color="auto" w:fill="auto"/>
          </w:tcPr>
          <w:p w14:paraId="0184F8D1" w14:textId="77777777" w:rsidR="00782B97" w:rsidRPr="001802A5" w:rsidRDefault="00782B97">
            <w:pPr>
              <w:pStyle w:val="NormalWeb"/>
              <w:jc w:val="center"/>
              <w:rPr>
                <w:color w:val="000000" w:themeColor="text1"/>
                <w:sz w:val="22"/>
                <w:szCs w:val="22"/>
                <w:lang w:val="sr-Latn-RS"/>
              </w:rPr>
            </w:pPr>
            <w:r>
              <w:rPr>
                <w:color w:val="000000" w:themeColor="text1"/>
                <w:sz w:val="22"/>
                <w:szCs w:val="22"/>
                <w:lang w:val="sr-Latn-RS"/>
              </w:rPr>
              <w:t>26 (11,1%)</w:t>
            </w:r>
          </w:p>
        </w:tc>
        <w:tc>
          <w:tcPr>
            <w:tcW w:w="1880" w:type="dxa"/>
            <w:shd w:val="clear" w:color="auto" w:fill="auto"/>
          </w:tcPr>
          <w:p w14:paraId="654A1A1A" w14:textId="77777777" w:rsidR="00782B97" w:rsidRPr="001802A5" w:rsidRDefault="00782B97">
            <w:pPr>
              <w:pStyle w:val="NormalWeb"/>
              <w:jc w:val="center"/>
              <w:rPr>
                <w:color w:val="000000" w:themeColor="text1"/>
                <w:sz w:val="22"/>
                <w:szCs w:val="22"/>
                <w:lang w:val="sr-Latn-RS"/>
              </w:rPr>
            </w:pPr>
            <w:r>
              <w:rPr>
                <w:color w:val="000000" w:themeColor="text1"/>
                <w:sz w:val="22"/>
                <w:szCs w:val="22"/>
                <w:lang w:val="sr-Latn-RS"/>
              </w:rPr>
              <w:t>23 (9,6%)</w:t>
            </w:r>
          </w:p>
        </w:tc>
      </w:tr>
      <w:tr w:rsidR="00782B97" w:rsidRPr="001802A5" w14:paraId="707B05D2" w14:textId="77777777" w:rsidTr="00563BCD">
        <w:tc>
          <w:tcPr>
            <w:tcW w:w="5307" w:type="dxa"/>
            <w:shd w:val="clear" w:color="auto" w:fill="auto"/>
          </w:tcPr>
          <w:p w14:paraId="13798606" w14:textId="77777777" w:rsidR="00782B97" w:rsidRPr="00F4539F" w:rsidRDefault="00782B97">
            <w:pPr>
              <w:rPr>
                <w:rFonts w:eastAsia="SimSun"/>
                <w:color w:val="000000"/>
                <w:sz w:val="22"/>
                <w:szCs w:val="22"/>
                <w:lang w:val="sr-Latn-ME"/>
              </w:rPr>
            </w:pPr>
            <w:r w:rsidRPr="00F4539F">
              <w:rPr>
                <w:rFonts w:eastAsia="SimSun"/>
                <w:color w:val="000000"/>
                <w:sz w:val="22"/>
                <w:szCs w:val="22"/>
                <w:lang w:val="sr-Latn-ME"/>
              </w:rPr>
              <w:t>Nestratifikovani odnos hazarda (95% CI)</w:t>
            </w:r>
          </w:p>
        </w:tc>
        <w:tc>
          <w:tcPr>
            <w:tcW w:w="3759" w:type="dxa"/>
            <w:gridSpan w:val="3"/>
            <w:shd w:val="clear" w:color="auto" w:fill="auto"/>
          </w:tcPr>
          <w:p w14:paraId="381749E7" w14:textId="77777777" w:rsidR="00782B97" w:rsidRPr="001802A5" w:rsidRDefault="00782B97">
            <w:pPr>
              <w:pStyle w:val="NormalWeb"/>
              <w:jc w:val="center"/>
              <w:rPr>
                <w:color w:val="000000" w:themeColor="text1"/>
                <w:sz w:val="22"/>
                <w:szCs w:val="22"/>
                <w:lang w:val="sr-Latn-RS"/>
              </w:rPr>
            </w:pPr>
            <w:r>
              <w:rPr>
                <w:color w:val="000000" w:themeColor="text1"/>
                <w:sz w:val="22"/>
                <w:szCs w:val="22"/>
                <w:lang w:val="sr-Latn-RS"/>
              </w:rPr>
              <w:t>1,13 (0,64; 1,97%)</w:t>
            </w:r>
          </w:p>
        </w:tc>
      </w:tr>
      <w:tr w:rsidR="00782B97" w:rsidRPr="001802A5" w14:paraId="190683CC" w14:textId="77777777" w:rsidTr="00563BCD">
        <w:tc>
          <w:tcPr>
            <w:tcW w:w="5307" w:type="dxa"/>
            <w:shd w:val="clear" w:color="auto" w:fill="auto"/>
          </w:tcPr>
          <w:p w14:paraId="3A9B4080" w14:textId="77777777" w:rsidR="00782B97" w:rsidRPr="00F4539F" w:rsidRDefault="00782B97">
            <w:pPr>
              <w:rPr>
                <w:rFonts w:eastAsia="SimSun"/>
                <w:b/>
                <w:color w:val="000000"/>
                <w:sz w:val="22"/>
                <w:szCs w:val="22"/>
                <w:lang w:val="sr-Latn-ME"/>
              </w:rPr>
            </w:pPr>
            <w:r w:rsidRPr="00F4539F">
              <w:rPr>
                <w:rFonts w:eastAsia="SimSun"/>
                <w:b/>
                <w:color w:val="000000"/>
                <w:sz w:val="22"/>
                <w:szCs w:val="22"/>
                <w:lang w:val="sr-Latn-ME"/>
              </w:rPr>
              <w:t>Ukupno preživljavanje (OS)</w:t>
            </w:r>
          </w:p>
        </w:tc>
        <w:tc>
          <w:tcPr>
            <w:tcW w:w="3759" w:type="dxa"/>
            <w:gridSpan w:val="3"/>
            <w:shd w:val="clear" w:color="auto" w:fill="auto"/>
          </w:tcPr>
          <w:p w14:paraId="71064809" w14:textId="77777777" w:rsidR="00782B97" w:rsidRDefault="00782B97">
            <w:pPr>
              <w:pStyle w:val="NormalWeb"/>
              <w:jc w:val="center"/>
              <w:rPr>
                <w:color w:val="000000" w:themeColor="text1"/>
                <w:sz w:val="22"/>
                <w:szCs w:val="22"/>
                <w:lang w:val="sr-Latn-RS"/>
              </w:rPr>
            </w:pPr>
          </w:p>
        </w:tc>
      </w:tr>
      <w:tr w:rsidR="00782B97" w:rsidRPr="001802A5" w14:paraId="446E6654" w14:textId="77777777" w:rsidTr="00563BCD">
        <w:tc>
          <w:tcPr>
            <w:tcW w:w="5307" w:type="dxa"/>
            <w:shd w:val="clear" w:color="auto" w:fill="auto"/>
          </w:tcPr>
          <w:p w14:paraId="29FAECC5" w14:textId="77777777" w:rsidR="00782B97" w:rsidRPr="00F4539F" w:rsidRDefault="00782B97">
            <w:pPr>
              <w:rPr>
                <w:rFonts w:eastAsia="SimSun"/>
                <w:color w:val="000000"/>
                <w:sz w:val="22"/>
                <w:szCs w:val="22"/>
                <w:lang w:val="sr-Latn-ME"/>
              </w:rPr>
            </w:pPr>
            <w:r w:rsidRPr="00F4539F">
              <w:rPr>
                <w:rFonts w:eastAsia="SimSun"/>
                <w:color w:val="000000"/>
                <w:sz w:val="22"/>
                <w:szCs w:val="22"/>
                <w:lang w:val="sr-Latn-ME"/>
              </w:rPr>
              <w:t>n</w:t>
            </w:r>
          </w:p>
        </w:tc>
        <w:tc>
          <w:tcPr>
            <w:tcW w:w="1879" w:type="dxa"/>
            <w:gridSpan w:val="2"/>
            <w:shd w:val="clear" w:color="auto" w:fill="auto"/>
          </w:tcPr>
          <w:p w14:paraId="1A5A1C3B" w14:textId="77777777" w:rsidR="00782B97" w:rsidRDefault="00782B97">
            <w:pPr>
              <w:pStyle w:val="NormalWeb"/>
              <w:jc w:val="center"/>
              <w:rPr>
                <w:color w:val="000000" w:themeColor="text1"/>
                <w:sz w:val="22"/>
                <w:szCs w:val="22"/>
                <w:lang w:val="sr-Latn-RS"/>
              </w:rPr>
            </w:pPr>
            <w:r>
              <w:rPr>
                <w:color w:val="000000" w:themeColor="text1"/>
                <w:sz w:val="22"/>
                <w:szCs w:val="22"/>
                <w:lang w:val="sr-Latn-RS"/>
              </w:rPr>
              <w:t>248</w:t>
            </w:r>
          </w:p>
        </w:tc>
        <w:tc>
          <w:tcPr>
            <w:tcW w:w="1880" w:type="dxa"/>
            <w:shd w:val="clear" w:color="auto" w:fill="auto"/>
          </w:tcPr>
          <w:p w14:paraId="0DF9D509" w14:textId="77777777" w:rsidR="00782B97" w:rsidRDefault="00782B97">
            <w:pPr>
              <w:pStyle w:val="NormalWeb"/>
              <w:jc w:val="center"/>
              <w:rPr>
                <w:color w:val="000000" w:themeColor="text1"/>
                <w:sz w:val="22"/>
                <w:szCs w:val="22"/>
                <w:lang w:val="sr-Latn-RS"/>
              </w:rPr>
            </w:pPr>
            <w:r>
              <w:rPr>
                <w:color w:val="000000" w:themeColor="text1"/>
                <w:sz w:val="22"/>
                <w:szCs w:val="22"/>
                <w:lang w:val="sr-Latn-RS"/>
              </w:rPr>
              <w:t>252</w:t>
            </w:r>
          </w:p>
        </w:tc>
      </w:tr>
      <w:tr w:rsidR="00782B97" w:rsidRPr="001802A5" w14:paraId="5BD07719" w14:textId="77777777" w:rsidTr="00563BCD">
        <w:tc>
          <w:tcPr>
            <w:tcW w:w="5307" w:type="dxa"/>
            <w:shd w:val="clear" w:color="auto" w:fill="auto"/>
          </w:tcPr>
          <w:p w14:paraId="5A5876DC" w14:textId="77777777" w:rsidR="00782B97" w:rsidRPr="00F4539F" w:rsidRDefault="00782B97">
            <w:pPr>
              <w:rPr>
                <w:rFonts w:eastAsia="SimSun"/>
                <w:color w:val="000000"/>
                <w:sz w:val="22"/>
                <w:szCs w:val="22"/>
                <w:lang w:val="sr-Latn-ME"/>
              </w:rPr>
            </w:pPr>
            <w:r w:rsidRPr="00F4539F">
              <w:rPr>
                <w:rFonts w:eastAsia="SimSun"/>
                <w:color w:val="000000"/>
                <w:sz w:val="22"/>
                <w:szCs w:val="22"/>
                <w:lang w:val="sr-Latn-ME"/>
              </w:rPr>
              <w:t>Pacijenti sa događajem (%)</w:t>
            </w:r>
          </w:p>
        </w:tc>
        <w:tc>
          <w:tcPr>
            <w:tcW w:w="1879" w:type="dxa"/>
            <w:gridSpan w:val="2"/>
            <w:shd w:val="clear" w:color="auto" w:fill="auto"/>
          </w:tcPr>
          <w:p w14:paraId="0ED4C7AB" w14:textId="77777777" w:rsidR="00782B97" w:rsidRDefault="00782B97">
            <w:pPr>
              <w:pStyle w:val="NormalWeb"/>
              <w:jc w:val="center"/>
              <w:rPr>
                <w:color w:val="000000" w:themeColor="text1"/>
                <w:sz w:val="22"/>
                <w:szCs w:val="22"/>
                <w:lang w:val="sr-Latn-RS"/>
              </w:rPr>
            </w:pPr>
            <w:r>
              <w:rPr>
                <w:color w:val="000000" w:themeColor="text1"/>
                <w:sz w:val="22"/>
                <w:szCs w:val="22"/>
                <w:lang w:val="sr-Latn-RS"/>
              </w:rPr>
              <w:t>14 (5,6%)</w:t>
            </w:r>
          </w:p>
        </w:tc>
        <w:tc>
          <w:tcPr>
            <w:tcW w:w="1880" w:type="dxa"/>
            <w:shd w:val="clear" w:color="auto" w:fill="auto"/>
          </w:tcPr>
          <w:p w14:paraId="13FC9442" w14:textId="77777777" w:rsidR="00782B97" w:rsidRDefault="00782B97">
            <w:pPr>
              <w:pStyle w:val="NormalWeb"/>
              <w:jc w:val="center"/>
              <w:rPr>
                <w:color w:val="000000" w:themeColor="text1"/>
                <w:sz w:val="22"/>
                <w:szCs w:val="22"/>
                <w:lang w:val="sr-Latn-RS"/>
              </w:rPr>
            </w:pPr>
            <w:r>
              <w:rPr>
                <w:color w:val="000000" w:themeColor="text1"/>
                <w:sz w:val="22"/>
                <w:szCs w:val="22"/>
                <w:lang w:val="sr-Latn-RS"/>
              </w:rPr>
              <w:t>12 (4,8%)</w:t>
            </w:r>
          </w:p>
        </w:tc>
      </w:tr>
      <w:tr w:rsidR="00782B97" w:rsidRPr="001802A5" w14:paraId="7A4D3FAF" w14:textId="77777777" w:rsidTr="00563BCD">
        <w:tc>
          <w:tcPr>
            <w:tcW w:w="5307" w:type="dxa"/>
            <w:shd w:val="clear" w:color="auto" w:fill="auto"/>
          </w:tcPr>
          <w:p w14:paraId="6775F317" w14:textId="77777777" w:rsidR="00782B97" w:rsidRPr="00F4539F" w:rsidRDefault="00782B97">
            <w:pPr>
              <w:rPr>
                <w:rFonts w:eastAsia="SimSun"/>
                <w:color w:val="000000"/>
                <w:sz w:val="22"/>
                <w:szCs w:val="22"/>
                <w:lang w:val="sr-Latn-ME"/>
              </w:rPr>
            </w:pPr>
            <w:r w:rsidRPr="00F4539F">
              <w:rPr>
                <w:rFonts w:eastAsia="SimSun"/>
                <w:color w:val="000000"/>
                <w:sz w:val="22"/>
                <w:szCs w:val="22"/>
                <w:lang w:val="sr-Latn-ME"/>
              </w:rPr>
              <w:t>Odnos hazarda</w:t>
            </w:r>
            <w:r w:rsidRPr="00F4539F">
              <w:rPr>
                <w:rFonts w:eastAsia="SimSun"/>
                <w:color w:val="000000"/>
                <w:sz w:val="22"/>
                <w:szCs w:val="22"/>
                <w:vertAlign w:val="superscript"/>
                <w:lang w:val="sr-Latn-ME"/>
              </w:rPr>
              <w:t>2</w:t>
            </w:r>
            <w:r w:rsidRPr="00F4539F">
              <w:rPr>
                <w:rFonts w:eastAsia="SimSun"/>
                <w:color w:val="000000"/>
                <w:sz w:val="22"/>
                <w:szCs w:val="22"/>
                <w:lang w:val="sr-Latn-ME"/>
              </w:rPr>
              <w:t xml:space="preserve"> (95% CI)</w:t>
            </w:r>
          </w:p>
        </w:tc>
        <w:tc>
          <w:tcPr>
            <w:tcW w:w="3759" w:type="dxa"/>
            <w:gridSpan w:val="3"/>
            <w:shd w:val="clear" w:color="auto" w:fill="auto"/>
          </w:tcPr>
          <w:p w14:paraId="32FBA09C" w14:textId="77777777" w:rsidR="00782B97" w:rsidRPr="001802A5" w:rsidRDefault="00782B97">
            <w:pPr>
              <w:pStyle w:val="NormalWeb"/>
              <w:jc w:val="center"/>
              <w:rPr>
                <w:color w:val="000000" w:themeColor="text1"/>
                <w:sz w:val="22"/>
                <w:szCs w:val="22"/>
                <w:lang w:val="sr-Latn-RS"/>
              </w:rPr>
            </w:pPr>
            <w:r>
              <w:rPr>
                <w:color w:val="000000" w:themeColor="text1"/>
                <w:sz w:val="22"/>
                <w:szCs w:val="22"/>
                <w:lang w:val="sr-Latn-RS"/>
              </w:rPr>
              <w:t>1,26 (0,58; 2,72)</w:t>
            </w:r>
          </w:p>
        </w:tc>
      </w:tr>
    </w:tbl>
    <w:p w14:paraId="00911391"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vertAlign w:val="superscript"/>
          <w:lang w:val="sr-Latn-ME"/>
        </w:rPr>
        <w:t>1</w:t>
      </w:r>
      <w:r w:rsidRPr="005436C8">
        <w:rPr>
          <w:rFonts w:eastAsia="SimSun"/>
          <w:color w:val="000000"/>
          <w:sz w:val="22"/>
          <w:szCs w:val="22"/>
          <w:lang w:val="sr-Latn-ME"/>
        </w:rPr>
        <w:t xml:space="preserve"> Interval pouzdanosti za binomni test na jednom uzorku </w:t>
      </w:r>
      <w:r w:rsidR="00FF329E" w:rsidRPr="005436C8">
        <w:rPr>
          <w:rFonts w:eastAsia="SimSun"/>
          <w:color w:val="000000"/>
          <w:sz w:val="22"/>
          <w:szCs w:val="22"/>
          <w:lang w:val="sr-Latn-ME"/>
        </w:rPr>
        <w:t>primjenom</w:t>
      </w:r>
      <w:r w:rsidRPr="005436C8">
        <w:rPr>
          <w:rFonts w:eastAsia="SimSun"/>
          <w:color w:val="000000"/>
          <w:sz w:val="22"/>
          <w:szCs w:val="22"/>
          <w:lang w:val="sr-Latn-ME"/>
        </w:rPr>
        <w:t xml:space="preserve"> metode </w:t>
      </w:r>
      <w:r w:rsidRPr="005436C8">
        <w:rPr>
          <w:rFonts w:eastAsia="SimSun"/>
          <w:i/>
          <w:color w:val="000000"/>
          <w:sz w:val="22"/>
          <w:szCs w:val="22"/>
          <w:lang w:val="sr-Latn-ME"/>
        </w:rPr>
        <w:t>Pearson-Clopper</w:t>
      </w:r>
      <w:r w:rsidR="00680BD5" w:rsidRPr="005436C8">
        <w:rPr>
          <w:rFonts w:eastAsia="SimSun"/>
          <w:color w:val="000000"/>
          <w:sz w:val="22"/>
          <w:szCs w:val="22"/>
          <w:lang w:val="sr-Latn-ME"/>
        </w:rPr>
        <w:t>.</w:t>
      </w:r>
    </w:p>
    <w:p w14:paraId="58A83FDF"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vertAlign w:val="superscript"/>
          <w:lang w:val="sr-Latn-ME"/>
        </w:rPr>
        <w:t>2</w:t>
      </w:r>
      <w:r w:rsidR="00782B97" w:rsidRPr="00782B97">
        <w:rPr>
          <w:rFonts w:eastAsia="SimSun"/>
          <w:color w:val="000000" w:themeColor="text1"/>
          <w:sz w:val="22"/>
          <w:lang w:val="sr-Latn-RS"/>
        </w:rPr>
        <w:t xml:space="preserve"> </w:t>
      </w:r>
      <w:r w:rsidR="00782B97" w:rsidRPr="00F4539F">
        <w:rPr>
          <w:rFonts w:eastAsia="SimSun"/>
          <w:color w:val="000000"/>
          <w:sz w:val="22"/>
          <w:szCs w:val="22"/>
          <w:lang w:val="sr-Latn-RS"/>
        </w:rPr>
        <w:t xml:space="preserve">Analiza stratifikovana prema </w:t>
      </w:r>
      <w:r w:rsidR="002A2CA8" w:rsidRPr="00F4539F">
        <w:rPr>
          <w:rFonts w:eastAsia="SimSun"/>
          <w:color w:val="000000"/>
          <w:sz w:val="22"/>
          <w:szCs w:val="22"/>
          <w:lang w:val="sr-Latn-RS"/>
        </w:rPr>
        <w:t>statusu hormon</w:t>
      </w:r>
      <w:r w:rsidR="002A2CA8">
        <w:rPr>
          <w:rFonts w:eastAsia="SimSun"/>
          <w:color w:val="000000"/>
          <w:sz w:val="22"/>
          <w:szCs w:val="22"/>
          <w:lang w:val="sr-Latn-RS"/>
        </w:rPr>
        <w:t>skih</w:t>
      </w:r>
      <w:r w:rsidR="002A2CA8" w:rsidRPr="00F4539F">
        <w:rPr>
          <w:rFonts w:eastAsia="SimSun"/>
          <w:color w:val="000000"/>
          <w:sz w:val="22"/>
          <w:szCs w:val="22"/>
          <w:lang w:val="sr-Latn-RS"/>
        </w:rPr>
        <w:t xml:space="preserve"> receptor</w:t>
      </w:r>
      <w:r w:rsidR="002A2CA8">
        <w:rPr>
          <w:rFonts w:eastAsia="SimSun"/>
          <w:color w:val="000000"/>
          <w:sz w:val="22"/>
          <w:szCs w:val="22"/>
          <w:lang w:val="sr-Latn-RS"/>
        </w:rPr>
        <w:t>ora u</w:t>
      </w:r>
      <w:r w:rsidR="002A2CA8" w:rsidRPr="00F4539F">
        <w:rPr>
          <w:rFonts w:eastAsia="SimSun"/>
          <w:color w:val="000000"/>
          <w:sz w:val="22"/>
          <w:szCs w:val="22"/>
          <w:lang w:val="sr-Latn-RS"/>
        </w:rPr>
        <w:t xml:space="preserve"> </w:t>
      </w:r>
      <w:r w:rsidR="002A2CA8">
        <w:rPr>
          <w:rFonts w:eastAsia="SimSun"/>
          <w:color w:val="000000"/>
          <w:sz w:val="22"/>
          <w:szCs w:val="22"/>
          <w:lang w:val="sr-Latn-RS"/>
        </w:rPr>
        <w:t>centralnoj laboratoriji</w:t>
      </w:r>
      <w:r w:rsidR="00782B97" w:rsidRPr="00F4539F">
        <w:rPr>
          <w:rFonts w:eastAsia="SimSun"/>
          <w:color w:val="000000"/>
          <w:sz w:val="22"/>
          <w:szCs w:val="22"/>
          <w:lang w:val="sr-Latn-RS"/>
        </w:rPr>
        <w:t>, kliničkom stadijumu bolesti i vrsti hemioterapije</w:t>
      </w:r>
      <w:r w:rsidR="00680BD5" w:rsidRPr="005436C8">
        <w:rPr>
          <w:rFonts w:eastAsia="SimSun"/>
          <w:color w:val="000000"/>
          <w:sz w:val="22"/>
          <w:szCs w:val="22"/>
          <w:lang w:val="sr-Latn-ME"/>
        </w:rPr>
        <w:t>.</w:t>
      </w:r>
    </w:p>
    <w:p w14:paraId="49A72F92" w14:textId="77777777" w:rsidR="000C7302" w:rsidRPr="005436C8" w:rsidRDefault="000C7302" w:rsidP="005436C8">
      <w:pPr>
        <w:tabs>
          <w:tab w:val="left" w:pos="284"/>
        </w:tabs>
        <w:jc w:val="both"/>
        <w:rPr>
          <w:color w:val="000000"/>
          <w:sz w:val="22"/>
          <w:szCs w:val="22"/>
          <w:lang w:val="sr-Latn-ME"/>
        </w:rPr>
      </w:pPr>
    </w:p>
    <w:p w14:paraId="2DD8C603" w14:textId="77777777" w:rsidR="002E743C" w:rsidRPr="005436C8" w:rsidRDefault="002E743C" w:rsidP="005436C8">
      <w:pPr>
        <w:tabs>
          <w:tab w:val="left" w:pos="284"/>
        </w:tabs>
        <w:jc w:val="both"/>
        <w:rPr>
          <w:b/>
          <w:color w:val="000000"/>
          <w:sz w:val="22"/>
          <w:szCs w:val="22"/>
          <w:lang w:val="sr-Latn-ME"/>
        </w:rPr>
      </w:pPr>
      <w:r w:rsidRPr="005436C8">
        <w:rPr>
          <w:b/>
          <w:color w:val="000000"/>
          <w:sz w:val="22"/>
          <w:szCs w:val="22"/>
          <w:lang w:val="sr-Latn-ME"/>
        </w:rPr>
        <w:t>PHRANCESCA (MO40628)</w:t>
      </w:r>
    </w:p>
    <w:p w14:paraId="70312FFD" w14:textId="77777777" w:rsidR="002E743C" w:rsidRPr="005436C8" w:rsidRDefault="002E743C" w:rsidP="005436C8">
      <w:pPr>
        <w:tabs>
          <w:tab w:val="left" w:pos="284"/>
        </w:tabs>
        <w:jc w:val="both"/>
        <w:rPr>
          <w:color w:val="000000"/>
          <w:sz w:val="22"/>
          <w:szCs w:val="22"/>
          <w:lang w:val="sr-Latn-ME"/>
        </w:rPr>
      </w:pPr>
    </w:p>
    <w:p w14:paraId="2A0AE104" w14:textId="77777777" w:rsidR="002E743C" w:rsidRPr="005436C8" w:rsidRDefault="002E743C" w:rsidP="005436C8">
      <w:pPr>
        <w:tabs>
          <w:tab w:val="left" w:pos="284"/>
        </w:tabs>
        <w:jc w:val="both"/>
        <w:rPr>
          <w:color w:val="000000"/>
          <w:sz w:val="22"/>
          <w:szCs w:val="22"/>
          <w:lang w:val="sr-Latn-ME"/>
        </w:rPr>
      </w:pPr>
      <w:r w:rsidRPr="005436C8">
        <w:rPr>
          <w:color w:val="000000"/>
          <w:sz w:val="22"/>
          <w:szCs w:val="22"/>
          <w:lang w:val="sr-Latn-ME"/>
        </w:rPr>
        <w:t xml:space="preserve">U ispitivanju MO40628 ispitivana je bezbjednost prelaska sa intravenske formulacije pertuzumaba i trastuzumaba na </w:t>
      </w:r>
      <w:r w:rsidR="00115EBA" w:rsidRPr="005436C8">
        <w:rPr>
          <w:color w:val="000000"/>
          <w:sz w:val="22"/>
          <w:szCs w:val="22"/>
          <w:lang w:val="sr-Latn-ME"/>
        </w:rPr>
        <w:t>subkutan</w:t>
      </w:r>
      <w:r w:rsidRPr="005436C8">
        <w:rPr>
          <w:color w:val="000000"/>
          <w:sz w:val="22"/>
          <w:szCs w:val="22"/>
          <w:lang w:val="sr-Latn-ME"/>
        </w:rPr>
        <w:t xml:space="preserve">u primjenu lijeka Phesgo i obrnuto (pogledati odjeljak 4.8), a primarni cilj je bio procjena preferencije pacijenata za intravenski ili </w:t>
      </w:r>
      <w:r w:rsidR="00115EBA" w:rsidRPr="005436C8">
        <w:rPr>
          <w:color w:val="000000"/>
          <w:sz w:val="22"/>
          <w:szCs w:val="22"/>
          <w:lang w:val="sr-Latn-ME"/>
        </w:rPr>
        <w:t>subkutan</w:t>
      </w:r>
      <w:r w:rsidRPr="005436C8">
        <w:rPr>
          <w:color w:val="000000"/>
          <w:sz w:val="22"/>
          <w:szCs w:val="22"/>
          <w:lang w:val="sr-Latn-ME"/>
        </w:rPr>
        <w:t xml:space="preserve">i put primjene: 85% pacijenata dalo je prednost </w:t>
      </w:r>
      <w:r w:rsidR="00115EBA" w:rsidRPr="005436C8">
        <w:rPr>
          <w:color w:val="000000"/>
          <w:sz w:val="22"/>
          <w:szCs w:val="22"/>
          <w:lang w:val="sr-Latn-ME"/>
        </w:rPr>
        <w:t>subkutan</w:t>
      </w:r>
      <w:r w:rsidRPr="005436C8">
        <w:rPr>
          <w:color w:val="000000"/>
          <w:sz w:val="22"/>
          <w:szCs w:val="22"/>
          <w:lang w:val="sr-Latn-ME"/>
        </w:rPr>
        <w:t xml:space="preserve">oj primjeni, 13,8% pacijenata intravenskoj primjeni, a 1,2% pacijenata nije izrazilo preferenciju. U ovo unakrsno ispitivanje sa dvije grupe bilo je uključeno ukupno 160 pacijenata: 80 pacijenata bilo je randomizovano u grupu A (3 ciklusa intravenske formulacije pertuzumaba i trastuzumaba, a zatim 3 ciklusa lijeka Phesgo), a 80 pacijenata u grupu B (3 ciklusa lijeka Phesgo, a zatim 3 ciklusa intravenske formulacije pertuzumaba i trastuzumaba). U trenutku sprovođenja primarne analize, medijana izloženosti adjuvantnom liječenju pertuzumabom i trastuzumabom (uključujući i intravensku i </w:t>
      </w:r>
      <w:r w:rsidR="00115EBA" w:rsidRPr="005436C8">
        <w:rPr>
          <w:color w:val="000000"/>
          <w:sz w:val="22"/>
          <w:szCs w:val="22"/>
          <w:lang w:val="sr-Latn-ME"/>
        </w:rPr>
        <w:t>subkutan</w:t>
      </w:r>
      <w:r w:rsidRPr="005436C8">
        <w:rPr>
          <w:color w:val="000000"/>
          <w:sz w:val="22"/>
          <w:szCs w:val="22"/>
          <w:lang w:val="sr-Latn-ME"/>
        </w:rPr>
        <w:t>u primjenu) iznosila je 11 ciklusa (opseg: 6 do 15).</w:t>
      </w:r>
    </w:p>
    <w:p w14:paraId="7E6723B3" w14:textId="77777777" w:rsidR="002E743C" w:rsidRPr="005436C8" w:rsidRDefault="002E743C" w:rsidP="005436C8">
      <w:pPr>
        <w:tabs>
          <w:tab w:val="left" w:pos="284"/>
        </w:tabs>
        <w:jc w:val="both"/>
        <w:rPr>
          <w:i/>
          <w:color w:val="000000"/>
          <w:sz w:val="22"/>
          <w:szCs w:val="22"/>
          <w:lang w:val="sr-Latn-ME"/>
        </w:rPr>
      </w:pPr>
    </w:p>
    <w:p w14:paraId="55D194A5" w14:textId="77777777" w:rsidR="000C7302" w:rsidRPr="005436C8" w:rsidRDefault="000C7302" w:rsidP="005436C8">
      <w:pPr>
        <w:tabs>
          <w:tab w:val="left" w:pos="284"/>
        </w:tabs>
        <w:jc w:val="both"/>
        <w:rPr>
          <w:i/>
          <w:color w:val="000000"/>
          <w:sz w:val="22"/>
          <w:szCs w:val="22"/>
          <w:u w:val="single"/>
          <w:lang w:val="sr-Latn-ME"/>
        </w:rPr>
      </w:pPr>
      <w:r w:rsidRPr="005436C8">
        <w:rPr>
          <w:i/>
          <w:iCs/>
          <w:color w:val="000000"/>
          <w:sz w:val="22"/>
          <w:szCs w:val="22"/>
          <w:u w:val="single"/>
          <w:lang w:val="sr-Latn-ME"/>
        </w:rPr>
        <w:t>Kliničko iskustvo sa intravenskim pertuzumabom u kombinaciji sa trastuzumabom kod HER2 pozitivnog karcinoma dojke</w:t>
      </w:r>
    </w:p>
    <w:p w14:paraId="64405947" w14:textId="77777777" w:rsidR="000C7302" w:rsidRPr="005436C8" w:rsidRDefault="000C7302" w:rsidP="005436C8">
      <w:pPr>
        <w:tabs>
          <w:tab w:val="left" w:pos="284"/>
        </w:tabs>
        <w:jc w:val="both"/>
        <w:rPr>
          <w:i/>
          <w:color w:val="000000"/>
          <w:sz w:val="22"/>
          <w:szCs w:val="22"/>
          <w:lang w:val="sr-Latn-ME"/>
        </w:rPr>
      </w:pPr>
    </w:p>
    <w:p w14:paraId="13ADE2BF"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lang w:val="sr-Latn-ME"/>
        </w:rPr>
        <w:lastRenderedPageBreak/>
        <w:t xml:space="preserve">Kliničko iskustvo sa intravenskom </w:t>
      </w:r>
      <w:r w:rsidR="00FF329E" w:rsidRPr="005436C8">
        <w:rPr>
          <w:rFonts w:eastAsia="SimSun"/>
          <w:color w:val="000000"/>
          <w:sz w:val="22"/>
          <w:szCs w:val="22"/>
          <w:lang w:val="sr-Latn-ME"/>
        </w:rPr>
        <w:t>primjenom</w:t>
      </w:r>
      <w:r w:rsidRPr="005436C8">
        <w:rPr>
          <w:rFonts w:eastAsia="SimSun"/>
          <w:color w:val="000000"/>
          <w:sz w:val="22"/>
          <w:szCs w:val="22"/>
          <w:lang w:val="sr-Latn-ME"/>
        </w:rPr>
        <w:t xml:space="preserve"> pertuzumaba u kombinaciji sa trastuzumabom zasniva se na podacima iz dva randomizovana ispitivanja neoadjuvantnog </w:t>
      </w:r>
      <w:r w:rsidR="000A2EA9" w:rsidRPr="005436C8">
        <w:rPr>
          <w:rFonts w:eastAsia="SimSun"/>
          <w:color w:val="000000"/>
          <w:sz w:val="22"/>
          <w:szCs w:val="22"/>
          <w:lang w:val="sr-Latn-ME"/>
        </w:rPr>
        <w:t>liječenja</w:t>
      </w:r>
      <w:r w:rsidRPr="005436C8">
        <w:rPr>
          <w:rFonts w:eastAsia="SimSun"/>
          <w:color w:val="000000"/>
          <w:sz w:val="22"/>
          <w:szCs w:val="22"/>
          <w:lang w:val="sr-Latn-ME"/>
        </w:rPr>
        <w:t xml:space="preserve"> faze II kod ranog karcinoma dojke (jedno kontrolisano) i jednog nerandomizovanog ispitivanja neoadjuvantnog </w:t>
      </w:r>
      <w:r w:rsidR="000A2EA9" w:rsidRPr="005436C8">
        <w:rPr>
          <w:rFonts w:eastAsia="SimSun"/>
          <w:color w:val="000000"/>
          <w:sz w:val="22"/>
          <w:szCs w:val="22"/>
          <w:lang w:val="sr-Latn-ME"/>
        </w:rPr>
        <w:t>liječenja</w:t>
      </w:r>
      <w:r w:rsidRPr="005436C8">
        <w:rPr>
          <w:rFonts w:eastAsia="SimSun"/>
          <w:color w:val="000000"/>
          <w:sz w:val="22"/>
          <w:szCs w:val="22"/>
          <w:lang w:val="sr-Latn-ME"/>
        </w:rPr>
        <w:t xml:space="preserve"> faze II, jednog randomizovanog ispitivanja adjuvantnog </w:t>
      </w:r>
      <w:r w:rsidR="000A2EA9" w:rsidRPr="005436C8">
        <w:rPr>
          <w:rFonts w:eastAsia="SimSun"/>
          <w:color w:val="000000"/>
          <w:sz w:val="22"/>
          <w:szCs w:val="22"/>
          <w:lang w:val="sr-Latn-ME"/>
        </w:rPr>
        <w:t>liječenja</w:t>
      </w:r>
      <w:r w:rsidRPr="005436C8">
        <w:rPr>
          <w:rFonts w:eastAsia="SimSun"/>
          <w:color w:val="000000"/>
          <w:sz w:val="22"/>
          <w:szCs w:val="22"/>
          <w:lang w:val="sr-Latn-ME"/>
        </w:rPr>
        <w:t xml:space="preserve"> faze III i jednog randomizovanog ispitivanja faze III i jednog ispitivanja faze II sa jednom grupom, kod metastatskog karcinoma dojke. Prekom</w:t>
      </w:r>
      <w:r w:rsidR="005537B1" w:rsidRPr="005436C8">
        <w:rPr>
          <w:rFonts w:eastAsia="SimSun"/>
          <w:color w:val="000000"/>
          <w:sz w:val="22"/>
          <w:szCs w:val="22"/>
          <w:lang w:val="sr-Latn-ME"/>
        </w:rPr>
        <w:t>j</w:t>
      </w:r>
      <w:r w:rsidRPr="005436C8">
        <w:rPr>
          <w:rFonts w:eastAsia="SimSun"/>
          <w:color w:val="000000"/>
          <w:sz w:val="22"/>
          <w:szCs w:val="22"/>
          <w:lang w:val="sr-Latn-ME"/>
        </w:rPr>
        <w:t>erna ekspresija HER2 utvrđivana je u centralnoj laboratoriji, a definisana je kao rezultat IHC 3+ ili amplifikacioni rezultat ISH ≥ 2,0 u ispitivanjima opisanim u nastavku.</w:t>
      </w:r>
    </w:p>
    <w:p w14:paraId="10E066B9" w14:textId="77777777" w:rsidR="000C7302" w:rsidRPr="005436C8" w:rsidRDefault="000C7302" w:rsidP="005436C8">
      <w:pPr>
        <w:tabs>
          <w:tab w:val="left" w:pos="284"/>
        </w:tabs>
        <w:jc w:val="both"/>
        <w:rPr>
          <w:i/>
          <w:color w:val="000000"/>
          <w:sz w:val="22"/>
          <w:szCs w:val="22"/>
          <w:u w:val="single"/>
          <w:lang w:val="sr-Latn-ME"/>
        </w:rPr>
      </w:pPr>
    </w:p>
    <w:p w14:paraId="0BD17691" w14:textId="77777777" w:rsidR="000C7302" w:rsidRPr="005436C8" w:rsidRDefault="000C7302" w:rsidP="005436C8">
      <w:pPr>
        <w:keepNext/>
        <w:keepLines/>
        <w:tabs>
          <w:tab w:val="left" w:pos="284"/>
        </w:tabs>
        <w:jc w:val="both"/>
        <w:rPr>
          <w:i/>
          <w:color w:val="000000"/>
          <w:sz w:val="22"/>
          <w:szCs w:val="22"/>
          <w:lang w:val="sr-Latn-ME"/>
        </w:rPr>
      </w:pPr>
      <w:r w:rsidRPr="005436C8">
        <w:rPr>
          <w:i/>
          <w:iCs/>
          <w:color w:val="000000"/>
          <w:sz w:val="22"/>
          <w:szCs w:val="22"/>
          <w:lang w:val="sr-Latn-ME"/>
        </w:rPr>
        <w:t xml:space="preserve">Rani karcinom dojke </w:t>
      </w:r>
    </w:p>
    <w:p w14:paraId="7DBE445B" w14:textId="77777777" w:rsidR="000C7302" w:rsidRPr="005436C8" w:rsidRDefault="000C7302" w:rsidP="005436C8">
      <w:pPr>
        <w:keepNext/>
        <w:keepLines/>
        <w:tabs>
          <w:tab w:val="left" w:pos="284"/>
        </w:tabs>
        <w:jc w:val="both"/>
        <w:rPr>
          <w:i/>
          <w:color w:val="000000"/>
          <w:sz w:val="22"/>
          <w:szCs w:val="22"/>
          <w:u w:val="single"/>
          <w:lang w:val="sr-Latn-ME"/>
        </w:rPr>
      </w:pPr>
    </w:p>
    <w:p w14:paraId="0751534B" w14:textId="77777777" w:rsidR="000C7302" w:rsidRPr="005436C8" w:rsidRDefault="000C7302" w:rsidP="005436C8">
      <w:pPr>
        <w:keepNext/>
        <w:keepLines/>
        <w:tabs>
          <w:tab w:val="left" w:pos="284"/>
        </w:tabs>
        <w:jc w:val="both"/>
        <w:rPr>
          <w:color w:val="000000"/>
          <w:sz w:val="22"/>
          <w:szCs w:val="22"/>
          <w:u w:val="single"/>
          <w:lang w:val="sr-Latn-ME"/>
        </w:rPr>
      </w:pPr>
      <w:r w:rsidRPr="005436C8">
        <w:rPr>
          <w:color w:val="000000"/>
          <w:sz w:val="22"/>
          <w:szCs w:val="22"/>
          <w:u w:val="single"/>
          <w:lang w:val="sr-Latn-ME"/>
        </w:rPr>
        <w:t>Neoadjuvantna terapija</w:t>
      </w:r>
    </w:p>
    <w:p w14:paraId="55F51E04" w14:textId="77777777" w:rsidR="000C7302" w:rsidRPr="005436C8" w:rsidRDefault="000C7302" w:rsidP="005436C8">
      <w:pPr>
        <w:keepNext/>
        <w:keepLines/>
        <w:tabs>
          <w:tab w:val="left" w:pos="284"/>
        </w:tabs>
        <w:jc w:val="both"/>
        <w:rPr>
          <w:i/>
          <w:color w:val="000000"/>
          <w:sz w:val="22"/>
          <w:szCs w:val="22"/>
          <w:lang w:val="sr-Latn-ME"/>
        </w:rPr>
      </w:pPr>
    </w:p>
    <w:p w14:paraId="378D5B04"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U neoadjuvantnim okolnostima lokalno uznapredovali i inflamatorni karcinom dojke smatraju se visokorizičnim, nezavisno od statusa hormonskih receptora. Pri proc</w:t>
      </w:r>
      <w:r w:rsidR="005537B1" w:rsidRPr="005436C8">
        <w:rPr>
          <w:color w:val="000000"/>
          <w:sz w:val="22"/>
          <w:szCs w:val="22"/>
          <w:lang w:val="sr-Latn-ME"/>
        </w:rPr>
        <w:t>j</w:t>
      </w:r>
      <w:r w:rsidRPr="005436C8">
        <w:rPr>
          <w:color w:val="000000"/>
          <w:sz w:val="22"/>
          <w:szCs w:val="22"/>
          <w:lang w:val="sr-Latn-ME"/>
        </w:rPr>
        <w:t>eni rizika kod ranog karcinoma dojke treba uzeti u obzir veličinu i stadijum tumora, status hormonskih receptora i metastaze u limfnim čvorovima.</w:t>
      </w:r>
    </w:p>
    <w:p w14:paraId="44E980F2" w14:textId="77777777" w:rsidR="000C7302" w:rsidRPr="005436C8" w:rsidRDefault="000C7302" w:rsidP="005436C8">
      <w:pPr>
        <w:tabs>
          <w:tab w:val="left" w:pos="284"/>
        </w:tabs>
        <w:jc w:val="both"/>
        <w:rPr>
          <w:color w:val="000000"/>
          <w:sz w:val="22"/>
          <w:szCs w:val="22"/>
          <w:lang w:val="sr-Latn-ME"/>
        </w:rPr>
      </w:pPr>
    </w:p>
    <w:p w14:paraId="4D048B3F"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Indikacija za </w:t>
      </w:r>
      <w:r w:rsidR="00097926" w:rsidRPr="005436C8">
        <w:rPr>
          <w:color w:val="000000"/>
          <w:sz w:val="22"/>
          <w:szCs w:val="22"/>
          <w:lang w:val="sr-Latn-ME"/>
        </w:rPr>
        <w:t>primjenu</w:t>
      </w:r>
      <w:r w:rsidRPr="005436C8">
        <w:rPr>
          <w:color w:val="000000"/>
          <w:sz w:val="22"/>
          <w:szCs w:val="22"/>
          <w:lang w:val="sr-Latn-ME"/>
        </w:rPr>
        <w:t xml:space="preserve"> u neoadjuvantnoj terapiji karcinoma dojke zasniva se na dokazanom poboljšanju stope patološkog kompletnog odgovora i trendovima ka poboljšanju preživljavanja bez bolesti (DFS), koji ipak ne potvrđuju ili ne omogućavaju precizno utvrđivanje koristi s obzirom na dugoročne ishode kao što su ukupno preživljavanje (OS) ili DFS. </w:t>
      </w:r>
    </w:p>
    <w:p w14:paraId="425EC6BB" w14:textId="77777777" w:rsidR="000C7302" w:rsidRPr="005436C8" w:rsidRDefault="000C7302" w:rsidP="005436C8">
      <w:pPr>
        <w:tabs>
          <w:tab w:val="left" w:pos="284"/>
        </w:tabs>
        <w:jc w:val="both"/>
        <w:rPr>
          <w:i/>
          <w:color w:val="000000"/>
          <w:sz w:val="22"/>
          <w:szCs w:val="22"/>
          <w:lang w:val="sr-Latn-ME"/>
        </w:rPr>
      </w:pPr>
    </w:p>
    <w:p w14:paraId="48FABB6A" w14:textId="77777777" w:rsidR="000C7302" w:rsidRPr="005436C8" w:rsidRDefault="000C7302" w:rsidP="005436C8">
      <w:pPr>
        <w:keepNext/>
        <w:keepLines/>
        <w:tabs>
          <w:tab w:val="left" w:pos="284"/>
        </w:tabs>
        <w:jc w:val="both"/>
        <w:rPr>
          <w:noProof/>
          <w:color w:val="000000"/>
          <w:sz w:val="22"/>
          <w:szCs w:val="22"/>
          <w:lang w:val="sr-Latn-ME"/>
        </w:rPr>
      </w:pPr>
      <w:r w:rsidRPr="005436C8">
        <w:rPr>
          <w:b/>
          <w:bCs/>
          <w:color w:val="000000"/>
          <w:sz w:val="22"/>
          <w:szCs w:val="22"/>
          <w:lang w:val="sr-Latn-ME"/>
        </w:rPr>
        <w:t>NEOSPHERE (WO20697)</w:t>
      </w:r>
      <w:r w:rsidRPr="005436C8">
        <w:rPr>
          <w:color w:val="000000"/>
          <w:sz w:val="22"/>
          <w:szCs w:val="22"/>
          <w:lang w:val="sr-Latn-ME"/>
        </w:rPr>
        <w:t xml:space="preserve"> </w:t>
      </w:r>
    </w:p>
    <w:p w14:paraId="55F4B649" w14:textId="77777777" w:rsidR="000C7302" w:rsidRPr="005436C8" w:rsidRDefault="000C7302" w:rsidP="005436C8">
      <w:pPr>
        <w:keepNext/>
        <w:keepLines/>
        <w:tabs>
          <w:tab w:val="left" w:pos="284"/>
        </w:tabs>
        <w:jc w:val="both"/>
        <w:rPr>
          <w:b/>
          <w:color w:val="000000"/>
          <w:sz w:val="22"/>
          <w:szCs w:val="22"/>
          <w:lang w:val="sr-Latn-ME"/>
        </w:rPr>
      </w:pPr>
    </w:p>
    <w:p w14:paraId="2801F420" w14:textId="05697376"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NEOSPHERE je multicentrično, multinacionalno, randomizovano kontrolisano ispitivanje pertuzumaba faze II, koje je sprovedeno na 417 odraslih pacijentkinja sa novodijagnostikovanim, ranim, inflamatornim ili lokalno uznapredovalim HER2 pozitivnim karcinomom dojke (T2-4d; prečnik primarnog tumora veći od 2 cm) koje prethodno nisu primale trastuzumab, hemoterapiju ili radioterapiju. U ispitivanje nisu bile uključene pacijentkinje sa metastazama, obostranim karcinomom dojke, klinički važnim faktorima srčanog rizika (pogledati </w:t>
      </w:r>
      <w:r w:rsidR="009B712A">
        <w:rPr>
          <w:color w:val="000000"/>
          <w:sz w:val="22"/>
          <w:szCs w:val="22"/>
          <w:lang w:val="sr-Latn-ME"/>
        </w:rPr>
        <w:t>dio</w:t>
      </w:r>
      <w:r w:rsidRPr="005436C8">
        <w:rPr>
          <w:color w:val="000000"/>
          <w:sz w:val="22"/>
          <w:szCs w:val="22"/>
          <w:lang w:val="sr-Latn-ME"/>
        </w:rPr>
        <w:t xml:space="preserve"> 4.4) ili kod kojih je LVEF bila manja od 55%. Većina pacijentkinja bila je mlađa od 65 godina. </w:t>
      </w:r>
    </w:p>
    <w:p w14:paraId="6DFF2EC9" w14:textId="77777777" w:rsidR="000C7302" w:rsidRPr="005436C8" w:rsidRDefault="000C7302" w:rsidP="005436C8">
      <w:pPr>
        <w:tabs>
          <w:tab w:val="left" w:pos="284"/>
        </w:tabs>
        <w:jc w:val="both"/>
        <w:rPr>
          <w:color w:val="000000"/>
          <w:sz w:val="22"/>
          <w:szCs w:val="22"/>
          <w:lang w:val="sr-Latn-ME"/>
        </w:rPr>
      </w:pPr>
    </w:p>
    <w:p w14:paraId="71B2D9F1"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Pacijentkinje su bile randomizovane da primaju jedan od sl</w:t>
      </w:r>
      <w:r w:rsidR="00927ECF" w:rsidRPr="005436C8">
        <w:rPr>
          <w:color w:val="000000"/>
          <w:sz w:val="22"/>
          <w:szCs w:val="22"/>
          <w:lang w:val="sr-Latn-ME"/>
        </w:rPr>
        <w:t>j</w:t>
      </w:r>
      <w:r w:rsidRPr="005436C8">
        <w:rPr>
          <w:color w:val="000000"/>
          <w:sz w:val="22"/>
          <w:szCs w:val="22"/>
          <w:lang w:val="sr-Latn-ME"/>
        </w:rPr>
        <w:t xml:space="preserve">edećih neoadjuvantnih režima tokom 4 ciklusa </w:t>
      </w:r>
      <w:r w:rsidR="00522BD8" w:rsidRPr="005436C8">
        <w:rPr>
          <w:color w:val="000000"/>
          <w:sz w:val="22"/>
          <w:szCs w:val="22"/>
          <w:lang w:val="sr-Latn-ME"/>
        </w:rPr>
        <w:t>prije</w:t>
      </w:r>
      <w:r w:rsidRPr="005436C8">
        <w:rPr>
          <w:color w:val="000000"/>
          <w:sz w:val="22"/>
          <w:szCs w:val="22"/>
          <w:lang w:val="sr-Latn-ME"/>
        </w:rPr>
        <w:t xml:space="preserve"> hirurškog zahvata: </w:t>
      </w:r>
    </w:p>
    <w:p w14:paraId="755FD561" w14:textId="77777777" w:rsidR="000C7302" w:rsidRPr="005436C8" w:rsidRDefault="000C7302" w:rsidP="005436C8">
      <w:pPr>
        <w:keepNext/>
        <w:keepLines/>
        <w:tabs>
          <w:tab w:val="left" w:pos="284"/>
        </w:tabs>
        <w:jc w:val="both"/>
        <w:rPr>
          <w:color w:val="000000"/>
          <w:sz w:val="22"/>
          <w:szCs w:val="22"/>
          <w:lang w:val="sr-Latn-ME"/>
        </w:rPr>
      </w:pPr>
    </w:p>
    <w:p w14:paraId="7889DA8D" w14:textId="77777777" w:rsidR="000C7302" w:rsidRPr="005436C8" w:rsidRDefault="000C7302" w:rsidP="005436C8">
      <w:pPr>
        <w:keepNext/>
        <w:keepLines/>
        <w:tabs>
          <w:tab w:val="left" w:pos="284"/>
        </w:tabs>
        <w:ind w:left="360"/>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Trastuzumab u kombinaciji sa docetakselom</w:t>
      </w:r>
      <w:r w:rsidR="00927ECF" w:rsidRPr="005436C8">
        <w:rPr>
          <w:color w:val="000000"/>
          <w:sz w:val="22"/>
          <w:szCs w:val="22"/>
          <w:lang w:val="sr-Latn-ME"/>
        </w:rPr>
        <w:t>,</w:t>
      </w:r>
      <w:r w:rsidRPr="005436C8">
        <w:rPr>
          <w:color w:val="000000"/>
          <w:sz w:val="22"/>
          <w:szCs w:val="22"/>
          <w:lang w:val="sr-Latn-ME"/>
        </w:rPr>
        <w:t xml:space="preserve"> </w:t>
      </w:r>
    </w:p>
    <w:p w14:paraId="5B925E37" w14:textId="77777777" w:rsidR="000C7302" w:rsidRPr="005436C8" w:rsidRDefault="000C7302" w:rsidP="005436C8">
      <w:pPr>
        <w:keepNext/>
        <w:keepLines/>
        <w:tabs>
          <w:tab w:val="left" w:pos="284"/>
        </w:tabs>
        <w:ind w:left="360"/>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Pertuzumab u kombinaciji sa trastuzumabom i docetakselom</w:t>
      </w:r>
      <w:r w:rsidR="00927ECF" w:rsidRPr="005436C8">
        <w:rPr>
          <w:color w:val="000000"/>
          <w:sz w:val="22"/>
          <w:szCs w:val="22"/>
          <w:lang w:val="sr-Latn-ME"/>
        </w:rPr>
        <w:t>,</w:t>
      </w:r>
    </w:p>
    <w:p w14:paraId="19353BB9" w14:textId="77777777" w:rsidR="000C7302" w:rsidRPr="005436C8" w:rsidRDefault="000C7302" w:rsidP="005436C8">
      <w:pPr>
        <w:tabs>
          <w:tab w:val="left" w:pos="284"/>
        </w:tabs>
        <w:ind w:left="360"/>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Pertuzumab u kombinaciji sa trastuzumabom</w:t>
      </w:r>
      <w:r w:rsidR="00927ECF" w:rsidRPr="005436C8">
        <w:rPr>
          <w:color w:val="000000"/>
          <w:sz w:val="22"/>
          <w:szCs w:val="22"/>
          <w:lang w:val="sr-Latn-ME"/>
        </w:rPr>
        <w:t>,</w:t>
      </w:r>
    </w:p>
    <w:p w14:paraId="2A40F695" w14:textId="77777777" w:rsidR="000C7302" w:rsidRPr="005436C8" w:rsidRDefault="000C7302" w:rsidP="005436C8">
      <w:pPr>
        <w:tabs>
          <w:tab w:val="left" w:pos="284"/>
        </w:tabs>
        <w:ind w:left="360"/>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 xml:space="preserve">Pertuzumab u kombinaciji sa docetakselom. </w:t>
      </w:r>
    </w:p>
    <w:p w14:paraId="19408BD2" w14:textId="77777777" w:rsidR="000C7302" w:rsidRPr="005436C8" w:rsidRDefault="000C7302" w:rsidP="005436C8">
      <w:pPr>
        <w:tabs>
          <w:tab w:val="left" w:pos="284"/>
        </w:tabs>
        <w:ind w:left="720"/>
        <w:jc w:val="both"/>
        <w:rPr>
          <w:color w:val="000000"/>
          <w:sz w:val="22"/>
          <w:szCs w:val="22"/>
          <w:lang w:val="sr-Latn-ME"/>
        </w:rPr>
      </w:pPr>
    </w:p>
    <w:p w14:paraId="5C40BB06"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Randomizacija je bila stratifikovana po tipu karcinoma dojke (operabilni, lokalno uznapredovali ili inflamatorni) i pozitivnosti na receptor estrogena (ER) ili progesteron</w:t>
      </w:r>
      <w:r w:rsidR="00927ECF" w:rsidRPr="005436C8">
        <w:rPr>
          <w:color w:val="000000"/>
          <w:sz w:val="22"/>
          <w:szCs w:val="22"/>
          <w:lang w:val="sr-Latn-ME"/>
        </w:rPr>
        <w:t>a</w:t>
      </w:r>
      <w:r w:rsidRPr="005436C8">
        <w:rPr>
          <w:color w:val="000000"/>
          <w:sz w:val="22"/>
          <w:szCs w:val="22"/>
          <w:lang w:val="sr-Latn-ME"/>
        </w:rPr>
        <w:t xml:space="preserve"> (PgR).</w:t>
      </w:r>
    </w:p>
    <w:p w14:paraId="3A53B6D0" w14:textId="77777777" w:rsidR="000C7302" w:rsidRPr="005436C8" w:rsidRDefault="000C7302" w:rsidP="005436C8">
      <w:pPr>
        <w:tabs>
          <w:tab w:val="left" w:pos="284"/>
        </w:tabs>
        <w:jc w:val="both"/>
        <w:rPr>
          <w:color w:val="000000"/>
          <w:sz w:val="22"/>
          <w:szCs w:val="22"/>
          <w:lang w:val="sr-Latn-ME"/>
        </w:rPr>
      </w:pPr>
    </w:p>
    <w:p w14:paraId="3899170A" w14:textId="77777777" w:rsidR="000C7302" w:rsidRPr="005436C8" w:rsidRDefault="000C7302" w:rsidP="005436C8">
      <w:pPr>
        <w:tabs>
          <w:tab w:val="left" w:pos="284"/>
        </w:tabs>
        <w:jc w:val="both"/>
        <w:rPr>
          <w:color w:val="000000"/>
          <w:sz w:val="22"/>
          <w:szCs w:val="22"/>
          <w:u w:val="single"/>
          <w:lang w:val="sr-Latn-ME"/>
        </w:rPr>
      </w:pPr>
      <w:r w:rsidRPr="005436C8">
        <w:rPr>
          <w:color w:val="000000"/>
          <w:sz w:val="22"/>
          <w:szCs w:val="22"/>
          <w:lang w:val="sr-Latn-ME"/>
        </w:rPr>
        <w:t>Pertuzumab je davan intravenski u početnoj dozi od 840 mg, a nakon toga 420 mg svake tri ned</w:t>
      </w:r>
      <w:r w:rsidR="00D20D01" w:rsidRPr="005436C8">
        <w:rPr>
          <w:color w:val="000000"/>
          <w:sz w:val="22"/>
          <w:szCs w:val="22"/>
          <w:lang w:val="sr-Latn-ME"/>
        </w:rPr>
        <w:t>j</w:t>
      </w:r>
      <w:r w:rsidRPr="005436C8">
        <w:rPr>
          <w:color w:val="000000"/>
          <w:sz w:val="22"/>
          <w:szCs w:val="22"/>
          <w:lang w:val="sr-Latn-ME"/>
        </w:rPr>
        <w:t>elje. Trastuzumab je davan intravenski u početnoj dozi od 8 mg/kg, a nakon toga 6 mg/kg svake tri ned</w:t>
      </w:r>
      <w:r w:rsidR="00D20D01" w:rsidRPr="005436C8">
        <w:rPr>
          <w:color w:val="000000"/>
          <w:sz w:val="22"/>
          <w:szCs w:val="22"/>
          <w:lang w:val="sr-Latn-ME"/>
        </w:rPr>
        <w:t>j</w:t>
      </w:r>
      <w:r w:rsidRPr="005436C8">
        <w:rPr>
          <w:color w:val="000000"/>
          <w:sz w:val="22"/>
          <w:szCs w:val="22"/>
          <w:lang w:val="sr-Latn-ME"/>
        </w:rPr>
        <w:t>elje. Docetaksel je davan intravenski u početnoj dozi od 75 mg/m</w:t>
      </w:r>
      <w:r w:rsidRPr="005436C8">
        <w:rPr>
          <w:color w:val="000000"/>
          <w:sz w:val="22"/>
          <w:szCs w:val="22"/>
          <w:vertAlign w:val="superscript"/>
          <w:lang w:val="sr-Latn-ME"/>
        </w:rPr>
        <w:t>2</w:t>
      </w:r>
      <w:r w:rsidR="00C1065F" w:rsidRPr="005436C8">
        <w:rPr>
          <w:color w:val="000000"/>
          <w:sz w:val="22"/>
          <w:szCs w:val="22"/>
          <w:lang w:val="sr-Latn-ME"/>
        </w:rPr>
        <w:t>,</w:t>
      </w:r>
      <w:r w:rsidRPr="005436C8">
        <w:rPr>
          <w:color w:val="000000"/>
          <w:sz w:val="22"/>
          <w:szCs w:val="22"/>
          <w:lang w:val="sr-Latn-ME"/>
        </w:rPr>
        <w:t xml:space="preserve"> a nakon toga 75 mg/m</w:t>
      </w:r>
      <w:r w:rsidRPr="005436C8">
        <w:rPr>
          <w:color w:val="000000"/>
          <w:sz w:val="22"/>
          <w:szCs w:val="22"/>
          <w:vertAlign w:val="superscript"/>
          <w:lang w:val="sr-Latn-ME"/>
        </w:rPr>
        <w:t>2</w:t>
      </w:r>
      <w:r w:rsidRPr="005436C8">
        <w:rPr>
          <w:color w:val="000000"/>
          <w:sz w:val="22"/>
          <w:szCs w:val="22"/>
          <w:lang w:val="sr-Latn-ME"/>
        </w:rPr>
        <w:t xml:space="preserve"> ili 100 mg/m</w:t>
      </w:r>
      <w:r w:rsidRPr="005436C8">
        <w:rPr>
          <w:color w:val="000000"/>
          <w:sz w:val="22"/>
          <w:szCs w:val="22"/>
          <w:vertAlign w:val="superscript"/>
          <w:lang w:val="sr-Latn-ME"/>
        </w:rPr>
        <w:t>2</w:t>
      </w:r>
      <w:r w:rsidRPr="005436C8">
        <w:rPr>
          <w:color w:val="000000"/>
          <w:sz w:val="22"/>
          <w:szCs w:val="22"/>
          <w:lang w:val="sr-Latn-ME"/>
        </w:rPr>
        <w:t xml:space="preserve"> (ukoliko je podnošen) svake 3 ned</w:t>
      </w:r>
      <w:r w:rsidR="00D20D01" w:rsidRPr="005436C8">
        <w:rPr>
          <w:color w:val="000000"/>
          <w:sz w:val="22"/>
          <w:szCs w:val="22"/>
          <w:lang w:val="sr-Latn-ME"/>
        </w:rPr>
        <w:t>j</w:t>
      </w:r>
      <w:r w:rsidRPr="005436C8">
        <w:rPr>
          <w:color w:val="000000"/>
          <w:sz w:val="22"/>
          <w:szCs w:val="22"/>
          <w:lang w:val="sr-Latn-ME"/>
        </w:rPr>
        <w:t>elje. Nakon operacije</w:t>
      </w:r>
      <w:r w:rsidR="00C1065F" w:rsidRPr="005436C8">
        <w:rPr>
          <w:color w:val="000000"/>
          <w:sz w:val="22"/>
          <w:szCs w:val="22"/>
          <w:lang w:val="sr-Latn-ME"/>
        </w:rPr>
        <w:t>,</w:t>
      </w:r>
      <w:r w:rsidRPr="005436C8">
        <w:rPr>
          <w:color w:val="000000"/>
          <w:sz w:val="22"/>
          <w:szCs w:val="22"/>
          <w:lang w:val="sr-Latn-ME"/>
        </w:rPr>
        <w:t xml:space="preserve"> sve pacijentkinje su primile 3 ciklusa 5-fluorouracila (600 mg/m</w:t>
      </w:r>
      <w:r w:rsidRPr="005436C8">
        <w:rPr>
          <w:color w:val="000000"/>
          <w:sz w:val="22"/>
          <w:szCs w:val="22"/>
          <w:vertAlign w:val="superscript"/>
          <w:lang w:val="sr-Latn-ME"/>
        </w:rPr>
        <w:t>2</w:t>
      </w:r>
      <w:r w:rsidRPr="005436C8">
        <w:rPr>
          <w:color w:val="000000"/>
          <w:sz w:val="22"/>
          <w:szCs w:val="22"/>
          <w:lang w:val="sr-Latn-ME"/>
        </w:rPr>
        <w:t xml:space="preserve"> ), epirubicina (90 mg/m</w:t>
      </w:r>
      <w:r w:rsidRPr="005436C8">
        <w:rPr>
          <w:color w:val="000000"/>
          <w:sz w:val="22"/>
          <w:szCs w:val="22"/>
          <w:vertAlign w:val="superscript"/>
          <w:lang w:val="sr-Latn-ME"/>
        </w:rPr>
        <w:t>2</w:t>
      </w:r>
      <w:r w:rsidRPr="005436C8">
        <w:rPr>
          <w:color w:val="000000"/>
          <w:sz w:val="22"/>
          <w:szCs w:val="22"/>
          <w:lang w:val="sr-Latn-ME"/>
        </w:rPr>
        <w:t>) i ciklofosfamida (600 mg/m</w:t>
      </w:r>
      <w:r w:rsidRPr="005436C8">
        <w:rPr>
          <w:color w:val="000000"/>
          <w:sz w:val="22"/>
          <w:szCs w:val="22"/>
          <w:vertAlign w:val="superscript"/>
          <w:lang w:val="sr-Latn-ME"/>
        </w:rPr>
        <w:t>2</w:t>
      </w:r>
      <w:r w:rsidRPr="005436C8">
        <w:rPr>
          <w:color w:val="000000"/>
          <w:sz w:val="22"/>
          <w:szCs w:val="22"/>
          <w:lang w:val="sr-Latn-ME"/>
        </w:rPr>
        <w:t>) (FEC), koji su davani intravenski svake tri ned</w:t>
      </w:r>
      <w:r w:rsidR="0097396D" w:rsidRPr="005436C8">
        <w:rPr>
          <w:color w:val="000000"/>
          <w:sz w:val="22"/>
          <w:szCs w:val="22"/>
          <w:lang w:val="sr-Latn-ME"/>
        </w:rPr>
        <w:t>j</w:t>
      </w:r>
      <w:r w:rsidRPr="005436C8">
        <w:rPr>
          <w:color w:val="000000"/>
          <w:sz w:val="22"/>
          <w:szCs w:val="22"/>
          <w:lang w:val="sr-Latn-ME"/>
        </w:rPr>
        <w:t>elje, kao i trastuzumab davan intravenski svake tri ned</w:t>
      </w:r>
      <w:r w:rsidR="0097396D" w:rsidRPr="005436C8">
        <w:rPr>
          <w:color w:val="000000"/>
          <w:sz w:val="22"/>
          <w:szCs w:val="22"/>
          <w:lang w:val="sr-Latn-ME"/>
        </w:rPr>
        <w:t>j</w:t>
      </w:r>
      <w:r w:rsidRPr="005436C8">
        <w:rPr>
          <w:color w:val="000000"/>
          <w:sz w:val="22"/>
          <w:szCs w:val="22"/>
          <w:lang w:val="sr-Latn-ME"/>
        </w:rPr>
        <w:t xml:space="preserve">elje do završetka perioda </w:t>
      </w:r>
      <w:r w:rsidR="000A2EA9" w:rsidRPr="005436C8">
        <w:rPr>
          <w:color w:val="000000"/>
          <w:sz w:val="22"/>
          <w:szCs w:val="22"/>
          <w:lang w:val="sr-Latn-ME"/>
        </w:rPr>
        <w:t>liječenja</w:t>
      </w:r>
      <w:r w:rsidRPr="005436C8">
        <w:rPr>
          <w:color w:val="000000"/>
          <w:sz w:val="22"/>
          <w:szCs w:val="22"/>
          <w:lang w:val="sr-Latn-ME"/>
        </w:rPr>
        <w:t xml:space="preserve"> od godinu dana. Pacijentkinje koje su pr</w:t>
      </w:r>
      <w:r w:rsidR="0097396D" w:rsidRPr="005436C8">
        <w:rPr>
          <w:color w:val="000000"/>
          <w:sz w:val="22"/>
          <w:szCs w:val="22"/>
          <w:lang w:val="sr-Latn-ME"/>
        </w:rPr>
        <w:t>ij</w:t>
      </w:r>
      <w:r w:rsidRPr="005436C8">
        <w:rPr>
          <w:color w:val="000000"/>
          <w:sz w:val="22"/>
          <w:szCs w:val="22"/>
          <w:lang w:val="sr-Latn-ME"/>
        </w:rPr>
        <w:t>e hirurškog zahvata primale samo pertuzumab u kombinaciji sa trastuzumabom, nakon zahvata su primale i FEC i docetaksel.</w:t>
      </w:r>
    </w:p>
    <w:p w14:paraId="6415AD6D" w14:textId="77777777" w:rsidR="000C7302" w:rsidRPr="005436C8" w:rsidRDefault="000C7302" w:rsidP="005436C8">
      <w:pPr>
        <w:tabs>
          <w:tab w:val="left" w:pos="284"/>
        </w:tabs>
        <w:jc w:val="both"/>
        <w:rPr>
          <w:color w:val="000000"/>
          <w:sz w:val="22"/>
          <w:szCs w:val="22"/>
          <w:lang w:val="sr-Latn-ME"/>
        </w:rPr>
      </w:pPr>
    </w:p>
    <w:p w14:paraId="2EAB23C9" w14:textId="77777777" w:rsidR="000C7302" w:rsidRPr="005436C8" w:rsidRDefault="000C7302" w:rsidP="005436C8">
      <w:pPr>
        <w:tabs>
          <w:tab w:val="left" w:pos="284"/>
        </w:tabs>
        <w:jc w:val="both"/>
        <w:rPr>
          <w:color w:val="000000"/>
          <w:sz w:val="22"/>
          <w:szCs w:val="22"/>
          <w:u w:val="single"/>
          <w:lang w:val="sr-Latn-ME"/>
        </w:rPr>
      </w:pPr>
      <w:r w:rsidRPr="005436C8">
        <w:rPr>
          <w:color w:val="000000"/>
          <w:sz w:val="22"/>
          <w:szCs w:val="22"/>
          <w:lang w:val="sr-Latn-ME"/>
        </w:rPr>
        <w:t>Primarna krajnja tačka studije bila je stopa patološki kompletnog odgovora (pCR) u dojci (ypT0/is). Sekundarne krajnje tačke efikasnosti bile su stopa kliničkog odgovora, stopa poštedne operacije dojke (samo za tumore T2-3), DFS i preživljavanje bez progresije bolesti (PFS). Dodatne eksploratorne stope pCR uključivale su status zahvaćenosti limfnih čvorova (ypT0/isN0 i ypT0N0).</w:t>
      </w:r>
    </w:p>
    <w:p w14:paraId="7688B327" w14:textId="77777777" w:rsidR="000C7302" w:rsidRPr="005436C8" w:rsidRDefault="000C7302" w:rsidP="005436C8">
      <w:pPr>
        <w:tabs>
          <w:tab w:val="left" w:pos="284"/>
        </w:tabs>
        <w:jc w:val="both"/>
        <w:rPr>
          <w:color w:val="000000"/>
          <w:sz w:val="22"/>
          <w:szCs w:val="22"/>
          <w:u w:val="single"/>
          <w:lang w:val="sr-Latn-ME"/>
        </w:rPr>
      </w:pPr>
    </w:p>
    <w:p w14:paraId="754DD6E7"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lastRenderedPageBreak/>
        <w:t xml:space="preserve">Demografske karakteristike su bile dobro ujednačene (medijana godina života iznosila je 49–50, većina </w:t>
      </w:r>
      <w:r w:rsidR="000E09F6" w:rsidRPr="005436C8">
        <w:rPr>
          <w:color w:val="000000"/>
          <w:sz w:val="22"/>
          <w:szCs w:val="22"/>
          <w:lang w:val="sr-Latn-ME"/>
        </w:rPr>
        <w:t>bijele rase</w:t>
      </w:r>
      <w:r w:rsidRPr="005436C8">
        <w:rPr>
          <w:color w:val="000000"/>
          <w:sz w:val="22"/>
          <w:szCs w:val="22"/>
          <w:lang w:val="sr-Latn-ME"/>
        </w:rPr>
        <w:t xml:space="preserve"> (71%)) i </w:t>
      </w:r>
      <w:r w:rsidR="000E09F6" w:rsidRPr="005436C8">
        <w:rPr>
          <w:color w:val="000000"/>
          <w:sz w:val="22"/>
          <w:szCs w:val="22"/>
          <w:lang w:val="sr-Latn-ME"/>
        </w:rPr>
        <w:t xml:space="preserve">svi pacijenti </w:t>
      </w:r>
      <w:r w:rsidRPr="005436C8">
        <w:rPr>
          <w:color w:val="000000"/>
          <w:sz w:val="22"/>
          <w:szCs w:val="22"/>
          <w:lang w:val="sr-Latn-ME"/>
        </w:rPr>
        <w:t xml:space="preserve">su </w:t>
      </w:r>
      <w:r w:rsidR="000E09F6" w:rsidRPr="005436C8">
        <w:rPr>
          <w:color w:val="000000"/>
          <w:sz w:val="22"/>
          <w:szCs w:val="22"/>
          <w:lang w:val="sr-Latn-ME"/>
        </w:rPr>
        <w:t xml:space="preserve">bili </w:t>
      </w:r>
      <w:r w:rsidRPr="005436C8">
        <w:rPr>
          <w:color w:val="000000"/>
          <w:sz w:val="22"/>
          <w:szCs w:val="22"/>
          <w:lang w:val="sr-Latn-ME"/>
        </w:rPr>
        <w:t xml:space="preserve">ženskog pola. Ukupno je 7% pacijentkinja imalo inflamatorni karcinom dojke, njih 32% imalo je lokalno uznapredovali karcinom dojke, a njih 61% operabilni karcinom dojke. Približno polovina pacijentkinja u svakoj </w:t>
      </w:r>
      <w:r w:rsidR="00F90BE1" w:rsidRPr="005436C8">
        <w:rPr>
          <w:color w:val="000000"/>
          <w:sz w:val="22"/>
          <w:szCs w:val="22"/>
          <w:lang w:val="sr-Latn-ME"/>
        </w:rPr>
        <w:t>liječenoj</w:t>
      </w:r>
      <w:r w:rsidRPr="005436C8">
        <w:rPr>
          <w:color w:val="000000"/>
          <w:sz w:val="22"/>
          <w:szCs w:val="22"/>
          <w:lang w:val="sr-Latn-ME"/>
        </w:rPr>
        <w:t xml:space="preserve"> grupi imala je bolest pozitivnu na hormonske receptore (definisanu kao ER-pozitivna odnosno PgR-pozitivna). </w:t>
      </w:r>
    </w:p>
    <w:p w14:paraId="463A3FF2" w14:textId="77777777" w:rsidR="000C7302" w:rsidRPr="005436C8" w:rsidRDefault="000C7302" w:rsidP="005436C8">
      <w:pPr>
        <w:tabs>
          <w:tab w:val="left" w:pos="284"/>
        </w:tabs>
        <w:jc w:val="both"/>
        <w:rPr>
          <w:color w:val="000000"/>
          <w:sz w:val="22"/>
          <w:szCs w:val="22"/>
          <w:u w:val="single"/>
          <w:lang w:val="sr-Latn-ME"/>
        </w:rPr>
      </w:pPr>
    </w:p>
    <w:p w14:paraId="43B413A3" w14:textId="77777777" w:rsidR="000C7302" w:rsidRPr="005436C8" w:rsidRDefault="000C7302" w:rsidP="005436C8">
      <w:pPr>
        <w:tabs>
          <w:tab w:val="left" w:pos="284"/>
        </w:tabs>
        <w:jc w:val="both"/>
        <w:rPr>
          <w:color w:val="000000"/>
          <w:sz w:val="22"/>
          <w:szCs w:val="22"/>
          <w:u w:val="single"/>
          <w:lang w:val="sr-Latn-ME"/>
        </w:rPr>
      </w:pPr>
      <w:r w:rsidRPr="005436C8">
        <w:rPr>
          <w:color w:val="000000"/>
          <w:sz w:val="22"/>
          <w:szCs w:val="22"/>
          <w:lang w:val="sr-Latn-ME"/>
        </w:rPr>
        <w:t xml:space="preserve">Rezultati efikasnosti prikazani su u tabeli </w:t>
      </w:r>
      <w:r w:rsidR="002E743C" w:rsidRPr="005436C8">
        <w:rPr>
          <w:color w:val="000000"/>
          <w:sz w:val="22"/>
          <w:szCs w:val="22"/>
          <w:lang w:val="sr-Latn-ME"/>
        </w:rPr>
        <w:t>5</w:t>
      </w:r>
      <w:r w:rsidRPr="005436C8">
        <w:rPr>
          <w:color w:val="000000"/>
          <w:sz w:val="22"/>
          <w:szCs w:val="22"/>
          <w:lang w:val="sr-Latn-ME"/>
        </w:rPr>
        <w:t>. Kod pacijenata koje su primale pertuzumab u kombinaciji sa trastuzumabom i docetakselom zab</w:t>
      </w:r>
      <w:r w:rsidR="0097396D" w:rsidRPr="005436C8">
        <w:rPr>
          <w:color w:val="000000"/>
          <w:sz w:val="22"/>
          <w:szCs w:val="22"/>
          <w:lang w:val="sr-Latn-ME"/>
        </w:rPr>
        <w:t>i</w:t>
      </w:r>
      <w:r w:rsidRPr="005436C8">
        <w:rPr>
          <w:color w:val="000000"/>
          <w:sz w:val="22"/>
          <w:szCs w:val="22"/>
          <w:lang w:val="sr-Latn-ME"/>
        </w:rPr>
        <w:t>l</w:t>
      </w:r>
      <w:r w:rsidR="0097396D" w:rsidRPr="005436C8">
        <w:rPr>
          <w:color w:val="000000"/>
          <w:sz w:val="22"/>
          <w:szCs w:val="22"/>
          <w:lang w:val="sr-Latn-ME"/>
        </w:rPr>
        <w:t>j</w:t>
      </w:r>
      <w:r w:rsidRPr="005436C8">
        <w:rPr>
          <w:color w:val="000000"/>
          <w:sz w:val="22"/>
          <w:szCs w:val="22"/>
          <w:lang w:val="sr-Latn-ME"/>
        </w:rPr>
        <w:t>eženo je statistički značajno poboljšanje stope pCR (ypT0/is) u odnosu na one</w:t>
      </w:r>
      <w:r w:rsidR="00522BD8" w:rsidRPr="005436C8">
        <w:rPr>
          <w:color w:val="000000"/>
          <w:sz w:val="22"/>
          <w:szCs w:val="22"/>
          <w:lang w:val="sr-Latn-ME"/>
        </w:rPr>
        <w:t xml:space="preserve"> </w:t>
      </w:r>
      <w:r w:rsidRPr="005436C8">
        <w:rPr>
          <w:color w:val="000000"/>
          <w:sz w:val="22"/>
          <w:szCs w:val="22"/>
          <w:lang w:val="sr-Latn-ME"/>
        </w:rPr>
        <w:t>koje su primale trastuzumab i docetaksel (45,8% prema 29,0%, p-</w:t>
      </w:r>
      <w:r w:rsidR="000A2EA9" w:rsidRPr="005436C8">
        <w:rPr>
          <w:color w:val="000000"/>
          <w:sz w:val="22"/>
          <w:szCs w:val="22"/>
          <w:lang w:val="sr-Latn-ME"/>
        </w:rPr>
        <w:t>vrijednost</w:t>
      </w:r>
      <w:r w:rsidRPr="005436C8">
        <w:rPr>
          <w:color w:val="000000"/>
          <w:sz w:val="22"/>
          <w:szCs w:val="22"/>
          <w:lang w:val="sr-Latn-ME"/>
        </w:rPr>
        <w:t xml:space="preserve"> = 0,0141). Zab</w:t>
      </w:r>
      <w:r w:rsidR="0097396D" w:rsidRPr="005436C8">
        <w:rPr>
          <w:color w:val="000000"/>
          <w:sz w:val="22"/>
          <w:szCs w:val="22"/>
          <w:lang w:val="sr-Latn-ME"/>
        </w:rPr>
        <w:t>i</w:t>
      </w:r>
      <w:r w:rsidRPr="005436C8">
        <w:rPr>
          <w:color w:val="000000"/>
          <w:sz w:val="22"/>
          <w:szCs w:val="22"/>
          <w:lang w:val="sr-Latn-ME"/>
        </w:rPr>
        <w:t>l</w:t>
      </w:r>
      <w:r w:rsidR="0097396D" w:rsidRPr="005436C8">
        <w:rPr>
          <w:color w:val="000000"/>
          <w:sz w:val="22"/>
          <w:szCs w:val="22"/>
          <w:lang w:val="sr-Latn-ME"/>
        </w:rPr>
        <w:t>j</w:t>
      </w:r>
      <w:r w:rsidRPr="005436C8">
        <w:rPr>
          <w:color w:val="000000"/>
          <w:sz w:val="22"/>
          <w:szCs w:val="22"/>
          <w:lang w:val="sr-Latn-ME"/>
        </w:rPr>
        <w:t>ežen je dosl</w:t>
      </w:r>
      <w:r w:rsidR="000E09F6" w:rsidRPr="005436C8">
        <w:rPr>
          <w:color w:val="000000"/>
          <w:sz w:val="22"/>
          <w:szCs w:val="22"/>
          <w:lang w:val="sr-Latn-ME"/>
        </w:rPr>
        <w:t>j</w:t>
      </w:r>
      <w:r w:rsidRPr="005436C8">
        <w:rPr>
          <w:color w:val="000000"/>
          <w:sz w:val="22"/>
          <w:szCs w:val="22"/>
          <w:lang w:val="sr-Latn-ME"/>
        </w:rPr>
        <w:t>edan obrazac rezultata, nezavisno od definicije pCR. Smatra se da će se razlika u stopi pCR v</w:t>
      </w:r>
      <w:r w:rsidR="0097396D" w:rsidRPr="005436C8">
        <w:rPr>
          <w:color w:val="000000"/>
          <w:sz w:val="22"/>
          <w:szCs w:val="22"/>
          <w:lang w:val="sr-Latn-ME"/>
        </w:rPr>
        <w:t>j</w:t>
      </w:r>
      <w:r w:rsidRPr="005436C8">
        <w:rPr>
          <w:color w:val="000000"/>
          <w:sz w:val="22"/>
          <w:szCs w:val="22"/>
          <w:lang w:val="sr-Latn-ME"/>
        </w:rPr>
        <w:t>erovatno preslikati u klinički značajnu razliku kod dugoročnih ishoda, a tu pretpostavku podupiru pozitivni trendovi PFS (stopa rizika hazarda [HR] = 0,69; 95% CI: 0,34; 1,40) i DFS (HR = 0,60; 95% CI: 0,28; 1,27).</w:t>
      </w:r>
      <w:r w:rsidRPr="005436C8">
        <w:rPr>
          <w:color w:val="000000"/>
          <w:sz w:val="22"/>
          <w:szCs w:val="22"/>
          <w:u w:val="single"/>
          <w:lang w:val="sr-Latn-ME"/>
        </w:rPr>
        <w:t xml:space="preserve"> </w:t>
      </w:r>
    </w:p>
    <w:p w14:paraId="6E621D31" w14:textId="77777777" w:rsidR="000C7302" w:rsidRPr="005436C8" w:rsidRDefault="000C7302" w:rsidP="005436C8">
      <w:pPr>
        <w:tabs>
          <w:tab w:val="left" w:pos="284"/>
        </w:tabs>
        <w:jc w:val="both"/>
        <w:rPr>
          <w:color w:val="000000"/>
          <w:sz w:val="22"/>
          <w:szCs w:val="22"/>
          <w:u w:val="single"/>
          <w:lang w:val="sr-Latn-ME"/>
        </w:rPr>
      </w:pPr>
    </w:p>
    <w:p w14:paraId="4506DDDB"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Stope pCR i raspon koristi zab</w:t>
      </w:r>
      <w:r w:rsidR="003E2042" w:rsidRPr="005436C8">
        <w:rPr>
          <w:color w:val="000000"/>
          <w:sz w:val="22"/>
          <w:szCs w:val="22"/>
          <w:lang w:val="sr-Latn-ME"/>
        </w:rPr>
        <w:t>i</w:t>
      </w:r>
      <w:r w:rsidRPr="005436C8">
        <w:rPr>
          <w:color w:val="000000"/>
          <w:sz w:val="22"/>
          <w:szCs w:val="22"/>
          <w:lang w:val="sr-Latn-ME"/>
        </w:rPr>
        <w:t>l</w:t>
      </w:r>
      <w:r w:rsidR="003E2042" w:rsidRPr="005436C8">
        <w:rPr>
          <w:color w:val="000000"/>
          <w:sz w:val="22"/>
          <w:szCs w:val="22"/>
          <w:lang w:val="sr-Latn-ME"/>
        </w:rPr>
        <w:t>j</w:t>
      </w:r>
      <w:r w:rsidRPr="005436C8">
        <w:rPr>
          <w:color w:val="000000"/>
          <w:sz w:val="22"/>
          <w:szCs w:val="22"/>
          <w:lang w:val="sr-Latn-ME"/>
        </w:rPr>
        <w:t xml:space="preserve">eženih kod </w:t>
      </w:r>
      <w:r w:rsidR="00A21698" w:rsidRPr="005436C8">
        <w:rPr>
          <w:color w:val="000000"/>
          <w:sz w:val="22"/>
          <w:szCs w:val="22"/>
          <w:lang w:val="sr-Latn-ME"/>
        </w:rPr>
        <w:t>primjene</w:t>
      </w:r>
      <w:r w:rsidRPr="005436C8">
        <w:rPr>
          <w:color w:val="000000"/>
          <w:sz w:val="22"/>
          <w:szCs w:val="22"/>
          <w:lang w:val="sr-Latn-ME"/>
        </w:rPr>
        <w:t xml:space="preserve"> pertuzumaba (pertuzumab u kombinaciji sa trastuzumabom i docetakselom u odnosu na trastuzumab i docetaksel) bili su manji u podgrupi pacijentkinja sa tumorima pozitivnim na hormonske receptore (razlika pCR u dojci od 6%) nego kod pacijentkinja sa tumorima negativnim na hormonske receptore (razlika pCR u dojci od 26,4%). </w:t>
      </w:r>
    </w:p>
    <w:p w14:paraId="3379FA8B" w14:textId="77777777" w:rsidR="000C7302" w:rsidRDefault="000C7302" w:rsidP="005436C8">
      <w:pPr>
        <w:tabs>
          <w:tab w:val="left" w:pos="284"/>
        </w:tabs>
        <w:jc w:val="both"/>
        <w:rPr>
          <w:color w:val="000000"/>
          <w:sz w:val="22"/>
          <w:szCs w:val="22"/>
          <w:lang w:val="sr-Latn-ME"/>
        </w:rPr>
      </w:pPr>
      <w:r w:rsidRPr="005436C8">
        <w:rPr>
          <w:color w:val="000000"/>
          <w:sz w:val="22"/>
          <w:szCs w:val="22"/>
          <w:lang w:val="sr-Latn-ME"/>
        </w:rPr>
        <w:t>Stope pCR su bile slične kod pacijentkinja sa operabilnom bolešću u poređenju sa lokalno uznapredovalom bolešću. Broj pacijentkinja sa inflamatornim karcinomom dojke bio je premali da bi se mogli don</w:t>
      </w:r>
      <w:r w:rsidR="003E2042" w:rsidRPr="005436C8">
        <w:rPr>
          <w:color w:val="000000"/>
          <w:sz w:val="22"/>
          <w:szCs w:val="22"/>
          <w:lang w:val="sr-Latn-ME"/>
        </w:rPr>
        <w:t>ij</w:t>
      </w:r>
      <w:r w:rsidRPr="005436C8">
        <w:rPr>
          <w:color w:val="000000"/>
          <w:sz w:val="22"/>
          <w:szCs w:val="22"/>
          <w:lang w:val="sr-Latn-ME"/>
        </w:rPr>
        <w:t>eti bilo kakvi čvrsti zaključci, ali je stopa pCR bila viša kod pacijentkinja koje su primale pertuzumab u kombinaciji sa trastuzumabom i docetakselom.</w:t>
      </w:r>
    </w:p>
    <w:p w14:paraId="698D741F" w14:textId="77777777" w:rsidR="002A2CA8" w:rsidRPr="005436C8" w:rsidRDefault="002A2CA8" w:rsidP="005436C8">
      <w:pPr>
        <w:tabs>
          <w:tab w:val="left" w:pos="284"/>
        </w:tabs>
        <w:jc w:val="both"/>
        <w:rPr>
          <w:color w:val="000000"/>
          <w:sz w:val="22"/>
          <w:szCs w:val="22"/>
          <w:lang w:val="sr-Latn-ME"/>
        </w:rPr>
      </w:pPr>
    </w:p>
    <w:p w14:paraId="72ACA9FE" w14:textId="77777777" w:rsidR="000C7302" w:rsidRPr="005436C8" w:rsidRDefault="000C7302" w:rsidP="005436C8">
      <w:pPr>
        <w:keepNext/>
        <w:keepLines/>
        <w:tabs>
          <w:tab w:val="left" w:pos="284"/>
        </w:tabs>
        <w:jc w:val="both"/>
        <w:rPr>
          <w:b/>
          <w:color w:val="000000"/>
          <w:sz w:val="22"/>
          <w:szCs w:val="22"/>
          <w:lang w:val="sr-Latn-ME"/>
        </w:rPr>
      </w:pPr>
      <w:r w:rsidRPr="005436C8">
        <w:rPr>
          <w:b/>
          <w:bCs/>
          <w:color w:val="000000"/>
          <w:sz w:val="22"/>
          <w:szCs w:val="22"/>
          <w:lang w:val="sr-Latn-ME"/>
        </w:rPr>
        <w:t>TRYPHAENA (BO22280)</w:t>
      </w:r>
    </w:p>
    <w:p w14:paraId="65026238" w14:textId="77777777" w:rsidR="000C7302" w:rsidRPr="005436C8" w:rsidRDefault="000C7302" w:rsidP="005436C8">
      <w:pPr>
        <w:keepNext/>
        <w:keepLines/>
        <w:tabs>
          <w:tab w:val="left" w:pos="284"/>
        </w:tabs>
        <w:jc w:val="both"/>
        <w:rPr>
          <w:b/>
          <w:color w:val="000000"/>
          <w:sz w:val="22"/>
          <w:szCs w:val="22"/>
          <w:lang w:val="sr-Latn-ME"/>
        </w:rPr>
      </w:pPr>
    </w:p>
    <w:p w14:paraId="277EDC61"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TRYPHAENA je multicentrično, randomizovano kliničko ispitivanje faze II, sprovedeno na 225 odraslih pacijentkinja sa HER2 pozitivnim lokalno uznapredovalim, operabilnim ili inflamatornim karcinomom dojke (T2-4d; prečnik primarnog tumora veći od 2 cm) koje prethodno nisu primale trastuzumab, hemoterapiju ili radioterapiju. U ispitivanje nisu bile uključene pacijentkinje sa metastazama, obostranim karcinomom dojke, klinički važnim faktorima srčanog rizika (pogledati </w:t>
      </w:r>
      <w:r w:rsidR="00A21698" w:rsidRPr="005436C8">
        <w:rPr>
          <w:color w:val="000000"/>
          <w:sz w:val="22"/>
          <w:szCs w:val="22"/>
          <w:lang w:val="sr-Latn-ME"/>
        </w:rPr>
        <w:t>odjeljak</w:t>
      </w:r>
      <w:r w:rsidRPr="005436C8">
        <w:rPr>
          <w:color w:val="000000"/>
          <w:sz w:val="22"/>
          <w:szCs w:val="22"/>
          <w:lang w:val="sr-Latn-ME"/>
        </w:rPr>
        <w:t xml:space="preserve"> 4.4) ili kod kojih je LVEF bila manja od 55%. Većina pacijentkinja bila je mlađa od 65 godina. Pacijentkinje su bile randomizovane da primaju jedan od tri neoadjuvantna režima pr</w:t>
      </w:r>
      <w:r w:rsidR="00D73B6C" w:rsidRPr="005436C8">
        <w:rPr>
          <w:color w:val="000000"/>
          <w:sz w:val="22"/>
          <w:szCs w:val="22"/>
          <w:lang w:val="sr-Latn-ME"/>
        </w:rPr>
        <w:t>ij</w:t>
      </w:r>
      <w:r w:rsidRPr="005436C8">
        <w:rPr>
          <w:color w:val="000000"/>
          <w:sz w:val="22"/>
          <w:szCs w:val="22"/>
          <w:lang w:val="sr-Latn-ME"/>
        </w:rPr>
        <w:t>e hirurškog zahvata na sl</w:t>
      </w:r>
      <w:r w:rsidR="00D73B6C" w:rsidRPr="005436C8">
        <w:rPr>
          <w:color w:val="000000"/>
          <w:sz w:val="22"/>
          <w:szCs w:val="22"/>
          <w:lang w:val="sr-Latn-ME"/>
        </w:rPr>
        <w:t>j</w:t>
      </w:r>
      <w:r w:rsidRPr="005436C8">
        <w:rPr>
          <w:color w:val="000000"/>
          <w:sz w:val="22"/>
          <w:szCs w:val="22"/>
          <w:lang w:val="sr-Latn-ME"/>
        </w:rPr>
        <w:t xml:space="preserve">edeći način: </w:t>
      </w:r>
    </w:p>
    <w:p w14:paraId="48D94D81" w14:textId="77777777" w:rsidR="000C7302" w:rsidRPr="005436C8" w:rsidRDefault="000C7302" w:rsidP="005436C8">
      <w:pPr>
        <w:keepNext/>
        <w:keepLines/>
        <w:tabs>
          <w:tab w:val="left" w:pos="284"/>
        </w:tabs>
        <w:jc w:val="both"/>
        <w:rPr>
          <w:color w:val="000000"/>
          <w:sz w:val="22"/>
          <w:szCs w:val="22"/>
          <w:lang w:val="sr-Latn-ME"/>
        </w:rPr>
      </w:pPr>
    </w:p>
    <w:p w14:paraId="537F26A7"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 xml:space="preserve">3 ciklusa FEC i nakon toga 3 ciklusa docetaksela, svi </w:t>
      </w:r>
      <w:r w:rsidR="00522BD8" w:rsidRPr="005436C8">
        <w:rPr>
          <w:color w:val="000000"/>
          <w:sz w:val="22"/>
          <w:szCs w:val="22"/>
          <w:lang w:val="sr-Latn-ME"/>
        </w:rPr>
        <w:t>primijenjen</w:t>
      </w:r>
      <w:r w:rsidRPr="005436C8">
        <w:rPr>
          <w:color w:val="000000"/>
          <w:sz w:val="22"/>
          <w:szCs w:val="22"/>
          <w:lang w:val="sr-Latn-ME"/>
        </w:rPr>
        <w:t xml:space="preserve">i </w:t>
      </w:r>
      <w:r w:rsidR="002700CC" w:rsidRPr="005436C8">
        <w:rPr>
          <w:color w:val="000000"/>
          <w:sz w:val="22"/>
          <w:szCs w:val="22"/>
          <w:lang w:val="sr-Latn-ME"/>
        </w:rPr>
        <w:t>istovrem</w:t>
      </w:r>
      <w:r w:rsidR="006479AF" w:rsidRPr="005436C8">
        <w:rPr>
          <w:color w:val="000000"/>
          <w:sz w:val="22"/>
          <w:szCs w:val="22"/>
          <w:lang w:val="sr-Latn-ME"/>
        </w:rPr>
        <w:t>en</w:t>
      </w:r>
      <w:r w:rsidR="00D73B6C" w:rsidRPr="005436C8">
        <w:rPr>
          <w:color w:val="000000"/>
          <w:sz w:val="22"/>
          <w:szCs w:val="22"/>
          <w:lang w:val="sr-Latn-ME"/>
        </w:rPr>
        <w:t>o</w:t>
      </w:r>
      <w:r w:rsidRPr="005436C8">
        <w:rPr>
          <w:color w:val="000000"/>
          <w:sz w:val="22"/>
          <w:szCs w:val="22"/>
          <w:lang w:val="sr-Latn-ME"/>
        </w:rPr>
        <w:t xml:space="preserve"> sa pertuzumabom i trastuzumabom</w:t>
      </w:r>
      <w:r w:rsidR="000E09F6" w:rsidRPr="005436C8">
        <w:rPr>
          <w:color w:val="000000"/>
          <w:sz w:val="22"/>
          <w:szCs w:val="22"/>
          <w:lang w:val="sr-Latn-ME"/>
        </w:rPr>
        <w:t>,</w:t>
      </w:r>
    </w:p>
    <w:p w14:paraId="4FFAB7DF"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 xml:space="preserve">3 ciklusa samo FEC i nakon toga 3 ciklusa docetaksela, svi </w:t>
      </w:r>
      <w:r w:rsidR="00522BD8" w:rsidRPr="005436C8">
        <w:rPr>
          <w:color w:val="000000"/>
          <w:sz w:val="22"/>
          <w:szCs w:val="22"/>
          <w:lang w:val="sr-Latn-ME"/>
        </w:rPr>
        <w:t>primijenjen</w:t>
      </w:r>
      <w:r w:rsidRPr="005436C8">
        <w:rPr>
          <w:color w:val="000000"/>
          <w:sz w:val="22"/>
          <w:szCs w:val="22"/>
          <w:lang w:val="sr-Latn-ME"/>
        </w:rPr>
        <w:t xml:space="preserve">i </w:t>
      </w:r>
      <w:r w:rsidR="002700CC" w:rsidRPr="005436C8">
        <w:rPr>
          <w:color w:val="000000"/>
          <w:sz w:val="22"/>
          <w:szCs w:val="22"/>
          <w:lang w:val="sr-Latn-ME"/>
        </w:rPr>
        <w:t>istovrem</w:t>
      </w:r>
      <w:r w:rsidR="00D73B6C" w:rsidRPr="005436C8">
        <w:rPr>
          <w:color w:val="000000"/>
          <w:sz w:val="22"/>
          <w:szCs w:val="22"/>
          <w:lang w:val="sr-Latn-ME"/>
        </w:rPr>
        <w:t>eno</w:t>
      </w:r>
      <w:r w:rsidRPr="005436C8">
        <w:rPr>
          <w:color w:val="000000"/>
          <w:sz w:val="22"/>
          <w:szCs w:val="22"/>
          <w:lang w:val="sr-Latn-ME"/>
        </w:rPr>
        <w:t xml:space="preserve"> sa trastuzumabom i pertuzumabom</w:t>
      </w:r>
      <w:r w:rsidR="000E09F6" w:rsidRPr="005436C8">
        <w:rPr>
          <w:color w:val="000000"/>
          <w:sz w:val="22"/>
          <w:szCs w:val="22"/>
          <w:lang w:val="sr-Latn-ME"/>
        </w:rPr>
        <w:t>,</w:t>
      </w:r>
    </w:p>
    <w:p w14:paraId="606CD2BB"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 xml:space="preserve">6 ciklusa TCH u kombinaciji sa pertuzumabom. </w:t>
      </w:r>
    </w:p>
    <w:p w14:paraId="49DD3F47" w14:textId="77777777" w:rsidR="000C7302" w:rsidRPr="005436C8" w:rsidRDefault="000C7302" w:rsidP="005436C8">
      <w:pPr>
        <w:tabs>
          <w:tab w:val="left" w:pos="284"/>
        </w:tabs>
        <w:ind w:left="714" w:hanging="357"/>
        <w:jc w:val="both"/>
        <w:rPr>
          <w:color w:val="000000"/>
          <w:sz w:val="22"/>
          <w:szCs w:val="22"/>
          <w:lang w:val="sr-Latn-ME"/>
        </w:rPr>
      </w:pPr>
    </w:p>
    <w:p w14:paraId="47D15D7C"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Randomizacija je bila stratifikovana po tipu karcinoma dojke (operabilni, lokalno uznapredovali ili inflamatorni) i pozitivnosti na ER </w:t>
      </w:r>
      <w:r w:rsidR="000E09F6" w:rsidRPr="005436C8">
        <w:rPr>
          <w:color w:val="000000"/>
          <w:sz w:val="22"/>
          <w:szCs w:val="22"/>
          <w:lang w:val="sr-Latn-ME"/>
        </w:rPr>
        <w:t>i/</w:t>
      </w:r>
      <w:r w:rsidRPr="005436C8">
        <w:rPr>
          <w:color w:val="000000"/>
          <w:sz w:val="22"/>
          <w:szCs w:val="22"/>
          <w:lang w:val="sr-Latn-ME"/>
        </w:rPr>
        <w:t xml:space="preserve">ili PgR. </w:t>
      </w:r>
    </w:p>
    <w:p w14:paraId="45FC3DF4" w14:textId="77777777" w:rsidR="000C7302" w:rsidRPr="005436C8" w:rsidRDefault="000C7302" w:rsidP="005436C8">
      <w:pPr>
        <w:tabs>
          <w:tab w:val="left" w:pos="284"/>
        </w:tabs>
        <w:jc w:val="both"/>
        <w:rPr>
          <w:color w:val="000000"/>
          <w:sz w:val="22"/>
          <w:szCs w:val="22"/>
          <w:lang w:val="sr-Latn-ME"/>
        </w:rPr>
      </w:pPr>
    </w:p>
    <w:p w14:paraId="78E1A6A8"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Pertuzumab je davan intravenski u početnoj dozi od 840 mg, a nakon toga 420 mg svake tri ned</w:t>
      </w:r>
      <w:r w:rsidR="00E250E4" w:rsidRPr="005436C8">
        <w:rPr>
          <w:color w:val="000000"/>
          <w:sz w:val="22"/>
          <w:szCs w:val="22"/>
          <w:lang w:val="sr-Latn-ME"/>
        </w:rPr>
        <w:t>j</w:t>
      </w:r>
      <w:r w:rsidRPr="005436C8">
        <w:rPr>
          <w:color w:val="000000"/>
          <w:sz w:val="22"/>
          <w:szCs w:val="22"/>
          <w:lang w:val="sr-Latn-ME"/>
        </w:rPr>
        <w:t>elje. Trastuzumab je davan intravenski u početnoj dozi od 8 mg/kg, a nakon toga 6 mg/kg svake tri ned</w:t>
      </w:r>
      <w:r w:rsidR="00E250E4" w:rsidRPr="005436C8">
        <w:rPr>
          <w:color w:val="000000"/>
          <w:sz w:val="22"/>
          <w:szCs w:val="22"/>
          <w:lang w:val="sr-Latn-ME"/>
        </w:rPr>
        <w:t>j</w:t>
      </w:r>
      <w:r w:rsidRPr="005436C8">
        <w:rPr>
          <w:color w:val="000000"/>
          <w:sz w:val="22"/>
          <w:szCs w:val="22"/>
          <w:lang w:val="sr-Latn-ME"/>
        </w:rPr>
        <w:t>elje. FEC (5-fluorouracil [500 mg/m</w:t>
      </w:r>
      <w:r w:rsidRPr="005436C8">
        <w:rPr>
          <w:color w:val="000000"/>
          <w:sz w:val="22"/>
          <w:szCs w:val="22"/>
          <w:vertAlign w:val="superscript"/>
          <w:lang w:val="sr-Latn-ME"/>
        </w:rPr>
        <w:t>2</w:t>
      </w:r>
      <w:r w:rsidRPr="005436C8">
        <w:rPr>
          <w:color w:val="000000"/>
          <w:sz w:val="22"/>
          <w:szCs w:val="22"/>
          <w:lang w:val="sr-Latn-ME"/>
        </w:rPr>
        <w:t>], epirubicin [100 mg/m</w:t>
      </w:r>
      <w:r w:rsidRPr="005436C8">
        <w:rPr>
          <w:color w:val="000000"/>
          <w:sz w:val="22"/>
          <w:szCs w:val="22"/>
          <w:vertAlign w:val="superscript"/>
          <w:lang w:val="sr-Latn-ME"/>
        </w:rPr>
        <w:t>2</w:t>
      </w:r>
      <w:r w:rsidRPr="005436C8">
        <w:rPr>
          <w:color w:val="000000"/>
          <w:sz w:val="22"/>
          <w:szCs w:val="22"/>
          <w:lang w:val="sr-Latn-ME"/>
        </w:rPr>
        <w:t>] i ciklofosfamid [600 mg/m</w:t>
      </w:r>
      <w:r w:rsidRPr="005436C8">
        <w:rPr>
          <w:color w:val="000000"/>
          <w:sz w:val="22"/>
          <w:szCs w:val="22"/>
          <w:vertAlign w:val="superscript"/>
          <w:lang w:val="sr-Latn-ME"/>
        </w:rPr>
        <w:t>2</w:t>
      </w:r>
      <w:r w:rsidRPr="005436C8">
        <w:rPr>
          <w:color w:val="000000"/>
          <w:sz w:val="22"/>
          <w:szCs w:val="22"/>
          <w:lang w:val="sr-Latn-ME"/>
        </w:rPr>
        <w:t>]) su davani intravenski svake tri ned</w:t>
      </w:r>
      <w:r w:rsidR="00E250E4" w:rsidRPr="005436C8">
        <w:rPr>
          <w:color w:val="000000"/>
          <w:sz w:val="22"/>
          <w:szCs w:val="22"/>
          <w:lang w:val="sr-Latn-ME"/>
        </w:rPr>
        <w:t>j</w:t>
      </w:r>
      <w:r w:rsidRPr="005436C8">
        <w:rPr>
          <w:color w:val="000000"/>
          <w:sz w:val="22"/>
          <w:szCs w:val="22"/>
          <w:lang w:val="sr-Latn-ME"/>
        </w:rPr>
        <w:t>elje tokom 3 ciklusa. Docetaksel je davan kao početna doza od 75 mg/m</w:t>
      </w:r>
      <w:r w:rsidRPr="005436C8">
        <w:rPr>
          <w:color w:val="000000"/>
          <w:sz w:val="22"/>
          <w:szCs w:val="22"/>
          <w:vertAlign w:val="superscript"/>
          <w:lang w:val="sr-Latn-ME"/>
        </w:rPr>
        <w:t>2</w:t>
      </w:r>
      <w:r w:rsidRPr="005436C8">
        <w:rPr>
          <w:color w:val="000000"/>
          <w:sz w:val="22"/>
          <w:szCs w:val="22"/>
          <w:lang w:val="sr-Latn-ME"/>
        </w:rPr>
        <w:t xml:space="preserve"> intravenske infuzije svake tri ned</w:t>
      </w:r>
      <w:r w:rsidR="000E09F6" w:rsidRPr="005436C8">
        <w:rPr>
          <w:color w:val="000000"/>
          <w:sz w:val="22"/>
          <w:szCs w:val="22"/>
          <w:lang w:val="sr-Latn-ME"/>
        </w:rPr>
        <w:t>j</w:t>
      </w:r>
      <w:r w:rsidRPr="005436C8">
        <w:rPr>
          <w:color w:val="000000"/>
          <w:sz w:val="22"/>
          <w:szCs w:val="22"/>
          <w:lang w:val="sr-Latn-ME"/>
        </w:rPr>
        <w:t>elje, uz mogućnost povećanja doze na 100 mg/m</w:t>
      </w:r>
      <w:r w:rsidRPr="005436C8">
        <w:rPr>
          <w:color w:val="000000"/>
          <w:sz w:val="22"/>
          <w:szCs w:val="22"/>
          <w:vertAlign w:val="superscript"/>
          <w:lang w:val="sr-Latn-ME"/>
        </w:rPr>
        <w:t>2</w:t>
      </w:r>
      <w:r w:rsidRPr="005436C8">
        <w:rPr>
          <w:color w:val="000000"/>
          <w:sz w:val="22"/>
          <w:szCs w:val="22"/>
          <w:lang w:val="sr-Latn-ME"/>
        </w:rPr>
        <w:t xml:space="preserve"> prema nahođenju istraživača ukoliko je početna doza dobro podn</w:t>
      </w:r>
      <w:r w:rsidR="000E09F6" w:rsidRPr="005436C8">
        <w:rPr>
          <w:color w:val="000000"/>
          <w:sz w:val="22"/>
          <w:szCs w:val="22"/>
          <w:lang w:val="sr-Latn-ME"/>
        </w:rPr>
        <w:t>ij</w:t>
      </w:r>
      <w:r w:rsidRPr="005436C8">
        <w:rPr>
          <w:color w:val="000000"/>
          <w:sz w:val="22"/>
          <w:szCs w:val="22"/>
          <w:lang w:val="sr-Latn-ME"/>
        </w:rPr>
        <w:t xml:space="preserve">eta. Ipak, u grupi </w:t>
      </w:r>
      <w:r w:rsidR="00F90BE1" w:rsidRPr="005436C8">
        <w:rPr>
          <w:color w:val="000000"/>
          <w:sz w:val="22"/>
          <w:szCs w:val="22"/>
          <w:lang w:val="sr-Latn-ME"/>
        </w:rPr>
        <w:t>liječenoj</w:t>
      </w:r>
      <w:r w:rsidRPr="005436C8">
        <w:rPr>
          <w:color w:val="000000"/>
          <w:sz w:val="22"/>
          <w:szCs w:val="22"/>
          <w:lang w:val="sr-Latn-ME"/>
        </w:rPr>
        <w:t xml:space="preserve"> pertuzumabom u kombinaciji sa TCH-om, doksetacel je davan intravenski u dozi 75 mg/m</w:t>
      </w:r>
      <w:r w:rsidRPr="005436C8">
        <w:rPr>
          <w:color w:val="000000"/>
          <w:sz w:val="22"/>
          <w:szCs w:val="22"/>
          <w:vertAlign w:val="superscript"/>
          <w:lang w:val="sr-Latn-ME"/>
        </w:rPr>
        <w:t>2</w:t>
      </w:r>
      <w:r w:rsidRPr="005436C8">
        <w:rPr>
          <w:color w:val="000000"/>
          <w:sz w:val="22"/>
          <w:szCs w:val="22"/>
          <w:lang w:val="sr-Latn-ME"/>
        </w:rPr>
        <w:t xml:space="preserve"> (nije bilo dozvoljeno povećanje) a karboplatin (AUC 6) je davan intravenski svake tri ned</w:t>
      </w:r>
      <w:r w:rsidR="000E09F6" w:rsidRPr="005436C8">
        <w:rPr>
          <w:color w:val="000000"/>
          <w:sz w:val="22"/>
          <w:szCs w:val="22"/>
          <w:lang w:val="sr-Latn-ME"/>
        </w:rPr>
        <w:t>j</w:t>
      </w:r>
      <w:r w:rsidRPr="005436C8">
        <w:rPr>
          <w:color w:val="000000"/>
          <w:sz w:val="22"/>
          <w:szCs w:val="22"/>
          <w:lang w:val="sr-Latn-ME"/>
        </w:rPr>
        <w:t>elje. Nakon operacije</w:t>
      </w:r>
      <w:r w:rsidR="000E09F6" w:rsidRPr="005436C8">
        <w:rPr>
          <w:color w:val="000000"/>
          <w:sz w:val="22"/>
          <w:szCs w:val="22"/>
          <w:lang w:val="sr-Latn-ME"/>
        </w:rPr>
        <w:t>,</w:t>
      </w:r>
      <w:r w:rsidRPr="005436C8">
        <w:rPr>
          <w:color w:val="000000"/>
          <w:sz w:val="22"/>
          <w:szCs w:val="22"/>
          <w:lang w:val="sr-Latn-ME"/>
        </w:rPr>
        <w:t xml:space="preserve"> svi pacijenti su primali trastuzumab do kraja perioda terapije od godinu dana.</w:t>
      </w:r>
    </w:p>
    <w:p w14:paraId="03C38641" w14:textId="77777777" w:rsidR="000C7302" w:rsidRPr="005436C8" w:rsidRDefault="000C7302" w:rsidP="005436C8">
      <w:pPr>
        <w:tabs>
          <w:tab w:val="left" w:pos="284"/>
        </w:tabs>
        <w:jc w:val="both"/>
        <w:rPr>
          <w:color w:val="000000"/>
          <w:sz w:val="22"/>
          <w:szCs w:val="22"/>
          <w:lang w:val="sr-Latn-ME"/>
        </w:rPr>
      </w:pPr>
    </w:p>
    <w:p w14:paraId="7F020B9B" w14:textId="77777777" w:rsidR="000C7302" w:rsidRPr="005436C8" w:rsidRDefault="000C7302" w:rsidP="005436C8">
      <w:pPr>
        <w:tabs>
          <w:tab w:val="left" w:pos="284"/>
        </w:tabs>
        <w:jc w:val="both"/>
        <w:rPr>
          <w:bCs/>
          <w:color w:val="000000"/>
          <w:sz w:val="22"/>
          <w:szCs w:val="22"/>
          <w:lang w:val="sr-Latn-ME"/>
        </w:rPr>
      </w:pPr>
      <w:r w:rsidRPr="005436C8">
        <w:rPr>
          <w:color w:val="000000"/>
          <w:sz w:val="22"/>
          <w:szCs w:val="22"/>
          <w:lang w:val="sr-Latn-ME"/>
        </w:rPr>
        <w:t xml:space="preserve">Primarna krajnja tačka ove studije bila je </w:t>
      </w:r>
      <w:r w:rsidR="00385576" w:rsidRPr="005436C8">
        <w:rPr>
          <w:color w:val="000000"/>
          <w:sz w:val="22"/>
          <w:szCs w:val="22"/>
          <w:lang w:val="sr-Latn-ME"/>
        </w:rPr>
        <w:t>bezbjednost</w:t>
      </w:r>
      <w:r w:rsidRPr="005436C8">
        <w:rPr>
          <w:color w:val="000000"/>
          <w:sz w:val="22"/>
          <w:szCs w:val="22"/>
          <w:lang w:val="sr-Latn-ME"/>
        </w:rPr>
        <w:t xml:space="preserve"> za srce tokom perioda neoadjuvante terapije tokom studije. Sekundarne krajnje tačke efikasnosti bile su stopa pCR u dojci (ypT0/is), DFS, PFS i OS. </w:t>
      </w:r>
    </w:p>
    <w:p w14:paraId="0C8428A8" w14:textId="77777777" w:rsidR="000C7302" w:rsidRPr="005436C8" w:rsidRDefault="000C7302" w:rsidP="005436C8">
      <w:pPr>
        <w:tabs>
          <w:tab w:val="left" w:pos="284"/>
        </w:tabs>
        <w:jc w:val="both"/>
        <w:rPr>
          <w:bCs/>
          <w:color w:val="000000"/>
          <w:sz w:val="22"/>
          <w:szCs w:val="22"/>
          <w:lang w:val="sr-Latn-ME"/>
        </w:rPr>
      </w:pPr>
    </w:p>
    <w:p w14:paraId="45186583"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lastRenderedPageBreak/>
        <w:t xml:space="preserve">Demografske karakteristike su bile dobro ujednačene među grupama (medijana godina života iznosila je 49–50, većina </w:t>
      </w:r>
      <w:r w:rsidR="000E09F6" w:rsidRPr="005436C8">
        <w:rPr>
          <w:color w:val="000000"/>
          <w:sz w:val="22"/>
          <w:szCs w:val="22"/>
          <w:lang w:val="sr-Latn-ME"/>
        </w:rPr>
        <w:t>bijele rase</w:t>
      </w:r>
      <w:r w:rsidRPr="005436C8">
        <w:rPr>
          <w:color w:val="000000"/>
          <w:sz w:val="22"/>
          <w:szCs w:val="22"/>
          <w:lang w:val="sr-Latn-ME"/>
        </w:rPr>
        <w:t xml:space="preserve"> [77%]) i </w:t>
      </w:r>
      <w:r w:rsidR="000E09F6" w:rsidRPr="005436C8">
        <w:rPr>
          <w:color w:val="000000"/>
          <w:sz w:val="22"/>
          <w:szCs w:val="22"/>
          <w:lang w:val="sr-Latn-ME"/>
        </w:rPr>
        <w:t xml:space="preserve">svi pacijenti </w:t>
      </w:r>
      <w:r w:rsidRPr="005436C8">
        <w:rPr>
          <w:color w:val="000000"/>
          <w:sz w:val="22"/>
          <w:szCs w:val="22"/>
          <w:lang w:val="sr-Latn-ME"/>
        </w:rPr>
        <w:t xml:space="preserve">su </w:t>
      </w:r>
      <w:r w:rsidR="000E09F6" w:rsidRPr="005436C8">
        <w:rPr>
          <w:color w:val="000000"/>
          <w:sz w:val="22"/>
          <w:szCs w:val="22"/>
          <w:lang w:val="sr-Latn-ME"/>
        </w:rPr>
        <w:t xml:space="preserve">bili </w:t>
      </w:r>
      <w:r w:rsidRPr="005436C8">
        <w:rPr>
          <w:color w:val="000000"/>
          <w:sz w:val="22"/>
          <w:szCs w:val="22"/>
          <w:lang w:val="sr-Latn-ME"/>
        </w:rPr>
        <w:t xml:space="preserve">ženskog pola. Ukupno je 6% pacijentkinja imalo inflamatorni karcinom dojke, njih 25% imalo je lokalno uznapredovali karcinom dojke, a njih 69% operabilni karcinom dojke. Približno polovina pacijentkinja u svakoj </w:t>
      </w:r>
      <w:r w:rsidR="00F90BE1" w:rsidRPr="005436C8">
        <w:rPr>
          <w:color w:val="000000"/>
          <w:sz w:val="22"/>
          <w:szCs w:val="22"/>
          <w:lang w:val="sr-Latn-ME"/>
        </w:rPr>
        <w:t>liječenoj</w:t>
      </w:r>
      <w:r w:rsidRPr="005436C8">
        <w:rPr>
          <w:color w:val="000000"/>
          <w:sz w:val="22"/>
          <w:szCs w:val="22"/>
          <w:lang w:val="sr-Latn-ME"/>
        </w:rPr>
        <w:t xml:space="preserve"> grupi imala je ER-pozitivnu odnosno PgR-pozitivnu bolest.</w:t>
      </w:r>
    </w:p>
    <w:p w14:paraId="53FB1A12" w14:textId="77777777" w:rsidR="000C7302" w:rsidRPr="005436C8" w:rsidRDefault="000C7302" w:rsidP="005436C8">
      <w:pPr>
        <w:tabs>
          <w:tab w:val="left" w:pos="284"/>
        </w:tabs>
        <w:jc w:val="both"/>
        <w:rPr>
          <w:color w:val="000000"/>
          <w:sz w:val="22"/>
          <w:szCs w:val="22"/>
          <w:lang w:val="sr-Latn-ME"/>
        </w:rPr>
      </w:pPr>
    </w:p>
    <w:p w14:paraId="63240951"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U poređenju sa objavljenim podacima za slične režime bez pertuzumaba, u sve 3 terapijske grupe su </w:t>
      </w:r>
      <w:r w:rsidR="00FF329E" w:rsidRPr="005436C8">
        <w:rPr>
          <w:color w:val="000000"/>
          <w:sz w:val="22"/>
          <w:szCs w:val="22"/>
          <w:lang w:val="sr-Latn-ME"/>
        </w:rPr>
        <w:t>zabilježene</w:t>
      </w:r>
      <w:r w:rsidRPr="005436C8">
        <w:rPr>
          <w:color w:val="000000"/>
          <w:sz w:val="22"/>
          <w:szCs w:val="22"/>
          <w:lang w:val="sr-Latn-ME"/>
        </w:rPr>
        <w:t xml:space="preserve"> visoke stope pCR (pogledati tabelu 5). Zab</w:t>
      </w:r>
      <w:r w:rsidR="00522BD8" w:rsidRPr="005436C8">
        <w:rPr>
          <w:color w:val="000000"/>
          <w:sz w:val="22"/>
          <w:szCs w:val="22"/>
          <w:lang w:val="sr-Latn-ME"/>
        </w:rPr>
        <w:t>i</w:t>
      </w:r>
      <w:r w:rsidRPr="005436C8">
        <w:rPr>
          <w:color w:val="000000"/>
          <w:sz w:val="22"/>
          <w:szCs w:val="22"/>
          <w:lang w:val="sr-Latn-ME"/>
        </w:rPr>
        <w:t>l</w:t>
      </w:r>
      <w:r w:rsidR="005C1ED5" w:rsidRPr="005436C8">
        <w:rPr>
          <w:color w:val="000000"/>
          <w:sz w:val="22"/>
          <w:szCs w:val="22"/>
          <w:lang w:val="sr-Latn-ME"/>
        </w:rPr>
        <w:t>j</w:t>
      </w:r>
      <w:r w:rsidRPr="005436C8">
        <w:rPr>
          <w:color w:val="000000"/>
          <w:sz w:val="22"/>
          <w:szCs w:val="22"/>
          <w:lang w:val="sr-Latn-ME"/>
        </w:rPr>
        <w:t>ežen je dosl</w:t>
      </w:r>
      <w:r w:rsidR="005C1ED5" w:rsidRPr="005436C8">
        <w:rPr>
          <w:color w:val="000000"/>
          <w:sz w:val="22"/>
          <w:szCs w:val="22"/>
          <w:lang w:val="sr-Latn-ME"/>
        </w:rPr>
        <w:t>j</w:t>
      </w:r>
      <w:r w:rsidRPr="005436C8">
        <w:rPr>
          <w:color w:val="000000"/>
          <w:sz w:val="22"/>
          <w:szCs w:val="22"/>
          <w:lang w:val="sr-Latn-ME"/>
        </w:rPr>
        <w:t>edan obrazac rezultata, nezavisno od korišćene definicije pCR. Stope pCR su bile niže u podgrupi pacijentkinja sa tumorima pozitivnim na hormonske receptore (raspon od 46,2 do 50,0%) nego pacijentkinja sa tumorima negativnim na hormonske receptore (raspon od 65,0 do 83,8%).</w:t>
      </w:r>
    </w:p>
    <w:p w14:paraId="78864E07" w14:textId="77777777" w:rsidR="000C7302" w:rsidRPr="005436C8" w:rsidRDefault="000C7302" w:rsidP="005436C8">
      <w:pPr>
        <w:tabs>
          <w:tab w:val="left" w:pos="284"/>
        </w:tabs>
        <w:jc w:val="both"/>
        <w:rPr>
          <w:color w:val="000000"/>
          <w:sz w:val="22"/>
          <w:szCs w:val="22"/>
          <w:lang w:val="sr-Latn-ME"/>
        </w:rPr>
      </w:pPr>
    </w:p>
    <w:p w14:paraId="536C4812"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Stope pCR su bile slične kod pacijentkinja sa operabilnom i lokalno uznapredovalom bolešću. Broj pacijentkinja sa inflamatornim karcinomom dojke bio je premali da bi se mogli don</w:t>
      </w:r>
      <w:r w:rsidR="000E09F6" w:rsidRPr="005436C8">
        <w:rPr>
          <w:color w:val="000000"/>
          <w:sz w:val="22"/>
          <w:szCs w:val="22"/>
          <w:lang w:val="sr-Latn-ME"/>
        </w:rPr>
        <w:t>ij</w:t>
      </w:r>
      <w:r w:rsidRPr="005436C8">
        <w:rPr>
          <w:color w:val="000000"/>
          <w:sz w:val="22"/>
          <w:szCs w:val="22"/>
          <w:lang w:val="sr-Latn-ME"/>
        </w:rPr>
        <w:t xml:space="preserve">eti bilo kakvi čvrsti zaključci. </w:t>
      </w:r>
    </w:p>
    <w:p w14:paraId="7C15B92C" w14:textId="77777777" w:rsidR="000C7302" w:rsidRPr="005436C8" w:rsidRDefault="000C7302" w:rsidP="005436C8">
      <w:pPr>
        <w:tabs>
          <w:tab w:val="left" w:pos="284"/>
        </w:tabs>
        <w:jc w:val="both"/>
        <w:rPr>
          <w:sz w:val="22"/>
          <w:szCs w:val="22"/>
          <w:lang w:val="sr-Latn-ME"/>
        </w:rPr>
      </w:pPr>
    </w:p>
    <w:p w14:paraId="686DB6A2" w14:textId="77777777" w:rsidR="000C7302" w:rsidRDefault="000C7302" w:rsidP="00F4539F">
      <w:pPr>
        <w:keepNext/>
        <w:keepLines/>
        <w:tabs>
          <w:tab w:val="left" w:pos="284"/>
        </w:tabs>
        <w:ind w:left="1080" w:hanging="1080"/>
        <w:jc w:val="both"/>
        <w:rPr>
          <w:b/>
          <w:bCs/>
          <w:color w:val="000000"/>
          <w:sz w:val="22"/>
          <w:szCs w:val="22"/>
          <w:lang w:val="sr-Latn-ME"/>
        </w:rPr>
      </w:pPr>
      <w:r w:rsidRPr="005436C8">
        <w:rPr>
          <w:b/>
          <w:bCs/>
          <w:color w:val="000000"/>
          <w:sz w:val="22"/>
          <w:szCs w:val="22"/>
          <w:lang w:val="sr-Latn-ME"/>
        </w:rPr>
        <w:t>Tabela 5</w:t>
      </w:r>
      <w:r w:rsidRPr="005436C8">
        <w:rPr>
          <w:b/>
          <w:bCs/>
          <w:color w:val="000000"/>
          <w:sz w:val="22"/>
          <w:szCs w:val="22"/>
          <w:lang w:val="sr-Latn-ME"/>
        </w:rPr>
        <w:tab/>
        <w:t xml:space="preserve">NEOSPHERE (WO20697) i TRYPHAENA (BO22280): Pregled efikasnosti (početna populacija predviđena za </w:t>
      </w:r>
      <w:r w:rsidR="00841D7D" w:rsidRPr="005436C8">
        <w:rPr>
          <w:b/>
          <w:bCs/>
          <w:color w:val="000000"/>
          <w:sz w:val="22"/>
          <w:szCs w:val="22"/>
          <w:lang w:val="sr-Latn-ME"/>
        </w:rPr>
        <w:t>liječenje</w:t>
      </w:r>
      <w:r w:rsidRPr="005436C8">
        <w:rPr>
          <w:b/>
          <w:bCs/>
          <w:color w:val="000000"/>
          <w:sz w:val="22"/>
          <w:szCs w:val="22"/>
          <w:lang w:val="sr-Latn-ME"/>
        </w:rPr>
        <w:t xml:space="preserve">) </w:t>
      </w:r>
    </w:p>
    <w:p w14:paraId="5404432F" w14:textId="77777777" w:rsidR="00F4539F" w:rsidRPr="005436C8" w:rsidRDefault="00F4539F" w:rsidP="00F4539F">
      <w:pPr>
        <w:keepNext/>
        <w:keepLines/>
        <w:tabs>
          <w:tab w:val="left" w:pos="284"/>
        </w:tabs>
        <w:ind w:left="1080" w:hanging="1080"/>
        <w:jc w:val="both"/>
        <w:rPr>
          <w:b/>
          <w:bCs/>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4"/>
        <w:gridCol w:w="964"/>
        <w:gridCol w:w="1097"/>
        <w:gridCol w:w="1098"/>
        <w:gridCol w:w="1071"/>
        <w:gridCol w:w="1243"/>
        <w:gridCol w:w="1218"/>
        <w:gridCol w:w="1338"/>
      </w:tblGrid>
      <w:tr w:rsidR="000C7302" w:rsidRPr="00E75D6F" w14:paraId="41572E58" w14:textId="77777777" w:rsidTr="000C7302">
        <w:trPr>
          <w:tblHeader/>
          <w:jc w:val="center"/>
        </w:trPr>
        <w:tc>
          <w:tcPr>
            <w:tcW w:w="570" w:type="pct"/>
            <w:vAlign w:val="center"/>
          </w:tcPr>
          <w:p w14:paraId="42925637" w14:textId="77777777" w:rsidR="000C7302" w:rsidRPr="009B712A" w:rsidRDefault="000C7302" w:rsidP="005436C8">
            <w:pPr>
              <w:keepNext/>
              <w:keepLines/>
              <w:tabs>
                <w:tab w:val="left" w:pos="284"/>
              </w:tabs>
              <w:spacing w:before="50" w:after="50"/>
              <w:jc w:val="both"/>
              <w:rPr>
                <w:b/>
                <w:color w:val="000000"/>
                <w:sz w:val="18"/>
                <w:szCs w:val="18"/>
                <w:lang w:val="sr-Latn-ME"/>
              </w:rPr>
            </w:pPr>
          </w:p>
        </w:tc>
        <w:tc>
          <w:tcPr>
            <w:tcW w:w="2334" w:type="pct"/>
            <w:gridSpan w:val="4"/>
            <w:vAlign w:val="center"/>
          </w:tcPr>
          <w:p w14:paraId="0302444A"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NEOSPHERE (WO20697)</w:t>
            </w:r>
          </w:p>
        </w:tc>
        <w:tc>
          <w:tcPr>
            <w:tcW w:w="2096" w:type="pct"/>
            <w:gridSpan w:val="3"/>
            <w:vAlign w:val="center"/>
          </w:tcPr>
          <w:p w14:paraId="0902893A"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TRYPHAENA (BO22280)</w:t>
            </w:r>
          </w:p>
        </w:tc>
      </w:tr>
      <w:tr w:rsidR="000C7302" w:rsidRPr="00E75D6F" w14:paraId="390F179C" w14:textId="77777777" w:rsidTr="000C7302">
        <w:trPr>
          <w:tblHeader/>
          <w:jc w:val="center"/>
        </w:trPr>
        <w:tc>
          <w:tcPr>
            <w:tcW w:w="570" w:type="pct"/>
            <w:vAlign w:val="center"/>
          </w:tcPr>
          <w:p w14:paraId="4899C03F" w14:textId="77777777" w:rsidR="000C7302" w:rsidRPr="009B712A" w:rsidRDefault="000C7302" w:rsidP="005436C8">
            <w:pPr>
              <w:keepNext/>
              <w:keepLines/>
              <w:tabs>
                <w:tab w:val="left" w:pos="284"/>
              </w:tabs>
              <w:spacing w:before="50" w:after="50"/>
              <w:jc w:val="both"/>
              <w:rPr>
                <w:b/>
                <w:color w:val="000000"/>
                <w:sz w:val="18"/>
                <w:szCs w:val="18"/>
                <w:lang w:val="sr-Latn-ME"/>
              </w:rPr>
            </w:pPr>
            <w:r w:rsidRPr="009B712A">
              <w:rPr>
                <w:b/>
                <w:bCs/>
                <w:color w:val="000000"/>
                <w:sz w:val="18"/>
                <w:szCs w:val="18"/>
                <w:lang w:val="sr-Latn-ME"/>
              </w:rPr>
              <w:t>Parametar</w:t>
            </w:r>
          </w:p>
        </w:tc>
        <w:tc>
          <w:tcPr>
            <w:tcW w:w="532" w:type="pct"/>
            <w:vAlign w:val="center"/>
          </w:tcPr>
          <w:p w14:paraId="4D711D15"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Trastuzumab + docetaksel</w:t>
            </w:r>
          </w:p>
          <w:p w14:paraId="07759390"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N=107</w:t>
            </w:r>
          </w:p>
        </w:tc>
        <w:tc>
          <w:tcPr>
            <w:tcW w:w="605" w:type="pct"/>
            <w:vAlign w:val="center"/>
          </w:tcPr>
          <w:p w14:paraId="44AAA220"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Pertuzumab +</w:t>
            </w:r>
          </w:p>
          <w:p w14:paraId="611A82E9"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trastuzumab +</w:t>
            </w:r>
          </w:p>
          <w:p w14:paraId="511D03F4"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docetaksel</w:t>
            </w:r>
          </w:p>
          <w:p w14:paraId="612D8347"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N=107</w:t>
            </w:r>
          </w:p>
        </w:tc>
        <w:tc>
          <w:tcPr>
            <w:tcW w:w="606" w:type="pct"/>
            <w:vAlign w:val="center"/>
          </w:tcPr>
          <w:p w14:paraId="2A121A41"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Pertuzumab +</w:t>
            </w:r>
          </w:p>
          <w:p w14:paraId="1385F2D4"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trastuzumab</w:t>
            </w:r>
          </w:p>
          <w:p w14:paraId="14C15FDF"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N=107</w:t>
            </w:r>
          </w:p>
        </w:tc>
        <w:tc>
          <w:tcPr>
            <w:tcW w:w="591" w:type="pct"/>
            <w:vAlign w:val="center"/>
          </w:tcPr>
          <w:p w14:paraId="5987B1F8"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Pertuzumab</w:t>
            </w:r>
          </w:p>
          <w:p w14:paraId="45C36DA1"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 docetaksel</w:t>
            </w:r>
          </w:p>
          <w:p w14:paraId="7551A0F6"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N=96</w:t>
            </w:r>
          </w:p>
        </w:tc>
        <w:tc>
          <w:tcPr>
            <w:tcW w:w="686" w:type="pct"/>
            <w:vAlign w:val="center"/>
          </w:tcPr>
          <w:p w14:paraId="5798F7A6" w14:textId="77777777" w:rsidR="000C7302" w:rsidRPr="009B712A" w:rsidRDefault="000C7302" w:rsidP="005436C8">
            <w:pPr>
              <w:keepNext/>
              <w:keepLines/>
              <w:tabs>
                <w:tab w:val="left" w:pos="284"/>
              </w:tabs>
              <w:spacing w:before="50" w:after="50"/>
              <w:ind w:left="-24" w:right="-29"/>
              <w:jc w:val="center"/>
              <w:rPr>
                <w:b/>
                <w:color w:val="000000"/>
                <w:sz w:val="18"/>
                <w:szCs w:val="18"/>
                <w:lang w:val="sr-Latn-ME"/>
              </w:rPr>
            </w:pPr>
            <w:r w:rsidRPr="009B712A">
              <w:rPr>
                <w:b/>
                <w:bCs/>
                <w:color w:val="000000"/>
                <w:sz w:val="18"/>
                <w:szCs w:val="18"/>
                <w:lang w:val="sr-Latn-ME"/>
              </w:rPr>
              <w:t>Pertuzumab +</w:t>
            </w:r>
          </w:p>
          <w:p w14:paraId="226185EE" w14:textId="77777777" w:rsidR="000C7302" w:rsidRPr="009B712A" w:rsidRDefault="000C7302" w:rsidP="005436C8">
            <w:pPr>
              <w:keepNext/>
              <w:keepLines/>
              <w:tabs>
                <w:tab w:val="left" w:pos="284"/>
              </w:tabs>
              <w:spacing w:before="50" w:after="50"/>
              <w:ind w:left="-24" w:right="-29"/>
              <w:jc w:val="center"/>
              <w:rPr>
                <w:b/>
                <w:color w:val="000000"/>
                <w:sz w:val="18"/>
                <w:szCs w:val="18"/>
                <w:lang w:val="sr-Latn-ME"/>
              </w:rPr>
            </w:pPr>
            <w:r w:rsidRPr="009B712A">
              <w:rPr>
                <w:b/>
                <w:bCs/>
                <w:color w:val="000000"/>
                <w:sz w:val="18"/>
                <w:szCs w:val="18"/>
                <w:lang w:val="sr-Latn-ME"/>
              </w:rPr>
              <w:t>trastuzumab +</w:t>
            </w:r>
          </w:p>
          <w:p w14:paraId="125BC126" w14:textId="77777777" w:rsidR="000C7302" w:rsidRPr="009B712A" w:rsidRDefault="000C7302" w:rsidP="005436C8">
            <w:pPr>
              <w:keepNext/>
              <w:keepLines/>
              <w:tabs>
                <w:tab w:val="left" w:pos="284"/>
              </w:tabs>
              <w:spacing w:before="50" w:after="50"/>
              <w:ind w:left="-24" w:right="-29"/>
              <w:jc w:val="center"/>
              <w:rPr>
                <w:b/>
                <w:color w:val="000000"/>
                <w:sz w:val="18"/>
                <w:szCs w:val="18"/>
                <w:lang w:val="sr-Latn-ME"/>
              </w:rPr>
            </w:pPr>
            <w:r w:rsidRPr="009B712A">
              <w:rPr>
                <w:b/>
                <w:bCs/>
                <w:color w:val="000000"/>
                <w:sz w:val="18"/>
                <w:szCs w:val="18"/>
                <w:lang w:val="sr-Latn-ME"/>
              </w:rPr>
              <w:t>FEC</w:t>
            </w:r>
            <w:r w:rsidRPr="009B712A">
              <w:rPr>
                <w:color w:val="000000"/>
                <w:sz w:val="18"/>
                <w:szCs w:val="18"/>
                <w:lang w:val="sr-Latn-ME"/>
              </w:rPr>
              <w:sym w:font="Wingdings" w:char="F0E0"/>
            </w:r>
          </w:p>
          <w:p w14:paraId="650D7F6E"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pertuzumab +</w:t>
            </w:r>
          </w:p>
          <w:p w14:paraId="51DE9ABE"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trastuzumab +</w:t>
            </w:r>
          </w:p>
          <w:p w14:paraId="63E3478F"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docetaksel</w:t>
            </w:r>
          </w:p>
          <w:p w14:paraId="213D1F4E"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N=73</w:t>
            </w:r>
          </w:p>
        </w:tc>
        <w:tc>
          <w:tcPr>
            <w:tcW w:w="672" w:type="pct"/>
            <w:vAlign w:val="center"/>
          </w:tcPr>
          <w:p w14:paraId="40E6AB75"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FEC</w:t>
            </w:r>
            <w:r w:rsidRPr="009B712A">
              <w:rPr>
                <w:color w:val="000000"/>
                <w:sz w:val="18"/>
                <w:szCs w:val="18"/>
                <w:lang w:val="sr-Latn-ME"/>
              </w:rPr>
              <w:sym w:font="Wingdings" w:char="F0E0"/>
            </w:r>
          </w:p>
          <w:p w14:paraId="6C4C8337"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Pertuzumab +</w:t>
            </w:r>
          </w:p>
          <w:p w14:paraId="4E52BB68"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trastuzumab +</w:t>
            </w:r>
          </w:p>
          <w:p w14:paraId="56EC6A4F"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docetaksel</w:t>
            </w:r>
          </w:p>
          <w:p w14:paraId="46B73742"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N=75</w:t>
            </w:r>
          </w:p>
        </w:tc>
        <w:tc>
          <w:tcPr>
            <w:tcW w:w="738" w:type="pct"/>
            <w:vAlign w:val="center"/>
          </w:tcPr>
          <w:p w14:paraId="7DCFC1A7"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Pertuzumab</w:t>
            </w:r>
          </w:p>
          <w:p w14:paraId="26452C57"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+TCH</w:t>
            </w:r>
          </w:p>
          <w:p w14:paraId="46C2C512" w14:textId="77777777" w:rsidR="000C7302" w:rsidRPr="009B712A" w:rsidRDefault="000C7302" w:rsidP="005436C8">
            <w:pPr>
              <w:keepNext/>
              <w:keepLines/>
              <w:tabs>
                <w:tab w:val="left" w:pos="284"/>
              </w:tabs>
              <w:spacing w:before="50" w:after="50"/>
              <w:jc w:val="center"/>
              <w:rPr>
                <w:b/>
                <w:color w:val="000000"/>
                <w:sz w:val="18"/>
                <w:szCs w:val="18"/>
                <w:lang w:val="sr-Latn-ME"/>
              </w:rPr>
            </w:pPr>
            <w:r w:rsidRPr="009B712A">
              <w:rPr>
                <w:b/>
                <w:bCs/>
                <w:color w:val="000000"/>
                <w:sz w:val="18"/>
                <w:szCs w:val="18"/>
                <w:lang w:val="sr-Latn-ME"/>
              </w:rPr>
              <w:t>N=77</w:t>
            </w:r>
          </w:p>
        </w:tc>
      </w:tr>
      <w:tr w:rsidR="000C7302" w:rsidRPr="00E75D6F" w14:paraId="1150E6F0" w14:textId="77777777" w:rsidTr="000C7302">
        <w:trPr>
          <w:trHeight w:val="964"/>
          <w:tblHeader/>
          <w:jc w:val="center"/>
        </w:trPr>
        <w:tc>
          <w:tcPr>
            <w:tcW w:w="570" w:type="pct"/>
          </w:tcPr>
          <w:p w14:paraId="13098DDF"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Stopa pCR u dojci (ypT0/is)</w:t>
            </w:r>
          </w:p>
          <w:p w14:paraId="70946173"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n (%)</w:t>
            </w:r>
          </w:p>
          <w:p w14:paraId="076B76E3"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[95% CI]</w:t>
            </w:r>
            <w:r w:rsidRPr="009B712A">
              <w:rPr>
                <w:color w:val="000000"/>
                <w:sz w:val="18"/>
                <w:szCs w:val="18"/>
                <w:vertAlign w:val="superscript"/>
                <w:lang w:val="sr-Latn-ME"/>
              </w:rPr>
              <w:t>1</w:t>
            </w:r>
          </w:p>
        </w:tc>
        <w:tc>
          <w:tcPr>
            <w:tcW w:w="532" w:type="pct"/>
            <w:vAlign w:val="center"/>
          </w:tcPr>
          <w:p w14:paraId="40BC8A8D"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31 (29,0%)</w:t>
            </w:r>
          </w:p>
          <w:p w14:paraId="1C1C23E2"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[20,6, 38,5]</w:t>
            </w:r>
          </w:p>
        </w:tc>
        <w:tc>
          <w:tcPr>
            <w:tcW w:w="605" w:type="pct"/>
            <w:vAlign w:val="center"/>
          </w:tcPr>
          <w:p w14:paraId="7E9954B6"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49 (45,8%)</w:t>
            </w:r>
          </w:p>
          <w:p w14:paraId="5B53D27C"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[36,1, 55,7]</w:t>
            </w:r>
          </w:p>
        </w:tc>
        <w:tc>
          <w:tcPr>
            <w:tcW w:w="606" w:type="pct"/>
            <w:vAlign w:val="center"/>
          </w:tcPr>
          <w:p w14:paraId="39BECF5D"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18 (16,8%)</w:t>
            </w:r>
          </w:p>
          <w:p w14:paraId="68260756"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[10,3, 25,3]</w:t>
            </w:r>
          </w:p>
        </w:tc>
        <w:tc>
          <w:tcPr>
            <w:tcW w:w="591" w:type="pct"/>
            <w:vAlign w:val="center"/>
          </w:tcPr>
          <w:p w14:paraId="15F4654E"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23 (24,0%)</w:t>
            </w:r>
          </w:p>
          <w:p w14:paraId="5BDF2CDD"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[15,8, 33,7]</w:t>
            </w:r>
          </w:p>
        </w:tc>
        <w:tc>
          <w:tcPr>
            <w:tcW w:w="686" w:type="pct"/>
            <w:vAlign w:val="center"/>
          </w:tcPr>
          <w:p w14:paraId="1BC8F7B9"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45 (61,6%)</w:t>
            </w:r>
          </w:p>
          <w:p w14:paraId="07D43B18"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[49,5, 72,8]</w:t>
            </w:r>
          </w:p>
        </w:tc>
        <w:tc>
          <w:tcPr>
            <w:tcW w:w="672" w:type="pct"/>
            <w:vAlign w:val="center"/>
          </w:tcPr>
          <w:p w14:paraId="73EBB4BF"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43 (57,3%)</w:t>
            </w:r>
          </w:p>
          <w:p w14:paraId="348209F5"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[45,4, 68,7]</w:t>
            </w:r>
          </w:p>
        </w:tc>
        <w:tc>
          <w:tcPr>
            <w:tcW w:w="738" w:type="pct"/>
            <w:vAlign w:val="center"/>
          </w:tcPr>
          <w:p w14:paraId="7BC4DE88"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51 (66,2%)</w:t>
            </w:r>
          </w:p>
          <w:p w14:paraId="4A9A0223"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[54,6, 76,6]</w:t>
            </w:r>
          </w:p>
        </w:tc>
      </w:tr>
      <w:tr w:rsidR="000C7302" w:rsidRPr="00E75D6F" w14:paraId="238D43A1" w14:textId="77777777" w:rsidTr="000C7302">
        <w:trPr>
          <w:tblHeader/>
          <w:jc w:val="center"/>
        </w:trPr>
        <w:tc>
          <w:tcPr>
            <w:tcW w:w="570" w:type="pct"/>
          </w:tcPr>
          <w:p w14:paraId="67B84014" w14:textId="77777777" w:rsidR="000C7302" w:rsidRPr="009B712A" w:rsidRDefault="000C7302" w:rsidP="005436C8">
            <w:pPr>
              <w:keepNext/>
              <w:keepLines/>
              <w:tabs>
                <w:tab w:val="left" w:pos="284"/>
              </w:tabs>
              <w:autoSpaceDE w:val="0"/>
              <w:autoSpaceDN w:val="0"/>
              <w:adjustRightInd w:val="0"/>
              <w:jc w:val="both"/>
              <w:rPr>
                <w:color w:val="000000"/>
                <w:sz w:val="18"/>
                <w:szCs w:val="18"/>
                <w:vertAlign w:val="superscript"/>
                <w:lang w:val="sr-Latn-ME"/>
              </w:rPr>
            </w:pPr>
            <w:r w:rsidRPr="009B712A">
              <w:rPr>
                <w:color w:val="000000"/>
                <w:sz w:val="18"/>
                <w:szCs w:val="18"/>
                <w:lang w:val="sr-Latn-ME"/>
              </w:rPr>
              <w:t>Razlika u stopama pCR</w:t>
            </w:r>
            <w:r w:rsidRPr="009B712A">
              <w:rPr>
                <w:color w:val="000000"/>
                <w:sz w:val="18"/>
                <w:szCs w:val="18"/>
                <w:vertAlign w:val="superscript"/>
                <w:lang w:val="sr-Latn-ME"/>
              </w:rPr>
              <w:t>2</w:t>
            </w:r>
          </w:p>
          <w:p w14:paraId="227F36A1" w14:textId="77777777" w:rsidR="000C7302" w:rsidRPr="009B712A" w:rsidRDefault="000C7302" w:rsidP="005436C8">
            <w:pPr>
              <w:keepNext/>
              <w:keepLines/>
              <w:tabs>
                <w:tab w:val="left" w:pos="284"/>
              </w:tabs>
              <w:spacing w:before="20" w:after="20"/>
              <w:jc w:val="both"/>
              <w:rPr>
                <w:b/>
                <w:caps/>
                <w:color w:val="000000"/>
                <w:sz w:val="18"/>
                <w:szCs w:val="18"/>
                <w:lang w:val="sr-Latn-ME"/>
              </w:rPr>
            </w:pPr>
            <w:r w:rsidRPr="009B712A">
              <w:rPr>
                <w:color w:val="000000"/>
                <w:sz w:val="18"/>
                <w:szCs w:val="18"/>
                <w:lang w:val="sr-Latn-ME"/>
              </w:rPr>
              <w:t>[95% CI]</w:t>
            </w:r>
            <w:r w:rsidRPr="009B712A">
              <w:rPr>
                <w:color w:val="000000"/>
                <w:sz w:val="18"/>
                <w:szCs w:val="18"/>
                <w:vertAlign w:val="superscript"/>
                <w:lang w:val="sr-Latn-ME"/>
              </w:rPr>
              <w:t>3</w:t>
            </w:r>
          </w:p>
        </w:tc>
        <w:tc>
          <w:tcPr>
            <w:tcW w:w="532" w:type="pct"/>
            <w:vAlign w:val="center"/>
          </w:tcPr>
          <w:p w14:paraId="055F7F88" w14:textId="77777777" w:rsidR="000C7302" w:rsidRPr="009B712A" w:rsidRDefault="000C7302" w:rsidP="005436C8">
            <w:pPr>
              <w:keepNext/>
              <w:keepLines/>
              <w:tabs>
                <w:tab w:val="left" w:pos="284"/>
              </w:tabs>
              <w:spacing w:before="20" w:after="20"/>
              <w:jc w:val="center"/>
              <w:rPr>
                <w:color w:val="000000"/>
                <w:sz w:val="18"/>
                <w:szCs w:val="18"/>
                <w:lang w:val="sr-Latn-ME"/>
              </w:rPr>
            </w:pPr>
          </w:p>
        </w:tc>
        <w:tc>
          <w:tcPr>
            <w:tcW w:w="605" w:type="pct"/>
            <w:vAlign w:val="center"/>
          </w:tcPr>
          <w:p w14:paraId="3BAC2AFF" w14:textId="77777777" w:rsidR="000C7302" w:rsidRPr="009B712A" w:rsidRDefault="000C7302" w:rsidP="005436C8">
            <w:pPr>
              <w:keepNext/>
              <w:keepLines/>
              <w:tabs>
                <w:tab w:val="left" w:pos="284"/>
              </w:tabs>
              <w:autoSpaceDE w:val="0"/>
              <w:autoSpaceDN w:val="0"/>
              <w:adjustRightInd w:val="0"/>
              <w:spacing w:before="20" w:after="20"/>
              <w:jc w:val="center"/>
              <w:rPr>
                <w:b/>
                <w:caps/>
                <w:color w:val="000000"/>
                <w:sz w:val="18"/>
                <w:szCs w:val="18"/>
                <w:lang w:val="sr-Latn-ME"/>
              </w:rPr>
            </w:pPr>
            <w:r w:rsidRPr="009B712A">
              <w:rPr>
                <w:color w:val="000000"/>
                <w:sz w:val="18"/>
                <w:szCs w:val="18"/>
                <w:lang w:val="sr-Latn-ME"/>
              </w:rPr>
              <w:t>+ 16,8%</w:t>
            </w:r>
          </w:p>
          <w:p w14:paraId="56FA4104" w14:textId="77777777" w:rsidR="000C7302" w:rsidRPr="009B712A" w:rsidRDefault="000C7302" w:rsidP="005436C8">
            <w:pPr>
              <w:keepNext/>
              <w:keepLines/>
              <w:tabs>
                <w:tab w:val="left" w:pos="284"/>
              </w:tabs>
              <w:autoSpaceDE w:val="0"/>
              <w:autoSpaceDN w:val="0"/>
              <w:adjustRightInd w:val="0"/>
              <w:spacing w:before="20" w:after="20"/>
              <w:jc w:val="center"/>
              <w:rPr>
                <w:color w:val="000000"/>
                <w:sz w:val="18"/>
                <w:szCs w:val="18"/>
                <w:lang w:val="sr-Latn-ME"/>
              </w:rPr>
            </w:pPr>
            <w:r w:rsidRPr="009B712A">
              <w:rPr>
                <w:color w:val="000000"/>
                <w:sz w:val="18"/>
                <w:szCs w:val="18"/>
                <w:lang w:val="sr-Latn-ME"/>
              </w:rPr>
              <w:t>[3,5, 30,1]</w:t>
            </w:r>
          </w:p>
        </w:tc>
        <w:tc>
          <w:tcPr>
            <w:tcW w:w="606" w:type="pct"/>
            <w:vAlign w:val="center"/>
          </w:tcPr>
          <w:p w14:paraId="599D2220" w14:textId="77777777" w:rsidR="000C7302" w:rsidRPr="009B712A" w:rsidRDefault="000C7302" w:rsidP="005436C8">
            <w:pPr>
              <w:keepNext/>
              <w:keepLines/>
              <w:tabs>
                <w:tab w:val="left" w:pos="284"/>
              </w:tabs>
              <w:autoSpaceDE w:val="0"/>
              <w:autoSpaceDN w:val="0"/>
              <w:adjustRightInd w:val="0"/>
              <w:spacing w:before="20" w:after="20"/>
              <w:jc w:val="center"/>
              <w:rPr>
                <w:b/>
                <w:caps/>
                <w:color w:val="000000"/>
                <w:sz w:val="18"/>
                <w:szCs w:val="18"/>
                <w:lang w:val="sr-Latn-ME"/>
              </w:rPr>
            </w:pPr>
            <w:r w:rsidRPr="009B712A">
              <w:rPr>
                <w:color w:val="000000"/>
                <w:sz w:val="18"/>
                <w:szCs w:val="18"/>
                <w:lang w:val="sr-Latn-ME"/>
              </w:rPr>
              <w:t>- 12,2%</w:t>
            </w:r>
          </w:p>
          <w:p w14:paraId="7C330023" w14:textId="77777777" w:rsidR="000C7302" w:rsidRPr="009B712A" w:rsidRDefault="000C7302" w:rsidP="005436C8">
            <w:pPr>
              <w:keepNext/>
              <w:keepLines/>
              <w:tabs>
                <w:tab w:val="left" w:pos="284"/>
              </w:tabs>
              <w:autoSpaceDE w:val="0"/>
              <w:autoSpaceDN w:val="0"/>
              <w:adjustRightInd w:val="0"/>
              <w:spacing w:before="20" w:after="20"/>
              <w:ind w:right="-81" w:hanging="82"/>
              <w:jc w:val="center"/>
              <w:rPr>
                <w:b/>
                <w:caps/>
                <w:color w:val="000000"/>
                <w:sz w:val="18"/>
                <w:szCs w:val="18"/>
                <w:lang w:val="sr-Latn-ME"/>
              </w:rPr>
            </w:pPr>
            <w:r w:rsidRPr="009B712A">
              <w:rPr>
                <w:color w:val="000000"/>
                <w:sz w:val="18"/>
                <w:szCs w:val="18"/>
                <w:lang w:val="sr-Latn-ME"/>
              </w:rPr>
              <w:t>[-23,8, -0,5]</w:t>
            </w:r>
          </w:p>
        </w:tc>
        <w:tc>
          <w:tcPr>
            <w:tcW w:w="591" w:type="pct"/>
            <w:vAlign w:val="center"/>
          </w:tcPr>
          <w:p w14:paraId="4B9928BD" w14:textId="77777777" w:rsidR="000C7302" w:rsidRPr="009B712A" w:rsidRDefault="000C7302" w:rsidP="005436C8">
            <w:pPr>
              <w:keepNext/>
              <w:keepLines/>
              <w:tabs>
                <w:tab w:val="left" w:pos="284"/>
              </w:tabs>
              <w:autoSpaceDE w:val="0"/>
              <w:autoSpaceDN w:val="0"/>
              <w:adjustRightInd w:val="0"/>
              <w:spacing w:before="20" w:after="20"/>
              <w:jc w:val="center"/>
              <w:rPr>
                <w:b/>
                <w:caps/>
                <w:color w:val="000000"/>
                <w:sz w:val="18"/>
                <w:szCs w:val="18"/>
                <w:lang w:val="sr-Latn-ME"/>
              </w:rPr>
            </w:pPr>
            <w:r w:rsidRPr="009B712A">
              <w:rPr>
                <w:color w:val="000000"/>
                <w:sz w:val="18"/>
                <w:szCs w:val="18"/>
                <w:lang w:val="sr-Latn-ME"/>
              </w:rPr>
              <w:t>- 21,8%</w:t>
            </w:r>
          </w:p>
          <w:p w14:paraId="4DBCB566" w14:textId="77777777" w:rsidR="000C7302" w:rsidRPr="009B712A" w:rsidRDefault="000C7302" w:rsidP="005436C8">
            <w:pPr>
              <w:keepNext/>
              <w:keepLines/>
              <w:tabs>
                <w:tab w:val="left" w:pos="284"/>
              </w:tabs>
              <w:autoSpaceDE w:val="0"/>
              <w:autoSpaceDN w:val="0"/>
              <w:adjustRightInd w:val="0"/>
              <w:spacing w:before="20" w:after="20"/>
              <w:ind w:right="-56" w:hanging="33"/>
              <w:jc w:val="center"/>
              <w:rPr>
                <w:b/>
                <w:caps/>
                <w:color w:val="000000"/>
                <w:sz w:val="18"/>
                <w:szCs w:val="18"/>
                <w:lang w:val="sr-Latn-ME"/>
              </w:rPr>
            </w:pPr>
            <w:r w:rsidRPr="009B712A">
              <w:rPr>
                <w:color w:val="000000"/>
                <w:sz w:val="18"/>
                <w:szCs w:val="18"/>
                <w:lang w:val="sr-Latn-ME"/>
              </w:rPr>
              <w:t>[- 35,1, - 8,5]</w:t>
            </w:r>
          </w:p>
        </w:tc>
        <w:tc>
          <w:tcPr>
            <w:tcW w:w="686" w:type="pct"/>
            <w:vAlign w:val="center"/>
          </w:tcPr>
          <w:p w14:paraId="5B87E29E"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NP</w:t>
            </w:r>
          </w:p>
        </w:tc>
        <w:tc>
          <w:tcPr>
            <w:tcW w:w="672" w:type="pct"/>
            <w:vAlign w:val="center"/>
          </w:tcPr>
          <w:p w14:paraId="070DBC11"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NP</w:t>
            </w:r>
          </w:p>
        </w:tc>
        <w:tc>
          <w:tcPr>
            <w:tcW w:w="738" w:type="pct"/>
            <w:vAlign w:val="center"/>
          </w:tcPr>
          <w:p w14:paraId="34F48489"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NP</w:t>
            </w:r>
          </w:p>
        </w:tc>
      </w:tr>
      <w:tr w:rsidR="000C7302" w:rsidRPr="00E75D6F" w14:paraId="617CE054" w14:textId="77777777" w:rsidTr="000C7302">
        <w:trPr>
          <w:tblHeader/>
          <w:jc w:val="center"/>
        </w:trPr>
        <w:tc>
          <w:tcPr>
            <w:tcW w:w="570" w:type="pct"/>
          </w:tcPr>
          <w:p w14:paraId="7D683261"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p-</w:t>
            </w:r>
            <w:r w:rsidR="000A2EA9" w:rsidRPr="009B712A">
              <w:rPr>
                <w:color w:val="000000"/>
                <w:sz w:val="18"/>
                <w:szCs w:val="18"/>
                <w:lang w:val="sr-Latn-ME"/>
              </w:rPr>
              <w:t>vrijednost</w:t>
            </w:r>
            <w:r w:rsidRPr="009B712A">
              <w:rPr>
                <w:color w:val="000000"/>
                <w:sz w:val="18"/>
                <w:szCs w:val="18"/>
                <w:lang w:val="sr-Latn-ME"/>
              </w:rPr>
              <w:t xml:space="preserve"> (uz Simesovu korekciju za CMH test)</w:t>
            </w:r>
            <w:r w:rsidRPr="009B712A">
              <w:rPr>
                <w:color w:val="000000"/>
                <w:sz w:val="18"/>
                <w:szCs w:val="18"/>
                <w:vertAlign w:val="superscript"/>
                <w:lang w:val="sr-Latn-ME"/>
              </w:rPr>
              <w:t>4</w:t>
            </w:r>
          </w:p>
        </w:tc>
        <w:tc>
          <w:tcPr>
            <w:tcW w:w="532" w:type="pct"/>
            <w:vAlign w:val="center"/>
          </w:tcPr>
          <w:p w14:paraId="2161AA9A" w14:textId="77777777" w:rsidR="000C7302" w:rsidRPr="009B712A" w:rsidRDefault="000C7302" w:rsidP="005436C8">
            <w:pPr>
              <w:keepNext/>
              <w:keepLines/>
              <w:tabs>
                <w:tab w:val="left" w:pos="284"/>
              </w:tabs>
              <w:spacing w:before="20" w:after="20"/>
              <w:jc w:val="center"/>
              <w:rPr>
                <w:color w:val="000000"/>
                <w:sz w:val="18"/>
                <w:szCs w:val="18"/>
                <w:lang w:val="sr-Latn-ME"/>
              </w:rPr>
            </w:pPr>
          </w:p>
        </w:tc>
        <w:tc>
          <w:tcPr>
            <w:tcW w:w="605" w:type="pct"/>
            <w:vAlign w:val="center"/>
          </w:tcPr>
          <w:p w14:paraId="3ADA970F"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0,0141</w:t>
            </w:r>
          </w:p>
          <w:p w14:paraId="6EE1EE5E"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(prema trastuzumabu + docetakselu)</w:t>
            </w:r>
          </w:p>
        </w:tc>
        <w:tc>
          <w:tcPr>
            <w:tcW w:w="606" w:type="pct"/>
            <w:vAlign w:val="center"/>
          </w:tcPr>
          <w:p w14:paraId="6C8276C5"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0,0198</w:t>
            </w:r>
          </w:p>
          <w:p w14:paraId="64134FB0"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(prema trastuzumabu + docetakselu)</w:t>
            </w:r>
          </w:p>
        </w:tc>
        <w:tc>
          <w:tcPr>
            <w:tcW w:w="591" w:type="pct"/>
            <w:vAlign w:val="center"/>
          </w:tcPr>
          <w:p w14:paraId="53E4F0F9"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0,0030</w:t>
            </w:r>
          </w:p>
          <w:p w14:paraId="10FD58BA" w14:textId="77777777" w:rsidR="000C7302" w:rsidRPr="009B712A" w:rsidRDefault="000C7302" w:rsidP="005436C8">
            <w:pPr>
              <w:keepNext/>
              <w:keepLines/>
              <w:tabs>
                <w:tab w:val="left" w:pos="284"/>
              </w:tabs>
              <w:spacing w:before="20" w:after="20"/>
              <w:ind w:left="-56" w:right="-89"/>
              <w:jc w:val="center"/>
              <w:rPr>
                <w:color w:val="000000"/>
                <w:sz w:val="18"/>
                <w:szCs w:val="18"/>
                <w:lang w:val="sr-Latn-ME"/>
              </w:rPr>
            </w:pPr>
            <w:r w:rsidRPr="009B712A">
              <w:rPr>
                <w:color w:val="000000"/>
                <w:sz w:val="18"/>
                <w:szCs w:val="18"/>
                <w:lang w:val="sr-Latn-ME"/>
              </w:rPr>
              <w:t>(prema pertuzumabu +</w:t>
            </w:r>
          </w:p>
          <w:p w14:paraId="624189FF" w14:textId="77777777" w:rsidR="000C7302" w:rsidRPr="009B712A" w:rsidRDefault="000C7302" w:rsidP="005436C8">
            <w:pPr>
              <w:keepNext/>
              <w:keepLines/>
              <w:tabs>
                <w:tab w:val="left" w:pos="284"/>
              </w:tabs>
              <w:spacing w:before="20" w:after="20"/>
              <w:ind w:left="-56" w:right="-89"/>
              <w:jc w:val="center"/>
              <w:rPr>
                <w:b/>
                <w:caps/>
                <w:color w:val="000000"/>
                <w:sz w:val="18"/>
                <w:szCs w:val="18"/>
                <w:lang w:val="sr-Latn-ME"/>
              </w:rPr>
            </w:pPr>
            <w:r w:rsidRPr="009B712A">
              <w:rPr>
                <w:color w:val="000000"/>
                <w:sz w:val="18"/>
                <w:szCs w:val="18"/>
                <w:lang w:val="sr-Latn-ME"/>
              </w:rPr>
              <w:t>trastuzumabu + docetakselu)</w:t>
            </w:r>
          </w:p>
        </w:tc>
        <w:tc>
          <w:tcPr>
            <w:tcW w:w="686" w:type="pct"/>
            <w:vAlign w:val="center"/>
          </w:tcPr>
          <w:p w14:paraId="0757DED8"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NP</w:t>
            </w:r>
          </w:p>
        </w:tc>
        <w:tc>
          <w:tcPr>
            <w:tcW w:w="672" w:type="pct"/>
            <w:vAlign w:val="center"/>
          </w:tcPr>
          <w:p w14:paraId="510CCAD3"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NP</w:t>
            </w:r>
          </w:p>
        </w:tc>
        <w:tc>
          <w:tcPr>
            <w:tcW w:w="738" w:type="pct"/>
            <w:vAlign w:val="center"/>
          </w:tcPr>
          <w:p w14:paraId="72CDEFFE"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NP</w:t>
            </w:r>
          </w:p>
        </w:tc>
      </w:tr>
      <w:tr w:rsidR="000C7302" w:rsidRPr="00E75D6F" w14:paraId="5CD9001A" w14:textId="77777777" w:rsidTr="000C7302">
        <w:trPr>
          <w:tblHeader/>
          <w:jc w:val="center"/>
        </w:trPr>
        <w:tc>
          <w:tcPr>
            <w:tcW w:w="570" w:type="pct"/>
          </w:tcPr>
          <w:p w14:paraId="0EB6D681" w14:textId="77777777" w:rsidR="000C7302" w:rsidRPr="009B712A" w:rsidRDefault="000C7302" w:rsidP="005436C8">
            <w:pPr>
              <w:keepNext/>
              <w:keepLines/>
              <w:tabs>
                <w:tab w:val="left" w:pos="284"/>
              </w:tabs>
              <w:jc w:val="both"/>
              <w:rPr>
                <w:color w:val="000000"/>
                <w:sz w:val="18"/>
                <w:szCs w:val="18"/>
                <w:lang w:val="sr-Latn-ME"/>
              </w:rPr>
            </w:pPr>
            <w:r w:rsidRPr="009B712A">
              <w:rPr>
                <w:color w:val="000000"/>
                <w:sz w:val="18"/>
                <w:szCs w:val="18"/>
                <w:lang w:val="sr-Latn-ME"/>
              </w:rPr>
              <w:t xml:space="preserve">Stopa pCR </w:t>
            </w:r>
            <w:r w:rsidR="00317711" w:rsidRPr="009B712A">
              <w:rPr>
                <w:color w:val="000000"/>
                <w:sz w:val="18"/>
                <w:szCs w:val="18"/>
                <w:lang w:val="sr-Latn-ME"/>
              </w:rPr>
              <w:t xml:space="preserve">u </w:t>
            </w:r>
            <w:r w:rsidRPr="009B712A">
              <w:rPr>
                <w:color w:val="000000"/>
                <w:sz w:val="18"/>
                <w:szCs w:val="18"/>
                <w:lang w:val="sr-Latn-ME"/>
              </w:rPr>
              <w:t>dojci i limfnim čvorovima (ypT0/is N0)</w:t>
            </w:r>
          </w:p>
          <w:p w14:paraId="174FBA21" w14:textId="77777777" w:rsidR="000C7302" w:rsidRPr="009B712A" w:rsidRDefault="000C7302" w:rsidP="005436C8">
            <w:pPr>
              <w:keepNext/>
              <w:keepLines/>
              <w:tabs>
                <w:tab w:val="left" w:pos="284"/>
              </w:tabs>
              <w:spacing w:after="20"/>
              <w:jc w:val="both"/>
              <w:rPr>
                <w:b/>
                <w:caps/>
                <w:color w:val="000000"/>
                <w:sz w:val="18"/>
                <w:szCs w:val="18"/>
                <w:lang w:val="sr-Latn-ME"/>
              </w:rPr>
            </w:pPr>
            <w:r w:rsidRPr="009B712A">
              <w:rPr>
                <w:color w:val="000000"/>
                <w:sz w:val="18"/>
                <w:szCs w:val="18"/>
                <w:lang w:val="sr-Latn-ME"/>
              </w:rPr>
              <w:t>n (%)</w:t>
            </w:r>
          </w:p>
          <w:p w14:paraId="68A43E5B"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[95% CI]</w:t>
            </w:r>
          </w:p>
        </w:tc>
        <w:tc>
          <w:tcPr>
            <w:tcW w:w="532" w:type="pct"/>
            <w:vAlign w:val="center"/>
          </w:tcPr>
          <w:p w14:paraId="7FF91600"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23 (21,5%)</w:t>
            </w:r>
          </w:p>
          <w:p w14:paraId="11CE0240" w14:textId="77777777" w:rsidR="000C7302" w:rsidRPr="009B712A" w:rsidRDefault="000C7302" w:rsidP="005436C8">
            <w:pPr>
              <w:keepNext/>
              <w:keepLines/>
              <w:tabs>
                <w:tab w:val="left" w:pos="284"/>
              </w:tabs>
              <w:spacing w:before="50" w:after="50"/>
              <w:jc w:val="center"/>
              <w:rPr>
                <w:color w:val="000000"/>
                <w:sz w:val="18"/>
                <w:szCs w:val="18"/>
                <w:lang w:val="sr-Latn-ME"/>
              </w:rPr>
            </w:pPr>
            <w:r w:rsidRPr="009B712A">
              <w:rPr>
                <w:color w:val="000000"/>
                <w:sz w:val="18"/>
                <w:szCs w:val="18"/>
                <w:lang w:val="sr-Latn-ME"/>
              </w:rPr>
              <w:t>[14,1, 30,5]</w:t>
            </w:r>
          </w:p>
        </w:tc>
        <w:tc>
          <w:tcPr>
            <w:tcW w:w="605" w:type="pct"/>
            <w:vAlign w:val="center"/>
          </w:tcPr>
          <w:p w14:paraId="27391BA8"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42 (39,3%)</w:t>
            </w:r>
          </w:p>
          <w:p w14:paraId="54E6BDAB" w14:textId="77777777" w:rsidR="000C7302" w:rsidRPr="009B712A" w:rsidRDefault="000C7302" w:rsidP="005436C8">
            <w:pPr>
              <w:keepNext/>
              <w:keepLines/>
              <w:tabs>
                <w:tab w:val="left" w:pos="284"/>
              </w:tabs>
              <w:spacing w:before="50" w:after="50"/>
              <w:jc w:val="center"/>
              <w:rPr>
                <w:color w:val="000000"/>
                <w:sz w:val="18"/>
                <w:szCs w:val="18"/>
                <w:lang w:val="sr-Latn-ME"/>
              </w:rPr>
            </w:pPr>
            <w:r w:rsidRPr="009B712A">
              <w:rPr>
                <w:color w:val="000000"/>
                <w:sz w:val="18"/>
                <w:szCs w:val="18"/>
                <w:lang w:val="sr-Latn-ME"/>
              </w:rPr>
              <w:t>[30,3, 49,2]</w:t>
            </w:r>
          </w:p>
        </w:tc>
        <w:tc>
          <w:tcPr>
            <w:tcW w:w="606" w:type="pct"/>
            <w:vAlign w:val="center"/>
          </w:tcPr>
          <w:p w14:paraId="33072775"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12 (11,2%)</w:t>
            </w:r>
          </w:p>
          <w:p w14:paraId="34818148" w14:textId="77777777" w:rsidR="000C7302" w:rsidRPr="009B712A" w:rsidRDefault="000C7302" w:rsidP="005436C8">
            <w:pPr>
              <w:keepNext/>
              <w:keepLines/>
              <w:tabs>
                <w:tab w:val="left" w:pos="284"/>
              </w:tabs>
              <w:spacing w:before="50" w:after="50"/>
              <w:jc w:val="center"/>
              <w:rPr>
                <w:color w:val="000000"/>
                <w:sz w:val="18"/>
                <w:szCs w:val="18"/>
                <w:lang w:val="sr-Latn-ME"/>
              </w:rPr>
            </w:pPr>
            <w:r w:rsidRPr="009B712A">
              <w:rPr>
                <w:color w:val="000000"/>
                <w:sz w:val="18"/>
                <w:szCs w:val="18"/>
                <w:lang w:val="sr-Latn-ME"/>
              </w:rPr>
              <w:t>[5,9, 18,8]</w:t>
            </w:r>
          </w:p>
        </w:tc>
        <w:tc>
          <w:tcPr>
            <w:tcW w:w="591" w:type="pct"/>
            <w:vAlign w:val="center"/>
          </w:tcPr>
          <w:p w14:paraId="67496F76"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17 (17,7%)</w:t>
            </w:r>
          </w:p>
          <w:p w14:paraId="0745E693" w14:textId="77777777" w:rsidR="000C7302" w:rsidRPr="009B712A" w:rsidRDefault="000C7302" w:rsidP="005436C8">
            <w:pPr>
              <w:keepNext/>
              <w:keepLines/>
              <w:tabs>
                <w:tab w:val="left" w:pos="284"/>
              </w:tabs>
              <w:spacing w:before="50" w:after="50"/>
              <w:jc w:val="center"/>
              <w:rPr>
                <w:color w:val="000000"/>
                <w:sz w:val="18"/>
                <w:szCs w:val="18"/>
                <w:lang w:val="sr-Latn-ME"/>
              </w:rPr>
            </w:pPr>
            <w:r w:rsidRPr="009B712A">
              <w:rPr>
                <w:color w:val="000000"/>
                <w:sz w:val="18"/>
                <w:szCs w:val="18"/>
                <w:lang w:val="sr-Latn-ME"/>
              </w:rPr>
              <w:t>[10,7, 26,8]</w:t>
            </w:r>
          </w:p>
        </w:tc>
        <w:tc>
          <w:tcPr>
            <w:tcW w:w="686" w:type="pct"/>
            <w:vAlign w:val="center"/>
          </w:tcPr>
          <w:p w14:paraId="1FAB4DAD"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41 (56,2%)</w:t>
            </w:r>
          </w:p>
          <w:p w14:paraId="09CFA923"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[44,1, 67,8]</w:t>
            </w:r>
          </w:p>
        </w:tc>
        <w:tc>
          <w:tcPr>
            <w:tcW w:w="672" w:type="pct"/>
            <w:vAlign w:val="center"/>
          </w:tcPr>
          <w:p w14:paraId="7E985B88"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41 (54,7%)</w:t>
            </w:r>
          </w:p>
          <w:p w14:paraId="35FC7CF9"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[42,7, 66,2]</w:t>
            </w:r>
          </w:p>
        </w:tc>
        <w:tc>
          <w:tcPr>
            <w:tcW w:w="738" w:type="pct"/>
            <w:vAlign w:val="center"/>
          </w:tcPr>
          <w:p w14:paraId="32532D02"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49 (63,6%)</w:t>
            </w:r>
          </w:p>
          <w:p w14:paraId="3BF26351"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[51,9, 74,3]</w:t>
            </w:r>
          </w:p>
        </w:tc>
      </w:tr>
      <w:tr w:rsidR="000C7302" w:rsidRPr="00E75D6F" w14:paraId="0E5FAA9D" w14:textId="77777777" w:rsidTr="000C7302">
        <w:trPr>
          <w:tblHeader/>
          <w:jc w:val="center"/>
        </w:trPr>
        <w:tc>
          <w:tcPr>
            <w:tcW w:w="570" w:type="pct"/>
          </w:tcPr>
          <w:p w14:paraId="0BE5D1F2"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 xml:space="preserve">ypT0 N0 </w:t>
            </w:r>
          </w:p>
          <w:p w14:paraId="0AB3E4FE" w14:textId="77777777" w:rsidR="000C7302" w:rsidRPr="009B712A" w:rsidRDefault="000C7302" w:rsidP="005436C8">
            <w:pPr>
              <w:keepNext/>
              <w:keepLines/>
              <w:tabs>
                <w:tab w:val="left" w:pos="284"/>
              </w:tabs>
              <w:spacing w:after="20"/>
              <w:jc w:val="both"/>
              <w:rPr>
                <w:b/>
                <w:caps/>
                <w:color w:val="000000"/>
                <w:sz w:val="18"/>
                <w:szCs w:val="18"/>
                <w:lang w:val="sr-Latn-ME"/>
              </w:rPr>
            </w:pPr>
            <w:r w:rsidRPr="009B712A">
              <w:rPr>
                <w:color w:val="000000"/>
                <w:sz w:val="18"/>
                <w:szCs w:val="18"/>
                <w:lang w:val="sr-Latn-ME"/>
              </w:rPr>
              <w:t>n (%)</w:t>
            </w:r>
          </w:p>
          <w:p w14:paraId="3264A0F7"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[95% CI]</w:t>
            </w:r>
          </w:p>
        </w:tc>
        <w:tc>
          <w:tcPr>
            <w:tcW w:w="532" w:type="pct"/>
            <w:vAlign w:val="center"/>
          </w:tcPr>
          <w:p w14:paraId="59800283" w14:textId="77777777" w:rsidR="000C7302" w:rsidRPr="009B712A" w:rsidRDefault="000C7302" w:rsidP="005436C8">
            <w:pPr>
              <w:keepNext/>
              <w:keepLines/>
              <w:tabs>
                <w:tab w:val="left" w:pos="284"/>
              </w:tabs>
              <w:spacing w:before="20" w:after="20"/>
              <w:jc w:val="center"/>
              <w:rPr>
                <w:b/>
                <w:caps/>
                <w:color w:val="000000"/>
                <w:kern w:val="24"/>
                <w:sz w:val="18"/>
                <w:szCs w:val="18"/>
                <w:lang w:val="sr-Latn-ME"/>
              </w:rPr>
            </w:pPr>
            <w:r w:rsidRPr="009B712A">
              <w:rPr>
                <w:color w:val="000000"/>
                <w:kern w:val="24"/>
                <w:sz w:val="18"/>
                <w:szCs w:val="18"/>
                <w:lang w:val="sr-Latn-ME"/>
              </w:rPr>
              <w:t>13 (12,1%)</w:t>
            </w:r>
          </w:p>
          <w:p w14:paraId="1EED532E" w14:textId="77777777" w:rsidR="000C7302" w:rsidRPr="009B712A" w:rsidRDefault="000C7302" w:rsidP="005436C8">
            <w:pPr>
              <w:keepNext/>
              <w:keepLines/>
              <w:tabs>
                <w:tab w:val="left" w:pos="284"/>
              </w:tabs>
              <w:spacing w:before="20" w:after="20"/>
              <w:jc w:val="center"/>
              <w:rPr>
                <w:b/>
                <w:caps/>
                <w:color w:val="000000"/>
                <w:sz w:val="18"/>
                <w:szCs w:val="18"/>
                <w:lang w:val="sr-Latn-ME"/>
              </w:rPr>
            </w:pPr>
            <w:r w:rsidRPr="009B712A">
              <w:rPr>
                <w:color w:val="000000"/>
                <w:sz w:val="18"/>
                <w:szCs w:val="18"/>
                <w:lang w:val="sr-Latn-ME"/>
              </w:rPr>
              <w:t>[6,6, 19,9]</w:t>
            </w:r>
          </w:p>
        </w:tc>
        <w:tc>
          <w:tcPr>
            <w:tcW w:w="605" w:type="pct"/>
            <w:vAlign w:val="center"/>
          </w:tcPr>
          <w:p w14:paraId="119CBB4B" w14:textId="77777777" w:rsidR="000C7302" w:rsidRPr="009B712A" w:rsidRDefault="000C7302" w:rsidP="005436C8">
            <w:pPr>
              <w:keepNext/>
              <w:keepLines/>
              <w:tabs>
                <w:tab w:val="left" w:pos="284"/>
              </w:tabs>
              <w:spacing w:before="20" w:after="20"/>
              <w:jc w:val="center"/>
              <w:rPr>
                <w:b/>
                <w:caps/>
                <w:color w:val="000000"/>
                <w:kern w:val="24"/>
                <w:sz w:val="18"/>
                <w:szCs w:val="18"/>
                <w:lang w:val="sr-Latn-ME"/>
              </w:rPr>
            </w:pPr>
            <w:r w:rsidRPr="009B712A">
              <w:rPr>
                <w:color w:val="000000"/>
                <w:kern w:val="24"/>
                <w:sz w:val="18"/>
                <w:szCs w:val="18"/>
                <w:lang w:val="sr-Latn-ME"/>
              </w:rPr>
              <w:t>35 (32,7%)</w:t>
            </w:r>
          </w:p>
          <w:p w14:paraId="44C9ECD6" w14:textId="77777777" w:rsidR="000C7302" w:rsidRPr="009B712A" w:rsidRDefault="000C7302" w:rsidP="005436C8">
            <w:pPr>
              <w:keepNext/>
              <w:keepLines/>
              <w:tabs>
                <w:tab w:val="left" w:pos="284"/>
              </w:tabs>
              <w:spacing w:before="20" w:after="20"/>
              <w:jc w:val="center"/>
              <w:rPr>
                <w:b/>
                <w:caps/>
                <w:color w:val="000000"/>
                <w:sz w:val="18"/>
                <w:szCs w:val="18"/>
                <w:lang w:val="sr-Latn-ME"/>
              </w:rPr>
            </w:pPr>
            <w:r w:rsidRPr="009B712A">
              <w:rPr>
                <w:color w:val="000000"/>
                <w:kern w:val="24"/>
                <w:sz w:val="18"/>
                <w:szCs w:val="18"/>
                <w:lang w:val="sr-Latn-ME"/>
              </w:rPr>
              <w:t>[24,0, 42,5]</w:t>
            </w:r>
          </w:p>
        </w:tc>
        <w:tc>
          <w:tcPr>
            <w:tcW w:w="606" w:type="pct"/>
            <w:vAlign w:val="center"/>
          </w:tcPr>
          <w:p w14:paraId="118F9740" w14:textId="77777777" w:rsidR="000C7302" w:rsidRPr="009B712A" w:rsidRDefault="000C7302" w:rsidP="005436C8">
            <w:pPr>
              <w:keepNext/>
              <w:keepLines/>
              <w:tabs>
                <w:tab w:val="left" w:pos="284"/>
              </w:tabs>
              <w:spacing w:before="20" w:after="20"/>
              <w:jc w:val="center"/>
              <w:rPr>
                <w:b/>
                <w:caps/>
                <w:color w:val="000000"/>
                <w:kern w:val="24"/>
                <w:sz w:val="18"/>
                <w:szCs w:val="18"/>
                <w:lang w:val="sr-Latn-ME"/>
              </w:rPr>
            </w:pPr>
            <w:r w:rsidRPr="009B712A">
              <w:rPr>
                <w:color w:val="000000"/>
                <w:kern w:val="24"/>
                <w:sz w:val="18"/>
                <w:szCs w:val="18"/>
                <w:lang w:val="sr-Latn-ME"/>
              </w:rPr>
              <w:t>6 (5,6%)</w:t>
            </w:r>
          </w:p>
          <w:p w14:paraId="4CAA2CFE" w14:textId="77777777" w:rsidR="000C7302" w:rsidRPr="009B712A" w:rsidRDefault="000C7302" w:rsidP="005436C8">
            <w:pPr>
              <w:keepNext/>
              <w:keepLines/>
              <w:tabs>
                <w:tab w:val="left" w:pos="284"/>
              </w:tabs>
              <w:spacing w:before="20" w:after="20"/>
              <w:jc w:val="center"/>
              <w:rPr>
                <w:b/>
                <w:caps/>
                <w:color w:val="000000"/>
                <w:sz w:val="18"/>
                <w:szCs w:val="18"/>
                <w:lang w:val="sr-Latn-ME"/>
              </w:rPr>
            </w:pPr>
            <w:r w:rsidRPr="009B712A">
              <w:rPr>
                <w:color w:val="000000"/>
                <w:kern w:val="24"/>
                <w:sz w:val="18"/>
                <w:szCs w:val="18"/>
                <w:lang w:val="sr-Latn-ME"/>
              </w:rPr>
              <w:t>[2,1, 11,8]</w:t>
            </w:r>
          </w:p>
        </w:tc>
        <w:tc>
          <w:tcPr>
            <w:tcW w:w="591" w:type="pct"/>
            <w:vAlign w:val="center"/>
          </w:tcPr>
          <w:p w14:paraId="378CF5B3" w14:textId="77777777" w:rsidR="000C7302" w:rsidRPr="009B712A" w:rsidRDefault="000C7302" w:rsidP="005436C8">
            <w:pPr>
              <w:keepNext/>
              <w:keepLines/>
              <w:tabs>
                <w:tab w:val="left" w:pos="284"/>
              </w:tabs>
              <w:spacing w:before="20" w:after="20"/>
              <w:jc w:val="center"/>
              <w:rPr>
                <w:b/>
                <w:caps/>
                <w:color w:val="000000"/>
                <w:kern w:val="24"/>
                <w:sz w:val="18"/>
                <w:szCs w:val="18"/>
                <w:lang w:val="sr-Latn-ME"/>
              </w:rPr>
            </w:pPr>
            <w:r w:rsidRPr="009B712A">
              <w:rPr>
                <w:color w:val="000000"/>
                <w:kern w:val="24"/>
                <w:sz w:val="18"/>
                <w:szCs w:val="18"/>
                <w:lang w:val="sr-Latn-ME"/>
              </w:rPr>
              <w:t>13 (13,2%)</w:t>
            </w:r>
          </w:p>
          <w:p w14:paraId="35BA9D4F" w14:textId="77777777" w:rsidR="000C7302" w:rsidRPr="009B712A" w:rsidRDefault="000C7302" w:rsidP="005436C8">
            <w:pPr>
              <w:keepNext/>
              <w:keepLines/>
              <w:tabs>
                <w:tab w:val="left" w:pos="284"/>
              </w:tabs>
              <w:spacing w:before="20" w:after="20"/>
              <w:jc w:val="center"/>
              <w:rPr>
                <w:b/>
                <w:caps/>
                <w:color w:val="000000"/>
                <w:sz w:val="18"/>
                <w:szCs w:val="18"/>
                <w:lang w:val="sr-Latn-ME"/>
              </w:rPr>
            </w:pPr>
            <w:r w:rsidRPr="009B712A">
              <w:rPr>
                <w:color w:val="000000"/>
                <w:kern w:val="24"/>
                <w:sz w:val="18"/>
                <w:szCs w:val="18"/>
                <w:lang w:val="sr-Latn-ME"/>
              </w:rPr>
              <w:t>[7,4, 22,0]</w:t>
            </w:r>
          </w:p>
        </w:tc>
        <w:tc>
          <w:tcPr>
            <w:tcW w:w="686" w:type="pct"/>
            <w:vAlign w:val="center"/>
          </w:tcPr>
          <w:p w14:paraId="5331ABE7"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37 (50,7%)</w:t>
            </w:r>
          </w:p>
          <w:p w14:paraId="339C8C58"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[38,7, 62,6]</w:t>
            </w:r>
          </w:p>
        </w:tc>
        <w:tc>
          <w:tcPr>
            <w:tcW w:w="672" w:type="pct"/>
            <w:vAlign w:val="center"/>
          </w:tcPr>
          <w:p w14:paraId="17C0D421"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34 (45,3%)</w:t>
            </w:r>
          </w:p>
          <w:p w14:paraId="5B96A664"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[33,8, 57,3]</w:t>
            </w:r>
          </w:p>
        </w:tc>
        <w:tc>
          <w:tcPr>
            <w:tcW w:w="738" w:type="pct"/>
            <w:vAlign w:val="center"/>
          </w:tcPr>
          <w:p w14:paraId="3D7A3135"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40 (51,9%)</w:t>
            </w:r>
          </w:p>
          <w:p w14:paraId="13BE80CB"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[40,3, 63,5]</w:t>
            </w:r>
          </w:p>
        </w:tc>
      </w:tr>
      <w:tr w:rsidR="000C7302" w:rsidRPr="00E75D6F" w14:paraId="370D53C5" w14:textId="77777777" w:rsidTr="000C7302">
        <w:trPr>
          <w:tblHeader/>
          <w:jc w:val="center"/>
        </w:trPr>
        <w:tc>
          <w:tcPr>
            <w:tcW w:w="570" w:type="pct"/>
          </w:tcPr>
          <w:p w14:paraId="07210BBA" w14:textId="77777777" w:rsidR="000C7302" w:rsidRPr="009B712A" w:rsidRDefault="000C7302" w:rsidP="005436C8">
            <w:pPr>
              <w:keepNext/>
              <w:keepLines/>
              <w:tabs>
                <w:tab w:val="left" w:pos="284"/>
              </w:tabs>
              <w:spacing w:before="20" w:after="20"/>
              <w:jc w:val="both"/>
              <w:rPr>
                <w:color w:val="000000"/>
                <w:sz w:val="18"/>
                <w:szCs w:val="18"/>
                <w:lang w:val="sr-Latn-ME"/>
              </w:rPr>
            </w:pPr>
            <w:r w:rsidRPr="009B712A">
              <w:rPr>
                <w:color w:val="000000"/>
                <w:sz w:val="18"/>
                <w:szCs w:val="18"/>
                <w:lang w:val="sr-Latn-ME"/>
              </w:rPr>
              <w:t>Klinički odgovor</w:t>
            </w:r>
            <w:r w:rsidRPr="009B712A">
              <w:rPr>
                <w:color w:val="000000"/>
                <w:sz w:val="18"/>
                <w:szCs w:val="18"/>
                <w:vertAlign w:val="superscript"/>
                <w:lang w:val="sr-Latn-ME"/>
              </w:rPr>
              <w:t>5</w:t>
            </w:r>
          </w:p>
        </w:tc>
        <w:tc>
          <w:tcPr>
            <w:tcW w:w="532" w:type="pct"/>
            <w:vAlign w:val="center"/>
          </w:tcPr>
          <w:p w14:paraId="19CB8503"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79 (79,8%)</w:t>
            </w:r>
          </w:p>
        </w:tc>
        <w:tc>
          <w:tcPr>
            <w:tcW w:w="605" w:type="pct"/>
            <w:vAlign w:val="center"/>
          </w:tcPr>
          <w:p w14:paraId="2FBA7E89"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89 (88,1%)</w:t>
            </w:r>
          </w:p>
        </w:tc>
        <w:tc>
          <w:tcPr>
            <w:tcW w:w="606" w:type="pct"/>
            <w:vAlign w:val="center"/>
          </w:tcPr>
          <w:p w14:paraId="20951B53"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69 (67,6%)</w:t>
            </w:r>
          </w:p>
        </w:tc>
        <w:tc>
          <w:tcPr>
            <w:tcW w:w="591" w:type="pct"/>
            <w:vAlign w:val="center"/>
          </w:tcPr>
          <w:p w14:paraId="1345F28E"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65 (71,4%)</w:t>
            </w:r>
          </w:p>
        </w:tc>
        <w:tc>
          <w:tcPr>
            <w:tcW w:w="686" w:type="pct"/>
            <w:vAlign w:val="center"/>
          </w:tcPr>
          <w:p w14:paraId="7D76FC49"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67 (91,8%)</w:t>
            </w:r>
          </w:p>
        </w:tc>
        <w:tc>
          <w:tcPr>
            <w:tcW w:w="672" w:type="pct"/>
            <w:vAlign w:val="center"/>
          </w:tcPr>
          <w:p w14:paraId="58B98064"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71 (94,7%)</w:t>
            </w:r>
          </w:p>
        </w:tc>
        <w:tc>
          <w:tcPr>
            <w:tcW w:w="738" w:type="pct"/>
            <w:vAlign w:val="center"/>
          </w:tcPr>
          <w:p w14:paraId="5F7F708A" w14:textId="77777777" w:rsidR="000C7302" w:rsidRPr="009B712A" w:rsidRDefault="000C7302" w:rsidP="005436C8">
            <w:pPr>
              <w:keepNext/>
              <w:keepLines/>
              <w:tabs>
                <w:tab w:val="left" w:pos="284"/>
              </w:tabs>
              <w:spacing w:before="20" w:after="20"/>
              <w:jc w:val="center"/>
              <w:rPr>
                <w:color w:val="000000"/>
                <w:sz w:val="18"/>
                <w:szCs w:val="18"/>
                <w:lang w:val="sr-Latn-ME"/>
              </w:rPr>
            </w:pPr>
            <w:r w:rsidRPr="009B712A">
              <w:rPr>
                <w:color w:val="000000"/>
                <w:sz w:val="18"/>
                <w:szCs w:val="18"/>
                <w:lang w:val="sr-Latn-ME"/>
              </w:rPr>
              <w:t>69 (89,6%)</w:t>
            </w:r>
          </w:p>
        </w:tc>
      </w:tr>
    </w:tbl>
    <w:p w14:paraId="15538D27" w14:textId="77777777" w:rsidR="000C7302" w:rsidRPr="005436C8" w:rsidRDefault="000C7302" w:rsidP="005436C8">
      <w:pPr>
        <w:keepLines/>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FEC: 5-fluorouracil, epirubicin, ciklofosfamid; TCH: docetaksel, karboplatin i trastuzumab, CMH: </w:t>
      </w:r>
      <w:r w:rsidRPr="005436C8">
        <w:rPr>
          <w:i/>
          <w:color w:val="000000"/>
          <w:sz w:val="22"/>
          <w:szCs w:val="22"/>
          <w:lang w:val="sr-Latn-ME"/>
        </w:rPr>
        <w:t>Cochran–Mantel–Haenszel</w:t>
      </w:r>
    </w:p>
    <w:p w14:paraId="415AC9D0" w14:textId="77777777" w:rsidR="000C7302" w:rsidRPr="005436C8" w:rsidRDefault="000C7302" w:rsidP="005436C8">
      <w:pPr>
        <w:keepLines/>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1. 95% CI za binomni test na jednom uzorku </w:t>
      </w:r>
      <w:r w:rsidR="00FF329E" w:rsidRPr="005436C8">
        <w:rPr>
          <w:color w:val="000000"/>
          <w:sz w:val="22"/>
          <w:szCs w:val="22"/>
          <w:lang w:val="sr-Latn-ME"/>
        </w:rPr>
        <w:t>primjenom</w:t>
      </w:r>
      <w:r w:rsidRPr="005436C8">
        <w:rPr>
          <w:color w:val="000000"/>
          <w:sz w:val="22"/>
          <w:szCs w:val="22"/>
          <w:lang w:val="sr-Latn-ME"/>
        </w:rPr>
        <w:t xml:space="preserve"> metode </w:t>
      </w:r>
      <w:r w:rsidRPr="005436C8">
        <w:rPr>
          <w:i/>
          <w:color w:val="000000"/>
          <w:sz w:val="22"/>
          <w:szCs w:val="22"/>
          <w:lang w:val="sr-Latn-ME"/>
        </w:rPr>
        <w:t>Pearson-Clopper</w:t>
      </w:r>
      <w:r w:rsidRPr="005436C8">
        <w:rPr>
          <w:color w:val="000000"/>
          <w:sz w:val="22"/>
          <w:szCs w:val="22"/>
          <w:lang w:val="sr-Latn-ME"/>
        </w:rPr>
        <w:t>.</w:t>
      </w:r>
    </w:p>
    <w:p w14:paraId="52FD16B0" w14:textId="77777777" w:rsidR="000C7302" w:rsidRPr="005436C8" w:rsidRDefault="000C7302" w:rsidP="005436C8">
      <w:pPr>
        <w:keepLines/>
        <w:tabs>
          <w:tab w:val="left" w:pos="284"/>
        </w:tabs>
        <w:autoSpaceDE w:val="0"/>
        <w:autoSpaceDN w:val="0"/>
        <w:adjustRightInd w:val="0"/>
        <w:jc w:val="both"/>
        <w:rPr>
          <w:color w:val="000000"/>
          <w:sz w:val="22"/>
          <w:szCs w:val="22"/>
          <w:lang w:val="sr-Latn-ME"/>
        </w:rPr>
      </w:pPr>
      <w:r w:rsidRPr="005436C8">
        <w:rPr>
          <w:color w:val="000000"/>
          <w:sz w:val="22"/>
          <w:szCs w:val="22"/>
          <w:lang w:val="sr-Latn-ME"/>
        </w:rPr>
        <w:t>2. Terapija pertuzumab + trastuzumab + docetaksel i pertuzumab + trastuzumab poredi se sa terapijom trastuzumab + docetaksel</w:t>
      </w:r>
      <w:r w:rsidR="00317711" w:rsidRPr="005436C8">
        <w:rPr>
          <w:color w:val="000000"/>
          <w:sz w:val="22"/>
          <w:szCs w:val="22"/>
          <w:lang w:val="sr-Latn-ME"/>
        </w:rPr>
        <w:t>,</w:t>
      </w:r>
      <w:r w:rsidRPr="005436C8">
        <w:rPr>
          <w:color w:val="000000"/>
          <w:sz w:val="22"/>
          <w:szCs w:val="22"/>
          <w:lang w:val="sr-Latn-ME"/>
        </w:rPr>
        <w:t xml:space="preserve"> dok se terapija pertuzumab + docetaksel poredi sa terapijom pertuzumab + trastuzumab + docetaksel.</w:t>
      </w:r>
    </w:p>
    <w:p w14:paraId="525C4DE1" w14:textId="77777777" w:rsidR="000C7302" w:rsidRPr="005436C8" w:rsidRDefault="000C7302" w:rsidP="005436C8">
      <w:pPr>
        <w:keepLines/>
        <w:tabs>
          <w:tab w:val="left" w:pos="284"/>
        </w:tabs>
        <w:autoSpaceDE w:val="0"/>
        <w:autoSpaceDN w:val="0"/>
        <w:adjustRightInd w:val="0"/>
        <w:jc w:val="both"/>
        <w:rPr>
          <w:color w:val="000000"/>
          <w:sz w:val="22"/>
          <w:szCs w:val="22"/>
          <w:lang w:val="sr-Latn-ME"/>
        </w:rPr>
      </w:pPr>
      <w:r w:rsidRPr="005436C8">
        <w:rPr>
          <w:color w:val="000000"/>
          <w:sz w:val="22"/>
          <w:szCs w:val="22"/>
          <w:lang w:val="sr-Latn-ME"/>
        </w:rPr>
        <w:lastRenderedPageBreak/>
        <w:t>3. Približno 95% CI za razliku između dv</w:t>
      </w:r>
      <w:r w:rsidR="005C1ED5" w:rsidRPr="005436C8">
        <w:rPr>
          <w:color w:val="000000"/>
          <w:sz w:val="22"/>
          <w:szCs w:val="22"/>
          <w:lang w:val="sr-Latn-ME"/>
        </w:rPr>
        <w:t>ij</w:t>
      </w:r>
      <w:r w:rsidRPr="005436C8">
        <w:rPr>
          <w:color w:val="000000"/>
          <w:sz w:val="22"/>
          <w:szCs w:val="22"/>
          <w:lang w:val="sr-Latn-ME"/>
        </w:rPr>
        <w:t xml:space="preserve">e stopa odgovora </w:t>
      </w:r>
      <w:r w:rsidR="00FF329E" w:rsidRPr="005436C8">
        <w:rPr>
          <w:color w:val="000000"/>
          <w:sz w:val="22"/>
          <w:szCs w:val="22"/>
          <w:lang w:val="sr-Latn-ME"/>
        </w:rPr>
        <w:t>primjenom</w:t>
      </w:r>
      <w:r w:rsidRPr="005436C8">
        <w:rPr>
          <w:color w:val="000000"/>
          <w:sz w:val="22"/>
          <w:szCs w:val="22"/>
          <w:lang w:val="sr-Latn-ME"/>
        </w:rPr>
        <w:t xml:space="preserve"> metode </w:t>
      </w:r>
      <w:r w:rsidRPr="005436C8">
        <w:rPr>
          <w:i/>
          <w:color w:val="000000"/>
          <w:sz w:val="22"/>
          <w:szCs w:val="22"/>
          <w:lang w:val="sr-Latn-ME"/>
        </w:rPr>
        <w:t>Hauck-Anderson</w:t>
      </w:r>
      <w:r w:rsidRPr="005436C8">
        <w:rPr>
          <w:color w:val="000000"/>
          <w:sz w:val="22"/>
          <w:szCs w:val="22"/>
          <w:lang w:val="sr-Latn-ME"/>
        </w:rPr>
        <w:t>.</w:t>
      </w:r>
    </w:p>
    <w:p w14:paraId="3A2498D0" w14:textId="77777777" w:rsidR="000C7302" w:rsidRPr="005436C8" w:rsidRDefault="000C7302" w:rsidP="005436C8">
      <w:pPr>
        <w:keepLines/>
        <w:tabs>
          <w:tab w:val="left" w:pos="284"/>
        </w:tabs>
        <w:jc w:val="both"/>
        <w:rPr>
          <w:strike/>
          <w:color w:val="000000"/>
          <w:sz w:val="22"/>
          <w:szCs w:val="22"/>
          <w:lang w:val="sr-Latn-ME"/>
        </w:rPr>
      </w:pPr>
      <w:r w:rsidRPr="005436C8">
        <w:rPr>
          <w:color w:val="000000"/>
          <w:sz w:val="22"/>
          <w:szCs w:val="22"/>
          <w:lang w:val="sr-Latn-ME"/>
        </w:rPr>
        <w:t>4. p-</w:t>
      </w:r>
      <w:r w:rsidR="000A2EA9" w:rsidRPr="005436C8">
        <w:rPr>
          <w:color w:val="000000"/>
          <w:sz w:val="22"/>
          <w:szCs w:val="22"/>
          <w:lang w:val="sr-Latn-ME"/>
        </w:rPr>
        <w:t>vrijednost</w:t>
      </w:r>
      <w:r w:rsidRPr="005436C8">
        <w:rPr>
          <w:color w:val="000000"/>
          <w:sz w:val="22"/>
          <w:szCs w:val="22"/>
          <w:lang w:val="sr-Latn-ME"/>
        </w:rPr>
        <w:t xml:space="preserve"> iz </w:t>
      </w:r>
      <w:r w:rsidRPr="005436C8">
        <w:rPr>
          <w:i/>
          <w:color w:val="000000"/>
          <w:sz w:val="22"/>
          <w:szCs w:val="22"/>
          <w:lang w:val="sr-Latn-ME"/>
        </w:rPr>
        <w:t>Cochran-Mantel-Haenszel</w:t>
      </w:r>
      <w:r w:rsidR="00317711" w:rsidRPr="005436C8">
        <w:rPr>
          <w:color w:val="000000"/>
          <w:sz w:val="22"/>
          <w:szCs w:val="22"/>
          <w:lang w:val="sr-Latn-ME"/>
        </w:rPr>
        <w:t>-</w:t>
      </w:r>
      <w:r w:rsidRPr="005436C8">
        <w:rPr>
          <w:color w:val="000000"/>
          <w:sz w:val="22"/>
          <w:szCs w:val="22"/>
          <w:lang w:val="sr-Latn-ME"/>
        </w:rPr>
        <w:t>ovog testa uz Simesovo prilagođavanje za multiplicitet.</w:t>
      </w:r>
    </w:p>
    <w:p w14:paraId="290748DE"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5. Klinički odgovor predstavlja pacijentkinje sa najboljim ukupnim kompletnim ili d</w:t>
      </w:r>
      <w:r w:rsidR="00317711" w:rsidRPr="005436C8">
        <w:rPr>
          <w:color w:val="000000"/>
          <w:sz w:val="22"/>
          <w:szCs w:val="22"/>
          <w:lang w:val="sr-Latn-ME"/>
        </w:rPr>
        <w:t>j</w:t>
      </w:r>
      <w:r w:rsidRPr="005436C8">
        <w:rPr>
          <w:color w:val="000000"/>
          <w:sz w:val="22"/>
          <w:szCs w:val="22"/>
          <w:lang w:val="sr-Latn-ME"/>
        </w:rPr>
        <w:t>elimičnim odgovorom tokom neoadjuvantnog perioda (u primarnoj leziji u dojci).</w:t>
      </w:r>
    </w:p>
    <w:p w14:paraId="1783364E" w14:textId="77777777" w:rsidR="000C7302" w:rsidRPr="005436C8" w:rsidRDefault="000C7302" w:rsidP="005436C8">
      <w:pPr>
        <w:tabs>
          <w:tab w:val="left" w:pos="284"/>
        </w:tabs>
        <w:jc w:val="both"/>
        <w:rPr>
          <w:sz w:val="22"/>
          <w:szCs w:val="22"/>
          <w:lang w:val="sr-Latn-ME"/>
        </w:rPr>
      </w:pPr>
    </w:p>
    <w:p w14:paraId="1FC71705" w14:textId="77777777" w:rsidR="000C7302" w:rsidRPr="005436C8" w:rsidRDefault="000C7302" w:rsidP="005436C8">
      <w:pPr>
        <w:keepNext/>
        <w:keepLines/>
        <w:tabs>
          <w:tab w:val="left" w:pos="284"/>
        </w:tabs>
        <w:jc w:val="both"/>
        <w:rPr>
          <w:b/>
          <w:color w:val="000000"/>
          <w:sz w:val="22"/>
          <w:szCs w:val="22"/>
          <w:lang w:val="sr-Latn-ME"/>
        </w:rPr>
      </w:pPr>
      <w:r w:rsidRPr="005436C8">
        <w:rPr>
          <w:b/>
          <w:bCs/>
          <w:color w:val="000000"/>
          <w:sz w:val="22"/>
          <w:szCs w:val="22"/>
          <w:lang w:val="sr-Latn-ME"/>
        </w:rPr>
        <w:t>BERENICE (WO29217)</w:t>
      </w:r>
    </w:p>
    <w:p w14:paraId="33CAD5A3" w14:textId="77777777" w:rsidR="000C7302" w:rsidRPr="005436C8" w:rsidRDefault="000C7302" w:rsidP="005436C8">
      <w:pPr>
        <w:keepNext/>
        <w:keepLines/>
        <w:tabs>
          <w:tab w:val="left" w:pos="284"/>
        </w:tabs>
        <w:jc w:val="both"/>
        <w:rPr>
          <w:b/>
          <w:color w:val="000000"/>
          <w:sz w:val="22"/>
          <w:szCs w:val="22"/>
          <w:lang w:val="sr-Latn-ME"/>
        </w:rPr>
      </w:pPr>
    </w:p>
    <w:p w14:paraId="0772983F"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BERENICE je nerandomizovano, otvoreno, multicentrično, multinacionalno ispitivanje faze II sprovedeno </w:t>
      </w:r>
      <w:r w:rsidR="00317711" w:rsidRPr="005436C8">
        <w:rPr>
          <w:color w:val="000000"/>
          <w:sz w:val="22"/>
          <w:szCs w:val="22"/>
          <w:lang w:val="sr-Latn-ME"/>
        </w:rPr>
        <w:t xml:space="preserve">sa </w:t>
      </w:r>
      <w:r w:rsidRPr="005436C8">
        <w:rPr>
          <w:color w:val="000000"/>
          <w:sz w:val="22"/>
          <w:szCs w:val="22"/>
          <w:lang w:val="sr-Latn-ME"/>
        </w:rPr>
        <w:t xml:space="preserve">401 pacijentom sa HER2 pozitivnim lokalno uznapredovalim, inflamatornim ili ranim karcinomom dojke (sa prečnikom primarnog tumora od </w:t>
      </w:r>
      <w:r w:rsidRPr="005436C8">
        <w:rPr>
          <w:color w:val="000000"/>
          <w:sz w:val="22"/>
          <w:szCs w:val="22"/>
          <w:lang w:val="sr-Latn-ME"/>
        </w:rPr>
        <w:sym w:font="Symbol" w:char="F03E"/>
      </w:r>
      <w:r w:rsidRPr="005436C8">
        <w:rPr>
          <w:color w:val="000000"/>
          <w:sz w:val="22"/>
          <w:szCs w:val="22"/>
          <w:lang w:val="sr-Latn-ME"/>
        </w:rPr>
        <w:t> 2 cm ili zahvaćenim limfnim čvorovima).</w:t>
      </w:r>
    </w:p>
    <w:p w14:paraId="52476E0B" w14:textId="77777777" w:rsidR="000C7302" w:rsidRPr="005436C8" w:rsidRDefault="000C7302" w:rsidP="005436C8">
      <w:pPr>
        <w:tabs>
          <w:tab w:val="left" w:pos="284"/>
        </w:tabs>
        <w:jc w:val="both"/>
        <w:rPr>
          <w:color w:val="000000"/>
          <w:sz w:val="22"/>
          <w:szCs w:val="22"/>
          <w:lang w:val="sr-Latn-ME"/>
        </w:rPr>
      </w:pPr>
    </w:p>
    <w:p w14:paraId="19558EF0"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Ispitivanje BERENICE obuhvatilo je dv</w:t>
      </w:r>
      <w:r w:rsidR="00FE754C" w:rsidRPr="005436C8">
        <w:rPr>
          <w:color w:val="000000"/>
          <w:sz w:val="22"/>
          <w:szCs w:val="22"/>
          <w:lang w:val="sr-Latn-ME"/>
        </w:rPr>
        <w:t>ij</w:t>
      </w:r>
      <w:r w:rsidRPr="005436C8">
        <w:rPr>
          <w:color w:val="000000"/>
          <w:sz w:val="22"/>
          <w:szCs w:val="22"/>
          <w:lang w:val="sr-Latn-ME"/>
        </w:rPr>
        <w:t>e paralelne grupe pacijenata. Pacijenti smatrani podobnim za neoadjuvantnu terapiju trastuzumabom u kombinaciji sa hemoterapijom na bazi antraciklina/taksana bili su raspoređeni za primanje jednog od sl</w:t>
      </w:r>
      <w:r w:rsidR="005C1ED5" w:rsidRPr="005436C8">
        <w:rPr>
          <w:color w:val="000000"/>
          <w:sz w:val="22"/>
          <w:szCs w:val="22"/>
          <w:lang w:val="sr-Latn-ME"/>
        </w:rPr>
        <w:t>j</w:t>
      </w:r>
      <w:r w:rsidRPr="005436C8">
        <w:rPr>
          <w:color w:val="000000"/>
          <w:sz w:val="22"/>
          <w:szCs w:val="22"/>
          <w:lang w:val="sr-Latn-ME"/>
        </w:rPr>
        <w:t>edeća dva režima pr</w:t>
      </w:r>
      <w:r w:rsidR="005C1ED5" w:rsidRPr="005436C8">
        <w:rPr>
          <w:color w:val="000000"/>
          <w:sz w:val="22"/>
          <w:szCs w:val="22"/>
          <w:lang w:val="sr-Latn-ME"/>
        </w:rPr>
        <w:t>ij</w:t>
      </w:r>
      <w:r w:rsidRPr="005436C8">
        <w:rPr>
          <w:color w:val="000000"/>
          <w:sz w:val="22"/>
          <w:szCs w:val="22"/>
          <w:lang w:val="sr-Latn-ME"/>
        </w:rPr>
        <w:t xml:space="preserve">e operacije: </w:t>
      </w:r>
    </w:p>
    <w:p w14:paraId="02595918" w14:textId="77777777" w:rsidR="000C7302" w:rsidRPr="005436C8" w:rsidRDefault="000C7302" w:rsidP="005436C8">
      <w:pPr>
        <w:tabs>
          <w:tab w:val="left" w:pos="284"/>
        </w:tabs>
        <w:jc w:val="both"/>
        <w:rPr>
          <w:color w:val="000000"/>
          <w:sz w:val="22"/>
          <w:szCs w:val="22"/>
          <w:lang w:val="sr-Latn-ME"/>
        </w:rPr>
      </w:pPr>
    </w:p>
    <w:p w14:paraId="38BBA145"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Kohorta A – 4 ciklusa zgusnute doze doksorubicina i ciklofosfamida</w:t>
      </w:r>
      <w:r w:rsidR="00B67F4D" w:rsidRPr="005436C8">
        <w:rPr>
          <w:color w:val="000000"/>
          <w:sz w:val="22"/>
          <w:szCs w:val="22"/>
          <w:lang w:val="sr-Latn-ME"/>
        </w:rPr>
        <w:t xml:space="preserve"> svake dvije nedjelje</w:t>
      </w:r>
      <w:r w:rsidRPr="005436C8">
        <w:rPr>
          <w:color w:val="000000"/>
          <w:sz w:val="22"/>
          <w:szCs w:val="22"/>
          <w:lang w:val="sr-Latn-ME"/>
        </w:rPr>
        <w:t>, a onda 4 ciklusa pertuzumaba u kombinaciji sa trastuzumabom i paklitakselom.</w:t>
      </w:r>
    </w:p>
    <w:p w14:paraId="1126ACB6"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 xml:space="preserve">Kohorta B – 4 ciklusa FEC, a onda 4 ciklusa pertuzumaba u kombinaciji sa trastuzumabom i docetakselom. </w:t>
      </w:r>
    </w:p>
    <w:p w14:paraId="13BC8807" w14:textId="77777777" w:rsidR="000C7302" w:rsidRPr="005436C8" w:rsidRDefault="000C7302" w:rsidP="005436C8">
      <w:pPr>
        <w:tabs>
          <w:tab w:val="left" w:pos="284"/>
        </w:tabs>
        <w:jc w:val="both"/>
        <w:rPr>
          <w:color w:val="000000"/>
          <w:sz w:val="22"/>
          <w:szCs w:val="22"/>
          <w:lang w:val="sr-Latn-ME"/>
        </w:rPr>
      </w:pPr>
    </w:p>
    <w:p w14:paraId="42BB3A14"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Nakon operacije</w:t>
      </w:r>
      <w:r w:rsidR="00B67F4D" w:rsidRPr="005436C8">
        <w:rPr>
          <w:color w:val="000000"/>
          <w:sz w:val="22"/>
          <w:szCs w:val="22"/>
          <w:lang w:val="sr-Latn-ME"/>
        </w:rPr>
        <w:t>,</w:t>
      </w:r>
      <w:r w:rsidRPr="005436C8">
        <w:rPr>
          <w:color w:val="000000"/>
          <w:sz w:val="22"/>
          <w:szCs w:val="22"/>
          <w:lang w:val="sr-Latn-ME"/>
        </w:rPr>
        <w:t xml:space="preserve"> svi pacijenti su primali pertuzumab i trastuzumab intravenski svake 3 ned</w:t>
      </w:r>
      <w:r w:rsidR="009F2B85" w:rsidRPr="005436C8">
        <w:rPr>
          <w:color w:val="000000"/>
          <w:sz w:val="22"/>
          <w:szCs w:val="22"/>
          <w:lang w:val="sr-Latn-ME"/>
        </w:rPr>
        <w:t>j</w:t>
      </w:r>
      <w:r w:rsidRPr="005436C8">
        <w:rPr>
          <w:color w:val="000000"/>
          <w:sz w:val="22"/>
          <w:szCs w:val="22"/>
          <w:lang w:val="sr-Latn-ME"/>
        </w:rPr>
        <w:t>elje do završene 1 godine terapije.</w:t>
      </w:r>
    </w:p>
    <w:p w14:paraId="23AFDA53" w14:textId="77777777" w:rsidR="000C7302" w:rsidRPr="005436C8" w:rsidRDefault="000C7302" w:rsidP="005436C8">
      <w:pPr>
        <w:tabs>
          <w:tab w:val="left" w:pos="284"/>
        </w:tabs>
        <w:jc w:val="both"/>
        <w:rPr>
          <w:color w:val="000000"/>
          <w:sz w:val="22"/>
          <w:szCs w:val="22"/>
          <w:lang w:val="sr-Latn-ME"/>
        </w:rPr>
      </w:pPr>
    </w:p>
    <w:p w14:paraId="2C575973" w14:textId="0E96AD0C"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Primarna krajnja tačka ispitivanja BERENICE bila je </w:t>
      </w:r>
      <w:r w:rsidR="009F2B85" w:rsidRPr="005436C8">
        <w:rPr>
          <w:color w:val="000000"/>
          <w:sz w:val="22"/>
          <w:szCs w:val="22"/>
          <w:lang w:val="sr-Latn-ME"/>
        </w:rPr>
        <w:t xml:space="preserve">srčana </w:t>
      </w:r>
      <w:r w:rsidR="00385576" w:rsidRPr="005436C8">
        <w:rPr>
          <w:color w:val="000000"/>
          <w:sz w:val="22"/>
          <w:szCs w:val="22"/>
          <w:lang w:val="sr-Latn-ME"/>
        </w:rPr>
        <w:t>bezbjednost</w:t>
      </w:r>
      <w:r w:rsidRPr="005436C8">
        <w:rPr>
          <w:color w:val="000000"/>
          <w:sz w:val="22"/>
          <w:szCs w:val="22"/>
          <w:lang w:val="sr-Latn-ME"/>
        </w:rPr>
        <w:t xml:space="preserve">  u neoadjuvantnom periodu ispitivanja. Primarna krajnja tačka </w:t>
      </w:r>
      <w:r w:rsidR="009F2B85" w:rsidRPr="005436C8">
        <w:rPr>
          <w:color w:val="000000"/>
          <w:sz w:val="22"/>
          <w:szCs w:val="22"/>
          <w:lang w:val="sr-Latn-ME"/>
        </w:rPr>
        <w:t xml:space="preserve">srčana </w:t>
      </w:r>
      <w:r w:rsidR="00385576" w:rsidRPr="005436C8">
        <w:rPr>
          <w:color w:val="000000"/>
          <w:sz w:val="22"/>
          <w:szCs w:val="22"/>
          <w:lang w:val="sr-Latn-ME"/>
        </w:rPr>
        <w:t>bezbjednost</w:t>
      </w:r>
      <w:r w:rsidRPr="005436C8">
        <w:rPr>
          <w:color w:val="000000"/>
          <w:sz w:val="22"/>
          <w:szCs w:val="22"/>
          <w:lang w:val="sr-Latn-ME"/>
        </w:rPr>
        <w:t xml:space="preserve">, tj. incidenca LVD NYHA klase III/IV i smanjenja LVEF odgovarala je prethodno prikupljenim podacima u neoadjuvantnom okruženju (pogledati </w:t>
      </w:r>
      <w:r w:rsidR="009B712A">
        <w:rPr>
          <w:color w:val="000000"/>
          <w:sz w:val="22"/>
          <w:szCs w:val="22"/>
          <w:lang w:val="sr-Latn-ME"/>
        </w:rPr>
        <w:t>djelove</w:t>
      </w:r>
      <w:r w:rsidRPr="005436C8">
        <w:rPr>
          <w:color w:val="000000"/>
          <w:sz w:val="22"/>
          <w:szCs w:val="22"/>
          <w:lang w:val="sr-Latn-ME"/>
        </w:rPr>
        <w:t xml:space="preserve"> 4.4 i 4.8).</w:t>
      </w:r>
    </w:p>
    <w:p w14:paraId="2E0F6C91" w14:textId="77777777" w:rsidR="000C7302" w:rsidRPr="005436C8" w:rsidRDefault="000C7302" w:rsidP="005436C8">
      <w:pPr>
        <w:tabs>
          <w:tab w:val="left" w:pos="284"/>
        </w:tabs>
        <w:jc w:val="both"/>
        <w:rPr>
          <w:color w:val="000000"/>
          <w:sz w:val="22"/>
          <w:szCs w:val="22"/>
          <w:lang w:val="sr-Latn-ME"/>
        </w:rPr>
      </w:pPr>
    </w:p>
    <w:p w14:paraId="20C4BDB6"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Adjuvantna terapija</w:t>
      </w:r>
    </w:p>
    <w:p w14:paraId="36AEAA16" w14:textId="77777777" w:rsidR="000C7302" w:rsidRPr="005436C8" w:rsidRDefault="000C7302" w:rsidP="005436C8">
      <w:pPr>
        <w:tabs>
          <w:tab w:val="left" w:pos="284"/>
        </w:tabs>
        <w:jc w:val="both"/>
        <w:rPr>
          <w:i/>
          <w:noProof/>
          <w:color w:val="000000"/>
          <w:sz w:val="22"/>
          <w:szCs w:val="22"/>
          <w:lang w:val="sr-Latn-ME"/>
        </w:rPr>
      </w:pPr>
    </w:p>
    <w:p w14:paraId="65BFE5F5"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U adjuvantnim okolnostima, na osnovu podataka iz studije APHINITY, pacijenti sa HER2 pozitivnim ranim karcinomom dojke u visokom riziku od recidiva definisani su kao oni sa bolešću sa pozitivnim limfnim čvorovima ili negativnim hormonskim receptorima.</w:t>
      </w:r>
    </w:p>
    <w:p w14:paraId="0DE5CB4A" w14:textId="77777777" w:rsidR="000C7302" w:rsidRPr="005436C8" w:rsidRDefault="000C7302" w:rsidP="005436C8">
      <w:pPr>
        <w:tabs>
          <w:tab w:val="left" w:pos="284"/>
        </w:tabs>
        <w:jc w:val="both"/>
        <w:rPr>
          <w:b/>
          <w:noProof/>
          <w:color w:val="000000"/>
          <w:sz w:val="22"/>
          <w:szCs w:val="22"/>
          <w:lang w:val="sr-Latn-ME"/>
        </w:rPr>
      </w:pPr>
    </w:p>
    <w:p w14:paraId="43B47CD8" w14:textId="77777777" w:rsidR="000C7302" w:rsidRPr="005436C8" w:rsidRDefault="000C7302" w:rsidP="005436C8">
      <w:pPr>
        <w:tabs>
          <w:tab w:val="left" w:pos="284"/>
        </w:tabs>
        <w:jc w:val="both"/>
        <w:rPr>
          <w:b/>
          <w:noProof/>
          <w:color w:val="000000"/>
          <w:sz w:val="22"/>
          <w:szCs w:val="22"/>
          <w:lang w:val="sr-Latn-ME"/>
        </w:rPr>
      </w:pPr>
      <w:r w:rsidRPr="005436C8">
        <w:rPr>
          <w:b/>
          <w:bCs/>
          <w:noProof/>
          <w:color w:val="000000"/>
          <w:sz w:val="22"/>
          <w:szCs w:val="22"/>
          <w:lang w:val="sr-Latn-ME"/>
        </w:rPr>
        <w:t xml:space="preserve">APHINITY (BO25126) </w:t>
      </w:r>
    </w:p>
    <w:p w14:paraId="7E2655B0" w14:textId="77777777" w:rsidR="000C7302" w:rsidRPr="005436C8" w:rsidRDefault="000C7302" w:rsidP="005436C8">
      <w:pPr>
        <w:tabs>
          <w:tab w:val="left" w:pos="284"/>
        </w:tabs>
        <w:jc w:val="both"/>
        <w:rPr>
          <w:b/>
          <w:noProof/>
          <w:color w:val="000000"/>
          <w:sz w:val="22"/>
          <w:szCs w:val="22"/>
          <w:lang w:val="sr-Latn-ME"/>
        </w:rPr>
      </w:pPr>
    </w:p>
    <w:p w14:paraId="1FB23E5F"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APHINITY je multicentrično, randomizovano, dvostruko sl</w:t>
      </w:r>
      <w:r w:rsidR="009F2B85" w:rsidRPr="005436C8">
        <w:rPr>
          <w:color w:val="000000"/>
          <w:sz w:val="22"/>
          <w:szCs w:val="22"/>
          <w:lang w:val="sr-Latn-ME"/>
        </w:rPr>
        <w:t>ij</w:t>
      </w:r>
      <w:r w:rsidRPr="005436C8">
        <w:rPr>
          <w:color w:val="000000"/>
          <w:sz w:val="22"/>
          <w:szCs w:val="22"/>
          <w:lang w:val="sr-Latn-ME"/>
        </w:rPr>
        <w:t>epo, placebom kontrolisano ispitivanje faze III sprovedeno na 4804 pacijenta sa HER2 pozitivnim ranim karcinomom dojke kojima je primarni tumor uklonjen ekscizijom pr</w:t>
      </w:r>
      <w:r w:rsidR="009F2B85" w:rsidRPr="005436C8">
        <w:rPr>
          <w:color w:val="000000"/>
          <w:sz w:val="22"/>
          <w:szCs w:val="22"/>
          <w:lang w:val="sr-Latn-ME"/>
        </w:rPr>
        <w:t>ij</w:t>
      </w:r>
      <w:r w:rsidRPr="005436C8">
        <w:rPr>
          <w:color w:val="000000"/>
          <w:sz w:val="22"/>
          <w:szCs w:val="22"/>
          <w:lang w:val="sr-Latn-ME"/>
        </w:rPr>
        <w:t>e randomizacije. Pacijenti su onda randomizovani da primaju pertuzumab ili placebo u kombinaciji sa adjuvantnim trastuzumabom i hemoterapijom. Istraživači su za svakog pacijenta pojedinačno odabrali jedan od sl</w:t>
      </w:r>
      <w:r w:rsidR="009F2B85" w:rsidRPr="005436C8">
        <w:rPr>
          <w:color w:val="000000"/>
          <w:sz w:val="22"/>
          <w:szCs w:val="22"/>
          <w:lang w:val="sr-Latn-ME"/>
        </w:rPr>
        <w:t>j</w:t>
      </w:r>
      <w:r w:rsidRPr="005436C8">
        <w:rPr>
          <w:color w:val="000000"/>
          <w:sz w:val="22"/>
          <w:szCs w:val="22"/>
          <w:lang w:val="sr-Latn-ME"/>
        </w:rPr>
        <w:t xml:space="preserve">edećih hemoterapijskih režima na bazi antraciklina ili nekog drugog </w:t>
      </w:r>
      <w:r w:rsidR="00166973" w:rsidRPr="005436C8">
        <w:rPr>
          <w:color w:val="000000"/>
          <w:sz w:val="22"/>
          <w:szCs w:val="22"/>
          <w:lang w:val="sr-Latn-ME"/>
        </w:rPr>
        <w:t>lijek</w:t>
      </w:r>
      <w:r w:rsidRPr="005436C8">
        <w:rPr>
          <w:color w:val="000000"/>
          <w:sz w:val="22"/>
          <w:szCs w:val="22"/>
          <w:lang w:val="sr-Latn-ME"/>
        </w:rPr>
        <w:t>a:</w:t>
      </w:r>
    </w:p>
    <w:p w14:paraId="140F78B0" w14:textId="77777777" w:rsidR="000C7302" w:rsidRPr="005436C8" w:rsidRDefault="000C7302" w:rsidP="005436C8">
      <w:pPr>
        <w:tabs>
          <w:tab w:val="left" w:pos="284"/>
        </w:tabs>
        <w:jc w:val="both"/>
        <w:rPr>
          <w:color w:val="000000"/>
          <w:sz w:val="22"/>
          <w:szCs w:val="22"/>
          <w:lang w:val="sr-Latn-ME"/>
        </w:rPr>
      </w:pPr>
    </w:p>
    <w:p w14:paraId="3095B7ED"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3 ili 4 ciklusa FEC ili 5-fluorouracila, doksorubicina i ciklofosfamida (FAC), a nakon toga 3 ili 4 ciklusa docetaksela ili 12 ciklusa paklitaksela jednom ned</w:t>
      </w:r>
      <w:r w:rsidR="009F2B85" w:rsidRPr="005436C8">
        <w:rPr>
          <w:color w:val="000000"/>
          <w:sz w:val="22"/>
          <w:szCs w:val="22"/>
          <w:lang w:val="sr-Latn-ME"/>
        </w:rPr>
        <w:t>j</w:t>
      </w:r>
      <w:r w:rsidRPr="005436C8">
        <w:rPr>
          <w:color w:val="000000"/>
          <w:sz w:val="22"/>
          <w:szCs w:val="22"/>
          <w:lang w:val="sr-Latn-ME"/>
        </w:rPr>
        <w:t>eljno</w:t>
      </w:r>
      <w:r w:rsidR="00FE2099" w:rsidRPr="005436C8">
        <w:rPr>
          <w:color w:val="000000"/>
          <w:sz w:val="22"/>
          <w:szCs w:val="22"/>
          <w:lang w:val="sr-Latn-ME"/>
        </w:rPr>
        <w:t>,</w:t>
      </w:r>
    </w:p>
    <w:p w14:paraId="7ABDDD94"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4 ciklusa AC ili epirubicina i ciklofosfamida (EC), a nakon toga 3 ili 4 ciklusa docetaksela ili 12 ciklusa paklitaksela jednom ned</w:t>
      </w:r>
      <w:r w:rsidR="009F2B85" w:rsidRPr="005436C8">
        <w:rPr>
          <w:color w:val="000000"/>
          <w:sz w:val="22"/>
          <w:szCs w:val="22"/>
          <w:lang w:val="sr-Latn-ME"/>
        </w:rPr>
        <w:t>j</w:t>
      </w:r>
      <w:r w:rsidRPr="005436C8">
        <w:rPr>
          <w:color w:val="000000"/>
          <w:sz w:val="22"/>
          <w:szCs w:val="22"/>
          <w:lang w:val="sr-Latn-ME"/>
        </w:rPr>
        <w:t>eljno</w:t>
      </w:r>
      <w:r w:rsidR="00FE2099" w:rsidRPr="005436C8">
        <w:rPr>
          <w:color w:val="000000"/>
          <w:sz w:val="22"/>
          <w:szCs w:val="22"/>
          <w:lang w:val="sr-Latn-ME"/>
        </w:rPr>
        <w:t>,</w:t>
      </w:r>
      <w:r w:rsidRPr="005436C8">
        <w:rPr>
          <w:color w:val="000000"/>
          <w:sz w:val="22"/>
          <w:szCs w:val="22"/>
          <w:lang w:val="sr-Latn-ME"/>
        </w:rPr>
        <w:t xml:space="preserve"> </w:t>
      </w:r>
    </w:p>
    <w:p w14:paraId="60EA78D7" w14:textId="77777777" w:rsidR="000C7302" w:rsidRPr="005436C8" w:rsidRDefault="000C7302" w:rsidP="005436C8">
      <w:pPr>
        <w:tabs>
          <w:tab w:val="left" w:pos="284"/>
        </w:tabs>
        <w:ind w:left="714" w:hanging="357"/>
        <w:jc w:val="both"/>
        <w:rPr>
          <w:color w:val="000000"/>
          <w:sz w:val="22"/>
          <w:szCs w:val="22"/>
          <w:lang w:val="sr-Latn-ME"/>
        </w:rPr>
      </w:pPr>
      <w:r w:rsidRPr="005436C8">
        <w:rPr>
          <w:color w:val="000000"/>
          <w:sz w:val="22"/>
          <w:szCs w:val="22"/>
          <w:lang w:val="sr-Latn-ME"/>
        </w:rPr>
        <w:sym w:font="Symbol" w:char="F0B7"/>
      </w:r>
      <w:r w:rsidRPr="005436C8">
        <w:rPr>
          <w:color w:val="000000"/>
          <w:sz w:val="22"/>
          <w:szCs w:val="22"/>
          <w:lang w:val="sr-Latn-ME"/>
        </w:rPr>
        <w:tab/>
        <w:t>6 ciklusa docetaksela u kombinaciji sa karboplatinom</w:t>
      </w:r>
      <w:r w:rsidR="00FE2099" w:rsidRPr="005436C8">
        <w:rPr>
          <w:color w:val="000000"/>
          <w:sz w:val="22"/>
          <w:szCs w:val="22"/>
          <w:lang w:val="sr-Latn-ME"/>
        </w:rPr>
        <w:t>.</w:t>
      </w:r>
    </w:p>
    <w:p w14:paraId="1E2AB689" w14:textId="77777777" w:rsidR="000C7302" w:rsidRPr="005436C8" w:rsidRDefault="000C7302" w:rsidP="005436C8">
      <w:pPr>
        <w:tabs>
          <w:tab w:val="left" w:pos="284"/>
        </w:tabs>
        <w:ind w:left="720"/>
        <w:jc w:val="both"/>
        <w:rPr>
          <w:color w:val="000000"/>
          <w:sz w:val="22"/>
          <w:szCs w:val="22"/>
          <w:lang w:val="sr-Latn-ME"/>
        </w:rPr>
      </w:pPr>
    </w:p>
    <w:p w14:paraId="67A964DB" w14:textId="123432EC"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Pertuzumab i trastuzumab davani su intravenski (pogledati </w:t>
      </w:r>
      <w:r w:rsidR="009B712A">
        <w:rPr>
          <w:color w:val="000000"/>
          <w:sz w:val="22"/>
          <w:szCs w:val="22"/>
          <w:lang w:val="sr-Latn-ME"/>
        </w:rPr>
        <w:t>dio</w:t>
      </w:r>
      <w:r w:rsidRPr="005436C8">
        <w:rPr>
          <w:color w:val="000000"/>
          <w:sz w:val="22"/>
          <w:szCs w:val="22"/>
          <w:lang w:val="sr-Latn-ME"/>
        </w:rPr>
        <w:t xml:space="preserve"> 4.2) svake 3 </w:t>
      </w:r>
      <w:r w:rsidR="00FE2099" w:rsidRPr="005436C8">
        <w:rPr>
          <w:color w:val="000000"/>
          <w:sz w:val="22"/>
          <w:szCs w:val="22"/>
          <w:lang w:val="sr-Latn-ME"/>
        </w:rPr>
        <w:t xml:space="preserve">nedjelje, </w:t>
      </w:r>
      <w:r w:rsidRPr="005436C8">
        <w:rPr>
          <w:color w:val="000000"/>
          <w:sz w:val="22"/>
          <w:szCs w:val="22"/>
          <w:lang w:val="sr-Latn-ME"/>
        </w:rPr>
        <w:t>počev od 1. dana prvog ciklusa sa taksanom, ukupno 52 ned</w:t>
      </w:r>
      <w:r w:rsidR="009F2B85" w:rsidRPr="005436C8">
        <w:rPr>
          <w:color w:val="000000"/>
          <w:sz w:val="22"/>
          <w:szCs w:val="22"/>
          <w:lang w:val="sr-Latn-ME"/>
        </w:rPr>
        <w:t>j</w:t>
      </w:r>
      <w:r w:rsidRPr="005436C8">
        <w:rPr>
          <w:color w:val="000000"/>
          <w:sz w:val="22"/>
          <w:szCs w:val="22"/>
          <w:lang w:val="sr-Latn-ME"/>
        </w:rPr>
        <w:t>elje (do 18 ciklusa) ili do pojave recidiva, povlačenja pristanka ili toksičnosti koju je nemoguće otkloniti. Davane su standardne doze 5-fluorouracila, epirubicina, doksorubicina, ciklofosfamida, docetaksela, paklitaksela i karboplatina. Nakon završetka hemoterapije</w:t>
      </w:r>
      <w:r w:rsidR="00FE2099" w:rsidRPr="005436C8">
        <w:rPr>
          <w:color w:val="000000"/>
          <w:sz w:val="22"/>
          <w:szCs w:val="22"/>
          <w:lang w:val="sr-Latn-ME"/>
        </w:rPr>
        <w:t>,</w:t>
      </w:r>
      <w:r w:rsidRPr="005436C8">
        <w:rPr>
          <w:color w:val="000000"/>
          <w:sz w:val="22"/>
          <w:szCs w:val="22"/>
          <w:lang w:val="sr-Latn-ME"/>
        </w:rPr>
        <w:t xml:space="preserve"> pacijenti su primili radioterapiju odnosno hormonsku terapiju u skladu sa lokalnim kliničkim standardom.</w:t>
      </w:r>
    </w:p>
    <w:p w14:paraId="688F2383" w14:textId="77777777" w:rsidR="000C7302" w:rsidRPr="005436C8" w:rsidRDefault="000C7302" w:rsidP="005436C8">
      <w:pPr>
        <w:tabs>
          <w:tab w:val="left" w:pos="284"/>
        </w:tabs>
        <w:jc w:val="both"/>
        <w:rPr>
          <w:color w:val="000000"/>
          <w:sz w:val="22"/>
          <w:szCs w:val="22"/>
          <w:lang w:val="sr-Latn-ME"/>
        </w:rPr>
      </w:pPr>
    </w:p>
    <w:p w14:paraId="56523F64" w14:textId="77777777" w:rsidR="000C7302" w:rsidRPr="005436C8" w:rsidRDefault="000C7302" w:rsidP="005436C8">
      <w:pPr>
        <w:tabs>
          <w:tab w:val="left" w:pos="284"/>
        </w:tabs>
        <w:jc w:val="both"/>
        <w:rPr>
          <w:noProof/>
          <w:color w:val="000000"/>
          <w:sz w:val="22"/>
          <w:szCs w:val="22"/>
          <w:lang w:val="sr-Latn-ME"/>
        </w:rPr>
      </w:pPr>
      <w:r w:rsidRPr="005436C8">
        <w:rPr>
          <w:color w:val="000000"/>
          <w:sz w:val="22"/>
          <w:szCs w:val="22"/>
          <w:lang w:val="sr-Latn-ME"/>
        </w:rPr>
        <w:lastRenderedPageBreak/>
        <w:t xml:space="preserve">Primarna krajnja tačka ispitivanja bilo je preživljavanje bez invazivne bolesti (IDFS), definisano kao </w:t>
      </w:r>
      <w:r w:rsidR="002700CC" w:rsidRPr="005436C8">
        <w:rPr>
          <w:color w:val="000000"/>
          <w:sz w:val="22"/>
          <w:szCs w:val="22"/>
          <w:lang w:val="sr-Latn-ME"/>
        </w:rPr>
        <w:t>vr</w:t>
      </w:r>
      <w:r w:rsidR="00FE2099" w:rsidRPr="005436C8">
        <w:rPr>
          <w:color w:val="000000"/>
          <w:sz w:val="22"/>
          <w:szCs w:val="22"/>
          <w:lang w:val="sr-Latn-ME"/>
        </w:rPr>
        <w:t>ij</w:t>
      </w:r>
      <w:r w:rsidR="002700CC" w:rsidRPr="005436C8">
        <w:rPr>
          <w:color w:val="000000"/>
          <w:sz w:val="22"/>
          <w:szCs w:val="22"/>
          <w:lang w:val="sr-Latn-ME"/>
        </w:rPr>
        <w:t>em</w:t>
      </w:r>
      <w:r w:rsidR="00A21698" w:rsidRPr="005436C8">
        <w:rPr>
          <w:color w:val="000000"/>
          <w:sz w:val="22"/>
          <w:szCs w:val="22"/>
          <w:lang w:val="sr-Latn-ME"/>
        </w:rPr>
        <w:t>e</w:t>
      </w:r>
      <w:r w:rsidRPr="005436C8">
        <w:rPr>
          <w:color w:val="000000"/>
          <w:sz w:val="22"/>
          <w:szCs w:val="22"/>
          <w:lang w:val="sr-Latn-ME"/>
        </w:rPr>
        <w:t xml:space="preserve"> od randomizacije do prve pojave ipsilateralnog lokalnog ili regionalnog recidiva invazivnog karcinoma dojke, udaljenog recidiva bolesti na udaljenom </w:t>
      </w:r>
      <w:r w:rsidR="00FF329E" w:rsidRPr="005436C8">
        <w:rPr>
          <w:color w:val="000000"/>
          <w:sz w:val="22"/>
          <w:szCs w:val="22"/>
          <w:lang w:val="sr-Latn-ME"/>
        </w:rPr>
        <w:t>mjestu</w:t>
      </w:r>
      <w:r w:rsidRPr="005436C8">
        <w:rPr>
          <w:color w:val="000000"/>
          <w:sz w:val="22"/>
          <w:szCs w:val="22"/>
          <w:lang w:val="sr-Latn-ME"/>
        </w:rPr>
        <w:t>, kontralateralnog invazivnog karcinoma dojke ili smrti zbog bilo kog uzroka. Sekundarne krajnje tačke efikasnosti bile su IDFS uključujući drugi primarni karcinom koji nije karcinom dojke, OS, DFS, interval bez recidiva (RFI) i interval bez udaljenih recidiva (DRFI).</w:t>
      </w:r>
    </w:p>
    <w:p w14:paraId="2C56C143" w14:textId="77777777" w:rsidR="000C7302" w:rsidRPr="005436C8" w:rsidRDefault="000C7302" w:rsidP="005436C8">
      <w:pPr>
        <w:tabs>
          <w:tab w:val="left" w:pos="284"/>
        </w:tabs>
        <w:jc w:val="both"/>
        <w:rPr>
          <w:color w:val="000000"/>
          <w:sz w:val="22"/>
          <w:szCs w:val="22"/>
          <w:lang w:val="sr-Latn-ME"/>
        </w:rPr>
      </w:pPr>
    </w:p>
    <w:p w14:paraId="1740EA54"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Demografske karakteristike bile su dobro ujednačene između dv</w:t>
      </w:r>
      <w:r w:rsidR="009F2B85" w:rsidRPr="005436C8">
        <w:rPr>
          <w:color w:val="000000"/>
          <w:sz w:val="22"/>
          <w:szCs w:val="22"/>
          <w:lang w:val="sr-Latn-ME"/>
        </w:rPr>
        <w:t>ij</w:t>
      </w:r>
      <w:r w:rsidRPr="005436C8">
        <w:rPr>
          <w:color w:val="000000"/>
          <w:sz w:val="22"/>
          <w:szCs w:val="22"/>
          <w:lang w:val="sr-Latn-ME"/>
        </w:rPr>
        <w:t>e terapijske grupe. Medijana starosti iznosila je 51 godinu, a preko 99% pacijenata bilo je ženskog pola. Većina pacijenata je bila b</w:t>
      </w:r>
      <w:r w:rsidR="009F2B85" w:rsidRPr="005436C8">
        <w:rPr>
          <w:color w:val="000000"/>
          <w:sz w:val="22"/>
          <w:szCs w:val="22"/>
          <w:lang w:val="sr-Latn-ME"/>
        </w:rPr>
        <w:t>ij</w:t>
      </w:r>
      <w:r w:rsidRPr="005436C8">
        <w:rPr>
          <w:color w:val="000000"/>
          <w:sz w:val="22"/>
          <w:szCs w:val="22"/>
          <w:lang w:val="sr-Latn-ME"/>
        </w:rPr>
        <w:t xml:space="preserve">ele rase (71%) i imala bolest pozitivnu na hormonske receptore (64%) </w:t>
      </w:r>
      <w:r w:rsidRPr="005436C8">
        <w:rPr>
          <w:noProof/>
          <w:color w:val="000000"/>
          <w:sz w:val="22"/>
          <w:szCs w:val="22"/>
          <w:lang w:val="sr-Latn-ME"/>
        </w:rPr>
        <w:t xml:space="preserve">odnosno </w:t>
      </w:r>
      <w:r w:rsidRPr="005436C8">
        <w:rPr>
          <w:color w:val="000000"/>
          <w:sz w:val="22"/>
          <w:szCs w:val="22"/>
          <w:lang w:val="sr-Latn-ME"/>
        </w:rPr>
        <w:t>zahvaćene limfne </w:t>
      </w:r>
      <w:r w:rsidRPr="005436C8">
        <w:rPr>
          <w:noProof/>
          <w:color w:val="000000"/>
          <w:sz w:val="22"/>
          <w:szCs w:val="22"/>
          <w:lang w:val="sr-Latn-ME"/>
        </w:rPr>
        <w:t>čvorove (63%)</w:t>
      </w:r>
      <w:r w:rsidRPr="005436C8">
        <w:rPr>
          <w:color w:val="000000"/>
          <w:sz w:val="22"/>
          <w:szCs w:val="22"/>
          <w:lang w:val="sr-Latn-ME"/>
        </w:rPr>
        <w:t>.</w:t>
      </w:r>
    </w:p>
    <w:p w14:paraId="306A5AD4" w14:textId="77777777" w:rsidR="000C7302" w:rsidRPr="005436C8" w:rsidRDefault="000C7302" w:rsidP="005436C8">
      <w:pPr>
        <w:keepNext/>
        <w:keepLines/>
        <w:tabs>
          <w:tab w:val="left" w:pos="284"/>
        </w:tabs>
        <w:jc w:val="both"/>
        <w:rPr>
          <w:color w:val="000000"/>
          <w:sz w:val="22"/>
          <w:szCs w:val="22"/>
          <w:lang w:val="sr-Latn-ME"/>
        </w:rPr>
      </w:pPr>
    </w:p>
    <w:p w14:paraId="7B2B4756"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Nakon medijane praćenja od 45,4 </w:t>
      </w:r>
      <w:r w:rsidR="00FE754C" w:rsidRPr="005436C8">
        <w:rPr>
          <w:color w:val="000000"/>
          <w:sz w:val="22"/>
          <w:szCs w:val="22"/>
          <w:lang w:val="sr-Latn-ME"/>
        </w:rPr>
        <w:t>mjesec</w:t>
      </w:r>
      <w:r w:rsidRPr="005436C8">
        <w:rPr>
          <w:color w:val="000000"/>
          <w:sz w:val="22"/>
          <w:szCs w:val="22"/>
          <w:lang w:val="sr-Latn-ME"/>
        </w:rPr>
        <w:t>i, ispitivanje APHINITY pokazalo je smanjenje rizika od recidiva ili smrti za 19% (HR = 0,81; 95% CI 0,66; 1,00 p-</w:t>
      </w:r>
      <w:r w:rsidR="000A2EA9" w:rsidRPr="005436C8">
        <w:rPr>
          <w:color w:val="000000"/>
          <w:sz w:val="22"/>
          <w:szCs w:val="22"/>
          <w:lang w:val="sr-Latn-ME"/>
        </w:rPr>
        <w:t>vrijednost</w:t>
      </w:r>
      <w:r w:rsidRPr="005436C8">
        <w:rPr>
          <w:color w:val="000000"/>
          <w:sz w:val="22"/>
          <w:szCs w:val="22"/>
          <w:lang w:val="sr-Latn-ME"/>
        </w:rPr>
        <w:t xml:space="preserve"> 0,0446) među pacijentima randomizovanim da primaju pertuzumab u odnosu na pacijente randomizovane da primaju placebo.</w:t>
      </w:r>
    </w:p>
    <w:p w14:paraId="465CA3A8" w14:textId="77777777" w:rsidR="000C7302" w:rsidRPr="005436C8" w:rsidRDefault="000C7302" w:rsidP="005436C8">
      <w:pPr>
        <w:keepNext/>
        <w:keepLines/>
        <w:tabs>
          <w:tab w:val="left" w:pos="284"/>
        </w:tabs>
        <w:jc w:val="both"/>
        <w:rPr>
          <w:color w:val="000000"/>
          <w:sz w:val="22"/>
          <w:szCs w:val="22"/>
          <w:lang w:val="sr-Latn-ME"/>
        </w:rPr>
      </w:pPr>
    </w:p>
    <w:p w14:paraId="6AFF2FC8"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Sažet pregled rezultata efikasnosti iz ispitivanja APHINITY dat je u tabeli 6 i na slici 1.</w:t>
      </w:r>
    </w:p>
    <w:p w14:paraId="5AD8FDFF" w14:textId="77777777" w:rsidR="000C7302" w:rsidRPr="005436C8" w:rsidRDefault="000C7302" w:rsidP="005436C8">
      <w:pPr>
        <w:tabs>
          <w:tab w:val="left" w:pos="284"/>
        </w:tabs>
        <w:jc w:val="both"/>
        <w:rPr>
          <w:noProof/>
          <w:color w:val="000000"/>
          <w:sz w:val="22"/>
          <w:szCs w:val="22"/>
          <w:u w:val="single"/>
          <w:lang w:val="sr-Latn-ME"/>
        </w:rPr>
      </w:pPr>
    </w:p>
    <w:p w14:paraId="519500AB" w14:textId="77777777" w:rsidR="000C7302" w:rsidRPr="005436C8" w:rsidRDefault="000C7302" w:rsidP="005436C8">
      <w:pPr>
        <w:tabs>
          <w:tab w:val="left" w:pos="540"/>
          <w:tab w:val="left" w:pos="569"/>
        </w:tabs>
        <w:rPr>
          <w:b/>
          <w:bCs/>
          <w:color w:val="000000"/>
          <w:sz w:val="22"/>
          <w:szCs w:val="22"/>
          <w:lang w:val="sr-Latn-ME"/>
        </w:rPr>
      </w:pPr>
      <w:r w:rsidRPr="005436C8">
        <w:rPr>
          <w:b/>
          <w:bCs/>
          <w:color w:val="000000"/>
          <w:sz w:val="22"/>
          <w:szCs w:val="22"/>
          <w:lang w:val="sr-Latn-ME"/>
        </w:rPr>
        <w:t xml:space="preserve">Tabela 6 </w:t>
      </w:r>
      <w:r w:rsidRPr="005436C8">
        <w:rPr>
          <w:b/>
          <w:bCs/>
          <w:color w:val="000000"/>
          <w:sz w:val="22"/>
          <w:szCs w:val="22"/>
          <w:lang w:val="sr-Latn-ME"/>
        </w:rPr>
        <w:tab/>
        <w:t xml:space="preserve">Ukupna efikasnost: Početna populacija predviđena za </w:t>
      </w:r>
      <w:r w:rsidR="00841D7D" w:rsidRPr="005436C8">
        <w:rPr>
          <w:b/>
          <w:bCs/>
          <w:color w:val="000000"/>
          <w:sz w:val="22"/>
          <w:szCs w:val="22"/>
          <w:lang w:val="sr-Latn-ME"/>
        </w:rPr>
        <w:t>liječenje</w:t>
      </w:r>
    </w:p>
    <w:p w14:paraId="5C478293" w14:textId="77777777" w:rsidR="000C7302" w:rsidRPr="005436C8" w:rsidRDefault="000C7302" w:rsidP="005436C8">
      <w:pPr>
        <w:tabs>
          <w:tab w:val="left" w:pos="540"/>
          <w:tab w:val="left" w:pos="569"/>
        </w:tabs>
        <w:rPr>
          <w:b/>
          <w:bCs/>
          <w:color w:val="000000"/>
          <w:sz w:val="22"/>
          <w:szCs w:val="22"/>
          <w:lang w:val="sr-Latn-ME"/>
        </w:rPr>
      </w:pPr>
    </w:p>
    <w:tbl>
      <w:tblPr>
        <w:tblW w:w="91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84"/>
        <w:gridCol w:w="2250"/>
        <w:gridCol w:w="2127"/>
      </w:tblGrid>
      <w:tr w:rsidR="000C7302" w:rsidRPr="005436C8" w14:paraId="7106231B" w14:textId="77777777" w:rsidTr="000C7302">
        <w:trPr>
          <w:cantSplit/>
          <w:tblHeader/>
          <w:jc w:val="right"/>
        </w:trPr>
        <w:tc>
          <w:tcPr>
            <w:tcW w:w="4784" w:type="dxa"/>
            <w:vAlign w:val="bottom"/>
          </w:tcPr>
          <w:p w14:paraId="3E69352B" w14:textId="77777777" w:rsidR="000C7302" w:rsidRPr="005436C8" w:rsidRDefault="000C7302" w:rsidP="005436C8">
            <w:pPr>
              <w:keepNext/>
              <w:keepLines/>
              <w:tabs>
                <w:tab w:val="left" w:pos="284"/>
              </w:tabs>
              <w:jc w:val="both"/>
              <w:rPr>
                <w:color w:val="000000"/>
                <w:sz w:val="22"/>
                <w:szCs w:val="22"/>
                <w:lang w:val="sr-Latn-ME"/>
              </w:rPr>
            </w:pPr>
          </w:p>
        </w:tc>
        <w:tc>
          <w:tcPr>
            <w:tcW w:w="2250" w:type="dxa"/>
            <w:vAlign w:val="bottom"/>
          </w:tcPr>
          <w:p w14:paraId="65297E72" w14:textId="77777777" w:rsidR="000C7302" w:rsidRPr="005436C8" w:rsidRDefault="000C7302" w:rsidP="00D61A6E">
            <w:pPr>
              <w:keepNext/>
              <w:keepLines/>
              <w:tabs>
                <w:tab w:val="left" w:pos="284"/>
              </w:tabs>
              <w:rPr>
                <w:b/>
                <w:color w:val="000000"/>
                <w:sz w:val="22"/>
                <w:szCs w:val="22"/>
                <w:lang w:val="sr-Latn-ME"/>
              </w:rPr>
            </w:pPr>
            <w:r w:rsidRPr="005436C8">
              <w:rPr>
                <w:b/>
                <w:bCs/>
                <w:color w:val="000000"/>
                <w:sz w:val="22"/>
                <w:szCs w:val="22"/>
                <w:lang w:val="sr-Latn-ME"/>
              </w:rPr>
              <w:t>Pertuzumab + trastuzumab + hemoterapija</w:t>
            </w:r>
          </w:p>
          <w:p w14:paraId="03E4D4BA" w14:textId="77777777" w:rsidR="000C7302" w:rsidRPr="005436C8" w:rsidRDefault="000C7302" w:rsidP="00D61A6E">
            <w:pPr>
              <w:keepNext/>
              <w:keepLines/>
              <w:tabs>
                <w:tab w:val="left" w:pos="284"/>
              </w:tabs>
              <w:rPr>
                <w:b/>
                <w:color w:val="000000"/>
                <w:sz w:val="22"/>
                <w:szCs w:val="22"/>
                <w:lang w:val="sr-Latn-ME"/>
              </w:rPr>
            </w:pPr>
            <w:r w:rsidRPr="005436C8">
              <w:rPr>
                <w:b/>
                <w:bCs/>
                <w:color w:val="000000"/>
                <w:sz w:val="22"/>
                <w:szCs w:val="22"/>
                <w:lang w:val="sr-Latn-ME"/>
              </w:rPr>
              <w:t>N=2400</w:t>
            </w:r>
          </w:p>
        </w:tc>
        <w:tc>
          <w:tcPr>
            <w:tcW w:w="2127" w:type="dxa"/>
            <w:vAlign w:val="bottom"/>
          </w:tcPr>
          <w:p w14:paraId="7CC199F7" w14:textId="77777777" w:rsidR="000C7302" w:rsidRPr="005436C8" w:rsidRDefault="000C7302" w:rsidP="00D61A6E">
            <w:pPr>
              <w:keepNext/>
              <w:keepLines/>
              <w:tabs>
                <w:tab w:val="left" w:pos="284"/>
              </w:tabs>
              <w:rPr>
                <w:b/>
                <w:color w:val="000000"/>
                <w:sz w:val="22"/>
                <w:szCs w:val="22"/>
                <w:lang w:val="sr-Latn-ME"/>
              </w:rPr>
            </w:pPr>
            <w:r w:rsidRPr="005436C8">
              <w:rPr>
                <w:b/>
                <w:bCs/>
                <w:color w:val="000000"/>
                <w:sz w:val="22"/>
                <w:szCs w:val="22"/>
                <w:lang w:val="sr-Latn-ME"/>
              </w:rPr>
              <w:t>Placebo + trastuzumab + hemoterapija</w:t>
            </w:r>
          </w:p>
          <w:p w14:paraId="2A3C93FD" w14:textId="77777777" w:rsidR="000C7302" w:rsidRPr="005436C8" w:rsidRDefault="000C7302" w:rsidP="00D61A6E">
            <w:pPr>
              <w:keepNext/>
              <w:keepLines/>
              <w:tabs>
                <w:tab w:val="left" w:pos="284"/>
              </w:tabs>
              <w:rPr>
                <w:b/>
                <w:color w:val="000000"/>
                <w:sz w:val="22"/>
                <w:szCs w:val="22"/>
                <w:lang w:val="sr-Latn-ME"/>
              </w:rPr>
            </w:pPr>
            <w:r w:rsidRPr="005436C8">
              <w:rPr>
                <w:b/>
                <w:bCs/>
                <w:color w:val="000000"/>
                <w:sz w:val="22"/>
                <w:szCs w:val="22"/>
                <w:lang w:val="sr-Latn-ME"/>
              </w:rPr>
              <w:t>N=2404</w:t>
            </w:r>
          </w:p>
        </w:tc>
      </w:tr>
      <w:tr w:rsidR="000C7302" w:rsidRPr="005436C8" w14:paraId="488A1CAB" w14:textId="77777777" w:rsidTr="000C7302">
        <w:trPr>
          <w:cantSplit/>
          <w:jc w:val="right"/>
        </w:trPr>
        <w:tc>
          <w:tcPr>
            <w:tcW w:w="4784" w:type="dxa"/>
            <w:tcBorders>
              <w:bottom w:val="single" w:sz="4" w:space="0" w:color="auto"/>
            </w:tcBorders>
            <w:vAlign w:val="bottom"/>
          </w:tcPr>
          <w:p w14:paraId="137DA69E" w14:textId="77777777" w:rsidR="000C7302" w:rsidRPr="005436C8" w:rsidRDefault="000C7302" w:rsidP="005436C8">
            <w:pPr>
              <w:keepNext/>
              <w:keepLines/>
              <w:tabs>
                <w:tab w:val="left" w:pos="284"/>
              </w:tabs>
              <w:jc w:val="both"/>
              <w:rPr>
                <w:b/>
                <w:i/>
                <w:color w:val="000000"/>
                <w:sz w:val="22"/>
                <w:szCs w:val="22"/>
                <w:lang w:val="sr-Latn-ME"/>
              </w:rPr>
            </w:pPr>
            <w:r w:rsidRPr="005436C8">
              <w:rPr>
                <w:b/>
                <w:bCs/>
                <w:i/>
                <w:iCs/>
                <w:color w:val="000000"/>
                <w:sz w:val="22"/>
                <w:szCs w:val="22"/>
                <w:lang w:val="sr-Latn-ME"/>
              </w:rPr>
              <w:t>Primarna krajnja tačka</w:t>
            </w:r>
          </w:p>
        </w:tc>
        <w:tc>
          <w:tcPr>
            <w:tcW w:w="4377" w:type="dxa"/>
            <w:gridSpan w:val="2"/>
            <w:tcBorders>
              <w:bottom w:val="single" w:sz="4" w:space="0" w:color="auto"/>
            </w:tcBorders>
            <w:vAlign w:val="bottom"/>
          </w:tcPr>
          <w:p w14:paraId="566DACC6" w14:textId="77777777" w:rsidR="000C7302" w:rsidRPr="005436C8" w:rsidRDefault="000C7302" w:rsidP="005436C8">
            <w:pPr>
              <w:keepNext/>
              <w:keepLines/>
              <w:tabs>
                <w:tab w:val="left" w:pos="284"/>
              </w:tabs>
              <w:jc w:val="both"/>
              <w:rPr>
                <w:b/>
                <w:i/>
                <w:color w:val="000000"/>
                <w:sz w:val="22"/>
                <w:szCs w:val="22"/>
                <w:lang w:val="sr-Latn-ME"/>
              </w:rPr>
            </w:pPr>
          </w:p>
        </w:tc>
      </w:tr>
      <w:tr w:rsidR="000C7302" w:rsidRPr="005436C8" w14:paraId="63A4A53D" w14:textId="77777777" w:rsidTr="000C7302">
        <w:trPr>
          <w:cantSplit/>
          <w:jc w:val="right"/>
        </w:trPr>
        <w:tc>
          <w:tcPr>
            <w:tcW w:w="4784" w:type="dxa"/>
            <w:tcBorders>
              <w:top w:val="single" w:sz="4" w:space="0" w:color="auto"/>
              <w:left w:val="single" w:sz="4" w:space="0" w:color="auto"/>
              <w:bottom w:val="nil"/>
              <w:right w:val="single" w:sz="4" w:space="0" w:color="auto"/>
            </w:tcBorders>
            <w:vAlign w:val="bottom"/>
          </w:tcPr>
          <w:p w14:paraId="757AA5CF" w14:textId="77777777" w:rsidR="000C7302" w:rsidRPr="005436C8" w:rsidRDefault="000C7302" w:rsidP="005436C8">
            <w:pPr>
              <w:keepNext/>
              <w:keepLines/>
              <w:tabs>
                <w:tab w:val="left" w:pos="284"/>
              </w:tabs>
              <w:jc w:val="both"/>
              <w:rPr>
                <w:b/>
                <w:color w:val="000000"/>
                <w:sz w:val="22"/>
                <w:szCs w:val="22"/>
                <w:vertAlign w:val="superscript"/>
                <w:lang w:val="sr-Latn-ME"/>
              </w:rPr>
            </w:pPr>
            <w:r w:rsidRPr="005436C8">
              <w:rPr>
                <w:b/>
                <w:bCs/>
                <w:color w:val="000000"/>
                <w:sz w:val="22"/>
                <w:szCs w:val="22"/>
                <w:lang w:val="sr-Latn-ME"/>
              </w:rPr>
              <w:t>Preživljavanje bez invazivne bolesti (IDFS)</w:t>
            </w:r>
            <w:r w:rsidRPr="005436C8">
              <w:rPr>
                <w:b/>
                <w:bCs/>
                <w:color w:val="000000"/>
                <w:sz w:val="22"/>
                <w:szCs w:val="22"/>
                <w:vertAlign w:val="superscript"/>
                <w:lang w:val="sr-Latn-ME"/>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7D37E04B" w14:textId="77777777" w:rsidR="000C7302" w:rsidRPr="005436C8" w:rsidRDefault="000C7302" w:rsidP="005436C8">
            <w:pPr>
              <w:keepNext/>
              <w:keepLines/>
              <w:tabs>
                <w:tab w:val="left" w:pos="284"/>
              </w:tabs>
              <w:jc w:val="both"/>
              <w:rPr>
                <w:color w:val="000000"/>
                <w:sz w:val="22"/>
                <w:szCs w:val="22"/>
                <w:lang w:val="sr-Latn-ME"/>
              </w:rPr>
            </w:pPr>
          </w:p>
        </w:tc>
      </w:tr>
      <w:tr w:rsidR="000C7302" w:rsidRPr="005436C8" w14:paraId="1995ED2A" w14:textId="77777777" w:rsidTr="000C7302">
        <w:trPr>
          <w:cantSplit/>
          <w:jc w:val="right"/>
        </w:trPr>
        <w:tc>
          <w:tcPr>
            <w:tcW w:w="4784" w:type="dxa"/>
            <w:tcBorders>
              <w:top w:val="nil"/>
              <w:left w:val="single" w:sz="4" w:space="0" w:color="auto"/>
              <w:bottom w:val="nil"/>
              <w:right w:val="single" w:sz="4" w:space="0" w:color="auto"/>
            </w:tcBorders>
            <w:vAlign w:val="bottom"/>
          </w:tcPr>
          <w:p w14:paraId="3E640913"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Broj (%) pacijenata sa događajem </w:t>
            </w:r>
          </w:p>
        </w:tc>
        <w:tc>
          <w:tcPr>
            <w:tcW w:w="2250" w:type="dxa"/>
            <w:tcBorders>
              <w:top w:val="nil"/>
              <w:left w:val="single" w:sz="4" w:space="0" w:color="auto"/>
              <w:bottom w:val="nil"/>
              <w:right w:val="nil"/>
            </w:tcBorders>
            <w:vAlign w:val="bottom"/>
          </w:tcPr>
          <w:p w14:paraId="1EBCF7AB"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171 (7,1%)</w:t>
            </w:r>
          </w:p>
        </w:tc>
        <w:tc>
          <w:tcPr>
            <w:tcW w:w="2127" w:type="dxa"/>
            <w:tcBorders>
              <w:top w:val="nil"/>
              <w:left w:val="nil"/>
              <w:bottom w:val="nil"/>
              <w:right w:val="single" w:sz="4" w:space="0" w:color="auto"/>
            </w:tcBorders>
            <w:vAlign w:val="bottom"/>
          </w:tcPr>
          <w:p w14:paraId="527625D3"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210 (8,7%)</w:t>
            </w:r>
          </w:p>
        </w:tc>
      </w:tr>
      <w:tr w:rsidR="000C7302" w:rsidRPr="005436C8" w14:paraId="70FA94FE" w14:textId="77777777" w:rsidTr="000C7302">
        <w:trPr>
          <w:cantSplit/>
          <w:jc w:val="right"/>
        </w:trPr>
        <w:tc>
          <w:tcPr>
            <w:tcW w:w="4784" w:type="dxa"/>
            <w:tcBorders>
              <w:top w:val="nil"/>
              <w:left w:val="single" w:sz="4" w:space="0" w:color="auto"/>
              <w:bottom w:val="nil"/>
              <w:right w:val="single" w:sz="4" w:space="0" w:color="auto"/>
            </w:tcBorders>
            <w:vAlign w:val="bottom"/>
          </w:tcPr>
          <w:p w14:paraId="27B8321C"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HR [95% CI]</w:t>
            </w:r>
          </w:p>
        </w:tc>
        <w:tc>
          <w:tcPr>
            <w:tcW w:w="4377" w:type="dxa"/>
            <w:gridSpan w:val="2"/>
            <w:tcBorders>
              <w:top w:val="nil"/>
              <w:left w:val="single" w:sz="4" w:space="0" w:color="auto"/>
              <w:bottom w:val="nil"/>
              <w:right w:val="single" w:sz="4" w:space="0" w:color="auto"/>
            </w:tcBorders>
            <w:vAlign w:val="bottom"/>
          </w:tcPr>
          <w:p w14:paraId="60672B72"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0,81 [0,66, 1,00]</w:t>
            </w:r>
          </w:p>
        </w:tc>
      </w:tr>
      <w:tr w:rsidR="000C7302" w:rsidRPr="005436C8" w14:paraId="3E9BFD1E" w14:textId="77777777" w:rsidTr="000C7302">
        <w:trPr>
          <w:cantSplit/>
          <w:jc w:val="right"/>
        </w:trPr>
        <w:tc>
          <w:tcPr>
            <w:tcW w:w="4784" w:type="dxa"/>
            <w:tcBorders>
              <w:top w:val="nil"/>
              <w:left w:val="single" w:sz="4" w:space="0" w:color="auto"/>
              <w:bottom w:val="nil"/>
              <w:right w:val="single" w:sz="4" w:space="0" w:color="auto"/>
            </w:tcBorders>
            <w:vAlign w:val="bottom"/>
          </w:tcPr>
          <w:p w14:paraId="5832D9A5"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p-</w:t>
            </w:r>
            <w:r w:rsidR="000A2EA9" w:rsidRPr="005436C8">
              <w:rPr>
                <w:color w:val="000000"/>
                <w:sz w:val="22"/>
                <w:szCs w:val="22"/>
                <w:lang w:val="sr-Latn-ME"/>
              </w:rPr>
              <w:t>vrijednost</w:t>
            </w:r>
            <w:r w:rsidRPr="005436C8">
              <w:rPr>
                <w:color w:val="000000"/>
                <w:sz w:val="22"/>
                <w:szCs w:val="22"/>
                <w:lang w:val="sr-Latn-ME"/>
              </w:rPr>
              <w:t xml:space="preserve"> (Log-Rank test, stratifikovan</w:t>
            </w:r>
            <w:r w:rsidRPr="005436C8">
              <w:rPr>
                <w:color w:val="000000"/>
                <w:sz w:val="22"/>
                <w:szCs w:val="22"/>
                <w:vertAlign w:val="superscript"/>
                <w:lang w:val="sr-Latn-ME"/>
              </w:rPr>
              <w:t>1</w:t>
            </w:r>
            <w:r w:rsidRPr="005436C8">
              <w:rPr>
                <w:color w:val="000000"/>
                <w:sz w:val="22"/>
                <w:szCs w:val="22"/>
                <w:lang w:val="sr-Latn-ME"/>
              </w:rPr>
              <w:t>)</w:t>
            </w:r>
          </w:p>
        </w:tc>
        <w:tc>
          <w:tcPr>
            <w:tcW w:w="4377" w:type="dxa"/>
            <w:gridSpan w:val="2"/>
            <w:tcBorders>
              <w:top w:val="nil"/>
              <w:left w:val="single" w:sz="4" w:space="0" w:color="auto"/>
              <w:bottom w:val="nil"/>
              <w:right w:val="single" w:sz="4" w:space="0" w:color="auto"/>
            </w:tcBorders>
            <w:vAlign w:val="bottom"/>
          </w:tcPr>
          <w:p w14:paraId="31D47512"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0,0446</w:t>
            </w:r>
          </w:p>
        </w:tc>
      </w:tr>
      <w:tr w:rsidR="000C7302" w:rsidRPr="005436C8" w14:paraId="5D66BE51" w14:textId="77777777" w:rsidTr="000C7302">
        <w:trPr>
          <w:cantSplit/>
          <w:jc w:val="right"/>
        </w:trPr>
        <w:tc>
          <w:tcPr>
            <w:tcW w:w="4784" w:type="dxa"/>
            <w:tcBorders>
              <w:top w:val="nil"/>
              <w:left w:val="single" w:sz="4" w:space="0" w:color="auto"/>
              <w:bottom w:val="single" w:sz="4" w:space="0" w:color="auto"/>
              <w:right w:val="single" w:sz="4" w:space="0" w:color="auto"/>
            </w:tcBorders>
            <w:vAlign w:val="bottom"/>
          </w:tcPr>
          <w:p w14:paraId="014A4FFA"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Stopa odsustva događaja nakon 3 godine</w:t>
            </w:r>
            <w:r w:rsidRPr="005436C8">
              <w:rPr>
                <w:color w:val="000000"/>
                <w:sz w:val="22"/>
                <w:szCs w:val="22"/>
                <w:vertAlign w:val="superscript"/>
                <w:lang w:val="sr-Latn-ME"/>
              </w:rPr>
              <w:t>2</w:t>
            </w:r>
            <w:r w:rsidRPr="005436C8">
              <w:rPr>
                <w:color w:val="000000"/>
                <w:sz w:val="22"/>
                <w:szCs w:val="22"/>
                <w:lang w:val="sr-Latn-ME"/>
              </w:rPr>
              <w:t xml:space="preserve"> [95% CI] </w:t>
            </w:r>
          </w:p>
        </w:tc>
        <w:tc>
          <w:tcPr>
            <w:tcW w:w="2250" w:type="dxa"/>
            <w:tcBorders>
              <w:top w:val="nil"/>
              <w:left w:val="single" w:sz="4" w:space="0" w:color="auto"/>
              <w:bottom w:val="single" w:sz="4" w:space="0" w:color="auto"/>
              <w:right w:val="nil"/>
            </w:tcBorders>
            <w:vAlign w:val="bottom"/>
          </w:tcPr>
          <w:p w14:paraId="1AEAE8C3"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94,</w:t>
            </w:r>
            <w:r w:rsidRPr="005436C8">
              <w:rPr>
                <w:noProof/>
                <w:color w:val="000000"/>
                <w:sz w:val="22"/>
                <w:szCs w:val="22"/>
                <w:lang w:val="sr-Latn-ME"/>
              </w:rPr>
              <w:t>1</w:t>
            </w:r>
            <w:r w:rsidRPr="005436C8">
              <w:rPr>
                <w:color w:val="000000"/>
                <w:sz w:val="22"/>
                <w:szCs w:val="22"/>
                <w:lang w:val="sr-Latn-ME"/>
              </w:rPr>
              <w:t xml:space="preserve"> [93,1, 95,0]</w:t>
            </w:r>
          </w:p>
        </w:tc>
        <w:tc>
          <w:tcPr>
            <w:tcW w:w="2127" w:type="dxa"/>
            <w:tcBorders>
              <w:top w:val="nil"/>
              <w:left w:val="nil"/>
              <w:bottom w:val="single" w:sz="4" w:space="0" w:color="auto"/>
              <w:right w:val="single" w:sz="4" w:space="0" w:color="auto"/>
            </w:tcBorders>
            <w:vAlign w:val="bottom"/>
          </w:tcPr>
          <w:p w14:paraId="40F04A7F"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93,2 [92,2, 94,3]</w:t>
            </w:r>
          </w:p>
        </w:tc>
      </w:tr>
      <w:tr w:rsidR="000C7302" w:rsidRPr="005436C8" w14:paraId="4133833B" w14:textId="77777777" w:rsidTr="000C7302">
        <w:trPr>
          <w:cantSplit/>
          <w:jc w:val="right"/>
        </w:trPr>
        <w:tc>
          <w:tcPr>
            <w:tcW w:w="4784" w:type="dxa"/>
            <w:tcBorders>
              <w:top w:val="single" w:sz="4" w:space="0" w:color="auto"/>
              <w:bottom w:val="single" w:sz="4" w:space="0" w:color="auto"/>
            </w:tcBorders>
            <w:vAlign w:val="bottom"/>
          </w:tcPr>
          <w:p w14:paraId="49A01938" w14:textId="77777777" w:rsidR="000C7302" w:rsidRPr="005436C8" w:rsidRDefault="000C7302" w:rsidP="005436C8">
            <w:pPr>
              <w:keepNext/>
              <w:keepLines/>
              <w:tabs>
                <w:tab w:val="left" w:pos="284"/>
              </w:tabs>
              <w:jc w:val="both"/>
              <w:rPr>
                <w:b/>
                <w:i/>
                <w:color w:val="000000"/>
                <w:sz w:val="22"/>
                <w:szCs w:val="22"/>
                <w:vertAlign w:val="superscript"/>
                <w:lang w:val="sr-Latn-ME"/>
              </w:rPr>
            </w:pPr>
            <w:r w:rsidRPr="005436C8">
              <w:rPr>
                <w:b/>
                <w:bCs/>
                <w:i/>
                <w:iCs/>
                <w:color w:val="000000"/>
                <w:sz w:val="22"/>
                <w:szCs w:val="22"/>
                <w:lang w:val="sr-Latn-ME"/>
              </w:rPr>
              <w:t>Sekundarne krajnje tačke</w:t>
            </w:r>
            <w:r w:rsidRPr="005436C8">
              <w:rPr>
                <w:b/>
                <w:bCs/>
                <w:i/>
                <w:iCs/>
                <w:color w:val="000000"/>
                <w:sz w:val="22"/>
                <w:szCs w:val="22"/>
                <w:vertAlign w:val="superscript"/>
                <w:lang w:val="sr-Latn-ME"/>
              </w:rPr>
              <w:t>1</w:t>
            </w:r>
          </w:p>
        </w:tc>
        <w:tc>
          <w:tcPr>
            <w:tcW w:w="4377" w:type="dxa"/>
            <w:gridSpan w:val="2"/>
            <w:tcBorders>
              <w:top w:val="single" w:sz="4" w:space="0" w:color="auto"/>
              <w:bottom w:val="single" w:sz="4" w:space="0" w:color="auto"/>
            </w:tcBorders>
            <w:vAlign w:val="bottom"/>
          </w:tcPr>
          <w:p w14:paraId="1DF4537C" w14:textId="77777777" w:rsidR="000C7302" w:rsidRPr="005436C8" w:rsidRDefault="000C7302" w:rsidP="005436C8">
            <w:pPr>
              <w:keepNext/>
              <w:keepLines/>
              <w:tabs>
                <w:tab w:val="left" w:pos="284"/>
              </w:tabs>
              <w:jc w:val="both"/>
              <w:rPr>
                <w:b/>
                <w:i/>
                <w:color w:val="000000"/>
                <w:sz w:val="22"/>
                <w:szCs w:val="22"/>
                <w:lang w:val="sr-Latn-ME"/>
              </w:rPr>
            </w:pPr>
          </w:p>
        </w:tc>
      </w:tr>
      <w:tr w:rsidR="000C7302" w:rsidRPr="005436C8" w14:paraId="62277E8B" w14:textId="77777777" w:rsidTr="000C7302">
        <w:trPr>
          <w:cantSplit/>
          <w:jc w:val="right"/>
        </w:trPr>
        <w:tc>
          <w:tcPr>
            <w:tcW w:w="4784" w:type="dxa"/>
            <w:tcBorders>
              <w:bottom w:val="nil"/>
            </w:tcBorders>
            <w:vAlign w:val="bottom"/>
          </w:tcPr>
          <w:p w14:paraId="703E3756" w14:textId="77777777" w:rsidR="000C7302" w:rsidRPr="005436C8" w:rsidRDefault="000C7302" w:rsidP="005436C8">
            <w:pPr>
              <w:keepNext/>
              <w:keepLines/>
              <w:tabs>
                <w:tab w:val="left" w:pos="284"/>
              </w:tabs>
              <w:jc w:val="both"/>
              <w:rPr>
                <w:b/>
                <w:color w:val="000000"/>
                <w:sz w:val="22"/>
                <w:szCs w:val="22"/>
                <w:vertAlign w:val="superscript"/>
                <w:lang w:val="sr-Latn-ME"/>
              </w:rPr>
            </w:pPr>
            <w:r w:rsidRPr="005436C8">
              <w:rPr>
                <w:b/>
                <w:bCs/>
                <w:color w:val="000000"/>
                <w:sz w:val="22"/>
                <w:szCs w:val="22"/>
                <w:lang w:val="sr-Latn-ME"/>
              </w:rPr>
              <w:t>IDFS uključujući drugi primarni karcinom koji nije karcinom dojke</w:t>
            </w:r>
          </w:p>
        </w:tc>
        <w:tc>
          <w:tcPr>
            <w:tcW w:w="4377" w:type="dxa"/>
            <w:gridSpan w:val="2"/>
            <w:tcBorders>
              <w:bottom w:val="nil"/>
            </w:tcBorders>
            <w:vAlign w:val="bottom"/>
          </w:tcPr>
          <w:p w14:paraId="1DDDD455" w14:textId="77777777" w:rsidR="000C7302" w:rsidRPr="005436C8" w:rsidRDefault="000C7302" w:rsidP="005436C8">
            <w:pPr>
              <w:keepNext/>
              <w:keepLines/>
              <w:tabs>
                <w:tab w:val="left" w:pos="284"/>
              </w:tabs>
              <w:jc w:val="both"/>
              <w:rPr>
                <w:color w:val="000000"/>
                <w:sz w:val="22"/>
                <w:szCs w:val="22"/>
                <w:lang w:val="sr-Latn-ME"/>
              </w:rPr>
            </w:pPr>
          </w:p>
        </w:tc>
      </w:tr>
      <w:tr w:rsidR="000C7302" w:rsidRPr="005436C8" w14:paraId="68AD542C" w14:textId="77777777" w:rsidTr="000C7302">
        <w:trPr>
          <w:cantSplit/>
          <w:jc w:val="right"/>
        </w:trPr>
        <w:tc>
          <w:tcPr>
            <w:tcW w:w="4784" w:type="dxa"/>
            <w:tcBorders>
              <w:top w:val="nil"/>
              <w:bottom w:val="nil"/>
            </w:tcBorders>
            <w:vAlign w:val="bottom"/>
          </w:tcPr>
          <w:p w14:paraId="202E8725"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Broj (%) pacijenata sa događajem </w:t>
            </w:r>
          </w:p>
        </w:tc>
        <w:tc>
          <w:tcPr>
            <w:tcW w:w="2250" w:type="dxa"/>
            <w:tcBorders>
              <w:top w:val="nil"/>
              <w:bottom w:val="nil"/>
              <w:right w:val="nil"/>
            </w:tcBorders>
            <w:vAlign w:val="bottom"/>
          </w:tcPr>
          <w:p w14:paraId="34035874"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189 (7,9%)</w:t>
            </w:r>
          </w:p>
        </w:tc>
        <w:tc>
          <w:tcPr>
            <w:tcW w:w="2127" w:type="dxa"/>
            <w:tcBorders>
              <w:top w:val="nil"/>
              <w:left w:val="nil"/>
              <w:bottom w:val="nil"/>
            </w:tcBorders>
            <w:vAlign w:val="bottom"/>
          </w:tcPr>
          <w:p w14:paraId="7F6534F3"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230 (9,6%)</w:t>
            </w:r>
          </w:p>
        </w:tc>
      </w:tr>
      <w:tr w:rsidR="000C7302" w:rsidRPr="005436C8" w14:paraId="232F154E" w14:textId="77777777" w:rsidTr="000C7302">
        <w:trPr>
          <w:cantSplit/>
          <w:jc w:val="right"/>
        </w:trPr>
        <w:tc>
          <w:tcPr>
            <w:tcW w:w="4784" w:type="dxa"/>
            <w:tcBorders>
              <w:top w:val="nil"/>
              <w:bottom w:val="nil"/>
            </w:tcBorders>
          </w:tcPr>
          <w:p w14:paraId="5C830C9A"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HR [95% CI]</w:t>
            </w:r>
          </w:p>
        </w:tc>
        <w:tc>
          <w:tcPr>
            <w:tcW w:w="4377" w:type="dxa"/>
            <w:gridSpan w:val="2"/>
            <w:tcBorders>
              <w:top w:val="nil"/>
              <w:bottom w:val="nil"/>
            </w:tcBorders>
          </w:tcPr>
          <w:p w14:paraId="2A874A03"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0,82 [0,68, 0,99]</w:t>
            </w:r>
          </w:p>
        </w:tc>
      </w:tr>
      <w:tr w:rsidR="000C7302" w:rsidRPr="005436C8" w14:paraId="50F9F0E7" w14:textId="77777777" w:rsidTr="000C7302">
        <w:trPr>
          <w:cantSplit/>
          <w:jc w:val="right"/>
        </w:trPr>
        <w:tc>
          <w:tcPr>
            <w:tcW w:w="4784" w:type="dxa"/>
            <w:tcBorders>
              <w:top w:val="nil"/>
              <w:bottom w:val="nil"/>
            </w:tcBorders>
            <w:vAlign w:val="bottom"/>
          </w:tcPr>
          <w:p w14:paraId="60511E5C"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p-</w:t>
            </w:r>
            <w:r w:rsidR="000A2EA9" w:rsidRPr="005436C8">
              <w:rPr>
                <w:color w:val="000000"/>
                <w:sz w:val="22"/>
                <w:szCs w:val="22"/>
                <w:lang w:val="sr-Latn-ME"/>
              </w:rPr>
              <w:t>vrijednost</w:t>
            </w:r>
            <w:r w:rsidRPr="005436C8">
              <w:rPr>
                <w:color w:val="000000"/>
                <w:sz w:val="22"/>
                <w:szCs w:val="22"/>
                <w:lang w:val="sr-Latn-ME"/>
              </w:rPr>
              <w:t xml:space="preserve"> (Log-Rank test, stratifikovan</w:t>
            </w:r>
            <w:r w:rsidRPr="005436C8">
              <w:rPr>
                <w:color w:val="000000"/>
                <w:sz w:val="22"/>
                <w:szCs w:val="22"/>
                <w:vertAlign w:val="superscript"/>
                <w:lang w:val="sr-Latn-ME"/>
              </w:rPr>
              <w:t>1</w:t>
            </w:r>
            <w:r w:rsidRPr="005436C8">
              <w:rPr>
                <w:color w:val="000000"/>
                <w:sz w:val="22"/>
                <w:szCs w:val="22"/>
                <w:lang w:val="sr-Latn-ME"/>
              </w:rPr>
              <w:t>)</w:t>
            </w:r>
          </w:p>
        </w:tc>
        <w:tc>
          <w:tcPr>
            <w:tcW w:w="4377" w:type="dxa"/>
            <w:gridSpan w:val="2"/>
            <w:tcBorders>
              <w:top w:val="nil"/>
              <w:bottom w:val="nil"/>
            </w:tcBorders>
            <w:vAlign w:val="bottom"/>
          </w:tcPr>
          <w:p w14:paraId="2306A523"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0,0430</w:t>
            </w:r>
          </w:p>
        </w:tc>
      </w:tr>
      <w:tr w:rsidR="000C7302" w:rsidRPr="005436C8" w14:paraId="1A59753B" w14:textId="77777777" w:rsidTr="000C7302">
        <w:trPr>
          <w:cantSplit/>
          <w:jc w:val="right"/>
        </w:trPr>
        <w:tc>
          <w:tcPr>
            <w:tcW w:w="4784" w:type="dxa"/>
            <w:tcBorders>
              <w:top w:val="nil"/>
              <w:bottom w:val="single" w:sz="4" w:space="0" w:color="auto"/>
            </w:tcBorders>
            <w:vAlign w:val="bottom"/>
          </w:tcPr>
          <w:p w14:paraId="1F9BA8CF"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Stopa odsustva događaja nakon 3 godine</w:t>
            </w:r>
            <w:r w:rsidRPr="005436C8">
              <w:rPr>
                <w:color w:val="000000"/>
                <w:sz w:val="22"/>
                <w:szCs w:val="22"/>
                <w:vertAlign w:val="superscript"/>
                <w:lang w:val="sr-Latn-ME"/>
              </w:rPr>
              <w:t>2</w:t>
            </w:r>
            <w:r w:rsidRPr="005436C8">
              <w:rPr>
                <w:color w:val="000000"/>
                <w:sz w:val="22"/>
                <w:szCs w:val="22"/>
                <w:lang w:val="sr-Latn-ME"/>
              </w:rPr>
              <w:t xml:space="preserve"> [95% CI] </w:t>
            </w:r>
          </w:p>
        </w:tc>
        <w:tc>
          <w:tcPr>
            <w:tcW w:w="2250" w:type="dxa"/>
            <w:tcBorders>
              <w:top w:val="nil"/>
              <w:bottom w:val="single" w:sz="4" w:space="0" w:color="auto"/>
              <w:right w:val="nil"/>
            </w:tcBorders>
            <w:vAlign w:val="bottom"/>
          </w:tcPr>
          <w:p w14:paraId="31A7CD57"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93,5 [92,5, 94,5]</w:t>
            </w:r>
          </w:p>
        </w:tc>
        <w:tc>
          <w:tcPr>
            <w:tcW w:w="2127" w:type="dxa"/>
            <w:tcBorders>
              <w:top w:val="nil"/>
              <w:left w:val="nil"/>
              <w:bottom w:val="single" w:sz="4" w:space="0" w:color="auto"/>
            </w:tcBorders>
            <w:vAlign w:val="bottom"/>
          </w:tcPr>
          <w:p w14:paraId="0D7D48AB"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92,5 [91,4, 93,6]</w:t>
            </w:r>
          </w:p>
        </w:tc>
      </w:tr>
      <w:tr w:rsidR="000C7302" w:rsidRPr="005436C8" w14:paraId="35408C5B" w14:textId="77777777" w:rsidTr="000C7302">
        <w:trPr>
          <w:cantSplit/>
          <w:jc w:val="right"/>
        </w:trPr>
        <w:tc>
          <w:tcPr>
            <w:tcW w:w="4784" w:type="dxa"/>
            <w:tcBorders>
              <w:bottom w:val="nil"/>
            </w:tcBorders>
            <w:vAlign w:val="bottom"/>
          </w:tcPr>
          <w:p w14:paraId="74F3193E" w14:textId="77777777" w:rsidR="000C7302" w:rsidRPr="005436C8" w:rsidRDefault="000C7302" w:rsidP="005436C8">
            <w:pPr>
              <w:keepNext/>
              <w:keepLines/>
              <w:tabs>
                <w:tab w:val="left" w:pos="284"/>
              </w:tabs>
              <w:jc w:val="both"/>
              <w:rPr>
                <w:b/>
                <w:color w:val="000000"/>
                <w:sz w:val="22"/>
                <w:szCs w:val="22"/>
                <w:vertAlign w:val="superscript"/>
                <w:lang w:val="sr-Latn-ME"/>
              </w:rPr>
            </w:pPr>
            <w:r w:rsidRPr="005436C8">
              <w:rPr>
                <w:b/>
                <w:bCs/>
                <w:color w:val="000000"/>
                <w:sz w:val="22"/>
                <w:szCs w:val="22"/>
                <w:lang w:val="sr-Latn-ME"/>
              </w:rPr>
              <w:t xml:space="preserve">Preživljavanje bez bolesti (DFS) </w:t>
            </w:r>
          </w:p>
        </w:tc>
        <w:tc>
          <w:tcPr>
            <w:tcW w:w="4377" w:type="dxa"/>
            <w:gridSpan w:val="2"/>
            <w:tcBorders>
              <w:bottom w:val="nil"/>
            </w:tcBorders>
            <w:vAlign w:val="bottom"/>
          </w:tcPr>
          <w:p w14:paraId="2D1C644C" w14:textId="77777777" w:rsidR="000C7302" w:rsidRPr="005436C8" w:rsidRDefault="000C7302" w:rsidP="005436C8">
            <w:pPr>
              <w:keepNext/>
              <w:keepLines/>
              <w:tabs>
                <w:tab w:val="left" w:pos="284"/>
              </w:tabs>
              <w:jc w:val="both"/>
              <w:rPr>
                <w:b/>
                <w:color w:val="000000"/>
                <w:sz w:val="22"/>
                <w:szCs w:val="22"/>
                <w:lang w:val="sr-Latn-ME"/>
              </w:rPr>
            </w:pPr>
          </w:p>
        </w:tc>
      </w:tr>
      <w:tr w:rsidR="000C7302" w:rsidRPr="005436C8" w14:paraId="01B71D7F" w14:textId="77777777" w:rsidTr="000C7302">
        <w:trPr>
          <w:cantSplit/>
          <w:jc w:val="right"/>
        </w:trPr>
        <w:tc>
          <w:tcPr>
            <w:tcW w:w="4784" w:type="dxa"/>
            <w:tcBorders>
              <w:top w:val="nil"/>
              <w:bottom w:val="nil"/>
            </w:tcBorders>
            <w:vAlign w:val="bottom"/>
          </w:tcPr>
          <w:p w14:paraId="0855433F"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Broj (%) pacijenata sa događajem</w:t>
            </w:r>
          </w:p>
        </w:tc>
        <w:tc>
          <w:tcPr>
            <w:tcW w:w="2250" w:type="dxa"/>
            <w:tcBorders>
              <w:top w:val="nil"/>
              <w:bottom w:val="nil"/>
              <w:right w:val="nil"/>
            </w:tcBorders>
            <w:vAlign w:val="bottom"/>
          </w:tcPr>
          <w:p w14:paraId="4A01869A"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192 (8,0%)</w:t>
            </w:r>
          </w:p>
        </w:tc>
        <w:tc>
          <w:tcPr>
            <w:tcW w:w="2127" w:type="dxa"/>
            <w:tcBorders>
              <w:top w:val="nil"/>
              <w:left w:val="nil"/>
              <w:bottom w:val="nil"/>
            </w:tcBorders>
            <w:vAlign w:val="bottom"/>
          </w:tcPr>
          <w:p w14:paraId="37959D0F"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236 (9,8%)</w:t>
            </w:r>
          </w:p>
        </w:tc>
      </w:tr>
      <w:tr w:rsidR="000C7302" w:rsidRPr="005436C8" w14:paraId="5974C112" w14:textId="77777777" w:rsidTr="000C7302">
        <w:trPr>
          <w:cantSplit/>
          <w:jc w:val="right"/>
        </w:trPr>
        <w:tc>
          <w:tcPr>
            <w:tcW w:w="4784" w:type="dxa"/>
            <w:tcBorders>
              <w:top w:val="nil"/>
              <w:bottom w:val="nil"/>
            </w:tcBorders>
            <w:vAlign w:val="bottom"/>
          </w:tcPr>
          <w:p w14:paraId="68F34AD4"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HR [95% CI]</w:t>
            </w:r>
          </w:p>
        </w:tc>
        <w:tc>
          <w:tcPr>
            <w:tcW w:w="4377" w:type="dxa"/>
            <w:gridSpan w:val="2"/>
            <w:tcBorders>
              <w:top w:val="nil"/>
              <w:bottom w:val="nil"/>
            </w:tcBorders>
            <w:vAlign w:val="bottom"/>
          </w:tcPr>
          <w:p w14:paraId="588AA1F9"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0,81 [0,67, 0,98]</w:t>
            </w:r>
          </w:p>
        </w:tc>
      </w:tr>
      <w:tr w:rsidR="000C7302" w:rsidRPr="005436C8" w14:paraId="1A57A5EA" w14:textId="77777777" w:rsidTr="000C7302">
        <w:trPr>
          <w:cantSplit/>
          <w:jc w:val="right"/>
        </w:trPr>
        <w:tc>
          <w:tcPr>
            <w:tcW w:w="4784" w:type="dxa"/>
            <w:tcBorders>
              <w:top w:val="nil"/>
              <w:bottom w:val="nil"/>
            </w:tcBorders>
            <w:vAlign w:val="bottom"/>
          </w:tcPr>
          <w:p w14:paraId="6F1FB3CA"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p-</w:t>
            </w:r>
            <w:r w:rsidR="000A2EA9" w:rsidRPr="005436C8">
              <w:rPr>
                <w:color w:val="000000"/>
                <w:sz w:val="22"/>
                <w:szCs w:val="22"/>
                <w:lang w:val="sr-Latn-ME"/>
              </w:rPr>
              <w:t>vrijednost</w:t>
            </w:r>
            <w:r w:rsidRPr="005436C8">
              <w:rPr>
                <w:color w:val="000000"/>
                <w:sz w:val="22"/>
                <w:szCs w:val="22"/>
                <w:lang w:val="sr-Latn-ME"/>
              </w:rPr>
              <w:t xml:space="preserve"> (Log-Rank test, stratifikovan</w:t>
            </w:r>
            <w:r w:rsidRPr="005436C8">
              <w:rPr>
                <w:color w:val="000000"/>
                <w:sz w:val="22"/>
                <w:szCs w:val="22"/>
                <w:vertAlign w:val="superscript"/>
                <w:lang w:val="sr-Latn-ME"/>
              </w:rPr>
              <w:t>1</w:t>
            </w:r>
            <w:r w:rsidRPr="005436C8">
              <w:rPr>
                <w:color w:val="000000"/>
                <w:sz w:val="22"/>
                <w:szCs w:val="22"/>
                <w:lang w:val="sr-Latn-ME"/>
              </w:rPr>
              <w:t>)</w:t>
            </w:r>
          </w:p>
        </w:tc>
        <w:tc>
          <w:tcPr>
            <w:tcW w:w="4377" w:type="dxa"/>
            <w:gridSpan w:val="2"/>
            <w:tcBorders>
              <w:top w:val="nil"/>
              <w:bottom w:val="nil"/>
            </w:tcBorders>
            <w:vAlign w:val="bottom"/>
          </w:tcPr>
          <w:p w14:paraId="2E414DEF"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0,0327</w:t>
            </w:r>
          </w:p>
        </w:tc>
      </w:tr>
      <w:tr w:rsidR="000C7302" w:rsidRPr="005436C8" w14:paraId="65D38F8E" w14:textId="77777777" w:rsidTr="000C7302">
        <w:trPr>
          <w:cantSplit/>
          <w:jc w:val="right"/>
        </w:trPr>
        <w:tc>
          <w:tcPr>
            <w:tcW w:w="4784" w:type="dxa"/>
            <w:tcBorders>
              <w:top w:val="nil"/>
              <w:bottom w:val="single" w:sz="4" w:space="0" w:color="auto"/>
            </w:tcBorders>
            <w:vAlign w:val="bottom"/>
          </w:tcPr>
          <w:p w14:paraId="2F84BE8D"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Stopa odsustva događaja nakon 3 godine</w:t>
            </w:r>
            <w:r w:rsidRPr="005436C8">
              <w:rPr>
                <w:color w:val="000000"/>
                <w:sz w:val="22"/>
                <w:szCs w:val="22"/>
                <w:vertAlign w:val="superscript"/>
                <w:lang w:val="sr-Latn-ME"/>
              </w:rPr>
              <w:t>2</w:t>
            </w:r>
            <w:r w:rsidRPr="005436C8">
              <w:rPr>
                <w:color w:val="000000"/>
                <w:sz w:val="22"/>
                <w:szCs w:val="22"/>
                <w:lang w:val="sr-Latn-ME"/>
              </w:rPr>
              <w:t xml:space="preserve"> [95% CI]</w:t>
            </w:r>
          </w:p>
        </w:tc>
        <w:tc>
          <w:tcPr>
            <w:tcW w:w="2250" w:type="dxa"/>
            <w:tcBorders>
              <w:top w:val="nil"/>
              <w:bottom w:val="single" w:sz="4" w:space="0" w:color="auto"/>
              <w:right w:val="nil"/>
            </w:tcBorders>
            <w:vAlign w:val="bottom"/>
          </w:tcPr>
          <w:p w14:paraId="128EF813"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93,4 [92,4, 94,4]</w:t>
            </w:r>
          </w:p>
        </w:tc>
        <w:tc>
          <w:tcPr>
            <w:tcW w:w="2127" w:type="dxa"/>
            <w:tcBorders>
              <w:top w:val="nil"/>
              <w:left w:val="nil"/>
              <w:bottom w:val="single" w:sz="4" w:space="0" w:color="auto"/>
            </w:tcBorders>
            <w:vAlign w:val="bottom"/>
          </w:tcPr>
          <w:p w14:paraId="11CFA402"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92,3 [91,2, 93,4]</w:t>
            </w:r>
          </w:p>
        </w:tc>
      </w:tr>
      <w:tr w:rsidR="000C7302" w:rsidRPr="005436C8" w14:paraId="6978540B" w14:textId="77777777" w:rsidTr="000C7302">
        <w:trPr>
          <w:cantSplit/>
          <w:trHeight w:val="122"/>
          <w:jc w:val="right"/>
        </w:trPr>
        <w:tc>
          <w:tcPr>
            <w:tcW w:w="4784" w:type="dxa"/>
            <w:tcBorders>
              <w:bottom w:val="nil"/>
            </w:tcBorders>
            <w:vAlign w:val="bottom"/>
          </w:tcPr>
          <w:p w14:paraId="00372896" w14:textId="77777777" w:rsidR="000C7302" w:rsidRPr="005436C8" w:rsidRDefault="000C7302" w:rsidP="005436C8">
            <w:pPr>
              <w:keepNext/>
              <w:keepLines/>
              <w:tabs>
                <w:tab w:val="left" w:pos="284"/>
              </w:tabs>
              <w:jc w:val="both"/>
              <w:rPr>
                <w:b/>
                <w:color w:val="000000"/>
                <w:sz w:val="22"/>
                <w:szCs w:val="22"/>
                <w:vertAlign w:val="superscript"/>
                <w:lang w:val="sr-Latn-ME"/>
              </w:rPr>
            </w:pPr>
            <w:r w:rsidRPr="005436C8">
              <w:rPr>
                <w:b/>
                <w:bCs/>
                <w:color w:val="000000"/>
                <w:sz w:val="22"/>
                <w:szCs w:val="22"/>
                <w:lang w:val="sr-Latn-ME"/>
              </w:rPr>
              <w:t>Ukupno preživljavanje (OS)</w:t>
            </w:r>
            <w:r w:rsidRPr="005436C8">
              <w:rPr>
                <w:b/>
                <w:bCs/>
                <w:color w:val="000000"/>
                <w:sz w:val="22"/>
                <w:szCs w:val="22"/>
                <w:vertAlign w:val="superscript"/>
                <w:lang w:val="sr-Latn-ME"/>
              </w:rPr>
              <w:t>3</w:t>
            </w:r>
          </w:p>
        </w:tc>
        <w:tc>
          <w:tcPr>
            <w:tcW w:w="4377" w:type="dxa"/>
            <w:gridSpan w:val="2"/>
            <w:tcBorders>
              <w:bottom w:val="nil"/>
            </w:tcBorders>
            <w:vAlign w:val="bottom"/>
          </w:tcPr>
          <w:p w14:paraId="5F1CA87B" w14:textId="77777777" w:rsidR="000C7302" w:rsidRPr="005436C8" w:rsidRDefault="000C7302" w:rsidP="005436C8">
            <w:pPr>
              <w:keepNext/>
              <w:keepLines/>
              <w:tabs>
                <w:tab w:val="left" w:pos="284"/>
              </w:tabs>
              <w:jc w:val="both"/>
              <w:rPr>
                <w:color w:val="000000"/>
                <w:sz w:val="22"/>
                <w:szCs w:val="22"/>
                <w:lang w:val="sr-Latn-ME"/>
              </w:rPr>
            </w:pPr>
          </w:p>
        </w:tc>
      </w:tr>
      <w:tr w:rsidR="000C7302" w:rsidRPr="005436C8" w14:paraId="3877A772" w14:textId="77777777" w:rsidTr="000C7302">
        <w:trPr>
          <w:cantSplit/>
          <w:trHeight w:val="218"/>
          <w:jc w:val="right"/>
        </w:trPr>
        <w:tc>
          <w:tcPr>
            <w:tcW w:w="4784" w:type="dxa"/>
            <w:tcBorders>
              <w:top w:val="nil"/>
              <w:bottom w:val="nil"/>
            </w:tcBorders>
            <w:vAlign w:val="bottom"/>
          </w:tcPr>
          <w:p w14:paraId="483D1EA9"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Broj (%) pacijenata sa događajem</w:t>
            </w:r>
          </w:p>
        </w:tc>
        <w:tc>
          <w:tcPr>
            <w:tcW w:w="2250" w:type="dxa"/>
            <w:tcBorders>
              <w:top w:val="nil"/>
              <w:bottom w:val="nil"/>
              <w:right w:val="nil"/>
            </w:tcBorders>
            <w:vAlign w:val="bottom"/>
          </w:tcPr>
          <w:p w14:paraId="6BCE0C1D"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80 (3,3%)</w:t>
            </w:r>
          </w:p>
        </w:tc>
        <w:tc>
          <w:tcPr>
            <w:tcW w:w="2127" w:type="dxa"/>
            <w:tcBorders>
              <w:top w:val="nil"/>
              <w:left w:val="nil"/>
              <w:bottom w:val="nil"/>
            </w:tcBorders>
            <w:vAlign w:val="bottom"/>
          </w:tcPr>
          <w:p w14:paraId="5AB3A2C1"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89 (3,7%)</w:t>
            </w:r>
          </w:p>
        </w:tc>
      </w:tr>
      <w:tr w:rsidR="000C7302" w:rsidRPr="005436C8" w14:paraId="75654FA4" w14:textId="77777777" w:rsidTr="000C7302">
        <w:trPr>
          <w:cantSplit/>
          <w:trHeight w:val="218"/>
          <w:jc w:val="right"/>
        </w:trPr>
        <w:tc>
          <w:tcPr>
            <w:tcW w:w="4784" w:type="dxa"/>
            <w:tcBorders>
              <w:top w:val="nil"/>
              <w:bottom w:val="nil"/>
            </w:tcBorders>
            <w:vAlign w:val="bottom"/>
          </w:tcPr>
          <w:p w14:paraId="615F9861"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HR [95% CI]</w:t>
            </w:r>
          </w:p>
        </w:tc>
        <w:tc>
          <w:tcPr>
            <w:tcW w:w="4377" w:type="dxa"/>
            <w:gridSpan w:val="2"/>
            <w:tcBorders>
              <w:top w:val="nil"/>
              <w:bottom w:val="nil"/>
            </w:tcBorders>
            <w:vAlign w:val="bottom"/>
          </w:tcPr>
          <w:p w14:paraId="2B65A485"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0,89 [0,66, 1,21]</w:t>
            </w:r>
          </w:p>
        </w:tc>
      </w:tr>
      <w:tr w:rsidR="000C7302" w:rsidRPr="005436C8" w14:paraId="7F59D663" w14:textId="77777777" w:rsidTr="000C7302">
        <w:trPr>
          <w:cantSplit/>
          <w:trHeight w:val="218"/>
          <w:jc w:val="right"/>
        </w:trPr>
        <w:tc>
          <w:tcPr>
            <w:tcW w:w="4784" w:type="dxa"/>
            <w:tcBorders>
              <w:top w:val="nil"/>
              <w:bottom w:val="nil"/>
            </w:tcBorders>
            <w:vAlign w:val="bottom"/>
          </w:tcPr>
          <w:p w14:paraId="4AAD31CD"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p-</w:t>
            </w:r>
            <w:r w:rsidR="000A2EA9" w:rsidRPr="005436C8">
              <w:rPr>
                <w:color w:val="000000"/>
                <w:sz w:val="22"/>
                <w:szCs w:val="22"/>
                <w:lang w:val="sr-Latn-ME"/>
              </w:rPr>
              <w:t>vrijednost</w:t>
            </w:r>
            <w:r w:rsidRPr="005436C8">
              <w:rPr>
                <w:color w:val="000000"/>
                <w:sz w:val="22"/>
                <w:szCs w:val="22"/>
                <w:lang w:val="sr-Latn-ME"/>
              </w:rPr>
              <w:t xml:space="preserve"> (Log-Rank test, stratifikovan</w:t>
            </w:r>
            <w:r w:rsidRPr="005436C8">
              <w:rPr>
                <w:color w:val="000000"/>
                <w:sz w:val="22"/>
                <w:szCs w:val="22"/>
                <w:vertAlign w:val="superscript"/>
                <w:lang w:val="sr-Latn-ME"/>
              </w:rPr>
              <w:t>1</w:t>
            </w:r>
            <w:r w:rsidRPr="005436C8">
              <w:rPr>
                <w:color w:val="000000"/>
                <w:sz w:val="22"/>
                <w:szCs w:val="22"/>
                <w:lang w:val="sr-Latn-ME"/>
              </w:rPr>
              <w:t>)</w:t>
            </w:r>
          </w:p>
        </w:tc>
        <w:tc>
          <w:tcPr>
            <w:tcW w:w="4377" w:type="dxa"/>
            <w:gridSpan w:val="2"/>
            <w:tcBorders>
              <w:top w:val="nil"/>
              <w:bottom w:val="nil"/>
            </w:tcBorders>
            <w:vAlign w:val="bottom"/>
          </w:tcPr>
          <w:p w14:paraId="715C5C9D" w14:textId="77777777" w:rsidR="000C7302" w:rsidRPr="005436C8" w:rsidRDefault="000C7302" w:rsidP="005436C8">
            <w:pPr>
              <w:keepNext/>
              <w:keepLines/>
              <w:tabs>
                <w:tab w:val="left" w:pos="284"/>
              </w:tabs>
              <w:jc w:val="center"/>
              <w:rPr>
                <w:color w:val="000000"/>
                <w:sz w:val="22"/>
                <w:szCs w:val="22"/>
                <w:lang w:val="sr-Latn-ME"/>
              </w:rPr>
            </w:pPr>
            <w:r w:rsidRPr="005436C8">
              <w:rPr>
                <w:color w:val="000000"/>
                <w:sz w:val="22"/>
                <w:szCs w:val="22"/>
                <w:lang w:val="sr-Latn-ME"/>
              </w:rPr>
              <w:t>0,4673</w:t>
            </w:r>
          </w:p>
        </w:tc>
      </w:tr>
      <w:tr w:rsidR="000C7302" w:rsidRPr="005436C8" w14:paraId="04BC93BC" w14:textId="77777777" w:rsidTr="000C7302">
        <w:trPr>
          <w:cantSplit/>
          <w:trHeight w:val="218"/>
          <w:jc w:val="right"/>
        </w:trPr>
        <w:tc>
          <w:tcPr>
            <w:tcW w:w="4784" w:type="dxa"/>
            <w:tcBorders>
              <w:top w:val="nil"/>
              <w:bottom w:val="single" w:sz="4" w:space="0" w:color="auto"/>
            </w:tcBorders>
            <w:vAlign w:val="bottom"/>
          </w:tcPr>
          <w:p w14:paraId="34828EC6"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Stopa odsustva događaja nakon 3 godine</w:t>
            </w:r>
            <w:r w:rsidRPr="005436C8">
              <w:rPr>
                <w:color w:val="000000"/>
                <w:sz w:val="22"/>
                <w:szCs w:val="22"/>
                <w:vertAlign w:val="superscript"/>
                <w:lang w:val="sr-Latn-ME"/>
              </w:rPr>
              <w:t>2</w:t>
            </w:r>
            <w:r w:rsidRPr="005436C8">
              <w:rPr>
                <w:color w:val="000000"/>
                <w:sz w:val="22"/>
                <w:szCs w:val="22"/>
                <w:lang w:val="sr-Latn-ME"/>
              </w:rPr>
              <w:t xml:space="preserve"> [95% CI]</w:t>
            </w:r>
          </w:p>
        </w:tc>
        <w:tc>
          <w:tcPr>
            <w:tcW w:w="2250" w:type="dxa"/>
            <w:tcBorders>
              <w:top w:val="nil"/>
              <w:bottom w:val="single" w:sz="4" w:space="0" w:color="auto"/>
              <w:right w:val="nil"/>
            </w:tcBorders>
            <w:vAlign w:val="bottom"/>
          </w:tcPr>
          <w:p w14:paraId="0FAC10AF"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97,7 [97,0, 98,3]</w:t>
            </w:r>
          </w:p>
        </w:tc>
        <w:tc>
          <w:tcPr>
            <w:tcW w:w="2127" w:type="dxa"/>
            <w:tcBorders>
              <w:top w:val="nil"/>
              <w:left w:val="nil"/>
              <w:bottom w:val="single" w:sz="4" w:space="0" w:color="auto"/>
            </w:tcBorders>
            <w:vAlign w:val="bottom"/>
          </w:tcPr>
          <w:p w14:paraId="5708B961" w14:textId="77777777" w:rsidR="000C7302" w:rsidRPr="005436C8" w:rsidRDefault="000C7302" w:rsidP="005436C8">
            <w:pPr>
              <w:keepNext/>
              <w:keepLines/>
              <w:tabs>
                <w:tab w:val="left" w:pos="284"/>
              </w:tabs>
              <w:jc w:val="right"/>
              <w:rPr>
                <w:color w:val="000000"/>
                <w:sz w:val="22"/>
                <w:szCs w:val="22"/>
                <w:lang w:val="sr-Latn-ME"/>
              </w:rPr>
            </w:pPr>
            <w:r w:rsidRPr="005436C8">
              <w:rPr>
                <w:color w:val="000000"/>
                <w:sz w:val="22"/>
                <w:szCs w:val="22"/>
                <w:lang w:val="sr-Latn-ME"/>
              </w:rPr>
              <w:t>97,7 [97,1, 98,3]</w:t>
            </w:r>
          </w:p>
        </w:tc>
      </w:tr>
    </w:tbl>
    <w:p w14:paraId="517C5070" w14:textId="77777777" w:rsidR="000C7302" w:rsidRPr="005436C8" w:rsidRDefault="000C7302" w:rsidP="005436C8">
      <w:pPr>
        <w:keepNext/>
        <w:keepLines/>
        <w:tabs>
          <w:tab w:val="left" w:pos="284"/>
        </w:tabs>
        <w:jc w:val="both"/>
        <w:rPr>
          <w:color w:val="000000"/>
          <w:sz w:val="22"/>
          <w:szCs w:val="22"/>
          <w:lang w:val="sr-Latn-ME"/>
        </w:rPr>
      </w:pPr>
      <w:r w:rsidRPr="005436C8">
        <w:rPr>
          <w:b/>
          <w:bCs/>
          <w:color w:val="000000"/>
          <w:sz w:val="22"/>
          <w:szCs w:val="22"/>
          <w:lang w:val="sr-Latn-ME"/>
        </w:rPr>
        <w:t xml:space="preserve">Objašnjenje skraćenica (tabela 6): </w:t>
      </w:r>
      <w:r w:rsidRPr="005436C8">
        <w:rPr>
          <w:color w:val="000000"/>
          <w:sz w:val="22"/>
          <w:szCs w:val="22"/>
          <w:lang w:val="sr-Latn-ME"/>
        </w:rPr>
        <w:t>HR: stopa rizika; CI: interval pouzdanosti</w:t>
      </w:r>
    </w:p>
    <w:p w14:paraId="2926BAEC"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1. Sve analize su stratifikovane prema statusu zahvaćenosti limfnih čvorova, verziji protokola, centralnom statusu hormonskih receptora i adjuvantnom hemoterapijskom režimu. </w:t>
      </w:r>
    </w:p>
    <w:p w14:paraId="4DDDA83B"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2. </w:t>
      </w:r>
      <w:r w:rsidR="00FE2099" w:rsidRPr="005436C8">
        <w:rPr>
          <w:color w:val="000000"/>
          <w:sz w:val="22"/>
          <w:szCs w:val="22"/>
          <w:lang w:val="sr-Latn-ME"/>
        </w:rPr>
        <w:t xml:space="preserve">Trogodišnja stopa </w:t>
      </w:r>
      <w:r w:rsidRPr="005436C8">
        <w:rPr>
          <w:color w:val="000000"/>
          <w:sz w:val="22"/>
          <w:szCs w:val="22"/>
          <w:lang w:val="sr-Latn-ME"/>
        </w:rPr>
        <w:t xml:space="preserve">odsustva događaja na osnovu Kaplan-Mejerovih </w:t>
      </w:r>
      <w:r w:rsidR="00FE754C" w:rsidRPr="005436C8">
        <w:rPr>
          <w:color w:val="000000"/>
          <w:sz w:val="22"/>
          <w:szCs w:val="22"/>
          <w:lang w:val="sr-Latn-ME"/>
        </w:rPr>
        <w:t>procjen</w:t>
      </w:r>
      <w:r w:rsidRPr="005436C8">
        <w:rPr>
          <w:color w:val="000000"/>
          <w:sz w:val="22"/>
          <w:szCs w:val="22"/>
          <w:lang w:val="sr-Latn-ME"/>
        </w:rPr>
        <w:t>a.</w:t>
      </w:r>
    </w:p>
    <w:p w14:paraId="4B8BB7A0" w14:textId="77777777" w:rsidR="000C7302" w:rsidRPr="005436C8" w:rsidRDefault="000C7302" w:rsidP="005436C8">
      <w:pPr>
        <w:keepNext/>
        <w:keepLines/>
        <w:tabs>
          <w:tab w:val="left" w:pos="284"/>
        </w:tabs>
        <w:ind w:left="1080" w:hanging="1080"/>
        <w:jc w:val="both"/>
        <w:rPr>
          <w:b/>
          <w:noProof/>
          <w:color w:val="000000"/>
          <w:sz w:val="22"/>
          <w:szCs w:val="22"/>
          <w:lang w:val="sr-Latn-ME"/>
        </w:rPr>
      </w:pPr>
      <w:r w:rsidRPr="005436C8">
        <w:rPr>
          <w:color w:val="000000"/>
          <w:sz w:val="22"/>
          <w:szCs w:val="22"/>
          <w:lang w:val="sr-Latn-ME"/>
        </w:rPr>
        <w:t>3. Podaci iz pr</w:t>
      </w:r>
      <w:r w:rsidR="009F2B85" w:rsidRPr="005436C8">
        <w:rPr>
          <w:color w:val="000000"/>
          <w:sz w:val="22"/>
          <w:szCs w:val="22"/>
          <w:lang w:val="sr-Latn-ME"/>
        </w:rPr>
        <w:t>imarne</w:t>
      </w:r>
      <w:r w:rsidRPr="005436C8">
        <w:rPr>
          <w:color w:val="000000"/>
          <w:sz w:val="22"/>
          <w:szCs w:val="22"/>
          <w:lang w:val="sr-Latn-ME"/>
        </w:rPr>
        <w:t xml:space="preserve"> analize. </w:t>
      </w:r>
    </w:p>
    <w:p w14:paraId="4A1046F2" w14:textId="77777777" w:rsidR="000C7302" w:rsidRPr="005436C8" w:rsidRDefault="000C7302" w:rsidP="005436C8">
      <w:pPr>
        <w:tabs>
          <w:tab w:val="left" w:pos="284"/>
        </w:tabs>
        <w:jc w:val="both"/>
        <w:rPr>
          <w:sz w:val="22"/>
          <w:szCs w:val="22"/>
          <w:lang w:val="sr-Latn-ME"/>
        </w:rPr>
      </w:pPr>
    </w:p>
    <w:p w14:paraId="6D7E993D" w14:textId="77777777" w:rsidR="000C7302" w:rsidRPr="005436C8" w:rsidRDefault="000C7302" w:rsidP="005436C8">
      <w:pPr>
        <w:keepNext/>
        <w:keepLines/>
        <w:tabs>
          <w:tab w:val="left" w:pos="284"/>
        </w:tabs>
        <w:ind w:left="1080" w:hanging="1080"/>
        <w:jc w:val="both"/>
        <w:rPr>
          <w:b/>
          <w:noProof/>
          <w:color w:val="000000"/>
          <w:sz w:val="22"/>
          <w:szCs w:val="22"/>
          <w:lang w:val="sr-Latn-ME"/>
        </w:rPr>
      </w:pPr>
      <w:r w:rsidRPr="005436C8">
        <w:rPr>
          <w:b/>
          <w:bCs/>
          <w:noProof/>
          <w:color w:val="000000"/>
          <w:sz w:val="22"/>
          <w:szCs w:val="22"/>
          <w:lang w:val="sr-Latn-ME"/>
        </w:rPr>
        <w:t>Slika 1</w:t>
      </w:r>
      <w:r w:rsidRPr="005436C8">
        <w:rPr>
          <w:b/>
          <w:bCs/>
          <w:noProof/>
          <w:color w:val="000000"/>
          <w:sz w:val="22"/>
          <w:szCs w:val="22"/>
          <w:lang w:val="sr-Latn-ME"/>
        </w:rPr>
        <w:tab/>
        <w:t xml:space="preserve">Kaplan-Mejerova kriva preživljavanja bez invazivne bolesti </w:t>
      </w:r>
    </w:p>
    <w:p w14:paraId="2CC9A582" w14:textId="77777777" w:rsidR="000C7302" w:rsidRPr="005436C8" w:rsidRDefault="000C7302" w:rsidP="005436C8">
      <w:pPr>
        <w:tabs>
          <w:tab w:val="left" w:pos="540"/>
          <w:tab w:val="left" w:pos="569"/>
        </w:tabs>
        <w:rPr>
          <w:b/>
          <w:bCs/>
          <w:sz w:val="22"/>
          <w:szCs w:val="22"/>
          <w:lang w:val="sr-Latn-ME"/>
        </w:rPr>
      </w:pPr>
    </w:p>
    <w:p w14:paraId="4EDF38E1" w14:textId="77777777" w:rsidR="00401A0D" w:rsidRPr="005436C8" w:rsidRDefault="00401A0D" w:rsidP="005436C8">
      <w:pPr>
        <w:tabs>
          <w:tab w:val="left" w:pos="540"/>
          <w:tab w:val="left" w:pos="569"/>
        </w:tabs>
        <w:rPr>
          <w:b/>
          <w:bCs/>
          <w:sz w:val="22"/>
          <w:szCs w:val="22"/>
          <w:lang w:val="sr-Latn-ME"/>
        </w:rPr>
      </w:pPr>
      <w:r w:rsidRPr="005436C8">
        <w:rPr>
          <w:b/>
          <w:bCs/>
          <w:noProof/>
          <w:sz w:val="22"/>
          <w:szCs w:val="22"/>
        </w:rPr>
        <w:lastRenderedPageBreak/>
        <w:drawing>
          <wp:inline distT="0" distB="0" distL="0" distR="0" wp14:anchorId="2A5D1A24" wp14:editId="50C0A1EE">
            <wp:extent cx="5503229" cy="36976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8663" cy="3701256"/>
                    </a:xfrm>
                    <a:prstGeom prst="rect">
                      <a:avLst/>
                    </a:prstGeom>
                  </pic:spPr>
                </pic:pic>
              </a:graphicData>
            </a:graphic>
          </wp:inline>
        </w:drawing>
      </w:r>
    </w:p>
    <w:p w14:paraId="6495E29B" w14:textId="77777777" w:rsidR="000C7302" w:rsidRPr="005436C8" w:rsidRDefault="000C7302" w:rsidP="005436C8">
      <w:pPr>
        <w:tabs>
          <w:tab w:val="left" w:pos="540"/>
          <w:tab w:val="left" w:pos="569"/>
        </w:tabs>
        <w:rPr>
          <w:b/>
          <w:bCs/>
          <w:sz w:val="22"/>
          <w:szCs w:val="22"/>
          <w:lang w:val="sr-Latn-ME"/>
        </w:rPr>
      </w:pPr>
    </w:p>
    <w:p w14:paraId="65235076" w14:textId="77777777" w:rsidR="000C7302" w:rsidRPr="005436C8" w:rsidRDefault="000C7302" w:rsidP="005436C8">
      <w:pPr>
        <w:keepNext/>
        <w:keepLines/>
        <w:rPr>
          <w:color w:val="000000"/>
          <w:sz w:val="22"/>
          <w:szCs w:val="22"/>
          <w:lang w:val="sr-Latn-ME"/>
        </w:rPr>
      </w:pPr>
      <w:r w:rsidRPr="005436C8">
        <w:rPr>
          <w:b/>
          <w:noProof/>
          <w:color w:val="000000"/>
          <w:sz w:val="22"/>
          <w:szCs w:val="22"/>
          <w:lang w:val="sr-Latn-ME"/>
        </w:rPr>
        <w:tab/>
      </w:r>
      <w:r w:rsidRPr="005436C8">
        <w:rPr>
          <w:noProof/>
          <w:color w:val="000000"/>
          <w:sz w:val="22"/>
          <w:szCs w:val="22"/>
          <w:lang w:val="sr-Latn-ME"/>
        </w:rPr>
        <w:t>IDFS= preživljavanja bez invazivne bolesti; CI= interval pouzdanosti; Pla= placebo; Ptz= pertuzumab ; T= trastuzumab.</w:t>
      </w:r>
    </w:p>
    <w:p w14:paraId="16D2BE40" w14:textId="77777777" w:rsidR="000C7302" w:rsidRPr="005436C8" w:rsidRDefault="000C7302" w:rsidP="005436C8">
      <w:pPr>
        <w:tabs>
          <w:tab w:val="left" w:pos="3150"/>
        </w:tabs>
        <w:jc w:val="both"/>
        <w:rPr>
          <w:b/>
          <w:noProof/>
          <w:color w:val="000000"/>
          <w:sz w:val="22"/>
          <w:szCs w:val="22"/>
          <w:lang w:val="sr-Latn-ME"/>
        </w:rPr>
      </w:pPr>
    </w:p>
    <w:p w14:paraId="2DD948A3" w14:textId="77777777" w:rsidR="000C7302" w:rsidRPr="005436C8" w:rsidRDefault="00FE754C" w:rsidP="005436C8">
      <w:pPr>
        <w:tabs>
          <w:tab w:val="left" w:pos="284"/>
        </w:tabs>
        <w:jc w:val="both"/>
        <w:rPr>
          <w:noProof/>
          <w:color w:val="000000"/>
          <w:sz w:val="22"/>
          <w:szCs w:val="22"/>
          <w:u w:val="single"/>
          <w:lang w:val="sr-Latn-ME"/>
        </w:rPr>
      </w:pPr>
      <w:r w:rsidRPr="005436C8">
        <w:rPr>
          <w:noProof/>
          <w:color w:val="000000"/>
          <w:sz w:val="22"/>
          <w:szCs w:val="22"/>
          <w:lang w:val="sr-Latn-ME"/>
        </w:rPr>
        <w:t>Procjen</w:t>
      </w:r>
      <w:r w:rsidR="000C7302" w:rsidRPr="005436C8">
        <w:rPr>
          <w:noProof/>
          <w:color w:val="000000"/>
          <w:sz w:val="22"/>
          <w:szCs w:val="22"/>
          <w:lang w:val="sr-Latn-ME"/>
        </w:rPr>
        <w:t xml:space="preserve">a IDFS nakon 4 godine iznosila je 92,3% u grupi </w:t>
      </w:r>
      <w:r w:rsidR="00F90BE1" w:rsidRPr="005436C8">
        <w:rPr>
          <w:noProof/>
          <w:color w:val="000000"/>
          <w:sz w:val="22"/>
          <w:szCs w:val="22"/>
          <w:lang w:val="sr-Latn-ME"/>
        </w:rPr>
        <w:t>liječenoj</w:t>
      </w:r>
      <w:r w:rsidR="000C7302" w:rsidRPr="005436C8">
        <w:rPr>
          <w:noProof/>
          <w:color w:val="000000"/>
          <w:sz w:val="22"/>
          <w:szCs w:val="22"/>
          <w:lang w:val="sr-Latn-ME"/>
        </w:rPr>
        <w:t xml:space="preserve"> pertuzumabom</w:t>
      </w:r>
      <w:r w:rsidR="00FE2099" w:rsidRPr="005436C8">
        <w:rPr>
          <w:noProof/>
          <w:color w:val="000000"/>
          <w:sz w:val="22"/>
          <w:szCs w:val="22"/>
          <w:lang w:val="sr-Latn-ME"/>
        </w:rPr>
        <w:t>,</w:t>
      </w:r>
      <w:r w:rsidR="000C7302" w:rsidRPr="005436C8">
        <w:rPr>
          <w:noProof/>
          <w:color w:val="000000"/>
          <w:sz w:val="22"/>
          <w:szCs w:val="22"/>
          <w:lang w:val="sr-Latn-ME"/>
        </w:rPr>
        <w:t xml:space="preserve"> u poređenju sa 90,6% u grupi </w:t>
      </w:r>
      <w:r w:rsidR="00F90BE1" w:rsidRPr="005436C8">
        <w:rPr>
          <w:noProof/>
          <w:color w:val="000000"/>
          <w:sz w:val="22"/>
          <w:szCs w:val="22"/>
          <w:lang w:val="sr-Latn-ME"/>
        </w:rPr>
        <w:t>liječenoj</w:t>
      </w:r>
      <w:r w:rsidR="000C7302" w:rsidRPr="005436C8">
        <w:rPr>
          <w:noProof/>
          <w:color w:val="000000"/>
          <w:sz w:val="22"/>
          <w:szCs w:val="22"/>
          <w:lang w:val="sr-Latn-ME"/>
        </w:rPr>
        <w:t xml:space="preserve"> placebom. U </w:t>
      </w:r>
      <w:r w:rsidR="002700CC" w:rsidRPr="005436C8">
        <w:rPr>
          <w:noProof/>
          <w:color w:val="000000"/>
          <w:sz w:val="22"/>
          <w:szCs w:val="22"/>
          <w:lang w:val="sr-Latn-ME"/>
        </w:rPr>
        <w:t>vr</w:t>
      </w:r>
      <w:r w:rsidR="00FE2099" w:rsidRPr="005436C8">
        <w:rPr>
          <w:noProof/>
          <w:color w:val="000000"/>
          <w:sz w:val="22"/>
          <w:szCs w:val="22"/>
          <w:lang w:val="sr-Latn-ME"/>
        </w:rPr>
        <w:t>ij</w:t>
      </w:r>
      <w:r w:rsidR="002700CC" w:rsidRPr="005436C8">
        <w:rPr>
          <w:noProof/>
          <w:color w:val="000000"/>
          <w:sz w:val="22"/>
          <w:szCs w:val="22"/>
          <w:lang w:val="sr-Latn-ME"/>
        </w:rPr>
        <w:t>em</w:t>
      </w:r>
      <w:r w:rsidR="00A21698" w:rsidRPr="005436C8">
        <w:rPr>
          <w:noProof/>
          <w:color w:val="000000"/>
          <w:sz w:val="22"/>
          <w:szCs w:val="22"/>
          <w:lang w:val="sr-Latn-ME"/>
        </w:rPr>
        <w:t>e</w:t>
      </w:r>
      <w:r w:rsidR="000C7302" w:rsidRPr="005436C8">
        <w:rPr>
          <w:noProof/>
          <w:color w:val="000000"/>
          <w:sz w:val="22"/>
          <w:szCs w:val="22"/>
          <w:lang w:val="sr-Latn-ME"/>
        </w:rPr>
        <w:t xml:space="preserve"> </w:t>
      </w:r>
      <w:r w:rsidRPr="005436C8">
        <w:rPr>
          <w:noProof/>
          <w:color w:val="000000"/>
          <w:sz w:val="22"/>
          <w:szCs w:val="22"/>
          <w:lang w:val="sr-Latn-ME"/>
        </w:rPr>
        <w:t>procjen</w:t>
      </w:r>
      <w:r w:rsidR="000C7302" w:rsidRPr="005436C8">
        <w:rPr>
          <w:noProof/>
          <w:color w:val="000000"/>
          <w:sz w:val="22"/>
          <w:szCs w:val="22"/>
          <w:lang w:val="sr-Latn-ME"/>
        </w:rPr>
        <w:t>e, medijana praćenja iznosila je 45,4 m</w:t>
      </w:r>
      <w:r w:rsidR="009F2B85" w:rsidRPr="005436C8">
        <w:rPr>
          <w:noProof/>
          <w:color w:val="000000"/>
          <w:sz w:val="22"/>
          <w:szCs w:val="22"/>
          <w:lang w:val="sr-Latn-ME"/>
        </w:rPr>
        <w:t>j</w:t>
      </w:r>
      <w:r w:rsidR="000C7302" w:rsidRPr="005436C8">
        <w:rPr>
          <w:noProof/>
          <w:color w:val="000000"/>
          <w:sz w:val="22"/>
          <w:szCs w:val="22"/>
          <w:lang w:val="sr-Latn-ME"/>
        </w:rPr>
        <w:t>eseci.</w:t>
      </w:r>
    </w:p>
    <w:p w14:paraId="03C44F37" w14:textId="77777777" w:rsidR="000C7302" w:rsidRPr="005436C8" w:rsidRDefault="000C7302" w:rsidP="005436C8">
      <w:pPr>
        <w:tabs>
          <w:tab w:val="left" w:pos="284"/>
        </w:tabs>
        <w:jc w:val="both"/>
        <w:rPr>
          <w:noProof/>
          <w:color w:val="000000"/>
          <w:sz w:val="22"/>
          <w:szCs w:val="22"/>
          <w:u w:val="single"/>
          <w:lang w:val="sr-Latn-ME"/>
        </w:rPr>
      </w:pPr>
    </w:p>
    <w:p w14:paraId="1D1F94B9" w14:textId="77777777" w:rsidR="000C7302" w:rsidRPr="005436C8" w:rsidRDefault="000C7302" w:rsidP="005436C8">
      <w:pPr>
        <w:tabs>
          <w:tab w:val="left" w:pos="284"/>
        </w:tabs>
        <w:jc w:val="both"/>
        <w:rPr>
          <w:noProof/>
          <w:color w:val="000000"/>
          <w:sz w:val="22"/>
          <w:szCs w:val="22"/>
          <w:u w:val="single"/>
          <w:lang w:val="sr-Latn-ME"/>
        </w:rPr>
      </w:pPr>
      <w:r w:rsidRPr="005436C8">
        <w:rPr>
          <w:noProof/>
          <w:color w:val="000000"/>
          <w:sz w:val="22"/>
          <w:szCs w:val="22"/>
          <w:u w:val="single"/>
          <w:lang w:val="sr-Latn-ME"/>
        </w:rPr>
        <w:t xml:space="preserve">Rezultati analize podgrupa </w:t>
      </w:r>
    </w:p>
    <w:p w14:paraId="5F994955" w14:textId="77777777" w:rsidR="000C7302" w:rsidRPr="005436C8" w:rsidRDefault="000C7302" w:rsidP="005436C8">
      <w:pPr>
        <w:tabs>
          <w:tab w:val="left" w:pos="284"/>
        </w:tabs>
        <w:jc w:val="both"/>
        <w:rPr>
          <w:noProof/>
          <w:color w:val="000000"/>
          <w:sz w:val="22"/>
          <w:szCs w:val="22"/>
          <w:u w:val="single"/>
          <w:lang w:val="sr-Latn-ME"/>
        </w:rPr>
      </w:pPr>
    </w:p>
    <w:p w14:paraId="169F30B3"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U </w:t>
      </w:r>
      <w:r w:rsidR="002700CC" w:rsidRPr="005436C8">
        <w:rPr>
          <w:noProof/>
          <w:color w:val="000000"/>
          <w:sz w:val="22"/>
          <w:szCs w:val="22"/>
          <w:lang w:val="sr-Latn-ME"/>
        </w:rPr>
        <w:t>vr</w:t>
      </w:r>
      <w:r w:rsidR="00FE2099" w:rsidRPr="005436C8">
        <w:rPr>
          <w:noProof/>
          <w:color w:val="000000"/>
          <w:sz w:val="22"/>
          <w:szCs w:val="22"/>
          <w:lang w:val="sr-Latn-ME"/>
        </w:rPr>
        <w:t>ij</w:t>
      </w:r>
      <w:r w:rsidR="002700CC" w:rsidRPr="005436C8">
        <w:rPr>
          <w:noProof/>
          <w:color w:val="000000"/>
          <w:sz w:val="22"/>
          <w:szCs w:val="22"/>
          <w:lang w:val="sr-Latn-ME"/>
        </w:rPr>
        <w:t>em</w:t>
      </w:r>
      <w:r w:rsidR="00A21698" w:rsidRPr="005436C8">
        <w:rPr>
          <w:noProof/>
          <w:color w:val="000000"/>
          <w:sz w:val="22"/>
          <w:szCs w:val="22"/>
          <w:lang w:val="sr-Latn-ME"/>
        </w:rPr>
        <w:t>e</w:t>
      </w:r>
      <w:r w:rsidRPr="005436C8">
        <w:rPr>
          <w:noProof/>
          <w:color w:val="000000"/>
          <w:sz w:val="22"/>
          <w:szCs w:val="22"/>
          <w:lang w:val="sr-Latn-ME"/>
        </w:rPr>
        <w:t xml:space="preserve"> primarne analize</w:t>
      </w:r>
      <w:r w:rsidR="00FE2099" w:rsidRPr="005436C8">
        <w:rPr>
          <w:noProof/>
          <w:color w:val="000000"/>
          <w:sz w:val="22"/>
          <w:szCs w:val="22"/>
          <w:lang w:val="sr-Latn-ME"/>
        </w:rPr>
        <w:t>,</w:t>
      </w:r>
      <w:r w:rsidRPr="005436C8">
        <w:rPr>
          <w:noProof/>
          <w:color w:val="000000"/>
          <w:sz w:val="22"/>
          <w:szCs w:val="22"/>
          <w:lang w:val="sr-Latn-ME"/>
        </w:rPr>
        <w:t xml:space="preserve"> koristi pertuzumaba bile su očiglednije u podgrupama pacijenata u visokom riziku od recidiva: pacijentima sa zahvaćenim nodusima ili bolešću negativnom na hormonske receptore (pogledati tabelu 7).</w:t>
      </w:r>
    </w:p>
    <w:p w14:paraId="741C0F4D" w14:textId="77777777" w:rsidR="000C7302" w:rsidRPr="005436C8" w:rsidRDefault="000C7302" w:rsidP="005436C8">
      <w:pPr>
        <w:tabs>
          <w:tab w:val="left" w:pos="284"/>
        </w:tabs>
        <w:jc w:val="both"/>
        <w:rPr>
          <w:noProof/>
          <w:color w:val="000000"/>
          <w:sz w:val="22"/>
          <w:szCs w:val="22"/>
          <w:lang w:val="sr-Latn-ME"/>
        </w:rPr>
      </w:pPr>
    </w:p>
    <w:p w14:paraId="7383F9BA" w14:textId="77777777" w:rsidR="000C7302" w:rsidRPr="005436C8" w:rsidRDefault="000C7302" w:rsidP="005436C8">
      <w:pPr>
        <w:keepLines/>
        <w:tabs>
          <w:tab w:val="left" w:pos="284"/>
        </w:tabs>
        <w:jc w:val="both"/>
        <w:rPr>
          <w:b/>
          <w:noProof/>
          <w:color w:val="000000"/>
          <w:sz w:val="22"/>
          <w:szCs w:val="22"/>
          <w:vertAlign w:val="superscript"/>
          <w:lang w:val="sr-Latn-ME"/>
        </w:rPr>
      </w:pPr>
      <w:r w:rsidRPr="005436C8">
        <w:rPr>
          <w:b/>
          <w:bCs/>
          <w:noProof/>
          <w:color w:val="000000"/>
          <w:sz w:val="22"/>
          <w:szCs w:val="22"/>
          <w:lang w:val="sr-Latn-ME"/>
        </w:rPr>
        <w:t>Table 7 Rezultati efikasnosti u podgrupama prema statusu nodusa i statusu hormonskih receptora</w:t>
      </w:r>
      <w:r w:rsidRPr="005436C8">
        <w:rPr>
          <w:b/>
          <w:bCs/>
          <w:noProof/>
          <w:color w:val="000000"/>
          <w:sz w:val="22"/>
          <w:szCs w:val="22"/>
          <w:vertAlign w:val="superscript"/>
          <w:lang w:val="sr-Latn-ME"/>
        </w:rPr>
        <w:t>1</w:t>
      </w:r>
    </w:p>
    <w:p w14:paraId="29103F0C" w14:textId="77777777" w:rsidR="000C7302" w:rsidRPr="005436C8" w:rsidRDefault="000C7302" w:rsidP="005436C8">
      <w:pPr>
        <w:tabs>
          <w:tab w:val="left" w:pos="540"/>
          <w:tab w:val="left" w:pos="569"/>
        </w:tabs>
        <w:rPr>
          <w:b/>
          <w:bCs/>
          <w:sz w:val="22"/>
          <w:szCs w:val="22"/>
          <w:lang w:val="sr-Latn-M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0C7302" w:rsidRPr="005436C8" w14:paraId="210EC5B3" w14:textId="77777777" w:rsidTr="000C7302">
        <w:trPr>
          <w:trHeight w:val="222"/>
        </w:trPr>
        <w:tc>
          <w:tcPr>
            <w:tcW w:w="2538" w:type="dxa"/>
            <w:vMerge w:val="restart"/>
            <w:tcMar>
              <w:top w:w="0" w:type="dxa"/>
              <w:left w:w="108" w:type="dxa"/>
              <w:bottom w:w="0" w:type="dxa"/>
              <w:right w:w="108" w:type="dxa"/>
            </w:tcMar>
            <w:hideMark/>
          </w:tcPr>
          <w:p w14:paraId="6F4F672E" w14:textId="77777777" w:rsidR="000C7302" w:rsidRPr="005436C8" w:rsidRDefault="000C7302" w:rsidP="005436C8">
            <w:pPr>
              <w:keepLines/>
              <w:tabs>
                <w:tab w:val="left" w:pos="284"/>
              </w:tabs>
              <w:jc w:val="both"/>
              <w:rPr>
                <w:b/>
                <w:bCs/>
                <w:noProof/>
                <w:color w:val="000000"/>
                <w:sz w:val="22"/>
                <w:szCs w:val="22"/>
                <w:lang w:val="sr-Latn-ME"/>
              </w:rPr>
            </w:pPr>
          </w:p>
          <w:p w14:paraId="543635EA" w14:textId="77777777" w:rsidR="000C7302" w:rsidRPr="005436C8" w:rsidRDefault="000C7302" w:rsidP="005436C8">
            <w:pPr>
              <w:keepLines/>
              <w:tabs>
                <w:tab w:val="left" w:pos="284"/>
              </w:tabs>
              <w:jc w:val="both"/>
              <w:rPr>
                <w:b/>
                <w:bCs/>
                <w:noProof/>
                <w:color w:val="000000"/>
                <w:sz w:val="22"/>
                <w:szCs w:val="22"/>
                <w:lang w:val="sr-Latn-ME"/>
              </w:rPr>
            </w:pPr>
          </w:p>
          <w:p w14:paraId="3EBF228E" w14:textId="77777777" w:rsidR="000C7302" w:rsidRPr="005436C8" w:rsidRDefault="000C7302" w:rsidP="005436C8">
            <w:pPr>
              <w:keepLines/>
              <w:tabs>
                <w:tab w:val="left" w:pos="284"/>
              </w:tabs>
              <w:jc w:val="both"/>
              <w:rPr>
                <w:b/>
                <w:bCs/>
                <w:noProof/>
                <w:color w:val="000000"/>
                <w:sz w:val="22"/>
                <w:szCs w:val="22"/>
                <w:u w:val="single"/>
                <w:lang w:val="sr-Latn-ME"/>
              </w:rPr>
            </w:pPr>
            <w:r w:rsidRPr="005436C8">
              <w:rPr>
                <w:b/>
                <w:bCs/>
                <w:noProof/>
                <w:color w:val="000000"/>
                <w:sz w:val="22"/>
                <w:szCs w:val="22"/>
                <w:lang w:val="sr-Latn-ME"/>
              </w:rPr>
              <w:t>Populacija</w:t>
            </w:r>
          </w:p>
        </w:tc>
        <w:tc>
          <w:tcPr>
            <w:tcW w:w="4658" w:type="dxa"/>
            <w:gridSpan w:val="2"/>
            <w:tcMar>
              <w:top w:w="0" w:type="dxa"/>
              <w:left w:w="108" w:type="dxa"/>
              <w:bottom w:w="0" w:type="dxa"/>
              <w:right w:w="108" w:type="dxa"/>
            </w:tcMar>
            <w:hideMark/>
          </w:tcPr>
          <w:p w14:paraId="459D858A" w14:textId="77777777" w:rsidR="000C7302" w:rsidRPr="005436C8" w:rsidRDefault="000C7302" w:rsidP="005436C8">
            <w:pPr>
              <w:keepLines/>
              <w:tabs>
                <w:tab w:val="left" w:pos="284"/>
              </w:tabs>
              <w:jc w:val="both"/>
              <w:rPr>
                <w:b/>
                <w:bCs/>
                <w:noProof/>
                <w:color w:val="000000"/>
                <w:sz w:val="22"/>
                <w:szCs w:val="22"/>
                <w:lang w:val="sr-Latn-ME"/>
              </w:rPr>
            </w:pPr>
            <w:r w:rsidRPr="005436C8">
              <w:rPr>
                <w:b/>
                <w:bCs/>
                <w:noProof/>
                <w:color w:val="000000"/>
                <w:sz w:val="22"/>
                <w:szCs w:val="22"/>
                <w:lang w:val="sr-Latn-ME"/>
              </w:rPr>
              <w:t>Broj događaja IDFS/Ukupan N (%)</w:t>
            </w:r>
          </w:p>
        </w:tc>
        <w:tc>
          <w:tcPr>
            <w:tcW w:w="2009" w:type="dxa"/>
            <w:vMerge w:val="restart"/>
            <w:tcMar>
              <w:top w:w="0" w:type="dxa"/>
              <w:left w:w="108" w:type="dxa"/>
              <w:bottom w:w="0" w:type="dxa"/>
              <w:right w:w="108" w:type="dxa"/>
            </w:tcMar>
            <w:hideMark/>
          </w:tcPr>
          <w:p w14:paraId="4718E4CF" w14:textId="77777777" w:rsidR="000C7302" w:rsidRPr="005436C8" w:rsidRDefault="000C7302" w:rsidP="005436C8">
            <w:pPr>
              <w:keepLines/>
              <w:tabs>
                <w:tab w:val="left" w:pos="284"/>
              </w:tabs>
              <w:jc w:val="both"/>
              <w:rPr>
                <w:b/>
                <w:bCs/>
                <w:noProof/>
                <w:color w:val="000000"/>
                <w:sz w:val="22"/>
                <w:szCs w:val="22"/>
                <w:lang w:val="sr-Latn-ME"/>
              </w:rPr>
            </w:pPr>
            <w:r w:rsidRPr="005436C8">
              <w:rPr>
                <w:b/>
                <w:bCs/>
                <w:noProof/>
                <w:color w:val="000000"/>
                <w:sz w:val="22"/>
                <w:szCs w:val="22"/>
                <w:lang w:val="sr-Latn-ME"/>
              </w:rPr>
              <w:t>Nestratifikovana HR (95% CI)</w:t>
            </w:r>
          </w:p>
        </w:tc>
      </w:tr>
      <w:tr w:rsidR="000C7302" w:rsidRPr="005436C8" w14:paraId="69B620F7" w14:textId="77777777" w:rsidTr="000C7302">
        <w:trPr>
          <w:trHeight w:val="899"/>
        </w:trPr>
        <w:tc>
          <w:tcPr>
            <w:tcW w:w="2538" w:type="dxa"/>
            <w:vMerge/>
            <w:vAlign w:val="center"/>
            <w:hideMark/>
          </w:tcPr>
          <w:p w14:paraId="4EC3181A" w14:textId="77777777" w:rsidR="000C7302" w:rsidRPr="005436C8" w:rsidRDefault="000C7302" w:rsidP="005436C8">
            <w:pPr>
              <w:keepLines/>
              <w:tabs>
                <w:tab w:val="left" w:pos="284"/>
              </w:tabs>
              <w:jc w:val="both"/>
              <w:rPr>
                <w:b/>
                <w:bCs/>
                <w:noProof/>
                <w:color w:val="000000"/>
                <w:sz w:val="22"/>
                <w:szCs w:val="22"/>
                <w:u w:val="single"/>
                <w:lang w:val="sr-Latn-ME"/>
              </w:rPr>
            </w:pPr>
          </w:p>
        </w:tc>
        <w:tc>
          <w:tcPr>
            <w:tcW w:w="2272" w:type="dxa"/>
            <w:tcMar>
              <w:top w:w="0" w:type="dxa"/>
              <w:left w:w="108" w:type="dxa"/>
              <w:bottom w:w="0" w:type="dxa"/>
              <w:right w:w="108" w:type="dxa"/>
            </w:tcMar>
          </w:tcPr>
          <w:p w14:paraId="2D808081" w14:textId="77777777" w:rsidR="000C7302" w:rsidRPr="005436C8" w:rsidRDefault="000C7302" w:rsidP="005436C8">
            <w:pPr>
              <w:keepLines/>
              <w:tabs>
                <w:tab w:val="left" w:pos="284"/>
              </w:tabs>
              <w:jc w:val="center"/>
              <w:rPr>
                <w:b/>
                <w:bCs/>
                <w:noProof/>
                <w:color w:val="000000"/>
                <w:sz w:val="22"/>
                <w:szCs w:val="22"/>
                <w:lang w:val="sr-Latn-ME"/>
              </w:rPr>
            </w:pPr>
            <w:r w:rsidRPr="005436C8">
              <w:rPr>
                <w:b/>
                <w:bCs/>
                <w:noProof/>
                <w:color w:val="000000"/>
                <w:sz w:val="22"/>
                <w:szCs w:val="22"/>
                <w:lang w:val="sr-Latn-ME"/>
              </w:rPr>
              <w:t>Pertuzumab + trastuzumab + hemoterapija</w:t>
            </w:r>
          </w:p>
        </w:tc>
        <w:tc>
          <w:tcPr>
            <w:tcW w:w="2386" w:type="dxa"/>
            <w:tcMar>
              <w:top w:w="0" w:type="dxa"/>
              <w:left w:w="108" w:type="dxa"/>
              <w:bottom w:w="0" w:type="dxa"/>
              <w:right w:w="108" w:type="dxa"/>
            </w:tcMar>
          </w:tcPr>
          <w:p w14:paraId="35CE8D49" w14:textId="77777777" w:rsidR="000C7302" w:rsidRPr="005436C8" w:rsidRDefault="000C7302" w:rsidP="005436C8">
            <w:pPr>
              <w:keepLines/>
              <w:tabs>
                <w:tab w:val="left" w:pos="284"/>
              </w:tabs>
              <w:jc w:val="center"/>
              <w:rPr>
                <w:b/>
                <w:bCs/>
                <w:noProof/>
                <w:color w:val="000000"/>
                <w:sz w:val="22"/>
                <w:szCs w:val="22"/>
                <w:lang w:val="sr-Latn-ME"/>
              </w:rPr>
            </w:pPr>
            <w:r w:rsidRPr="005436C8">
              <w:rPr>
                <w:b/>
                <w:bCs/>
                <w:noProof/>
                <w:color w:val="000000"/>
                <w:sz w:val="22"/>
                <w:szCs w:val="22"/>
                <w:lang w:val="sr-Latn-ME"/>
              </w:rPr>
              <w:t xml:space="preserve">Placebo + </w:t>
            </w:r>
            <w:r w:rsidRPr="005436C8">
              <w:rPr>
                <w:noProof/>
                <w:color w:val="000000"/>
                <w:sz w:val="22"/>
                <w:szCs w:val="22"/>
                <w:lang w:val="sr-Latn-ME"/>
              </w:rPr>
              <w:br/>
            </w:r>
            <w:r w:rsidRPr="005436C8">
              <w:rPr>
                <w:b/>
                <w:bCs/>
                <w:noProof/>
                <w:color w:val="000000"/>
                <w:sz w:val="22"/>
                <w:szCs w:val="22"/>
                <w:lang w:val="sr-Latn-ME"/>
              </w:rPr>
              <w:t>trastuzumab + hemoterapija</w:t>
            </w:r>
          </w:p>
        </w:tc>
        <w:tc>
          <w:tcPr>
            <w:tcW w:w="2009" w:type="dxa"/>
            <w:vMerge/>
            <w:vAlign w:val="center"/>
            <w:hideMark/>
          </w:tcPr>
          <w:p w14:paraId="500EFABE" w14:textId="77777777" w:rsidR="000C7302" w:rsidRPr="005436C8" w:rsidRDefault="000C7302" w:rsidP="005436C8">
            <w:pPr>
              <w:keepLines/>
              <w:tabs>
                <w:tab w:val="left" w:pos="284"/>
              </w:tabs>
              <w:jc w:val="both"/>
              <w:rPr>
                <w:b/>
                <w:bCs/>
                <w:noProof/>
                <w:color w:val="000000"/>
                <w:sz w:val="22"/>
                <w:szCs w:val="22"/>
                <w:u w:val="single"/>
                <w:lang w:val="sr-Latn-ME"/>
              </w:rPr>
            </w:pPr>
          </w:p>
        </w:tc>
      </w:tr>
      <w:tr w:rsidR="000C7302" w:rsidRPr="005436C8" w14:paraId="3AA42514" w14:textId="77777777" w:rsidTr="000C7302">
        <w:trPr>
          <w:trHeight w:val="233"/>
        </w:trPr>
        <w:tc>
          <w:tcPr>
            <w:tcW w:w="9205" w:type="dxa"/>
            <w:gridSpan w:val="4"/>
            <w:tcMar>
              <w:top w:w="0" w:type="dxa"/>
              <w:left w:w="108" w:type="dxa"/>
              <w:bottom w:w="0" w:type="dxa"/>
              <w:right w:w="108" w:type="dxa"/>
            </w:tcMar>
          </w:tcPr>
          <w:p w14:paraId="0B1B8AAF" w14:textId="77777777" w:rsidR="000C7302" w:rsidRPr="005436C8" w:rsidRDefault="000C7302" w:rsidP="005436C8">
            <w:pPr>
              <w:keepLines/>
              <w:tabs>
                <w:tab w:val="left" w:pos="284"/>
              </w:tabs>
              <w:jc w:val="both"/>
              <w:rPr>
                <w:b/>
                <w:noProof/>
                <w:color w:val="000000"/>
                <w:sz w:val="22"/>
                <w:szCs w:val="22"/>
                <w:lang w:val="sr-Latn-ME"/>
              </w:rPr>
            </w:pPr>
            <w:r w:rsidRPr="005436C8">
              <w:rPr>
                <w:b/>
                <w:bCs/>
                <w:noProof/>
                <w:color w:val="000000"/>
                <w:sz w:val="22"/>
                <w:szCs w:val="22"/>
                <w:lang w:val="sr-Latn-ME"/>
              </w:rPr>
              <w:t>Status nodusa</w:t>
            </w:r>
          </w:p>
        </w:tc>
      </w:tr>
      <w:tr w:rsidR="000C7302" w:rsidRPr="005436C8" w14:paraId="086C6C5E" w14:textId="77777777" w:rsidTr="000C7302">
        <w:trPr>
          <w:trHeight w:val="535"/>
        </w:trPr>
        <w:tc>
          <w:tcPr>
            <w:tcW w:w="2538" w:type="dxa"/>
            <w:tcMar>
              <w:top w:w="0" w:type="dxa"/>
              <w:left w:w="108" w:type="dxa"/>
              <w:bottom w:w="0" w:type="dxa"/>
              <w:right w:w="108" w:type="dxa"/>
            </w:tcMar>
            <w:hideMark/>
          </w:tcPr>
          <w:p w14:paraId="462F515F" w14:textId="77777777" w:rsidR="000C7302" w:rsidRPr="005436C8" w:rsidRDefault="000C7302" w:rsidP="005436C8">
            <w:pPr>
              <w:keepLines/>
              <w:tabs>
                <w:tab w:val="left" w:pos="284"/>
              </w:tabs>
              <w:jc w:val="both"/>
              <w:rPr>
                <w:noProof/>
                <w:color w:val="000000"/>
                <w:sz w:val="22"/>
                <w:szCs w:val="22"/>
                <w:lang w:val="sr-Latn-ME"/>
              </w:rPr>
            </w:pPr>
            <w:r w:rsidRPr="005436C8">
              <w:rPr>
                <w:noProof/>
                <w:color w:val="000000"/>
                <w:sz w:val="22"/>
                <w:szCs w:val="22"/>
                <w:lang w:val="sr-Latn-ME"/>
              </w:rPr>
              <w:t> Pozitivan</w:t>
            </w:r>
          </w:p>
        </w:tc>
        <w:tc>
          <w:tcPr>
            <w:tcW w:w="2272" w:type="dxa"/>
            <w:tcMar>
              <w:top w:w="0" w:type="dxa"/>
              <w:left w:w="108" w:type="dxa"/>
              <w:bottom w:w="0" w:type="dxa"/>
              <w:right w:w="108" w:type="dxa"/>
            </w:tcMar>
            <w:hideMark/>
          </w:tcPr>
          <w:p w14:paraId="205192F0"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139/1503</w:t>
            </w:r>
          </w:p>
          <w:p w14:paraId="747ECA77"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(9,2%)</w:t>
            </w:r>
          </w:p>
        </w:tc>
        <w:tc>
          <w:tcPr>
            <w:tcW w:w="2386" w:type="dxa"/>
            <w:tcMar>
              <w:top w:w="0" w:type="dxa"/>
              <w:left w:w="108" w:type="dxa"/>
              <w:bottom w:w="0" w:type="dxa"/>
              <w:right w:w="108" w:type="dxa"/>
            </w:tcMar>
            <w:hideMark/>
          </w:tcPr>
          <w:p w14:paraId="3F2A29CC"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181/1502</w:t>
            </w:r>
          </w:p>
          <w:p w14:paraId="4F92469C"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(12,1%)</w:t>
            </w:r>
          </w:p>
        </w:tc>
        <w:tc>
          <w:tcPr>
            <w:tcW w:w="2009" w:type="dxa"/>
            <w:tcMar>
              <w:top w:w="0" w:type="dxa"/>
              <w:left w:w="108" w:type="dxa"/>
              <w:bottom w:w="0" w:type="dxa"/>
              <w:right w:w="108" w:type="dxa"/>
            </w:tcMar>
            <w:hideMark/>
          </w:tcPr>
          <w:p w14:paraId="39AB9DCC"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0,77</w:t>
            </w:r>
          </w:p>
          <w:p w14:paraId="07D16DC2"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(0,62, 0,96)</w:t>
            </w:r>
          </w:p>
        </w:tc>
      </w:tr>
      <w:tr w:rsidR="000C7302" w:rsidRPr="005436C8" w14:paraId="305F7395" w14:textId="77777777" w:rsidTr="000C7302">
        <w:trPr>
          <w:trHeight w:val="466"/>
        </w:trPr>
        <w:tc>
          <w:tcPr>
            <w:tcW w:w="2538" w:type="dxa"/>
            <w:tcMar>
              <w:top w:w="0" w:type="dxa"/>
              <w:left w:w="108" w:type="dxa"/>
              <w:bottom w:w="0" w:type="dxa"/>
              <w:right w:w="108" w:type="dxa"/>
            </w:tcMar>
            <w:hideMark/>
          </w:tcPr>
          <w:p w14:paraId="4286112A" w14:textId="77777777" w:rsidR="000C7302" w:rsidRPr="005436C8" w:rsidRDefault="000C7302" w:rsidP="005436C8">
            <w:pPr>
              <w:keepLines/>
              <w:tabs>
                <w:tab w:val="left" w:pos="284"/>
              </w:tabs>
              <w:jc w:val="both"/>
              <w:rPr>
                <w:noProof/>
                <w:color w:val="000000"/>
                <w:sz w:val="22"/>
                <w:szCs w:val="22"/>
                <w:lang w:val="sr-Latn-ME"/>
              </w:rPr>
            </w:pPr>
            <w:r w:rsidRPr="005436C8">
              <w:rPr>
                <w:noProof/>
                <w:color w:val="000000"/>
                <w:sz w:val="22"/>
                <w:szCs w:val="22"/>
                <w:lang w:val="sr-Latn-ME"/>
              </w:rPr>
              <w:t xml:space="preserve"> Negativan </w:t>
            </w:r>
          </w:p>
        </w:tc>
        <w:tc>
          <w:tcPr>
            <w:tcW w:w="2272" w:type="dxa"/>
            <w:tcMar>
              <w:top w:w="0" w:type="dxa"/>
              <w:left w:w="108" w:type="dxa"/>
              <w:bottom w:w="0" w:type="dxa"/>
              <w:right w:w="108" w:type="dxa"/>
            </w:tcMar>
            <w:hideMark/>
          </w:tcPr>
          <w:p w14:paraId="2C4D48E2"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32/897</w:t>
            </w:r>
          </w:p>
          <w:p w14:paraId="2BF1CAAA"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(3,6%)</w:t>
            </w:r>
          </w:p>
        </w:tc>
        <w:tc>
          <w:tcPr>
            <w:tcW w:w="2386" w:type="dxa"/>
            <w:tcMar>
              <w:top w:w="0" w:type="dxa"/>
              <w:left w:w="108" w:type="dxa"/>
              <w:bottom w:w="0" w:type="dxa"/>
              <w:right w:w="108" w:type="dxa"/>
            </w:tcMar>
            <w:hideMark/>
          </w:tcPr>
          <w:p w14:paraId="75F896F3"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29/902</w:t>
            </w:r>
          </w:p>
          <w:p w14:paraId="5CC3D526"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(3,2%)</w:t>
            </w:r>
          </w:p>
        </w:tc>
        <w:tc>
          <w:tcPr>
            <w:tcW w:w="2009" w:type="dxa"/>
            <w:tcMar>
              <w:top w:w="0" w:type="dxa"/>
              <w:left w:w="108" w:type="dxa"/>
              <w:bottom w:w="0" w:type="dxa"/>
              <w:right w:w="108" w:type="dxa"/>
            </w:tcMar>
            <w:hideMark/>
          </w:tcPr>
          <w:p w14:paraId="5FD4E9CB"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1,13</w:t>
            </w:r>
          </w:p>
          <w:p w14:paraId="061A0C88"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(0,68, 1,86)</w:t>
            </w:r>
          </w:p>
        </w:tc>
      </w:tr>
      <w:tr w:rsidR="000C7302" w:rsidRPr="005436C8" w14:paraId="069AD6F1" w14:textId="77777777" w:rsidTr="000C7302">
        <w:trPr>
          <w:trHeight w:val="225"/>
        </w:trPr>
        <w:tc>
          <w:tcPr>
            <w:tcW w:w="2538" w:type="dxa"/>
            <w:tcMar>
              <w:top w:w="0" w:type="dxa"/>
              <w:left w:w="108" w:type="dxa"/>
              <w:bottom w:w="0" w:type="dxa"/>
              <w:right w:w="108" w:type="dxa"/>
            </w:tcMar>
          </w:tcPr>
          <w:p w14:paraId="58E1DB1E" w14:textId="77777777" w:rsidR="000C7302" w:rsidRPr="005436C8" w:rsidRDefault="000C7302" w:rsidP="005436C8">
            <w:pPr>
              <w:keepLines/>
              <w:tabs>
                <w:tab w:val="left" w:pos="284"/>
              </w:tabs>
              <w:jc w:val="both"/>
              <w:rPr>
                <w:noProof/>
                <w:color w:val="000000"/>
                <w:sz w:val="22"/>
                <w:szCs w:val="22"/>
                <w:lang w:val="sr-Latn-ME"/>
              </w:rPr>
            </w:pPr>
            <w:r w:rsidRPr="005436C8">
              <w:rPr>
                <w:b/>
                <w:bCs/>
                <w:noProof/>
                <w:color w:val="000000"/>
                <w:sz w:val="22"/>
                <w:szCs w:val="22"/>
                <w:lang w:val="sr-Latn-ME"/>
              </w:rPr>
              <w:t>Status hormonskog receptora</w:t>
            </w:r>
          </w:p>
        </w:tc>
        <w:tc>
          <w:tcPr>
            <w:tcW w:w="2272" w:type="dxa"/>
            <w:tcMar>
              <w:top w:w="0" w:type="dxa"/>
              <w:left w:w="108" w:type="dxa"/>
              <w:bottom w:w="0" w:type="dxa"/>
              <w:right w:w="108" w:type="dxa"/>
            </w:tcMar>
          </w:tcPr>
          <w:p w14:paraId="6B9FEC61" w14:textId="77777777" w:rsidR="000C7302" w:rsidRPr="005436C8" w:rsidRDefault="000C7302" w:rsidP="005436C8">
            <w:pPr>
              <w:keepLines/>
              <w:tabs>
                <w:tab w:val="left" w:pos="284"/>
              </w:tabs>
              <w:jc w:val="both"/>
              <w:rPr>
                <w:noProof/>
                <w:color w:val="000000"/>
                <w:sz w:val="22"/>
                <w:szCs w:val="22"/>
                <w:lang w:val="sr-Latn-ME"/>
              </w:rPr>
            </w:pPr>
          </w:p>
        </w:tc>
        <w:tc>
          <w:tcPr>
            <w:tcW w:w="2386" w:type="dxa"/>
            <w:tcMar>
              <w:top w:w="0" w:type="dxa"/>
              <w:left w:w="108" w:type="dxa"/>
              <w:bottom w:w="0" w:type="dxa"/>
              <w:right w:w="108" w:type="dxa"/>
            </w:tcMar>
          </w:tcPr>
          <w:p w14:paraId="713C4750" w14:textId="77777777" w:rsidR="000C7302" w:rsidRPr="005436C8" w:rsidRDefault="000C7302" w:rsidP="005436C8">
            <w:pPr>
              <w:keepLines/>
              <w:tabs>
                <w:tab w:val="left" w:pos="284"/>
              </w:tabs>
              <w:jc w:val="both"/>
              <w:rPr>
                <w:noProof/>
                <w:color w:val="000000"/>
                <w:sz w:val="22"/>
                <w:szCs w:val="22"/>
                <w:lang w:val="sr-Latn-ME"/>
              </w:rPr>
            </w:pPr>
          </w:p>
        </w:tc>
        <w:tc>
          <w:tcPr>
            <w:tcW w:w="2009" w:type="dxa"/>
            <w:tcMar>
              <w:top w:w="0" w:type="dxa"/>
              <w:left w:w="108" w:type="dxa"/>
              <w:bottom w:w="0" w:type="dxa"/>
              <w:right w:w="108" w:type="dxa"/>
            </w:tcMar>
          </w:tcPr>
          <w:p w14:paraId="3088AE7E" w14:textId="77777777" w:rsidR="000C7302" w:rsidRPr="005436C8" w:rsidRDefault="000C7302" w:rsidP="005436C8">
            <w:pPr>
              <w:keepLines/>
              <w:tabs>
                <w:tab w:val="left" w:pos="284"/>
              </w:tabs>
              <w:jc w:val="both"/>
              <w:rPr>
                <w:noProof/>
                <w:color w:val="000000"/>
                <w:sz w:val="22"/>
                <w:szCs w:val="22"/>
                <w:lang w:val="sr-Latn-ME"/>
              </w:rPr>
            </w:pPr>
          </w:p>
        </w:tc>
      </w:tr>
      <w:tr w:rsidR="000C7302" w:rsidRPr="005436C8" w14:paraId="3B24E30B" w14:textId="77777777" w:rsidTr="000C7302">
        <w:trPr>
          <w:trHeight w:val="535"/>
        </w:trPr>
        <w:tc>
          <w:tcPr>
            <w:tcW w:w="2538" w:type="dxa"/>
            <w:tcMar>
              <w:top w:w="0" w:type="dxa"/>
              <w:left w:w="108" w:type="dxa"/>
              <w:bottom w:w="0" w:type="dxa"/>
              <w:right w:w="108" w:type="dxa"/>
            </w:tcMar>
          </w:tcPr>
          <w:p w14:paraId="7D3493BE" w14:textId="77777777" w:rsidR="000C7302" w:rsidRPr="005436C8" w:rsidRDefault="000C7302" w:rsidP="005436C8">
            <w:pPr>
              <w:keepLines/>
              <w:tabs>
                <w:tab w:val="left" w:pos="284"/>
              </w:tabs>
              <w:jc w:val="both"/>
              <w:rPr>
                <w:noProof/>
                <w:color w:val="000000"/>
                <w:sz w:val="22"/>
                <w:szCs w:val="22"/>
                <w:lang w:val="sr-Latn-ME"/>
              </w:rPr>
            </w:pPr>
            <w:r w:rsidRPr="005436C8">
              <w:rPr>
                <w:noProof/>
                <w:color w:val="000000"/>
                <w:sz w:val="22"/>
                <w:szCs w:val="22"/>
                <w:lang w:val="sr-Latn-ME"/>
              </w:rPr>
              <w:t> Negativan</w:t>
            </w:r>
          </w:p>
        </w:tc>
        <w:tc>
          <w:tcPr>
            <w:tcW w:w="2272" w:type="dxa"/>
            <w:tcMar>
              <w:top w:w="0" w:type="dxa"/>
              <w:left w:w="108" w:type="dxa"/>
              <w:bottom w:w="0" w:type="dxa"/>
              <w:right w:w="108" w:type="dxa"/>
            </w:tcMar>
          </w:tcPr>
          <w:p w14:paraId="6514E911"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71/864</w:t>
            </w:r>
          </w:p>
          <w:p w14:paraId="6E3E138E"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(8,2%)</w:t>
            </w:r>
          </w:p>
        </w:tc>
        <w:tc>
          <w:tcPr>
            <w:tcW w:w="2386" w:type="dxa"/>
            <w:tcMar>
              <w:top w:w="0" w:type="dxa"/>
              <w:left w:w="108" w:type="dxa"/>
              <w:bottom w:w="0" w:type="dxa"/>
              <w:right w:w="108" w:type="dxa"/>
            </w:tcMar>
          </w:tcPr>
          <w:p w14:paraId="5E811B61"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91/858</w:t>
            </w:r>
          </w:p>
          <w:p w14:paraId="1A044E8D"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(10,6%)</w:t>
            </w:r>
          </w:p>
        </w:tc>
        <w:tc>
          <w:tcPr>
            <w:tcW w:w="2009" w:type="dxa"/>
            <w:tcMar>
              <w:top w:w="0" w:type="dxa"/>
              <w:left w:w="108" w:type="dxa"/>
              <w:bottom w:w="0" w:type="dxa"/>
              <w:right w:w="108" w:type="dxa"/>
            </w:tcMar>
          </w:tcPr>
          <w:p w14:paraId="324649CB"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0,76</w:t>
            </w:r>
          </w:p>
          <w:p w14:paraId="4D89D107"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(0,56, 1,04)</w:t>
            </w:r>
          </w:p>
        </w:tc>
      </w:tr>
      <w:tr w:rsidR="000C7302" w:rsidRPr="005436C8" w14:paraId="5FBE6AB1" w14:textId="77777777" w:rsidTr="000C7302">
        <w:trPr>
          <w:trHeight w:val="535"/>
        </w:trPr>
        <w:tc>
          <w:tcPr>
            <w:tcW w:w="2538" w:type="dxa"/>
            <w:tcMar>
              <w:top w:w="0" w:type="dxa"/>
              <w:left w:w="108" w:type="dxa"/>
              <w:bottom w:w="0" w:type="dxa"/>
              <w:right w:w="108" w:type="dxa"/>
            </w:tcMar>
          </w:tcPr>
          <w:p w14:paraId="1126ED3F" w14:textId="77777777" w:rsidR="000C7302" w:rsidRPr="005436C8" w:rsidRDefault="000C7302" w:rsidP="005436C8">
            <w:pPr>
              <w:keepLines/>
              <w:tabs>
                <w:tab w:val="left" w:pos="284"/>
              </w:tabs>
              <w:jc w:val="both"/>
              <w:rPr>
                <w:noProof/>
                <w:color w:val="000000"/>
                <w:sz w:val="22"/>
                <w:szCs w:val="22"/>
                <w:lang w:val="sr-Latn-ME"/>
              </w:rPr>
            </w:pPr>
            <w:r w:rsidRPr="005436C8">
              <w:rPr>
                <w:noProof/>
                <w:color w:val="000000"/>
                <w:sz w:val="22"/>
                <w:szCs w:val="22"/>
                <w:lang w:val="sr-Latn-ME"/>
              </w:rPr>
              <w:t> Pozitivan</w:t>
            </w:r>
          </w:p>
        </w:tc>
        <w:tc>
          <w:tcPr>
            <w:tcW w:w="2272" w:type="dxa"/>
            <w:tcMar>
              <w:top w:w="0" w:type="dxa"/>
              <w:left w:w="108" w:type="dxa"/>
              <w:bottom w:w="0" w:type="dxa"/>
              <w:right w:w="108" w:type="dxa"/>
            </w:tcMar>
          </w:tcPr>
          <w:p w14:paraId="1D6851F8"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100/1536</w:t>
            </w:r>
          </w:p>
          <w:p w14:paraId="461D66E4"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(6,5%)</w:t>
            </w:r>
          </w:p>
        </w:tc>
        <w:tc>
          <w:tcPr>
            <w:tcW w:w="2386" w:type="dxa"/>
            <w:tcMar>
              <w:top w:w="0" w:type="dxa"/>
              <w:left w:w="108" w:type="dxa"/>
              <w:bottom w:w="0" w:type="dxa"/>
              <w:right w:w="108" w:type="dxa"/>
            </w:tcMar>
          </w:tcPr>
          <w:p w14:paraId="710123D3"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119/1546</w:t>
            </w:r>
          </w:p>
          <w:p w14:paraId="53C83E2D"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(7,7%)</w:t>
            </w:r>
          </w:p>
        </w:tc>
        <w:tc>
          <w:tcPr>
            <w:tcW w:w="2009" w:type="dxa"/>
            <w:tcMar>
              <w:top w:w="0" w:type="dxa"/>
              <w:left w:w="108" w:type="dxa"/>
              <w:bottom w:w="0" w:type="dxa"/>
              <w:right w:w="108" w:type="dxa"/>
            </w:tcMar>
          </w:tcPr>
          <w:p w14:paraId="44062D2C"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0,86</w:t>
            </w:r>
          </w:p>
          <w:p w14:paraId="3BFFCF3F" w14:textId="77777777" w:rsidR="000C7302" w:rsidRPr="005436C8" w:rsidRDefault="000C7302" w:rsidP="005436C8">
            <w:pPr>
              <w:keepLines/>
              <w:tabs>
                <w:tab w:val="left" w:pos="284"/>
              </w:tabs>
              <w:jc w:val="center"/>
              <w:rPr>
                <w:noProof/>
                <w:color w:val="000000"/>
                <w:sz w:val="22"/>
                <w:szCs w:val="22"/>
                <w:lang w:val="sr-Latn-ME"/>
              </w:rPr>
            </w:pPr>
            <w:r w:rsidRPr="005436C8">
              <w:rPr>
                <w:noProof/>
                <w:color w:val="000000"/>
                <w:sz w:val="22"/>
                <w:szCs w:val="22"/>
                <w:lang w:val="sr-Latn-ME"/>
              </w:rPr>
              <w:t>(0,66, 1,13)</w:t>
            </w:r>
          </w:p>
        </w:tc>
      </w:tr>
    </w:tbl>
    <w:p w14:paraId="270FFB18" w14:textId="77777777" w:rsidR="000C7302" w:rsidRPr="005436C8" w:rsidRDefault="000C7302" w:rsidP="005436C8">
      <w:pPr>
        <w:keepLines/>
        <w:tabs>
          <w:tab w:val="left" w:pos="284"/>
        </w:tabs>
        <w:jc w:val="both"/>
        <w:rPr>
          <w:noProof/>
          <w:color w:val="000000"/>
          <w:sz w:val="22"/>
          <w:szCs w:val="22"/>
          <w:lang w:val="sr-Latn-ME"/>
        </w:rPr>
      </w:pPr>
      <w:r w:rsidRPr="005436C8">
        <w:rPr>
          <w:noProof/>
          <w:color w:val="000000"/>
          <w:sz w:val="22"/>
          <w:szCs w:val="22"/>
          <w:vertAlign w:val="superscript"/>
          <w:lang w:val="sr-Latn-ME"/>
        </w:rPr>
        <w:t>1</w:t>
      </w:r>
      <w:r w:rsidRPr="005436C8">
        <w:rPr>
          <w:color w:val="000000"/>
          <w:sz w:val="22"/>
          <w:szCs w:val="22"/>
          <w:lang w:val="sr-Latn-ME"/>
        </w:rPr>
        <w:t xml:space="preserve"> </w:t>
      </w:r>
      <w:r w:rsidRPr="005436C8">
        <w:rPr>
          <w:noProof/>
          <w:color w:val="000000"/>
          <w:sz w:val="22"/>
          <w:szCs w:val="22"/>
          <w:lang w:val="sr-Latn-ME"/>
        </w:rPr>
        <w:t>Pošto su u pitanju analize unapr</w:t>
      </w:r>
      <w:r w:rsidR="00FE2099" w:rsidRPr="005436C8">
        <w:rPr>
          <w:noProof/>
          <w:color w:val="000000"/>
          <w:sz w:val="22"/>
          <w:szCs w:val="22"/>
          <w:lang w:val="sr-Latn-ME"/>
        </w:rPr>
        <w:t>ij</w:t>
      </w:r>
      <w:r w:rsidRPr="005436C8">
        <w:rPr>
          <w:noProof/>
          <w:color w:val="000000"/>
          <w:sz w:val="22"/>
          <w:szCs w:val="22"/>
          <w:lang w:val="sr-Latn-ME"/>
        </w:rPr>
        <w:t>ed specifikovanih podgrupa bez prilagođavanja za višestruka poređenja, rezultati se smatraju deskriptivnim.</w:t>
      </w:r>
    </w:p>
    <w:p w14:paraId="2B2085B0" w14:textId="77777777" w:rsidR="000C7302" w:rsidRPr="005436C8" w:rsidRDefault="000C7302" w:rsidP="005436C8">
      <w:pPr>
        <w:keepLines/>
        <w:tabs>
          <w:tab w:val="left" w:pos="284"/>
        </w:tabs>
        <w:jc w:val="both"/>
        <w:rPr>
          <w:color w:val="000000"/>
          <w:sz w:val="22"/>
          <w:szCs w:val="22"/>
          <w:lang w:val="sr-Latn-ME"/>
        </w:rPr>
      </w:pPr>
    </w:p>
    <w:p w14:paraId="19B56CBC" w14:textId="77777777" w:rsidR="000C7302" w:rsidRPr="005436C8" w:rsidRDefault="00FE754C" w:rsidP="005436C8">
      <w:pPr>
        <w:keepLines/>
        <w:tabs>
          <w:tab w:val="left" w:pos="284"/>
        </w:tabs>
        <w:jc w:val="both"/>
        <w:rPr>
          <w:color w:val="000000"/>
          <w:sz w:val="22"/>
          <w:szCs w:val="22"/>
          <w:lang w:val="sr-Latn-ME"/>
        </w:rPr>
      </w:pPr>
      <w:r w:rsidRPr="005436C8">
        <w:rPr>
          <w:color w:val="000000"/>
          <w:sz w:val="22"/>
          <w:szCs w:val="22"/>
          <w:lang w:val="sr-Latn-ME"/>
        </w:rPr>
        <w:t>Procijenjen</w:t>
      </w:r>
      <w:r w:rsidR="000C7302" w:rsidRPr="005436C8">
        <w:rPr>
          <w:color w:val="000000"/>
          <w:sz w:val="22"/>
          <w:szCs w:val="22"/>
          <w:lang w:val="sr-Latn-ME"/>
        </w:rPr>
        <w:t xml:space="preserve">e stope IDFS u podgrupi sa pozitivnim nalazom zahvaćenosti limfnih čvorova nakon 3 godine iznosile su 92,0% kod pacijenata </w:t>
      </w:r>
      <w:r w:rsidR="00097926" w:rsidRPr="005436C8">
        <w:rPr>
          <w:color w:val="000000"/>
          <w:sz w:val="22"/>
          <w:szCs w:val="22"/>
          <w:lang w:val="sr-Latn-ME"/>
        </w:rPr>
        <w:t>liječeni</w:t>
      </w:r>
      <w:r w:rsidR="000C7302" w:rsidRPr="005436C8">
        <w:rPr>
          <w:color w:val="000000"/>
          <w:sz w:val="22"/>
          <w:szCs w:val="22"/>
          <w:lang w:val="sr-Latn-ME"/>
        </w:rPr>
        <w:t xml:space="preserve">h pertuzumabom u poređenju sa 90,2% kod onih koji su primali placebo, dok su nakon 4 godine iznosile 89,9% u poređenju sa 86,7%. </w:t>
      </w:r>
      <w:r w:rsidRPr="005436C8">
        <w:rPr>
          <w:noProof/>
          <w:color w:val="000000"/>
          <w:sz w:val="22"/>
          <w:szCs w:val="22"/>
          <w:lang w:val="sr-Latn-ME"/>
        </w:rPr>
        <w:t>Procijenjen</w:t>
      </w:r>
      <w:r w:rsidR="000C7302" w:rsidRPr="005436C8">
        <w:rPr>
          <w:color w:val="000000"/>
          <w:sz w:val="22"/>
          <w:szCs w:val="22"/>
          <w:lang w:val="sr-Latn-ME"/>
        </w:rPr>
        <w:t xml:space="preserve">e stope IDFS u podgrupi sa negativnim nalazom zahvaćenosti limfnih čvorova nakon 3 godine iznosile su 97,5% kod pacijenata </w:t>
      </w:r>
      <w:r w:rsidR="00097926" w:rsidRPr="005436C8">
        <w:rPr>
          <w:color w:val="000000"/>
          <w:sz w:val="22"/>
          <w:szCs w:val="22"/>
          <w:lang w:val="sr-Latn-ME"/>
        </w:rPr>
        <w:t>liječeni</w:t>
      </w:r>
      <w:r w:rsidR="000C7302" w:rsidRPr="005436C8">
        <w:rPr>
          <w:color w:val="000000"/>
          <w:sz w:val="22"/>
          <w:szCs w:val="22"/>
          <w:lang w:val="sr-Latn-ME"/>
        </w:rPr>
        <w:t xml:space="preserve">h pertuzumabom u poređenju sa 98,4% kod onih koji su primali placebo, dok su nakon 4 godine iznosile 96,2% u poređenju sa 96,7%. </w:t>
      </w:r>
      <w:r w:rsidRPr="005436C8">
        <w:rPr>
          <w:noProof/>
          <w:color w:val="000000"/>
          <w:sz w:val="22"/>
          <w:szCs w:val="22"/>
          <w:lang w:val="sr-Latn-ME"/>
        </w:rPr>
        <w:t>Procijenjen</w:t>
      </w:r>
      <w:r w:rsidR="000C7302" w:rsidRPr="005436C8">
        <w:rPr>
          <w:color w:val="000000"/>
          <w:sz w:val="22"/>
          <w:szCs w:val="22"/>
          <w:lang w:val="sr-Latn-ME"/>
        </w:rPr>
        <w:t xml:space="preserve">e stope IDFS u podgrupi negativnoj na hormonske receptore nakon 3 godine iznosile su 92,8% kod pacijenata </w:t>
      </w:r>
      <w:r w:rsidR="00097926" w:rsidRPr="005436C8">
        <w:rPr>
          <w:color w:val="000000"/>
          <w:sz w:val="22"/>
          <w:szCs w:val="22"/>
          <w:lang w:val="sr-Latn-ME"/>
        </w:rPr>
        <w:t>liječeni</w:t>
      </w:r>
      <w:r w:rsidR="000C7302" w:rsidRPr="005436C8">
        <w:rPr>
          <w:color w:val="000000"/>
          <w:sz w:val="22"/>
          <w:szCs w:val="22"/>
          <w:lang w:val="sr-Latn-ME"/>
        </w:rPr>
        <w:t xml:space="preserve">h pertuzumabom u poređenju sa 91,2% kod onih koji su primali placebo, dok su nakon 4 godine iznosile 91,0% u poređenju sa 88,7%. </w:t>
      </w:r>
      <w:r w:rsidRPr="005436C8">
        <w:rPr>
          <w:noProof/>
          <w:color w:val="000000"/>
          <w:sz w:val="22"/>
          <w:szCs w:val="22"/>
          <w:lang w:val="sr-Latn-ME"/>
        </w:rPr>
        <w:t>Procijenjen</w:t>
      </w:r>
      <w:r w:rsidR="000C7302" w:rsidRPr="005436C8">
        <w:rPr>
          <w:color w:val="000000"/>
          <w:sz w:val="22"/>
          <w:szCs w:val="22"/>
          <w:lang w:val="sr-Latn-ME"/>
        </w:rPr>
        <w:t xml:space="preserve">e stope IDFS u podgrupi pozitivnoj na hormonske receptore nakon 3 godine iznosile su 94,8% kod pacijenata </w:t>
      </w:r>
      <w:r w:rsidR="00097926" w:rsidRPr="005436C8">
        <w:rPr>
          <w:color w:val="000000"/>
          <w:sz w:val="22"/>
          <w:szCs w:val="22"/>
          <w:lang w:val="sr-Latn-ME"/>
        </w:rPr>
        <w:t>liječeni</w:t>
      </w:r>
      <w:r w:rsidR="000C7302" w:rsidRPr="005436C8">
        <w:rPr>
          <w:color w:val="000000"/>
          <w:sz w:val="22"/>
          <w:szCs w:val="22"/>
          <w:lang w:val="sr-Latn-ME"/>
        </w:rPr>
        <w:t xml:space="preserve">h pertuzumabom u poređenju sa 94,4% kod onih koji su primali placebo, dok su nakon 4 godine iznosile 93,0% u poređenju sa 91,6%. </w:t>
      </w:r>
    </w:p>
    <w:p w14:paraId="601919D3" w14:textId="77777777" w:rsidR="000C7302" w:rsidRPr="005436C8" w:rsidRDefault="000C7302" w:rsidP="005436C8">
      <w:pPr>
        <w:keepNext/>
        <w:keepLines/>
        <w:tabs>
          <w:tab w:val="left" w:pos="284"/>
        </w:tabs>
        <w:jc w:val="both"/>
        <w:rPr>
          <w:b/>
          <w:noProof/>
          <w:color w:val="000000"/>
          <w:sz w:val="22"/>
          <w:szCs w:val="22"/>
          <w:u w:val="single"/>
          <w:lang w:val="sr-Latn-ME"/>
        </w:rPr>
      </w:pPr>
    </w:p>
    <w:p w14:paraId="3E008FF7" w14:textId="77777777" w:rsidR="000C7302" w:rsidRPr="005436C8" w:rsidRDefault="000C7302" w:rsidP="005436C8">
      <w:pPr>
        <w:keepNext/>
        <w:keepLines/>
        <w:tabs>
          <w:tab w:val="left" w:pos="284"/>
        </w:tabs>
        <w:jc w:val="both"/>
        <w:rPr>
          <w:noProof/>
          <w:color w:val="000000"/>
          <w:sz w:val="22"/>
          <w:szCs w:val="22"/>
          <w:u w:val="single"/>
          <w:lang w:val="sr-Latn-ME"/>
        </w:rPr>
      </w:pPr>
      <w:r w:rsidRPr="005436C8">
        <w:rPr>
          <w:noProof/>
          <w:color w:val="000000"/>
          <w:sz w:val="22"/>
          <w:szCs w:val="22"/>
          <w:u w:val="single"/>
          <w:lang w:val="sr-Latn-ME"/>
        </w:rPr>
        <w:t>Ishodi koje prijavljuju pacijenti (PRO)</w:t>
      </w:r>
    </w:p>
    <w:p w14:paraId="369FC82E" w14:textId="77777777" w:rsidR="000C7302" w:rsidRPr="005436C8" w:rsidRDefault="000C7302" w:rsidP="005436C8">
      <w:pPr>
        <w:keepNext/>
        <w:keepLines/>
        <w:tabs>
          <w:tab w:val="left" w:pos="284"/>
        </w:tabs>
        <w:jc w:val="both"/>
        <w:rPr>
          <w:noProof/>
          <w:color w:val="000000"/>
          <w:sz w:val="22"/>
          <w:szCs w:val="22"/>
          <w:u w:val="single"/>
          <w:lang w:val="sr-Latn-ME"/>
        </w:rPr>
      </w:pPr>
    </w:p>
    <w:p w14:paraId="2ACF5132" w14:textId="77777777" w:rsidR="000C7302" w:rsidRPr="005436C8" w:rsidRDefault="000C7302" w:rsidP="005436C8">
      <w:pPr>
        <w:keepNext/>
        <w:keepLines/>
        <w:tabs>
          <w:tab w:val="left" w:pos="284"/>
        </w:tabs>
        <w:jc w:val="both"/>
        <w:rPr>
          <w:noProof/>
          <w:color w:val="000000"/>
          <w:sz w:val="22"/>
          <w:szCs w:val="22"/>
          <w:lang w:val="sr-Latn-ME"/>
        </w:rPr>
      </w:pPr>
      <w:r w:rsidRPr="005436C8">
        <w:rPr>
          <w:noProof/>
          <w:color w:val="000000"/>
          <w:sz w:val="22"/>
          <w:szCs w:val="22"/>
          <w:lang w:val="sr-Latn-ME"/>
        </w:rPr>
        <w:t>Sekundarne krajnje tačke obuhvatale su proc</w:t>
      </w:r>
      <w:r w:rsidR="009F2B85" w:rsidRPr="005436C8">
        <w:rPr>
          <w:noProof/>
          <w:color w:val="000000"/>
          <w:sz w:val="22"/>
          <w:szCs w:val="22"/>
          <w:lang w:val="sr-Latn-ME"/>
        </w:rPr>
        <w:t>j</w:t>
      </w:r>
      <w:r w:rsidRPr="005436C8">
        <w:rPr>
          <w:noProof/>
          <w:color w:val="000000"/>
          <w:sz w:val="22"/>
          <w:szCs w:val="22"/>
          <w:lang w:val="sr-Latn-ME"/>
        </w:rPr>
        <w:t xml:space="preserve">enu opšteg zdravstvenog statusa koji su prijavljivali pacijenti, uloge i </w:t>
      </w:r>
      <w:r w:rsidR="00BC7CBF" w:rsidRPr="005436C8">
        <w:rPr>
          <w:noProof/>
          <w:color w:val="000000"/>
          <w:sz w:val="22"/>
          <w:szCs w:val="22"/>
          <w:lang w:val="sr-Latn-ME"/>
        </w:rPr>
        <w:t>tjelesne</w:t>
      </w:r>
      <w:r w:rsidRPr="005436C8">
        <w:rPr>
          <w:noProof/>
          <w:color w:val="000000"/>
          <w:sz w:val="22"/>
          <w:szCs w:val="22"/>
          <w:lang w:val="sr-Latn-ME"/>
        </w:rPr>
        <w:t xml:space="preserve"> funkcije, kao i simptoma terapije uz </w:t>
      </w:r>
      <w:r w:rsidR="00097926" w:rsidRPr="005436C8">
        <w:rPr>
          <w:noProof/>
          <w:color w:val="000000"/>
          <w:sz w:val="22"/>
          <w:szCs w:val="22"/>
          <w:lang w:val="sr-Latn-ME"/>
        </w:rPr>
        <w:t>primjenu</w:t>
      </w:r>
      <w:r w:rsidRPr="005436C8">
        <w:rPr>
          <w:noProof/>
          <w:color w:val="000000"/>
          <w:sz w:val="22"/>
          <w:szCs w:val="22"/>
          <w:lang w:val="sr-Latn-ME"/>
        </w:rPr>
        <w:t xml:space="preserve"> upitnika EORTC QLQ-C30 i EORTC QLQ-BR23. U analizama ishoda koje su prijavljivali pacijenti klinički značajnom smatrana je razlika od 10 bodova. </w:t>
      </w:r>
    </w:p>
    <w:p w14:paraId="6E6AC5C0" w14:textId="77777777" w:rsidR="000C7302" w:rsidRPr="005436C8" w:rsidRDefault="000C7302" w:rsidP="005436C8">
      <w:pPr>
        <w:keepNext/>
        <w:keepLines/>
        <w:tabs>
          <w:tab w:val="left" w:pos="284"/>
        </w:tabs>
        <w:jc w:val="both"/>
        <w:rPr>
          <w:noProof/>
          <w:color w:val="000000"/>
          <w:sz w:val="22"/>
          <w:szCs w:val="22"/>
          <w:lang w:val="sr-Latn-ME"/>
        </w:rPr>
      </w:pPr>
    </w:p>
    <w:p w14:paraId="113147BF" w14:textId="77777777" w:rsidR="000C7302" w:rsidRPr="005436C8" w:rsidRDefault="000C7302" w:rsidP="005436C8">
      <w:pPr>
        <w:keepNext/>
        <w:keepLines/>
        <w:tabs>
          <w:tab w:val="left" w:pos="284"/>
        </w:tabs>
        <w:jc w:val="both"/>
        <w:rPr>
          <w:noProof/>
          <w:color w:val="000000"/>
          <w:sz w:val="22"/>
          <w:szCs w:val="22"/>
          <w:lang w:val="sr-Latn-ME"/>
        </w:rPr>
      </w:pPr>
      <w:r w:rsidRPr="005436C8">
        <w:rPr>
          <w:noProof/>
          <w:color w:val="000000"/>
          <w:sz w:val="22"/>
          <w:szCs w:val="22"/>
          <w:lang w:val="sr-Latn-ME"/>
        </w:rPr>
        <w:t xml:space="preserve">Tokom hemoterapije je u </w:t>
      </w:r>
      <w:r w:rsidR="00FE754C" w:rsidRPr="005436C8">
        <w:rPr>
          <w:noProof/>
          <w:color w:val="000000"/>
          <w:sz w:val="22"/>
          <w:szCs w:val="22"/>
          <w:lang w:val="sr-Latn-ME"/>
        </w:rPr>
        <w:t>obije</w:t>
      </w:r>
      <w:r w:rsidRPr="005436C8">
        <w:rPr>
          <w:noProof/>
          <w:color w:val="000000"/>
          <w:sz w:val="22"/>
          <w:szCs w:val="22"/>
          <w:lang w:val="sr-Latn-ME"/>
        </w:rPr>
        <w:t xml:space="preserve"> terapijske grupe </w:t>
      </w:r>
      <w:r w:rsidR="00FE754C" w:rsidRPr="005436C8">
        <w:rPr>
          <w:noProof/>
          <w:color w:val="000000"/>
          <w:sz w:val="22"/>
          <w:szCs w:val="22"/>
          <w:lang w:val="sr-Latn-ME"/>
        </w:rPr>
        <w:t>zabilježen</w:t>
      </w:r>
      <w:r w:rsidRPr="005436C8">
        <w:rPr>
          <w:noProof/>
          <w:color w:val="000000"/>
          <w:sz w:val="22"/>
          <w:szCs w:val="22"/>
          <w:lang w:val="sr-Latn-ME"/>
        </w:rPr>
        <w:t>a klinički značajna prom</w:t>
      </w:r>
      <w:r w:rsidR="009F2B85" w:rsidRPr="005436C8">
        <w:rPr>
          <w:noProof/>
          <w:color w:val="000000"/>
          <w:sz w:val="22"/>
          <w:szCs w:val="22"/>
          <w:lang w:val="sr-Latn-ME"/>
        </w:rPr>
        <w:t>j</w:t>
      </w:r>
      <w:r w:rsidRPr="005436C8">
        <w:rPr>
          <w:noProof/>
          <w:color w:val="000000"/>
          <w:sz w:val="22"/>
          <w:szCs w:val="22"/>
          <w:lang w:val="sr-Latn-ME"/>
        </w:rPr>
        <w:t>ena u t</w:t>
      </w:r>
      <w:r w:rsidR="009F2B85" w:rsidRPr="005436C8">
        <w:rPr>
          <w:noProof/>
          <w:color w:val="000000"/>
          <w:sz w:val="22"/>
          <w:szCs w:val="22"/>
          <w:lang w:val="sr-Latn-ME"/>
        </w:rPr>
        <w:t>j</w:t>
      </w:r>
      <w:r w:rsidRPr="005436C8">
        <w:rPr>
          <w:noProof/>
          <w:color w:val="000000"/>
          <w:sz w:val="22"/>
          <w:szCs w:val="22"/>
          <w:lang w:val="sr-Latn-ME"/>
        </w:rPr>
        <w:t xml:space="preserve">elesnoj funkciji pacijenata, njihovom opštem zdravstvenom statusu i dijareji. U tom periodu je srednja </w:t>
      </w:r>
      <w:r w:rsidR="000A2EA9" w:rsidRPr="005436C8">
        <w:rPr>
          <w:noProof/>
          <w:color w:val="000000"/>
          <w:sz w:val="22"/>
          <w:szCs w:val="22"/>
          <w:lang w:val="sr-Latn-ME"/>
        </w:rPr>
        <w:t>vrijednost</w:t>
      </w:r>
      <w:r w:rsidRPr="005436C8">
        <w:rPr>
          <w:noProof/>
          <w:color w:val="000000"/>
          <w:sz w:val="22"/>
          <w:szCs w:val="22"/>
          <w:lang w:val="sr-Latn-ME"/>
        </w:rPr>
        <w:t xml:space="preserve"> smanjenja u odnosu na početne </w:t>
      </w:r>
      <w:r w:rsidR="000A2EA9" w:rsidRPr="005436C8">
        <w:rPr>
          <w:noProof/>
          <w:color w:val="000000"/>
          <w:sz w:val="22"/>
          <w:szCs w:val="22"/>
          <w:lang w:val="sr-Latn-ME"/>
        </w:rPr>
        <w:t>vrijednost</w:t>
      </w:r>
      <w:r w:rsidRPr="005436C8">
        <w:rPr>
          <w:noProof/>
          <w:color w:val="000000"/>
          <w:sz w:val="22"/>
          <w:szCs w:val="22"/>
          <w:lang w:val="sr-Latn-ME"/>
        </w:rPr>
        <w:t xml:space="preserve">i za fizičku funkciju bila </w:t>
      </w:r>
      <w:r w:rsidRPr="005436C8">
        <w:rPr>
          <w:noProof/>
          <w:color w:val="000000"/>
          <w:sz w:val="22"/>
          <w:szCs w:val="22"/>
          <w:lang w:val="sr-Latn-ME"/>
        </w:rPr>
        <w:noBreakHyphen/>
        <w:t> 10,7 (95% CI </w:t>
      </w:r>
      <w:r w:rsidRPr="005436C8">
        <w:rPr>
          <w:noProof/>
          <w:color w:val="000000"/>
          <w:sz w:val="22"/>
          <w:szCs w:val="22"/>
          <w:lang w:val="sr-Latn-ME"/>
        </w:rPr>
        <w:noBreakHyphen/>
        <w:t xml:space="preserve"> 11,4; </w:t>
      </w:r>
      <w:r w:rsidRPr="005436C8">
        <w:rPr>
          <w:noProof/>
          <w:color w:val="000000"/>
          <w:sz w:val="22"/>
          <w:szCs w:val="22"/>
          <w:lang w:val="sr-Latn-ME"/>
        </w:rPr>
        <w:noBreakHyphen/>
        <w:t xml:space="preserve"> 10,0) u grupi koja je primala pertuzumab i </w:t>
      </w:r>
      <w:r w:rsidRPr="005436C8">
        <w:rPr>
          <w:noProof/>
          <w:color w:val="000000"/>
          <w:sz w:val="22"/>
          <w:szCs w:val="22"/>
          <w:lang w:val="sr-Latn-ME"/>
        </w:rPr>
        <w:noBreakHyphen/>
        <w:t xml:space="preserve"> 10,6 (95% CI </w:t>
      </w:r>
      <w:r w:rsidRPr="005436C8">
        <w:rPr>
          <w:noProof/>
          <w:color w:val="000000"/>
          <w:sz w:val="22"/>
          <w:szCs w:val="22"/>
          <w:lang w:val="sr-Latn-ME"/>
        </w:rPr>
        <w:noBreakHyphen/>
        <w:t xml:space="preserve"> 11,4; </w:t>
      </w:r>
      <w:r w:rsidRPr="005436C8">
        <w:rPr>
          <w:noProof/>
          <w:color w:val="000000"/>
          <w:sz w:val="22"/>
          <w:szCs w:val="22"/>
          <w:lang w:val="sr-Latn-ME"/>
        </w:rPr>
        <w:noBreakHyphen/>
        <w:t xml:space="preserve"> 9,9) u grupi koja je primala placebo; opšti zdravstveni status je bio </w:t>
      </w:r>
      <w:r w:rsidRPr="005436C8">
        <w:rPr>
          <w:noProof/>
          <w:color w:val="000000"/>
          <w:sz w:val="22"/>
          <w:szCs w:val="22"/>
          <w:lang w:val="sr-Latn-ME"/>
        </w:rPr>
        <w:noBreakHyphen/>
        <w:t xml:space="preserve"> 11,2 (95% CI </w:t>
      </w:r>
      <w:r w:rsidRPr="005436C8">
        <w:rPr>
          <w:noProof/>
          <w:color w:val="000000"/>
          <w:sz w:val="22"/>
          <w:szCs w:val="22"/>
          <w:lang w:val="sr-Latn-ME"/>
        </w:rPr>
        <w:noBreakHyphen/>
        <w:t xml:space="preserve"> 12,2; </w:t>
      </w:r>
      <w:r w:rsidRPr="005436C8">
        <w:rPr>
          <w:noProof/>
          <w:color w:val="000000"/>
          <w:sz w:val="22"/>
          <w:szCs w:val="22"/>
          <w:lang w:val="sr-Latn-ME"/>
        </w:rPr>
        <w:noBreakHyphen/>
        <w:t> 10,2) u grupi koja je primala pertuzumab i - 10,2 (95% CI - 11,1; - 9,2) u grupi koja je primala placebo. Prom</w:t>
      </w:r>
      <w:r w:rsidR="009F2B85" w:rsidRPr="005436C8">
        <w:rPr>
          <w:noProof/>
          <w:color w:val="000000"/>
          <w:sz w:val="22"/>
          <w:szCs w:val="22"/>
          <w:lang w:val="sr-Latn-ME"/>
        </w:rPr>
        <w:t>j</w:t>
      </w:r>
      <w:r w:rsidRPr="005436C8">
        <w:rPr>
          <w:noProof/>
          <w:color w:val="000000"/>
          <w:sz w:val="22"/>
          <w:szCs w:val="22"/>
          <w:lang w:val="sr-Latn-ME"/>
        </w:rPr>
        <w:t xml:space="preserve">ena u simptomima dijareje povećana je na + 22,3 (95% CI 21,0; 23,6) u grupi koja je primala pertuzumab prema + 9,2 (95% CI 8,2; 10,2) u grupi koja je primala placebo. </w:t>
      </w:r>
    </w:p>
    <w:p w14:paraId="2A9A1A91" w14:textId="77777777" w:rsidR="000C7302" w:rsidRPr="005436C8" w:rsidRDefault="000C7302" w:rsidP="005436C8">
      <w:pPr>
        <w:keepNext/>
        <w:keepLines/>
        <w:tabs>
          <w:tab w:val="left" w:pos="284"/>
        </w:tabs>
        <w:jc w:val="both"/>
        <w:rPr>
          <w:noProof/>
          <w:color w:val="000000"/>
          <w:sz w:val="22"/>
          <w:szCs w:val="22"/>
          <w:lang w:val="sr-Latn-ME"/>
        </w:rPr>
      </w:pPr>
    </w:p>
    <w:p w14:paraId="74F9FEA5" w14:textId="77777777" w:rsidR="000C7302" w:rsidRPr="005436C8" w:rsidRDefault="000C7302" w:rsidP="005436C8">
      <w:pPr>
        <w:keepNext/>
        <w:keepLines/>
        <w:tabs>
          <w:tab w:val="left" w:pos="284"/>
        </w:tabs>
        <w:jc w:val="both"/>
        <w:rPr>
          <w:color w:val="000000"/>
          <w:sz w:val="22"/>
          <w:szCs w:val="22"/>
          <w:lang w:val="sr-Latn-ME"/>
        </w:rPr>
      </w:pPr>
      <w:r w:rsidRPr="005436C8">
        <w:rPr>
          <w:noProof/>
          <w:color w:val="000000"/>
          <w:sz w:val="22"/>
          <w:szCs w:val="22"/>
          <w:lang w:val="sr-Latn-ME"/>
        </w:rPr>
        <w:t>Nakon toga su se tokom ciljane terapije rezultati za t</w:t>
      </w:r>
      <w:r w:rsidR="009F2B85" w:rsidRPr="005436C8">
        <w:rPr>
          <w:noProof/>
          <w:color w:val="000000"/>
          <w:sz w:val="22"/>
          <w:szCs w:val="22"/>
          <w:lang w:val="sr-Latn-ME"/>
        </w:rPr>
        <w:t>j</w:t>
      </w:r>
      <w:r w:rsidRPr="005436C8">
        <w:rPr>
          <w:noProof/>
          <w:color w:val="000000"/>
          <w:sz w:val="22"/>
          <w:szCs w:val="22"/>
          <w:lang w:val="sr-Latn-ME"/>
        </w:rPr>
        <w:t xml:space="preserve">elesnu funkciju i opšti zdravstveni status u </w:t>
      </w:r>
      <w:r w:rsidR="00FE754C" w:rsidRPr="005436C8">
        <w:rPr>
          <w:noProof/>
          <w:color w:val="000000"/>
          <w:sz w:val="22"/>
          <w:szCs w:val="22"/>
          <w:lang w:val="sr-Latn-ME"/>
        </w:rPr>
        <w:t>obije</w:t>
      </w:r>
      <w:r w:rsidRPr="005436C8">
        <w:rPr>
          <w:noProof/>
          <w:color w:val="000000"/>
          <w:sz w:val="22"/>
          <w:szCs w:val="22"/>
          <w:lang w:val="sr-Latn-ME"/>
        </w:rPr>
        <w:t xml:space="preserve"> grupe vratili na početne </w:t>
      </w:r>
      <w:r w:rsidR="000A2EA9" w:rsidRPr="005436C8">
        <w:rPr>
          <w:noProof/>
          <w:color w:val="000000"/>
          <w:sz w:val="22"/>
          <w:szCs w:val="22"/>
          <w:lang w:val="sr-Latn-ME"/>
        </w:rPr>
        <w:t>vrijednost</w:t>
      </w:r>
      <w:r w:rsidRPr="005436C8">
        <w:rPr>
          <w:noProof/>
          <w:color w:val="000000"/>
          <w:sz w:val="22"/>
          <w:szCs w:val="22"/>
          <w:lang w:val="sr-Latn-ME"/>
        </w:rPr>
        <w:t xml:space="preserve">i. Simptomi dijareje vratili su se na početne </w:t>
      </w:r>
      <w:r w:rsidR="000A2EA9" w:rsidRPr="005436C8">
        <w:rPr>
          <w:noProof/>
          <w:color w:val="000000"/>
          <w:sz w:val="22"/>
          <w:szCs w:val="22"/>
          <w:lang w:val="sr-Latn-ME"/>
        </w:rPr>
        <w:t>vrijednost</w:t>
      </w:r>
      <w:r w:rsidRPr="005436C8">
        <w:rPr>
          <w:noProof/>
          <w:color w:val="000000"/>
          <w:sz w:val="22"/>
          <w:szCs w:val="22"/>
          <w:lang w:val="sr-Latn-ME"/>
        </w:rPr>
        <w:t xml:space="preserve">i nakon HER2 terapije u grupi koja je primala pertuzumab. Dodavanje pertuzumaba trastuzumabu u kombinaciji sa hemoterapijom nije uticalo na sveukupno obavljanje svakodnevnih uloga pacijenata tokom trajanja studije. </w:t>
      </w:r>
    </w:p>
    <w:p w14:paraId="35AAF535" w14:textId="77777777" w:rsidR="000C7302" w:rsidRPr="005436C8" w:rsidRDefault="000C7302" w:rsidP="005436C8">
      <w:pPr>
        <w:tabs>
          <w:tab w:val="left" w:pos="180"/>
          <w:tab w:val="left" w:pos="284"/>
        </w:tabs>
        <w:autoSpaceDE w:val="0"/>
        <w:autoSpaceDN w:val="0"/>
        <w:adjustRightInd w:val="0"/>
        <w:ind w:left="180" w:hanging="180"/>
        <w:jc w:val="both"/>
        <w:rPr>
          <w:noProof/>
          <w:color w:val="000000"/>
          <w:sz w:val="22"/>
          <w:szCs w:val="22"/>
          <w:lang w:val="sr-Latn-ME"/>
        </w:rPr>
      </w:pPr>
    </w:p>
    <w:p w14:paraId="7A8DB011" w14:textId="77777777" w:rsidR="000C7302" w:rsidRPr="005436C8" w:rsidRDefault="000C7302" w:rsidP="005436C8">
      <w:pPr>
        <w:keepNext/>
        <w:keepLines/>
        <w:tabs>
          <w:tab w:val="left" w:pos="284"/>
        </w:tabs>
        <w:jc w:val="both"/>
        <w:rPr>
          <w:rFonts w:eastAsia="SimSun"/>
          <w:i/>
          <w:noProof/>
          <w:color w:val="000000"/>
          <w:sz w:val="22"/>
          <w:szCs w:val="22"/>
          <w:u w:val="single"/>
          <w:lang w:val="sr-Latn-ME"/>
        </w:rPr>
      </w:pPr>
      <w:r w:rsidRPr="005436C8">
        <w:rPr>
          <w:rFonts w:eastAsia="SimSun"/>
          <w:i/>
          <w:iCs/>
          <w:noProof/>
          <w:color w:val="000000"/>
          <w:sz w:val="22"/>
          <w:szCs w:val="22"/>
          <w:u w:val="single"/>
          <w:lang w:val="sr-Latn-ME"/>
        </w:rPr>
        <w:t xml:space="preserve">Metastatski </w:t>
      </w:r>
      <w:r w:rsidRPr="005436C8">
        <w:rPr>
          <w:rFonts w:eastAsia="SimSun"/>
          <w:i/>
          <w:iCs/>
          <w:color w:val="000000"/>
          <w:sz w:val="22"/>
          <w:szCs w:val="22"/>
          <w:u w:val="single"/>
          <w:lang w:val="sr-Latn-ME"/>
        </w:rPr>
        <w:t>karcinom dojke</w:t>
      </w:r>
      <w:r w:rsidRPr="005436C8">
        <w:rPr>
          <w:rFonts w:eastAsia="SimSun"/>
          <w:i/>
          <w:iCs/>
          <w:noProof/>
          <w:color w:val="000000"/>
          <w:sz w:val="22"/>
          <w:szCs w:val="22"/>
          <w:u w:val="single"/>
          <w:lang w:val="sr-Latn-ME"/>
        </w:rPr>
        <w:t xml:space="preserve"> </w:t>
      </w:r>
    </w:p>
    <w:p w14:paraId="28A876C3" w14:textId="77777777" w:rsidR="000C7302" w:rsidRPr="005436C8" w:rsidRDefault="000C7302" w:rsidP="005436C8">
      <w:pPr>
        <w:tabs>
          <w:tab w:val="left" w:pos="284"/>
        </w:tabs>
        <w:jc w:val="both"/>
        <w:rPr>
          <w:rFonts w:eastAsia="SimSun"/>
          <w:i/>
          <w:color w:val="000000"/>
          <w:sz w:val="22"/>
          <w:szCs w:val="22"/>
          <w:lang w:val="sr-Latn-ME"/>
        </w:rPr>
      </w:pPr>
    </w:p>
    <w:p w14:paraId="61E0D09C" w14:textId="77777777" w:rsidR="000C7302" w:rsidRPr="005436C8" w:rsidRDefault="000C7302" w:rsidP="005436C8">
      <w:pPr>
        <w:tabs>
          <w:tab w:val="left" w:pos="284"/>
        </w:tabs>
        <w:jc w:val="both"/>
        <w:rPr>
          <w:rFonts w:eastAsia="SimSun"/>
          <w:i/>
          <w:color w:val="000000"/>
          <w:sz w:val="22"/>
          <w:szCs w:val="22"/>
          <w:lang w:val="sr-Latn-ME"/>
        </w:rPr>
      </w:pPr>
      <w:r w:rsidRPr="005436C8">
        <w:rPr>
          <w:rFonts w:eastAsia="SimSun"/>
          <w:i/>
          <w:iCs/>
          <w:color w:val="000000"/>
          <w:sz w:val="22"/>
          <w:szCs w:val="22"/>
          <w:lang w:val="sr-Latn-ME"/>
        </w:rPr>
        <w:t>Pertuzumab u kombinaciji sa trastuzumabom i docetakselom</w:t>
      </w:r>
    </w:p>
    <w:p w14:paraId="08AFCC3D" w14:textId="77777777" w:rsidR="000C7302" w:rsidRPr="005436C8" w:rsidRDefault="000C7302" w:rsidP="005436C8">
      <w:pPr>
        <w:tabs>
          <w:tab w:val="left" w:pos="284"/>
        </w:tabs>
        <w:jc w:val="both"/>
        <w:rPr>
          <w:rFonts w:eastAsia="SimSun"/>
          <w:i/>
          <w:color w:val="000000"/>
          <w:sz w:val="22"/>
          <w:szCs w:val="22"/>
          <w:lang w:val="sr-Latn-ME"/>
        </w:rPr>
      </w:pPr>
    </w:p>
    <w:p w14:paraId="5B3AF249" w14:textId="7D53F1B2"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CLEOPATRA (WO20698) je multicentrično, randomizovano, dvostruko sl</w:t>
      </w:r>
      <w:r w:rsidR="002D7E0C" w:rsidRPr="005436C8">
        <w:rPr>
          <w:color w:val="000000"/>
          <w:sz w:val="22"/>
          <w:szCs w:val="22"/>
          <w:lang w:val="sr-Latn-ME"/>
        </w:rPr>
        <w:t>ij</w:t>
      </w:r>
      <w:r w:rsidRPr="005436C8">
        <w:rPr>
          <w:color w:val="000000"/>
          <w:sz w:val="22"/>
          <w:szCs w:val="22"/>
          <w:lang w:val="sr-Latn-ME"/>
        </w:rPr>
        <w:t xml:space="preserve">epo, placebom kontrolisano ispitivanje faze III sprovedeno na 808 pacijenata sa HER2 pozitivnim metastatskim ili lokalno rekurentnim neresektabilnim karcinomom dojke. Pacijenti sa klinički važnim faktorima srčanog rizika nisu bili uključeni (pogledati </w:t>
      </w:r>
      <w:r w:rsidR="009B712A">
        <w:rPr>
          <w:color w:val="000000"/>
          <w:sz w:val="22"/>
          <w:szCs w:val="22"/>
          <w:lang w:val="sr-Latn-ME"/>
        </w:rPr>
        <w:t>dio</w:t>
      </w:r>
      <w:r w:rsidRPr="005436C8">
        <w:rPr>
          <w:color w:val="000000"/>
          <w:sz w:val="22"/>
          <w:szCs w:val="22"/>
          <w:lang w:val="sr-Latn-ME"/>
        </w:rPr>
        <w:t xml:space="preserve"> 4.4). Zbog isključivanja pacijenata sa metastazama na mozgu nema dostupnih podataka o d</w:t>
      </w:r>
      <w:r w:rsidR="002D7E0C" w:rsidRPr="005436C8">
        <w:rPr>
          <w:color w:val="000000"/>
          <w:sz w:val="22"/>
          <w:szCs w:val="22"/>
          <w:lang w:val="sr-Latn-ME"/>
        </w:rPr>
        <w:t>j</w:t>
      </w:r>
      <w:r w:rsidRPr="005436C8">
        <w:rPr>
          <w:color w:val="000000"/>
          <w:sz w:val="22"/>
          <w:szCs w:val="22"/>
          <w:lang w:val="sr-Latn-ME"/>
        </w:rPr>
        <w:t xml:space="preserve">elovanju pertuzumaba na metastaze na mozgu. Postoje veoma ograničeni podaci za pacijente sa neresektabilnom, lokalno rekurentnom bolešću. Pacijenti su randomizovani 1:1 da primaju placebo + trastuzumab + docetaksel ili pertuzumab + trastuzumab + docetaksel. </w:t>
      </w:r>
    </w:p>
    <w:p w14:paraId="7F6DC836" w14:textId="77777777" w:rsidR="000C7302" w:rsidRPr="005436C8" w:rsidRDefault="000C7302" w:rsidP="005436C8">
      <w:pPr>
        <w:tabs>
          <w:tab w:val="left" w:pos="284"/>
        </w:tabs>
        <w:jc w:val="both"/>
        <w:rPr>
          <w:rFonts w:eastAsia="SimSun"/>
          <w:color w:val="000000"/>
          <w:sz w:val="22"/>
          <w:szCs w:val="22"/>
          <w:lang w:val="sr-Latn-ME"/>
        </w:rPr>
      </w:pPr>
    </w:p>
    <w:p w14:paraId="31A6BCD3"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lang w:val="sr-Latn-ME"/>
        </w:rPr>
        <w:t>Pertuzumab i trastuzumab su davani u standardnim dozama svake 3 ned</w:t>
      </w:r>
      <w:r w:rsidR="002D7E0C" w:rsidRPr="005436C8">
        <w:rPr>
          <w:rFonts w:eastAsia="SimSun"/>
          <w:color w:val="000000"/>
          <w:sz w:val="22"/>
          <w:szCs w:val="22"/>
          <w:lang w:val="sr-Latn-ME"/>
        </w:rPr>
        <w:t>j</w:t>
      </w:r>
      <w:r w:rsidRPr="005436C8">
        <w:rPr>
          <w:rFonts w:eastAsia="SimSun"/>
          <w:color w:val="000000"/>
          <w:sz w:val="22"/>
          <w:szCs w:val="22"/>
          <w:lang w:val="sr-Latn-ME"/>
        </w:rPr>
        <w:t xml:space="preserve">elje. Pacijenti su </w:t>
      </w:r>
      <w:r w:rsidR="00097926" w:rsidRPr="005436C8">
        <w:rPr>
          <w:rFonts w:eastAsia="SimSun"/>
          <w:color w:val="000000"/>
          <w:sz w:val="22"/>
          <w:szCs w:val="22"/>
          <w:lang w:val="sr-Latn-ME"/>
        </w:rPr>
        <w:t>liječeni</w:t>
      </w:r>
      <w:r w:rsidRPr="005436C8">
        <w:rPr>
          <w:rFonts w:eastAsia="SimSun"/>
          <w:color w:val="000000"/>
          <w:sz w:val="22"/>
          <w:szCs w:val="22"/>
          <w:lang w:val="sr-Latn-ME"/>
        </w:rPr>
        <w:t xml:space="preserve"> pertuzumabom i trastuzumabom do progresije bolesti, povlačenja pristanka ili pojave toksičnosti koju nije bilo moguće otkloniti. Docetaksel je davan kao početna doza od 75 mg/m</w:t>
      </w:r>
      <w:r w:rsidRPr="005436C8">
        <w:rPr>
          <w:rFonts w:eastAsia="SimSun"/>
          <w:color w:val="000000"/>
          <w:sz w:val="22"/>
          <w:szCs w:val="22"/>
          <w:vertAlign w:val="superscript"/>
          <w:lang w:val="sr-Latn-ME"/>
        </w:rPr>
        <w:t>2</w:t>
      </w:r>
      <w:r w:rsidRPr="005436C8">
        <w:rPr>
          <w:rFonts w:eastAsia="SimSun"/>
          <w:color w:val="000000"/>
          <w:sz w:val="22"/>
          <w:szCs w:val="22"/>
          <w:lang w:val="sr-Latn-ME"/>
        </w:rPr>
        <w:t xml:space="preserve"> intravenske infuzije svake tri ned</w:t>
      </w:r>
      <w:r w:rsidR="005432AE" w:rsidRPr="005436C8">
        <w:rPr>
          <w:rFonts w:eastAsia="SimSun"/>
          <w:color w:val="000000"/>
          <w:sz w:val="22"/>
          <w:szCs w:val="22"/>
          <w:lang w:val="sr-Latn-ME"/>
        </w:rPr>
        <w:t>j</w:t>
      </w:r>
      <w:r w:rsidRPr="005436C8">
        <w:rPr>
          <w:rFonts w:eastAsia="SimSun"/>
          <w:color w:val="000000"/>
          <w:sz w:val="22"/>
          <w:szCs w:val="22"/>
          <w:lang w:val="sr-Latn-ME"/>
        </w:rPr>
        <w:t>elje u najmanje 6 ciklusa. Dozu doksetacela moguće je bilo povećati na 100 mg/m</w:t>
      </w:r>
      <w:r w:rsidRPr="005436C8">
        <w:rPr>
          <w:rFonts w:eastAsia="SimSun"/>
          <w:color w:val="000000"/>
          <w:sz w:val="22"/>
          <w:szCs w:val="22"/>
          <w:vertAlign w:val="superscript"/>
          <w:lang w:val="sr-Latn-ME"/>
        </w:rPr>
        <w:t>2</w:t>
      </w:r>
      <w:r w:rsidRPr="005436C8">
        <w:rPr>
          <w:rFonts w:eastAsia="SimSun"/>
          <w:color w:val="000000"/>
          <w:sz w:val="22"/>
          <w:szCs w:val="22"/>
          <w:lang w:val="sr-Latn-ME"/>
        </w:rPr>
        <w:t xml:space="preserve"> prema odluci istraživača ukoliko je inicijalna doza dobro podn</w:t>
      </w:r>
      <w:r w:rsidR="002D7E0C" w:rsidRPr="005436C8">
        <w:rPr>
          <w:rFonts w:eastAsia="SimSun"/>
          <w:color w:val="000000"/>
          <w:sz w:val="22"/>
          <w:szCs w:val="22"/>
          <w:lang w:val="sr-Latn-ME"/>
        </w:rPr>
        <w:t>ij</w:t>
      </w:r>
      <w:r w:rsidRPr="005436C8">
        <w:rPr>
          <w:rFonts w:eastAsia="SimSun"/>
          <w:color w:val="000000"/>
          <w:sz w:val="22"/>
          <w:szCs w:val="22"/>
          <w:lang w:val="sr-Latn-ME"/>
        </w:rPr>
        <w:t xml:space="preserve">eta. </w:t>
      </w:r>
    </w:p>
    <w:p w14:paraId="64A6B235" w14:textId="77777777" w:rsidR="000C7302" w:rsidRPr="005436C8" w:rsidRDefault="000C7302" w:rsidP="005436C8">
      <w:pPr>
        <w:tabs>
          <w:tab w:val="left" w:pos="284"/>
        </w:tabs>
        <w:jc w:val="both"/>
        <w:rPr>
          <w:rFonts w:eastAsia="SimSun"/>
          <w:color w:val="000000"/>
          <w:sz w:val="22"/>
          <w:szCs w:val="22"/>
          <w:lang w:val="sr-Latn-ME"/>
        </w:rPr>
      </w:pPr>
    </w:p>
    <w:p w14:paraId="6A0F8700" w14:textId="77777777" w:rsidR="000C7302" w:rsidRPr="005436C8" w:rsidRDefault="000C7302" w:rsidP="005436C8">
      <w:pPr>
        <w:tabs>
          <w:tab w:val="left" w:pos="284"/>
        </w:tabs>
        <w:jc w:val="both"/>
        <w:rPr>
          <w:rFonts w:eastAsia="SimSun"/>
          <w:color w:val="000000"/>
          <w:sz w:val="22"/>
          <w:szCs w:val="22"/>
          <w:lang w:val="sr-Latn-ME"/>
        </w:rPr>
      </w:pPr>
      <w:r w:rsidRPr="005436C8">
        <w:rPr>
          <w:color w:val="000000"/>
          <w:sz w:val="22"/>
          <w:szCs w:val="22"/>
          <w:lang w:val="sr-Latn-ME"/>
        </w:rPr>
        <w:t>Primarna krajnja tačka u ovoj studiji bila je PFS prema proc</w:t>
      </w:r>
      <w:r w:rsidR="002D7E0C" w:rsidRPr="005436C8">
        <w:rPr>
          <w:color w:val="000000"/>
          <w:sz w:val="22"/>
          <w:szCs w:val="22"/>
          <w:lang w:val="sr-Latn-ME"/>
        </w:rPr>
        <w:t>j</w:t>
      </w:r>
      <w:r w:rsidRPr="005436C8">
        <w:rPr>
          <w:color w:val="000000"/>
          <w:sz w:val="22"/>
          <w:szCs w:val="22"/>
          <w:lang w:val="sr-Latn-ME"/>
        </w:rPr>
        <w:t>eni nezavisnog oc</w:t>
      </w:r>
      <w:r w:rsidR="00486906" w:rsidRPr="005436C8">
        <w:rPr>
          <w:color w:val="000000"/>
          <w:sz w:val="22"/>
          <w:szCs w:val="22"/>
          <w:lang w:val="sr-Latn-ME"/>
        </w:rPr>
        <w:t>j</w:t>
      </w:r>
      <w:r w:rsidRPr="005436C8">
        <w:rPr>
          <w:color w:val="000000"/>
          <w:sz w:val="22"/>
          <w:szCs w:val="22"/>
          <w:lang w:val="sr-Latn-ME"/>
        </w:rPr>
        <w:t xml:space="preserve">enjivačkog </w:t>
      </w:r>
      <w:r w:rsidR="00FE754C" w:rsidRPr="005436C8">
        <w:rPr>
          <w:color w:val="000000"/>
          <w:sz w:val="22"/>
          <w:szCs w:val="22"/>
          <w:lang w:val="sr-Latn-ME"/>
        </w:rPr>
        <w:t>tijela</w:t>
      </w:r>
      <w:r w:rsidRPr="005436C8">
        <w:rPr>
          <w:color w:val="000000"/>
          <w:sz w:val="22"/>
          <w:szCs w:val="22"/>
          <w:lang w:val="sr-Latn-ME"/>
        </w:rPr>
        <w:t xml:space="preserve"> (IRF), definisano kao period od datuma randomizacije do datuma progresije bolesti ili smrti (iz bilo kog uzroka) ako je smrt nastupila u roku od 18 </w:t>
      </w:r>
      <w:r w:rsidR="00636A78" w:rsidRPr="005436C8">
        <w:rPr>
          <w:color w:val="000000"/>
          <w:sz w:val="22"/>
          <w:szCs w:val="22"/>
          <w:lang w:val="sr-Latn-ME"/>
        </w:rPr>
        <w:t>nedjelja</w:t>
      </w:r>
      <w:r w:rsidRPr="005436C8">
        <w:rPr>
          <w:color w:val="000000"/>
          <w:sz w:val="22"/>
          <w:szCs w:val="22"/>
          <w:lang w:val="sr-Latn-ME"/>
        </w:rPr>
        <w:t xml:space="preserve"> od posl</w:t>
      </w:r>
      <w:r w:rsidR="00486906" w:rsidRPr="005436C8">
        <w:rPr>
          <w:color w:val="000000"/>
          <w:sz w:val="22"/>
          <w:szCs w:val="22"/>
          <w:lang w:val="sr-Latn-ME"/>
        </w:rPr>
        <w:t>j</w:t>
      </w:r>
      <w:r w:rsidRPr="005436C8">
        <w:rPr>
          <w:color w:val="000000"/>
          <w:sz w:val="22"/>
          <w:szCs w:val="22"/>
          <w:lang w:val="sr-Latn-ME"/>
        </w:rPr>
        <w:t>ednje proc</w:t>
      </w:r>
      <w:r w:rsidR="005432AE" w:rsidRPr="005436C8">
        <w:rPr>
          <w:color w:val="000000"/>
          <w:sz w:val="22"/>
          <w:szCs w:val="22"/>
          <w:lang w:val="sr-Latn-ME"/>
        </w:rPr>
        <w:t>j</w:t>
      </w:r>
      <w:r w:rsidRPr="005436C8">
        <w:rPr>
          <w:color w:val="000000"/>
          <w:sz w:val="22"/>
          <w:szCs w:val="22"/>
          <w:lang w:val="sr-Latn-ME"/>
        </w:rPr>
        <w:t xml:space="preserve">ene tumora. Sekundarne krajnje </w:t>
      </w:r>
      <w:r w:rsidRPr="005436C8">
        <w:rPr>
          <w:color w:val="000000"/>
          <w:sz w:val="22"/>
          <w:szCs w:val="22"/>
          <w:lang w:val="sr-Latn-ME"/>
        </w:rPr>
        <w:lastRenderedPageBreak/>
        <w:t>tačke efikasnosti bile su OS, PFS (prema proc</w:t>
      </w:r>
      <w:r w:rsidR="005432AE" w:rsidRPr="005436C8">
        <w:rPr>
          <w:color w:val="000000"/>
          <w:sz w:val="22"/>
          <w:szCs w:val="22"/>
          <w:lang w:val="sr-Latn-ME"/>
        </w:rPr>
        <w:t>j</w:t>
      </w:r>
      <w:r w:rsidRPr="005436C8">
        <w:rPr>
          <w:color w:val="000000"/>
          <w:sz w:val="22"/>
          <w:szCs w:val="22"/>
          <w:lang w:val="sr-Latn-ME"/>
        </w:rPr>
        <w:t xml:space="preserve">eni istraživača), stopa objektivnog odgovora (ORR), trajanje odgovora i </w:t>
      </w:r>
      <w:r w:rsidR="002700CC" w:rsidRPr="005436C8">
        <w:rPr>
          <w:color w:val="000000"/>
          <w:sz w:val="22"/>
          <w:szCs w:val="22"/>
          <w:lang w:val="sr-Latn-ME"/>
        </w:rPr>
        <w:t>vr</w:t>
      </w:r>
      <w:r w:rsidR="00486906" w:rsidRPr="005436C8">
        <w:rPr>
          <w:color w:val="000000"/>
          <w:sz w:val="22"/>
          <w:szCs w:val="22"/>
          <w:lang w:val="sr-Latn-ME"/>
        </w:rPr>
        <w:t>ij</w:t>
      </w:r>
      <w:r w:rsidR="002700CC" w:rsidRPr="005436C8">
        <w:rPr>
          <w:color w:val="000000"/>
          <w:sz w:val="22"/>
          <w:szCs w:val="22"/>
          <w:lang w:val="sr-Latn-ME"/>
        </w:rPr>
        <w:t>em</w:t>
      </w:r>
      <w:r w:rsidR="00A21698" w:rsidRPr="005436C8">
        <w:rPr>
          <w:color w:val="000000"/>
          <w:sz w:val="22"/>
          <w:szCs w:val="22"/>
          <w:lang w:val="sr-Latn-ME"/>
        </w:rPr>
        <w:t>e</w:t>
      </w:r>
      <w:r w:rsidRPr="005436C8">
        <w:rPr>
          <w:color w:val="000000"/>
          <w:sz w:val="22"/>
          <w:szCs w:val="22"/>
          <w:lang w:val="sr-Latn-ME"/>
        </w:rPr>
        <w:t xml:space="preserve"> do progresije simptoma prema upitniku o kvalitetu života FACT B.</w:t>
      </w:r>
    </w:p>
    <w:p w14:paraId="70BAEC7B" w14:textId="77777777" w:rsidR="000C7302" w:rsidRPr="005436C8" w:rsidRDefault="000C7302" w:rsidP="005436C8">
      <w:pPr>
        <w:tabs>
          <w:tab w:val="left" w:pos="284"/>
        </w:tabs>
        <w:jc w:val="both"/>
        <w:rPr>
          <w:rFonts w:eastAsia="SimSun"/>
          <w:color w:val="000000"/>
          <w:sz w:val="22"/>
          <w:szCs w:val="22"/>
          <w:lang w:val="sr-Latn-ME"/>
        </w:rPr>
      </w:pPr>
    </w:p>
    <w:p w14:paraId="4E0F1096" w14:textId="77777777" w:rsidR="000C7302" w:rsidRPr="005436C8" w:rsidRDefault="000C7302" w:rsidP="005436C8">
      <w:pPr>
        <w:tabs>
          <w:tab w:val="left" w:pos="284"/>
        </w:tabs>
        <w:jc w:val="both"/>
        <w:rPr>
          <w:rFonts w:eastAsia="SimSun"/>
          <w:color w:val="000000"/>
          <w:sz w:val="22"/>
          <w:szCs w:val="22"/>
          <w:lang w:val="sr-Latn-ME"/>
        </w:rPr>
      </w:pPr>
      <w:r w:rsidRPr="005436C8">
        <w:rPr>
          <w:color w:val="000000"/>
          <w:sz w:val="22"/>
          <w:szCs w:val="22"/>
          <w:lang w:val="sr-Latn-ME"/>
        </w:rPr>
        <w:t xml:space="preserve">Približno polovina pacijenata u svakoj terapijskoj grupi imala je bolest pozitivnu na hormonske receptore (definisanu kao ER-pozitivna odnosno PgR-pozitivna), a približno polovina pacijenata u svakoj terapijskoj grupi prethodno je primala adjuvantnu ili neoadjuvantnu terapiju. Većina tih pacijenata je prethodno primala terapiju antraciklinom, a 11% svih pacijenata je prethodno primalo trastuzumab. Ukupno 43% pacijenata u </w:t>
      </w:r>
      <w:r w:rsidR="00FE754C" w:rsidRPr="005436C8">
        <w:rPr>
          <w:color w:val="000000"/>
          <w:sz w:val="22"/>
          <w:szCs w:val="22"/>
          <w:lang w:val="sr-Latn-ME"/>
        </w:rPr>
        <w:t>obije</w:t>
      </w:r>
      <w:r w:rsidRPr="005436C8">
        <w:rPr>
          <w:color w:val="000000"/>
          <w:sz w:val="22"/>
          <w:szCs w:val="22"/>
          <w:lang w:val="sr-Latn-ME"/>
        </w:rPr>
        <w:t xml:space="preserve"> terapijske grupe prethodno je primalo radioterapiju. Medijana LVEF pacijenata na početku iznosila je 65,0% (raspon 50%</w:t>
      </w:r>
      <w:r w:rsidRPr="005436C8">
        <w:rPr>
          <w:color w:val="000000"/>
          <w:sz w:val="22"/>
          <w:szCs w:val="22"/>
          <w:lang w:val="sr-Latn-ME"/>
        </w:rPr>
        <w:noBreakHyphen/>
        <w:t xml:space="preserve">88%) u </w:t>
      </w:r>
      <w:r w:rsidR="00FE754C" w:rsidRPr="005436C8">
        <w:rPr>
          <w:color w:val="000000"/>
          <w:sz w:val="22"/>
          <w:szCs w:val="22"/>
          <w:lang w:val="sr-Latn-ME"/>
        </w:rPr>
        <w:t>obije</w:t>
      </w:r>
      <w:r w:rsidRPr="005436C8">
        <w:rPr>
          <w:color w:val="000000"/>
          <w:sz w:val="22"/>
          <w:szCs w:val="22"/>
          <w:lang w:val="sr-Latn-ME"/>
        </w:rPr>
        <w:t xml:space="preserve"> grupe. </w:t>
      </w:r>
    </w:p>
    <w:p w14:paraId="32FC2588" w14:textId="77777777" w:rsidR="000C7302" w:rsidRPr="005436C8" w:rsidRDefault="000C7302" w:rsidP="005436C8">
      <w:pPr>
        <w:tabs>
          <w:tab w:val="left" w:pos="284"/>
        </w:tabs>
        <w:jc w:val="both"/>
        <w:rPr>
          <w:rFonts w:eastAsia="SimSun"/>
          <w:color w:val="000000"/>
          <w:sz w:val="22"/>
          <w:szCs w:val="22"/>
          <w:lang w:val="sr-Latn-ME"/>
        </w:rPr>
      </w:pPr>
    </w:p>
    <w:p w14:paraId="0E38A07C" w14:textId="77777777" w:rsidR="000C7302" w:rsidRPr="005436C8" w:rsidRDefault="000C7302" w:rsidP="005436C8">
      <w:pPr>
        <w:tabs>
          <w:tab w:val="left" w:pos="284"/>
        </w:tabs>
        <w:jc w:val="both"/>
        <w:rPr>
          <w:rFonts w:eastAsia="SimSun"/>
          <w:color w:val="000000"/>
          <w:sz w:val="22"/>
          <w:szCs w:val="22"/>
          <w:lang w:val="sr-Latn-ME"/>
        </w:rPr>
      </w:pPr>
      <w:r w:rsidRPr="005436C8">
        <w:rPr>
          <w:color w:val="000000"/>
          <w:sz w:val="22"/>
          <w:szCs w:val="22"/>
          <w:lang w:val="sr-Latn-ME"/>
        </w:rPr>
        <w:t>Sažet pregled rezultata efikasnosti iz ispitivanja CLEOPATRA dat je u tabeli 8. Prema proc</w:t>
      </w:r>
      <w:r w:rsidR="00880868" w:rsidRPr="005436C8">
        <w:rPr>
          <w:color w:val="000000"/>
          <w:sz w:val="22"/>
          <w:szCs w:val="22"/>
          <w:lang w:val="sr-Latn-ME"/>
        </w:rPr>
        <w:t>j</w:t>
      </w:r>
      <w:r w:rsidRPr="005436C8">
        <w:rPr>
          <w:color w:val="000000"/>
          <w:sz w:val="22"/>
          <w:szCs w:val="22"/>
          <w:lang w:val="sr-Latn-ME"/>
        </w:rPr>
        <w:t>eni nezavisnog oc</w:t>
      </w:r>
      <w:r w:rsidR="00486906" w:rsidRPr="005436C8">
        <w:rPr>
          <w:color w:val="000000"/>
          <w:sz w:val="22"/>
          <w:szCs w:val="22"/>
          <w:lang w:val="sr-Latn-ME"/>
        </w:rPr>
        <w:t>j</w:t>
      </w:r>
      <w:r w:rsidRPr="005436C8">
        <w:rPr>
          <w:color w:val="000000"/>
          <w:sz w:val="22"/>
          <w:szCs w:val="22"/>
          <w:lang w:val="sr-Latn-ME"/>
        </w:rPr>
        <w:t xml:space="preserve">enjivačkog </w:t>
      </w:r>
      <w:r w:rsidR="00FE754C" w:rsidRPr="005436C8">
        <w:rPr>
          <w:color w:val="000000"/>
          <w:sz w:val="22"/>
          <w:szCs w:val="22"/>
          <w:lang w:val="sr-Latn-ME"/>
        </w:rPr>
        <w:t>tijela</w:t>
      </w:r>
      <w:r w:rsidRPr="005436C8">
        <w:rPr>
          <w:color w:val="000000"/>
          <w:sz w:val="22"/>
          <w:szCs w:val="22"/>
          <w:lang w:val="sr-Latn-ME"/>
        </w:rPr>
        <w:t xml:space="preserve">, u grupi </w:t>
      </w:r>
      <w:r w:rsidR="00F90BE1" w:rsidRPr="005436C8">
        <w:rPr>
          <w:color w:val="000000"/>
          <w:sz w:val="22"/>
          <w:szCs w:val="22"/>
          <w:lang w:val="sr-Latn-ME"/>
        </w:rPr>
        <w:t>liječenoj</w:t>
      </w:r>
      <w:r w:rsidRPr="005436C8">
        <w:rPr>
          <w:color w:val="000000"/>
          <w:sz w:val="22"/>
          <w:szCs w:val="22"/>
          <w:lang w:val="sr-Latn-ME"/>
        </w:rPr>
        <w:t xml:space="preserve"> pertuzumabom pokazano je statistički značajno poboljšanje PFS u poređenju sa grupom koja je primala placebo. Rezultati za PFS prema proc</w:t>
      </w:r>
      <w:r w:rsidR="00880868" w:rsidRPr="005436C8">
        <w:rPr>
          <w:color w:val="000000"/>
          <w:sz w:val="22"/>
          <w:szCs w:val="22"/>
          <w:lang w:val="sr-Latn-ME"/>
        </w:rPr>
        <w:t>j</w:t>
      </w:r>
      <w:r w:rsidRPr="005436C8">
        <w:rPr>
          <w:color w:val="000000"/>
          <w:sz w:val="22"/>
          <w:szCs w:val="22"/>
          <w:lang w:val="sr-Latn-ME"/>
        </w:rPr>
        <w:t>eni istraživača bili su slični rezultatima za PFS prema proc</w:t>
      </w:r>
      <w:r w:rsidR="00BB2B97" w:rsidRPr="005436C8">
        <w:rPr>
          <w:color w:val="000000"/>
          <w:sz w:val="22"/>
          <w:szCs w:val="22"/>
          <w:lang w:val="sr-Latn-ME"/>
        </w:rPr>
        <w:t>j</w:t>
      </w:r>
      <w:r w:rsidRPr="005436C8">
        <w:rPr>
          <w:color w:val="000000"/>
          <w:sz w:val="22"/>
          <w:szCs w:val="22"/>
          <w:lang w:val="sr-Latn-ME"/>
        </w:rPr>
        <w:t>eni nezavisnog oc</w:t>
      </w:r>
      <w:r w:rsidR="00486906" w:rsidRPr="005436C8">
        <w:rPr>
          <w:color w:val="000000"/>
          <w:sz w:val="22"/>
          <w:szCs w:val="22"/>
          <w:lang w:val="sr-Latn-ME"/>
        </w:rPr>
        <w:t>j</w:t>
      </w:r>
      <w:r w:rsidRPr="005436C8">
        <w:rPr>
          <w:color w:val="000000"/>
          <w:sz w:val="22"/>
          <w:szCs w:val="22"/>
          <w:lang w:val="sr-Latn-ME"/>
        </w:rPr>
        <w:t>enjivačkog t</w:t>
      </w:r>
      <w:r w:rsidR="00BB2B97" w:rsidRPr="005436C8">
        <w:rPr>
          <w:color w:val="000000"/>
          <w:sz w:val="22"/>
          <w:szCs w:val="22"/>
          <w:lang w:val="sr-Latn-ME"/>
        </w:rPr>
        <w:t>ij</w:t>
      </w:r>
      <w:r w:rsidRPr="005436C8">
        <w:rPr>
          <w:color w:val="000000"/>
          <w:sz w:val="22"/>
          <w:szCs w:val="22"/>
          <w:lang w:val="sr-Latn-ME"/>
        </w:rPr>
        <w:t xml:space="preserve">ela. </w:t>
      </w:r>
    </w:p>
    <w:p w14:paraId="2D7172DD" w14:textId="77777777" w:rsidR="000C7302" w:rsidRPr="005436C8" w:rsidRDefault="000C7302" w:rsidP="005436C8">
      <w:pPr>
        <w:tabs>
          <w:tab w:val="left" w:pos="284"/>
        </w:tabs>
        <w:jc w:val="both"/>
        <w:rPr>
          <w:rFonts w:eastAsia="SimSun"/>
          <w:noProof/>
          <w:color w:val="000000"/>
          <w:sz w:val="22"/>
          <w:szCs w:val="22"/>
          <w:lang w:val="sr-Latn-ME"/>
        </w:rPr>
      </w:pPr>
    </w:p>
    <w:p w14:paraId="74505C80" w14:textId="77777777" w:rsidR="000C7302" w:rsidRDefault="000C7302" w:rsidP="005436C8">
      <w:pPr>
        <w:tabs>
          <w:tab w:val="left" w:pos="284"/>
        </w:tabs>
        <w:jc w:val="both"/>
        <w:rPr>
          <w:rFonts w:eastAsia="SimSun"/>
          <w:b/>
          <w:bCs/>
          <w:color w:val="000000"/>
          <w:sz w:val="22"/>
          <w:szCs w:val="22"/>
          <w:lang w:val="sr-Latn-ME"/>
        </w:rPr>
      </w:pPr>
      <w:r w:rsidRPr="005436C8">
        <w:rPr>
          <w:rFonts w:eastAsia="SimSun"/>
          <w:b/>
          <w:bCs/>
          <w:color w:val="000000"/>
          <w:sz w:val="22"/>
          <w:szCs w:val="22"/>
          <w:lang w:val="sr-Latn-ME"/>
        </w:rPr>
        <w:t>Tabela 8</w:t>
      </w:r>
      <w:r w:rsidRPr="005436C8">
        <w:rPr>
          <w:rFonts w:eastAsia="SimSun"/>
          <w:b/>
          <w:bCs/>
          <w:color w:val="000000"/>
          <w:sz w:val="22"/>
          <w:szCs w:val="22"/>
          <w:lang w:val="sr-Latn-ME"/>
        </w:rPr>
        <w:tab/>
        <w:t xml:space="preserve"> Sažet pregled efikasnosti iz ispitivanja CLEOPATRA</w:t>
      </w:r>
    </w:p>
    <w:p w14:paraId="49F9A0FF" w14:textId="77777777" w:rsidR="00F4539F" w:rsidRPr="005436C8" w:rsidRDefault="00F4539F" w:rsidP="005436C8">
      <w:pPr>
        <w:tabs>
          <w:tab w:val="left" w:pos="284"/>
        </w:tabs>
        <w:jc w:val="both"/>
        <w:rPr>
          <w:rFonts w:eastAsia="SimSun"/>
          <w:b/>
          <w:bCs/>
          <w:color w:val="000000"/>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1418"/>
        <w:gridCol w:w="1275"/>
        <w:gridCol w:w="1418"/>
      </w:tblGrid>
      <w:tr w:rsidR="000C7302" w:rsidRPr="005436C8" w14:paraId="2580109F" w14:textId="77777777" w:rsidTr="000C7302">
        <w:trPr>
          <w:tblHeader/>
        </w:trPr>
        <w:tc>
          <w:tcPr>
            <w:tcW w:w="3261" w:type="dxa"/>
          </w:tcPr>
          <w:p w14:paraId="08A23247"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r w:rsidRPr="005436C8">
              <w:rPr>
                <w:rFonts w:eastAsia="SimSun"/>
                <w:b/>
                <w:bCs/>
                <w:color w:val="000000"/>
                <w:sz w:val="22"/>
                <w:szCs w:val="22"/>
                <w:lang w:val="sr-Latn-ME"/>
              </w:rPr>
              <w:t xml:space="preserve">Parametar </w:t>
            </w:r>
          </w:p>
        </w:tc>
        <w:tc>
          <w:tcPr>
            <w:tcW w:w="1417" w:type="dxa"/>
          </w:tcPr>
          <w:p w14:paraId="516F86E3"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 xml:space="preserve">Placebo + </w:t>
            </w:r>
          </w:p>
          <w:p w14:paraId="3E969C0A"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trastuzumab</w:t>
            </w:r>
          </w:p>
          <w:p w14:paraId="32ED02DA"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 docetaksel</w:t>
            </w:r>
          </w:p>
          <w:p w14:paraId="49932928"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n=406</w:t>
            </w:r>
          </w:p>
        </w:tc>
        <w:tc>
          <w:tcPr>
            <w:tcW w:w="1418" w:type="dxa"/>
          </w:tcPr>
          <w:p w14:paraId="2D9EB3B5"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 xml:space="preserve">Pertuzumab + </w:t>
            </w:r>
          </w:p>
          <w:p w14:paraId="3C60E7DE"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trastuzumab</w:t>
            </w:r>
          </w:p>
          <w:p w14:paraId="6CAC0391"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 docetaksel</w:t>
            </w:r>
          </w:p>
          <w:p w14:paraId="1E11BC4D"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n=402</w:t>
            </w:r>
          </w:p>
        </w:tc>
        <w:tc>
          <w:tcPr>
            <w:tcW w:w="1275" w:type="dxa"/>
          </w:tcPr>
          <w:p w14:paraId="29719BBC"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HR</w:t>
            </w:r>
          </w:p>
          <w:p w14:paraId="067032E6"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(95% CI)</w:t>
            </w:r>
          </w:p>
          <w:p w14:paraId="195D4C7E"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p>
        </w:tc>
        <w:tc>
          <w:tcPr>
            <w:tcW w:w="1418" w:type="dxa"/>
          </w:tcPr>
          <w:p w14:paraId="2B4C3453" w14:textId="77777777" w:rsidR="000C7302" w:rsidRPr="005436C8" w:rsidRDefault="000C7302" w:rsidP="005436C8">
            <w:pPr>
              <w:keepNext/>
              <w:keepLines/>
              <w:tabs>
                <w:tab w:val="left" w:pos="284"/>
              </w:tabs>
              <w:autoSpaceDE w:val="0"/>
              <w:autoSpaceDN w:val="0"/>
              <w:adjustRightInd w:val="0"/>
              <w:jc w:val="center"/>
              <w:rPr>
                <w:rFonts w:eastAsia="SimSun"/>
                <w:b/>
                <w:bCs/>
                <w:color w:val="000000"/>
                <w:sz w:val="22"/>
                <w:szCs w:val="22"/>
                <w:lang w:val="sr-Latn-ME"/>
              </w:rPr>
            </w:pPr>
            <w:r w:rsidRPr="005436C8">
              <w:rPr>
                <w:rFonts w:eastAsia="SimSun"/>
                <w:b/>
                <w:bCs/>
                <w:color w:val="000000"/>
                <w:sz w:val="22"/>
                <w:szCs w:val="22"/>
                <w:lang w:val="sr-Latn-ME"/>
              </w:rPr>
              <w:t>p-</w:t>
            </w:r>
            <w:r w:rsidR="000A2EA9" w:rsidRPr="005436C8">
              <w:rPr>
                <w:rFonts w:eastAsia="SimSun"/>
                <w:b/>
                <w:bCs/>
                <w:color w:val="000000"/>
                <w:sz w:val="22"/>
                <w:szCs w:val="22"/>
                <w:lang w:val="sr-Latn-ME"/>
              </w:rPr>
              <w:t>vrijednost</w:t>
            </w:r>
          </w:p>
        </w:tc>
      </w:tr>
      <w:tr w:rsidR="000C7302" w:rsidRPr="005436C8" w14:paraId="42263E1A" w14:textId="77777777" w:rsidTr="000C7302">
        <w:tc>
          <w:tcPr>
            <w:tcW w:w="3261" w:type="dxa"/>
          </w:tcPr>
          <w:p w14:paraId="3D0A6DA4"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r w:rsidRPr="005436C8">
              <w:rPr>
                <w:rFonts w:eastAsia="SimSun"/>
                <w:b/>
                <w:bCs/>
                <w:color w:val="000000"/>
                <w:sz w:val="22"/>
                <w:szCs w:val="22"/>
                <w:lang w:val="sr-Latn-ME"/>
              </w:rPr>
              <w:t xml:space="preserve">Preživljavanje bez progresije bolesti </w:t>
            </w:r>
          </w:p>
          <w:p w14:paraId="541D0A2A"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r w:rsidRPr="005436C8">
              <w:rPr>
                <w:rFonts w:eastAsia="SimSun"/>
                <w:b/>
                <w:bCs/>
                <w:color w:val="000000"/>
                <w:sz w:val="22"/>
                <w:szCs w:val="22"/>
                <w:lang w:val="sr-Latn-ME"/>
              </w:rPr>
              <w:t>(nezavisni pregled) – primarna krajnja tačka*</w:t>
            </w:r>
          </w:p>
          <w:p w14:paraId="791BC213"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p>
          <w:p w14:paraId="38F1446B" w14:textId="77777777" w:rsidR="000C7302" w:rsidRPr="005436C8" w:rsidRDefault="000C7302" w:rsidP="005436C8">
            <w:pPr>
              <w:keepNext/>
              <w:keepLines/>
              <w:tabs>
                <w:tab w:val="left" w:pos="284"/>
              </w:tabs>
              <w:autoSpaceDE w:val="0"/>
              <w:autoSpaceDN w:val="0"/>
              <w:adjustRightInd w:val="0"/>
              <w:jc w:val="both"/>
              <w:rPr>
                <w:rFonts w:eastAsia="SimSun"/>
                <w:bCs/>
                <w:color w:val="000000"/>
                <w:sz w:val="22"/>
                <w:szCs w:val="22"/>
                <w:lang w:val="sr-Latn-ME"/>
              </w:rPr>
            </w:pPr>
            <w:r w:rsidRPr="005436C8">
              <w:rPr>
                <w:rFonts w:eastAsia="SimSun"/>
                <w:color w:val="000000"/>
                <w:sz w:val="22"/>
                <w:szCs w:val="22"/>
                <w:lang w:val="sr-Latn-ME"/>
              </w:rPr>
              <w:t>br. pacijenata sa događajem</w:t>
            </w:r>
          </w:p>
          <w:p w14:paraId="1ADA9DE8"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r w:rsidRPr="005436C8">
              <w:rPr>
                <w:rFonts w:eastAsia="SimSun"/>
                <w:color w:val="000000"/>
                <w:sz w:val="22"/>
                <w:szCs w:val="22"/>
                <w:lang w:val="sr-Latn-ME"/>
              </w:rPr>
              <w:t xml:space="preserve">Medijana </w:t>
            </w:r>
            <w:r w:rsidR="00FE754C" w:rsidRPr="005436C8">
              <w:rPr>
                <w:rFonts w:eastAsia="SimSun"/>
                <w:color w:val="000000"/>
                <w:sz w:val="22"/>
                <w:szCs w:val="22"/>
                <w:lang w:val="sr-Latn-ME"/>
              </w:rPr>
              <w:t>mjesec</w:t>
            </w:r>
            <w:r w:rsidRPr="005436C8">
              <w:rPr>
                <w:rFonts w:eastAsia="SimSun"/>
                <w:color w:val="000000"/>
                <w:sz w:val="22"/>
                <w:szCs w:val="22"/>
                <w:lang w:val="sr-Latn-ME"/>
              </w:rPr>
              <w:t>i</w:t>
            </w:r>
          </w:p>
        </w:tc>
        <w:tc>
          <w:tcPr>
            <w:tcW w:w="1417" w:type="dxa"/>
          </w:tcPr>
          <w:p w14:paraId="4FE88960"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6EAF54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1ED0709F"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3D7D56B5"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C743A85"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242 (59%)</w:t>
            </w:r>
          </w:p>
          <w:p w14:paraId="61F5AED8"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12,4</w:t>
            </w:r>
          </w:p>
        </w:tc>
        <w:tc>
          <w:tcPr>
            <w:tcW w:w="1418" w:type="dxa"/>
          </w:tcPr>
          <w:p w14:paraId="29418CF5"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52C9497A"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F14A930"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6AB3E14"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12793C1E"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191 (47,5%)</w:t>
            </w:r>
          </w:p>
          <w:p w14:paraId="5003FCE0"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18,5</w:t>
            </w:r>
          </w:p>
        </w:tc>
        <w:tc>
          <w:tcPr>
            <w:tcW w:w="1275" w:type="dxa"/>
          </w:tcPr>
          <w:p w14:paraId="4408FD22"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7E3E070"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6C25EF6B"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65EC7B2"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7D1FB9D3"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0,62</w:t>
            </w:r>
          </w:p>
          <w:p w14:paraId="4528BC6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[0,51, 0,75]</w:t>
            </w:r>
          </w:p>
        </w:tc>
        <w:tc>
          <w:tcPr>
            <w:tcW w:w="1418" w:type="dxa"/>
          </w:tcPr>
          <w:p w14:paraId="46D092DC"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4A9EDAC9"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4B3C3B31"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60B7AF66"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1D0CBC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&lt;0,0001</w:t>
            </w:r>
          </w:p>
        </w:tc>
      </w:tr>
      <w:tr w:rsidR="000C7302" w:rsidRPr="005436C8" w14:paraId="39EBD77E" w14:textId="77777777" w:rsidTr="000C7302">
        <w:tc>
          <w:tcPr>
            <w:tcW w:w="3261" w:type="dxa"/>
          </w:tcPr>
          <w:p w14:paraId="502936C0"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r w:rsidRPr="005436C8">
              <w:rPr>
                <w:rFonts w:eastAsia="SimSun"/>
                <w:b/>
                <w:bCs/>
                <w:color w:val="000000"/>
                <w:sz w:val="22"/>
                <w:szCs w:val="22"/>
                <w:lang w:val="sr-Latn-ME"/>
              </w:rPr>
              <w:t>Ukupno preživljavanje - sekundarna krajnja tačka**</w:t>
            </w:r>
          </w:p>
          <w:p w14:paraId="58264348"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p>
          <w:p w14:paraId="4EF011B3" w14:textId="77777777" w:rsidR="000C7302" w:rsidRPr="005436C8" w:rsidRDefault="000C7302" w:rsidP="005436C8">
            <w:pPr>
              <w:keepNext/>
              <w:keepLines/>
              <w:tabs>
                <w:tab w:val="left" w:pos="284"/>
              </w:tabs>
              <w:autoSpaceDE w:val="0"/>
              <w:autoSpaceDN w:val="0"/>
              <w:adjustRightInd w:val="0"/>
              <w:jc w:val="both"/>
              <w:rPr>
                <w:rFonts w:eastAsia="SimSun"/>
                <w:bCs/>
                <w:color w:val="000000"/>
                <w:sz w:val="22"/>
                <w:szCs w:val="22"/>
                <w:lang w:val="sr-Latn-ME"/>
              </w:rPr>
            </w:pPr>
            <w:r w:rsidRPr="005436C8">
              <w:rPr>
                <w:rFonts w:eastAsia="SimSun"/>
                <w:color w:val="000000"/>
                <w:sz w:val="22"/>
                <w:szCs w:val="22"/>
                <w:lang w:val="sr-Latn-ME"/>
              </w:rPr>
              <w:t>br. pacijenata sa događajem</w:t>
            </w:r>
          </w:p>
          <w:p w14:paraId="6AE3D31F" w14:textId="77777777" w:rsidR="000C7302" w:rsidRPr="005436C8" w:rsidRDefault="000C7302" w:rsidP="005436C8">
            <w:pPr>
              <w:keepNext/>
              <w:keepLines/>
              <w:tabs>
                <w:tab w:val="left" w:pos="284"/>
              </w:tabs>
              <w:autoSpaceDE w:val="0"/>
              <w:autoSpaceDN w:val="0"/>
              <w:adjustRightInd w:val="0"/>
              <w:jc w:val="both"/>
              <w:rPr>
                <w:rFonts w:eastAsia="SimSun"/>
                <w:bCs/>
                <w:color w:val="000000"/>
                <w:sz w:val="22"/>
                <w:szCs w:val="22"/>
                <w:lang w:val="sr-Latn-ME"/>
              </w:rPr>
            </w:pPr>
            <w:r w:rsidRPr="005436C8">
              <w:rPr>
                <w:rFonts w:eastAsia="SimSun"/>
                <w:color w:val="000000"/>
                <w:sz w:val="22"/>
                <w:szCs w:val="22"/>
                <w:lang w:val="sr-Latn-ME"/>
              </w:rPr>
              <w:t xml:space="preserve">Medijana </w:t>
            </w:r>
            <w:r w:rsidR="00FE754C" w:rsidRPr="005436C8">
              <w:rPr>
                <w:rFonts w:eastAsia="SimSun"/>
                <w:color w:val="000000"/>
                <w:sz w:val="22"/>
                <w:szCs w:val="22"/>
                <w:lang w:val="sr-Latn-ME"/>
              </w:rPr>
              <w:t>mjesec</w:t>
            </w:r>
            <w:r w:rsidRPr="005436C8">
              <w:rPr>
                <w:rFonts w:eastAsia="SimSun"/>
                <w:color w:val="000000"/>
                <w:sz w:val="22"/>
                <w:szCs w:val="22"/>
                <w:lang w:val="sr-Latn-ME"/>
              </w:rPr>
              <w:t>i</w:t>
            </w:r>
          </w:p>
        </w:tc>
        <w:tc>
          <w:tcPr>
            <w:tcW w:w="1417" w:type="dxa"/>
          </w:tcPr>
          <w:p w14:paraId="412736F6"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18744806"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3FFBBAB0"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3735C7BB"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221 (54,4%)</w:t>
            </w:r>
          </w:p>
          <w:p w14:paraId="253C29F3"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r w:rsidRPr="005436C8">
              <w:rPr>
                <w:rFonts w:eastAsia="SimSun"/>
                <w:color w:val="000000"/>
                <w:sz w:val="22"/>
                <w:szCs w:val="22"/>
                <w:lang w:val="sr-Latn-ME"/>
              </w:rPr>
              <w:t>40,8</w:t>
            </w:r>
          </w:p>
        </w:tc>
        <w:tc>
          <w:tcPr>
            <w:tcW w:w="1418" w:type="dxa"/>
          </w:tcPr>
          <w:p w14:paraId="10222107"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0859C38B"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76AF4F3C"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3E7FA34A"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168 (41,8%)</w:t>
            </w:r>
          </w:p>
          <w:p w14:paraId="41A81657"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r w:rsidRPr="005436C8">
              <w:rPr>
                <w:rFonts w:eastAsia="SimSun"/>
                <w:color w:val="000000"/>
                <w:sz w:val="22"/>
                <w:szCs w:val="22"/>
                <w:lang w:val="sr-Latn-ME"/>
              </w:rPr>
              <w:t>56,5</w:t>
            </w:r>
          </w:p>
        </w:tc>
        <w:tc>
          <w:tcPr>
            <w:tcW w:w="1275" w:type="dxa"/>
          </w:tcPr>
          <w:p w14:paraId="686DD3E1"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58665B7E"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69D0DB2B"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C74FE21"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0,68</w:t>
            </w:r>
          </w:p>
          <w:p w14:paraId="7F45F4FA"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r w:rsidRPr="005436C8">
              <w:rPr>
                <w:rFonts w:eastAsia="SimSun"/>
                <w:color w:val="000000"/>
                <w:sz w:val="22"/>
                <w:szCs w:val="22"/>
                <w:lang w:val="sr-Latn-ME"/>
              </w:rPr>
              <w:t>[0,56, 0,84]</w:t>
            </w:r>
          </w:p>
        </w:tc>
        <w:tc>
          <w:tcPr>
            <w:tcW w:w="1418" w:type="dxa"/>
          </w:tcPr>
          <w:p w14:paraId="39D4157B"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1848D080" w14:textId="77777777" w:rsidR="000C7302" w:rsidRPr="005436C8" w:rsidRDefault="000C7302" w:rsidP="005436C8">
            <w:pPr>
              <w:keepNext/>
              <w:keepLines/>
              <w:tabs>
                <w:tab w:val="left" w:pos="284"/>
              </w:tabs>
              <w:autoSpaceDE w:val="0"/>
              <w:autoSpaceDN w:val="0"/>
              <w:adjustRightInd w:val="0"/>
              <w:jc w:val="center"/>
              <w:rPr>
                <w:rFonts w:eastAsia="SimSun"/>
                <w:bCs/>
                <w:strike/>
                <w:color w:val="000000"/>
                <w:sz w:val="22"/>
                <w:szCs w:val="22"/>
                <w:lang w:val="sr-Latn-ME"/>
              </w:rPr>
            </w:pPr>
          </w:p>
          <w:p w14:paraId="3C73768C" w14:textId="77777777" w:rsidR="000C7302" w:rsidRPr="005436C8" w:rsidRDefault="000C7302" w:rsidP="005436C8">
            <w:pPr>
              <w:keepNext/>
              <w:keepLines/>
              <w:tabs>
                <w:tab w:val="left" w:pos="284"/>
              </w:tabs>
              <w:autoSpaceDE w:val="0"/>
              <w:autoSpaceDN w:val="0"/>
              <w:adjustRightInd w:val="0"/>
              <w:jc w:val="center"/>
              <w:rPr>
                <w:rFonts w:eastAsia="SimSun"/>
                <w:strike/>
                <w:noProof/>
                <w:color w:val="000000"/>
                <w:sz w:val="22"/>
                <w:szCs w:val="22"/>
                <w:lang w:val="sr-Latn-ME"/>
              </w:rPr>
            </w:pPr>
          </w:p>
          <w:p w14:paraId="3497AD9B"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0,0002</w:t>
            </w:r>
          </w:p>
        </w:tc>
      </w:tr>
      <w:tr w:rsidR="000C7302" w:rsidRPr="005436C8" w14:paraId="395D5C84" w14:textId="77777777" w:rsidTr="000C7302">
        <w:trPr>
          <w:trHeight w:val="420"/>
        </w:trPr>
        <w:tc>
          <w:tcPr>
            <w:tcW w:w="3261" w:type="dxa"/>
          </w:tcPr>
          <w:p w14:paraId="27B6E1DA" w14:textId="77777777" w:rsidR="000C7302" w:rsidRPr="005436C8" w:rsidRDefault="000C7302" w:rsidP="005436C8">
            <w:pPr>
              <w:keepNext/>
              <w:keepLines/>
              <w:tabs>
                <w:tab w:val="left" w:pos="284"/>
              </w:tabs>
              <w:autoSpaceDE w:val="0"/>
              <w:autoSpaceDN w:val="0"/>
              <w:adjustRightInd w:val="0"/>
              <w:jc w:val="both"/>
              <w:rPr>
                <w:rFonts w:eastAsia="SimSun"/>
                <w:b/>
                <w:bCs/>
                <w:color w:val="000000"/>
                <w:sz w:val="22"/>
                <w:szCs w:val="22"/>
                <w:lang w:val="sr-Latn-ME"/>
              </w:rPr>
            </w:pPr>
            <w:r w:rsidRPr="005436C8">
              <w:rPr>
                <w:rFonts w:eastAsia="SimSun"/>
                <w:b/>
                <w:bCs/>
                <w:color w:val="000000"/>
                <w:sz w:val="22"/>
                <w:szCs w:val="22"/>
                <w:lang w:val="sr-Latn-ME"/>
              </w:rPr>
              <w:t>Stopa objektivnog odgovora (ORR)^ – sekundarna krajnja tačka</w:t>
            </w:r>
          </w:p>
          <w:p w14:paraId="2E03434F" w14:textId="77777777" w:rsidR="000C7302" w:rsidRPr="005436C8" w:rsidRDefault="000C7302" w:rsidP="005436C8">
            <w:pPr>
              <w:keepNext/>
              <w:keepLines/>
              <w:tabs>
                <w:tab w:val="left" w:pos="284"/>
              </w:tabs>
              <w:autoSpaceDE w:val="0"/>
              <w:autoSpaceDN w:val="0"/>
              <w:adjustRightInd w:val="0"/>
              <w:jc w:val="both"/>
              <w:rPr>
                <w:rFonts w:eastAsia="SimSun"/>
                <w:bCs/>
                <w:color w:val="000000"/>
                <w:sz w:val="22"/>
                <w:szCs w:val="22"/>
                <w:lang w:val="sr-Latn-ME"/>
              </w:rPr>
            </w:pPr>
            <w:r w:rsidRPr="005436C8">
              <w:rPr>
                <w:rFonts w:eastAsia="SimSun"/>
                <w:color w:val="000000"/>
                <w:sz w:val="22"/>
                <w:szCs w:val="22"/>
                <w:lang w:val="sr-Latn-ME"/>
              </w:rPr>
              <w:t xml:space="preserve">br. pacijenata sa bolešću koja se može </w:t>
            </w:r>
            <w:r w:rsidR="00FE754C" w:rsidRPr="005436C8">
              <w:rPr>
                <w:rFonts w:eastAsia="SimSun"/>
                <w:color w:val="000000"/>
                <w:sz w:val="22"/>
                <w:szCs w:val="22"/>
                <w:lang w:val="sr-Latn-ME"/>
              </w:rPr>
              <w:t>izmjeriti</w:t>
            </w:r>
          </w:p>
          <w:p w14:paraId="4E3A02BE"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rFonts w:eastAsia="SimSun"/>
                <w:color w:val="000000"/>
                <w:sz w:val="22"/>
                <w:szCs w:val="22"/>
                <w:lang w:val="sr-Latn-ME"/>
              </w:rPr>
              <w:t xml:space="preserve">Pacijenti sa odgovorom*** </w:t>
            </w:r>
          </w:p>
          <w:p w14:paraId="22881315"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rFonts w:eastAsia="SimSun"/>
                <w:color w:val="000000"/>
                <w:sz w:val="22"/>
                <w:szCs w:val="22"/>
                <w:lang w:val="sr-Latn-ME"/>
              </w:rPr>
              <w:t xml:space="preserve">95% CI za ORR </w:t>
            </w:r>
          </w:p>
          <w:p w14:paraId="5950E139"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rFonts w:eastAsia="SimSun"/>
                <w:color w:val="000000"/>
                <w:sz w:val="22"/>
                <w:szCs w:val="22"/>
                <w:lang w:val="sr-Latn-ME"/>
              </w:rPr>
              <w:t xml:space="preserve">Kompletan odgovor (CR) </w:t>
            </w:r>
          </w:p>
          <w:p w14:paraId="0EDD2452"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rFonts w:eastAsia="SimSun"/>
                <w:color w:val="000000"/>
                <w:sz w:val="22"/>
                <w:szCs w:val="22"/>
                <w:lang w:val="sr-Latn-ME"/>
              </w:rPr>
              <w:t>D</w:t>
            </w:r>
            <w:r w:rsidR="00C141A6" w:rsidRPr="005436C8">
              <w:rPr>
                <w:rFonts w:eastAsia="SimSun"/>
                <w:color w:val="000000"/>
                <w:sz w:val="22"/>
                <w:szCs w:val="22"/>
                <w:lang w:val="sr-Latn-ME"/>
              </w:rPr>
              <w:t>j</w:t>
            </w:r>
            <w:r w:rsidRPr="005436C8">
              <w:rPr>
                <w:rFonts w:eastAsia="SimSun"/>
                <w:color w:val="000000"/>
                <w:sz w:val="22"/>
                <w:szCs w:val="22"/>
                <w:lang w:val="sr-Latn-ME"/>
              </w:rPr>
              <w:t xml:space="preserve">elimičan odgovor (PR) </w:t>
            </w:r>
          </w:p>
          <w:p w14:paraId="54C724BF"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rFonts w:eastAsia="SimSun"/>
                <w:color w:val="000000"/>
                <w:sz w:val="22"/>
                <w:szCs w:val="22"/>
                <w:lang w:val="sr-Latn-ME"/>
              </w:rPr>
              <w:t xml:space="preserve">Stabilna bolest (SD) </w:t>
            </w:r>
          </w:p>
          <w:p w14:paraId="76D98DBF" w14:textId="77777777" w:rsidR="000C7302" w:rsidRPr="005436C8" w:rsidRDefault="000C7302" w:rsidP="005436C8">
            <w:pPr>
              <w:keepNext/>
              <w:keepLines/>
              <w:tabs>
                <w:tab w:val="left" w:pos="284"/>
              </w:tabs>
              <w:jc w:val="both"/>
              <w:rPr>
                <w:rFonts w:eastAsia="SimSun"/>
                <w:color w:val="000000"/>
                <w:sz w:val="22"/>
                <w:szCs w:val="22"/>
                <w:lang w:val="sr-Latn-ME"/>
              </w:rPr>
            </w:pPr>
            <w:r w:rsidRPr="005436C8">
              <w:rPr>
                <w:rFonts w:eastAsia="SimSun"/>
                <w:color w:val="000000"/>
                <w:sz w:val="22"/>
                <w:szCs w:val="22"/>
                <w:lang w:val="sr-Latn-ME"/>
              </w:rPr>
              <w:t xml:space="preserve">Progresivna bolest (PD) </w:t>
            </w:r>
          </w:p>
        </w:tc>
        <w:tc>
          <w:tcPr>
            <w:tcW w:w="1417" w:type="dxa"/>
          </w:tcPr>
          <w:p w14:paraId="131FDAD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481B26B9"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54A95F06"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0AF3E8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336</w:t>
            </w:r>
          </w:p>
          <w:p w14:paraId="5DFE703F"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233 (69,3%)</w:t>
            </w:r>
          </w:p>
          <w:p w14:paraId="05250B5D"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[64,1, 74,2]</w:t>
            </w:r>
          </w:p>
          <w:p w14:paraId="7931B1FE"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14 (4,2%)</w:t>
            </w:r>
          </w:p>
          <w:p w14:paraId="02865ADB"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219 (65,2%)</w:t>
            </w:r>
          </w:p>
          <w:p w14:paraId="77584784"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70 (20,8%)</w:t>
            </w:r>
          </w:p>
          <w:p w14:paraId="10BC897F"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28 (8,3%)</w:t>
            </w:r>
          </w:p>
        </w:tc>
        <w:tc>
          <w:tcPr>
            <w:tcW w:w="1418" w:type="dxa"/>
          </w:tcPr>
          <w:p w14:paraId="2BF37EF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375A9B8E"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A0E578D"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03418236"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343</w:t>
            </w:r>
          </w:p>
          <w:p w14:paraId="032CF7C2"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275 (80,2%)</w:t>
            </w:r>
          </w:p>
          <w:p w14:paraId="6F299269"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[75,6, 84,3]</w:t>
            </w:r>
          </w:p>
          <w:p w14:paraId="28E2BB2E"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19 (5,5%)</w:t>
            </w:r>
          </w:p>
          <w:p w14:paraId="1D339B6B"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256 (74,6%)</w:t>
            </w:r>
          </w:p>
          <w:p w14:paraId="5FDE2B31"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50 (14,6%)</w:t>
            </w:r>
          </w:p>
          <w:p w14:paraId="692BD00A"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13 (3,8%)</w:t>
            </w:r>
          </w:p>
        </w:tc>
        <w:tc>
          <w:tcPr>
            <w:tcW w:w="1275" w:type="dxa"/>
          </w:tcPr>
          <w:p w14:paraId="50D8F649"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E6D2284"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BD1ED2F"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F84E5A3"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Razlika u ORR:</w:t>
            </w:r>
          </w:p>
          <w:p w14:paraId="186A7595"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10,8%</w:t>
            </w:r>
          </w:p>
          <w:p w14:paraId="472DA707"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[4,2, 17,5]</w:t>
            </w:r>
          </w:p>
        </w:tc>
        <w:tc>
          <w:tcPr>
            <w:tcW w:w="1418" w:type="dxa"/>
          </w:tcPr>
          <w:p w14:paraId="3D6D7F7A"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2CC02D2F"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639230F3"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p>
          <w:p w14:paraId="7A6CC20D" w14:textId="77777777" w:rsidR="000C7302" w:rsidRPr="005436C8" w:rsidRDefault="000C7302" w:rsidP="005436C8">
            <w:pPr>
              <w:keepNext/>
              <w:keepLines/>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0,0011</w:t>
            </w:r>
          </w:p>
        </w:tc>
      </w:tr>
      <w:tr w:rsidR="000C7302" w:rsidRPr="005436C8" w14:paraId="36BDAC93" w14:textId="77777777" w:rsidTr="000C7302">
        <w:tc>
          <w:tcPr>
            <w:tcW w:w="3261" w:type="dxa"/>
          </w:tcPr>
          <w:p w14:paraId="4DB30E17" w14:textId="77777777" w:rsidR="000C7302" w:rsidRPr="005436C8" w:rsidRDefault="000C7302" w:rsidP="005436C8">
            <w:pPr>
              <w:tabs>
                <w:tab w:val="left" w:pos="284"/>
              </w:tabs>
              <w:autoSpaceDE w:val="0"/>
              <w:autoSpaceDN w:val="0"/>
              <w:adjustRightInd w:val="0"/>
              <w:jc w:val="both"/>
              <w:rPr>
                <w:rFonts w:eastAsia="SimSun"/>
                <w:b/>
                <w:bCs/>
                <w:color w:val="000000"/>
                <w:sz w:val="22"/>
                <w:szCs w:val="22"/>
                <w:lang w:val="sr-Latn-ME"/>
              </w:rPr>
            </w:pPr>
            <w:r w:rsidRPr="005436C8">
              <w:rPr>
                <w:rFonts w:eastAsia="SimSun"/>
                <w:b/>
                <w:bCs/>
                <w:color w:val="000000"/>
                <w:sz w:val="22"/>
                <w:szCs w:val="22"/>
                <w:lang w:val="sr-Latn-ME"/>
              </w:rPr>
              <w:t xml:space="preserve">Trajanje odgovora </w:t>
            </w:r>
            <w:r w:rsidRPr="005436C8">
              <w:rPr>
                <w:rFonts w:eastAsia="SimSun"/>
                <w:color w:val="000000"/>
                <w:sz w:val="22"/>
                <w:szCs w:val="22"/>
                <w:lang w:val="sr-Latn-ME"/>
              </w:rPr>
              <w:t>†</w:t>
            </w:r>
            <w:r w:rsidRPr="005436C8">
              <w:rPr>
                <w:rFonts w:eastAsia="SimSun"/>
                <w:b/>
                <w:bCs/>
                <w:color w:val="000000"/>
                <w:sz w:val="22"/>
                <w:szCs w:val="22"/>
                <w:lang w:val="sr-Latn-ME"/>
              </w:rPr>
              <w:t>^</w:t>
            </w:r>
          </w:p>
          <w:p w14:paraId="693075E6" w14:textId="77777777" w:rsidR="000C7302" w:rsidRPr="005436C8" w:rsidRDefault="000C7302" w:rsidP="005436C8">
            <w:pPr>
              <w:tabs>
                <w:tab w:val="left" w:pos="284"/>
              </w:tabs>
              <w:autoSpaceDE w:val="0"/>
              <w:autoSpaceDN w:val="0"/>
              <w:adjustRightInd w:val="0"/>
              <w:jc w:val="both"/>
              <w:rPr>
                <w:rFonts w:eastAsia="SimSun"/>
                <w:bCs/>
                <w:color w:val="000000"/>
                <w:sz w:val="22"/>
                <w:szCs w:val="22"/>
                <w:lang w:val="sr-Latn-ME"/>
              </w:rPr>
            </w:pPr>
            <w:r w:rsidRPr="005436C8">
              <w:rPr>
                <w:rFonts w:eastAsia="SimSun"/>
                <w:color w:val="000000"/>
                <w:sz w:val="22"/>
                <w:szCs w:val="22"/>
                <w:lang w:val="sr-Latn-ME"/>
              </w:rPr>
              <w:t>n=</w:t>
            </w:r>
          </w:p>
          <w:p w14:paraId="0327E7D4" w14:textId="77777777" w:rsidR="000C7302" w:rsidRPr="005436C8" w:rsidRDefault="000C7302" w:rsidP="005436C8">
            <w:pPr>
              <w:tabs>
                <w:tab w:val="left" w:pos="284"/>
              </w:tabs>
              <w:autoSpaceDE w:val="0"/>
              <w:autoSpaceDN w:val="0"/>
              <w:adjustRightInd w:val="0"/>
              <w:jc w:val="both"/>
              <w:rPr>
                <w:rFonts w:eastAsia="SimSun"/>
                <w:bCs/>
                <w:color w:val="000000"/>
                <w:sz w:val="22"/>
                <w:szCs w:val="22"/>
                <w:lang w:val="sr-Latn-ME"/>
              </w:rPr>
            </w:pPr>
            <w:r w:rsidRPr="005436C8">
              <w:rPr>
                <w:rFonts w:eastAsia="SimSun"/>
                <w:color w:val="000000"/>
                <w:sz w:val="22"/>
                <w:szCs w:val="22"/>
                <w:lang w:val="sr-Latn-ME"/>
              </w:rPr>
              <w:t xml:space="preserve">Medijana </w:t>
            </w:r>
            <w:r w:rsidR="00636A78" w:rsidRPr="005436C8">
              <w:rPr>
                <w:rFonts w:eastAsia="SimSun"/>
                <w:color w:val="000000"/>
                <w:sz w:val="22"/>
                <w:szCs w:val="22"/>
                <w:lang w:val="sr-Latn-ME"/>
              </w:rPr>
              <w:t>nedjelja</w:t>
            </w:r>
            <w:r w:rsidRPr="005436C8">
              <w:rPr>
                <w:rFonts w:eastAsia="SimSun"/>
                <w:color w:val="000000"/>
                <w:sz w:val="22"/>
                <w:szCs w:val="22"/>
                <w:lang w:val="sr-Latn-ME"/>
              </w:rPr>
              <w:t xml:space="preserve"> </w:t>
            </w:r>
          </w:p>
          <w:p w14:paraId="2CF55961" w14:textId="77777777" w:rsidR="000C7302" w:rsidRPr="005436C8" w:rsidRDefault="000C7302" w:rsidP="005436C8">
            <w:pPr>
              <w:tabs>
                <w:tab w:val="left" w:pos="284"/>
              </w:tabs>
              <w:autoSpaceDE w:val="0"/>
              <w:autoSpaceDN w:val="0"/>
              <w:adjustRightInd w:val="0"/>
              <w:jc w:val="both"/>
              <w:rPr>
                <w:rFonts w:eastAsia="SimSun"/>
                <w:b/>
                <w:bCs/>
                <w:color w:val="000000"/>
                <w:sz w:val="22"/>
                <w:szCs w:val="22"/>
                <w:lang w:val="sr-Latn-ME"/>
              </w:rPr>
            </w:pPr>
            <w:r w:rsidRPr="005436C8">
              <w:rPr>
                <w:rFonts w:eastAsia="SimSun"/>
                <w:color w:val="000000"/>
                <w:sz w:val="22"/>
                <w:szCs w:val="22"/>
                <w:lang w:val="sr-Latn-ME"/>
              </w:rPr>
              <w:t>95% CI za medijanu</w:t>
            </w:r>
          </w:p>
        </w:tc>
        <w:tc>
          <w:tcPr>
            <w:tcW w:w="1417" w:type="dxa"/>
          </w:tcPr>
          <w:p w14:paraId="5B729BE8"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p>
          <w:p w14:paraId="56D3F091"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233</w:t>
            </w:r>
          </w:p>
          <w:p w14:paraId="1BC0C9FD"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54,1</w:t>
            </w:r>
          </w:p>
          <w:p w14:paraId="4E11A42F"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[46, 64]</w:t>
            </w:r>
          </w:p>
        </w:tc>
        <w:tc>
          <w:tcPr>
            <w:tcW w:w="1418" w:type="dxa"/>
          </w:tcPr>
          <w:p w14:paraId="15D47E89"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p>
          <w:p w14:paraId="140710FC"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275</w:t>
            </w:r>
          </w:p>
          <w:p w14:paraId="6E234466"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87,6</w:t>
            </w:r>
          </w:p>
          <w:p w14:paraId="5A03E760"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r w:rsidRPr="005436C8">
              <w:rPr>
                <w:rFonts w:eastAsia="SimSun"/>
                <w:color w:val="000000"/>
                <w:sz w:val="22"/>
                <w:szCs w:val="22"/>
                <w:lang w:val="sr-Latn-ME"/>
              </w:rPr>
              <w:t>[71, 106]</w:t>
            </w:r>
          </w:p>
        </w:tc>
        <w:tc>
          <w:tcPr>
            <w:tcW w:w="1275" w:type="dxa"/>
          </w:tcPr>
          <w:p w14:paraId="62D0447C"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p>
        </w:tc>
        <w:tc>
          <w:tcPr>
            <w:tcW w:w="1418" w:type="dxa"/>
          </w:tcPr>
          <w:p w14:paraId="6AE0377D" w14:textId="77777777" w:rsidR="000C7302" w:rsidRPr="005436C8" w:rsidRDefault="000C7302" w:rsidP="005436C8">
            <w:pPr>
              <w:tabs>
                <w:tab w:val="left" w:pos="284"/>
              </w:tabs>
              <w:autoSpaceDE w:val="0"/>
              <w:autoSpaceDN w:val="0"/>
              <w:adjustRightInd w:val="0"/>
              <w:jc w:val="center"/>
              <w:rPr>
                <w:rFonts w:eastAsia="SimSun"/>
                <w:bCs/>
                <w:color w:val="000000"/>
                <w:sz w:val="22"/>
                <w:szCs w:val="22"/>
                <w:lang w:val="sr-Latn-ME"/>
              </w:rPr>
            </w:pPr>
          </w:p>
        </w:tc>
      </w:tr>
    </w:tbl>
    <w:p w14:paraId="2592481D" w14:textId="77777777" w:rsidR="000C7302" w:rsidRPr="005436C8" w:rsidRDefault="000C7302" w:rsidP="005436C8">
      <w:pPr>
        <w:tabs>
          <w:tab w:val="left" w:pos="284"/>
        </w:tabs>
        <w:ind w:left="180" w:hanging="180"/>
        <w:jc w:val="both"/>
        <w:rPr>
          <w:color w:val="000000"/>
          <w:sz w:val="22"/>
          <w:szCs w:val="22"/>
          <w:lang w:val="sr-Latn-ME"/>
        </w:rPr>
      </w:pPr>
      <w:r w:rsidRPr="005436C8">
        <w:rPr>
          <w:color w:val="000000"/>
          <w:sz w:val="22"/>
          <w:szCs w:val="22"/>
          <w:lang w:val="sr-Latn-ME"/>
        </w:rPr>
        <w:t>* Primarna analiza preživljavanja bez progresije bolesti; završni datum prikupljanja podataka: 13. maj 2011.</w:t>
      </w:r>
    </w:p>
    <w:p w14:paraId="77E549A9" w14:textId="77777777" w:rsidR="000C7302" w:rsidRPr="005436C8" w:rsidRDefault="000C7302" w:rsidP="005436C8">
      <w:pPr>
        <w:tabs>
          <w:tab w:val="left" w:pos="284"/>
        </w:tabs>
        <w:ind w:left="180" w:hanging="180"/>
        <w:jc w:val="both"/>
        <w:rPr>
          <w:color w:val="000000"/>
          <w:sz w:val="22"/>
          <w:szCs w:val="22"/>
          <w:lang w:val="sr-Latn-ME"/>
        </w:rPr>
      </w:pPr>
      <w:r w:rsidRPr="005436C8">
        <w:rPr>
          <w:noProof/>
          <w:color w:val="000000"/>
          <w:sz w:val="22"/>
          <w:szCs w:val="22"/>
          <w:lang w:val="sr-Latn-ME"/>
        </w:rPr>
        <w:t>**</w:t>
      </w:r>
      <w:r w:rsidRPr="005436C8">
        <w:rPr>
          <w:color w:val="000000"/>
          <w:sz w:val="22"/>
          <w:szCs w:val="22"/>
          <w:lang w:val="sr-Latn-ME"/>
        </w:rPr>
        <w:t xml:space="preserve"> Završna analiza ukupnog preživljavanja na osnovu događaja; završni datum prikupljanja podataka: 11. februar 2014.</w:t>
      </w:r>
    </w:p>
    <w:p w14:paraId="3247E363" w14:textId="77777777" w:rsidR="000C7302" w:rsidRPr="005436C8" w:rsidRDefault="000C7302" w:rsidP="005436C8">
      <w:pPr>
        <w:tabs>
          <w:tab w:val="left" w:pos="284"/>
        </w:tabs>
        <w:jc w:val="both"/>
        <w:rPr>
          <w:rFonts w:eastAsia="SimSun"/>
          <w:noProof/>
          <w:color w:val="000000"/>
          <w:sz w:val="22"/>
          <w:szCs w:val="22"/>
          <w:lang w:val="sr-Latn-ME"/>
        </w:rPr>
      </w:pPr>
      <w:r w:rsidRPr="005436C8">
        <w:rPr>
          <w:rFonts w:eastAsia="SimSun"/>
          <w:noProof/>
          <w:color w:val="000000"/>
          <w:sz w:val="22"/>
          <w:szCs w:val="22"/>
          <w:lang w:val="sr-Latn-ME"/>
        </w:rPr>
        <w:t>*** Pacijenti sa najboljim sveukupnim odgovorom ili potvrđenim CR ili PR prema RECIST.</w:t>
      </w:r>
    </w:p>
    <w:p w14:paraId="0AEB24B6" w14:textId="77777777" w:rsidR="000C7302" w:rsidRPr="005436C8" w:rsidRDefault="000C7302" w:rsidP="005436C8">
      <w:pPr>
        <w:tabs>
          <w:tab w:val="left" w:pos="284"/>
        </w:tabs>
        <w:jc w:val="both"/>
        <w:rPr>
          <w:rFonts w:eastAsia="SimSun"/>
          <w:noProof/>
          <w:color w:val="000000"/>
          <w:sz w:val="22"/>
          <w:szCs w:val="22"/>
          <w:lang w:val="sr-Latn-ME"/>
        </w:rPr>
      </w:pPr>
      <w:r w:rsidRPr="005436C8">
        <w:rPr>
          <w:rFonts w:eastAsia="SimSun"/>
          <w:noProof/>
          <w:color w:val="000000"/>
          <w:sz w:val="22"/>
          <w:szCs w:val="22"/>
          <w:lang w:val="sr-Latn-ME"/>
        </w:rPr>
        <w:t>† Proc</w:t>
      </w:r>
      <w:r w:rsidR="00C141A6" w:rsidRPr="005436C8">
        <w:rPr>
          <w:rFonts w:eastAsia="SimSun"/>
          <w:noProof/>
          <w:color w:val="000000"/>
          <w:sz w:val="22"/>
          <w:szCs w:val="22"/>
          <w:lang w:val="sr-Latn-ME"/>
        </w:rPr>
        <w:t>j</w:t>
      </w:r>
      <w:r w:rsidRPr="005436C8">
        <w:rPr>
          <w:rFonts w:eastAsia="SimSun"/>
          <w:noProof/>
          <w:color w:val="000000"/>
          <w:sz w:val="22"/>
          <w:szCs w:val="22"/>
          <w:lang w:val="sr-Latn-ME"/>
        </w:rPr>
        <w:t>enjivano kod pacijenata sa najboljim sveukupnim odgovorom CR ili PR</w:t>
      </w:r>
      <w:r w:rsidRPr="005436C8">
        <w:rPr>
          <w:rFonts w:eastAsia="SimSun"/>
          <w:color w:val="000000"/>
          <w:sz w:val="22"/>
          <w:szCs w:val="22"/>
          <w:lang w:val="sr-Latn-ME"/>
        </w:rPr>
        <w:t>.</w:t>
      </w:r>
    </w:p>
    <w:p w14:paraId="79EC0220" w14:textId="77777777" w:rsidR="000C7302" w:rsidRPr="005436C8" w:rsidRDefault="000C7302" w:rsidP="005436C8">
      <w:pPr>
        <w:tabs>
          <w:tab w:val="left" w:pos="284"/>
        </w:tabs>
        <w:jc w:val="both"/>
        <w:rPr>
          <w:rFonts w:eastAsia="SimSun"/>
          <w:noProof/>
          <w:color w:val="000000"/>
          <w:sz w:val="22"/>
          <w:szCs w:val="22"/>
          <w:lang w:val="sr-Latn-ME"/>
        </w:rPr>
      </w:pPr>
      <w:r w:rsidRPr="005436C8">
        <w:rPr>
          <w:rFonts w:eastAsia="SimSun"/>
          <w:noProof/>
          <w:color w:val="000000"/>
          <w:sz w:val="22"/>
          <w:szCs w:val="22"/>
          <w:lang w:val="sr-Latn-ME"/>
        </w:rPr>
        <w:t>^ Stopa objektivnog odgovora i trajanje odgovora zasnivaju se na proc</w:t>
      </w:r>
      <w:r w:rsidR="00C141A6" w:rsidRPr="005436C8">
        <w:rPr>
          <w:rFonts w:eastAsia="SimSun"/>
          <w:noProof/>
          <w:color w:val="000000"/>
          <w:sz w:val="22"/>
          <w:szCs w:val="22"/>
          <w:lang w:val="sr-Latn-ME"/>
        </w:rPr>
        <w:t>j</w:t>
      </w:r>
      <w:r w:rsidRPr="005436C8">
        <w:rPr>
          <w:rFonts w:eastAsia="SimSun"/>
          <w:noProof/>
          <w:color w:val="000000"/>
          <w:sz w:val="22"/>
          <w:szCs w:val="22"/>
          <w:lang w:val="sr-Latn-ME"/>
        </w:rPr>
        <w:t>enama tumora od strane nezavisnog oc</w:t>
      </w:r>
      <w:r w:rsidR="00D637B5" w:rsidRPr="005436C8">
        <w:rPr>
          <w:rFonts w:eastAsia="SimSun"/>
          <w:noProof/>
          <w:color w:val="000000"/>
          <w:sz w:val="22"/>
          <w:szCs w:val="22"/>
          <w:lang w:val="sr-Latn-ME"/>
        </w:rPr>
        <w:t>j</w:t>
      </w:r>
      <w:r w:rsidRPr="005436C8">
        <w:rPr>
          <w:rFonts w:eastAsia="SimSun"/>
          <w:noProof/>
          <w:color w:val="000000"/>
          <w:sz w:val="22"/>
          <w:szCs w:val="22"/>
          <w:lang w:val="sr-Latn-ME"/>
        </w:rPr>
        <w:t>enjivačkog t</w:t>
      </w:r>
      <w:r w:rsidR="00C141A6" w:rsidRPr="005436C8">
        <w:rPr>
          <w:rFonts w:eastAsia="SimSun"/>
          <w:noProof/>
          <w:color w:val="000000"/>
          <w:sz w:val="22"/>
          <w:szCs w:val="22"/>
          <w:lang w:val="sr-Latn-ME"/>
        </w:rPr>
        <w:t>ij</w:t>
      </w:r>
      <w:r w:rsidRPr="005436C8">
        <w:rPr>
          <w:rFonts w:eastAsia="SimSun"/>
          <w:noProof/>
          <w:color w:val="000000"/>
          <w:sz w:val="22"/>
          <w:szCs w:val="22"/>
          <w:lang w:val="sr-Latn-ME"/>
        </w:rPr>
        <w:t>ela</w:t>
      </w:r>
      <w:r w:rsidRPr="005436C8">
        <w:rPr>
          <w:rFonts w:eastAsia="SimSun"/>
          <w:color w:val="000000"/>
          <w:sz w:val="22"/>
          <w:szCs w:val="22"/>
          <w:lang w:val="sr-Latn-ME"/>
        </w:rPr>
        <w:t>.</w:t>
      </w:r>
    </w:p>
    <w:p w14:paraId="6E1A85AD" w14:textId="77777777" w:rsidR="000C7302" w:rsidRPr="005436C8" w:rsidRDefault="000C7302" w:rsidP="005436C8">
      <w:pPr>
        <w:tabs>
          <w:tab w:val="left" w:pos="284"/>
        </w:tabs>
        <w:jc w:val="both"/>
        <w:rPr>
          <w:rFonts w:eastAsia="SimSun"/>
          <w:noProof/>
          <w:color w:val="000000"/>
          <w:sz w:val="22"/>
          <w:szCs w:val="22"/>
          <w:lang w:val="sr-Latn-ME"/>
        </w:rPr>
      </w:pPr>
    </w:p>
    <w:p w14:paraId="0A872806"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lang w:val="sr-Latn-ME"/>
        </w:rPr>
        <w:t>Zab</w:t>
      </w:r>
      <w:r w:rsidR="00490318" w:rsidRPr="005436C8">
        <w:rPr>
          <w:rFonts w:eastAsia="SimSun"/>
          <w:color w:val="000000"/>
          <w:sz w:val="22"/>
          <w:szCs w:val="22"/>
          <w:lang w:val="sr-Latn-ME"/>
        </w:rPr>
        <w:t>i</w:t>
      </w:r>
      <w:r w:rsidRPr="005436C8">
        <w:rPr>
          <w:rFonts w:eastAsia="SimSun"/>
          <w:color w:val="000000"/>
          <w:sz w:val="22"/>
          <w:szCs w:val="22"/>
          <w:lang w:val="sr-Latn-ME"/>
        </w:rPr>
        <w:t>l</w:t>
      </w:r>
      <w:r w:rsidR="00490318" w:rsidRPr="005436C8">
        <w:rPr>
          <w:rFonts w:eastAsia="SimSun"/>
          <w:color w:val="000000"/>
          <w:sz w:val="22"/>
          <w:szCs w:val="22"/>
          <w:lang w:val="sr-Latn-ME"/>
        </w:rPr>
        <w:t>j</w:t>
      </w:r>
      <w:r w:rsidRPr="005436C8">
        <w:rPr>
          <w:rFonts w:eastAsia="SimSun"/>
          <w:color w:val="000000"/>
          <w:sz w:val="22"/>
          <w:szCs w:val="22"/>
          <w:lang w:val="sr-Latn-ME"/>
        </w:rPr>
        <w:t>eženi su dosl</w:t>
      </w:r>
      <w:r w:rsidR="00490318" w:rsidRPr="005436C8">
        <w:rPr>
          <w:rFonts w:eastAsia="SimSun"/>
          <w:color w:val="000000"/>
          <w:sz w:val="22"/>
          <w:szCs w:val="22"/>
          <w:lang w:val="sr-Latn-ME"/>
        </w:rPr>
        <w:t>j</w:t>
      </w:r>
      <w:r w:rsidRPr="005436C8">
        <w:rPr>
          <w:rFonts w:eastAsia="SimSun"/>
          <w:color w:val="000000"/>
          <w:sz w:val="22"/>
          <w:szCs w:val="22"/>
          <w:lang w:val="sr-Latn-ME"/>
        </w:rPr>
        <w:t>edni rezultati u svim unapr</w:t>
      </w:r>
      <w:r w:rsidR="00D637B5" w:rsidRPr="005436C8">
        <w:rPr>
          <w:rFonts w:eastAsia="SimSun"/>
          <w:color w:val="000000"/>
          <w:sz w:val="22"/>
          <w:szCs w:val="22"/>
          <w:lang w:val="sr-Latn-ME"/>
        </w:rPr>
        <w:t>ij</w:t>
      </w:r>
      <w:r w:rsidRPr="005436C8">
        <w:rPr>
          <w:rFonts w:eastAsia="SimSun"/>
          <w:color w:val="000000"/>
          <w:sz w:val="22"/>
          <w:szCs w:val="22"/>
          <w:lang w:val="sr-Latn-ME"/>
        </w:rPr>
        <w:t xml:space="preserve">ed specifikovanim podgrupama pacijenata, uključujući podgrupe na osnovu stratifikacionih faktora prema geografskom regionu i prethodnoj adjuvantnoj/neoadjuvantnoj terapiji ili </w:t>
      </w:r>
      <w:r w:rsidRPr="005436C8">
        <w:rPr>
          <w:rFonts w:eastAsia="SimSun"/>
          <w:i/>
          <w:iCs/>
          <w:color w:val="000000"/>
          <w:sz w:val="22"/>
          <w:szCs w:val="22"/>
          <w:lang w:val="sr-Latn-ME"/>
        </w:rPr>
        <w:t>de novo</w:t>
      </w:r>
      <w:r w:rsidRPr="005436C8">
        <w:rPr>
          <w:rFonts w:eastAsia="SimSun"/>
          <w:color w:val="000000"/>
          <w:sz w:val="22"/>
          <w:szCs w:val="22"/>
          <w:lang w:val="sr-Latn-ME"/>
        </w:rPr>
        <w:t xml:space="preserve"> metastatskom karcinomu dojke (pogledati sliku 2). </w:t>
      </w:r>
      <w:r w:rsidRPr="005436C8">
        <w:rPr>
          <w:rFonts w:eastAsia="SimSun"/>
          <w:i/>
          <w:iCs/>
          <w:color w:val="000000"/>
          <w:sz w:val="22"/>
          <w:szCs w:val="22"/>
          <w:lang w:val="sr-Latn-ME"/>
        </w:rPr>
        <w:t>Post hoc</w:t>
      </w:r>
      <w:r w:rsidRPr="005436C8">
        <w:rPr>
          <w:rFonts w:eastAsia="SimSun"/>
          <w:color w:val="000000"/>
          <w:sz w:val="22"/>
          <w:szCs w:val="22"/>
          <w:lang w:val="sr-Latn-ME"/>
        </w:rPr>
        <w:t xml:space="preserve"> eksploratorna analiza pokazala je da je kod pacijenata koji su prethodno primali trastuzumab (n=88) stopa rizika za PFS prema proc</w:t>
      </w:r>
      <w:r w:rsidR="00490318" w:rsidRPr="005436C8">
        <w:rPr>
          <w:rFonts w:eastAsia="SimSun"/>
          <w:color w:val="000000"/>
          <w:sz w:val="22"/>
          <w:szCs w:val="22"/>
          <w:lang w:val="sr-Latn-ME"/>
        </w:rPr>
        <w:t>j</w:t>
      </w:r>
      <w:r w:rsidRPr="005436C8">
        <w:rPr>
          <w:rFonts w:eastAsia="SimSun"/>
          <w:color w:val="000000"/>
          <w:sz w:val="22"/>
          <w:szCs w:val="22"/>
          <w:lang w:val="sr-Latn-ME"/>
        </w:rPr>
        <w:t>eni nezavisnog oc</w:t>
      </w:r>
      <w:r w:rsidR="00D637B5" w:rsidRPr="005436C8">
        <w:rPr>
          <w:rFonts w:eastAsia="SimSun"/>
          <w:color w:val="000000"/>
          <w:sz w:val="22"/>
          <w:szCs w:val="22"/>
          <w:lang w:val="sr-Latn-ME"/>
        </w:rPr>
        <w:t>j</w:t>
      </w:r>
      <w:r w:rsidRPr="005436C8">
        <w:rPr>
          <w:rFonts w:eastAsia="SimSun"/>
          <w:color w:val="000000"/>
          <w:sz w:val="22"/>
          <w:szCs w:val="22"/>
          <w:lang w:val="sr-Latn-ME"/>
        </w:rPr>
        <w:t>enjivačkog t</w:t>
      </w:r>
      <w:r w:rsidR="00490318" w:rsidRPr="005436C8">
        <w:rPr>
          <w:rFonts w:eastAsia="SimSun"/>
          <w:color w:val="000000"/>
          <w:sz w:val="22"/>
          <w:szCs w:val="22"/>
          <w:lang w:val="sr-Latn-ME"/>
        </w:rPr>
        <w:t>ij</w:t>
      </w:r>
      <w:r w:rsidRPr="005436C8">
        <w:rPr>
          <w:rFonts w:eastAsia="SimSun"/>
          <w:color w:val="000000"/>
          <w:sz w:val="22"/>
          <w:szCs w:val="22"/>
          <w:lang w:val="sr-Latn-ME"/>
        </w:rPr>
        <w:t xml:space="preserve">ela </w:t>
      </w:r>
      <w:r w:rsidR="00D637B5" w:rsidRPr="005436C8">
        <w:rPr>
          <w:rFonts w:eastAsia="SimSun"/>
          <w:color w:val="000000"/>
          <w:sz w:val="22"/>
          <w:szCs w:val="22"/>
          <w:lang w:val="sr-Latn-ME"/>
        </w:rPr>
        <w:t xml:space="preserve">iznosila </w:t>
      </w:r>
      <w:r w:rsidRPr="005436C8">
        <w:rPr>
          <w:rFonts w:eastAsia="SimSun"/>
          <w:color w:val="000000"/>
          <w:sz w:val="22"/>
          <w:szCs w:val="22"/>
          <w:lang w:val="sr-Latn-ME"/>
        </w:rPr>
        <w:t>0,62 (95% CI 0,35; 1,07) u poređenju sa 0,60 (95% CI 0,43; 0,83) kod pacijenata koji su prethodno primali terapiju koja nije uključivala trastuzumab (n=288).</w:t>
      </w:r>
    </w:p>
    <w:p w14:paraId="7E17307D" w14:textId="77777777" w:rsidR="000C7302" w:rsidRPr="005436C8" w:rsidRDefault="000C7302" w:rsidP="005436C8">
      <w:pPr>
        <w:tabs>
          <w:tab w:val="left" w:pos="284"/>
        </w:tabs>
        <w:jc w:val="both"/>
        <w:rPr>
          <w:sz w:val="22"/>
          <w:szCs w:val="22"/>
          <w:lang w:val="sr-Latn-ME"/>
        </w:rPr>
      </w:pPr>
    </w:p>
    <w:p w14:paraId="5AAC2218" w14:textId="77777777" w:rsidR="000C7302" w:rsidRPr="005436C8" w:rsidRDefault="000C7302" w:rsidP="005436C8">
      <w:pPr>
        <w:keepNext/>
        <w:keepLines/>
        <w:tabs>
          <w:tab w:val="left" w:pos="284"/>
        </w:tabs>
        <w:ind w:left="1080" w:hanging="1080"/>
        <w:jc w:val="both"/>
        <w:rPr>
          <w:b/>
          <w:bCs/>
          <w:color w:val="000000"/>
          <w:sz w:val="22"/>
          <w:szCs w:val="22"/>
          <w:lang w:val="sr-Latn-ME"/>
        </w:rPr>
      </w:pPr>
      <w:r w:rsidRPr="005436C8">
        <w:rPr>
          <w:b/>
          <w:bCs/>
          <w:color w:val="000000"/>
          <w:sz w:val="22"/>
          <w:szCs w:val="22"/>
          <w:lang w:val="sr-Latn-ME"/>
        </w:rPr>
        <w:t>Slika 2</w:t>
      </w:r>
      <w:r w:rsidRPr="005436C8">
        <w:rPr>
          <w:b/>
          <w:bCs/>
          <w:color w:val="000000"/>
          <w:sz w:val="22"/>
          <w:szCs w:val="22"/>
          <w:lang w:val="sr-Latn-ME"/>
        </w:rPr>
        <w:tab/>
        <w:t>PFS prema proc</w:t>
      </w:r>
      <w:r w:rsidR="00490318" w:rsidRPr="005436C8">
        <w:rPr>
          <w:b/>
          <w:bCs/>
          <w:color w:val="000000"/>
          <w:sz w:val="22"/>
          <w:szCs w:val="22"/>
          <w:lang w:val="sr-Latn-ME"/>
        </w:rPr>
        <w:t>j</w:t>
      </w:r>
      <w:r w:rsidRPr="005436C8">
        <w:rPr>
          <w:b/>
          <w:bCs/>
          <w:color w:val="000000"/>
          <w:sz w:val="22"/>
          <w:szCs w:val="22"/>
          <w:lang w:val="sr-Latn-ME"/>
        </w:rPr>
        <w:t>eni nezavisnog oc</w:t>
      </w:r>
      <w:r w:rsidR="00D637B5" w:rsidRPr="005436C8">
        <w:rPr>
          <w:b/>
          <w:bCs/>
          <w:color w:val="000000"/>
          <w:sz w:val="22"/>
          <w:szCs w:val="22"/>
          <w:lang w:val="sr-Latn-ME"/>
        </w:rPr>
        <w:t>j</w:t>
      </w:r>
      <w:r w:rsidRPr="005436C8">
        <w:rPr>
          <w:b/>
          <w:bCs/>
          <w:color w:val="000000"/>
          <w:sz w:val="22"/>
          <w:szCs w:val="22"/>
          <w:lang w:val="sr-Latn-ME"/>
        </w:rPr>
        <w:t xml:space="preserve">enjivačkog </w:t>
      </w:r>
      <w:r w:rsidR="00FE754C" w:rsidRPr="005436C8">
        <w:rPr>
          <w:b/>
          <w:bCs/>
          <w:color w:val="000000"/>
          <w:sz w:val="22"/>
          <w:szCs w:val="22"/>
          <w:lang w:val="sr-Latn-ME"/>
        </w:rPr>
        <w:t>tijela</w:t>
      </w:r>
      <w:r w:rsidRPr="005436C8">
        <w:rPr>
          <w:b/>
          <w:bCs/>
          <w:color w:val="000000"/>
          <w:sz w:val="22"/>
          <w:szCs w:val="22"/>
          <w:lang w:val="sr-Latn-ME"/>
        </w:rPr>
        <w:t xml:space="preserve"> prema podgrupi pacijenata</w:t>
      </w:r>
    </w:p>
    <w:p w14:paraId="18A4E822" w14:textId="77777777" w:rsidR="00401A0D" w:rsidRPr="005436C8" w:rsidRDefault="00401A0D" w:rsidP="005436C8">
      <w:pPr>
        <w:tabs>
          <w:tab w:val="left" w:pos="540"/>
          <w:tab w:val="left" w:pos="569"/>
        </w:tabs>
        <w:rPr>
          <w:b/>
          <w:bCs/>
          <w:sz w:val="22"/>
          <w:szCs w:val="22"/>
          <w:lang w:val="sr-Latn-ME"/>
        </w:rPr>
      </w:pPr>
      <w:r w:rsidRPr="005436C8">
        <w:rPr>
          <w:b/>
          <w:bCs/>
          <w:noProof/>
          <w:sz w:val="22"/>
          <w:szCs w:val="22"/>
        </w:rPr>
        <w:drawing>
          <wp:inline distT="0" distB="0" distL="0" distR="0" wp14:anchorId="091112E9" wp14:editId="6F0F3A40">
            <wp:extent cx="5768975" cy="3383915"/>
            <wp:effectExtent l="0" t="0" r="317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8975" cy="3383915"/>
                    </a:xfrm>
                    <a:prstGeom prst="rect">
                      <a:avLst/>
                    </a:prstGeom>
                  </pic:spPr>
                </pic:pic>
              </a:graphicData>
            </a:graphic>
          </wp:inline>
        </w:drawing>
      </w:r>
    </w:p>
    <w:p w14:paraId="096A2C08" w14:textId="77777777" w:rsidR="000C7302" w:rsidRPr="005436C8" w:rsidRDefault="000C7302" w:rsidP="005436C8">
      <w:pPr>
        <w:tabs>
          <w:tab w:val="left" w:pos="540"/>
          <w:tab w:val="left" w:pos="569"/>
        </w:tabs>
        <w:rPr>
          <w:b/>
          <w:bCs/>
          <w:sz w:val="22"/>
          <w:szCs w:val="22"/>
          <w:lang w:val="sr-Latn-ME"/>
        </w:rPr>
      </w:pPr>
    </w:p>
    <w:p w14:paraId="4927F3EA" w14:textId="77777777" w:rsidR="000C7302" w:rsidRPr="005436C8" w:rsidRDefault="000C7302" w:rsidP="005436C8">
      <w:pPr>
        <w:tabs>
          <w:tab w:val="left" w:pos="284"/>
        </w:tabs>
        <w:jc w:val="both"/>
        <w:rPr>
          <w:rFonts w:eastAsia="SimSun"/>
          <w:color w:val="000000"/>
          <w:sz w:val="22"/>
          <w:szCs w:val="22"/>
          <w:lang w:val="sr-Latn-ME"/>
        </w:rPr>
      </w:pPr>
      <w:r w:rsidRPr="005436C8">
        <w:rPr>
          <w:color w:val="000000"/>
          <w:sz w:val="22"/>
          <w:szCs w:val="22"/>
          <w:lang w:val="sr-Latn-ME"/>
        </w:rPr>
        <w:t xml:space="preserve">Završna analiza OS </w:t>
      </w:r>
      <w:r w:rsidRPr="005436C8">
        <w:rPr>
          <w:sz w:val="22"/>
          <w:szCs w:val="22"/>
          <w:lang w:val="sr-Latn-ME"/>
        </w:rPr>
        <w:t>na osnovu događaja</w:t>
      </w:r>
      <w:r w:rsidRPr="005436C8">
        <w:rPr>
          <w:color w:val="000000"/>
          <w:sz w:val="22"/>
          <w:szCs w:val="22"/>
          <w:lang w:val="sr-Latn-ME"/>
        </w:rPr>
        <w:t xml:space="preserve"> izvršena je kada je preminulo 389 pacijenata (221 u grupi koja je primala placebo i 168 u grupi </w:t>
      </w:r>
      <w:r w:rsidR="00F90BE1" w:rsidRPr="005436C8">
        <w:rPr>
          <w:color w:val="000000"/>
          <w:sz w:val="22"/>
          <w:szCs w:val="22"/>
          <w:lang w:val="sr-Latn-ME"/>
        </w:rPr>
        <w:t>liječenoj</w:t>
      </w:r>
      <w:r w:rsidRPr="005436C8">
        <w:rPr>
          <w:color w:val="000000"/>
          <w:sz w:val="22"/>
          <w:szCs w:val="22"/>
          <w:lang w:val="sr-Latn-ME"/>
        </w:rPr>
        <w:t xml:space="preserve"> pertuzumabom). Statistički značajna prednost za OS u korist grupe l</w:t>
      </w:r>
      <w:r w:rsidR="00490318" w:rsidRPr="005436C8">
        <w:rPr>
          <w:color w:val="000000"/>
          <w:sz w:val="22"/>
          <w:szCs w:val="22"/>
          <w:lang w:val="sr-Latn-ME"/>
        </w:rPr>
        <w:t>ij</w:t>
      </w:r>
      <w:r w:rsidRPr="005436C8">
        <w:rPr>
          <w:color w:val="000000"/>
          <w:sz w:val="22"/>
          <w:szCs w:val="22"/>
          <w:lang w:val="sr-Latn-ME"/>
        </w:rPr>
        <w:t xml:space="preserve">ečene pertuzumabom, </w:t>
      </w:r>
      <w:r w:rsidRPr="005436C8">
        <w:rPr>
          <w:color w:val="000000"/>
          <w:sz w:val="22"/>
          <w:szCs w:val="22"/>
          <w:shd w:val="clear" w:color="auto" w:fill="FFFFFF"/>
          <w:lang w:val="sr-Latn-ME"/>
        </w:rPr>
        <w:t>prethodno zab</w:t>
      </w:r>
      <w:r w:rsidR="00490318" w:rsidRPr="005436C8">
        <w:rPr>
          <w:color w:val="000000"/>
          <w:sz w:val="22"/>
          <w:szCs w:val="22"/>
          <w:shd w:val="clear" w:color="auto" w:fill="FFFFFF"/>
          <w:lang w:val="sr-Latn-ME"/>
        </w:rPr>
        <w:t>i</w:t>
      </w:r>
      <w:r w:rsidRPr="005436C8">
        <w:rPr>
          <w:color w:val="000000"/>
          <w:sz w:val="22"/>
          <w:szCs w:val="22"/>
          <w:shd w:val="clear" w:color="auto" w:fill="FFFFFF"/>
          <w:lang w:val="sr-Latn-ME"/>
        </w:rPr>
        <w:t>l</w:t>
      </w:r>
      <w:r w:rsidR="00490318" w:rsidRPr="005436C8">
        <w:rPr>
          <w:color w:val="000000"/>
          <w:sz w:val="22"/>
          <w:szCs w:val="22"/>
          <w:shd w:val="clear" w:color="auto" w:fill="FFFFFF"/>
          <w:lang w:val="sr-Latn-ME"/>
        </w:rPr>
        <w:t>j</w:t>
      </w:r>
      <w:r w:rsidRPr="005436C8">
        <w:rPr>
          <w:color w:val="000000"/>
          <w:sz w:val="22"/>
          <w:szCs w:val="22"/>
          <w:shd w:val="clear" w:color="auto" w:fill="FFFFFF"/>
          <w:lang w:val="sr-Latn-ME"/>
        </w:rPr>
        <w:t>ežena prilikom fazne analize OS (izvršene godinu dana nakon primarne analize),</w:t>
      </w:r>
      <w:r w:rsidRPr="005436C8">
        <w:rPr>
          <w:noProof/>
          <w:color w:val="000000"/>
          <w:sz w:val="22"/>
          <w:szCs w:val="22"/>
          <w:shd w:val="clear" w:color="auto" w:fill="FFFFFF"/>
          <w:lang w:val="sr-Latn-ME"/>
        </w:rPr>
        <w:t> </w:t>
      </w:r>
      <w:r w:rsidRPr="005436C8">
        <w:rPr>
          <w:color w:val="000000"/>
          <w:sz w:val="22"/>
          <w:szCs w:val="22"/>
          <w:lang w:val="sr-Latn-ME"/>
        </w:rPr>
        <w:t xml:space="preserve">bila je održana (HR=0,68; p=0,0002 log-rank test). Medijana </w:t>
      </w:r>
      <w:r w:rsidR="002700CC" w:rsidRPr="005436C8">
        <w:rPr>
          <w:color w:val="000000"/>
          <w:sz w:val="22"/>
          <w:szCs w:val="22"/>
          <w:lang w:val="sr-Latn-ME"/>
        </w:rPr>
        <w:t>vrem</w:t>
      </w:r>
      <w:r w:rsidR="00A21698" w:rsidRPr="005436C8">
        <w:rPr>
          <w:color w:val="000000"/>
          <w:sz w:val="22"/>
          <w:szCs w:val="22"/>
          <w:lang w:val="sr-Latn-ME"/>
        </w:rPr>
        <w:t>e</w:t>
      </w:r>
      <w:r w:rsidRPr="005436C8">
        <w:rPr>
          <w:color w:val="000000"/>
          <w:sz w:val="22"/>
          <w:szCs w:val="22"/>
          <w:lang w:val="sr-Latn-ME"/>
        </w:rPr>
        <w:t xml:space="preserve">na do smrti iznosila je 40,8 </w:t>
      </w:r>
      <w:r w:rsidR="00FE754C" w:rsidRPr="005436C8">
        <w:rPr>
          <w:color w:val="000000"/>
          <w:sz w:val="22"/>
          <w:szCs w:val="22"/>
          <w:lang w:val="sr-Latn-ME"/>
        </w:rPr>
        <w:t>mjesec</w:t>
      </w:r>
      <w:r w:rsidRPr="005436C8">
        <w:rPr>
          <w:color w:val="000000"/>
          <w:sz w:val="22"/>
          <w:szCs w:val="22"/>
          <w:lang w:val="sr-Latn-ME"/>
        </w:rPr>
        <w:t xml:space="preserve">i u grupi koja je primala placebo i 56,5 </w:t>
      </w:r>
      <w:r w:rsidR="00FE754C" w:rsidRPr="005436C8">
        <w:rPr>
          <w:color w:val="000000"/>
          <w:sz w:val="22"/>
          <w:szCs w:val="22"/>
          <w:lang w:val="sr-Latn-ME"/>
        </w:rPr>
        <w:t>mjesec</w:t>
      </w:r>
      <w:r w:rsidRPr="005436C8">
        <w:rPr>
          <w:color w:val="000000"/>
          <w:sz w:val="22"/>
          <w:szCs w:val="22"/>
          <w:lang w:val="sr-Latn-ME"/>
        </w:rPr>
        <w:t xml:space="preserve">i u grupi </w:t>
      </w:r>
      <w:r w:rsidR="00F90BE1" w:rsidRPr="005436C8">
        <w:rPr>
          <w:color w:val="000000"/>
          <w:sz w:val="22"/>
          <w:szCs w:val="22"/>
          <w:lang w:val="sr-Latn-ME"/>
        </w:rPr>
        <w:t>liječenoj</w:t>
      </w:r>
      <w:r w:rsidRPr="005436C8">
        <w:rPr>
          <w:color w:val="000000"/>
          <w:sz w:val="22"/>
          <w:szCs w:val="22"/>
          <w:lang w:val="sr-Latn-ME"/>
        </w:rPr>
        <w:t xml:space="preserve"> pertuzumabom (</w:t>
      </w:r>
      <w:r w:rsidR="00207B37" w:rsidRPr="005436C8">
        <w:rPr>
          <w:color w:val="000000"/>
          <w:sz w:val="22"/>
          <w:szCs w:val="22"/>
          <w:lang w:val="sr-Latn-ME"/>
        </w:rPr>
        <w:t xml:space="preserve">pogledati </w:t>
      </w:r>
      <w:r w:rsidRPr="005436C8">
        <w:rPr>
          <w:color w:val="000000"/>
          <w:sz w:val="22"/>
          <w:szCs w:val="22"/>
          <w:lang w:val="sr-Latn-ME"/>
        </w:rPr>
        <w:t>tabelu 8 i sliku 3).</w:t>
      </w:r>
    </w:p>
    <w:p w14:paraId="1CC53D03" w14:textId="77777777" w:rsidR="000C7302" w:rsidRPr="005436C8" w:rsidRDefault="000C7302" w:rsidP="005436C8">
      <w:pPr>
        <w:tabs>
          <w:tab w:val="left" w:pos="284"/>
        </w:tabs>
        <w:jc w:val="both"/>
        <w:rPr>
          <w:rFonts w:eastAsia="SimSun"/>
          <w:color w:val="000000"/>
          <w:sz w:val="22"/>
          <w:szCs w:val="22"/>
          <w:lang w:val="sr-Latn-ME"/>
        </w:rPr>
      </w:pPr>
    </w:p>
    <w:p w14:paraId="55C2703C" w14:textId="77777777" w:rsidR="000C7302" w:rsidRPr="005436C8" w:rsidRDefault="000C7302" w:rsidP="005436C8">
      <w:pPr>
        <w:tabs>
          <w:tab w:val="left" w:pos="284"/>
        </w:tabs>
        <w:jc w:val="both"/>
        <w:rPr>
          <w:sz w:val="22"/>
          <w:szCs w:val="22"/>
          <w:lang w:val="sr-Latn-ME"/>
        </w:rPr>
      </w:pPr>
      <w:r w:rsidRPr="005436C8">
        <w:rPr>
          <w:sz w:val="22"/>
          <w:szCs w:val="22"/>
          <w:lang w:val="sr-Latn-ME"/>
        </w:rPr>
        <w:t xml:space="preserve">Deskriptivna analiza OS izvršena na kraju studije kada je umrlo 515 pacijenata (280 u grupi koja je primala placebo i 235 u grupi </w:t>
      </w:r>
      <w:r w:rsidR="00F90BE1" w:rsidRPr="005436C8">
        <w:rPr>
          <w:sz w:val="22"/>
          <w:szCs w:val="22"/>
          <w:lang w:val="sr-Latn-ME"/>
        </w:rPr>
        <w:t>liječenoj</w:t>
      </w:r>
      <w:r w:rsidRPr="005436C8">
        <w:rPr>
          <w:sz w:val="22"/>
          <w:szCs w:val="22"/>
          <w:lang w:val="sr-Latn-ME"/>
        </w:rPr>
        <w:t xml:space="preserve"> pertuzumabom) pokazala je da se statistički značajna prednost OS u korist grupe l</w:t>
      </w:r>
      <w:r w:rsidR="00490318" w:rsidRPr="005436C8">
        <w:rPr>
          <w:sz w:val="22"/>
          <w:szCs w:val="22"/>
          <w:lang w:val="sr-Latn-ME"/>
        </w:rPr>
        <w:t>ij</w:t>
      </w:r>
      <w:r w:rsidRPr="005436C8">
        <w:rPr>
          <w:sz w:val="22"/>
          <w:szCs w:val="22"/>
          <w:lang w:val="sr-Latn-ME"/>
        </w:rPr>
        <w:t xml:space="preserve">ečene pertuzumabom održala tokom medijane praćenja od 99 </w:t>
      </w:r>
      <w:r w:rsidR="00FE754C" w:rsidRPr="005436C8">
        <w:rPr>
          <w:sz w:val="22"/>
          <w:szCs w:val="22"/>
          <w:lang w:val="sr-Latn-ME"/>
        </w:rPr>
        <w:t>mjesec</w:t>
      </w:r>
      <w:r w:rsidRPr="005436C8">
        <w:rPr>
          <w:sz w:val="22"/>
          <w:szCs w:val="22"/>
          <w:lang w:val="sr-Latn-ME"/>
        </w:rPr>
        <w:t xml:space="preserve">i (HR = 0,69; p &lt; 0,0001 log-rank test; medijana </w:t>
      </w:r>
      <w:r w:rsidR="002700CC" w:rsidRPr="005436C8">
        <w:rPr>
          <w:sz w:val="22"/>
          <w:szCs w:val="22"/>
          <w:lang w:val="sr-Latn-ME"/>
        </w:rPr>
        <w:t>vrem</w:t>
      </w:r>
      <w:r w:rsidR="00A21698" w:rsidRPr="005436C8">
        <w:rPr>
          <w:sz w:val="22"/>
          <w:szCs w:val="22"/>
          <w:lang w:val="sr-Latn-ME"/>
        </w:rPr>
        <w:t>e</w:t>
      </w:r>
      <w:r w:rsidRPr="005436C8">
        <w:rPr>
          <w:sz w:val="22"/>
          <w:szCs w:val="22"/>
          <w:lang w:val="sr-Latn-ME"/>
        </w:rPr>
        <w:t>na do smrti 40,8 m</w:t>
      </w:r>
      <w:r w:rsidR="00490318" w:rsidRPr="005436C8">
        <w:rPr>
          <w:sz w:val="22"/>
          <w:szCs w:val="22"/>
          <w:lang w:val="sr-Latn-ME"/>
        </w:rPr>
        <w:t>j</w:t>
      </w:r>
      <w:r w:rsidRPr="005436C8">
        <w:rPr>
          <w:sz w:val="22"/>
          <w:szCs w:val="22"/>
          <w:lang w:val="sr-Latn-ME"/>
        </w:rPr>
        <w:t>eseci [grupa koja je primala placebo] prema 57,1 m</w:t>
      </w:r>
      <w:r w:rsidR="00490318" w:rsidRPr="005436C8">
        <w:rPr>
          <w:sz w:val="22"/>
          <w:szCs w:val="22"/>
          <w:lang w:val="sr-Latn-ME"/>
        </w:rPr>
        <w:t>j</w:t>
      </w:r>
      <w:r w:rsidRPr="005436C8">
        <w:rPr>
          <w:sz w:val="22"/>
          <w:szCs w:val="22"/>
          <w:lang w:val="sr-Latn-ME"/>
        </w:rPr>
        <w:t>esec [grupa l</w:t>
      </w:r>
      <w:r w:rsidR="00207B37" w:rsidRPr="005436C8">
        <w:rPr>
          <w:sz w:val="22"/>
          <w:szCs w:val="22"/>
          <w:lang w:val="sr-Latn-ME"/>
        </w:rPr>
        <w:t>ij</w:t>
      </w:r>
      <w:r w:rsidRPr="005436C8">
        <w:rPr>
          <w:sz w:val="22"/>
          <w:szCs w:val="22"/>
          <w:lang w:val="sr-Latn-ME"/>
        </w:rPr>
        <w:t xml:space="preserve">ečena pertuzumabom]). Ključne tačke </w:t>
      </w:r>
      <w:r w:rsidR="00FE754C" w:rsidRPr="005436C8">
        <w:rPr>
          <w:sz w:val="22"/>
          <w:szCs w:val="22"/>
          <w:lang w:val="sr-Latn-ME"/>
        </w:rPr>
        <w:t>procijenjen</w:t>
      </w:r>
      <w:r w:rsidRPr="005436C8">
        <w:rPr>
          <w:sz w:val="22"/>
          <w:szCs w:val="22"/>
          <w:lang w:val="sr-Latn-ME"/>
        </w:rPr>
        <w:t xml:space="preserve">og preživljavanja nakon 8 godina bile su 37% u grupi </w:t>
      </w:r>
      <w:r w:rsidR="00F90BE1" w:rsidRPr="005436C8">
        <w:rPr>
          <w:sz w:val="22"/>
          <w:szCs w:val="22"/>
          <w:lang w:val="sr-Latn-ME"/>
        </w:rPr>
        <w:t>liječenoj</w:t>
      </w:r>
      <w:r w:rsidRPr="005436C8">
        <w:rPr>
          <w:sz w:val="22"/>
          <w:szCs w:val="22"/>
          <w:lang w:val="sr-Latn-ME"/>
        </w:rPr>
        <w:t xml:space="preserve"> pertuzumabom i 23% u grupi koja je primala placebo.</w:t>
      </w:r>
    </w:p>
    <w:p w14:paraId="1F5886F7" w14:textId="77777777" w:rsidR="000C7302" w:rsidRPr="005436C8" w:rsidRDefault="000C7302" w:rsidP="005436C8">
      <w:pPr>
        <w:tabs>
          <w:tab w:val="left" w:pos="284"/>
        </w:tabs>
        <w:jc w:val="both"/>
        <w:rPr>
          <w:rFonts w:eastAsia="SimSun"/>
          <w:color w:val="000000"/>
          <w:sz w:val="22"/>
          <w:szCs w:val="22"/>
          <w:lang w:val="sr-Latn-ME"/>
        </w:rPr>
      </w:pPr>
    </w:p>
    <w:p w14:paraId="223E6B0E" w14:textId="77777777" w:rsidR="000C7302" w:rsidRPr="005436C8" w:rsidRDefault="000C7302" w:rsidP="005436C8">
      <w:pPr>
        <w:keepNext/>
        <w:keepLines/>
        <w:tabs>
          <w:tab w:val="left" w:pos="284"/>
        </w:tabs>
        <w:ind w:left="1259" w:hanging="1259"/>
        <w:jc w:val="both"/>
        <w:rPr>
          <w:rFonts w:eastAsia="SimSun"/>
          <w:b/>
          <w:color w:val="000000"/>
          <w:sz w:val="22"/>
          <w:szCs w:val="22"/>
          <w:lang w:val="sr-Latn-ME"/>
        </w:rPr>
      </w:pPr>
      <w:r w:rsidRPr="005436C8">
        <w:rPr>
          <w:rFonts w:eastAsia="SimSun"/>
          <w:b/>
          <w:bCs/>
          <w:color w:val="000000"/>
          <w:sz w:val="22"/>
          <w:szCs w:val="22"/>
          <w:lang w:val="sr-Latn-ME"/>
        </w:rPr>
        <w:lastRenderedPageBreak/>
        <w:t>Slika 3</w:t>
      </w:r>
      <w:r w:rsidRPr="005436C8">
        <w:rPr>
          <w:rFonts w:eastAsia="SimSun"/>
          <w:b/>
          <w:bCs/>
          <w:color w:val="000000"/>
          <w:sz w:val="22"/>
          <w:szCs w:val="22"/>
          <w:lang w:val="sr-Latn-ME"/>
        </w:rPr>
        <w:tab/>
        <w:t>Kaplan-Mejerova kriva ukupnog preživljavanja na osnovu događaja</w:t>
      </w:r>
    </w:p>
    <w:p w14:paraId="4F9DA9D6" w14:textId="77777777" w:rsidR="00401A0D" w:rsidRPr="005436C8" w:rsidRDefault="00401A0D" w:rsidP="005436C8">
      <w:pPr>
        <w:tabs>
          <w:tab w:val="left" w:pos="540"/>
          <w:tab w:val="left" w:pos="569"/>
        </w:tabs>
        <w:rPr>
          <w:b/>
          <w:bCs/>
          <w:sz w:val="22"/>
          <w:szCs w:val="22"/>
          <w:lang w:val="sr-Latn-ME"/>
        </w:rPr>
      </w:pPr>
      <w:r w:rsidRPr="005436C8">
        <w:rPr>
          <w:b/>
          <w:bCs/>
          <w:noProof/>
          <w:sz w:val="22"/>
          <w:szCs w:val="22"/>
        </w:rPr>
        <w:drawing>
          <wp:inline distT="0" distB="0" distL="0" distR="0" wp14:anchorId="363A9FA3" wp14:editId="020B09C2">
            <wp:extent cx="5768975" cy="367157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8975" cy="3671570"/>
                    </a:xfrm>
                    <a:prstGeom prst="rect">
                      <a:avLst/>
                    </a:prstGeom>
                  </pic:spPr>
                </pic:pic>
              </a:graphicData>
            </a:graphic>
          </wp:inline>
        </w:drawing>
      </w:r>
    </w:p>
    <w:p w14:paraId="6E8967F5" w14:textId="77777777" w:rsidR="000C7302" w:rsidRPr="005436C8" w:rsidRDefault="000C7302" w:rsidP="005436C8">
      <w:pPr>
        <w:tabs>
          <w:tab w:val="left" w:pos="540"/>
          <w:tab w:val="left" w:pos="569"/>
        </w:tabs>
        <w:rPr>
          <w:b/>
          <w:bCs/>
          <w:sz w:val="22"/>
          <w:szCs w:val="22"/>
          <w:lang w:val="sr-Latn-ME"/>
        </w:rPr>
      </w:pPr>
    </w:p>
    <w:p w14:paraId="28660D74" w14:textId="77777777" w:rsidR="000C7302" w:rsidRPr="005436C8" w:rsidRDefault="000C7302" w:rsidP="005436C8">
      <w:pPr>
        <w:keepNext/>
        <w:keepLines/>
        <w:tabs>
          <w:tab w:val="left" w:pos="284"/>
        </w:tabs>
        <w:spacing w:after="200"/>
        <w:jc w:val="center"/>
        <w:rPr>
          <w:color w:val="000000"/>
          <w:sz w:val="22"/>
          <w:szCs w:val="22"/>
          <w:lang w:val="sr-Latn-ME"/>
        </w:rPr>
      </w:pPr>
      <w:r w:rsidRPr="005436C8">
        <w:rPr>
          <w:color w:val="000000"/>
          <w:sz w:val="22"/>
          <w:szCs w:val="22"/>
          <w:lang w:val="sr-Latn-ME"/>
        </w:rPr>
        <w:t>HR= stopa rizika; CI= interval pouzdanosti; Pla= placebo; Ptz= pertuzumab; T= trastuzumab; D= docetaksel.</w:t>
      </w:r>
    </w:p>
    <w:p w14:paraId="6E1EE0E5" w14:textId="77777777" w:rsidR="000C7302" w:rsidRPr="005436C8" w:rsidRDefault="000C7302" w:rsidP="005436C8">
      <w:pPr>
        <w:tabs>
          <w:tab w:val="left" w:pos="284"/>
        </w:tabs>
        <w:jc w:val="both"/>
        <w:rPr>
          <w:rFonts w:eastAsia="SimSun"/>
          <w:color w:val="000000"/>
          <w:sz w:val="22"/>
          <w:szCs w:val="22"/>
          <w:lang w:val="sr-Latn-ME"/>
        </w:rPr>
      </w:pPr>
    </w:p>
    <w:p w14:paraId="31A6B584"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lang w:val="sr-Latn-ME"/>
        </w:rPr>
        <w:t>Nisu utvrđene statistički značajne razlike između dv</w:t>
      </w:r>
      <w:r w:rsidR="00AC3079" w:rsidRPr="005436C8">
        <w:rPr>
          <w:rFonts w:eastAsia="SimSun"/>
          <w:color w:val="000000"/>
          <w:sz w:val="22"/>
          <w:szCs w:val="22"/>
          <w:lang w:val="sr-Latn-ME"/>
        </w:rPr>
        <w:t>ij</w:t>
      </w:r>
      <w:r w:rsidRPr="005436C8">
        <w:rPr>
          <w:rFonts w:eastAsia="SimSun"/>
          <w:color w:val="000000"/>
          <w:sz w:val="22"/>
          <w:szCs w:val="22"/>
          <w:lang w:val="sr-Latn-ME"/>
        </w:rPr>
        <w:t xml:space="preserve">e terapijske grupe u pogledu kvaliteta života vezanog za zdravlje, </w:t>
      </w:r>
      <w:r w:rsidR="00FE754C" w:rsidRPr="005436C8">
        <w:rPr>
          <w:rFonts w:eastAsia="SimSun"/>
          <w:color w:val="000000"/>
          <w:sz w:val="22"/>
          <w:szCs w:val="22"/>
          <w:lang w:val="sr-Latn-ME"/>
        </w:rPr>
        <w:t>procijenjen</w:t>
      </w:r>
      <w:r w:rsidRPr="005436C8">
        <w:rPr>
          <w:rFonts w:eastAsia="SimSun"/>
          <w:color w:val="000000"/>
          <w:sz w:val="22"/>
          <w:szCs w:val="22"/>
          <w:lang w:val="sr-Latn-ME"/>
        </w:rPr>
        <w:t xml:space="preserve">og na osnovu rezultata FACT-B TOI-PFB. </w:t>
      </w:r>
    </w:p>
    <w:p w14:paraId="638E5A66"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672EE5E6" w14:textId="77777777" w:rsidR="000C7302" w:rsidRPr="005436C8" w:rsidRDefault="000C7302" w:rsidP="005436C8">
      <w:pPr>
        <w:tabs>
          <w:tab w:val="left" w:pos="284"/>
        </w:tabs>
        <w:jc w:val="both"/>
        <w:rPr>
          <w:bCs/>
          <w:iCs/>
          <w:color w:val="000000"/>
          <w:sz w:val="22"/>
          <w:szCs w:val="22"/>
          <w:lang w:val="sr-Latn-ME"/>
        </w:rPr>
      </w:pPr>
      <w:r w:rsidRPr="005436C8">
        <w:rPr>
          <w:color w:val="000000"/>
          <w:sz w:val="22"/>
          <w:szCs w:val="22"/>
          <w:u w:val="single"/>
          <w:lang w:val="sr-Latn-ME"/>
        </w:rPr>
        <w:t>Pedijatrijska populacija</w:t>
      </w:r>
    </w:p>
    <w:p w14:paraId="0D36A982" w14:textId="77777777" w:rsidR="000C7302" w:rsidRPr="005436C8" w:rsidRDefault="000C7302" w:rsidP="005436C8">
      <w:pPr>
        <w:tabs>
          <w:tab w:val="left" w:pos="284"/>
        </w:tabs>
        <w:jc w:val="both"/>
        <w:rPr>
          <w:bCs/>
          <w:iCs/>
          <w:color w:val="000000"/>
          <w:sz w:val="22"/>
          <w:szCs w:val="22"/>
          <w:lang w:val="sr-Latn-ME"/>
        </w:rPr>
      </w:pPr>
    </w:p>
    <w:p w14:paraId="0511AADC" w14:textId="0E8F5226" w:rsidR="000C7302" w:rsidRPr="005436C8" w:rsidRDefault="000C7302" w:rsidP="005436C8">
      <w:pPr>
        <w:tabs>
          <w:tab w:val="left" w:pos="284"/>
        </w:tabs>
        <w:jc w:val="both"/>
        <w:rPr>
          <w:bCs/>
          <w:iCs/>
          <w:color w:val="000000"/>
          <w:sz w:val="22"/>
          <w:szCs w:val="22"/>
          <w:lang w:val="sr-Latn-ME"/>
        </w:rPr>
      </w:pPr>
      <w:r w:rsidRPr="005436C8">
        <w:rPr>
          <w:color w:val="000000"/>
          <w:sz w:val="22"/>
          <w:szCs w:val="22"/>
          <w:lang w:val="sr-Latn-ME"/>
        </w:rPr>
        <w:t xml:space="preserve">Evropska agencija za </w:t>
      </w:r>
      <w:r w:rsidR="00FE754C" w:rsidRPr="005436C8">
        <w:rPr>
          <w:color w:val="000000"/>
          <w:sz w:val="22"/>
          <w:szCs w:val="22"/>
          <w:lang w:val="sr-Latn-ME"/>
        </w:rPr>
        <w:t>ljekov</w:t>
      </w:r>
      <w:r w:rsidRPr="005436C8">
        <w:rPr>
          <w:color w:val="000000"/>
          <w:sz w:val="22"/>
          <w:szCs w:val="22"/>
          <w:lang w:val="sr-Latn-ME"/>
        </w:rPr>
        <w:t xml:space="preserve">e je izuzela obavezu podnošenja rezultata ispitivanja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u svim podgrupama pedijatrijske populacije za karcinom dojke (pogledati </w:t>
      </w:r>
      <w:r w:rsidR="00771DF4">
        <w:rPr>
          <w:color w:val="000000"/>
          <w:sz w:val="22"/>
          <w:szCs w:val="22"/>
          <w:lang w:val="sr-Latn-ME"/>
        </w:rPr>
        <w:t>dio</w:t>
      </w:r>
      <w:r w:rsidRPr="005436C8">
        <w:rPr>
          <w:color w:val="000000"/>
          <w:sz w:val="22"/>
          <w:szCs w:val="22"/>
          <w:lang w:val="sr-Latn-ME"/>
        </w:rPr>
        <w:t xml:space="preserve"> 4.2 za informacije o pedijatrijskoj prim</w:t>
      </w:r>
      <w:r w:rsidR="00AC3079" w:rsidRPr="005436C8">
        <w:rPr>
          <w:color w:val="000000"/>
          <w:sz w:val="22"/>
          <w:szCs w:val="22"/>
          <w:lang w:val="sr-Latn-ME"/>
        </w:rPr>
        <w:t>j</w:t>
      </w:r>
      <w:r w:rsidRPr="005436C8">
        <w:rPr>
          <w:color w:val="000000"/>
          <w:sz w:val="22"/>
          <w:szCs w:val="22"/>
          <w:lang w:val="sr-Latn-ME"/>
        </w:rPr>
        <w:t>eni).</w:t>
      </w:r>
    </w:p>
    <w:p w14:paraId="11D46A1B" w14:textId="77777777" w:rsidR="000C7302" w:rsidRPr="005436C8" w:rsidRDefault="000C7302" w:rsidP="005436C8">
      <w:pPr>
        <w:tabs>
          <w:tab w:val="left" w:pos="540"/>
          <w:tab w:val="left" w:pos="569"/>
        </w:tabs>
        <w:rPr>
          <w:b/>
          <w:bCs/>
          <w:sz w:val="22"/>
          <w:szCs w:val="22"/>
          <w:lang w:val="sr-Latn-ME"/>
        </w:rPr>
      </w:pPr>
    </w:p>
    <w:p w14:paraId="1CF7396B"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5.2. </w:t>
      </w:r>
      <w:r w:rsidR="00480FB1" w:rsidRPr="005436C8">
        <w:rPr>
          <w:b/>
          <w:bCs/>
          <w:sz w:val="22"/>
          <w:szCs w:val="22"/>
          <w:lang w:val="sr-Latn-ME"/>
        </w:rPr>
        <w:tab/>
      </w:r>
      <w:r w:rsidRPr="005436C8">
        <w:rPr>
          <w:b/>
          <w:bCs/>
          <w:sz w:val="22"/>
          <w:szCs w:val="22"/>
          <w:lang w:val="sr-Latn-ME"/>
        </w:rPr>
        <w:t>Farmakokinetički podaci</w:t>
      </w:r>
      <w:r w:rsidR="003A7059" w:rsidRPr="005436C8">
        <w:rPr>
          <w:b/>
          <w:bCs/>
          <w:sz w:val="22"/>
          <w:szCs w:val="22"/>
          <w:lang w:val="sr-Latn-ME"/>
        </w:rPr>
        <w:t xml:space="preserve"> </w:t>
      </w:r>
    </w:p>
    <w:p w14:paraId="53628CC5" w14:textId="77777777" w:rsidR="000C7302" w:rsidRPr="005436C8" w:rsidRDefault="000C7302" w:rsidP="005436C8">
      <w:pPr>
        <w:tabs>
          <w:tab w:val="left" w:pos="540"/>
          <w:tab w:val="left" w:pos="569"/>
        </w:tabs>
        <w:rPr>
          <w:b/>
          <w:bCs/>
          <w:sz w:val="22"/>
          <w:szCs w:val="22"/>
          <w:lang w:val="sr-Latn-ME"/>
        </w:rPr>
      </w:pPr>
    </w:p>
    <w:p w14:paraId="06BF45AD" w14:textId="77777777" w:rsidR="000C7302" w:rsidRPr="005436C8" w:rsidRDefault="000C7302" w:rsidP="005436C8">
      <w:pPr>
        <w:tabs>
          <w:tab w:val="left" w:pos="0"/>
          <w:tab w:val="left" w:pos="284"/>
        </w:tabs>
        <w:jc w:val="both"/>
        <w:outlineLvl w:val="0"/>
        <w:rPr>
          <w:color w:val="000000"/>
          <w:sz w:val="22"/>
          <w:szCs w:val="22"/>
          <w:lang w:val="sr-Latn-ME"/>
        </w:rPr>
      </w:pPr>
      <w:r w:rsidRPr="005436C8">
        <w:rPr>
          <w:color w:val="000000"/>
          <w:sz w:val="22"/>
          <w:szCs w:val="22"/>
          <w:lang w:val="sr-Latn-ME"/>
        </w:rPr>
        <w:t>Farmakokinetički rezultati za primarnu krajnju tačku, C</w:t>
      </w:r>
      <w:r w:rsidRPr="005436C8">
        <w:rPr>
          <w:color w:val="000000"/>
          <w:sz w:val="22"/>
          <w:szCs w:val="22"/>
          <w:vertAlign w:val="subscript"/>
          <w:lang w:val="sr-Latn-ME"/>
        </w:rPr>
        <w:t>trough</w:t>
      </w:r>
      <w:r w:rsidRPr="005436C8">
        <w:rPr>
          <w:color w:val="000000"/>
          <w:sz w:val="22"/>
          <w:szCs w:val="22"/>
          <w:lang w:val="sr-Latn-ME"/>
        </w:rPr>
        <w:t xml:space="preserve"> pertuzumaba nakon 7. ciklusa (tj. </w:t>
      </w:r>
      <w:r w:rsidR="00522BD8" w:rsidRPr="005436C8">
        <w:rPr>
          <w:color w:val="000000"/>
          <w:sz w:val="22"/>
          <w:szCs w:val="22"/>
          <w:lang w:val="sr-Latn-ME"/>
        </w:rPr>
        <w:t>prije</w:t>
      </w:r>
      <w:r w:rsidRPr="005436C8">
        <w:rPr>
          <w:color w:val="000000"/>
          <w:sz w:val="22"/>
          <w:szCs w:val="22"/>
          <w:lang w:val="sr-Latn-ME"/>
        </w:rPr>
        <w:t xml:space="preserve"> </w:t>
      </w:r>
      <w:r w:rsidR="00A21698" w:rsidRPr="005436C8">
        <w:rPr>
          <w:color w:val="000000"/>
          <w:sz w:val="22"/>
          <w:szCs w:val="22"/>
          <w:lang w:val="sr-Latn-ME"/>
        </w:rPr>
        <w:t>primjene</w:t>
      </w:r>
      <w:r w:rsidRPr="005436C8">
        <w:rPr>
          <w:color w:val="000000"/>
          <w:sz w:val="22"/>
          <w:szCs w:val="22"/>
          <w:lang w:val="sr-Latn-ME"/>
        </w:rPr>
        <w:t xml:space="preserve"> doze u 8. ciklusu), ukazali su na neinferiornost pertuzumaba iz </w:t>
      </w:r>
      <w:r w:rsidR="00166973" w:rsidRPr="005436C8">
        <w:rPr>
          <w:color w:val="000000"/>
          <w:sz w:val="22"/>
          <w:szCs w:val="22"/>
          <w:lang w:val="sr-Latn-ME"/>
        </w:rPr>
        <w:t>lijek</w:t>
      </w:r>
      <w:r w:rsidRPr="005436C8">
        <w:rPr>
          <w:color w:val="000000"/>
          <w:sz w:val="22"/>
          <w:szCs w:val="22"/>
          <w:lang w:val="sr-Latn-ME"/>
        </w:rPr>
        <w:t xml:space="preserve">a Phesgo (geometrijska srednja </w:t>
      </w:r>
      <w:r w:rsidR="000A2EA9" w:rsidRPr="005436C8">
        <w:rPr>
          <w:color w:val="000000"/>
          <w:sz w:val="22"/>
          <w:szCs w:val="22"/>
          <w:lang w:val="sr-Latn-ME"/>
        </w:rPr>
        <w:t>vrijednost</w:t>
      </w:r>
      <w:r w:rsidRPr="005436C8">
        <w:rPr>
          <w:color w:val="000000"/>
          <w:sz w:val="22"/>
          <w:szCs w:val="22"/>
          <w:lang w:val="sr-Latn-ME"/>
        </w:rPr>
        <w:t xml:space="preserve"> od 88,7 μg/ml) u odnosu na intravenski pertuzumab (geometrijska srednja </w:t>
      </w:r>
      <w:r w:rsidR="000A2EA9" w:rsidRPr="005436C8">
        <w:rPr>
          <w:color w:val="000000"/>
          <w:sz w:val="22"/>
          <w:szCs w:val="22"/>
          <w:lang w:val="sr-Latn-ME"/>
        </w:rPr>
        <w:t>vrijednost</w:t>
      </w:r>
      <w:r w:rsidRPr="005436C8">
        <w:rPr>
          <w:color w:val="000000"/>
          <w:sz w:val="22"/>
          <w:szCs w:val="22"/>
          <w:lang w:val="sr-Latn-ME"/>
        </w:rPr>
        <w:t xml:space="preserve"> od 72,4 μg/ml), uz geometrijsku srednju </w:t>
      </w:r>
      <w:r w:rsidR="000A2EA9" w:rsidRPr="005436C8">
        <w:rPr>
          <w:color w:val="000000"/>
          <w:sz w:val="22"/>
          <w:szCs w:val="22"/>
          <w:lang w:val="sr-Latn-ME"/>
        </w:rPr>
        <w:t>vrijednost</w:t>
      </w:r>
      <w:r w:rsidRPr="005436C8">
        <w:rPr>
          <w:color w:val="000000"/>
          <w:sz w:val="22"/>
          <w:szCs w:val="22"/>
          <w:lang w:val="sr-Latn-ME"/>
        </w:rPr>
        <w:t xml:space="preserve"> srazm</w:t>
      </w:r>
      <w:r w:rsidR="00AC3079" w:rsidRPr="005436C8">
        <w:rPr>
          <w:color w:val="000000"/>
          <w:sz w:val="22"/>
          <w:szCs w:val="22"/>
          <w:lang w:val="sr-Latn-ME"/>
        </w:rPr>
        <w:t>j</w:t>
      </w:r>
      <w:r w:rsidRPr="005436C8">
        <w:rPr>
          <w:color w:val="000000"/>
          <w:sz w:val="22"/>
          <w:szCs w:val="22"/>
          <w:lang w:val="sr-Latn-ME"/>
        </w:rPr>
        <w:t xml:space="preserve">ere od 1,22 (90% CI: 1,14–1,31). Donja granica dvostranog intervala pouzdanosti od 90% za geometrijsku srednju </w:t>
      </w:r>
      <w:r w:rsidR="000A2EA9" w:rsidRPr="005436C8">
        <w:rPr>
          <w:color w:val="000000"/>
          <w:sz w:val="22"/>
          <w:szCs w:val="22"/>
          <w:lang w:val="sr-Latn-ME"/>
        </w:rPr>
        <w:t>vrijednost</w:t>
      </w:r>
      <w:r w:rsidRPr="005436C8">
        <w:rPr>
          <w:color w:val="000000"/>
          <w:sz w:val="22"/>
          <w:szCs w:val="22"/>
          <w:lang w:val="sr-Latn-ME"/>
        </w:rPr>
        <w:t xml:space="preserve"> srazm</w:t>
      </w:r>
      <w:r w:rsidR="00A53547" w:rsidRPr="005436C8">
        <w:rPr>
          <w:color w:val="000000"/>
          <w:sz w:val="22"/>
          <w:szCs w:val="22"/>
          <w:lang w:val="sr-Latn-ME"/>
        </w:rPr>
        <w:t>j</w:t>
      </w:r>
      <w:r w:rsidRPr="005436C8">
        <w:rPr>
          <w:color w:val="000000"/>
          <w:sz w:val="22"/>
          <w:szCs w:val="22"/>
          <w:lang w:val="sr-Latn-ME"/>
        </w:rPr>
        <w:t xml:space="preserve">ere koncentracija pertuzumaba iz </w:t>
      </w:r>
      <w:r w:rsidR="00166973" w:rsidRPr="005436C8">
        <w:rPr>
          <w:color w:val="000000"/>
          <w:sz w:val="22"/>
          <w:szCs w:val="22"/>
          <w:lang w:val="sr-Latn-ME"/>
        </w:rPr>
        <w:t>lijek</w:t>
      </w:r>
      <w:r w:rsidRPr="005436C8">
        <w:rPr>
          <w:color w:val="000000"/>
          <w:sz w:val="22"/>
          <w:szCs w:val="22"/>
          <w:lang w:val="sr-Latn-ME"/>
        </w:rPr>
        <w:t>a Phesgo i intravenskog pertuzumaba iznosila je 1,14, što je više od unapred definisane margine od 0,8.</w:t>
      </w:r>
    </w:p>
    <w:p w14:paraId="72E0A4BC" w14:textId="77777777" w:rsidR="000C7302" w:rsidRPr="005436C8" w:rsidRDefault="000C7302" w:rsidP="005436C8">
      <w:pPr>
        <w:tabs>
          <w:tab w:val="left" w:pos="0"/>
          <w:tab w:val="left" w:pos="284"/>
        </w:tabs>
        <w:jc w:val="both"/>
        <w:outlineLvl w:val="0"/>
        <w:rPr>
          <w:color w:val="000000"/>
          <w:sz w:val="22"/>
          <w:szCs w:val="22"/>
          <w:lang w:val="sr-Latn-ME"/>
        </w:rPr>
      </w:pPr>
    </w:p>
    <w:p w14:paraId="2F1CA48D" w14:textId="77777777" w:rsidR="000C7302" w:rsidRPr="005436C8" w:rsidRDefault="000C7302" w:rsidP="005436C8">
      <w:pPr>
        <w:tabs>
          <w:tab w:val="left" w:pos="0"/>
          <w:tab w:val="left" w:pos="284"/>
        </w:tabs>
        <w:jc w:val="both"/>
        <w:outlineLvl w:val="0"/>
        <w:rPr>
          <w:color w:val="000000"/>
          <w:sz w:val="22"/>
          <w:szCs w:val="22"/>
          <w:lang w:val="sr-Latn-ME"/>
        </w:rPr>
      </w:pPr>
      <w:r w:rsidRPr="005436C8">
        <w:rPr>
          <w:color w:val="000000"/>
          <w:sz w:val="22"/>
          <w:szCs w:val="22"/>
          <w:lang w:val="sr-Latn-ME"/>
        </w:rPr>
        <w:t>Farmakokinetički rezultati za sekundarnu krajnju tačku, C</w:t>
      </w:r>
      <w:r w:rsidRPr="005436C8">
        <w:rPr>
          <w:color w:val="000000"/>
          <w:sz w:val="22"/>
          <w:szCs w:val="22"/>
          <w:vertAlign w:val="subscript"/>
          <w:lang w:val="sr-Latn-ME"/>
        </w:rPr>
        <w:t>trough</w:t>
      </w:r>
      <w:r w:rsidRPr="005436C8">
        <w:rPr>
          <w:color w:val="000000"/>
          <w:sz w:val="22"/>
          <w:szCs w:val="22"/>
          <w:lang w:val="sr-Latn-ME"/>
        </w:rPr>
        <w:t xml:space="preserve"> pertuzumaba nakon 7. ciklusa (tj. </w:t>
      </w:r>
      <w:r w:rsidR="00522BD8" w:rsidRPr="005436C8">
        <w:rPr>
          <w:color w:val="000000"/>
          <w:sz w:val="22"/>
          <w:szCs w:val="22"/>
          <w:lang w:val="sr-Latn-ME"/>
        </w:rPr>
        <w:t>prije</w:t>
      </w:r>
      <w:r w:rsidRPr="005436C8">
        <w:rPr>
          <w:color w:val="000000"/>
          <w:sz w:val="22"/>
          <w:szCs w:val="22"/>
          <w:lang w:val="sr-Latn-ME"/>
        </w:rPr>
        <w:t xml:space="preserve"> </w:t>
      </w:r>
      <w:r w:rsidR="00A21698" w:rsidRPr="005436C8">
        <w:rPr>
          <w:color w:val="000000"/>
          <w:sz w:val="22"/>
          <w:szCs w:val="22"/>
          <w:lang w:val="sr-Latn-ME"/>
        </w:rPr>
        <w:t>primjene</w:t>
      </w:r>
      <w:r w:rsidRPr="005436C8">
        <w:rPr>
          <w:color w:val="000000"/>
          <w:sz w:val="22"/>
          <w:szCs w:val="22"/>
          <w:lang w:val="sr-Latn-ME"/>
        </w:rPr>
        <w:t xml:space="preserve"> doze u 8. ciklusu), ukazali su na neinferiornost trastuzumaba iz </w:t>
      </w:r>
      <w:r w:rsidR="00166973" w:rsidRPr="005436C8">
        <w:rPr>
          <w:color w:val="000000"/>
          <w:sz w:val="22"/>
          <w:szCs w:val="22"/>
          <w:lang w:val="sr-Latn-ME"/>
        </w:rPr>
        <w:t>lijek</w:t>
      </w:r>
      <w:r w:rsidRPr="005436C8">
        <w:rPr>
          <w:color w:val="000000"/>
          <w:sz w:val="22"/>
          <w:szCs w:val="22"/>
          <w:lang w:val="sr-Latn-ME"/>
        </w:rPr>
        <w:t xml:space="preserve">a Phesgo (geometrijska srednja </w:t>
      </w:r>
      <w:r w:rsidR="000A2EA9" w:rsidRPr="005436C8">
        <w:rPr>
          <w:color w:val="000000"/>
          <w:sz w:val="22"/>
          <w:szCs w:val="22"/>
          <w:lang w:val="sr-Latn-ME"/>
        </w:rPr>
        <w:t>vrijednost</w:t>
      </w:r>
      <w:r w:rsidRPr="005436C8">
        <w:rPr>
          <w:color w:val="000000"/>
          <w:sz w:val="22"/>
          <w:szCs w:val="22"/>
          <w:lang w:val="sr-Latn-ME"/>
        </w:rPr>
        <w:t xml:space="preserve"> od 57,5 μg/ml) u poređenju sa intravenskim trastuzumabom (geometrijska srednja </w:t>
      </w:r>
      <w:r w:rsidR="000A2EA9" w:rsidRPr="005436C8">
        <w:rPr>
          <w:color w:val="000000"/>
          <w:sz w:val="22"/>
          <w:szCs w:val="22"/>
          <w:lang w:val="sr-Latn-ME"/>
        </w:rPr>
        <w:t>vrijednost</w:t>
      </w:r>
      <w:r w:rsidRPr="005436C8">
        <w:rPr>
          <w:color w:val="000000"/>
          <w:sz w:val="22"/>
          <w:szCs w:val="22"/>
          <w:lang w:val="sr-Latn-ME"/>
        </w:rPr>
        <w:t xml:space="preserve"> od 43,2 μg/ml), uz geometrijsku srednju </w:t>
      </w:r>
      <w:r w:rsidR="000A2EA9" w:rsidRPr="005436C8">
        <w:rPr>
          <w:color w:val="000000"/>
          <w:sz w:val="22"/>
          <w:szCs w:val="22"/>
          <w:lang w:val="sr-Latn-ME"/>
        </w:rPr>
        <w:t>vrijednost</w:t>
      </w:r>
      <w:r w:rsidRPr="005436C8">
        <w:rPr>
          <w:color w:val="000000"/>
          <w:sz w:val="22"/>
          <w:szCs w:val="22"/>
          <w:lang w:val="sr-Latn-ME"/>
        </w:rPr>
        <w:t xml:space="preserve"> srazm</w:t>
      </w:r>
      <w:r w:rsidR="00A53547" w:rsidRPr="005436C8">
        <w:rPr>
          <w:color w:val="000000"/>
          <w:sz w:val="22"/>
          <w:szCs w:val="22"/>
          <w:lang w:val="sr-Latn-ME"/>
        </w:rPr>
        <w:t>j</w:t>
      </w:r>
      <w:r w:rsidRPr="005436C8">
        <w:rPr>
          <w:color w:val="000000"/>
          <w:sz w:val="22"/>
          <w:szCs w:val="22"/>
          <w:lang w:val="sr-Latn-ME"/>
        </w:rPr>
        <w:t>ere od 1,33 (90% CI: 1,24–1,43).</w:t>
      </w:r>
    </w:p>
    <w:p w14:paraId="78E1908F" w14:textId="77777777" w:rsidR="000C7302" w:rsidRPr="005436C8" w:rsidRDefault="000C7302" w:rsidP="005436C8">
      <w:pPr>
        <w:tabs>
          <w:tab w:val="left" w:pos="284"/>
        </w:tabs>
        <w:ind w:left="567" w:hanging="567"/>
        <w:jc w:val="both"/>
        <w:outlineLvl w:val="0"/>
        <w:rPr>
          <w:color w:val="000000"/>
          <w:sz w:val="22"/>
          <w:szCs w:val="22"/>
          <w:lang w:val="sr-Latn-ME"/>
        </w:rPr>
      </w:pPr>
    </w:p>
    <w:p w14:paraId="0073A7E7" w14:textId="77777777" w:rsidR="000C7302" w:rsidRPr="005436C8" w:rsidRDefault="000C7302" w:rsidP="005436C8">
      <w:pPr>
        <w:numPr>
          <w:ilvl w:val="12"/>
          <w:numId w:val="0"/>
        </w:numPr>
        <w:tabs>
          <w:tab w:val="left" w:pos="284"/>
        </w:tabs>
        <w:ind w:right="-2"/>
        <w:jc w:val="both"/>
        <w:rPr>
          <w:color w:val="000000"/>
          <w:sz w:val="22"/>
          <w:szCs w:val="22"/>
          <w:u w:val="single"/>
          <w:lang w:val="sr-Latn-ME"/>
        </w:rPr>
      </w:pPr>
      <w:r w:rsidRPr="005436C8">
        <w:rPr>
          <w:color w:val="000000"/>
          <w:sz w:val="22"/>
          <w:szCs w:val="22"/>
          <w:u w:val="single"/>
          <w:lang w:val="sr-Latn-ME"/>
        </w:rPr>
        <w:t>Resorpcija</w:t>
      </w:r>
    </w:p>
    <w:p w14:paraId="6FFCF666" w14:textId="77777777" w:rsidR="000C7302" w:rsidRPr="005436C8" w:rsidRDefault="000C7302" w:rsidP="005436C8">
      <w:pPr>
        <w:numPr>
          <w:ilvl w:val="12"/>
          <w:numId w:val="0"/>
        </w:numPr>
        <w:tabs>
          <w:tab w:val="left" w:pos="284"/>
        </w:tabs>
        <w:ind w:right="-2"/>
        <w:jc w:val="both"/>
        <w:rPr>
          <w:color w:val="000000"/>
          <w:sz w:val="22"/>
          <w:szCs w:val="22"/>
          <w:u w:val="single"/>
          <w:lang w:val="sr-Latn-ME"/>
        </w:rPr>
      </w:pPr>
    </w:p>
    <w:p w14:paraId="56858AB6" w14:textId="77777777" w:rsidR="000C7302" w:rsidRPr="005436C8" w:rsidRDefault="000C7302" w:rsidP="005436C8">
      <w:pPr>
        <w:numPr>
          <w:ilvl w:val="12"/>
          <w:numId w:val="0"/>
        </w:numPr>
        <w:tabs>
          <w:tab w:val="left" w:pos="284"/>
        </w:tabs>
        <w:ind w:right="-2"/>
        <w:jc w:val="both"/>
        <w:rPr>
          <w:color w:val="000000"/>
          <w:sz w:val="22"/>
          <w:szCs w:val="22"/>
          <w:lang w:val="sr-Latn-ME"/>
        </w:rPr>
      </w:pPr>
      <w:r w:rsidRPr="005436C8">
        <w:rPr>
          <w:color w:val="000000"/>
          <w:sz w:val="22"/>
          <w:szCs w:val="22"/>
          <w:lang w:val="sr-Latn-ME"/>
        </w:rPr>
        <w:t>Medijana maksimalne serumske koncentracije (C</w:t>
      </w:r>
      <w:r w:rsidRPr="005436C8">
        <w:rPr>
          <w:color w:val="000000"/>
          <w:sz w:val="22"/>
          <w:szCs w:val="22"/>
          <w:vertAlign w:val="subscript"/>
          <w:lang w:val="sr-Latn-ME"/>
        </w:rPr>
        <w:t>max</w:t>
      </w:r>
      <w:r w:rsidRPr="005436C8">
        <w:rPr>
          <w:color w:val="000000"/>
          <w:sz w:val="22"/>
          <w:szCs w:val="22"/>
          <w:lang w:val="sr-Latn-ME"/>
        </w:rPr>
        <w:t xml:space="preserve">) pertuzumaba iz </w:t>
      </w:r>
      <w:r w:rsidR="00166973" w:rsidRPr="005436C8">
        <w:rPr>
          <w:color w:val="000000"/>
          <w:sz w:val="22"/>
          <w:szCs w:val="22"/>
          <w:lang w:val="sr-Latn-ME"/>
        </w:rPr>
        <w:t>lijek</w:t>
      </w:r>
      <w:r w:rsidRPr="005436C8">
        <w:rPr>
          <w:color w:val="000000"/>
          <w:sz w:val="22"/>
          <w:szCs w:val="22"/>
          <w:lang w:val="sr-Latn-ME"/>
        </w:rPr>
        <w:t xml:space="preserve">a Phesgo iznosila je 157 μg/ml, a </w:t>
      </w:r>
      <w:r w:rsidR="002700CC" w:rsidRPr="005436C8">
        <w:rPr>
          <w:color w:val="000000"/>
          <w:sz w:val="22"/>
          <w:szCs w:val="22"/>
          <w:lang w:val="sr-Latn-ME"/>
        </w:rPr>
        <w:t>vr</w:t>
      </w:r>
      <w:r w:rsidR="00AC3079" w:rsidRPr="005436C8">
        <w:rPr>
          <w:color w:val="000000"/>
          <w:sz w:val="22"/>
          <w:szCs w:val="22"/>
          <w:lang w:val="sr-Latn-ME"/>
        </w:rPr>
        <w:t>ij</w:t>
      </w:r>
      <w:r w:rsidR="002700CC" w:rsidRPr="005436C8">
        <w:rPr>
          <w:color w:val="000000"/>
          <w:sz w:val="22"/>
          <w:szCs w:val="22"/>
          <w:lang w:val="sr-Latn-ME"/>
        </w:rPr>
        <w:t>em</w:t>
      </w:r>
      <w:r w:rsidR="00A21698" w:rsidRPr="005436C8">
        <w:rPr>
          <w:color w:val="000000"/>
          <w:sz w:val="22"/>
          <w:szCs w:val="22"/>
          <w:lang w:val="sr-Latn-ME"/>
        </w:rPr>
        <w:t>e</w:t>
      </w:r>
      <w:r w:rsidRPr="005436C8">
        <w:rPr>
          <w:color w:val="000000"/>
          <w:sz w:val="22"/>
          <w:szCs w:val="22"/>
          <w:lang w:val="sr-Latn-ME"/>
        </w:rPr>
        <w:t xml:space="preserve"> do postizanja maksimalne koncentracije (T</w:t>
      </w:r>
      <w:r w:rsidRPr="005436C8">
        <w:rPr>
          <w:color w:val="000000"/>
          <w:sz w:val="22"/>
          <w:szCs w:val="22"/>
          <w:vertAlign w:val="subscript"/>
          <w:lang w:val="sr-Latn-ME"/>
        </w:rPr>
        <w:t>max</w:t>
      </w:r>
      <w:r w:rsidRPr="005436C8">
        <w:rPr>
          <w:color w:val="000000"/>
          <w:sz w:val="22"/>
          <w:szCs w:val="22"/>
          <w:lang w:val="sr-Latn-ME"/>
        </w:rPr>
        <w:t xml:space="preserve">) 3,82 dana. Prema populacionoj </w:t>
      </w:r>
      <w:r w:rsidRPr="005436C8">
        <w:rPr>
          <w:color w:val="000000"/>
          <w:sz w:val="22"/>
          <w:szCs w:val="22"/>
          <w:lang w:val="sr-Latn-ME"/>
        </w:rPr>
        <w:lastRenderedPageBreak/>
        <w:t xml:space="preserve">farmakokinetičkoj analizi, apsolutna bioraspoloživost iznosila je 0,712, a brzina resorpcije prvog reda (Ka) 0,348 (1/dan). </w:t>
      </w:r>
    </w:p>
    <w:p w14:paraId="5C273D76" w14:textId="77777777" w:rsidR="000C7302" w:rsidRPr="005436C8" w:rsidRDefault="000C7302" w:rsidP="005436C8">
      <w:pPr>
        <w:numPr>
          <w:ilvl w:val="12"/>
          <w:numId w:val="0"/>
        </w:numPr>
        <w:tabs>
          <w:tab w:val="left" w:pos="284"/>
        </w:tabs>
        <w:ind w:right="-2"/>
        <w:jc w:val="both"/>
        <w:rPr>
          <w:color w:val="000000"/>
          <w:sz w:val="22"/>
          <w:szCs w:val="22"/>
          <w:lang w:val="sr-Latn-ME"/>
        </w:rPr>
      </w:pPr>
    </w:p>
    <w:p w14:paraId="686DAD6F" w14:textId="77777777" w:rsidR="000C7302" w:rsidRPr="005436C8" w:rsidRDefault="000C7302" w:rsidP="005436C8">
      <w:pPr>
        <w:numPr>
          <w:ilvl w:val="12"/>
          <w:numId w:val="0"/>
        </w:numPr>
        <w:tabs>
          <w:tab w:val="left" w:pos="284"/>
        </w:tabs>
        <w:ind w:right="-2"/>
        <w:jc w:val="both"/>
        <w:rPr>
          <w:color w:val="000000"/>
          <w:sz w:val="22"/>
          <w:szCs w:val="22"/>
          <w:lang w:val="sr-Latn-ME"/>
        </w:rPr>
      </w:pPr>
      <w:r w:rsidRPr="005436C8">
        <w:rPr>
          <w:color w:val="000000"/>
          <w:sz w:val="22"/>
          <w:szCs w:val="22"/>
          <w:lang w:val="sr-Latn-ME"/>
        </w:rPr>
        <w:t>Medijana C</w:t>
      </w:r>
      <w:r w:rsidRPr="005436C8">
        <w:rPr>
          <w:color w:val="000000"/>
          <w:sz w:val="22"/>
          <w:szCs w:val="22"/>
          <w:vertAlign w:val="subscript"/>
          <w:lang w:val="sr-Latn-ME"/>
        </w:rPr>
        <w:t>max</w:t>
      </w:r>
      <w:r w:rsidRPr="005436C8">
        <w:rPr>
          <w:color w:val="000000"/>
          <w:sz w:val="22"/>
          <w:szCs w:val="22"/>
          <w:lang w:val="sr-Latn-ME"/>
        </w:rPr>
        <w:t xml:space="preserve"> trastuzumaba iz </w:t>
      </w:r>
      <w:r w:rsidR="00166973" w:rsidRPr="005436C8">
        <w:rPr>
          <w:color w:val="000000"/>
          <w:sz w:val="22"/>
          <w:szCs w:val="22"/>
          <w:lang w:val="sr-Latn-ME"/>
        </w:rPr>
        <w:t>lijek</w:t>
      </w:r>
      <w:r w:rsidRPr="005436C8">
        <w:rPr>
          <w:color w:val="000000"/>
          <w:sz w:val="22"/>
          <w:szCs w:val="22"/>
          <w:lang w:val="sr-Latn-ME"/>
        </w:rPr>
        <w:t>a Phesgo iznosila je 114</w:t>
      </w:r>
      <w:r w:rsidRPr="005436C8">
        <w:rPr>
          <w:sz w:val="22"/>
          <w:szCs w:val="22"/>
          <w:lang w:val="sr-Latn-ME"/>
        </w:rPr>
        <w:t> </w:t>
      </w:r>
      <w:r w:rsidRPr="005436C8">
        <w:rPr>
          <w:color w:val="000000"/>
          <w:sz w:val="22"/>
          <w:szCs w:val="22"/>
          <w:lang w:val="sr-Latn-ME"/>
        </w:rPr>
        <w:t>μg/ml, a T</w:t>
      </w:r>
      <w:r w:rsidRPr="005436C8">
        <w:rPr>
          <w:color w:val="000000"/>
          <w:sz w:val="22"/>
          <w:szCs w:val="22"/>
          <w:vertAlign w:val="subscript"/>
          <w:lang w:val="sr-Latn-ME"/>
        </w:rPr>
        <w:t>max</w:t>
      </w:r>
      <w:r w:rsidRPr="005436C8">
        <w:rPr>
          <w:color w:val="000000"/>
          <w:sz w:val="22"/>
          <w:szCs w:val="22"/>
          <w:lang w:val="sr-Latn-ME"/>
        </w:rPr>
        <w:t xml:space="preserve"> 3,84 dana. Prema populacionoj farmakokinetičkoj analizi, apsolutna bioraspoloživost iznosila je 0,771, a Ka 0,404 (1/dan). </w:t>
      </w:r>
    </w:p>
    <w:p w14:paraId="52A365CC" w14:textId="77777777" w:rsidR="000C7302" w:rsidRPr="005436C8" w:rsidRDefault="000C7302" w:rsidP="005436C8">
      <w:pPr>
        <w:numPr>
          <w:ilvl w:val="12"/>
          <w:numId w:val="0"/>
        </w:numPr>
        <w:tabs>
          <w:tab w:val="left" w:pos="284"/>
        </w:tabs>
        <w:ind w:right="-2"/>
        <w:jc w:val="both"/>
        <w:rPr>
          <w:color w:val="000000"/>
          <w:sz w:val="22"/>
          <w:szCs w:val="22"/>
          <w:lang w:val="sr-Latn-ME"/>
        </w:rPr>
      </w:pPr>
    </w:p>
    <w:p w14:paraId="61852138" w14:textId="77777777" w:rsidR="000C7302" w:rsidRPr="005436C8" w:rsidRDefault="000C7302" w:rsidP="005436C8">
      <w:pPr>
        <w:numPr>
          <w:ilvl w:val="12"/>
          <w:numId w:val="0"/>
        </w:numPr>
        <w:tabs>
          <w:tab w:val="left" w:pos="284"/>
        </w:tabs>
        <w:ind w:right="-2"/>
        <w:jc w:val="both"/>
        <w:rPr>
          <w:color w:val="000000"/>
          <w:sz w:val="22"/>
          <w:szCs w:val="22"/>
          <w:u w:val="single"/>
          <w:lang w:val="sr-Latn-ME"/>
        </w:rPr>
      </w:pPr>
      <w:r w:rsidRPr="005436C8">
        <w:rPr>
          <w:color w:val="000000"/>
          <w:sz w:val="22"/>
          <w:szCs w:val="22"/>
          <w:u w:val="single"/>
          <w:lang w:val="sr-Latn-ME"/>
        </w:rPr>
        <w:t>Distribucija</w:t>
      </w:r>
    </w:p>
    <w:p w14:paraId="4B584094" w14:textId="77777777" w:rsidR="000C7302" w:rsidRPr="005436C8" w:rsidRDefault="000C7302" w:rsidP="005436C8">
      <w:pPr>
        <w:numPr>
          <w:ilvl w:val="12"/>
          <w:numId w:val="0"/>
        </w:numPr>
        <w:tabs>
          <w:tab w:val="left" w:pos="284"/>
        </w:tabs>
        <w:ind w:right="-2"/>
        <w:jc w:val="both"/>
        <w:rPr>
          <w:color w:val="000000"/>
          <w:sz w:val="22"/>
          <w:szCs w:val="22"/>
          <w:u w:val="single"/>
          <w:lang w:val="sr-Latn-ME"/>
        </w:rPr>
      </w:pPr>
    </w:p>
    <w:p w14:paraId="13B24270" w14:textId="77777777" w:rsidR="000C7302" w:rsidRPr="005436C8" w:rsidRDefault="000C7302" w:rsidP="005436C8">
      <w:pPr>
        <w:numPr>
          <w:ilvl w:val="12"/>
          <w:numId w:val="0"/>
        </w:numPr>
        <w:tabs>
          <w:tab w:val="left" w:pos="284"/>
        </w:tabs>
        <w:ind w:right="-2"/>
        <w:jc w:val="both"/>
        <w:rPr>
          <w:color w:val="000000"/>
          <w:sz w:val="22"/>
          <w:szCs w:val="22"/>
          <w:lang w:val="sr-Latn-ME"/>
        </w:rPr>
      </w:pPr>
      <w:r w:rsidRPr="005436C8">
        <w:rPr>
          <w:color w:val="000000"/>
          <w:sz w:val="22"/>
          <w:szCs w:val="22"/>
          <w:lang w:val="sr-Latn-ME"/>
        </w:rPr>
        <w:t xml:space="preserve">Prema populacionoj farmakokinetičkoj analizi, kod tipičnog pacijenta </w:t>
      </w:r>
      <w:r w:rsidR="00AC3079" w:rsidRPr="005436C8">
        <w:rPr>
          <w:color w:val="000000"/>
          <w:sz w:val="22"/>
          <w:szCs w:val="22"/>
          <w:lang w:val="sr-Latn-ME"/>
        </w:rPr>
        <w:t xml:space="preserve">je </w:t>
      </w:r>
      <w:r w:rsidRPr="005436C8">
        <w:rPr>
          <w:color w:val="000000"/>
          <w:sz w:val="22"/>
          <w:szCs w:val="22"/>
          <w:lang w:val="sr-Latn-ME"/>
        </w:rPr>
        <w:t xml:space="preserve">volumen distribucije pertuzumaba iz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u centralnom od</w:t>
      </w:r>
      <w:r w:rsidR="00AC3079" w:rsidRPr="005436C8">
        <w:rPr>
          <w:color w:val="000000"/>
          <w:sz w:val="22"/>
          <w:szCs w:val="22"/>
          <w:lang w:val="sr-Latn-ME"/>
        </w:rPr>
        <w:t>j</w:t>
      </w:r>
      <w:r w:rsidRPr="005436C8">
        <w:rPr>
          <w:color w:val="000000"/>
          <w:sz w:val="22"/>
          <w:szCs w:val="22"/>
          <w:lang w:val="sr-Latn-ME"/>
        </w:rPr>
        <w:t>eljku (V</w:t>
      </w:r>
      <w:r w:rsidRPr="005436C8">
        <w:rPr>
          <w:color w:val="000000"/>
          <w:sz w:val="22"/>
          <w:szCs w:val="22"/>
          <w:vertAlign w:val="subscript"/>
          <w:lang w:val="sr-Latn-ME"/>
        </w:rPr>
        <w:t>c</w:t>
      </w:r>
      <w:r w:rsidRPr="005436C8">
        <w:rPr>
          <w:color w:val="000000"/>
          <w:sz w:val="22"/>
          <w:szCs w:val="22"/>
          <w:lang w:val="sr-Latn-ME"/>
        </w:rPr>
        <w:t xml:space="preserve">) iznosio 2,77 litara. </w:t>
      </w:r>
    </w:p>
    <w:p w14:paraId="38AB7FE8" w14:textId="77777777" w:rsidR="000C7302" w:rsidRPr="005436C8" w:rsidRDefault="000C7302" w:rsidP="005436C8">
      <w:pPr>
        <w:numPr>
          <w:ilvl w:val="12"/>
          <w:numId w:val="0"/>
        </w:numPr>
        <w:tabs>
          <w:tab w:val="left" w:pos="284"/>
        </w:tabs>
        <w:ind w:right="-2"/>
        <w:jc w:val="both"/>
        <w:rPr>
          <w:color w:val="000000"/>
          <w:sz w:val="22"/>
          <w:szCs w:val="22"/>
          <w:lang w:val="sr-Latn-ME"/>
        </w:rPr>
      </w:pPr>
    </w:p>
    <w:p w14:paraId="2656AA1F" w14:textId="77777777" w:rsidR="000C7302" w:rsidRPr="005436C8" w:rsidRDefault="000C7302" w:rsidP="005436C8">
      <w:pPr>
        <w:numPr>
          <w:ilvl w:val="12"/>
          <w:numId w:val="0"/>
        </w:numPr>
        <w:tabs>
          <w:tab w:val="left" w:pos="284"/>
        </w:tabs>
        <w:ind w:right="-2"/>
        <w:jc w:val="both"/>
        <w:rPr>
          <w:color w:val="000000"/>
          <w:sz w:val="22"/>
          <w:szCs w:val="22"/>
          <w:lang w:val="sr-Latn-ME"/>
        </w:rPr>
      </w:pPr>
      <w:r w:rsidRPr="005436C8">
        <w:rPr>
          <w:color w:val="000000"/>
          <w:sz w:val="22"/>
          <w:szCs w:val="22"/>
          <w:lang w:val="sr-Latn-ME"/>
        </w:rPr>
        <w:t>Prema populacionoj farmakokinetičkoj analizi, kod tipičnog pacijenta V</w:t>
      </w:r>
      <w:r w:rsidRPr="005436C8">
        <w:rPr>
          <w:color w:val="000000"/>
          <w:sz w:val="22"/>
          <w:szCs w:val="22"/>
          <w:vertAlign w:val="subscript"/>
          <w:lang w:val="sr-Latn-ME"/>
        </w:rPr>
        <w:t xml:space="preserve">c </w:t>
      </w:r>
      <w:r w:rsidRPr="005436C8">
        <w:rPr>
          <w:color w:val="000000"/>
          <w:sz w:val="22"/>
          <w:szCs w:val="22"/>
          <w:lang w:val="sr-Latn-ME"/>
        </w:rPr>
        <w:t>u odeljku iznosio je 2,91 litara.</w:t>
      </w:r>
    </w:p>
    <w:p w14:paraId="65C91BA2" w14:textId="77777777" w:rsidR="000C7302" w:rsidRPr="005436C8" w:rsidRDefault="000C7302" w:rsidP="005436C8">
      <w:pPr>
        <w:numPr>
          <w:ilvl w:val="12"/>
          <w:numId w:val="0"/>
        </w:numPr>
        <w:tabs>
          <w:tab w:val="left" w:pos="284"/>
        </w:tabs>
        <w:ind w:right="-2"/>
        <w:jc w:val="both"/>
        <w:rPr>
          <w:color w:val="000000"/>
          <w:sz w:val="22"/>
          <w:szCs w:val="22"/>
          <w:u w:val="single"/>
          <w:lang w:val="sr-Latn-ME"/>
        </w:rPr>
      </w:pPr>
    </w:p>
    <w:p w14:paraId="6F3614C7" w14:textId="77777777" w:rsidR="000C7302" w:rsidRPr="005436C8" w:rsidRDefault="000C7302" w:rsidP="005436C8">
      <w:pPr>
        <w:keepNext/>
        <w:keepLines/>
        <w:numPr>
          <w:ilvl w:val="12"/>
          <w:numId w:val="0"/>
        </w:numPr>
        <w:tabs>
          <w:tab w:val="left" w:pos="284"/>
        </w:tabs>
        <w:ind w:right="-2"/>
        <w:jc w:val="both"/>
        <w:rPr>
          <w:color w:val="000000"/>
          <w:sz w:val="22"/>
          <w:szCs w:val="22"/>
          <w:u w:val="single"/>
          <w:lang w:val="sr-Latn-ME"/>
        </w:rPr>
      </w:pPr>
      <w:r w:rsidRPr="005436C8">
        <w:rPr>
          <w:color w:val="000000"/>
          <w:sz w:val="22"/>
          <w:szCs w:val="22"/>
          <w:u w:val="single"/>
          <w:lang w:val="sr-Latn-ME"/>
        </w:rPr>
        <w:t>Biotransformacija</w:t>
      </w:r>
    </w:p>
    <w:p w14:paraId="08C80AF6" w14:textId="77777777" w:rsidR="000C7302" w:rsidRPr="005436C8" w:rsidRDefault="000C7302" w:rsidP="005436C8">
      <w:pPr>
        <w:keepNext/>
        <w:keepLines/>
        <w:numPr>
          <w:ilvl w:val="12"/>
          <w:numId w:val="0"/>
        </w:numPr>
        <w:tabs>
          <w:tab w:val="left" w:pos="284"/>
        </w:tabs>
        <w:ind w:right="-2"/>
        <w:jc w:val="both"/>
        <w:rPr>
          <w:color w:val="000000"/>
          <w:sz w:val="22"/>
          <w:szCs w:val="22"/>
          <w:u w:val="single"/>
          <w:lang w:val="sr-Latn-ME"/>
        </w:rPr>
      </w:pPr>
    </w:p>
    <w:p w14:paraId="7D592BCC" w14:textId="77777777" w:rsidR="000C7302" w:rsidRPr="005436C8" w:rsidRDefault="000C7302" w:rsidP="005436C8">
      <w:pPr>
        <w:keepNext/>
        <w:keepLines/>
        <w:tabs>
          <w:tab w:val="left" w:pos="284"/>
        </w:tabs>
        <w:jc w:val="both"/>
        <w:rPr>
          <w:color w:val="000000"/>
          <w:sz w:val="22"/>
          <w:szCs w:val="22"/>
          <w:lang w:val="sr-Latn-ME"/>
        </w:rPr>
      </w:pPr>
      <w:r w:rsidRPr="005436C8">
        <w:rPr>
          <w:color w:val="000000"/>
          <w:sz w:val="22"/>
          <w:szCs w:val="22"/>
          <w:lang w:val="sr-Latn-ME"/>
        </w:rPr>
        <w:t xml:space="preserve">Metabolizam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nije direktno proučavan. Antit</w:t>
      </w:r>
      <w:r w:rsidR="00A53547" w:rsidRPr="005436C8">
        <w:rPr>
          <w:color w:val="000000"/>
          <w:sz w:val="22"/>
          <w:szCs w:val="22"/>
          <w:lang w:val="sr-Latn-ME"/>
        </w:rPr>
        <w:t>ij</w:t>
      </w:r>
      <w:r w:rsidRPr="005436C8">
        <w:rPr>
          <w:color w:val="000000"/>
          <w:sz w:val="22"/>
          <w:szCs w:val="22"/>
          <w:lang w:val="sr-Latn-ME"/>
        </w:rPr>
        <w:t xml:space="preserve">ela se uglavnom izbacuju katabolizmom. </w:t>
      </w:r>
    </w:p>
    <w:p w14:paraId="60F2264C" w14:textId="77777777" w:rsidR="000C7302" w:rsidRPr="005436C8" w:rsidRDefault="000C7302" w:rsidP="005436C8">
      <w:pPr>
        <w:keepNext/>
        <w:keepLines/>
        <w:tabs>
          <w:tab w:val="left" w:pos="284"/>
        </w:tabs>
        <w:jc w:val="both"/>
        <w:rPr>
          <w:color w:val="000000"/>
          <w:sz w:val="22"/>
          <w:szCs w:val="22"/>
          <w:lang w:val="sr-Latn-ME"/>
        </w:rPr>
      </w:pPr>
    </w:p>
    <w:p w14:paraId="44B40EBF" w14:textId="77777777" w:rsidR="000C7302" w:rsidRPr="005436C8" w:rsidRDefault="000C7302" w:rsidP="005436C8">
      <w:pPr>
        <w:keepNext/>
        <w:keepLines/>
        <w:numPr>
          <w:ilvl w:val="12"/>
          <w:numId w:val="0"/>
        </w:numPr>
        <w:tabs>
          <w:tab w:val="left" w:pos="284"/>
        </w:tabs>
        <w:ind w:right="-2"/>
        <w:jc w:val="both"/>
        <w:rPr>
          <w:color w:val="000000"/>
          <w:sz w:val="22"/>
          <w:szCs w:val="22"/>
          <w:u w:val="single"/>
          <w:lang w:val="sr-Latn-ME"/>
        </w:rPr>
      </w:pPr>
      <w:r w:rsidRPr="005436C8">
        <w:rPr>
          <w:color w:val="000000"/>
          <w:sz w:val="22"/>
          <w:szCs w:val="22"/>
          <w:u w:val="single"/>
          <w:lang w:val="sr-Latn-ME"/>
        </w:rPr>
        <w:t>Eliminacija</w:t>
      </w:r>
    </w:p>
    <w:p w14:paraId="4AA686C2" w14:textId="77777777" w:rsidR="000C7302" w:rsidRPr="005436C8" w:rsidRDefault="000C7302" w:rsidP="005436C8">
      <w:pPr>
        <w:keepNext/>
        <w:keepLines/>
        <w:numPr>
          <w:ilvl w:val="12"/>
          <w:numId w:val="0"/>
        </w:numPr>
        <w:tabs>
          <w:tab w:val="left" w:pos="284"/>
        </w:tabs>
        <w:ind w:right="-2"/>
        <w:jc w:val="both"/>
        <w:rPr>
          <w:color w:val="000000"/>
          <w:sz w:val="22"/>
          <w:szCs w:val="22"/>
          <w:u w:val="single"/>
          <w:lang w:val="sr-Latn-ME"/>
        </w:rPr>
      </w:pPr>
    </w:p>
    <w:p w14:paraId="718CA45A" w14:textId="77777777" w:rsidR="000C7302" w:rsidRPr="005436C8" w:rsidRDefault="000C7302" w:rsidP="005436C8">
      <w:pPr>
        <w:numPr>
          <w:ilvl w:val="12"/>
          <w:numId w:val="0"/>
        </w:numPr>
        <w:tabs>
          <w:tab w:val="left" w:pos="284"/>
        </w:tabs>
        <w:ind w:right="-2"/>
        <w:jc w:val="both"/>
        <w:rPr>
          <w:color w:val="000000"/>
          <w:sz w:val="22"/>
          <w:szCs w:val="22"/>
          <w:lang w:val="sr-Latn-ME"/>
        </w:rPr>
      </w:pPr>
      <w:r w:rsidRPr="005436C8">
        <w:rPr>
          <w:color w:val="000000"/>
          <w:sz w:val="22"/>
          <w:szCs w:val="22"/>
          <w:lang w:val="sr-Latn-ME"/>
        </w:rPr>
        <w:t xml:space="preserve">Na osnovu populacione farmakokinetičke analize, klirens pertuzumaba iz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iznosio je 0,163 l na dan, a polu</w:t>
      </w:r>
      <w:r w:rsidR="002700CC" w:rsidRPr="005436C8">
        <w:rPr>
          <w:color w:val="000000"/>
          <w:sz w:val="22"/>
          <w:szCs w:val="22"/>
          <w:lang w:val="sr-Latn-ME"/>
        </w:rPr>
        <w:t>vr</w:t>
      </w:r>
      <w:r w:rsidR="00AC3079" w:rsidRPr="005436C8">
        <w:rPr>
          <w:color w:val="000000"/>
          <w:sz w:val="22"/>
          <w:szCs w:val="22"/>
          <w:lang w:val="sr-Latn-ME"/>
        </w:rPr>
        <w:t>ij</w:t>
      </w:r>
      <w:r w:rsidR="002700CC" w:rsidRPr="005436C8">
        <w:rPr>
          <w:color w:val="000000"/>
          <w:sz w:val="22"/>
          <w:szCs w:val="22"/>
          <w:lang w:val="sr-Latn-ME"/>
        </w:rPr>
        <w:t>em</w:t>
      </w:r>
      <w:r w:rsidR="00A21698" w:rsidRPr="005436C8">
        <w:rPr>
          <w:color w:val="000000"/>
          <w:sz w:val="22"/>
          <w:szCs w:val="22"/>
          <w:lang w:val="sr-Latn-ME"/>
        </w:rPr>
        <w:t>e</w:t>
      </w:r>
      <w:r w:rsidRPr="005436C8">
        <w:rPr>
          <w:color w:val="000000"/>
          <w:sz w:val="22"/>
          <w:szCs w:val="22"/>
          <w:lang w:val="sr-Latn-ME"/>
        </w:rPr>
        <w:t xml:space="preserve"> eliminacije (t</w:t>
      </w:r>
      <w:r w:rsidRPr="005436C8">
        <w:rPr>
          <w:color w:val="000000"/>
          <w:sz w:val="22"/>
          <w:szCs w:val="22"/>
          <w:vertAlign w:val="subscript"/>
          <w:lang w:val="sr-Latn-ME"/>
        </w:rPr>
        <w:t>1/2</w:t>
      </w:r>
      <w:r w:rsidRPr="005436C8">
        <w:rPr>
          <w:color w:val="000000"/>
          <w:sz w:val="22"/>
          <w:szCs w:val="22"/>
          <w:lang w:val="sr-Latn-ME"/>
        </w:rPr>
        <w:t>) približno 24,3 dana.</w:t>
      </w:r>
    </w:p>
    <w:p w14:paraId="3B8A15C5" w14:textId="77777777" w:rsidR="000C7302" w:rsidRPr="005436C8" w:rsidRDefault="000C7302" w:rsidP="005436C8">
      <w:pPr>
        <w:numPr>
          <w:ilvl w:val="12"/>
          <w:numId w:val="0"/>
        </w:numPr>
        <w:tabs>
          <w:tab w:val="left" w:pos="284"/>
        </w:tabs>
        <w:ind w:right="-2"/>
        <w:jc w:val="both"/>
        <w:rPr>
          <w:color w:val="000000"/>
          <w:sz w:val="22"/>
          <w:szCs w:val="22"/>
          <w:lang w:val="sr-Latn-ME"/>
        </w:rPr>
      </w:pPr>
    </w:p>
    <w:p w14:paraId="3B71F0D2"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Na osnovu populacione farmakokinetičke analize, klirens trastuzumaba iz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iznosio je 0,111 l na dan. Proc</w:t>
      </w:r>
      <w:r w:rsidR="00A53547" w:rsidRPr="005436C8">
        <w:rPr>
          <w:color w:val="000000"/>
          <w:sz w:val="22"/>
          <w:szCs w:val="22"/>
          <w:lang w:val="sr-Latn-ME"/>
        </w:rPr>
        <w:t>j</w:t>
      </w:r>
      <w:r w:rsidRPr="005436C8">
        <w:rPr>
          <w:color w:val="000000"/>
          <w:sz w:val="22"/>
          <w:szCs w:val="22"/>
          <w:lang w:val="sr-Latn-ME"/>
        </w:rPr>
        <w:t xml:space="preserve">enjuje se da će koncentracije trastuzumaba dostići manje od 1 μg/ml (približno 3% </w:t>
      </w:r>
      <w:r w:rsidR="000A2EA9" w:rsidRPr="005436C8">
        <w:rPr>
          <w:color w:val="000000"/>
          <w:sz w:val="22"/>
          <w:szCs w:val="22"/>
          <w:lang w:val="sr-Latn-ME"/>
        </w:rPr>
        <w:t>vrijednost</w:t>
      </w:r>
      <w:r w:rsidRPr="005436C8">
        <w:rPr>
          <w:color w:val="000000"/>
          <w:sz w:val="22"/>
          <w:szCs w:val="22"/>
          <w:lang w:val="sr-Latn-ME"/>
        </w:rPr>
        <w:t>i C</w:t>
      </w:r>
      <w:r w:rsidRPr="005436C8">
        <w:rPr>
          <w:color w:val="000000"/>
          <w:sz w:val="22"/>
          <w:szCs w:val="22"/>
          <w:vertAlign w:val="subscript"/>
          <w:lang w:val="sr-Latn-ME"/>
        </w:rPr>
        <w:t>min,ss</w:t>
      </w:r>
      <w:r w:rsidRPr="005436C8">
        <w:rPr>
          <w:color w:val="000000"/>
          <w:sz w:val="22"/>
          <w:szCs w:val="22"/>
          <w:lang w:val="sr-Latn-ME"/>
        </w:rPr>
        <w:t xml:space="preserve">, predviđene za populaciju odnosno eliminaciju </w:t>
      </w:r>
      <w:r w:rsidR="00166973" w:rsidRPr="005436C8">
        <w:rPr>
          <w:color w:val="000000"/>
          <w:sz w:val="22"/>
          <w:szCs w:val="22"/>
          <w:lang w:val="sr-Latn-ME"/>
        </w:rPr>
        <w:t>lijek</w:t>
      </w:r>
      <w:r w:rsidRPr="005436C8">
        <w:rPr>
          <w:color w:val="000000"/>
          <w:sz w:val="22"/>
          <w:szCs w:val="22"/>
          <w:lang w:val="sr-Latn-ME"/>
        </w:rPr>
        <w:t xml:space="preserve">a iz organizma od približno 97%) u najmanje 95% pacijenata 7 </w:t>
      </w:r>
      <w:r w:rsidR="00FE754C" w:rsidRPr="005436C8">
        <w:rPr>
          <w:color w:val="000000"/>
          <w:sz w:val="22"/>
          <w:szCs w:val="22"/>
          <w:lang w:val="sr-Latn-ME"/>
        </w:rPr>
        <w:t>mjesec</w:t>
      </w:r>
      <w:r w:rsidRPr="005436C8">
        <w:rPr>
          <w:color w:val="000000"/>
          <w:sz w:val="22"/>
          <w:szCs w:val="22"/>
          <w:lang w:val="sr-Latn-ME"/>
        </w:rPr>
        <w:t>i nakon posl</w:t>
      </w:r>
      <w:r w:rsidR="00AC3079" w:rsidRPr="005436C8">
        <w:rPr>
          <w:color w:val="000000"/>
          <w:sz w:val="22"/>
          <w:szCs w:val="22"/>
          <w:lang w:val="sr-Latn-ME"/>
        </w:rPr>
        <w:t>j</w:t>
      </w:r>
      <w:r w:rsidRPr="005436C8">
        <w:rPr>
          <w:color w:val="000000"/>
          <w:sz w:val="22"/>
          <w:szCs w:val="22"/>
          <w:lang w:val="sr-Latn-ME"/>
        </w:rPr>
        <w:t>ednje doze.</w:t>
      </w:r>
    </w:p>
    <w:p w14:paraId="1D30825B" w14:textId="77777777" w:rsidR="000C7302" w:rsidRPr="005436C8" w:rsidRDefault="000C7302" w:rsidP="005436C8">
      <w:pPr>
        <w:tabs>
          <w:tab w:val="left" w:pos="284"/>
        </w:tabs>
        <w:jc w:val="both"/>
        <w:rPr>
          <w:color w:val="000000"/>
          <w:sz w:val="22"/>
          <w:szCs w:val="22"/>
          <w:lang w:val="sr-Latn-ME"/>
        </w:rPr>
      </w:pPr>
    </w:p>
    <w:p w14:paraId="69059D45" w14:textId="77777777" w:rsidR="000C7302" w:rsidRPr="005436C8" w:rsidRDefault="000C7302" w:rsidP="005436C8">
      <w:pPr>
        <w:keepNext/>
        <w:keepLines/>
        <w:tabs>
          <w:tab w:val="left" w:pos="284"/>
        </w:tabs>
        <w:jc w:val="both"/>
        <w:rPr>
          <w:iCs/>
          <w:noProof/>
          <w:color w:val="000000"/>
          <w:sz w:val="22"/>
          <w:szCs w:val="22"/>
          <w:u w:val="single"/>
          <w:lang w:val="sr-Latn-ME"/>
        </w:rPr>
      </w:pPr>
      <w:r w:rsidRPr="005436C8">
        <w:rPr>
          <w:noProof/>
          <w:color w:val="000000"/>
          <w:sz w:val="22"/>
          <w:szCs w:val="22"/>
          <w:u w:val="single"/>
          <w:lang w:val="sr-Latn-ME"/>
        </w:rPr>
        <w:t>Stariji pacijenti</w:t>
      </w:r>
    </w:p>
    <w:p w14:paraId="176F5375" w14:textId="77777777" w:rsidR="000C7302" w:rsidRPr="005436C8" w:rsidRDefault="000C7302" w:rsidP="005436C8">
      <w:pPr>
        <w:keepNext/>
        <w:keepLines/>
        <w:tabs>
          <w:tab w:val="left" w:pos="284"/>
        </w:tabs>
        <w:jc w:val="both"/>
        <w:rPr>
          <w:iCs/>
          <w:noProof/>
          <w:color w:val="000000"/>
          <w:sz w:val="22"/>
          <w:szCs w:val="22"/>
          <w:u w:val="single"/>
          <w:lang w:val="sr-Latn-ME"/>
        </w:rPr>
      </w:pPr>
    </w:p>
    <w:p w14:paraId="24E17EDB" w14:textId="77777777" w:rsidR="000C7302" w:rsidRPr="005436C8" w:rsidRDefault="000C7302" w:rsidP="005436C8">
      <w:pPr>
        <w:keepNext/>
        <w:keepLines/>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Nisu izvršene studije kojima bi se ispitala farmakokinetika </w:t>
      </w:r>
      <w:r w:rsidR="00166973" w:rsidRPr="005436C8">
        <w:rPr>
          <w:color w:val="000000"/>
          <w:sz w:val="22"/>
          <w:szCs w:val="22"/>
          <w:lang w:val="sr-Latn-ME"/>
        </w:rPr>
        <w:t>lijek</w:t>
      </w:r>
      <w:r w:rsidRPr="005436C8">
        <w:rPr>
          <w:color w:val="000000"/>
          <w:sz w:val="22"/>
          <w:szCs w:val="22"/>
          <w:lang w:val="sr-Latn-ME"/>
        </w:rPr>
        <w:t>a </w:t>
      </w:r>
      <w:r w:rsidRPr="005436C8">
        <w:rPr>
          <w:noProof/>
          <w:color w:val="000000"/>
          <w:sz w:val="22"/>
          <w:szCs w:val="22"/>
          <w:lang w:val="sr-Latn-ME"/>
        </w:rPr>
        <w:t>Phesgo</w:t>
      </w:r>
      <w:r w:rsidRPr="005436C8">
        <w:rPr>
          <w:color w:val="000000"/>
          <w:sz w:val="22"/>
          <w:szCs w:val="22"/>
          <w:lang w:val="sr-Latn-ME"/>
        </w:rPr>
        <w:t xml:space="preserve"> kod starijih pacijenata. </w:t>
      </w:r>
    </w:p>
    <w:p w14:paraId="79CC58BE"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2F757247" w14:textId="77777777" w:rsidR="000C7302" w:rsidRPr="005436C8" w:rsidRDefault="000C7302" w:rsidP="005436C8">
      <w:pPr>
        <w:tabs>
          <w:tab w:val="left" w:pos="284"/>
        </w:tabs>
        <w:jc w:val="both"/>
        <w:rPr>
          <w:rFonts w:eastAsia="SimSun"/>
          <w:color w:val="000000"/>
          <w:sz w:val="22"/>
          <w:szCs w:val="22"/>
          <w:lang w:val="sr-Latn-ME"/>
        </w:rPr>
      </w:pPr>
      <w:r w:rsidRPr="005436C8">
        <w:rPr>
          <w:color w:val="000000"/>
          <w:sz w:val="22"/>
          <w:szCs w:val="22"/>
          <w:lang w:val="sr-Latn-ME"/>
        </w:rPr>
        <w:t xml:space="preserve">U analizama populacione farmakokinetike pertuzumaba iz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 intravenskog pertuzumaba utvrđeno je da godine života ne utiču značajno na farmakokinetiku pertuzumaba.</w:t>
      </w:r>
    </w:p>
    <w:p w14:paraId="47ADCE02" w14:textId="77777777" w:rsidR="000C7302" w:rsidRPr="005436C8" w:rsidRDefault="000C7302" w:rsidP="005436C8">
      <w:pPr>
        <w:tabs>
          <w:tab w:val="left" w:pos="284"/>
        </w:tabs>
        <w:jc w:val="both"/>
        <w:rPr>
          <w:rFonts w:eastAsia="SimSun"/>
          <w:color w:val="000000"/>
          <w:sz w:val="22"/>
          <w:szCs w:val="22"/>
          <w:lang w:val="sr-Latn-ME"/>
        </w:rPr>
      </w:pPr>
    </w:p>
    <w:p w14:paraId="71C4EFC0" w14:textId="77777777" w:rsidR="000C7302" w:rsidRPr="005436C8" w:rsidRDefault="000C7302" w:rsidP="005436C8">
      <w:pPr>
        <w:tabs>
          <w:tab w:val="left" w:pos="284"/>
        </w:tabs>
        <w:jc w:val="both"/>
        <w:rPr>
          <w:rFonts w:eastAsia="SimSun"/>
          <w:color w:val="000000"/>
          <w:sz w:val="22"/>
          <w:szCs w:val="22"/>
          <w:lang w:val="sr-Latn-ME"/>
        </w:rPr>
      </w:pPr>
      <w:r w:rsidRPr="005436C8">
        <w:rPr>
          <w:rFonts w:eastAsia="SimSun"/>
          <w:color w:val="000000"/>
          <w:sz w:val="22"/>
          <w:szCs w:val="22"/>
          <w:lang w:val="sr-Latn-ME"/>
        </w:rPr>
        <w:t xml:space="preserve">U analizama populacione farmakokinetike trastuzumaba za </w:t>
      </w:r>
      <w:r w:rsidR="00115EBA" w:rsidRPr="005436C8">
        <w:rPr>
          <w:rFonts w:eastAsia="SimSun"/>
          <w:color w:val="000000"/>
          <w:sz w:val="22"/>
          <w:szCs w:val="22"/>
          <w:lang w:val="sr-Latn-ME"/>
        </w:rPr>
        <w:t>subkutan</w:t>
      </w:r>
      <w:r w:rsidRPr="005436C8">
        <w:rPr>
          <w:rFonts w:eastAsia="SimSun"/>
          <w:color w:val="000000"/>
          <w:sz w:val="22"/>
          <w:szCs w:val="22"/>
          <w:lang w:val="sr-Latn-ME"/>
        </w:rPr>
        <w:t xml:space="preserve">u ili intravensku </w:t>
      </w:r>
      <w:r w:rsidR="00097926" w:rsidRPr="005436C8">
        <w:rPr>
          <w:rFonts w:eastAsia="SimSun"/>
          <w:color w:val="000000"/>
          <w:sz w:val="22"/>
          <w:szCs w:val="22"/>
          <w:lang w:val="sr-Latn-ME"/>
        </w:rPr>
        <w:t>primjenu</w:t>
      </w:r>
      <w:r w:rsidRPr="005436C8">
        <w:rPr>
          <w:rFonts w:eastAsia="SimSun"/>
          <w:color w:val="000000"/>
          <w:sz w:val="22"/>
          <w:szCs w:val="22"/>
          <w:lang w:val="sr-Latn-ME"/>
        </w:rPr>
        <w:t xml:space="preserve"> utvrđeno je da godine života nemaju uticaja na raspoloživost trastuzumaba.</w:t>
      </w:r>
    </w:p>
    <w:p w14:paraId="2B2E8E77" w14:textId="77777777" w:rsidR="000C7302" w:rsidRPr="005436C8" w:rsidRDefault="000C7302" w:rsidP="005436C8">
      <w:pPr>
        <w:tabs>
          <w:tab w:val="left" w:pos="284"/>
        </w:tabs>
        <w:jc w:val="both"/>
        <w:rPr>
          <w:rFonts w:eastAsia="SimSun"/>
          <w:color w:val="000000"/>
          <w:sz w:val="22"/>
          <w:szCs w:val="22"/>
          <w:lang w:val="sr-Latn-ME"/>
        </w:rPr>
      </w:pPr>
    </w:p>
    <w:p w14:paraId="341C2C7E" w14:textId="77777777" w:rsidR="000C7302" w:rsidRPr="005436C8" w:rsidRDefault="000C7302" w:rsidP="005436C8">
      <w:pPr>
        <w:tabs>
          <w:tab w:val="left" w:pos="284"/>
        </w:tabs>
        <w:jc w:val="both"/>
        <w:rPr>
          <w:rFonts w:eastAsia="SimSun"/>
          <w:color w:val="000000"/>
          <w:sz w:val="22"/>
          <w:szCs w:val="22"/>
          <w:u w:val="single"/>
          <w:lang w:val="sr-Latn-ME"/>
        </w:rPr>
      </w:pPr>
      <w:r w:rsidRPr="005436C8">
        <w:rPr>
          <w:rFonts w:eastAsia="SimSun"/>
          <w:color w:val="000000"/>
          <w:sz w:val="22"/>
          <w:szCs w:val="22"/>
          <w:u w:val="single"/>
          <w:lang w:val="sr-Latn-ME"/>
        </w:rPr>
        <w:t>Oštećenje funkcije bubrega</w:t>
      </w:r>
    </w:p>
    <w:p w14:paraId="37E3BFA1" w14:textId="77777777" w:rsidR="000C7302" w:rsidRPr="005436C8" w:rsidRDefault="000C7302" w:rsidP="005436C8">
      <w:pPr>
        <w:tabs>
          <w:tab w:val="left" w:pos="284"/>
        </w:tabs>
        <w:jc w:val="both"/>
        <w:rPr>
          <w:rFonts w:eastAsia="SimSun"/>
          <w:color w:val="000000"/>
          <w:sz w:val="22"/>
          <w:szCs w:val="22"/>
          <w:u w:val="single"/>
          <w:lang w:val="sr-Latn-ME"/>
        </w:rPr>
      </w:pPr>
      <w:r w:rsidRPr="005436C8">
        <w:rPr>
          <w:rFonts w:eastAsia="SimSun"/>
          <w:color w:val="000000"/>
          <w:sz w:val="22"/>
          <w:szCs w:val="22"/>
          <w:u w:val="single"/>
          <w:lang w:val="sr-Latn-ME"/>
        </w:rPr>
        <w:t xml:space="preserve"> </w:t>
      </w:r>
    </w:p>
    <w:p w14:paraId="373B65DF"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Nisu izvršene studije kojima bi se ispitala farmakokinetika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kod pacijenata sa oštećenjem bubrega. </w:t>
      </w:r>
    </w:p>
    <w:p w14:paraId="7CBFE271"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685EFF5C"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Na osnovu populacionih farmakokinetičkih analiza pertuzumaba iz </w:t>
      </w:r>
      <w:r w:rsidR="00166973" w:rsidRPr="005436C8">
        <w:rPr>
          <w:color w:val="000000"/>
          <w:sz w:val="22"/>
          <w:szCs w:val="22"/>
          <w:lang w:val="sr-Latn-ME"/>
        </w:rPr>
        <w:t>lijek</w:t>
      </w:r>
      <w:r w:rsidRPr="005436C8">
        <w:rPr>
          <w:color w:val="000000"/>
          <w:sz w:val="22"/>
          <w:szCs w:val="22"/>
          <w:lang w:val="sr-Latn-ME"/>
        </w:rPr>
        <w:t xml:space="preserve">a </w:t>
      </w:r>
      <w:r w:rsidRPr="005436C8">
        <w:rPr>
          <w:noProof/>
          <w:color w:val="000000"/>
          <w:sz w:val="22"/>
          <w:szCs w:val="22"/>
          <w:lang w:val="sr-Latn-ME"/>
        </w:rPr>
        <w:t>Phesgo</w:t>
      </w:r>
      <w:r w:rsidRPr="005436C8">
        <w:rPr>
          <w:color w:val="000000"/>
          <w:sz w:val="22"/>
          <w:szCs w:val="22"/>
          <w:lang w:val="sr-Latn-ME"/>
        </w:rPr>
        <w:t xml:space="preserve"> i intravenskog pertuzumaba, utvrđeno je da oštećenje bubrežne funkcije ne utiče na izloženost pertuzumabu. Ipak, u populacione farmakokinetičke analize uključeni su samo ograničeni podaci o pacijentima sa teškim oštećenjem bubrežne funkcije.</w:t>
      </w:r>
    </w:p>
    <w:p w14:paraId="1F77656F" w14:textId="77777777" w:rsidR="000C7302" w:rsidRPr="005436C8" w:rsidRDefault="000C7302" w:rsidP="005436C8">
      <w:pPr>
        <w:tabs>
          <w:tab w:val="left" w:pos="284"/>
        </w:tabs>
        <w:jc w:val="both"/>
        <w:rPr>
          <w:iCs/>
          <w:noProof/>
          <w:color w:val="000000"/>
          <w:sz w:val="22"/>
          <w:szCs w:val="22"/>
          <w:u w:val="single"/>
          <w:lang w:val="sr-Latn-ME"/>
        </w:rPr>
      </w:pPr>
    </w:p>
    <w:p w14:paraId="427B1436" w14:textId="77777777" w:rsidR="000C7302" w:rsidRPr="005436C8" w:rsidRDefault="000C7302" w:rsidP="005436C8">
      <w:pPr>
        <w:tabs>
          <w:tab w:val="left" w:pos="284"/>
        </w:tabs>
        <w:autoSpaceDE w:val="0"/>
        <w:autoSpaceDN w:val="0"/>
        <w:adjustRightInd w:val="0"/>
        <w:jc w:val="both"/>
        <w:rPr>
          <w:color w:val="000000"/>
          <w:sz w:val="22"/>
          <w:szCs w:val="22"/>
          <w:lang w:val="sr-Latn-ME"/>
        </w:rPr>
      </w:pPr>
      <w:r w:rsidRPr="005436C8">
        <w:rPr>
          <w:color w:val="000000"/>
          <w:sz w:val="22"/>
          <w:szCs w:val="22"/>
          <w:lang w:val="sr-Latn-ME"/>
        </w:rPr>
        <w:t xml:space="preserve">U populacionoj farmakokinetičkoj analizi trastuzumaba za </w:t>
      </w:r>
      <w:r w:rsidR="00115EBA" w:rsidRPr="005436C8">
        <w:rPr>
          <w:color w:val="000000"/>
          <w:sz w:val="22"/>
          <w:szCs w:val="22"/>
          <w:lang w:val="sr-Latn-ME"/>
        </w:rPr>
        <w:t>subkutan</w:t>
      </w:r>
      <w:r w:rsidRPr="005436C8">
        <w:rPr>
          <w:color w:val="000000"/>
          <w:sz w:val="22"/>
          <w:szCs w:val="22"/>
          <w:lang w:val="sr-Latn-ME"/>
        </w:rPr>
        <w:t xml:space="preserve">u i intravensku </w:t>
      </w:r>
      <w:r w:rsidR="00097926" w:rsidRPr="005436C8">
        <w:rPr>
          <w:color w:val="000000"/>
          <w:sz w:val="22"/>
          <w:szCs w:val="22"/>
          <w:lang w:val="sr-Latn-ME"/>
        </w:rPr>
        <w:t>primjenu</w:t>
      </w:r>
      <w:r w:rsidRPr="005436C8">
        <w:rPr>
          <w:color w:val="000000"/>
          <w:sz w:val="22"/>
          <w:szCs w:val="22"/>
          <w:lang w:val="sr-Latn-ME"/>
        </w:rPr>
        <w:t>, nije pokazano da oštećenje funkcije bubrega utiče na raspoloživost trastuzumaba.</w:t>
      </w:r>
    </w:p>
    <w:p w14:paraId="06C34100" w14:textId="77777777" w:rsidR="000C7302" w:rsidRPr="005436C8" w:rsidRDefault="000C7302" w:rsidP="005436C8">
      <w:pPr>
        <w:tabs>
          <w:tab w:val="left" w:pos="284"/>
        </w:tabs>
        <w:autoSpaceDE w:val="0"/>
        <w:autoSpaceDN w:val="0"/>
        <w:adjustRightInd w:val="0"/>
        <w:jc w:val="both"/>
        <w:rPr>
          <w:color w:val="000000"/>
          <w:sz w:val="22"/>
          <w:szCs w:val="22"/>
          <w:lang w:val="sr-Latn-ME"/>
        </w:rPr>
      </w:pPr>
    </w:p>
    <w:p w14:paraId="0BA14743" w14:textId="77777777" w:rsidR="000C7302" w:rsidRPr="005436C8" w:rsidRDefault="000C7302" w:rsidP="005436C8">
      <w:pPr>
        <w:tabs>
          <w:tab w:val="left" w:pos="284"/>
        </w:tabs>
        <w:jc w:val="both"/>
        <w:rPr>
          <w:iCs/>
          <w:noProof/>
          <w:color w:val="000000"/>
          <w:sz w:val="22"/>
          <w:szCs w:val="22"/>
          <w:u w:val="single"/>
          <w:lang w:val="sr-Latn-ME"/>
        </w:rPr>
      </w:pPr>
      <w:r w:rsidRPr="005436C8">
        <w:rPr>
          <w:noProof/>
          <w:color w:val="000000"/>
          <w:sz w:val="22"/>
          <w:szCs w:val="22"/>
          <w:u w:val="single"/>
          <w:lang w:val="sr-Latn-ME"/>
        </w:rPr>
        <w:t>Oštećenje funkcije jetre</w:t>
      </w:r>
    </w:p>
    <w:p w14:paraId="453799E6" w14:textId="77777777" w:rsidR="000C7302" w:rsidRPr="005436C8" w:rsidRDefault="000C7302" w:rsidP="005436C8">
      <w:pPr>
        <w:tabs>
          <w:tab w:val="left" w:pos="284"/>
        </w:tabs>
        <w:jc w:val="both"/>
        <w:rPr>
          <w:iCs/>
          <w:noProof/>
          <w:color w:val="000000"/>
          <w:sz w:val="22"/>
          <w:szCs w:val="22"/>
          <w:u w:val="single"/>
          <w:lang w:val="sr-Latn-ME"/>
        </w:rPr>
      </w:pPr>
    </w:p>
    <w:p w14:paraId="0117EE1E" w14:textId="77777777" w:rsidR="000C7302" w:rsidRPr="005436C8" w:rsidRDefault="000C7302" w:rsidP="005436C8">
      <w:pPr>
        <w:numPr>
          <w:ilvl w:val="12"/>
          <w:numId w:val="0"/>
        </w:numPr>
        <w:tabs>
          <w:tab w:val="left" w:pos="284"/>
        </w:tabs>
        <w:ind w:right="-2"/>
        <w:jc w:val="both"/>
        <w:rPr>
          <w:color w:val="000000"/>
          <w:sz w:val="22"/>
          <w:szCs w:val="22"/>
          <w:lang w:val="sr-Latn-ME"/>
        </w:rPr>
      </w:pPr>
      <w:r w:rsidRPr="005436C8">
        <w:rPr>
          <w:noProof/>
          <w:color w:val="000000"/>
          <w:sz w:val="22"/>
          <w:szCs w:val="22"/>
          <w:lang w:val="sr-Latn-ME"/>
        </w:rPr>
        <w:t xml:space="preserve">Nije sprovedena formalna farmakokinetička studija kod pacijenata sa oštećenom funkcijom jetre. </w:t>
      </w:r>
      <w:r w:rsidRPr="005436C8">
        <w:rPr>
          <w:color w:val="000000"/>
          <w:sz w:val="22"/>
          <w:szCs w:val="22"/>
          <w:lang w:val="sr-Latn-ME"/>
        </w:rPr>
        <w:t xml:space="preserve">Na osnovu populacionih farmakokinetičkih analiza pertuzumaba iz </w:t>
      </w:r>
      <w:r w:rsidR="00166973" w:rsidRPr="005436C8">
        <w:rPr>
          <w:color w:val="000000"/>
          <w:sz w:val="22"/>
          <w:szCs w:val="22"/>
          <w:lang w:val="sr-Latn-ME"/>
        </w:rPr>
        <w:t>lijek</w:t>
      </w:r>
      <w:r w:rsidRPr="005436C8">
        <w:rPr>
          <w:color w:val="000000"/>
          <w:sz w:val="22"/>
          <w:szCs w:val="22"/>
          <w:lang w:val="sr-Latn-ME"/>
        </w:rPr>
        <w:t xml:space="preserve">a </w:t>
      </w:r>
      <w:r w:rsidRPr="005436C8">
        <w:rPr>
          <w:sz w:val="22"/>
          <w:szCs w:val="22"/>
          <w:lang w:val="sr-Latn-ME"/>
        </w:rPr>
        <w:t>Phesgo</w:t>
      </w:r>
      <w:r w:rsidRPr="005436C8">
        <w:rPr>
          <w:color w:val="000000"/>
          <w:sz w:val="22"/>
          <w:szCs w:val="22"/>
          <w:lang w:val="sr-Latn-ME"/>
        </w:rPr>
        <w:t>, utvrđeno je da blago oštećenje funkcije jetre ne utiče na izloženost pertuzumabu. Ipak, u populacione farmakokinetičke analize uključeni su samo ograničeni podaci o pacijentima sa blagim oštećenjem funkcije jetre.</w:t>
      </w:r>
      <w:r w:rsidRPr="005436C8">
        <w:rPr>
          <w:sz w:val="22"/>
          <w:szCs w:val="22"/>
          <w:lang w:val="sr-Latn-ME"/>
        </w:rPr>
        <w:t xml:space="preserve"> </w:t>
      </w:r>
      <w:r w:rsidRPr="005436C8">
        <w:rPr>
          <w:color w:val="000000"/>
          <w:sz w:val="22"/>
          <w:szCs w:val="22"/>
          <w:lang w:val="sr-Latn-ME"/>
        </w:rPr>
        <w:t xml:space="preserve">IgG1 </w:t>
      </w:r>
      <w:r w:rsidRPr="005436C8">
        <w:rPr>
          <w:color w:val="000000"/>
          <w:sz w:val="22"/>
          <w:szCs w:val="22"/>
          <w:lang w:val="sr-Latn-ME"/>
        </w:rPr>
        <w:lastRenderedPageBreak/>
        <w:t>mo</w:t>
      </w:r>
      <w:r w:rsidR="00166973" w:rsidRPr="005436C8">
        <w:rPr>
          <w:color w:val="000000"/>
          <w:sz w:val="22"/>
          <w:szCs w:val="22"/>
          <w:lang w:val="sr-Latn-ME"/>
        </w:rPr>
        <w:t>lek</w:t>
      </w:r>
      <w:r w:rsidRPr="005436C8">
        <w:rPr>
          <w:color w:val="000000"/>
          <w:sz w:val="22"/>
          <w:szCs w:val="22"/>
          <w:lang w:val="sr-Latn-ME"/>
        </w:rPr>
        <w:t>uli kao što su pertuzumab i trastuzumab katabolišu se posredstvom široko rasprostranjenih proteolitičkih enzima koji nisu ograničeni na tkivo jetre. Stoga je malo v</w:t>
      </w:r>
      <w:r w:rsidR="00A53547" w:rsidRPr="005436C8">
        <w:rPr>
          <w:color w:val="000000"/>
          <w:sz w:val="22"/>
          <w:szCs w:val="22"/>
          <w:lang w:val="sr-Latn-ME"/>
        </w:rPr>
        <w:t>j</w:t>
      </w:r>
      <w:r w:rsidRPr="005436C8">
        <w:rPr>
          <w:color w:val="000000"/>
          <w:sz w:val="22"/>
          <w:szCs w:val="22"/>
          <w:lang w:val="sr-Latn-ME"/>
        </w:rPr>
        <w:t>erovatno da će prom</w:t>
      </w:r>
      <w:r w:rsidR="00A53547" w:rsidRPr="005436C8">
        <w:rPr>
          <w:color w:val="000000"/>
          <w:sz w:val="22"/>
          <w:szCs w:val="22"/>
          <w:lang w:val="sr-Latn-ME"/>
        </w:rPr>
        <w:t>j</w:t>
      </w:r>
      <w:r w:rsidRPr="005436C8">
        <w:rPr>
          <w:color w:val="000000"/>
          <w:sz w:val="22"/>
          <w:szCs w:val="22"/>
          <w:lang w:val="sr-Latn-ME"/>
        </w:rPr>
        <w:t>ene u funkciji jetre uticati na eliminaciju pertuzumaba i trastuzumaba.</w:t>
      </w:r>
    </w:p>
    <w:p w14:paraId="0E16950C" w14:textId="77777777" w:rsidR="000C7302" w:rsidRPr="005436C8" w:rsidRDefault="000C7302" w:rsidP="005436C8">
      <w:pPr>
        <w:tabs>
          <w:tab w:val="left" w:pos="540"/>
          <w:tab w:val="left" w:pos="569"/>
        </w:tabs>
        <w:rPr>
          <w:b/>
          <w:bCs/>
          <w:sz w:val="22"/>
          <w:szCs w:val="22"/>
          <w:lang w:val="sr-Latn-ME"/>
        </w:rPr>
      </w:pPr>
    </w:p>
    <w:p w14:paraId="13609DEB"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5.3. </w:t>
      </w:r>
      <w:r w:rsidR="00480FB1" w:rsidRPr="005436C8">
        <w:rPr>
          <w:b/>
          <w:bCs/>
          <w:sz w:val="22"/>
          <w:szCs w:val="22"/>
          <w:lang w:val="sr-Latn-ME"/>
        </w:rPr>
        <w:tab/>
      </w:r>
      <w:r w:rsidRPr="005436C8">
        <w:rPr>
          <w:b/>
          <w:bCs/>
          <w:sz w:val="22"/>
          <w:szCs w:val="22"/>
          <w:lang w:val="sr-Latn-ME"/>
        </w:rPr>
        <w:t xml:space="preserve">Pretklinički podaci o bezbjednosti </w:t>
      </w:r>
    </w:p>
    <w:p w14:paraId="7C96F3F5" w14:textId="77777777" w:rsidR="00836B35" w:rsidRPr="005436C8" w:rsidRDefault="00836B35" w:rsidP="005436C8">
      <w:pPr>
        <w:tabs>
          <w:tab w:val="left" w:pos="540"/>
          <w:tab w:val="left" w:pos="569"/>
        </w:tabs>
        <w:rPr>
          <w:bCs/>
          <w:sz w:val="22"/>
          <w:szCs w:val="22"/>
          <w:lang w:val="sr-Latn-ME"/>
        </w:rPr>
      </w:pPr>
    </w:p>
    <w:p w14:paraId="4619ED4F" w14:textId="77777777" w:rsidR="000C7302" w:rsidRPr="005436C8" w:rsidRDefault="000C7302" w:rsidP="005436C8">
      <w:pPr>
        <w:keepNext/>
        <w:keepLines/>
        <w:tabs>
          <w:tab w:val="left" w:pos="284"/>
        </w:tabs>
        <w:jc w:val="both"/>
        <w:rPr>
          <w:sz w:val="22"/>
          <w:szCs w:val="22"/>
          <w:lang w:val="sr-Latn-ME"/>
        </w:rPr>
      </w:pPr>
      <w:r w:rsidRPr="005436C8">
        <w:rPr>
          <w:sz w:val="22"/>
          <w:szCs w:val="22"/>
          <w:lang w:val="sr-Latn-ME"/>
        </w:rPr>
        <w:t xml:space="preserve">Nisu sprovedena posebne studije sa kombinacijom pertuzumaba, trastuzumaba i vorhijaluronidaze alfa za </w:t>
      </w:r>
      <w:r w:rsidR="00115EBA" w:rsidRPr="005436C8">
        <w:rPr>
          <w:sz w:val="22"/>
          <w:szCs w:val="22"/>
          <w:lang w:val="sr-Latn-ME"/>
        </w:rPr>
        <w:t>subkutan</w:t>
      </w:r>
      <w:r w:rsidRPr="005436C8">
        <w:rPr>
          <w:sz w:val="22"/>
          <w:szCs w:val="22"/>
          <w:lang w:val="sr-Latn-ME"/>
        </w:rPr>
        <w:t xml:space="preserve">u </w:t>
      </w:r>
      <w:r w:rsidR="00097926" w:rsidRPr="005436C8">
        <w:rPr>
          <w:sz w:val="22"/>
          <w:szCs w:val="22"/>
          <w:lang w:val="sr-Latn-ME"/>
        </w:rPr>
        <w:t>primjenu</w:t>
      </w:r>
      <w:r w:rsidRPr="005436C8">
        <w:rPr>
          <w:sz w:val="22"/>
          <w:szCs w:val="22"/>
          <w:lang w:val="sr-Latn-ME"/>
        </w:rPr>
        <w:t>.</w:t>
      </w:r>
    </w:p>
    <w:p w14:paraId="6BB1D620" w14:textId="77777777" w:rsidR="000C7302" w:rsidRPr="005436C8" w:rsidRDefault="000C7302" w:rsidP="005436C8">
      <w:pPr>
        <w:tabs>
          <w:tab w:val="left" w:pos="284"/>
        </w:tabs>
        <w:jc w:val="both"/>
        <w:rPr>
          <w:sz w:val="22"/>
          <w:szCs w:val="22"/>
          <w:lang w:val="sr-Latn-ME"/>
        </w:rPr>
      </w:pPr>
    </w:p>
    <w:p w14:paraId="20706F15" w14:textId="77777777" w:rsidR="000C7302" w:rsidRPr="005436C8" w:rsidRDefault="000C7302" w:rsidP="005436C8">
      <w:pPr>
        <w:tabs>
          <w:tab w:val="left" w:pos="284"/>
        </w:tabs>
        <w:jc w:val="both"/>
        <w:rPr>
          <w:color w:val="000000"/>
          <w:sz w:val="22"/>
          <w:szCs w:val="22"/>
          <w:u w:val="single"/>
          <w:lang w:val="sr-Latn-ME"/>
        </w:rPr>
      </w:pPr>
      <w:r w:rsidRPr="005436C8">
        <w:rPr>
          <w:color w:val="000000"/>
          <w:sz w:val="22"/>
          <w:szCs w:val="22"/>
          <w:u w:val="single"/>
          <w:lang w:val="sr-Latn-ME"/>
        </w:rPr>
        <w:t xml:space="preserve">Pertuzumab </w:t>
      </w:r>
    </w:p>
    <w:p w14:paraId="14622A02" w14:textId="77777777" w:rsidR="000C7302" w:rsidRPr="005436C8" w:rsidRDefault="000C7302" w:rsidP="005436C8">
      <w:pPr>
        <w:tabs>
          <w:tab w:val="left" w:pos="284"/>
        </w:tabs>
        <w:jc w:val="both"/>
        <w:rPr>
          <w:color w:val="000000"/>
          <w:sz w:val="22"/>
          <w:szCs w:val="22"/>
          <w:lang w:val="sr-Latn-ME"/>
        </w:rPr>
      </w:pPr>
    </w:p>
    <w:p w14:paraId="14F25D1B"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Nisu sprovedena posebna ispitivanja na životinjama kojima bi se oc</w:t>
      </w:r>
      <w:r w:rsidR="005818DF" w:rsidRPr="005436C8">
        <w:rPr>
          <w:color w:val="000000"/>
          <w:sz w:val="22"/>
          <w:szCs w:val="22"/>
          <w:lang w:val="sr-Latn-ME"/>
        </w:rPr>
        <w:t>i</w:t>
      </w:r>
      <w:r w:rsidR="00A53547" w:rsidRPr="005436C8">
        <w:rPr>
          <w:color w:val="000000"/>
          <w:sz w:val="22"/>
          <w:szCs w:val="22"/>
          <w:lang w:val="sr-Latn-ME"/>
        </w:rPr>
        <w:t>j</w:t>
      </w:r>
      <w:r w:rsidRPr="005436C8">
        <w:rPr>
          <w:color w:val="000000"/>
          <w:sz w:val="22"/>
          <w:szCs w:val="22"/>
          <w:lang w:val="sr-Latn-ME"/>
        </w:rPr>
        <w:t>enilo dejstvo pertuzumaba. Iz ispitivanja toksičnosti ponovljenih doza izvršenih na makaki majmunima ne mogu se don</w:t>
      </w:r>
      <w:r w:rsidR="00A53547" w:rsidRPr="005436C8">
        <w:rPr>
          <w:color w:val="000000"/>
          <w:sz w:val="22"/>
          <w:szCs w:val="22"/>
          <w:lang w:val="sr-Latn-ME"/>
        </w:rPr>
        <w:t>ij</w:t>
      </w:r>
      <w:r w:rsidRPr="005436C8">
        <w:rPr>
          <w:color w:val="000000"/>
          <w:sz w:val="22"/>
          <w:szCs w:val="22"/>
          <w:lang w:val="sr-Latn-ME"/>
        </w:rPr>
        <w:t xml:space="preserve">eti konačni zaključci o štetnim dejstvima na muške reproduktivne organe. </w:t>
      </w:r>
    </w:p>
    <w:p w14:paraId="30EA8823" w14:textId="77777777" w:rsidR="000C7302" w:rsidRPr="005436C8" w:rsidRDefault="000C7302" w:rsidP="005436C8">
      <w:pPr>
        <w:tabs>
          <w:tab w:val="left" w:pos="284"/>
        </w:tabs>
        <w:jc w:val="both"/>
        <w:rPr>
          <w:color w:val="000000"/>
          <w:sz w:val="22"/>
          <w:szCs w:val="22"/>
          <w:lang w:val="sr-Latn-ME"/>
        </w:rPr>
      </w:pPr>
    </w:p>
    <w:p w14:paraId="30756A74"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Studije reproduktivne toksičnosti izvršene su na skotnim ženkama makaki majmuna (od 19. do 50. dana gestacije), uz početne doze od 30 do 150 mg/kg, nakon kojih su se prim</w:t>
      </w:r>
      <w:r w:rsidR="005818DF" w:rsidRPr="005436C8">
        <w:rPr>
          <w:color w:val="000000"/>
          <w:sz w:val="22"/>
          <w:szCs w:val="22"/>
          <w:lang w:val="sr-Latn-ME"/>
        </w:rPr>
        <w:t>j</w:t>
      </w:r>
      <w:r w:rsidRPr="005436C8">
        <w:rPr>
          <w:color w:val="000000"/>
          <w:sz w:val="22"/>
          <w:szCs w:val="22"/>
          <w:lang w:val="sr-Latn-ME"/>
        </w:rPr>
        <w:t>enjivale doze od 10 do 100 mg/kg svake dv</w:t>
      </w:r>
      <w:r w:rsidR="005818DF" w:rsidRPr="005436C8">
        <w:rPr>
          <w:color w:val="000000"/>
          <w:sz w:val="22"/>
          <w:szCs w:val="22"/>
          <w:lang w:val="sr-Latn-ME"/>
        </w:rPr>
        <w:t>ij</w:t>
      </w:r>
      <w:r w:rsidRPr="005436C8">
        <w:rPr>
          <w:color w:val="000000"/>
          <w:sz w:val="22"/>
          <w:szCs w:val="22"/>
          <w:lang w:val="sr-Latn-ME"/>
        </w:rPr>
        <w:t>e ned</w:t>
      </w:r>
      <w:r w:rsidR="005818DF" w:rsidRPr="005436C8">
        <w:rPr>
          <w:color w:val="000000"/>
          <w:sz w:val="22"/>
          <w:szCs w:val="22"/>
          <w:lang w:val="sr-Latn-ME"/>
        </w:rPr>
        <w:t>j</w:t>
      </w:r>
      <w:r w:rsidRPr="005436C8">
        <w:rPr>
          <w:color w:val="000000"/>
          <w:sz w:val="22"/>
          <w:szCs w:val="22"/>
          <w:lang w:val="sr-Latn-ME"/>
        </w:rPr>
        <w:t xml:space="preserve">elje. Ti nivoi doza su doveli do klinički značajnih izloženosti koje su bile 2,5 do 20 puta veće od onih koje se postižu </w:t>
      </w:r>
      <w:r w:rsidR="00FF329E" w:rsidRPr="005436C8">
        <w:rPr>
          <w:color w:val="000000"/>
          <w:sz w:val="22"/>
          <w:szCs w:val="22"/>
          <w:lang w:val="sr-Latn-ME"/>
        </w:rPr>
        <w:t>primjenom</w:t>
      </w:r>
      <w:r w:rsidRPr="005436C8">
        <w:rPr>
          <w:color w:val="000000"/>
          <w:sz w:val="22"/>
          <w:szCs w:val="22"/>
          <w:lang w:val="sr-Latn-ME"/>
        </w:rPr>
        <w:t xml:space="preserve"> preporučene </w:t>
      </w:r>
      <w:r w:rsidR="00115EBA" w:rsidRPr="005436C8">
        <w:rPr>
          <w:color w:val="000000"/>
          <w:sz w:val="22"/>
          <w:szCs w:val="22"/>
          <w:lang w:val="sr-Latn-ME"/>
        </w:rPr>
        <w:t>subkutan</w:t>
      </w:r>
      <w:r w:rsidRPr="005436C8">
        <w:rPr>
          <w:color w:val="000000"/>
          <w:sz w:val="22"/>
          <w:szCs w:val="22"/>
          <w:lang w:val="sr-Latn-ME"/>
        </w:rPr>
        <w:t xml:space="preserve">e doze kod ljudi, na osnovu </w:t>
      </w:r>
      <w:r w:rsidR="000A2EA9" w:rsidRPr="005436C8">
        <w:rPr>
          <w:color w:val="000000"/>
          <w:sz w:val="22"/>
          <w:szCs w:val="22"/>
          <w:lang w:val="sr-Latn-ME"/>
        </w:rPr>
        <w:t>vrijednost</w:t>
      </w:r>
      <w:r w:rsidRPr="005436C8">
        <w:rPr>
          <w:color w:val="000000"/>
          <w:sz w:val="22"/>
          <w:szCs w:val="22"/>
          <w:lang w:val="sr-Latn-ME"/>
        </w:rPr>
        <w:t>i C</w:t>
      </w:r>
      <w:r w:rsidRPr="005436C8">
        <w:rPr>
          <w:color w:val="000000"/>
          <w:sz w:val="22"/>
          <w:szCs w:val="22"/>
          <w:vertAlign w:val="subscript"/>
          <w:lang w:val="sr-Latn-ME"/>
        </w:rPr>
        <w:t>max</w:t>
      </w:r>
      <w:r w:rsidRPr="005436C8">
        <w:rPr>
          <w:color w:val="000000"/>
          <w:sz w:val="22"/>
          <w:szCs w:val="22"/>
          <w:lang w:val="sr-Latn-ME"/>
        </w:rPr>
        <w:t xml:space="preserve">. Intravenska </w:t>
      </w:r>
      <w:r w:rsidR="00A21698" w:rsidRPr="005436C8">
        <w:rPr>
          <w:color w:val="000000"/>
          <w:sz w:val="22"/>
          <w:szCs w:val="22"/>
          <w:lang w:val="sr-Latn-ME"/>
        </w:rPr>
        <w:t>primjena</w:t>
      </w:r>
      <w:r w:rsidRPr="005436C8">
        <w:rPr>
          <w:color w:val="000000"/>
          <w:sz w:val="22"/>
          <w:szCs w:val="22"/>
          <w:lang w:val="sr-Latn-ME"/>
        </w:rPr>
        <w:t xml:space="preserve"> pertuzumaba od 19. do 50. dana gestacije (period organogeneze) bila je embriotoksična, sa povećanim brojem smrti embriona i fetusa između 25. i 70. dana. Incidenca gubitka embriona/fetusa kod skotnih ženki majmuna </w:t>
      </w:r>
      <w:r w:rsidR="00097926" w:rsidRPr="005436C8">
        <w:rPr>
          <w:color w:val="000000"/>
          <w:sz w:val="22"/>
          <w:szCs w:val="22"/>
          <w:lang w:val="sr-Latn-ME"/>
        </w:rPr>
        <w:t>liječeni</w:t>
      </w:r>
      <w:r w:rsidRPr="005436C8">
        <w:rPr>
          <w:color w:val="000000"/>
          <w:sz w:val="22"/>
          <w:szCs w:val="22"/>
          <w:lang w:val="sr-Latn-ME"/>
        </w:rPr>
        <w:t>h pertuzumabom iznosila je 33% uz dozu od 10 mg/kg, 50% uz dozu od 30 mg/kg i 85% uz dozu od 100 mg/kg svake 2 ned</w:t>
      </w:r>
      <w:r w:rsidR="005818DF" w:rsidRPr="005436C8">
        <w:rPr>
          <w:color w:val="000000"/>
          <w:sz w:val="22"/>
          <w:szCs w:val="22"/>
          <w:lang w:val="sr-Latn-ME"/>
        </w:rPr>
        <w:t>j</w:t>
      </w:r>
      <w:r w:rsidRPr="005436C8">
        <w:rPr>
          <w:color w:val="000000"/>
          <w:sz w:val="22"/>
          <w:szCs w:val="22"/>
          <w:lang w:val="sr-Latn-ME"/>
        </w:rPr>
        <w:t xml:space="preserve">elje (što je 4–35 puta više od preporučene doze za ljude na osnovu </w:t>
      </w:r>
      <w:r w:rsidR="000A2EA9" w:rsidRPr="005436C8">
        <w:rPr>
          <w:color w:val="000000"/>
          <w:sz w:val="22"/>
          <w:szCs w:val="22"/>
          <w:lang w:val="sr-Latn-ME"/>
        </w:rPr>
        <w:t>vrijednost</w:t>
      </w:r>
      <w:r w:rsidRPr="005436C8">
        <w:rPr>
          <w:color w:val="000000"/>
          <w:sz w:val="22"/>
          <w:szCs w:val="22"/>
          <w:lang w:val="sr-Latn-ME"/>
        </w:rPr>
        <w:t>i C</w:t>
      </w:r>
      <w:r w:rsidRPr="005436C8">
        <w:rPr>
          <w:color w:val="000000"/>
          <w:sz w:val="22"/>
          <w:szCs w:val="22"/>
          <w:vertAlign w:val="subscript"/>
          <w:lang w:val="sr-Latn-ME"/>
        </w:rPr>
        <w:t>max</w:t>
      </w:r>
      <w:r w:rsidRPr="005436C8">
        <w:rPr>
          <w:color w:val="000000"/>
          <w:sz w:val="22"/>
          <w:szCs w:val="22"/>
          <w:lang w:val="sr-Latn-ME"/>
        </w:rPr>
        <w:t xml:space="preserve">). Nakon carskog reza izvršenog 100. dana gestacije u svim grupama koje su primale različite doze pertuzumaba </w:t>
      </w:r>
      <w:r w:rsidR="00FE754C" w:rsidRPr="005436C8">
        <w:rPr>
          <w:color w:val="000000"/>
          <w:sz w:val="22"/>
          <w:szCs w:val="22"/>
          <w:lang w:val="sr-Latn-ME"/>
        </w:rPr>
        <w:t>zabilježen</w:t>
      </w:r>
      <w:r w:rsidRPr="005436C8">
        <w:rPr>
          <w:color w:val="000000"/>
          <w:sz w:val="22"/>
          <w:szCs w:val="22"/>
          <w:lang w:val="sr-Latn-ME"/>
        </w:rPr>
        <w:t>i su oligohidramnion, smanjena relativna težina pluća i bubrega i mikroskopski znaci hipoplazije bubrega koji odgovaraju zastoju u razvoju bubrega. Pored toga, u skladu sa ograničenim rastom ploda kao posl</w:t>
      </w:r>
      <w:r w:rsidR="005818DF" w:rsidRPr="005436C8">
        <w:rPr>
          <w:color w:val="000000"/>
          <w:sz w:val="22"/>
          <w:szCs w:val="22"/>
          <w:lang w:val="sr-Latn-ME"/>
        </w:rPr>
        <w:t>j</w:t>
      </w:r>
      <w:r w:rsidRPr="005436C8">
        <w:rPr>
          <w:color w:val="000000"/>
          <w:sz w:val="22"/>
          <w:szCs w:val="22"/>
          <w:lang w:val="sr-Latn-ME"/>
        </w:rPr>
        <w:t>edice oligohidramniona, zab</w:t>
      </w:r>
      <w:r w:rsidR="00A53547" w:rsidRPr="005436C8">
        <w:rPr>
          <w:color w:val="000000"/>
          <w:sz w:val="22"/>
          <w:szCs w:val="22"/>
          <w:lang w:val="sr-Latn-ME"/>
        </w:rPr>
        <w:t>i</w:t>
      </w:r>
      <w:r w:rsidRPr="005436C8">
        <w:rPr>
          <w:color w:val="000000"/>
          <w:sz w:val="22"/>
          <w:szCs w:val="22"/>
          <w:lang w:val="sr-Latn-ME"/>
        </w:rPr>
        <w:t>l</w:t>
      </w:r>
      <w:r w:rsidR="00A53547" w:rsidRPr="005436C8">
        <w:rPr>
          <w:color w:val="000000"/>
          <w:sz w:val="22"/>
          <w:szCs w:val="22"/>
          <w:lang w:val="sr-Latn-ME"/>
        </w:rPr>
        <w:t>j</w:t>
      </w:r>
      <w:r w:rsidRPr="005436C8">
        <w:rPr>
          <w:color w:val="000000"/>
          <w:sz w:val="22"/>
          <w:szCs w:val="22"/>
          <w:lang w:val="sr-Latn-ME"/>
        </w:rPr>
        <w:t>eženi su i hipoplazija pluća (1 od 6 u grupi koja je primala dozu od 30 mg/kg i 1 od 2 u grupi koja je primala dozu od 100 mg/kg), defekti ventrikularnog septuma (1 od 6 u grupi koja je primala dozu od 30 mg/kg), tanki ventrikularni zid (1 od 2 u grupi koja je primala dozu od 100 mg/kg) i manji defekti skeleta (eksterni, 3 od 6 u grupi koja je primala dozu od 30 mg/kg). Izloženost pertuzumabu zab</w:t>
      </w:r>
      <w:r w:rsidR="00A53547" w:rsidRPr="005436C8">
        <w:rPr>
          <w:color w:val="000000"/>
          <w:sz w:val="22"/>
          <w:szCs w:val="22"/>
          <w:lang w:val="sr-Latn-ME"/>
        </w:rPr>
        <w:t>i</w:t>
      </w:r>
      <w:r w:rsidRPr="005436C8">
        <w:rPr>
          <w:color w:val="000000"/>
          <w:sz w:val="22"/>
          <w:szCs w:val="22"/>
          <w:lang w:val="sr-Latn-ME"/>
        </w:rPr>
        <w:t>l</w:t>
      </w:r>
      <w:r w:rsidR="00A53547" w:rsidRPr="005436C8">
        <w:rPr>
          <w:color w:val="000000"/>
          <w:sz w:val="22"/>
          <w:szCs w:val="22"/>
          <w:lang w:val="sr-Latn-ME"/>
        </w:rPr>
        <w:t>j</w:t>
      </w:r>
      <w:r w:rsidRPr="005436C8">
        <w:rPr>
          <w:color w:val="000000"/>
          <w:sz w:val="22"/>
          <w:szCs w:val="22"/>
          <w:lang w:val="sr-Latn-ME"/>
        </w:rPr>
        <w:t xml:space="preserve">ežena je kod mladunaca iz svih ispitivanih grupa, na nivoima od 29% do 40% koncentracije </w:t>
      </w:r>
      <w:r w:rsidR="00166973" w:rsidRPr="005436C8">
        <w:rPr>
          <w:color w:val="000000"/>
          <w:sz w:val="22"/>
          <w:szCs w:val="22"/>
          <w:lang w:val="sr-Latn-ME"/>
        </w:rPr>
        <w:t>lijek</w:t>
      </w:r>
      <w:r w:rsidRPr="005436C8">
        <w:rPr>
          <w:color w:val="000000"/>
          <w:sz w:val="22"/>
          <w:szCs w:val="22"/>
          <w:lang w:val="sr-Latn-ME"/>
        </w:rPr>
        <w:t xml:space="preserve">a u serumu majke na 100. dan gestacije. </w:t>
      </w:r>
    </w:p>
    <w:p w14:paraId="23819F69" w14:textId="77777777" w:rsidR="000C7302" w:rsidRPr="005436C8" w:rsidRDefault="000C7302" w:rsidP="005436C8">
      <w:pPr>
        <w:tabs>
          <w:tab w:val="left" w:pos="284"/>
        </w:tabs>
        <w:jc w:val="both"/>
        <w:rPr>
          <w:color w:val="000000"/>
          <w:sz w:val="22"/>
          <w:szCs w:val="22"/>
          <w:lang w:val="sr-Latn-ME"/>
        </w:rPr>
      </w:pPr>
    </w:p>
    <w:p w14:paraId="3ECD4C9F" w14:textId="77777777" w:rsidR="000C7302" w:rsidRPr="005436C8" w:rsidRDefault="000C7302" w:rsidP="005436C8">
      <w:pPr>
        <w:tabs>
          <w:tab w:val="left" w:pos="284"/>
        </w:tabs>
        <w:jc w:val="both"/>
        <w:rPr>
          <w:sz w:val="22"/>
          <w:szCs w:val="22"/>
          <w:lang w:val="sr-Latn-ME"/>
        </w:rPr>
      </w:pPr>
      <w:r w:rsidRPr="005436C8">
        <w:rPr>
          <w:sz w:val="22"/>
          <w:szCs w:val="22"/>
          <w:lang w:val="sr-Latn-ME"/>
        </w:rPr>
        <w:t>Makaki majmuni (vrste sa odgovarajućim vezivanjem antit</w:t>
      </w:r>
      <w:r w:rsidR="005818DF" w:rsidRPr="005436C8">
        <w:rPr>
          <w:sz w:val="22"/>
          <w:szCs w:val="22"/>
          <w:lang w:val="sr-Latn-ME"/>
        </w:rPr>
        <w:t>ij</w:t>
      </w:r>
      <w:r w:rsidRPr="005436C8">
        <w:rPr>
          <w:sz w:val="22"/>
          <w:szCs w:val="22"/>
          <w:lang w:val="sr-Latn-ME"/>
        </w:rPr>
        <w:t xml:space="preserve">ela) dobro su podnosili </w:t>
      </w:r>
      <w:r w:rsidR="00115EBA" w:rsidRPr="005436C8">
        <w:rPr>
          <w:sz w:val="22"/>
          <w:szCs w:val="22"/>
          <w:lang w:val="sr-Latn-ME"/>
        </w:rPr>
        <w:t>subkutan</w:t>
      </w:r>
      <w:r w:rsidRPr="005436C8">
        <w:rPr>
          <w:sz w:val="22"/>
          <w:szCs w:val="22"/>
          <w:lang w:val="sr-Latn-ME"/>
        </w:rPr>
        <w:t>i pertuzumab (250 mg/kg ned</w:t>
      </w:r>
      <w:r w:rsidR="005818DF" w:rsidRPr="005436C8">
        <w:rPr>
          <w:sz w:val="22"/>
          <w:szCs w:val="22"/>
          <w:lang w:val="sr-Latn-ME"/>
        </w:rPr>
        <w:t>j</w:t>
      </w:r>
      <w:r w:rsidRPr="005436C8">
        <w:rPr>
          <w:sz w:val="22"/>
          <w:szCs w:val="22"/>
          <w:lang w:val="sr-Latn-ME"/>
        </w:rPr>
        <w:t>eljno tokom 4 ned</w:t>
      </w:r>
      <w:r w:rsidR="005818DF" w:rsidRPr="005436C8">
        <w:rPr>
          <w:sz w:val="22"/>
          <w:szCs w:val="22"/>
          <w:lang w:val="sr-Latn-ME"/>
        </w:rPr>
        <w:t>j</w:t>
      </w:r>
      <w:r w:rsidRPr="005436C8">
        <w:rPr>
          <w:sz w:val="22"/>
          <w:szCs w:val="22"/>
          <w:lang w:val="sr-Latn-ME"/>
        </w:rPr>
        <w:t>elje) i intravenski pertuzumab (do 150 mg/kg ned</w:t>
      </w:r>
      <w:r w:rsidR="005818DF" w:rsidRPr="005436C8">
        <w:rPr>
          <w:sz w:val="22"/>
          <w:szCs w:val="22"/>
          <w:lang w:val="sr-Latn-ME"/>
        </w:rPr>
        <w:t>j</w:t>
      </w:r>
      <w:r w:rsidRPr="005436C8">
        <w:rPr>
          <w:sz w:val="22"/>
          <w:szCs w:val="22"/>
          <w:lang w:val="sr-Latn-ME"/>
        </w:rPr>
        <w:t xml:space="preserve">eljno tokom najviše 26 </w:t>
      </w:r>
      <w:r w:rsidR="00636A78" w:rsidRPr="005436C8">
        <w:rPr>
          <w:sz w:val="22"/>
          <w:szCs w:val="22"/>
          <w:lang w:val="sr-Latn-ME"/>
        </w:rPr>
        <w:t>nedjelja</w:t>
      </w:r>
      <w:r w:rsidRPr="005436C8">
        <w:rPr>
          <w:sz w:val="22"/>
          <w:szCs w:val="22"/>
          <w:lang w:val="sr-Latn-ME"/>
        </w:rPr>
        <w:t xml:space="preserve">), uz izuzetak pojave dijareje. Kod intravenske </w:t>
      </w:r>
      <w:r w:rsidR="00A21698" w:rsidRPr="005436C8">
        <w:rPr>
          <w:sz w:val="22"/>
          <w:szCs w:val="22"/>
          <w:lang w:val="sr-Latn-ME"/>
        </w:rPr>
        <w:t>primjene</w:t>
      </w:r>
      <w:r w:rsidRPr="005436C8">
        <w:rPr>
          <w:sz w:val="22"/>
          <w:szCs w:val="22"/>
          <w:lang w:val="sr-Latn-ME"/>
        </w:rPr>
        <w:t xml:space="preserve"> pertuzumaba u dozama od 15 mg/kg i višim</w:t>
      </w:r>
      <w:r w:rsidR="005818DF" w:rsidRPr="005436C8">
        <w:rPr>
          <w:sz w:val="22"/>
          <w:szCs w:val="22"/>
          <w:lang w:val="sr-Latn-ME"/>
        </w:rPr>
        <w:t>,</w:t>
      </w:r>
      <w:r w:rsidRPr="005436C8">
        <w:rPr>
          <w:sz w:val="22"/>
          <w:szCs w:val="22"/>
          <w:lang w:val="sr-Latn-ME"/>
        </w:rPr>
        <w:t xml:space="preserve"> </w:t>
      </w:r>
      <w:r w:rsidR="002700CC" w:rsidRPr="005436C8">
        <w:rPr>
          <w:sz w:val="22"/>
          <w:szCs w:val="22"/>
          <w:lang w:val="sr-Latn-ME"/>
        </w:rPr>
        <w:t>primijećen</w:t>
      </w:r>
      <w:r w:rsidRPr="005436C8">
        <w:rPr>
          <w:sz w:val="22"/>
          <w:szCs w:val="22"/>
          <w:lang w:val="sr-Latn-ME"/>
        </w:rPr>
        <w:t>a je po</w:t>
      </w:r>
      <w:r w:rsidR="002700CC" w:rsidRPr="005436C8">
        <w:rPr>
          <w:sz w:val="22"/>
          <w:szCs w:val="22"/>
          <w:lang w:val="sr-Latn-ME"/>
        </w:rPr>
        <w:t>vrem</w:t>
      </w:r>
      <w:r w:rsidR="00A21698" w:rsidRPr="005436C8">
        <w:rPr>
          <w:sz w:val="22"/>
          <w:szCs w:val="22"/>
          <w:lang w:val="sr-Latn-ME"/>
        </w:rPr>
        <w:t>e</w:t>
      </w:r>
      <w:r w:rsidRPr="005436C8">
        <w:rPr>
          <w:sz w:val="22"/>
          <w:szCs w:val="22"/>
          <w:lang w:val="sr-Latn-ME"/>
        </w:rPr>
        <w:t xml:space="preserve">na blaga dijareja povezana sa </w:t>
      </w:r>
      <w:r w:rsidR="00841D7D" w:rsidRPr="005436C8">
        <w:rPr>
          <w:sz w:val="22"/>
          <w:szCs w:val="22"/>
          <w:lang w:val="sr-Latn-ME"/>
        </w:rPr>
        <w:t>liječenje</w:t>
      </w:r>
      <w:r w:rsidRPr="005436C8">
        <w:rPr>
          <w:sz w:val="22"/>
          <w:szCs w:val="22"/>
          <w:lang w:val="sr-Latn-ME"/>
        </w:rPr>
        <w:t xml:space="preserve">m. U jednoj podgrupi majmuna, hronična </w:t>
      </w:r>
      <w:r w:rsidR="00A21698" w:rsidRPr="005436C8">
        <w:rPr>
          <w:sz w:val="22"/>
          <w:szCs w:val="22"/>
          <w:lang w:val="sr-Latn-ME"/>
        </w:rPr>
        <w:t>primjena</w:t>
      </w:r>
      <w:r w:rsidRPr="005436C8">
        <w:rPr>
          <w:sz w:val="22"/>
          <w:szCs w:val="22"/>
          <w:lang w:val="sr-Latn-ME"/>
        </w:rPr>
        <w:t xml:space="preserve"> (26 ned</w:t>
      </w:r>
      <w:r w:rsidR="005818DF" w:rsidRPr="005436C8">
        <w:rPr>
          <w:sz w:val="22"/>
          <w:szCs w:val="22"/>
          <w:lang w:val="sr-Latn-ME"/>
        </w:rPr>
        <w:t>j</w:t>
      </w:r>
      <w:r w:rsidRPr="005436C8">
        <w:rPr>
          <w:sz w:val="22"/>
          <w:szCs w:val="22"/>
          <w:lang w:val="sr-Latn-ME"/>
        </w:rPr>
        <w:t>eljnih doza) je dovela do epizoda teške sekretorne dijareje. Dijareja je otklonjena (osim u slučaju eutanazije jedne životinje koja je primala dozu od 50 mg/kg) suportivnom n</w:t>
      </w:r>
      <w:r w:rsidR="00A53547" w:rsidRPr="005436C8">
        <w:rPr>
          <w:sz w:val="22"/>
          <w:szCs w:val="22"/>
          <w:lang w:val="sr-Latn-ME"/>
        </w:rPr>
        <w:t>j</w:t>
      </w:r>
      <w:r w:rsidRPr="005436C8">
        <w:rPr>
          <w:sz w:val="22"/>
          <w:szCs w:val="22"/>
          <w:lang w:val="sr-Latn-ME"/>
        </w:rPr>
        <w:t>egom koja je uključivala intravensku nadoknadu tečnosti.</w:t>
      </w:r>
    </w:p>
    <w:p w14:paraId="6501428E" w14:textId="77777777" w:rsidR="000C7302" w:rsidRPr="005436C8" w:rsidRDefault="000C7302" w:rsidP="005436C8">
      <w:pPr>
        <w:tabs>
          <w:tab w:val="left" w:pos="284"/>
        </w:tabs>
        <w:jc w:val="both"/>
        <w:rPr>
          <w:sz w:val="22"/>
          <w:szCs w:val="22"/>
          <w:lang w:val="sr-Latn-ME"/>
        </w:rPr>
      </w:pPr>
    </w:p>
    <w:p w14:paraId="7C6336C5" w14:textId="77777777" w:rsidR="000C7302" w:rsidRPr="005436C8" w:rsidRDefault="000C7302" w:rsidP="005436C8">
      <w:pPr>
        <w:tabs>
          <w:tab w:val="left" w:pos="284"/>
        </w:tabs>
        <w:jc w:val="both"/>
        <w:rPr>
          <w:color w:val="000000"/>
          <w:sz w:val="22"/>
          <w:szCs w:val="22"/>
          <w:u w:val="single"/>
          <w:lang w:val="sr-Latn-ME"/>
        </w:rPr>
      </w:pPr>
      <w:r w:rsidRPr="005436C8">
        <w:rPr>
          <w:color w:val="000000"/>
          <w:sz w:val="22"/>
          <w:szCs w:val="22"/>
          <w:u w:val="single"/>
          <w:lang w:val="sr-Latn-ME"/>
        </w:rPr>
        <w:t xml:space="preserve">Trastuzumab </w:t>
      </w:r>
    </w:p>
    <w:p w14:paraId="05392712" w14:textId="77777777" w:rsidR="000C7302" w:rsidRPr="005436C8" w:rsidRDefault="000C7302" w:rsidP="005436C8">
      <w:pPr>
        <w:tabs>
          <w:tab w:val="left" w:pos="284"/>
        </w:tabs>
        <w:jc w:val="both"/>
        <w:rPr>
          <w:i/>
          <w:color w:val="000000"/>
          <w:sz w:val="22"/>
          <w:szCs w:val="22"/>
          <w:lang w:val="sr-Latn-ME"/>
        </w:rPr>
      </w:pPr>
    </w:p>
    <w:p w14:paraId="7C9C889F" w14:textId="77777777" w:rsidR="000C7302" w:rsidRPr="005436C8" w:rsidRDefault="000C7302" w:rsidP="005436C8">
      <w:pPr>
        <w:tabs>
          <w:tab w:val="left" w:pos="284"/>
        </w:tabs>
        <w:jc w:val="both"/>
        <w:rPr>
          <w:i/>
          <w:color w:val="000000"/>
          <w:sz w:val="22"/>
          <w:szCs w:val="22"/>
          <w:lang w:val="sr-Latn-ME"/>
        </w:rPr>
      </w:pPr>
      <w:r w:rsidRPr="005436C8">
        <w:rPr>
          <w:color w:val="000000"/>
          <w:sz w:val="22"/>
          <w:szCs w:val="22"/>
          <w:lang w:val="sr-Latn-ME"/>
        </w:rPr>
        <w:t xml:space="preserve">Sprovedena su ispitivanja reproduktivne toksičnosti na makaki majmunima kojima su intravenskim putem davane doze trastuzumaba do 16 puta veće od doze od 600 mg koju sadrži </w:t>
      </w:r>
      <w:r w:rsidR="00166973" w:rsidRPr="005436C8">
        <w:rPr>
          <w:color w:val="000000"/>
          <w:sz w:val="22"/>
          <w:szCs w:val="22"/>
          <w:lang w:val="sr-Latn-ME"/>
        </w:rPr>
        <w:t>lijek</w:t>
      </w:r>
      <w:r w:rsidRPr="005436C8">
        <w:rPr>
          <w:color w:val="000000"/>
          <w:sz w:val="22"/>
          <w:szCs w:val="22"/>
          <w:lang w:val="sr-Latn-ME"/>
        </w:rPr>
        <w:t xml:space="preserve"> Phesgo koja se koristi za terapiju održavanja kod ljudi, pa nisu otkriveni dokazi smanjene plodnosti ni štetnih dejstava na plod. Zab</w:t>
      </w:r>
      <w:r w:rsidR="00A53547" w:rsidRPr="005436C8">
        <w:rPr>
          <w:color w:val="000000"/>
          <w:sz w:val="22"/>
          <w:szCs w:val="22"/>
          <w:lang w:val="sr-Latn-ME"/>
        </w:rPr>
        <w:t>i</w:t>
      </w:r>
      <w:r w:rsidRPr="005436C8">
        <w:rPr>
          <w:color w:val="000000"/>
          <w:sz w:val="22"/>
          <w:szCs w:val="22"/>
          <w:lang w:val="sr-Latn-ME"/>
        </w:rPr>
        <w:t>l</w:t>
      </w:r>
      <w:r w:rsidR="00A53547" w:rsidRPr="005436C8">
        <w:rPr>
          <w:color w:val="000000"/>
          <w:sz w:val="22"/>
          <w:szCs w:val="22"/>
          <w:lang w:val="sr-Latn-ME"/>
        </w:rPr>
        <w:t>j</w:t>
      </w:r>
      <w:r w:rsidRPr="005436C8">
        <w:rPr>
          <w:color w:val="000000"/>
          <w:sz w:val="22"/>
          <w:szCs w:val="22"/>
          <w:lang w:val="sr-Latn-ME"/>
        </w:rPr>
        <w:t xml:space="preserve">ežen je prenos trastuzumaba kroz placentu u ranoj (20–50. dan gestacije) i kasnoj (120–150. dan gestacije) fazi razvoja fetusa. </w:t>
      </w:r>
    </w:p>
    <w:p w14:paraId="1C32269D" w14:textId="77777777" w:rsidR="000C7302" w:rsidRPr="005436C8" w:rsidRDefault="000C7302" w:rsidP="005436C8">
      <w:pPr>
        <w:tabs>
          <w:tab w:val="left" w:pos="284"/>
        </w:tabs>
        <w:jc w:val="both"/>
        <w:rPr>
          <w:i/>
          <w:color w:val="000000"/>
          <w:sz w:val="22"/>
          <w:szCs w:val="22"/>
          <w:lang w:val="sr-Latn-ME"/>
        </w:rPr>
      </w:pPr>
    </w:p>
    <w:p w14:paraId="4B000969"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Nije bilo dokaza akutne toksičnosti ni toksičnosti povezane sa višestrukim dozama u studijama u trajanju do 6 m</w:t>
      </w:r>
      <w:r w:rsidR="00A53547" w:rsidRPr="005436C8">
        <w:rPr>
          <w:color w:val="000000"/>
          <w:sz w:val="22"/>
          <w:szCs w:val="22"/>
          <w:lang w:val="sr-Latn-ME"/>
        </w:rPr>
        <w:t>j</w:t>
      </w:r>
      <w:r w:rsidRPr="005436C8">
        <w:rPr>
          <w:color w:val="000000"/>
          <w:sz w:val="22"/>
          <w:szCs w:val="22"/>
          <w:lang w:val="sr-Latn-ME"/>
        </w:rPr>
        <w:t xml:space="preserve">eseci, kao ni dokaza reproduktivne toksičnosti u teratološkim studijama, studijama plodnosti ženki ili studijama kasne gestacijske toksičnosti/placentalnog prenosa. Trastuzumab nije genotoksičan. Ispitivanje trehaloze, glavne pomoćne supstance u formulaciji </w:t>
      </w:r>
      <w:r w:rsidR="00166973" w:rsidRPr="005436C8">
        <w:rPr>
          <w:color w:val="000000"/>
          <w:sz w:val="22"/>
          <w:szCs w:val="22"/>
          <w:lang w:val="sr-Latn-ME"/>
        </w:rPr>
        <w:t>lijek</w:t>
      </w:r>
      <w:r w:rsidRPr="005436C8">
        <w:rPr>
          <w:color w:val="000000"/>
          <w:sz w:val="22"/>
          <w:szCs w:val="22"/>
          <w:lang w:val="sr-Latn-ME"/>
        </w:rPr>
        <w:t xml:space="preserve">a, nije otkrilo bilo kakve toksičnosti. </w:t>
      </w:r>
    </w:p>
    <w:p w14:paraId="5B75D9B5" w14:textId="77777777" w:rsidR="000C7302" w:rsidRPr="005436C8" w:rsidRDefault="000C7302" w:rsidP="005436C8">
      <w:pPr>
        <w:tabs>
          <w:tab w:val="left" w:pos="284"/>
        </w:tabs>
        <w:jc w:val="both"/>
        <w:rPr>
          <w:color w:val="000000"/>
          <w:sz w:val="22"/>
          <w:szCs w:val="22"/>
          <w:lang w:val="sr-Latn-ME"/>
        </w:rPr>
      </w:pPr>
    </w:p>
    <w:p w14:paraId="532DE96B"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Nisu </w:t>
      </w:r>
      <w:r w:rsidR="005818DF" w:rsidRPr="005436C8">
        <w:rPr>
          <w:color w:val="000000"/>
          <w:sz w:val="22"/>
          <w:szCs w:val="22"/>
          <w:lang w:val="sr-Latn-ME"/>
        </w:rPr>
        <w:t xml:space="preserve">sprovedena </w:t>
      </w:r>
      <w:r w:rsidRPr="005436C8">
        <w:rPr>
          <w:color w:val="000000"/>
          <w:sz w:val="22"/>
          <w:szCs w:val="22"/>
          <w:lang w:val="sr-Latn-ME"/>
        </w:rPr>
        <w:t xml:space="preserve">dugoročna ispitivanja na životinjama kojima bi se ustanovio </w:t>
      </w:r>
      <w:r w:rsidR="005818DF" w:rsidRPr="005436C8">
        <w:rPr>
          <w:color w:val="000000"/>
          <w:sz w:val="22"/>
          <w:szCs w:val="22"/>
          <w:lang w:val="sr-Latn-ME"/>
        </w:rPr>
        <w:t xml:space="preserve">karcinogeni </w:t>
      </w:r>
      <w:r w:rsidRPr="005436C8">
        <w:rPr>
          <w:color w:val="000000"/>
          <w:sz w:val="22"/>
          <w:szCs w:val="22"/>
          <w:lang w:val="sr-Latn-ME"/>
        </w:rPr>
        <w:t>potencijal trastuzumaba, ili odredila njegova dejstva na plodnost mužjaka.</w:t>
      </w:r>
    </w:p>
    <w:p w14:paraId="23608098"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lastRenderedPageBreak/>
        <w:t xml:space="preserve">Ispitivanje na ženkama makaki majmuna u laktaciji kojima su davane intravenske doze trastuzumaba do 16 puta veće od doze održavanja od 600 mg u formulaciji </w:t>
      </w:r>
      <w:r w:rsidR="00166973" w:rsidRPr="005436C8">
        <w:rPr>
          <w:color w:val="000000"/>
          <w:sz w:val="22"/>
          <w:szCs w:val="22"/>
          <w:lang w:val="sr-Latn-ME"/>
        </w:rPr>
        <w:t>lijek</w:t>
      </w:r>
      <w:r w:rsidRPr="005436C8">
        <w:rPr>
          <w:color w:val="000000"/>
          <w:sz w:val="22"/>
          <w:szCs w:val="22"/>
          <w:lang w:val="sr-Latn-ME"/>
        </w:rPr>
        <w:t xml:space="preserve">a </w:t>
      </w:r>
      <w:r w:rsidRPr="005436C8">
        <w:rPr>
          <w:sz w:val="22"/>
          <w:szCs w:val="22"/>
          <w:lang w:val="sr-Latn-ME"/>
        </w:rPr>
        <w:t>Phesgo</w:t>
      </w:r>
      <w:r w:rsidRPr="005436C8">
        <w:rPr>
          <w:color w:val="000000"/>
          <w:sz w:val="22"/>
          <w:szCs w:val="22"/>
          <w:lang w:val="sr-Latn-ME"/>
        </w:rPr>
        <w:t xml:space="preserve"> koja se koristi kod ljudi pokazalo je da se trastuzumab izlučuje u m</w:t>
      </w:r>
      <w:r w:rsidR="00166973" w:rsidRPr="005436C8">
        <w:rPr>
          <w:color w:val="000000"/>
          <w:sz w:val="22"/>
          <w:szCs w:val="22"/>
          <w:lang w:val="sr-Latn-ME"/>
        </w:rPr>
        <w:t>lijek</w:t>
      </w:r>
      <w:r w:rsidRPr="005436C8">
        <w:rPr>
          <w:color w:val="000000"/>
          <w:sz w:val="22"/>
          <w:szCs w:val="22"/>
          <w:lang w:val="sr-Latn-ME"/>
        </w:rPr>
        <w:t xml:space="preserve">o nakon okota. Izloženost trastuzumabu </w:t>
      </w:r>
      <w:r w:rsidRPr="005436C8">
        <w:rPr>
          <w:i/>
          <w:iCs/>
          <w:color w:val="000000"/>
          <w:sz w:val="22"/>
          <w:szCs w:val="22"/>
          <w:lang w:val="sr-Latn-ME"/>
        </w:rPr>
        <w:t>in utero</w:t>
      </w:r>
      <w:r w:rsidRPr="005436C8">
        <w:rPr>
          <w:color w:val="000000"/>
          <w:sz w:val="22"/>
          <w:szCs w:val="22"/>
          <w:lang w:val="sr-Latn-ME"/>
        </w:rPr>
        <w:t xml:space="preserve"> i prisustvo trastuzumaba u serumu mladunaca majmuna nisu bili povezani sa neželjenim dejstvima na njihov rast ili razvoj od okota do 1. </w:t>
      </w:r>
      <w:r w:rsidR="00FE754C" w:rsidRPr="005436C8">
        <w:rPr>
          <w:color w:val="000000"/>
          <w:sz w:val="22"/>
          <w:szCs w:val="22"/>
          <w:lang w:val="sr-Latn-ME"/>
        </w:rPr>
        <w:t>mjesec</w:t>
      </w:r>
      <w:r w:rsidRPr="005436C8">
        <w:rPr>
          <w:color w:val="000000"/>
          <w:sz w:val="22"/>
          <w:szCs w:val="22"/>
          <w:lang w:val="sr-Latn-ME"/>
        </w:rPr>
        <w:t>a života.</w:t>
      </w:r>
    </w:p>
    <w:p w14:paraId="48320F13" w14:textId="77777777" w:rsidR="000C7302" w:rsidRPr="005436C8" w:rsidRDefault="000C7302" w:rsidP="005436C8">
      <w:pPr>
        <w:tabs>
          <w:tab w:val="left" w:pos="284"/>
        </w:tabs>
        <w:jc w:val="both"/>
        <w:rPr>
          <w:color w:val="000000"/>
          <w:sz w:val="22"/>
          <w:szCs w:val="22"/>
          <w:lang w:val="sr-Latn-ME"/>
        </w:rPr>
      </w:pPr>
    </w:p>
    <w:p w14:paraId="43792D29" w14:textId="77777777" w:rsidR="000C7302" w:rsidRPr="005436C8" w:rsidRDefault="000C7302" w:rsidP="005436C8">
      <w:pPr>
        <w:tabs>
          <w:tab w:val="left" w:pos="284"/>
        </w:tabs>
        <w:jc w:val="both"/>
        <w:rPr>
          <w:color w:val="000000"/>
          <w:sz w:val="22"/>
          <w:szCs w:val="22"/>
          <w:u w:val="single"/>
          <w:lang w:val="sr-Latn-ME"/>
        </w:rPr>
      </w:pPr>
      <w:r w:rsidRPr="005436C8">
        <w:rPr>
          <w:color w:val="000000"/>
          <w:sz w:val="22"/>
          <w:szCs w:val="22"/>
          <w:u w:val="single"/>
          <w:lang w:val="sr-Latn-ME"/>
        </w:rPr>
        <w:t xml:space="preserve">Hijaluronidaza </w:t>
      </w:r>
    </w:p>
    <w:p w14:paraId="1AC64EE5" w14:textId="77777777" w:rsidR="000C7302" w:rsidRPr="005436C8" w:rsidRDefault="000C7302" w:rsidP="005436C8">
      <w:pPr>
        <w:tabs>
          <w:tab w:val="left" w:pos="284"/>
        </w:tabs>
        <w:jc w:val="both"/>
        <w:rPr>
          <w:color w:val="000000"/>
          <w:sz w:val="22"/>
          <w:szCs w:val="22"/>
          <w:lang w:val="sr-Latn-ME"/>
        </w:rPr>
      </w:pPr>
    </w:p>
    <w:p w14:paraId="44CD683B"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 xml:space="preserve">Hijaluronidaza je prisutna u većini tkiva u ljudskom telu. </w:t>
      </w:r>
      <w:r w:rsidR="005818DF" w:rsidRPr="005436C8">
        <w:rPr>
          <w:color w:val="000000"/>
          <w:sz w:val="22"/>
          <w:szCs w:val="22"/>
          <w:lang w:val="sr-Latn-ME"/>
        </w:rPr>
        <w:t xml:space="preserve">Pretklinički </w:t>
      </w:r>
      <w:r w:rsidRPr="005436C8">
        <w:rPr>
          <w:color w:val="000000"/>
          <w:sz w:val="22"/>
          <w:szCs w:val="22"/>
          <w:lang w:val="sr-Latn-ME"/>
        </w:rPr>
        <w:t xml:space="preserve">podaci za rekombinantnu humanu hijaluronidazu ne ukazuju na poseban rizik za ljude na osnovu konvencionalnih ispitivanja toksičnosti ponovljenih doza, uključujući krajnje tačke farmakološke </w:t>
      </w:r>
      <w:r w:rsidR="00385576" w:rsidRPr="005436C8">
        <w:rPr>
          <w:color w:val="000000"/>
          <w:sz w:val="22"/>
          <w:szCs w:val="22"/>
          <w:lang w:val="sr-Latn-ME"/>
        </w:rPr>
        <w:t>bezbjednost</w:t>
      </w:r>
      <w:r w:rsidRPr="005436C8">
        <w:rPr>
          <w:color w:val="000000"/>
          <w:sz w:val="22"/>
          <w:szCs w:val="22"/>
          <w:lang w:val="sr-Latn-ME"/>
        </w:rPr>
        <w:t>i. Ispitivanja reproduktivne toksičnosti vorhijaluronidaze alfa ukazala su na embriofetalnu toksičnost kod miševa pri visokim nivoima sistemske izloženosti, ali nisu ukazala na teratogeni potencijal.</w:t>
      </w:r>
    </w:p>
    <w:p w14:paraId="17246C63" w14:textId="77777777" w:rsidR="000C7302" w:rsidRPr="005436C8" w:rsidRDefault="000C7302" w:rsidP="005436C8">
      <w:pPr>
        <w:tabs>
          <w:tab w:val="left" w:pos="284"/>
        </w:tabs>
        <w:jc w:val="both"/>
        <w:rPr>
          <w:color w:val="000000"/>
          <w:sz w:val="22"/>
          <w:szCs w:val="22"/>
          <w:lang w:val="sr-Latn-ME"/>
        </w:rPr>
      </w:pPr>
    </w:p>
    <w:p w14:paraId="6B5EDA58" w14:textId="77777777" w:rsidR="000C7302" w:rsidRPr="005436C8" w:rsidRDefault="00115EBA" w:rsidP="005436C8">
      <w:pPr>
        <w:tabs>
          <w:tab w:val="left" w:pos="284"/>
        </w:tabs>
        <w:jc w:val="both"/>
        <w:rPr>
          <w:color w:val="000000"/>
          <w:sz w:val="22"/>
          <w:szCs w:val="22"/>
          <w:lang w:val="sr-Latn-ME"/>
        </w:rPr>
      </w:pPr>
      <w:r w:rsidRPr="005436C8">
        <w:rPr>
          <w:color w:val="000000"/>
          <w:sz w:val="22"/>
          <w:szCs w:val="22"/>
          <w:lang w:val="sr-Latn-ME"/>
        </w:rPr>
        <w:t>Subkutan</w:t>
      </w:r>
      <w:r w:rsidR="000C7302" w:rsidRPr="005436C8">
        <w:rPr>
          <w:color w:val="000000"/>
          <w:sz w:val="22"/>
          <w:szCs w:val="22"/>
          <w:lang w:val="sr-Latn-ME"/>
        </w:rPr>
        <w:t>a formulacija trastuzumaba korišćena je u ispitivanju dejstva jednokratne doze na kuniće i u 13-ned</w:t>
      </w:r>
      <w:r w:rsidR="00C469FA" w:rsidRPr="005436C8">
        <w:rPr>
          <w:color w:val="000000"/>
          <w:sz w:val="22"/>
          <w:szCs w:val="22"/>
          <w:lang w:val="sr-Latn-ME"/>
        </w:rPr>
        <w:t>j</w:t>
      </w:r>
      <w:r w:rsidR="000C7302" w:rsidRPr="005436C8">
        <w:rPr>
          <w:color w:val="000000"/>
          <w:sz w:val="22"/>
          <w:szCs w:val="22"/>
          <w:lang w:val="sr-Latn-ME"/>
        </w:rPr>
        <w:t xml:space="preserve">eljnom ispitivanju toksičnosti ponovljenih doza kod makaki majmuna. Ispitivanje na kunićima je izvršeno posebno radi </w:t>
      </w:r>
      <w:r w:rsidR="00FE754C" w:rsidRPr="005436C8">
        <w:rPr>
          <w:color w:val="000000"/>
          <w:sz w:val="22"/>
          <w:szCs w:val="22"/>
          <w:lang w:val="sr-Latn-ME"/>
        </w:rPr>
        <w:t>procjen</w:t>
      </w:r>
      <w:r w:rsidR="000C7302" w:rsidRPr="005436C8">
        <w:rPr>
          <w:color w:val="000000"/>
          <w:sz w:val="22"/>
          <w:szCs w:val="22"/>
          <w:lang w:val="sr-Latn-ME"/>
        </w:rPr>
        <w:t xml:space="preserve">e aspekata lokalne podnošljivosti </w:t>
      </w:r>
      <w:r w:rsidR="00166973" w:rsidRPr="005436C8">
        <w:rPr>
          <w:color w:val="000000"/>
          <w:sz w:val="22"/>
          <w:szCs w:val="22"/>
          <w:lang w:val="sr-Latn-ME"/>
        </w:rPr>
        <w:t>lijek</w:t>
      </w:r>
      <w:r w:rsidR="000C7302" w:rsidRPr="005436C8">
        <w:rPr>
          <w:color w:val="000000"/>
          <w:sz w:val="22"/>
          <w:szCs w:val="22"/>
          <w:lang w:val="sr-Latn-ME"/>
        </w:rPr>
        <w:t>a. Sprovedeno je 13-ned</w:t>
      </w:r>
      <w:r w:rsidR="00C469FA" w:rsidRPr="005436C8">
        <w:rPr>
          <w:color w:val="000000"/>
          <w:sz w:val="22"/>
          <w:szCs w:val="22"/>
          <w:lang w:val="sr-Latn-ME"/>
        </w:rPr>
        <w:t>j</w:t>
      </w:r>
      <w:r w:rsidR="000C7302" w:rsidRPr="005436C8">
        <w:rPr>
          <w:color w:val="000000"/>
          <w:sz w:val="22"/>
          <w:szCs w:val="22"/>
          <w:lang w:val="sr-Latn-ME"/>
        </w:rPr>
        <w:t xml:space="preserve">eljno ispitivanje kako bi se potvrdilo da prelazak na </w:t>
      </w:r>
      <w:r w:rsidRPr="005436C8">
        <w:rPr>
          <w:color w:val="000000"/>
          <w:sz w:val="22"/>
          <w:szCs w:val="22"/>
          <w:lang w:val="sr-Latn-ME"/>
        </w:rPr>
        <w:t>subkutan</w:t>
      </w:r>
      <w:r w:rsidR="000C7302" w:rsidRPr="005436C8">
        <w:rPr>
          <w:color w:val="000000"/>
          <w:sz w:val="22"/>
          <w:szCs w:val="22"/>
          <w:lang w:val="sr-Latn-ME"/>
        </w:rPr>
        <w:t xml:space="preserve">i put </w:t>
      </w:r>
      <w:r w:rsidR="00A21698" w:rsidRPr="005436C8">
        <w:rPr>
          <w:color w:val="000000"/>
          <w:sz w:val="22"/>
          <w:szCs w:val="22"/>
          <w:lang w:val="sr-Latn-ME"/>
        </w:rPr>
        <w:t>primjene</w:t>
      </w:r>
      <w:r w:rsidR="000C7302" w:rsidRPr="005436C8">
        <w:rPr>
          <w:color w:val="000000"/>
          <w:sz w:val="22"/>
          <w:szCs w:val="22"/>
          <w:lang w:val="sr-Latn-ME"/>
        </w:rPr>
        <w:t xml:space="preserve"> i korišćenje vorhijaluronidaze alfa ne utiču na </w:t>
      </w:r>
      <w:r w:rsidR="00FE754C" w:rsidRPr="005436C8">
        <w:rPr>
          <w:color w:val="000000"/>
          <w:sz w:val="22"/>
          <w:szCs w:val="22"/>
          <w:lang w:val="sr-Latn-ME"/>
        </w:rPr>
        <w:t>bezbjednos</w:t>
      </w:r>
      <w:r w:rsidR="000C7302" w:rsidRPr="005436C8">
        <w:rPr>
          <w:color w:val="000000"/>
          <w:sz w:val="22"/>
          <w:szCs w:val="22"/>
          <w:lang w:val="sr-Latn-ME"/>
        </w:rPr>
        <w:t xml:space="preserve">ne karakteristike trastuzumaba. </w:t>
      </w:r>
      <w:r w:rsidRPr="005436C8">
        <w:rPr>
          <w:color w:val="000000"/>
          <w:sz w:val="22"/>
          <w:szCs w:val="22"/>
          <w:lang w:val="sr-Latn-ME"/>
        </w:rPr>
        <w:t>Subkutan</w:t>
      </w:r>
      <w:r w:rsidR="000C7302" w:rsidRPr="005436C8">
        <w:rPr>
          <w:color w:val="000000"/>
          <w:sz w:val="22"/>
          <w:szCs w:val="22"/>
          <w:lang w:val="sr-Latn-ME"/>
        </w:rPr>
        <w:t>a formulacija trastuzumaba pokazala je dobru lokalnu i sistemsku podnošljivost.</w:t>
      </w:r>
    </w:p>
    <w:p w14:paraId="30EB4DA4" w14:textId="77777777" w:rsidR="00396DFD" w:rsidRPr="005436C8" w:rsidRDefault="00396DFD" w:rsidP="005436C8">
      <w:pPr>
        <w:tabs>
          <w:tab w:val="left" w:pos="540"/>
          <w:tab w:val="left" w:pos="569"/>
        </w:tabs>
        <w:rPr>
          <w:b/>
          <w:bCs/>
          <w:sz w:val="22"/>
          <w:szCs w:val="22"/>
          <w:lang w:val="sr-Latn-ME"/>
        </w:rPr>
      </w:pPr>
    </w:p>
    <w:p w14:paraId="4E0E672A" w14:textId="77777777" w:rsidR="00D61A6E" w:rsidRDefault="00D61A6E" w:rsidP="005436C8">
      <w:pPr>
        <w:tabs>
          <w:tab w:val="left" w:pos="540"/>
          <w:tab w:val="left" w:pos="569"/>
        </w:tabs>
        <w:rPr>
          <w:b/>
          <w:bCs/>
          <w:sz w:val="22"/>
          <w:szCs w:val="22"/>
          <w:lang w:val="sr-Latn-ME"/>
        </w:rPr>
      </w:pPr>
    </w:p>
    <w:p w14:paraId="1998A741"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6. </w:t>
      </w:r>
      <w:r w:rsidR="00480FB1" w:rsidRPr="005436C8">
        <w:rPr>
          <w:b/>
          <w:bCs/>
          <w:sz w:val="22"/>
          <w:szCs w:val="22"/>
          <w:lang w:val="sr-Latn-ME"/>
        </w:rPr>
        <w:tab/>
      </w:r>
      <w:r w:rsidRPr="005436C8">
        <w:rPr>
          <w:b/>
          <w:bCs/>
          <w:sz w:val="22"/>
          <w:szCs w:val="22"/>
          <w:lang w:val="sr-Latn-ME"/>
        </w:rPr>
        <w:t>FARMACEUTSKI PODACI</w:t>
      </w:r>
    </w:p>
    <w:p w14:paraId="105518CC" w14:textId="77777777" w:rsidR="00836B35" w:rsidRPr="005436C8" w:rsidRDefault="00836B35" w:rsidP="005436C8">
      <w:pPr>
        <w:tabs>
          <w:tab w:val="left" w:pos="540"/>
          <w:tab w:val="left" w:pos="569"/>
        </w:tabs>
        <w:rPr>
          <w:bCs/>
          <w:sz w:val="22"/>
          <w:szCs w:val="22"/>
          <w:lang w:val="sr-Latn-ME"/>
        </w:rPr>
      </w:pPr>
    </w:p>
    <w:p w14:paraId="2BA4F5B8"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6.1. </w:t>
      </w:r>
      <w:r w:rsidR="00480FB1" w:rsidRPr="005436C8">
        <w:rPr>
          <w:b/>
          <w:bCs/>
          <w:sz w:val="22"/>
          <w:szCs w:val="22"/>
          <w:lang w:val="sr-Latn-ME"/>
        </w:rPr>
        <w:tab/>
      </w:r>
      <w:r w:rsidRPr="005436C8">
        <w:rPr>
          <w:b/>
          <w:bCs/>
          <w:sz w:val="22"/>
          <w:szCs w:val="22"/>
          <w:lang w:val="sr-Latn-ME"/>
        </w:rPr>
        <w:t>Lista pomoćnih supstanci</w:t>
      </w:r>
      <w:r w:rsidR="002E0135" w:rsidRPr="005436C8">
        <w:rPr>
          <w:b/>
          <w:bCs/>
          <w:sz w:val="22"/>
          <w:szCs w:val="22"/>
          <w:lang w:val="sr-Latn-ME"/>
        </w:rPr>
        <w:t xml:space="preserve"> (ekscipijenasa)</w:t>
      </w:r>
    </w:p>
    <w:p w14:paraId="727362BE" w14:textId="77777777" w:rsidR="0072020E" w:rsidRPr="005436C8" w:rsidRDefault="0072020E" w:rsidP="005436C8">
      <w:pPr>
        <w:tabs>
          <w:tab w:val="left" w:pos="540"/>
          <w:tab w:val="left" w:pos="569"/>
        </w:tabs>
        <w:rPr>
          <w:bCs/>
          <w:sz w:val="22"/>
          <w:szCs w:val="22"/>
          <w:lang w:val="sr-Latn-ME"/>
        </w:rPr>
      </w:pPr>
    </w:p>
    <w:p w14:paraId="4F9FF721"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Vorhijaluronidaza alfa </w:t>
      </w:r>
    </w:p>
    <w:p w14:paraId="46D87A3D"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L-histidin</w:t>
      </w:r>
    </w:p>
    <w:p w14:paraId="79D65A69"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L-histidin hidrohlorid monohidrat</w:t>
      </w:r>
    </w:p>
    <w:p w14:paraId="2F576FB2"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α,α-trehaloza dihidrat</w:t>
      </w:r>
    </w:p>
    <w:p w14:paraId="4864DBC0"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Saharoza</w:t>
      </w:r>
    </w:p>
    <w:p w14:paraId="604F37A7"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L-metionin</w:t>
      </w:r>
    </w:p>
    <w:p w14:paraId="5A16F8E1"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Polisorbat 20 (E432)</w:t>
      </w:r>
    </w:p>
    <w:p w14:paraId="3E56A934"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Voda za injekcij</w:t>
      </w:r>
      <w:r w:rsidR="00EC111A" w:rsidRPr="005436C8">
        <w:rPr>
          <w:noProof/>
          <w:color w:val="000000"/>
          <w:sz w:val="22"/>
          <w:szCs w:val="22"/>
          <w:lang w:val="sr-Latn-ME"/>
        </w:rPr>
        <w:t>e</w:t>
      </w:r>
    </w:p>
    <w:p w14:paraId="1DA60516" w14:textId="77777777" w:rsidR="000C7302" w:rsidRPr="005436C8" w:rsidRDefault="000C7302" w:rsidP="005436C8">
      <w:pPr>
        <w:tabs>
          <w:tab w:val="left" w:pos="540"/>
          <w:tab w:val="left" w:pos="569"/>
        </w:tabs>
        <w:rPr>
          <w:bCs/>
          <w:sz w:val="22"/>
          <w:szCs w:val="22"/>
          <w:lang w:val="sr-Latn-ME"/>
        </w:rPr>
      </w:pPr>
    </w:p>
    <w:p w14:paraId="051DE4A1"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6.2. </w:t>
      </w:r>
      <w:r w:rsidR="00480FB1" w:rsidRPr="005436C8">
        <w:rPr>
          <w:b/>
          <w:bCs/>
          <w:sz w:val="22"/>
          <w:szCs w:val="22"/>
          <w:lang w:val="sr-Latn-ME"/>
        </w:rPr>
        <w:tab/>
      </w:r>
      <w:r w:rsidRPr="005436C8">
        <w:rPr>
          <w:b/>
          <w:bCs/>
          <w:sz w:val="22"/>
          <w:szCs w:val="22"/>
          <w:lang w:val="sr-Latn-ME"/>
        </w:rPr>
        <w:t>Inkompatibilnost</w:t>
      </w:r>
      <w:r w:rsidR="002846DB" w:rsidRPr="005436C8">
        <w:rPr>
          <w:b/>
          <w:bCs/>
          <w:sz w:val="22"/>
          <w:szCs w:val="22"/>
          <w:lang w:val="sr-Latn-ME"/>
        </w:rPr>
        <w:t>i</w:t>
      </w:r>
    </w:p>
    <w:p w14:paraId="66D89A7A" w14:textId="77777777" w:rsidR="000C7302" w:rsidRPr="005436C8" w:rsidRDefault="000C7302" w:rsidP="005436C8">
      <w:pPr>
        <w:tabs>
          <w:tab w:val="left" w:pos="540"/>
          <w:tab w:val="left" w:pos="569"/>
        </w:tabs>
        <w:rPr>
          <w:b/>
          <w:bCs/>
          <w:sz w:val="22"/>
          <w:szCs w:val="22"/>
          <w:lang w:val="sr-Latn-ME"/>
        </w:rPr>
      </w:pPr>
    </w:p>
    <w:p w14:paraId="1EAB17AF" w14:textId="77777777" w:rsidR="000C7302" w:rsidRPr="005436C8" w:rsidRDefault="00166973" w:rsidP="005436C8">
      <w:pPr>
        <w:tabs>
          <w:tab w:val="left" w:pos="284"/>
        </w:tabs>
        <w:jc w:val="both"/>
        <w:rPr>
          <w:noProof/>
          <w:color w:val="000000"/>
          <w:sz w:val="22"/>
          <w:szCs w:val="22"/>
          <w:lang w:val="sr-Latn-ME"/>
        </w:rPr>
      </w:pPr>
      <w:r w:rsidRPr="005436C8">
        <w:rPr>
          <w:noProof/>
          <w:color w:val="000000"/>
          <w:sz w:val="22"/>
          <w:szCs w:val="22"/>
          <w:lang w:val="sr-Latn-ME"/>
        </w:rPr>
        <w:t>Lijek</w:t>
      </w:r>
      <w:r w:rsidR="000C7302" w:rsidRPr="005436C8">
        <w:rPr>
          <w:noProof/>
          <w:color w:val="000000"/>
          <w:sz w:val="22"/>
          <w:szCs w:val="22"/>
          <w:lang w:val="sr-Latn-ME"/>
        </w:rPr>
        <w:t xml:space="preserve"> Phesgo je rastvor spreman za upotrebu koji ne treba m</w:t>
      </w:r>
      <w:r w:rsidR="00A53547" w:rsidRPr="005436C8">
        <w:rPr>
          <w:noProof/>
          <w:color w:val="000000"/>
          <w:sz w:val="22"/>
          <w:szCs w:val="22"/>
          <w:lang w:val="sr-Latn-ME"/>
        </w:rPr>
        <w:t>ij</w:t>
      </w:r>
      <w:r w:rsidR="000C7302" w:rsidRPr="005436C8">
        <w:rPr>
          <w:noProof/>
          <w:color w:val="000000"/>
          <w:sz w:val="22"/>
          <w:szCs w:val="22"/>
          <w:lang w:val="sr-Latn-ME"/>
        </w:rPr>
        <w:t xml:space="preserve">ešati niti razblaživati drugim </w:t>
      </w:r>
      <w:r w:rsidR="00A21698" w:rsidRPr="005436C8">
        <w:rPr>
          <w:noProof/>
          <w:color w:val="000000"/>
          <w:sz w:val="22"/>
          <w:szCs w:val="22"/>
          <w:lang w:val="sr-Latn-ME"/>
        </w:rPr>
        <w:t>ljekovi</w:t>
      </w:r>
      <w:r w:rsidR="000C7302" w:rsidRPr="005436C8">
        <w:rPr>
          <w:noProof/>
          <w:color w:val="000000"/>
          <w:sz w:val="22"/>
          <w:szCs w:val="22"/>
          <w:lang w:val="sr-Latn-ME"/>
        </w:rPr>
        <w:t>ma.</w:t>
      </w:r>
    </w:p>
    <w:p w14:paraId="24B8547D" w14:textId="77777777" w:rsidR="0072020E" w:rsidRPr="005436C8" w:rsidRDefault="0072020E" w:rsidP="005436C8">
      <w:pPr>
        <w:tabs>
          <w:tab w:val="left" w:pos="540"/>
          <w:tab w:val="left" w:pos="569"/>
        </w:tabs>
        <w:rPr>
          <w:bCs/>
          <w:sz w:val="22"/>
          <w:szCs w:val="22"/>
          <w:lang w:val="sr-Latn-ME"/>
        </w:rPr>
      </w:pPr>
    </w:p>
    <w:p w14:paraId="4E8E16ED"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6.3.</w:t>
      </w:r>
      <w:r w:rsidR="00C05DF8" w:rsidRPr="005436C8">
        <w:rPr>
          <w:b/>
          <w:bCs/>
          <w:sz w:val="22"/>
          <w:szCs w:val="22"/>
          <w:lang w:val="sr-Latn-ME"/>
        </w:rPr>
        <w:t xml:space="preserve"> </w:t>
      </w:r>
      <w:r w:rsidR="00480FB1" w:rsidRPr="005436C8">
        <w:rPr>
          <w:b/>
          <w:bCs/>
          <w:sz w:val="22"/>
          <w:szCs w:val="22"/>
          <w:lang w:val="sr-Latn-ME"/>
        </w:rPr>
        <w:tab/>
      </w:r>
      <w:r w:rsidRPr="005436C8">
        <w:rPr>
          <w:b/>
          <w:bCs/>
          <w:sz w:val="22"/>
          <w:szCs w:val="22"/>
          <w:lang w:val="sr-Latn-ME"/>
        </w:rPr>
        <w:t>Rok upotrebe</w:t>
      </w:r>
    </w:p>
    <w:p w14:paraId="3C1261EE" w14:textId="77777777" w:rsidR="000C7302" w:rsidRPr="005436C8" w:rsidRDefault="000C7302" w:rsidP="005436C8">
      <w:pPr>
        <w:tabs>
          <w:tab w:val="left" w:pos="540"/>
          <w:tab w:val="left" w:pos="569"/>
        </w:tabs>
        <w:rPr>
          <w:b/>
          <w:bCs/>
          <w:sz w:val="22"/>
          <w:szCs w:val="22"/>
          <w:lang w:val="sr-Latn-ME"/>
        </w:rPr>
      </w:pPr>
    </w:p>
    <w:p w14:paraId="2843CD84"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18</w:t>
      </w:r>
      <w:r w:rsidRPr="005436C8">
        <w:rPr>
          <w:color w:val="000000"/>
          <w:sz w:val="22"/>
          <w:szCs w:val="22"/>
          <w:lang w:val="sr-Latn-ME"/>
        </w:rPr>
        <w:t> m</w:t>
      </w:r>
      <w:r w:rsidR="00A53547" w:rsidRPr="005436C8">
        <w:rPr>
          <w:color w:val="000000"/>
          <w:sz w:val="22"/>
          <w:szCs w:val="22"/>
          <w:lang w:val="sr-Latn-ME"/>
        </w:rPr>
        <w:t>j</w:t>
      </w:r>
      <w:r w:rsidRPr="005436C8">
        <w:rPr>
          <w:color w:val="000000"/>
          <w:sz w:val="22"/>
          <w:szCs w:val="22"/>
          <w:lang w:val="sr-Latn-ME"/>
        </w:rPr>
        <w:t xml:space="preserve">eseci. </w:t>
      </w:r>
    </w:p>
    <w:p w14:paraId="4C300390" w14:textId="77777777" w:rsidR="000C7302" w:rsidRPr="005436C8" w:rsidRDefault="000C7302" w:rsidP="005436C8">
      <w:pPr>
        <w:tabs>
          <w:tab w:val="left" w:pos="284"/>
        </w:tabs>
        <w:jc w:val="both"/>
        <w:rPr>
          <w:noProof/>
          <w:color w:val="000000"/>
          <w:sz w:val="22"/>
          <w:szCs w:val="22"/>
          <w:lang w:val="sr-Latn-ME"/>
        </w:rPr>
      </w:pPr>
    </w:p>
    <w:p w14:paraId="69059782"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Nakon prenosa iz bočice u špric </w:t>
      </w:r>
      <w:r w:rsidR="00166973" w:rsidRPr="005436C8">
        <w:rPr>
          <w:noProof/>
          <w:color w:val="000000"/>
          <w:sz w:val="22"/>
          <w:szCs w:val="22"/>
          <w:lang w:val="sr-Latn-ME"/>
        </w:rPr>
        <w:t>lijek</w:t>
      </w:r>
      <w:r w:rsidRPr="005436C8">
        <w:rPr>
          <w:noProof/>
          <w:color w:val="000000"/>
          <w:sz w:val="22"/>
          <w:szCs w:val="22"/>
          <w:lang w:val="sr-Latn-ME"/>
        </w:rPr>
        <w:t xml:space="preserve"> je fizički i hemijski stabilan tokom 28 dana na temperaturi od 2 °C do 8</w:t>
      </w:r>
      <w:r w:rsidRPr="005436C8">
        <w:rPr>
          <w:sz w:val="22"/>
          <w:szCs w:val="22"/>
          <w:lang w:val="sr-Latn-ME"/>
        </w:rPr>
        <w:t> </w:t>
      </w:r>
      <w:r w:rsidRPr="005436C8">
        <w:rPr>
          <w:noProof/>
          <w:color w:val="000000"/>
          <w:sz w:val="22"/>
          <w:szCs w:val="22"/>
          <w:lang w:val="sr-Latn-ME"/>
        </w:rPr>
        <w:t xml:space="preserve">°C zaštićen od </w:t>
      </w:r>
      <w:r w:rsidR="00FE754C" w:rsidRPr="005436C8">
        <w:rPr>
          <w:noProof/>
          <w:color w:val="000000"/>
          <w:sz w:val="22"/>
          <w:szCs w:val="22"/>
          <w:lang w:val="sr-Latn-ME"/>
        </w:rPr>
        <w:t>svjetlost</w:t>
      </w:r>
      <w:r w:rsidRPr="005436C8">
        <w:rPr>
          <w:noProof/>
          <w:color w:val="000000"/>
          <w:sz w:val="22"/>
          <w:szCs w:val="22"/>
          <w:lang w:val="sr-Latn-ME"/>
        </w:rPr>
        <w:t>i</w:t>
      </w:r>
      <w:r w:rsidR="00EC111A" w:rsidRPr="005436C8">
        <w:rPr>
          <w:noProof/>
          <w:color w:val="000000"/>
          <w:sz w:val="22"/>
          <w:szCs w:val="22"/>
          <w:lang w:val="sr-Latn-ME"/>
        </w:rPr>
        <w:t>,</w:t>
      </w:r>
      <w:r w:rsidRPr="005436C8">
        <w:rPr>
          <w:noProof/>
          <w:color w:val="000000"/>
          <w:sz w:val="22"/>
          <w:szCs w:val="22"/>
          <w:lang w:val="sr-Latn-ME"/>
        </w:rPr>
        <w:t xml:space="preserve"> </w:t>
      </w:r>
      <w:r w:rsidR="00EC111A" w:rsidRPr="005436C8">
        <w:rPr>
          <w:noProof/>
          <w:color w:val="000000"/>
          <w:sz w:val="22"/>
          <w:szCs w:val="22"/>
          <w:lang w:val="sr-Latn-ME"/>
        </w:rPr>
        <w:t>odnosno</w:t>
      </w:r>
      <w:r w:rsidRPr="005436C8">
        <w:rPr>
          <w:noProof/>
          <w:color w:val="000000"/>
          <w:sz w:val="22"/>
          <w:szCs w:val="22"/>
          <w:lang w:val="sr-Latn-ME"/>
        </w:rPr>
        <w:t xml:space="preserve"> tokom 24 sata (ukupno </w:t>
      </w:r>
      <w:r w:rsidR="002700CC" w:rsidRPr="005436C8">
        <w:rPr>
          <w:noProof/>
          <w:color w:val="000000"/>
          <w:sz w:val="22"/>
          <w:szCs w:val="22"/>
          <w:lang w:val="sr-Latn-ME"/>
        </w:rPr>
        <w:t>vr</w:t>
      </w:r>
      <w:r w:rsidR="00EC111A" w:rsidRPr="005436C8">
        <w:rPr>
          <w:noProof/>
          <w:color w:val="000000"/>
          <w:sz w:val="22"/>
          <w:szCs w:val="22"/>
          <w:lang w:val="sr-Latn-ME"/>
        </w:rPr>
        <w:t>ij</w:t>
      </w:r>
      <w:r w:rsidR="002700CC" w:rsidRPr="005436C8">
        <w:rPr>
          <w:noProof/>
          <w:color w:val="000000"/>
          <w:sz w:val="22"/>
          <w:szCs w:val="22"/>
          <w:lang w:val="sr-Latn-ME"/>
        </w:rPr>
        <w:t>em</w:t>
      </w:r>
      <w:r w:rsidR="00A21698" w:rsidRPr="005436C8">
        <w:rPr>
          <w:noProof/>
          <w:color w:val="000000"/>
          <w:sz w:val="22"/>
          <w:szCs w:val="22"/>
          <w:lang w:val="sr-Latn-ME"/>
        </w:rPr>
        <w:t>e</w:t>
      </w:r>
      <w:r w:rsidRPr="005436C8">
        <w:rPr>
          <w:noProof/>
          <w:color w:val="000000"/>
          <w:sz w:val="22"/>
          <w:szCs w:val="22"/>
          <w:lang w:val="sr-Latn-ME"/>
        </w:rPr>
        <w:t xml:space="preserve"> u bočici i špricu) na sobnoj temperaturi (maksimalno 30</w:t>
      </w:r>
      <w:r w:rsidRPr="005436C8">
        <w:rPr>
          <w:sz w:val="22"/>
          <w:szCs w:val="22"/>
          <w:lang w:val="sr-Latn-ME"/>
        </w:rPr>
        <w:t> </w:t>
      </w:r>
      <w:r w:rsidRPr="005436C8">
        <w:rPr>
          <w:noProof/>
          <w:color w:val="000000"/>
          <w:sz w:val="22"/>
          <w:szCs w:val="22"/>
          <w:lang w:val="sr-Latn-ME"/>
        </w:rPr>
        <w:t xml:space="preserve">°C) i difuznoj dnevnoj </w:t>
      </w:r>
      <w:r w:rsidR="00FE754C" w:rsidRPr="005436C8">
        <w:rPr>
          <w:noProof/>
          <w:color w:val="000000"/>
          <w:sz w:val="22"/>
          <w:szCs w:val="22"/>
          <w:lang w:val="sr-Latn-ME"/>
        </w:rPr>
        <w:t>svjetlost</w:t>
      </w:r>
      <w:r w:rsidRPr="005436C8">
        <w:rPr>
          <w:noProof/>
          <w:color w:val="000000"/>
          <w:sz w:val="22"/>
          <w:szCs w:val="22"/>
          <w:lang w:val="sr-Latn-ME"/>
        </w:rPr>
        <w:t xml:space="preserve">i. </w:t>
      </w:r>
    </w:p>
    <w:p w14:paraId="16923B28" w14:textId="77777777" w:rsidR="000C7302" w:rsidRPr="005436C8" w:rsidRDefault="000C7302" w:rsidP="005436C8">
      <w:pPr>
        <w:tabs>
          <w:tab w:val="left" w:pos="284"/>
        </w:tabs>
        <w:jc w:val="both"/>
        <w:rPr>
          <w:noProof/>
          <w:color w:val="000000"/>
          <w:sz w:val="22"/>
          <w:szCs w:val="22"/>
          <w:lang w:val="sr-Latn-ME"/>
        </w:rPr>
      </w:pPr>
    </w:p>
    <w:p w14:paraId="02F43AB6" w14:textId="77777777" w:rsidR="000C7302" w:rsidRPr="005436C8" w:rsidRDefault="00166973" w:rsidP="005436C8">
      <w:pPr>
        <w:tabs>
          <w:tab w:val="left" w:pos="284"/>
        </w:tabs>
        <w:jc w:val="both"/>
        <w:rPr>
          <w:noProof/>
          <w:color w:val="000000"/>
          <w:sz w:val="22"/>
          <w:szCs w:val="22"/>
          <w:lang w:val="sr-Latn-ME"/>
        </w:rPr>
      </w:pPr>
      <w:r w:rsidRPr="005436C8">
        <w:rPr>
          <w:noProof/>
          <w:color w:val="000000"/>
          <w:sz w:val="22"/>
          <w:szCs w:val="22"/>
          <w:lang w:val="sr-Latn-ME"/>
        </w:rPr>
        <w:t>Lijek</w:t>
      </w:r>
      <w:r w:rsidR="000C7302" w:rsidRPr="005436C8">
        <w:rPr>
          <w:noProof/>
          <w:color w:val="000000"/>
          <w:sz w:val="22"/>
          <w:szCs w:val="22"/>
          <w:lang w:val="sr-Latn-ME"/>
        </w:rPr>
        <w:t xml:space="preserve"> Phesgo ne sadrži antimikrobni konzervans, te sa mikrobiološke tačke gledišta, </w:t>
      </w:r>
      <w:r w:rsidRPr="005436C8">
        <w:rPr>
          <w:noProof/>
          <w:color w:val="000000"/>
          <w:sz w:val="22"/>
          <w:szCs w:val="22"/>
          <w:lang w:val="sr-Latn-ME"/>
        </w:rPr>
        <w:t>lijek</w:t>
      </w:r>
      <w:r w:rsidR="000C7302" w:rsidRPr="005436C8">
        <w:rPr>
          <w:noProof/>
          <w:color w:val="000000"/>
          <w:sz w:val="22"/>
          <w:szCs w:val="22"/>
          <w:lang w:val="sr-Latn-ME"/>
        </w:rPr>
        <w:t xml:space="preserve"> treba upotr</w:t>
      </w:r>
      <w:r w:rsidR="00A53547" w:rsidRPr="005436C8">
        <w:rPr>
          <w:noProof/>
          <w:color w:val="000000"/>
          <w:sz w:val="22"/>
          <w:szCs w:val="22"/>
          <w:lang w:val="sr-Latn-ME"/>
        </w:rPr>
        <w:t>ij</w:t>
      </w:r>
      <w:r w:rsidR="000C7302" w:rsidRPr="005436C8">
        <w:rPr>
          <w:noProof/>
          <w:color w:val="000000"/>
          <w:sz w:val="22"/>
          <w:szCs w:val="22"/>
          <w:lang w:val="sr-Latn-ME"/>
        </w:rPr>
        <w:t>ebiti odmah. Ukoliko se ne upotr</w:t>
      </w:r>
      <w:r w:rsidR="00A53547" w:rsidRPr="005436C8">
        <w:rPr>
          <w:noProof/>
          <w:color w:val="000000"/>
          <w:sz w:val="22"/>
          <w:szCs w:val="22"/>
          <w:lang w:val="sr-Latn-ME"/>
        </w:rPr>
        <w:t>ij</w:t>
      </w:r>
      <w:r w:rsidR="000C7302" w:rsidRPr="005436C8">
        <w:rPr>
          <w:noProof/>
          <w:color w:val="000000"/>
          <w:sz w:val="22"/>
          <w:szCs w:val="22"/>
          <w:lang w:val="sr-Latn-ME"/>
        </w:rPr>
        <w:t xml:space="preserve">ebi odmah, </w:t>
      </w:r>
      <w:r w:rsidR="002700CC" w:rsidRPr="005436C8">
        <w:rPr>
          <w:noProof/>
          <w:color w:val="000000"/>
          <w:sz w:val="22"/>
          <w:szCs w:val="22"/>
          <w:lang w:val="sr-Latn-ME"/>
        </w:rPr>
        <w:t>vr</w:t>
      </w:r>
      <w:r w:rsidR="003A6A06" w:rsidRPr="005436C8">
        <w:rPr>
          <w:noProof/>
          <w:color w:val="000000"/>
          <w:sz w:val="22"/>
          <w:szCs w:val="22"/>
          <w:lang w:val="sr-Latn-ME"/>
        </w:rPr>
        <w:t>ij</w:t>
      </w:r>
      <w:r w:rsidR="002700CC" w:rsidRPr="005436C8">
        <w:rPr>
          <w:noProof/>
          <w:color w:val="000000"/>
          <w:sz w:val="22"/>
          <w:szCs w:val="22"/>
          <w:lang w:val="sr-Latn-ME"/>
        </w:rPr>
        <w:t>em</w:t>
      </w:r>
      <w:r w:rsidR="00A21698" w:rsidRPr="005436C8">
        <w:rPr>
          <w:noProof/>
          <w:color w:val="000000"/>
          <w:sz w:val="22"/>
          <w:szCs w:val="22"/>
          <w:lang w:val="sr-Latn-ME"/>
        </w:rPr>
        <w:t>e</w:t>
      </w:r>
      <w:r w:rsidR="000C7302" w:rsidRPr="005436C8">
        <w:rPr>
          <w:noProof/>
          <w:color w:val="000000"/>
          <w:sz w:val="22"/>
          <w:szCs w:val="22"/>
          <w:lang w:val="sr-Latn-ME"/>
        </w:rPr>
        <w:t xml:space="preserve"> i uslovi čuvanja pr</w:t>
      </w:r>
      <w:r w:rsidR="00A53547" w:rsidRPr="005436C8">
        <w:rPr>
          <w:noProof/>
          <w:color w:val="000000"/>
          <w:sz w:val="22"/>
          <w:szCs w:val="22"/>
          <w:lang w:val="sr-Latn-ME"/>
        </w:rPr>
        <w:t>ij</w:t>
      </w:r>
      <w:r w:rsidR="000C7302" w:rsidRPr="005436C8">
        <w:rPr>
          <w:noProof/>
          <w:color w:val="000000"/>
          <w:sz w:val="22"/>
          <w:szCs w:val="22"/>
          <w:lang w:val="sr-Latn-ME"/>
        </w:rPr>
        <w:t>e</w:t>
      </w:r>
      <w:r w:rsidR="003A6A06" w:rsidRPr="005436C8">
        <w:rPr>
          <w:noProof/>
          <w:color w:val="000000"/>
          <w:sz w:val="22"/>
          <w:szCs w:val="22"/>
          <w:lang w:val="sr-Latn-ME"/>
        </w:rPr>
        <w:t xml:space="preserve"> primjene</w:t>
      </w:r>
      <w:r w:rsidR="000C7302" w:rsidRPr="005436C8">
        <w:rPr>
          <w:noProof/>
          <w:color w:val="000000"/>
          <w:sz w:val="22"/>
          <w:szCs w:val="22"/>
          <w:lang w:val="sr-Latn-ME"/>
        </w:rPr>
        <w:t xml:space="preserve"> su odgovornost korisnika i ne treba da budu duži od 24 sata na 2–8 °C, osim ukoliko je do pripreme šprica došlo u kontrolisanim i potvrđenim aseptičnim uslovima.</w:t>
      </w:r>
    </w:p>
    <w:p w14:paraId="6E7D0F0A" w14:textId="77777777" w:rsidR="0072020E" w:rsidRPr="005436C8" w:rsidRDefault="0072020E" w:rsidP="005436C8">
      <w:pPr>
        <w:tabs>
          <w:tab w:val="left" w:pos="540"/>
          <w:tab w:val="left" w:pos="569"/>
        </w:tabs>
        <w:rPr>
          <w:bCs/>
          <w:sz w:val="22"/>
          <w:szCs w:val="22"/>
          <w:lang w:val="sr-Latn-ME"/>
        </w:rPr>
      </w:pPr>
    </w:p>
    <w:p w14:paraId="4EB6D1F2"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6.4. </w:t>
      </w:r>
      <w:r w:rsidR="00480FB1" w:rsidRPr="005436C8">
        <w:rPr>
          <w:b/>
          <w:bCs/>
          <w:sz w:val="22"/>
          <w:szCs w:val="22"/>
          <w:lang w:val="sr-Latn-ME"/>
        </w:rPr>
        <w:tab/>
      </w:r>
      <w:r w:rsidRPr="005436C8">
        <w:rPr>
          <w:b/>
          <w:bCs/>
          <w:sz w:val="22"/>
          <w:szCs w:val="22"/>
          <w:lang w:val="sr-Latn-ME"/>
        </w:rPr>
        <w:t>Posebne mjere upozorenja pri čuvanju</w:t>
      </w:r>
      <w:r w:rsidR="00F8570A" w:rsidRPr="005436C8">
        <w:rPr>
          <w:b/>
          <w:bCs/>
          <w:sz w:val="22"/>
          <w:szCs w:val="22"/>
          <w:lang w:val="sr-Latn-ME"/>
        </w:rPr>
        <w:t xml:space="preserve"> lijeka</w:t>
      </w:r>
    </w:p>
    <w:p w14:paraId="56A0FD44" w14:textId="77777777" w:rsidR="000C7302" w:rsidRPr="005436C8" w:rsidRDefault="000C7302" w:rsidP="005436C8">
      <w:pPr>
        <w:tabs>
          <w:tab w:val="left" w:pos="540"/>
          <w:tab w:val="left" w:pos="569"/>
        </w:tabs>
        <w:rPr>
          <w:b/>
          <w:bCs/>
          <w:sz w:val="22"/>
          <w:szCs w:val="22"/>
          <w:lang w:val="sr-Latn-ME"/>
        </w:rPr>
      </w:pPr>
    </w:p>
    <w:p w14:paraId="7920F710" w14:textId="77777777" w:rsidR="000C7302" w:rsidRPr="005436C8" w:rsidRDefault="000C7302" w:rsidP="005436C8">
      <w:pPr>
        <w:tabs>
          <w:tab w:val="left" w:pos="284"/>
        </w:tabs>
        <w:ind w:left="567" w:hanging="567"/>
        <w:jc w:val="both"/>
        <w:outlineLvl w:val="0"/>
        <w:rPr>
          <w:noProof/>
          <w:color w:val="000000"/>
          <w:sz w:val="22"/>
          <w:szCs w:val="22"/>
          <w:lang w:val="sr-Latn-ME"/>
        </w:rPr>
      </w:pPr>
      <w:r w:rsidRPr="005436C8">
        <w:rPr>
          <w:noProof/>
          <w:color w:val="000000"/>
          <w:sz w:val="22"/>
          <w:szCs w:val="22"/>
          <w:lang w:val="sr-Latn-ME"/>
        </w:rPr>
        <w:t>Čuvati u frižideru (2 °C do 8 °C).</w:t>
      </w:r>
    </w:p>
    <w:p w14:paraId="00B30718" w14:textId="77777777" w:rsidR="000C7302" w:rsidRPr="005436C8" w:rsidRDefault="000C7302" w:rsidP="005436C8">
      <w:pPr>
        <w:tabs>
          <w:tab w:val="left" w:pos="284"/>
        </w:tabs>
        <w:ind w:left="567" w:hanging="567"/>
        <w:jc w:val="both"/>
        <w:outlineLvl w:val="0"/>
        <w:rPr>
          <w:noProof/>
          <w:color w:val="000000"/>
          <w:sz w:val="22"/>
          <w:szCs w:val="22"/>
          <w:lang w:val="sr-Latn-ME"/>
        </w:rPr>
      </w:pPr>
      <w:r w:rsidRPr="005436C8">
        <w:rPr>
          <w:noProof/>
          <w:color w:val="000000"/>
          <w:sz w:val="22"/>
          <w:szCs w:val="22"/>
          <w:lang w:val="sr-Latn-ME"/>
        </w:rPr>
        <w:t>Ne zamrzavati.</w:t>
      </w:r>
    </w:p>
    <w:p w14:paraId="6F23D4F2" w14:textId="77777777" w:rsidR="000C7302" w:rsidRPr="005436C8" w:rsidRDefault="000C7302" w:rsidP="005436C8">
      <w:pPr>
        <w:tabs>
          <w:tab w:val="left" w:pos="284"/>
        </w:tabs>
        <w:ind w:left="567" w:hanging="567"/>
        <w:jc w:val="both"/>
        <w:outlineLvl w:val="0"/>
        <w:rPr>
          <w:noProof/>
          <w:color w:val="000000"/>
          <w:sz w:val="22"/>
          <w:szCs w:val="22"/>
          <w:lang w:val="sr-Latn-ME"/>
        </w:rPr>
      </w:pPr>
    </w:p>
    <w:p w14:paraId="4CAD2EB7" w14:textId="77777777" w:rsidR="000C7302" w:rsidRPr="005436C8" w:rsidRDefault="000C7302" w:rsidP="005436C8">
      <w:pPr>
        <w:tabs>
          <w:tab w:val="left" w:pos="284"/>
        </w:tabs>
        <w:ind w:left="567" w:hanging="567"/>
        <w:jc w:val="both"/>
        <w:outlineLvl w:val="0"/>
        <w:rPr>
          <w:noProof/>
          <w:color w:val="000000"/>
          <w:sz w:val="22"/>
          <w:szCs w:val="22"/>
          <w:lang w:val="sr-Latn-ME"/>
        </w:rPr>
      </w:pPr>
      <w:r w:rsidRPr="005436C8">
        <w:rPr>
          <w:noProof/>
          <w:color w:val="000000"/>
          <w:sz w:val="22"/>
          <w:szCs w:val="22"/>
          <w:lang w:val="sr-Latn-ME"/>
        </w:rPr>
        <w:lastRenderedPageBreak/>
        <w:t xml:space="preserve">Bočicu čuvati u spoljašnjem kartonskom pakovanju radi zaštite od </w:t>
      </w:r>
      <w:r w:rsidR="00FE754C" w:rsidRPr="005436C8">
        <w:rPr>
          <w:noProof/>
          <w:color w:val="000000"/>
          <w:sz w:val="22"/>
          <w:szCs w:val="22"/>
          <w:lang w:val="sr-Latn-ME"/>
        </w:rPr>
        <w:t>svjetlost</w:t>
      </w:r>
      <w:r w:rsidRPr="005436C8">
        <w:rPr>
          <w:noProof/>
          <w:color w:val="000000"/>
          <w:sz w:val="22"/>
          <w:szCs w:val="22"/>
          <w:lang w:val="sr-Latn-ME"/>
        </w:rPr>
        <w:t>i.</w:t>
      </w:r>
    </w:p>
    <w:p w14:paraId="2AE60FF4" w14:textId="77777777" w:rsidR="000C7302" w:rsidRPr="005436C8" w:rsidRDefault="000C7302" w:rsidP="005436C8">
      <w:pPr>
        <w:tabs>
          <w:tab w:val="left" w:pos="284"/>
        </w:tabs>
        <w:ind w:left="567" w:hanging="567"/>
        <w:jc w:val="both"/>
        <w:outlineLvl w:val="0"/>
        <w:rPr>
          <w:noProof/>
          <w:color w:val="000000"/>
          <w:sz w:val="22"/>
          <w:szCs w:val="22"/>
          <w:lang w:val="sr-Latn-ME"/>
        </w:rPr>
      </w:pPr>
    </w:p>
    <w:p w14:paraId="56FEC594" w14:textId="77777777" w:rsidR="000C7302" w:rsidRPr="005436C8" w:rsidRDefault="000C7302" w:rsidP="005436C8">
      <w:pPr>
        <w:tabs>
          <w:tab w:val="left" w:pos="284"/>
        </w:tabs>
        <w:jc w:val="both"/>
        <w:rPr>
          <w:i/>
          <w:noProof/>
          <w:color w:val="000000"/>
          <w:sz w:val="22"/>
          <w:szCs w:val="22"/>
          <w:lang w:val="sr-Latn-ME"/>
        </w:rPr>
      </w:pPr>
      <w:r w:rsidRPr="005436C8">
        <w:rPr>
          <w:noProof/>
          <w:color w:val="000000"/>
          <w:sz w:val="22"/>
          <w:szCs w:val="22"/>
          <w:lang w:val="sr-Latn-ME"/>
        </w:rPr>
        <w:t xml:space="preserve">Za uslove čuvanja otvorenog </w:t>
      </w:r>
      <w:r w:rsidR="00166973" w:rsidRPr="005436C8">
        <w:rPr>
          <w:noProof/>
          <w:color w:val="000000"/>
          <w:sz w:val="22"/>
          <w:szCs w:val="22"/>
          <w:lang w:val="sr-Latn-ME"/>
        </w:rPr>
        <w:t>lijek</w:t>
      </w:r>
      <w:r w:rsidRPr="005436C8">
        <w:rPr>
          <w:noProof/>
          <w:color w:val="000000"/>
          <w:sz w:val="22"/>
          <w:szCs w:val="22"/>
          <w:lang w:val="sr-Latn-ME"/>
        </w:rPr>
        <w:t>a</w:t>
      </w:r>
      <w:r w:rsidR="003A6A06" w:rsidRPr="005436C8">
        <w:rPr>
          <w:noProof/>
          <w:color w:val="000000"/>
          <w:sz w:val="22"/>
          <w:szCs w:val="22"/>
          <w:lang w:val="sr-Latn-ME"/>
        </w:rPr>
        <w:t>,</w:t>
      </w:r>
      <w:r w:rsidRPr="005436C8">
        <w:rPr>
          <w:noProof/>
          <w:color w:val="000000"/>
          <w:sz w:val="22"/>
          <w:szCs w:val="22"/>
          <w:lang w:val="sr-Latn-ME"/>
        </w:rPr>
        <w:t xml:space="preserve"> pogledajte </w:t>
      </w:r>
      <w:r w:rsidR="00D55E42">
        <w:rPr>
          <w:noProof/>
          <w:color w:val="000000"/>
          <w:sz w:val="22"/>
          <w:szCs w:val="22"/>
          <w:lang w:val="sr-Latn-ME"/>
        </w:rPr>
        <w:t>djelove</w:t>
      </w:r>
      <w:r w:rsidR="00D55E42" w:rsidRPr="005436C8">
        <w:rPr>
          <w:noProof/>
          <w:color w:val="000000"/>
          <w:sz w:val="22"/>
          <w:szCs w:val="22"/>
          <w:lang w:val="sr-Latn-ME"/>
        </w:rPr>
        <w:t xml:space="preserve"> </w:t>
      </w:r>
      <w:r w:rsidRPr="005436C8">
        <w:rPr>
          <w:noProof/>
          <w:color w:val="000000"/>
          <w:sz w:val="22"/>
          <w:szCs w:val="22"/>
          <w:lang w:val="sr-Latn-ME"/>
        </w:rPr>
        <w:t>6.3 i 6.6.</w:t>
      </w:r>
    </w:p>
    <w:p w14:paraId="06EE929D" w14:textId="77777777" w:rsidR="00EC2532" w:rsidRPr="005436C8" w:rsidRDefault="00EC2532" w:rsidP="005436C8">
      <w:pPr>
        <w:tabs>
          <w:tab w:val="left" w:pos="540"/>
          <w:tab w:val="left" w:pos="569"/>
        </w:tabs>
        <w:rPr>
          <w:bCs/>
          <w:sz w:val="22"/>
          <w:szCs w:val="22"/>
          <w:lang w:val="sr-Latn-ME"/>
        </w:rPr>
      </w:pPr>
    </w:p>
    <w:p w14:paraId="097B4E55"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6.5. </w:t>
      </w:r>
      <w:r w:rsidR="00480FB1" w:rsidRPr="005436C8">
        <w:rPr>
          <w:b/>
          <w:bCs/>
          <w:sz w:val="22"/>
          <w:szCs w:val="22"/>
          <w:lang w:val="sr-Latn-ME"/>
        </w:rPr>
        <w:tab/>
      </w:r>
      <w:r w:rsidR="002846DB" w:rsidRPr="005436C8">
        <w:rPr>
          <w:b/>
          <w:bCs/>
          <w:sz w:val="22"/>
          <w:szCs w:val="22"/>
          <w:lang w:val="sr-Latn-ME"/>
        </w:rPr>
        <w:t xml:space="preserve">Vrsta i sadržaj </w:t>
      </w:r>
      <w:r w:rsidR="00F8570A" w:rsidRPr="005436C8">
        <w:rPr>
          <w:b/>
          <w:bCs/>
          <w:sz w:val="22"/>
          <w:szCs w:val="22"/>
          <w:lang w:val="sr-Latn-ME"/>
        </w:rPr>
        <w:t>pakovanja</w:t>
      </w:r>
      <w:r w:rsidR="00C06864" w:rsidRPr="005436C8">
        <w:rPr>
          <w:b/>
          <w:bCs/>
          <w:sz w:val="22"/>
          <w:szCs w:val="22"/>
          <w:lang w:val="sr-Latn-ME"/>
        </w:rPr>
        <w:t xml:space="preserve"> </w:t>
      </w:r>
    </w:p>
    <w:p w14:paraId="5A78B652" w14:textId="77777777" w:rsidR="000C7302" w:rsidRPr="005436C8" w:rsidRDefault="000C7302" w:rsidP="005436C8">
      <w:pPr>
        <w:tabs>
          <w:tab w:val="left" w:pos="540"/>
          <w:tab w:val="left" w:pos="569"/>
        </w:tabs>
        <w:rPr>
          <w:b/>
          <w:bCs/>
          <w:sz w:val="22"/>
          <w:szCs w:val="22"/>
          <w:lang w:val="sr-Latn-ME"/>
        </w:rPr>
      </w:pPr>
    </w:p>
    <w:p w14:paraId="63F73E68" w14:textId="77777777" w:rsidR="000C7302" w:rsidRPr="005436C8" w:rsidRDefault="000C7302" w:rsidP="005436C8">
      <w:pPr>
        <w:keepNext/>
        <w:keepLines/>
        <w:tabs>
          <w:tab w:val="left" w:pos="284"/>
        </w:tabs>
        <w:jc w:val="both"/>
        <w:outlineLvl w:val="0"/>
        <w:rPr>
          <w:noProof/>
          <w:color w:val="000000"/>
          <w:sz w:val="22"/>
          <w:szCs w:val="22"/>
          <w:u w:val="single"/>
          <w:lang w:val="sr-Latn-ME"/>
        </w:rPr>
      </w:pPr>
      <w:r w:rsidRPr="005436C8">
        <w:rPr>
          <w:sz w:val="22"/>
          <w:szCs w:val="22"/>
          <w:u w:val="single"/>
          <w:lang w:val="sr-Latn-ME"/>
        </w:rPr>
        <w:t>Phesgo</w:t>
      </w:r>
      <w:r w:rsidRPr="005436C8">
        <w:rPr>
          <w:noProof/>
          <w:color w:val="000000"/>
          <w:sz w:val="22"/>
          <w:szCs w:val="22"/>
          <w:u w:val="single"/>
          <w:lang w:val="sr-Latn-ME"/>
        </w:rPr>
        <w:t xml:space="preserve"> </w:t>
      </w:r>
      <w:r w:rsidR="00480DE8" w:rsidRPr="005436C8">
        <w:rPr>
          <w:noProof/>
          <w:color w:val="000000"/>
          <w:sz w:val="22"/>
          <w:szCs w:val="22"/>
          <w:u w:val="single"/>
          <w:lang w:val="sr-Latn-ME"/>
        </w:rPr>
        <w:t>(</w:t>
      </w:r>
      <w:r w:rsidRPr="005436C8">
        <w:rPr>
          <w:noProof/>
          <w:color w:val="000000"/>
          <w:sz w:val="22"/>
          <w:szCs w:val="22"/>
          <w:u w:val="single"/>
          <w:lang w:val="sr-Latn-ME"/>
        </w:rPr>
        <w:t>600 mg</w:t>
      </w:r>
      <w:r w:rsidR="00480DE8" w:rsidRPr="005436C8">
        <w:rPr>
          <w:noProof/>
          <w:color w:val="000000"/>
          <w:sz w:val="22"/>
          <w:szCs w:val="22"/>
          <w:u w:val="single"/>
          <w:lang w:val="sr-Latn-ME"/>
        </w:rPr>
        <w:t xml:space="preserve"> + </w:t>
      </w:r>
      <w:r w:rsidRPr="005436C8">
        <w:rPr>
          <w:noProof/>
          <w:color w:val="000000"/>
          <w:sz w:val="22"/>
          <w:szCs w:val="22"/>
          <w:u w:val="single"/>
          <w:lang w:val="sr-Latn-ME"/>
        </w:rPr>
        <w:t>600 mg</w:t>
      </w:r>
      <w:r w:rsidR="00480DE8" w:rsidRPr="005436C8">
        <w:rPr>
          <w:noProof/>
          <w:color w:val="000000"/>
          <w:sz w:val="22"/>
          <w:szCs w:val="22"/>
          <w:u w:val="single"/>
          <w:lang w:val="sr-Latn-ME"/>
        </w:rPr>
        <w:t>)/ 10</w:t>
      </w:r>
      <w:r w:rsidR="00B92A33">
        <w:rPr>
          <w:noProof/>
          <w:color w:val="000000"/>
          <w:sz w:val="22"/>
          <w:szCs w:val="22"/>
          <w:u w:val="single"/>
          <w:lang w:val="sr-Latn-ME"/>
        </w:rPr>
        <w:t xml:space="preserve"> </w:t>
      </w:r>
      <w:r w:rsidR="00480DE8" w:rsidRPr="005436C8">
        <w:rPr>
          <w:noProof/>
          <w:color w:val="000000"/>
          <w:sz w:val="22"/>
          <w:szCs w:val="22"/>
          <w:u w:val="single"/>
          <w:lang w:val="sr-Latn-ME"/>
        </w:rPr>
        <w:t>ml</w:t>
      </w:r>
      <w:r w:rsidRPr="005436C8">
        <w:rPr>
          <w:noProof/>
          <w:color w:val="000000"/>
          <w:sz w:val="22"/>
          <w:szCs w:val="22"/>
          <w:u w:val="single"/>
          <w:lang w:val="sr-Latn-ME"/>
        </w:rPr>
        <w:t xml:space="preserve"> rastvor za injekciju</w:t>
      </w:r>
    </w:p>
    <w:p w14:paraId="1F21F4B9" w14:textId="77777777" w:rsidR="000C7302" w:rsidRPr="005436C8" w:rsidRDefault="000C7302" w:rsidP="005436C8">
      <w:pPr>
        <w:keepNext/>
        <w:keepLines/>
        <w:tabs>
          <w:tab w:val="left" w:pos="284"/>
        </w:tabs>
        <w:jc w:val="both"/>
        <w:outlineLvl w:val="0"/>
        <w:rPr>
          <w:noProof/>
          <w:color w:val="000000"/>
          <w:sz w:val="22"/>
          <w:szCs w:val="22"/>
          <w:u w:val="single"/>
          <w:lang w:val="sr-Latn-ME"/>
        </w:rPr>
      </w:pPr>
    </w:p>
    <w:p w14:paraId="74B627FC" w14:textId="77777777" w:rsidR="000C7302" w:rsidRPr="005436C8" w:rsidRDefault="000C7302" w:rsidP="005436C8">
      <w:pPr>
        <w:keepNext/>
        <w:keepLines/>
        <w:tabs>
          <w:tab w:val="left" w:pos="284"/>
        </w:tabs>
        <w:jc w:val="both"/>
        <w:outlineLvl w:val="0"/>
        <w:rPr>
          <w:color w:val="000000"/>
          <w:sz w:val="22"/>
          <w:szCs w:val="22"/>
          <w:lang w:val="sr-Latn-ME"/>
        </w:rPr>
      </w:pPr>
      <w:r w:rsidRPr="005436C8">
        <w:rPr>
          <w:color w:val="000000"/>
          <w:sz w:val="22"/>
          <w:szCs w:val="22"/>
          <w:lang w:val="sr-Latn-ME"/>
        </w:rPr>
        <w:t xml:space="preserve">Pakovanje sa jednom staklenom bočicom od 15 ml od borosilikatnog stakla tipa I, zatvorenom čepom od gume obložene fluorosmolom, koja sadrži 10 ml rastvora sa </w:t>
      </w:r>
      <w:r w:rsidRPr="005436C8">
        <w:rPr>
          <w:noProof/>
          <w:color w:val="000000"/>
          <w:sz w:val="22"/>
          <w:szCs w:val="22"/>
          <w:lang w:val="sr-Latn-ME"/>
        </w:rPr>
        <w:t>600</w:t>
      </w:r>
      <w:r w:rsidRPr="005436C8">
        <w:rPr>
          <w:color w:val="000000"/>
          <w:sz w:val="22"/>
          <w:szCs w:val="22"/>
          <w:lang w:val="sr-Latn-ME"/>
        </w:rPr>
        <w:t xml:space="preserve"> mg pertuzumaba i 600 mg trastuzumaba.</w:t>
      </w:r>
    </w:p>
    <w:p w14:paraId="0B28D307" w14:textId="77777777" w:rsidR="000C7302" w:rsidRPr="005436C8" w:rsidRDefault="000C7302" w:rsidP="005436C8">
      <w:pPr>
        <w:tabs>
          <w:tab w:val="left" w:pos="284"/>
        </w:tabs>
        <w:jc w:val="both"/>
        <w:outlineLvl w:val="0"/>
        <w:rPr>
          <w:color w:val="000000"/>
          <w:sz w:val="22"/>
          <w:szCs w:val="22"/>
          <w:lang w:val="sr-Latn-ME"/>
        </w:rPr>
      </w:pPr>
      <w:r w:rsidRPr="005436C8">
        <w:rPr>
          <w:color w:val="000000"/>
          <w:sz w:val="22"/>
          <w:szCs w:val="22"/>
          <w:lang w:val="sr-Latn-ME"/>
        </w:rPr>
        <w:t>Čep je zatvoren aluminij</w:t>
      </w:r>
      <w:r w:rsidR="00762B61" w:rsidRPr="005436C8">
        <w:rPr>
          <w:color w:val="000000"/>
          <w:sz w:val="22"/>
          <w:szCs w:val="22"/>
          <w:lang w:val="sr-Latn-ME"/>
        </w:rPr>
        <w:t>um</w:t>
      </w:r>
      <w:r w:rsidRPr="005436C8">
        <w:rPr>
          <w:color w:val="000000"/>
          <w:sz w:val="22"/>
          <w:szCs w:val="22"/>
          <w:lang w:val="sr-Latn-ME"/>
        </w:rPr>
        <w:t xml:space="preserve">skim zaštitnim prstenom i narandžastim plastičnim </w:t>
      </w:r>
      <w:r w:rsidRPr="005436C8">
        <w:rPr>
          <w:i/>
          <w:iCs/>
          <w:color w:val="000000"/>
          <w:sz w:val="22"/>
          <w:szCs w:val="22"/>
          <w:lang w:val="sr-Latn-ME"/>
        </w:rPr>
        <w:t>flip-off</w:t>
      </w:r>
      <w:r w:rsidRPr="005436C8">
        <w:rPr>
          <w:color w:val="000000"/>
          <w:sz w:val="22"/>
          <w:szCs w:val="22"/>
          <w:lang w:val="sr-Latn-ME"/>
        </w:rPr>
        <w:t xml:space="preserve"> poklopcem.</w:t>
      </w:r>
    </w:p>
    <w:p w14:paraId="38347D59" w14:textId="77777777" w:rsidR="000C7302" w:rsidRPr="005436C8" w:rsidRDefault="000C7302" w:rsidP="005436C8">
      <w:pPr>
        <w:widowControl w:val="0"/>
        <w:tabs>
          <w:tab w:val="left" w:pos="284"/>
        </w:tabs>
        <w:jc w:val="both"/>
        <w:rPr>
          <w:noProof/>
          <w:color w:val="000000"/>
          <w:sz w:val="22"/>
          <w:szCs w:val="22"/>
          <w:u w:val="single"/>
          <w:lang w:val="sr-Latn-ME"/>
        </w:rPr>
      </w:pPr>
    </w:p>
    <w:p w14:paraId="50B995F3" w14:textId="77777777" w:rsidR="000C7302" w:rsidRPr="005436C8" w:rsidRDefault="000C7302" w:rsidP="005436C8">
      <w:pPr>
        <w:widowControl w:val="0"/>
        <w:tabs>
          <w:tab w:val="left" w:pos="284"/>
        </w:tabs>
        <w:jc w:val="both"/>
        <w:rPr>
          <w:noProof/>
          <w:color w:val="000000"/>
          <w:sz w:val="22"/>
          <w:szCs w:val="22"/>
          <w:u w:val="single"/>
          <w:lang w:val="sr-Latn-ME"/>
        </w:rPr>
      </w:pPr>
      <w:r w:rsidRPr="005436C8">
        <w:rPr>
          <w:noProof/>
          <w:color w:val="000000"/>
          <w:sz w:val="22"/>
          <w:szCs w:val="22"/>
          <w:u w:val="single"/>
          <w:lang w:val="sr-Latn-ME"/>
        </w:rPr>
        <w:t xml:space="preserve">Phesgo </w:t>
      </w:r>
      <w:r w:rsidR="00480DE8" w:rsidRPr="005436C8">
        <w:rPr>
          <w:noProof/>
          <w:color w:val="000000"/>
          <w:sz w:val="22"/>
          <w:szCs w:val="22"/>
          <w:u w:val="single"/>
          <w:lang w:val="sr-Latn-ME"/>
        </w:rPr>
        <w:t>(</w:t>
      </w:r>
      <w:r w:rsidRPr="005436C8">
        <w:rPr>
          <w:noProof/>
          <w:color w:val="000000"/>
          <w:sz w:val="22"/>
          <w:szCs w:val="22"/>
          <w:u w:val="single"/>
          <w:lang w:val="sr-Latn-ME"/>
        </w:rPr>
        <w:t>1200 mg</w:t>
      </w:r>
      <w:r w:rsidR="00480DE8" w:rsidRPr="005436C8">
        <w:rPr>
          <w:noProof/>
          <w:color w:val="000000"/>
          <w:sz w:val="22"/>
          <w:szCs w:val="22"/>
          <w:u w:val="single"/>
          <w:lang w:val="sr-Latn-ME"/>
        </w:rPr>
        <w:t xml:space="preserve"> + </w:t>
      </w:r>
      <w:r w:rsidRPr="005436C8">
        <w:rPr>
          <w:noProof/>
          <w:color w:val="000000"/>
          <w:sz w:val="22"/>
          <w:szCs w:val="22"/>
          <w:u w:val="single"/>
          <w:lang w:val="sr-Latn-ME"/>
        </w:rPr>
        <w:t>600 mg</w:t>
      </w:r>
      <w:r w:rsidR="00480DE8" w:rsidRPr="005436C8">
        <w:rPr>
          <w:noProof/>
          <w:color w:val="000000"/>
          <w:sz w:val="22"/>
          <w:szCs w:val="22"/>
          <w:u w:val="single"/>
          <w:lang w:val="sr-Latn-ME"/>
        </w:rPr>
        <w:t>)/ 15 ml</w:t>
      </w:r>
      <w:r w:rsidRPr="005436C8">
        <w:rPr>
          <w:noProof/>
          <w:color w:val="000000"/>
          <w:sz w:val="22"/>
          <w:szCs w:val="22"/>
          <w:u w:val="single"/>
          <w:lang w:val="sr-Latn-ME"/>
        </w:rPr>
        <w:t xml:space="preserve"> rastvor za injekciju</w:t>
      </w:r>
    </w:p>
    <w:p w14:paraId="7ABA6437" w14:textId="77777777" w:rsidR="000C7302" w:rsidRPr="005436C8" w:rsidRDefault="000C7302" w:rsidP="005436C8">
      <w:pPr>
        <w:widowControl w:val="0"/>
        <w:tabs>
          <w:tab w:val="left" w:pos="284"/>
        </w:tabs>
        <w:jc w:val="both"/>
        <w:rPr>
          <w:noProof/>
          <w:color w:val="000000"/>
          <w:sz w:val="22"/>
          <w:szCs w:val="22"/>
          <w:u w:val="single"/>
          <w:lang w:val="sr-Latn-ME"/>
        </w:rPr>
      </w:pPr>
    </w:p>
    <w:p w14:paraId="5BA3831F" w14:textId="77777777" w:rsidR="000C7302" w:rsidRPr="005436C8" w:rsidRDefault="000C7302" w:rsidP="005436C8">
      <w:pPr>
        <w:widowControl w:val="0"/>
        <w:tabs>
          <w:tab w:val="left" w:pos="284"/>
        </w:tabs>
        <w:jc w:val="both"/>
        <w:rPr>
          <w:color w:val="000000"/>
          <w:sz w:val="22"/>
          <w:szCs w:val="22"/>
          <w:lang w:val="sr-Latn-ME"/>
        </w:rPr>
      </w:pPr>
      <w:r w:rsidRPr="005436C8">
        <w:rPr>
          <w:color w:val="000000"/>
          <w:sz w:val="22"/>
          <w:szCs w:val="22"/>
          <w:lang w:val="sr-Latn-ME"/>
        </w:rPr>
        <w:t xml:space="preserve">Pakovanje sa jednom staklenom bočicom od 20 ml od borosilikatnog stakla tipa I, zatvorenom čepom od gume obložene fluorosmolom, koja sadrži 15 ml rastvora sa 1200 mg pertuzumaba i 600 mg trastuzumaba. </w:t>
      </w:r>
    </w:p>
    <w:p w14:paraId="2AEA20E4" w14:textId="77777777" w:rsidR="000C7302" w:rsidRPr="005436C8" w:rsidRDefault="000C7302" w:rsidP="005436C8">
      <w:pPr>
        <w:tabs>
          <w:tab w:val="left" w:pos="284"/>
        </w:tabs>
        <w:jc w:val="both"/>
        <w:rPr>
          <w:color w:val="000000"/>
          <w:sz w:val="22"/>
          <w:szCs w:val="22"/>
          <w:lang w:val="sr-Latn-ME"/>
        </w:rPr>
      </w:pPr>
      <w:r w:rsidRPr="005436C8">
        <w:rPr>
          <w:color w:val="000000"/>
          <w:sz w:val="22"/>
          <w:szCs w:val="22"/>
          <w:lang w:val="sr-Latn-ME"/>
        </w:rPr>
        <w:t>Čep je zatvoren aluminij</w:t>
      </w:r>
      <w:r w:rsidR="00762B61" w:rsidRPr="005436C8">
        <w:rPr>
          <w:color w:val="000000"/>
          <w:sz w:val="22"/>
          <w:szCs w:val="22"/>
          <w:lang w:val="sr-Latn-ME"/>
        </w:rPr>
        <w:t>um</w:t>
      </w:r>
      <w:r w:rsidRPr="005436C8">
        <w:rPr>
          <w:color w:val="000000"/>
          <w:sz w:val="22"/>
          <w:szCs w:val="22"/>
          <w:lang w:val="sr-Latn-ME"/>
        </w:rPr>
        <w:t xml:space="preserve">skim zaštitnim prstenom i zelenim plastičnim </w:t>
      </w:r>
      <w:r w:rsidRPr="005436C8">
        <w:rPr>
          <w:i/>
          <w:iCs/>
          <w:color w:val="000000"/>
          <w:sz w:val="22"/>
          <w:szCs w:val="22"/>
          <w:lang w:val="sr-Latn-ME"/>
        </w:rPr>
        <w:t>flip-off</w:t>
      </w:r>
      <w:r w:rsidRPr="005436C8">
        <w:rPr>
          <w:color w:val="000000"/>
          <w:sz w:val="22"/>
          <w:szCs w:val="22"/>
          <w:lang w:val="sr-Latn-ME"/>
        </w:rPr>
        <w:t xml:space="preserve"> poklopcem.</w:t>
      </w:r>
      <w:r w:rsidRPr="005436C8">
        <w:rPr>
          <w:color w:val="000000"/>
          <w:sz w:val="22"/>
          <w:szCs w:val="22"/>
          <w:lang w:val="sr-Latn-ME"/>
        </w:rPr>
        <w:tab/>
      </w:r>
    </w:p>
    <w:p w14:paraId="72FCA27E" w14:textId="77777777" w:rsidR="0072020E" w:rsidRPr="005436C8" w:rsidRDefault="0072020E" w:rsidP="005436C8">
      <w:pPr>
        <w:tabs>
          <w:tab w:val="left" w:pos="540"/>
          <w:tab w:val="left" w:pos="569"/>
        </w:tabs>
        <w:rPr>
          <w:bCs/>
          <w:sz w:val="22"/>
          <w:szCs w:val="22"/>
          <w:lang w:val="sr-Latn-ME"/>
        </w:rPr>
      </w:pPr>
    </w:p>
    <w:p w14:paraId="60F2A98B" w14:textId="77777777" w:rsidR="002846DB"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6.6. </w:t>
      </w:r>
      <w:r w:rsidR="00480FB1" w:rsidRPr="005436C8">
        <w:rPr>
          <w:b/>
          <w:bCs/>
          <w:sz w:val="22"/>
          <w:szCs w:val="22"/>
          <w:lang w:val="sr-Latn-ME"/>
        </w:rPr>
        <w:tab/>
      </w:r>
      <w:r w:rsidRPr="005436C8">
        <w:rPr>
          <w:b/>
          <w:bCs/>
          <w:color w:val="000000"/>
          <w:sz w:val="22"/>
          <w:szCs w:val="22"/>
          <w:lang w:val="sr-Latn-ME"/>
        </w:rPr>
        <w:t>Posebne mjere opreza pri odlaganju materijala koji treba odbaciti nakon primjene lijeka</w:t>
      </w:r>
      <w:r w:rsidRPr="005436C8">
        <w:rPr>
          <w:b/>
          <w:bCs/>
          <w:sz w:val="22"/>
          <w:szCs w:val="22"/>
          <w:lang w:val="sr-Latn-ME"/>
        </w:rPr>
        <w:t xml:space="preserve"> </w:t>
      </w:r>
      <w:r w:rsidR="00310F03" w:rsidRPr="005436C8">
        <w:rPr>
          <w:b/>
          <w:bCs/>
          <w:sz w:val="22"/>
          <w:szCs w:val="22"/>
          <w:lang w:val="sr-Latn-ME"/>
        </w:rPr>
        <w:t>(i druga uputs</w:t>
      </w:r>
      <w:r w:rsidR="004109FA" w:rsidRPr="005436C8">
        <w:rPr>
          <w:b/>
          <w:bCs/>
          <w:sz w:val="22"/>
          <w:szCs w:val="22"/>
          <w:lang w:val="sr-Latn-ME"/>
        </w:rPr>
        <w:t>t</w:t>
      </w:r>
      <w:r w:rsidR="00310F03" w:rsidRPr="005436C8">
        <w:rPr>
          <w:b/>
          <w:bCs/>
          <w:sz w:val="22"/>
          <w:szCs w:val="22"/>
          <w:lang w:val="sr-Latn-ME"/>
        </w:rPr>
        <w:t xml:space="preserve">va za rukovanje lijekom) </w:t>
      </w:r>
    </w:p>
    <w:p w14:paraId="585F1761" w14:textId="77777777" w:rsidR="00B66A70" w:rsidRPr="005436C8" w:rsidRDefault="00B66A70" w:rsidP="005436C8">
      <w:pPr>
        <w:tabs>
          <w:tab w:val="left" w:pos="540"/>
          <w:tab w:val="left" w:pos="569"/>
        </w:tabs>
        <w:rPr>
          <w:b/>
          <w:bCs/>
          <w:sz w:val="22"/>
          <w:szCs w:val="22"/>
          <w:lang w:val="sr-Latn-ME"/>
        </w:rPr>
      </w:pPr>
    </w:p>
    <w:p w14:paraId="5310D4EE" w14:textId="77777777" w:rsidR="000C7302" w:rsidRPr="005436C8" w:rsidRDefault="00166973" w:rsidP="005436C8">
      <w:pPr>
        <w:tabs>
          <w:tab w:val="left" w:pos="284"/>
        </w:tabs>
        <w:jc w:val="both"/>
        <w:rPr>
          <w:noProof/>
          <w:color w:val="000000"/>
          <w:sz w:val="22"/>
          <w:szCs w:val="22"/>
          <w:lang w:val="sr-Latn-ME"/>
        </w:rPr>
      </w:pPr>
      <w:r w:rsidRPr="005436C8">
        <w:rPr>
          <w:sz w:val="22"/>
          <w:szCs w:val="22"/>
          <w:lang w:val="sr-Latn-ME"/>
        </w:rPr>
        <w:t>Lijek</w:t>
      </w:r>
      <w:r w:rsidR="000C7302" w:rsidRPr="005436C8">
        <w:rPr>
          <w:sz w:val="22"/>
          <w:szCs w:val="22"/>
          <w:lang w:val="sr-Latn-ME"/>
        </w:rPr>
        <w:t xml:space="preserve"> </w:t>
      </w:r>
      <w:r w:rsidR="000C7302" w:rsidRPr="005436C8">
        <w:rPr>
          <w:noProof/>
          <w:color w:val="000000"/>
          <w:sz w:val="22"/>
          <w:szCs w:val="22"/>
          <w:lang w:val="sr-Latn-ME"/>
        </w:rPr>
        <w:t>Phesgo pr</w:t>
      </w:r>
      <w:r w:rsidR="00FE754C" w:rsidRPr="005436C8">
        <w:rPr>
          <w:noProof/>
          <w:color w:val="000000"/>
          <w:sz w:val="22"/>
          <w:szCs w:val="22"/>
          <w:lang w:val="sr-Latn-ME"/>
        </w:rPr>
        <w:t>ij</w:t>
      </w:r>
      <w:r w:rsidR="000C7302" w:rsidRPr="005436C8">
        <w:rPr>
          <w:noProof/>
          <w:color w:val="000000"/>
          <w:sz w:val="22"/>
          <w:szCs w:val="22"/>
          <w:lang w:val="sr-Latn-ME"/>
        </w:rPr>
        <w:t xml:space="preserve">e </w:t>
      </w:r>
      <w:r w:rsidR="00A21698" w:rsidRPr="005436C8">
        <w:rPr>
          <w:noProof/>
          <w:color w:val="000000"/>
          <w:sz w:val="22"/>
          <w:szCs w:val="22"/>
          <w:lang w:val="sr-Latn-ME"/>
        </w:rPr>
        <w:t>primjene</w:t>
      </w:r>
      <w:r w:rsidR="000C7302" w:rsidRPr="005436C8">
        <w:rPr>
          <w:noProof/>
          <w:color w:val="000000"/>
          <w:sz w:val="22"/>
          <w:szCs w:val="22"/>
          <w:lang w:val="sr-Latn-ME"/>
        </w:rPr>
        <w:t xml:space="preserve"> treba vizuelno pregledati kako bi se prov</w:t>
      </w:r>
      <w:r w:rsidR="00A53547" w:rsidRPr="005436C8">
        <w:rPr>
          <w:noProof/>
          <w:color w:val="000000"/>
          <w:sz w:val="22"/>
          <w:szCs w:val="22"/>
          <w:lang w:val="sr-Latn-ME"/>
        </w:rPr>
        <w:t>j</w:t>
      </w:r>
      <w:r w:rsidR="000C7302" w:rsidRPr="005436C8">
        <w:rPr>
          <w:noProof/>
          <w:color w:val="000000"/>
          <w:sz w:val="22"/>
          <w:szCs w:val="22"/>
          <w:lang w:val="sr-Latn-ME"/>
        </w:rPr>
        <w:t>erilo da li ima čestica ili prom</w:t>
      </w:r>
      <w:r w:rsidR="00A53547" w:rsidRPr="005436C8">
        <w:rPr>
          <w:noProof/>
          <w:color w:val="000000"/>
          <w:sz w:val="22"/>
          <w:szCs w:val="22"/>
          <w:lang w:val="sr-Latn-ME"/>
        </w:rPr>
        <w:t>j</w:t>
      </w:r>
      <w:r w:rsidR="000C7302" w:rsidRPr="005436C8">
        <w:rPr>
          <w:noProof/>
          <w:color w:val="000000"/>
          <w:sz w:val="22"/>
          <w:szCs w:val="22"/>
          <w:lang w:val="sr-Latn-ME"/>
        </w:rPr>
        <w:t>ene boje. Ako se prim</w:t>
      </w:r>
      <w:r w:rsidR="00FE754C" w:rsidRPr="005436C8">
        <w:rPr>
          <w:noProof/>
          <w:color w:val="000000"/>
          <w:sz w:val="22"/>
          <w:szCs w:val="22"/>
          <w:lang w:val="sr-Latn-ME"/>
        </w:rPr>
        <w:t>i</w:t>
      </w:r>
      <w:r w:rsidR="00A53547" w:rsidRPr="005436C8">
        <w:rPr>
          <w:noProof/>
          <w:color w:val="000000"/>
          <w:sz w:val="22"/>
          <w:szCs w:val="22"/>
          <w:lang w:val="sr-Latn-ME"/>
        </w:rPr>
        <w:t>j</w:t>
      </w:r>
      <w:r w:rsidR="000C7302" w:rsidRPr="005436C8">
        <w:rPr>
          <w:noProof/>
          <w:color w:val="000000"/>
          <w:sz w:val="22"/>
          <w:szCs w:val="22"/>
          <w:lang w:val="sr-Latn-ME"/>
        </w:rPr>
        <w:t>ete čestice ili prom</w:t>
      </w:r>
      <w:r w:rsidR="00A53547" w:rsidRPr="005436C8">
        <w:rPr>
          <w:noProof/>
          <w:color w:val="000000"/>
          <w:sz w:val="22"/>
          <w:szCs w:val="22"/>
          <w:lang w:val="sr-Latn-ME"/>
        </w:rPr>
        <w:t>j</w:t>
      </w:r>
      <w:r w:rsidR="000C7302" w:rsidRPr="005436C8">
        <w:rPr>
          <w:noProof/>
          <w:color w:val="000000"/>
          <w:sz w:val="22"/>
          <w:szCs w:val="22"/>
          <w:lang w:val="sr-Latn-ME"/>
        </w:rPr>
        <w:t xml:space="preserve">ena boje, bočicu treba baciti </w:t>
      </w:r>
      <w:r w:rsidR="00762B61" w:rsidRPr="005436C8">
        <w:rPr>
          <w:noProof/>
          <w:color w:val="000000"/>
          <w:sz w:val="22"/>
          <w:szCs w:val="22"/>
          <w:lang w:val="sr-Latn-ME"/>
        </w:rPr>
        <w:t xml:space="preserve">u </w:t>
      </w:r>
      <w:r w:rsidR="000C7302" w:rsidRPr="005436C8">
        <w:rPr>
          <w:noProof/>
          <w:color w:val="000000"/>
          <w:sz w:val="22"/>
          <w:szCs w:val="22"/>
          <w:lang w:val="sr-Latn-ME"/>
        </w:rPr>
        <w:t>skladu sa lokalnim sm</w:t>
      </w:r>
      <w:r w:rsidR="00A53547" w:rsidRPr="005436C8">
        <w:rPr>
          <w:noProof/>
          <w:color w:val="000000"/>
          <w:sz w:val="22"/>
          <w:szCs w:val="22"/>
          <w:lang w:val="sr-Latn-ME"/>
        </w:rPr>
        <w:t>j</w:t>
      </w:r>
      <w:r w:rsidR="000C7302" w:rsidRPr="005436C8">
        <w:rPr>
          <w:noProof/>
          <w:color w:val="000000"/>
          <w:sz w:val="22"/>
          <w:szCs w:val="22"/>
          <w:lang w:val="sr-Latn-ME"/>
        </w:rPr>
        <w:t>ernicama za odlaganje.</w:t>
      </w:r>
    </w:p>
    <w:p w14:paraId="47C58F7E" w14:textId="77777777" w:rsidR="000C7302" w:rsidRPr="005436C8" w:rsidRDefault="000C7302" w:rsidP="005436C8">
      <w:pPr>
        <w:tabs>
          <w:tab w:val="left" w:pos="284"/>
        </w:tabs>
        <w:jc w:val="both"/>
        <w:rPr>
          <w:noProof/>
          <w:color w:val="000000"/>
          <w:sz w:val="22"/>
          <w:szCs w:val="22"/>
          <w:lang w:val="sr-Latn-ME"/>
        </w:rPr>
      </w:pPr>
    </w:p>
    <w:p w14:paraId="011EB73C"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Ne mućkajte bočicu.</w:t>
      </w:r>
    </w:p>
    <w:p w14:paraId="12681FD6" w14:textId="77777777" w:rsidR="000C7302" w:rsidRPr="005436C8" w:rsidRDefault="000C7302" w:rsidP="005436C8">
      <w:pPr>
        <w:tabs>
          <w:tab w:val="left" w:pos="284"/>
        </w:tabs>
        <w:jc w:val="both"/>
        <w:rPr>
          <w:noProof/>
          <w:color w:val="000000"/>
          <w:sz w:val="22"/>
          <w:szCs w:val="22"/>
          <w:lang w:val="sr-Latn-ME"/>
        </w:rPr>
      </w:pPr>
    </w:p>
    <w:p w14:paraId="3F9A2092"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Špric, transferna igla i injekciona igla potrebni su kako bi se rastvor </w:t>
      </w:r>
      <w:r w:rsidR="00166973" w:rsidRPr="005436C8">
        <w:rPr>
          <w:noProof/>
          <w:color w:val="000000"/>
          <w:sz w:val="22"/>
          <w:szCs w:val="22"/>
          <w:lang w:val="sr-Latn-ME"/>
        </w:rPr>
        <w:t>lijek</w:t>
      </w:r>
      <w:r w:rsidRPr="005436C8">
        <w:rPr>
          <w:noProof/>
          <w:color w:val="000000"/>
          <w:sz w:val="22"/>
          <w:szCs w:val="22"/>
          <w:lang w:val="sr-Latn-ME"/>
        </w:rPr>
        <w:t xml:space="preserve">a Phesgo izvukao iz bočice i injektirao </w:t>
      </w:r>
      <w:r w:rsidR="00115EBA" w:rsidRPr="005436C8">
        <w:rPr>
          <w:noProof/>
          <w:color w:val="000000"/>
          <w:sz w:val="22"/>
          <w:szCs w:val="22"/>
          <w:lang w:val="sr-Latn-ME"/>
        </w:rPr>
        <w:t>subkutan</w:t>
      </w:r>
      <w:r w:rsidRPr="005436C8">
        <w:rPr>
          <w:noProof/>
          <w:color w:val="000000"/>
          <w:sz w:val="22"/>
          <w:szCs w:val="22"/>
          <w:lang w:val="sr-Latn-ME"/>
        </w:rPr>
        <w:t xml:space="preserve">o. </w:t>
      </w:r>
      <w:r w:rsidR="00166973" w:rsidRPr="005436C8">
        <w:rPr>
          <w:noProof/>
          <w:color w:val="000000"/>
          <w:sz w:val="22"/>
          <w:szCs w:val="22"/>
          <w:lang w:val="sr-Latn-ME"/>
        </w:rPr>
        <w:t>Lijek</w:t>
      </w:r>
      <w:r w:rsidRPr="005436C8">
        <w:rPr>
          <w:noProof/>
          <w:color w:val="000000"/>
          <w:sz w:val="22"/>
          <w:szCs w:val="22"/>
          <w:lang w:val="sr-Latn-ME"/>
        </w:rPr>
        <w:t xml:space="preserve"> Phesgo se može ubrizgati hipodermalnim iglama za injekciju veličine 25G-27G i dužine od 10mm (3/8") do 16 mm (5/8"). </w:t>
      </w:r>
      <w:r w:rsidR="00166973" w:rsidRPr="005436C8">
        <w:rPr>
          <w:noProof/>
          <w:color w:val="000000"/>
          <w:sz w:val="22"/>
          <w:szCs w:val="22"/>
          <w:lang w:val="sr-Latn-ME"/>
        </w:rPr>
        <w:t>Lijek</w:t>
      </w:r>
      <w:r w:rsidRPr="005436C8">
        <w:rPr>
          <w:noProof/>
          <w:color w:val="000000"/>
          <w:sz w:val="22"/>
          <w:szCs w:val="22"/>
          <w:lang w:val="sr-Latn-ME"/>
        </w:rPr>
        <w:t xml:space="preserve"> Phesgo je kompatibilan sa nerđajućim čelikom, polipropilenom, polikarbonatom, polietilenom, poliuretanom, polivinil</w:t>
      </w:r>
      <w:r w:rsidR="00762B61" w:rsidRPr="005436C8">
        <w:rPr>
          <w:noProof/>
          <w:color w:val="000000"/>
          <w:sz w:val="22"/>
          <w:szCs w:val="22"/>
          <w:lang w:val="sr-Latn-ME"/>
        </w:rPr>
        <w:t xml:space="preserve"> </w:t>
      </w:r>
      <w:r w:rsidRPr="005436C8">
        <w:rPr>
          <w:noProof/>
          <w:color w:val="000000"/>
          <w:sz w:val="22"/>
          <w:szCs w:val="22"/>
          <w:lang w:val="sr-Latn-ME"/>
        </w:rPr>
        <w:t>hloridom i fluorovanim etilen polipropilenom.</w:t>
      </w:r>
    </w:p>
    <w:p w14:paraId="16E05F7D" w14:textId="77777777" w:rsidR="000C7302" w:rsidRPr="005436C8" w:rsidRDefault="000C7302" w:rsidP="005436C8">
      <w:pPr>
        <w:tabs>
          <w:tab w:val="left" w:pos="284"/>
        </w:tabs>
        <w:jc w:val="both"/>
        <w:rPr>
          <w:noProof/>
          <w:color w:val="000000"/>
          <w:sz w:val="22"/>
          <w:szCs w:val="22"/>
          <w:lang w:val="sr-Latn-ME"/>
        </w:rPr>
      </w:pPr>
    </w:p>
    <w:p w14:paraId="38BC037F" w14:textId="77777777" w:rsidR="000C7302" w:rsidRPr="005436C8" w:rsidRDefault="000C7302" w:rsidP="005436C8">
      <w:pPr>
        <w:tabs>
          <w:tab w:val="left" w:pos="284"/>
        </w:tabs>
        <w:jc w:val="both"/>
        <w:rPr>
          <w:noProof/>
          <w:color w:val="000000"/>
          <w:sz w:val="22"/>
          <w:szCs w:val="22"/>
          <w:lang w:val="sr-Latn-ME"/>
        </w:rPr>
      </w:pPr>
      <w:r w:rsidRPr="005436C8">
        <w:rPr>
          <w:noProof/>
          <w:color w:val="000000"/>
          <w:sz w:val="22"/>
          <w:szCs w:val="22"/>
          <w:lang w:val="sr-Latn-ME"/>
        </w:rPr>
        <w:t xml:space="preserve">Sa mikrobiološke tačke gledišta, </w:t>
      </w:r>
      <w:r w:rsidR="00166973" w:rsidRPr="005436C8">
        <w:rPr>
          <w:noProof/>
          <w:color w:val="000000"/>
          <w:sz w:val="22"/>
          <w:szCs w:val="22"/>
          <w:lang w:val="sr-Latn-ME"/>
        </w:rPr>
        <w:t>lijek</w:t>
      </w:r>
      <w:r w:rsidRPr="005436C8">
        <w:rPr>
          <w:noProof/>
          <w:color w:val="000000"/>
          <w:sz w:val="22"/>
          <w:szCs w:val="22"/>
          <w:lang w:val="sr-Latn-ME"/>
        </w:rPr>
        <w:t xml:space="preserve"> Phesgo treba odmah upotr</w:t>
      </w:r>
      <w:r w:rsidR="00A53547" w:rsidRPr="005436C8">
        <w:rPr>
          <w:noProof/>
          <w:color w:val="000000"/>
          <w:sz w:val="22"/>
          <w:szCs w:val="22"/>
          <w:lang w:val="sr-Latn-ME"/>
        </w:rPr>
        <w:t>ij</w:t>
      </w:r>
      <w:r w:rsidRPr="005436C8">
        <w:rPr>
          <w:noProof/>
          <w:color w:val="000000"/>
          <w:sz w:val="22"/>
          <w:szCs w:val="22"/>
          <w:lang w:val="sr-Latn-ME"/>
        </w:rPr>
        <w:t>ebiti</w:t>
      </w:r>
      <w:r w:rsidRPr="005436C8">
        <w:rPr>
          <w:color w:val="000000"/>
          <w:sz w:val="22"/>
          <w:szCs w:val="22"/>
          <w:lang w:val="sr-Latn-ME"/>
        </w:rPr>
        <w:t xml:space="preserve"> s obzirom da ne sadrži antimikrobne konzervanse</w:t>
      </w:r>
      <w:r w:rsidRPr="005436C8">
        <w:rPr>
          <w:noProof/>
          <w:color w:val="000000"/>
          <w:sz w:val="22"/>
          <w:szCs w:val="22"/>
          <w:lang w:val="sr-Latn-ME"/>
        </w:rPr>
        <w:t xml:space="preserve">. Ukoliko se </w:t>
      </w:r>
      <w:r w:rsidR="00166973" w:rsidRPr="005436C8">
        <w:rPr>
          <w:noProof/>
          <w:color w:val="000000"/>
          <w:sz w:val="22"/>
          <w:szCs w:val="22"/>
          <w:lang w:val="sr-Latn-ME"/>
        </w:rPr>
        <w:t>lijek</w:t>
      </w:r>
      <w:r w:rsidRPr="005436C8">
        <w:rPr>
          <w:noProof/>
          <w:color w:val="000000"/>
          <w:sz w:val="22"/>
          <w:szCs w:val="22"/>
          <w:lang w:val="sr-Latn-ME"/>
        </w:rPr>
        <w:t xml:space="preserve"> ne</w:t>
      </w:r>
      <w:r w:rsidR="00A53547" w:rsidRPr="005436C8">
        <w:rPr>
          <w:noProof/>
          <w:color w:val="000000"/>
          <w:sz w:val="22"/>
          <w:szCs w:val="22"/>
          <w:lang w:val="sr-Latn-ME"/>
        </w:rPr>
        <w:t>ć</w:t>
      </w:r>
      <w:r w:rsidRPr="005436C8">
        <w:rPr>
          <w:noProof/>
          <w:color w:val="000000"/>
          <w:sz w:val="22"/>
          <w:szCs w:val="22"/>
          <w:lang w:val="sr-Latn-ME"/>
        </w:rPr>
        <w:t xml:space="preserve">e </w:t>
      </w:r>
      <w:r w:rsidR="00BC7CBF" w:rsidRPr="005436C8">
        <w:rPr>
          <w:noProof/>
          <w:color w:val="000000"/>
          <w:sz w:val="22"/>
          <w:szCs w:val="22"/>
          <w:lang w:val="sr-Latn-ME"/>
        </w:rPr>
        <w:t>primjenjivati</w:t>
      </w:r>
      <w:r w:rsidRPr="005436C8">
        <w:rPr>
          <w:noProof/>
          <w:color w:val="000000"/>
          <w:sz w:val="22"/>
          <w:szCs w:val="22"/>
          <w:lang w:val="sr-Latn-ME"/>
        </w:rPr>
        <w:t xml:space="preserve"> odmah, pripremu treba izvršiti u kontrolisanim i validiranim aseptičnim uslovima. Nakon prenosa rastvora u špric preporučuje se zam</w:t>
      </w:r>
      <w:r w:rsidR="00A53547" w:rsidRPr="005436C8">
        <w:rPr>
          <w:noProof/>
          <w:color w:val="000000"/>
          <w:sz w:val="22"/>
          <w:szCs w:val="22"/>
          <w:lang w:val="sr-Latn-ME"/>
        </w:rPr>
        <w:t>j</w:t>
      </w:r>
      <w:r w:rsidRPr="005436C8">
        <w:rPr>
          <w:noProof/>
          <w:color w:val="000000"/>
          <w:sz w:val="22"/>
          <w:szCs w:val="22"/>
          <w:lang w:val="sr-Latn-ME"/>
        </w:rPr>
        <w:t>ena igle za transfer zaštitnim zatvaračem za špric</w:t>
      </w:r>
      <w:r w:rsidR="00762B61" w:rsidRPr="005436C8">
        <w:rPr>
          <w:noProof/>
          <w:color w:val="000000"/>
          <w:sz w:val="22"/>
          <w:szCs w:val="22"/>
          <w:lang w:val="sr-Latn-ME"/>
        </w:rPr>
        <w:t>,</w:t>
      </w:r>
      <w:r w:rsidRPr="005436C8">
        <w:rPr>
          <w:noProof/>
          <w:color w:val="000000"/>
          <w:sz w:val="22"/>
          <w:szCs w:val="22"/>
          <w:lang w:val="sr-Latn-ME"/>
        </w:rPr>
        <w:t xml:space="preserve"> kako bi se spr</w:t>
      </w:r>
      <w:r w:rsidR="00A53547" w:rsidRPr="005436C8">
        <w:rPr>
          <w:noProof/>
          <w:color w:val="000000"/>
          <w:sz w:val="22"/>
          <w:szCs w:val="22"/>
          <w:lang w:val="sr-Latn-ME"/>
        </w:rPr>
        <w:t>ij</w:t>
      </w:r>
      <w:r w:rsidRPr="005436C8">
        <w:rPr>
          <w:noProof/>
          <w:color w:val="000000"/>
          <w:sz w:val="22"/>
          <w:szCs w:val="22"/>
          <w:lang w:val="sr-Latn-ME"/>
        </w:rPr>
        <w:t xml:space="preserve">ečilo sušenje rastvora u </w:t>
      </w:r>
      <w:r w:rsidR="002E743C" w:rsidRPr="005436C8">
        <w:rPr>
          <w:noProof/>
          <w:color w:val="000000"/>
          <w:sz w:val="22"/>
          <w:szCs w:val="22"/>
          <w:lang w:val="sr-Latn-ME"/>
        </w:rPr>
        <w:t>špricu</w:t>
      </w:r>
      <w:r w:rsidRPr="005436C8">
        <w:rPr>
          <w:noProof/>
          <w:color w:val="000000"/>
          <w:sz w:val="22"/>
          <w:szCs w:val="22"/>
          <w:lang w:val="sr-Latn-ME"/>
        </w:rPr>
        <w:t xml:space="preserve"> i narušavanje kvaliteta </w:t>
      </w:r>
      <w:r w:rsidR="00166973" w:rsidRPr="005436C8">
        <w:rPr>
          <w:noProof/>
          <w:color w:val="000000"/>
          <w:sz w:val="22"/>
          <w:szCs w:val="22"/>
          <w:lang w:val="sr-Latn-ME"/>
        </w:rPr>
        <w:t>lijek</w:t>
      </w:r>
      <w:r w:rsidRPr="005436C8">
        <w:rPr>
          <w:noProof/>
          <w:color w:val="000000"/>
          <w:sz w:val="22"/>
          <w:szCs w:val="22"/>
          <w:lang w:val="sr-Latn-ME"/>
        </w:rPr>
        <w:t>a. Špric treba označiti nal</w:t>
      </w:r>
      <w:r w:rsidR="00A53547" w:rsidRPr="005436C8">
        <w:rPr>
          <w:noProof/>
          <w:color w:val="000000"/>
          <w:sz w:val="22"/>
          <w:szCs w:val="22"/>
          <w:lang w:val="sr-Latn-ME"/>
        </w:rPr>
        <w:t>j</w:t>
      </w:r>
      <w:r w:rsidRPr="005436C8">
        <w:rPr>
          <w:noProof/>
          <w:color w:val="000000"/>
          <w:sz w:val="22"/>
          <w:szCs w:val="22"/>
          <w:lang w:val="sr-Latn-ME"/>
        </w:rPr>
        <w:t>epnicom koja se može skinuti. Hipodermalna igla za injekciju mora se pričvrstiti na špric neposredno pr</w:t>
      </w:r>
      <w:r w:rsidR="00A53547" w:rsidRPr="005436C8">
        <w:rPr>
          <w:noProof/>
          <w:color w:val="000000"/>
          <w:sz w:val="22"/>
          <w:szCs w:val="22"/>
          <w:lang w:val="sr-Latn-ME"/>
        </w:rPr>
        <w:t>ij</w:t>
      </w:r>
      <w:r w:rsidRPr="005436C8">
        <w:rPr>
          <w:noProof/>
          <w:color w:val="000000"/>
          <w:sz w:val="22"/>
          <w:szCs w:val="22"/>
          <w:lang w:val="sr-Latn-ME"/>
        </w:rPr>
        <w:t xml:space="preserve">e </w:t>
      </w:r>
      <w:r w:rsidR="00A21698" w:rsidRPr="005436C8">
        <w:rPr>
          <w:noProof/>
          <w:color w:val="000000"/>
          <w:sz w:val="22"/>
          <w:szCs w:val="22"/>
          <w:lang w:val="sr-Latn-ME"/>
        </w:rPr>
        <w:t>primjene</w:t>
      </w:r>
      <w:r w:rsidRPr="005436C8">
        <w:rPr>
          <w:noProof/>
          <w:color w:val="000000"/>
          <w:sz w:val="22"/>
          <w:szCs w:val="22"/>
          <w:lang w:val="sr-Latn-ME"/>
        </w:rPr>
        <w:t xml:space="preserve">, nakon čega zapreminu treba podesiti na 15 </w:t>
      </w:r>
      <w:r w:rsidR="00115EBA" w:rsidRPr="005436C8">
        <w:rPr>
          <w:noProof/>
          <w:color w:val="000000"/>
          <w:sz w:val="22"/>
          <w:szCs w:val="22"/>
          <w:lang w:val="sr-Latn-ME"/>
        </w:rPr>
        <w:t>ml</w:t>
      </w:r>
      <w:r w:rsidRPr="005436C8">
        <w:rPr>
          <w:noProof/>
          <w:color w:val="000000"/>
          <w:sz w:val="22"/>
          <w:szCs w:val="22"/>
          <w:lang w:val="sr-Latn-ME"/>
        </w:rPr>
        <w:t xml:space="preserve"> ako se koristi </w:t>
      </w:r>
      <w:r w:rsidR="00166973" w:rsidRPr="005436C8">
        <w:rPr>
          <w:noProof/>
          <w:color w:val="000000"/>
          <w:sz w:val="22"/>
          <w:szCs w:val="22"/>
          <w:lang w:val="sr-Latn-ME"/>
        </w:rPr>
        <w:t>lijek</w:t>
      </w:r>
      <w:r w:rsidRPr="005436C8">
        <w:rPr>
          <w:noProof/>
          <w:color w:val="000000"/>
          <w:sz w:val="22"/>
          <w:szCs w:val="22"/>
          <w:lang w:val="sr-Latn-ME"/>
        </w:rPr>
        <w:t xml:space="preserve"> Phesgo </w:t>
      </w:r>
      <w:r w:rsidR="00480DE8" w:rsidRPr="005436C8">
        <w:rPr>
          <w:noProof/>
          <w:color w:val="000000"/>
          <w:sz w:val="22"/>
          <w:szCs w:val="22"/>
          <w:lang w:val="sr-Latn-ME"/>
        </w:rPr>
        <w:t>(</w:t>
      </w:r>
      <w:r w:rsidRPr="005436C8">
        <w:rPr>
          <w:noProof/>
          <w:color w:val="000000"/>
          <w:sz w:val="22"/>
          <w:szCs w:val="22"/>
          <w:lang w:val="sr-Latn-ME"/>
        </w:rPr>
        <w:t>1200 mg</w:t>
      </w:r>
      <w:r w:rsidR="00480DE8" w:rsidRPr="005436C8">
        <w:rPr>
          <w:noProof/>
          <w:color w:val="000000"/>
          <w:sz w:val="22"/>
          <w:szCs w:val="22"/>
          <w:lang w:val="sr-Latn-ME"/>
        </w:rPr>
        <w:t xml:space="preserve"> + </w:t>
      </w:r>
      <w:r w:rsidRPr="005436C8">
        <w:rPr>
          <w:noProof/>
          <w:color w:val="000000"/>
          <w:sz w:val="22"/>
          <w:szCs w:val="22"/>
          <w:lang w:val="sr-Latn-ME"/>
        </w:rPr>
        <w:t>600 mg</w:t>
      </w:r>
      <w:r w:rsidR="00480DE8" w:rsidRPr="005436C8">
        <w:rPr>
          <w:noProof/>
          <w:color w:val="000000"/>
          <w:sz w:val="22"/>
          <w:szCs w:val="22"/>
          <w:lang w:val="sr-Latn-ME"/>
        </w:rPr>
        <w:t>)/ 15 ml</w:t>
      </w:r>
      <w:r w:rsidRPr="005436C8">
        <w:rPr>
          <w:noProof/>
          <w:color w:val="000000"/>
          <w:sz w:val="22"/>
          <w:szCs w:val="22"/>
          <w:lang w:val="sr-Latn-ME"/>
        </w:rPr>
        <w:t xml:space="preserve"> ili na 10 </w:t>
      </w:r>
      <w:r w:rsidR="00115EBA" w:rsidRPr="005436C8">
        <w:rPr>
          <w:noProof/>
          <w:color w:val="000000"/>
          <w:sz w:val="22"/>
          <w:szCs w:val="22"/>
          <w:lang w:val="sr-Latn-ME"/>
        </w:rPr>
        <w:t>ml</w:t>
      </w:r>
      <w:r w:rsidRPr="005436C8">
        <w:rPr>
          <w:noProof/>
          <w:color w:val="000000"/>
          <w:sz w:val="22"/>
          <w:szCs w:val="22"/>
          <w:lang w:val="sr-Latn-ME"/>
        </w:rPr>
        <w:t xml:space="preserve"> ako se koristi </w:t>
      </w:r>
      <w:r w:rsidR="00166973" w:rsidRPr="005436C8">
        <w:rPr>
          <w:noProof/>
          <w:color w:val="000000"/>
          <w:sz w:val="22"/>
          <w:szCs w:val="22"/>
          <w:lang w:val="sr-Latn-ME"/>
        </w:rPr>
        <w:t>lijek</w:t>
      </w:r>
      <w:r w:rsidRPr="005436C8">
        <w:rPr>
          <w:noProof/>
          <w:color w:val="000000"/>
          <w:sz w:val="22"/>
          <w:szCs w:val="22"/>
          <w:lang w:val="sr-Latn-ME"/>
        </w:rPr>
        <w:t xml:space="preserve"> Phesgo </w:t>
      </w:r>
      <w:r w:rsidR="00480DE8" w:rsidRPr="005436C8">
        <w:rPr>
          <w:noProof/>
          <w:color w:val="000000"/>
          <w:sz w:val="22"/>
          <w:szCs w:val="22"/>
          <w:lang w:val="sr-Latn-ME"/>
        </w:rPr>
        <w:t>(</w:t>
      </w:r>
      <w:r w:rsidRPr="005436C8">
        <w:rPr>
          <w:noProof/>
          <w:color w:val="000000"/>
          <w:sz w:val="22"/>
          <w:szCs w:val="22"/>
          <w:lang w:val="sr-Latn-ME"/>
        </w:rPr>
        <w:t>600</w:t>
      </w:r>
      <w:r w:rsidRPr="005436C8">
        <w:rPr>
          <w:sz w:val="22"/>
          <w:szCs w:val="22"/>
          <w:lang w:val="sr-Latn-ME"/>
        </w:rPr>
        <w:t> </w:t>
      </w:r>
      <w:r w:rsidRPr="005436C8">
        <w:rPr>
          <w:noProof/>
          <w:color w:val="000000"/>
          <w:sz w:val="22"/>
          <w:szCs w:val="22"/>
          <w:lang w:val="sr-Latn-ME"/>
        </w:rPr>
        <w:t>mg</w:t>
      </w:r>
      <w:r w:rsidR="00480DE8" w:rsidRPr="005436C8">
        <w:rPr>
          <w:noProof/>
          <w:color w:val="000000"/>
          <w:sz w:val="22"/>
          <w:szCs w:val="22"/>
          <w:lang w:val="sr-Latn-ME"/>
        </w:rPr>
        <w:t xml:space="preserve"> + </w:t>
      </w:r>
      <w:r w:rsidRPr="005436C8">
        <w:rPr>
          <w:noProof/>
          <w:color w:val="000000"/>
          <w:sz w:val="22"/>
          <w:szCs w:val="22"/>
          <w:lang w:val="sr-Latn-ME"/>
        </w:rPr>
        <w:t>600 mg</w:t>
      </w:r>
      <w:r w:rsidR="00480DE8" w:rsidRPr="005436C8">
        <w:rPr>
          <w:noProof/>
          <w:color w:val="000000"/>
          <w:sz w:val="22"/>
          <w:szCs w:val="22"/>
          <w:lang w:val="sr-Latn-ME"/>
        </w:rPr>
        <w:t>)/ 10ml</w:t>
      </w:r>
      <w:r w:rsidRPr="005436C8">
        <w:rPr>
          <w:noProof/>
          <w:color w:val="000000"/>
          <w:sz w:val="22"/>
          <w:szCs w:val="22"/>
          <w:lang w:val="sr-Latn-ME"/>
        </w:rPr>
        <w:t>.</w:t>
      </w:r>
    </w:p>
    <w:p w14:paraId="1FDEE4BF" w14:textId="77777777" w:rsidR="000C7302" w:rsidRPr="005436C8" w:rsidRDefault="000C7302" w:rsidP="005436C8">
      <w:pPr>
        <w:tabs>
          <w:tab w:val="left" w:pos="284"/>
        </w:tabs>
        <w:jc w:val="both"/>
        <w:rPr>
          <w:color w:val="000000"/>
          <w:sz w:val="22"/>
          <w:szCs w:val="22"/>
          <w:lang w:val="sr-Latn-ME"/>
        </w:rPr>
      </w:pPr>
    </w:p>
    <w:p w14:paraId="44FA4369" w14:textId="77777777" w:rsidR="000C7302" w:rsidRPr="005436C8" w:rsidRDefault="00166973" w:rsidP="005436C8">
      <w:pPr>
        <w:tabs>
          <w:tab w:val="left" w:pos="284"/>
        </w:tabs>
        <w:jc w:val="both"/>
        <w:rPr>
          <w:color w:val="000000"/>
          <w:sz w:val="22"/>
          <w:szCs w:val="22"/>
          <w:lang w:val="sr-Latn-ME"/>
        </w:rPr>
      </w:pPr>
      <w:r w:rsidRPr="005436C8">
        <w:rPr>
          <w:noProof/>
          <w:color w:val="000000"/>
          <w:sz w:val="22"/>
          <w:szCs w:val="22"/>
          <w:lang w:val="sr-Latn-ME"/>
        </w:rPr>
        <w:t>Lijek</w:t>
      </w:r>
      <w:r w:rsidR="000C7302" w:rsidRPr="005436C8">
        <w:rPr>
          <w:noProof/>
          <w:color w:val="000000"/>
          <w:sz w:val="22"/>
          <w:szCs w:val="22"/>
          <w:lang w:val="sr-Latn-ME"/>
        </w:rPr>
        <w:t xml:space="preserve"> Phesgo je </w:t>
      </w:r>
      <w:r w:rsidR="00EE66E8" w:rsidRPr="005436C8">
        <w:rPr>
          <w:noProof/>
          <w:color w:val="000000"/>
          <w:sz w:val="22"/>
          <w:szCs w:val="22"/>
          <w:lang w:val="sr-Latn-ME"/>
        </w:rPr>
        <w:t>nam</w:t>
      </w:r>
      <w:r w:rsidR="00762B61" w:rsidRPr="005436C8">
        <w:rPr>
          <w:noProof/>
          <w:color w:val="000000"/>
          <w:sz w:val="22"/>
          <w:szCs w:val="22"/>
          <w:lang w:val="sr-Latn-ME"/>
        </w:rPr>
        <w:t>i</w:t>
      </w:r>
      <w:r w:rsidR="00EE66E8" w:rsidRPr="005436C8">
        <w:rPr>
          <w:noProof/>
          <w:color w:val="000000"/>
          <w:sz w:val="22"/>
          <w:szCs w:val="22"/>
          <w:lang w:val="sr-Latn-ME"/>
        </w:rPr>
        <w:t>jenjen</w:t>
      </w:r>
      <w:r w:rsidR="000C7302" w:rsidRPr="005436C8">
        <w:rPr>
          <w:noProof/>
          <w:color w:val="000000"/>
          <w:sz w:val="22"/>
          <w:szCs w:val="22"/>
          <w:lang w:val="sr-Latn-ME"/>
        </w:rPr>
        <w:t xml:space="preserve"> isključivo za jednokratnu upotrebu. </w:t>
      </w:r>
      <w:r w:rsidR="000C7302" w:rsidRPr="005436C8">
        <w:rPr>
          <w:color w:val="000000"/>
          <w:sz w:val="22"/>
          <w:szCs w:val="22"/>
          <w:lang w:val="sr-Latn-ME"/>
        </w:rPr>
        <w:t xml:space="preserve">Svu neiskorišćenu količinu </w:t>
      </w:r>
      <w:r w:rsidRPr="005436C8">
        <w:rPr>
          <w:color w:val="000000"/>
          <w:sz w:val="22"/>
          <w:szCs w:val="22"/>
          <w:lang w:val="sr-Latn-ME"/>
        </w:rPr>
        <w:t>lijek</w:t>
      </w:r>
      <w:r w:rsidR="000C7302" w:rsidRPr="005436C8">
        <w:rPr>
          <w:color w:val="000000"/>
          <w:sz w:val="22"/>
          <w:szCs w:val="22"/>
          <w:lang w:val="sr-Latn-ME"/>
        </w:rPr>
        <w:t xml:space="preserve">a ili otpadnog materijala treba ukloniti, u skladu sa važećim propisima. </w:t>
      </w:r>
    </w:p>
    <w:p w14:paraId="4FF8ECAF" w14:textId="77777777" w:rsidR="0072020E" w:rsidRPr="005436C8" w:rsidRDefault="0072020E" w:rsidP="005436C8">
      <w:pPr>
        <w:tabs>
          <w:tab w:val="left" w:pos="540"/>
          <w:tab w:val="left" w:pos="569"/>
        </w:tabs>
        <w:rPr>
          <w:bCs/>
          <w:sz w:val="22"/>
          <w:szCs w:val="22"/>
          <w:lang w:val="sr-Latn-ME"/>
        </w:rPr>
      </w:pPr>
    </w:p>
    <w:p w14:paraId="1B9CD1BD" w14:textId="77777777" w:rsidR="00D61A6E" w:rsidRDefault="00D61A6E" w:rsidP="005436C8">
      <w:pPr>
        <w:tabs>
          <w:tab w:val="left" w:pos="540"/>
          <w:tab w:val="left" w:pos="569"/>
        </w:tabs>
        <w:rPr>
          <w:b/>
          <w:bCs/>
          <w:sz w:val="22"/>
          <w:szCs w:val="22"/>
          <w:lang w:val="sr-Latn-ME"/>
        </w:rPr>
      </w:pPr>
    </w:p>
    <w:p w14:paraId="6A27032B" w14:textId="77777777" w:rsidR="00F8570A"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7. </w:t>
      </w:r>
      <w:r w:rsidR="00480FB1" w:rsidRPr="005436C8">
        <w:rPr>
          <w:b/>
          <w:bCs/>
          <w:sz w:val="22"/>
          <w:szCs w:val="22"/>
          <w:lang w:val="sr-Latn-ME"/>
        </w:rPr>
        <w:tab/>
      </w:r>
      <w:r w:rsidRPr="005436C8">
        <w:rPr>
          <w:b/>
          <w:bCs/>
          <w:sz w:val="22"/>
          <w:szCs w:val="22"/>
          <w:lang w:val="sr-Latn-ME"/>
        </w:rPr>
        <w:t>NOSILAC DOZVOLE</w:t>
      </w:r>
      <w:r w:rsidR="00483928" w:rsidRPr="005436C8">
        <w:rPr>
          <w:b/>
          <w:bCs/>
          <w:sz w:val="22"/>
          <w:szCs w:val="22"/>
          <w:lang w:val="sr-Latn-ME"/>
        </w:rPr>
        <w:t xml:space="preserve"> </w:t>
      </w:r>
    </w:p>
    <w:p w14:paraId="75B17BB5" w14:textId="77777777" w:rsidR="00C61BE0" w:rsidRPr="005436C8" w:rsidRDefault="00C61BE0" w:rsidP="005436C8">
      <w:pPr>
        <w:tabs>
          <w:tab w:val="left" w:pos="540"/>
          <w:tab w:val="left" w:pos="569"/>
        </w:tabs>
        <w:rPr>
          <w:bCs/>
          <w:sz w:val="22"/>
          <w:szCs w:val="22"/>
          <w:lang w:val="sr-Latn-ME"/>
        </w:rPr>
      </w:pPr>
    </w:p>
    <w:p w14:paraId="34E3CEF5" w14:textId="77777777" w:rsidR="00166973" w:rsidRPr="005436C8" w:rsidRDefault="00DC1599" w:rsidP="005436C8">
      <w:pPr>
        <w:tabs>
          <w:tab w:val="left" w:pos="540"/>
          <w:tab w:val="left" w:pos="569"/>
        </w:tabs>
        <w:rPr>
          <w:bCs/>
          <w:sz w:val="22"/>
          <w:szCs w:val="22"/>
          <w:lang w:val="sr-Latn-ME"/>
        </w:rPr>
      </w:pPr>
      <w:r w:rsidRPr="005436C8">
        <w:rPr>
          <w:bCs/>
          <w:sz w:val="22"/>
          <w:szCs w:val="22"/>
          <w:lang w:val="sr-Latn-ME"/>
        </w:rPr>
        <w:t>“</w:t>
      </w:r>
      <w:r w:rsidR="00166973" w:rsidRPr="005436C8">
        <w:rPr>
          <w:bCs/>
          <w:sz w:val="22"/>
          <w:szCs w:val="22"/>
          <w:lang w:val="sr-Latn-ME"/>
        </w:rPr>
        <w:t>Hoffmann</w:t>
      </w:r>
      <w:r w:rsidR="005D0882" w:rsidRPr="005436C8">
        <w:rPr>
          <w:bCs/>
          <w:sz w:val="22"/>
          <w:szCs w:val="22"/>
          <w:lang w:val="sr-Latn-ME"/>
        </w:rPr>
        <w:t>-</w:t>
      </w:r>
      <w:r w:rsidR="00166973" w:rsidRPr="005436C8">
        <w:rPr>
          <w:bCs/>
          <w:sz w:val="22"/>
          <w:szCs w:val="22"/>
          <w:lang w:val="sr-Latn-ME"/>
        </w:rPr>
        <w:t>La Roche L</w:t>
      </w:r>
      <w:r w:rsidR="00480DE8" w:rsidRPr="005436C8">
        <w:rPr>
          <w:bCs/>
          <w:sz w:val="22"/>
          <w:szCs w:val="22"/>
          <w:lang w:val="sr-Latn-ME"/>
        </w:rPr>
        <w:t>TD</w:t>
      </w:r>
      <w:r w:rsidRPr="005436C8">
        <w:rPr>
          <w:bCs/>
          <w:sz w:val="22"/>
          <w:szCs w:val="22"/>
          <w:lang w:val="sr-Latn-ME"/>
        </w:rPr>
        <w:t>”</w:t>
      </w:r>
      <w:r w:rsidR="00166973" w:rsidRPr="005436C8">
        <w:rPr>
          <w:bCs/>
          <w:sz w:val="22"/>
          <w:szCs w:val="22"/>
          <w:lang w:val="sr-Latn-ME"/>
        </w:rPr>
        <w:t xml:space="preserve"> D</w:t>
      </w:r>
      <w:r w:rsidR="00480DE8" w:rsidRPr="005436C8">
        <w:rPr>
          <w:bCs/>
          <w:sz w:val="22"/>
          <w:szCs w:val="22"/>
          <w:lang w:val="sr-Latn-ME"/>
        </w:rPr>
        <w:t>.</w:t>
      </w:r>
      <w:r w:rsidR="00166973" w:rsidRPr="005436C8">
        <w:rPr>
          <w:bCs/>
          <w:sz w:val="22"/>
          <w:szCs w:val="22"/>
          <w:lang w:val="sr-Latn-ME"/>
        </w:rPr>
        <w:t>S</w:t>
      </w:r>
      <w:r w:rsidR="00480DE8" w:rsidRPr="005436C8">
        <w:rPr>
          <w:bCs/>
          <w:sz w:val="22"/>
          <w:szCs w:val="22"/>
          <w:lang w:val="sr-Latn-ME"/>
        </w:rPr>
        <w:t>.</w:t>
      </w:r>
      <w:r w:rsidR="00166973" w:rsidRPr="005436C8">
        <w:rPr>
          <w:bCs/>
          <w:sz w:val="22"/>
          <w:szCs w:val="22"/>
          <w:lang w:val="sr-Latn-ME"/>
        </w:rPr>
        <w:t>D</w:t>
      </w:r>
      <w:r w:rsidR="00480DE8" w:rsidRPr="005436C8">
        <w:rPr>
          <w:bCs/>
          <w:sz w:val="22"/>
          <w:szCs w:val="22"/>
          <w:lang w:val="sr-Latn-ME"/>
        </w:rPr>
        <w:t>.</w:t>
      </w:r>
      <w:r w:rsidR="00166973" w:rsidRPr="005436C8">
        <w:rPr>
          <w:bCs/>
          <w:sz w:val="22"/>
          <w:szCs w:val="22"/>
          <w:lang w:val="sr-Latn-ME"/>
        </w:rPr>
        <w:t xml:space="preserve"> Podgorica</w:t>
      </w:r>
    </w:p>
    <w:p w14:paraId="22875EC1" w14:textId="77777777" w:rsidR="00C37FD7" w:rsidRPr="005436C8" w:rsidRDefault="005D0882" w:rsidP="005436C8">
      <w:pPr>
        <w:tabs>
          <w:tab w:val="left" w:pos="540"/>
          <w:tab w:val="left" w:pos="569"/>
        </w:tabs>
        <w:rPr>
          <w:bCs/>
          <w:sz w:val="22"/>
          <w:szCs w:val="22"/>
          <w:lang w:val="sr-Latn-ME"/>
        </w:rPr>
      </w:pPr>
      <w:r w:rsidRPr="005436C8">
        <w:rPr>
          <w:bCs/>
          <w:sz w:val="22"/>
          <w:szCs w:val="22"/>
          <w:lang w:val="sr-Latn-ME"/>
        </w:rPr>
        <w:t xml:space="preserve">ul. </w:t>
      </w:r>
      <w:r w:rsidR="00166973" w:rsidRPr="005436C8">
        <w:rPr>
          <w:bCs/>
          <w:sz w:val="22"/>
          <w:szCs w:val="22"/>
          <w:lang w:val="sr-Latn-ME"/>
        </w:rPr>
        <w:t>Cetinjska 11, 81000 Podgorica, Crna Gora</w:t>
      </w:r>
    </w:p>
    <w:p w14:paraId="3E4ACC1C" w14:textId="77777777" w:rsidR="00166973" w:rsidRPr="005436C8" w:rsidRDefault="00166973" w:rsidP="005436C8">
      <w:pPr>
        <w:tabs>
          <w:tab w:val="left" w:pos="540"/>
          <w:tab w:val="left" w:pos="569"/>
        </w:tabs>
        <w:rPr>
          <w:bCs/>
          <w:sz w:val="22"/>
          <w:szCs w:val="22"/>
          <w:lang w:val="sr-Latn-ME"/>
        </w:rPr>
      </w:pPr>
    </w:p>
    <w:p w14:paraId="56851846" w14:textId="77777777" w:rsidR="00CD2527" w:rsidRDefault="00CD2527" w:rsidP="005436C8">
      <w:pPr>
        <w:tabs>
          <w:tab w:val="left" w:pos="540"/>
          <w:tab w:val="left" w:pos="569"/>
        </w:tabs>
        <w:rPr>
          <w:b/>
          <w:bCs/>
          <w:sz w:val="22"/>
          <w:szCs w:val="22"/>
          <w:lang w:val="sr-Latn-ME"/>
        </w:rPr>
      </w:pPr>
    </w:p>
    <w:p w14:paraId="4B0127EB" w14:textId="77777777" w:rsidR="00CD2527" w:rsidRDefault="00CD2527" w:rsidP="005436C8">
      <w:pPr>
        <w:tabs>
          <w:tab w:val="left" w:pos="540"/>
          <w:tab w:val="left" w:pos="569"/>
        </w:tabs>
        <w:rPr>
          <w:b/>
          <w:bCs/>
          <w:sz w:val="22"/>
          <w:szCs w:val="22"/>
          <w:lang w:val="sr-Latn-ME"/>
        </w:rPr>
      </w:pPr>
    </w:p>
    <w:p w14:paraId="06655132" w14:textId="77777777" w:rsidR="00CD2527" w:rsidRDefault="00CD2527" w:rsidP="005436C8">
      <w:pPr>
        <w:tabs>
          <w:tab w:val="left" w:pos="540"/>
          <w:tab w:val="left" w:pos="569"/>
        </w:tabs>
        <w:rPr>
          <w:b/>
          <w:bCs/>
          <w:sz w:val="22"/>
          <w:szCs w:val="22"/>
          <w:lang w:val="sr-Latn-ME"/>
        </w:rPr>
      </w:pPr>
    </w:p>
    <w:p w14:paraId="77E89113" w14:textId="77777777" w:rsidR="00CD2527" w:rsidRDefault="00CD2527" w:rsidP="005436C8">
      <w:pPr>
        <w:tabs>
          <w:tab w:val="left" w:pos="540"/>
          <w:tab w:val="left" w:pos="569"/>
        </w:tabs>
        <w:rPr>
          <w:b/>
          <w:bCs/>
          <w:sz w:val="22"/>
          <w:szCs w:val="22"/>
          <w:lang w:val="sr-Latn-ME"/>
        </w:rPr>
      </w:pPr>
    </w:p>
    <w:p w14:paraId="301282A9"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lastRenderedPageBreak/>
        <w:t xml:space="preserve">8. </w:t>
      </w:r>
      <w:r w:rsidR="00480FB1" w:rsidRPr="005436C8">
        <w:rPr>
          <w:b/>
          <w:bCs/>
          <w:sz w:val="22"/>
          <w:szCs w:val="22"/>
          <w:lang w:val="sr-Latn-ME"/>
        </w:rPr>
        <w:tab/>
      </w:r>
      <w:r w:rsidRPr="005436C8">
        <w:rPr>
          <w:b/>
          <w:bCs/>
          <w:sz w:val="22"/>
          <w:szCs w:val="22"/>
          <w:lang w:val="sr-Latn-ME"/>
        </w:rPr>
        <w:t>BROJ DOZVOLE</w:t>
      </w:r>
      <w:r w:rsidR="008A6D43" w:rsidRPr="005436C8">
        <w:rPr>
          <w:b/>
          <w:bCs/>
          <w:sz w:val="22"/>
          <w:szCs w:val="22"/>
          <w:lang w:val="sr-Latn-ME"/>
        </w:rPr>
        <w:t xml:space="preserve"> ZA STAVLJANJE LIJEKA U PROMET</w:t>
      </w:r>
    </w:p>
    <w:p w14:paraId="512B5181" w14:textId="77777777" w:rsidR="0072020E" w:rsidRPr="005436C8" w:rsidRDefault="0072020E" w:rsidP="005436C8">
      <w:pPr>
        <w:tabs>
          <w:tab w:val="left" w:pos="540"/>
          <w:tab w:val="left" w:pos="569"/>
        </w:tabs>
        <w:rPr>
          <w:bCs/>
          <w:sz w:val="22"/>
          <w:szCs w:val="22"/>
          <w:lang w:val="sr-Latn-ME"/>
        </w:rPr>
      </w:pPr>
    </w:p>
    <w:p w14:paraId="05E29FFA" w14:textId="77777777" w:rsidR="004449CE" w:rsidRDefault="005D0882" w:rsidP="005436C8">
      <w:pPr>
        <w:tabs>
          <w:tab w:val="left" w:pos="540"/>
          <w:tab w:val="left" w:pos="569"/>
        </w:tabs>
      </w:pPr>
      <w:r w:rsidRPr="005436C8">
        <w:rPr>
          <w:bCs/>
          <w:sz w:val="22"/>
          <w:szCs w:val="22"/>
          <w:lang w:val="sr-Latn-ME"/>
        </w:rPr>
        <w:t>Phesgo, rastvor za injekciju, (600 mg + 600 mg)/10 ml, bočica, staklena, 1x10 ml:</w:t>
      </w:r>
      <w:r w:rsidR="004449CE" w:rsidRPr="004449CE">
        <w:t xml:space="preserve"> </w:t>
      </w:r>
    </w:p>
    <w:p w14:paraId="621FF2B0" w14:textId="77777777" w:rsidR="005D0882" w:rsidRPr="005436C8" w:rsidRDefault="004449CE" w:rsidP="005436C8">
      <w:pPr>
        <w:tabs>
          <w:tab w:val="left" w:pos="540"/>
          <w:tab w:val="left" w:pos="569"/>
        </w:tabs>
        <w:rPr>
          <w:bCs/>
          <w:sz w:val="22"/>
          <w:szCs w:val="22"/>
          <w:lang w:val="sr-Latn-ME"/>
        </w:rPr>
      </w:pPr>
      <w:r w:rsidRPr="004449CE">
        <w:rPr>
          <w:bCs/>
          <w:sz w:val="22"/>
          <w:szCs w:val="22"/>
          <w:lang w:val="sr-Latn-ME"/>
        </w:rPr>
        <w:t>2030/21/1268 - 907</w:t>
      </w:r>
    </w:p>
    <w:p w14:paraId="7EAE44F7" w14:textId="77777777" w:rsidR="004449CE" w:rsidRDefault="005D0882" w:rsidP="005436C8">
      <w:pPr>
        <w:tabs>
          <w:tab w:val="left" w:pos="540"/>
          <w:tab w:val="left" w:pos="569"/>
        </w:tabs>
      </w:pPr>
      <w:r w:rsidRPr="005436C8">
        <w:rPr>
          <w:bCs/>
          <w:sz w:val="22"/>
          <w:szCs w:val="22"/>
          <w:lang w:val="sr-Latn-ME"/>
        </w:rPr>
        <w:t>Phesgo, rastvor za injekciju, (1200 mg + 600 mg)/15 ml, bočica, staklena, 1x15 ml:</w:t>
      </w:r>
      <w:r w:rsidR="004449CE" w:rsidRPr="004449CE">
        <w:t xml:space="preserve"> </w:t>
      </w:r>
    </w:p>
    <w:p w14:paraId="7E98C1AC" w14:textId="77777777" w:rsidR="005D0882" w:rsidRDefault="004449CE" w:rsidP="005436C8">
      <w:pPr>
        <w:tabs>
          <w:tab w:val="left" w:pos="540"/>
          <w:tab w:val="left" w:pos="569"/>
        </w:tabs>
        <w:rPr>
          <w:bCs/>
          <w:sz w:val="22"/>
          <w:szCs w:val="22"/>
          <w:lang w:val="sr-Latn-ME"/>
        </w:rPr>
      </w:pPr>
      <w:r w:rsidRPr="004449CE">
        <w:rPr>
          <w:bCs/>
          <w:sz w:val="22"/>
          <w:szCs w:val="22"/>
          <w:lang w:val="sr-Latn-ME"/>
        </w:rPr>
        <w:t>2030/21/1269 - 908</w:t>
      </w:r>
    </w:p>
    <w:p w14:paraId="454ACCC2" w14:textId="77777777" w:rsidR="004449CE" w:rsidRDefault="004449CE" w:rsidP="005436C8">
      <w:pPr>
        <w:tabs>
          <w:tab w:val="left" w:pos="540"/>
          <w:tab w:val="left" w:pos="569"/>
        </w:tabs>
        <w:rPr>
          <w:bCs/>
          <w:sz w:val="22"/>
          <w:szCs w:val="22"/>
          <w:lang w:val="sr-Latn-ME"/>
        </w:rPr>
      </w:pPr>
    </w:p>
    <w:p w14:paraId="619E1042" w14:textId="77777777" w:rsidR="00CD2527" w:rsidRPr="005436C8" w:rsidRDefault="00CD2527" w:rsidP="005436C8">
      <w:pPr>
        <w:tabs>
          <w:tab w:val="left" w:pos="540"/>
          <w:tab w:val="left" w:pos="569"/>
        </w:tabs>
        <w:rPr>
          <w:bCs/>
          <w:sz w:val="22"/>
          <w:szCs w:val="22"/>
          <w:lang w:val="sr-Latn-ME"/>
        </w:rPr>
      </w:pPr>
    </w:p>
    <w:p w14:paraId="07E28F65" w14:textId="77777777" w:rsidR="0072020E" w:rsidRPr="005436C8" w:rsidRDefault="0072020E" w:rsidP="005436C8">
      <w:pPr>
        <w:tabs>
          <w:tab w:val="left" w:pos="540"/>
          <w:tab w:val="left" w:pos="569"/>
        </w:tabs>
        <w:rPr>
          <w:b/>
          <w:bCs/>
          <w:sz w:val="22"/>
          <w:szCs w:val="22"/>
          <w:lang w:val="sr-Latn-ME"/>
        </w:rPr>
      </w:pPr>
      <w:r w:rsidRPr="005436C8">
        <w:rPr>
          <w:b/>
          <w:bCs/>
          <w:sz w:val="22"/>
          <w:szCs w:val="22"/>
          <w:lang w:val="sr-Latn-ME"/>
        </w:rPr>
        <w:t xml:space="preserve">9. </w:t>
      </w:r>
      <w:r w:rsidR="00480FB1" w:rsidRPr="005436C8">
        <w:rPr>
          <w:b/>
          <w:bCs/>
          <w:sz w:val="22"/>
          <w:szCs w:val="22"/>
          <w:lang w:val="sr-Latn-ME"/>
        </w:rPr>
        <w:tab/>
      </w:r>
      <w:r w:rsidRPr="005436C8">
        <w:rPr>
          <w:b/>
          <w:bCs/>
          <w:sz w:val="22"/>
          <w:szCs w:val="22"/>
          <w:lang w:val="sr-Latn-ME"/>
        </w:rPr>
        <w:t xml:space="preserve">DATUM </w:t>
      </w:r>
      <w:r w:rsidR="00C05DF8" w:rsidRPr="005436C8">
        <w:rPr>
          <w:b/>
          <w:bCs/>
          <w:sz w:val="22"/>
          <w:szCs w:val="22"/>
          <w:lang w:val="sr-Latn-ME"/>
        </w:rPr>
        <w:t xml:space="preserve">PRVE </w:t>
      </w:r>
      <w:r w:rsidR="008A6D43" w:rsidRPr="005436C8">
        <w:rPr>
          <w:b/>
          <w:bCs/>
          <w:sz w:val="22"/>
          <w:szCs w:val="22"/>
          <w:lang w:val="sr-Latn-ME"/>
        </w:rPr>
        <w:t>DOZVOLE</w:t>
      </w:r>
      <w:r w:rsidR="00C05DF8" w:rsidRPr="005436C8">
        <w:rPr>
          <w:b/>
          <w:bCs/>
          <w:sz w:val="22"/>
          <w:szCs w:val="22"/>
          <w:lang w:val="sr-Latn-ME"/>
        </w:rPr>
        <w:t>/OBNOVE DOZVOLE</w:t>
      </w:r>
      <w:r w:rsidR="008A6D43" w:rsidRPr="005436C8">
        <w:rPr>
          <w:b/>
          <w:bCs/>
          <w:sz w:val="22"/>
          <w:szCs w:val="22"/>
          <w:lang w:val="sr-Latn-ME"/>
        </w:rPr>
        <w:t xml:space="preserve"> ZA STAVLJANJE LIJEKA U PROMET</w:t>
      </w:r>
    </w:p>
    <w:p w14:paraId="19A3B9E2" w14:textId="77777777" w:rsidR="0072020E" w:rsidRPr="005436C8" w:rsidRDefault="0072020E" w:rsidP="005436C8">
      <w:pPr>
        <w:tabs>
          <w:tab w:val="left" w:pos="540"/>
          <w:tab w:val="left" w:pos="569"/>
        </w:tabs>
        <w:rPr>
          <w:bCs/>
          <w:sz w:val="22"/>
          <w:szCs w:val="22"/>
          <w:lang w:val="sr-Latn-ME"/>
        </w:rPr>
      </w:pPr>
    </w:p>
    <w:p w14:paraId="391EE2AD" w14:textId="77777777" w:rsidR="004449CE" w:rsidRDefault="005D0882" w:rsidP="005436C8">
      <w:pPr>
        <w:tabs>
          <w:tab w:val="left" w:pos="540"/>
          <w:tab w:val="left" w:pos="569"/>
        </w:tabs>
      </w:pPr>
      <w:r w:rsidRPr="005436C8">
        <w:rPr>
          <w:bCs/>
          <w:sz w:val="22"/>
          <w:szCs w:val="22"/>
          <w:lang w:val="sr-Latn-ME"/>
        </w:rPr>
        <w:t>Phesgo, rastvor za injekciju, (600 mg + 600 mg)/10 ml, bočica, staklena, 1x10 ml:</w:t>
      </w:r>
      <w:r w:rsidR="004449CE" w:rsidRPr="004449CE">
        <w:t xml:space="preserve"> </w:t>
      </w:r>
    </w:p>
    <w:p w14:paraId="70EADCF0" w14:textId="77777777" w:rsidR="005D0882" w:rsidRPr="005436C8" w:rsidRDefault="004449CE" w:rsidP="005436C8">
      <w:pPr>
        <w:tabs>
          <w:tab w:val="left" w:pos="540"/>
          <w:tab w:val="left" w:pos="569"/>
        </w:tabs>
        <w:rPr>
          <w:bCs/>
          <w:sz w:val="22"/>
          <w:szCs w:val="22"/>
          <w:lang w:val="sr-Latn-ME"/>
        </w:rPr>
      </w:pPr>
      <w:r w:rsidRPr="004449CE">
        <w:rPr>
          <w:bCs/>
          <w:sz w:val="22"/>
          <w:szCs w:val="22"/>
          <w:lang w:val="sr-Latn-ME"/>
        </w:rPr>
        <w:t>14.12.2021. godine</w:t>
      </w:r>
    </w:p>
    <w:p w14:paraId="7D2AD812" w14:textId="77777777" w:rsidR="004449CE" w:rsidRDefault="005D0882" w:rsidP="005436C8">
      <w:pPr>
        <w:tabs>
          <w:tab w:val="left" w:pos="540"/>
          <w:tab w:val="left" w:pos="569"/>
        </w:tabs>
      </w:pPr>
      <w:r w:rsidRPr="005436C8">
        <w:rPr>
          <w:bCs/>
          <w:sz w:val="22"/>
          <w:szCs w:val="22"/>
          <w:lang w:val="sr-Latn-ME"/>
        </w:rPr>
        <w:t>Phesgo, rastvor za injekciju, (1200 mg + 600 mg)/15 ml, bočica, staklena, 1x15 ml:</w:t>
      </w:r>
      <w:r w:rsidR="004449CE" w:rsidRPr="004449CE">
        <w:t xml:space="preserve"> </w:t>
      </w:r>
    </w:p>
    <w:p w14:paraId="6FB03887" w14:textId="77777777" w:rsidR="005D0882" w:rsidRPr="005436C8" w:rsidRDefault="004449CE" w:rsidP="005436C8">
      <w:pPr>
        <w:tabs>
          <w:tab w:val="left" w:pos="540"/>
          <w:tab w:val="left" w:pos="569"/>
        </w:tabs>
        <w:rPr>
          <w:bCs/>
          <w:sz w:val="22"/>
          <w:szCs w:val="22"/>
          <w:lang w:val="sr-Latn-ME"/>
        </w:rPr>
      </w:pPr>
      <w:r w:rsidRPr="004449CE">
        <w:rPr>
          <w:bCs/>
          <w:sz w:val="22"/>
          <w:szCs w:val="22"/>
          <w:lang w:val="sr-Latn-ME"/>
        </w:rPr>
        <w:t>14.12.2021. godine</w:t>
      </w:r>
    </w:p>
    <w:p w14:paraId="567574F9" w14:textId="77777777" w:rsidR="005D0882" w:rsidRPr="005436C8" w:rsidRDefault="005D0882" w:rsidP="005436C8">
      <w:pPr>
        <w:tabs>
          <w:tab w:val="left" w:pos="540"/>
          <w:tab w:val="left" w:pos="569"/>
        </w:tabs>
        <w:rPr>
          <w:bCs/>
          <w:sz w:val="22"/>
          <w:szCs w:val="22"/>
          <w:lang w:val="sr-Latn-ME"/>
        </w:rPr>
      </w:pPr>
    </w:p>
    <w:p w14:paraId="73155DE1" w14:textId="77777777" w:rsidR="00836B35" w:rsidRPr="005436C8" w:rsidRDefault="00836B35" w:rsidP="005436C8">
      <w:pPr>
        <w:tabs>
          <w:tab w:val="left" w:pos="540"/>
          <w:tab w:val="left" w:pos="569"/>
        </w:tabs>
        <w:rPr>
          <w:bCs/>
          <w:sz w:val="22"/>
          <w:szCs w:val="22"/>
          <w:lang w:val="sr-Latn-ME"/>
        </w:rPr>
      </w:pPr>
    </w:p>
    <w:p w14:paraId="15BF7062" w14:textId="77777777" w:rsidR="003F6A59" w:rsidRPr="005436C8" w:rsidRDefault="0072020E" w:rsidP="005436C8">
      <w:pPr>
        <w:tabs>
          <w:tab w:val="left" w:pos="540"/>
          <w:tab w:val="left" w:pos="569"/>
        </w:tabs>
        <w:ind w:left="540" w:hanging="540"/>
        <w:rPr>
          <w:b/>
          <w:bCs/>
          <w:sz w:val="22"/>
          <w:szCs w:val="22"/>
          <w:lang w:val="sr-Latn-ME"/>
        </w:rPr>
      </w:pPr>
      <w:r w:rsidRPr="005436C8">
        <w:rPr>
          <w:b/>
          <w:bCs/>
          <w:sz w:val="22"/>
          <w:szCs w:val="22"/>
          <w:lang w:val="sr-Latn-ME"/>
        </w:rPr>
        <w:t xml:space="preserve">10. </w:t>
      </w:r>
      <w:r w:rsidR="00480FB1" w:rsidRPr="005436C8">
        <w:rPr>
          <w:b/>
          <w:bCs/>
          <w:sz w:val="22"/>
          <w:szCs w:val="22"/>
          <w:lang w:val="sr-Latn-ME"/>
        </w:rPr>
        <w:tab/>
      </w:r>
      <w:r w:rsidR="002846DB" w:rsidRPr="005436C8">
        <w:rPr>
          <w:b/>
          <w:bCs/>
          <w:sz w:val="22"/>
          <w:szCs w:val="22"/>
          <w:lang w:val="sr-Latn-ME"/>
        </w:rPr>
        <w:t>D</w:t>
      </w:r>
      <w:r w:rsidR="00EC2532" w:rsidRPr="005436C8">
        <w:rPr>
          <w:b/>
          <w:bCs/>
          <w:sz w:val="22"/>
          <w:szCs w:val="22"/>
          <w:lang w:val="sr-Latn-ME"/>
        </w:rPr>
        <w:t xml:space="preserve">ATUM REVIZIJE TEKSTA </w:t>
      </w:r>
    </w:p>
    <w:p w14:paraId="6C472BF3" w14:textId="77777777" w:rsidR="001E7729" w:rsidRPr="005436C8" w:rsidRDefault="002E743C" w:rsidP="005436C8">
      <w:pPr>
        <w:tabs>
          <w:tab w:val="left" w:pos="540"/>
          <w:tab w:val="left" w:pos="569"/>
        </w:tabs>
        <w:ind w:left="540" w:hanging="540"/>
        <w:rPr>
          <w:b/>
          <w:bCs/>
          <w:sz w:val="22"/>
          <w:szCs w:val="22"/>
          <w:lang w:val="sr-Latn-ME"/>
        </w:rPr>
      </w:pPr>
      <w:r w:rsidRPr="005436C8">
        <w:rPr>
          <w:b/>
          <w:bCs/>
          <w:sz w:val="22"/>
          <w:szCs w:val="22"/>
          <w:lang w:val="sr-Latn-ME"/>
        </w:rPr>
        <w:t xml:space="preserve">          </w:t>
      </w:r>
    </w:p>
    <w:p w14:paraId="016E0D01" w14:textId="488D7A9D" w:rsidR="002E743C" w:rsidRPr="005436C8" w:rsidRDefault="00771DF4" w:rsidP="005436C8">
      <w:pPr>
        <w:tabs>
          <w:tab w:val="left" w:pos="540"/>
          <w:tab w:val="left" w:pos="569"/>
        </w:tabs>
        <w:ind w:left="540" w:hanging="540"/>
        <w:rPr>
          <w:bCs/>
          <w:sz w:val="22"/>
          <w:szCs w:val="22"/>
          <w:lang w:val="sr-Latn-ME"/>
        </w:rPr>
      </w:pPr>
      <w:r>
        <w:rPr>
          <w:bCs/>
          <w:sz w:val="22"/>
          <w:szCs w:val="22"/>
          <w:lang w:val="sr-Latn-ME"/>
        </w:rPr>
        <w:t>Februar</w:t>
      </w:r>
      <w:r w:rsidR="002E743C" w:rsidRPr="005436C8">
        <w:rPr>
          <w:bCs/>
          <w:sz w:val="22"/>
          <w:szCs w:val="22"/>
          <w:lang w:val="sr-Latn-ME"/>
        </w:rPr>
        <w:t>, 202</w:t>
      </w:r>
      <w:r w:rsidR="00F4539F">
        <w:rPr>
          <w:bCs/>
          <w:sz w:val="22"/>
          <w:szCs w:val="22"/>
          <w:lang w:val="sr-Latn-ME"/>
        </w:rPr>
        <w:t>5</w:t>
      </w:r>
      <w:r w:rsidR="002E743C" w:rsidRPr="005436C8">
        <w:rPr>
          <w:bCs/>
          <w:sz w:val="22"/>
          <w:szCs w:val="22"/>
          <w:lang w:val="sr-Latn-ME"/>
        </w:rPr>
        <w:t>.</w:t>
      </w:r>
      <w:r w:rsidR="005D0882" w:rsidRPr="005436C8">
        <w:rPr>
          <w:bCs/>
          <w:sz w:val="22"/>
          <w:szCs w:val="22"/>
          <w:lang w:val="sr-Latn-ME"/>
        </w:rPr>
        <w:t xml:space="preserve"> godine</w:t>
      </w:r>
    </w:p>
    <w:p w14:paraId="75F59F6D" w14:textId="77777777" w:rsidR="00702E22" w:rsidRPr="005436C8" w:rsidRDefault="00702E22" w:rsidP="005436C8">
      <w:pPr>
        <w:tabs>
          <w:tab w:val="left" w:pos="540"/>
          <w:tab w:val="left" w:pos="569"/>
        </w:tabs>
        <w:rPr>
          <w:i/>
          <w:iCs/>
          <w:color w:val="808080"/>
          <w:sz w:val="22"/>
          <w:szCs w:val="22"/>
          <w:lang w:val="sr-Latn-ME"/>
        </w:rPr>
      </w:pPr>
    </w:p>
    <w:p w14:paraId="6AF1FE0D" w14:textId="25331AED" w:rsidR="003F6A59" w:rsidRPr="005436C8" w:rsidRDefault="003F6A59" w:rsidP="005436C8">
      <w:pPr>
        <w:rPr>
          <w:sz w:val="22"/>
          <w:szCs w:val="22"/>
          <w:lang w:val="sr-Latn-ME"/>
        </w:rPr>
      </w:pPr>
    </w:p>
    <w:sectPr w:rsidR="003F6A59" w:rsidRPr="005436C8" w:rsidSect="009B712A">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48C7E" w14:textId="77777777" w:rsidR="00D61642" w:rsidRDefault="00D61642">
      <w:r>
        <w:separator/>
      </w:r>
    </w:p>
  </w:endnote>
  <w:endnote w:type="continuationSeparator" w:id="0">
    <w:p w14:paraId="0641BC73" w14:textId="77777777" w:rsidR="00D61642" w:rsidRDefault="00D6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A180" w14:textId="04013F11" w:rsidR="009B712A" w:rsidRPr="00B23F69" w:rsidRDefault="009B712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70328">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70328">
      <w:rPr>
        <w:noProof/>
        <w:sz w:val="22"/>
        <w:szCs w:val="22"/>
      </w:rPr>
      <w:t>38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8373E" w14:textId="77777777" w:rsidR="00D61642" w:rsidRDefault="00D61642">
      <w:r>
        <w:separator/>
      </w:r>
    </w:p>
  </w:footnote>
  <w:footnote w:type="continuationSeparator" w:id="0">
    <w:p w14:paraId="5A990FC8" w14:textId="77777777" w:rsidR="00D61642" w:rsidRDefault="00D6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82F19E9"/>
    <w:multiLevelType w:val="hybridMultilevel"/>
    <w:tmpl w:val="E4182150"/>
    <w:lvl w:ilvl="0" w:tplc="EEDE8322">
      <w:start w:val="1"/>
      <w:numFmt w:val="bullet"/>
      <w:lvlText w:val=""/>
      <w:lvlJc w:val="left"/>
      <w:pPr>
        <w:ind w:left="1077" w:hanging="360"/>
      </w:pPr>
      <w:rPr>
        <w:rFonts w:ascii="Symbol" w:hAnsi="Symbol" w:hint="default"/>
      </w:rPr>
    </w:lvl>
    <w:lvl w:ilvl="1" w:tplc="350EDADC" w:tentative="1">
      <w:start w:val="1"/>
      <w:numFmt w:val="bullet"/>
      <w:lvlText w:val="o"/>
      <w:lvlJc w:val="left"/>
      <w:pPr>
        <w:ind w:left="1797" w:hanging="360"/>
      </w:pPr>
      <w:rPr>
        <w:rFonts w:ascii="Courier New" w:hAnsi="Courier New" w:cs="Courier New" w:hint="default"/>
      </w:rPr>
    </w:lvl>
    <w:lvl w:ilvl="2" w:tplc="E78EBF0C" w:tentative="1">
      <w:start w:val="1"/>
      <w:numFmt w:val="bullet"/>
      <w:lvlText w:val=""/>
      <w:lvlJc w:val="left"/>
      <w:pPr>
        <w:ind w:left="2517" w:hanging="360"/>
      </w:pPr>
      <w:rPr>
        <w:rFonts w:ascii="Wingdings" w:hAnsi="Wingdings" w:hint="default"/>
      </w:rPr>
    </w:lvl>
    <w:lvl w:ilvl="3" w:tplc="A6F226F8" w:tentative="1">
      <w:start w:val="1"/>
      <w:numFmt w:val="bullet"/>
      <w:lvlText w:val=""/>
      <w:lvlJc w:val="left"/>
      <w:pPr>
        <w:ind w:left="3237" w:hanging="360"/>
      </w:pPr>
      <w:rPr>
        <w:rFonts w:ascii="Symbol" w:hAnsi="Symbol" w:hint="default"/>
      </w:rPr>
    </w:lvl>
    <w:lvl w:ilvl="4" w:tplc="75DA9288" w:tentative="1">
      <w:start w:val="1"/>
      <w:numFmt w:val="bullet"/>
      <w:lvlText w:val="o"/>
      <w:lvlJc w:val="left"/>
      <w:pPr>
        <w:ind w:left="3957" w:hanging="360"/>
      </w:pPr>
      <w:rPr>
        <w:rFonts w:ascii="Courier New" w:hAnsi="Courier New" w:cs="Courier New" w:hint="default"/>
      </w:rPr>
    </w:lvl>
    <w:lvl w:ilvl="5" w:tplc="FD763764" w:tentative="1">
      <w:start w:val="1"/>
      <w:numFmt w:val="bullet"/>
      <w:lvlText w:val=""/>
      <w:lvlJc w:val="left"/>
      <w:pPr>
        <w:ind w:left="4677" w:hanging="360"/>
      </w:pPr>
      <w:rPr>
        <w:rFonts w:ascii="Wingdings" w:hAnsi="Wingdings" w:hint="default"/>
      </w:rPr>
    </w:lvl>
    <w:lvl w:ilvl="6" w:tplc="55D08F44" w:tentative="1">
      <w:start w:val="1"/>
      <w:numFmt w:val="bullet"/>
      <w:lvlText w:val=""/>
      <w:lvlJc w:val="left"/>
      <w:pPr>
        <w:ind w:left="5397" w:hanging="360"/>
      </w:pPr>
      <w:rPr>
        <w:rFonts w:ascii="Symbol" w:hAnsi="Symbol" w:hint="default"/>
      </w:rPr>
    </w:lvl>
    <w:lvl w:ilvl="7" w:tplc="B7629A22" w:tentative="1">
      <w:start w:val="1"/>
      <w:numFmt w:val="bullet"/>
      <w:lvlText w:val="o"/>
      <w:lvlJc w:val="left"/>
      <w:pPr>
        <w:ind w:left="6117" w:hanging="360"/>
      </w:pPr>
      <w:rPr>
        <w:rFonts w:ascii="Courier New" w:hAnsi="Courier New" w:cs="Courier New" w:hint="default"/>
      </w:rPr>
    </w:lvl>
    <w:lvl w:ilvl="8" w:tplc="94C2704A" w:tentative="1">
      <w:start w:val="1"/>
      <w:numFmt w:val="bullet"/>
      <w:lvlText w:val=""/>
      <w:lvlJc w:val="left"/>
      <w:pPr>
        <w:ind w:left="6837"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2483F"/>
    <w:multiLevelType w:val="hybridMultilevel"/>
    <w:tmpl w:val="C7C2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7F0"/>
    <w:rsid w:val="00036FA0"/>
    <w:rsid w:val="0003793F"/>
    <w:rsid w:val="00041C40"/>
    <w:rsid w:val="00042D9A"/>
    <w:rsid w:val="00051560"/>
    <w:rsid w:val="00057E35"/>
    <w:rsid w:val="00076726"/>
    <w:rsid w:val="00080303"/>
    <w:rsid w:val="000825A5"/>
    <w:rsid w:val="00097926"/>
    <w:rsid w:val="000A2EA9"/>
    <w:rsid w:val="000A3F58"/>
    <w:rsid w:val="000B45CE"/>
    <w:rsid w:val="000C7302"/>
    <w:rsid w:val="000D2343"/>
    <w:rsid w:val="000D3449"/>
    <w:rsid w:val="000D425A"/>
    <w:rsid w:val="000D60CC"/>
    <w:rsid w:val="000E09F6"/>
    <w:rsid w:val="000E2084"/>
    <w:rsid w:val="000E6F55"/>
    <w:rsid w:val="000F77FA"/>
    <w:rsid w:val="00107BF7"/>
    <w:rsid w:val="00115EBA"/>
    <w:rsid w:val="00123BED"/>
    <w:rsid w:val="00126F53"/>
    <w:rsid w:val="00133B04"/>
    <w:rsid w:val="00146854"/>
    <w:rsid w:val="0014766D"/>
    <w:rsid w:val="001536CC"/>
    <w:rsid w:val="00156731"/>
    <w:rsid w:val="00160FB9"/>
    <w:rsid w:val="00166973"/>
    <w:rsid w:val="00181898"/>
    <w:rsid w:val="00185A37"/>
    <w:rsid w:val="001A3FBA"/>
    <w:rsid w:val="001A5518"/>
    <w:rsid w:val="001B1C6A"/>
    <w:rsid w:val="001C1263"/>
    <w:rsid w:val="001C1417"/>
    <w:rsid w:val="001C79FD"/>
    <w:rsid w:val="001D6241"/>
    <w:rsid w:val="001E390B"/>
    <w:rsid w:val="001E7729"/>
    <w:rsid w:val="001F42FB"/>
    <w:rsid w:val="001F50D5"/>
    <w:rsid w:val="001F719A"/>
    <w:rsid w:val="002000B0"/>
    <w:rsid w:val="002031B3"/>
    <w:rsid w:val="00207B37"/>
    <w:rsid w:val="00210293"/>
    <w:rsid w:val="00211115"/>
    <w:rsid w:val="00212549"/>
    <w:rsid w:val="00215931"/>
    <w:rsid w:val="00227BDB"/>
    <w:rsid w:val="00234CB1"/>
    <w:rsid w:val="002352F8"/>
    <w:rsid w:val="00246F49"/>
    <w:rsid w:val="002510A5"/>
    <w:rsid w:val="00254A0A"/>
    <w:rsid w:val="00266046"/>
    <w:rsid w:val="002700CC"/>
    <w:rsid w:val="00271E01"/>
    <w:rsid w:val="002725F1"/>
    <w:rsid w:val="002846DB"/>
    <w:rsid w:val="00284CCD"/>
    <w:rsid w:val="002A2CA8"/>
    <w:rsid w:val="002B37A8"/>
    <w:rsid w:val="002B6D8C"/>
    <w:rsid w:val="002C4DF4"/>
    <w:rsid w:val="002C62D2"/>
    <w:rsid w:val="002C6637"/>
    <w:rsid w:val="002D7E0C"/>
    <w:rsid w:val="002E0135"/>
    <w:rsid w:val="002E1915"/>
    <w:rsid w:val="002E37A5"/>
    <w:rsid w:val="002E743C"/>
    <w:rsid w:val="002F3125"/>
    <w:rsid w:val="00301DC7"/>
    <w:rsid w:val="00310F03"/>
    <w:rsid w:val="00317711"/>
    <w:rsid w:val="003247D2"/>
    <w:rsid w:val="00324F83"/>
    <w:rsid w:val="003419CB"/>
    <w:rsid w:val="003445C1"/>
    <w:rsid w:val="003504B5"/>
    <w:rsid w:val="00355B61"/>
    <w:rsid w:val="00362686"/>
    <w:rsid w:val="00362B4E"/>
    <w:rsid w:val="00371510"/>
    <w:rsid w:val="00385576"/>
    <w:rsid w:val="00386C79"/>
    <w:rsid w:val="00396DFD"/>
    <w:rsid w:val="003A62A7"/>
    <w:rsid w:val="003A6A06"/>
    <w:rsid w:val="003A7059"/>
    <w:rsid w:val="003B098B"/>
    <w:rsid w:val="003B7A36"/>
    <w:rsid w:val="003C17AB"/>
    <w:rsid w:val="003C18F7"/>
    <w:rsid w:val="003C7823"/>
    <w:rsid w:val="003D15D3"/>
    <w:rsid w:val="003E1DCC"/>
    <w:rsid w:val="003E2042"/>
    <w:rsid w:val="003E269C"/>
    <w:rsid w:val="003E59E9"/>
    <w:rsid w:val="003F1CD8"/>
    <w:rsid w:val="003F5654"/>
    <w:rsid w:val="003F6A59"/>
    <w:rsid w:val="00401A0D"/>
    <w:rsid w:val="00401D97"/>
    <w:rsid w:val="004065C8"/>
    <w:rsid w:val="004109FA"/>
    <w:rsid w:val="00411B4B"/>
    <w:rsid w:val="00415BEE"/>
    <w:rsid w:val="00427F85"/>
    <w:rsid w:val="00436F42"/>
    <w:rsid w:val="004378B4"/>
    <w:rsid w:val="00443B83"/>
    <w:rsid w:val="00444550"/>
    <w:rsid w:val="004449CE"/>
    <w:rsid w:val="004509A2"/>
    <w:rsid w:val="00451314"/>
    <w:rsid w:val="00452E9D"/>
    <w:rsid w:val="004534C7"/>
    <w:rsid w:val="00453892"/>
    <w:rsid w:val="00456410"/>
    <w:rsid w:val="004671AA"/>
    <w:rsid w:val="00480DE8"/>
    <w:rsid w:val="00480FB1"/>
    <w:rsid w:val="00483928"/>
    <w:rsid w:val="00486906"/>
    <w:rsid w:val="00490318"/>
    <w:rsid w:val="00492BEB"/>
    <w:rsid w:val="004B7365"/>
    <w:rsid w:val="004D6103"/>
    <w:rsid w:val="004D7F7E"/>
    <w:rsid w:val="004E3BCE"/>
    <w:rsid w:val="004E41D9"/>
    <w:rsid w:val="004E7A29"/>
    <w:rsid w:val="004F0E97"/>
    <w:rsid w:val="00501DD1"/>
    <w:rsid w:val="00513326"/>
    <w:rsid w:val="00515C21"/>
    <w:rsid w:val="00517645"/>
    <w:rsid w:val="00522BD8"/>
    <w:rsid w:val="00530BD7"/>
    <w:rsid w:val="005432AE"/>
    <w:rsid w:val="005436C8"/>
    <w:rsid w:val="00545CD2"/>
    <w:rsid w:val="005476F3"/>
    <w:rsid w:val="00552A8A"/>
    <w:rsid w:val="005537B1"/>
    <w:rsid w:val="00563BCD"/>
    <w:rsid w:val="00566745"/>
    <w:rsid w:val="00570AA5"/>
    <w:rsid w:val="00572527"/>
    <w:rsid w:val="00573E40"/>
    <w:rsid w:val="00575DDD"/>
    <w:rsid w:val="00576348"/>
    <w:rsid w:val="00576BC9"/>
    <w:rsid w:val="00580C25"/>
    <w:rsid w:val="005818DF"/>
    <w:rsid w:val="005A0B2E"/>
    <w:rsid w:val="005A23D2"/>
    <w:rsid w:val="005A36CB"/>
    <w:rsid w:val="005A6CA3"/>
    <w:rsid w:val="005B49B8"/>
    <w:rsid w:val="005B791A"/>
    <w:rsid w:val="005C0741"/>
    <w:rsid w:val="005C1ED5"/>
    <w:rsid w:val="005C5EF4"/>
    <w:rsid w:val="005D0882"/>
    <w:rsid w:val="005D5BF4"/>
    <w:rsid w:val="005E2E0B"/>
    <w:rsid w:val="005E75BF"/>
    <w:rsid w:val="005E7A7D"/>
    <w:rsid w:val="005F1E73"/>
    <w:rsid w:val="00602457"/>
    <w:rsid w:val="00615846"/>
    <w:rsid w:val="00630E03"/>
    <w:rsid w:val="00636A78"/>
    <w:rsid w:val="00646BD1"/>
    <w:rsid w:val="006479AF"/>
    <w:rsid w:val="006561C2"/>
    <w:rsid w:val="00671CB3"/>
    <w:rsid w:val="00674BAF"/>
    <w:rsid w:val="00680BD5"/>
    <w:rsid w:val="00682200"/>
    <w:rsid w:val="00692BF6"/>
    <w:rsid w:val="006A1497"/>
    <w:rsid w:val="006B0BD1"/>
    <w:rsid w:val="006B212E"/>
    <w:rsid w:val="006D20A5"/>
    <w:rsid w:val="006D37BF"/>
    <w:rsid w:val="006E0E98"/>
    <w:rsid w:val="006E3F22"/>
    <w:rsid w:val="006F4B89"/>
    <w:rsid w:val="006F5786"/>
    <w:rsid w:val="00702E22"/>
    <w:rsid w:val="00716D1D"/>
    <w:rsid w:val="0072020E"/>
    <w:rsid w:val="00761FC0"/>
    <w:rsid w:val="00762B61"/>
    <w:rsid w:val="00771DF4"/>
    <w:rsid w:val="007819AA"/>
    <w:rsid w:val="00782B97"/>
    <w:rsid w:val="00784ECC"/>
    <w:rsid w:val="00786071"/>
    <w:rsid w:val="007920A4"/>
    <w:rsid w:val="007A042A"/>
    <w:rsid w:val="007A2968"/>
    <w:rsid w:val="007A3ECB"/>
    <w:rsid w:val="007A7EC2"/>
    <w:rsid w:val="007C4249"/>
    <w:rsid w:val="007C7DD4"/>
    <w:rsid w:val="007D3F2E"/>
    <w:rsid w:val="007E4D65"/>
    <w:rsid w:val="007E69AE"/>
    <w:rsid w:val="00804274"/>
    <w:rsid w:val="00824AB9"/>
    <w:rsid w:val="00836B35"/>
    <w:rsid w:val="00841D7D"/>
    <w:rsid w:val="00843BDE"/>
    <w:rsid w:val="008502DF"/>
    <w:rsid w:val="00851DF6"/>
    <w:rsid w:val="00873AFC"/>
    <w:rsid w:val="00880868"/>
    <w:rsid w:val="00882952"/>
    <w:rsid w:val="008834FA"/>
    <w:rsid w:val="00887FD8"/>
    <w:rsid w:val="0089705C"/>
    <w:rsid w:val="008A4C1B"/>
    <w:rsid w:val="008A6D43"/>
    <w:rsid w:val="008B491E"/>
    <w:rsid w:val="008C1A28"/>
    <w:rsid w:val="008C2E98"/>
    <w:rsid w:val="008C5438"/>
    <w:rsid w:val="008D6CF3"/>
    <w:rsid w:val="008E49BD"/>
    <w:rsid w:val="008E53E9"/>
    <w:rsid w:val="008E5771"/>
    <w:rsid w:val="008E7A18"/>
    <w:rsid w:val="008F4ACF"/>
    <w:rsid w:val="00906997"/>
    <w:rsid w:val="00926EE1"/>
    <w:rsid w:val="00927ECF"/>
    <w:rsid w:val="00935205"/>
    <w:rsid w:val="0093780B"/>
    <w:rsid w:val="00940B9B"/>
    <w:rsid w:val="00947D06"/>
    <w:rsid w:val="0095676E"/>
    <w:rsid w:val="00956983"/>
    <w:rsid w:val="0095703D"/>
    <w:rsid w:val="00963CF0"/>
    <w:rsid w:val="00964BB1"/>
    <w:rsid w:val="0097396D"/>
    <w:rsid w:val="00975698"/>
    <w:rsid w:val="009775D9"/>
    <w:rsid w:val="00997175"/>
    <w:rsid w:val="009A1847"/>
    <w:rsid w:val="009A54C5"/>
    <w:rsid w:val="009B062A"/>
    <w:rsid w:val="009B712A"/>
    <w:rsid w:val="009E7C6F"/>
    <w:rsid w:val="009F09FE"/>
    <w:rsid w:val="009F1793"/>
    <w:rsid w:val="009F2B85"/>
    <w:rsid w:val="009F2D23"/>
    <w:rsid w:val="00A01D69"/>
    <w:rsid w:val="00A02335"/>
    <w:rsid w:val="00A21698"/>
    <w:rsid w:val="00A35C7E"/>
    <w:rsid w:val="00A37FA9"/>
    <w:rsid w:val="00A46C9A"/>
    <w:rsid w:val="00A53547"/>
    <w:rsid w:val="00A619F3"/>
    <w:rsid w:val="00A62A73"/>
    <w:rsid w:val="00A839CB"/>
    <w:rsid w:val="00A8587B"/>
    <w:rsid w:val="00A87FF6"/>
    <w:rsid w:val="00AA0A3B"/>
    <w:rsid w:val="00AA2763"/>
    <w:rsid w:val="00AA33B6"/>
    <w:rsid w:val="00AB50CA"/>
    <w:rsid w:val="00AB6D64"/>
    <w:rsid w:val="00AC3079"/>
    <w:rsid w:val="00AC53CE"/>
    <w:rsid w:val="00AD1AC7"/>
    <w:rsid w:val="00AD2193"/>
    <w:rsid w:val="00AD6618"/>
    <w:rsid w:val="00AE5CB2"/>
    <w:rsid w:val="00AF2AC7"/>
    <w:rsid w:val="00AF74CE"/>
    <w:rsid w:val="00B00D6D"/>
    <w:rsid w:val="00B208DB"/>
    <w:rsid w:val="00B23F69"/>
    <w:rsid w:val="00B304CF"/>
    <w:rsid w:val="00B506E4"/>
    <w:rsid w:val="00B50700"/>
    <w:rsid w:val="00B60619"/>
    <w:rsid w:val="00B612CB"/>
    <w:rsid w:val="00B624AD"/>
    <w:rsid w:val="00B66A70"/>
    <w:rsid w:val="00B67366"/>
    <w:rsid w:val="00B67F4D"/>
    <w:rsid w:val="00B80EE1"/>
    <w:rsid w:val="00B82745"/>
    <w:rsid w:val="00B84135"/>
    <w:rsid w:val="00B92A33"/>
    <w:rsid w:val="00B979F3"/>
    <w:rsid w:val="00BA333B"/>
    <w:rsid w:val="00BA5239"/>
    <w:rsid w:val="00BB2B97"/>
    <w:rsid w:val="00BC7CBF"/>
    <w:rsid w:val="00BD09B9"/>
    <w:rsid w:val="00BF37F7"/>
    <w:rsid w:val="00C04234"/>
    <w:rsid w:val="00C04650"/>
    <w:rsid w:val="00C04D34"/>
    <w:rsid w:val="00C05DF8"/>
    <w:rsid w:val="00C06864"/>
    <w:rsid w:val="00C1065F"/>
    <w:rsid w:val="00C10F54"/>
    <w:rsid w:val="00C12643"/>
    <w:rsid w:val="00C13F5A"/>
    <w:rsid w:val="00C141A6"/>
    <w:rsid w:val="00C23D8D"/>
    <w:rsid w:val="00C37AA3"/>
    <w:rsid w:val="00C37FD7"/>
    <w:rsid w:val="00C41765"/>
    <w:rsid w:val="00C43419"/>
    <w:rsid w:val="00C44CF3"/>
    <w:rsid w:val="00C469FA"/>
    <w:rsid w:val="00C61BE0"/>
    <w:rsid w:val="00C70B0E"/>
    <w:rsid w:val="00C773CA"/>
    <w:rsid w:val="00C7791E"/>
    <w:rsid w:val="00C83785"/>
    <w:rsid w:val="00C84402"/>
    <w:rsid w:val="00C94C0D"/>
    <w:rsid w:val="00CA1FEB"/>
    <w:rsid w:val="00CA7F4A"/>
    <w:rsid w:val="00CB373C"/>
    <w:rsid w:val="00CC4053"/>
    <w:rsid w:val="00CD2527"/>
    <w:rsid w:val="00CD4BA3"/>
    <w:rsid w:val="00CD4F85"/>
    <w:rsid w:val="00CD5D69"/>
    <w:rsid w:val="00CD6F02"/>
    <w:rsid w:val="00CE246D"/>
    <w:rsid w:val="00CF07A0"/>
    <w:rsid w:val="00CF3E03"/>
    <w:rsid w:val="00D0082A"/>
    <w:rsid w:val="00D04C7B"/>
    <w:rsid w:val="00D20D01"/>
    <w:rsid w:val="00D21455"/>
    <w:rsid w:val="00D47634"/>
    <w:rsid w:val="00D55E42"/>
    <w:rsid w:val="00D61642"/>
    <w:rsid w:val="00D61A6E"/>
    <w:rsid w:val="00D637B5"/>
    <w:rsid w:val="00D67445"/>
    <w:rsid w:val="00D709B3"/>
    <w:rsid w:val="00D73B6C"/>
    <w:rsid w:val="00D827E7"/>
    <w:rsid w:val="00DA2ED6"/>
    <w:rsid w:val="00DA50E6"/>
    <w:rsid w:val="00DB32FE"/>
    <w:rsid w:val="00DB4A24"/>
    <w:rsid w:val="00DB76B8"/>
    <w:rsid w:val="00DC1599"/>
    <w:rsid w:val="00DC2EA1"/>
    <w:rsid w:val="00DD3751"/>
    <w:rsid w:val="00DD6AAF"/>
    <w:rsid w:val="00DE3F5C"/>
    <w:rsid w:val="00DF1D20"/>
    <w:rsid w:val="00E11997"/>
    <w:rsid w:val="00E129B9"/>
    <w:rsid w:val="00E21324"/>
    <w:rsid w:val="00E246B9"/>
    <w:rsid w:val="00E250E4"/>
    <w:rsid w:val="00E25FFB"/>
    <w:rsid w:val="00E272F7"/>
    <w:rsid w:val="00E31FEA"/>
    <w:rsid w:val="00E45169"/>
    <w:rsid w:val="00E47787"/>
    <w:rsid w:val="00E51C30"/>
    <w:rsid w:val="00E52A5F"/>
    <w:rsid w:val="00E617F1"/>
    <w:rsid w:val="00E64180"/>
    <w:rsid w:val="00E70328"/>
    <w:rsid w:val="00E74AEE"/>
    <w:rsid w:val="00E75D6F"/>
    <w:rsid w:val="00E816D2"/>
    <w:rsid w:val="00E868E5"/>
    <w:rsid w:val="00E9237A"/>
    <w:rsid w:val="00E939FA"/>
    <w:rsid w:val="00EA3D73"/>
    <w:rsid w:val="00EA5765"/>
    <w:rsid w:val="00EC111A"/>
    <w:rsid w:val="00EC2532"/>
    <w:rsid w:val="00ED0FB1"/>
    <w:rsid w:val="00ED7812"/>
    <w:rsid w:val="00EE66E8"/>
    <w:rsid w:val="00EE7C9B"/>
    <w:rsid w:val="00EF3B86"/>
    <w:rsid w:val="00F317E9"/>
    <w:rsid w:val="00F34554"/>
    <w:rsid w:val="00F4539F"/>
    <w:rsid w:val="00F45F77"/>
    <w:rsid w:val="00F5167F"/>
    <w:rsid w:val="00F52258"/>
    <w:rsid w:val="00F535D3"/>
    <w:rsid w:val="00F8570A"/>
    <w:rsid w:val="00F90BE1"/>
    <w:rsid w:val="00F90ECF"/>
    <w:rsid w:val="00F91C7B"/>
    <w:rsid w:val="00F96578"/>
    <w:rsid w:val="00FA361A"/>
    <w:rsid w:val="00FB5A89"/>
    <w:rsid w:val="00FC3850"/>
    <w:rsid w:val="00FD5D17"/>
    <w:rsid w:val="00FD7AF9"/>
    <w:rsid w:val="00FE2099"/>
    <w:rsid w:val="00FE754C"/>
    <w:rsid w:val="00FF329E"/>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E7D6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Paragraph">
    <w:name w:val="Paragraph"/>
    <w:basedOn w:val="Normal"/>
    <w:link w:val="ParagraphChar"/>
    <w:qFormat/>
    <w:rsid w:val="000C7302"/>
    <w:pPr>
      <w:spacing w:after="250" w:line="300" w:lineRule="atLeast"/>
    </w:pPr>
    <w:rPr>
      <w:rFonts w:ascii="Arial" w:eastAsia="SimSun" w:hAnsi="Arial"/>
      <w:sz w:val="22"/>
      <w:lang w:eastAsia="zh-CN"/>
    </w:rPr>
  </w:style>
  <w:style w:type="character" w:customStyle="1" w:styleId="ParagraphChar">
    <w:name w:val="Paragraph Char"/>
    <w:link w:val="Paragraph"/>
    <w:rsid w:val="000C7302"/>
    <w:rPr>
      <w:rFonts w:ascii="Arial" w:eastAsia="SimSun" w:hAnsi="Arial"/>
      <w:sz w:val="22"/>
      <w:szCs w:val="24"/>
      <w:lang w:val="en-US" w:eastAsia="zh-CN"/>
    </w:rPr>
  </w:style>
  <w:style w:type="character" w:styleId="Hyperlink">
    <w:name w:val="Hyperlink"/>
    <w:basedOn w:val="DefaultParagraphFont"/>
    <w:rsid w:val="00480DE8"/>
    <w:rPr>
      <w:color w:val="0563C1" w:themeColor="hyperlink"/>
      <w:u w:val="single"/>
    </w:rPr>
  </w:style>
  <w:style w:type="paragraph" w:styleId="NormalWeb">
    <w:name w:val="Normal (Web)"/>
    <w:basedOn w:val="Normal"/>
    <w:uiPriority w:val="99"/>
    <w:unhideWhenUsed/>
    <w:rsid w:val="00782B97"/>
    <w:pPr>
      <w:spacing w:before="100" w:beforeAutospacing="1" w:after="100" w:afterAutospacing="1"/>
    </w:pPr>
    <w:rPr>
      <w:lang w:eastAsia="zh-CN"/>
    </w:rPr>
  </w:style>
  <w:style w:type="character" w:customStyle="1" w:styleId="cf01">
    <w:name w:val="cf01"/>
    <w:basedOn w:val="DefaultParagraphFont"/>
    <w:rsid w:val="002A2CA8"/>
    <w:rPr>
      <w:rFonts w:ascii="Segoe UI" w:hAnsi="Segoe UI" w:cs="Segoe UI" w:hint="default"/>
      <w:sz w:val="18"/>
      <w:szCs w:val="18"/>
    </w:rPr>
  </w:style>
  <w:style w:type="character" w:customStyle="1" w:styleId="cf11">
    <w:name w:val="cf11"/>
    <w:basedOn w:val="DefaultParagraphFont"/>
    <w:rsid w:val="002A2CA8"/>
    <w:rPr>
      <w:rFonts w:ascii="Segoe UI" w:hAnsi="Segoe UI" w:cs="Segoe UI" w:hint="default"/>
      <w:sz w:val="18"/>
      <w:szCs w:val="18"/>
      <w:vertAlign w:val="superscript"/>
    </w:rPr>
  </w:style>
  <w:style w:type="paragraph" w:styleId="Revision">
    <w:name w:val="Revision"/>
    <w:hidden/>
    <w:uiPriority w:val="99"/>
    <w:semiHidden/>
    <w:rsid w:val="000B45CE"/>
    <w:rPr>
      <w:sz w:val="24"/>
      <w:szCs w:val="24"/>
      <w:lang w:val="en-US" w:eastAsia="en-US"/>
    </w:rPr>
  </w:style>
  <w:style w:type="paragraph" w:styleId="ListParagraph">
    <w:name w:val="List Paragraph"/>
    <w:basedOn w:val="Normal"/>
    <w:uiPriority w:val="34"/>
    <w:qFormat/>
    <w:rsid w:val="003F1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78B7-AA01-4009-A723-70F6E214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16842</Words>
  <Characters>96000</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112617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7</cp:revision>
  <cp:lastPrinted>2022-07-06T13:41:00Z</cp:lastPrinted>
  <dcterms:created xsi:type="dcterms:W3CDTF">2025-02-25T12:29:00Z</dcterms:created>
  <dcterms:modified xsi:type="dcterms:W3CDTF">2025-02-27T09:03:00Z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