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F75E2" w14:textId="13E6AB43" w:rsidR="00990B55" w:rsidRPr="006C75EC" w:rsidRDefault="00B67F2C" w:rsidP="00D2565C">
      <w:pPr>
        <w:jc w:val="center"/>
        <w:rPr>
          <w:b/>
          <w:bCs/>
          <w:sz w:val="22"/>
          <w:szCs w:val="22"/>
          <w:u w:val="single"/>
        </w:rPr>
      </w:pPr>
      <w:r w:rsidRPr="006C75EC">
        <w:rPr>
          <w:b/>
          <w:bCs/>
          <w:sz w:val="22"/>
          <w:szCs w:val="22"/>
          <w:u w:val="single"/>
        </w:rPr>
        <w:t>SAŽETAK KARAKTERISTIKA L</w:t>
      </w:r>
      <w:r w:rsidR="002B74D0" w:rsidRPr="006C75EC">
        <w:rPr>
          <w:b/>
          <w:bCs/>
          <w:sz w:val="22"/>
          <w:szCs w:val="22"/>
          <w:u w:val="single"/>
        </w:rPr>
        <w:t>IJ</w:t>
      </w:r>
      <w:r w:rsidRPr="006C75EC">
        <w:rPr>
          <w:b/>
          <w:bCs/>
          <w:sz w:val="22"/>
          <w:szCs w:val="22"/>
          <w:u w:val="single"/>
        </w:rPr>
        <w:t>EKA</w:t>
      </w:r>
    </w:p>
    <w:p w14:paraId="771A1738" w14:textId="77777777" w:rsidR="00AC20C2" w:rsidRPr="006C75EC" w:rsidRDefault="00AC20C2" w:rsidP="00D2565C">
      <w:pPr>
        <w:jc w:val="both"/>
        <w:rPr>
          <w:b/>
          <w:bCs/>
          <w:sz w:val="22"/>
          <w:szCs w:val="22"/>
        </w:rPr>
      </w:pPr>
    </w:p>
    <w:p w14:paraId="60F942B3" w14:textId="77777777" w:rsidR="00D2565C" w:rsidRPr="006C75EC" w:rsidRDefault="00D2565C" w:rsidP="00D2565C">
      <w:pPr>
        <w:jc w:val="both"/>
        <w:rPr>
          <w:b/>
          <w:bCs/>
          <w:sz w:val="22"/>
          <w:szCs w:val="22"/>
        </w:rPr>
      </w:pPr>
    </w:p>
    <w:p w14:paraId="3EF9C16B" w14:textId="59458059" w:rsidR="00990B55" w:rsidRPr="006C75EC" w:rsidRDefault="00CE2077" w:rsidP="00717FDA">
      <w:pPr>
        <w:pStyle w:val="ListParagraph"/>
        <w:numPr>
          <w:ilvl w:val="0"/>
          <w:numId w:val="10"/>
        </w:num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>NAZIV</w:t>
      </w:r>
      <w:r w:rsidR="00B67F2C" w:rsidRPr="006C75EC">
        <w:rPr>
          <w:b/>
          <w:bCs/>
          <w:sz w:val="22"/>
          <w:szCs w:val="22"/>
        </w:rPr>
        <w:t xml:space="preserve"> L</w:t>
      </w:r>
      <w:r w:rsidR="002B74D0" w:rsidRPr="006C75EC">
        <w:rPr>
          <w:b/>
          <w:bCs/>
          <w:sz w:val="22"/>
          <w:szCs w:val="22"/>
        </w:rPr>
        <w:t>IJ</w:t>
      </w:r>
      <w:r w:rsidR="00B67F2C" w:rsidRPr="006C75EC">
        <w:rPr>
          <w:b/>
          <w:bCs/>
          <w:sz w:val="22"/>
          <w:szCs w:val="22"/>
        </w:rPr>
        <w:t>EKA</w:t>
      </w:r>
    </w:p>
    <w:p w14:paraId="0E7E0C4D" w14:textId="77777777" w:rsidR="00990B55" w:rsidRPr="006C75EC" w:rsidRDefault="00990B55" w:rsidP="00D2565C">
      <w:p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</w:p>
    <w:p w14:paraId="680418F3" w14:textId="5E91F6BE" w:rsidR="002B74D0" w:rsidRPr="006C75EC" w:rsidRDefault="002B74D0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6C75EC">
        <w:rPr>
          <w:sz w:val="22"/>
          <w:szCs w:val="22"/>
        </w:rPr>
        <w:t>D</w:t>
      </w:r>
      <w:r w:rsidR="00F60AEC" w:rsidRPr="006C75EC">
        <w:rPr>
          <w:sz w:val="22"/>
          <w:szCs w:val="22"/>
        </w:rPr>
        <w:t>olpirinn</w:t>
      </w:r>
      <w:r w:rsidR="001E07EC">
        <w:rPr>
          <w:sz w:val="22"/>
          <w:szCs w:val="22"/>
        </w:rPr>
        <w:t>,</w:t>
      </w:r>
      <w:r w:rsidRPr="006C75EC">
        <w:rPr>
          <w:sz w:val="22"/>
          <w:szCs w:val="22"/>
        </w:rPr>
        <w:t xml:space="preserve"> 50 mg,</w:t>
      </w:r>
      <w:r w:rsidR="00523B15" w:rsidRPr="006C75EC">
        <w:rPr>
          <w:sz w:val="22"/>
          <w:szCs w:val="22"/>
        </w:rPr>
        <w:t xml:space="preserve"> </w:t>
      </w:r>
      <w:r w:rsidRPr="006C75EC">
        <w:rPr>
          <w:sz w:val="22"/>
          <w:szCs w:val="22"/>
        </w:rPr>
        <w:t>prašak za oralni rastvor</w:t>
      </w:r>
    </w:p>
    <w:p w14:paraId="3C98F72E" w14:textId="77777777" w:rsidR="00134287" w:rsidRPr="006C75EC" w:rsidRDefault="00134287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0A688D5F" w14:textId="3186EF54" w:rsidR="002B74D0" w:rsidRPr="006C75EC" w:rsidRDefault="00134287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6C75EC">
        <w:rPr>
          <w:sz w:val="22"/>
          <w:szCs w:val="22"/>
        </w:rPr>
        <w:t xml:space="preserve">INN: </w:t>
      </w:r>
      <w:r w:rsidR="002B74D0" w:rsidRPr="006C75EC">
        <w:rPr>
          <w:sz w:val="22"/>
          <w:szCs w:val="22"/>
        </w:rPr>
        <w:t>ketoprofen</w:t>
      </w:r>
    </w:p>
    <w:p w14:paraId="6A4844B9" w14:textId="77777777" w:rsidR="002B74D0" w:rsidRPr="006C75EC" w:rsidRDefault="002B74D0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43690600" w14:textId="77777777" w:rsidR="00D2565C" w:rsidRPr="006C75EC" w:rsidRDefault="00D2565C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03800C39" w14:textId="62121328" w:rsidR="00990B55" w:rsidRPr="006C75EC" w:rsidRDefault="00B67F2C" w:rsidP="00717FDA">
      <w:pPr>
        <w:pStyle w:val="ListParagraph"/>
        <w:numPr>
          <w:ilvl w:val="0"/>
          <w:numId w:val="10"/>
        </w:num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KVALITATIVNI I KVANTITATIVNI SASTAV </w:t>
      </w:r>
    </w:p>
    <w:p w14:paraId="6261A246" w14:textId="77777777" w:rsidR="00990B55" w:rsidRPr="006C75EC" w:rsidRDefault="00990B55" w:rsidP="00D2565C">
      <w:pPr>
        <w:tabs>
          <w:tab w:val="left" w:pos="828"/>
        </w:tabs>
        <w:ind w:right="1584"/>
        <w:jc w:val="both"/>
        <w:rPr>
          <w:b/>
          <w:bCs/>
          <w:sz w:val="22"/>
          <w:szCs w:val="22"/>
        </w:rPr>
      </w:pPr>
    </w:p>
    <w:p w14:paraId="064A8350" w14:textId="20B3C7B8" w:rsidR="008E2605" w:rsidRDefault="008E2605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6C75EC">
        <w:rPr>
          <w:sz w:val="22"/>
          <w:szCs w:val="22"/>
        </w:rPr>
        <w:t xml:space="preserve">Jedna kesica sadrži </w:t>
      </w:r>
      <w:r w:rsidR="000711C7" w:rsidRPr="006C75EC">
        <w:rPr>
          <w:sz w:val="22"/>
          <w:szCs w:val="22"/>
        </w:rPr>
        <w:t>80 mg ketoprofen lizin</w:t>
      </w:r>
      <w:r w:rsidR="001E07EC">
        <w:rPr>
          <w:sz w:val="22"/>
          <w:szCs w:val="22"/>
        </w:rPr>
        <w:t>ata</w:t>
      </w:r>
      <w:r w:rsidR="00E27C75">
        <w:rPr>
          <w:sz w:val="22"/>
          <w:szCs w:val="22"/>
        </w:rPr>
        <w:t>,</w:t>
      </w:r>
      <w:r w:rsidR="000711C7" w:rsidRPr="006C75EC">
        <w:rPr>
          <w:sz w:val="22"/>
          <w:szCs w:val="22"/>
        </w:rPr>
        <w:t xml:space="preserve"> </w:t>
      </w:r>
      <w:r w:rsidR="00E27C75">
        <w:rPr>
          <w:sz w:val="22"/>
          <w:szCs w:val="22"/>
        </w:rPr>
        <w:t xml:space="preserve">što odgovara </w:t>
      </w:r>
      <w:r w:rsidR="00E27C75" w:rsidRPr="006C75EC">
        <w:rPr>
          <w:sz w:val="22"/>
          <w:szCs w:val="22"/>
        </w:rPr>
        <w:t xml:space="preserve">50 mg </w:t>
      </w:r>
      <w:r w:rsidRPr="006C75EC">
        <w:rPr>
          <w:sz w:val="22"/>
          <w:szCs w:val="22"/>
        </w:rPr>
        <w:t>ketoprofe</w:t>
      </w:r>
      <w:r w:rsidR="00E27C75">
        <w:rPr>
          <w:sz w:val="22"/>
          <w:szCs w:val="22"/>
        </w:rPr>
        <w:t>n</w:t>
      </w:r>
      <w:r w:rsidR="00175222">
        <w:rPr>
          <w:sz w:val="22"/>
          <w:szCs w:val="22"/>
        </w:rPr>
        <w:t>a</w:t>
      </w:r>
      <w:r w:rsidRPr="006C75EC">
        <w:rPr>
          <w:sz w:val="22"/>
          <w:szCs w:val="22"/>
        </w:rPr>
        <w:t>.</w:t>
      </w:r>
    </w:p>
    <w:p w14:paraId="018F17BD" w14:textId="77777777" w:rsidR="00175222" w:rsidRDefault="00175222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13BEA995" w14:textId="40DF7273" w:rsidR="00175222" w:rsidRPr="00795050" w:rsidRDefault="00795050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795050">
        <w:rPr>
          <w:sz w:val="22"/>
          <w:szCs w:val="22"/>
        </w:rPr>
        <w:t>Pomoćna supstanca sa potvrđenim dejstvom: sorbitol</w:t>
      </w:r>
      <w:r>
        <w:rPr>
          <w:sz w:val="22"/>
          <w:szCs w:val="22"/>
        </w:rPr>
        <w:t>.</w:t>
      </w:r>
    </w:p>
    <w:p w14:paraId="739C351A" w14:textId="77777777" w:rsidR="008E2605" w:rsidRPr="006C75EC" w:rsidRDefault="008E2605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4965DC88" w14:textId="77777777" w:rsidR="00EC28A1" w:rsidRPr="006C75EC" w:rsidRDefault="00EC28A1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6C75EC">
        <w:rPr>
          <w:sz w:val="22"/>
          <w:szCs w:val="22"/>
        </w:rPr>
        <w:t>Za spisak svih ekscipijenasa, pogledati dio 6.1.</w:t>
      </w:r>
    </w:p>
    <w:p w14:paraId="710FDD3A" w14:textId="77777777" w:rsidR="008E2605" w:rsidRPr="006C75EC" w:rsidRDefault="008E2605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4A27DB4D" w14:textId="77777777" w:rsidR="00D2565C" w:rsidRPr="006C75EC" w:rsidRDefault="00D2565C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0FCD5785" w14:textId="74FA3DED" w:rsidR="00990B55" w:rsidRPr="006C75EC" w:rsidRDefault="00B67F2C" w:rsidP="00717FDA">
      <w:pPr>
        <w:pStyle w:val="ListParagraph"/>
        <w:numPr>
          <w:ilvl w:val="0"/>
          <w:numId w:val="10"/>
        </w:num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FARMACEUTSKI OBLIK </w:t>
      </w:r>
    </w:p>
    <w:p w14:paraId="53A347F5" w14:textId="77777777" w:rsidR="000228B8" w:rsidRPr="006C75EC" w:rsidRDefault="000228B8" w:rsidP="00D2565C">
      <w:pPr>
        <w:pStyle w:val="ListParagraph"/>
        <w:tabs>
          <w:tab w:val="left" w:pos="828"/>
        </w:tabs>
        <w:ind w:left="0" w:right="-68"/>
        <w:jc w:val="both"/>
        <w:rPr>
          <w:b/>
          <w:bCs/>
          <w:sz w:val="22"/>
          <w:szCs w:val="22"/>
        </w:rPr>
      </w:pPr>
    </w:p>
    <w:p w14:paraId="3A0C5626" w14:textId="566DCB2A" w:rsidR="009627B7" w:rsidRPr="006C75EC" w:rsidRDefault="00CC2A79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6C75EC">
        <w:rPr>
          <w:sz w:val="22"/>
          <w:szCs w:val="22"/>
        </w:rPr>
        <w:t>Prašak</w:t>
      </w:r>
      <w:r w:rsidR="008E2605" w:rsidRPr="006C75EC">
        <w:rPr>
          <w:sz w:val="22"/>
          <w:szCs w:val="22"/>
        </w:rPr>
        <w:t xml:space="preserve"> za oralni rastvor</w:t>
      </w:r>
      <w:r w:rsidR="009627B7" w:rsidRPr="006C75EC">
        <w:rPr>
          <w:sz w:val="22"/>
          <w:szCs w:val="22"/>
        </w:rPr>
        <w:t>.</w:t>
      </w:r>
    </w:p>
    <w:p w14:paraId="0651C8F9" w14:textId="77777777" w:rsidR="000228B8" w:rsidRDefault="000228B8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45BBB62E" w14:textId="0E5F3E48" w:rsidR="002C7704" w:rsidRPr="002C7704" w:rsidRDefault="002C7704" w:rsidP="002C7704">
      <w:pPr>
        <w:rPr>
          <w:sz w:val="22"/>
          <w:szCs w:val="22"/>
        </w:rPr>
      </w:pPr>
      <w:r w:rsidRPr="002C7704">
        <w:rPr>
          <w:sz w:val="22"/>
          <w:szCs w:val="22"/>
        </w:rPr>
        <w:t>Granulirani b</w:t>
      </w:r>
      <w:r w:rsidR="00621E9C">
        <w:rPr>
          <w:sz w:val="22"/>
          <w:szCs w:val="22"/>
        </w:rPr>
        <w:t>ij</w:t>
      </w:r>
      <w:r w:rsidRPr="002C7704">
        <w:rPr>
          <w:sz w:val="22"/>
          <w:szCs w:val="22"/>
        </w:rPr>
        <w:t>eli ili žućkasti prašak.</w:t>
      </w:r>
    </w:p>
    <w:p w14:paraId="1B632629" w14:textId="77777777" w:rsidR="002C7704" w:rsidRPr="006C75EC" w:rsidRDefault="002C7704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1BB412BF" w14:textId="77777777" w:rsidR="00D2565C" w:rsidRPr="006C75EC" w:rsidRDefault="00D2565C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0A97B1C8" w14:textId="3E253427" w:rsidR="000228B8" w:rsidRPr="006C75EC" w:rsidRDefault="00B67F2C" w:rsidP="00717FDA">
      <w:pPr>
        <w:pStyle w:val="ListParagraph"/>
        <w:numPr>
          <w:ilvl w:val="0"/>
          <w:numId w:val="10"/>
        </w:num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KLINIČKI PODACI </w:t>
      </w:r>
    </w:p>
    <w:p w14:paraId="344E8FDD" w14:textId="77777777" w:rsidR="00EC28A1" w:rsidRPr="006C75EC" w:rsidRDefault="00EC28A1" w:rsidP="00D2565C">
      <w:p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</w:p>
    <w:p w14:paraId="788BF768" w14:textId="5573413C" w:rsidR="009627B7" w:rsidRDefault="00717FDA" w:rsidP="00717FDA">
      <w:pPr>
        <w:ind w:right="-68"/>
        <w:jc w:val="both"/>
        <w:rPr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4.1 </w:t>
      </w:r>
      <w:r w:rsidR="00B67F2C" w:rsidRPr="006C75EC">
        <w:rPr>
          <w:b/>
          <w:bCs/>
          <w:sz w:val="22"/>
          <w:szCs w:val="22"/>
        </w:rPr>
        <w:t>Terapijske indikacije</w:t>
      </w:r>
      <w:r w:rsidR="00B67F2C" w:rsidRPr="006C75EC">
        <w:rPr>
          <w:sz w:val="22"/>
          <w:szCs w:val="22"/>
        </w:rPr>
        <w:t xml:space="preserve"> </w:t>
      </w:r>
    </w:p>
    <w:p w14:paraId="419A8AE4" w14:textId="303C0D54" w:rsidR="00B46FF7" w:rsidRDefault="00B46FF7" w:rsidP="00717FDA">
      <w:pPr>
        <w:ind w:right="-68"/>
        <w:jc w:val="both"/>
        <w:rPr>
          <w:sz w:val="22"/>
          <w:szCs w:val="22"/>
        </w:rPr>
      </w:pPr>
    </w:p>
    <w:p w14:paraId="540B88AE" w14:textId="4558945D" w:rsidR="00571C69" w:rsidRPr="0080474A" w:rsidRDefault="00B46FF7" w:rsidP="00717FDA">
      <w:pPr>
        <w:ind w:right="-68"/>
        <w:jc w:val="both"/>
        <w:rPr>
          <w:sz w:val="22"/>
          <w:szCs w:val="22"/>
          <w:u w:val="single"/>
        </w:rPr>
      </w:pPr>
      <w:r w:rsidRPr="0080474A">
        <w:rPr>
          <w:sz w:val="22"/>
          <w:szCs w:val="22"/>
          <w:u w:val="single"/>
        </w:rPr>
        <w:t>Odrasli</w:t>
      </w:r>
    </w:p>
    <w:p w14:paraId="54DFF26A" w14:textId="3D7FA270" w:rsidR="008E2605" w:rsidRDefault="00D51E8F" w:rsidP="00D2565C">
      <w:pPr>
        <w:ind w:right="-68"/>
        <w:jc w:val="both"/>
        <w:rPr>
          <w:sz w:val="22"/>
          <w:szCs w:val="22"/>
        </w:rPr>
      </w:pPr>
      <w:r w:rsidRPr="00D51E8F">
        <w:rPr>
          <w:sz w:val="22"/>
          <w:szCs w:val="22"/>
        </w:rPr>
        <w:t>Lijek Dolpirinn</w:t>
      </w:r>
      <w:r w:rsidRPr="00D51E8F">
        <w:rPr>
          <w:sz w:val="22"/>
          <w:szCs w:val="22"/>
          <w:vertAlign w:val="superscript"/>
        </w:rPr>
        <w:t xml:space="preserve"> </w:t>
      </w:r>
      <w:r w:rsidRPr="00D51E8F">
        <w:rPr>
          <w:sz w:val="22"/>
          <w:szCs w:val="22"/>
        </w:rPr>
        <w:t>je indikovan</w:t>
      </w:r>
      <w:r>
        <w:rPr>
          <w:sz w:val="22"/>
          <w:szCs w:val="22"/>
        </w:rPr>
        <w:t xml:space="preserve"> za s</w:t>
      </w:r>
      <w:r w:rsidR="008E2605" w:rsidRPr="006C75EC">
        <w:rPr>
          <w:sz w:val="22"/>
          <w:szCs w:val="22"/>
        </w:rPr>
        <w:t>imptomatsko l</w:t>
      </w:r>
      <w:r w:rsidR="00CC2A79" w:rsidRPr="006C75EC">
        <w:rPr>
          <w:sz w:val="22"/>
          <w:szCs w:val="22"/>
        </w:rPr>
        <w:t>ij</w:t>
      </w:r>
      <w:r w:rsidR="008E2605" w:rsidRPr="006C75EC">
        <w:rPr>
          <w:sz w:val="22"/>
          <w:szCs w:val="22"/>
        </w:rPr>
        <w:t xml:space="preserve">ečenje </w:t>
      </w:r>
      <w:r w:rsidR="00A31EFA" w:rsidRPr="006C75EC">
        <w:rPr>
          <w:sz w:val="22"/>
          <w:szCs w:val="22"/>
        </w:rPr>
        <w:t>inflamatornih</w:t>
      </w:r>
      <w:r w:rsidR="008E2605" w:rsidRPr="006C75EC">
        <w:rPr>
          <w:sz w:val="22"/>
          <w:szCs w:val="22"/>
        </w:rPr>
        <w:t xml:space="preserve"> stanja povezanih sa bolom, uključujući: reumatoidni artritis, ankilozni spondilitis, bolni osteoartritis, ekstra-artikularni reumatizam, post-traumatsku upalu, boln</w:t>
      </w:r>
      <w:r w:rsidR="00A31EFA" w:rsidRPr="006C75EC">
        <w:rPr>
          <w:sz w:val="22"/>
          <w:szCs w:val="22"/>
        </w:rPr>
        <w:t>i</w:t>
      </w:r>
      <w:r w:rsidR="008E2605" w:rsidRPr="006C75EC">
        <w:rPr>
          <w:sz w:val="22"/>
          <w:szCs w:val="22"/>
        </w:rPr>
        <w:t xml:space="preserve"> inflamatorn</w:t>
      </w:r>
      <w:r w:rsidR="00A31EFA" w:rsidRPr="006C75EC">
        <w:rPr>
          <w:sz w:val="22"/>
          <w:szCs w:val="22"/>
        </w:rPr>
        <w:t>i</w:t>
      </w:r>
      <w:r w:rsidR="008E2605" w:rsidRPr="006C75EC">
        <w:rPr>
          <w:sz w:val="22"/>
          <w:szCs w:val="22"/>
        </w:rPr>
        <w:t xml:space="preserve"> p</w:t>
      </w:r>
      <w:r w:rsidR="00A31EFA" w:rsidRPr="006C75EC">
        <w:rPr>
          <w:sz w:val="22"/>
          <w:szCs w:val="22"/>
        </w:rPr>
        <w:t>rocesi</w:t>
      </w:r>
      <w:r w:rsidR="008E2605" w:rsidRPr="006C75EC">
        <w:rPr>
          <w:sz w:val="22"/>
          <w:szCs w:val="22"/>
        </w:rPr>
        <w:t xml:space="preserve"> u stomatologiji, otorinolaringologiji, urologiji i pneumologiji.</w:t>
      </w:r>
    </w:p>
    <w:p w14:paraId="64877E8C" w14:textId="463D31A3" w:rsidR="00B46FF7" w:rsidRDefault="00B46FF7" w:rsidP="00D2565C">
      <w:pPr>
        <w:ind w:right="-68"/>
        <w:jc w:val="both"/>
        <w:rPr>
          <w:sz w:val="22"/>
          <w:szCs w:val="22"/>
        </w:rPr>
      </w:pPr>
    </w:p>
    <w:p w14:paraId="07624A23" w14:textId="77777777" w:rsidR="00B46FF7" w:rsidRPr="006C75EC" w:rsidRDefault="00B46FF7" w:rsidP="00B46FF7">
      <w:pPr>
        <w:ind w:right="-68"/>
        <w:jc w:val="both"/>
        <w:rPr>
          <w:i/>
          <w:iCs/>
          <w:sz w:val="22"/>
          <w:szCs w:val="22"/>
          <w:u w:val="single"/>
        </w:rPr>
      </w:pPr>
      <w:r w:rsidRPr="006C75EC">
        <w:rPr>
          <w:i/>
          <w:iCs/>
          <w:sz w:val="22"/>
          <w:szCs w:val="22"/>
          <w:u w:val="single"/>
        </w:rPr>
        <w:t>Pedijatrijska populacija</w:t>
      </w:r>
    </w:p>
    <w:p w14:paraId="60C2D83C" w14:textId="1A9E614C" w:rsidR="00B46FF7" w:rsidRPr="00543863" w:rsidRDefault="00B46FF7" w:rsidP="00B46FF7">
      <w:pPr>
        <w:pStyle w:val="Default"/>
        <w:jc w:val="both"/>
        <w:rPr>
          <w:sz w:val="22"/>
          <w:szCs w:val="22"/>
          <w:lang w:val="de-DE"/>
        </w:rPr>
      </w:pPr>
      <w:r w:rsidRPr="00D51E8F">
        <w:rPr>
          <w:sz w:val="22"/>
          <w:szCs w:val="22"/>
        </w:rPr>
        <w:t>Lijek Dolpirinn</w:t>
      </w:r>
      <w:r w:rsidRPr="00D51E8F">
        <w:rPr>
          <w:sz w:val="22"/>
          <w:szCs w:val="22"/>
          <w:vertAlign w:val="superscript"/>
        </w:rPr>
        <w:t xml:space="preserve"> </w:t>
      </w:r>
      <w:r w:rsidRPr="00D51E8F">
        <w:rPr>
          <w:sz w:val="22"/>
          <w:szCs w:val="22"/>
        </w:rPr>
        <w:t>je indikovan</w:t>
      </w:r>
      <w:r>
        <w:rPr>
          <w:sz w:val="22"/>
          <w:szCs w:val="22"/>
          <w:lang w:val="sr-Latn-ME"/>
        </w:rPr>
        <w:t xml:space="preserve"> kod </w:t>
      </w:r>
      <w:r>
        <w:rPr>
          <w:bCs/>
          <w:i/>
          <w:sz w:val="22"/>
          <w:szCs w:val="22"/>
          <w:lang w:val="de-DE"/>
        </w:rPr>
        <w:t>a</w:t>
      </w:r>
      <w:r w:rsidRPr="00472F87">
        <w:rPr>
          <w:bCs/>
          <w:i/>
          <w:sz w:val="22"/>
          <w:szCs w:val="22"/>
          <w:lang w:val="de-DE"/>
        </w:rPr>
        <w:t>dolescenata u dobi od 16 godina i</w:t>
      </w:r>
      <w:r w:rsidRPr="00543863">
        <w:rPr>
          <w:b/>
          <w:bCs/>
          <w:sz w:val="22"/>
          <w:szCs w:val="22"/>
          <w:lang w:val="de-DE"/>
        </w:rPr>
        <w:t xml:space="preserve"> </w:t>
      </w:r>
      <w:r w:rsidRPr="00472F87">
        <w:rPr>
          <w:bCs/>
          <w:i/>
          <w:sz w:val="22"/>
          <w:szCs w:val="22"/>
          <w:lang w:val="de-DE"/>
        </w:rPr>
        <w:t>starijih</w:t>
      </w:r>
      <w:r w:rsidRPr="00543863">
        <w:rPr>
          <w:b/>
          <w:bCs/>
          <w:sz w:val="22"/>
          <w:szCs w:val="22"/>
          <w:lang w:val="de-DE"/>
        </w:rPr>
        <w:t xml:space="preserve"> </w:t>
      </w:r>
      <w:r w:rsidRPr="00543863">
        <w:rPr>
          <w:sz w:val="22"/>
          <w:szCs w:val="22"/>
          <w:lang w:val="de-DE"/>
        </w:rPr>
        <w:t>za simptomatsko i kratkotrajno l</w:t>
      </w:r>
      <w:r>
        <w:rPr>
          <w:sz w:val="22"/>
          <w:szCs w:val="22"/>
          <w:lang w:val="de-DE"/>
        </w:rPr>
        <w:t>ij</w:t>
      </w:r>
      <w:r w:rsidRPr="00543863">
        <w:rPr>
          <w:sz w:val="22"/>
          <w:szCs w:val="22"/>
          <w:lang w:val="de-DE"/>
        </w:rPr>
        <w:t xml:space="preserve">ečenje bola i upale, sa temperaturom </w:t>
      </w:r>
      <w:r w:rsidRPr="007F14F1">
        <w:rPr>
          <w:sz w:val="22"/>
          <w:szCs w:val="22"/>
          <w:lang w:val="de-DE"/>
        </w:rPr>
        <w:t>ili bez nje</w:t>
      </w:r>
      <w:r w:rsidRPr="00543863">
        <w:rPr>
          <w:sz w:val="22"/>
          <w:szCs w:val="22"/>
          <w:lang w:val="de-DE"/>
        </w:rPr>
        <w:t xml:space="preserve">, u slučaju: </w:t>
      </w:r>
    </w:p>
    <w:p w14:paraId="2DEE667E" w14:textId="77777777" w:rsidR="00B46FF7" w:rsidRPr="00543863" w:rsidRDefault="00B46FF7" w:rsidP="00B46FF7">
      <w:pPr>
        <w:pStyle w:val="Default"/>
        <w:spacing w:after="23"/>
        <w:jc w:val="both"/>
        <w:rPr>
          <w:sz w:val="22"/>
          <w:szCs w:val="22"/>
          <w:lang w:val="de-DE"/>
        </w:rPr>
      </w:pPr>
      <w:r w:rsidRPr="00543863">
        <w:rPr>
          <w:sz w:val="22"/>
          <w:szCs w:val="22"/>
          <w:lang w:val="de-DE"/>
        </w:rPr>
        <w:t xml:space="preserve">- stanja koja zahvataju kosti i zglobove </w:t>
      </w:r>
    </w:p>
    <w:p w14:paraId="2DDEAA72" w14:textId="77777777" w:rsidR="00B46FF7" w:rsidRPr="00543863" w:rsidRDefault="00B46FF7" w:rsidP="00B46FF7">
      <w:pPr>
        <w:pStyle w:val="Default"/>
        <w:spacing w:after="23"/>
        <w:jc w:val="both"/>
        <w:rPr>
          <w:sz w:val="22"/>
          <w:szCs w:val="22"/>
          <w:lang w:val="de-DE"/>
        </w:rPr>
      </w:pPr>
      <w:r w:rsidRPr="00543863">
        <w:rPr>
          <w:sz w:val="22"/>
          <w:szCs w:val="22"/>
          <w:lang w:val="de-DE"/>
        </w:rPr>
        <w:t xml:space="preserve">- bolova nakon operacije </w:t>
      </w:r>
    </w:p>
    <w:p w14:paraId="34A60F69" w14:textId="523D9381" w:rsidR="00B46FF7" w:rsidRPr="006C75EC" w:rsidRDefault="00B46FF7" w:rsidP="00B46FF7">
      <w:pPr>
        <w:ind w:right="-68"/>
        <w:jc w:val="both"/>
        <w:rPr>
          <w:sz w:val="22"/>
          <w:szCs w:val="22"/>
        </w:rPr>
      </w:pPr>
      <w:r w:rsidRPr="00543863">
        <w:rPr>
          <w:sz w:val="22"/>
          <w:szCs w:val="22"/>
          <w:lang w:val="de-DE"/>
        </w:rPr>
        <w:t>- upale uha.</w:t>
      </w:r>
    </w:p>
    <w:p w14:paraId="16EA7203" w14:textId="77777777" w:rsidR="009627B7" w:rsidRPr="006C75EC" w:rsidRDefault="009627B7" w:rsidP="00D2565C">
      <w:pPr>
        <w:pStyle w:val="ListParagraph"/>
        <w:ind w:left="792" w:right="-68"/>
        <w:jc w:val="both"/>
        <w:rPr>
          <w:b/>
          <w:bCs/>
          <w:sz w:val="22"/>
          <w:szCs w:val="22"/>
        </w:rPr>
      </w:pPr>
    </w:p>
    <w:p w14:paraId="3B249E94" w14:textId="22A1E693" w:rsidR="009627B7" w:rsidRPr="006C75EC" w:rsidRDefault="00F71BFD" w:rsidP="00717FDA">
      <w:pPr>
        <w:ind w:right="-68"/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4.2 </w:t>
      </w:r>
      <w:r w:rsidR="00B67F2C" w:rsidRPr="006C75EC">
        <w:rPr>
          <w:b/>
          <w:bCs/>
          <w:sz w:val="22"/>
          <w:szCs w:val="22"/>
        </w:rPr>
        <w:t>Doziranje i način prim</w:t>
      </w:r>
      <w:r w:rsidR="00CC2A79" w:rsidRPr="006C75EC">
        <w:rPr>
          <w:b/>
          <w:bCs/>
          <w:sz w:val="22"/>
          <w:szCs w:val="22"/>
        </w:rPr>
        <w:t>j</w:t>
      </w:r>
      <w:r w:rsidR="00B67F2C" w:rsidRPr="006C75EC">
        <w:rPr>
          <w:b/>
          <w:bCs/>
          <w:sz w:val="22"/>
          <w:szCs w:val="22"/>
        </w:rPr>
        <w:t>ene</w:t>
      </w:r>
    </w:p>
    <w:p w14:paraId="06E4642B" w14:textId="77777777" w:rsidR="000228B8" w:rsidRDefault="000228B8" w:rsidP="00D2565C">
      <w:pPr>
        <w:ind w:right="-68"/>
        <w:jc w:val="both"/>
        <w:rPr>
          <w:b/>
          <w:bCs/>
          <w:sz w:val="22"/>
          <w:szCs w:val="22"/>
        </w:rPr>
      </w:pPr>
    </w:p>
    <w:p w14:paraId="311B86A9" w14:textId="42FE2DDA" w:rsidR="001859F3" w:rsidRPr="001859F3" w:rsidRDefault="001859F3" w:rsidP="00D2565C">
      <w:pPr>
        <w:ind w:right="-68"/>
        <w:jc w:val="both"/>
        <w:rPr>
          <w:sz w:val="22"/>
          <w:szCs w:val="22"/>
          <w:u w:val="single"/>
        </w:rPr>
      </w:pPr>
      <w:r w:rsidRPr="001859F3">
        <w:rPr>
          <w:sz w:val="22"/>
          <w:szCs w:val="22"/>
          <w:u w:val="single"/>
        </w:rPr>
        <w:t>Doziranje:</w:t>
      </w:r>
    </w:p>
    <w:p w14:paraId="122AF968" w14:textId="77777777" w:rsidR="001859F3" w:rsidRPr="006C75EC" w:rsidRDefault="001859F3" w:rsidP="00D2565C">
      <w:pPr>
        <w:ind w:right="-68"/>
        <w:jc w:val="both"/>
        <w:rPr>
          <w:b/>
          <w:bCs/>
          <w:sz w:val="22"/>
          <w:szCs w:val="22"/>
        </w:rPr>
      </w:pPr>
    </w:p>
    <w:p w14:paraId="6E499EAD" w14:textId="0511CE3A" w:rsidR="001859F3" w:rsidRPr="00714C8D" w:rsidRDefault="007D6178" w:rsidP="00D2565C">
      <w:pPr>
        <w:ind w:right="-68"/>
        <w:jc w:val="both"/>
        <w:rPr>
          <w:sz w:val="22"/>
          <w:szCs w:val="22"/>
          <w:u w:val="single"/>
        </w:rPr>
      </w:pPr>
      <w:r w:rsidRPr="00714C8D">
        <w:rPr>
          <w:i/>
          <w:iCs/>
          <w:sz w:val="22"/>
          <w:szCs w:val="22"/>
          <w:u w:val="single"/>
        </w:rPr>
        <w:t>Odrasli</w:t>
      </w:r>
      <w:r w:rsidR="00B46FF7">
        <w:rPr>
          <w:i/>
          <w:iCs/>
          <w:sz w:val="22"/>
          <w:szCs w:val="22"/>
          <w:u w:val="single"/>
        </w:rPr>
        <w:t xml:space="preserve"> i adolescenti stariji od 16 godina</w:t>
      </w:r>
    </w:p>
    <w:p w14:paraId="02E37548" w14:textId="751CBD64" w:rsidR="2780F75B" w:rsidRPr="006C75EC" w:rsidRDefault="007D6178" w:rsidP="00D2565C">
      <w:pPr>
        <w:ind w:right="-68"/>
        <w:jc w:val="both"/>
        <w:rPr>
          <w:sz w:val="22"/>
          <w:szCs w:val="22"/>
        </w:rPr>
      </w:pPr>
      <w:r w:rsidRPr="006C75EC">
        <w:rPr>
          <w:sz w:val="22"/>
          <w:szCs w:val="22"/>
        </w:rPr>
        <w:t xml:space="preserve">Jedna kesica od </w:t>
      </w:r>
      <w:r w:rsidR="00113018" w:rsidRPr="006C75EC">
        <w:rPr>
          <w:sz w:val="22"/>
          <w:szCs w:val="22"/>
        </w:rPr>
        <w:t>5</w:t>
      </w:r>
      <w:r w:rsidRPr="006C75EC">
        <w:rPr>
          <w:sz w:val="22"/>
          <w:szCs w:val="22"/>
        </w:rPr>
        <w:t>0 mg tri puta dnevno</w:t>
      </w:r>
      <w:r w:rsidR="00A31EFA" w:rsidRPr="006C75EC">
        <w:rPr>
          <w:sz w:val="22"/>
          <w:szCs w:val="22"/>
        </w:rPr>
        <w:t>,</w:t>
      </w:r>
      <w:r w:rsidRPr="006C75EC">
        <w:rPr>
          <w:sz w:val="22"/>
          <w:szCs w:val="22"/>
        </w:rPr>
        <w:t xml:space="preserve"> tokom obroka. Maksimalna dnevna doza je 200 mg ketoprofena, što je ekvivalentno 320 mg ketoprofen lizinske soli. Odnos koristi i rizika treba pažljivo razmotriti pr</w:t>
      </w:r>
      <w:r w:rsidR="00113018" w:rsidRPr="006C75EC">
        <w:rPr>
          <w:sz w:val="22"/>
          <w:szCs w:val="22"/>
        </w:rPr>
        <w:t>ij</w:t>
      </w:r>
      <w:r w:rsidRPr="006C75EC">
        <w:rPr>
          <w:sz w:val="22"/>
          <w:szCs w:val="22"/>
        </w:rPr>
        <w:t>e početka l</w:t>
      </w:r>
      <w:r w:rsidR="00113018" w:rsidRPr="006C75EC">
        <w:rPr>
          <w:sz w:val="22"/>
          <w:szCs w:val="22"/>
        </w:rPr>
        <w:t>ij</w:t>
      </w:r>
      <w:r w:rsidRPr="006C75EC">
        <w:rPr>
          <w:sz w:val="22"/>
          <w:szCs w:val="22"/>
        </w:rPr>
        <w:t>ečenja sa dnevnom dozom od 200 mg ketoprofena, a veće doze se ne preporučuju (</w:t>
      </w:r>
      <w:r w:rsidR="00881DAA">
        <w:rPr>
          <w:sz w:val="22"/>
          <w:szCs w:val="22"/>
        </w:rPr>
        <w:t>pogledati dio</w:t>
      </w:r>
      <w:r w:rsidRPr="006C75EC">
        <w:rPr>
          <w:sz w:val="22"/>
          <w:szCs w:val="22"/>
        </w:rPr>
        <w:t xml:space="preserve"> 4.4</w:t>
      </w:r>
      <w:r w:rsidR="45FBB6E1" w:rsidRPr="006C75EC">
        <w:rPr>
          <w:rFonts w:eastAsia="Calibri"/>
          <w:sz w:val="22"/>
          <w:szCs w:val="22"/>
        </w:rPr>
        <w:t xml:space="preserve">). </w:t>
      </w:r>
    </w:p>
    <w:p w14:paraId="52341C05" w14:textId="77777777" w:rsidR="001E07EC" w:rsidRPr="006C75EC" w:rsidRDefault="001E07EC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6975FE14" w14:textId="545E36ED" w:rsidR="2780F75B" w:rsidRPr="006C75EC" w:rsidRDefault="00B67F2C" w:rsidP="00D2565C">
      <w:pPr>
        <w:ind w:right="-68"/>
        <w:jc w:val="both"/>
        <w:rPr>
          <w:sz w:val="22"/>
          <w:szCs w:val="22"/>
        </w:rPr>
      </w:pPr>
      <w:r w:rsidRPr="006C75EC">
        <w:rPr>
          <w:sz w:val="22"/>
          <w:szCs w:val="22"/>
          <w:u w:val="single"/>
        </w:rPr>
        <w:t>Posebne populacije pacijenata</w:t>
      </w:r>
    </w:p>
    <w:p w14:paraId="3D3B8AE3" w14:textId="56549EF0" w:rsidR="00B46FF7" w:rsidRPr="00543863" w:rsidRDefault="00B46FF7" w:rsidP="00B46FF7">
      <w:pPr>
        <w:pStyle w:val="Default"/>
        <w:jc w:val="both"/>
        <w:rPr>
          <w:sz w:val="22"/>
          <w:szCs w:val="22"/>
          <w:lang w:val="de-DE"/>
        </w:rPr>
      </w:pPr>
      <w:r w:rsidRPr="00543863">
        <w:rPr>
          <w:sz w:val="22"/>
          <w:szCs w:val="22"/>
          <w:lang w:val="de-DE"/>
        </w:rPr>
        <w:t xml:space="preserve"> </w:t>
      </w:r>
    </w:p>
    <w:p w14:paraId="7269E84A" w14:textId="77777777" w:rsidR="00B46FF7" w:rsidRPr="008273B9" w:rsidRDefault="00B46FF7" w:rsidP="00D2565C">
      <w:pPr>
        <w:tabs>
          <w:tab w:val="left" w:pos="828"/>
        </w:tabs>
        <w:ind w:right="-68"/>
        <w:jc w:val="both"/>
        <w:rPr>
          <w:i/>
          <w:sz w:val="22"/>
          <w:szCs w:val="22"/>
          <w:u w:val="single"/>
        </w:rPr>
      </w:pPr>
      <w:r w:rsidRPr="008273B9">
        <w:rPr>
          <w:i/>
          <w:sz w:val="22"/>
          <w:szCs w:val="22"/>
          <w:u w:val="single"/>
        </w:rPr>
        <w:t>Pedijatrijska populacija</w:t>
      </w:r>
    </w:p>
    <w:p w14:paraId="25BA5248" w14:textId="1335D8AD" w:rsidR="00B46FF7" w:rsidRPr="006C75EC" w:rsidRDefault="00B46FF7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  <w:r>
        <w:rPr>
          <w:sz w:val="22"/>
          <w:szCs w:val="22"/>
        </w:rPr>
        <w:t>Lijek Dolpirinn nije namijenjen za primjenu kod djece i adolescenata mlađih od 16 godina.</w:t>
      </w:r>
    </w:p>
    <w:p w14:paraId="566F6609" w14:textId="77777777" w:rsidR="006F29A2" w:rsidRPr="006C75EC" w:rsidRDefault="006F29A2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5EA067A3" w14:textId="657B88C4" w:rsidR="00A31EFA" w:rsidRPr="00AE16A4" w:rsidRDefault="00A31EFA" w:rsidP="00D2565C">
      <w:pPr>
        <w:ind w:right="-68"/>
        <w:jc w:val="both"/>
        <w:rPr>
          <w:rFonts w:eastAsia="Calibri"/>
          <w:sz w:val="22"/>
          <w:szCs w:val="22"/>
        </w:rPr>
      </w:pPr>
      <w:r w:rsidRPr="00AE16A4">
        <w:rPr>
          <w:rFonts w:eastAsia="Calibri"/>
          <w:i/>
          <w:iCs/>
          <w:sz w:val="22"/>
          <w:szCs w:val="22"/>
          <w:u w:val="single"/>
        </w:rPr>
        <w:lastRenderedPageBreak/>
        <w:t>Osobe starije životne dobi</w:t>
      </w:r>
      <w:r w:rsidR="45FBB6E1" w:rsidRPr="00AE16A4">
        <w:rPr>
          <w:rFonts w:eastAsia="Calibri"/>
          <w:sz w:val="22"/>
          <w:szCs w:val="22"/>
        </w:rPr>
        <w:t xml:space="preserve"> </w:t>
      </w:r>
    </w:p>
    <w:p w14:paraId="0E847C63" w14:textId="4A6E1CE9" w:rsidR="2780F75B" w:rsidRPr="006C75EC" w:rsidRDefault="0060509E" w:rsidP="00D2565C">
      <w:pPr>
        <w:ind w:right="-68"/>
        <w:jc w:val="both"/>
        <w:rPr>
          <w:sz w:val="22"/>
          <w:szCs w:val="22"/>
        </w:rPr>
      </w:pPr>
      <w:r w:rsidRPr="006C75EC">
        <w:rPr>
          <w:rFonts w:eastAsia="Calibri"/>
          <w:sz w:val="22"/>
          <w:szCs w:val="22"/>
        </w:rPr>
        <w:t xml:space="preserve">Doziranje treba pažljivo da odredi </w:t>
      </w:r>
      <w:r w:rsidR="00CE2B72" w:rsidRPr="006C75EC">
        <w:rPr>
          <w:rFonts w:eastAsia="Calibri"/>
          <w:sz w:val="22"/>
          <w:szCs w:val="22"/>
        </w:rPr>
        <w:t>ljekar</w:t>
      </w:r>
      <w:r w:rsidRPr="006C75EC">
        <w:rPr>
          <w:rFonts w:eastAsia="Calibri"/>
          <w:sz w:val="22"/>
          <w:szCs w:val="22"/>
        </w:rPr>
        <w:t xml:space="preserve"> koji će proc</w:t>
      </w:r>
      <w:r w:rsidR="00887EDD" w:rsidRPr="006C75EC">
        <w:rPr>
          <w:rFonts w:eastAsia="Calibri"/>
          <w:sz w:val="22"/>
          <w:szCs w:val="22"/>
        </w:rPr>
        <w:t>ij</w:t>
      </w:r>
      <w:r w:rsidRPr="006C75EC">
        <w:rPr>
          <w:rFonts w:eastAsia="Calibri"/>
          <w:sz w:val="22"/>
          <w:szCs w:val="22"/>
        </w:rPr>
        <w:t>eniti moguće smanjenje gore navedenih doza (</w:t>
      </w:r>
      <w:r w:rsidR="00881DAA">
        <w:rPr>
          <w:rFonts w:eastAsia="Calibri"/>
          <w:sz w:val="22"/>
          <w:szCs w:val="22"/>
        </w:rPr>
        <w:t>pogledati dio</w:t>
      </w:r>
      <w:r w:rsidRPr="006C75EC">
        <w:rPr>
          <w:rFonts w:eastAsia="Calibri"/>
          <w:sz w:val="22"/>
          <w:szCs w:val="22"/>
        </w:rPr>
        <w:t xml:space="preserve"> 4.4)</w:t>
      </w:r>
      <w:r w:rsidR="45FBB6E1" w:rsidRPr="006C75EC">
        <w:rPr>
          <w:rFonts w:eastAsia="Calibri"/>
          <w:sz w:val="22"/>
          <w:szCs w:val="22"/>
        </w:rPr>
        <w:t xml:space="preserve">. </w:t>
      </w:r>
    </w:p>
    <w:p w14:paraId="0BA494FF" w14:textId="77777777" w:rsidR="009627B7" w:rsidRPr="006C75EC" w:rsidRDefault="009627B7" w:rsidP="00D2565C">
      <w:pPr>
        <w:tabs>
          <w:tab w:val="left" w:pos="828"/>
        </w:tabs>
        <w:jc w:val="both"/>
        <w:rPr>
          <w:i/>
          <w:iCs/>
          <w:sz w:val="22"/>
          <w:szCs w:val="22"/>
          <w:u w:val="single"/>
        </w:rPr>
      </w:pPr>
    </w:p>
    <w:p w14:paraId="1AC2F2D6" w14:textId="1BA2023C" w:rsidR="00A31EFA" w:rsidRPr="006C75EC" w:rsidRDefault="0060509E" w:rsidP="00D2565C">
      <w:pPr>
        <w:tabs>
          <w:tab w:val="left" w:pos="828"/>
        </w:tabs>
        <w:jc w:val="both"/>
        <w:rPr>
          <w:sz w:val="22"/>
          <w:szCs w:val="22"/>
        </w:rPr>
      </w:pPr>
      <w:r w:rsidRPr="006C75EC">
        <w:rPr>
          <w:i/>
          <w:iCs/>
          <w:sz w:val="22"/>
          <w:szCs w:val="22"/>
          <w:u w:val="single"/>
        </w:rPr>
        <w:t>Pacijenti sa hepatičkom insuficijencijom</w:t>
      </w:r>
      <w:r w:rsidRPr="006C75EC">
        <w:rPr>
          <w:sz w:val="22"/>
          <w:szCs w:val="22"/>
        </w:rPr>
        <w:t xml:space="preserve"> </w:t>
      </w:r>
    </w:p>
    <w:p w14:paraId="1B0AD441" w14:textId="3294AC81" w:rsidR="00BD0557" w:rsidRPr="006C75EC" w:rsidRDefault="00AC085D" w:rsidP="00D2565C">
      <w:pPr>
        <w:tabs>
          <w:tab w:val="left" w:pos="828"/>
        </w:tabs>
        <w:jc w:val="both"/>
        <w:rPr>
          <w:sz w:val="22"/>
          <w:szCs w:val="22"/>
        </w:rPr>
      </w:pPr>
      <w:r w:rsidRPr="006C75EC">
        <w:rPr>
          <w:sz w:val="22"/>
          <w:szCs w:val="22"/>
        </w:rPr>
        <w:t>P</w:t>
      </w:r>
      <w:r w:rsidR="0060509E" w:rsidRPr="006C75EC">
        <w:rPr>
          <w:sz w:val="22"/>
          <w:szCs w:val="22"/>
        </w:rPr>
        <w:t>reporuč</w:t>
      </w:r>
      <w:r w:rsidRPr="006C75EC">
        <w:rPr>
          <w:sz w:val="22"/>
          <w:szCs w:val="22"/>
        </w:rPr>
        <w:t xml:space="preserve">uje se </w:t>
      </w:r>
      <w:r w:rsidR="00C60260" w:rsidRPr="006C75EC">
        <w:rPr>
          <w:sz w:val="22"/>
          <w:szCs w:val="22"/>
        </w:rPr>
        <w:t>da se</w:t>
      </w:r>
      <w:r w:rsidRPr="006C75EC">
        <w:rPr>
          <w:sz w:val="22"/>
          <w:szCs w:val="22"/>
        </w:rPr>
        <w:t xml:space="preserve"> </w:t>
      </w:r>
      <w:r w:rsidR="00C60260" w:rsidRPr="006C75EC">
        <w:rPr>
          <w:sz w:val="22"/>
          <w:szCs w:val="22"/>
        </w:rPr>
        <w:t>uspostavi l</w:t>
      </w:r>
      <w:r w:rsidR="00BB61CF" w:rsidRPr="006C75EC">
        <w:rPr>
          <w:sz w:val="22"/>
          <w:szCs w:val="22"/>
        </w:rPr>
        <w:t>ij</w:t>
      </w:r>
      <w:r w:rsidR="00C60260" w:rsidRPr="006C75EC">
        <w:rPr>
          <w:sz w:val="22"/>
          <w:szCs w:val="22"/>
        </w:rPr>
        <w:t xml:space="preserve">ečenje </w:t>
      </w:r>
      <w:r w:rsidRPr="006C75EC">
        <w:rPr>
          <w:sz w:val="22"/>
          <w:szCs w:val="22"/>
        </w:rPr>
        <w:t>sa</w:t>
      </w:r>
      <w:r w:rsidR="0060509E" w:rsidRPr="006C75EC">
        <w:rPr>
          <w:sz w:val="22"/>
          <w:szCs w:val="22"/>
        </w:rPr>
        <w:t xml:space="preserve"> minimaln</w:t>
      </w:r>
      <w:r w:rsidRPr="006C75EC">
        <w:rPr>
          <w:sz w:val="22"/>
          <w:szCs w:val="22"/>
        </w:rPr>
        <w:t>om</w:t>
      </w:r>
      <w:r w:rsidR="0060509E" w:rsidRPr="006C75EC">
        <w:rPr>
          <w:sz w:val="22"/>
          <w:szCs w:val="22"/>
        </w:rPr>
        <w:t xml:space="preserve"> dnevno</w:t>
      </w:r>
      <w:r w:rsidRPr="006C75EC">
        <w:rPr>
          <w:sz w:val="22"/>
          <w:szCs w:val="22"/>
        </w:rPr>
        <w:t>m</w:t>
      </w:r>
      <w:r w:rsidR="0060509E" w:rsidRPr="006C75EC">
        <w:rPr>
          <w:sz w:val="22"/>
          <w:szCs w:val="22"/>
        </w:rPr>
        <w:t xml:space="preserve"> doz</w:t>
      </w:r>
      <w:r w:rsidRPr="006C75EC">
        <w:rPr>
          <w:sz w:val="22"/>
          <w:szCs w:val="22"/>
        </w:rPr>
        <w:t>om</w:t>
      </w:r>
      <w:r w:rsidR="0060509E" w:rsidRPr="006C75EC">
        <w:rPr>
          <w:sz w:val="22"/>
          <w:szCs w:val="22"/>
        </w:rPr>
        <w:t xml:space="preserve"> </w:t>
      </w:r>
      <w:r w:rsidR="45FBB6E1" w:rsidRPr="006C75EC">
        <w:rPr>
          <w:sz w:val="22"/>
          <w:szCs w:val="22"/>
        </w:rPr>
        <w:t>(</w:t>
      </w:r>
      <w:r w:rsidR="00881DAA">
        <w:rPr>
          <w:sz w:val="22"/>
          <w:szCs w:val="22"/>
        </w:rPr>
        <w:t>pogledati dio</w:t>
      </w:r>
      <w:r w:rsidR="45FBB6E1" w:rsidRPr="006C75EC">
        <w:rPr>
          <w:sz w:val="22"/>
          <w:szCs w:val="22"/>
        </w:rPr>
        <w:t xml:space="preserve"> 4.4).</w:t>
      </w:r>
    </w:p>
    <w:p w14:paraId="097D8D98" w14:textId="77777777" w:rsidR="005B05EC" w:rsidRPr="006C75EC" w:rsidRDefault="005B05EC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49CC0DF0" w14:textId="18351716" w:rsidR="00A31EFA" w:rsidRPr="006C75EC" w:rsidRDefault="00815A55" w:rsidP="00D2565C">
      <w:pPr>
        <w:tabs>
          <w:tab w:val="left" w:pos="828"/>
        </w:tabs>
        <w:jc w:val="both"/>
        <w:rPr>
          <w:rFonts w:eastAsia="Calibri"/>
          <w:sz w:val="22"/>
          <w:szCs w:val="22"/>
        </w:rPr>
      </w:pPr>
      <w:r w:rsidRPr="006C75EC">
        <w:rPr>
          <w:i/>
          <w:iCs/>
          <w:sz w:val="22"/>
          <w:szCs w:val="22"/>
          <w:u w:val="single"/>
        </w:rPr>
        <w:t>Pacijenti sa blagom ili um</w:t>
      </w:r>
      <w:r w:rsidR="00BB61CF" w:rsidRPr="006C75EC">
        <w:rPr>
          <w:i/>
          <w:iCs/>
          <w:sz w:val="22"/>
          <w:szCs w:val="22"/>
          <w:u w:val="single"/>
        </w:rPr>
        <w:t>j</w:t>
      </w:r>
      <w:r w:rsidRPr="006C75EC">
        <w:rPr>
          <w:i/>
          <w:iCs/>
          <w:sz w:val="22"/>
          <w:szCs w:val="22"/>
          <w:u w:val="single"/>
        </w:rPr>
        <w:t>erenom bubrežnom insuficijencijom</w:t>
      </w:r>
      <w:r w:rsidR="45FBB6E1" w:rsidRPr="006C75EC">
        <w:rPr>
          <w:rFonts w:eastAsia="Calibri"/>
          <w:sz w:val="22"/>
          <w:szCs w:val="22"/>
        </w:rPr>
        <w:t xml:space="preserve"> </w:t>
      </w:r>
    </w:p>
    <w:p w14:paraId="13E1B92F" w14:textId="07896DEA" w:rsidR="00BD0557" w:rsidRDefault="00CE6E88" w:rsidP="00D2565C">
      <w:pPr>
        <w:tabs>
          <w:tab w:val="left" w:pos="828"/>
        </w:tabs>
        <w:jc w:val="both"/>
        <w:rPr>
          <w:sz w:val="22"/>
          <w:szCs w:val="22"/>
        </w:rPr>
      </w:pPr>
      <w:r w:rsidRPr="006C75EC">
        <w:rPr>
          <w:sz w:val="22"/>
          <w:szCs w:val="22"/>
        </w:rPr>
        <w:t xml:space="preserve">Preporučuje se da se </w:t>
      </w:r>
      <w:r w:rsidRPr="006C75EC">
        <w:rPr>
          <w:rFonts w:eastAsia="Calibri"/>
          <w:sz w:val="22"/>
          <w:szCs w:val="22"/>
        </w:rPr>
        <w:t xml:space="preserve">smanji početna doza i </w:t>
      </w:r>
      <w:r w:rsidRPr="006C75EC">
        <w:rPr>
          <w:sz w:val="22"/>
          <w:szCs w:val="22"/>
        </w:rPr>
        <w:t>prim</w:t>
      </w:r>
      <w:r w:rsidR="00BB61CF" w:rsidRPr="006C75EC">
        <w:rPr>
          <w:sz w:val="22"/>
          <w:szCs w:val="22"/>
        </w:rPr>
        <w:t>ij</w:t>
      </w:r>
      <w:r w:rsidRPr="006C75EC">
        <w:rPr>
          <w:sz w:val="22"/>
          <w:szCs w:val="22"/>
        </w:rPr>
        <w:t>eni terapija održavanja najmanjom efikasnom dozom</w:t>
      </w:r>
      <w:r w:rsidRPr="006C75EC">
        <w:rPr>
          <w:rFonts w:eastAsia="Calibri"/>
          <w:sz w:val="22"/>
          <w:szCs w:val="22"/>
        </w:rPr>
        <w:t xml:space="preserve">. </w:t>
      </w:r>
      <w:r w:rsidRPr="006C75EC">
        <w:rPr>
          <w:sz w:val="22"/>
          <w:szCs w:val="22"/>
        </w:rPr>
        <w:t>Individualno prilagođavanje doze prema odgovoru pacijenta na l</w:t>
      </w:r>
      <w:r w:rsidR="00BB61CF" w:rsidRPr="006C75EC">
        <w:rPr>
          <w:sz w:val="22"/>
          <w:szCs w:val="22"/>
        </w:rPr>
        <w:t>ij</w:t>
      </w:r>
      <w:r w:rsidRPr="006C75EC">
        <w:rPr>
          <w:sz w:val="22"/>
          <w:szCs w:val="22"/>
        </w:rPr>
        <w:t>ečenje</w:t>
      </w:r>
      <w:r w:rsidR="007075C5" w:rsidRPr="006C75EC">
        <w:rPr>
          <w:sz w:val="22"/>
          <w:szCs w:val="22"/>
        </w:rPr>
        <w:t>,</w:t>
      </w:r>
      <w:r w:rsidRPr="006C75EC">
        <w:rPr>
          <w:sz w:val="22"/>
          <w:szCs w:val="22"/>
        </w:rPr>
        <w:t xml:space="preserve"> može da se razmotri tek nakon utvrđivanja dobre podnošljivosti </w:t>
      </w:r>
      <w:r w:rsidR="00D102BF" w:rsidRPr="006C75EC">
        <w:rPr>
          <w:sz w:val="22"/>
          <w:szCs w:val="22"/>
        </w:rPr>
        <w:t>lijek</w:t>
      </w:r>
      <w:r w:rsidRPr="006C75EC">
        <w:rPr>
          <w:sz w:val="22"/>
          <w:szCs w:val="22"/>
        </w:rPr>
        <w:t>a</w:t>
      </w:r>
      <w:r w:rsidRPr="006C75EC">
        <w:rPr>
          <w:rFonts w:eastAsia="Calibri"/>
          <w:sz w:val="22"/>
          <w:szCs w:val="22"/>
        </w:rPr>
        <w:t>. Pratiti zapreminu diureze i funkciju bubrega</w:t>
      </w:r>
      <w:r w:rsidR="0060509E" w:rsidRPr="006C75EC">
        <w:rPr>
          <w:rFonts w:eastAsia="Calibri"/>
          <w:sz w:val="22"/>
          <w:szCs w:val="22"/>
        </w:rPr>
        <w:t xml:space="preserve"> </w:t>
      </w:r>
      <w:r w:rsidR="45FBB6E1" w:rsidRPr="006C75EC">
        <w:rPr>
          <w:sz w:val="22"/>
          <w:szCs w:val="22"/>
        </w:rPr>
        <w:t>(</w:t>
      </w:r>
      <w:r w:rsidR="00881DAA">
        <w:rPr>
          <w:sz w:val="22"/>
          <w:szCs w:val="22"/>
        </w:rPr>
        <w:t>pogledati dio</w:t>
      </w:r>
      <w:r w:rsidR="45FBB6E1" w:rsidRPr="006C75EC">
        <w:rPr>
          <w:sz w:val="22"/>
          <w:szCs w:val="22"/>
        </w:rPr>
        <w:t xml:space="preserve"> 4.4).</w:t>
      </w:r>
    </w:p>
    <w:p w14:paraId="24CB164C" w14:textId="77777777" w:rsidR="008D4677" w:rsidRPr="006C75EC" w:rsidRDefault="008D4677" w:rsidP="00D2565C">
      <w:pPr>
        <w:tabs>
          <w:tab w:val="left" w:pos="828"/>
        </w:tabs>
        <w:jc w:val="both"/>
        <w:rPr>
          <w:sz w:val="22"/>
          <w:szCs w:val="22"/>
        </w:rPr>
      </w:pPr>
    </w:p>
    <w:p w14:paraId="79F7B0E9" w14:textId="28352588" w:rsidR="008D4677" w:rsidRPr="008D4677" w:rsidRDefault="008D4677" w:rsidP="008D4677">
      <w:pPr>
        <w:rPr>
          <w:sz w:val="22"/>
          <w:szCs w:val="22"/>
        </w:rPr>
      </w:pPr>
      <w:r w:rsidRPr="008D4677">
        <w:rPr>
          <w:sz w:val="22"/>
          <w:szCs w:val="22"/>
        </w:rPr>
        <w:t>Lijek Dolpirinn</w:t>
      </w:r>
      <w:r w:rsidRPr="008D4677">
        <w:rPr>
          <w:sz w:val="22"/>
          <w:szCs w:val="22"/>
          <w:vertAlign w:val="superscript"/>
        </w:rPr>
        <w:t xml:space="preserve"> </w:t>
      </w:r>
      <w:r w:rsidRPr="008D4677">
        <w:rPr>
          <w:sz w:val="22"/>
          <w:szCs w:val="22"/>
        </w:rPr>
        <w:t>se ne smije prim</w:t>
      </w:r>
      <w:r w:rsidR="005A2C84">
        <w:rPr>
          <w:sz w:val="22"/>
          <w:szCs w:val="22"/>
        </w:rPr>
        <w:t>j</w:t>
      </w:r>
      <w:r w:rsidRPr="008D4677">
        <w:rPr>
          <w:sz w:val="22"/>
          <w:szCs w:val="22"/>
        </w:rPr>
        <w:t>enjivati kod pacijenata sa te</w:t>
      </w:r>
      <w:r w:rsidR="005A2C84">
        <w:rPr>
          <w:sz w:val="22"/>
          <w:szCs w:val="22"/>
        </w:rPr>
        <w:t>škim oštećenjem funkcije jetre i</w:t>
      </w:r>
      <w:r w:rsidRPr="008D4677">
        <w:rPr>
          <w:sz w:val="22"/>
          <w:szCs w:val="22"/>
        </w:rPr>
        <w:t xml:space="preserve"> bubrega (</w:t>
      </w:r>
      <w:r w:rsidR="00881DAA">
        <w:rPr>
          <w:sz w:val="22"/>
          <w:szCs w:val="22"/>
        </w:rPr>
        <w:t>pogledati dio</w:t>
      </w:r>
      <w:r w:rsidRPr="008D4677">
        <w:rPr>
          <w:sz w:val="22"/>
          <w:szCs w:val="22"/>
        </w:rPr>
        <w:t xml:space="preserve"> 4.3).</w:t>
      </w:r>
    </w:p>
    <w:p w14:paraId="5589EF5A" w14:textId="77777777" w:rsidR="005B05EC" w:rsidRPr="006C75EC" w:rsidRDefault="005B05EC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7168E019" w14:textId="141002E4" w:rsidR="00ED3AE2" w:rsidRPr="006C75EC" w:rsidRDefault="00757F5C" w:rsidP="00D2565C">
      <w:pPr>
        <w:tabs>
          <w:tab w:val="left" w:pos="828"/>
        </w:tabs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 xml:space="preserve">Neželjena dejstva mogu da se minimiziraju </w:t>
      </w:r>
      <w:r w:rsidR="00004E36" w:rsidRPr="006C75EC">
        <w:rPr>
          <w:rFonts w:eastAsia="Calibri"/>
          <w:sz w:val="22"/>
          <w:szCs w:val="22"/>
        </w:rPr>
        <w:t>prim</w:t>
      </w:r>
      <w:r w:rsidR="00BB61CF" w:rsidRPr="006C75EC">
        <w:rPr>
          <w:rFonts w:eastAsia="Calibri"/>
          <w:sz w:val="22"/>
          <w:szCs w:val="22"/>
        </w:rPr>
        <w:t>j</w:t>
      </w:r>
      <w:r w:rsidR="00004E36" w:rsidRPr="006C75EC">
        <w:rPr>
          <w:rFonts w:eastAsia="Calibri"/>
          <w:sz w:val="22"/>
          <w:szCs w:val="22"/>
        </w:rPr>
        <w:t>enom</w:t>
      </w:r>
      <w:r w:rsidRPr="006C75EC">
        <w:rPr>
          <w:rFonts w:eastAsia="Calibri"/>
          <w:sz w:val="22"/>
          <w:szCs w:val="22"/>
        </w:rPr>
        <w:t xml:space="preserve"> najkraćeg mogućeg trajanja l</w:t>
      </w:r>
      <w:r w:rsidR="00BB61CF" w:rsidRPr="006C75EC">
        <w:rPr>
          <w:rFonts w:eastAsia="Calibri"/>
          <w:sz w:val="22"/>
          <w:szCs w:val="22"/>
        </w:rPr>
        <w:t>ij</w:t>
      </w:r>
      <w:r w:rsidRPr="006C75EC">
        <w:rPr>
          <w:rFonts w:eastAsia="Calibri"/>
          <w:sz w:val="22"/>
          <w:szCs w:val="22"/>
        </w:rPr>
        <w:t>ečenja koje je potrebno da se simptomi kontrolišu</w:t>
      </w:r>
      <w:r w:rsidR="45FBB6E1" w:rsidRPr="006C75EC">
        <w:rPr>
          <w:rFonts w:eastAsia="Calibri"/>
          <w:sz w:val="22"/>
          <w:szCs w:val="22"/>
        </w:rPr>
        <w:t xml:space="preserve"> </w:t>
      </w:r>
      <w:r w:rsidR="45FBB6E1" w:rsidRPr="006C75EC">
        <w:rPr>
          <w:sz w:val="22"/>
          <w:szCs w:val="22"/>
        </w:rPr>
        <w:t>(</w:t>
      </w:r>
      <w:r w:rsidR="00881DAA">
        <w:rPr>
          <w:sz w:val="22"/>
          <w:szCs w:val="22"/>
        </w:rPr>
        <w:t>pogledati dio</w:t>
      </w:r>
      <w:r w:rsidR="008D4677">
        <w:rPr>
          <w:sz w:val="22"/>
          <w:szCs w:val="22"/>
        </w:rPr>
        <w:t xml:space="preserve"> </w:t>
      </w:r>
      <w:r w:rsidR="45FBB6E1" w:rsidRPr="006C75EC">
        <w:rPr>
          <w:sz w:val="22"/>
          <w:szCs w:val="22"/>
        </w:rPr>
        <w:t>4.</w:t>
      </w:r>
      <w:r w:rsidR="008D4677">
        <w:rPr>
          <w:sz w:val="22"/>
          <w:szCs w:val="22"/>
        </w:rPr>
        <w:t>4</w:t>
      </w:r>
      <w:r w:rsidR="45FBB6E1" w:rsidRPr="006C75EC">
        <w:rPr>
          <w:sz w:val="22"/>
          <w:szCs w:val="22"/>
        </w:rPr>
        <w:t>).</w:t>
      </w:r>
    </w:p>
    <w:p w14:paraId="73E2C325" w14:textId="77777777" w:rsidR="00CC0E2E" w:rsidRPr="006C75EC" w:rsidRDefault="00CC0E2E" w:rsidP="008273B9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79D5CA9C" w14:textId="77777777" w:rsidR="00355F6A" w:rsidRDefault="00E6699B" w:rsidP="00E6699B">
      <w:pPr>
        <w:ind w:right="-68"/>
        <w:jc w:val="both"/>
        <w:rPr>
          <w:sz w:val="22"/>
          <w:szCs w:val="22"/>
        </w:rPr>
      </w:pPr>
      <w:r w:rsidRPr="006C75EC">
        <w:rPr>
          <w:sz w:val="22"/>
          <w:szCs w:val="22"/>
          <w:u w:val="single"/>
        </w:rPr>
        <w:t>Način primjene:</w:t>
      </w:r>
      <w:r w:rsidRPr="006C75EC">
        <w:rPr>
          <w:sz w:val="22"/>
          <w:szCs w:val="22"/>
        </w:rPr>
        <w:t xml:space="preserve"> </w:t>
      </w:r>
    </w:p>
    <w:p w14:paraId="1D14C9F9" w14:textId="37F2D4AD" w:rsidR="00C32A39" w:rsidRPr="006C75EC" w:rsidRDefault="00E6699B" w:rsidP="00E6699B">
      <w:pPr>
        <w:ind w:right="-68"/>
        <w:jc w:val="both"/>
        <w:rPr>
          <w:sz w:val="22"/>
          <w:szCs w:val="22"/>
        </w:rPr>
      </w:pPr>
      <w:r w:rsidRPr="006C75EC">
        <w:rPr>
          <w:sz w:val="22"/>
          <w:szCs w:val="22"/>
        </w:rPr>
        <w:t>Sadržaj kesice sipati u pola čaše vode i promiješati.</w:t>
      </w:r>
    </w:p>
    <w:p w14:paraId="279E702B" w14:textId="77777777" w:rsidR="00E6699B" w:rsidRPr="006C75EC" w:rsidRDefault="00E6699B" w:rsidP="00E6699B">
      <w:pPr>
        <w:ind w:right="-68"/>
        <w:jc w:val="both"/>
        <w:rPr>
          <w:sz w:val="22"/>
          <w:szCs w:val="22"/>
        </w:rPr>
      </w:pPr>
    </w:p>
    <w:p w14:paraId="5D6557C7" w14:textId="34D4FCCA" w:rsidR="009627B7" w:rsidRPr="006C75EC" w:rsidRDefault="00B67F2C" w:rsidP="00F71BFD">
      <w:pPr>
        <w:pStyle w:val="ListParagraph"/>
        <w:numPr>
          <w:ilvl w:val="1"/>
          <w:numId w:val="10"/>
        </w:numPr>
        <w:ind w:right="-68"/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>Kontraindikacije</w:t>
      </w:r>
    </w:p>
    <w:p w14:paraId="13E55885" w14:textId="77777777" w:rsidR="000228B8" w:rsidRPr="006C75EC" w:rsidRDefault="000228B8" w:rsidP="00D2565C">
      <w:pPr>
        <w:ind w:right="-68"/>
        <w:jc w:val="both"/>
        <w:rPr>
          <w:b/>
          <w:bCs/>
          <w:sz w:val="22"/>
          <w:szCs w:val="22"/>
        </w:rPr>
      </w:pPr>
    </w:p>
    <w:p w14:paraId="60819705" w14:textId="7FE63F7F" w:rsidR="2780F75B" w:rsidRPr="006C75EC" w:rsidRDefault="00D102BF" w:rsidP="00D2565C">
      <w:pPr>
        <w:ind w:right="-68"/>
        <w:jc w:val="both"/>
        <w:rPr>
          <w:b/>
          <w:bCs/>
          <w:sz w:val="22"/>
          <w:szCs w:val="22"/>
        </w:rPr>
      </w:pPr>
      <w:r w:rsidRPr="006C75EC">
        <w:rPr>
          <w:rFonts w:eastAsia="Calibri"/>
          <w:sz w:val="22"/>
          <w:szCs w:val="22"/>
        </w:rPr>
        <w:t>Lijek</w:t>
      </w:r>
      <w:r w:rsidR="002D22D2" w:rsidRPr="006C75EC">
        <w:rPr>
          <w:rFonts w:eastAsia="Calibri"/>
          <w:sz w:val="22"/>
          <w:szCs w:val="22"/>
        </w:rPr>
        <w:t xml:space="preserve"> </w:t>
      </w:r>
      <w:r w:rsidR="00BD4DEE" w:rsidRPr="006C75EC">
        <w:rPr>
          <w:rFonts w:eastAsia="Calibri"/>
          <w:sz w:val="22"/>
          <w:szCs w:val="22"/>
        </w:rPr>
        <w:t>Dolpirinn</w:t>
      </w:r>
      <w:r w:rsidR="002D22D2" w:rsidRPr="006C75EC">
        <w:rPr>
          <w:rFonts w:eastAsia="Calibri"/>
          <w:sz w:val="22"/>
          <w:szCs w:val="22"/>
        </w:rPr>
        <w:t xml:space="preserve"> ne treba </w:t>
      </w:r>
      <w:r w:rsidR="0044136B" w:rsidRPr="006C75EC">
        <w:rPr>
          <w:rFonts w:eastAsia="Calibri"/>
          <w:sz w:val="22"/>
          <w:szCs w:val="22"/>
        </w:rPr>
        <w:t>primjenjivati</w:t>
      </w:r>
      <w:r w:rsidR="002D22D2" w:rsidRPr="006C75EC">
        <w:rPr>
          <w:rFonts w:eastAsia="Calibri"/>
          <w:sz w:val="22"/>
          <w:szCs w:val="22"/>
        </w:rPr>
        <w:t xml:space="preserve"> u sl</w:t>
      </w:r>
      <w:r w:rsidR="00282B8B" w:rsidRPr="006C75EC">
        <w:rPr>
          <w:rFonts w:eastAsia="Calibri"/>
          <w:sz w:val="22"/>
          <w:szCs w:val="22"/>
        </w:rPr>
        <w:t>j</w:t>
      </w:r>
      <w:r w:rsidR="002D22D2" w:rsidRPr="006C75EC">
        <w:rPr>
          <w:rFonts w:eastAsia="Calibri"/>
          <w:sz w:val="22"/>
          <w:szCs w:val="22"/>
        </w:rPr>
        <w:t>edećim slučajevima</w:t>
      </w:r>
      <w:r w:rsidR="45FBB6E1" w:rsidRPr="006C75EC">
        <w:rPr>
          <w:rFonts w:eastAsia="Calibri"/>
          <w:sz w:val="22"/>
          <w:szCs w:val="22"/>
        </w:rPr>
        <w:t>:</w:t>
      </w:r>
    </w:p>
    <w:p w14:paraId="26C13E56" w14:textId="081D4592" w:rsidR="002D22D2" w:rsidRPr="006C75EC" w:rsidRDefault="007075C5" w:rsidP="00D2565C">
      <w:pPr>
        <w:pStyle w:val="ListParagraph"/>
        <w:numPr>
          <w:ilvl w:val="0"/>
          <w:numId w:val="4"/>
        </w:numPr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>p</w:t>
      </w:r>
      <w:r w:rsidR="002D22D2" w:rsidRPr="006C75EC">
        <w:rPr>
          <w:rFonts w:eastAsia="Calibri"/>
          <w:sz w:val="22"/>
          <w:szCs w:val="22"/>
        </w:rPr>
        <w:t>reos</w:t>
      </w:r>
      <w:r w:rsidR="00282B8B" w:rsidRPr="006C75EC">
        <w:rPr>
          <w:rFonts w:eastAsia="Calibri"/>
          <w:sz w:val="22"/>
          <w:szCs w:val="22"/>
        </w:rPr>
        <w:t>j</w:t>
      </w:r>
      <w:r w:rsidR="002D22D2" w:rsidRPr="006C75EC">
        <w:rPr>
          <w:rFonts w:eastAsia="Calibri"/>
          <w:sz w:val="22"/>
          <w:szCs w:val="22"/>
        </w:rPr>
        <w:t xml:space="preserve">etljivost na aktivnu supstancu, druge nesteroidne antiinflamatorne </w:t>
      </w:r>
      <w:r w:rsidR="00D102BF" w:rsidRPr="006C75EC">
        <w:rPr>
          <w:rFonts w:eastAsia="Calibri"/>
          <w:sz w:val="22"/>
          <w:szCs w:val="22"/>
        </w:rPr>
        <w:t>ljek</w:t>
      </w:r>
      <w:r w:rsidR="002D22D2" w:rsidRPr="006C75EC">
        <w:rPr>
          <w:rFonts w:eastAsia="Calibri"/>
          <w:sz w:val="22"/>
          <w:szCs w:val="22"/>
        </w:rPr>
        <w:t>ove (NSAI</w:t>
      </w:r>
      <w:r w:rsidR="00471BE7" w:rsidRPr="006C75EC">
        <w:rPr>
          <w:rFonts w:eastAsia="Calibri"/>
          <w:sz w:val="22"/>
          <w:szCs w:val="22"/>
        </w:rPr>
        <w:t>L</w:t>
      </w:r>
      <w:r w:rsidR="002D22D2" w:rsidRPr="006C75EC">
        <w:rPr>
          <w:rFonts w:eastAsia="Calibri"/>
          <w:sz w:val="22"/>
          <w:szCs w:val="22"/>
        </w:rPr>
        <w:t>) ili bilo koju od pomoćnih supstanci</w:t>
      </w:r>
      <w:r w:rsidRPr="006C75EC">
        <w:rPr>
          <w:rFonts w:eastAsia="Calibri"/>
          <w:sz w:val="22"/>
          <w:szCs w:val="22"/>
        </w:rPr>
        <w:t>;</w:t>
      </w:r>
    </w:p>
    <w:p w14:paraId="5E813E6F" w14:textId="47839D9D" w:rsidR="002D22D2" w:rsidRPr="006C75EC" w:rsidRDefault="007075C5" w:rsidP="00D2565C">
      <w:pPr>
        <w:pStyle w:val="ListParagraph"/>
        <w:numPr>
          <w:ilvl w:val="0"/>
          <w:numId w:val="4"/>
        </w:numPr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>p</w:t>
      </w:r>
      <w:r w:rsidR="002D22D2" w:rsidRPr="006C75EC">
        <w:rPr>
          <w:rFonts w:eastAsia="Calibri"/>
          <w:sz w:val="22"/>
          <w:szCs w:val="22"/>
        </w:rPr>
        <w:t xml:space="preserve">acijenti sa </w:t>
      </w:r>
      <w:r w:rsidR="00471BE7" w:rsidRPr="006C75EC">
        <w:rPr>
          <w:rFonts w:eastAsia="Calibri"/>
          <w:sz w:val="22"/>
          <w:szCs w:val="22"/>
        </w:rPr>
        <w:t>reakcijom</w:t>
      </w:r>
      <w:r w:rsidR="002D22D2" w:rsidRPr="006C75EC">
        <w:rPr>
          <w:rFonts w:eastAsia="Calibri"/>
          <w:sz w:val="22"/>
          <w:szCs w:val="22"/>
        </w:rPr>
        <w:t xml:space="preserve"> preos</w:t>
      </w:r>
      <w:r w:rsidR="00282B8B" w:rsidRPr="006C75EC">
        <w:rPr>
          <w:rFonts w:eastAsia="Calibri"/>
          <w:sz w:val="22"/>
          <w:szCs w:val="22"/>
        </w:rPr>
        <w:t>j</w:t>
      </w:r>
      <w:r w:rsidR="002D22D2" w:rsidRPr="006C75EC">
        <w:rPr>
          <w:rFonts w:eastAsia="Calibri"/>
          <w:sz w:val="22"/>
          <w:szCs w:val="22"/>
        </w:rPr>
        <w:t xml:space="preserve">etljivosti </w:t>
      </w:r>
      <w:r w:rsidR="00471BE7" w:rsidRPr="006C75EC">
        <w:rPr>
          <w:rFonts w:eastAsia="Calibri"/>
          <w:sz w:val="22"/>
          <w:szCs w:val="22"/>
        </w:rPr>
        <w:t xml:space="preserve">u anamnezi </w:t>
      </w:r>
      <w:r w:rsidR="002D22D2" w:rsidRPr="006C75EC">
        <w:rPr>
          <w:rFonts w:eastAsia="Calibri"/>
          <w:sz w:val="22"/>
          <w:szCs w:val="22"/>
        </w:rPr>
        <w:t xml:space="preserve">kao što </w:t>
      </w:r>
      <w:r w:rsidR="00471BE7" w:rsidRPr="006C75EC">
        <w:rPr>
          <w:rFonts w:eastAsia="Calibri"/>
          <w:sz w:val="22"/>
          <w:szCs w:val="22"/>
        </w:rPr>
        <w:t>je:</w:t>
      </w:r>
      <w:r w:rsidR="002D22D2" w:rsidRPr="006C75EC">
        <w:rPr>
          <w:rFonts w:eastAsia="Calibri"/>
          <w:sz w:val="22"/>
          <w:szCs w:val="22"/>
        </w:rPr>
        <w:t xml:space="preserve"> bronhospazam, napadi astme, akutni rinitis, urtikarija, nazalni polipi, angioneurotski edem ili druge reakcije alergijskog tipa na ketoprofen ili supstance sa sličnim mehanizmom </w:t>
      </w:r>
      <w:r w:rsidR="00471BE7" w:rsidRPr="006C75EC">
        <w:rPr>
          <w:rFonts w:eastAsia="Calibri"/>
          <w:sz w:val="22"/>
          <w:szCs w:val="22"/>
        </w:rPr>
        <w:t>dejstva</w:t>
      </w:r>
      <w:r w:rsidR="002D22D2" w:rsidRPr="006C75EC">
        <w:rPr>
          <w:rFonts w:eastAsia="Calibri"/>
          <w:sz w:val="22"/>
          <w:szCs w:val="22"/>
        </w:rPr>
        <w:t xml:space="preserve"> (npr. acetilsalicilna kiselina ili drugi NSAIL). Kod ovih pacijenata prim</w:t>
      </w:r>
      <w:r w:rsidR="00282B8B" w:rsidRPr="006C75EC">
        <w:rPr>
          <w:rFonts w:eastAsia="Calibri"/>
          <w:sz w:val="22"/>
          <w:szCs w:val="22"/>
        </w:rPr>
        <w:t>ij</w:t>
      </w:r>
      <w:r w:rsidR="002D22D2" w:rsidRPr="006C75EC">
        <w:rPr>
          <w:rFonts w:eastAsia="Calibri"/>
          <w:sz w:val="22"/>
          <w:szCs w:val="22"/>
        </w:rPr>
        <w:t>ećene su teške, r</w:t>
      </w:r>
      <w:r w:rsidR="00282B8B" w:rsidRPr="006C75EC">
        <w:rPr>
          <w:rFonts w:eastAsia="Calibri"/>
          <w:sz w:val="22"/>
          <w:szCs w:val="22"/>
        </w:rPr>
        <w:t>ij</w:t>
      </w:r>
      <w:r w:rsidR="002D22D2" w:rsidRPr="006C75EC">
        <w:rPr>
          <w:rFonts w:eastAsia="Calibri"/>
          <w:sz w:val="22"/>
          <w:szCs w:val="22"/>
        </w:rPr>
        <w:t>etko fatalne anafilaktičke reakcije (</w:t>
      </w:r>
      <w:r w:rsidR="00881DAA">
        <w:rPr>
          <w:rFonts w:eastAsia="Calibri"/>
          <w:sz w:val="22"/>
          <w:szCs w:val="22"/>
        </w:rPr>
        <w:t>pogledati dio</w:t>
      </w:r>
      <w:r w:rsidR="002D22D2" w:rsidRPr="006C75EC">
        <w:rPr>
          <w:rFonts w:eastAsia="Calibri"/>
          <w:sz w:val="22"/>
          <w:szCs w:val="22"/>
        </w:rPr>
        <w:t xml:space="preserve"> 4.8)</w:t>
      </w:r>
      <w:r w:rsidRPr="006C75EC">
        <w:rPr>
          <w:rFonts w:eastAsia="Calibri"/>
          <w:sz w:val="22"/>
          <w:szCs w:val="22"/>
        </w:rPr>
        <w:t>;</w:t>
      </w:r>
    </w:p>
    <w:p w14:paraId="1F451652" w14:textId="4D9CAE63" w:rsidR="002D22D2" w:rsidRPr="006C75EC" w:rsidRDefault="007075C5" w:rsidP="00D2565C">
      <w:pPr>
        <w:pStyle w:val="ListParagraph"/>
        <w:numPr>
          <w:ilvl w:val="0"/>
          <w:numId w:val="4"/>
        </w:numPr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 xml:space="preserve">pacijenti sa </w:t>
      </w:r>
      <w:r w:rsidR="005A2C84">
        <w:rPr>
          <w:rFonts w:eastAsia="Calibri"/>
          <w:sz w:val="22"/>
          <w:szCs w:val="22"/>
        </w:rPr>
        <w:t xml:space="preserve">prethodnom </w:t>
      </w:r>
      <w:r w:rsidRPr="006C75EC">
        <w:rPr>
          <w:rFonts w:eastAsia="Calibri"/>
          <w:sz w:val="22"/>
          <w:szCs w:val="22"/>
        </w:rPr>
        <w:t>bronhijalnom astmom;</w:t>
      </w:r>
    </w:p>
    <w:p w14:paraId="14055CF8" w14:textId="5ECFDB0E" w:rsidR="002D22D2" w:rsidRPr="006C75EC" w:rsidRDefault="007075C5" w:rsidP="00D2565C">
      <w:pPr>
        <w:pStyle w:val="ListParagraph"/>
        <w:numPr>
          <w:ilvl w:val="0"/>
          <w:numId w:val="4"/>
        </w:numPr>
        <w:ind w:right="-68"/>
        <w:jc w:val="both"/>
        <w:rPr>
          <w:sz w:val="22"/>
          <w:szCs w:val="22"/>
        </w:rPr>
      </w:pPr>
      <w:r w:rsidRPr="006C75EC">
        <w:rPr>
          <w:rFonts w:eastAsia="Calibri"/>
          <w:sz w:val="22"/>
          <w:szCs w:val="22"/>
        </w:rPr>
        <w:t>teška srčana insuficijencija;</w:t>
      </w:r>
    </w:p>
    <w:p w14:paraId="298067B8" w14:textId="7BBC4E6D" w:rsidR="00C81F07" w:rsidRPr="006C75EC" w:rsidRDefault="007075C5" w:rsidP="00D2565C">
      <w:pPr>
        <w:pStyle w:val="ListParagraph"/>
        <w:numPr>
          <w:ilvl w:val="0"/>
          <w:numId w:val="4"/>
        </w:numPr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>aktivni peptički ulkus/krvarenje, ili krvarenje/rekurentni peptički ulkus u anamnezi (dvije ili više različitih epizoda,</w:t>
      </w:r>
      <w:r w:rsidR="0044136B" w:rsidRPr="006C75EC">
        <w:rPr>
          <w:rFonts w:eastAsia="Calibri"/>
          <w:sz w:val="22"/>
          <w:szCs w:val="22"/>
        </w:rPr>
        <w:t xml:space="preserve"> manifestno</w:t>
      </w:r>
      <w:r w:rsidRPr="006C75EC">
        <w:rPr>
          <w:rFonts w:eastAsia="Calibri"/>
          <w:sz w:val="22"/>
          <w:szCs w:val="22"/>
        </w:rPr>
        <w:t xml:space="preserve"> krvarenj</w:t>
      </w:r>
      <w:r w:rsidR="0044136B" w:rsidRPr="006C75EC">
        <w:rPr>
          <w:rFonts w:eastAsia="Calibri"/>
          <w:sz w:val="22"/>
          <w:szCs w:val="22"/>
        </w:rPr>
        <w:t>e</w:t>
      </w:r>
      <w:r w:rsidRPr="006C75EC">
        <w:rPr>
          <w:rFonts w:eastAsia="Calibri"/>
          <w:sz w:val="22"/>
          <w:szCs w:val="22"/>
        </w:rPr>
        <w:t xml:space="preserve"> ili ulceracije);</w:t>
      </w:r>
    </w:p>
    <w:p w14:paraId="3E17B55E" w14:textId="0219A237" w:rsidR="00C81F07" w:rsidRPr="006C75EC" w:rsidRDefault="007075C5" w:rsidP="00D2565C">
      <w:pPr>
        <w:pStyle w:val="ListParagraph"/>
        <w:numPr>
          <w:ilvl w:val="0"/>
          <w:numId w:val="4"/>
        </w:numPr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 xml:space="preserve">gastrointestinalno </w:t>
      </w:r>
      <w:r w:rsidR="00C81F07" w:rsidRPr="006C75EC">
        <w:rPr>
          <w:rFonts w:eastAsia="Calibri"/>
          <w:sz w:val="22"/>
          <w:szCs w:val="22"/>
        </w:rPr>
        <w:t>krvarenje, ulceracija</w:t>
      </w:r>
      <w:r w:rsidR="0044136B" w:rsidRPr="006C75EC">
        <w:rPr>
          <w:rFonts w:eastAsia="Calibri"/>
          <w:sz w:val="22"/>
          <w:szCs w:val="22"/>
        </w:rPr>
        <w:t>,</w:t>
      </w:r>
      <w:r w:rsidR="00C81F07" w:rsidRPr="006C75EC">
        <w:rPr>
          <w:rFonts w:eastAsia="Calibri"/>
          <w:sz w:val="22"/>
          <w:szCs w:val="22"/>
        </w:rPr>
        <w:t xml:space="preserve"> perforacija ili hronična dispepsija u anamnezi</w:t>
      </w:r>
      <w:r w:rsidRPr="006C75EC">
        <w:rPr>
          <w:rFonts w:eastAsia="Calibri"/>
          <w:sz w:val="22"/>
          <w:szCs w:val="22"/>
        </w:rPr>
        <w:t>;</w:t>
      </w:r>
    </w:p>
    <w:p w14:paraId="2E95A17B" w14:textId="7B93B7B2" w:rsidR="00C81F07" w:rsidRPr="006C75EC" w:rsidRDefault="007075C5" w:rsidP="00D2565C">
      <w:pPr>
        <w:pStyle w:val="ListParagraph"/>
        <w:numPr>
          <w:ilvl w:val="0"/>
          <w:numId w:val="4"/>
        </w:numPr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>g</w:t>
      </w:r>
      <w:r w:rsidR="00C81F07" w:rsidRPr="006C75EC">
        <w:rPr>
          <w:rFonts w:eastAsia="Calibri"/>
          <w:sz w:val="22"/>
          <w:szCs w:val="22"/>
        </w:rPr>
        <w:t>astrointestinalno krvarenje ili perforacija u anam</w:t>
      </w:r>
      <w:r w:rsidR="0044136B" w:rsidRPr="006C75EC">
        <w:rPr>
          <w:rFonts w:eastAsia="Calibri"/>
          <w:sz w:val="22"/>
          <w:szCs w:val="22"/>
        </w:rPr>
        <w:t>n</w:t>
      </w:r>
      <w:r w:rsidR="00C81F07" w:rsidRPr="006C75EC">
        <w:rPr>
          <w:rFonts w:eastAsia="Calibri"/>
          <w:sz w:val="22"/>
          <w:szCs w:val="22"/>
        </w:rPr>
        <w:t>ezi kao rezultat prethodne terapije NSAIL</w:t>
      </w:r>
      <w:r w:rsidR="0044136B" w:rsidRPr="006C75EC">
        <w:rPr>
          <w:rFonts w:eastAsia="Calibri"/>
          <w:sz w:val="22"/>
          <w:szCs w:val="22"/>
        </w:rPr>
        <w:t>-ima;</w:t>
      </w:r>
    </w:p>
    <w:p w14:paraId="3D60A65A" w14:textId="12681B14" w:rsidR="00C81F07" w:rsidRPr="006C75EC" w:rsidRDefault="007075C5" w:rsidP="00D2565C">
      <w:pPr>
        <w:pStyle w:val="ListParagraph"/>
        <w:numPr>
          <w:ilvl w:val="0"/>
          <w:numId w:val="4"/>
        </w:numPr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>leukopenija i trombocitopenija</w:t>
      </w:r>
      <w:r w:rsidR="0044136B" w:rsidRPr="006C75EC">
        <w:rPr>
          <w:rFonts w:eastAsia="Calibri"/>
          <w:sz w:val="22"/>
          <w:szCs w:val="22"/>
        </w:rPr>
        <w:t>;</w:t>
      </w:r>
    </w:p>
    <w:p w14:paraId="43317E92" w14:textId="035794F6" w:rsidR="00C81F07" w:rsidRPr="006C75EC" w:rsidRDefault="00C81F07" w:rsidP="00D2565C">
      <w:pPr>
        <w:pStyle w:val="ListParagraph"/>
        <w:numPr>
          <w:ilvl w:val="0"/>
          <w:numId w:val="4"/>
        </w:numPr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>Kronova bolest ili ulcerozni kolitis</w:t>
      </w:r>
      <w:r w:rsidR="00417BB3" w:rsidRPr="006C75EC">
        <w:rPr>
          <w:rFonts w:eastAsia="Calibri"/>
          <w:sz w:val="22"/>
          <w:szCs w:val="22"/>
        </w:rPr>
        <w:t>;</w:t>
      </w:r>
    </w:p>
    <w:p w14:paraId="5CD172DD" w14:textId="79DC2554" w:rsidR="00C81F07" w:rsidRDefault="007075C5" w:rsidP="00D2565C">
      <w:pPr>
        <w:pStyle w:val="ListParagraph"/>
        <w:numPr>
          <w:ilvl w:val="0"/>
          <w:numId w:val="4"/>
        </w:numPr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>g</w:t>
      </w:r>
      <w:r w:rsidR="00C81F07" w:rsidRPr="006C75EC">
        <w:rPr>
          <w:rFonts w:eastAsia="Calibri"/>
          <w:sz w:val="22"/>
          <w:szCs w:val="22"/>
        </w:rPr>
        <w:t>astritis</w:t>
      </w:r>
      <w:r w:rsidR="0044136B" w:rsidRPr="006C75EC">
        <w:rPr>
          <w:rFonts w:eastAsia="Calibri"/>
          <w:sz w:val="22"/>
          <w:szCs w:val="22"/>
        </w:rPr>
        <w:t>;</w:t>
      </w:r>
    </w:p>
    <w:p w14:paraId="3842B172" w14:textId="51FA5EF5" w:rsidR="00417BB3" w:rsidRPr="006C75EC" w:rsidRDefault="00417BB3" w:rsidP="00D2565C">
      <w:pPr>
        <w:pStyle w:val="ListParagraph"/>
        <w:numPr>
          <w:ilvl w:val="0"/>
          <w:numId w:val="4"/>
        </w:numPr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>teška bubrežna insuficijencija;</w:t>
      </w:r>
    </w:p>
    <w:p w14:paraId="6A308198" w14:textId="5F46BCD0" w:rsidR="00C81F07" w:rsidRPr="006C75EC" w:rsidRDefault="007075C5" w:rsidP="00D2565C">
      <w:pPr>
        <w:pStyle w:val="ListParagraph"/>
        <w:numPr>
          <w:ilvl w:val="0"/>
          <w:numId w:val="4"/>
        </w:numPr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 xml:space="preserve">teška </w:t>
      </w:r>
      <w:r w:rsidRPr="006C75EC">
        <w:rPr>
          <w:sz w:val="22"/>
          <w:szCs w:val="22"/>
        </w:rPr>
        <w:t>hepatička insuficijencija</w:t>
      </w:r>
      <w:r w:rsidRPr="006C75EC">
        <w:rPr>
          <w:rFonts w:eastAsia="Calibri"/>
          <w:sz w:val="22"/>
          <w:szCs w:val="22"/>
        </w:rPr>
        <w:t xml:space="preserve"> (ciroza jetre, teški hepatitis)</w:t>
      </w:r>
      <w:r w:rsidR="0044136B" w:rsidRPr="006C75EC">
        <w:rPr>
          <w:rFonts w:eastAsia="Calibri"/>
          <w:sz w:val="22"/>
          <w:szCs w:val="22"/>
        </w:rPr>
        <w:t>;</w:t>
      </w:r>
    </w:p>
    <w:p w14:paraId="61E880FA" w14:textId="2A10E178" w:rsidR="00C81F07" w:rsidRDefault="007075C5" w:rsidP="00D2565C">
      <w:pPr>
        <w:pStyle w:val="ListParagraph"/>
        <w:numPr>
          <w:ilvl w:val="0"/>
          <w:numId w:val="4"/>
        </w:numPr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>hemoragična dijateza</w:t>
      </w:r>
      <w:r w:rsidR="0096655C">
        <w:rPr>
          <w:rFonts w:eastAsia="Calibri"/>
          <w:sz w:val="22"/>
          <w:szCs w:val="22"/>
        </w:rPr>
        <w:t xml:space="preserve"> </w:t>
      </w:r>
      <w:r w:rsidRPr="006C75EC">
        <w:rPr>
          <w:rFonts w:eastAsia="Calibri"/>
          <w:sz w:val="22"/>
          <w:szCs w:val="22"/>
        </w:rPr>
        <w:t xml:space="preserve">i </w:t>
      </w:r>
      <w:r w:rsidR="0091278C">
        <w:rPr>
          <w:rFonts w:eastAsia="Calibri"/>
          <w:sz w:val="22"/>
          <w:szCs w:val="22"/>
        </w:rPr>
        <w:t>ostali</w:t>
      </w:r>
      <w:r w:rsidRPr="006C75EC">
        <w:rPr>
          <w:rFonts w:eastAsia="Calibri"/>
          <w:sz w:val="22"/>
          <w:szCs w:val="22"/>
        </w:rPr>
        <w:t xml:space="preserve"> poremećaji koagulacije, </w:t>
      </w:r>
      <w:r w:rsidR="005A2C84">
        <w:rPr>
          <w:rFonts w:eastAsia="Calibri"/>
          <w:sz w:val="22"/>
          <w:szCs w:val="22"/>
        </w:rPr>
        <w:t>osobe sa hemostatskim poremećajima;</w:t>
      </w:r>
      <w:r w:rsidRPr="006C75EC">
        <w:rPr>
          <w:rFonts w:eastAsia="Calibri"/>
          <w:sz w:val="22"/>
          <w:szCs w:val="22"/>
        </w:rPr>
        <w:t xml:space="preserve"> </w:t>
      </w:r>
    </w:p>
    <w:p w14:paraId="1CD34F2D" w14:textId="40E01009" w:rsidR="005A2C84" w:rsidRDefault="005A2C84" w:rsidP="00D2565C">
      <w:pPr>
        <w:pStyle w:val="ListParagraph"/>
        <w:numPr>
          <w:ilvl w:val="0"/>
          <w:numId w:val="4"/>
        </w:numPr>
        <w:ind w:right="-68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na trenutnoj intenzivnoj terapiji diureticima;</w:t>
      </w:r>
    </w:p>
    <w:p w14:paraId="2AB69AB3" w14:textId="10B642B1" w:rsidR="008F193E" w:rsidRPr="006C75EC" w:rsidRDefault="0021470F" w:rsidP="00D2565C">
      <w:pPr>
        <w:pStyle w:val="ListParagraph"/>
        <w:numPr>
          <w:ilvl w:val="0"/>
          <w:numId w:val="4"/>
        </w:numPr>
        <w:ind w:right="-68"/>
        <w:jc w:val="both"/>
        <w:rPr>
          <w:rFonts w:eastAsia="Calibri"/>
          <w:sz w:val="22"/>
          <w:szCs w:val="22"/>
        </w:rPr>
      </w:pPr>
      <w:r w:rsidRPr="0021470F">
        <w:rPr>
          <w:rFonts w:eastAsia="Calibri"/>
          <w:sz w:val="22"/>
          <w:szCs w:val="22"/>
        </w:rPr>
        <w:t>d</w:t>
      </w:r>
      <w:r w:rsidR="00881DAA">
        <w:rPr>
          <w:rFonts w:eastAsia="Calibri"/>
          <w:sz w:val="22"/>
          <w:szCs w:val="22"/>
        </w:rPr>
        <w:t>j</w:t>
      </w:r>
      <w:r w:rsidRPr="0021470F">
        <w:rPr>
          <w:rFonts w:eastAsia="Calibri"/>
          <w:sz w:val="22"/>
          <w:szCs w:val="22"/>
        </w:rPr>
        <w:t>eca mlađa od 16 godina</w:t>
      </w:r>
      <w:r>
        <w:rPr>
          <w:rFonts w:eastAsia="Calibri"/>
          <w:sz w:val="22"/>
          <w:szCs w:val="22"/>
        </w:rPr>
        <w:t>;</w:t>
      </w:r>
    </w:p>
    <w:p w14:paraId="2FA8F214" w14:textId="6E824A41" w:rsidR="00C81F07" w:rsidRPr="006C75EC" w:rsidRDefault="007075C5" w:rsidP="00D2565C">
      <w:pPr>
        <w:pStyle w:val="ListParagraph"/>
        <w:numPr>
          <w:ilvl w:val="0"/>
          <w:numId w:val="4"/>
        </w:numPr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>treći trimestar trudnoće</w:t>
      </w:r>
      <w:r w:rsidR="00282AF9">
        <w:rPr>
          <w:rFonts w:eastAsia="Calibri"/>
          <w:sz w:val="22"/>
          <w:szCs w:val="22"/>
        </w:rPr>
        <w:t>.</w:t>
      </w:r>
    </w:p>
    <w:p w14:paraId="370F7731" w14:textId="77777777" w:rsidR="001E07EC" w:rsidRPr="006C75EC" w:rsidRDefault="001E07EC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0F09D164" w14:textId="4342B2F2" w:rsidR="2780F75B" w:rsidRPr="006C75EC" w:rsidRDefault="00F71BFD" w:rsidP="00F71BFD">
      <w:pPr>
        <w:ind w:right="-68"/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4.4 </w:t>
      </w:r>
      <w:r w:rsidR="00B67F2C" w:rsidRPr="006C75EC">
        <w:rPr>
          <w:b/>
          <w:bCs/>
          <w:sz w:val="22"/>
          <w:szCs w:val="22"/>
        </w:rPr>
        <w:t>Posebna upozorenja i m</w:t>
      </w:r>
      <w:r w:rsidR="00B62755" w:rsidRPr="006C75EC">
        <w:rPr>
          <w:b/>
          <w:bCs/>
          <w:sz w:val="22"/>
          <w:szCs w:val="22"/>
        </w:rPr>
        <w:t>j</w:t>
      </w:r>
      <w:r w:rsidR="00B67F2C" w:rsidRPr="006C75EC">
        <w:rPr>
          <w:b/>
          <w:bCs/>
          <w:sz w:val="22"/>
          <w:szCs w:val="22"/>
        </w:rPr>
        <w:t xml:space="preserve">ere opreza pri upotrebi </w:t>
      </w:r>
      <w:r w:rsidR="00D102BF" w:rsidRPr="006C75EC">
        <w:rPr>
          <w:b/>
          <w:bCs/>
          <w:sz w:val="22"/>
          <w:szCs w:val="22"/>
        </w:rPr>
        <w:t>lijek</w:t>
      </w:r>
      <w:r w:rsidR="00B67F2C" w:rsidRPr="006C75EC">
        <w:rPr>
          <w:b/>
          <w:bCs/>
          <w:sz w:val="22"/>
          <w:szCs w:val="22"/>
        </w:rPr>
        <w:t>a</w:t>
      </w:r>
      <w:r w:rsidR="00B67F2C" w:rsidRPr="006C75EC">
        <w:rPr>
          <w:sz w:val="22"/>
          <w:szCs w:val="22"/>
        </w:rPr>
        <w:t xml:space="preserve"> </w:t>
      </w:r>
    </w:p>
    <w:p w14:paraId="06B2A952" w14:textId="77777777" w:rsidR="00990B55" w:rsidRPr="006C75EC" w:rsidRDefault="00990B55" w:rsidP="00D2565C">
      <w:pPr>
        <w:tabs>
          <w:tab w:val="left" w:pos="828"/>
        </w:tabs>
        <w:ind w:right="-68"/>
        <w:jc w:val="both"/>
        <w:rPr>
          <w:sz w:val="22"/>
          <w:szCs w:val="22"/>
          <w:u w:val="single"/>
        </w:rPr>
      </w:pPr>
    </w:p>
    <w:p w14:paraId="0F1666EA" w14:textId="48B46EAB" w:rsidR="2780F75B" w:rsidRPr="004161A2" w:rsidRDefault="00C81F07" w:rsidP="00D2565C">
      <w:pPr>
        <w:ind w:right="-68"/>
        <w:jc w:val="both"/>
        <w:rPr>
          <w:b/>
          <w:bCs/>
          <w:sz w:val="22"/>
          <w:szCs w:val="22"/>
        </w:rPr>
      </w:pPr>
      <w:r w:rsidRPr="004161A2">
        <w:rPr>
          <w:b/>
          <w:bCs/>
          <w:sz w:val="22"/>
          <w:szCs w:val="22"/>
          <w:u w:val="single"/>
        </w:rPr>
        <w:t>Upozorenja</w:t>
      </w:r>
    </w:p>
    <w:p w14:paraId="1C3C2CFE" w14:textId="3F6D01E4" w:rsidR="00D01C09" w:rsidRPr="0091278C" w:rsidRDefault="00D01C09" w:rsidP="00D2565C">
      <w:pPr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>Neželjena dejstva mogu se minimizira</w:t>
      </w:r>
      <w:r w:rsidR="00115A9D" w:rsidRPr="006C75EC">
        <w:rPr>
          <w:rFonts w:eastAsia="Calibri"/>
          <w:sz w:val="22"/>
          <w:szCs w:val="22"/>
        </w:rPr>
        <w:t>ti</w:t>
      </w:r>
      <w:r w:rsidRPr="006C75EC">
        <w:rPr>
          <w:rFonts w:eastAsia="Calibri"/>
          <w:sz w:val="22"/>
          <w:szCs w:val="22"/>
        </w:rPr>
        <w:t xml:space="preserve"> upotrebom najniže efikasne doze u najkraćem mogućem trajanju l</w:t>
      </w:r>
      <w:r w:rsidR="00B62755" w:rsidRPr="006C75EC">
        <w:rPr>
          <w:rFonts w:eastAsia="Calibri"/>
          <w:sz w:val="22"/>
          <w:szCs w:val="22"/>
        </w:rPr>
        <w:t>ij</w:t>
      </w:r>
      <w:r w:rsidRPr="006C75EC">
        <w:rPr>
          <w:rFonts w:eastAsia="Calibri"/>
          <w:sz w:val="22"/>
          <w:szCs w:val="22"/>
        </w:rPr>
        <w:t>ečenja koje je potrebno za kontrolu simptoma (</w:t>
      </w:r>
      <w:r w:rsidR="00881DAA">
        <w:rPr>
          <w:rFonts w:eastAsia="Calibri"/>
          <w:sz w:val="22"/>
          <w:szCs w:val="22"/>
        </w:rPr>
        <w:t>pogledati dio</w:t>
      </w:r>
      <w:r w:rsidRPr="006C75EC">
        <w:rPr>
          <w:rFonts w:eastAsia="Calibri"/>
          <w:sz w:val="22"/>
          <w:szCs w:val="22"/>
        </w:rPr>
        <w:t xml:space="preserve"> 4.2</w:t>
      </w:r>
      <w:r w:rsidR="0096655C">
        <w:rPr>
          <w:rFonts w:eastAsia="Calibri"/>
          <w:sz w:val="22"/>
          <w:szCs w:val="22"/>
        </w:rPr>
        <w:t xml:space="preserve"> kao i </w:t>
      </w:r>
      <w:r w:rsidRPr="00715F33">
        <w:rPr>
          <w:rFonts w:eastAsia="Calibri"/>
          <w:sz w:val="22"/>
          <w:szCs w:val="22"/>
        </w:rPr>
        <w:t>gastrointestinaln</w:t>
      </w:r>
      <w:r w:rsidR="0096655C" w:rsidRPr="00CC4B2B">
        <w:rPr>
          <w:rFonts w:eastAsia="Calibri"/>
          <w:sz w:val="22"/>
          <w:szCs w:val="22"/>
        </w:rPr>
        <w:t>e</w:t>
      </w:r>
      <w:r w:rsidRPr="00067F85">
        <w:rPr>
          <w:rFonts w:eastAsia="Calibri"/>
          <w:sz w:val="22"/>
          <w:szCs w:val="22"/>
        </w:rPr>
        <w:t xml:space="preserve"> i kardiovaskularn</w:t>
      </w:r>
      <w:r w:rsidR="0096655C" w:rsidRPr="00CC4B2B">
        <w:rPr>
          <w:rFonts w:eastAsia="Calibri"/>
          <w:sz w:val="22"/>
          <w:szCs w:val="22"/>
        </w:rPr>
        <w:t>e rizike u nastavku</w:t>
      </w:r>
      <w:r w:rsidRPr="00067F85">
        <w:rPr>
          <w:rFonts w:eastAsia="Calibri"/>
          <w:sz w:val="22"/>
          <w:szCs w:val="22"/>
        </w:rPr>
        <w:t>).</w:t>
      </w:r>
    </w:p>
    <w:p w14:paraId="4B96C25F" w14:textId="77777777" w:rsidR="00D01C09" w:rsidRPr="006C75EC" w:rsidRDefault="00D01C09" w:rsidP="00D2565C">
      <w:pPr>
        <w:ind w:right="-68"/>
        <w:jc w:val="both"/>
        <w:rPr>
          <w:rFonts w:eastAsia="Calibri"/>
          <w:sz w:val="22"/>
          <w:szCs w:val="22"/>
        </w:rPr>
      </w:pPr>
    </w:p>
    <w:p w14:paraId="18E9B381" w14:textId="10994E62" w:rsidR="00AF18C0" w:rsidRDefault="00115A9D" w:rsidP="00D2565C">
      <w:pPr>
        <w:ind w:right="-68"/>
        <w:jc w:val="both"/>
        <w:rPr>
          <w:sz w:val="22"/>
          <w:szCs w:val="22"/>
        </w:rPr>
      </w:pPr>
      <w:r w:rsidRPr="006C75EC">
        <w:rPr>
          <w:rFonts w:eastAsia="Calibri"/>
          <w:sz w:val="22"/>
          <w:szCs w:val="22"/>
        </w:rPr>
        <w:t>Korišćenje</w:t>
      </w:r>
      <w:r w:rsidR="00D01C09" w:rsidRPr="006C75EC">
        <w:rPr>
          <w:rFonts w:eastAsia="Calibri"/>
          <w:sz w:val="22"/>
          <w:szCs w:val="22"/>
        </w:rPr>
        <w:t xml:space="preserve"> </w:t>
      </w:r>
      <w:r w:rsidR="00B62755" w:rsidRPr="006C75EC">
        <w:rPr>
          <w:rFonts w:eastAsia="Calibri"/>
          <w:sz w:val="22"/>
          <w:szCs w:val="22"/>
        </w:rPr>
        <w:t>ketoprofen</w:t>
      </w:r>
      <w:r w:rsidR="009D04B1" w:rsidRPr="006C75EC">
        <w:rPr>
          <w:rFonts w:eastAsia="Calibri"/>
          <w:sz w:val="22"/>
          <w:szCs w:val="22"/>
        </w:rPr>
        <w:t>a</w:t>
      </w:r>
      <w:r w:rsidR="00D01C09" w:rsidRPr="006C75EC">
        <w:rPr>
          <w:rFonts w:eastAsia="Calibri"/>
          <w:sz w:val="22"/>
          <w:szCs w:val="22"/>
        </w:rPr>
        <w:t xml:space="preserve"> </w:t>
      </w:r>
      <w:r w:rsidRPr="006C75EC">
        <w:rPr>
          <w:rFonts w:eastAsia="Calibri"/>
          <w:sz w:val="22"/>
          <w:szCs w:val="22"/>
        </w:rPr>
        <w:t xml:space="preserve">istovremeno </w:t>
      </w:r>
      <w:r w:rsidR="00D01C09" w:rsidRPr="006C75EC">
        <w:rPr>
          <w:rFonts w:eastAsia="Calibri"/>
          <w:sz w:val="22"/>
          <w:szCs w:val="22"/>
        </w:rPr>
        <w:t>sa drugim NSAIL</w:t>
      </w:r>
      <w:r w:rsidR="00A717C2" w:rsidRPr="006C75EC">
        <w:rPr>
          <w:rFonts w:eastAsia="Calibri"/>
          <w:sz w:val="22"/>
          <w:szCs w:val="22"/>
        </w:rPr>
        <w:t>-ima</w:t>
      </w:r>
      <w:r w:rsidR="00D01C09" w:rsidRPr="006C75EC">
        <w:rPr>
          <w:rFonts w:eastAsia="Calibri"/>
          <w:sz w:val="22"/>
          <w:szCs w:val="22"/>
        </w:rPr>
        <w:t>, uključujući se</w:t>
      </w:r>
      <w:r w:rsidR="00D102BF" w:rsidRPr="006C75EC">
        <w:rPr>
          <w:rFonts w:eastAsia="Calibri"/>
          <w:sz w:val="22"/>
          <w:szCs w:val="22"/>
        </w:rPr>
        <w:t>lek</w:t>
      </w:r>
      <w:r w:rsidR="00D01C09" w:rsidRPr="006C75EC">
        <w:rPr>
          <w:rFonts w:eastAsia="Calibri"/>
          <w:sz w:val="22"/>
          <w:szCs w:val="22"/>
        </w:rPr>
        <w:t>tivne inhibitore ciklooksigenaze-2</w:t>
      </w:r>
      <w:r w:rsidRPr="006C75EC">
        <w:rPr>
          <w:rFonts w:eastAsia="Calibri"/>
          <w:sz w:val="22"/>
          <w:szCs w:val="22"/>
        </w:rPr>
        <w:t>, treba da se izb</w:t>
      </w:r>
      <w:r w:rsidR="00B62755" w:rsidRPr="006C75EC">
        <w:rPr>
          <w:rFonts w:eastAsia="Calibri"/>
          <w:sz w:val="22"/>
          <w:szCs w:val="22"/>
        </w:rPr>
        <w:t>j</w:t>
      </w:r>
      <w:r w:rsidRPr="006C75EC">
        <w:rPr>
          <w:rFonts w:eastAsia="Calibri"/>
          <w:sz w:val="22"/>
          <w:szCs w:val="22"/>
        </w:rPr>
        <w:t>egava</w:t>
      </w:r>
      <w:r w:rsidR="45FBB6E1" w:rsidRPr="006C75EC">
        <w:rPr>
          <w:sz w:val="22"/>
          <w:szCs w:val="22"/>
        </w:rPr>
        <w:t>.</w:t>
      </w:r>
    </w:p>
    <w:p w14:paraId="0F20DF4B" w14:textId="77777777" w:rsidR="00260609" w:rsidRPr="006C75EC" w:rsidRDefault="00260609" w:rsidP="00D2565C">
      <w:pPr>
        <w:ind w:right="-68"/>
        <w:jc w:val="both"/>
        <w:rPr>
          <w:rFonts w:eastAsia="Calibri"/>
          <w:sz w:val="22"/>
          <w:szCs w:val="22"/>
        </w:rPr>
      </w:pPr>
    </w:p>
    <w:p w14:paraId="370F1428" w14:textId="072B84F0" w:rsidR="0028457F" w:rsidRPr="00B07DD6" w:rsidRDefault="0028457F" w:rsidP="00CC4B2B">
      <w:pPr>
        <w:jc w:val="both"/>
        <w:rPr>
          <w:b/>
          <w:bCs/>
          <w:sz w:val="22"/>
          <w:szCs w:val="22"/>
        </w:rPr>
      </w:pPr>
      <w:r w:rsidRPr="00B07DD6">
        <w:rPr>
          <w:b/>
          <w:bCs/>
          <w:sz w:val="22"/>
          <w:szCs w:val="22"/>
        </w:rPr>
        <w:lastRenderedPageBreak/>
        <w:t>Gastrointestinalna hemoragija, ulceracija i perforacija</w:t>
      </w:r>
    </w:p>
    <w:p w14:paraId="5885049E" w14:textId="4B2FFBF6" w:rsidR="0028457F" w:rsidRPr="0028457F" w:rsidRDefault="0028457F" w:rsidP="00CC4B2B">
      <w:pPr>
        <w:jc w:val="both"/>
        <w:rPr>
          <w:sz w:val="22"/>
          <w:szCs w:val="22"/>
        </w:rPr>
      </w:pPr>
      <w:r w:rsidRPr="0028457F">
        <w:rPr>
          <w:sz w:val="22"/>
          <w:szCs w:val="22"/>
        </w:rPr>
        <w:t>Za vr</w:t>
      </w:r>
      <w:r w:rsidR="00881DAA">
        <w:rPr>
          <w:sz w:val="22"/>
          <w:szCs w:val="22"/>
        </w:rPr>
        <w:t>ij</w:t>
      </w:r>
      <w:r w:rsidRPr="0028457F">
        <w:rPr>
          <w:sz w:val="22"/>
          <w:szCs w:val="22"/>
        </w:rPr>
        <w:t>eme l</w:t>
      </w:r>
      <w:r w:rsidR="00881DAA">
        <w:rPr>
          <w:sz w:val="22"/>
          <w:szCs w:val="22"/>
        </w:rPr>
        <w:t>ij</w:t>
      </w:r>
      <w:r w:rsidRPr="0028457F">
        <w:rPr>
          <w:sz w:val="22"/>
          <w:szCs w:val="22"/>
        </w:rPr>
        <w:t>ečenja svim l</w:t>
      </w:r>
      <w:r w:rsidR="00881DAA">
        <w:rPr>
          <w:sz w:val="22"/>
          <w:szCs w:val="22"/>
        </w:rPr>
        <w:t>j</w:t>
      </w:r>
      <w:r w:rsidRPr="0028457F">
        <w:rPr>
          <w:sz w:val="22"/>
          <w:szCs w:val="22"/>
        </w:rPr>
        <w:t>ekovima iz grupe NSAIL, u bilo kom trenutku l</w:t>
      </w:r>
      <w:r w:rsidR="00881DAA">
        <w:rPr>
          <w:sz w:val="22"/>
          <w:szCs w:val="22"/>
        </w:rPr>
        <w:t>ij</w:t>
      </w:r>
      <w:r w:rsidRPr="0028457F">
        <w:rPr>
          <w:sz w:val="22"/>
          <w:szCs w:val="22"/>
        </w:rPr>
        <w:t>ečenja, sa ili bez upozoravajućih simptoma ili ozbiljnih gastrointestinalnih događaja u anamnezi, prijavljivani su slučajevi gastrointestinalne hemoragije, ulceracije i perforacije, sa mogućim smrtnim ishodom.</w:t>
      </w:r>
    </w:p>
    <w:p w14:paraId="020F032F" w14:textId="77777777" w:rsidR="0028457F" w:rsidRPr="0028457F" w:rsidRDefault="0028457F" w:rsidP="00CC4B2B">
      <w:pPr>
        <w:jc w:val="both"/>
        <w:rPr>
          <w:sz w:val="22"/>
          <w:szCs w:val="22"/>
        </w:rPr>
      </w:pPr>
    </w:p>
    <w:p w14:paraId="14F9D720" w14:textId="1934DAD0" w:rsidR="0028457F" w:rsidRPr="0028457F" w:rsidRDefault="0028457F" w:rsidP="00CC4B2B">
      <w:pPr>
        <w:jc w:val="both"/>
        <w:rPr>
          <w:sz w:val="22"/>
          <w:szCs w:val="22"/>
        </w:rPr>
      </w:pPr>
      <w:r w:rsidRPr="0028457F">
        <w:rPr>
          <w:sz w:val="22"/>
          <w:szCs w:val="22"/>
          <w:lang w:val="sr-Latn-RS"/>
        </w:rPr>
        <w:t>Kod starijih osoba i kod pacijenata sa ulkusom u anamnezi, naročito ako je došlo do komplikacija u vidu krvarenja ili perforacije (</w:t>
      </w:r>
      <w:r w:rsidR="00881DAA">
        <w:rPr>
          <w:sz w:val="22"/>
          <w:szCs w:val="22"/>
          <w:lang w:val="sr-Latn-RS"/>
        </w:rPr>
        <w:t>pogledati dio</w:t>
      </w:r>
      <w:r w:rsidRPr="0028457F">
        <w:rPr>
          <w:sz w:val="22"/>
          <w:szCs w:val="22"/>
          <w:lang w:val="sr-Latn-RS"/>
        </w:rPr>
        <w:t xml:space="preserve"> 4.3)</w:t>
      </w:r>
      <w:r w:rsidRPr="0028457F">
        <w:rPr>
          <w:sz w:val="22"/>
          <w:szCs w:val="22"/>
        </w:rPr>
        <w:t xml:space="preserve">, rizik od pojave gastrointestinalnog krvarenja, ulceracije ili perforacije veći je što je veća doza NSAIL. Terapiju kod ovih pacijenata treba započeti najmanjom mogućom dozom. </w:t>
      </w:r>
    </w:p>
    <w:p w14:paraId="4FBEB12E" w14:textId="79969B35" w:rsidR="0028457F" w:rsidRPr="0028457F" w:rsidRDefault="0028457F" w:rsidP="00CC4B2B">
      <w:pPr>
        <w:jc w:val="both"/>
        <w:rPr>
          <w:sz w:val="22"/>
          <w:szCs w:val="22"/>
        </w:rPr>
      </w:pPr>
      <w:r w:rsidRPr="0028457F">
        <w:rPr>
          <w:sz w:val="22"/>
          <w:szCs w:val="22"/>
        </w:rPr>
        <w:t>Treba razmotriti kombinovanu terapiju uz prim</w:t>
      </w:r>
      <w:r w:rsidR="00DC5F42">
        <w:rPr>
          <w:sz w:val="22"/>
          <w:szCs w:val="22"/>
        </w:rPr>
        <w:t>j</w:t>
      </w:r>
      <w:r w:rsidRPr="0028457F">
        <w:rPr>
          <w:sz w:val="22"/>
          <w:szCs w:val="22"/>
        </w:rPr>
        <w:t>enu protektivnih l</w:t>
      </w:r>
      <w:r w:rsidR="00881DAA">
        <w:rPr>
          <w:sz w:val="22"/>
          <w:szCs w:val="22"/>
        </w:rPr>
        <w:t>j</w:t>
      </w:r>
      <w:r w:rsidRPr="0028457F">
        <w:rPr>
          <w:sz w:val="22"/>
          <w:szCs w:val="22"/>
        </w:rPr>
        <w:t>ekova (npr. misoprostola ili inhibitora protonske pumpe) kod ovih pacijenata, kao i kod pacijenata koji uzimaju niske doze acetilsalicilne kiseline ili druge l</w:t>
      </w:r>
      <w:r w:rsidR="00DC5F42">
        <w:rPr>
          <w:sz w:val="22"/>
          <w:szCs w:val="22"/>
        </w:rPr>
        <w:t>j</w:t>
      </w:r>
      <w:r w:rsidRPr="0028457F">
        <w:rPr>
          <w:sz w:val="22"/>
          <w:szCs w:val="22"/>
        </w:rPr>
        <w:t>ekove koji mogu da povećaju rizik od gastrointestinalnih događaja (</w:t>
      </w:r>
      <w:r w:rsidR="00881DAA">
        <w:rPr>
          <w:sz w:val="22"/>
          <w:szCs w:val="22"/>
        </w:rPr>
        <w:t xml:space="preserve">pogledati </w:t>
      </w:r>
      <w:r w:rsidRPr="0028457F">
        <w:rPr>
          <w:sz w:val="22"/>
          <w:szCs w:val="22"/>
        </w:rPr>
        <w:t xml:space="preserve">nastavak teksta ispod i </w:t>
      </w:r>
      <w:r w:rsidR="00881DAA">
        <w:rPr>
          <w:sz w:val="22"/>
          <w:szCs w:val="22"/>
        </w:rPr>
        <w:t xml:space="preserve">dio </w:t>
      </w:r>
      <w:r w:rsidRPr="0028457F">
        <w:rPr>
          <w:sz w:val="22"/>
          <w:szCs w:val="22"/>
        </w:rPr>
        <w:t xml:space="preserve">4.5). </w:t>
      </w:r>
    </w:p>
    <w:p w14:paraId="61A01849" w14:textId="77777777" w:rsidR="0028457F" w:rsidRPr="0028457F" w:rsidRDefault="0028457F" w:rsidP="00CC4B2B">
      <w:pPr>
        <w:jc w:val="both"/>
        <w:rPr>
          <w:sz w:val="22"/>
          <w:szCs w:val="22"/>
        </w:rPr>
      </w:pPr>
    </w:p>
    <w:p w14:paraId="55D09BE8" w14:textId="113BBCA0" w:rsidR="0028457F" w:rsidRPr="0028457F" w:rsidRDefault="0028457F" w:rsidP="00CC4B2B">
      <w:pPr>
        <w:jc w:val="both"/>
        <w:rPr>
          <w:sz w:val="22"/>
          <w:szCs w:val="22"/>
        </w:rPr>
      </w:pPr>
      <w:r w:rsidRPr="0028457F">
        <w:rPr>
          <w:sz w:val="22"/>
          <w:szCs w:val="22"/>
        </w:rPr>
        <w:t>Pacijente sa anamnezom gastrointestinalne toksičnosti, a naročito starije pacijente, treba upozoriti da obav</w:t>
      </w:r>
      <w:r w:rsidR="00881DAA">
        <w:rPr>
          <w:sz w:val="22"/>
          <w:szCs w:val="22"/>
        </w:rPr>
        <w:t>ij</w:t>
      </w:r>
      <w:r w:rsidRPr="0028457F">
        <w:rPr>
          <w:sz w:val="22"/>
          <w:szCs w:val="22"/>
        </w:rPr>
        <w:t>este l</w:t>
      </w:r>
      <w:r w:rsidR="00881DAA">
        <w:rPr>
          <w:sz w:val="22"/>
          <w:szCs w:val="22"/>
        </w:rPr>
        <w:t>j</w:t>
      </w:r>
      <w:r w:rsidRPr="0028457F">
        <w:rPr>
          <w:sz w:val="22"/>
          <w:szCs w:val="22"/>
        </w:rPr>
        <w:t>ekara o bilo kom neuobičajenom abdominalnom simptomu (posebno gastrointestinalnoj hemoragiji) naročito u početnim fazama l</w:t>
      </w:r>
      <w:r w:rsidR="00881DAA">
        <w:rPr>
          <w:sz w:val="22"/>
          <w:szCs w:val="22"/>
        </w:rPr>
        <w:t>ij</w:t>
      </w:r>
      <w:r w:rsidRPr="0028457F">
        <w:rPr>
          <w:sz w:val="22"/>
          <w:szCs w:val="22"/>
        </w:rPr>
        <w:t>ečenja.</w:t>
      </w:r>
    </w:p>
    <w:p w14:paraId="3EFA08FE" w14:textId="4E41E157" w:rsidR="0028457F" w:rsidRPr="0028457F" w:rsidRDefault="0028457F" w:rsidP="00CC4B2B">
      <w:pPr>
        <w:jc w:val="both"/>
        <w:rPr>
          <w:sz w:val="22"/>
          <w:szCs w:val="22"/>
        </w:rPr>
      </w:pPr>
      <w:r w:rsidRPr="0028457F">
        <w:rPr>
          <w:sz w:val="22"/>
          <w:szCs w:val="22"/>
        </w:rPr>
        <w:t>Potreban je oprez kod pacijenata koji istovremeno uzimaju l</w:t>
      </w:r>
      <w:r w:rsidR="00881DAA">
        <w:rPr>
          <w:sz w:val="22"/>
          <w:szCs w:val="22"/>
        </w:rPr>
        <w:t>j</w:t>
      </w:r>
      <w:r w:rsidRPr="0028457F">
        <w:rPr>
          <w:sz w:val="22"/>
          <w:szCs w:val="22"/>
        </w:rPr>
        <w:t>ekove koji mogu povećati rizik od nastanka ulkusa ili hemoragije, kao što su oralni kortikosteroidi, antikoagulansi (npr. varfarin), selektivni inhibitori ponovnog preuzimanja serotonina (SSRI) ili antiagregacioni l</w:t>
      </w:r>
      <w:r w:rsidR="00881DAA">
        <w:rPr>
          <w:sz w:val="22"/>
          <w:szCs w:val="22"/>
        </w:rPr>
        <w:t>j</w:t>
      </w:r>
      <w:r w:rsidRPr="0028457F">
        <w:rPr>
          <w:sz w:val="22"/>
          <w:szCs w:val="22"/>
        </w:rPr>
        <w:t xml:space="preserve">ekovi kao što je acetisalicilna kiselina </w:t>
      </w:r>
      <w:r w:rsidRPr="00067F85">
        <w:rPr>
          <w:sz w:val="22"/>
          <w:szCs w:val="22"/>
        </w:rPr>
        <w:t>u maloj dozi</w:t>
      </w:r>
      <w:r w:rsidRPr="0028457F">
        <w:rPr>
          <w:sz w:val="22"/>
          <w:szCs w:val="22"/>
        </w:rPr>
        <w:t xml:space="preserve"> (</w:t>
      </w:r>
      <w:r w:rsidR="00881DAA">
        <w:rPr>
          <w:sz w:val="22"/>
          <w:szCs w:val="22"/>
        </w:rPr>
        <w:t>pogledati dio</w:t>
      </w:r>
      <w:r w:rsidRPr="0028457F">
        <w:rPr>
          <w:sz w:val="22"/>
          <w:szCs w:val="22"/>
        </w:rPr>
        <w:t xml:space="preserve"> 4.5).</w:t>
      </w:r>
    </w:p>
    <w:p w14:paraId="1937DFD4" w14:textId="77777777" w:rsidR="0028457F" w:rsidRPr="0028457F" w:rsidRDefault="0028457F" w:rsidP="0073332B">
      <w:pPr>
        <w:jc w:val="both"/>
        <w:rPr>
          <w:sz w:val="22"/>
          <w:szCs w:val="22"/>
        </w:rPr>
      </w:pPr>
    </w:p>
    <w:p w14:paraId="1D025912" w14:textId="241CA4DC" w:rsidR="001E0143" w:rsidRPr="00B07DD6" w:rsidRDefault="001E0143" w:rsidP="0091278C">
      <w:pPr>
        <w:tabs>
          <w:tab w:val="left" w:pos="828"/>
        </w:tabs>
        <w:ind w:right="-68"/>
        <w:jc w:val="both"/>
        <w:rPr>
          <w:rFonts w:eastAsia="Calibri"/>
          <w:b/>
          <w:bCs/>
          <w:sz w:val="22"/>
          <w:szCs w:val="22"/>
        </w:rPr>
      </w:pPr>
      <w:r w:rsidRPr="00B07DD6">
        <w:rPr>
          <w:rFonts w:eastAsia="Calibri"/>
          <w:b/>
          <w:bCs/>
          <w:sz w:val="22"/>
          <w:szCs w:val="22"/>
        </w:rPr>
        <w:t>Stariji pacijenti</w:t>
      </w:r>
    </w:p>
    <w:p w14:paraId="7E1FD72F" w14:textId="2B2F0CB2" w:rsidR="001E0143" w:rsidRPr="001E0143" w:rsidRDefault="001E0143" w:rsidP="00DC5F42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Kod starijih pacijenata postoji veća učestalost neželjenih reakcija pri prim</w:t>
      </w:r>
      <w:r w:rsidR="00DC5F42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eni NSAIL, naročito hemoragije i gastrointestinalne perforacije, sa mogućim smrtnim ishodom (</w:t>
      </w:r>
      <w:r w:rsidR="00881DAA">
        <w:rPr>
          <w:rFonts w:eastAsia="Calibri"/>
          <w:sz w:val="22"/>
          <w:szCs w:val="22"/>
        </w:rPr>
        <w:t xml:space="preserve">pogledati dio </w:t>
      </w:r>
      <w:r w:rsidRPr="001E0143">
        <w:rPr>
          <w:rFonts w:eastAsia="Calibri"/>
          <w:sz w:val="22"/>
          <w:szCs w:val="22"/>
        </w:rPr>
        <w:t xml:space="preserve">4.2). </w:t>
      </w:r>
    </w:p>
    <w:p w14:paraId="268F2980" w14:textId="77777777" w:rsidR="001E0143" w:rsidRPr="00B07DD6" w:rsidRDefault="001E0143" w:rsidP="00C64944">
      <w:pPr>
        <w:ind w:right="-68"/>
        <w:jc w:val="both"/>
        <w:rPr>
          <w:rFonts w:eastAsia="Calibri"/>
          <w:b/>
          <w:bCs/>
          <w:sz w:val="22"/>
          <w:szCs w:val="22"/>
        </w:rPr>
      </w:pPr>
    </w:p>
    <w:p w14:paraId="5D37DE0D" w14:textId="77777777" w:rsidR="001E0143" w:rsidRPr="00B07DD6" w:rsidRDefault="001E0143" w:rsidP="00C64944">
      <w:pPr>
        <w:ind w:right="-68"/>
        <w:jc w:val="both"/>
        <w:rPr>
          <w:rFonts w:eastAsia="Calibri"/>
          <w:b/>
          <w:bCs/>
          <w:sz w:val="22"/>
          <w:szCs w:val="22"/>
        </w:rPr>
      </w:pPr>
      <w:r w:rsidRPr="00B07DD6">
        <w:rPr>
          <w:rFonts w:eastAsia="Calibri"/>
          <w:b/>
          <w:bCs/>
          <w:sz w:val="22"/>
          <w:szCs w:val="22"/>
        </w:rPr>
        <w:t xml:space="preserve">Pedijatrijska populacija </w:t>
      </w:r>
    </w:p>
    <w:p w14:paraId="434E8EA9" w14:textId="44C896C4" w:rsidR="001E0143" w:rsidRPr="001E0143" w:rsidRDefault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Kod nekih pedijatrijskih pacijenata l</w:t>
      </w:r>
      <w:r w:rsidR="00881DAA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 xml:space="preserve">ečenih ketoprofen-lizinatom </w:t>
      </w:r>
      <w:r w:rsidR="00881DAA">
        <w:rPr>
          <w:rFonts w:eastAsia="Calibri"/>
          <w:sz w:val="22"/>
          <w:szCs w:val="22"/>
        </w:rPr>
        <w:t>zabilježena</w:t>
      </w:r>
      <w:r w:rsidRPr="001E0143">
        <w:rPr>
          <w:rFonts w:eastAsia="Calibri"/>
          <w:sz w:val="22"/>
          <w:szCs w:val="22"/>
        </w:rPr>
        <w:t xml:space="preserve"> su gastrointestinalna hemoragija, povremeno teška i ulceracije (</w:t>
      </w:r>
      <w:r w:rsidR="00881DAA">
        <w:rPr>
          <w:rFonts w:eastAsia="Calibri"/>
          <w:sz w:val="22"/>
          <w:szCs w:val="22"/>
        </w:rPr>
        <w:t>pogledati dio</w:t>
      </w:r>
      <w:r w:rsidRPr="001E0143">
        <w:rPr>
          <w:rFonts w:eastAsia="Calibri"/>
          <w:sz w:val="22"/>
          <w:szCs w:val="22"/>
        </w:rPr>
        <w:t xml:space="preserve"> 4.8)</w:t>
      </w:r>
      <w:r w:rsidR="00DC5F42">
        <w:rPr>
          <w:rFonts w:eastAsia="Calibri"/>
          <w:sz w:val="22"/>
          <w:szCs w:val="22"/>
        </w:rPr>
        <w:t>; zbog toga ovaj lijek treba primjenjivati pod strogim ljekarskim nadzorom, a ljekar treba da procijeni režim doziranja od slučaja do slučaja.</w:t>
      </w:r>
    </w:p>
    <w:p w14:paraId="37C3BF7D" w14:textId="5E4CC221" w:rsidR="001E0143" w:rsidRPr="001E0143" w:rsidRDefault="001E0143">
      <w:pPr>
        <w:ind w:right="-68"/>
        <w:jc w:val="both"/>
        <w:rPr>
          <w:rFonts w:eastAsia="Calibri"/>
          <w:sz w:val="22"/>
          <w:szCs w:val="22"/>
        </w:rPr>
      </w:pPr>
      <w:r w:rsidRPr="00B46FF7">
        <w:rPr>
          <w:rFonts w:eastAsia="Calibri"/>
          <w:sz w:val="22"/>
          <w:szCs w:val="22"/>
        </w:rPr>
        <w:t>Ovaj l</w:t>
      </w:r>
      <w:r w:rsidR="00881DAA" w:rsidRPr="00B46FF7">
        <w:rPr>
          <w:rFonts w:eastAsia="Calibri"/>
          <w:sz w:val="22"/>
          <w:szCs w:val="22"/>
        </w:rPr>
        <w:t>ij</w:t>
      </w:r>
      <w:r w:rsidRPr="00B46FF7">
        <w:rPr>
          <w:rFonts w:eastAsia="Calibri"/>
          <w:sz w:val="22"/>
          <w:szCs w:val="22"/>
        </w:rPr>
        <w:t>ek nije nam</w:t>
      </w:r>
      <w:r w:rsidR="00881DAA" w:rsidRPr="00B46FF7">
        <w:rPr>
          <w:rFonts w:eastAsia="Calibri"/>
          <w:sz w:val="22"/>
          <w:szCs w:val="22"/>
        </w:rPr>
        <w:t>ij</w:t>
      </w:r>
      <w:r w:rsidRPr="00B46FF7">
        <w:rPr>
          <w:rFonts w:eastAsia="Calibri"/>
          <w:sz w:val="22"/>
          <w:szCs w:val="22"/>
        </w:rPr>
        <w:t>enjen za prim</w:t>
      </w:r>
      <w:r w:rsidR="00881DAA" w:rsidRPr="00B46FF7">
        <w:rPr>
          <w:rFonts w:eastAsia="Calibri"/>
          <w:sz w:val="22"/>
          <w:szCs w:val="22"/>
        </w:rPr>
        <w:t>j</w:t>
      </w:r>
      <w:r w:rsidRPr="00B46FF7">
        <w:rPr>
          <w:rFonts w:eastAsia="Calibri"/>
          <w:sz w:val="22"/>
          <w:szCs w:val="22"/>
        </w:rPr>
        <w:t>enu kod d</w:t>
      </w:r>
      <w:r w:rsidR="00881DAA" w:rsidRPr="00B46FF7">
        <w:rPr>
          <w:rFonts w:eastAsia="Calibri"/>
          <w:sz w:val="22"/>
          <w:szCs w:val="22"/>
        </w:rPr>
        <w:t>j</w:t>
      </w:r>
      <w:r w:rsidRPr="00B46FF7">
        <w:rPr>
          <w:rFonts w:eastAsia="Calibri"/>
          <w:sz w:val="22"/>
          <w:szCs w:val="22"/>
        </w:rPr>
        <w:t>ec</w:t>
      </w:r>
      <w:r w:rsidR="00881DAA" w:rsidRPr="00B46FF7">
        <w:rPr>
          <w:rFonts w:eastAsia="Calibri"/>
          <w:sz w:val="22"/>
          <w:szCs w:val="22"/>
        </w:rPr>
        <w:t>e</w:t>
      </w:r>
      <w:r w:rsidRPr="00B46FF7">
        <w:rPr>
          <w:rFonts w:eastAsia="Calibri"/>
          <w:sz w:val="22"/>
          <w:szCs w:val="22"/>
        </w:rPr>
        <w:t xml:space="preserve"> i adolescenata</w:t>
      </w:r>
      <w:r w:rsidR="00B46FF7" w:rsidRPr="0073332B">
        <w:rPr>
          <w:rFonts w:eastAsia="Calibri"/>
          <w:sz w:val="22"/>
          <w:szCs w:val="22"/>
        </w:rPr>
        <w:t>.</w:t>
      </w:r>
    </w:p>
    <w:p w14:paraId="6B95ECEF" w14:textId="77777777" w:rsidR="001E0143" w:rsidRPr="001E0143" w:rsidRDefault="001E0143">
      <w:pPr>
        <w:ind w:right="-68"/>
        <w:jc w:val="both"/>
        <w:rPr>
          <w:rFonts w:eastAsia="Calibri"/>
          <w:sz w:val="22"/>
          <w:szCs w:val="22"/>
        </w:rPr>
      </w:pPr>
    </w:p>
    <w:p w14:paraId="71AF7473" w14:textId="77777777" w:rsidR="001E0143" w:rsidRPr="001E0143" w:rsidRDefault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Pacijenti sa postojećom ili preležanom gastrointestinalnom bolesti moraju se pažljivo pratiti radi moguće pojave poremećaja digestivnog trakta, posebno gastrointestinalnog krvarenja.</w:t>
      </w:r>
    </w:p>
    <w:p w14:paraId="731341B5" w14:textId="77777777" w:rsidR="001E0143" w:rsidRPr="001E0143" w:rsidRDefault="001E0143">
      <w:pPr>
        <w:ind w:right="-68"/>
        <w:jc w:val="both"/>
        <w:rPr>
          <w:rFonts w:eastAsia="Calibri"/>
          <w:sz w:val="22"/>
          <w:szCs w:val="22"/>
        </w:rPr>
      </w:pPr>
    </w:p>
    <w:p w14:paraId="44CCA62E" w14:textId="345E87E7" w:rsidR="001E0143" w:rsidRPr="001E0143" w:rsidRDefault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Kada tokom prim</w:t>
      </w:r>
      <w:r w:rsidR="00881DAA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ene ketoprofena dođe do ulceracije ili gastrointestinalnog krvarenja, prim</w:t>
      </w:r>
      <w:r w:rsidR="00881DAA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ena ketoprofena se mora odmah obustaviti.</w:t>
      </w:r>
    </w:p>
    <w:p w14:paraId="7A0FFC10" w14:textId="77777777" w:rsidR="001E0143" w:rsidRPr="001E0143" w:rsidRDefault="001E0143">
      <w:pPr>
        <w:ind w:right="-68"/>
        <w:jc w:val="both"/>
        <w:rPr>
          <w:rFonts w:eastAsia="Calibri"/>
          <w:sz w:val="22"/>
          <w:szCs w:val="22"/>
        </w:rPr>
      </w:pPr>
    </w:p>
    <w:p w14:paraId="5245EB58" w14:textId="186F76C1" w:rsidR="001E0143" w:rsidRPr="00B07DD6" w:rsidRDefault="001E0143">
      <w:pPr>
        <w:ind w:right="-68"/>
        <w:jc w:val="both"/>
        <w:rPr>
          <w:rFonts w:eastAsia="Calibri"/>
          <w:b/>
          <w:bCs/>
          <w:sz w:val="22"/>
          <w:szCs w:val="22"/>
        </w:rPr>
      </w:pPr>
      <w:r w:rsidRPr="00B07DD6">
        <w:rPr>
          <w:rFonts w:eastAsia="Calibri"/>
          <w:b/>
          <w:bCs/>
          <w:sz w:val="22"/>
          <w:szCs w:val="22"/>
        </w:rPr>
        <w:t>Pacijenti s aktivnim ili prethodnim peptičkim ulkusom</w:t>
      </w:r>
    </w:p>
    <w:p w14:paraId="60F3757C" w14:textId="2D04C119" w:rsidR="001E0143" w:rsidRPr="001E0143" w:rsidRDefault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Nesteroidni antiinflamatorni l</w:t>
      </w:r>
      <w:r w:rsidR="00816E9E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 xml:space="preserve">ekovi moraju se primjenjivati oprezno kod pacijenata sa anamnezom gastrointestinalne bolesti (ulcerozni kolitis, </w:t>
      </w:r>
      <w:r w:rsidR="00CA4CD9">
        <w:rPr>
          <w:rFonts w:eastAsia="Calibri"/>
          <w:sz w:val="22"/>
          <w:szCs w:val="22"/>
        </w:rPr>
        <w:t>K</w:t>
      </w:r>
      <w:r w:rsidR="00E3173E">
        <w:rPr>
          <w:rFonts w:eastAsia="Calibri"/>
          <w:sz w:val="22"/>
          <w:szCs w:val="22"/>
        </w:rPr>
        <w:t>ron</w:t>
      </w:r>
      <w:r w:rsidR="00CA4CD9" w:rsidRPr="001E0143">
        <w:rPr>
          <w:rFonts w:eastAsia="Calibri"/>
          <w:sz w:val="22"/>
          <w:szCs w:val="22"/>
        </w:rPr>
        <w:t xml:space="preserve">ova </w:t>
      </w:r>
      <w:r w:rsidRPr="001E0143">
        <w:rPr>
          <w:rFonts w:eastAsia="Calibri"/>
          <w:sz w:val="22"/>
          <w:szCs w:val="22"/>
        </w:rPr>
        <w:t>bolest) jer se ta stanja mogu pogoršati (</w:t>
      </w:r>
      <w:r w:rsidR="00881DAA">
        <w:rPr>
          <w:rFonts w:eastAsia="Calibri"/>
          <w:sz w:val="22"/>
          <w:szCs w:val="22"/>
        </w:rPr>
        <w:t>pogledati dio</w:t>
      </w:r>
      <w:r w:rsidRPr="001E0143">
        <w:rPr>
          <w:rFonts w:eastAsia="Calibri"/>
          <w:sz w:val="22"/>
          <w:szCs w:val="22"/>
        </w:rPr>
        <w:t xml:space="preserve"> 4.8 - Neželjena dejstva).</w:t>
      </w:r>
    </w:p>
    <w:p w14:paraId="76EF0769" w14:textId="77777777" w:rsidR="001E0143" w:rsidRPr="001E0143" w:rsidRDefault="001E0143">
      <w:pPr>
        <w:ind w:right="-68"/>
        <w:jc w:val="both"/>
        <w:rPr>
          <w:rFonts w:eastAsia="Calibri"/>
          <w:sz w:val="22"/>
          <w:szCs w:val="22"/>
        </w:rPr>
      </w:pPr>
    </w:p>
    <w:p w14:paraId="4AFC4087" w14:textId="4060C4F3" w:rsidR="001E0143" w:rsidRPr="001E0143" w:rsidRDefault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Određeni epidemiološki podaci ukazuju da ketoprofen može biti povezan sa visokim rizikom od ozbiljne gastrointestinalne toksičnosti, u odnosu na pojedine druge NSAIL, posebno pri prim</w:t>
      </w:r>
      <w:r w:rsidR="00881DAA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eni velikih doza (</w:t>
      </w:r>
      <w:r w:rsidR="00881DAA">
        <w:rPr>
          <w:rFonts w:eastAsia="Calibri"/>
          <w:sz w:val="22"/>
          <w:szCs w:val="22"/>
        </w:rPr>
        <w:t>pogledati djelove</w:t>
      </w:r>
      <w:r w:rsidRPr="001E0143">
        <w:rPr>
          <w:rFonts w:eastAsia="Calibri"/>
          <w:sz w:val="22"/>
          <w:szCs w:val="22"/>
        </w:rPr>
        <w:t xml:space="preserve"> 4.2 i 4.3).</w:t>
      </w:r>
    </w:p>
    <w:p w14:paraId="4A445EC6" w14:textId="77777777" w:rsidR="001E0143" w:rsidRPr="001E0143" w:rsidRDefault="001E0143">
      <w:pPr>
        <w:ind w:right="-68"/>
        <w:jc w:val="both"/>
        <w:rPr>
          <w:rFonts w:eastAsia="Calibri"/>
          <w:sz w:val="22"/>
          <w:szCs w:val="22"/>
        </w:rPr>
      </w:pPr>
    </w:p>
    <w:p w14:paraId="3BF4A2B4" w14:textId="75ACCF50" w:rsidR="001E0143" w:rsidRPr="00B07DD6" w:rsidRDefault="001E0143">
      <w:pPr>
        <w:ind w:right="-68"/>
        <w:jc w:val="both"/>
        <w:rPr>
          <w:rFonts w:eastAsia="Calibri"/>
          <w:b/>
          <w:bCs/>
          <w:sz w:val="22"/>
          <w:szCs w:val="22"/>
        </w:rPr>
      </w:pPr>
      <w:r w:rsidRPr="00B07DD6">
        <w:rPr>
          <w:rFonts w:eastAsia="Calibri"/>
          <w:b/>
          <w:bCs/>
          <w:sz w:val="22"/>
          <w:szCs w:val="22"/>
        </w:rPr>
        <w:t>Reakcije na koži</w:t>
      </w:r>
    </w:p>
    <w:p w14:paraId="6D72CEC7" w14:textId="30B35087" w:rsidR="001E0143" w:rsidRPr="001E0143" w:rsidRDefault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Ozbiljne reakcije na koži, ponekad sa smrtnim ishodom, uključujući eksfolijativni dermatitis, Stevens-Johnson sindrom i toksičnu epidermalnu nekrolizu, veoma r</w:t>
      </w:r>
      <w:r w:rsidR="00881DAA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 xml:space="preserve">etko su </w:t>
      </w:r>
      <w:r w:rsidR="00881DAA">
        <w:rPr>
          <w:rFonts w:eastAsia="Calibri"/>
          <w:sz w:val="22"/>
          <w:szCs w:val="22"/>
        </w:rPr>
        <w:t>zabilježene</w:t>
      </w:r>
      <w:r w:rsidRPr="001E0143">
        <w:rPr>
          <w:rFonts w:eastAsia="Calibri"/>
          <w:sz w:val="22"/>
          <w:szCs w:val="22"/>
        </w:rPr>
        <w:t xml:space="preserve"> pri prim</w:t>
      </w:r>
      <w:r w:rsidR="00881DAA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eni NSAIL (</w:t>
      </w:r>
      <w:r w:rsidR="00881DAA">
        <w:rPr>
          <w:rFonts w:eastAsia="Calibri"/>
          <w:sz w:val="22"/>
          <w:szCs w:val="22"/>
        </w:rPr>
        <w:t>pogledati dio</w:t>
      </w:r>
      <w:r w:rsidRPr="001E0143">
        <w:rPr>
          <w:rFonts w:eastAsia="Calibri"/>
          <w:sz w:val="22"/>
          <w:szCs w:val="22"/>
        </w:rPr>
        <w:t xml:space="preserve"> 4.8). Najveći rizik od pojave ovih reakcija je na početku l</w:t>
      </w:r>
      <w:r w:rsidR="00881DAA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>ečenja i u većini slučajeva, reakcije se javljaju tokom prvog m</w:t>
      </w:r>
      <w:r w:rsidR="00881DAA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eseca terapije. Prim</w:t>
      </w:r>
      <w:r w:rsidR="00881DAA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enu ketoprofena treba obustaviti pri prvoj pojavi osipa na koži, oštećenja sluznice ili drugih znakova preos</w:t>
      </w:r>
      <w:r w:rsidR="00881DAA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etljivosti.</w:t>
      </w:r>
    </w:p>
    <w:p w14:paraId="687395E9" w14:textId="77777777" w:rsidR="001E0143" w:rsidRPr="001E0143" w:rsidRDefault="001E0143">
      <w:pPr>
        <w:ind w:right="-68"/>
        <w:jc w:val="both"/>
        <w:rPr>
          <w:rFonts w:eastAsia="Calibri"/>
          <w:sz w:val="22"/>
          <w:szCs w:val="22"/>
        </w:rPr>
      </w:pPr>
    </w:p>
    <w:p w14:paraId="354B01F5" w14:textId="6A251F56" w:rsidR="001E0143" w:rsidRPr="00B07DD6" w:rsidRDefault="001E0143">
      <w:pPr>
        <w:ind w:right="-68"/>
        <w:jc w:val="both"/>
        <w:rPr>
          <w:rFonts w:eastAsia="Calibri"/>
          <w:b/>
          <w:bCs/>
          <w:sz w:val="22"/>
          <w:szCs w:val="22"/>
          <w:u w:val="single"/>
        </w:rPr>
      </w:pPr>
      <w:r w:rsidRPr="00B07DD6">
        <w:rPr>
          <w:rFonts w:eastAsia="Calibri"/>
          <w:b/>
          <w:bCs/>
          <w:sz w:val="22"/>
          <w:szCs w:val="22"/>
          <w:u w:val="single"/>
        </w:rPr>
        <w:t>M</w:t>
      </w:r>
      <w:r w:rsidR="00881DAA">
        <w:rPr>
          <w:rFonts w:eastAsia="Calibri"/>
          <w:b/>
          <w:bCs/>
          <w:sz w:val="22"/>
          <w:szCs w:val="22"/>
          <w:u w:val="single"/>
        </w:rPr>
        <w:t>j</w:t>
      </w:r>
      <w:r w:rsidRPr="00B07DD6">
        <w:rPr>
          <w:rFonts w:eastAsia="Calibri"/>
          <w:b/>
          <w:bCs/>
          <w:sz w:val="22"/>
          <w:szCs w:val="22"/>
          <w:u w:val="single"/>
        </w:rPr>
        <w:t>ere opreza</w:t>
      </w:r>
    </w:p>
    <w:p w14:paraId="1996E694" w14:textId="61BBBD75" w:rsidR="001E0143" w:rsidRDefault="001E0143">
      <w:pPr>
        <w:ind w:right="-68"/>
        <w:jc w:val="both"/>
        <w:rPr>
          <w:rFonts w:eastAsia="Calibri"/>
          <w:sz w:val="22"/>
          <w:szCs w:val="22"/>
        </w:rPr>
      </w:pPr>
    </w:p>
    <w:p w14:paraId="7A6024D1" w14:textId="07C98639" w:rsidR="00816607" w:rsidRDefault="00816607">
      <w:pPr>
        <w:ind w:right="-68"/>
        <w:jc w:val="both"/>
        <w:rPr>
          <w:rFonts w:eastAsia="Calibri"/>
          <w:sz w:val="22"/>
          <w:szCs w:val="22"/>
        </w:rPr>
      </w:pPr>
    </w:p>
    <w:p w14:paraId="592EF792" w14:textId="77777777" w:rsidR="00816607" w:rsidRPr="001E0143" w:rsidRDefault="00816607">
      <w:pPr>
        <w:ind w:right="-68"/>
        <w:jc w:val="both"/>
        <w:rPr>
          <w:rFonts w:eastAsia="Calibri"/>
          <w:sz w:val="22"/>
          <w:szCs w:val="22"/>
        </w:rPr>
      </w:pPr>
    </w:p>
    <w:p w14:paraId="4D1875AF" w14:textId="272CF808" w:rsidR="001E0143" w:rsidRDefault="001E0143">
      <w:pPr>
        <w:ind w:right="-68"/>
        <w:jc w:val="both"/>
        <w:rPr>
          <w:rFonts w:eastAsia="Calibri"/>
          <w:b/>
          <w:bCs/>
          <w:sz w:val="22"/>
          <w:szCs w:val="22"/>
        </w:rPr>
      </w:pPr>
      <w:r w:rsidRPr="00B07DD6">
        <w:rPr>
          <w:rFonts w:eastAsia="Calibri"/>
          <w:b/>
          <w:bCs/>
          <w:sz w:val="22"/>
          <w:szCs w:val="22"/>
        </w:rPr>
        <w:lastRenderedPageBreak/>
        <w:t>Oštećenje funkcije kardiovaskularnog sistema, bubrega i jetre</w:t>
      </w:r>
    </w:p>
    <w:p w14:paraId="290E3D27" w14:textId="219BD1A4" w:rsid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Kod pacijenata sa oštećenjem funkcije bubrega ketoprofen se mora prim</w:t>
      </w:r>
      <w:r w:rsidR="00881DAA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enjivati posebno oprezno s obzirom na to da se l</w:t>
      </w:r>
      <w:r w:rsidR="00881DAA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>ek iz t</w:t>
      </w:r>
      <w:r w:rsidR="00881DAA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>ela eliminiše putem bubrega.</w:t>
      </w:r>
    </w:p>
    <w:p w14:paraId="71C638B2" w14:textId="77777777" w:rsidR="00816E9E" w:rsidRPr="001E0143" w:rsidRDefault="00816E9E" w:rsidP="001E0143">
      <w:pPr>
        <w:ind w:right="-68"/>
        <w:jc w:val="both"/>
        <w:rPr>
          <w:rFonts w:eastAsia="Calibri"/>
          <w:sz w:val="22"/>
          <w:szCs w:val="22"/>
        </w:rPr>
      </w:pPr>
    </w:p>
    <w:p w14:paraId="224CC940" w14:textId="2A7099D3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Na početku l</w:t>
      </w:r>
      <w:r w:rsidR="00881DAA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>ečenja, treba pažljivo pratiti funkciju bubrega kod pacijenata sa srčanom insuficijencijom, cirozom i nefrozom, i kod pacijenata koji primaju diuretike ili imaju hronično oštećenje funkcije bubrega, a posebno kod starijih pacijenata. Kod ovih pacijenata, prim</w:t>
      </w:r>
      <w:r w:rsidR="00881DAA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 xml:space="preserve">ena ketoprofena može da izazove smanjenje protoka krvi kroz bubrege, prouzrokovanog inhibicijom </w:t>
      </w:r>
      <w:r w:rsidR="0073332B" w:rsidRPr="001E0143">
        <w:rPr>
          <w:rFonts w:eastAsia="Calibri"/>
          <w:sz w:val="22"/>
          <w:szCs w:val="22"/>
        </w:rPr>
        <w:t>prosta</w:t>
      </w:r>
      <w:r w:rsidR="0073332B">
        <w:rPr>
          <w:rFonts w:eastAsia="Calibri"/>
          <w:sz w:val="22"/>
          <w:szCs w:val="22"/>
        </w:rPr>
        <w:t>g</w:t>
      </w:r>
      <w:r w:rsidR="0073332B" w:rsidRPr="001E0143">
        <w:rPr>
          <w:rFonts w:eastAsia="Calibri"/>
          <w:sz w:val="22"/>
          <w:szCs w:val="22"/>
        </w:rPr>
        <w:t>landina</w:t>
      </w:r>
      <w:r w:rsidRPr="001E0143">
        <w:rPr>
          <w:rFonts w:eastAsia="Calibri"/>
          <w:sz w:val="22"/>
          <w:szCs w:val="22"/>
        </w:rPr>
        <w:t>, što dovodi do bubrežne insuficijencije (</w:t>
      </w:r>
      <w:r w:rsidR="00881DAA">
        <w:rPr>
          <w:rFonts w:eastAsia="Calibri"/>
          <w:sz w:val="22"/>
          <w:szCs w:val="22"/>
        </w:rPr>
        <w:t>pogledati dio</w:t>
      </w:r>
      <w:r w:rsidRPr="001E0143">
        <w:rPr>
          <w:rFonts w:eastAsia="Calibri"/>
          <w:sz w:val="22"/>
          <w:szCs w:val="22"/>
        </w:rPr>
        <w:t xml:space="preserve"> 4.3 Kontraindikacije). Oprez je potreban i kod pacijenata koji se l</w:t>
      </w:r>
      <w:r w:rsidR="00881DAA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>eče diureticima ili pa</w:t>
      </w:r>
      <w:r w:rsidR="00296DEB">
        <w:rPr>
          <w:rFonts w:eastAsia="Calibri"/>
          <w:sz w:val="22"/>
          <w:szCs w:val="22"/>
        </w:rPr>
        <w:t>c</w:t>
      </w:r>
      <w:r w:rsidRPr="001E0143">
        <w:rPr>
          <w:rFonts w:eastAsia="Calibri"/>
          <w:sz w:val="22"/>
          <w:szCs w:val="22"/>
        </w:rPr>
        <w:t>ijenata sa mogućom hipovolemijom zbog povećanog rizika od nefrotoksičnosti.</w:t>
      </w:r>
      <w:r w:rsidR="00296DEB">
        <w:rPr>
          <w:rFonts w:eastAsia="Calibri"/>
          <w:sz w:val="22"/>
          <w:szCs w:val="22"/>
        </w:rPr>
        <w:t xml:space="preserve"> </w:t>
      </w:r>
      <w:r w:rsidRPr="001E0143">
        <w:rPr>
          <w:rFonts w:eastAsia="Calibri"/>
          <w:sz w:val="22"/>
          <w:szCs w:val="22"/>
        </w:rPr>
        <w:t>Kao i kod drugih l</w:t>
      </w:r>
      <w:r w:rsidR="00881DAA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ekova iz grupe nesteroidnih antiinflamatornih l</w:t>
      </w:r>
      <w:r w:rsidR="00881DAA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ekova, ovaj l</w:t>
      </w:r>
      <w:r w:rsidR="00881DAA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 xml:space="preserve">ek može povećati koncentraciju azota iz uree i kreatinina u krvi. </w:t>
      </w:r>
    </w:p>
    <w:p w14:paraId="76D16C0C" w14:textId="77777777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</w:p>
    <w:p w14:paraId="5B2AF35B" w14:textId="1AB651C5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Kao i drugi inhibitori sinteze prostaglandina, ovaj l</w:t>
      </w:r>
      <w:r w:rsidR="00881DAA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 xml:space="preserve">ek može se povezati sa štetnim događajima koji utiču na bubrežni sistem, što može uzrokovati glomerularni nefritis, papilarnu nekrozu bubrega, nefrotski sindrom i akutno oštećenje funkcije bubrega. </w:t>
      </w:r>
    </w:p>
    <w:p w14:paraId="19C6D296" w14:textId="428B261D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Kod pacijenata sa nepravilnostima u testovima funkcije jetre ili sa anamnezom oboljenja jetre, periodično treba kontrolisati vr</w:t>
      </w:r>
      <w:r w:rsidR="00881DAA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 xml:space="preserve">ednosti transaminaza, naročito tokom dugotrajne terapije. </w:t>
      </w:r>
    </w:p>
    <w:p w14:paraId="7B8986E0" w14:textId="77777777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</w:p>
    <w:p w14:paraId="66083D07" w14:textId="285A98B6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Kao i kod drugih nesteroidnih antiinflamatornih l</w:t>
      </w:r>
      <w:r w:rsidR="00881DAA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ekova, ovaj l</w:t>
      </w:r>
      <w:r w:rsidR="00881DAA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>ek može uzrokovati mala prolazna povećanja nekih parametara jetre te značajno povećanje serumske glutamat-oksaloacetat transaminaze (SGOT ili AST) i serumske glutamat-piruvat transaminaze (SGPT ili ALT). U slučaju značajnog povećanja ovih parametara l</w:t>
      </w:r>
      <w:r w:rsidR="00881DAA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>ečenje se mora prekinuti. Opisani su r</w:t>
      </w:r>
      <w:r w:rsidR="00881DAA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>etki slučajevi pojave žutice i hepatitisa pri prim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 xml:space="preserve">eni ketoprofena. Funkcionalni testovi jetre i funkcije bubrega treba da se sprovedu tokom dugotrajne terapije, kao </w:t>
      </w:r>
      <w:r w:rsidR="0070216F">
        <w:rPr>
          <w:rFonts w:eastAsia="Calibri"/>
          <w:sz w:val="22"/>
          <w:szCs w:val="22"/>
        </w:rPr>
        <w:t>i</w:t>
      </w:r>
      <w:r w:rsidRPr="001E0143">
        <w:rPr>
          <w:rFonts w:eastAsia="Calibri"/>
          <w:sz w:val="22"/>
          <w:szCs w:val="22"/>
        </w:rPr>
        <w:t xml:space="preserve"> da se prov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erava krvna slika.</w:t>
      </w:r>
    </w:p>
    <w:p w14:paraId="651A26E8" w14:textId="77777777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</w:p>
    <w:p w14:paraId="37538BAA" w14:textId="77777777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Stariji bolesnici podložniji su smanjenju funkcije bubrega, kardiovaskularnog sistema ili jetre.</w:t>
      </w:r>
    </w:p>
    <w:p w14:paraId="1B21DC7D" w14:textId="36A14680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Prim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ena NSAIL, može poremetiti plodnost kod žena (</w:t>
      </w:r>
      <w:r w:rsidR="00881DAA">
        <w:rPr>
          <w:rFonts w:eastAsia="Calibri"/>
          <w:sz w:val="22"/>
          <w:szCs w:val="22"/>
        </w:rPr>
        <w:t>pogledati dio</w:t>
      </w:r>
      <w:r w:rsidRPr="001E0143">
        <w:rPr>
          <w:rFonts w:eastAsia="Calibri"/>
          <w:sz w:val="22"/>
          <w:szCs w:val="22"/>
        </w:rPr>
        <w:t xml:space="preserve"> 4.6).</w:t>
      </w:r>
    </w:p>
    <w:p w14:paraId="7D14782E" w14:textId="77777777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</w:p>
    <w:p w14:paraId="15537593" w14:textId="6E855C23" w:rsidR="001E0143" w:rsidRPr="00B07DD6" w:rsidRDefault="001E0143" w:rsidP="001E0143">
      <w:pPr>
        <w:ind w:right="-68"/>
        <w:jc w:val="both"/>
        <w:rPr>
          <w:rFonts w:eastAsia="Calibri"/>
          <w:b/>
          <w:bCs/>
          <w:sz w:val="22"/>
          <w:szCs w:val="22"/>
        </w:rPr>
      </w:pPr>
      <w:r w:rsidRPr="00B07DD6">
        <w:rPr>
          <w:rFonts w:eastAsia="Calibri"/>
          <w:b/>
          <w:bCs/>
          <w:sz w:val="22"/>
          <w:szCs w:val="22"/>
        </w:rPr>
        <w:t xml:space="preserve">Kardiovaskularni </w:t>
      </w:r>
      <w:r w:rsidR="0070216F">
        <w:rPr>
          <w:rFonts w:eastAsia="Calibri"/>
          <w:b/>
          <w:bCs/>
          <w:sz w:val="22"/>
          <w:szCs w:val="22"/>
        </w:rPr>
        <w:t>i</w:t>
      </w:r>
      <w:r w:rsidRPr="00B07DD6">
        <w:rPr>
          <w:rFonts w:eastAsia="Calibri"/>
          <w:b/>
          <w:bCs/>
          <w:sz w:val="22"/>
          <w:szCs w:val="22"/>
        </w:rPr>
        <w:t xml:space="preserve"> cerebrovaskularni efekti</w:t>
      </w:r>
    </w:p>
    <w:p w14:paraId="453EB930" w14:textId="01778AEE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Prim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enu ketoprofena treba pažljivo razmotriti kod pacijenata sa nekontrolisanom hipertenzijom, kongestivnom insuficijencijom srca, dokazanom ishemijskom bolešću srca, perifernom arterijskom bolešću i/ili cerebrovaskularnom bolešću. Takođe, pr</w:t>
      </w:r>
      <w:r w:rsidR="0070216F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>e početka dugotrajnog l</w:t>
      </w:r>
      <w:r w:rsidR="0070216F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>ečenja, potrebno je pažljivo razmotriti prim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 xml:space="preserve">enu ketoprofena kod pacijenata sa faktorima rizika za nastanak kardiovaskularnih bolesti (npr. hipertenzija, hiperlipidemija, šećerna bolest, pušenje). </w:t>
      </w:r>
    </w:p>
    <w:p w14:paraId="12533231" w14:textId="77777777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</w:p>
    <w:p w14:paraId="1CB94DC8" w14:textId="131F83D3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 xml:space="preserve">Adekvatno praćenje </w:t>
      </w:r>
      <w:r w:rsidR="002E4903">
        <w:rPr>
          <w:rFonts w:eastAsia="Calibri"/>
          <w:sz w:val="22"/>
          <w:szCs w:val="22"/>
        </w:rPr>
        <w:t>i</w:t>
      </w:r>
      <w:r w:rsidRPr="001E0143">
        <w:rPr>
          <w:rFonts w:eastAsia="Calibri"/>
          <w:sz w:val="22"/>
          <w:szCs w:val="22"/>
        </w:rPr>
        <w:t xml:space="preserve"> poseban oprez kod pacijenata sa hipertenzijom i/ili blagom do um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erenom kongestivnom insuficijencijom srca, jer su pri prim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 xml:space="preserve">eni NSAIL </w:t>
      </w:r>
      <w:r w:rsidR="0070216F">
        <w:rPr>
          <w:rFonts w:eastAsia="Calibri"/>
          <w:sz w:val="22"/>
          <w:szCs w:val="22"/>
        </w:rPr>
        <w:t xml:space="preserve">zabilježeni </w:t>
      </w:r>
      <w:r w:rsidRPr="001E0143">
        <w:rPr>
          <w:rFonts w:eastAsia="Calibri"/>
          <w:sz w:val="22"/>
          <w:szCs w:val="22"/>
        </w:rPr>
        <w:t>retencija tečnosti i nastanak edema.</w:t>
      </w:r>
    </w:p>
    <w:p w14:paraId="0BE9AC2E" w14:textId="77777777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</w:p>
    <w:p w14:paraId="1E7F0EDF" w14:textId="615B1658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Klinička ispitivanja i epidemiološki podaci ukazuju da prim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ena NSAIL (posebno velikih doza i kod dugotrajne terapije) može biti povezana sa povećanim rizikom od arterijskih trombotičkih događaja (npr. infarkt miokarda ili moždani udar). Nedostatak podataka ne isključuje mogućnost istog rizika kod prim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ene ketoprofena.</w:t>
      </w:r>
    </w:p>
    <w:p w14:paraId="0B6A304C" w14:textId="77777777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</w:p>
    <w:p w14:paraId="03CB7854" w14:textId="2947FCA2" w:rsid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Prijavljeni su slučajevi povećanog rizika od atrijalne fibrilacije povezane sa prim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enom nesteroidnih antiinflamatornih l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 xml:space="preserve">ekova. </w:t>
      </w:r>
    </w:p>
    <w:p w14:paraId="49B3A918" w14:textId="77777777" w:rsidR="002E4903" w:rsidRPr="001E0143" w:rsidRDefault="002E4903" w:rsidP="001E0143">
      <w:pPr>
        <w:ind w:right="-68"/>
        <w:jc w:val="both"/>
        <w:rPr>
          <w:rFonts w:eastAsia="Calibri"/>
          <w:sz w:val="22"/>
          <w:szCs w:val="22"/>
        </w:rPr>
      </w:pPr>
    </w:p>
    <w:p w14:paraId="2FD3E224" w14:textId="4961E722" w:rsid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Može doći do hiperkalijemije, posebno kod pacijenata s postojećim dijabetesom, oštećenjem bubrega i/ili istovremenim l</w:t>
      </w:r>
      <w:r w:rsidR="0070216F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>ečenjem l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ekovima koji izazivaju hiperkalijemiju (</w:t>
      </w:r>
      <w:r w:rsidR="00881DAA">
        <w:rPr>
          <w:rFonts w:eastAsia="Calibri"/>
          <w:sz w:val="22"/>
          <w:szCs w:val="22"/>
        </w:rPr>
        <w:t>pogledati dio</w:t>
      </w:r>
      <w:r w:rsidRPr="001E0143">
        <w:rPr>
          <w:rFonts w:eastAsia="Calibri"/>
          <w:sz w:val="22"/>
          <w:szCs w:val="22"/>
        </w:rPr>
        <w:t xml:space="preserve"> 4.5).</w:t>
      </w:r>
    </w:p>
    <w:p w14:paraId="4BECE821" w14:textId="16C26E67" w:rsidR="002E4903" w:rsidRPr="001E0143" w:rsidRDefault="002E4903" w:rsidP="001E0143">
      <w:pPr>
        <w:ind w:right="-68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 ovim slučajevima potrebno je pratiti koncentraciju kalijuma.</w:t>
      </w:r>
    </w:p>
    <w:p w14:paraId="6E975EAF" w14:textId="77777777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</w:p>
    <w:p w14:paraId="40185716" w14:textId="5BA77A5E" w:rsidR="001E0143" w:rsidRDefault="001E0143" w:rsidP="001E0143">
      <w:pPr>
        <w:ind w:right="-68"/>
        <w:jc w:val="both"/>
        <w:rPr>
          <w:rFonts w:eastAsia="Calibri"/>
          <w:b/>
          <w:bCs/>
          <w:sz w:val="22"/>
          <w:szCs w:val="22"/>
        </w:rPr>
      </w:pPr>
      <w:r w:rsidRPr="00B07DD6">
        <w:rPr>
          <w:rFonts w:eastAsia="Calibri"/>
          <w:b/>
          <w:bCs/>
          <w:sz w:val="22"/>
          <w:szCs w:val="22"/>
        </w:rPr>
        <w:t>Prikrivanje simptoma postojećih infekcija</w:t>
      </w:r>
    </w:p>
    <w:p w14:paraId="00D1B60C" w14:textId="0E4DC467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L</w:t>
      </w:r>
      <w:r w:rsidR="0070216F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>ek Dolpirinn može prikriti simptome infekcije, što može odložiti početak odgovarajućeg l</w:t>
      </w:r>
      <w:r w:rsidR="0070216F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 xml:space="preserve">ečenja i time pogoršati ishod infekcije. To je </w:t>
      </w:r>
      <w:r w:rsidR="0070216F">
        <w:rPr>
          <w:rFonts w:eastAsia="Calibri"/>
          <w:sz w:val="22"/>
          <w:szCs w:val="22"/>
        </w:rPr>
        <w:t>zabilježeno</w:t>
      </w:r>
      <w:r w:rsidRPr="001E0143">
        <w:rPr>
          <w:rFonts w:eastAsia="Calibri"/>
          <w:sz w:val="22"/>
          <w:szCs w:val="22"/>
        </w:rPr>
        <w:t xml:space="preserve"> u slučaju vanbolnički stečene bakterijske upale pluća i bakterijskih komplikacija varičela. Kada se l</w:t>
      </w:r>
      <w:r w:rsidR="0070216F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>ek Dolpirinn primjenjuje za ublažavanje temperature ili bolova povezanih s infekcijom, preporučuje se praćenje infekcije. Pacijenti koji ni</w:t>
      </w:r>
      <w:r w:rsidR="002E4903">
        <w:rPr>
          <w:rFonts w:eastAsia="Calibri"/>
          <w:sz w:val="22"/>
          <w:szCs w:val="22"/>
        </w:rPr>
        <w:t>je</w:t>
      </w:r>
      <w:r w:rsidRPr="001E0143">
        <w:rPr>
          <w:rFonts w:eastAsia="Calibri"/>
          <w:sz w:val="22"/>
          <w:szCs w:val="22"/>
        </w:rPr>
        <w:t>su hospitalizovani treba da se obrate l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ekaru ako simptomi perzistiraju ili se pogoršaju.</w:t>
      </w:r>
    </w:p>
    <w:p w14:paraId="08418FAD" w14:textId="77777777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</w:p>
    <w:p w14:paraId="47215778" w14:textId="28F1683F" w:rsidR="002E4903" w:rsidRPr="002E4903" w:rsidRDefault="002E4903" w:rsidP="001E0143">
      <w:pPr>
        <w:ind w:right="-68"/>
        <w:jc w:val="both"/>
        <w:rPr>
          <w:rFonts w:eastAsia="Calibri"/>
          <w:sz w:val="22"/>
          <w:szCs w:val="22"/>
        </w:rPr>
      </w:pPr>
      <w:r w:rsidRPr="009831E0">
        <w:rPr>
          <w:sz w:val="22"/>
          <w:szCs w:val="22"/>
        </w:rPr>
        <w:t>Prim</w:t>
      </w:r>
      <w:r w:rsidR="00D85B78">
        <w:rPr>
          <w:sz w:val="22"/>
          <w:szCs w:val="22"/>
        </w:rPr>
        <w:t>j</w:t>
      </w:r>
      <w:r w:rsidRPr="009831E0">
        <w:rPr>
          <w:sz w:val="22"/>
          <w:szCs w:val="22"/>
        </w:rPr>
        <w:t>enjivati uz oprez kod pacijenata sa alergijskim manifestacijama ili prethodnom alergijom</w:t>
      </w:r>
      <w:r w:rsidRPr="00067F85">
        <w:rPr>
          <w:sz w:val="22"/>
          <w:szCs w:val="22"/>
        </w:rPr>
        <w:t>.</w:t>
      </w:r>
    </w:p>
    <w:p w14:paraId="74888691" w14:textId="77777777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</w:p>
    <w:p w14:paraId="349F51F3" w14:textId="2A500A4A" w:rsidR="001E0143" w:rsidRPr="00B07DD6" w:rsidRDefault="001E0143" w:rsidP="001E0143">
      <w:pPr>
        <w:ind w:right="-68"/>
        <w:jc w:val="both"/>
        <w:rPr>
          <w:rFonts w:eastAsia="Calibri"/>
          <w:b/>
          <w:bCs/>
          <w:sz w:val="22"/>
          <w:szCs w:val="22"/>
        </w:rPr>
      </w:pPr>
      <w:r w:rsidRPr="00B07DD6">
        <w:rPr>
          <w:rFonts w:eastAsia="Calibri"/>
          <w:b/>
          <w:bCs/>
          <w:sz w:val="22"/>
          <w:szCs w:val="22"/>
        </w:rPr>
        <w:t>Respiratorni poremećaji</w:t>
      </w:r>
    </w:p>
    <w:p w14:paraId="276FC763" w14:textId="77777777" w:rsidR="002E4903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Kao i kod svih nesteroidnih antiinflamatornih l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ekova, prim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 xml:space="preserve">ena ketoprofena kod pacijenata s bronhijalnom astmom ili alergijskom dijatezom može izazvati napade astme. </w:t>
      </w:r>
    </w:p>
    <w:p w14:paraId="2C234FDD" w14:textId="2BB7060C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Kod pacijenata sa astmom praćenom hroničnim rinitisom, hroničnim sinuzitisom i/ili nazalnom polipozom postoji veća v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 xml:space="preserve">erovatnoća za nastanak alergijskih reakcija na acetilsalicilnu kiselinu i/ili NSAIL u odnosu na opštu populaciju. </w:t>
      </w:r>
    </w:p>
    <w:p w14:paraId="61BB9BD6" w14:textId="77777777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</w:p>
    <w:p w14:paraId="755656AD" w14:textId="3B65810F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Prim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ena ketoprofena može izazvati napad astme ili bronhospazam, pogotovo kod osoba alergičnih na acetilsalicil</w:t>
      </w:r>
      <w:r w:rsidR="002E4903">
        <w:rPr>
          <w:rFonts w:eastAsia="Calibri"/>
          <w:sz w:val="22"/>
          <w:szCs w:val="22"/>
        </w:rPr>
        <w:t>n</w:t>
      </w:r>
      <w:r w:rsidRPr="001E0143">
        <w:rPr>
          <w:rFonts w:eastAsia="Calibri"/>
          <w:sz w:val="22"/>
          <w:szCs w:val="22"/>
        </w:rPr>
        <w:t>u kiselinu ili NSAIL (</w:t>
      </w:r>
      <w:r w:rsidR="00881DAA">
        <w:rPr>
          <w:rFonts w:eastAsia="Calibri"/>
          <w:sz w:val="22"/>
          <w:szCs w:val="22"/>
        </w:rPr>
        <w:t>pogledati dio</w:t>
      </w:r>
      <w:r w:rsidRPr="001E0143">
        <w:rPr>
          <w:rFonts w:eastAsia="Calibri"/>
          <w:sz w:val="22"/>
          <w:szCs w:val="22"/>
        </w:rPr>
        <w:t xml:space="preserve"> 4.3). Kod astmatičara i predisponiranih osoba zbog interakcije l</w:t>
      </w:r>
      <w:r w:rsidR="0070216F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>eka s metabolizmom arahidonske kiseline mogu nastati bronhospazmalne krize, eventualno šok i druge alergijske pojave.</w:t>
      </w:r>
    </w:p>
    <w:p w14:paraId="0C48274F" w14:textId="77777777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</w:p>
    <w:p w14:paraId="183C246C" w14:textId="4ED05B6B" w:rsidR="001E0143" w:rsidRPr="00B07DD6" w:rsidRDefault="001E0143" w:rsidP="001E0143">
      <w:pPr>
        <w:ind w:right="-68"/>
        <w:jc w:val="both"/>
        <w:rPr>
          <w:rFonts w:eastAsia="Calibri"/>
          <w:b/>
          <w:bCs/>
          <w:sz w:val="22"/>
          <w:szCs w:val="22"/>
        </w:rPr>
      </w:pPr>
      <w:r w:rsidRPr="00B07DD6">
        <w:rPr>
          <w:rFonts w:eastAsia="Calibri"/>
          <w:b/>
          <w:bCs/>
          <w:sz w:val="22"/>
          <w:szCs w:val="22"/>
        </w:rPr>
        <w:t>Poremećaj vida</w:t>
      </w:r>
    </w:p>
    <w:p w14:paraId="0893EF11" w14:textId="014EC188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U slučaju pojave poremećaja vida, kao što je zamućen vid, l</w:t>
      </w:r>
      <w:r w:rsidR="0070216F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>ečenje treba prekinuti.</w:t>
      </w:r>
    </w:p>
    <w:p w14:paraId="2E472217" w14:textId="77777777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</w:p>
    <w:p w14:paraId="79F387B2" w14:textId="20E92A0E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1E0143">
        <w:rPr>
          <w:rFonts w:eastAsia="Calibri"/>
          <w:sz w:val="22"/>
          <w:szCs w:val="22"/>
        </w:rPr>
        <w:t>L</w:t>
      </w:r>
      <w:r w:rsidR="0070216F">
        <w:rPr>
          <w:rFonts w:eastAsia="Calibri"/>
          <w:sz w:val="22"/>
          <w:szCs w:val="22"/>
        </w:rPr>
        <w:t>ij</w:t>
      </w:r>
      <w:r w:rsidRPr="001E0143">
        <w:rPr>
          <w:rFonts w:eastAsia="Calibri"/>
          <w:sz w:val="22"/>
          <w:szCs w:val="22"/>
        </w:rPr>
        <w:t>ek Dolpirinn treba prim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enjivati s oprezom kod pacijenata koji pate od hematopoetskih prom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ena, sistemskog eritemskog lupusa ili m</w:t>
      </w:r>
      <w:r w:rsidR="0070216F">
        <w:rPr>
          <w:rFonts w:eastAsia="Calibri"/>
          <w:sz w:val="22"/>
          <w:szCs w:val="22"/>
        </w:rPr>
        <w:t>j</w:t>
      </w:r>
      <w:r w:rsidRPr="001E0143">
        <w:rPr>
          <w:rFonts w:eastAsia="Calibri"/>
          <w:sz w:val="22"/>
          <w:szCs w:val="22"/>
        </w:rPr>
        <w:t>ešovitih bolesti vezivnog tkiva.</w:t>
      </w:r>
    </w:p>
    <w:p w14:paraId="0EA9B27A" w14:textId="77777777" w:rsidR="001E0143" w:rsidRPr="001E0143" w:rsidRDefault="001E0143" w:rsidP="001E0143">
      <w:pPr>
        <w:ind w:right="-68"/>
        <w:jc w:val="both"/>
        <w:rPr>
          <w:rFonts w:eastAsia="Calibri"/>
          <w:sz w:val="22"/>
          <w:szCs w:val="22"/>
        </w:rPr>
      </w:pPr>
    </w:p>
    <w:p w14:paraId="76A76BB7" w14:textId="3CCA00E7" w:rsidR="001726B4" w:rsidRDefault="001E0143" w:rsidP="001E0143">
      <w:pPr>
        <w:ind w:right="-68"/>
        <w:jc w:val="both"/>
        <w:rPr>
          <w:rFonts w:eastAsia="Calibri"/>
          <w:sz w:val="22"/>
          <w:szCs w:val="22"/>
        </w:rPr>
      </w:pPr>
      <w:r w:rsidRPr="00067F85">
        <w:rPr>
          <w:rFonts w:eastAsia="Calibri"/>
          <w:sz w:val="22"/>
          <w:szCs w:val="22"/>
        </w:rPr>
        <w:t>L</w:t>
      </w:r>
      <w:r w:rsidR="0070216F" w:rsidRPr="00067F85">
        <w:rPr>
          <w:rFonts w:eastAsia="Calibri"/>
          <w:sz w:val="22"/>
          <w:szCs w:val="22"/>
        </w:rPr>
        <w:t>ij</w:t>
      </w:r>
      <w:r w:rsidRPr="00067F85">
        <w:rPr>
          <w:rFonts w:eastAsia="Calibri"/>
          <w:sz w:val="22"/>
          <w:szCs w:val="22"/>
        </w:rPr>
        <w:t xml:space="preserve">ek Dolpirinn sadrži sorbitol: Pacijenti sa </w:t>
      </w:r>
      <w:r w:rsidR="00881DAA" w:rsidRPr="00067F85">
        <w:rPr>
          <w:rFonts w:eastAsia="Calibri"/>
          <w:sz w:val="22"/>
          <w:szCs w:val="22"/>
        </w:rPr>
        <w:t>rijetki</w:t>
      </w:r>
      <w:r w:rsidRPr="00067F85">
        <w:rPr>
          <w:rFonts w:eastAsia="Calibri"/>
          <w:sz w:val="22"/>
          <w:szCs w:val="22"/>
        </w:rPr>
        <w:t xml:space="preserve">m naslednim oboljenjem intolerancije na fruktozu ne </w:t>
      </w:r>
      <w:r w:rsidR="0052165D" w:rsidRPr="00067F85">
        <w:rPr>
          <w:rFonts w:eastAsia="Calibri"/>
          <w:sz w:val="22"/>
          <w:szCs w:val="22"/>
        </w:rPr>
        <w:t>smiju</w:t>
      </w:r>
      <w:r w:rsidRPr="00067F85">
        <w:rPr>
          <w:rFonts w:eastAsia="Calibri"/>
          <w:sz w:val="22"/>
          <w:szCs w:val="22"/>
        </w:rPr>
        <w:t xml:space="preserve"> koristiti ovaj l</w:t>
      </w:r>
      <w:r w:rsidR="0070216F" w:rsidRPr="00067F85">
        <w:rPr>
          <w:rFonts w:eastAsia="Calibri"/>
          <w:sz w:val="22"/>
          <w:szCs w:val="22"/>
        </w:rPr>
        <w:t>ij</w:t>
      </w:r>
      <w:r w:rsidRPr="00067F85">
        <w:rPr>
          <w:rFonts w:eastAsia="Calibri"/>
          <w:sz w:val="22"/>
          <w:szCs w:val="22"/>
        </w:rPr>
        <w:t>ek.</w:t>
      </w:r>
    </w:p>
    <w:p w14:paraId="5AA4DAE5" w14:textId="77777777" w:rsidR="001E0143" w:rsidRPr="006C75EC" w:rsidRDefault="001E0143" w:rsidP="001E0143">
      <w:pPr>
        <w:ind w:right="-68"/>
        <w:jc w:val="both"/>
        <w:rPr>
          <w:rFonts w:eastAsia="Calibri"/>
          <w:sz w:val="22"/>
          <w:szCs w:val="22"/>
        </w:rPr>
      </w:pPr>
    </w:p>
    <w:p w14:paraId="2C50394B" w14:textId="21A9BAD0" w:rsidR="2780F75B" w:rsidRPr="006C75EC" w:rsidRDefault="00F71BFD" w:rsidP="00F71BFD">
      <w:pPr>
        <w:jc w:val="both"/>
        <w:rPr>
          <w:b/>
          <w:bCs/>
          <w:sz w:val="22"/>
          <w:szCs w:val="22"/>
          <w:u w:val="single"/>
        </w:rPr>
      </w:pPr>
      <w:r w:rsidRPr="006C75EC">
        <w:rPr>
          <w:rFonts w:eastAsia="Calibri"/>
          <w:b/>
          <w:bCs/>
          <w:sz w:val="22"/>
          <w:szCs w:val="22"/>
        </w:rPr>
        <w:t xml:space="preserve">4.5 </w:t>
      </w:r>
      <w:r w:rsidR="00B67F2C" w:rsidRPr="006C75EC">
        <w:rPr>
          <w:rFonts w:eastAsia="Calibri"/>
          <w:b/>
          <w:bCs/>
          <w:sz w:val="22"/>
          <w:szCs w:val="22"/>
        </w:rPr>
        <w:t xml:space="preserve">Interakcije sa drugim </w:t>
      </w:r>
      <w:r w:rsidR="00D102BF" w:rsidRPr="006C75EC">
        <w:rPr>
          <w:rFonts w:eastAsia="Calibri"/>
          <w:b/>
          <w:bCs/>
          <w:sz w:val="22"/>
          <w:szCs w:val="22"/>
        </w:rPr>
        <w:t>ljek</w:t>
      </w:r>
      <w:r w:rsidR="00B67F2C" w:rsidRPr="006C75EC">
        <w:rPr>
          <w:rFonts w:eastAsia="Calibri"/>
          <w:b/>
          <w:bCs/>
          <w:sz w:val="22"/>
          <w:szCs w:val="22"/>
        </w:rPr>
        <w:t>ovima i druge vrste interakcija</w:t>
      </w:r>
    </w:p>
    <w:p w14:paraId="1CB2CEA3" w14:textId="77777777" w:rsidR="00B36C8D" w:rsidRPr="006C75EC" w:rsidRDefault="00B36C8D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36A7186E" w14:textId="46472963" w:rsidR="00740D2F" w:rsidRPr="006C75EC" w:rsidRDefault="00EC50D5" w:rsidP="00D2565C">
      <w:pPr>
        <w:jc w:val="both"/>
        <w:rPr>
          <w:rFonts w:eastAsia="Calibri"/>
          <w:i/>
          <w:iCs/>
          <w:sz w:val="22"/>
          <w:szCs w:val="22"/>
        </w:rPr>
      </w:pPr>
      <w:r w:rsidRPr="006C75EC">
        <w:rPr>
          <w:rFonts w:eastAsia="Calibri"/>
          <w:i/>
          <w:iCs/>
          <w:sz w:val="22"/>
          <w:szCs w:val="22"/>
        </w:rPr>
        <w:t>Ne preporučuju se kombinacije sa sl</w:t>
      </w:r>
      <w:r w:rsidR="001726B4" w:rsidRPr="006C75EC">
        <w:rPr>
          <w:rFonts w:eastAsia="Calibri"/>
          <w:i/>
          <w:iCs/>
          <w:sz w:val="22"/>
          <w:szCs w:val="22"/>
        </w:rPr>
        <w:t>j</w:t>
      </w:r>
      <w:r w:rsidRPr="006C75EC">
        <w:rPr>
          <w:rFonts w:eastAsia="Calibri"/>
          <w:i/>
          <w:iCs/>
          <w:sz w:val="22"/>
          <w:szCs w:val="22"/>
        </w:rPr>
        <w:t xml:space="preserve">edećim </w:t>
      </w:r>
      <w:r w:rsidR="00D102BF" w:rsidRPr="006C75EC">
        <w:rPr>
          <w:rFonts w:eastAsia="Calibri"/>
          <w:i/>
          <w:iCs/>
          <w:sz w:val="22"/>
          <w:szCs w:val="22"/>
        </w:rPr>
        <w:t>ljek</w:t>
      </w:r>
      <w:r w:rsidRPr="006C75EC">
        <w:rPr>
          <w:rFonts w:eastAsia="Calibri"/>
          <w:i/>
          <w:iCs/>
          <w:sz w:val="22"/>
          <w:szCs w:val="22"/>
        </w:rPr>
        <w:t>ovima</w:t>
      </w:r>
      <w:r w:rsidR="45FBB6E1" w:rsidRPr="006C75EC">
        <w:rPr>
          <w:rFonts w:eastAsia="Calibri"/>
          <w:i/>
          <w:iCs/>
          <w:sz w:val="22"/>
          <w:szCs w:val="22"/>
        </w:rPr>
        <w:t xml:space="preserve">: </w:t>
      </w:r>
    </w:p>
    <w:p w14:paraId="66F67096" w14:textId="00E4DA6B" w:rsidR="00EC50D5" w:rsidRPr="00E700E8" w:rsidRDefault="00EC50D5" w:rsidP="00D2565C">
      <w:pPr>
        <w:pStyle w:val="ListParagraph"/>
        <w:numPr>
          <w:ilvl w:val="0"/>
          <w:numId w:val="1"/>
        </w:numPr>
        <w:ind w:right="-68"/>
        <w:jc w:val="both"/>
        <w:rPr>
          <w:sz w:val="22"/>
          <w:szCs w:val="22"/>
        </w:rPr>
      </w:pPr>
      <w:r w:rsidRPr="00E700E8">
        <w:rPr>
          <w:sz w:val="22"/>
          <w:szCs w:val="22"/>
        </w:rPr>
        <w:t xml:space="preserve">Drugi nesteroidni antiinflamatorni </w:t>
      </w:r>
      <w:r w:rsidR="00D102BF" w:rsidRPr="00E700E8">
        <w:rPr>
          <w:sz w:val="22"/>
          <w:szCs w:val="22"/>
        </w:rPr>
        <w:t>ljek</w:t>
      </w:r>
      <w:r w:rsidRPr="00E700E8">
        <w:rPr>
          <w:sz w:val="22"/>
          <w:szCs w:val="22"/>
        </w:rPr>
        <w:t>ovi (NSAIL) (uključujući i se</w:t>
      </w:r>
      <w:r w:rsidR="00D102BF" w:rsidRPr="00E700E8">
        <w:rPr>
          <w:sz w:val="22"/>
          <w:szCs w:val="22"/>
        </w:rPr>
        <w:t>lek</w:t>
      </w:r>
      <w:r w:rsidRPr="00E700E8">
        <w:rPr>
          <w:sz w:val="22"/>
          <w:szCs w:val="22"/>
        </w:rPr>
        <w:t xml:space="preserve">tivne inhibitore ciklooksigenaze-2) i visoke doze salicilata </w:t>
      </w:r>
      <w:r w:rsidRPr="00E700E8">
        <w:rPr>
          <w:rFonts w:eastAsia="Calibri"/>
          <w:sz w:val="22"/>
          <w:szCs w:val="22"/>
        </w:rPr>
        <w:t>(</w:t>
      </w:r>
      <w:r w:rsidR="002E4903">
        <w:rPr>
          <w:rFonts w:eastAsia="Calibri"/>
          <w:sz w:val="22"/>
          <w:szCs w:val="22"/>
        </w:rPr>
        <w:t>&gt;</w:t>
      </w:r>
      <w:r w:rsidRPr="00E700E8">
        <w:rPr>
          <w:rFonts w:eastAsia="Calibri"/>
          <w:sz w:val="22"/>
          <w:szCs w:val="22"/>
        </w:rPr>
        <w:t xml:space="preserve"> 3 </w:t>
      </w:r>
      <w:r w:rsidR="000B5238" w:rsidRPr="00E700E8">
        <w:rPr>
          <w:rFonts w:eastAsia="Calibri"/>
          <w:sz w:val="22"/>
          <w:szCs w:val="22"/>
        </w:rPr>
        <w:t>g</w:t>
      </w:r>
      <w:r w:rsidRPr="00E700E8">
        <w:rPr>
          <w:rFonts w:eastAsia="Calibri"/>
          <w:sz w:val="22"/>
          <w:szCs w:val="22"/>
        </w:rPr>
        <w:t xml:space="preserve">/dan): </w:t>
      </w:r>
      <w:r w:rsidR="002E4903">
        <w:rPr>
          <w:sz w:val="22"/>
          <w:szCs w:val="22"/>
        </w:rPr>
        <w:t>i</w:t>
      </w:r>
      <w:r w:rsidRPr="00E700E8">
        <w:rPr>
          <w:sz w:val="22"/>
          <w:szCs w:val="22"/>
        </w:rPr>
        <w:t xml:space="preserve">stovremena </w:t>
      </w:r>
      <w:r w:rsidR="00CE2B72" w:rsidRPr="00E700E8">
        <w:rPr>
          <w:sz w:val="22"/>
          <w:szCs w:val="22"/>
        </w:rPr>
        <w:t>primjena</w:t>
      </w:r>
      <w:r w:rsidRPr="00E700E8">
        <w:rPr>
          <w:sz w:val="22"/>
          <w:szCs w:val="22"/>
        </w:rPr>
        <w:t xml:space="preserve"> nekoliko NSAIL</w:t>
      </w:r>
      <w:r w:rsidR="000B5238" w:rsidRPr="00E700E8">
        <w:rPr>
          <w:sz w:val="22"/>
          <w:szCs w:val="22"/>
        </w:rPr>
        <w:t>-a</w:t>
      </w:r>
      <w:r w:rsidRPr="00E700E8">
        <w:rPr>
          <w:sz w:val="22"/>
          <w:szCs w:val="22"/>
        </w:rPr>
        <w:t xml:space="preserve"> može povećati rizik od pojave gastrointestinalnih ulkusa i krvarenja, usl</w:t>
      </w:r>
      <w:r w:rsidR="001726B4" w:rsidRPr="00E700E8">
        <w:rPr>
          <w:sz w:val="22"/>
          <w:szCs w:val="22"/>
        </w:rPr>
        <w:t>j</w:t>
      </w:r>
      <w:r w:rsidRPr="00E700E8">
        <w:rPr>
          <w:sz w:val="22"/>
          <w:szCs w:val="22"/>
        </w:rPr>
        <w:t>ed sinergističkog dejstva.</w:t>
      </w:r>
    </w:p>
    <w:p w14:paraId="7CA670D7" w14:textId="6EEC877A" w:rsidR="00E700E8" w:rsidRPr="0080474A" w:rsidRDefault="00E700E8" w:rsidP="0052165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067F85">
        <w:rPr>
          <w:sz w:val="22"/>
          <w:szCs w:val="22"/>
        </w:rPr>
        <w:t xml:space="preserve">Antikoagulansi (heparin i varfarin) i inhibitori agregacije trombocita (npr. tiklopidin i klopidogrel): Povećan je rizik </w:t>
      </w:r>
      <w:r w:rsidRPr="00D2733D">
        <w:rPr>
          <w:sz w:val="22"/>
          <w:szCs w:val="22"/>
          <w:lang w:val="sr-Latn-ME"/>
        </w:rPr>
        <w:t>od</w:t>
      </w:r>
      <w:r w:rsidRPr="00067F85">
        <w:rPr>
          <w:sz w:val="22"/>
          <w:szCs w:val="22"/>
        </w:rPr>
        <w:t xml:space="preserve"> gastrointestinalnog krvarenja (</w:t>
      </w:r>
      <w:r w:rsidR="0070216F" w:rsidRPr="00067F85">
        <w:rPr>
          <w:sz w:val="22"/>
          <w:szCs w:val="22"/>
        </w:rPr>
        <w:t xml:space="preserve">pogledati dio </w:t>
      </w:r>
      <w:r w:rsidRPr="00067F85">
        <w:rPr>
          <w:sz w:val="22"/>
          <w:szCs w:val="22"/>
        </w:rPr>
        <w:t xml:space="preserve">4.4). </w:t>
      </w:r>
      <w:r w:rsidR="00067F85" w:rsidRPr="0052165D">
        <w:rPr>
          <w:sz w:val="22"/>
          <w:szCs w:val="22"/>
        </w:rPr>
        <w:t xml:space="preserve">Povećan rizik </w:t>
      </w:r>
      <w:proofErr w:type="gramStart"/>
      <w:r w:rsidR="00067F85" w:rsidRPr="00D2733D">
        <w:rPr>
          <w:sz w:val="22"/>
          <w:szCs w:val="22"/>
          <w:lang w:val="sr-Latn-ME"/>
        </w:rPr>
        <w:t>od</w:t>
      </w:r>
      <w:proofErr w:type="gramEnd"/>
      <w:r w:rsidR="00067F85" w:rsidRPr="0052165D">
        <w:rPr>
          <w:sz w:val="22"/>
          <w:szCs w:val="22"/>
        </w:rPr>
        <w:t xml:space="preserve"> krvarenja zbog inhibicije funkcije trombocita i oštećenja </w:t>
      </w:r>
      <w:proofErr w:type="spellStart"/>
      <w:r w:rsidR="00067F85" w:rsidRPr="0052165D">
        <w:rPr>
          <w:sz w:val="22"/>
          <w:szCs w:val="22"/>
        </w:rPr>
        <w:t>gastrointestinalne</w:t>
      </w:r>
      <w:proofErr w:type="spellEnd"/>
      <w:r w:rsidR="00067F85" w:rsidRPr="0052165D">
        <w:rPr>
          <w:sz w:val="22"/>
          <w:szCs w:val="22"/>
        </w:rPr>
        <w:t xml:space="preserve"> </w:t>
      </w:r>
      <w:proofErr w:type="spellStart"/>
      <w:r w:rsidR="00067F85" w:rsidRPr="0052165D">
        <w:rPr>
          <w:sz w:val="22"/>
          <w:szCs w:val="22"/>
        </w:rPr>
        <w:t>sluzokože</w:t>
      </w:r>
      <w:proofErr w:type="spellEnd"/>
      <w:r w:rsidR="00067F85" w:rsidRPr="0052165D">
        <w:rPr>
          <w:sz w:val="22"/>
          <w:szCs w:val="22"/>
        </w:rPr>
        <w:t xml:space="preserve"> (</w:t>
      </w:r>
      <w:proofErr w:type="spellStart"/>
      <w:r w:rsidR="00597E5A">
        <w:rPr>
          <w:sz w:val="22"/>
          <w:szCs w:val="22"/>
        </w:rPr>
        <w:t>pogledati</w:t>
      </w:r>
      <w:proofErr w:type="spellEnd"/>
      <w:r w:rsidR="00597E5A" w:rsidRPr="0052165D">
        <w:rPr>
          <w:sz w:val="22"/>
          <w:szCs w:val="22"/>
        </w:rPr>
        <w:t xml:space="preserve"> </w:t>
      </w:r>
      <w:proofErr w:type="spellStart"/>
      <w:r w:rsidR="00067F85" w:rsidRPr="00067F85">
        <w:rPr>
          <w:sz w:val="22"/>
          <w:szCs w:val="22"/>
        </w:rPr>
        <w:t>dio</w:t>
      </w:r>
      <w:proofErr w:type="spellEnd"/>
      <w:r w:rsidR="00067F85" w:rsidRPr="0052165D">
        <w:rPr>
          <w:sz w:val="22"/>
          <w:szCs w:val="22"/>
        </w:rPr>
        <w:t xml:space="preserve"> 4.4). </w:t>
      </w:r>
      <w:r w:rsidRPr="00067F85">
        <w:rPr>
          <w:sz w:val="22"/>
          <w:szCs w:val="22"/>
        </w:rPr>
        <w:t xml:space="preserve">Ako se takva </w:t>
      </w:r>
      <w:r w:rsidRPr="00D2733D">
        <w:rPr>
          <w:sz w:val="22"/>
          <w:szCs w:val="22"/>
          <w:lang w:val="sr-Latn-ME"/>
        </w:rPr>
        <w:t>istovremena</w:t>
      </w:r>
      <w:r w:rsidRPr="00067F85">
        <w:rPr>
          <w:sz w:val="22"/>
          <w:szCs w:val="22"/>
        </w:rPr>
        <w:t xml:space="preserve"> </w:t>
      </w:r>
      <w:r w:rsidRPr="00D2733D">
        <w:rPr>
          <w:sz w:val="22"/>
          <w:szCs w:val="22"/>
          <w:lang w:val="sr-Latn-ME"/>
        </w:rPr>
        <w:t>prim</w:t>
      </w:r>
      <w:r w:rsidR="0070216F" w:rsidRPr="00D2733D">
        <w:rPr>
          <w:sz w:val="22"/>
          <w:szCs w:val="22"/>
          <w:lang w:val="sr-Latn-ME"/>
        </w:rPr>
        <w:t>j</w:t>
      </w:r>
      <w:r w:rsidRPr="00D2733D">
        <w:rPr>
          <w:sz w:val="22"/>
          <w:szCs w:val="22"/>
          <w:lang w:val="sr-Latn-ME"/>
        </w:rPr>
        <w:t>ena</w:t>
      </w:r>
      <w:r w:rsidRPr="00067F85">
        <w:rPr>
          <w:sz w:val="22"/>
          <w:szCs w:val="22"/>
        </w:rPr>
        <w:t xml:space="preserve"> ne može izb</w:t>
      </w:r>
      <w:r w:rsidR="0070216F" w:rsidRPr="00715F33">
        <w:rPr>
          <w:sz w:val="22"/>
          <w:szCs w:val="22"/>
        </w:rPr>
        <w:t>j</w:t>
      </w:r>
      <w:r w:rsidRPr="00715F33">
        <w:rPr>
          <w:sz w:val="22"/>
          <w:szCs w:val="22"/>
        </w:rPr>
        <w:t>eći, pacijenta treba pažljivo pratiti.</w:t>
      </w:r>
    </w:p>
    <w:p w14:paraId="1802D958" w14:textId="1B6DD74E" w:rsidR="00735653" w:rsidRPr="00E700E8" w:rsidRDefault="45FBB6E1" w:rsidP="00D2565C">
      <w:pPr>
        <w:pStyle w:val="ListParagraph"/>
        <w:numPr>
          <w:ilvl w:val="0"/>
          <w:numId w:val="1"/>
        </w:numPr>
        <w:ind w:right="-68"/>
        <w:jc w:val="both"/>
        <w:rPr>
          <w:sz w:val="22"/>
          <w:szCs w:val="22"/>
        </w:rPr>
      </w:pPr>
      <w:r w:rsidRPr="00E700E8">
        <w:rPr>
          <w:sz w:val="22"/>
          <w:szCs w:val="22"/>
        </w:rPr>
        <w:t>Liti</w:t>
      </w:r>
      <w:r w:rsidR="00735653" w:rsidRPr="00E700E8">
        <w:rPr>
          <w:sz w:val="22"/>
          <w:szCs w:val="22"/>
        </w:rPr>
        <w:t>j</w:t>
      </w:r>
      <w:r w:rsidRPr="00E700E8">
        <w:rPr>
          <w:sz w:val="22"/>
          <w:szCs w:val="22"/>
        </w:rPr>
        <w:t xml:space="preserve">um </w:t>
      </w:r>
      <w:r w:rsidR="00735653" w:rsidRPr="00E700E8">
        <w:rPr>
          <w:sz w:val="22"/>
          <w:szCs w:val="22"/>
        </w:rPr>
        <w:t>(opisano kod nekoliko NSAIL</w:t>
      </w:r>
      <w:r w:rsidR="001905C7" w:rsidRPr="00E700E8">
        <w:rPr>
          <w:sz w:val="22"/>
          <w:szCs w:val="22"/>
        </w:rPr>
        <w:t>-a</w:t>
      </w:r>
      <w:r w:rsidR="00735653" w:rsidRPr="00E700E8">
        <w:rPr>
          <w:sz w:val="22"/>
          <w:szCs w:val="22"/>
        </w:rPr>
        <w:t>): NSAIL</w:t>
      </w:r>
      <w:r w:rsidR="001905C7" w:rsidRPr="00E700E8">
        <w:rPr>
          <w:sz w:val="22"/>
          <w:szCs w:val="22"/>
        </w:rPr>
        <w:t xml:space="preserve">-i </w:t>
      </w:r>
      <w:r w:rsidR="00735653" w:rsidRPr="00E700E8">
        <w:rPr>
          <w:sz w:val="22"/>
          <w:szCs w:val="22"/>
        </w:rPr>
        <w:t>poveća</w:t>
      </w:r>
      <w:r w:rsidR="0019027B" w:rsidRPr="00E700E8">
        <w:rPr>
          <w:sz w:val="22"/>
          <w:szCs w:val="22"/>
        </w:rPr>
        <w:t>vaju</w:t>
      </w:r>
      <w:r w:rsidR="00735653" w:rsidRPr="00E700E8">
        <w:rPr>
          <w:sz w:val="22"/>
          <w:szCs w:val="22"/>
        </w:rPr>
        <w:t xml:space="preserve"> koncentracij</w:t>
      </w:r>
      <w:r w:rsidR="0019027B" w:rsidRPr="00E700E8">
        <w:rPr>
          <w:sz w:val="22"/>
          <w:szCs w:val="22"/>
        </w:rPr>
        <w:t>u</w:t>
      </w:r>
      <w:r w:rsidR="00735653" w:rsidRPr="00E700E8">
        <w:rPr>
          <w:sz w:val="22"/>
          <w:szCs w:val="22"/>
        </w:rPr>
        <w:t xml:space="preserve"> litijuma u krvnoj plazmi (smanjeno izlučivanje litijuma putem bubrega)</w:t>
      </w:r>
      <w:r w:rsidR="001905C7" w:rsidRPr="00E700E8">
        <w:rPr>
          <w:sz w:val="22"/>
          <w:szCs w:val="22"/>
        </w:rPr>
        <w:t>,</w:t>
      </w:r>
      <w:r w:rsidR="00735653" w:rsidRPr="00E700E8">
        <w:rPr>
          <w:sz w:val="22"/>
          <w:szCs w:val="22"/>
        </w:rPr>
        <w:t xml:space="preserve"> </w:t>
      </w:r>
      <w:r w:rsidR="0019027B" w:rsidRPr="00E700E8">
        <w:rPr>
          <w:sz w:val="22"/>
          <w:szCs w:val="22"/>
        </w:rPr>
        <w:t>koji</w:t>
      </w:r>
      <w:r w:rsidR="00735653" w:rsidRPr="00E700E8">
        <w:rPr>
          <w:sz w:val="22"/>
          <w:szCs w:val="22"/>
        </w:rPr>
        <w:t xml:space="preserve"> mo</w:t>
      </w:r>
      <w:r w:rsidR="0019027B" w:rsidRPr="00E700E8">
        <w:rPr>
          <w:sz w:val="22"/>
          <w:szCs w:val="22"/>
        </w:rPr>
        <w:t>že</w:t>
      </w:r>
      <w:r w:rsidR="00735653" w:rsidRPr="00E700E8">
        <w:rPr>
          <w:sz w:val="22"/>
          <w:szCs w:val="22"/>
        </w:rPr>
        <w:t xml:space="preserve"> dostići toksične vr</w:t>
      </w:r>
      <w:r w:rsidR="001726B4" w:rsidRPr="00E700E8">
        <w:rPr>
          <w:sz w:val="22"/>
          <w:szCs w:val="22"/>
        </w:rPr>
        <w:t>ij</w:t>
      </w:r>
      <w:r w:rsidR="00735653" w:rsidRPr="00E700E8">
        <w:rPr>
          <w:sz w:val="22"/>
          <w:szCs w:val="22"/>
        </w:rPr>
        <w:t>ednosti. Stoga</w:t>
      </w:r>
      <w:r w:rsidR="0019027B" w:rsidRPr="00E700E8">
        <w:rPr>
          <w:sz w:val="22"/>
          <w:szCs w:val="22"/>
        </w:rPr>
        <w:t>,</w:t>
      </w:r>
      <w:r w:rsidR="00735653" w:rsidRPr="00E700E8">
        <w:rPr>
          <w:sz w:val="22"/>
          <w:szCs w:val="22"/>
        </w:rPr>
        <w:t xml:space="preserve"> </w:t>
      </w:r>
      <w:r w:rsidR="0019027B" w:rsidRPr="00E700E8">
        <w:rPr>
          <w:sz w:val="22"/>
          <w:szCs w:val="22"/>
        </w:rPr>
        <w:t>neophodno je</w:t>
      </w:r>
      <w:r w:rsidR="00735653" w:rsidRPr="00E700E8">
        <w:rPr>
          <w:sz w:val="22"/>
          <w:szCs w:val="22"/>
        </w:rPr>
        <w:t xml:space="preserve"> pratiti ovaj parametar i prilagođavati dozu litijuma tokom i nakon </w:t>
      </w:r>
      <w:r w:rsidR="0019027B" w:rsidRPr="00E700E8">
        <w:rPr>
          <w:sz w:val="22"/>
          <w:szCs w:val="22"/>
        </w:rPr>
        <w:t>l</w:t>
      </w:r>
      <w:r w:rsidR="001726B4" w:rsidRPr="00E700E8">
        <w:rPr>
          <w:sz w:val="22"/>
          <w:szCs w:val="22"/>
        </w:rPr>
        <w:t>ij</w:t>
      </w:r>
      <w:r w:rsidR="0019027B" w:rsidRPr="00E700E8">
        <w:rPr>
          <w:sz w:val="22"/>
          <w:szCs w:val="22"/>
        </w:rPr>
        <w:t>ečenja</w:t>
      </w:r>
      <w:r w:rsidR="00735653" w:rsidRPr="00E700E8">
        <w:rPr>
          <w:sz w:val="22"/>
          <w:szCs w:val="22"/>
        </w:rPr>
        <w:t xml:space="preserve"> ketoprofenom i drugim NSAIL</w:t>
      </w:r>
      <w:r w:rsidR="001905C7" w:rsidRPr="00E700E8">
        <w:rPr>
          <w:sz w:val="22"/>
          <w:szCs w:val="22"/>
        </w:rPr>
        <w:t>-ima</w:t>
      </w:r>
      <w:r w:rsidR="0019027B" w:rsidRPr="00E700E8">
        <w:rPr>
          <w:sz w:val="22"/>
          <w:szCs w:val="22"/>
        </w:rPr>
        <w:t>.</w:t>
      </w:r>
    </w:p>
    <w:p w14:paraId="40680734" w14:textId="662A93B8" w:rsidR="0019027B" w:rsidRPr="00E700E8" w:rsidRDefault="0019027B" w:rsidP="00D2565C">
      <w:pPr>
        <w:pStyle w:val="ListParagraph"/>
        <w:numPr>
          <w:ilvl w:val="0"/>
          <w:numId w:val="1"/>
        </w:numPr>
        <w:ind w:right="-68"/>
        <w:jc w:val="both"/>
        <w:rPr>
          <w:sz w:val="22"/>
          <w:szCs w:val="22"/>
        </w:rPr>
      </w:pPr>
      <w:r w:rsidRPr="00E700E8">
        <w:rPr>
          <w:sz w:val="22"/>
          <w:szCs w:val="22"/>
        </w:rPr>
        <w:t>Metotreksat, u dozama većim od 15 mg/ned</w:t>
      </w:r>
      <w:r w:rsidR="001905C7" w:rsidRPr="00E700E8">
        <w:rPr>
          <w:sz w:val="22"/>
          <w:szCs w:val="22"/>
        </w:rPr>
        <w:t>j</w:t>
      </w:r>
      <w:r w:rsidRPr="00E700E8">
        <w:rPr>
          <w:sz w:val="22"/>
          <w:szCs w:val="22"/>
        </w:rPr>
        <w:t xml:space="preserve">eljno: </w:t>
      </w:r>
      <w:r w:rsidR="00947B15">
        <w:rPr>
          <w:sz w:val="22"/>
          <w:szCs w:val="22"/>
        </w:rPr>
        <w:t>p</w:t>
      </w:r>
      <w:r w:rsidRPr="00E700E8">
        <w:rPr>
          <w:sz w:val="22"/>
          <w:szCs w:val="22"/>
        </w:rPr>
        <w:t>ovećan je rizik za nastanak hematološke toksičnosti metotreksata, posebno kada se prim</w:t>
      </w:r>
      <w:r w:rsidR="001726B4" w:rsidRPr="00E700E8">
        <w:rPr>
          <w:sz w:val="22"/>
          <w:szCs w:val="22"/>
        </w:rPr>
        <w:t>j</w:t>
      </w:r>
      <w:r w:rsidRPr="00E700E8">
        <w:rPr>
          <w:sz w:val="22"/>
          <w:szCs w:val="22"/>
        </w:rPr>
        <w:t>enjuje u vi</w:t>
      </w:r>
      <w:r w:rsidR="001726B4" w:rsidRPr="00E700E8">
        <w:rPr>
          <w:sz w:val="22"/>
          <w:szCs w:val="22"/>
        </w:rPr>
        <w:t>ši</w:t>
      </w:r>
      <w:r w:rsidRPr="00E700E8">
        <w:rPr>
          <w:sz w:val="22"/>
          <w:szCs w:val="22"/>
        </w:rPr>
        <w:t>m dozama (&gt; 15 mg/</w:t>
      </w:r>
      <w:r w:rsidR="00A2164B" w:rsidRPr="00E700E8">
        <w:rPr>
          <w:sz w:val="22"/>
          <w:szCs w:val="22"/>
        </w:rPr>
        <w:t>nedjeljno</w:t>
      </w:r>
      <w:r w:rsidRPr="00E700E8">
        <w:rPr>
          <w:sz w:val="22"/>
          <w:szCs w:val="22"/>
        </w:rPr>
        <w:t>), što može biti posl</w:t>
      </w:r>
      <w:r w:rsidR="001726B4" w:rsidRPr="00E700E8">
        <w:rPr>
          <w:sz w:val="22"/>
          <w:szCs w:val="22"/>
        </w:rPr>
        <w:t>j</w:t>
      </w:r>
      <w:r w:rsidRPr="00E700E8">
        <w:rPr>
          <w:sz w:val="22"/>
          <w:szCs w:val="22"/>
        </w:rPr>
        <w:t xml:space="preserve">edica istiskivanja metotreksata iz veze sa proteinima plazme i smanjenja renalnog klirensa metotreksata </w:t>
      </w:r>
      <w:r w:rsidR="00A2164B" w:rsidRPr="00E700E8">
        <w:rPr>
          <w:sz w:val="22"/>
          <w:szCs w:val="22"/>
        </w:rPr>
        <w:t>usljed</w:t>
      </w:r>
      <w:r w:rsidRPr="00E700E8">
        <w:rPr>
          <w:sz w:val="22"/>
          <w:szCs w:val="22"/>
        </w:rPr>
        <w:t xml:space="preserve"> prim</w:t>
      </w:r>
      <w:r w:rsidR="001726B4" w:rsidRPr="00E700E8">
        <w:rPr>
          <w:sz w:val="22"/>
          <w:szCs w:val="22"/>
        </w:rPr>
        <w:t>j</w:t>
      </w:r>
      <w:r w:rsidRPr="00E700E8">
        <w:rPr>
          <w:sz w:val="22"/>
          <w:szCs w:val="22"/>
        </w:rPr>
        <w:t xml:space="preserve">ene antiinflamatornih </w:t>
      </w:r>
      <w:r w:rsidR="00D102BF" w:rsidRPr="00E700E8">
        <w:rPr>
          <w:sz w:val="22"/>
          <w:szCs w:val="22"/>
        </w:rPr>
        <w:t>ljek</w:t>
      </w:r>
      <w:r w:rsidRPr="00E700E8">
        <w:rPr>
          <w:sz w:val="22"/>
          <w:szCs w:val="22"/>
        </w:rPr>
        <w:t>ova</w:t>
      </w:r>
      <w:r w:rsidR="45FBB6E1" w:rsidRPr="00E700E8">
        <w:rPr>
          <w:sz w:val="22"/>
          <w:szCs w:val="22"/>
        </w:rPr>
        <w:t xml:space="preserve">. </w:t>
      </w:r>
      <w:r w:rsidRPr="00E700E8">
        <w:rPr>
          <w:sz w:val="22"/>
          <w:szCs w:val="22"/>
        </w:rPr>
        <w:t>Neophodno je poštovati vremenski interval od 12 sati između prekida ili početka l</w:t>
      </w:r>
      <w:r w:rsidR="001726B4" w:rsidRPr="00E700E8">
        <w:rPr>
          <w:sz w:val="22"/>
          <w:szCs w:val="22"/>
        </w:rPr>
        <w:t>ij</w:t>
      </w:r>
      <w:r w:rsidRPr="00E700E8">
        <w:rPr>
          <w:sz w:val="22"/>
          <w:szCs w:val="22"/>
        </w:rPr>
        <w:t>ečenja prim</w:t>
      </w:r>
      <w:r w:rsidR="001726B4" w:rsidRPr="00E700E8">
        <w:rPr>
          <w:sz w:val="22"/>
          <w:szCs w:val="22"/>
        </w:rPr>
        <w:t>j</w:t>
      </w:r>
      <w:r w:rsidRPr="00E700E8">
        <w:rPr>
          <w:sz w:val="22"/>
          <w:szCs w:val="22"/>
        </w:rPr>
        <w:t>enom ketoprofen lizinske soli i prim</w:t>
      </w:r>
      <w:r w:rsidR="001726B4" w:rsidRPr="00E700E8">
        <w:rPr>
          <w:sz w:val="22"/>
          <w:szCs w:val="22"/>
        </w:rPr>
        <w:t>j</w:t>
      </w:r>
      <w:r w:rsidRPr="00E700E8">
        <w:rPr>
          <w:sz w:val="22"/>
          <w:szCs w:val="22"/>
        </w:rPr>
        <w:t>ene metotreksata.</w:t>
      </w:r>
    </w:p>
    <w:p w14:paraId="30AC3363" w14:textId="23B6670A" w:rsidR="00BD0557" w:rsidRPr="00E700E8" w:rsidRDefault="0019027B" w:rsidP="00D2565C">
      <w:pPr>
        <w:pStyle w:val="ListParagraph"/>
        <w:numPr>
          <w:ilvl w:val="0"/>
          <w:numId w:val="1"/>
        </w:numPr>
        <w:ind w:right="-68"/>
        <w:jc w:val="both"/>
        <w:rPr>
          <w:sz w:val="22"/>
          <w:szCs w:val="22"/>
        </w:rPr>
      </w:pPr>
      <w:r w:rsidRPr="00E700E8">
        <w:rPr>
          <w:sz w:val="22"/>
          <w:szCs w:val="22"/>
        </w:rPr>
        <w:t xml:space="preserve">Hidantoini </w:t>
      </w:r>
      <w:r w:rsidR="00375E11" w:rsidRPr="00375E11">
        <w:rPr>
          <w:sz w:val="22"/>
          <w:szCs w:val="22"/>
        </w:rPr>
        <w:t xml:space="preserve">(npr. fenitoin) </w:t>
      </w:r>
      <w:r w:rsidRPr="00375E11">
        <w:rPr>
          <w:sz w:val="22"/>
          <w:szCs w:val="22"/>
        </w:rPr>
        <w:t>i</w:t>
      </w:r>
      <w:r w:rsidRPr="00E700E8">
        <w:rPr>
          <w:sz w:val="22"/>
          <w:szCs w:val="22"/>
        </w:rPr>
        <w:t xml:space="preserve"> sulfonamidi: </w:t>
      </w:r>
      <w:r w:rsidR="00947B15">
        <w:rPr>
          <w:sz w:val="22"/>
          <w:szCs w:val="22"/>
        </w:rPr>
        <w:t>t</w:t>
      </w:r>
      <w:r w:rsidRPr="00E700E8">
        <w:rPr>
          <w:sz w:val="22"/>
          <w:szCs w:val="22"/>
        </w:rPr>
        <w:t>oksična dejstva ovih supstanci mogu da se povećaju</w:t>
      </w:r>
      <w:r w:rsidR="45FBB6E1" w:rsidRPr="00E700E8">
        <w:rPr>
          <w:sz w:val="22"/>
          <w:szCs w:val="22"/>
        </w:rPr>
        <w:t>.</w:t>
      </w:r>
    </w:p>
    <w:p w14:paraId="593C3395" w14:textId="77777777" w:rsidR="00BD0557" w:rsidRPr="00E700E8" w:rsidRDefault="00BD0557" w:rsidP="00D2565C">
      <w:pPr>
        <w:jc w:val="both"/>
        <w:rPr>
          <w:sz w:val="22"/>
          <w:szCs w:val="22"/>
        </w:rPr>
      </w:pPr>
    </w:p>
    <w:p w14:paraId="7593B411" w14:textId="30965961" w:rsidR="4E5D0D90" w:rsidRPr="006C75EC" w:rsidRDefault="00022748" w:rsidP="00D2565C">
      <w:pPr>
        <w:jc w:val="both"/>
        <w:rPr>
          <w:rFonts w:eastAsia="Calibri"/>
          <w:i/>
          <w:iCs/>
          <w:sz w:val="22"/>
          <w:szCs w:val="22"/>
        </w:rPr>
      </w:pPr>
      <w:r w:rsidRPr="006C75EC">
        <w:rPr>
          <w:rFonts w:eastAsia="Calibri"/>
          <w:i/>
          <w:iCs/>
          <w:sz w:val="22"/>
          <w:szCs w:val="22"/>
        </w:rPr>
        <w:t>Kombinacije</w:t>
      </w:r>
      <w:r w:rsidR="45FBB6E1" w:rsidRPr="006C75EC">
        <w:rPr>
          <w:rFonts w:eastAsia="Calibri"/>
          <w:i/>
          <w:iCs/>
          <w:sz w:val="22"/>
          <w:szCs w:val="22"/>
        </w:rPr>
        <w:t xml:space="preserve"> </w:t>
      </w:r>
      <w:r w:rsidRPr="006C75EC">
        <w:rPr>
          <w:rFonts w:eastAsia="Calibri"/>
          <w:i/>
          <w:iCs/>
          <w:sz w:val="22"/>
          <w:szCs w:val="22"/>
        </w:rPr>
        <w:t>sa sl</w:t>
      </w:r>
      <w:r w:rsidR="001726B4" w:rsidRPr="006C75EC">
        <w:rPr>
          <w:rFonts w:eastAsia="Calibri"/>
          <w:i/>
          <w:iCs/>
          <w:sz w:val="22"/>
          <w:szCs w:val="22"/>
        </w:rPr>
        <w:t>j</w:t>
      </w:r>
      <w:r w:rsidRPr="006C75EC">
        <w:rPr>
          <w:rFonts w:eastAsia="Calibri"/>
          <w:i/>
          <w:iCs/>
          <w:sz w:val="22"/>
          <w:szCs w:val="22"/>
        </w:rPr>
        <w:t xml:space="preserve">edećim </w:t>
      </w:r>
      <w:r w:rsidR="00D102BF" w:rsidRPr="006C75EC">
        <w:rPr>
          <w:rFonts w:eastAsia="Calibri"/>
          <w:i/>
          <w:iCs/>
          <w:sz w:val="22"/>
          <w:szCs w:val="22"/>
        </w:rPr>
        <w:t>ljek</w:t>
      </w:r>
      <w:r w:rsidRPr="006C75EC">
        <w:rPr>
          <w:rFonts w:eastAsia="Calibri"/>
          <w:i/>
          <w:iCs/>
          <w:sz w:val="22"/>
          <w:szCs w:val="22"/>
        </w:rPr>
        <w:t xml:space="preserve">ovima </w:t>
      </w:r>
      <w:r w:rsidR="00A2164B" w:rsidRPr="006C75EC">
        <w:rPr>
          <w:rFonts w:eastAsia="Calibri"/>
          <w:i/>
          <w:iCs/>
          <w:sz w:val="22"/>
          <w:szCs w:val="22"/>
        </w:rPr>
        <w:t>zahtijevaju</w:t>
      </w:r>
      <w:r w:rsidRPr="006C75EC">
        <w:rPr>
          <w:rFonts w:eastAsia="Calibri"/>
          <w:i/>
          <w:iCs/>
          <w:sz w:val="22"/>
          <w:szCs w:val="22"/>
        </w:rPr>
        <w:t xml:space="preserve"> oprez kod prim</w:t>
      </w:r>
      <w:r w:rsidR="001726B4" w:rsidRPr="006C75EC">
        <w:rPr>
          <w:rFonts w:eastAsia="Calibri"/>
          <w:i/>
          <w:iCs/>
          <w:sz w:val="22"/>
          <w:szCs w:val="22"/>
        </w:rPr>
        <w:t>j</w:t>
      </w:r>
      <w:r w:rsidRPr="006C75EC">
        <w:rPr>
          <w:rFonts w:eastAsia="Calibri"/>
          <w:i/>
          <w:iCs/>
          <w:sz w:val="22"/>
          <w:szCs w:val="22"/>
        </w:rPr>
        <w:t>ene</w:t>
      </w:r>
      <w:r w:rsidR="45FBB6E1" w:rsidRPr="006C75EC">
        <w:rPr>
          <w:rFonts w:eastAsia="Calibri"/>
          <w:i/>
          <w:iCs/>
          <w:sz w:val="22"/>
          <w:szCs w:val="22"/>
        </w:rPr>
        <w:t xml:space="preserve">: </w:t>
      </w:r>
    </w:p>
    <w:p w14:paraId="3E6FE151" w14:textId="2F05BE5E" w:rsidR="4E5D0D90" w:rsidRPr="007C07DD" w:rsidRDefault="00D102BF" w:rsidP="00D2565C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7C07DD">
        <w:rPr>
          <w:sz w:val="22"/>
          <w:szCs w:val="22"/>
        </w:rPr>
        <w:t>Ljek</w:t>
      </w:r>
      <w:r w:rsidR="00022748" w:rsidRPr="007C07DD">
        <w:rPr>
          <w:sz w:val="22"/>
          <w:szCs w:val="22"/>
        </w:rPr>
        <w:t>ovi ili </w:t>
      </w:r>
      <w:r w:rsidR="006F0E57" w:rsidRPr="007C07DD">
        <w:rPr>
          <w:sz w:val="22"/>
          <w:szCs w:val="22"/>
        </w:rPr>
        <w:t>grupe ljekova</w:t>
      </w:r>
      <w:r w:rsidR="00022748" w:rsidRPr="007C07DD">
        <w:rPr>
          <w:sz w:val="22"/>
          <w:szCs w:val="22"/>
        </w:rPr>
        <w:t xml:space="preserve"> </w:t>
      </w:r>
      <w:r w:rsidR="00947B15">
        <w:rPr>
          <w:sz w:val="22"/>
          <w:szCs w:val="22"/>
        </w:rPr>
        <w:t>koje mogu dovesti do pojave hiperkalemije,</w:t>
      </w:r>
      <w:r w:rsidR="00022748" w:rsidRPr="007C07DD">
        <w:rPr>
          <w:sz w:val="22"/>
          <w:szCs w:val="22"/>
        </w:rPr>
        <w:t xml:space="preserve"> npr. kalijumove soli, diuretici koji štede kalijum, ACE inhibitori, antagonisti angiotenzin II receptora, NSAIL</w:t>
      </w:r>
      <w:r w:rsidR="00F53E6E" w:rsidRPr="007C07DD">
        <w:rPr>
          <w:sz w:val="22"/>
          <w:szCs w:val="22"/>
        </w:rPr>
        <w:t>-i</w:t>
      </w:r>
      <w:r w:rsidR="00022748" w:rsidRPr="007C07DD">
        <w:rPr>
          <w:sz w:val="22"/>
          <w:szCs w:val="22"/>
        </w:rPr>
        <w:t>, heparini (male mo</w:t>
      </w:r>
      <w:r w:rsidRPr="007C07DD">
        <w:rPr>
          <w:sz w:val="22"/>
          <w:szCs w:val="22"/>
        </w:rPr>
        <w:t>lek</w:t>
      </w:r>
      <w:r w:rsidR="00022748" w:rsidRPr="007C07DD">
        <w:rPr>
          <w:sz w:val="22"/>
          <w:szCs w:val="22"/>
        </w:rPr>
        <w:t>ulske mase ili nefrakcionisani),</w:t>
      </w:r>
      <w:r w:rsidR="00384628" w:rsidRPr="007C07DD">
        <w:rPr>
          <w:sz w:val="22"/>
          <w:szCs w:val="22"/>
        </w:rPr>
        <w:t xml:space="preserve"> </w:t>
      </w:r>
      <w:r w:rsidR="00022748" w:rsidRPr="007C07DD">
        <w:rPr>
          <w:sz w:val="22"/>
          <w:szCs w:val="22"/>
        </w:rPr>
        <w:t>ciklosporin</w:t>
      </w:r>
      <w:r w:rsidR="00384628" w:rsidRPr="007C07DD">
        <w:rPr>
          <w:sz w:val="22"/>
          <w:szCs w:val="22"/>
        </w:rPr>
        <w:t>,</w:t>
      </w:r>
      <w:r w:rsidR="00022748" w:rsidRPr="007C07DD">
        <w:rPr>
          <w:sz w:val="22"/>
          <w:szCs w:val="22"/>
        </w:rPr>
        <w:t xml:space="preserve"> takrolimus</w:t>
      </w:r>
      <w:r w:rsidR="00384628" w:rsidRPr="007C07DD">
        <w:rPr>
          <w:sz w:val="22"/>
          <w:szCs w:val="22"/>
        </w:rPr>
        <w:t xml:space="preserve"> i</w:t>
      </w:r>
      <w:r w:rsidR="00022748" w:rsidRPr="007C07DD">
        <w:rPr>
          <w:sz w:val="22"/>
          <w:szCs w:val="22"/>
        </w:rPr>
        <w:t xml:space="preserve"> trimetoprim</w:t>
      </w:r>
      <w:r w:rsidR="00384628" w:rsidRPr="007C07DD">
        <w:rPr>
          <w:sz w:val="22"/>
          <w:szCs w:val="22"/>
        </w:rPr>
        <w:t xml:space="preserve">. Pojava hiperkalemije može zavisiti od prisustva kofaktora. Rizik se povećava kada se gore navedeni </w:t>
      </w:r>
      <w:r w:rsidR="00BB2264" w:rsidRPr="007C07DD">
        <w:rPr>
          <w:sz w:val="22"/>
          <w:szCs w:val="22"/>
        </w:rPr>
        <w:t>ljekovi</w:t>
      </w:r>
      <w:r w:rsidR="00384628" w:rsidRPr="007C07DD">
        <w:rPr>
          <w:sz w:val="22"/>
          <w:szCs w:val="22"/>
        </w:rPr>
        <w:t xml:space="preserve"> daju istovremeno</w:t>
      </w:r>
      <w:r w:rsidR="45FBB6E1" w:rsidRPr="007C07DD">
        <w:rPr>
          <w:sz w:val="22"/>
          <w:szCs w:val="22"/>
        </w:rPr>
        <w:t xml:space="preserve">. </w:t>
      </w:r>
    </w:p>
    <w:p w14:paraId="6523C50D" w14:textId="2D111338" w:rsidR="4E5D0D90" w:rsidRPr="006C75EC" w:rsidRDefault="00384628" w:rsidP="00D2565C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6C75EC">
        <w:rPr>
          <w:rFonts w:eastAsia="Calibri"/>
          <w:sz w:val="22"/>
          <w:szCs w:val="22"/>
        </w:rPr>
        <w:t xml:space="preserve">Tenofovir: Istovremena </w:t>
      </w:r>
      <w:r w:rsidR="00CE2B72" w:rsidRPr="006C75EC">
        <w:rPr>
          <w:rFonts w:eastAsia="Calibri"/>
          <w:sz w:val="22"/>
          <w:szCs w:val="22"/>
        </w:rPr>
        <w:t>primjena</w:t>
      </w:r>
      <w:r w:rsidRPr="006C75EC">
        <w:rPr>
          <w:rFonts w:eastAsia="Calibri"/>
          <w:sz w:val="22"/>
          <w:szCs w:val="22"/>
        </w:rPr>
        <w:t xml:space="preserve"> tenofovir dizoproksil fumarata i NSAIL</w:t>
      </w:r>
      <w:r w:rsidR="00F53E6E" w:rsidRPr="006C75EC">
        <w:rPr>
          <w:rFonts w:eastAsia="Calibri"/>
          <w:sz w:val="22"/>
          <w:szCs w:val="22"/>
        </w:rPr>
        <w:t>-a</w:t>
      </w:r>
      <w:r w:rsidRPr="006C75EC">
        <w:rPr>
          <w:rFonts w:eastAsia="Calibri"/>
          <w:sz w:val="22"/>
          <w:szCs w:val="22"/>
        </w:rPr>
        <w:t xml:space="preserve"> može povećati rizik od bubrežne insuficijencije</w:t>
      </w:r>
      <w:r w:rsidR="45FBB6E1" w:rsidRPr="006C75EC">
        <w:rPr>
          <w:rFonts w:eastAsia="Calibri"/>
          <w:sz w:val="22"/>
          <w:szCs w:val="22"/>
        </w:rPr>
        <w:t xml:space="preserve">. </w:t>
      </w:r>
    </w:p>
    <w:p w14:paraId="673EBE2A" w14:textId="395C4ABE" w:rsidR="00E51127" w:rsidRPr="00E51127" w:rsidRDefault="00E51127" w:rsidP="00E51127">
      <w:pPr>
        <w:pStyle w:val="ListParagraph"/>
        <w:numPr>
          <w:ilvl w:val="0"/>
          <w:numId w:val="5"/>
        </w:numPr>
        <w:tabs>
          <w:tab w:val="left" w:pos="426"/>
        </w:tabs>
        <w:ind w:right="-68"/>
        <w:jc w:val="both"/>
        <w:rPr>
          <w:sz w:val="22"/>
          <w:szCs w:val="22"/>
        </w:rPr>
      </w:pPr>
      <w:r w:rsidRPr="00E51127">
        <w:rPr>
          <w:sz w:val="22"/>
          <w:szCs w:val="22"/>
        </w:rPr>
        <w:t>ACE inhibitori i antagonisti angiotenzina II: kod pacijenata sa oštećenjem funkcije bubrega (npr. dehidrirani pacijenti i stariji pacijenti), istovremena prim</w:t>
      </w:r>
      <w:r w:rsidR="0070216F">
        <w:rPr>
          <w:sz w:val="22"/>
          <w:szCs w:val="22"/>
        </w:rPr>
        <w:t>j</w:t>
      </w:r>
      <w:r w:rsidRPr="00E51127">
        <w:rPr>
          <w:sz w:val="22"/>
          <w:szCs w:val="22"/>
        </w:rPr>
        <w:t>ena ACE inhibitora ili antagonista angiotenzina II i inhibitora ciklooksigenaze može da ima za posl</w:t>
      </w:r>
      <w:r w:rsidR="0070216F">
        <w:rPr>
          <w:sz w:val="22"/>
          <w:szCs w:val="22"/>
        </w:rPr>
        <w:t>j</w:t>
      </w:r>
      <w:r w:rsidRPr="00E51127">
        <w:rPr>
          <w:sz w:val="22"/>
          <w:szCs w:val="22"/>
        </w:rPr>
        <w:t xml:space="preserve">edicu dalјe pogoršanje funkcije bubrega, koja uključuje moguću akutnu bubrežnu insuficijenciju. Ova kombinacija se mora </w:t>
      </w:r>
      <w:r w:rsidRPr="00E51127">
        <w:rPr>
          <w:sz w:val="22"/>
          <w:szCs w:val="22"/>
        </w:rPr>
        <w:lastRenderedPageBreak/>
        <w:t>primjenjivati uz oprez, posebno kod starijih pacijenata. Pacijente je potrebno odgovarajuće hidrirati te razmotriti praćenje funkcije bubrega nakon uvođenja istovremene terapije;</w:t>
      </w:r>
    </w:p>
    <w:p w14:paraId="6D12508F" w14:textId="3DCD48A4" w:rsidR="00E51127" w:rsidRPr="00E51127" w:rsidRDefault="00E51127" w:rsidP="00E51127">
      <w:pPr>
        <w:pStyle w:val="ListParagraph"/>
        <w:numPr>
          <w:ilvl w:val="0"/>
          <w:numId w:val="5"/>
        </w:numPr>
        <w:tabs>
          <w:tab w:val="left" w:pos="426"/>
        </w:tabs>
        <w:ind w:right="-68"/>
        <w:jc w:val="both"/>
        <w:rPr>
          <w:sz w:val="22"/>
          <w:szCs w:val="22"/>
        </w:rPr>
      </w:pPr>
      <w:r w:rsidRPr="00E51127">
        <w:rPr>
          <w:sz w:val="22"/>
          <w:szCs w:val="22"/>
        </w:rPr>
        <w:t xml:space="preserve">Kortikosteroidi: </w:t>
      </w:r>
      <w:r w:rsidR="00947B15">
        <w:rPr>
          <w:sz w:val="22"/>
          <w:szCs w:val="22"/>
        </w:rPr>
        <w:t>p</w:t>
      </w:r>
      <w:r w:rsidRPr="00E51127">
        <w:rPr>
          <w:sz w:val="22"/>
          <w:szCs w:val="22"/>
        </w:rPr>
        <w:t>ovećan je rizik od gastrointestinalne ulceracije ili krvarenja (</w:t>
      </w:r>
      <w:r w:rsidR="0070216F">
        <w:rPr>
          <w:sz w:val="22"/>
          <w:szCs w:val="22"/>
        </w:rPr>
        <w:t xml:space="preserve">pogledati dio </w:t>
      </w:r>
      <w:r w:rsidRPr="00E51127">
        <w:rPr>
          <w:sz w:val="22"/>
          <w:szCs w:val="22"/>
        </w:rPr>
        <w:t>4.4).</w:t>
      </w:r>
    </w:p>
    <w:p w14:paraId="72A96F17" w14:textId="0768853D" w:rsidR="00E51127" w:rsidRPr="00E51127" w:rsidRDefault="00E51127" w:rsidP="00E51127">
      <w:pPr>
        <w:pStyle w:val="ListParagraph"/>
        <w:numPr>
          <w:ilvl w:val="0"/>
          <w:numId w:val="5"/>
        </w:numPr>
        <w:tabs>
          <w:tab w:val="left" w:pos="426"/>
        </w:tabs>
        <w:ind w:right="-68"/>
        <w:jc w:val="both"/>
        <w:rPr>
          <w:sz w:val="22"/>
          <w:szCs w:val="22"/>
        </w:rPr>
      </w:pPr>
      <w:r w:rsidRPr="00E51127">
        <w:rPr>
          <w:sz w:val="22"/>
          <w:szCs w:val="22"/>
        </w:rPr>
        <w:t xml:space="preserve">Diuretici: </w:t>
      </w:r>
      <w:r w:rsidR="00947B15">
        <w:rPr>
          <w:sz w:val="22"/>
          <w:szCs w:val="22"/>
        </w:rPr>
        <w:t>p</w:t>
      </w:r>
      <w:r w:rsidRPr="00E51127">
        <w:rPr>
          <w:sz w:val="22"/>
          <w:szCs w:val="22"/>
        </w:rPr>
        <w:t>acijenti, a posebno dehidrirani pacijenti koji su na terapiji diureticima imaju povećan rizik od razvoja bubrežne insuficijencije koja je posl</w:t>
      </w:r>
      <w:r w:rsidR="0070216F">
        <w:rPr>
          <w:sz w:val="22"/>
          <w:szCs w:val="22"/>
        </w:rPr>
        <w:t>j</w:t>
      </w:r>
      <w:r w:rsidRPr="00E51127">
        <w:rPr>
          <w:sz w:val="22"/>
          <w:szCs w:val="22"/>
        </w:rPr>
        <w:t>edica smanjenja protoka krvi kroz bubrege prouzrokovanog inhibicijom prostaglandina. Ove pacijente treba ponovo hidrirati pr</w:t>
      </w:r>
      <w:r w:rsidR="0070216F">
        <w:rPr>
          <w:sz w:val="22"/>
          <w:szCs w:val="22"/>
        </w:rPr>
        <w:t>ij</w:t>
      </w:r>
      <w:r w:rsidRPr="00E51127">
        <w:rPr>
          <w:sz w:val="22"/>
          <w:szCs w:val="22"/>
        </w:rPr>
        <w:t>e početka istovremene terapije i mora se pažlјivo pratiti funkcija bubrega nakon što se započne terapija (</w:t>
      </w:r>
      <w:r w:rsidR="0070216F">
        <w:rPr>
          <w:sz w:val="22"/>
          <w:szCs w:val="22"/>
        </w:rPr>
        <w:t xml:space="preserve">pogledati dio </w:t>
      </w:r>
      <w:r w:rsidRPr="00E51127">
        <w:rPr>
          <w:sz w:val="22"/>
          <w:szCs w:val="22"/>
        </w:rPr>
        <w:t>4.4).</w:t>
      </w:r>
    </w:p>
    <w:p w14:paraId="4103BF4F" w14:textId="048AA852" w:rsidR="00D85B78" w:rsidRPr="0080474A" w:rsidRDefault="00E51127" w:rsidP="000564BE">
      <w:pPr>
        <w:pStyle w:val="Default"/>
        <w:numPr>
          <w:ilvl w:val="0"/>
          <w:numId w:val="5"/>
        </w:numPr>
        <w:jc w:val="both"/>
      </w:pPr>
      <w:r w:rsidRPr="00E51127">
        <w:rPr>
          <w:sz w:val="22"/>
          <w:szCs w:val="22"/>
          <w:lang w:val="sr-Latn-ME"/>
        </w:rPr>
        <w:t>Metotreksat u dozama manjim od 15 mg/ned</w:t>
      </w:r>
      <w:r w:rsidR="00947B15">
        <w:rPr>
          <w:sz w:val="22"/>
          <w:szCs w:val="22"/>
          <w:lang w:val="sr-Latn-ME"/>
        </w:rPr>
        <w:t>j</w:t>
      </w:r>
      <w:r w:rsidRPr="00E51127">
        <w:rPr>
          <w:sz w:val="22"/>
          <w:szCs w:val="22"/>
          <w:lang w:val="sr-Latn-ME"/>
        </w:rPr>
        <w:t xml:space="preserve">eljno: </w:t>
      </w:r>
      <w:r w:rsidR="00C64944" w:rsidRPr="000564BE">
        <w:rPr>
          <w:sz w:val="22"/>
          <w:szCs w:val="22"/>
          <w:lang w:val="sr-Latn-ME"/>
        </w:rPr>
        <w:t>povećanje hematološke toksičnosti metotreksatom usl</w:t>
      </w:r>
      <w:r w:rsidR="00067F85" w:rsidRPr="000564BE">
        <w:rPr>
          <w:sz w:val="22"/>
          <w:szCs w:val="22"/>
          <w:lang w:val="sr-Latn-ME"/>
        </w:rPr>
        <w:t>j</w:t>
      </w:r>
      <w:r w:rsidR="00C64944" w:rsidRPr="000564BE">
        <w:rPr>
          <w:sz w:val="22"/>
          <w:szCs w:val="22"/>
          <w:lang w:val="sr-Latn-ME"/>
        </w:rPr>
        <w:t>ed smanjenja njegovog renalnog klirensa koje se pripisuje antiinflamatornim agensima uopšte.</w:t>
      </w:r>
      <w:r w:rsidR="00067F85" w:rsidRPr="000564BE">
        <w:rPr>
          <w:sz w:val="22"/>
          <w:szCs w:val="22"/>
          <w:lang w:val="sr-Latn-ME"/>
        </w:rPr>
        <w:t xml:space="preserve"> </w:t>
      </w:r>
      <w:r w:rsidR="00067F85">
        <w:rPr>
          <w:sz w:val="22"/>
          <w:szCs w:val="22"/>
          <w:lang w:val="sr-Latn-ME"/>
        </w:rPr>
        <w:t>T</w:t>
      </w:r>
      <w:r w:rsidRPr="000564BE">
        <w:rPr>
          <w:sz w:val="22"/>
          <w:szCs w:val="22"/>
          <w:lang w:val="sr-Latn-ME"/>
        </w:rPr>
        <w:t>okom prvih ned</w:t>
      </w:r>
      <w:r w:rsidR="0070216F" w:rsidRPr="000564BE">
        <w:rPr>
          <w:sz w:val="22"/>
          <w:szCs w:val="22"/>
          <w:lang w:val="sr-Latn-ME"/>
        </w:rPr>
        <w:t>j</w:t>
      </w:r>
      <w:r w:rsidRPr="000564BE">
        <w:rPr>
          <w:sz w:val="22"/>
          <w:szCs w:val="22"/>
          <w:lang w:val="sr-Latn-ME"/>
        </w:rPr>
        <w:t>elja istovremene terapije ketoprofenom i metotreksatom, potrebno je jednom ned</w:t>
      </w:r>
      <w:r w:rsidR="00027E78">
        <w:rPr>
          <w:sz w:val="22"/>
          <w:szCs w:val="22"/>
          <w:lang w:val="sr-Latn-ME"/>
        </w:rPr>
        <w:t>j</w:t>
      </w:r>
      <w:r w:rsidRPr="000564BE">
        <w:rPr>
          <w:sz w:val="22"/>
          <w:szCs w:val="22"/>
          <w:lang w:val="sr-Latn-ME"/>
        </w:rPr>
        <w:t>eljno kontrolisati kom</w:t>
      </w:r>
      <w:r w:rsidR="00C64944" w:rsidRPr="000564BE">
        <w:rPr>
          <w:sz w:val="22"/>
          <w:szCs w:val="22"/>
          <w:lang w:val="sr-Latn-ME"/>
        </w:rPr>
        <w:t>p</w:t>
      </w:r>
      <w:r w:rsidRPr="000564BE">
        <w:rPr>
          <w:sz w:val="22"/>
          <w:szCs w:val="22"/>
          <w:lang w:val="sr-Latn-ME"/>
        </w:rPr>
        <w:t xml:space="preserve">letnu krvnu sliku. </w:t>
      </w:r>
      <w:r w:rsidR="00D85B78" w:rsidRPr="000564BE">
        <w:rPr>
          <w:sz w:val="23"/>
          <w:szCs w:val="23"/>
        </w:rPr>
        <w:t xml:space="preserve">Ukoliko dođe do pogoršanja, čak i blagog, funkcije bubrega, kontrolu kompletne krvne </w:t>
      </w:r>
      <w:proofErr w:type="spellStart"/>
      <w:r w:rsidR="00D85B78" w:rsidRPr="000564BE">
        <w:rPr>
          <w:sz w:val="23"/>
          <w:szCs w:val="23"/>
        </w:rPr>
        <w:t>slike</w:t>
      </w:r>
      <w:proofErr w:type="spellEnd"/>
      <w:r w:rsidR="00D85B78" w:rsidRPr="000564BE">
        <w:rPr>
          <w:sz w:val="23"/>
          <w:szCs w:val="23"/>
        </w:rPr>
        <w:t xml:space="preserve"> je </w:t>
      </w:r>
      <w:proofErr w:type="spellStart"/>
      <w:r w:rsidR="00D85B78" w:rsidRPr="000564BE">
        <w:rPr>
          <w:sz w:val="23"/>
          <w:szCs w:val="23"/>
        </w:rPr>
        <w:t>potrebno</w:t>
      </w:r>
      <w:proofErr w:type="spellEnd"/>
      <w:r w:rsidR="00D85B78" w:rsidRPr="000564BE">
        <w:rPr>
          <w:sz w:val="23"/>
          <w:szCs w:val="23"/>
        </w:rPr>
        <w:t xml:space="preserve"> </w:t>
      </w:r>
      <w:proofErr w:type="spellStart"/>
      <w:r w:rsidR="00D85B78" w:rsidRPr="000564BE">
        <w:rPr>
          <w:sz w:val="23"/>
          <w:szCs w:val="23"/>
        </w:rPr>
        <w:t>raditi</w:t>
      </w:r>
      <w:proofErr w:type="spellEnd"/>
      <w:r w:rsidR="00D85B78" w:rsidRPr="000564BE">
        <w:rPr>
          <w:sz w:val="23"/>
          <w:szCs w:val="23"/>
        </w:rPr>
        <w:t xml:space="preserve"> </w:t>
      </w:r>
      <w:proofErr w:type="spellStart"/>
      <w:r w:rsidR="00D85B78" w:rsidRPr="000564BE">
        <w:rPr>
          <w:sz w:val="23"/>
          <w:szCs w:val="23"/>
        </w:rPr>
        <w:t>češće</w:t>
      </w:r>
      <w:proofErr w:type="spellEnd"/>
      <w:r w:rsidR="00D85B78" w:rsidRPr="000564BE">
        <w:rPr>
          <w:sz w:val="23"/>
          <w:szCs w:val="23"/>
        </w:rPr>
        <w:t xml:space="preserve">. </w:t>
      </w:r>
    </w:p>
    <w:p w14:paraId="6917A9FB" w14:textId="12C112E5" w:rsidR="00E51127" w:rsidRPr="000564BE" w:rsidRDefault="00E51127" w:rsidP="005424C6">
      <w:pPr>
        <w:pStyle w:val="Default"/>
        <w:ind w:left="360"/>
        <w:jc w:val="both"/>
      </w:pPr>
    </w:p>
    <w:p w14:paraId="4BE1004A" w14:textId="3DB12CCD" w:rsidR="00E51127" w:rsidRPr="00E51127" w:rsidRDefault="00E51127" w:rsidP="00E51127">
      <w:pPr>
        <w:pStyle w:val="ListParagraph"/>
        <w:numPr>
          <w:ilvl w:val="0"/>
          <w:numId w:val="5"/>
        </w:numPr>
        <w:tabs>
          <w:tab w:val="left" w:pos="426"/>
        </w:tabs>
        <w:ind w:right="-68"/>
        <w:jc w:val="both"/>
        <w:rPr>
          <w:sz w:val="22"/>
          <w:szCs w:val="22"/>
        </w:rPr>
      </w:pPr>
      <w:r w:rsidRPr="00E51127">
        <w:rPr>
          <w:sz w:val="22"/>
          <w:szCs w:val="22"/>
        </w:rPr>
        <w:t>Pentoksifilin: Istovremena prim</w:t>
      </w:r>
      <w:r w:rsidR="0070216F">
        <w:rPr>
          <w:sz w:val="22"/>
          <w:szCs w:val="22"/>
        </w:rPr>
        <w:t>j</w:t>
      </w:r>
      <w:r w:rsidRPr="00E51127">
        <w:rPr>
          <w:sz w:val="22"/>
          <w:szCs w:val="22"/>
        </w:rPr>
        <w:t>ena sa ketoprofenom može povećati rizik od krvarenja. Potrebne su češće l</w:t>
      </w:r>
      <w:r w:rsidR="0070216F">
        <w:rPr>
          <w:sz w:val="22"/>
          <w:szCs w:val="22"/>
        </w:rPr>
        <w:t>j</w:t>
      </w:r>
      <w:r w:rsidRPr="00E51127">
        <w:rPr>
          <w:sz w:val="22"/>
          <w:szCs w:val="22"/>
        </w:rPr>
        <w:t>ekarske kontrole, kao i kontrola vremena krvarenja.</w:t>
      </w:r>
    </w:p>
    <w:p w14:paraId="11D4E543" w14:textId="03AFB8F3" w:rsidR="00E51127" w:rsidRPr="00E51127" w:rsidRDefault="00E51127" w:rsidP="00E51127">
      <w:pPr>
        <w:pStyle w:val="ListParagraph"/>
        <w:numPr>
          <w:ilvl w:val="0"/>
          <w:numId w:val="5"/>
        </w:numPr>
        <w:tabs>
          <w:tab w:val="left" w:pos="426"/>
        </w:tabs>
        <w:ind w:right="-68"/>
        <w:jc w:val="both"/>
        <w:rPr>
          <w:sz w:val="22"/>
          <w:szCs w:val="22"/>
        </w:rPr>
      </w:pPr>
      <w:r w:rsidRPr="00E51127">
        <w:rPr>
          <w:sz w:val="22"/>
          <w:szCs w:val="22"/>
        </w:rPr>
        <w:t>Zidovudin: Rizik od povećane toksičnosti za eritrocite zbog dejstva na retikulocite, sa pojavom teške anemije koja se ispolјava ned</w:t>
      </w:r>
      <w:r w:rsidR="00C64944">
        <w:rPr>
          <w:sz w:val="22"/>
          <w:szCs w:val="22"/>
        </w:rPr>
        <w:t>j</w:t>
      </w:r>
      <w:r w:rsidRPr="00E51127">
        <w:rPr>
          <w:sz w:val="22"/>
          <w:szCs w:val="22"/>
        </w:rPr>
        <w:t>elјu dana nakon započinjanja l</w:t>
      </w:r>
      <w:r w:rsidR="0070216F">
        <w:rPr>
          <w:sz w:val="22"/>
          <w:szCs w:val="22"/>
        </w:rPr>
        <w:t>ij</w:t>
      </w:r>
      <w:r w:rsidRPr="00E51127">
        <w:rPr>
          <w:sz w:val="22"/>
          <w:szCs w:val="22"/>
        </w:rPr>
        <w:t>ečenja NSAIL. Preporučuje se redovna kontrola kompletne krvne slike i broja retikulocita, jednu ili dv</w:t>
      </w:r>
      <w:r w:rsidR="0070216F">
        <w:rPr>
          <w:sz w:val="22"/>
          <w:szCs w:val="22"/>
        </w:rPr>
        <w:t>ij</w:t>
      </w:r>
      <w:r w:rsidRPr="00E51127">
        <w:rPr>
          <w:sz w:val="22"/>
          <w:szCs w:val="22"/>
        </w:rPr>
        <w:t>e ned</w:t>
      </w:r>
      <w:r w:rsidR="0070216F">
        <w:rPr>
          <w:sz w:val="22"/>
          <w:szCs w:val="22"/>
        </w:rPr>
        <w:t>j</w:t>
      </w:r>
      <w:r w:rsidRPr="00E51127">
        <w:rPr>
          <w:sz w:val="22"/>
          <w:szCs w:val="22"/>
        </w:rPr>
        <w:t>elјe nakon započinjanja l</w:t>
      </w:r>
      <w:r w:rsidR="0070216F">
        <w:rPr>
          <w:sz w:val="22"/>
          <w:szCs w:val="22"/>
        </w:rPr>
        <w:t>ij</w:t>
      </w:r>
      <w:r w:rsidRPr="00E51127">
        <w:rPr>
          <w:sz w:val="22"/>
          <w:szCs w:val="22"/>
        </w:rPr>
        <w:t xml:space="preserve">ečenja NSAIL. </w:t>
      </w:r>
    </w:p>
    <w:p w14:paraId="2F6BEEAB" w14:textId="1D383F84" w:rsidR="00E51127" w:rsidRPr="00E51127" w:rsidRDefault="00E51127" w:rsidP="00E51127">
      <w:pPr>
        <w:pStyle w:val="ListParagraph"/>
        <w:numPr>
          <w:ilvl w:val="0"/>
          <w:numId w:val="5"/>
        </w:numPr>
        <w:tabs>
          <w:tab w:val="left" w:pos="426"/>
        </w:tabs>
        <w:ind w:right="-68"/>
        <w:jc w:val="both"/>
        <w:rPr>
          <w:sz w:val="22"/>
          <w:szCs w:val="22"/>
        </w:rPr>
      </w:pPr>
      <w:r w:rsidRPr="00E51127">
        <w:rPr>
          <w:sz w:val="22"/>
          <w:szCs w:val="22"/>
        </w:rPr>
        <w:t xml:space="preserve">Sulfonilurea: NSAIL mogu da pojačaju hipoglikemijsko dejstvo sulfoniluree putem istiskivanja sulfoniluree iz veze sa proteinima plazme. </w:t>
      </w:r>
    </w:p>
    <w:p w14:paraId="60918C13" w14:textId="42CAED0D" w:rsidR="00B21DC7" w:rsidRPr="006C75EC" w:rsidRDefault="00E51127" w:rsidP="00E51127">
      <w:pPr>
        <w:pStyle w:val="ListParagraph"/>
        <w:numPr>
          <w:ilvl w:val="0"/>
          <w:numId w:val="5"/>
        </w:numPr>
        <w:tabs>
          <w:tab w:val="left" w:pos="426"/>
        </w:tabs>
        <w:ind w:right="-68"/>
        <w:jc w:val="both"/>
        <w:rPr>
          <w:sz w:val="22"/>
          <w:szCs w:val="22"/>
        </w:rPr>
      </w:pPr>
      <w:r w:rsidRPr="00E51127">
        <w:rPr>
          <w:sz w:val="22"/>
          <w:szCs w:val="22"/>
        </w:rPr>
        <w:t>Kardioaktivni glikozidi: nesteroidni antinflamatorni l</w:t>
      </w:r>
      <w:r w:rsidR="00C64944">
        <w:rPr>
          <w:sz w:val="22"/>
          <w:szCs w:val="22"/>
        </w:rPr>
        <w:t>j</w:t>
      </w:r>
      <w:r w:rsidRPr="00E51127">
        <w:rPr>
          <w:sz w:val="22"/>
          <w:szCs w:val="22"/>
        </w:rPr>
        <w:t xml:space="preserve">ekovi mogu pogoršati insuficijenciju srca, smanjiti brzinu glomerularne filtracije i povećati koncentraciju srčanih glikozida; međutim, farmakokinetička interakcija između ketoprofena i </w:t>
      </w:r>
      <w:r w:rsidR="00C64944">
        <w:rPr>
          <w:sz w:val="22"/>
          <w:szCs w:val="22"/>
        </w:rPr>
        <w:t>kardio</w:t>
      </w:r>
      <w:r w:rsidRPr="00E51127">
        <w:rPr>
          <w:sz w:val="22"/>
          <w:szCs w:val="22"/>
        </w:rPr>
        <w:t>aktivnih glikozida nije dokazana.</w:t>
      </w:r>
    </w:p>
    <w:p w14:paraId="4AB7AC6A" w14:textId="77777777" w:rsidR="00BD0557" w:rsidRPr="006C75EC" w:rsidRDefault="00BD0557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035E2D7C" w14:textId="03D1D730" w:rsidR="34F59C78" w:rsidRPr="006C75EC" w:rsidRDefault="0094063D" w:rsidP="00D2565C">
      <w:pPr>
        <w:jc w:val="both"/>
        <w:rPr>
          <w:rFonts w:eastAsia="Calibri"/>
          <w:i/>
          <w:iCs/>
          <w:sz w:val="22"/>
          <w:szCs w:val="22"/>
          <w:u w:val="single"/>
        </w:rPr>
      </w:pPr>
      <w:r w:rsidRPr="006C75EC">
        <w:rPr>
          <w:rFonts w:eastAsia="Calibri"/>
          <w:i/>
          <w:iCs/>
          <w:sz w:val="22"/>
          <w:szCs w:val="22"/>
          <w:u w:val="single"/>
        </w:rPr>
        <w:t>Kombinacije sa sl</w:t>
      </w:r>
      <w:r w:rsidR="001726B4" w:rsidRPr="006C75EC">
        <w:rPr>
          <w:rFonts w:eastAsia="Calibri"/>
          <w:i/>
          <w:iCs/>
          <w:sz w:val="22"/>
          <w:szCs w:val="22"/>
          <w:u w:val="single"/>
        </w:rPr>
        <w:t>j</w:t>
      </w:r>
      <w:r w:rsidRPr="006C75EC">
        <w:rPr>
          <w:rFonts w:eastAsia="Calibri"/>
          <w:i/>
          <w:iCs/>
          <w:sz w:val="22"/>
          <w:szCs w:val="22"/>
          <w:u w:val="single"/>
        </w:rPr>
        <w:t xml:space="preserve">edećim </w:t>
      </w:r>
      <w:r w:rsidR="00BB2264" w:rsidRPr="006C75EC">
        <w:rPr>
          <w:rFonts w:eastAsia="Calibri"/>
          <w:i/>
          <w:iCs/>
          <w:sz w:val="22"/>
          <w:szCs w:val="22"/>
          <w:u w:val="single"/>
        </w:rPr>
        <w:t>ljekovi</w:t>
      </w:r>
      <w:r w:rsidRPr="006C75EC">
        <w:rPr>
          <w:rFonts w:eastAsia="Calibri"/>
          <w:i/>
          <w:iCs/>
          <w:sz w:val="22"/>
          <w:szCs w:val="22"/>
          <w:u w:val="single"/>
        </w:rPr>
        <w:t>ma treba razmotriti</w:t>
      </w:r>
      <w:r w:rsidR="45FBB6E1" w:rsidRPr="006C75EC">
        <w:rPr>
          <w:rFonts w:eastAsia="Calibri"/>
          <w:i/>
          <w:iCs/>
          <w:sz w:val="22"/>
          <w:szCs w:val="22"/>
          <w:u w:val="single"/>
        </w:rPr>
        <w:t>:</w:t>
      </w:r>
      <w:r w:rsidR="45FBB6E1" w:rsidRPr="006C75EC">
        <w:rPr>
          <w:rFonts w:eastAsia="Calibri"/>
          <w:i/>
          <w:iCs/>
          <w:sz w:val="22"/>
          <w:szCs w:val="22"/>
        </w:rPr>
        <w:t xml:space="preserve"> </w:t>
      </w:r>
    </w:p>
    <w:p w14:paraId="4F03B2C1" w14:textId="72BF8AE1" w:rsidR="34F59C78" w:rsidRPr="002F3656" w:rsidRDefault="0094063D" w:rsidP="00D2565C">
      <w:pPr>
        <w:pStyle w:val="ListParagraph"/>
        <w:numPr>
          <w:ilvl w:val="0"/>
          <w:numId w:val="6"/>
        </w:numPr>
        <w:ind w:right="-68"/>
        <w:jc w:val="both"/>
        <w:rPr>
          <w:rFonts w:eastAsia="Calibri"/>
          <w:sz w:val="22"/>
          <w:szCs w:val="22"/>
        </w:rPr>
      </w:pPr>
      <w:r w:rsidRPr="002F3656">
        <w:rPr>
          <w:rFonts w:eastAsia="Calibri"/>
          <w:sz w:val="22"/>
          <w:szCs w:val="22"/>
        </w:rPr>
        <w:t>Antihipertenzivi (beta-blokatori, ACE inhibitori, diuretici): Antihipertenzivni efekat može biti smanjen jer NSAIL</w:t>
      </w:r>
      <w:r w:rsidR="00BE65A4" w:rsidRPr="002F3656">
        <w:rPr>
          <w:rFonts w:eastAsia="Calibri"/>
          <w:sz w:val="22"/>
          <w:szCs w:val="22"/>
        </w:rPr>
        <w:t>-i</w:t>
      </w:r>
      <w:r w:rsidRPr="002F3656">
        <w:rPr>
          <w:rFonts w:eastAsia="Calibri"/>
          <w:sz w:val="22"/>
          <w:szCs w:val="22"/>
        </w:rPr>
        <w:t xml:space="preserve"> inhibiraju sintezu vazodilatatornih prostaglandina.</w:t>
      </w:r>
      <w:r w:rsidR="45FBB6E1" w:rsidRPr="002F3656">
        <w:rPr>
          <w:rFonts w:eastAsia="Calibri"/>
          <w:sz w:val="22"/>
          <w:szCs w:val="22"/>
        </w:rPr>
        <w:t xml:space="preserve"> </w:t>
      </w:r>
    </w:p>
    <w:p w14:paraId="5BED859B" w14:textId="2111AF86" w:rsidR="34F59C78" w:rsidRPr="002F3656" w:rsidRDefault="00E53C7E" w:rsidP="00D2565C">
      <w:pPr>
        <w:pStyle w:val="ListParagraph"/>
        <w:numPr>
          <w:ilvl w:val="0"/>
          <w:numId w:val="6"/>
        </w:numPr>
        <w:ind w:right="-68"/>
        <w:jc w:val="both"/>
        <w:rPr>
          <w:sz w:val="22"/>
          <w:szCs w:val="22"/>
        </w:rPr>
      </w:pPr>
      <w:r w:rsidRPr="002F3656">
        <w:rPr>
          <w:sz w:val="22"/>
          <w:szCs w:val="22"/>
        </w:rPr>
        <w:t xml:space="preserve">Mifepriston: </w:t>
      </w:r>
      <w:r w:rsidR="006A11E5" w:rsidRPr="002F3656">
        <w:rPr>
          <w:sz w:val="22"/>
          <w:szCs w:val="22"/>
        </w:rPr>
        <w:t xml:space="preserve">Smanjenje efikasnosti kontraceptivne </w:t>
      </w:r>
      <w:r w:rsidRPr="002F3656">
        <w:rPr>
          <w:sz w:val="22"/>
          <w:szCs w:val="22"/>
        </w:rPr>
        <w:t xml:space="preserve">metode </w:t>
      </w:r>
      <w:r w:rsidR="006A11E5" w:rsidRPr="002F3656">
        <w:rPr>
          <w:sz w:val="22"/>
          <w:szCs w:val="22"/>
        </w:rPr>
        <w:t xml:space="preserve">teoretski može se dogoditi zbog antiprostaglandinskih osobina </w:t>
      </w:r>
      <w:r w:rsidRPr="002F3656">
        <w:rPr>
          <w:sz w:val="22"/>
          <w:szCs w:val="22"/>
        </w:rPr>
        <w:t xml:space="preserve">nesteroidnih antiinflamatornih </w:t>
      </w:r>
      <w:r w:rsidR="00D102BF" w:rsidRPr="002F3656">
        <w:rPr>
          <w:sz w:val="22"/>
          <w:szCs w:val="22"/>
        </w:rPr>
        <w:t>ljek</w:t>
      </w:r>
      <w:r w:rsidRPr="002F3656">
        <w:rPr>
          <w:sz w:val="22"/>
          <w:szCs w:val="22"/>
        </w:rPr>
        <w:t>ova (NSAI</w:t>
      </w:r>
      <w:r w:rsidR="006A11E5" w:rsidRPr="002F3656">
        <w:rPr>
          <w:sz w:val="22"/>
          <w:szCs w:val="22"/>
        </w:rPr>
        <w:t>L</w:t>
      </w:r>
      <w:r w:rsidRPr="002F3656">
        <w:rPr>
          <w:sz w:val="22"/>
          <w:szCs w:val="22"/>
        </w:rPr>
        <w:t xml:space="preserve">), uključujući aspirin (acetilsalicilna kiselina). Postoje </w:t>
      </w:r>
      <w:r w:rsidR="006A11E5" w:rsidRPr="002F3656">
        <w:rPr>
          <w:sz w:val="22"/>
          <w:szCs w:val="22"/>
        </w:rPr>
        <w:t>određeni</w:t>
      </w:r>
      <w:r w:rsidRPr="002F3656">
        <w:rPr>
          <w:sz w:val="22"/>
          <w:szCs w:val="22"/>
        </w:rPr>
        <w:t xml:space="preserve"> dokazi koji ukazuju na to da istovremena </w:t>
      </w:r>
      <w:r w:rsidR="00CE2B72" w:rsidRPr="002F3656">
        <w:rPr>
          <w:sz w:val="22"/>
          <w:szCs w:val="22"/>
        </w:rPr>
        <w:t>primjena</w:t>
      </w:r>
      <w:r w:rsidRPr="002F3656">
        <w:rPr>
          <w:sz w:val="22"/>
          <w:szCs w:val="22"/>
        </w:rPr>
        <w:t xml:space="preserve"> NSAIL</w:t>
      </w:r>
      <w:r w:rsidR="00BE65A4" w:rsidRPr="002F3656">
        <w:rPr>
          <w:sz w:val="22"/>
          <w:szCs w:val="22"/>
        </w:rPr>
        <w:t>-a</w:t>
      </w:r>
      <w:r w:rsidRPr="002F3656">
        <w:rPr>
          <w:sz w:val="22"/>
          <w:szCs w:val="22"/>
        </w:rPr>
        <w:t xml:space="preserve"> na dan </w:t>
      </w:r>
      <w:r w:rsidR="006A11E5" w:rsidRPr="002F3656">
        <w:rPr>
          <w:sz w:val="22"/>
          <w:szCs w:val="22"/>
        </w:rPr>
        <w:t xml:space="preserve">uzimanja </w:t>
      </w:r>
      <w:r w:rsidRPr="002F3656">
        <w:rPr>
          <w:sz w:val="22"/>
          <w:szCs w:val="22"/>
        </w:rPr>
        <w:t xml:space="preserve">doze prostaglandina ne utiče negativno na </w:t>
      </w:r>
      <w:r w:rsidR="006A11E5" w:rsidRPr="002F3656">
        <w:rPr>
          <w:sz w:val="22"/>
          <w:szCs w:val="22"/>
        </w:rPr>
        <w:t>dejstvo</w:t>
      </w:r>
      <w:r w:rsidRPr="002F3656">
        <w:rPr>
          <w:sz w:val="22"/>
          <w:szCs w:val="22"/>
        </w:rPr>
        <w:t xml:space="preserve"> mifepristona </w:t>
      </w:r>
      <w:r w:rsidR="009D66AA" w:rsidRPr="002F3656">
        <w:rPr>
          <w:sz w:val="22"/>
          <w:szCs w:val="22"/>
        </w:rPr>
        <w:t>ili prostaglandina na sazr</w:t>
      </w:r>
      <w:r w:rsidR="001726B4" w:rsidRPr="002F3656">
        <w:rPr>
          <w:sz w:val="22"/>
          <w:szCs w:val="22"/>
        </w:rPr>
        <w:t>ij</w:t>
      </w:r>
      <w:r w:rsidR="009D66AA" w:rsidRPr="002F3656">
        <w:rPr>
          <w:sz w:val="22"/>
          <w:szCs w:val="22"/>
        </w:rPr>
        <w:t>evanje grlića materice ili kontraktilnost uterusa</w:t>
      </w:r>
      <w:r w:rsidR="00BE65A4" w:rsidRPr="002F3656">
        <w:rPr>
          <w:sz w:val="22"/>
          <w:szCs w:val="22"/>
        </w:rPr>
        <w:t xml:space="preserve"> </w:t>
      </w:r>
      <w:r w:rsidR="009D66AA" w:rsidRPr="002F3656">
        <w:rPr>
          <w:sz w:val="22"/>
          <w:szCs w:val="22"/>
        </w:rPr>
        <w:t>i ne smanjuje kliničku efikasnost medicinskog prekida trudnoće</w:t>
      </w:r>
      <w:r w:rsidR="45FBB6E1" w:rsidRPr="002F3656">
        <w:rPr>
          <w:sz w:val="22"/>
          <w:szCs w:val="22"/>
        </w:rPr>
        <w:t>.</w:t>
      </w:r>
    </w:p>
    <w:p w14:paraId="4DDC832E" w14:textId="42DBF1AF" w:rsidR="000D7D3F" w:rsidRPr="002F3656" w:rsidRDefault="009D66AA" w:rsidP="00D2565C">
      <w:pPr>
        <w:pStyle w:val="ListParagraph"/>
        <w:numPr>
          <w:ilvl w:val="0"/>
          <w:numId w:val="6"/>
        </w:numPr>
        <w:ind w:right="-68"/>
        <w:jc w:val="both"/>
        <w:rPr>
          <w:sz w:val="22"/>
          <w:szCs w:val="22"/>
        </w:rPr>
      </w:pPr>
      <w:r w:rsidRPr="002F3656">
        <w:rPr>
          <w:rFonts w:eastAsia="Calibri"/>
          <w:sz w:val="22"/>
          <w:szCs w:val="22"/>
        </w:rPr>
        <w:t>Intrauterin</w:t>
      </w:r>
      <w:r w:rsidR="00BE65A4" w:rsidRPr="002F3656">
        <w:rPr>
          <w:rFonts w:eastAsia="Calibri"/>
          <w:sz w:val="22"/>
          <w:szCs w:val="22"/>
        </w:rPr>
        <w:t>i uložak</w:t>
      </w:r>
      <w:r w:rsidRPr="002F3656">
        <w:rPr>
          <w:rFonts w:eastAsia="Calibri"/>
          <w:sz w:val="22"/>
          <w:szCs w:val="22"/>
        </w:rPr>
        <w:t xml:space="preserve">: Efikasnost sredstva može biti smanjena što rezultira trudnoćom. </w:t>
      </w:r>
    </w:p>
    <w:p w14:paraId="049452FC" w14:textId="77777777" w:rsidR="002F3656" w:rsidRPr="002F3656" w:rsidRDefault="002F3656" w:rsidP="002F3656">
      <w:pPr>
        <w:pStyle w:val="ListParagraph"/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2F3656">
        <w:rPr>
          <w:rFonts w:eastAsia="Calibri"/>
          <w:sz w:val="22"/>
          <w:szCs w:val="22"/>
        </w:rPr>
        <w:t xml:space="preserve">Ciklosporin i takrolimus: Rizik od dodatne nefrotoksičnosti, posebno kod starijih pacijenata. </w:t>
      </w:r>
    </w:p>
    <w:p w14:paraId="49404FEF" w14:textId="5403C04D" w:rsidR="002F3656" w:rsidRPr="002F3656" w:rsidRDefault="002F3656" w:rsidP="002F3656">
      <w:pPr>
        <w:pStyle w:val="ListParagraph"/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2F3656">
        <w:rPr>
          <w:rFonts w:eastAsia="Calibri"/>
          <w:sz w:val="22"/>
          <w:szCs w:val="22"/>
        </w:rPr>
        <w:t>Antiagregacioni l</w:t>
      </w:r>
      <w:r w:rsidR="0070216F">
        <w:rPr>
          <w:rFonts w:eastAsia="Calibri"/>
          <w:sz w:val="22"/>
          <w:szCs w:val="22"/>
        </w:rPr>
        <w:t>j</w:t>
      </w:r>
      <w:r w:rsidRPr="002F3656">
        <w:rPr>
          <w:rFonts w:eastAsia="Calibri"/>
          <w:sz w:val="22"/>
          <w:szCs w:val="22"/>
        </w:rPr>
        <w:t>ekovi (tiklopidin i klopidogrel) i selektivni inhibitori ponovnog preuzimanja serotonina: povećan rizik od gastrointestinalnog krvarenja (</w:t>
      </w:r>
      <w:r w:rsidR="00881DAA">
        <w:rPr>
          <w:rFonts w:eastAsia="Calibri"/>
          <w:sz w:val="22"/>
          <w:szCs w:val="22"/>
        </w:rPr>
        <w:t>pogledati dio</w:t>
      </w:r>
      <w:r w:rsidRPr="002F3656">
        <w:rPr>
          <w:rFonts w:eastAsia="Calibri"/>
          <w:sz w:val="22"/>
          <w:szCs w:val="22"/>
        </w:rPr>
        <w:t xml:space="preserve"> 4.4).</w:t>
      </w:r>
    </w:p>
    <w:p w14:paraId="43475B1E" w14:textId="4ACE99D3" w:rsidR="002F3656" w:rsidRPr="002F3656" w:rsidRDefault="002F3656" w:rsidP="002F3656">
      <w:pPr>
        <w:pStyle w:val="ListParagraph"/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2F3656">
        <w:rPr>
          <w:rFonts w:eastAsia="Calibri"/>
          <w:sz w:val="22"/>
          <w:szCs w:val="22"/>
        </w:rPr>
        <w:t>Probenecid: Istovremena prim</w:t>
      </w:r>
      <w:r w:rsidR="0070216F">
        <w:rPr>
          <w:rFonts w:eastAsia="Calibri"/>
          <w:sz w:val="22"/>
          <w:szCs w:val="22"/>
        </w:rPr>
        <w:t>j</w:t>
      </w:r>
      <w:r w:rsidRPr="002F3656">
        <w:rPr>
          <w:rFonts w:eastAsia="Calibri"/>
          <w:sz w:val="22"/>
          <w:szCs w:val="22"/>
        </w:rPr>
        <w:t>ena sa probenecidom može značajno da smanji plazma klirens ketoprofena i posl</w:t>
      </w:r>
      <w:r w:rsidR="0070216F">
        <w:rPr>
          <w:rFonts w:eastAsia="Calibri"/>
          <w:sz w:val="22"/>
          <w:szCs w:val="22"/>
        </w:rPr>
        <w:t>j</w:t>
      </w:r>
      <w:r w:rsidRPr="002F3656">
        <w:rPr>
          <w:rFonts w:eastAsia="Calibri"/>
          <w:sz w:val="22"/>
          <w:szCs w:val="22"/>
        </w:rPr>
        <w:t>edično povećati koncentraciju ketoprofena u plazmi; ova interakcija može biti posl</w:t>
      </w:r>
      <w:r w:rsidR="0070216F">
        <w:rPr>
          <w:rFonts w:eastAsia="Calibri"/>
          <w:sz w:val="22"/>
          <w:szCs w:val="22"/>
        </w:rPr>
        <w:t>j</w:t>
      </w:r>
      <w:r w:rsidRPr="002F3656">
        <w:rPr>
          <w:rFonts w:eastAsia="Calibri"/>
          <w:sz w:val="22"/>
          <w:szCs w:val="22"/>
        </w:rPr>
        <w:t>edica inhibitornog mehanizma na m</w:t>
      </w:r>
      <w:r w:rsidR="0070216F">
        <w:rPr>
          <w:rFonts w:eastAsia="Calibri"/>
          <w:sz w:val="22"/>
          <w:szCs w:val="22"/>
        </w:rPr>
        <w:t>j</w:t>
      </w:r>
      <w:r w:rsidRPr="002F3656">
        <w:rPr>
          <w:rFonts w:eastAsia="Calibri"/>
          <w:sz w:val="22"/>
          <w:szCs w:val="22"/>
        </w:rPr>
        <w:t xml:space="preserve">estu </w:t>
      </w:r>
      <w:r w:rsidR="00C64944">
        <w:rPr>
          <w:rFonts w:eastAsia="Calibri"/>
          <w:sz w:val="22"/>
          <w:szCs w:val="22"/>
        </w:rPr>
        <w:t>renalne tubularne</w:t>
      </w:r>
      <w:r w:rsidR="00C64944" w:rsidRPr="002F3656">
        <w:rPr>
          <w:rFonts w:eastAsia="Calibri"/>
          <w:sz w:val="22"/>
          <w:szCs w:val="22"/>
        </w:rPr>
        <w:t xml:space="preserve"> </w:t>
      </w:r>
      <w:r w:rsidRPr="002F3656">
        <w:rPr>
          <w:rFonts w:eastAsia="Calibri"/>
          <w:sz w:val="22"/>
          <w:szCs w:val="22"/>
        </w:rPr>
        <w:t>sekrecije i konjugacije glukuronida i zaht</w:t>
      </w:r>
      <w:r w:rsidR="0070216F">
        <w:rPr>
          <w:rFonts w:eastAsia="Calibri"/>
          <w:sz w:val="22"/>
          <w:szCs w:val="22"/>
        </w:rPr>
        <w:t>ij</w:t>
      </w:r>
      <w:r w:rsidRPr="002F3656">
        <w:rPr>
          <w:rFonts w:eastAsia="Calibri"/>
          <w:sz w:val="22"/>
          <w:szCs w:val="22"/>
        </w:rPr>
        <w:t>eva podešavanje doze ketoprofena.</w:t>
      </w:r>
    </w:p>
    <w:p w14:paraId="237F58D4" w14:textId="18B577FB" w:rsidR="002F3656" w:rsidRPr="002F3656" w:rsidRDefault="002F3656" w:rsidP="002F3656">
      <w:pPr>
        <w:pStyle w:val="ListParagraph"/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2F3656">
        <w:rPr>
          <w:rFonts w:eastAsia="Calibri"/>
          <w:sz w:val="22"/>
          <w:szCs w:val="22"/>
        </w:rPr>
        <w:t>Trombolitici: Povećan rizik od krvarenja.</w:t>
      </w:r>
    </w:p>
    <w:p w14:paraId="677F8911" w14:textId="72F021A5" w:rsidR="002F3656" w:rsidRPr="002F3656" w:rsidRDefault="002F3656" w:rsidP="002F3656">
      <w:pPr>
        <w:pStyle w:val="ListParagraph"/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2F3656">
        <w:rPr>
          <w:rFonts w:eastAsia="Calibri"/>
          <w:sz w:val="22"/>
          <w:szCs w:val="22"/>
        </w:rPr>
        <w:t xml:space="preserve">Hinolonski antibiotici: </w:t>
      </w:r>
      <w:r w:rsidR="009B3E5A">
        <w:rPr>
          <w:rFonts w:eastAsia="Calibri"/>
          <w:sz w:val="22"/>
          <w:szCs w:val="22"/>
        </w:rPr>
        <w:t>P</w:t>
      </w:r>
      <w:r w:rsidRPr="002F3656">
        <w:rPr>
          <w:rFonts w:eastAsia="Calibri"/>
          <w:sz w:val="22"/>
          <w:szCs w:val="22"/>
        </w:rPr>
        <w:t>odaci na životinjama pokazuju da nesteroidni antiinflamatorni l</w:t>
      </w:r>
      <w:r w:rsidR="0070216F">
        <w:rPr>
          <w:rFonts w:eastAsia="Calibri"/>
          <w:sz w:val="22"/>
          <w:szCs w:val="22"/>
        </w:rPr>
        <w:t>j</w:t>
      </w:r>
      <w:r w:rsidRPr="002F3656">
        <w:rPr>
          <w:rFonts w:eastAsia="Calibri"/>
          <w:sz w:val="22"/>
          <w:szCs w:val="22"/>
        </w:rPr>
        <w:t>ekovi mogu povećati rizik od konvulzija povezani s hinolonskim antibioticima. Pacijenti koji uzimaju nesteroidne antiinflamatorne l</w:t>
      </w:r>
      <w:r w:rsidR="009B3E5A">
        <w:rPr>
          <w:rFonts w:eastAsia="Calibri"/>
          <w:sz w:val="22"/>
          <w:szCs w:val="22"/>
        </w:rPr>
        <w:t>j</w:t>
      </w:r>
      <w:r w:rsidRPr="002F3656">
        <w:rPr>
          <w:rFonts w:eastAsia="Calibri"/>
          <w:sz w:val="22"/>
          <w:szCs w:val="22"/>
        </w:rPr>
        <w:t xml:space="preserve">ekove i hinolone mogu imati povećan rizik od razvoja konvulzija; </w:t>
      </w:r>
    </w:p>
    <w:p w14:paraId="22BA3907" w14:textId="0147A9A9" w:rsidR="002F3656" w:rsidRPr="002F3656" w:rsidRDefault="002F3656" w:rsidP="002F3656">
      <w:pPr>
        <w:pStyle w:val="ListParagraph"/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2F3656">
        <w:rPr>
          <w:rFonts w:eastAsia="Calibri"/>
          <w:sz w:val="22"/>
          <w:szCs w:val="22"/>
        </w:rPr>
        <w:t xml:space="preserve">Difenilhidantoin i sulfonamidi: </w:t>
      </w:r>
      <w:r w:rsidR="009B3E5A">
        <w:rPr>
          <w:rFonts w:eastAsia="Calibri"/>
          <w:sz w:val="22"/>
          <w:szCs w:val="22"/>
        </w:rPr>
        <w:t>B</w:t>
      </w:r>
      <w:r w:rsidRPr="002F3656">
        <w:rPr>
          <w:rFonts w:eastAsia="Calibri"/>
          <w:sz w:val="22"/>
          <w:szCs w:val="22"/>
        </w:rPr>
        <w:t>udući da se ketoprofen velikim d</w:t>
      </w:r>
      <w:r w:rsidR="0070216F">
        <w:rPr>
          <w:rFonts w:eastAsia="Calibri"/>
          <w:sz w:val="22"/>
          <w:szCs w:val="22"/>
        </w:rPr>
        <w:t>ij</w:t>
      </w:r>
      <w:r w:rsidRPr="002F3656">
        <w:rPr>
          <w:rFonts w:eastAsia="Calibri"/>
          <w:sz w:val="22"/>
          <w:szCs w:val="22"/>
        </w:rPr>
        <w:t>elom veže za proteine, može biti potrebno smanjiti doze difenilhidantoina ili sulfonamida kada se prim</w:t>
      </w:r>
      <w:r w:rsidR="0070216F">
        <w:rPr>
          <w:rFonts w:eastAsia="Calibri"/>
          <w:sz w:val="22"/>
          <w:szCs w:val="22"/>
        </w:rPr>
        <w:t>j</w:t>
      </w:r>
      <w:r w:rsidRPr="002F3656">
        <w:rPr>
          <w:rFonts w:eastAsia="Calibri"/>
          <w:sz w:val="22"/>
          <w:szCs w:val="22"/>
        </w:rPr>
        <w:t xml:space="preserve">enjuju uporedno; </w:t>
      </w:r>
    </w:p>
    <w:p w14:paraId="5D2A91F1" w14:textId="35446F78" w:rsidR="002F3656" w:rsidRPr="002F3656" w:rsidRDefault="002F3656" w:rsidP="002F3656">
      <w:pPr>
        <w:pStyle w:val="ListParagraph"/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2F3656">
        <w:rPr>
          <w:rFonts w:eastAsia="Calibri"/>
          <w:sz w:val="22"/>
          <w:szCs w:val="22"/>
        </w:rPr>
        <w:t xml:space="preserve">Gemeprost: </w:t>
      </w:r>
      <w:r w:rsidR="009B3E5A">
        <w:rPr>
          <w:rFonts w:eastAsia="Calibri"/>
          <w:sz w:val="22"/>
          <w:szCs w:val="22"/>
        </w:rPr>
        <w:t>S</w:t>
      </w:r>
      <w:r w:rsidRPr="002F3656">
        <w:rPr>
          <w:rFonts w:eastAsia="Calibri"/>
          <w:sz w:val="22"/>
          <w:szCs w:val="22"/>
        </w:rPr>
        <w:t xml:space="preserve">manjena efikasnost gemeprosta; </w:t>
      </w:r>
    </w:p>
    <w:p w14:paraId="2124B436" w14:textId="1EB19A30" w:rsidR="00BD0557" w:rsidRPr="002F3656" w:rsidRDefault="002F3656" w:rsidP="002F3656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2F3656">
        <w:rPr>
          <w:rFonts w:eastAsia="Calibri"/>
          <w:sz w:val="22"/>
          <w:szCs w:val="22"/>
        </w:rPr>
        <w:t>Izb</w:t>
      </w:r>
      <w:r w:rsidR="0070216F">
        <w:rPr>
          <w:rFonts w:eastAsia="Calibri"/>
          <w:sz w:val="22"/>
          <w:szCs w:val="22"/>
        </w:rPr>
        <w:t>j</w:t>
      </w:r>
      <w:r w:rsidRPr="002F3656">
        <w:rPr>
          <w:rFonts w:eastAsia="Calibri"/>
          <w:sz w:val="22"/>
          <w:szCs w:val="22"/>
        </w:rPr>
        <w:t>egavati konzumiranje alkohola.</w:t>
      </w:r>
    </w:p>
    <w:p w14:paraId="379E35F1" w14:textId="77777777" w:rsidR="002F3656" w:rsidRPr="002F3656" w:rsidRDefault="002F3656" w:rsidP="002F3656">
      <w:pPr>
        <w:pStyle w:val="ListParagraph"/>
        <w:ind w:left="360"/>
        <w:jc w:val="both"/>
        <w:rPr>
          <w:sz w:val="22"/>
          <w:szCs w:val="22"/>
        </w:rPr>
      </w:pPr>
    </w:p>
    <w:p w14:paraId="18224CB1" w14:textId="5869EBB6" w:rsidR="34F59C78" w:rsidRPr="006C75EC" w:rsidRDefault="008860A1" w:rsidP="008860A1">
      <w:pPr>
        <w:jc w:val="both"/>
        <w:rPr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4.6 </w:t>
      </w:r>
      <w:r w:rsidR="00B67F2C" w:rsidRPr="006C75EC">
        <w:rPr>
          <w:b/>
          <w:bCs/>
          <w:sz w:val="22"/>
          <w:szCs w:val="22"/>
        </w:rPr>
        <w:t>Plodnost, trudnoća i dojenje</w:t>
      </w:r>
    </w:p>
    <w:p w14:paraId="76E4EA4E" w14:textId="77777777" w:rsidR="0039419A" w:rsidRPr="006C75EC" w:rsidRDefault="0039419A" w:rsidP="00D2565C">
      <w:pPr>
        <w:tabs>
          <w:tab w:val="left" w:pos="828"/>
        </w:tabs>
        <w:ind w:left="567" w:right="-68" w:hanging="567"/>
        <w:jc w:val="both"/>
        <w:rPr>
          <w:sz w:val="22"/>
          <w:szCs w:val="22"/>
        </w:rPr>
      </w:pPr>
    </w:p>
    <w:p w14:paraId="1A51D4A4" w14:textId="6DAA5650" w:rsidR="00777480" w:rsidRDefault="00777480" w:rsidP="0041729C">
      <w:p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  <w:r w:rsidRPr="00777480">
        <w:rPr>
          <w:b/>
          <w:bCs/>
          <w:sz w:val="22"/>
          <w:szCs w:val="22"/>
        </w:rPr>
        <w:t>Trudnoća</w:t>
      </w:r>
    </w:p>
    <w:p w14:paraId="2E0B9C00" w14:textId="77777777" w:rsidR="00777480" w:rsidRPr="00777480" w:rsidRDefault="00777480" w:rsidP="0041729C">
      <w:p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</w:p>
    <w:p w14:paraId="56EEB8AF" w14:textId="05A1A6F3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41729C">
        <w:rPr>
          <w:sz w:val="22"/>
          <w:szCs w:val="22"/>
        </w:rPr>
        <w:t>Prim</w:t>
      </w:r>
      <w:r w:rsidR="0070216F">
        <w:rPr>
          <w:sz w:val="22"/>
          <w:szCs w:val="22"/>
        </w:rPr>
        <w:t>j</w:t>
      </w:r>
      <w:r w:rsidRPr="0041729C">
        <w:rPr>
          <w:sz w:val="22"/>
          <w:szCs w:val="22"/>
        </w:rPr>
        <w:t>enu ketoprofena tokom prvog i drugog trimestra trudnoće treba izb</w:t>
      </w:r>
      <w:r w:rsidR="0070216F">
        <w:rPr>
          <w:sz w:val="22"/>
          <w:szCs w:val="22"/>
        </w:rPr>
        <w:t>j</w:t>
      </w:r>
      <w:r w:rsidRPr="0041729C">
        <w:rPr>
          <w:sz w:val="22"/>
          <w:szCs w:val="22"/>
        </w:rPr>
        <w:t xml:space="preserve">egavati. </w:t>
      </w:r>
    </w:p>
    <w:p w14:paraId="1F2FE63F" w14:textId="77777777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0BA0BC1B" w14:textId="77777777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41729C">
        <w:rPr>
          <w:sz w:val="22"/>
          <w:szCs w:val="22"/>
        </w:rPr>
        <w:t>Inhibicija sinteze prostaglandina može štetno da utiče na trudnoću i/ili na embrio/fetalni razvoj.</w:t>
      </w:r>
    </w:p>
    <w:p w14:paraId="305D1AA5" w14:textId="76B68B28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41729C">
        <w:rPr>
          <w:sz w:val="22"/>
          <w:szCs w:val="22"/>
        </w:rPr>
        <w:t>Rezultati epidemioloških studija ukazuju na povećani rizik od pobačaja ili srčanih malformacija i gastroshize nakon prim</w:t>
      </w:r>
      <w:r w:rsidR="0070216F">
        <w:rPr>
          <w:sz w:val="22"/>
          <w:szCs w:val="22"/>
        </w:rPr>
        <w:t>j</w:t>
      </w:r>
      <w:r w:rsidRPr="0041729C">
        <w:rPr>
          <w:sz w:val="22"/>
          <w:szCs w:val="22"/>
        </w:rPr>
        <w:t xml:space="preserve">ene inhibitora sinteze prostaglandina u ranim fazama trudnoće. Apsolutni rizik za kardiovaskularne malformacije je povećan, za manje od 1% na približno 1,5%. Smatra se da se rizik povećava sa dozom i trajanjem terapije. Kod životinja se pokazalo da </w:t>
      </w:r>
      <w:r w:rsidR="0070216F">
        <w:rPr>
          <w:sz w:val="22"/>
          <w:szCs w:val="22"/>
        </w:rPr>
        <w:t>primjena</w:t>
      </w:r>
      <w:r w:rsidRPr="0041729C">
        <w:rPr>
          <w:sz w:val="22"/>
          <w:szCs w:val="22"/>
        </w:rPr>
        <w:t xml:space="preserve"> inhibitora sinteze prostaglandina prouzrokuje povećanje pr</w:t>
      </w:r>
      <w:r w:rsidR="0070216F">
        <w:rPr>
          <w:sz w:val="22"/>
          <w:szCs w:val="22"/>
        </w:rPr>
        <w:t>ij</w:t>
      </w:r>
      <w:r w:rsidRPr="0041729C">
        <w:rPr>
          <w:sz w:val="22"/>
          <w:szCs w:val="22"/>
        </w:rPr>
        <w:t>e- i post-implantacijskih gubitaka i embrio-fetalni mortalitet.</w:t>
      </w:r>
    </w:p>
    <w:p w14:paraId="271119C7" w14:textId="6B2D0535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41729C">
        <w:rPr>
          <w:sz w:val="22"/>
          <w:szCs w:val="22"/>
        </w:rPr>
        <w:t>Osim toga, pokazano je povećanje učestalosti različitih malformacija, uklјučujući kardiovaskularne, kod životinja kod kojih su prim</w:t>
      </w:r>
      <w:r w:rsidR="0070216F">
        <w:rPr>
          <w:sz w:val="22"/>
          <w:szCs w:val="22"/>
        </w:rPr>
        <w:t>j</w:t>
      </w:r>
      <w:r w:rsidRPr="0041729C">
        <w:rPr>
          <w:sz w:val="22"/>
          <w:szCs w:val="22"/>
        </w:rPr>
        <w:t>enjivani inhibitori sinteze prostaglandina tokom perioda organogeneze.</w:t>
      </w:r>
    </w:p>
    <w:p w14:paraId="5616B5BE" w14:textId="11D08F2E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071487">
        <w:rPr>
          <w:sz w:val="22"/>
          <w:szCs w:val="22"/>
        </w:rPr>
        <w:t>Od 20. ned</w:t>
      </w:r>
      <w:r w:rsidR="00024D5A" w:rsidRPr="00071487">
        <w:rPr>
          <w:sz w:val="22"/>
          <w:szCs w:val="22"/>
        </w:rPr>
        <w:t>j</w:t>
      </w:r>
      <w:r w:rsidRPr="00071487">
        <w:rPr>
          <w:sz w:val="22"/>
          <w:szCs w:val="22"/>
        </w:rPr>
        <w:t>elje trudnoće pa nadalje, upotreba ketoprofena može izazvati oligohidramnion kao rezultat bubrežne disfunkcije fetusa. Ovo se može desiti ubrzo nakon početka l</w:t>
      </w:r>
      <w:r w:rsidR="0070216F" w:rsidRPr="00071487">
        <w:rPr>
          <w:sz w:val="22"/>
          <w:szCs w:val="22"/>
        </w:rPr>
        <w:t>ij</w:t>
      </w:r>
      <w:r w:rsidRPr="00071487">
        <w:rPr>
          <w:sz w:val="22"/>
          <w:szCs w:val="22"/>
        </w:rPr>
        <w:t>ečenja i obično je reverzibilno nakon prekida terapije. Pored toga, bilo je izv</w:t>
      </w:r>
      <w:r w:rsidR="0070216F" w:rsidRPr="00071487">
        <w:rPr>
          <w:sz w:val="22"/>
          <w:szCs w:val="22"/>
        </w:rPr>
        <w:t>j</w:t>
      </w:r>
      <w:r w:rsidRPr="00071487">
        <w:rPr>
          <w:sz w:val="22"/>
          <w:szCs w:val="22"/>
        </w:rPr>
        <w:t xml:space="preserve">eštaja o zatvaranju (konstrikciji) </w:t>
      </w:r>
      <w:r w:rsidRPr="00071487">
        <w:rPr>
          <w:i/>
          <w:iCs/>
          <w:sz w:val="22"/>
          <w:szCs w:val="22"/>
        </w:rPr>
        <w:t>ductus arteriosus</w:t>
      </w:r>
      <w:r w:rsidRPr="00071487">
        <w:rPr>
          <w:sz w:val="22"/>
          <w:szCs w:val="22"/>
        </w:rPr>
        <w:t>-a nakon l</w:t>
      </w:r>
      <w:r w:rsidR="0070216F" w:rsidRPr="00071487">
        <w:rPr>
          <w:sz w:val="22"/>
          <w:szCs w:val="22"/>
        </w:rPr>
        <w:t>ij</w:t>
      </w:r>
      <w:r w:rsidRPr="00071487">
        <w:rPr>
          <w:sz w:val="22"/>
          <w:szCs w:val="22"/>
        </w:rPr>
        <w:t xml:space="preserve">ečenja u drugom trimestru, od kojih je većina nestala nakon prestanka terapije. </w:t>
      </w:r>
      <w:r w:rsidRPr="0041729C">
        <w:rPr>
          <w:sz w:val="22"/>
          <w:szCs w:val="22"/>
        </w:rPr>
        <w:t>Zbog toga, tokom prvog i drugog trimestra trudnoće ne treba prim</w:t>
      </w:r>
      <w:r w:rsidR="0070216F">
        <w:rPr>
          <w:sz w:val="22"/>
          <w:szCs w:val="22"/>
        </w:rPr>
        <w:t>j</w:t>
      </w:r>
      <w:r w:rsidRPr="0041729C">
        <w:rPr>
          <w:sz w:val="22"/>
          <w:szCs w:val="22"/>
        </w:rPr>
        <w:t>enjivati ketoprofen osim kada je to neophodno. Ako se ketoprofen prim</w:t>
      </w:r>
      <w:r w:rsidR="0070216F">
        <w:rPr>
          <w:sz w:val="22"/>
          <w:szCs w:val="22"/>
        </w:rPr>
        <w:t>j</w:t>
      </w:r>
      <w:r w:rsidRPr="0041729C">
        <w:rPr>
          <w:sz w:val="22"/>
          <w:szCs w:val="22"/>
        </w:rPr>
        <w:t>enjuje kod žene koja planira trudnoću, ili tokom prvog i drugog trimestra trudnoće, doza mora da bude što je moguće manja, a trajanje terapije što je moguće kraće. Prenatalni monitoring za oligohidroamnion i ductus arterious treba razmotriti nakon izlaganja ketoprofenu nekoliko dana od 20. ned</w:t>
      </w:r>
      <w:r w:rsidR="0070216F">
        <w:rPr>
          <w:sz w:val="22"/>
          <w:szCs w:val="22"/>
        </w:rPr>
        <w:t>j</w:t>
      </w:r>
      <w:r w:rsidRPr="0041729C">
        <w:rPr>
          <w:sz w:val="22"/>
          <w:szCs w:val="22"/>
        </w:rPr>
        <w:t xml:space="preserve">elje gestacije i nadalje. Ketoprofen treba isključiti iz terapije ako dođe do oligohidroamniona ili zatvaranja </w:t>
      </w:r>
      <w:r w:rsidRPr="00052EFF">
        <w:rPr>
          <w:i/>
          <w:iCs/>
          <w:sz w:val="22"/>
          <w:szCs w:val="22"/>
        </w:rPr>
        <w:t>ductus arteriosus</w:t>
      </w:r>
      <w:r w:rsidRPr="0041729C">
        <w:rPr>
          <w:sz w:val="22"/>
          <w:szCs w:val="22"/>
        </w:rPr>
        <w:t>-a.</w:t>
      </w:r>
    </w:p>
    <w:p w14:paraId="40471AAE" w14:textId="77777777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02D76B31" w14:textId="77777777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41729C">
        <w:rPr>
          <w:sz w:val="22"/>
          <w:szCs w:val="22"/>
        </w:rPr>
        <w:t>Tokom trećeg trimestra trudnoće svi inhibitori sinteze prostaglandina mogu da izlože:</w:t>
      </w:r>
    </w:p>
    <w:p w14:paraId="1D37F272" w14:textId="77777777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41729C">
        <w:rPr>
          <w:sz w:val="22"/>
          <w:szCs w:val="22"/>
        </w:rPr>
        <w:t>- fetus:</w:t>
      </w:r>
    </w:p>
    <w:p w14:paraId="065CC960" w14:textId="77777777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41729C">
        <w:rPr>
          <w:sz w:val="22"/>
          <w:szCs w:val="22"/>
        </w:rPr>
        <w:t>•</w:t>
      </w:r>
      <w:r w:rsidRPr="0041729C">
        <w:rPr>
          <w:sz w:val="22"/>
          <w:szCs w:val="22"/>
        </w:rPr>
        <w:tab/>
        <w:t>kardiopulmonalnoj toksičnosti (prevremena konstrikcija/zatvaranje ductus arteriosus i plućna hipertenzija);</w:t>
      </w:r>
    </w:p>
    <w:p w14:paraId="30A616B5" w14:textId="08D6E8E4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41729C">
        <w:rPr>
          <w:sz w:val="22"/>
          <w:szCs w:val="22"/>
        </w:rPr>
        <w:t>•</w:t>
      </w:r>
      <w:r w:rsidRPr="0041729C">
        <w:rPr>
          <w:sz w:val="22"/>
          <w:szCs w:val="22"/>
        </w:rPr>
        <w:tab/>
        <w:t>poremećaju bubrežne funkcije, koji može uznapredovati do insuficijencije bubrega sa oligohidramnionom</w:t>
      </w:r>
      <w:r w:rsidR="00C23026">
        <w:rPr>
          <w:sz w:val="22"/>
          <w:szCs w:val="22"/>
        </w:rPr>
        <w:t xml:space="preserve"> </w:t>
      </w:r>
      <w:r w:rsidRPr="0041729C">
        <w:rPr>
          <w:sz w:val="22"/>
          <w:szCs w:val="22"/>
        </w:rPr>
        <w:t>(vid</w:t>
      </w:r>
      <w:r w:rsidR="0093205B">
        <w:rPr>
          <w:sz w:val="22"/>
          <w:szCs w:val="22"/>
        </w:rPr>
        <w:t>j</w:t>
      </w:r>
      <w:r w:rsidRPr="0041729C">
        <w:rPr>
          <w:sz w:val="22"/>
          <w:szCs w:val="22"/>
        </w:rPr>
        <w:t>eti gore).</w:t>
      </w:r>
    </w:p>
    <w:p w14:paraId="6EC1E562" w14:textId="77777777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41729C">
        <w:rPr>
          <w:sz w:val="22"/>
          <w:szCs w:val="22"/>
        </w:rPr>
        <w:t xml:space="preserve"> </w:t>
      </w:r>
    </w:p>
    <w:p w14:paraId="1F89D352" w14:textId="77777777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41729C">
        <w:rPr>
          <w:sz w:val="22"/>
          <w:szCs w:val="22"/>
        </w:rPr>
        <w:t>-majku i novorođenče, na kraju trudnoće;</w:t>
      </w:r>
    </w:p>
    <w:p w14:paraId="057CA7DE" w14:textId="77777777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41729C">
        <w:rPr>
          <w:sz w:val="22"/>
          <w:szCs w:val="22"/>
        </w:rPr>
        <w:t>•</w:t>
      </w:r>
      <w:r w:rsidRPr="0041729C">
        <w:rPr>
          <w:sz w:val="22"/>
          <w:szCs w:val="22"/>
        </w:rPr>
        <w:tab/>
        <w:t xml:space="preserve">mogućem produženju vremena krvarenja, i antiagregacijskom dejstvu, koji se može javiti i pri vrlo malim dozama; </w:t>
      </w:r>
    </w:p>
    <w:p w14:paraId="1A40902C" w14:textId="77777777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41729C">
        <w:rPr>
          <w:sz w:val="22"/>
          <w:szCs w:val="22"/>
        </w:rPr>
        <w:t>•</w:t>
      </w:r>
      <w:r w:rsidRPr="0041729C">
        <w:rPr>
          <w:sz w:val="22"/>
          <w:szCs w:val="22"/>
        </w:rPr>
        <w:tab/>
        <w:t>inhibiciji uterusnih kontrakcija što može dovesti do odlaganja ili produženja porođaja.</w:t>
      </w:r>
    </w:p>
    <w:p w14:paraId="39E79504" w14:textId="77777777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09D627EE" w14:textId="5C74E650" w:rsidR="0041729C" w:rsidRPr="0041729C" w:rsidRDefault="0070216F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>
        <w:rPr>
          <w:sz w:val="22"/>
          <w:szCs w:val="22"/>
        </w:rPr>
        <w:t>Primjena</w:t>
      </w:r>
      <w:r w:rsidR="0041729C" w:rsidRPr="0041729C">
        <w:rPr>
          <w:sz w:val="22"/>
          <w:szCs w:val="22"/>
        </w:rPr>
        <w:t xml:space="preserve"> l</w:t>
      </w:r>
      <w:r w:rsidR="0093205B">
        <w:rPr>
          <w:sz w:val="22"/>
          <w:szCs w:val="22"/>
        </w:rPr>
        <w:t>ij</w:t>
      </w:r>
      <w:r w:rsidR="0041729C" w:rsidRPr="0041729C">
        <w:rPr>
          <w:sz w:val="22"/>
          <w:szCs w:val="22"/>
        </w:rPr>
        <w:t>eka pred porođaj može da uzrokuje prom</w:t>
      </w:r>
      <w:r w:rsidR="0093205B">
        <w:rPr>
          <w:sz w:val="22"/>
          <w:szCs w:val="22"/>
        </w:rPr>
        <w:t>j</w:t>
      </w:r>
      <w:r w:rsidR="0041729C" w:rsidRPr="0041729C">
        <w:rPr>
          <w:sz w:val="22"/>
          <w:szCs w:val="22"/>
        </w:rPr>
        <w:t>enu hemodinamike malih krvnih sudova nerođenog d</w:t>
      </w:r>
      <w:r w:rsidR="0093205B">
        <w:rPr>
          <w:sz w:val="22"/>
          <w:szCs w:val="22"/>
        </w:rPr>
        <w:t>j</w:t>
      </w:r>
      <w:r w:rsidR="0041729C" w:rsidRPr="0041729C">
        <w:rPr>
          <w:sz w:val="22"/>
          <w:szCs w:val="22"/>
        </w:rPr>
        <w:t>eteta sa ozbiljnim posl</w:t>
      </w:r>
      <w:r w:rsidR="0093205B">
        <w:rPr>
          <w:sz w:val="22"/>
          <w:szCs w:val="22"/>
        </w:rPr>
        <w:t>j</w:t>
      </w:r>
      <w:r w:rsidR="0041729C" w:rsidRPr="0041729C">
        <w:rPr>
          <w:sz w:val="22"/>
          <w:szCs w:val="22"/>
        </w:rPr>
        <w:t>edicima na disanje.</w:t>
      </w:r>
    </w:p>
    <w:p w14:paraId="15AE5A4E" w14:textId="34A51DF7" w:rsid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41729C">
        <w:rPr>
          <w:sz w:val="22"/>
          <w:szCs w:val="22"/>
        </w:rPr>
        <w:t xml:space="preserve">Stoga, </w:t>
      </w:r>
      <w:r w:rsidR="0070216F">
        <w:rPr>
          <w:sz w:val="22"/>
          <w:szCs w:val="22"/>
        </w:rPr>
        <w:t>primjena</w:t>
      </w:r>
      <w:r w:rsidRPr="0041729C">
        <w:rPr>
          <w:sz w:val="22"/>
          <w:szCs w:val="22"/>
        </w:rPr>
        <w:t xml:space="preserve"> ketoprofena je kontraindikovana tokom trećeg trimestra trudnoće (</w:t>
      </w:r>
      <w:r w:rsidR="00881DAA">
        <w:rPr>
          <w:sz w:val="22"/>
          <w:szCs w:val="22"/>
        </w:rPr>
        <w:t>pogledati djelove</w:t>
      </w:r>
      <w:r w:rsidRPr="0041729C">
        <w:rPr>
          <w:sz w:val="22"/>
          <w:szCs w:val="22"/>
        </w:rPr>
        <w:t xml:space="preserve"> 4.3 i 5.3).</w:t>
      </w:r>
    </w:p>
    <w:p w14:paraId="3D7B4C7F" w14:textId="77777777" w:rsidR="002F2ABC" w:rsidRPr="0041729C" w:rsidRDefault="002F2AB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5CCB0F5E" w14:textId="77777777" w:rsidR="0041729C" w:rsidRPr="00FA3D60" w:rsidRDefault="0041729C" w:rsidP="0041729C">
      <w:p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  <w:r w:rsidRPr="00FA3D60">
        <w:rPr>
          <w:b/>
          <w:bCs/>
          <w:sz w:val="22"/>
          <w:szCs w:val="22"/>
        </w:rPr>
        <w:t>Dojenje</w:t>
      </w:r>
    </w:p>
    <w:p w14:paraId="7519695A" w14:textId="77777777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6AEBAA96" w14:textId="76B14ED8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41729C">
        <w:rPr>
          <w:sz w:val="22"/>
          <w:szCs w:val="22"/>
        </w:rPr>
        <w:t>Nema dostupnih podataka o izlučivanju ketoprofena u majčino ml</w:t>
      </w:r>
      <w:r w:rsidR="0093205B">
        <w:rPr>
          <w:sz w:val="22"/>
          <w:szCs w:val="22"/>
        </w:rPr>
        <w:t>ij</w:t>
      </w:r>
      <w:r w:rsidRPr="0041729C">
        <w:rPr>
          <w:sz w:val="22"/>
          <w:szCs w:val="22"/>
        </w:rPr>
        <w:t xml:space="preserve">eko. </w:t>
      </w:r>
      <w:r w:rsidR="0070216F">
        <w:rPr>
          <w:sz w:val="22"/>
          <w:szCs w:val="22"/>
        </w:rPr>
        <w:t>Primjena</w:t>
      </w:r>
      <w:r w:rsidRPr="0041729C">
        <w:rPr>
          <w:sz w:val="22"/>
          <w:szCs w:val="22"/>
        </w:rPr>
        <w:t xml:space="preserve"> ketoprofena se ne preporučuje tokom dojenja.</w:t>
      </w:r>
    </w:p>
    <w:p w14:paraId="6DFC374C" w14:textId="77777777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7FE253B8" w14:textId="77777777" w:rsidR="0041729C" w:rsidRPr="00FA3D60" w:rsidRDefault="0041729C" w:rsidP="0041729C">
      <w:p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  <w:r w:rsidRPr="00FA3D60">
        <w:rPr>
          <w:b/>
          <w:bCs/>
          <w:sz w:val="22"/>
          <w:szCs w:val="22"/>
        </w:rPr>
        <w:t>Plodnost</w:t>
      </w:r>
    </w:p>
    <w:p w14:paraId="28B2B674" w14:textId="77777777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6B0E3650" w14:textId="3E17C81C" w:rsidR="0041729C" w:rsidRPr="0041729C" w:rsidRDefault="0070216F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>
        <w:rPr>
          <w:sz w:val="22"/>
          <w:szCs w:val="22"/>
        </w:rPr>
        <w:t>Primjena</w:t>
      </w:r>
      <w:r w:rsidR="0041729C" w:rsidRPr="0041729C">
        <w:rPr>
          <w:sz w:val="22"/>
          <w:szCs w:val="22"/>
        </w:rPr>
        <w:t xml:space="preserve"> NSAIL može da smanji plodnost kod žena i ne preporučuje se ženama koje planiraju trudnoću. </w:t>
      </w:r>
    </w:p>
    <w:p w14:paraId="1B46816B" w14:textId="77777777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7ADF9E24" w14:textId="3ADD8147" w:rsidR="0041729C" w:rsidRPr="0041729C" w:rsidRDefault="0070216F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>
        <w:rPr>
          <w:sz w:val="22"/>
          <w:szCs w:val="22"/>
        </w:rPr>
        <w:t>Primjena</w:t>
      </w:r>
      <w:r w:rsidR="0041729C" w:rsidRPr="0041729C">
        <w:rPr>
          <w:sz w:val="22"/>
          <w:szCs w:val="22"/>
        </w:rPr>
        <w:t xml:space="preserve"> l</w:t>
      </w:r>
      <w:r w:rsidR="0093205B">
        <w:rPr>
          <w:sz w:val="22"/>
          <w:szCs w:val="22"/>
        </w:rPr>
        <w:t>ij</w:t>
      </w:r>
      <w:r w:rsidR="0041729C" w:rsidRPr="0041729C">
        <w:rPr>
          <w:sz w:val="22"/>
          <w:szCs w:val="22"/>
        </w:rPr>
        <w:t>eka Dolpirinn, kao i bilo kojeg drugog l</w:t>
      </w:r>
      <w:r w:rsidR="0093205B">
        <w:rPr>
          <w:sz w:val="22"/>
          <w:szCs w:val="22"/>
        </w:rPr>
        <w:t>ij</w:t>
      </w:r>
      <w:r w:rsidR="0041729C" w:rsidRPr="0041729C">
        <w:rPr>
          <w:sz w:val="22"/>
          <w:szCs w:val="22"/>
        </w:rPr>
        <w:t xml:space="preserve">eka koji inhibira sintezu prostaglandina i ciklooksigenazu, ne preporučuje se kod žena koje planiraju </w:t>
      </w:r>
      <w:r w:rsidR="00FC32E0">
        <w:rPr>
          <w:sz w:val="22"/>
          <w:szCs w:val="22"/>
        </w:rPr>
        <w:t xml:space="preserve">da </w:t>
      </w:r>
      <w:r w:rsidR="0041729C" w:rsidRPr="0041729C">
        <w:rPr>
          <w:sz w:val="22"/>
          <w:szCs w:val="22"/>
        </w:rPr>
        <w:t>zatrudne.</w:t>
      </w:r>
    </w:p>
    <w:p w14:paraId="6FC2B4B9" w14:textId="77777777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1B9C21E8" w14:textId="4C1B198E" w:rsidR="0041729C" w:rsidRPr="0041729C" w:rsidRDefault="0041729C" w:rsidP="0041729C">
      <w:pPr>
        <w:tabs>
          <w:tab w:val="left" w:pos="828"/>
        </w:tabs>
        <w:ind w:right="-68"/>
        <w:jc w:val="both"/>
        <w:rPr>
          <w:sz w:val="22"/>
          <w:szCs w:val="22"/>
        </w:rPr>
      </w:pPr>
      <w:r w:rsidRPr="0041729C">
        <w:rPr>
          <w:sz w:val="22"/>
          <w:szCs w:val="22"/>
        </w:rPr>
        <w:t>Kod žena koje imaju problem sa plodnošću ili su podvrgnute ispitivanjima zbog neplodnosti treba obustaviti prim</w:t>
      </w:r>
      <w:r w:rsidR="0093205B">
        <w:rPr>
          <w:sz w:val="22"/>
          <w:szCs w:val="22"/>
        </w:rPr>
        <w:t>j</w:t>
      </w:r>
      <w:r w:rsidRPr="0041729C">
        <w:rPr>
          <w:sz w:val="22"/>
          <w:szCs w:val="22"/>
        </w:rPr>
        <w:t>enu NSAIL.</w:t>
      </w:r>
    </w:p>
    <w:p w14:paraId="1F994A09" w14:textId="77777777" w:rsidR="00EA6E94" w:rsidRPr="006C75EC" w:rsidRDefault="00EA6E94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56B9FFFA" w14:textId="3AA1C503" w:rsidR="799F2C31" w:rsidRPr="006C75EC" w:rsidRDefault="008860A1" w:rsidP="008860A1">
      <w:pPr>
        <w:jc w:val="both"/>
        <w:rPr>
          <w:b/>
          <w:sz w:val="22"/>
          <w:szCs w:val="22"/>
        </w:rPr>
      </w:pPr>
      <w:r w:rsidRPr="006C75EC">
        <w:rPr>
          <w:rFonts w:eastAsia="Calibri"/>
          <w:b/>
          <w:sz w:val="22"/>
          <w:szCs w:val="22"/>
        </w:rPr>
        <w:t xml:space="preserve">4.7 </w:t>
      </w:r>
      <w:r w:rsidR="00B67F2C" w:rsidRPr="006C75EC">
        <w:rPr>
          <w:rFonts w:eastAsia="Calibri"/>
          <w:b/>
          <w:sz w:val="22"/>
          <w:szCs w:val="22"/>
        </w:rPr>
        <w:t>Uticaj na sposobnost upravljanja vozilima i rukovanja mašinama</w:t>
      </w:r>
    </w:p>
    <w:p w14:paraId="389E0950" w14:textId="77777777" w:rsidR="00EA6E94" w:rsidRPr="006C75EC" w:rsidRDefault="00EA6E94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21D826B2" w14:textId="1C51262D" w:rsidR="799F2C31" w:rsidRPr="006C75EC" w:rsidRDefault="002B33C2" w:rsidP="00D2565C">
      <w:pPr>
        <w:ind w:right="-68"/>
        <w:jc w:val="both"/>
        <w:rPr>
          <w:sz w:val="22"/>
          <w:szCs w:val="22"/>
        </w:rPr>
      </w:pPr>
      <w:r w:rsidRPr="006C75EC">
        <w:rPr>
          <w:sz w:val="22"/>
          <w:szCs w:val="22"/>
        </w:rPr>
        <w:t>Ako se nakon prim</w:t>
      </w:r>
      <w:r w:rsidR="00686CEE" w:rsidRPr="006C75EC">
        <w:rPr>
          <w:sz w:val="22"/>
          <w:szCs w:val="22"/>
        </w:rPr>
        <w:t>j</w:t>
      </w:r>
      <w:r w:rsidRPr="006C75EC">
        <w:rPr>
          <w:sz w:val="22"/>
          <w:szCs w:val="22"/>
        </w:rPr>
        <w:t>ene ketoprofena javi pospanost, vrtoglavica ili konvulzije, pacijent treba da izb</w:t>
      </w:r>
      <w:r w:rsidR="00686CEE" w:rsidRPr="006C75EC">
        <w:rPr>
          <w:sz w:val="22"/>
          <w:szCs w:val="22"/>
        </w:rPr>
        <w:t>j</w:t>
      </w:r>
      <w:r w:rsidRPr="006C75EC">
        <w:rPr>
          <w:sz w:val="22"/>
          <w:szCs w:val="22"/>
        </w:rPr>
        <w:t xml:space="preserve">egava da upravlja vozilom, rukuje mašinama ili obavlja aktivnosti koje </w:t>
      </w:r>
      <w:r w:rsidR="00B640BB" w:rsidRPr="006C75EC">
        <w:rPr>
          <w:sz w:val="22"/>
          <w:szCs w:val="22"/>
        </w:rPr>
        <w:t>zahtijevaju</w:t>
      </w:r>
      <w:r w:rsidRPr="006C75EC">
        <w:rPr>
          <w:sz w:val="22"/>
          <w:szCs w:val="22"/>
        </w:rPr>
        <w:t xml:space="preserve"> posebnu opreznost</w:t>
      </w:r>
      <w:r w:rsidR="45FBB6E1" w:rsidRPr="006C75EC">
        <w:rPr>
          <w:rFonts w:eastAsia="Calibri"/>
          <w:sz w:val="22"/>
          <w:szCs w:val="22"/>
        </w:rPr>
        <w:t xml:space="preserve">. </w:t>
      </w:r>
    </w:p>
    <w:p w14:paraId="7C512BF7" w14:textId="567E795D" w:rsidR="00BD0557" w:rsidRDefault="00BD0557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4D02B8A1" w14:textId="5661A2D5" w:rsidR="002F2ABC" w:rsidRDefault="002F2ABC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7AB0A3A3" w14:textId="77777777" w:rsidR="002F2ABC" w:rsidRPr="006C75EC" w:rsidRDefault="002F2ABC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51109080" w14:textId="20390281" w:rsidR="00BD0557" w:rsidRPr="006C75EC" w:rsidRDefault="00B67F2C" w:rsidP="008860A1">
      <w:pPr>
        <w:pStyle w:val="ListParagraph"/>
        <w:numPr>
          <w:ilvl w:val="1"/>
          <w:numId w:val="11"/>
        </w:numPr>
        <w:tabs>
          <w:tab w:val="left" w:pos="567"/>
          <w:tab w:val="left" w:pos="828"/>
        </w:tabs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>Neželjena dejstva</w:t>
      </w:r>
      <w:r w:rsidRPr="006C75EC">
        <w:rPr>
          <w:sz w:val="22"/>
          <w:szCs w:val="22"/>
        </w:rPr>
        <w:t xml:space="preserve"> </w:t>
      </w:r>
    </w:p>
    <w:p w14:paraId="03845C64" w14:textId="77777777" w:rsidR="00EA6E94" w:rsidRPr="006C75EC" w:rsidRDefault="00EA6E94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52215759" w14:textId="7460A005" w:rsidR="00234CE5" w:rsidRPr="00B46FF7" w:rsidRDefault="00234CE5" w:rsidP="00234CE5">
      <w:pPr>
        <w:pStyle w:val="Default"/>
        <w:jc w:val="both"/>
        <w:rPr>
          <w:sz w:val="22"/>
          <w:szCs w:val="22"/>
          <w:lang w:val="hr-HR"/>
        </w:rPr>
      </w:pPr>
      <w:r w:rsidRPr="00F02D6C">
        <w:rPr>
          <w:noProof/>
          <w:sz w:val="22"/>
          <w:szCs w:val="22"/>
          <w:lang w:val="hr-HR"/>
        </w:rPr>
        <w:t>Najčešće prim</w:t>
      </w:r>
      <w:r w:rsidR="0093205B">
        <w:rPr>
          <w:noProof/>
          <w:sz w:val="22"/>
          <w:szCs w:val="22"/>
          <w:lang w:val="hr-HR"/>
        </w:rPr>
        <w:t>ij</w:t>
      </w:r>
      <w:r w:rsidRPr="00F02D6C">
        <w:rPr>
          <w:noProof/>
          <w:sz w:val="22"/>
          <w:szCs w:val="22"/>
          <w:lang w:val="hr-HR"/>
        </w:rPr>
        <w:t xml:space="preserve">ećena neželјena dejstva su neželjena dejstva gastrointestinalnog trakta. </w:t>
      </w:r>
      <w:r w:rsidRPr="000A4DF3">
        <w:rPr>
          <w:sz w:val="22"/>
          <w:szCs w:val="22"/>
          <w:lang w:val="hr-HR"/>
        </w:rPr>
        <w:t>Mogu se javiti: peptički ulkus, perforacija ili gastrointestinalno krvarenje, ponekad može biti fatalno, posebno kod stari</w:t>
      </w:r>
      <w:r w:rsidRPr="00B46FF7">
        <w:rPr>
          <w:sz w:val="22"/>
          <w:szCs w:val="22"/>
          <w:lang w:val="hr-HR"/>
        </w:rPr>
        <w:t>jih pacijenata (</w:t>
      </w:r>
      <w:r w:rsidR="00881DAA" w:rsidRPr="00B46FF7">
        <w:rPr>
          <w:sz w:val="22"/>
          <w:szCs w:val="22"/>
          <w:lang w:val="hr-HR"/>
        </w:rPr>
        <w:t>pogledati dio</w:t>
      </w:r>
      <w:r w:rsidRPr="00B46FF7">
        <w:rPr>
          <w:sz w:val="22"/>
          <w:szCs w:val="22"/>
          <w:lang w:val="hr-HR"/>
        </w:rPr>
        <w:t xml:space="preserve"> 4.4). </w:t>
      </w:r>
    </w:p>
    <w:p w14:paraId="6420CBB2" w14:textId="7A4B1F1D" w:rsidR="00234CE5" w:rsidRPr="000A4DF3" w:rsidRDefault="00234CE5" w:rsidP="00234CE5">
      <w:pPr>
        <w:pStyle w:val="Default"/>
        <w:jc w:val="both"/>
        <w:rPr>
          <w:sz w:val="22"/>
          <w:szCs w:val="22"/>
          <w:lang w:val="hr-HR"/>
        </w:rPr>
      </w:pPr>
      <w:r w:rsidRPr="00B46FF7">
        <w:rPr>
          <w:sz w:val="22"/>
          <w:szCs w:val="22"/>
          <w:lang w:val="hr-HR"/>
        </w:rPr>
        <w:t>Mučnina, povraćanje, dijareja, nadutost, konstipacija, dispepsija, bolovi u stomaku, melena, hematemeza, ulcerozni stomatitis, egzacerbacija kolitisa i Kronove bolesti bili su prijavljeni nakon primjene ketoprofena (</w:t>
      </w:r>
      <w:r w:rsidR="00881DAA" w:rsidRPr="000A4DF3">
        <w:rPr>
          <w:sz w:val="22"/>
          <w:szCs w:val="22"/>
          <w:lang w:val="hr-HR"/>
        </w:rPr>
        <w:t>pogledati dio</w:t>
      </w:r>
      <w:r w:rsidRPr="000A4DF3">
        <w:rPr>
          <w:sz w:val="22"/>
          <w:szCs w:val="22"/>
          <w:lang w:val="hr-HR"/>
        </w:rPr>
        <w:t xml:space="preserve"> 4.4). Povremeno je </w:t>
      </w:r>
      <w:r w:rsidR="00881DAA" w:rsidRPr="000A4DF3">
        <w:rPr>
          <w:sz w:val="22"/>
          <w:szCs w:val="22"/>
          <w:lang w:val="hr-HR"/>
        </w:rPr>
        <w:t>zabilježena</w:t>
      </w:r>
      <w:r w:rsidRPr="000A4DF3">
        <w:rPr>
          <w:sz w:val="22"/>
          <w:szCs w:val="22"/>
          <w:lang w:val="hr-HR"/>
        </w:rPr>
        <w:t xml:space="preserve"> pojava gastritisa. </w:t>
      </w:r>
    </w:p>
    <w:p w14:paraId="593347C0" w14:textId="77777777" w:rsidR="00234CE5" w:rsidRPr="000A4DF3" w:rsidRDefault="00234CE5" w:rsidP="00234CE5">
      <w:pPr>
        <w:pStyle w:val="Default"/>
        <w:jc w:val="both"/>
        <w:rPr>
          <w:sz w:val="22"/>
          <w:szCs w:val="22"/>
          <w:lang w:val="hr-HR"/>
        </w:rPr>
      </w:pPr>
    </w:p>
    <w:p w14:paraId="1F5473A8" w14:textId="0FD4AE34" w:rsidR="00234CE5" w:rsidRPr="00F02D6C" w:rsidRDefault="00234CE5" w:rsidP="00234CE5">
      <w:pPr>
        <w:rPr>
          <w:noProof/>
          <w:sz w:val="22"/>
          <w:szCs w:val="22"/>
          <w:lang w:val="hr-HR"/>
        </w:rPr>
      </w:pPr>
      <w:r w:rsidRPr="000A4DF3">
        <w:rPr>
          <w:sz w:val="22"/>
          <w:szCs w:val="22"/>
        </w:rPr>
        <w:t>Povraćanje, dijareja i reakcije preos</w:t>
      </w:r>
      <w:r w:rsidR="0093205B" w:rsidRPr="000A4DF3">
        <w:rPr>
          <w:sz w:val="22"/>
          <w:szCs w:val="22"/>
        </w:rPr>
        <w:t>j</w:t>
      </w:r>
      <w:r w:rsidRPr="000A4DF3">
        <w:rPr>
          <w:sz w:val="22"/>
          <w:szCs w:val="22"/>
        </w:rPr>
        <w:t xml:space="preserve">etljivosti </w:t>
      </w:r>
      <w:r w:rsidR="00881DAA" w:rsidRPr="000A4DF3">
        <w:rPr>
          <w:sz w:val="22"/>
          <w:szCs w:val="22"/>
        </w:rPr>
        <w:t>zabilježene</w:t>
      </w:r>
      <w:r w:rsidRPr="000A4DF3">
        <w:rPr>
          <w:sz w:val="22"/>
          <w:szCs w:val="22"/>
        </w:rPr>
        <w:t xml:space="preserve"> su u kliničkim ispitivanjima kod odojčadi i d</w:t>
      </w:r>
      <w:r w:rsidR="0093205B" w:rsidRPr="000A4DF3">
        <w:rPr>
          <w:sz w:val="22"/>
          <w:szCs w:val="22"/>
        </w:rPr>
        <w:t>j</w:t>
      </w:r>
      <w:r w:rsidRPr="000A4DF3">
        <w:rPr>
          <w:sz w:val="22"/>
          <w:szCs w:val="22"/>
        </w:rPr>
        <w:t>ece.</w:t>
      </w:r>
    </w:p>
    <w:p w14:paraId="05E5C4E2" w14:textId="77777777" w:rsidR="00234CE5" w:rsidRPr="00F02D6C" w:rsidRDefault="00234CE5" w:rsidP="00234CE5">
      <w:pPr>
        <w:rPr>
          <w:noProof/>
          <w:sz w:val="22"/>
          <w:szCs w:val="22"/>
          <w:lang w:val="hr-HR"/>
        </w:rPr>
      </w:pPr>
    </w:p>
    <w:p w14:paraId="5ABEC534" w14:textId="77777777" w:rsidR="00234CE5" w:rsidRPr="00F02D6C" w:rsidRDefault="00234CE5" w:rsidP="00234CE5">
      <w:pPr>
        <w:rPr>
          <w:noProof/>
          <w:sz w:val="22"/>
          <w:szCs w:val="22"/>
          <w:lang w:val="hr-HR"/>
        </w:rPr>
      </w:pPr>
      <w:r w:rsidRPr="00F02D6C">
        <w:rPr>
          <w:noProof/>
          <w:sz w:val="22"/>
          <w:szCs w:val="22"/>
          <w:lang w:val="hr-HR"/>
        </w:rPr>
        <w:t xml:space="preserve">Kategorije učestalosti neželjenih reakcija: </w:t>
      </w:r>
    </w:p>
    <w:p w14:paraId="1387E0A0" w14:textId="63B4B907" w:rsidR="00234CE5" w:rsidRPr="00F02D6C" w:rsidRDefault="00234CE5" w:rsidP="00234CE5">
      <w:pPr>
        <w:rPr>
          <w:noProof/>
          <w:sz w:val="22"/>
          <w:szCs w:val="22"/>
          <w:lang w:val="hr-HR"/>
        </w:rPr>
      </w:pPr>
      <w:r w:rsidRPr="00F02D6C">
        <w:rPr>
          <w:noProof/>
          <w:sz w:val="22"/>
          <w:szCs w:val="22"/>
          <w:lang w:val="hr-HR"/>
        </w:rPr>
        <w:t>veoma često (≥1/10), često (≥ 1/100 do ˂ 1/10), povremeno (≥1/1000 do ˂ 1/100), r</w:t>
      </w:r>
      <w:r w:rsidR="0093205B">
        <w:rPr>
          <w:noProof/>
          <w:sz w:val="22"/>
          <w:szCs w:val="22"/>
          <w:lang w:val="hr-HR"/>
        </w:rPr>
        <w:t>ij</w:t>
      </w:r>
      <w:r w:rsidRPr="00F02D6C">
        <w:rPr>
          <w:noProof/>
          <w:sz w:val="22"/>
          <w:szCs w:val="22"/>
          <w:lang w:val="hr-HR"/>
        </w:rPr>
        <w:t>etko (≥1/10000 do</w:t>
      </w:r>
      <w:r w:rsidR="00FC32E0">
        <w:rPr>
          <w:noProof/>
          <w:sz w:val="22"/>
          <w:szCs w:val="22"/>
          <w:lang w:val="hr-HR"/>
        </w:rPr>
        <w:t xml:space="preserve"> </w:t>
      </w:r>
      <w:r w:rsidRPr="00F02D6C">
        <w:rPr>
          <w:noProof/>
          <w:sz w:val="22"/>
          <w:szCs w:val="22"/>
          <w:lang w:val="hr-HR"/>
        </w:rPr>
        <w:t xml:space="preserve">˂ 1/1000), veoma </w:t>
      </w:r>
      <w:r w:rsidR="0093205B">
        <w:rPr>
          <w:noProof/>
          <w:sz w:val="22"/>
          <w:szCs w:val="22"/>
          <w:lang w:val="hr-HR"/>
        </w:rPr>
        <w:t>rijetko</w:t>
      </w:r>
      <w:r w:rsidRPr="00F02D6C">
        <w:rPr>
          <w:noProof/>
          <w:sz w:val="22"/>
          <w:szCs w:val="22"/>
          <w:lang w:val="hr-HR"/>
        </w:rPr>
        <w:t xml:space="preserve"> (˂ 1/10000), nepoznato (ne može se proc</w:t>
      </w:r>
      <w:r w:rsidR="0093205B">
        <w:rPr>
          <w:noProof/>
          <w:sz w:val="22"/>
          <w:szCs w:val="22"/>
          <w:lang w:val="hr-HR"/>
        </w:rPr>
        <w:t>ij</w:t>
      </w:r>
      <w:r w:rsidRPr="00F02D6C">
        <w:rPr>
          <w:noProof/>
          <w:sz w:val="22"/>
          <w:szCs w:val="22"/>
          <w:lang w:val="hr-HR"/>
        </w:rPr>
        <w:t>eniti na osnovu dostupnih</w:t>
      </w:r>
      <w:r w:rsidR="00FC32E0">
        <w:rPr>
          <w:noProof/>
          <w:sz w:val="22"/>
          <w:szCs w:val="22"/>
          <w:lang w:val="hr-HR"/>
        </w:rPr>
        <w:t xml:space="preserve"> </w:t>
      </w:r>
      <w:r w:rsidRPr="00F02D6C">
        <w:rPr>
          <w:noProof/>
          <w:sz w:val="22"/>
          <w:szCs w:val="22"/>
          <w:lang w:val="hr-HR"/>
        </w:rPr>
        <w:t xml:space="preserve">podataka). </w:t>
      </w:r>
    </w:p>
    <w:p w14:paraId="5EC1267A" w14:textId="77777777" w:rsidR="00234CE5" w:rsidRPr="00F02D6C" w:rsidRDefault="00234CE5" w:rsidP="00234CE5">
      <w:pPr>
        <w:rPr>
          <w:noProof/>
          <w:sz w:val="22"/>
          <w:szCs w:val="22"/>
          <w:lang w:val="hr-HR"/>
        </w:rPr>
      </w:pPr>
    </w:p>
    <w:p w14:paraId="32EDF3AF" w14:textId="0FA87F61" w:rsidR="00234CE5" w:rsidRPr="00F02D6C" w:rsidRDefault="00234CE5" w:rsidP="00234CE5">
      <w:pPr>
        <w:rPr>
          <w:noProof/>
          <w:sz w:val="22"/>
          <w:szCs w:val="22"/>
          <w:lang w:val="hr-HR"/>
        </w:rPr>
      </w:pPr>
      <w:r w:rsidRPr="00F02D6C">
        <w:rPr>
          <w:noProof/>
          <w:sz w:val="22"/>
          <w:szCs w:val="22"/>
          <w:lang w:val="hr-HR"/>
        </w:rPr>
        <w:t>Sl</w:t>
      </w:r>
      <w:r w:rsidR="0093205B">
        <w:rPr>
          <w:noProof/>
          <w:sz w:val="22"/>
          <w:szCs w:val="22"/>
          <w:lang w:val="hr-HR"/>
        </w:rPr>
        <w:t>j</w:t>
      </w:r>
      <w:r w:rsidRPr="00F02D6C">
        <w:rPr>
          <w:noProof/>
          <w:sz w:val="22"/>
          <w:szCs w:val="22"/>
          <w:lang w:val="hr-HR"/>
        </w:rPr>
        <w:t xml:space="preserve">edeće neželjene reakcija </w:t>
      </w:r>
      <w:r w:rsidR="00881DAA">
        <w:rPr>
          <w:noProof/>
          <w:sz w:val="22"/>
          <w:szCs w:val="22"/>
          <w:lang w:val="hr-HR"/>
        </w:rPr>
        <w:t>zabilježene</w:t>
      </w:r>
      <w:r w:rsidRPr="00F02D6C">
        <w:rPr>
          <w:noProof/>
          <w:sz w:val="22"/>
          <w:szCs w:val="22"/>
          <w:lang w:val="hr-HR"/>
        </w:rPr>
        <w:t xml:space="preserve"> su tokom </w:t>
      </w:r>
      <w:r w:rsidR="0070216F">
        <w:rPr>
          <w:noProof/>
          <w:sz w:val="22"/>
          <w:szCs w:val="22"/>
          <w:lang w:val="hr-HR"/>
        </w:rPr>
        <w:t>primjene</w:t>
      </w:r>
      <w:r w:rsidRPr="00F02D6C">
        <w:rPr>
          <w:noProof/>
          <w:sz w:val="22"/>
          <w:szCs w:val="22"/>
          <w:lang w:val="hr-HR"/>
        </w:rPr>
        <w:t xml:space="preserve"> ketoprofena:</w:t>
      </w:r>
    </w:p>
    <w:p w14:paraId="6DAA407C" w14:textId="77777777" w:rsidR="00234CE5" w:rsidRPr="00F02D6C" w:rsidRDefault="00234CE5" w:rsidP="00234CE5">
      <w:pPr>
        <w:rPr>
          <w:noProof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1179"/>
        <w:gridCol w:w="1397"/>
        <w:gridCol w:w="1391"/>
        <w:gridCol w:w="1216"/>
        <w:gridCol w:w="1935"/>
      </w:tblGrid>
      <w:tr w:rsidR="00234CE5" w:rsidRPr="00F02D6C" w14:paraId="26A096B6" w14:textId="77777777" w:rsidTr="00067F85">
        <w:tc>
          <w:tcPr>
            <w:tcW w:w="1932" w:type="dxa"/>
          </w:tcPr>
          <w:p w14:paraId="3778D2ED" w14:textId="77777777" w:rsidR="00234CE5" w:rsidRPr="00F02D6C" w:rsidRDefault="00234CE5" w:rsidP="00067F85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noProof/>
                <w:sz w:val="22"/>
                <w:szCs w:val="22"/>
                <w:lang w:val="hr-HR"/>
              </w:rPr>
              <w:t>Klasifikacija sistema organa prema MedDRA</w:t>
            </w:r>
          </w:p>
        </w:tc>
        <w:tc>
          <w:tcPr>
            <w:tcW w:w="1425" w:type="dxa"/>
          </w:tcPr>
          <w:p w14:paraId="3140ADEF" w14:textId="77777777" w:rsidR="00234CE5" w:rsidRPr="00F02D6C" w:rsidRDefault="00234CE5" w:rsidP="00067F85">
            <w:pPr>
              <w:jc w:val="center"/>
              <w:rPr>
                <w:b/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noProof/>
                <w:sz w:val="22"/>
                <w:szCs w:val="22"/>
                <w:lang w:val="hr-HR"/>
              </w:rPr>
              <w:t>Često</w:t>
            </w:r>
          </w:p>
        </w:tc>
        <w:tc>
          <w:tcPr>
            <w:tcW w:w="1579" w:type="dxa"/>
          </w:tcPr>
          <w:p w14:paraId="195D6984" w14:textId="77777777" w:rsidR="00234CE5" w:rsidRPr="00F02D6C" w:rsidRDefault="00234CE5" w:rsidP="00067F85">
            <w:pPr>
              <w:jc w:val="center"/>
              <w:rPr>
                <w:b/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noProof/>
                <w:sz w:val="22"/>
                <w:szCs w:val="22"/>
                <w:lang w:val="hr-HR"/>
              </w:rPr>
              <w:t>Povremeno</w:t>
            </w:r>
          </w:p>
        </w:tc>
        <w:tc>
          <w:tcPr>
            <w:tcW w:w="1574" w:type="dxa"/>
          </w:tcPr>
          <w:p w14:paraId="2FA5AF91" w14:textId="158FB92D" w:rsidR="00234CE5" w:rsidRPr="00F02D6C" w:rsidRDefault="0093205B" w:rsidP="00067F85">
            <w:pPr>
              <w:jc w:val="center"/>
              <w:rPr>
                <w:b/>
                <w:noProof/>
                <w:sz w:val="22"/>
                <w:szCs w:val="22"/>
                <w:lang w:val="hr-HR"/>
              </w:rPr>
            </w:pPr>
            <w:r>
              <w:rPr>
                <w:b/>
                <w:noProof/>
                <w:sz w:val="22"/>
                <w:szCs w:val="22"/>
                <w:lang w:val="hr-HR"/>
              </w:rPr>
              <w:t>Rijetko</w:t>
            </w:r>
          </w:p>
        </w:tc>
        <w:tc>
          <w:tcPr>
            <w:tcW w:w="963" w:type="dxa"/>
          </w:tcPr>
          <w:p w14:paraId="024D1383" w14:textId="67669C2E" w:rsidR="00234CE5" w:rsidRPr="00F02D6C" w:rsidRDefault="00234CE5" w:rsidP="00067F85">
            <w:pPr>
              <w:jc w:val="center"/>
              <w:rPr>
                <w:b/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noProof/>
                <w:sz w:val="22"/>
                <w:szCs w:val="22"/>
                <w:lang w:val="hr-HR"/>
              </w:rPr>
              <w:t xml:space="preserve">Veoma </w:t>
            </w:r>
            <w:r w:rsidR="0093205B">
              <w:rPr>
                <w:b/>
                <w:noProof/>
                <w:sz w:val="22"/>
                <w:szCs w:val="22"/>
                <w:lang w:val="hr-HR"/>
              </w:rPr>
              <w:t>rijetko</w:t>
            </w:r>
          </w:p>
        </w:tc>
        <w:tc>
          <w:tcPr>
            <w:tcW w:w="2156" w:type="dxa"/>
          </w:tcPr>
          <w:p w14:paraId="61F24727" w14:textId="77777777" w:rsidR="00234CE5" w:rsidRPr="00F02D6C" w:rsidRDefault="00234CE5" w:rsidP="00067F85">
            <w:pPr>
              <w:jc w:val="center"/>
              <w:rPr>
                <w:b/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noProof/>
                <w:sz w:val="22"/>
                <w:szCs w:val="22"/>
                <w:lang w:val="hr-HR"/>
              </w:rPr>
              <w:t>Nepoznato</w:t>
            </w:r>
          </w:p>
        </w:tc>
      </w:tr>
      <w:tr w:rsidR="00234CE5" w:rsidRPr="00F02D6C" w14:paraId="46CF99A3" w14:textId="77777777" w:rsidTr="00067F85">
        <w:tc>
          <w:tcPr>
            <w:tcW w:w="1932" w:type="dxa"/>
          </w:tcPr>
          <w:p w14:paraId="79C2920A" w14:textId="77777777" w:rsidR="00234CE5" w:rsidRPr="00F02D6C" w:rsidRDefault="00234CE5" w:rsidP="00067F85">
            <w:pPr>
              <w:rPr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F02D6C">
              <w:rPr>
                <w:b/>
                <w:bCs/>
                <w:color w:val="000000"/>
                <w:sz w:val="22"/>
                <w:szCs w:val="22"/>
                <w:lang w:val="sl-SI" w:eastAsia="sl-SI"/>
              </w:rPr>
              <w:t>Infekcije i infestacije</w:t>
            </w:r>
          </w:p>
        </w:tc>
        <w:tc>
          <w:tcPr>
            <w:tcW w:w="1425" w:type="dxa"/>
          </w:tcPr>
          <w:p w14:paraId="3869863D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</w:tcPr>
          <w:p w14:paraId="434FAEB2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4" w:type="dxa"/>
          </w:tcPr>
          <w:p w14:paraId="62EDC904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963" w:type="dxa"/>
          </w:tcPr>
          <w:p w14:paraId="57457CF0" w14:textId="77777777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56" w:type="dxa"/>
          </w:tcPr>
          <w:p w14:paraId="1FD6DEE7" w14:textId="77777777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02D6C">
              <w:rPr>
                <w:sz w:val="22"/>
                <w:szCs w:val="22"/>
              </w:rPr>
              <w:t>aseptični</w:t>
            </w:r>
            <w:proofErr w:type="spellEnd"/>
            <w:r w:rsidRPr="00F02D6C">
              <w:rPr>
                <w:sz w:val="22"/>
                <w:szCs w:val="22"/>
              </w:rPr>
              <w:t xml:space="preserve"> meningitis, </w:t>
            </w:r>
          </w:p>
          <w:p w14:paraId="113203FC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sz w:val="22"/>
                <w:szCs w:val="22"/>
              </w:rPr>
              <w:t xml:space="preserve">limfangitis </w:t>
            </w:r>
          </w:p>
        </w:tc>
      </w:tr>
      <w:tr w:rsidR="00234CE5" w:rsidRPr="00F02D6C" w14:paraId="214860FB" w14:textId="77777777" w:rsidTr="00067F85">
        <w:tc>
          <w:tcPr>
            <w:tcW w:w="1932" w:type="dxa"/>
          </w:tcPr>
          <w:p w14:paraId="2545D9CF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bCs/>
                <w:color w:val="000000"/>
                <w:sz w:val="22"/>
                <w:szCs w:val="22"/>
                <w:lang w:val="sl-SI" w:eastAsia="sl-SI"/>
              </w:rPr>
              <w:t>Poremećaji krvi i limfnog sistema</w:t>
            </w:r>
          </w:p>
        </w:tc>
        <w:tc>
          <w:tcPr>
            <w:tcW w:w="1425" w:type="dxa"/>
          </w:tcPr>
          <w:p w14:paraId="03C19AA4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</w:tcPr>
          <w:p w14:paraId="35564126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4" w:type="dxa"/>
          </w:tcPr>
          <w:p w14:paraId="490E11CA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hemoragijska anemija</w:t>
            </w:r>
          </w:p>
        </w:tc>
        <w:tc>
          <w:tcPr>
            <w:tcW w:w="963" w:type="dxa"/>
          </w:tcPr>
          <w:p w14:paraId="3BCD5B0F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2156" w:type="dxa"/>
          </w:tcPr>
          <w:p w14:paraId="502B1EC6" w14:textId="3CB8062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agranulocitoza, trombocitopenija, insuficijencija koštane srži,</w:t>
            </w:r>
            <w:r w:rsidR="002302B4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F02D6C">
              <w:rPr>
                <w:noProof/>
                <w:sz w:val="22"/>
                <w:szCs w:val="22"/>
                <w:lang w:val="hr-HR"/>
              </w:rPr>
              <w:t>hemolitička anemija, leukopenija, neutropenija, aplastična anemija, leukocitoza, trombocitopenijska purpura</w:t>
            </w:r>
          </w:p>
        </w:tc>
      </w:tr>
      <w:tr w:rsidR="00234CE5" w:rsidRPr="00F02D6C" w14:paraId="2B726202" w14:textId="77777777" w:rsidTr="00067F85">
        <w:tc>
          <w:tcPr>
            <w:tcW w:w="1932" w:type="dxa"/>
          </w:tcPr>
          <w:p w14:paraId="70BD48DC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bCs/>
                <w:color w:val="000000"/>
                <w:sz w:val="22"/>
                <w:szCs w:val="22"/>
                <w:lang w:val="sl-SI" w:eastAsia="sl-SI"/>
              </w:rPr>
              <w:t>Poremećaji imunskog sistema</w:t>
            </w:r>
          </w:p>
        </w:tc>
        <w:tc>
          <w:tcPr>
            <w:tcW w:w="1425" w:type="dxa"/>
          </w:tcPr>
          <w:p w14:paraId="28A10B4C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</w:tcPr>
          <w:p w14:paraId="453B2153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4" w:type="dxa"/>
          </w:tcPr>
          <w:p w14:paraId="087A4845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963" w:type="dxa"/>
          </w:tcPr>
          <w:p w14:paraId="56332DBF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2156" w:type="dxa"/>
          </w:tcPr>
          <w:p w14:paraId="046ED873" w14:textId="7FFC63BA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anafilaktičke reakcije (uključujući šok), preos</w:t>
            </w:r>
            <w:r w:rsidR="00FC32E0">
              <w:rPr>
                <w:noProof/>
                <w:sz w:val="22"/>
                <w:szCs w:val="22"/>
                <w:lang w:val="hr-HR"/>
              </w:rPr>
              <w:t>j</w:t>
            </w:r>
            <w:r w:rsidRPr="00F02D6C">
              <w:rPr>
                <w:noProof/>
                <w:sz w:val="22"/>
                <w:szCs w:val="22"/>
                <w:lang w:val="hr-HR"/>
              </w:rPr>
              <w:t>etljivost</w:t>
            </w:r>
          </w:p>
        </w:tc>
      </w:tr>
      <w:tr w:rsidR="00234CE5" w:rsidRPr="00F02D6C" w14:paraId="63519653" w14:textId="77777777" w:rsidTr="00067F85">
        <w:tc>
          <w:tcPr>
            <w:tcW w:w="1932" w:type="dxa"/>
          </w:tcPr>
          <w:p w14:paraId="5E26C356" w14:textId="77777777" w:rsidR="00234CE5" w:rsidRPr="00F02D6C" w:rsidRDefault="00234CE5" w:rsidP="00067F85">
            <w:pPr>
              <w:rPr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F02D6C">
              <w:rPr>
                <w:b/>
                <w:bCs/>
                <w:color w:val="000000"/>
                <w:sz w:val="22"/>
                <w:szCs w:val="22"/>
                <w:lang w:val="sl-SI" w:eastAsia="sl-SI"/>
              </w:rPr>
              <w:t>Poremećaj metabolizma i ishrane</w:t>
            </w:r>
          </w:p>
        </w:tc>
        <w:tc>
          <w:tcPr>
            <w:tcW w:w="1425" w:type="dxa"/>
          </w:tcPr>
          <w:p w14:paraId="1020A791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</w:tcPr>
          <w:p w14:paraId="4FC919AD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4" w:type="dxa"/>
          </w:tcPr>
          <w:p w14:paraId="70EADDEF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963" w:type="dxa"/>
          </w:tcPr>
          <w:p w14:paraId="7D50FCBA" w14:textId="77777777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56" w:type="dxa"/>
          </w:tcPr>
          <w:p w14:paraId="26FC62C8" w14:textId="050B7E7E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02D6C">
              <w:rPr>
                <w:sz w:val="22"/>
                <w:szCs w:val="22"/>
              </w:rPr>
              <w:t>hiperkalemija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t>hiponatrijemija</w:t>
            </w:r>
            <w:proofErr w:type="spellEnd"/>
            <w:r w:rsidRPr="00F02D6C">
              <w:rPr>
                <w:sz w:val="22"/>
                <w:szCs w:val="22"/>
              </w:rPr>
              <w:t xml:space="preserve"> (</w:t>
            </w:r>
            <w:proofErr w:type="spellStart"/>
            <w:r w:rsidR="00881DAA">
              <w:rPr>
                <w:sz w:val="22"/>
                <w:szCs w:val="22"/>
              </w:rPr>
              <w:t>pogledati</w:t>
            </w:r>
            <w:proofErr w:type="spellEnd"/>
            <w:r w:rsidR="00881DAA">
              <w:rPr>
                <w:sz w:val="22"/>
                <w:szCs w:val="22"/>
              </w:rPr>
              <w:t xml:space="preserve"> </w:t>
            </w:r>
            <w:proofErr w:type="spellStart"/>
            <w:r w:rsidR="00881DAA">
              <w:rPr>
                <w:sz w:val="22"/>
                <w:szCs w:val="22"/>
              </w:rPr>
              <w:t>djelove</w:t>
            </w:r>
            <w:proofErr w:type="spellEnd"/>
            <w:r w:rsidRPr="00F02D6C">
              <w:rPr>
                <w:sz w:val="22"/>
                <w:szCs w:val="22"/>
              </w:rPr>
              <w:t xml:space="preserve"> 4.4 i 4.5) </w:t>
            </w:r>
          </w:p>
          <w:p w14:paraId="3B666C32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</w:tr>
      <w:tr w:rsidR="00234CE5" w:rsidRPr="00F02D6C" w14:paraId="34B18F15" w14:textId="77777777" w:rsidTr="00067F85">
        <w:tc>
          <w:tcPr>
            <w:tcW w:w="1932" w:type="dxa"/>
          </w:tcPr>
          <w:p w14:paraId="4C00D807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bCs/>
                <w:color w:val="000000"/>
                <w:sz w:val="22"/>
                <w:szCs w:val="22"/>
                <w:lang w:val="sl-SI" w:eastAsia="sl-SI"/>
              </w:rPr>
              <w:t>Psihijatrijski poremećaji</w:t>
            </w:r>
          </w:p>
        </w:tc>
        <w:tc>
          <w:tcPr>
            <w:tcW w:w="1425" w:type="dxa"/>
          </w:tcPr>
          <w:p w14:paraId="576C5145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</w:tcPr>
          <w:p w14:paraId="71769DE7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4" w:type="dxa"/>
          </w:tcPr>
          <w:p w14:paraId="6E949EF3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963" w:type="dxa"/>
          </w:tcPr>
          <w:p w14:paraId="56A2D02E" w14:textId="77777777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56" w:type="dxa"/>
          </w:tcPr>
          <w:p w14:paraId="3F1950F3" w14:textId="77777777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02D6C">
              <w:rPr>
                <w:sz w:val="22"/>
                <w:szCs w:val="22"/>
              </w:rPr>
              <w:t>depresija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t>halucinacije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t>konfuzija</w:t>
            </w:r>
            <w:proofErr w:type="spellEnd"/>
            <w:r w:rsidRPr="00F02D6C">
              <w:rPr>
                <w:sz w:val="22"/>
                <w:szCs w:val="22"/>
              </w:rPr>
              <w:t>,</w:t>
            </w:r>
          </w:p>
          <w:p w14:paraId="494344C1" w14:textId="1D2CD96C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prom</w:t>
            </w:r>
            <w:r w:rsidR="00FC32E0">
              <w:rPr>
                <w:noProof/>
                <w:sz w:val="22"/>
                <w:szCs w:val="22"/>
                <w:lang w:val="hr-HR"/>
              </w:rPr>
              <w:t>j</w:t>
            </w:r>
            <w:r w:rsidRPr="00F02D6C">
              <w:rPr>
                <w:noProof/>
                <w:sz w:val="22"/>
                <w:szCs w:val="22"/>
                <w:lang w:val="hr-HR"/>
              </w:rPr>
              <w:t>ene raspoloženja, ekscitabilnost, insomnija</w:t>
            </w:r>
          </w:p>
        </w:tc>
      </w:tr>
      <w:tr w:rsidR="00234CE5" w:rsidRPr="00F02D6C" w14:paraId="0285FC63" w14:textId="77777777" w:rsidTr="00067F85">
        <w:tc>
          <w:tcPr>
            <w:tcW w:w="1932" w:type="dxa"/>
          </w:tcPr>
          <w:p w14:paraId="1ACAF2D8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bCs/>
                <w:color w:val="000000"/>
                <w:sz w:val="22"/>
                <w:szCs w:val="22"/>
                <w:lang w:val="sl-SI" w:eastAsia="sl-SI"/>
              </w:rPr>
              <w:t>Poremećaji nervnog sistema</w:t>
            </w:r>
          </w:p>
        </w:tc>
        <w:tc>
          <w:tcPr>
            <w:tcW w:w="1425" w:type="dxa"/>
          </w:tcPr>
          <w:p w14:paraId="76D3169E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</w:tcPr>
          <w:p w14:paraId="1B17968C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 xml:space="preserve">glavobolja, </w:t>
            </w:r>
          </w:p>
          <w:p w14:paraId="53CE4D6A" w14:textId="74408248" w:rsidR="0093205B" w:rsidRPr="00715F33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 xml:space="preserve">vrtoglavica, </w:t>
            </w:r>
            <w:r w:rsidRPr="00067F85">
              <w:rPr>
                <w:noProof/>
                <w:sz w:val="22"/>
                <w:szCs w:val="22"/>
                <w:lang w:val="hr-HR"/>
              </w:rPr>
              <w:t>ošamućenos</w:t>
            </w:r>
            <w:r w:rsidR="00FC32E0" w:rsidRPr="00067F85">
              <w:rPr>
                <w:noProof/>
                <w:sz w:val="22"/>
                <w:szCs w:val="22"/>
                <w:lang w:val="hr-HR"/>
              </w:rPr>
              <w:t>t</w:t>
            </w:r>
            <w:r w:rsidRPr="00715F33">
              <w:rPr>
                <w:noProof/>
                <w:sz w:val="22"/>
                <w:szCs w:val="22"/>
                <w:lang w:val="hr-HR"/>
              </w:rPr>
              <w:t>,</w:t>
            </w:r>
          </w:p>
          <w:p w14:paraId="72F7491B" w14:textId="701AEBA0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D85B78">
              <w:rPr>
                <w:noProof/>
                <w:sz w:val="22"/>
                <w:szCs w:val="22"/>
                <w:lang w:val="hr-HR"/>
              </w:rPr>
              <w:lastRenderedPageBreak/>
              <w:t>somnolencija</w:t>
            </w:r>
          </w:p>
        </w:tc>
        <w:tc>
          <w:tcPr>
            <w:tcW w:w="1574" w:type="dxa"/>
          </w:tcPr>
          <w:p w14:paraId="13BC7F42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lastRenderedPageBreak/>
              <w:t>parestezije</w:t>
            </w:r>
          </w:p>
        </w:tc>
        <w:tc>
          <w:tcPr>
            <w:tcW w:w="963" w:type="dxa"/>
          </w:tcPr>
          <w:p w14:paraId="416AB090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diskinezija, sinkopa</w:t>
            </w:r>
          </w:p>
        </w:tc>
        <w:tc>
          <w:tcPr>
            <w:tcW w:w="2156" w:type="dxa"/>
          </w:tcPr>
          <w:p w14:paraId="350456E2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konvulzije, disgeuzija, tremor, hiperkinezija</w:t>
            </w:r>
          </w:p>
        </w:tc>
      </w:tr>
      <w:tr w:rsidR="00234CE5" w:rsidRPr="00F02D6C" w14:paraId="24C56720" w14:textId="77777777" w:rsidTr="00067F85">
        <w:tc>
          <w:tcPr>
            <w:tcW w:w="1932" w:type="dxa"/>
          </w:tcPr>
          <w:p w14:paraId="69302519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bCs/>
                <w:color w:val="000000"/>
                <w:sz w:val="22"/>
                <w:szCs w:val="22"/>
                <w:lang w:val="sl-SI" w:eastAsia="sl-SI"/>
              </w:rPr>
              <w:t>Poremećaji oka</w:t>
            </w:r>
          </w:p>
        </w:tc>
        <w:tc>
          <w:tcPr>
            <w:tcW w:w="1425" w:type="dxa"/>
          </w:tcPr>
          <w:p w14:paraId="770C26B1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</w:tcPr>
          <w:p w14:paraId="283559C0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4" w:type="dxa"/>
          </w:tcPr>
          <w:p w14:paraId="21C0E18F" w14:textId="16347365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zamućen vid (</w:t>
            </w:r>
            <w:r w:rsidR="00881DAA">
              <w:rPr>
                <w:noProof/>
                <w:sz w:val="22"/>
                <w:szCs w:val="22"/>
                <w:lang w:val="hr-HR"/>
              </w:rPr>
              <w:t>pogledati dio</w:t>
            </w:r>
            <w:r w:rsidRPr="00F02D6C">
              <w:rPr>
                <w:noProof/>
                <w:sz w:val="22"/>
                <w:szCs w:val="22"/>
                <w:lang w:val="hr-HR"/>
              </w:rPr>
              <w:t xml:space="preserve"> 4.4)</w:t>
            </w:r>
          </w:p>
        </w:tc>
        <w:tc>
          <w:tcPr>
            <w:tcW w:w="963" w:type="dxa"/>
          </w:tcPr>
          <w:p w14:paraId="7F99F75F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2156" w:type="dxa"/>
          </w:tcPr>
          <w:p w14:paraId="50B40234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periorbitalni edem</w:t>
            </w:r>
          </w:p>
        </w:tc>
      </w:tr>
      <w:tr w:rsidR="00234CE5" w:rsidRPr="00F02D6C" w14:paraId="6DB84F21" w14:textId="77777777" w:rsidTr="00067F85">
        <w:tc>
          <w:tcPr>
            <w:tcW w:w="1932" w:type="dxa"/>
          </w:tcPr>
          <w:p w14:paraId="4411EF1F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bCs/>
                <w:color w:val="000000"/>
                <w:sz w:val="22"/>
                <w:szCs w:val="22"/>
                <w:lang w:val="sl-SI" w:eastAsia="sl-SI"/>
              </w:rPr>
              <w:t>Poremećaji uha i labirinta</w:t>
            </w:r>
          </w:p>
        </w:tc>
        <w:tc>
          <w:tcPr>
            <w:tcW w:w="1425" w:type="dxa"/>
          </w:tcPr>
          <w:p w14:paraId="7F0F5073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</w:tcPr>
          <w:p w14:paraId="098E43F7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4" w:type="dxa"/>
          </w:tcPr>
          <w:p w14:paraId="31D21BB2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tinitus</w:t>
            </w:r>
          </w:p>
        </w:tc>
        <w:tc>
          <w:tcPr>
            <w:tcW w:w="963" w:type="dxa"/>
          </w:tcPr>
          <w:p w14:paraId="647D41A5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2156" w:type="dxa"/>
          </w:tcPr>
          <w:p w14:paraId="344C49CF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</w:tr>
      <w:tr w:rsidR="00234CE5" w:rsidRPr="00F02D6C" w14:paraId="5A4045A9" w14:textId="77777777" w:rsidTr="00067F85">
        <w:tc>
          <w:tcPr>
            <w:tcW w:w="1932" w:type="dxa"/>
          </w:tcPr>
          <w:p w14:paraId="52C0A963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bCs/>
                <w:color w:val="000000"/>
                <w:sz w:val="22"/>
                <w:szCs w:val="22"/>
                <w:lang w:val="sl-SI" w:eastAsia="sl-SI"/>
              </w:rPr>
              <w:t>Kardiološki poremećaji</w:t>
            </w:r>
          </w:p>
        </w:tc>
        <w:tc>
          <w:tcPr>
            <w:tcW w:w="1425" w:type="dxa"/>
          </w:tcPr>
          <w:p w14:paraId="442F134E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</w:tcPr>
          <w:p w14:paraId="5D047718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4" w:type="dxa"/>
          </w:tcPr>
          <w:p w14:paraId="0F59B2CE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963" w:type="dxa"/>
          </w:tcPr>
          <w:p w14:paraId="7F2D4F91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2156" w:type="dxa"/>
          </w:tcPr>
          <w:p w14:paraId="08525980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srčana insuficijencija, palpitacije, atrijalna fibrilacija i tahikardija</w:t>
            </w:r>
          </w:p>
        </w:tc>
      </w:tr>
      <w:tr w:rsidR="00234CE5" w:rsidRPr="00F02D6C" w14:paraId="1B19626B" w14:textId="77777777" w:rsidTr="00067F85">
        <w:tc>
          <w:tcPr>
            <w:tcW w:w="1932" w:type="dxa"/>
          </w:tcPr>
          <w:p w14:paraId="6EBD4D24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bCs/>
                <w:sz w:val="22"/>
                <w:szCs w:val="22"/>
                <w:lang w:val="sl-SI" w:eastAsia="sl-SI"/>
              </w:rPr>
              <w:t>Vaskularni poremećaji</w:t>
            </w:r>
          </w:p>
        </w:tc>
        <w:tc>
          <w:tcPr>
            <w:tcW w:w="1425" w:type="dxa"/>
          </w:tcPr>
          <w:p w14:paraId="6F455BBB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</w:tcPr>
          <w:p w14:paraId="52DD064D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4" w:type="dxa"/>
          </w:tcPr>
          <w:p w14:paraId="04478B12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963" w:type="dxa"/>
          </w:tcPr>
          <w:p w14:paraId="47AEF5E0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hipotenzija</w:t>
            </w:r>
          </w:p>
        </w:tc>
        <w:tc>
          <w:tcPr>
            <w:tcW w:w="2156" w:type="dxa"/>
          </w:tcPr>
          <w:p w14:paraId="1E1B5F07" w14:textId="0182DD4C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hipertenzija, vazodilatacija, vaskulitis</w:t>
            </w:r>
            <w:r w:rsidR="00FC32E0"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F02D6C">
              <w:rPr>
                <w:noProof/>
                <w:sz w:val="22"/>
                <w:szCs w:val="22"/>
                <w:lang w:val="hr-HR"/>
              </w:rPr>
              <w:t xml:space="preserve">(uključujući leukocitoklastični vaskulitis) </w:t>
            </w:r>
          </w:p>
        </w:tc>
      </w:tr>
      <w:tr w:rsidR="00234CE5" w:rsidRPr="00F02D6C" w14:paraId="6937600D" w14:textId="77777777" w:rsidTr="00067F85">
        <w:tc>
          <w:tcPr>
            <w:tcW w:w="1932" w:type="dxa"/>
          </w:tcPr>
          <w:p w14:paraId="37E1524D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bCs/>
                <w:sz w:val="22"/>
                <w:szCs w:val="22"/>
                <w:lang w:val="sl-SI" w:eastAsia="sl-SI"/>
              </w:rPr>
              <w:t>Respiratorni, torakalni i medijastinalni poremećaji</w:t>
            </w:r>
          </w:p>
        </w:tc>
        <w:tc>
          <w:tcPr>
            <w:tcW w:w="1425" w:type="dxa"/>
          </w:tcPr>
          <w:p w14:paraId="5A1F2CFC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</w:tcPr>
          <w:p w14:paraId="790DB7A7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4" w:type="dxa"/>
          </w:tcPr>
          <w:p w14:paraId="1E4B8864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astma</w:t>
            </w:r>
          </w:p>
        </w:tc>
        <w:tc>
          <w:tcPr>
            <w:tcW w:w="963" w:type="dxa"/>
          </w:tcPr>
          <w:p w14:paraId="52BC2E95" w14:textId="668613A1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edem larinksa</w:t>
            </w:r>
          </w:p>
        </w:tc>
        <w:tc>
          <w:tcPr>
            <w:tcW w:w="2156" w:type="dxa"/>
          </w:tcPr>
          <w:p w14:paraId="1853E432" w14:textId="2C7CB1C0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bronhospazam (naročito kod pacijenata sa poznatom preos</w:t>
            </w:r>
            <w:r w:rsidR="0093205B">
              <w:rPr>
                <w:noProof/>
                <w:sz w:val="22"/>
                <w:szCs w:val="22"/>
                <w:lang w:val="hr-HR"/>
              </w:rPr>
              <w:t>j</w:t>
            </w:r>
            <w:r w:rsidRPr="00F02D6C">
              <w:rPr>
                <w:noProof/>
                <w:sz w:val="22"/>
                <w:szCs w:val="22"/>
                <w:lang w:val="hr-HR"/>
              </w:rPr>
              <w:t>etljivošću na acetilsalicilnu kiselinu i druge NSAIL), rinitis, dispneja, laringospazam, akutna respiratorna insuficijencija (</w:t>
            </w:r>
          </w:p>
          <w:p w14:paraId="65661260" w14:textId="77777777" w:rsidR="00234CE5" w:rsidRPr="00881DAA" w:rsidRDefault="00234CE5" w:rsidP="00067F85">
            <w:pPr>
              <w:pStyle w:val="Default"/>
              <w:rPr>
                <w:sz w:val="22"/>
                <w:szCs w:val="22"/>
                <w:lang w:val="hr-HR"/>
              </w:rPr>
            </w:pPr>
            <w:r w:rsidRPr="00881DAA">
              <w:rPr>
                <w:sz w:val="22"/>
                <w:szCs w:val="22"/>
                <w:lang w:val="hr-HR"/>
              </w:rPr>
              <w:t xml:space="preserve">prijavljen je jedan slučaj sa smrtnim ishodom kod pacijenta sa astmom osjetljivog na acetilsalicilnu kiselinu) </w:t>
            </w:r>
          </w:p>
          <w:p w14:paraId="17DBE044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</w:tr>
      <w:tr w:rsidR="00234CE5" w:rsidRPr="00F02D6C" w14:paraId="392972CC" w14:textId="77777777" w:rsidTr="00067F85">
        <w:tc>
          <w:tcPr>
            <w:tcW w:w="1932" w:type="dxa"/>
          </w:tcPr>
          <w:p w14:paraId="0C6CBA47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bCs/>
                <w:color w:val="000000"/>
                <w:sz w:val="22"/>
                <w:szCs w:val="22"/>
                <w:lang w:val="sl-SI" w:eastAsia="sl-SI"/>
              </w:rPr>
              <w:t>Gastrointestinalni poremećaji</w:t>
            </w:r>
          </w:p>
        </w:tc>
        <w:tc>
          <w:tcPr>
            <w:tcW w:w="1425" w:type="dxa"/>
          </w:tcPr>
          <w:p w14:paraId="4232EA51" w14:textId="7A19C49E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02D6C">
              <w:rPr>
                <w:sz w:val="22"/>
                <w:szCs w:val="22"/>
              </w:rPr>
              <w:t>dispepsija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t>mučnina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t>bol</w:t>
            </w:r>
            <w:proofErr w:type="spellEnd"/>
            <w:r w:rsidRPr="00F02D6C">
              <w:rPr>
                <w:sz w:val="22"/>
                <w:szCs w:val="22"/>
              </w:rPr>
              <w:t xml:space="preserve"> u </w:t>
            </w:r>
            <w:proofErr w:type="spellStart"/>
            <w:r w:rsidRPr="00F02D6C">
              <w:rPr>
                <w:sz w:val="22"/>
                <w:szCs w:val="22"/>
              </w:rPr>
              <w:t>abdomen</w:t>
            </w:r>
            <w:r w:rsidR="00FC32E0">
              <w:rPr>
                <w:sz w:val="22"/>
                <w:szCs w:val="22"/>
              </w:rPr>
              <w:t>u</w:t>
            </w:r>
            <w:proofErr w:type="spellEnd"/>
            <w:r w:rsidRPr="00F02D6C">
              <w:rPr>
                <w:sz w:val="22"/>
                <w:szCs w:val="22"/>
              </w:rPr>
              <w:t>,</w:t>
            </w:r>
            <w:r w:rsidR="00FC32E0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povraćanje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</w:p>
          <w:p w14:paraId="36540BEE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</w:tcPr>
          <w:p w14:paraId="515A6F85" w14:textId="77777777" w:rsidR="00234CE5" w:rsidRPr="00881DAA" w:rsidRDefault="00234CE5" w:rsidP="00067F85">
            <w:pPr>
              <w:pStyle w:val="Default"/>
              <w:rPr>
                <w:sz w:val="22"/>
                <w:szCs w:val="22"/>
                <w:lang w:val="es-ES"/>
              </w:rPr>
            </w:pPr>
            <w:proofErr w:type="spellStart"/>
            <w:r w:rsidRPr="00881DAA">
              <w:rPr>
                <w:sz w:val="22"/>
                <w:szCs w:val="22"/>
                <w:lang w:val="es-ES"/>
              </w:rPr>
              <w:t>nelagoda</w:t>
            </w:r>
            <w:proofErr w:type="spellEnd"/>
            <w:r w:rsidRPr="00881DAA">
              <w:rPr>
                <w:sz w:val="22"/>
                <w:szCs w:val="22"/>
                <w:lang w:val="es-ES"/>
              </w:rPr>
              <w:t xml:space="preserve"> u </w:t>
            </w:r>
            <w:proofErr w:type="spellStart"/>
            <w:r w:rsidRPr="00881DAA">
              <w:rPr>
                <w:sz w:val="22"/>
                <w:szCs w:val="22"/>
                <w:lang w:val="es-ES"/>
              </w:rPr>
              <w:t>abdomenu</w:t>
            </w:r>
            <w:proofErr w:type="spellEnd"/>
            <w:r w:rsidRPr="00881DAA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881DAA">
              <w:rPr>
                <w:sz w:val="22"/>
                <w:szCs w:val="22"/>
                <w:lang w:val="es-ES"/>
              </w:rPr>
              <w:t>konstipacija</w:t>
            </w:r>
            <w:proofErr w:type="spellEnd"/>
            <w:r w:rsidRPr="00881DAA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881DAA">
              <w:rPr>
                <w:sz w:val="22"/>
                <w:szCs w:val="22"/>
                <w:lang w:val="es-ES"/>
              </w:rPr>
              <w:t>dijareja</w:t>
            </w:r>
            <w:proofErr w:type="spellEnd"/>
            <w:r w:rsidRPr="00881DAA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881DAA">
              <w:rPr>
                <w:sz w:val="22"/>
                <w:szCs w:val="22"/>
                <w:lang w:val="es-ES"/>
              </w:rPr>
              <w:t>flatulencija</w:t>
            </w:r>
            <w:proofErr w:type="spellEnd"/>
            <w:r w:rsidRPr="00881DAA">
              <w:rPr>
                <w:sz w:val="22"/>
                <w:szCs w:val="22"/>
                <w:lang w:val="es-ES"/>
              </w:rPr>
              <w:t xml:space="preserve">, gastritis </w:t>
            </w:r>
          </w:p>
          <w:p w14:paraId="157514CA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4" w:type="dxa"/>
          </w:tcPr>
          <w:p w14:paraId="47AB4A32" w14:textId="4998DFCD" w:rsidR="00234CE5" w:rsidRPr="00F02D6C" w:rsidRDefault="00BA22F4" w:rsidP="00067F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234CE5" w:rsidRPr="00F02D6C">
              <w:rPr>
                <w:sz w:val="22"/>
                <w:szCs w:val="22"/>
              </w:rPr>
              <w:t xml:space="preserve">tomatitis, </w:t>
            </w:r>
            <w:proofErr w:type="spellStart"/>
            <w:r w:rsidR="00234CE5" w:rsidRPr="00F02D6C">
              <w:rPr>
                <w:sz w:val="22"/>
                <w:szCs w:val="22"/>
              </w:rPr>
              <w:t>peptički</w:t>
            </w:r>
            <w:proofErr w:type="spellEnd"/>
            <w:r w:rsidR="00234CE5" w:rsidRPr="00F02D6C">
              <w:rPr>
                <w:sz w:val="22"/>
                <w:szCs w:val="22"/>
              </w:rPr>
              <w:t xml:space="preserve"> </w:t>
            </w:r>
            <w:proofErr w:type="spellStart"/>
            <w:r w:rsidR="00234CE5" w:rsidRPr="00F02D6C">
              <w:rPr>
                <w:sz w:val="22"/>
                <w:szCs w:val="22"/>
              </w:rPr>
              <w:t>ulkus</w:t>
            </w:r>
            <w:proofErr w:type="spellEnd"/>
            <w:r w:rsidR="00234CE5" w:rsidRPr="00F02D6C">
              <w:rPr>
                <w:sz w:val="22"/>
                <w:szCs w:val="22"/>
              </w:rPr>
              <w:t xml:space="preserve">, </w:t>
            </w:r>
            <w:proofErr w:type="spellStart"/>
            <w:r w:rsidR="00234CE5" w:rsidRPr="00F02D6C">
              <w:rPr>
                <w:sz w:val="22"/>
                <w:szCs w:val="22"/>
              </w:rPr>
              <w:t>kolitis</w:t>
            </w:r>
            <w:proofErr w:type="spellEnd"/>
            <w:r w:rsidR="00234CE5" w:rsidRPr="00F02D6C">
              <w:rPr>
                <w:sz w:val="22"/>
                <w:szCs w:val="22"/>
              </w:rPr>
              <w:t xml:space="preserve"> </w:t>
            </w:r>
          </w:p>
          <w:p w14:paraId="114A3E94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963" w:type="dxa"/>
          </w:tcPr>
          <w:p w14:paraId="684F6225" w14:textId="77777777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56" w:type="dxa"/>
          </w:tcPr>
          <w:p w14:paraId="48750FFD" w14:textId="77777777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02D6C">
              <w:rPr>
                <w:sz w:val="22"/>
                <w:szCs w:val="22"/>
              </w:rPr>
              <w:t>gastralgija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</w:p>
          <w:p w14:paraId="4DF341FD" w14:textId="77777777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02D6C">
              <w:rPr>
                <w:sz w:val="22"/>
                <w:szCs w:val="22"/>
              </w:rPr>
              <w:t>pogoršanje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kolitisa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i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Kronove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bolesti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t>gastrointestinalno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krvarenje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i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perforacija</w:t>
            </w:r>
            <w:proofErr w:type="spellEnd"/>
          </w:p>
          <w:p w14:paraId="08376207" w14:textId="7F76D8A1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  <w:r w:rsidRPr="00F02D6C">
              <w:rPr>
                <w:sz w:val="22"/>
                <w:szCs w:val="22"/>
              </w:rPr>
              <w:t>(</w:t>
            </w:r>
            <w:proofErr w:type="spellStart"/>
            <w:r w:rsidRPr="00F02D6C">
              <w:rPr>
                <w:sz w:val="22"/>
                <w:szCs w:val="22"/>
              </w:rPr>
              <w:t>ponekad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sa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smrtnim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ishodom</w:t>
            </w:r>
            <w:proofErr w:type="spellEnd"/>
            <w:r w:rsidRPr="00F02D6C">
              <w:rPr>
                <w:sz w:val="22"/>
                <w:szCs w:val="22"/>
              </w:rPr>
              <w:t xml:space="preserve">, posebno kod starijih osoba – </w:t>
            </w:r>
            <w:r w:rsidR="00881DAA">
              <w:rPr>
                <w:sz w:val="22"/>
                <w:szCs w:val="22"/>
              </w:rPr>
              <w:t>pogledati dio</w:t>
            </w:r>
            <w:r w:rsidRPr="00F02D6C">
              <w:rPr>
                <w:sz w:val="22"/>
                <w:szCs w:val="22"/>
              </w:rPr>
              <w:t xml:space="preserve"> 4.4), </w:t>
            </w:r>
            <w:proofErr w:type="spellStart"/>
            <w:r w:rsidRPr="00F02D6C">
              <w:rPr>
                <w:sz w:val="22"/>
                <w:szCs w:val="22"/>
              </w:rPr>
              <w:t>ulkus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na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želucu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t>ulkus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na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dvanaestopalačnom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cr</w:t>
            </w:r>
            <w:r w:rsidR="0093205B">
              <w:rPr>
                <w:sz w:val="22"/>
                <w:szCs w:val="22"/>
              </w:rPr>
              <w:t>ij</w:t>
            </w:r>
            <w:r w:rsidRPr="00F02D6C">
              <w:rPr>
                <w:sz w:val="22"/>
                <w:szCs w:val="22"/>
              </w:rPr>
              <w:t>evu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="00067F85">
              <w:rPr>
                <w:sz w:val="22"/>
                <w:szCs w:val="22"/>
              </w:rPr>
              <w:t>gorušica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t>edem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usne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šupljine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t>pankreatitis</w:t>
            </w:r>
            <w:proofErr w:type="spellEnd"/>
            <w:r w:rsidRPr="00F02D6C">
              <w:rPr>
                <w:sz w:val="22"/>
                <w:szCs w:val="22"/>
              </w:rPr>
              <w:t xml:space="preserve">, melena, </w:t>
            </w:r>
            <w:proofErr w:type="spellStart"/>
            <w:r w:rsidRPr="00F02D6C">
              <w:rPr>
                <w:sz w:val="22"/>
                <w:szCs w:val="22"/>
              </w:rPr>
              <w:t>hematemeza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t>hiperhlorhidrija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lastRenderedPageBreak/>
              <w:t>bol</w:t>
            </w:r>
            <w:proofErr w:type="spellEnd"/>
            <w:r w:rsidRPr="00F02D6C">
              <w:rPr>
                <w:sz w:val="22"/>
                <w:szCs w:val="22"/>
              </w:rPr>
              <w:t xml:space="preserve"> u </w:t>
            </w:r>
            <w:proofErr w:type="spellStart"/>
            <w:r w:rsidRPr="00F02D6C">
              <w:rPr>
                <w:sz w:val="22"/>
                <w:szCs w:val="22"/>
              </w:rPr>
              <w:t>želudcu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t>erozivni</w:t>
            </w:r>
            <w:proofErr w:type="spellEnd"/>
            <w:r w:rsidRPr="00F02D6C">
              <w:rPr>
                <w:sz w:val="22"/>
                <w:szCs w:val="22"/>
              </w:rPr>
              <w:t xml:space="preserve"> gastritis, </w:t>
            </w:r>
            <w:proofErr w:type="spellStart"/>
            <w:r w:rsidRPr="00F02D6C">
              <w:rPr>
                <w:sz w:val="22"/>
                <w:szCs w:val="22"/>
              </w:rPr>
              <w:t>edem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jezika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</w:p>
          <w:p w14:paraId="4FB85539" w14:textId="77777777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</w:p>
          <w:p w14:paraId="6DAA4BC3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</w:tr>
      <w:tr w:rsidR="00234CE5" w:rsidRPr="00F02D6C" w14:paraId="178539CA" w14:textId="77777777" w:rsidTr="00067F85">
        <w:tc>
          <w:tcPr>
            <w:tcW w:w="1932" w:type="dxa"/>
          </w:tcPr>
          <w:p w14:paraId="0625D8CD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bCs/>
                <w:color w:val="000000"/>
                <w:sz w:val="22"/>
                <w:szCs w:val="22"/>
                <w:lang w:val="sl-SI" w:eastAsia="sl-SI"/>
              </w:rPr>
              <w:lastRenderedPageBreak/>
              <w:t>Hepatobilijarni poremećaji</w:t>
            </w:r>
          </w:p>
        </w:tc>
        <w:tc>
          <w:tcPr>
            <w:tcW w:w="1425" w:type="dxa"/>
          </w:tcPr>
          <w:p w14:paraId="74FAD808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</w:tcPr>
          <w:p w14:paraId="563EA783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4" w:type="dxa"/>
          </w:tcPr>
          <w:p w14:paraId="3CAD2920" w14:textId="378BBEB7" w:rsidR="00234CE5" w:rsidRPr="00881DAA" w:rsidRDefault="00234CE5" w:rsidP="00067F85">
            <w:pPr>
              <w:pStyle w:val="Default"/>
              <w:rPr>
                <w:sz w:val="22"/>
                <w:szCs w:val="22"/>
                <w:lang w:val="hr-HR"/>
              </w:rPr>
            </w:pPr>
            <w:r w:rsidRPr="00881DAA">
              <w:rPr>
                <w:sz w:val="22"/>
                <w:szCs w:val="22"/>
                <w:lang w:val="hr-HR"/>
              </w:rPr>
              <w:t xml:space="preserve">hepatitis, povećanje </w:t>
            </w:r>
            <w:r w:rsidR="00881DAA">
              <w:rPr>
                <w:sz w:val="22"/>
                <w:szCs w:val="22"/>
                <w:lang w:val="hr-HR"/>
              </w:rPr>
              <w:t>vrijednosti</w:t>
            </w:r>
            <w:r w:rsidRPr="00881DAA">
              <w:rPr>
                <w:sz w:val="22"/>
                <w:szCs w:val="22"/>
                <w:lang w:val="hr-HR"/>
              </w:rPr>
              <w:t xml:space="preserve"> enzima jetre u krvi, povećanje koncentracije bilirubina u serumu, žutica </w:t>
            </w:r>
          </w:p>
          <w:p w14:paraId="5A0F96FA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963" w:type="dxa"/>
          </w:tcPr>
          <w:p w14:paraId="231FD34F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2156" w:type="dxa"/>
          </w:tcPr>
          <w:p w14:paraId="16FA330D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</w:tr>
      <w:tr w:rsidR="00234CE5" w:rsidRPr="00F02D6C" w14:paraId="3E7C108B" w14:textId="77777777" w:rsidTr="00067F85">
        <w:tc>
          <w:tcPr>
            <w:tcW w:w="1932" w:type="dxa"/>
          </w:tcPr>
          <w:p w14:paraId="6D06B978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bCs/>
                <w:color w:val="000000"/>
                <w:sz w:val="22"/>
                <w:szCs w:val="22"/>
                <w:lang w:val="sl-SI" w:eastAsia="sl-SI"/>
              </w:rPr>
              <w:t>Poremećaji kože i potkožnog tkiva</w:t>
            </w:r>
          </w:p>
        </w:tc>
        <w:tc>
          <w:tcPr>
            <w:tcW w:w="1425" w:type="dxa"/>
          </w:tcPr>
          <w:p w14:paraId="36062E8D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</w:tcPr>
          <w:p w14:paraId="263497BD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osip, svrab</w:t>
            </w:r>
          </w:p>
        </w:tc>
        <w:tc>
          <w:tcPr>
            <w:tcW w:w="1574" w:type="dxa"/>
          </w:tcPr>
          <w:p w14:paraId="4AADF032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963" w:type="dxa"/>
          </w:tcPr>
          <w:p w14:paraId="0DE49365" w14:textId="77777777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56" w:type="dxa"/>
          </w:tcPr>
          <w:p w14:paraId="14F74C61" w14:textId="77777777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02D6C">
              <w:rPr>
                <w:sz w:val="22"/>
                <w:szCs w:val="22"/>
              </w:rPr>
              <w:t>fotosenzitivnost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t>alopecija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t>urtikarija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t>angioedem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t>bulozne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erupcije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t>uključujući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r w:rsidRPr="00F02D6C">
              <w:rPr>
                <w:i/>
                <w:sz w:val="22"/>
                <w:szCs w:val="22"/>
              </w:rPr>
              <w:t>Stevens-Johnson</w:t>
            </w:r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sindrom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</w:p>
          <w:p w14:paraId="6E39F20A" w14:textId="77777777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02D6C">
              <w:rPr>
                <w:i/>
                <w:iCs/>
                <w:sz w:val="22"/>
                <w:szCs w:val="22"/>
              </w:rPr>
              <w:t>Lyellov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sindrom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i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toksičnu</w:t>
            </w:r>
            <w:proofErr w:type="spellEnd"/>
            <w:r w:rsidRPr="00F02D6C">
              <w:rPr>
                <w:sz w:val="22"/>
                <w:szCs w:val="22"/>
              </w:rPr>
              <w:t xml:space="preserve"> epidermalnu nekrolizu, </w:t>
            </w:r>
          </w:p>
          <w:p w14:paraId="40074A71" w14:textId="77777777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  <w:r w:rsidRPr="00F02D6C">
              <w:rPr>
                <w:sz w:val="22"/>
                <w:szCs w:val="22"/>
              </w:rPr>
              <w:t xml:space="preserve">eritem, </w:t>
            </w:r>
          </w:p>
          <w:p w14:paraId="72BF9E99" w14:textId="77777777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  <w:r w:rsidRPr="00F02D6C">
              <w:rPr>
                <w:sz w:val="22"/>
                <w:szCs w:val="22"/>
              </w:rPr>
              <w:t xml:space="preserve">egzantem, </w:t>
            </w:r>
          </w:p>
          <w:p w14:paraId="3C3453B6" w14:textId="77777777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02D6C">
              <w:rPr>
                <w:sz w:val="22"/>
                <w:szCs w:val="22"/>
              </w:rPr>
              <w:t>makulopapilarni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osip</w:t>
            </w:r>
            <w:proofErr w:type="spellEnd"/>
            <w:r w:rsidRPr="00F02D6C">
              <w:rPr>
                <w:sz w:val="22"/>
                <w:szCs w:val="22"/>
              </w:rPr>
              <w:t xml:space="preserve">, purpura, </w:t>
            </w:r>
          </w:p>
          <w:p w14:paraId="3E7C37F9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sz w:val="22"/>
                <w:szCs w:val="22"/>
              </w:rPr>
              <w:t xml:space="preserve">akutna generalizovana egzantematozna pustuloza, dermatitis </w:t>
            </w:r>
          </w:p>
        </w:tc>
      </w:tr>
      <w:tr w:rsidR="00234CE5" w:rsidRPr="00F02D6C" w14:paraId="7D702659" w14:textId="77777777" w:rsidTr="00067F85">
        <w:tc>
          <w:tcPr>
            <w:tcW w:w="1932" w:type="dxa"/>
          </w:tcPr>
          <w:p w14:paraId="38936A1B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bCs/>
                <w:color w:val="000000"/>
                <w:sz w:val="22"/>
                <w:szCs w:val="22"/>
                <w:lang w:val="sl-SI" w:eastAsia="sl-SI"/>
              </w:rPr>
              <w:t>Poremećaji bubrega i urinarnog sistema</w:t>
            </w:r>
          </w:p>
        </w:tc>
        <w:tc>
          <w:tcPr>
            <w:tcW w:w="1425" w:type="dxa"/>
          </w:tcPr>
          <w:p w14:paraId="0A5A5DD6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</w:tcPr>
          <w:p w14:paraId="47CE8DEB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4" w:type="dxa"/>
          </w:tcPr>
          <w:p w14:paraId="5A274C88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963" w:type="dxa"/>
          </w:tcPr>
          <w:p w14:paraId="674881E1" w14:textId="77777777" w:rsidR="00234CE5" w:rsidRPr="00F02D6C" w:rsidRDefault="00234CE5" w:rsidP="00067F85">
            <w:pPr>
              <w:rPr>
                <w:sz w:val="22"/>
                <w:szCs w:val="22"/>
              </w:rPr>
            </w:pPr>
            <w:r w:rsidRPr="00F02D6C">
              <w:rPr>
                <w:sz w:val="22"/>
                <w:szCs w:val="22"/>
              </w:rPr>
              <w:t>hematurija</w:t>
            </w:r>
          </w:p>
        </w:tc>
        <w:tc>
          <w:tcPr>
            <w:tcW w:w="2156" w:type="dxa"/>
          </w:tcPr>
          <w:p w14:paraId="4EBEB29D" w14:textId="77777777" w:rsidR="00C10B1C" w:rsidRPr="00F02D6C" w:rsidRDefault="00C10B1C" w:rsidP="00C10B1C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 xml:space="preserve">akutna insuficijencija bubrega, tubulointersticijalni nefritis, nefritički sindrom, </w:t>
            </w:r>
          </w:p>
          <w:p w14:paraId="04D7008A" w14:textId="77777777" w:rsidR="00C10B1C" w:rsidRPr="00F02D6C" w:rsidRDefault="00C10B1C" w:rsidP="00C10B1C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glomerulonefritis, zadržavanje vode/natrijuma uz mogući edem, akutna tubularna nekroza, bubrežna papilarna nekroza, oligurija,</w:t>
            </w:r>
          </w:p>
          <w:p w14:paraId="5967C7FD" w14:textId="69E6865C" w:rsidR="00234CE5" w:rsidRPr="00F02D6C" w:rsidRDefault="00C10B1C" w:rsidP="00C10B1C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 xml:space="preserve">poremećaj </w:t>
            </w:r>
            <w:r w:rsidR="00881DAA">
              <w:rPr>
                <w:noProof/>
                <w:sz w:val="22"/>
                <w:szCs w:val="22"/>
                <w:lang w:val="hr-HR"/>
              </w:rPr>
              <w:t>vrijednosti</w:t>
            </w:r>
            <w:r w:rsidRPr="00F02D6C">
              <w:rPr>
                <w:noProof/>
                <w:sz w:val="22"/>
                <w:szCs w:val="22"/>
                <w:lang w:val="hr-HR"/>
              </w:rPr>
              <w:t xml:space="preserve"> funkcionalnih testova bubrega</w:t>
            </w:r>
          </w:p>
        </w:tc>
      </w:tr>
      <w:tr w:rsidR="00234CE5" w:rsidRPr="00F02D6C" w14:paraId="19E9C039" w14:textId="77777777" w:rsidTr="00067F85">
        <w:tc>
          <w:tcPr>
            <w:tcW w:w="1932" w:type="dxa"/>
          </w:tcPr>
          <w:p w14:paraId="527C24AF" w14:textId="608D83D5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bCs/>
                <w:color w:val="000000"/>
                <w:sz w:val="22"/>
                <w:szCs w:val="22"/>
                <w:lang w:val="sl-SI" w:eastAsia="sl-SI"/>
              </w:rPr>
              <w:t xml:space="preserve">Opšti poremećaji i reakcije na mestu </w:t>
            </w:r>
            <w:r w:rsidR="0070216F">
              <w:rPr>
                <w:b/>
                <w:bCs/>
                <w:color w:val="000000"/>
                <w:sz w:val="22"/>
                <w:szCs w:val="22"/>
                <w:lang w:val="sl-SI" w:eastAsia="sl-SI"/>
              </w:rPr>
              <w:t>primjene</w:t>
            </w:r>
          </w:p>
        </w:tc>
        <w:tc>
          <w:tcPr>
            <w:tcW w:w="1425" w:type="dxa"/>
          </w:tcPr>
          <w:p w14:paraId="7F982D41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</w:tcPr>
          <w:p w14:paraId="0C0D1519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edem, umor,</w:t>
            </w:r>
          </w:p>
          <w:p w14:paraId="6CEF0492" w14:textId="77777777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02D6C">
              <w:rPr>
                <w:sz w:val="22"/>
                <w:szCs w:val="22"/>
              </w:rPr>
              <w:lastRenderedPageBreak/>
              <w:t>periferni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edem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t>groznica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</w:p>
          <w:p w14:paraId="288F407D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4" w:type="dxa"/>
          </w:tcPr>
          <w:p w14:paraId="1AA9C12C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963" w:type="dxa"/>
          </w:tcPr>
          <w:p w14:paraId="7D646C94" w14:textId="77777777" w:rsidR="00234CE5" w:rsidRPr="00F02D6C" w:rsidRDefault="00234CE5" w:rsidP="00067F8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02D6C">
              <w:rPr>
                <w:sz w:val="22"/>
                <w:szCs w:val="22"/>
              </w:rPr>
              <w:t>astenija</w:t>
            </w:r>
            <w:proofErr w:type="spellEnd"/>
            <w:r w:rsidRPr="00F02D6C">
              <w:rPr>
                <w:sz w:val="22"/>
                <w:szCs w:val="22"/>
              </w:rPr>
              <w:t xml:space="preserve">, </w:t>
            </w:r>
            <w:proofErr w:type="spellStart"/>
            <w:r w:rsidRPr="00F02D6C">
              <w:rPr>
                <w:sz w:val="22"/>
                <w:szCs w:val="22"/>
              </w:rPr>
              <w:t>edem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  <w:proofErr w:type="spellStart"/>
            <w:r w:rsidRPr="00F02D6C">
              <w:rPr>
                <w:sz w:val="22"/>
                <w:szCs w:val="22"/>
              </w:rPr>
              <w:t>lica</w:t>
            </w:r>
            <w:proofErr w:type="spellEnd"/>
            <w:r w:rsidRPr="00F02D6C">
              <w:rPr>
                <w:sz w:val="22"/>
                <w:szCs w:val="22"/>
              </w:rPr>
              <w:t xml:space="preserve"> </w:t>
            </w:r>
          </w:p>
          <w:p w14:paraId="10A6616E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  <w:p w14:paraId="59F46F95" w14:textId="77777777" w:rsidR="00234CE5" w:rsidRPr="00F02D6C" w:rsidRDefault="00234CE5" w:rsidP="00067F8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156" w:type="dxa"/>
          </w:tcPr>
          <w:p w14:paraId="116990EE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</w:tr>
      <w:tr w:rsidR="00234CE5" w:rsidRPr="00F02D6C" w14:paraId="09B95356" w14:textId="77777777" w:rsidTr="00067F85">
        <w:tc>
          <w:tcPr>
            <w:tcW w:w="1932" w:type="dxa"/>
          </w:tcPr>
          <w:p w14:paraId="3780024E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b/>
                <w:bCs/>
                <w:color w:val="000000"/>
                <w:sz w:val="22"/>
                <w:szCs w:val="22"/>
                <w:lang w:val="sl-SI" w:eastAsia="sl-SI"/>
              </w:rPr>
              <w:t>Ispitivanja</w:t>
            </w:r>
          </w:p>
        </w:tc>
        <w:tc>
          <w:tcPr>
            <w:tcW w:w="1425" w:type="dxa"/>
          </w:tcPr>
          <w:p w14:paraId="44E53BA2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</w:tcPr>
          <w:p w14:paraId="292D92C4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574" w:type="dxa"/>
          </w:tcPr>
          <w:p w14:paraId="546425AB" w14:textId="2856449B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  <w:r w:rsidRPr="00F02D6C">
              <w:rPr>
                <w:noProof/>
                <w:sz w:val="22"/>
                <w:szCs w:val="22"/>
                <w:lang w:val="hr-HR"/>
              </w:rPr>
              <w:t>povećanje t</w:t>
            </w:r>
            <w:r w:rsidR="0093205B">
              <w:rPr>
                <w:noProof/>
                <w:sz w:val="22"/>
                <w:szCs w:val="22"/>
                <w:lang w:val="hr-HR"/>
              </w:rPr>
              <w:t>j</w:t>
            </w:r>
            <w:r w:rsidRPr="00F02D6C">
              <w:rPr>
                <w:noProof/>
                <w:sz w:val="22"/>
                <w:szCs w:val="22"/>
                <w:lang w:val="hr-HR"/>
              </w:rPr>
              <w:t>elesne mase</w:t>
            </w:r>
          </w:p>
        </w:tc>
        <w:tc>
          <w:tcPr>
            <w:tcW w:w="963" w:type="dxa"/>
          </w:tcPr>
          <w:p w14:paraId="2106015E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2156" w:type="dxa"/>
          </w:tcPr>
          <w:p w14:paraId="7E6F2A5E" w14:textId="77777777" w:rsidR="00234CE5" w:rsidRPr="00F02D6C" w:rsidRDefault="00234CE5" w:rsidP="00067F85">
            <w:pPr>
              <w:rPr>
                <w:noProof/>
                <w:sz w:val="22"/>
                <w:szCs w:val="22"/>
                <w:lang w:val="hr-HR"/>
              </w:rPr>
            </w:pPr>
          </w:p>
        </w:tc>
      </w:tr>
    </w:tbl>
    <w:p w14:paraId="1F4DA6DE" w14:textId="77777777" w:rsidR="00234CE5" w:rsidRPr="00766341" w:rsidRDefault="00234CE5" w:rsidP="00234CE5">
      <w:pPr>
        <w:rPr>
          <w:noProof/>
          <w:szCs w:val="22"/>
          <w:lang w:val="hr-HR"/>
        </w:rPr>
      </w:pPr>
    </w:p>
    <w:p w14:paraId="010747C7" w14:textId="6C92FAB3" w:rsidR="00234CE5" w:rsidRPr="008C614C" w:rsidRDefault="00234CE5" w:rsidP="00480AFB">
      <w:pPr>
        <w:jc w:val="both"/>
        <w:rPr>
          <w:noProof/>
          <w:sz w:val="22"/>
          <w:szCs w:val="22"/>
          <w:lang w:val="hr-HR"/>
        </w:rPr>
      </w:pPr>
      <w:r w:rsidRPr="008C614C">
        <w:rPr>
          <w:noProof/>
          <w:sz w:val="22"/>
          <w:szCs w:val="22"/>
          <w:lang w:val="hr-HR"/>
        </w:rPr>
        <w:t xml:space="preserve">Klinička ispitivanja i epidemiološki podaci ukazuju da se </w:t>
      </w:r>
      <w:r w:rsidR="0070216F">
        <w:rPr>
          <w:noProof/>
          <w:sz w:val="22"/>
          <w:szCs w:val="22"/>
          <w:lang w:val="hr-HR"/>
        </w:rPr>
        <w:t>primjena</w:t>
      </w:r>
      <w:r w:rsidRPr="008C614C">
        <w:rPr>
          <w:noProof/>
          <w:sz w:val="22"/>
          <w:szCs w:val="22"/>
          <w:lang w:val="hr-HR"/>
        </w:rPr>
        <w:t xml:space="preserve"> nekih NSAIL (posebno u velikim dozama i kod dugotrajnih l</w:t>
      </w:r>
      <w:r w:rsidR="00BA22F4">
        <w:rPr>
          <w:noProof/>
          <w:sz w:val="22"/>
          <w:szCs w:val="22"/>
          <w:lang w:val="hr-HR"/>
        </w:rPr>
        <w:t>ij</w:t>
      </w:r>
      <w:r w:rsidRPr="008C614C">
        <w:rPr>
          <w:noProof/>
          <w:sz w:val="22"/>
          <w:szCs w:val="22"/>
          <w:lang w:val="hr-HR"/>
        </w:rPr>
        <w:t>ečenja) može povezati sa povećanjem rizika od arterijskih trombotičkih događaja (npr. infarkt miokarda ili moždani udar) (</w:t>
      </w:r>
      <w:r w:rsidR="0093205B">
        <w:rPr>
          <w:noProof/>
          <w:sz w:val="22"/>
          <w:szCs w:val="22"/>
          <w:lang w:val="hr-HR"/>
        </w:rPr>
        <w:t>pogledati dio</w:t>
      </w:r>
      <w:r w:rsidRPr="008C614C">
        <w:rPr>
          <w:noProof/>
          <w:sz w:val="22"/>
          <w:szCs w:val="22"/>
          <w:lang w:val="hr-HR"/>
        </w:rPr>
        <w:t xml:space="preserve"> 4.4).</w:t>
      </w:r>
    </w:p>
    <w:p w14:paraId="2678CF9A" w14:textId="77777777" w:rsidR="005D5376" w:rsidRPr="006C75EC" w:rsidRDefault="005D5376" w:rsidP="00D2565C">
      <w:pPr>
        <w:jc w:val="both"/>
        <w:rPr>
          <w:sz w:val="22"/>
          <w:szCs w:val="22"/>
        </w:rPr>
      </w:pPr>
    </w:p>
    <w:p w14:paraId="55D5316F" w14:textId="77777777" w:rsidR="005D5376" w:rsidRPr="006C75EC" w:rsidRDefault="005D5376" w:rsidP="00D2565C">
      <w:pPr>
        <w:widowControl/>
        <w:autoSpaceDE/>
        <w:autoSpaceDN/>
        <w:jc w:val="both"/>
        <w:rPr>
          <w:rFonts w:eastAsia="Calibri"/>
          <w:sz w:val="22"/>
          <w:szCs w:val="22"/>
          <w:u w:val="single"/>
          <w:lang w:eastAsia="en-US"/>
        </w:rPr>
      </w:pPr>
      <w:r w:rsidRPr="006C75EC">
        <w:rPr>
          <w:rFonts w:eastAsia="Calibri"/>
          <w:sz w:val="22"/>
          <w:szCs w:val="22"/>
          <w:u w:val="single"/>
          <w:lang w:eastAsia="en-US"/>
        </w:rPr>
        <w:t>Prijavljivanje sumnji na neželjena dejstva</w:t>
      </w:r>
    </w:p>
    <w:p w14:paraId="6ED65EE4" w14:textId="77777777" w:rsidR="005D5376" w:rsidRPr="006C75EC" w:rsidRDefault="005D5376" w:rsidP="00D2565C">
      <w:pPr>
        <w:widowControl/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6C75EC">
        <w:rPr>
          <w:rFonts w:eastAsia="Calibri"/>
          <w:sz w:val="22"/>
          <w:szCs w:val="22"/>
          <w:lang w:eastAsia="en-U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31033C6D" w14:textId="77777777" w:rsidR="005D5376" w:rsidRPr="006C75EC" w:rsidRDefault="005D5376" w:rsidP="00D2565C">
      <w:pPr>
        <w:widowControl/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6C75EC">
        <w:rPr>
          <w:rFonts w:eastAsia="Calibri"/>
          <w:sz w:val="22"/>
          <w:szCs w:val="22"/>
          <w:lang w:eastAsia="en-US"/>
        </w:rPr>
        <w:t xml:space="preserve">Institut za ljekove i medicinska sredstva </w:t>
      </w:r>
    </w:p>
    <w:p w14:paraId="6431F524" w14:textId="77777777" w:rsidR="005D5376" w:rsidRPr="006C75EC" w:rsidRDefault="005D5376" w:rsidP="00D2565C">
      <w:pPr>
        <w:widowControl/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6C75EC">
        <w:rPr>
          <w:rFonts w:eastAsia="Calibri"/>
          <w:sz w:val="22"/>
          <w:szCs w:val="22"/>
          <w:lang w:eastAsia="en-US"/>
        </w:rPr>
        <w:t>Odjeljenje za farmakovigilancu</w:t>
      </w:r>
    </w:p>
    <w:p w14:paraId="6B965438" w14:textId="77777777" w:rsidR="005D5376" w:rsidRPr="006C75EC" w:rsidRDefault="005D5376" w:rsidP="00D2565C">
      <w:pPr>
        <w:widowControl/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6C75EC">
        <w:rPr>
          <w:rFonts w:eastAsia="Calibri"/>
          <w:sz w:val="22"/>
          <w:szCs w:val="22"/>
          <w:lang w:eastAsia="en-US"/>
        </w:rPr>
        <w:t>Bulevar Ivana Crnojevića 64a, 81000 Podgorica</w:t>
      </w:r>
    </w:p>
    <w:p w14:paraId="0129E900" w14:textId="77777777" w:rsidR="005D5376" w:rsidRPr="006C75EC" w:rsidRDefault="005D5376" w:rsidP="00D2565C">
      <w:pPr>
        <w:widowControl/>
        <w:autoSpaceDE/>
        <w:autoSpaceDN/>
        <w:jc w:val="both"/>
        <w:rPr>
          <w:rFonts w:eastAsia="Calibri"/>
          <w:sz w:val="22"/>
          <w:szCs w:val="22"/>
          <w:lang w:eastAsia="en-US"/>
        </w:rPr>
      </w:pPr>
    </w:p>
    <w:p w14:paraId="3FDC53D5" w14:textId="77777777" w:rsidR="005D5376" w:rsidRPr="006C75EC" w:rsidRDefault="005D5376" w:rsidP="00D2565C">
      <w:pPr>
        <w:widowControl/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6C75EC">
        <w:rPr>
          <w:rFonts w:eastAsia="Calibri"/>
          <w:sz w:val="22"/>
          <w:szCs w:val="22"/>
          <w:lang w:eastAsia="en-US"/>
        </w:rPr>
        <w:t>tel: +382 (0) 20 310 280</w:t>
      </w:r>
    </w:p>
    <w:p w14:paraId="0288DA04" w14:textId="77777777" w:rsidR="005D5376" w:rsidRPr="006C75EC" w:rsidRDefault="005D5376" w:rsidP="00D2565C">
      <w:pPr>
        <w:widowControl/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6C75EC">
        <w:rPr>
          <w:rFonts w:eastAsia="Calibri"/>
          <w:sz w:val="22"/>
          <w:szCs w:val="22"/>
          <w:lang w:eastAsia="en-US"/>
        </w:rPr>
        <w:t>fax: +382 (0) 20 310 581</w:t>
      </w:r>
    </w:p>
    <w:p w14:paraId="57207CE8" w14:textId="77777777" w:rsidR="005D5376" w:rsidRPr="006C75EC" w:rsidRDefault="00875729" w:rsidP="00D2565C">
      <w:pPr>
        <w:widowControl/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hyperlink r:id="rId10" w:history="1">
        <w:r w:rsidR="005D5376" w:rsidRPr="006C75EC">
          <w:rPr>
            <w:rFonts w:eastAsia="Calibri"/>
            <w:color w:val="0563C1"/>
            <w:sz w:val="22"/>
            <w:szCs w:val="22"/>
            <w:u w:val="single"/>
            <w:lang w:eastAsia="en-US"/>
          </w:rPr>
          <w:t>www.cinmed.me</w:t>
        </w:r>
      </w:hyperlink>
    </w:p>
    <w:p w14:paraId="1464A5A1" w14:textId="77777777" w:rsidR="005D5376" w:rsidRPr="006C75EC" w:rsidRDefault="00875729" w:rsidP="00D2565C">
      <w:pPr>
        <w:widowControl/>
        <w:autoSpaceDE/>
        <w:autoSpaceDN/>
        <w:jc w:val="both"/>
        <w:rPr>
          <w:rFonts w:eastAsia="Calibri"/>
          <w:color w:val="0000FF"/>
          <w:sz w:val="22"/>
          <w:szCs w:val="22"/>
          <w:u w:val="single"/>
          <w:lang w:eastAsia="en-US"/>
        </w:rPr>
      </w:pPr>
      <w:hyperlink r:id="rId11" w:history="1">
        <w:r w:rsidR="005D5376" w:rsidRPr="006C75EC">
          <w:rPr>
            <w:rFonts w:eastAsia="Calibri"/>
            <w:color w:val="0563C1"/>
            <w:sz w:val="22"/>
            <w:szCs w:val="22"/>
            <w:u w:val="single"/>
            <w:lang w:eastAsia="en-US"/>
          </w:rPr>
          <w:t>nezeljenadejstva@cinmed.me</w:t>
        </w:r>
      </w:hyperlink>
    </w:p>
    <w:p w14:paraId="7432D7B1" w14:textId="77777777" w:rsidR="005D5376" w:rsidRPr="006C75EC" w:rsidRDefault="005D5376" w:rsidP="00D2565C">
      <w:pPr>
        <w:widowControl/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6C75EC">
        <w:rPr>
          <w:rFonts w:eastAsia="Calibri"/>
          <w:sz w:val="22"/>
          <w:szCs w:val="22"/>
          <w:lang w:eastAsia="en-US"/>
        </w:rPr>
        <w:t>putem IS zdravstvene zaštite</w:t>
      </w:r>
    </w:p>
    <w:p w14:paraId="73B8F93B" w14:textId="77777777" w:rsidR="00C75FAE" w:rsidRPr="006C75EC" w:rsidRDefault="00C75FAE" w:rsidP="00C75FA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C75EC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1A3E2F57" w14:textId="77777777" w:rsidR="00C75FAE" w:rsidRPr="006C75EC" w:rsidRDefault="00C75FAE" w:rsidP="00C75FA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EAAED74" w14:textId="0EE24D9B" w:rsidR="00C75FAE" w:rsidRPr="006C75EC" w:rsidRDefault="00EF3CD3" w:rsidP="00C75FAE">
      <w:pPr>
        <w:pStyle w:val="NoSpacing"/>
        <w:rPr>
          <w:rFonts w:eastAsia="Calibri"/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1AC7EBBB" wp14:editId="02AB3629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ACE68E" w14:textId="77777777" w:rsidR="00E27D3A" w:rsidRPr="006C75EC" w:rsidRDefault="00E27D3A" w:rsidP="00D2565C">
      <w:pPr>
        <w:jc w:val="both"/>
        <w:rPr>
          <w:spacing w:val="-4"/>
          <w:sz w:val="22"/>
          <w:szCs w:val="22"/>
        </w:rPr>
      </w:pPr>
    </w:p>
    <w:p w14:paraId="6615B3EB" w14:textId="64DE541B" w:rsidR="6A9CD890" w:rsidRPr="006C75EC" w:rsidRDefault="00C75FAE" w:rsidP="00C75FAE">
      <w:pPr>
        <w:jc w:val="both"/>
        <w:rPr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4.9 </w:t>
      </w:r>
      <w:r w:rsidR="00C42B53" w:rsidRPr="006C75EC">
        <w:rPr>
          <w:b/>
          <w:bCs/>
          <w:sz w:val="22"/>
          <w:szCs w:val="22"/>
        </w:rPr>
        <w:t>Predoziranje</w:t>
      </w:r>
      <w:r w:rsidR="00C42B53" w:rsidRPr="006C75EC">
        <w:rPr>
          <w:sz w:val="22"/>
          <w:szCs w:val="22"/>
        </w:rPr>
        <w:t xml:space="preserve"> </w:t>
      </w:r>
    </w:p>
    <w:p w14:paraId="69A43282" w14:textId="77777777" w:rsidR="000A5A8D" w:rsidRPr="006C75EC" w:rsidRDefault="000A5A8D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227D7558" w14:textId="5824A984" w:rsidR="00E2552B" w:rsidRPr="006C75EC" w:rsidRDefault="00E2552B" w:rsidP="00D2565C">
      <w:pPr>
        <w:tabs>
          <w:tab w:val="left" w:pos="828"/>
        </w:tabs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>Prijavljeni su slučajevi predoziranja dozama ketoprofena do 2,5 g.</w:t>
      </w:r>
    </w:p>
    <w:p w14:paraId="420B6C3D" w14:textId="380BC9F3" w:rsidR="00E2552B" w:rsidRPr="006C75EC" w:rsidRDefault="00E2552B" w:rsidP="00D2565C">
      <w:pPr>
        <w:tabs>
          <w:tab w:val="left" w:pos="828"/>
        </w:tabs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>U većini slučajeva, prim</w:t>
      </w:r>
      <w:r w:rsidR="00806AD4" w:rsidRPr="006C75EC">
        <w:rPr>
          <w:rFonts w:eastAsia="Calibri"/>
          <w:sz w:val="22"/>
          <w:szCs w:val="22"/>
        </w:rPr>
        <w:t>ij</w:t>
      </w:r>
      <w:r w:rsidRPr="006C75EC">
        <w:rPr>
          <w:rFonts w:eastAsia="Calibri"/>
          <w:sz w:val="22"/>
          <w:szCs w:val="22"/>
        </w:rPr>
        <w:t xml:space="preserve">ećeni su benigni i ograničeni simptomi letargije, pospanost, mučnina, povraćanje, </w:t>
      </w:r>
      <w:r w:rsidR="004153E3" w:rsidRPr="006C75EC">
        <w:rPr>
          <w:rFonts w:eastAsia="Calibri"/>
          <w:sz w:val="22"/>
          <w:szCs w:val="22"/>
        </w:rPr>
        <w:t xml:space="preserve">epigastrična i abdominalna </w:t>
      </w:r>
      <w:r w:rsidRPr="006C75EC">
        <w:rPr>
          <w:rFonts w:eastAsia="Calibri"/>
          <w:sz w:val="22"/>
          <w:szCs w:val="22"/>
        </w:rPr>
        <w:t>bol, glavobolja, vrtoglavica i dijareja.</w:t>
      </w:r>
    </w:p>
    <w:p w14:paraId="4B442DA3" w14:textId="49F8EE0A" w:rsidR="00E2552B" w:rsidRPr="006C75EC" w:rsidRDefault="00E2552B" w:rsidP="00D2565C">
      <w:pPr>
        <w:tabs>
          <w:tab w:val="left" w:pos="828"/>
        </w:tabs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 xml:space="preserve">U slučaju ozbiljnog predoziranja, </w:t>
      </w:r>
      <w:r w:rsidR="004153E3" w:rsidRPr="006C75EC">
        <w:rPr>
          <w:rFonts w:eastAsia="Calibri"/>
          <w:sz w:val="22"/>
          <w:szCs w:val="22"/>
        </w:rPr>
        <w:t>zab</w:t>
      </w:r>
      <w:r w:rsidR="00806AD4" w:rsidRPr="006C75EC">
        <w:rPr>
          <w:rFonts w:eastAsia="Calibri"/>
          <w:sz w:val="22"/>
          <w:szCs w:val="22"/>
        </w:rPr>
        <w:t>i</w:t>
      </w:r>
      <w:r w:rsidR="004153E3" w:rsidRPr="006C75EC">
        <w:rPr>
          <w:rFonts w:eastAsia="Calibri"/>
          <w:sz w:val="22"/>
          <w:szCs w:val="22"/>
        </w:rPr>
        <w:t>l</w:t>
      </w:r>
      <w:r w:rsidR="00806AD4" w:rsidRPr="006C75EC">
        <w:rPr>
          <w:rFonts w:eastAsia="Calibri"/>
          <w:sz w:val="22"/>
          <w:szCs w:val="22"/>
        </w:rPr>
        <w:t>j</w:t>
      </w:r>
      <w:r w:rsidR="004153E3" w:rsidRPr="006C75EC">
        <w:rPr>
          <w:rFonts w:eastAsia="Calibri"/>
          <w:sz w:val="22"/>
          <w:szCs w:val="22"/>
        </w:rPr>
        <w:t>ežena je</w:t>
      </w:r>
      <w:r w:rsidRPr="006C75EC">
        <w:rPr>
          <w:rFonts w:eastAsia="Calibri"/>
          <w:sz w:val="22"/>
          <w:szCs w:val="22"/>
        </w:rPr>
        <w:t xml:space="preserve"> hipotenzija, respiratorna depresija i gastrointestinalno krvarenje.</w:t>
      </w:r>
    </w:p>
    <w:p w14:paraId="11979904" w14:textId="7EB426A0" w:rsidR="00E2552B" w:rsidRPr="006C75EC" w:rsidRDefault="00E2552B" w:rsidP="00D2565C">
      <w:pPr>
        <w:tabs>
          <w:tab w:val="left" w:pos="828"/>
        </w:tabs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 xml:space="preserve">Pacijenta treba odmah prebaciti u specijalistički centar </w:t>
      </w:r>
      <w:r w:rsidR="004153E3" w:rsidRPr="006C75EC">
        <w:rPr>
          <w:rFonts w:eastAsia="Calibri"/>
          <w:sz w:val="22"/>
          <w:szCs w:val="22"/>
        </w:rPr>
        <w:t>i započeti</w:t>
      </w:r>
      <w:r w:rsidRPr="006C75EC">
        <w:rPr>
          <w:rFonts w:eastAsia="Calibri"/>
          <w:sz w:val="22"/>
          <w:szCs w:val="22"/>
        </w:rPr>
        <w:t xml:space="preserve"> simptomatsko l</w:t>
      </w:r>
      <w:r w:rsidR="00806AD4" w:rsidRPr="006C75EC">
        <w:rPr>
          <w:rFonts w:eastAsia="Calibri"/>
          <w:sz w:val="22"/>
          <w:szCs w:val="22"/>
        </w:rPr>
        <w:t>ij</w:t>
      </w:r>
      <w:r w:rsidRPr="006C75EC">
        <w:rPr>
          <w:rFonts w:eastAsia="Calibri"/>
          <w:sz w:val="22"/>
          <w:szCs w:val="22"/>
        </w:rPr>
        <w:t>ečenje.</w:t>
      </w:r>
    </w:p>
    <w:p w14:paraId="7FD5D6E9" w14:textId="4458CA3A" w:rsidR="00E2552B" w:rsidRPr="006C75EC" w:rsidRDefault="00E2552B" w:rsidP="00D2565C">
      <w:pPr>
        <w:tabs>
          <w:tab w:val="left" w:pos="828"/>
        </w:tabs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>Ne postoj</w:t>
      </w:r>
      <w:r w:rsidR="004153E3" w:rsidRPr="006C75EC">
        <w:rPr>
          <w:rFonts w:eastAsia="Calibri"/>
          <w:sz w:val="22"/>
          <w:szCs w:val="22"/>
        </w:rPr>
        <w:t>i</w:t>
      </w:r>
      <w:r w:rsidRPr="006C75EC">
        <w:rPr>
          <w:rFonts w:eastAsia="Calibri"/>
          <w:sz w:val="22"/>
          <w:szCs w:val="22"/>
        </w:rPr>
        <w:t xml:space="preserve"> specifič</w:t>
      </w:r>
      <w:r w:rsidR="004153E3" w:rsidRPr="006C75EC">
        <w:rPr>
          <w:rFonts w:eastAsia="Calibri"/>
          <w:sz w:val="22"/>
          <w:szCs w:val="22"/>
        </w:rPr>
        <w:t>an</w:t>
      </w:r>
      <w:r w:rsidRPr="006C75EC">
        <w:rPr>
          <w:rFonts w:eastAsia="Calibri"/>
          <w:sz w:val="22"/>
          <w:szCs w:val="22"/>
        </w:rPr>
        <w:t xml:space="preserve"> antidot u slučaju predoziranja ketoprofenom.</w:t>
      </w:r>
    </w:p>
    <w:p w14:paraId="49A2AC25" w14:textId="7B4B8BF3" w:rsidR="00E2552B" w:rsidRPr="006C75EC" w:rsidRDefault="00E2552B" w:rsidP="00D2565C">
      <w:pPr>
        <w:tabs>
          <w:tab w:val="left" w:pos="828"/>
        </w:tabs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>U slučaju sumnje na masivno predoziranje</w:t>
      </w:r>
      <w:r w:rsidR="004153E3" w:rsidRPr="006C75EC">
        <w:rPr>
          <w:rFonts w:eastAsia="Calibri"/>
          <w:sz w:val="22"/>
          <w:szCs w:val="22"/>
        </w:rPr>
        <w:t>,</w:t>
      </w:r>
      <w:r w:rsidRPr="006C75EC">
        <w:rPr>
          <w:rFonts w:eastAsia="Calibri"/>
          <w:sz w:val="22"/>
          <w:szCs w:val="22"/>
        </w:rPr>
        <w:t xml:space="preserve"> preporuč</w:t>
      </w:r>
      <w:r w:rsidR="004153E3" w:rsidRPr="006C75EC">
        <w:rPr>
          <w:rFonts w:eastAsia="Calibri"/>
          <w:sz w:val="22"/>
          <w:szCs w:val="22"/>
        </w:rPr>
        <w:t>eno je</w:t>
      </w:r>
      <w:r w:rsidRPr="006C75EC">
        <w:rPr>
          <w:rFonts w:eastAsia="Calibri"/>
          <w:sz w:val="22"/>
          <w:szCs w:val="22"/>
        </w:rPr>
        <w:t xml:space="preserve"> ispiranje želuca i uspostavljanje </w:t>
      </w:r>
      <w:r w:rsidR="004153E3" w:rsidRPr="006C75EC">
        <w:rPr>
          <w:rFonts w:eastAsia="Calibri"/>
          <w:sz w:val="22"/>
          <w:szCs w:val="22"/>
        </w:rPr>
        <w:t>simptomatske i suportivne terapije za kompenzaciju dehidracije</w:t>
      </w:r>
      <w:r w:rsidRPr="006C75EC">
        <w:rPr>
          <w:rFonts w:eastAsia="Calibri"/>
          <w:sz w:val="22"/>
          <w:szCs w:val="22"/>
        </w:rPr>
        <w:t>, praćenje izlučivanja urina i, ako je potrebno, korigovanje acidoze.</w:t>
      </w:r>
    </w:p>
    <w:p w14:paraId="535CEBD8" w14:textId="4A1890C8" w:rsidR="6A9CD890" w:rsidRPr="006C75EC" w:rsidRDefault="00E2552B" w:rsidP="00D2565C">
      <w:pPr>
        <w:tabs>
          <w:tab w:val="left" w:pos="828"/>
        </w:tabs>
        <w:ind w:right="-68"/>
        <w:jc w:val="both"/>
        <w:rPr>
          <w:rFonts w:eastAsia="Calibri"/>
          <w:sz w:val="22"/>
          <w:szCs w:val="22"/>
        </w:rPr>
      </w:pPr>
      <w:r w:rsidRPr="006C75EC">
        <w:rPr>
          <w:rFonts w:eastAsia="Calibri"/>
          <w:sz w:val="22"/>
          <w:szCs w:val="22"/>
        </w:rPr>
        <w:t xml:space="preserve">U slučajevima bubrežne insuficijencije, hemodijaliza može biti korisna za </w:t>
      </w:r>
      <w:r w:rsidR="004153E3" w:rsidRPr="006C75EC">
        <w:rPr>
          <w:rFonts w:eastAsia="Calibri"/>
          <w:sz w:val="22"/>
          <w:szCs w:val="22"/>
        </w:rPr>
        <w:t>eliminaciju</w:t>
      </w:r>
      <w:r w:rsidRPr="006C75EC">
        <w:rPr>
          <w:rFonts w:eastAsia="Calibri"/>
          <w:sz w:val="22"/>
          <w:szCs w:val="22"/>
        </w:rPr>
        <w:t xml:space="preserve"> </w:t>
      </w:r>
      <w:r w:rsidR="00D102BF" w:rsidRPr="006C75EC">
        <w:rPr>
          <w:rFonts w:eastAsia="Calibri"/>
          <w:sz w:val="22"/>
          <w:szCs w:val="22"/>
        </w:rPr>
        <w:t>lijek</w:t>
      </w:r>
      <w:r w:rsidRPr="006C75EC">
        <w:rPr>
          <w:rFonts w:eastAsia="Calibri"/>
          <w:sz w:val="22"/>
          <w:szCs w:val="22"/>
        </w:rPr>
        <w:t>a iz t</w:t>
      </w:r>
      <w:r w:rsidR="00806AD4" w:rsidRPr="006C75EC">
        <w:rPr>
          <w:rFonts w:eastAsia="Calibri"/>
          <w:sz w:val="22"/>
          <w:szCs w:val="22"/>
        </w:rPr>
        <w:t>ij</w:t>
      </w:r>
      <w:r w:rsidRPr="006C75EC">
        <w:rPr>
          <w:rFonts w:eastAsia="Calibri"/>
          <w:sz w:val="22"/>
          <w:szCs w:val="22"/>
        </w:rPr>
        <w:t>ela</w:t>
      </w:r>
      <w:r w:rsidR="45FBB6E1" w:rsidRPr="006C75EC">
        <w:rPr>
          <w:rFonts w:eastAsia="Calibri"/>
          <w:sz w:val="22"/>
          <w:szCs w:val="22"/>
        </w:rPr>
        <w:t xml:space="preserve">. </w:t>
      </w:r>
    </w:p>
    <w:p w14:paraId="156C8514" w14:textId="1328A370" w:rsidR="00C75FAE" w:rsidRDefault="00C75FAE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1912B2B7" w14:textId="77777777" w:rsidR="002F2ABC" w:rsidRPr="006C75EC" w:rsidRDefault="002F2ABC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14CD91EA" w14:textId="3FA8528C" w:rsidR="6A9CD890" w:rsidRPr="006C75EC" w:rsidRDefault="00C42B53" w:rsidP="002E4372">
      <w:pPr>
        <w:pStyle w:val="ListParagraph"/>
        <w:numPr>
          <w:ilvl w:val="0"/>
          <w:numId w:val="10"/>
        </w:num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FARMAKOLOŠKI PODACI </w:t>
      </w:r>
    </w:p>
    <w:p w14:paraId="7802F0C1" w14:textId="77777777" w:rsidR="002421AD" w:rsidRPr="006C75EC" w:rsidRDefault="002421AD" w:rsidP="00D2565C">
      <w:pPr>
        <w:pStyle w:val="ListParagraph"/>
        <w:ind w:left="360" w:right="-68"/>
        <w:jc w:val="both"/>
        <w:rPr>
          <w:sz w:val="22"/>
          <w:szCs w:val="22"/>
        </w:rPr>
      </w:pPr>
    </w:p>
    <w:p w14:paraId="2D638424" w14:textId="45185A80" w:rsidR="6A9CD890" w:rsidRPr="006C75EC" w:rsidRDefault="00C75FAE" w:rsidP="00C75FAE">
      <w:pPr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5.1 </w:t>
      </w:r>
      <w:r w:rsidR="00C42B53" w:rsidRPr="006C75EC">
        <w:rPr>
          <w:b/>
          <w:bCs/>
          <w:sz w:val="22"/>
          <w:szCs w:val="22"/>
        </w:rPr>
        <w:t xml:space="preserve">Farmakodinamski podaci </w:t>
      </w:r>
    </w:p>
    <w:p w14:paraId="5DD13384" w14:textId="77777777" w:rsidR="00DE7C97" w:rsidRPr="006C75EC" w:rsidRDefault="00DE7C97" w:rsidP="00D2565C">
      <w:pPr>
        <w:tabs>
          <w:tab w:val="left" w:pos="828"/>
        </w:tabs>
        <w:ind w:right="-68"/>
        <w:jc w:val="both"/>
        <w:rPr>
          <w:sz w:val="22"/>
          <w:szCs w:val="22"/>
        </w:rPr>
      </w:pPr>
    </w:p>
    <w:p w14:paraId="17F11200" w14:textId="7F2BC1FC" w:rsidR="006160A3" w:rsidRPr="006C75EC" w:rsidRDefault="00C42B53" w:rsidP="00D2565C">
      <w:pPr>
        <w:tabs>
          <w:tab w:val="left" w:pos="828"/>
        </w:tabs>
        <w:ind w:right="-68"/>
        <w:jc w:val="both"/>
        <w:rPr>
          <w:rFonts w:eastAsia="Calibri"/>
          <w:sz w:val="22"/>
          <w:szCs w:val="22"/>
        </w:rPr>
      </w:pPr>
      <w:r w:rsidRPr="006C75EC">
        <w:rPr>
          <w:b/>
          <w:bCs/>
          <w:sz w:val="22"/>
          <w:szCs w:val="22"/>
        </w:rPr>
        <w:t>Farmakoterapijska grupa</w:t>
      </w:r>
      <w:r w:rsidR="45FBB6E1" w:rsidRPr="006C75EC">
        <w:rPr>
          <w:rFonts w:eastAsia="Calibri"/>
          <w:b/>
          <w:bCs/>
          <w:sz w:val="22"/>
          <w:szCs w:val="22"/>
        </w:rPr>
        <w:t>:</w:t>
      </w:r>
      <w:r w:rsidR="45FBB6E1" w:rsidRPr="006C75EC">
        <w:rPr>
          <w:rFonts w:eastAsia="Calibri"/>
          <w:sz w:val="22"/>
          <w:szCs w:val="22"/>
        </w:rPr>
        <w:t xml:space="preserve"> </w:t>
      </w:r>
      <w:r w:rsidR="004153E3" w:rsidRPr="00067F85">
        <w:rPr>
          <w:rFonts w:eastAsia="Calibri"/>
          <w:sz w:val="22"/>
          <w:szCs w:val="22"/>
        </w:rPr>
        <w:t xml:space="preserve">Antiinflamatorni, antireumatski, nesteroidni </w:t>
      </w:r>
      <w:r w:rsidR="00BB2264" w:rsidRPr="00067F85">
        <w:rPr>
          <w:rFonts w:eastAsia="Calibri"/>
          <w:sz w:val="22"/>
          <w:szCs w:val="22"/>
        </w:rPr>
        <w:t>ljekovi</w:t>
      </w:r>
      <w:r w:rsidR="004153E3" w:rsidRPr="006C75EC">
        <w:rPr>
          <w:rFonts w:eastAsia="Calibri"/>
          <w:sz w:val="22"/>
          <w:szCs w:val="22"/>
        </w:rPr>
        <w:t>. Derivati propionske kiseline</w:t>
      </w:r>
      <w:r w:rsidR="45FBB6E1" w:rsidRPr="006C75EC">
        <w:rPr>
          <w:rFonts w:eastAsia="Calibri"/>
          <w:sz w:val="22"/>
          <w:szCs w:val="22"/>
        </w:rPr>
        <w:t xml:space="preserve">. </w:t>
      </w:r>
    </w:p>
    <w:p w14:paraId="64EBBDB0" w14:textId="77777777" w:rsidR="00490AE2" w:rsidRPr="006C75EC" w:rsidRDefault="00490AE2" w:rsidP="00D2565C">
      <w:pPr>
        <w:tabs>
          <w:tab w:val="left" w:pos="828"/>
        </w:tabs>
        <w:ind w:right="-68"/>
        <w:jc w:val="both"/>
        <w:rPr>
          <w:rFonts w:eastAsia="Calibri"/>
          <w:sz w:val="22"/>
          <w:szCs w:val="22"/>
        </w:rPr>
      </w:pPr>
    </w:p>
    <w:p w14:paraId="3DB23202" w14:textId="27AB78E9" w:rsidR="00BD0557" w:rsidRDefault="00490AE2" w:rsidP="00D2565C">
      <w:pPr>
        <w:tabs>
          <w:tab w:val="left" w:pos="828"/>
        </w:tabs>
        <w:ind w:right="-68"/>
        <w:jc w:val="both"/>
        <w:rPr>
          <w:rFonts w:eastAsia="Calibri"/>
          <w:bCs/>
          <w:sz w:val="22"/>
          <w:szCs w:val="22"/>
        </w:rPr>
      </w:pPr>
      <w:bookmarkStart w:id="0" w:name="_GoBack"/>
      <w:r w:rsidRPr="006C75EC">
        <w:rPr>
          <w:rFonts w:eastAsia="Calibri"/>
          <w:b/>
          <w:sz w:val="22"/>
          <w:szCs w:val="22"/>
        </w:rPr>
        <w:t>ATC</w:t>
      </w:r>
      <w:bookmarkEnd w:id="0"/>
      <w:r w:rsidRPr="006C75EC">
        <w:rPr>
          <w:rFonts w:eastAsia="Calibri"/>
          <w:b/>
          <w:sz w:val="22"/>
          <w:szCs w:val="22"/>
        </w:rPr>
        <w:t xml:space="preserve"> kod</w:t>
      </w:r>
      <w:r w:rsidR="45FBB6E1" w:rsidRPr="006C75EC">
        <w:rPr>
          <w:rFonts w:eastAsia="Calibri"/>
          <w:b/>
          <w:sz w:val="22"/>
          <w:szCs w:val="22"/>
        </w:rPr>
        <w:t xml:space="preserve">: </w:t>
      </w:r>
      <w:r w:rsidR="45FBB6E1" w:rsidRPr="006C75EC">
        <w:rPr>
          <w:rFonts w:eastAsia="Calibri"/>
          <w:bCs/>
          <w:sz w:val="22"/>
          <w:szCs w:val="22"/>
        </w:rPr>
        <w:t xml:space="preserve">M01AE03 </w:t>
      </w:r>
    </w:p>
    <w:p w14:paraId="784A5463" w14:textId="77777777" w:rsidR="00816607" w:rsidRPr="006C75EC" w:rsidRDefault="00816607" w:rsidP="00D2565C">
      <w:pPr>
        <w:tabs>
          <w:tab w:val="left" w:pos="828"/>
        </w:tabs>
        <w:ind w:right="-68"/>
        <w:jc w:val="both"/>
        <w:rPr>
          <w:rFonts w:eastAsia="Calibri"/>
          <w:b/>
          <w:sz w:val="22"/>
          <w:szCs w:val="22"/>
        </w:rPr>
      </w:pPr>
    </w:p>
    <w:p w14:paraId="79F9375B" w14:textId="3FED25CF" w:rsidR="00BA22F4" w:rsidRPr="001B10B7" w:rsidRDefault="001B10B7" w:rsidP="00FE3782">
      <w:pPr>
        <w:jc w:val="both"/>
        <w:rPr>
          <w:sz w:val="22"/>
          <w:szCs w:val="22"/>
        </w:rPr>
      </w:pPr>
      <w:r w:rsidRPr="001B10B7">
        <w:rPr>
          <w:sz w:val="22"/>
          <w:szCs w:val="22"/>
        </w:rPr>
        <w:lastRenderedPageBreak/>
        <w:t>Ketoprofen u obliku soli lizinata, 2-(3-benzofenil) propionske kiseline sa analgetičkim,</w:t>
      </w:r>
      <w:r w:rsidR="00BA22F4">
        <w:rPr>
          <w:sz w:val="22"/>
          <w:szCs w:val="22"/>
        </w:rPr>
        <w:t xml:space="preserve"> </w:t>
      </w:r>
      <w:r w:rsidRPr="001B10B7">
        <w:rPr>
          <w:sz w:val="22"/>
          <w:szCs w:val="22"/>
        </w:rPr>
        <w:t>antiinflamatornim i antipiretičkim dejstvom, pripada grupi nesteroidnih antiinflamatornih l</w:t>
      </w:r>
      <w:r w:rsidR="008950C4">
        <w:rPr>
          <w:sz w:val="22"/>
          <w:szCs w:val="22"/>
        </w:rPr>
        <w:t>j</w:t>
      </w:r>
      <w:r w:rsidRPr="001B10B7">
        <w:rPr>
          <w:sz w:val="22"/>
          <w:szCs w:val="22"/>
        </w:rPr>
        <w:t>ekova (NSAIL).</w:t>
      </w:r>
    </w:p>
    <w:p w14:paraId="34441408" w14:textId="77777777" w:rsidR="00BA22F4" w:rsidRPr="00067F85" w:rsidRDefault="00BA22F4" w:rsidP="00FE3782">
      <w:pPr>
        <w:jc w:val="both"/>
        <w:rPr>
          <w:sz w:val="22"/>
          <w:szCs w:val="22"/>
          <w:u w:val="single"/>
        </w:rPr>
      </w:pPr>
    </w:p>
    <w:p w14:paraId="7055E287" w14:textId="77777777" w:rsidR="001B10B7" w:rsidRPr="001B10B7" w:rsidRDefault="001B10B7" w:rsidP="00FE3782">
      <w:pPr>
        <w:jc w:val="both"/>
        <w:rPr>
          <w:sz w:val="22"/>
          <w:szCs w:val="22"/>
          <w:u w:val="single"/>
        </w:rPr>
      </w:pPr>
      <w:r w:rsidRPr="001B10B7">
        <w:rPr>
          <w:sz w:val="22"/>
          <w:szCs w:val="22"/>
          <w:u w:val="single"/>
        </w:rPr>
        <w:t>Mehanizam dejstva</w:t>
      </w:r>
    </w:p>
    <w:p w14:paraId="29E0546C" w14:textId="6CCB7676" w:rsidR="001B10B7" w:rsidRPr="001B10B7" w:rsidRDefault="001B10B7" w:rsidP="00FE3782">
      <w:pPr>
        <w:jc w:val="both"/>
        <w:rPr>
          <w:sz w:val="22"/>
          <w:szCs w:val="22"/>
        </w:rPr>
      </w:pPr>
      <w:r w:rsidRPr="001B10B7">
        <w:rPr>
          <w:sz w:val="22"/>
          <w:szCs w:val="22"/>
        </w:rPr>
        <w:t>So ketoprofen-lizinat ima bolju rastvorljivost od ketoprofenske kiseline. Mehanizam dejstva nesteroidnih antiinflamatornih l</w:t>
      </w:r>
      <w:r w:rsidR="008950C4">
        <w:rPr>
          <w:sz w:val="22"/>
          <w:szCs w:val="22"/>
        </w:rPr>
        <w:t>j</w:t>
      </w:r>
      <w:r w:rsidRPr="001B10B7">
        <w:rPr>
          <w:sz w:val="22"/>
          <w:szCs w:val="22"/>
        </w:rPr>
        <w:t>ekova (NSAIL) povezan je sa smanjenjem sinteze prostaglandina putem inhibicije enzima ciklooksigenaze.</w:t>
      </w:r>
    </w:p>
    <w:p w14:paraId="1E1384FC" w14:textId="77777777" w:rsidR="001B10B7" w:rsidRPr="001B10B7" w:rsidRDefault="001B10B7" w:rsidP="00FE3782">
      <w:pPr>
        <w:jc w:val="both"/>
        <w:rPr>
          <w:sz w:val="22"/>
          <w:szCs w:val="22"/>
        </w:rPr>
      </w:pPr>
      <w:r w:rsidRPr="001B10B7">
        <w:rPr>
          <w:sz w:val="22"/>
          <w:szCs w:val="22"/>
        </w:rPr>
        <w:t>Dolazi do inhibicije transformacije arahidonske kiseline u ciklične endoperokside, PGG</w:t>
      </w:r>
      <w:r w:rsidRPr="001B10B7">
        <w:rPr>
          <w:sz w:val="22"/>
          <w:szCs w:val="22"/>
          <w:vertAlign w:val="subscript"/>
        </w:rPr>
        <w:t>2</w:t>
      </w:r>
      <w:r w:rsidRPr="001B10B7">
        <w:rPr>
          <w:sz w:val="22"/>
          <w:szCs w:val="22"/>
        </w:rPr>
        <w:t xml:space="preserve"> i PGH</w:t>
      </w:r>
      <w:r w:rsidRPr="001B10B7">
        <w:rPr>
          <w:sz w:val="22"/>
          <w:szCs w:val="22"/>
          <w:vertAlign w:val="subscript"/>
        </w:rPr>
        <w:t>2</w:t>
      </w:r>
      <w:r w:rsidRPr="001B10B7">
        <w:rPr>
          <w:sz w:val="22"/>
          <w:szCs w:val="22"/>
        </w:rPr>
        <w:t>, koji su prekursori prostaglandina PGE</w:t>
      </w:r>
      <w:r w:rsidRPr="001B10B7">
        <w:rPr>
          <w:sz w:val="22"/>
          <w:szCs w:val="22"/>
          <w:vertAlign w:val="subscript"/>
        </w:rPr>
        <w:t>1</w:t>
      </w:r>
      <w:r w:rsidRPr="001B10B7">
        <w:rPr>
          <w:sz w:val="22"/>
          <w:szCs w:val="22"/>
        </w:rPr>
        <w:t>, PGE</w:t>
      </w:r>
      <w:r w:rsidRPr="001B10B7">
        <w:rPr>
          <w:sz w:val="22"/>
          <w:szCs w:val="22"/>
          <w:vertAlign w:val="subscript"/>
        </w:rPr>
        <w:t>2</w:t>
      </w:r>
      <w:r w:rsidRPr="001B10B7">
        <w:rPr>
          <w:sz w:val="22"/>
          <w:szCs w:val="22"/>
        </w:rPr>
        <w:t>, PGF</w:t>
      </w:r>
      <w:r w:rsidRPr="001B10B7">
        <w:rPr>
          <w:sz w:val="22"/>
          <w:szCs w:val="22"/>
          <w:vertAlign w:val="subscript"/>
        </w:rPr>
        <w:t>2</w:t>
      </w:r>
      <w:r w:rsidRPr="001B10B7">
        <w:rPr>
          <w:sz w:val="22"/>
          <w:szCs w:val="22"/>
        </w:rPr>
        <w:t xml:space="preserve"> i PGD</w:t>
      </w:r>
      <w:r w:rsidRPr="001B10B7">
        <w:rPr>
          <w:sz w:val="22"/>
          <w:szCs w:val="22"/>
          <w:vertAlign w:val="subscript"/>
        </w:rPr>
        <w:t>2</w:t>
      </w:r>
      <w:r w:rsidRPr="001B10B7">
        <w:rPr>
          <w:sz w:val="22"/>
          <w:szCs w:val="22"/>
        </w:rPr>
        <w:t>, kao i prostaciklina PGI</w:t>
      </w:r>
      <w:r w:rsidRPr="001B10B7">
        <w:rPr>
          <w:sz w:val="22"/>
          <w:szCs w:val="22"/>
          <w:vertAlign w:val="subscript"/>
        </w:rPr>
        <w:t>2</w:t>
      </w:r>
      <w:r w:rsidRPr="001B10B7">
        <w:rPr>
          <w:sz w:val="22"/>
          <w:szCs w:val="22"/>
        </w:rPr>
        <w:t xml:space="preserve"> i tromboksana (TxA</w:t>
      </w:r>
      <w:r w:rsidRPr="001B10B7">
        <w:rPr>
          <w:sz w:val="22"/>
          <w:szCs w:val="22"/>
          <w:vertAlign w:val="subscript"/>
        </w:rPr>
        <w:t>2</w:t>
      </w:r>
      <w:r w:rsidRPr="001B10B7">
        <w:rPr>
          <w:sz w:val="22"/>
          <w:szCs w:val="22"/>
        </w:rPr>
        <w:t xml:space="preserve"> i TxB</w:t>
      </w:r>
      <w:r w:rsidRPr="001B10B7">
        <w:rPr>
          <w:sz w:val="22"/>
          <w:szCs w:val="22"/>
          <w:vertAlign w:val="subscript"/>
        </w:rPr>
        <w:t>2</w:t>
      </w:r>
      <w:r w:rsidRPr="001B10B7">
        <w:rPr>
          <w:sz w:val="22"/>
          <w:szCs w:val="22"/>
        </w:rPr>
        <w:t>). Osim toga, inhibicija sinteze prostaglandina može uticati na druge medijatore inflamacije kao što su kinini, što dovodi do dodatnog indirektnog dejstva pored samog direktnog dejstva.</w:t>
      </w:r>
    </w:p>
    <w:p w14:paraId="6DE1718A" w14:textId="77777777" w:rsidR="001B10B7" w:rsidRPr="001B10B7" w:rsidRDefault="001B10B7" w:rsidP="001B10B7">
      <w:pPr>
        <w:rPr>
          <w:sz w:val="22"/>
          <w:szCs w:val="22"/>
        </w:rPr>
      </w:pPr>
    </w:p>
    <w:p w14:paraId="7CCDAB99" w14:textId="77777777" w:rsidR="001B10B7" w:rsidRPr="001B10B7" w:rsidRDefault="001B10B7" w:rsidP="00FE3782">
      <w:pPr>
        <w:jc w:val="both"/>
        <w:rPr>
          <w:sz w:val="22"/>
          <w:szCs w:val="22"/>
          <w:u w:val="single"/>
        </w:rPr>
      </w:pPr>
      <w:r w:rsidRPr="001B10B7">
        <w:rPr>
          <w:sz w:val="22"/>
          <w:szCs w:val="22"/>
          <w:u w:val="single"/>
        </w:rPr>
        <w:t>Farmakodinamska dejstva</w:t>
      </w:r>
    </w:p>
    <w:p w14:paraId="793CFF25" w14:textId="77777777" w:rsidR="001B10B7" w:rsidRPr="001B10B7" w:rsidRDefault="001B10B7" w:rsidP="00FE3782">
      <w:pPr>
        <w:jc w:val="both"/>
        <w:rPr>
          <w:sz w:val="22"/>
          <w:szCs w:val="22"/>
        </w:rPr>
      </w:pPr>
    </w:p>
    <w:p w14:paraId="3415244E" w14:textId="77777777" w:rsidR="001B10B7" w:rsidRPr="001B10B7" w:rsidRDefault="001B10B7" w:rsidP="00FE3782">
      <w:pPr>
        <w:jc w:val="both"/>
        <w:rPr>
          <w:sz w:val="22"/>
          <w:szCs w:val="22"/>
        </w:rPr>
      </w:pPr>
      <w:r w:rsidRPr="001B10B7">
        <w:rPr>
          <w:sz w:val="22"/>
          <w:szCs w:val="22"/>
        </w:rPr>
        <w:t>Ketoprofen u obliku soli lizinata ima značajno analgetičko dejstvo koje je istovremeno povezano sa njegovim antiinflamatornim i centralnim dejstvom. Ketoprofen-lizinat u obliku soli pokazuje antipiretičko dejstvo bez uticaja na uobičajene termoregulacione procese.</w:t>
      </w:r>
    </w:p>
    <w:p w14:paraId="2A1E9389" w14:textId="77777777" w:rsidR="001B10B7" w:rsidRPr="001B10B7" w:rsidRDefault="001B10B7" w:rsidP="00FE3782">
      <w:pPr>
        <w:jc w:val="both"/>
        <w:rPr>
          <w:sz w:val="22"/>
          <w:szCs w:val="22"/>
        </w:rPr>
      </w:pPr>
      <w:r w:rsidRPr="001B10B7">
        <w:rPr>
          <w:sz w:val="22"/>
          <w:szCs w:val="22"/>
        </w:rPr>
        <w:t>Inflamatorna stanja praćena bolom se uklanjaju ili ublažavaju, čime se povećava pokretljivost zglobova.</w:t>
      </w:r>
    </w:p>
    <w:p w14:paraId="720EC862" w14:textId="77777777" w:rsidR="001B10B7" w:rsidRPr="00383195" w:rsidRDefault="001B10B7" w:rsidP="00FE3782">
      <w:pPr>
        <w:jc w:val="both"/>
        <w:rPr>
          <w:szCs w:val="22"/>
        </w:rPr>
      </w:pPr>
    </w:p>
    <w:p w14:paraId="0C4FBDA2" w14:textId="269B7A47" w:rsidR="43D2E517" w:rsidRPr="006C75EC" w:rsidRDefault="00D44BA0" w:rsidP="00067F85">
      <w:pPr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5.2 </w:t>
      </w:r>
      <w:r w:rsidR="00C42B53" w:rsidRPr="006C75EC">
        <w:rPr>
          <w:b/>
          <w:bCs/>
          <w:sz w:val="22"/>
          <w:szCs w:val="22"/>
        </w:rPr>
        <w:t>Farmak</w:t>
      </w:r>
      <w:r w:rsidR="00806AD4" w:rsidRPr="006C75EC">
        <w:rPr>
          <w:b/>
          <w:bCs/>
          <w:sz w:val="22"/>
          <w:szCs w:val="22"/>
        </w:rPr>
        <w:t>oki</w:t>
      </w:r>
      <w:r w:rsidR="00C42B53" w:rsidRPr="006C75EC">
        <w:rPr>
          <w:b/>
          <w:bCs/>
          <w:sz w:val="22"/>
          <w:szCs w:val="22"/>
        </w:rPr>
        <w:t xml:space="preserve">netički podaci </w:t>
      </w:r>
    </w:p>
    <w:p w14:paraId="6A2AB502" w14:textId="77777777" w:rsidR="00DE7C97" w:rsidRPr="006C75EC" w:rsidRDefault="00DE7C97" w:rsidP="00067F85">
      <w:pPr>
        <w:jc w:val="both"/>
        <w:rPr>
          <w:sz w:val="22"/>
          <w:szCs w:val="22"/>
        </w:rPr>
      </w:pPr>
    </w:p>
    <w:p w14:paraId="7121FCC2" w14:textId="77777777" w:rsidR="0008753A" w:rsidRPr="0008753A" w:rsidRDefault="0008753A" w:rsidP="00FE3782">
      <w:pPr>
        <w:jc w:val="both"/>
        <w:rPr>
          <w:sz w:val="22"/>
          <w:szCs w:val="22"/>
        </w:rPr>
      </w:pPr>
      <w:r w:rsidRPr="0008753A">
        <w:rPr>
          <w:sz w:val="22"/>
          <w:szCs w:val="22"/>
        </w:rPr>
        <w:t>Ketoprofen u obliku soli lizinata ima bolju rastvorlјivost u poređenju sa ketoprofenskom kiselinom.</w:t>
      </w:r>
    </w:p>
    <w:p w14:paraId="3FEA9071" w14:textId="77777777" w:rsidR="0008753A" w:rsidRPr="0008753A" w:rsidRDefault="0008753A" w:rsidP="0008753A">
      <w:pPr>
        <w:rPr>
          <w:sz w:val="22"/>
          <w:szCs w:val="22"/>
          <w:u w:val="single"/>
        </w:rPr>
      </w:pPr>
    </w:p>
    <w:p w14:paraId="24B42388" w14:textId="77777777" w:rsidR="0008753A" w:rsidRPr="0008753A" w:rsidRDefault="0008753A" w:rsidP="00FE3782">
      <w:pPr>
        <w:jc w:val="both"/>
        <w:rPr>
          <w:sz w:val="22"/>
          <w:szCs w:val="22"/>
          <w:u w:val="single"/>
        </w:rPr>
      </w:pPr>
      <w:r w:rsidRPr="0008753A">
        <w:rPr>
          <w:sz w:val="22"/>
          <w:szCs w:val="22"/>
          <w:u w:val="single"/>
        </w:rPr>
        <w:t>Resorpcija</w:t>
      </w:r>
    </w:p>
    <w:p w14:paraId="2DC3E223" w14:textId="5E6E48C8" w:rsidR="0008753A" w:rsidRPr="0008753A" w:rsidRDefault="0070216F" w:rsidP="00FE3782">
      <w:pPr>
        <w:jc w:val="both"/>
        <w:rPr>
          <w:sz w:val="22"/>
          <w:szCs w:val="22"/>
        </w:rPr>
      </w:pPr>
      <w:r>
        <w:rPr>
          <w:sz w:val="22"/>
          <w:szCs w:val="22"/>
        </w:rPr>
        <w:t>Primjena</w:t>
      </w:r>
      <w:r w:rsidR="0008753A" w:rsidRPr="0008753A">
        <w:rPr>
          <w:sz w:val="22"/>
          <w:szCs w:val="22"/>
        </w:rPr>
        <w:t xml:space="preserve"> doze u obliku praška za oralni rastvor omogućava unos aktivne supstance u vodenom rastvoru. To dovodi do brzog povećanja koncentracije u plazmi i brzog postizanja maksimalne koncentracije u plazmi. To je klinički izraženo bržim početkom dejstva i povećanim intenzitetom analgetičkog i antiinflamatornog dejstva.</w:t>
      </w:r>
    </w:p>
    <w:p w14:paraId="4EC7285D" w14:textId="77777777" w:rsidR="0008753A" w:rsidRPr="0008753A" w:rsidRDefault="0008753A" w:rsidP="00FE3782">
      <w:pPr>
        <w:jc w:val="both"/>
        <w:rPr>
          <w:sz w:val="22"/>
          <w:szCs w:val="22"/>
        </w:rPr>
      </w:pPr>
    </w:p>
    <w:p w14:paraId="496454D9" w14:textId="77777777" w:rsidR="0008753A" w:rsidRPr="0008753A" w:rsidRDefault="0008753A" w:rsidP="00FE3782">
      <w:pPr>
        <w:jc w:val="both"/>
        <w:rPr>
          <w:sz w:val="22"/>
          <w:szCs w:val="22"/>
          <w:u w:val="single"/>
        </w:rPr>
      </w:pPr>
      <w:r w:rsidRPr="0008753A">
        <w:rPr>
          <w:sz w:val="22"/>
          <w:szCs w:val="22"/>
          <w:u w:val="single"/>
        </w:rPr>
        <w:t>Distribucija</w:t>
      </w:r>
    </w:p>
    <w:p w14:paraId="2917D33D" w14:textId="3863E734" w:rsidR="0008753A" w:rsidRPr="0008753A" w:rsidRDefault="0008753A" w:rsidP="00FE3782">
      <w:pPr>
        <w:jc w:val="both"/>
        <w:rPr>
          <w:sz w:val="22"/>
          <w:szCs w:val="22"/>
        </w:rPr>
      </w:pPr>
      <w:r w:rsidRPr="0008753A">
        <w:rPr>
          <w:sz w:val="22"/>
          <w:szCs w:val="22"/>
        </w:rPr>
        <w:t xml:space="preserve">Ponovljena </w:t>
      </w:r>
      <w:r w:rsidR="0070216F">
        <w:rPr>
          <w:sz w:val="22"/>
          <w:szCs w:val="22"/>
        </w:rPr>
        <w:t>primjena</w:t>
      </w:r>
      <w:r w:rsidRPr="0008753A">
        <w:rPr>
          <w:sz w:val="22"/>
          <w:szCs w:val="22"/>
        </w:rPr>
        <w:t xml:space="preserve"> ne dovodi do prom</w:t>
      </w:r>
      <w:r w:rsidR="008950C4">
        <w:rPr>
          <w:sz w:val="22"/>
          <w:szCs w:val="22"/>
        </w:rPr>
        <w:t>j</w:t>
      </w:r>
      <w:r w:rsidRPr="0008753A">
        <w:rPr>
          <w:sz w:val="22"/>
          <w:szCs w:val="22"/>
        </w:rPr>
        <w:t>ene kinetike l</w:t>
      </w:r>
      <w:r w:rsidR="008950C4">
        <w:rPr>
          <w:sz w:val="22"/>
          <w:szCs w:val="22"/>
        </w:rPr>
        <w:t>ij</w:t>
      </w:r>
      <w:r w:rsidRPr="0008753A">
        <w:rPr>
          <w:sz w:val="22"/>
          <w:szCs w:val="22"/>
        </w:rPr>
        <w:t>eka, niti uzrokuje kumulaciju l</w:t>
      </w:r>
      <w:r w:rsidR="008950C4">
        <w:rPr>
          <w:sz w:val="22"/>
          <w:szCs w:val="22"/>
        </w:rPr>
        <w:t>ij</w:t>
      </w:r>
      <w:r w:rsidRPr="0008753A">
        <w:rPr>
          <w:sz w:val="22"/>
          <w:szCs w:val="22"/>
        </w:rPr>
        <w:t xml:space="preserve">eka u organizmu. Ketoprofen je 95-99% vezan za proteine plazme. Značajne koncentracije ketoprofena nakon sistemske </w:t>
      </w:r>
      <w:r w:rsidR="0070216F">
        <w:rPr>
          <w:sz w:val="22"/>
          <w:szCs w:val="22"/>
        </w:rPr>
        <w:t>primjene</w:t>
      </w:r>
      <w:r w:rsidRPr="0008753A">
        <w:rPr>
          <w:sz w:val="22"/>
          <w:szCs w:val="22"/>
        </w:rPr>
        <w:t xml:space="preserve"> </w:t>
      </w:r>
      <w:r w:rsidR="00881DAA">
        <w:rPr>
          <w:sz w:val="22"/>
          <w:szCs w:val="22"/>
        </w:rPr>
        <w:t>zabilježene</w:t>
      </w:r>
      <w:r w:rsidRPr="0008753A">
        <w:rPr>
          <w:sz w:val="22"/>
          <w:szCs w:val="22"/>
        </w:rPr>
        <w:t xml:space="preserve"> su u tkivu tonzila i u sinovijalnoj tečnosti.</w:t>
      </w:r>
    </w:p>
    <w:p w14:paraId="120F8CCD" w14:textId="77777777" w:rsidR="0008753A" w:rsidRPr="0008753A" w:rsidRDefault="0008753A" w:rsidP="00FE3782">
      <w:pPr>
        <w:jc w:val="both"/>
        <w:rPr>
          <w:sz w:val="22"/>
          <w:szCs w:val="22"/>
          <w:u w:val="single"/>
        </w:rPr>
      </w:pPr>
    </w:p>
    <w:p w14:paraId="79994C71" w14:textId="77777777" w:rsidR="0008753A" w:rsidRPr="00067F85" w:rsidRDefault="0008753A" w:rsidP="00FE3782">
      <w:pPr>
        <w:jc w:val="both"/>
        <w:rPr>
          <w:sz w:val="22"/>
          <w:szCs w:val="22"/>
          <w:u w:val="single"/>
        </w:rPr>
      </w:pPr>
      <w:r w:rsidRPr="00067F85">
        <w:rPr>
          <w:sz w:val="22"/>
          <w:szCs w:val="22"/>
          <w:u w:val="single"/>
        </w:rPr>
        <w:t>Biotransformacija</w:t>
      </w:r>
    </w:p>
    <w:p w14:paraId="09167F31" w14:textId="4A342483" w:rsidR="0008753A" w:rsidRPr="0008753A" w:rsidRDefault="0008753A" w:rsidP="00FE3782">
      <w:pPr>
        <w:jc w:val="both"/>
        <w:rPr>
          <w:sz w:val="22"/>
          <w:szCs w:val="22"/>
        </w:rPr>
      </w:pPr>
      <w:r w:rsidRPr="00067F85">
        <w:rPr>
          <w:sz w:val="22"/>
          <w:szCs w:val="22"/>
        </w:rPr>
        <w:t>Ketoprofen podl</w:t>
      </w:r>
      <w:r w:rsidR="00FA37F6" w:rsidRPr="00FE3782">
        <w:rPr>
          <w:sz w:val="22"/>
          <w:szCs w:val="22"/>
        </w:rPr>
        <w:t>ij</w:t>
      </w:r>
      <w:r w:rsidRPr="00067F85">
        <w:rPr>
          <w:sz w:val="22"/>
          <w:szCs w:val="22"/>
        </w:rPr>
        <w:t xml:space="preserve">eže obimnom metabolizmu: 60-80% aktivne supstance se nakon sistemske </w:t>
      </w:r>
      <w:r w:rsidR="0070216F" w:rsidRPr="00067F85">
        <w:rPr>
          <w:sz w:val="22"/>
          <w:szCs w:val="22"/>
        </w:rPr>
        <w:t>primjene</w:t>
      </w:r>
      <w:r w:rsidRPr="00067F85">
        <w:rPr>
          <w:sz w:val="22"/>
          <w:szCs w:val="22"/>
        </w:rPr>
        <w:t xml:space="preserve"> javlja u obliku metabolita u urinu.</w:t>
      </w:r>
    </w:p>
    <w:p w14:paraId="3F1A4342" w14:textId="77777777" w:rsidR="0008753A" w:rsidRPr="0008753A" w:rsidRDefault="0008753A" w:rsidP="00FE3782">
      <w:pPr>
        <w:jc w:val="both"/>
        <w:rPr>
          <w:sz w:val="22"/>
          <w:szCs w:val="22"/>
        </w:rPr>
      </w:pPr>
    </w:p>
    <w:p w14:paraId="6D930740" w14:textId="77777777" w:rsidR="0008753A" w:rsidRPr="0008753A" w:rsidRDefault="0008753A" w:rsidP="00FE3782">
      <w:pPr>
        <w:jc w:val="both"/>
        <w:rPr>
          <w:sz w:val="22"/>
          <w:szCs w:val="22"/>
          <w:u w:val="single"/>
        </w:rPr>
      </w:pPr>
      <w:r w:rsidRPr="0008753A">
        <w:rPr>
          <w:sz w:val="22"/>
          <w:szCs w:val="22"/>
          <w:u w:val="single"/>
        </w:rPr>
        <w:t>Eliminacija</w:t>
      </w:r>
    </w:p>
    <w:p w14:paraId="3C8A1F02" w14:textId="629FCEBE" w:rsidR="0008753A" w:rsidRPr="0008753A" w:rsidRDefault="0008753A" w:rsidP="00FE3782">
      <w:pPr>
        <w:jc w:val="both"/>
        <w:rPr>
          <w:sz w:val="22"/>
          <w:szCs w:val="22"/>
        </w:rPr>
      </w:pPr>
      <w:r w:rsidRPr="0008753A">
        <w:rPr>
          <w:sz w:val="22"/>
          <w:szCs w:val="22"/>
        </w:rPr>
        <w:t>Izlučivanje je brzo i odvija se uglavnom putem bubrega: 50% aktivne supstance koja je prim</w:t>
      </w:r>
      <w:r w:rsidR="008950C4">
        <w:rPr>
          <w:sz w:val="22"/>
          <w:szCs w:val="22"/>
        </w:rPr>
        <w:t>ij</w:t>
      </w:r>
      <w:r w:rsidRPr="0008753A">
        <w:rPr>
          <w:sz w:val="22"/>
          <w:szCs w:val="22"/>
        </w:rPr>
        <w:t>enjena sistemski izlučuje se urinom unutar 6 sati.</w:t>
      </w:r>
    </w:p>
    <w:p w14:paraId="0849E927" w14:textId="77777777" w:rsidR="00DE7C97" w:rsidRPr="006C75EC" w:rsidRDefault="00DE7C97" w:rsidP="00067F85">
      <w:pPr>
        <w:jc w:val="both"/>
        <w:rPr>
          <w:sz w:val="22"/>
          <w:szCs w:val="22"/>
        </w:rPr>
      </w:pPr>
    </w:p>
    <w:p w14:paraId="1682348B" w14:textId="43C9E016" w:rsidR="43D2E517" w:rsidRPr="006C75EC" w:rsidRDefault="00D44BA0" w:rsidP="00D44BA0">
      <w:pPr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5.3 </w:t>
      </w:r>
      <w:r w:rsidR="00C42B53" w:rsidRPr="006C75EC">
        <w:rPr>
          <w:b/>
          <w:bCs/>
          <w:sz w:val="22"/>
          <w:szCs w:val="22"/>
        </w:rPr>
        <w:t>Pretklinički podaci o bezb</w:t>
      </w:r>
      <w:r w:rsidRPr="006C75EC">
        <w:rPr>
          <w:b/>
          <w:bCs/>
          <w:sz w:val="22"/>
          <w:szCs w:val="22"/>
        </w:rPr>
        <w:t>j</w:t>
      </w:r>
      <w:r w:rsidR="00C42B53" w:rsidRPr="006C75EC">
        <w:rPr>
          <w:b/>
          <w:bCs/>
          <w:sz w:val="22"/>
          <w:szCs w:val="22"/>
        </w:rPr>
        <w:t xml:space="preserve">ednosti </w:t>
      </w:r>
    </w:p>
    <w:p w14:paraId="1C2674E4" w14:textId="77777777" w:rsidR="00DE7C97" w:rsidRPr="006C75EC" w:rsidRDefault="00DE7C97" w:rsidP="00D2565C">
      <w:pPr>
        <w:pStyle w:val="Style4"/>
        <w:spacing w:line="240" w:lineRule="auto"/>
        <w:jc w:val="both"/>
        <w:rPr>
          <w:sz w:val="22"/>
          <w:szCs w:val="22"/>
        </w:rPr>
      </w:pPr>
    </w:p>
    <w:p w14:paraId="44B8AA08" w14:textId="3AFBE040" w:rsidR="00011D49" w:rsidRDefault="00011D49" w:rsidP="00D2565C">
      <w:pPr>
        <w:pStyle w:val="Style4"/>
        <w:spacing w:line="240" w:lineRule="auto"/>
        <w:jc w:val="both"/>
        <w:rPr>
          <w:sz w:val="22"/>
          <w:szCs w:val="22"/>
        </w:rPr>
      </w:pPr>
      <w:r w:rsidRPr="006C75EC">
        <w:rPr>
          <w:sz w:val="22"/>
          <w:szCs w:val="22"/>
        </w:rPr>
        <w:t>Posl</w:t>
      </w:r>
      <w:r w:rsidR="00601583" w:rsidRPr="006C75EC">
        <w:rPr>
          <w:sz w:val="22"/>
          <w:szCs w:val="22"/>
        </w:rPr>
        <w:t>ij</w:t>
      </w:r>
      <w:r w:rsidRPr="006C75EC">
        <w:rPr>
          <w:sz w:val="22"/>
          <w:szCs w:val="22"/>
        </w:rPr>
        <w:t xml:space="preserve">e </w:t>
      </w:r>
      <w:r w:rsidR="00F015FA" w:rsidRPr="006C75EC">
        <w:rPr>
          <w:sz w:val="22"/>
          <w:szCs w:val="22"/>
        </w:rPr>
        <w:t>per</w:t>
      </w:r>
      <w:r w:rsidRPr="006C75EC">
        <w:rPr>
          <w:sz w:val="22"/>
          <w:szCs w:val="22"/>
        </w:rPr>
        <w:t>oralne prim</w:t>
      </w:r>
      <w:r w:rsidR="00601583" w:rsidRPr="006C75EC">
        <w:rPr>
          <w:sz w:val="22"/>
          <w:szCs w:val="22"/>
        </w:rPr>
        <w:t>j</w:t>
      </w:r>
      <w:r w:rsidRPr="006C75EC">
        <w:rPr>
          <w:sz w:val="22"/>
          <w:szCs w:val="22"/>
        </w:rPr>
        <w:t>ene, vr</w:t>
      </w:r>
      <w:r w:rsidR="00601583" w:rsidRPr="006C75EC">
        <w:rPr>
          <w:sz w:val="22"/>
          <w:szCs w:val="22"/>
        </w:rPr>
        <w:t>ij</w:t>
      </w:r>
      <w:r w:rsidRPr="006C75EC">
        <w:rPr>
          <w:sz w:val="22"/>
          <w:szCs w:val="22"/>
        </w:rPr>
        <w:t>ednosti LD</w:t>
      </w:r>
      <w:r w:rsidRPr="006C75EC">
        <w:rPr>
          <w:sz w:val="22"/>
          <w:szCs w:val="22"/>
          <w:vertAlign w:val="subscript"/>
        </w:rPr>
        <w:t>50</w:t>
      </w:r>
      <w:r w:rsidRPr="006C75EC">
        <w:rPr>
          <w:sz w:val="22"/>
          <w:szCs w:val="22"/>
        </w:rPr>
        <w:t xml:space="preserve"> ketoprofen lizinske soli kod pacova bile su 102 mg/kg, a kod miševa 444 mg/kg, što je 30 do 120 puta više u odnosu na aktivnu dozu koja ima antiinflamatorno i analget</w:t>
      </w:r>
      <w:r w:rsidR="00F015FA" w:rsidRPr="006C75EC">
        <w:rPr>
          <w:sz w:val="22"/>
          <w:szCs w:val="22"/>
        </w:rPr>
        <w:t>s</w:t>
      </w:r>
      <w:r w:rsidRPr="006C75EC">
        <w:rPr>
          <w:sz w:val="22"/>
          <w:szCs w:val="22"/>
        </w:rPr>
        <w:t>ko dejstvo kod životinja.</w:t>
      </w:r>
    </w:p>
    <w:p w14:paraId="2F2C9890" w14:textId="77777777" w:rsidR="00A04E09" w:rsidRPr="006C75EC" w:rsidRDefault="00A04E09" w:rsidP="00D2565C">
      <w:pPr>
        <w:pStyle w:val="Style4"/>
        <w:spacing w:line="240" w:lineRule="auto"/>
        <w:jc w:val="both"/>
        <w:rPr>
          <w:sz w:val="22"/>
          <w:szCs w:val="22"/>
        </w:rPr>
      </w:pPr>
    </w:p>
    <w:p w14:paraId="0A5F11BE" w14:textId="1C8AB0C4" w:rsidR="43D2E517" w:rsidRPr="006C75EC" w:rsidRDefault="00011D49" w:rsidP="00D2565C">
      <w:pPr>
        <w:pStyle w:val="Style4"/>
        <w:spacing w:line="240" w:lineRule="auto"/>
        <w:jc w:val="both"/>
        <w:rPr>
          <w:sz w:val="22"/>
          <w:szCs w:val="22"/>
        </w:rPr>
      </w:pPr>
      <w:r w:rsidRPr="006C75EC">
        <w:rPr>
          <w:sz w:val="22"/>
          <w:szCs w:val="22"/>
        </w:rPr>
        <w:t>Posl</w:t>
      </w:r>
      <w:r w:rsidR="00601583" w:rsidRPr="006C75EC">
        <w:rPr>
          <w:sz w:val="22"/>
          <w:szCs w:val="22"/>
        </w:rPr>
        <w:t>ij</w:t>
      </w:r>
      <w:r w:rsidRPr="006C75EC">
        <w:rPr>
          <w:sz w:val="22"/>
          <w:szCs w:val="22"/>
        </w:rPr>
        <w:t>e intraperitonealne prim</w:t>
      </w:r>
      <w:r w:rsidR="00601583" w:rsidRPr="006C75EC">
        <w:rPr>
          <w:sz w:val="22"/>
          <w:szCs w:val="22"/>
        </w:rPr>
        <w:t>j</w:t>
      </w:r>
      <w:r w:rsidRPr="006C75EC">
        <w:rPr>
          <w:sz w:val="22"/>
          <w:szCs w:val="22"/>
        </w:rPr>
        <w:t>ene, vr</w:t>
      </w:r>
      <w:r w:rsidR="00601583" w:rsidRPr="006C75EC">
        <w:rPr>
          <w:sz w:val="22"/>
          <w:szCs w:val="22"/>
        </w:rPr>
        <w:t>ij</w:t>
      </w:r>
      <w:r w:rsidRPr="006C75EC">
        <w:rPr>
          <w:sz w:val="22"/>
          <w:szCs w:val="22"/>
        </w:rPr>
        <w:t>ednosti LD</w:t>
      </w:r>
      <w:r w:rsidRPr="006C75EC">
        <w:rPr>
          <w:sz w:val="22"/>
          <w:szCs w:val="22"/>
          <w:vertAlign w:val="subscript"/>
        </w:rPr>
        <w:t>50</w:t>
      </w:r>
      <w:r w:rsidRPr="006C75EC">
        <w:rPr>
          <w:sz w:val="22"/>
          <w:szCs w:val="22"/>
        </w:rPr>
        <w:t xml:space="preserve"> ketoprofen lizinske soli kod pacova bile su 104 mg/kg i 610 mg/kg kod miševa</w:t>
      </w:r>
      <w:r w:rsidR="45FBB6E1" w:rsidRPr="006C75EC">
        <w:rPr>
          <w:sz w:val="22"/>
          <w:szCs w:val="22"/>
        </w:rPr>
        <w:t xml:space="preserve">. </w:t>
      </w:r>
    </w:p>
    <w:p w14:paraId="4025A934" w14:textId="7B0F8CBF" w:rsidR="003C407C" w:rsidRPr="006C75EC" w:rsidRDefault="003C407C" w:rsidP="00D2565C">
      <w:pPr>
        <w:pStyle w:val="Style4"/>
        <w:spacing w:line="240" w:lineRule="auto"/>
        <w:jc w:val="both"/>
        <w:rPr>
          <w:sz w:val="22"/>
          <w:szCs w:val="22"/>
        </w:rPr>
      </w:pPr>
      <w:r w:rsidRPr="006C75EC">
        <w:rPr>
          <w:sz w:val="22"/>
          <w:szCs w:val="22"/>
        </w:rPr>
        <w:t xml:space="preserve">Dugotrajna </w:t>
      </w:r>
      <w:r w:rsidR="00F015FA" w:rsidRPr="006C75EC">
        <w:rPr>
          <w:sz w:val="22"/>
          <w:szCs w:val="22"/>
        </w:rPr>
        <w:t>per</w:t>
      </w:r>
      <w:r w:rsidRPr="006C75EC">
        <w:rPr>
          <w:sz w:val="22"/>
          <w:szCs w:val="22"/>
        </w:rPr>
        <w:t xml:space="preserve">oralna </w:t>
      </w:r>
      <w:r w:rsidR="00CE2B72" w:rsidRPr="006C75EC">
        <w:rPr>
          <w:sz w:val="22"/>
          <w:szCs w:val="22"/>
        </w:rPr>
        <w:t>primjena</w:t>
      </w:r>
      <w:r w:rsidRPr="006C75EC">
        <w:rPr>
          <w:sz w:val="22"/>
          <w:szCs w:val="22"/>
        </w:rPr>
        <w:t xml:space="preserve"> ketoprofen lizinske soli kod pacova, pasa i majmuna, u dozama jednakim ili većim od preporučenih terapijskih doza, nije izazvala toksične efekte. Pri vi</w:t>
      </w:r>
      <w:r w:rsidR="00F015FA" w:rsidRPr="006C75EC">
        <w:rPr>
          <w:sz w:val="22"/>
          <w:szCs w:val="22"/>
        </w:rPr>
        <w:t>š</w:t>
      </w:r>
      <w:r w:rsidR="00601583" w:rsidRPr="006C75EC">
        <w:rPr>
          <w:sz w:val="22"/>
          <w:szCs w:val="22"/>
        </w:rPr>
        <w:t>i</w:t>
      </w:r>
      <w:r w:rsidRPr="006C75EC">
        <w:rPr>
          <w:sz w:val="22"/>
          <w:szCs w:val="22"/>
        </w:rPr>
        <w:t>m dozama, prijavljene su gastrointestinalne prom</w:t>
      </w:r>
      <w:r w:rsidR="00601583" w:rsidRPr="006C75EC">
        <w:rPr>
          <w:sz w:val="22"/>
          <w:szCs w:val="22"/>
        </w:rPr>
        <w:t>j</w:t>
      </w:r>
      <w:r w:rsidRPr="006C75EC">
        <w:rPr>
          <w:sz w:val="22"/>
          <w:szCs w:val="22"/>
        </w:rPr>
        <w:t>ene i prom</w:t>
      </w:r>
      <w:r w:rsidR="00601583" w:rsidRPr="006C75EC">
        <w:rPr>
          <w:sz w:val="22"/>
          <w:szCs w:val="22"/>
        </w:rPr>
        <w:t>j</w:t>
      </w:r>
      <w:r w:rsidRPr="006C75EC">
        <w:rPr>
          <w:sz w:val="22"/>
          <w:szCs w:val="22"/>
        </w:rPr>
        <w:t xml:space="preserve">ene u bubrezima, što se može pripisati poznatim neželjenim dejstvima izazvanim nesteroidnim antiinflamatornim </w:t>
      </w:r>
      <w:r w:rsidR="00BB2264" w:rsidRPr="006C75EC">
        <w:rPr>
          <w:sz w:val="22"/>
          <w:szCs w:val="22"/>
        </w:rPr>
        <w:t>ljekovi</w:t>
      </w:r>
      <w:r w:rsidRPr="006C75EC">
        <w:rPr>
          <w:sz w:val="22"/>
          <w:szCs w:val="22"/>
        </w:rPr>
        <w:t>ma.</w:t>
      </w:r>
    </w:p>
    <w:p w14:paraId="7C38615D" w14:textId="18B821BE" w:rsidR="43D2E517" w:rsidRPr="006C75EC" w:rsidRDefault="003C407C" w:rsidP="00D2565C">
      <w:pPr>
        <w:pStyle w:val="Style4"/>
        <w:spacing w:line="240" w:lineRule="auto"/>
        <w:jc w:val="both"/>
        <w:rPr>
          <w:sz w:val="22"/>
          <w:szCs w:val="22"/>
        </w:rPr>
      </w:pPr>
      <w:r w:rsidRPr="006C75EC">
        <w:rPr>
          <w:sz w:val="22"/>
          <w:szCs w:val="22"/>
        </w:rPr>
        <w:t xml:space="preserve">U produženim studijama </w:t>
      </w:r>
      <w:r w:rsidR="00F015FA" w:rsidRPr="006C75EC">
        <w:rPr>
          <w:sz w:val="22"/>
          <w:szCs w:val="22"/>
        </w:rPr>
        <w:t>per</w:t>
      </w:r>
      <w:r w:rsidRPr="006C75EC">
        <w:rPr>
          <w:sz w:val="22"/>
          <w:szCs w:val="22"/>
        </w:rPr>
        <w:t>oralne i rektalne toksičnosti kod zečeva, pokazalo se da se ketoprofen bolje podnosi kada se daje rektalno. U studijama podnošljivosti kod zečeva sa intramuskularnom prim</w:t>
      </w:r>
      <w:r w:rsidR="00601583" w:rsidRPr="006C75EC">
        <w:rPr>
          <w:sz w:val="22"/>
          <w:szCs w:val="22"/>
        </w:rPr>
        <w:t>j</w:t>
      </w:r>
      <w:r w:rsidRPr="006C75EC">
        <w:rPr>
          <w:sz w:val="22"/>
          <w:szCs w:val="22"/>
        </w:rPr>
        <w:t>enom, ketoprofen lizinska so se pokazala dobro podnošljivom</w:t>
      </w:r>
      <w:r w:rsidR="45FBB6E1" w:rsidRPr="006C75EC">
        <w:rPr>
          <w:sz w:val="22"/>
          <w:szCs w:val="22"/>
        </w:rPr>
        <w:t>.</w:t>
      </w:r>
    </w:p>
    <w:p w14:paraId="2E4A2B34" w14:textId="6FFB8366" w:rsidR="003C407C" w:rsidRPr="006C75EC" w:rsidRDefault="003C407C" w:rsidP="00D2565C">
      <w:pPr>
        <w:pStyle w:val="Style4"/>
        <w:spacing w:line="240" w:lineRule="auto"/>
        <w:jc w:val="both"/>
        <w:rPr>
          <w:sz w:val="22"/>
          <w:szCs w:val="22"/>
        </w:rPr>
      </w:pPr>
      <w:r w:rsidRPr="006C75EC">
        <w:rPr>
          <w:sz w:val="22"/>
          <w:szCs w:val="22"/>
        </w:rPr>
        <w:lastRenderedPageBreak/>
        <w:t xml:space="preserve">Ketoprofen lizinska so nije pokazala mutageni efekat u </w:t>
      </w:r>
      <w:r w:rsidRPr="006C75EC">
        <w:rPr>
          <w:i/>
          <w:iCs/>
          <w:sz w:val="22"/>
          <w:szCs w:val="22"/>
        </w:rPr>
        <w:t>in vitro</w:t>
      </w:r>
      <w:r w:rsidRPr="006C75EC">
        <w:rPr>
          <w:sz w:val="22"/>
          <w:szCs w:val="22"/>
        </w:rPr>
        <w:t xml:space="preserve"> i </w:t>
      </w:r>
      <w:r w:rsidRPr="006C75EC">
        <w:rPr>
          <w:i/>
          <w:iCs/>
          <w:sz w:val="22"/>
          <w:szCs w:val="22"/>
        </w:rPr>
        <w:t>in vivo</w:t>
      </w:r>
      <w:r w:rsidRPr="006C75EC">
        <w:rPr>
          <w:sz w:val="22"/>
          <w:szCs w:val="22"/>
        </w:rPr>
        <w:t xml:space="preserve"> studijama genotoksičnosti.</w:t>
      </w:r>
      <w:r w:rsidR="002F79B1" w:rsidRPr="006C75EC">
        <w:rPr>
          <w:sz w:val="22"/>
          <w:szCs w:val="22"/>
        </w:rPr>
        <w:t xml:space="preserve"> </w:t>
      </w:r>
      <w:r w:rsidRPr="006C75EC">
        <w:rPr>
          <w:sz w:val="22"/>
          <w:szCs w:val="22"/>
        </w:rPr>
        <w:t>Studije kancerogenosti kod pacova i miševa istakle su odsustvo karcinogenog dejstva ketoprofena.</w:t>
      </w:r>
    </w:p>
    <w:p w14:paraId="7987C0F7" w14:textId="46B93FFD" w:rsidR="4A01CA34" w:rsidRDefault="003C407C" w:rsidP="00D2565C">
      <w:pPr>
        <w:pStyle w:val="Style4"/>
        <w:spacing w:line="240" w:lineRule="auto"/>
        <w:jc w:val="both"/>
        <w:rPr>
          <w:sz w:val="22"/>
          <w:szCs w:val="22"/>
        </w:rPr>
      </w:pPr>
      <w:r w:rsidRPr="006C75EC">
        <w:rPr>
          <w:sz w:val="22"/>
          <w:szCs w:val="22"/>
        </w:rPr>
        <w:t xml:space="preserve">Za embrio-fetalnu toksičnost i teratogenost nesteroidnih antiinflamatornih </w:t>
      </w:r>
      <w:r w:rsidR="00D102BF" w:rsidRPr="006C75EC">
        <w:rPr>
          <w:sz w:val="22"/>
          <w:szCs w:val="22"/>
        </w:rPr>
        <w:t>ljek</w:t>
      </w:r>
      <w:r w:rsidRPr="006C75EC">
        <w:rPr>
          <w:sz w:val="22"/>
          <w:szCs w:val="22"/>
        </w:rPr>
        <w:t xml:space="preserve">ova kod životinja, </w:t>
      </w:r>
      <w:r w:rsidR="00881DAA">
        <w:rPr>
          <w:sz w:val="22"/>
          <w:szCs w:val="22"/>
        </w:rPr>
        <w:t>pogledati dio</w:t>
      </w:r>
      <w:r w:rsidRPr="006C75EC">
        <w:rPr>
          <w:sz w:val="22"/>
          <w:szCs w:val="22"/>
        </w:rPr>
        <w:t xml:space="preserve"> 4.6</w:t>
      </w:r>
      <w:r w:rsidR="45FBB6E1" w:rsidRPr="006C75EC">
        <w:rPr>
          <w:sz w:val="22"/>
          <w:szCs w:val="22"/>
        </w:rPr>
        <w:t xml:space="preserve">. </w:t>
      </w:r>
    </w:p>
    <w:p w14:paraId="4BD8B3A3" w14:textId="41410D59" w:rsidR="00816607" w:rsidRDefault="00816607" w:rsidP="00D2565C">
      <w:pPr>
        <w:pStyle w:val="Style4"/>
        <w:spacing w:line="240" w:lineRule="auto"/>
        <w:jc w:val="both"/>
        <w:rPr>
          <w:sz w:val="22"/>
          <w:szCs w:val="22"/>
        </w:rPr>
      </w:pPr>
    </w:p>
    <w:p w14:paraId="77A9F292" w14:textId="77777777" w:rsidR="00816607" w:rsidRPr="006C75EC" w:rsidRDefault="00816607" w:rsidP="00D2565C">
      <w:pPr>
        <w:pStyle w:val="Style4"/>
        <w:spacing w:line="240" w:lineRule="auto"/>
        <w:jc w:val="both"/>
        <w:rPr>
          <w:sz w:val="22"/>
          <w:szCs w:val="22"/>
        </w:rPr>
      </w:pPr>
    </w:p>
    <w:p w14:paraId="743C411C" w14:textId="775F1D0B" w:rsidR="4A01CA34" w:rsidRPr="006C75EC" w:rsidRDefault="00C42B53" w:rsidP="00A04E09">
      <w:pPr>
        <w:pStyle w:val="ListParagraph"/>
        <w:numPr>
          <w:ilvl w:val="0"/>
          <w:numId w:val="10"/>
        </w:num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FARMACEUTSKI PODACI </w:t>
      </w:r>
    </w:p>
    <w:p w14:paraId="28DDC436" w14:textId="77777777" w:rsidR="00FF3844" w:rsidRPr="006C75EC" w:rsidRDefault="00FF3844" w:rsidP="006C75EC">
      <w:pPr>
        <w:ind w:right="-68"/>
        <w:jc w:val="both"/>
        <w:rPr>
          <w:sz w:val="22"/>
          <w:szCs w:val="22"/>
        </w:rPr>
      </w:pPr>
    </w:p>
    <w:p w14:paraId="469AD525" w14:textId="1F59B893" w:rsidR="4A01CA34" w:rsidRPr="006C75EC" w:rsidRDefault="00D44BA0" w:rsidP="00D44BA0">
      <w:pPr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6.1 </w:t>
      </w:r>
      <w:r w:rsidR="00C42B53" w:rsidRPr="006C75EC">
        <w:rPr>
          <w:b/>
          <w:bCs/>
          <w:sz w:val="22"/>
          <w:szCs w:val="22"/>
        </w:rPr>
        <w:t>Lista pomoćnih supstanci</w:t>
      </w:r>
      <w:r w:rsidRPr="006C75EC">
        <w:rPr>
          <w:b/>
          <w:bCs/>
          <w:sz w:val="22"/>
          <w:szCs w:val="22"/>
        </w:rPr>
        <w:t xml:space="preserve"> </w:t>
      </w:r>
      <w:r w:rsidR="00FF3844" w:rsidRPr="006C75EC">
        <w:rPr>
          <w:b/>
          <w:bCs/>
          <w:sz w:val="22"/>
          <w:szCs w:val="22"/>
        </w:rPr>
        <w:t>(ekscipijenasa)</w:t>
      </w:r>
    </w:p>
    <w:p w14:paraId="70DCFDEF" w14:textId="69069D2D" w:rsidR="00AB7BAD" w:rsidRPr="006C75EC" w:rsidRDefault="00AB7BAD" w:rsidP="006C75EC">
      <w:pPr>
        <w:jc w:val="both"/>
        <w:rPr>
          <w:sz w:val="22"/>
          <w:szCs w:val="22"/>
        </w:rPr>
      </w:pPr>
    </w:p>
    <w:p w14:paraId="3DC8C228" w14:textId="4140622D" w:rsidR="00AB7BAD" w:rsidRPr="006C75EC" w:rsidRDefault="00AB7BAD" w:rsidP="002F79B1">
      <w:pPr>
        <w:pStyle w:val="ListParagraph"/>
        <w:ind w:left="0"/>
        <w:jc w:val="both"/>
        <w:rPr>
          <w:sz w:val="22"/>
          <w:szCs w:val="22"/>
        </w:rPr>
      </w:pPr>
      <w:bookmarkStart w:id="1" w:name="_Hlk99102786"/>
      <w:r w:rsidRPr="006C75EC">
        <w:rPr>
          <w:sz w:val="22"/>
          <w:szCs w:val="22"/>
        </w:rPr>
        <w:t>Sorbitol</w:t>
      </w:r>
      <w:r w:rsidR="00F015FA" w:rsidRPr="006C75EC">
        <w:rPr>
          <w:sz w:val="22"/>
          <w:szCs w:val="22"/>
        </w:rPr>
        <w:t>,</w:t>
      </w:r>
    </w:p>
    <w:p w14:paraId="08717F89" w14:textId="2CDB125F" w:rsidR="00AB7BAD" w:rsidRPr="006C75EC" w:rsidRDefault="00801149" w:rsidP="002F79B1">
      <w:pPr>
        <w:pStyle w:val="ListParagraph"/>
        <w:ind w:left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s</w:t>
      </w:r>
      <w:r w:rsidR="00AB7BAD" w:rsidRPr="006C75EC">
        <w:rPr>
          <w:rFonts w:eastAsia="TimesNewRoman"/>
          <w:sz w:val="22"/>
          <w:szCs w:val="22"/>
        </w:rPr>
        <w:t>ilicijum</w:t>
      </w:r>
      <w:r w:rsidR="002F2ABC">
        <w:rPr>
          <w:rFonts w:eastAsia="TimesNewRoman"/>
          <w:sz w:val="22"/>
          <w:szCs w:val="22"/>
        </w:rPr>
        <w:t xml:space="preserve"> </w:t>
      </w:r>
      <w:r w:rsidR="00AB7BAD" w:rsidRPr="006C75EC">
        <w:rPr>
          <w:rFonts w:eastAsia="TimesNewRoman"/>
          <w:sz w:val="22"/>
          <w:szCs w:val="22"/>
        </w:rPr>
        <w:t>dioksid, koloidni, bezvodni,</w:t>
      </w:r>
    </w:p>
    <w:p w14:paraId="4D74046F" w14:textId="6B5C9FC0" w:rsidR="00AB7BAD" w:rsidRPr="006C75EC" w:rsidRDefault="00801149" w:rsidP="002F79B1">
      <w:pPr>
        <w:pStyle w:val="ListParagraph"/>
        <w:ind w:left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n</w:t>
      </w:r>
      <w:r w:rsidR="00AB7BAD" w:rsidRPr="006C75EC">
        <w:rPr>
          <w:rFonts w:eastAsia="TimesNewRoman"/>
          <w:sz w:val="22"/>
          <w:szCs w:val="22"/>
        </w:rPr>
        <w:t>atrijum</w:t>
      </w:r>
      <w:r w:rsidR="002F2ABC">
        <w:rPr>
          <w:rFonts w:eastAsia="TimesNewRoman"/>
          <w:sz w:val="22"/>
          <w:szCs w:val="22"/>
        </w:rPr>
        <w:t xml:space="preserve"> </w:t>
      </w:r>
      <w:r w:rsidR="00AB7BAD" w:rsidRPr="006C75EC">
        <w:rPr>
          <w:rFonts w:eastAsia="TimesNewRoman"/>
          <w:sz w:val="22"/>
          <w:szCs w:val="22"/>
        </w:rPr>
        <w:t>hlorid,</w:t>
      </w:r>
    </w:p>
    <w:p w14:paraId="7FE2BCEC" w14:textId="5B696F67" w:rsidR="00AB7BAD" w:rsidRPr="006C75EC" w:rsidRDefault="00801149" w:rsidP="002F79B1">
      <w:pPr>
        <w:pStyle w:val="ListParagraph"/>
        <w:ind w:left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s</w:t>
      </w:r>
      <w:r w:rsidR="00AB7BAD" w:rsidRPr="006C75EC">
        <w:rPr>
          <w:rFonts w:eastAsia="TimesNewRoman"/>
          <w:sz w:val="22"/>
          <w:szCs w:val="22"/>
        </w:rPr>
        <w:t>aharin</w:t>
      </w:r>
      <w:r w:rsidR="002F2ABC">
        <w:rPr>
          <w:rFonts w:eastAsia="TimesNewRoman"/>
          <w:sz w:val="22"/>
          <w:szCs w:val="22"/>
        </w:rPr>
        <w:t xml:space="preserve"> </w:t>
      </w:r>
      <w:r w:rsidR="00AB7BAD" w:rsidRPr="006C75EC">
        <w:rPr>
          <w:rFonts w:eastAsia="TimesNewRoman"/>
          <w:sz w:val="22"/>
          <w:szCs w:val="22"/>
        </w:rPr>
        <w:t>natrijum,</w:t>
      </w:r>
    </w:p>
    <w:p w14:paraId="42246568" w14:textId="412E8CDB" w:rsidR="00AB7BAD" w:rsidRPr="006C75EC" w:rsidRDefault="00801149" w:rsidP="002F79B1">
      <w:pPr>
        <w:pStyle w:val="ListParagraph"/>
        <w:ind w:left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a</w:t>
      </w:r>
      <w:r w:rsidR="00AB7BAD" w:rsidRPr="006C75EC">
        <w:rPr>
          <w:rFonts w:eastAsia="TimesNewRoman"/>
          <w:sz w:val="22"/>
          <w:szCs w:val="22"/>
        </w:rPr>
        <w:t>roma nane.</w:t>
      </w:r>
    </w:p>
    <w:bookmarkEnd w:id="1"/>
    <w:p w14:paraId="22AC2919" w14:textId="77777777" w:rsidR="00AB7BAD" w:rsidRPr="006C75EC" w:rsidRDefault="00AB7BAD" w:rsidP="006C75EC">
      <w:pPr>
        <w:jc w:val="both"/>
        <w:rPr>
          <w:b/>
          <w:bCs/>
          <w:sz w:val="22"/>
          <w:szCs w:val="22"/>
        </w:rPr>
      </w:pPr>
    </w:p>
    <w:p w14:paraId="2888037D" w14:textId="662C655F" w:rsidR="4A01CA34" w:rsidRPr="006C75EC" w:rsidRDefault="00D44BA0" w:rsidP="00D44BA0">
      <w:pPr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6.2 </w:t>
      </w:r>
      <w:r w:rsidR="00C42B53" w:rsidRPr="006C75EC">
        <w:rPr>
          <w:b/>
          <w:bCs/>
          <w:sz w:val="22"/>
          <w:szCs w:val="22"/>
        </w:rPr>
        <w:t>Inkompatibilnost</w:t>
      </w:r>
      <w:r w:rsidRPr="006C75EC">
        <w:rPr>
          <w:b/>
          <w:bCs/>
          <w:sz w:val="22"/>
          <w:szCs w:val="22"/>
        </w:rPr>
        <w:t>i</w:t>
      </w:r>
    </w:p>
    <w:p w14:paraId="04FA90AE" w14:textId="77777777" w:rsidR="00DE7C97" w:rsidRPr="006C75EC" w:rsidRDefault="00DE7C97" w:rsidP="00D2565C">
      <w:pPr>
        <w:pStyle w:val="Style4"/>
        <w:spacing w:line="240" w:lineRule="auto"/>
        <w:jc w:val="both"/>
        <w:rPr>
          <w:sz w:val="22"/>
          <w:szCs w:val="22"/>
        </w:rPr>
      </w:pPr>
    </w:p>
    <w:p w14:paraId="1B8D1484" w14:textId="5E032C57" w:rsidR="4A01CA34" w:rsidRPr="006C75EC" w:rsidRDefault="00C42B53" w:rsidP="00D2565C">
      <w:pPr>
        <w:pStyle w:val="Style4"/>
        <w:spacing w:line="240" w:lineRule="auto"/>
        <w:jc w:val="both"/>
        <w:rPr>
          <w:sz w:val="22"/>
          <w:szCs w:val="22"/>
        </w:rPr>
      </w:pPr>
      <w:r w:rsidRPr="006C75EC">
        <w:rPr>
          <w:sz w:val="22"/>
          <w:szCs w:val="22"/>
        </w:rPr>
        <w:t>Nije prim</w:t>
      </w:r>
      <w:r w:rsidR="00AB7BAD" w:rsidRPr="006C75EC">
        <w:rPr>
          <w:sz w:val="22"/>
          <w:szCs w:val="22"/>
        </w:rPr>
        <w:t>j</w:t>
      </w:r>
      <w:r w:rsidRPr="006C75EC">
        <w:rPr>
          <w:sz w:val="22"/>
          <w:szCs w:val="22"/>
        </w:rPr>
        <w:t>enljivo</w:t>
      </w:r>
      <w:r w:rsidR="00F015FA" w:rsidRPr="006C75EC">
        <w:rPr>
          <w:sz w:val="22"/>
          <w:szCs w:val="22"/>
        </w:rPr>
        <w:t>.</w:t>
      </w:r>
    </w:p>
    <w:p w14:paraId="0E58D35D" w14:textId="77777777" w:rsidR="00BD0557" w:rsidRPr="006C75EC" w:rsidRDefault="00BD0557" w:rsidP="00D2565C">
      <w:pPr>
        <w:pStyle w:val="Style4"/>
        <w:spacing w:line="240" w:lineRule="auto"/>
        <w:jc w:val="both"/>
        <w:rPr>
          <w:sz w:val="22"/>
          <w:szCs w:val="22"/>
        </w:rPr>
      </w:pPr>
    </w:p>
    <w:p w14:paraId="00B14E3C" w14:textId="209B093A" w:rsidR="00DE7C97" w:rsidRPr="006C75EC" w:rsidRDefault="00D44BA0" w:rsidP="00D44BA0">
      <w:pPr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6.3 </w:t>
      </w:r>
      <w:r w:rsidR="00C42B53" w:rsidRPr="006C75EC">
        <w:rPr>
          <w:b/>
          <w:bCs/>
          <w:sz w:val="22"/>
          <w:szCs w:val="22"/>
        </w:rPr>
        <w:t>Rok upotrebe</w:t>
      </w:r>
      <w:r w:rsidR="003A0FCB" w:rsidRPr="006C75EC">
        <w:rPr>
          <w:b/>
          <w:bCs/>
          <w:sz w:val="22"/>
          <w:szCs w:val="22"/>
        </w:rPr>
        <w:t xml:space="preserve"> </w:t>
      </w:r>
    </w:p>
    <w:p w14:paraId="2D131729" w14:textId="77777777" w:rsidR="00DE7C97" w:rsidRPr="006C75EC" w:rsidRDefault="00DE7C97" w:rsidP="00D2565C">
      <w:pPr>
        <w:pStyle w:val="Style4"/>
        <w:spacing w:line="240" w:lineRule="auto"/>
        <w:jc w:val="both"/>
        <w:rPr>
          <w:sz w:val="22"/>
          <w:szCs w:val="22"/>
        </w:rPr>
      </w:pPr>
    </w:p>
    <w:p w14:paraId="506C3EAF" w14:textId="3AC8F733" w:rsidR="00BD0557" w:rsidRPr="006C75EC" w:rsidRDefault="00575BCE" w:rsidP="00D2565C">
      <w:pPr>
        <w:pStyle w:val="Style4"/>
        <w:spacing w:line="240" w:lineRule="auto"/>
        <w:jc w:val="both"/>
        <w:rPr>
          <w:sz w:val="22"/>
          <w:szCs w:val="22"/>
        </w:rPr>
      </w:pPr>
      <w:r w:rsidRPr="006C75EC">
        <w:rPr>
          <w:sz w:val="22"/>
          <w:szCs w:val="22"/>
        </w:rPr>
        <w:t>30</w:t>
      </w:r>
      <w:r w:rsidR="002A0044" w:rsidRPr="006C75EC">
        <w:rPr>
          <w:sz w:val="22"/>
          <w:szCs w:val="22"/>
        </w:rPr>
        <w:t xml:space="preserve"> </w:t>
      </w:r>
      <w:r w:rsidR="003A0FCB" w:rsidRPr="006C75EC">
        <w:rPr>
          <w:sz w:val="22"/>
          <w:szCs w:val="22"/>
        </w:rPr>
        <w:t>m</w:t>
      </w:r>
      <w:r w:rsidRPr="006C75EC">
        <w:rPr>
          <w:sz w:val="22"/>
          <w:szCs w:val="22"/>
        </w:rPr>
        <w:t>j</w:t>
      </w:r>
      <w:r w:rsidR="003A0FCB" w:rsidRPr="006C75EC">
        <w:rPr>
          <w:sz w:val="22"/>
          <w:szCs w:val="22"/>
        </w:rPr>
        <w:t>eseci</w:t>
      </w:r>
      <w:r w:rsidR="00F015FA" w:rsidRPr="006C75EC">
        <w:rPr>
          <w:sz w:val="22"/>
          <w:szCs w:val="22"/>
        </w:rPr>
        <w:t>.</w:t>
      </w:r>
    </w:p>
    <w:p w14:paraId="784D80B5" w14:textId="44671FE3" w:rsidR="00922205" w:rsidRPr="00922205" w:rsidRDefault="00922205" w:rsidP="00922205">
      <w:pPr>
        <w:rPr>
          <w:sz w:val="22"/>
          <w:szCs w:val="22"/>
        </w:rPr>
      </w:pPr>
      <w:r w:rsidRPr="00922205">
        <w:rPr>
          <w:sz w:val="22"/>
          <w:szCs w:val="22"/>
        </w:rPr>
        <w:t>L</w:t>
      </w:r>
      <w:r w:rsidR="008950C4">
        <w:rPr>
          <w:sz w:val="22"/>
          <w:szCs w:val="22"/>
        </w:rPr>
        <w:t>ij</w:t>
      </w:r>
      <w:r w:rsidRPr="00922205">
        <w:rPr>
          <w:sz w:val="22"/>
          <w:szCs w:val="22"/>
        </w:rPr>
        <w:t>ek upotr</w:t>
      </w:r>
      <w:r w:rsidR="00E113FC">
        <w:rPr>
          <w:sz w:val="22"/>
          <w:szCs w:val="22"/>
        </w:rPr>
        <w:t>ij</w:t>
      </w:r>
      <w:r w:rsidRPr="00922205">
        <w:rPr>
          <w:sz w:val="22"/>
          <w:szCs w:val="22"/>
        </w:rPr>
        <w:t>ebiti odmah nakon otvaranja i rastvaranja sadržaja kesice.</w:t>
      </w:r>
    </w:p>
    <w:p w14:paraId="63ADAD28" w14:textId="77777777" w:rsidR="00BD0557" w:rsidRPr="006C75EC" w:rsidRDefault="00BD0557" w:rsidP="00D2565C">
      <w:pPr>
        <w:pStyle w:val="Style4"/>
        <w:spacing w:line="240" w:lineRule="auto"/>
        <w:jc w:val="both"/>
        <w:rPr>
          <w:sz w:val="22"/>
          <w:szCs w:val="22"/>
        </w:rPr>
      </w:pPr>
    </w:p>
    <w:p w14:paraId="18D8B724" w14:textId="0CCD4613" w:rsidR="00947831" w:rsidRPr="006C75EC" w:rsidRDefault="00D44BA0" w:rsidP="00D44BA0">
      <w:pPr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6.4 </w:t>
      </w:r>
      <w:r w:rsidR="003A0FCB" w:rsidRPr="006C75EC">
        <w:rPr>
          <w:b/>
          <w:bCs/>
          <w:sz w:val="22"/>
          <w:szCs w:val="22"/>
        </w:rPr>
        <w:t>Posebne m</w:t>
      </w:r>
      <w:r w:rsidR="00575BCE" w:rsidRPr="006C75EC">
        <w:rPr>
          <w:b/>
          <w:bCs/>
          <w:sz w:val="22"/>
          <w:szCs w:val="22"/>
        </w:rPr>
        <w:t>j</w:t>
      </w:r>
      <w:r w:rsidR="003A0FCB" w:rsidRPr="006C75EC">
        <w:rPr>
          <w:b/>
          <w:bCs/>
          <w:sz w:val="22"/>
          <w:szCs w:val="22"/>
        </w:rPr>
        <w:t xml:space="preserve">ere opreza pri čuvanju </w:t>
      </w:r>
      <w:r w:rsidR="008626CA" w:rsidRPr="006C75EC">
        <w:rPr>
          <w:b/>
          <w:bCs/>
          <w:sz w:val="22"/>
          <w:szCs w:val="22"/>
        </w:rPr>
        <w:t>lijeka</w:t>
      </w:r>
    </w:p>
    <w:p w14:paraId="403C0A12" w14:textId="77777777" w:rsidR="00947831" w:rsidRPr="006C75EC" w:rsidRDefault="00947831" w:rsidP="00D2565C">
      <w:pPr>
        <w:pStyle w:val="Style4"/>
        <w:spacing w:line="240" w:lineRule="auto"/>
        <w:jc w:val="both"/>
        <w:rPr>
          <w:rStyle w:val="tlid-translation"/>
          <w:sz w:val="22"/>
          <w:szCs w:val="22"/>
        </w:rPr>
      </w:pPr>
    </w:p>
    <w:p w14:paraId="55F4F610" w14:textId="018A9506" w:rsidR="0001541C" w:rsidRPr="00177AE2" w:rsidRDefault="0001541C" w:rsidP="0001541C">
      <w:pPr>
        <w:rPr>
          <w:sz w:val="22"/>
          <w:szCs w:val="22"/>
        </w:rPr>
      </w:pPr>
      <w:r w:rsidRPr="00177AE2">
        <w:rPr>
          <w:sz w:val="22"/>
          <w:szCs w:val="22"/>
        </w:rPr>
        <w:t>L</w:t>
      </w:r>
      <w:r w:rsidR="00177AE2" w:rsidRPr="00177AE2">
        <w:rPr>
          <w:sz w:val="22"/>
          <w:szCs w:val="22"/>
        </w:rPr>
        <w:t>ij</w:t>
      </w:r>
      <w:r w:rsidRPr="00177AE2">
        <w:rPr>
          <w:sz w:val="22"/>
          <w:szCs w:val="22"/>
        </w:rPr>
        <w:t>ek ne zaht</w:t>
      </w:r>
      <w:r w:rsidR="008950C4">
        <w:rPr>
          <w:sz w:val="22"/>
          <w:szCs w:val="22"/>
        </w:rPr>
        <w:t>ij</w:t>
      </w:r>
      <w:r w:rsidRPr="00177AE2">
        <w:rPr>
          <w:sz w:val="22"/>
          <w:szCs w:val="22"/>
        </w:rPr>
        <w:t>eva posebne uslove čuvanja.</w:t>
      </w:r>
    </w:p>
    <w:p w14:paraId="3CAA0E6E" w14:textId="77777777" w:rsidR="00947831" w:rsidRPr="006C75EC" w:rsidRDefault="00947831" w:rsidP="00D2565C">
      <w:pPr>
        <w:pStyle w:val="Style4"/>
        <w:spacing w:line="240" w:lineRule="auto"/>
        <w:jc w:val="both"/>
        <w:rPr>
          <w:sz w:val="22"/>
          <w:szCs w:val="22"/>
        </w:rPr>
      </w:pPr>
    </w:p>
    <w:p w14:paraId="62F85758" w14:textId="68D56D8E" w:rsidR="4A01CA34" w:rsidRPr="006C75EC" w:rsidRDefault="00D44BA0" w:rsidP="00D44BA0">
      <w:pPr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6.5 </w:t>
      </w:r>
      <w:r w:rsidR="00036C11" w:rsidRPr="006C75EC">
        <w:rPr>
          <w:b/>
          <w:bCs/>
          <w:sz w:val="22"/>
          <w:szCs w:val="22"/>
        </w:rPr>
        <w:t>Vrsta</w:t>
      </w:r>
      <w:r w:rsidR="003A0FCB" w:rsidRPr="006C75EC">
        <w:rPr>
          <w:b/>
          <w:bCs/>
          <w:sz w:val="22"/>
          <w:szCs w:val="22"/>
        </w:rPr>
        <w:t xml:space="preserve"> i sadržaj pakovanja </w:t>
      </w:r>
    </w:p>
    <w:p w14:paraId="6C3BAC73" w14:textId="77777777" w:rsidR="00DE7C97" w:rsidRPr="006C75EC" w:rsidRDefault="00DE7C97" w:rsidP="00D2565C">
      <w:pPr>
        <w:pStyle w:val="Style4"/>
        <w:spacing w:line="240" w:lineRule="auto"/>
        <w:jc w:val="both"/>
        <w:rPr>
          <w:sz w:val="22"/>
          <w:szCs w:val="22"/>
        </w:rPr>
      </w:pPr>
    </w:p>
    <w:p w14:paraId="5E1D5DB9" w14:textId="77777777" w:rsidR="00B951F7" w:rsidRPr="006C75EC" w:rsidRDefault="00B951F7" w:rsidP="00D2565C">
      <w:pPr>
        <w:adjustRightInd w:val="0"/>
        <w:jc w:val="both"/>
        <w:rPr>
          <w:sz w:val="22"/>
          <w:szCs w:val="22"/>
        </w:rPr>
      </w:pPr>
      <w:r w:rsidRPr="006C75EC">
        <w:rPr>
          <w:sz w:val="22"/>
          <w:szCs w:val="22"/>
        </w:rPr>
        <w:t>Unutrašnje pakovanje je papir/aluminijum/polietilen kesica. Jedna kesica sadrži 1,5 g praška.</w:t>
      </w:r>
    </w:p>
    <w:p w14:paraId="27A17825" w14:textId="77777777" w:rsidR="00B951F7" w:rsidRPr="006C75EC" w:rsidRDefault="00B951F7" w:rsidP="00D2565C">
      <w:pPr>
        <w:adjustRightInd w:val="0"/>
        <w:jc w:val="both"/>
        <w:rPr>
          <w:sz w:val="22"/>
          <w:szCs w:val="22"/>
        </w:rPr>
      </w:pPr>
      <w:r w:rsidRPr="006C75EC">
        <w:rPr>
          <w:sz w:val="22"/>
          <w:szCs w:val="22"/>
        </w:rPr>
        <w:t>Spoljašnje pakovanje je složiva kartonska kutija u kojoj se nalazi 30 kesica praška za oralni rastvor i</w:t>
      </w:r>
    </w:p>
    <w:p w14:paraId="4AD4F740" w14:textId="4CE5AB0D" w:rsidR="00BD0557" w:rsidRPr="006C75EC" w:rsidRDefault="00B951F7" w:rsidP="00D2565C">
      <w:pPr>
        <w:pStyle w:val="Style4"/>
        <w:spacing w:line="240" w:lineRule="auto"/>
        <w:jc w:val="both"/>
        <w:rPr>
          <w:sz w:val="22"/>
          <w:szCs w:val="22"/>
        </w:rPr>
      </w:pPr>
      <w:r w:rsidRPr="006C75EC">
        <w:rPr>
          <w:sz w:val="22"/>
          <w:szCs w:val="22"/>
        </w:rPr>
        <w:t xml:space="preserve">Uputstvo za </w:t>
      </w:r>
      <w:r w:rsidR="00177AE2">
        <w:rPr>
          <w:sz w:val="22"/>
          <w:szCs w:val="22"/>
        </w:rPr>
        <w:t>lijek</w:t>
      </w:r>
      <w:r w:rsidRPr="006C75EC">
        <w:rPr>
          <w:sz w:val="22"/>
          <w:szCs w:val="22"/>
        </w:rPr>
        <w:t>.</w:t>
      </w:r>
    </w:p>
    <w:p w14:paraId="5F814DAD" w14:textId="77777777" w:rsidR="00B951F7" w:rsidRPr="006C75EC" w:rsidRDefault="00B951F7" w:rsidP="00D2565C">
      <w:pPr>
        <w:pStyle w:val="Style4"/>
        <w:spacing w:line="240" w:lineRule="auto"/>
        <w:jc w:val="both"/>
        <w:rPr>
          <w:sz w:val="22"/>
          <w:szCs w:val="22"/>
        </w:rPr>
      </w:pPr>
    </w:p>
    <w:p w14:paraId="671E2053" w14:textId="534ED96C" w:rsidR="4A01CA34" w:rsidRPr="006C75EC" w:rsidRDefault="00D44BA0" w:rsidP="00D44BA0">
      <w:pPr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6.6 </w:t>
      </w:r>
      <w:r w:rsidR="003A0FCB" w:rsidRPr="006C75EC">
        <w:rPr>
          <w:b/>
          <w:bCs/>
          <w:sz w:val="22"/>
          <w:szCs w:val="22"/>
        </w:rPr>
        <w:t>Posebne m</w:t>
      </w:r>
      <w:r w:rsidR="00575BCE" w:rsidRPr="006C75EC">
        <w:rPr>
          <w:b/>
          <w:bCs/>
          <w:sz w:val="22"/>
          <w:szCs w:val="22"/>
        </w:rPr>
        <w:t>j</w:t>
      </w:r>
      <w:r w:rsidR="003A0FCB" w:rsidRPr="006C75EC">
        <w:rPr>
          <w:b/>
          <w:bCs/>
          <w:sz w:val="22"/>
          <w:szCs w:val="22"/>
        </w:rPr>
        <w:t>ere opreza pri odlaganju materijala koji treba odbaciti nakon prim</w:t>
      </w:r>
      <w:r w:rsidR="00575BCE" w:rsidRPr="006C75EC">
        <w:rPr>
          <w:b/>
          <w:bCs/>
          <w:sz w:val="22"/>
          <w:szCs w:val="22"/>
        </w:rPr>
        <w:t>j</w:t>
      </w:r>
      <w:r w:rsidR="003A0FCB" w:rsidRPr="006C75EC">
        <w:rPr>
          <w:b/>
          <w:bCs/>
          <w:sz w:val="22"/>
          <w:szCs w:val="22"/>
        </w:rPr>
        <w:t xml:space="preserve">ene </w:t>
      </w:r>
      <w:r w:rsidR="00D102BF" w:rsidRPr="006C75EC">
        <w:rPr>
          <w:b/>
          <w:bCs/>
          <w:sz w:val="22"/>
          <w:szCs w:val="22"/>
        </w:rPr>
        <w:t>lijek</w:t>
      </w:r>
      <w:r w:rsidR="003A0FCB" w:rsidRPr="006C75EC">
        <w:rPr>
          <w:b/>
          <w:bCs/>
          <w:sz w:val="22"/>
          <w:szCs w:val="22"/>
        </w:rPr>
        <w:t xml:space="preserve">a (i druga uputstva za rukovanje </w:t>
      </w:r>
      <w:r w:rsidR="00D102BF" w:rsidRPr="006C75EC">
        <w:rPr>
          <w:b/>
          <w:bCs/>
          <w:sz w:val="22"/>
          <w:szCs w:val="22"/>
        </w:rPr>
        <w:t>lijek</w:t>
      </w:r>
      <w:r w:rsidR="003A0FCB" w:rsidRPr="006C75EC">
        <w:rPr>
          <w:b/>
          <w:bCs/>
          <w:sz w:val="22"/>
          <w:szCs w:val="22"/>
        </w:rPr>
        <w:t xml:space="preserve">om) </w:t>
      </w:r>
    </w:p>
    <w:p w14:paraId="09CAF456" w14:textId="77777777" w:rsidR="00DE7C97" w:rsidRPr="006C75EC" w:rsidRDefault="00DE7C97" w:rsidP="00D2565C">
      <w:pPr>
        <w:pStyle w:val="Style4"/>
        <w:spacing w:line="240" w:lineRule="auto"/>
        <w:jc w:val="both"/>
        <w:rPr>
          <w:sz w:val="22"/>
          <w:szCs w:val="22"/>
        </w:rPr>
      </w:pPr>
    </w:p>
    <w:p w14:paraId="172A50ED" w14:textId="77777777" w:rsidR="0067299E" w:rsidRPr="006C75EC" w:rsidRDefault="0067299E" w:rsidP="00D2565C">
      <w:pPr>
        <w:widowControl/>
        <w:tabs>
          <w:tab w:val="left" w:pos="540"/>
          <w:tab w:val="left" w:pos="569"/>
        </w:tabs>
        <w:autoSpaceDE/>
        <w:autoSpaceDN/>
        <w:jc w:val="both"/>
        <w:rPr>
          <w:rFonts w:eastAsia="Times New Roman"/>
          <w:bCs/>
          <w:sz w:val="22"/>
          <w:szCs w:val="22"/>
          <w:lang w:eastAsia="en-US"/>
        </w:rPr>
      </w:pPr>
      <w:r w:rsidRPr="006C75EC">
        <w:rPr>
          <w:rFonts w:eastAsia="Times New Roman"/>
          <w:bCs/>
          <w:sz w:val="22"/>
          <w:szCs w:val="22"/>
          <w:lang w:eastAsia="en-US"/>
        </w:rPr>
        <w:t>Svu neiskorišćenu količinu lijeka ili otpadnog materijala nakon njegove upotrebe treba ukloniti, u skladu sa važećim propisima.</w:t>
      </w:r>
    </w:p>
    <w:p w14:paraId="0A0B1C25" w14:textId="77777777" w:rsidR="00AB7BAD" w:rsidRPr="006C75EC" w:rsidRDefault="00AB7BAD" w:rsidP="00D2565C">
      <w:pPr>
        <w:jc w:val="both"/>
        <w:rPr>
          <w:sz w:val="22"/>
          <w:szCs w:val="22"/>
        </w:rPr>
      </w:pPr>
    </w:p>
    <w:p w14:paraId="5E6AA802" w14:textId="77777777" w:rsidR="00CE4CA1" w:rsidRPr="006C75EC" w:rsidRDefault="00CE4CA1" w:rsidP="00D2565C">
      <w:pPr>
        <w:jc w:val="both"/>
        <w:rPr>
          <w:sz w:val="22"/>
          <w:szCs w:val="22"/>
        </w:rPr>
      </w:pPr>
    </w:p>
    <w:p w14:paraId="1B3BDA59" w14:textId="5C338C8B" w:rsidR="00EC2B1D" w:rsidRPr="006C75EC" w:rsidRDefault="00EC2B1D" w:rsidP="00A04E09">
      <w:pPr>
        <w:pStyle w:val="ListParagraph"/>
        <w:numPr>
          <w:ilvl w:val="0"/>
          <w:numId w:val="10"/>
        </w:num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 xml:space="preserve">NOSILAC DOZVOLE </w:t>
      </w:r>
    </w:p>
    <w:p w14:paraId="1CC23BDB" w14:textId="77777777" w:rsidR="00CE4CA1" w:rsidRPr="006C75EC" w:rsidRDefault="00CE4CA1" w:rsidP="00CE4CA1">
      <w:pPr>
        <w:widowControl/>
        <w:tabs>
          <w:tab w:val="left" w:pos="540"/>
          <w:tab w:val="left" w:pos="569"/>
        </w:tabs>
        <w:autoSpaceDE/>
        <w:autoSpaceDN/>
        <w:jc w:val="both"/>
        <w:rPr>
          <w:rFonts w:eastAsia="Times New Roman"/>
          <w:sz w:val="22"/>
          <w:szCs w:val="22"/>
          <w:lang w:eastAsia="en-US"/>
        </w:rPr>
      </w:pPr>
    </w:p>
    <w:p w14:paraId="17D77132" w14:textId="1AC4734B" w:rsidR="00EC2B1D" w:rsidRPr="006C75EC" w:rsidRDefault="00EC2B1D" w:rsidP="00CE4CA1">
      <w:pPr>
        <w:widowControl/>
        <w:tabs>
          <w:tab w:val="left" w:pos="540"/>
          <w:tab w:val="left" w:pos="569"/>
        </w:tabs>
        <w:autoSpaceDE/>
        <w:autoSpaceDN/>
        <w:jc w:val="both"/>
        <w:rPr>
          <w:rFonts w:eastAsia="Times New Roman"/>
          <w:sz w:val="22"/>
          <w:szCs w:val="22"/>
          <w:lang w:eastAsia="en-US"/>
        </w:rPr>
      </w:pPr>
      <w:r w:rsidRPr="006C75EC">
        <w:rPr>
          <w:rFonts w:eastAsia="Times New Roman"/>
          <w:sz w:val="22"/>
          <w:szCs w:val="22"/>
          <w:lang w:eastAsia="en-US"/>
        </w:rPr>
        <w:t>Hemofarm A</w:t>
      </w:r>
      <w:r w:rsidR="009A1D1B">
        <w:rPr>
          <w:rFonts w:eastAsia="Times New Roman"/>
          <w:sz w:val="22"/>
          <w:szCs w:val="22"/>
          <w:lang w:eastAsia="en-US"/>
        </w:rPr>
        <w:t>.</w:t>
      </w:r>
      <w:r w:rsidRPr="006C75EC">
        <w:rPr>
          <w:rFonts w:eastAsia="Times New Roman"/>
          <w:sz w:val="22"/>
          <w:szCs w:val="22"/>
          <w:lang w:eastAsia="en-US"/>
        </w:rPr>
        <w:t>D</w:t>
      </w:r>
      <w:r w:rsidR="009A1D1B">
        <w:rPr>
          <w:rFonts w:eastAsia="Times New Roman"/>
          <w:sz w:val="22"/>
          <w:szCs w:val="22"/>
          <w:lang w:eastAsia="en-US"/>
        </w:rPr>
        <w:t>.</w:t>
      </w:r>
      <w:r w:rsidRPr="006C75EC">
        <w:rPr>
          <w:rFonts w:eastAsia="Times New Roman"/>
          <w:sz w:val="22"/>
          <w:szCs w:val="22"/>
          <w:lang w:eastAsia="en-US"/>
        </w:rPr>
        <w:t xml:space="preserve"> Vršac P</w:t>
      </w:r>
      <w:r w:rsidR="009A1D1B">
        <w:rPr>
          <w:rFonts w:eastAsia="Times New Roman"/>
          <w:sz w:val="22"/>
          <w:szCs w:val="22"/>
          <w:lang w:eastAsia="en-US"/>
        </w:rPr>
        <w:t>.</w:t>
      </w:r>
      <w:r w:rsidRPr="006C75EC">
        <w:rPr>
          <w:rFonts w:eastAsia="Times New Roman"/>
          <w:sz w:val="22"/>
          <w:szCs w:val="22"/>
          <w:lang w:eastAsia="en-US"/>
        </w:rPr>
        <w:t>J</w:t>
      </w:r>
      <w:r w:rsidR="009A1D1B">
        <w:rPr>
          <w:rFonts w:eastAsia="Times New Roman"/>
          <w:sz w:val="22"/>
          <w:szCs w:val="22"/>
          <w:lang w:eastAsia="en-US"/>
        </w:rPr>
        <w:t>.</w:t>
      </w:r>
      <w:r w:rsidRPr="006C75EC">
        <w:rPr>
          <w:rFonts w:eastAsia="Times New Roman"/>
          <w:sz w:val="22"/>
          <w:szCs w:val="22"/>
          <w:lang w:eastAsia="en-US"/>
        </w:rPr>
        <w:t xml:space="preserve"> Podgorica</w:t>
      </w:r>
    </w:p>
    <w:p w14:paraId="128D897C" w14:textId="0FD2F730" w:rsidR="00EC2B1D" w:rsidRPr="006C75EC" w:rsidRDefault="00EC2B1D" w:rsidP="00CE4CA1">
      <w:pPr>
        <w:widowControl/>
        <w:tabs>
          <w:tab w:val="left" w:pos="540"/>
          <w:tab w:val="left" w:pos="569"/>
        </w:tabs>
        <w:autoSpaceDE/>
        <w:autoSpaceDN/>
        <w:jc w:val="both"/>
        <w:rPr>
          <w:rFonts w:eastAsia="Times New Roman"/>
          <w:sz w:val="22"/>
          <w:szCs w:val="22"/>
          <w:lang w:eastAsia="en-US"/>
        </w:rPr>
      </w:pPr>
      <w:r w:rsidRPr="006C75EC">
        <w:rPr>
          <w:rFonts w:eastAsia="Times New Roman"/>
          <w:sz w:val="22"/>
          <w:szCs w:val="22"/>
          <w:lang w:eastAsia="en-US"/>
        </w:rPr>
        <w:t>8</w:t>
      </w:r>
      <w:r w:rsidR="009A1D1B">
        <w:rPr>
          <w:rFonts w:eastAsia="Times New Roman"/>
          <w:sz w:val="22"/>
          <w:szCs w:val="22"/>
          <w:lang w:eastAsia="en-US"/>
        </w:rPr>
        <w:t>.</w:t>
      </w:r>
      <w:r w:rsidRPr="006C75EC">
        <w:rPr>
          <w:rFonts w:eastAsia="Times New Roman"/>
          <w:sz w:val="22"/>
          <w:szCs w:val="22"/>
          <w:lang w:eastAsia="en-US"/>
        </w:rPr>
        <w:t xml:space="preserve"> marta 55A,</w:t>
      </w:r>
      <w:r w:rsidR="00CE4CA1" w:rsidRPr="006C75EC">
        <w:rPr>
          <w:rFonts w:eastAsia="Times New Roman"/>
          <w:sz w:val="22"/>
          <w:szCs w:val="22"/>
          <w:lang w:eastAsia="en-US"/>
        </w:rPr>
        <w:t xml:space="preserve"> </w:t>
      </w:r>
      <w:r w:rsidRPr="006C75EC">
        <w:rPr>
          <w:rFonts w:eastAsia="Times New Roman"/>
          <w:sz w:val="22"/>
          <w:szCs w:val="22"/>
          <w:lang w:eastAsia="en-US"/>
        </w:rPr>
        <w:t>Podgorica,</w:t>
      </w:r>
      <w:r w:rsidR="00CE4CA1" w:rsidRPr="006C75EC">
        <w:rPr>
          <w:rFonts w:eastAsia="Times New Roman"/>
          <w:sz w:val="22"/>
          <w:szCs w:val="22"/>
          <w:lang w:eastAsia="en-US"/>
        </w:rPr>
        <w:t xml:space="preserve"> </w:t>
      </w:r>
      <w:r w:rsidRPr="006C75EC">
        <w:rPr>
          <w:rFonts w:eastAsia="Times New Roman"/>
          <w:sz w:val="22"/>
          <w:szCs w:val="22"/>
          <w:lang w:eastAsia="en-US"/>
        </w:rPr>
        <w:t>Crna Gora</w:t>
      </w:r>
    </w:p>
    <w:p w14:paraId="6234494B" w14:textId="77777777" w:rsidR="00EC2B1D" w:rsidRPr="006C75EC" w:rsidRDefault="00EC2B1D" w:rsidP="00D2565C">
      <w:pPr>
        <w:widowControl/>
        <w:tabs>
          <w:tab w:val="left" w:pos="540"/>
          <w:tab w:val="left" w:pos="569"/>
        </w:tabs>
        <w:autoSpaceDE/>
        <w:autoSpaceDN/>
        <w:jc w:val="both"/>
        <w:rPr>
          <w:rFonts w:eastAsia="Times New Roman"/>
          <w:bCs/>
          <w:sz w:val="22"/>
          <w:szCs w:val="22"/>
          <w:lang w:eastAsia="en-US"/>
        </w:rPr>
      </w:pPr>
    </w:p>
    <w:p w14:paraId="0AECAE99" w14:textId="77777777" w:rsidR="00EC2B1D" w:rsidRPr="006C75EC" w:rsidRDefault="00EC2B1D" w:rsidP="00D2565C">
      <w:pPr>
        <w:widowControl/>
        <w:tabs>
          <w:tab w:val="left" w:pos="540"/>
          <w:tab w:val="left" w:pos="569"/>
        </w:tabs>
        <w:autoSpaceDE/>
        <w:autoSpaceDN/>
        <w:jc w:val="both"/>
        <w:rPr>
          <w:rFonts w:eastAsia="Times New Roman"/>
          <w:bCs/>
          <w:sz w:val="22"/>
          <w:szCs w:val="22"/>
          <w:lang w:eastAsia="en-US"/>
        </w:rPr>
      </w:pPr>
    </w:p>
    <w:p w14:paraId="34F2C9B9" w14:textId="2D0EBE1B" w:rsidR="00EC2B1D" w:rsidRPr="006C75EC" w:rsidRDefault="00EC2B1D" w:rsidP="00A04E09">
      <w:pPr>
        <w:pStyle w:val="ListParagraph"/>
        <w:numPr>
          <w:ilvl w:val="0"/>
          <w:numId w:val="10"/>
        </w:num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>BROJ DOZVOLE ZA STAVLJANJE LIJEKA U PROMET</w:t>
      </w:r>
    </w:p>
    <w:p w14:paraId="693DF8A1" w14:textId="77777777" w:rsidR="00724CC3" w:rsidRPr="006C75EC" w:rsidRDefault="00724CC3" w:rsidP="00D2565C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</w:p>
    <w:p w14:paraId="74DBBD4C" w14:textId="6CEFFEBD" w:rsidR="00985DF2" w:rsidRPr="006C75EC" w:rsidRDefault="00816607" w:rsidP="00D2565C">
      <w:pPr>
        <w:tabs>
          <w:tab w:val="left" w:pos="8677"/>
        </w:tabs>
        <w:jc w:val="both"/>
        <w:rPr>
          <w:sz w:val="22"/>
          <w:szCs w:val="22"/>
        </w:rPr>
      </w:pPr>
      <w:r w:rsidRPr="00816607">
        <w:rPr>
          <w:sz w:val="22"/>
          <w:szCs w:val="22"/>
        </w:rPr>
        <w:t>2030/25/1174 - 2956</w:t>
      </w:r>
    </w:p>
    <w:p w14:paraId="0D039751" w14:textId="7593C433" w:rsidR="00985DF2" w:rsidRDefault="00985DF2" w:rsidP="00D2565C">
      <w:pPr>
        <w:tabs>
          <w:tab w:val="left" w:pos="8677"/>
        </w:tabs>
        <w:jc w:val="both"/>
        <w:rPr>
          <w:sz w:val="22"/>
          <w:szCs w:val="22"/>
        </w:rPr>
      </w:pPr>
    </w:p>
    <w:p w14:paraId="40DAD6A2" w14:textId="77777777" w:rsidR="00816607" w:rsidRPr="006C75EC" w:rsidRDefault="00816607" w:rsidP="00D2565C">
      <w:pPr>
        <w:tabs>
          <w:tab w:val="left" w:pos="8677"/>
        </w:tabs>
        <w:jc w:val="both"/>
        <w:rPr>
          <w:sz w:val="22"/>
          <w:szCs w:val="22"/>
        </w:rPr>
      </w:pPr>
    </w:p>
    <w:p w14:paraId="2CFA0D43" w14:textId="2DD629BF" w:rsidR="00985DF2" w:rsidRDefault="00985DF2" w:rsidP="00A04E09">
      <w:pPr>
        <w:pStyle w:val="ListParagraph"/>
        <w:numPr>
          <w:ilvl w:val="0"/>
          <w:numId w:val="10"/>
        </w:num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  <w:r w:rsidRPr="006C75EC">
        <w:rPr>
          <w:b/>
          <w:bCs/>
          <w:sz w:val="22"/>
          <w:szCs w:val="22"/>
        </w:rPr>
        <w:t>DATUM PRVE DOZVOLE/OBNOVE DOZVOLE ZA STAVLJANJE LIJEKA U PROMET</w:t>
      </w:r>
    </w:p>
    <w:p w14:paraId="0C0C4940" w14:textId="20BCC53D" w:rsidR="002F2ABC" w:rsidRDefault="002F2ABC" w:rsidP="005424C6">
      <w:p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</w:p>
    <w:p w14:paraId="04E76AAA" w14:textId="6FB20367" w:rsidR="002F2ABC" w:rsidRPr="00816607" w:rsidRDefault="00816607" w:rsidP="005424C6">
      <w:pPr>
        <w:tabs>
          <w:tab w:val="left" w:pos="828"/>
        </w:tabs>
        <w:ind w:right="-68"/>
        <w:jc w:val="both"/>
        <w:rPr>
          <w:bCs/>
          <w:sz w:val="22"/>
          <w:szCs w:val="22"/>
        </w:rPr>
      </w:pPr>
      <w:r w:rsidRPr="00816607">
        <w:rPr>
          <w:bCs/>
          <w:sz w:val="22"/>
          <w:szCs w:val="22"/>
        </w:rPr>
        <w:t>05.03.2025. godine</w:t>
      </w:r>
    </w:p>
    <w:p w14:paraId="1B3987AC" w14:textId="27DECC48" w:rsidR="00816607" w:rsidRDefault="00816607" w:rsidP="005424C6">
      <w:p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</w:p>
    <w:p w14:paraId="294FB12A" w14:textId="77777777" w:rsidR="00816607" w:rsidRDefault="00816607" w:rsidP="005424C6">
      <w:p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</w:p>
    <w:p w14:paraId="34175597" w14:textId="77777777" w:rsidR="002F2ABC" w:rsidRDefault="002F2ABC" w:rsidP="002F2ABC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  <w:r w:rsidRPr="001938FE">
        <w:rPr>
          <w:b/>
          <w:bCs/>
          <w:sz w:val="22"/>
          <w:szCs w:val="22"/>
        </w:rPr>
        <w:lastRenderedPageBreak/>
        <w:t xml:space="preserve">10. </w:t>
      </w:r>
      <w:r w:rsidRPr="001938FE">
        <w:rPr>
          <w:b/>
          <w:bCs/>
          <w:sz w:val="22"/>
          <w:szCs w:val="22"/>
        </w:rPr>
        <w:tab/>
      </w:r>
      <w:r w:rsidRPr="00401B98">
        <w:rPr>
          <w:b/>
          <w:bCs/>
          <w:sz w:val="22"/>
          <w:szCs w:val="22"/>
        </w:rPr>
        <w:t xml:space="preserve">DATUM REVIZIJE TEKSTA </w:t>
      </w:r>
    </w:p>
    <w:p w14:paraId="6A811BF8" w14:textId="77777777" w:rsidR="002F2ABC" w:rsidRPr="005424C6" w:rsidRDefault="002F2ABC" w:rsidP="005424C6">
      <w:pPr>
        <w:tabs>
          <w:tab w:val="left" w:pos="828"/>
        </w:tabs>
        <w:ind w:right="-68"/>
        <w:jc w:val="both"/>
        <w:rPr>
          <w:b/>
          <w:bCs/>
          <w:sz w:val="22"/>
          <w:szCs w:val="22"/>
        </w:rPr>
      </w:pPr>
    </w:p>
    <w:p w14:paraId="1863C9C1" w14:textId="1C1ECEC1" w:rsidR="003A0FCB" w:rsidRPr="006C75EC" w:rsidRDefault="00816607" w:rsidP="00D2565C">
      <w:pPr>
        <w:tabs>
          <w:tab w:val="left" w:pos="8677"/>
        </w:tabs>
        <w:jc w:val="both"/>
        <w:rPr>
          <w:sz w:val="22"/>
          <w:szCs w:val="22"/>
        </w:rPr>
      </w:pPr>
      <w:r>
        <w:rPr>
          <w:sz w:val="22"/>
          <w:szCs w:val="22"/>
        </w:rPr>
        <w:t>Mart, 2025. godine</w:t>
      </w:r>
      <w:r w:rsidR="003A0FCB" w:rsidRPr="006C75EC">
        <w:rPr>
          <w:sz w:val="22"/>
          <w:szCs w:val="22"/>
        </w:rPr>
        <w:tab/>
      </w:r>
    </w:p>
    <w:sectPr w:rsidR="003A0FCB" w:rsidRPr="006C75EC" w:rsidSect="00120E9B">
      <w:footerReference w:type="default" r:id="rId14"/>
      <w:pgSz w:w="11907" w:h="16840" w:code="9"/>
      <w:pgMar w:top="964" w:right="1440" w:bottom="964" w:left="1440" w:header="737" w:footer="737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FE0C3" w14:textId="77777777" w:rsidR="00875729" w:rsidRDefault="00875729">
      <w:r>
        <w:separator/>
      </w:r>
    </w:p>
  </w:endnote>
  <w:endnote w:type="continuationSeparator" w:id="0">
    <w:p w14:paraId="75D07852" w14:textId="77777777" w:rsidR="00875729" w:rsidRDefault="0087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54A55" w14:textId="37774A27" w:rsidR="002302B4" w:rsidRPr="009A1D1B" w:rsidRDefault="009A1D1B" w:rsidP="009A1D1B">
    <w:pPr>
      <w:pStyle w:val="Footer"/>
      <w:jc w:val="center"/>
      <w:rPr>
        <w:sz w:val="22"/>
        <w:szCs w:val="22"/>
      </w:rPr>
    </w:pPr>
    <w:r w:rsidRPr="009A1D1B">
      <w:rPr>
        <w:sz w:val="22"/>
      </w:rPr>
      <w:fldChar w:fldCharType="begin"/>
    </w:r>
    <w:r w:rsidRPr="009A1D1B">
      <w:rPr>
        <w:sz w:val="22"/>
      </w:rPr>
      <w:instrText xml:space="preserve"> PAGE </w:instrText>
    </w:r>
    <w:r w:rsidRPr="009A1D1B">
      <w:rPr>
        <w:sz w:val="22"/>
      </w:rPr>
      <w:fldChar w:fldCharType="separate"/>
    </w:r>
    <w:r>
      <w:rPr>
        <w:noProof/>
        <w:sz w:val="22"/>
      </w:rPr>
      <w:t>14</w:t>
    </w:r>
    <w:r w:rsidRPr="009A1D1B">
      <w:rPr>
        <w:sz w:val="22"/>
      </w:rPr>
      <w:fldChar w:fldCharType="end"/>
    </w:r>
    <w:r w:rsidRPr="009A1D1B">
      <w:rPr>
        <w:sz w:val="22"/>
      </w:rPr>
      <w:t xml:space="preserve"> / </w:t>
    </w:r>
    <w:r w:rsidRPr="009A1D1B">
      <w:rPr>
        <w:sz w:val="22"/>
      </w:rPr>
      <w:fldChar w:fldCharType="begin"/>
    </w:r>
    <w:r w:rsidRPr="009A1D1B">
      <w:rPr>
        <w:sz w:val="22"/>
      </w:rPr>
      <w:instrText xml:space="preserve"> NUMPAGES </w:instrText>
    </w:r>
    <w:r w:rsidRPr="009A1D1B">
      <w:rPr>
        <w:sz w:val="22"/>
      </w:rPr>
      <w:fldChar w:fldCharType="separate"/>
    </w:r>
    <w:r>
      <w:rPr>
        <w:noProof/>
        <w:sz w:val="22"/>
      </w:rPr>
      <w:t>14</w:t>
    </w:r>
    <w:r w:rsidRPr="009A1D1B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6BED3" w14:textId="77777777" w:rsidR="00875729" w:rsidRDefault="00875729">
      <w:r>
        <w:separator/>
      </w:r>
    </w:p>
  </w:footnote>
  <w:footnote w:type="continuationSeparator" w:id="0">
    <w:p w14:paraId="4C013A2A" w14:textId="77777777" w:rsidR="00875729" w:rsidRDefault="00875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FEF"/>
    <w:multiLevelType w:val="hybridMultilevel"/>
    <w:tmpl w:val="FFFFFFFF"/>
    <w:lvl w:ilvl="0" w:tplc="FAC01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929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50D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8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CE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08C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AE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CC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26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4645B"/>
    <w:multiLevelType w:val="multilevel"/>
    <w:tmpl w:val="1D20D62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0E60458"/>
    <w:multiLevelType w:val="hybridMultilevel"/>
    <w:tmpl w:val="DE305C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00555"/>
    <w:multiLevelType w:val="multilevel"/>
    <w:tmpl w:val="38801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1EE5F06"/>
    <w:multiLevelType w:val="multilevel"/>
    <w:tmpl w:val="871601F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6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B437406"/>
    <w:multiLevelType w:val="hybridMultilevel"/>
    <w:tmpl w:val="FFFFFFFF"/>
    <w:lvl w:ilvl="0" w:tplc="D3089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B0D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AB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E5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A4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84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03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E3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366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547A0"/>
    <w:multiLevelType w:val="hybridMultilevel"/>
    <w:tmpl w:val="432443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5C70C4"/>
    <w:multiLevelType w:val="multilevel"/>
    <w:tmpl w:val="DB34EB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02C23BF"/>
    <w:multiLevelType w:val="hybridMultilevel"/>
    <w:tmpl w:val="427E62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6B4C6F"/>
    <w:multiLevelType w:val="multilevel"/>
    <w:tmpl w:val="02282F44"/>
    <w:lvl w:ilvl="0">
      <w:start w:val="1"/>
      <w:numFmt w:val="decimal"/>
      <w:lvlText w:val="%1."/>
      <w:lvlJc w:val="left"/>
      <w:pPr>
        <w:tabs>
          <w:tab w:val="num" w:pos="792"/>
        </w:tabs>
        <w:ind w:left="0" w:firstLine="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1460" w:hanging="75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894" w:hanging="75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66" w:hanging="75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800"/>
      </w:pPr>
      <w:rPr>
        <w:rFonts w:cs="Times New Roman" w:hint="default"/>
      </w:rPr>
    </w:lvl>
  </w:abstractNum>
  <w:abstractNum w:abstractNumId="10" w15:restartNumberingAfterBreak="0">
    <w:nsid w:val="5E2C195A"/>
    <w:multiLevelType w:val="hybridMultilevel"/>
    <w:tmpl w:val="ADC01C3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0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57"/>
    <w:rsid w:val="00004E36"/>
    <w:rsid w:val="000062EB"/>
    <w:rsid w:val="00011D49"/>
    <w:rsid w:val="00014756"/>
    <w:rsid w:val="0001541C"/>
    <w:rsid w:val="00022748"/>
    <w:rsid w:val="000228B8"/>
    <w:rsid w:val="00024BA3"/>
    <w:rsid w:val="00024D5A"/>
    <w:rsid w:val="00025E07"/>
    <w:rsid w:val="00026C97"/>
    <w:rsid w:val="00026FEB"/>
    <w:rsid w:val="00027E78"/>
    <w:rsid w:val="00030BB6"/>
    <w:rsid w:val="00032086"/>
    <w:rsid w:val="00035A56"/>
    <w:rsid w:val="00036C11"/>
    <w:rsid w:val="000379AB"/>
    <w:rsid w:val="00052EFF"/>
    <w:rsid w:val="000564BE"/>
    <w:rsid w:val="00067F85"/>
    <w:rsid w:val="000711C7"/>
    <w:rsid w:val="00071487"/>
    <w:rsid w:val="000722C0"/>
    <w:rsid w:val="00081770"/>
    <w:rsid w:val="0008753A"/>
    <w:rsid w:val="00092BF0"/>
    <w:rsid w:val="00092BFE"/>
    <w:rsid w:val="000A4DF3"/>
    <w:rsid w:val="000A5110"/>
    <w:rsid w:val="000A5A8D"/>
    <w:rsid w:val="000B07AA"/>
    <w:rsid w:val="000B5209"/>
    <w:rsid w:val="000B5238"/>
    <w:rsid w:val="000B6E14"/>
    <w:rsid w:val="000C614C"/>
    <w:rsid w:val="000D0D46"/>
    <w:rsid w:val="000D0E81"/>
    <w:rsid w:val="000D66FF"/>
    <w:rsid w:val="000D7D3F"/>
    <w:rsid w:val="000F1842"/>
    <w:rsid w:val="001007BE"/>
    <w:rsid w:val="00107757"/>
    <w:rsid w:val="00110DD4"/>
    <w:rsid w:val="00113018"/>
    <w:rsid w:val="001139FA"/>
    <w:rsid w:val="00115A9D"/>
    <w:rsid w:val="00120E9B"/>
    <w:rsid w:val="00122A28"/>
    <w:rsid w:val="00123572"/>
    <w:rsid w:val="001269C4"/>
    <w:rsid w:val="00134287"/>
    <w:rsid w:val="0013610A"/>
    <w:rsid w:val="0014054F"/>
    <w:rsid w:val="00140684"/>
    <w:rsid w:val="00165504"/>
    <w:rsid w:val="001726B4"/>
    <w:rsid w:val="00175222"/>
    <w:rsid w:val="00177AE2"/>
    <w:rsid w:val="00184E56"/>
    <w:rsid w:val="001859F3"/>
    <w:rsid w:val="001860E2"/>
    <w:rsid w:val="00187522"/>
    <w:rsid w:val="001879DA"/>
    <w:rsid w:val="0019027B"/>
    <w:rsid w:val="001905C7"/>
    <w:rsid w:val="001A25A6"/>
    <w:rsid w:val="001B10B7"/>
    <w:rsid w:val="001B1DCF"/>
    <w:rsid w:val="001B5427"/>
    <w:rsid w:val="001D0976"/>
    <w:rsid w:val="001D3CA4"/>
    <w:rsid w:val="001D449D"/>
    <w:rsid w:val="001D6CC9"/>
    <w:rsid w:val="001E0143"/>
    <w:rsid w:val="001E07EC"/>
    <w:rsid w:val="001E55E7"/>
    <w:rsid w:val="00204465"/>
    <w:rsid w:val="00207589"/>
    <w:rsid w:val="00212257"/>
    <w:rsid w:val="00212D51"/>
    <w:rsid w:val="0021470F"/>
    <w:rsid w:val="00225A98"/>
    <w:rsid w:val="002277B0"/>
    <w:rsid w:val="002302B4"/>
    <w:rsid w:val="00234CE5"/>
    <w:rsid w:val="00241667"/>
    <w:rsid w:val="002421AD"/>
    <w:rsid w:val="0025419D"/>
    <w:rsid w:val="002557BB"/>
    <w:rsid w:val="00260609"/>
    <w:rsid w:val="00266573"/>
    <w:rsid w:val="00267F09"/>
    <w:rsid w:val="00270887"/>
    <w:rsid w:val="00272582"/>
    <w:rsid w:val="00273854"/>
    <w:rsid w:val="0027680D"/>
    <w:rsid w:val="00282AF9"/>
    <w:rsid w:val="00282B8B"/>
    <w:rsid w:val="0028457F"/>
    <w:rsid w:val="00296DEB"/>
    <w:rsid w:val="002A0044"/>
    <w:rsid w:val="002A64FA"/>
    <w:rsid w:val="002A6AC6"/>
    <w:rsid w:val="002A72E5"/>
    <w:rsid w:val="002B33C2"/>
    <w:rsid w:val="002B74D0"/>
    <w:rsid w:val="002C3595"/>
    <w:rsid w:val="002C7704"/>
    <w:rsid w:val="002C7903"/>
    <w:rsid w:val="002D22D2"/>
    <w:rsid w:val="002E14B3"/>
    <w:rsid w:val="002E37C8"/>
    <w:rsid w:val="002E4372"/>
    <w:rsid w:val="002E4903"/>
    <w:rsid w:val="002E694F"/>
    <w:rsid w:val="002F2ABC"/>
    <w:rsid w:val="002F3656"/>
    <w:rsid w:val="002F79B1"/>
    <w:rsid w:val="003058A3"/>
    <w:rsid w:val="00317C17"/>
    <w:rsid w:val="003470D1"/>
    <w:rsid w:val="003547F6"/>
    <w:rsid w:val="00355F6A"/>
    <w:rsid w:val="00361235"/>
    <w:rsid w:val="003701EB"/>
    <w:rsid w:val="00372F52"/>
    <w:rsid w:val="00375E11"/>
    <w:rsid w:val="00384628"/>
    <w:rsid w:val="00387EDA"/>
    <w:rsid w:val="0039381C"/>
    <w:rsid w:val="0039419A"/>
    <w:rsid w:val="00395B37"/>
    <w:rsid w:val="003972C3"/>
    <w:rsid w:val="003A0FCB"/>
    <w:rsid w:val="003A4503"/>
    <w:rsid w:val="003B35F7"/>
    <w:rsid w:val="003C1C54"/>
    <w:rsid w:val="003C407C"/>
    <w:rsid w:val="003D12ED"/>
    <w:rsid w:val="003D5BD8"/>
    <w:rsid w:val="003F140E"/>
    <w:rsid w:val="004010FD"/>
    <w:rsid w:val="00404EDA"/>
    <w:rsid w:val="0040587B"/>
    <w:rsid w:val="004153E3"/>
    <w:rsid w:val="004161A2"/>
    <w:rsid w:val="0041729C"/>
    <w:rsid w:val="00417B5F"/>
    <w:rsid w:val="00417BB3"/>
    <w:rsid w:val="0042278F"/>
    <w:rsid w:val="0042303B"/>
    <w:rsid w:val="004311B7"/>
    <w:rsid w:val="0044136B"/>
    <w:rsid w:val="00444EAC"/>
    <w:rsid w:val="00453946"/>
    <w:rsid w:val="00457831"/>
    <w:rsid w:val="004606A2"/>
    <w:rsid w:val="00466309"/>
    <w:rsid w:val="00471BE7"/>
    <w:rsid w:val="00480AFB"/>
    <w:rsid w:val="00480F0C"/>
    <w:rsid w:val="004839FE"/>
    <w:rsid w:val="0048413C"/>
    <w:rsid w:val="00490AE2"/>
    <w:rsid w:val="0049522F"/>
    <w:rsid w:val="004A60CD"/>
    <w:rsid w:val="004C11F3"/>
    <w:rsid w:val="004C34B3"/>
    <w:rsid w:val="004C6E17"/>
    <w:rsid w:val="004D5355"/>
    <w:rsid w:val="004D6495"/>
    <w:rsid w:val="004E6F31"/>
    <w:rsid w:val="004F2AAC"/>
    <w:rsid w:val="004F6ACF"/>
    <w:rsid w:val="004F7A49"/>
    <w:rsid w:val="00503223"/>
    <w:rsid w:val="005153BE"/>
    <w:rsid w:val="005179BC"/>
    <w:rsid w:val="0052165D"/>
    <w:rsid w:val="005227A0"/>
    <w:rsid w:val="00523B15"/>
    <w:rsid w:val="00541369"/>
    <w:rsid w:val="005424C6"/>
    <w:rsid w:val="005434CF"/>
    <w:rsid w:val="00547B31"/>
    <w:rsid w:val="0055354E"/>
    <w:rsid w:val="00556F54"/>
    <w:rsid w:val="00563ABC"/>
    <w:rsid w:val="00571C69"/>
    <w:rsid w:val="00572E88"/>
    <w:rsid w:val="00575BCE"/>
    <w:rsid w:val="00576FC7"/>
    <w:rsid w:val="00590248"/>
    <w:rsid w:val="00597E5A"/>
    <w:rsid w:val="005A2C84"/>
    <w:rsid w:val="005A3117"/>
    <w:rsid w:val="005A610D"/>
    <w:rsid w:val="005B0418"/>
    <w:rsid w:val="005B05EC"/>
    <w:rsid w:val="005B1DF2"/>
    <w:rsid w:val="005B5E46"/>
    <w:rsid w:val="005D4316"/>
    <w:rsid w:val="005D5376"/>
    <w:rsid w:val="005F6179"/>
    <w:rsid w:val="00601583"/>
    <w:rsid w:val="00603CEA"/>
    <w:rsid w:val="0060509E"/>
    <w:rsid w:val="006160A3"/>
    <w:rsid w:val="00616A5A"/>
    <w:rsid w:val="00616DF6"/>
    <w:rsid w:val="00621E9C"/>
    <w:rsid w:val="006261B5"/>
    <w:rsid w:val="00627D8B"/>
    <w:rsid w:val="00630988"/>
    <w:rsid w:val="00652D36"/>
    <w:rsid w:val="00654F43"/>
    <w:rsid w:val="0066145D"/>
    <w:rsid w:val="0066222D"/>
    <w:rsid w:val="00662EC5"/>
    <w:rsid w:val="0067299E"/>
    <w:rsid w:val="006736DE"/>
    <w:rsid w:val="00686B8E"/>
    <w:rsid w:val="00686CEE"/>
    <w:rsid w:val="00694115"/>
    <w:rsid w:val="00694131"/>
    <w:rsid w:val="006A11E5"/>
    <w:rsid w:val="006A1F1F"/>
    <w:rsid w:val="006A3B36"/>
    <w:rsid w:val="006B2982"/>
    <w:rsid w:val="006C0BB5"/>
    <w:rsid w:val="006C629F"/>
    <w:rsid w:val="006C65A9"/>
    <w:rsid w:val="006C70A1"/>
    <w:rsid w:val="006C75EC"/>
    <w:rsid w:val="006E2284"/>
    <w:rsid w:val="006E2EFA"/>
    <w:rsid w:val="006E6704"/>
    <w:rsid w:val="006F0E57"/>
    <w:rsid w:val="006F29A2"/>
    <w:rsid w:val="0070216F"/>
    <w:rsid w:val="00702AFA"/>
    <w:rsid w:val="00703DB6"/>
    <w:rsid w:val="007047A2"/>
    <w:rsid w:val="00707202"/>
    <w:rsid w:val="007075C5"/>
    <w:rsid w:val="00714C8D"/>
    <w:rsid w:val="00714F28"/>
    <w:rsid w:val="00715F33"/>
    <w:rsid w:val="00717FDA"/>
    <w:rsid w:val="00722453"/>
    <w:rsid w:val="00724CC3"/>
    <w:rsid w:val="00726755"/>
    <w:rsid w:val="00732F6D"/>
    <w:rsid w:val="0073332B"/>
    <w:rsid w:val="00735653"/>
    <w:rsid w:val="00737BDA"/>
    <w:rsid w:val="00740D2F"/>
    <w:rsid w:val="00740F0C"/>
    <w:rsid w:val="007464AB"/>
    <w:rsid w:val="00753EE1"/>
    <w:rsid w:val="00757622"/>
    <w:rsid w:val="00757F5C"/>
    <w:rsid w:val="00760C8F"/>
    <w:rsid w:val="00761A05"/>
    <w:rsid w:val="00777480"/>
    <w:rsid w:val="00777626"/>
    <w:rsid w:val="00780559"/>
    <w:rsid w:val="00783945"/>
    <w:rsid w:val="00784C75"/>
    <w:rsid w:val="00785CCE"/>
    <w:rsid w:val="00795050"/>
    <w:rsid w:val="007953F6"/>
    <w:rsid w:val="007B2F08"/>
    <w:rsid w:val="007B3935"/>
    <w:rsid w:val="007B64EB"/>
    <w:rsid w:val="007C07DD"/>
    <w:rsid w:val="007C22FE"/>
    <w:rsid w:val="007D3BE9"/>
    <w:rsid w:val="007D6178"/>
    <w:rsid w:val="007E17DC"/>
    <w:rsid w:val="007E3F15"/>
    <w:rsid w:val="007F2B4A"/>
    <w:rsid w:val="007F69B8"/>
    <w:rsid w:val="00801149"/>
    <w:rsid w:val="00801B01"/>
    <w:rsid w:val="00803446"/>
    <w:rsid w:val="0080474A"/>
    <w:rsid w:val="00806AD4"/>
    <w:rsid w:val="0081318F"/>
    <w:rsid w:val="00815A55"/>
    <w:rsid w:val="00816013"/>
    <w:rsid w:val="00816607"/>
    <w:rsid w:val="00816E9E"/>
    <w:rsid w:val="008273B9"/>
    <w:rsid w:val="008322EC"/>
    <w:rsid w:val="00833A3F"/>
    <w:rsid w:val="00833CB8"/>
    <w:rsid w:val="008432EB"/>
    <w:rsid w:val="0085186C"/>
    <w:rsid w:val="008626CA"/>
    <w:rsid w:val="008675E8"/>
    <w:rsid w:val="00873750"/>
    <w:rsid w:val="00875729"/>
    <w:rsid w:val="00881DAA"/>
    <w:rsid w:val="008860A1"/>
    <w:rsid w:val="00887EDD"/>
    <w:rsid w:val="008950C4"/>
    <w:rsid w:val="008A55C6"/>
    <w:rsid w:val="008B7582"/>
    <w:rsid w:val="008C5935"/>
    <w:rsid w:val="008C614C"/>
    <w:rsid w:val="008D3DF7"/>
    <w:rsid w:val="008D4677"/>
    <w:rsid w:val="008E2605"/>
    <w:rsid w:val="008F193E"/>
    <w:rsid w:val="008F5DBD"/>
    <w:rsid w:val="00901FDD"/>
    <w:rsid w:val="00907395"/>
    <w:rsid w:val="0091278C"/>
    <w:rsid w:val="00913C7C"/>
    <w:rsid w:val="00921A17"/>
    <w:rsid w:val="00922205"/>
    <w:rsid w:val="0093205B"/>
    <w:rsid w:val="00934077"/>
    <w:rsid w:val="009375AE"/>
    <w:rsid w:val="0094063D"/>
    <w:rsid w:val="00942376"/>
    <w:rsid w:val="00947831"/>
    <w:rsid w:val="00947B15"/>
    <w:rsid w:val="00956CD6"/>
    <w:rsid w:val="009627B7"/>
    <w:rsid w:val="0096655C"/>
    <w:rsid w:val="00975A48"/>
    <w:rsid w:val="009831E0"/>
    <w:rsid w:val="00985DF2"/>
    <w:rsid w:val="00990B55"/>
    <w:rsid w:val="0099412B"/>
    <w:rsid w:val="00997FF2"/>
    <w:rsid w:val="009A1788"/>
    <w:rsid w:val="009A1D1B"/>
    <w:rsid w:val="009A3A3A"/>
    <w:rsid w:val="009B3E5A"/>
    <w:rsid w:val="009B3F5E"/>
    <w:rsid w:val="009B5190"/>
    <w:rsid w:val="009B6873"/>
    <w:rsid w:val="009D02B3"/>
    <w:rsid w:val="009D04B1"/>
    <w:rsid w:val="009D66AA"/>
    <w:rsid w:val="009D6E06"/>
    <w:rsid w:val="009D7651"/>
    <w:rsid w:val="009E0504"/>
    <w:rsid w:val="00A04E09"/>
    <w:rsid w:val="00A07BA9"/>
    <w:rsid w:val="00A2164B"/>
    <w:rsid w:val="00A257BD"/>
    <w:rsid w:val="00A31EFA"/>
    <w:rsid w:val="00A35A6A"/>
    <w:rsid w:val="00A478F8"/>
    <w:rsid w:val="00A54C05"/>
    <w:rsid w:val="00A717C2"/>
    <w:rsid w:val="00A74C33"/>
    <w:rsid w:val="00A76049"/>
    <w:rsid w:val="00A76E06"/>
    <w:rsid w:val="00A9017F"/>
    <w:rsid w:val="00A91244"/>
    <w:rsid w:val="00A91FB0"/>
    <w:rsid w:val="00A92FA6"/>
    <w:rsid w:val="00A94C08"/>
    <w:rsid w:val="00AA0764"/>
    <w:rsid w:val="00AB2761"/>
    <w:rsid w:val="00AB47A1"/>
    <w:rsid w:val="00AB6CF2"/>
    <w:rsid w:val="00AB6E02"/>
    <w:rsid w:val="00AB7BAD"/>
    <w:rsid w:val="00AC074D"/>
    <w:rsid w:val="00AC085D"/>
    <w:rsid w:val="00AC170D"/>
    <w:rsid w:val="00AC20C2"/>
    <w:rsid w:val="00AD6A2F"/>
    <w:rsid w:val="00AE16A4"/>
    <w:rsid w:val="00AE388D"/>
    <w:rsid w:val="00AE3E55"/>
    <w:rsid w:val="00AE5C1D"/>
    <w:rsid w:val="00AF18C0"/>
    <w:rsid w:val="00AF61B1"/>
    <w:rsid w:val="00B027BC"/>
    <w:rsid w:val="00B043ED"/>
    <w:rsid w:val="00B07DD6"/>
    <w:rsid w:val="00B17324"/>
    <w:rsid w:val="00B178ED"/>
    <w:rsid w:val="00B21621"/>
    <w:rsid w:val="00B21DC7"/>
    <w:rsid w:val="00B221E8"/>
    <w:rsid w:val="00B2588E"/>
    <w:rsid w:val="00B267E7"/>
    <w:rsid w:val="00B27940"/>
    <w:rsid w:val="00B36C8D"/>
    <w:rsid w:val="00B4457E"/>
    <w:rsid w:val="00B45081"/>
    <w:rsid w:val="00B46FF7"/>
    <w:rsid w:val="00B52E5C"/>
    <w:rsid w:val="00B572EA"/>
    <w:rsid w:val="00B62747"/>
    <w:rsid w:val="00B62755"/>
    <w:rsid w:val="00B640BB"/>
    <w:rsid w:val="00B67F2C"/>
    <w:rsid w:val="00B70799"/>
    <w:rsid w:val="00B749AA"/>
    <w:rsid w:val="00B74F50"/>
    <w:rsid w:val="00B75131"/>
    <w:rsid w:val="00B951F7"/>
    <w:rsid w:val="00BA22F4"/>
    <w:rsid w:val="00BB0CE7"/>
    <w:rsid w:val="00BB2264"/>
    <w:rsid w:val="00BB61CF"/>
    <w:rsid w:val="00BC0129"/>
    <w:rsid w:val="00BC36BD"/>
    <w:rsid w:val="00BC4A3B"/>
    <w:rsid w:val="00BD0557"/>
    <w:rsid w:val="00BD4DEE"/>
    <w:rsid w:val="00BD635A"/>
    <w:rsid w:val="00BE1B53"/>
    <w:rsid w:val="00BE36C2"/>
    <w:rsid w:val="00BE53BA"/>
    <w:rsid w:val="00BE65A4"/>
    <w:rsid w:val="00C05F74"/>
    <w:rsid w:val="00C10B1C"/>
    <w:rsid w:val="00C1721C"/>
    <w:rsid w:val="00C20485"/>
    <w:rsid w:val="00C23026"/>
    <w:rsid w:val="00C32A39"/>
    <w:rsid w:val="00C33A2E"/>
    <w:rsid w:val="00C42B53"/>
    <w:rsid w:val="00C45759"/>
    <w:rsid w:val="00C514B7"/>
    <w:rsid w:val="00C52A54"/>
    <w:rsid w:val="00C60260"/>
    <w:rsid w:val="00C6463C"/>
    <w:rsid w:val="00C64944"/>
    <w:rsid w:val="00C75FAE"/>
    <w:rsid w:val="00C7796A"/>
    <w:rsid w:val="00C81F07"/>
    <w:rsid w:val="00CA25E7"/>
    <w:rsid w:val="00CA4CD9"/>
    <w:rsid w:val="00CA57F2"/>
    <w:rsid w:val="00CB1A5A"/>
    <w:rsid w:val="00CB223E"/>
    <w:rsid w:val="00CB65D4"/>
    <w:rsid w:val="00CC0E2E"/>
    <w:rsid w:val="00CC2A79"/>
    <w:rsid w:val="00CC4B2B"/>
    <w:rsid w:val="00CC6F20"/>
    <w:rsid w:val="00CC73E7"/>
    <w:rsid w:val="00CE2077"/>
    <w:rsid w:val="00CE2B72"/>
    <w:rsid w:val="00CE4CA1"/>
    <w:rsid w:val="00CE609D"/>
    <w:rsid w:val="00CE6E88"/>
    <w:rsid w:val="00CF174A"/>
    <w:rsid w:val="00CF21E6"/>
    <w:rsid w:val="00CF4E08"/>
    <w:rsid w:val="00CF7CB2"/>
    <w:rsid w:val="00D011C2"/>
    <w:rsid w:val="00D01C09"/>
    <w:rsid w:val="00D02346"/>
    <w:rsid w:val="00D102BF"/>
    <w:rsid w:val="00D2565C"/>
    <w:rsid w:val="00D2733D"/>
    <w:rsid w:val="00D40FB0"/>
    <w:rsid w:val="00D4377B"/>
    <w:rsid w:val="00D4479A"/>
    <w:rsid w:val="00D44BA0"/>
    <w:rsid w:val="00D50C67"/>
    <w:rsid w:val="00D51E8F"/>
    <w:rsid w:val="00D81DB4"/>
    <w:rsid w:val="00D85151"/>
    <w:rsid w:val="00D85B78"/>
    <w:rsid w:val="00D905D8"/>
    <w:rsid w:val="00D9778A"/>
    <w:rsid w:val="00DA0646"/>
    <w:rsid w:val="00DA3390"/>
    <w:rsid w:val="00DC5F42"/>
    <w:rsid w:val="00DD0F6F"/>
    <w:rsid w:val="00DD78C6"/>
    <w:rsid w:val="00DE3FED"/>
    <w:rsid w:val="00DE7C97"/>
    <w:rsid w:val="00DF2D17"/>
    <w:rsid w:val="00DF511B"/>
    <w:rsid w:val="00E03148"/>
    <w:rsid w:val="00E103B8"/>
    <w:rsid w:val="00E113FC"/>
    <w:rsid w:val="00E2552B"/>
    <w:rsid w:val="00E27C75"/>
    <w:rsid w:val="00E27D3A"/>
    <w:rsid w:val="00E27DF1"/>
    <w:rsid w:val="00E30FC3"/>
    <w:rsid w:val="00E3173E"/>
    <w:rsid w:val="00E37093"/>
    <w:rsid w:val="00E404CA"/>
    <w:rsid w:val="00E42C7F"/>
    <w:rsid w:val="00E459B4"/>
    <w:rsid w:val="00E50E9E"/>
    <w:rsid w:val="00E51127"/>
    <w:rsid w:val="00E53465"/>
    <w:rsid w:val="00E53813"/>
    <w:rsid w:val="00E53C7E"/>
    <w:rsid w:val="00E65322"/>
    <w:rsid w:val="00E6699B"/>
    <w:rsid w:val="00E700E8"/>
    <w:rsid w:val="00E75622"/>
    <w:rsid w:val="00E842EA"/>
    <w:rsid w:val="00E9113C"/>
    <w:rsid w:val="00E91408"/>
    <w:rsid w:val="00EA22A2"/>
    <w:rsid w:val="00EA6E94"/>
    <w:rsid w:val="00EA762D"/>
    <w:rsid w:val="00EB0785"/>
    <w:rsid w:val="00EC0979"/>
    <w:rsid w:val="00EC2104"/>
    <w:rsid w:val="00EC28A1"/>
    <w:rsid w:val="00EC2B1D"/>
    <w:rsid w:val="00EC3FB7"/>
    <w:rsid w:val="00EC50D5"/>
    <w:rsid w:val="00ED3AE2"/>
    <w:rsid w:val="00EE48EC"/>
    <w:rsid w:val="00EF3CD3"/>
    <w:rsid w:val="00EF4C86"/>
    <w:rsid w:val="00EF7F99"/>
    <w:rsid w:val="00F015FA"/>
    <w:rsid w:val="00F02D6C"/>
    <w:rsid w:val="00F07B4B"/>
    <w:rsid w:val="00F206B8"/>
    <w:rsid w:val="00F43341"/>
    <w:rsid w:val="00F53E6E"/>
    <w:rsid w:val="00F6014D"/>
    <w:rsid w:val="00F60AEC"/>
    <w:rsid w:val="00F66596"/>
    <w:rsid w:val="00F71BFD"/>
    <w:rsid w:val="00F766A9"/>
    <w:rsid w:val="00F7762A"/>
    <w:rsid w:val="00F82A6B"/>
    <w:rsid w:val="00F84034"/>
    <w:rsid w:val="00F93180"/>
    <w:rsid w:val="00F940ED"/>
    <w:rsid w:val="00FA1D04"/>
    <w:rsid w:val="00FA28E9"/>
    <w:rsid w:val="00FA37F6"/>
    <w:rsid w:val="00FA3D60"/>
    <w:rsid w:val="00FA419B"/>
    <w:rsid w:val="00FB143D"/>
    <w:rsid w:val="00FC32E0"/>
    <w:rsid w:val="00FC3E77"/>
    <w:rsid w:val="00FC4E76"/>
    <w:rsid w:val="00FD3F39"/>
    <w:rsid w:val="00FE1AAC"/>
    <w:rsid w:val="00FE3782"/>
    <w:rsid w:val="00FF3844"/>
    <w:rsid w:val="2780F75B"/>
    <w:rsid w:val="29E9E406"/>
    <w:rsid w:val="34F59C78"/>
    <w:rsid w:val="43D2E517"/>
    <w:rsid w:val="45FBB6E1"/>
    <w:rsid w:val="4A01CA34"/>
    <w:rsid w:val="4E5D0D90"/>
    <w:rsid w:val="5635F995"/>
    <w:rsid w:val="6A9CD890"/>
    <w:rsid w:val="799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EDBD47"/>
  <w15:docId w15:val="{CD05F35A-1458-4B23-ADE8-D01132BB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E5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AE3E55"/>
    <w:pPr>
      <w:spacing w:line="252" w:lineRule="exact"/>
      <w:ind w:left="288"/>
      <w:jc w:val="both"/>
    </w:pPr>
  </w:style>
  <w:style w:type="paragraph" w:customStyle="1" w:styleId="Style5">
    <w:name w:val="Style 5"/>
    <w:basedOn w:val="Normal"/>
    <w:uiPriority w:val="99"/>
    <w:rsid w:val="00AE3E55"/>
    <w:pPr>
      <w:adjustRightInd w:val="0"/>
    </w:pPr>
  </w:style>
  <w:style w:type="paragraph" w:customStyle="1" w:styleId="Style1">
    <w:name w:val="Style 1"/>
    <w:basedOn w:val="Normal"/>
    <w:uiPriority w:val="99"/>
    <w:rsid w:val="00AE3E55"/>
    <w:pPr>
      <w:adjustRightInd w:val="0"/>
    </w:pPr>
  </w:style>
  <w:style w:type="paragraph" w:customStyle="1" w:styleId="Style3">
    <w:name w:val="Style 3"/>
    <w:basedOn w:val="Normal"/>
    <w:uiPriority w:val="99"/>
    <w:rsid w:val="00AE3E55"/>
    <w:pPr>
      <w:ind w:left="792" w:right="72" w:hanging="360"/>
      <w:jc w:val="both"/>
    </w:pPr>
  </w:style>
  <w:style w:type="paragraph" w:customStyle="1" w:styleId="Style4">
    <w:name w:val="Style 4"/>
    <w:basedOn w:val="Normal"/>
    <w:uiPriority w:val="99"/>
    <w:rsid w:val="00AE3E55"/>
    <w:pPr>
      <w:spacing w:line="252" w:lineRule="exact"/>
      <w:ind w:right="72"/>
    </w:pPr>
  </w:style>
  <w:style w:type="paragraph" w:styleId="Header">
    <w:name w:val="header"/>
    <w:basedOn w:val="Normal"/>
    <w:link w:val="HeaderChar"/>
    <w:uiPriority w:val="99"/>
    <w:unhideWhenUsed/>
    <w:rsid w:val="00990B5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90B5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990B5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90B5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6F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4CC3"/>
    <w:pPr>
      <w:widowControl/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24CC3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F18C0"/>
    <w:pPr>
      <w:autoSpaceDE/>
      <w:autoSpaceDN/>
      <w:ind w:left="1766"/>
    </w:pPr>
    <w:rPr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AF18C0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0D66FF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947831"/>
  </w:style>
  <w:style w:type="character" w:styleId="Hyperlink">
    <w:name w:val="Hyperlink"/>
    <w:basedOn w:val="DefaultParagraphFont"/>
    <w:uiPriority w:val="99"/>
    <w:unhideWhenUsed/>
    <w:rsid w:val="00C42B5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2B5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A25E7"/>
    <w:rPr>
      <w:i/>
      <w:iCs/>
    </w:rPr>
  </w:style>
  <w:style w:type="paragraph" w:customStyle="1" w:styleId="NASLOV123">
    <w:name w:val="NASLOV 123"/>
    <w:basedOn w:val="Normal"/>
    <w:qFormat/>
    <w:rsid w:val="00A478F8"/>
    <w:pPr>
      <w:widowControl/>
      <w:tabs>
        <w:tab w:val="left" w:pos="284"/>
      </w:tabs>
      <w:autoSpaceDE/>
      <w:autoSpaceDN/>
      <w:spacing w:before="200" w:after="200"/>
    </w:pPr>
    <w:rPr>
      <w:rFonts w:eastAsia="Times New Roman"/>
      <w:b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7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8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831"/>
    <w:rPr>
      <w:rFonts w:ascii="Times New Roman" w:hAnsi="Times New Roman"/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831"/>
    <w:rPr>
      <w:rFonts w:ascii="Times New Roman" w:hAnsi="Times New Roman"/>
      <w:b/>
      <w:bCs/>
      <w:sz w:val="20"/>
      <w:szCs w:val="20"/>
      <w:lang w:val="sr-Latn-BA"/>
    </w:rPr>
  </w:style>
  <w:style w:type="paragraph" w:styleId="NoSpacing">
    <w:name w:val="No Spacing"/>
    <w:uiPriority w:val="1"/>
    <w:qFormat/>
    <w:rsid w:val="00C75FAE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234C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234CE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474A"/>
    <w:pPr>
      <w:spacing w:after="0" w:line="240" w:lineRule="auto"/>
    </w:pPr>
    <w:rPr>
      <w:rFonts w:ascii="Times New Roman" w:hAnsi="Times New Roman"/>
      <w:sz w:val="24"/>
      <w:szCs w:val="24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13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B336076B02F4382D83839C819A246" ma:contentTypeVersion="11" ma:contentTypeDescription="Create a new document." ma:contentTypeScope="" ma:versionID="94ba0f9c3917f6f408b1e984ba42595d">
  <xsd:schema xmlns:xsd="http://www.w3.org/2001/XMLSchema" xmlns:xs="http://www.w3.org/2001/XMLSchema" xmlns:p="http://schemas.microsoft.com/office/2006/metadata/properties" xmlns:ns2="ed6159ac-ab68-42c8-9b64-2711b6d4e2db" xmlns:ns3="21f902b5-4108-4240-8aa7-05bee4e09846" targetNamespace="http://schemas.microsoft.com/office/2006/metadata/properties" ma:root="true" ma:fieldsID="49785c052b639a4aa9c12e9d05ccb603" ns2:_="" ns3:_="">
    <xsd:import namespace="ed6159ac-ab68-42c8-9b64-2711b6d4e2db"/>
    <xsd:import namespace="21f902b5-4108-4240-8aa7-05bee4e0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159ac-ab68-42c8-9b64-2711b6d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902b5-4108-4240-8aa7-05bee4e098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ceeb3c-f4ba-486f-b225-7327b5019d3e}" ma:internalName="TaxCatchAll" ma:showField="CatchAllData" ma:web="21f902b5-4108-4240-8aa7-05bee4e0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159ac-ab68-42c8-9b64-2711b6d4e2db">
      <Terms xmlns="http://schemas.microsoft.com/office/infopath/2007/PartnerControls"/>
    </lcf76f155ced4ddcb4097134ff3c332f>
    <TaxCatchAll xmlns="21f902b5-4108-4240-8aa7-05bee4e098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7C3BD-B99F-4A4A-82F2-F89449344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159ac-ab68-42c8-9b64-2711b6d4e2db"/>
    <ds:schemaRef ds:uri="21f902b5-4108-4240-8aa7-05bee4e0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0D002-9A72-486A-84C2-7EE2CB33CE8A}">
  <ds:schemaRefs>
    <ds:schemaRef ds:uri="http://schemas.microsoft.com/office/2006/metadata/properties"/>
    <ds:schemaRef ds:uri="http://schemas.microsoft.com/office/infopath/2007/PartnerControls"/>
    <ds:schemaRef ds:uri="ed6159ac-ab68-42c8-9b64-2711b6d4e2db"/>
    <ds:schemaRef ds:uri="21f902b5-4108-4240-8aa7-05bee4e09846"/>
  </ds:schemaRefs>
</ds:datastoreItem>
</file>

<file path=customXml/itemProps3.xml><?xml version="1.0" encoding="utf-8"?>
<ds:datastoreItem xmlns:ds="http://schemas.openxmlformats.org/officeDocument/2006/customXml" ds:itemID="{2BE010B6-D66F-4047-88F9-D53A852DE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5157</Words>
  <Characters>29401</Characters>
  <Application>Microsoft Office Word</Application>
  <DocSecurity>0</DocSecurity>
  <Lines>245</Lines>
  <Paragraphs>68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Arboletto</dc:creator>
  <cp:keywords/>
  <dc:description/>
  <cp:lastModifiedBy>Jovana Jovanovic</cp:lastModifiedBy>
  <cp:revision>6</cp:revision>
  <cp:lastPrinted>2017-07-12T14:29:00Z</cp:lastPrinted>
  <dcterms:created xsi:type="dcterms:W3CDTF">2025-03-04T13:28:00Z</dcterms:created>
  <dcterms:modified xsi:type="dcterms:W3CDTF">2025-03-04T13:54:00Z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0x010100D87B336076B02F4382D83839C819A246</vt:lpwstr>
  </property>
</Properties>
</file>