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1F4CE0" w:rsidRDefault="001A5518" w:rsidP="004A7F23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F91C7B" w:rsidRPr="001F4CE0" w:rsidRDefault="00F91C7B" w:rsidP="004A7F23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2510A5" w:rsidRPr="001F4CE0" w:rsidRDefault="002510A5" w:rsidP="004A7F23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1F4CE0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F6201D" w:rsidRPr="001F4CE0" w:rsidRDefault="00F6201D" w:rsidP="004A7F23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:rsidR="00F6201D" w:rsidRPr="001F4CE0" w:rsidRDefault="00F6201D" w:rsidP="004A7F23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:rsidR="002510A5" w:rsidRPr="001F4CE0" w:rsidRDefault="002510A5" w:rsidP="004A7F23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C37FD7" w:rsidRPr="001F4CE0" w:rsidRDefault="00C37FD7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1F4CE0" w:rsidRDefault="00411B4B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>1.</w:t>
      </w:r>
      <w:r w:rsidR="00F5167F" w:rsidRPr="001F4CE0">
        <w:rPr>
          <w:b/>
          <w:bCs/>
          <w:sz w:val="22"/>
          <w:szCs w:val="22"/>
          <w:lang w:val="sr-Latn-ME"/>
        </w:rPr>
        <w:tab/>
      </w:r>
      <w:r w:rsidR="002846DB" w:rsidRPr="001F4CE0">
        <w:rPr>
          <w:b/>
          <w:bCs/>
          <w:sz w:val="22"/>
          <w:szCs w:val="22"/>
          <w:lang w:val="sr-Latn-ME"/>
        </w:rPr>
        <w:t xml:space="preserve">NAZIV </w:t>
      </w:r>
      <w:r w:rsidRPr="001F4CE0">
        <w:rPr>
          <w:b/>
          <w:bCs/>
          <w:sz w:val="22"/>
          <w:szCs w:val="22"/>
          <w:lang w:val="sr-Latn-ME"/>
        </w:rPr>
        <w:t>LIJEKA</w:t>
      </w:r>
    </w:p>
    <w:p w:rsidR="00EC2532" w:rsidRPr="001F4CE0" w:rsidRDefault="00EC2532" w:rsidP="004A7F23">
      <w:pPr>
        <w:jc w:val="both"/>
        <w:rPr>
          <w:sz w:val="22"/>
          <w:szCs w:val="22"/>
          <w:lang w:val="sr-Latn-ME"/>
        </w:rPr>
      </w:pPr>
    </w:p>
    <w:p w:rsidR="000D425A" w:rsidRPr="001F4CE0" w:rsidRDefault="00850748" w:rsidP="004A7F23">
      <w:pPr>
        <w:jc w:val="both"/>
        <w:rPr>
          <w:bCs/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GENTAMICIN BOSNALIJEK</w:t>
      </w:r>
      <w:r w:rsidR="00297F79" w:rsidRPr="001F4CE0">
        <w:rPr>
          <w:caps/>
          <w:sz w:val="22"/>
          <w:szCs w:val="22"/>
          <w:lang w:val="sr-Latn-ME"/>
        </w:rPr>
        <w:t>,</w:t>
      </w:r>
      <w:r w:rsidR="0066732D" w:rsidRPr="001F4CE0">
        <w:rPr>
          <w:sz w:val="22"/>
          <w:szCs w:val="22"/>
          <w:lang w:val="sr-Latn-ME"/>
        </w:rPr>
        <w:t xml:space="preserve"> 1</w:t>
      </w:r>
      <w:r w:rsidR="001D5521" w:rsidRPr="001F4CE0">
        <w:rPr>
          <w:sz w:val="22"/>
          <w:szCs w:val="22"/>
          <w:lang w:val="sr-Latn-ME"/>
        </w:rPr>
        <w:t xml:space="preserve"> </w:t>
      </w:r>
      <w:r w:rsidR="0066732D" w:rsidRPr="001F4CE0">
        <w:rPr>
          <w:sz w:val="22"/>
          <w:szCs w:val="22"/>
          <w:lang w:val="sr-Latn-ME"/>
        </w:rPr>
        <w:t>mg/g</w:t>
      </w:r>
      <w:r w:rsidR="00297F79" w:rsidRPr="001F4CE0">
        <w:rPr>
          <w:sz w:val="22"/>
          <w:szCs w:val="22"/>
          <w:lang w:val="sr-Latn-ME"/>
        </w:rPr>
        <w:t xml:space="preserve">, </w:t>
      </w:r>
      <w:r w:rsidR="00B21741" w:rsidRPr="001F4CE0">
        <w:rPr>
          <w:sz w:val="22"/>
          <w:szCs w:val="22"/>
          <w:lang w:val="sr-Latn-ME"/>
        </w:rPr>
        <w:t xml:space="preserve">mast </w:t>
      </w:r>
      <w:r w:rsidR="00F56183" w:rsidRPr="001F4CE0">
        <w:rPr>
          <w:sz w:val="22"/>
          <w:szCs w:val="22"/>
          <w:lang w:val="sr-Latn-ME"/>
        </w:rPr>
        <w:t xml:space="preserve"> </w:t>
      </w:r>
    </w:p>
    <w:p w:rsidR="00B21741" w:rsidRPr="001F4CE0" w:rsidRDefault="00B21741" w:rsidP="004A7F23">
      <w:pPr>
        <w:jc w:val="both"/>
        <w:rPr>
          <w:sz w:val="22"/>
          <w:szCs w:val="22"/>
          <w:lang w:val="sr-Latn-ME"/>
        </w:rPr>
      </w:pPr>
    </w:p>
    <w:p w:rsidR="00B21741" w:rsidRPr="001F4CE0" w:rsidRDefault="006D20A5" w:rsidP="00B21741">
      <w:pPr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INN:</w:t>
      </w:r>
      <w:r w:rsidR="002B7254" w:rsidRPr="001F4CE0">
        <w:rPr>
          <w:sz w:val="22"/>
          <w:szCs w:val="22"/>
          <w:lang w:val="sr-Latn-ME"/>
        </w:rPr>
        <w:t xml:space="preserve"> </w:t>
      </w:r>
      <w:r w:rsidR="00B21741" w:rsidRPr="001F4CE0">
        <w:rPr>
          <w:sz w:val="22"/>
          <w:szCs w:val="22"/>
          <w:lang w:val="sr-Latn-ME"/>
        </w:rPr>
        <w:t>gentamicin</w:t>
      </w:r>
    </w:p>
    <w:p w:rsidR="00530BD7" w:rsidRPr="001F4CE0" w:rsidRDefault="00530BD7" w:rsidP="004A7F23">
      <w:pPr>
        <w:jc w:val="both"/>
        <w:rPr>
          <w:bCs/>
          <w:sz w:val="22"/>
          <w:szCs w:val="22"/>
          <w:lang w:val="sr-Latn-ME"/>
        </w:rPr>
      </w:pPr>
    </w:p>
    <w:p w:rsidR="00F6201D" w:rsidRPr="001F4CE0" w:rsidRDefault="00F6201D" w:rsidP="004A7F23">
      <w:pPr>
        <w:jc w:val="both"/>
        <w:rPr>
          <w:bCs/>
          <w:sz w:val="22"/>
          <w:szCs w:val="22"/>
          <w:lang w:val="sr-Latn-ME"/>
        </w:rPr>
      </w:pPr>
    </w:p>
    <w:p w:rsidR="00411B4B" w:rsidRPr="001F4CE0" w:rsidRDefault="00411B4B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2. </w:t>
      </w:r>
      <w:r w:rsidR="00F5167F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KVALITATIVNI I KVANTITATIVNI SASTAV</w:t>
      </w:r>
    </w:p>
    <w:p w:rsidR="005A0B2E" w:rsidRPr="001F4CE0" w:rsidRDefault="005A0B2E" w:rsidP="004A7F23">
      <w:pPr>
        <w:jc w:val="both"/>
        <w:rPr>
          <w:sz w:val="22"/>
          <w:szCs w:val="22"/>
          <w:lang w:val="sr-Latn-ME"/>
        </w:rPr>
      </w:pPr>
    </w:p>
    <w:p w:rsidR="00B21741" w:rsidRPr="001F4CE0" w:rsidRDefault="00B21741" w:rsidP="00B21741">
      <w:pPr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1 g masti sadrži </w:t>
      </w:r>
      <w:r w:rsidR="00FB51A0" w:rsidRPr="001F4CE0">
        <w:rPr>
          <w:sz w:val="22"/>
          <w:szCs w:val="22"/>
          <w:lang w:val="sr-Latn-ME"/>
        </w:rPr>
        <w:t>1 mg g</w:t>
      </w:r>
      <w:r w:rsidRPr="001F4CE0">
        <w:rPr>
          <w:sz w:val="22"/>
          <w:szCs w:val="22"/>
          <w:lang w:val="sr-Latn-ME"/>
        </w:rPr>
        <w:t>entamicin</w:t>
      </w:r>
      <w:r w:rsidR="00FB51A0" w:rsidRPr="001F4CE0">
        <w:rPr>
          <w:sz w:val="22"/>
          <w:szCs w:val="22"/>
          <w:lang w:val="sr-Latn-ME"/>
        </w:rPr>
        <w:t>a</w:t>
      </w:r>
      <w:r w:rsidRPr="001F4CE0">
        <w:rPr>
          <w:sz w:val="22"/>
          <w:szCs w:val="22"/>
          <w:lang w:val="sr-Latn-ME"/>
        </w:rPr>
        <w:t xml:space="preserve">  (</w:t>
      </w:r>
      <w:r w:rsidR="00FB51A0" w:rsidRPr="001F4CE0">
        <w:rPr>
          <w:sz w:val="22"/>
          <w:szCs w:val="22"/>
          <w:lang w:val="sr-Latn-ME"/>
        </w:rPr>
        <w:t>u obliku</w:t>
      </w:r>
      <w:r w:rsidRPr="001F4CE0">
        <w:rPr>
          <w:sz w:val="22"/>
          <w:szCs w:val="22"/>
          <w:lang w:val="sr-Latn-ME"/>
        </w:rPr>
        <w:t xml:space="preserve"> gentamicin</w:t>
      </w:r>
      <w:r w:rsidR="00FB51A0" w:rsidRPr="001F4CE0">
        <w:rPr>
          <w:sz w:val="22"/>
          <w:szCs w:val="22"/>
          <w:lang w:val="sr-Latn-ME"/>
        </w:rPr>
        <w:t xml:space="preserve"> sulfata</w:t>
      </w:r>
      <w:r w:rsidRPr="001F4CE0">
        <w:rPr>
          <w:sz w:val="22"/>
          <w:szCs w:val="22"/>
          <w:lang w:val="sr-Latn-ME"/>
        </w:rPr>
        <w:t xml:space="preserve">). </w:t>
      </w:r>
    </w:p>
    <w:p w:rsidR="00FB51A0" w:rsidRPr="001F4CE0" w:rsidRDefault="00FB51A0" w:rsidP="00FB51A0">
      <w:pPr>
        <w:jc w:val="both"/>
        <w:rPr>
          <w:sz w:val="22"/>
          <w:szCs w:val="22"/>
          <w:lang w:val="sr-Latn-ME"/>
        </w:rPr>
      </w:pPr>
    </w:p>
    <w:p w:rsidR="00FB7C94" w:rsidRPr="001F4CE0" w:rsidRDefault="00FB7C94" w:rsidP="002B7254">
      <w:pPr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Pomoćne supstance sa potvrđenim dejstvom: metil</w:t>
      </w:r>
      <w:r w:rsidR="00297F79" w:rsidRPr="001F4CE0">
        <w:rPr>
          <w:sz w:val="22"/>
          <w:szCs w:val="22"/>
          <w:lang w:val="sr-Latn-ME"/>
        </w:rPr>
        <w:t xml:space="preserve"> </w:t>
      </w:r>
      <w:r w:rsidRPr="001F4CE0">
        <w:rPr>
          <w:sz w:val="22"/>
          <w:szCs w:val="22"/>
          <w:lang w:val="sr-Latn-ME"/>
        </w:rPr>
        <w:t>parahidroksibenzoat i propil</w:t>
      </w:r>
      <w:r w:rsidR="00297F79" w:rsidRPr="001F4CE0">
        <w:rPr>
          <w:sz w:val="22"/>
          <w:szCs w:val="22"/>
          <w:lang w:val="sr-Latn-ME"/>
        </w:rPr>
        <w:t xml:space="preserve"> </w:t>
      </w:r>
      <w:r w:rsidRPr="001F4CE0">
        <w:rPr>
          <w:sz w:val="22"/>
          <w:szCs w:val="22"/>
          <w:lang w:val="sr-Latn-ME"/>
        </w:rPr>
        <w:t>parahidroksibenzoat.</w:t>
      </w:r>
    </w:p>
    <w:p w:rsidR="00D92742" w:rsidRPr="001F4CE0" w:rsidRDefault="00B21741" w:rsidP="002B7254">
      <w:pPr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 </w:t>
      </w:r>
      <w:r w:rsidR="00F56183" w:rsidRPr="001F4CE0">
        <w:rPr>
          <w:sz w:val="22"/>
          <w:szCs w:val="22"/>
          <w:lang w:val="sr-Latn-ME"/>
        </w:rPr>
        <w:t xml:space="preserve"> </w:t>
      </w:r>
    </w:p>
    <w:p w:rsidR="00D92742" w:rsidRPr="001F4CE0" w:rsidRDefault="00D92742" w:rsidP="00D92742">
      <w:pPr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Za spisak svih ekscipijenasa, pogledati dio 6.1.</w:t>
      </w:r>
    </w:p>
    <w:p w:rsidR="00D92742" w:rsidRPr="001F4CE0" w:rsidRDefault="00D92742" w:rsidP="002B7254">
      <w:pPr>
        <w:jc w:val="both"/>
        <w:rPr>
          <w:sz w:val="22"/>
          <w:szCs w:val="22"/>
          <w:lang w:val="sr-Latn-ME"/>
        </w:rPr>
      </w:pPr>
    </w:p>
    <w:p w:rsidR="00F6201D" w:rsidRPr="001F4CE0" w:rsidRDefault="00F6201D" w:rsidP="002B7254">
      <w:pPr>
        <w:jc w:val="both"/>
        <w:rPr>
          <w:sz w:val="22"/>
          <w:szCs w:val="22"/>
          <w:lang w:val="sr-Latn-ME"/>
        </w:rPr>
      </w:pPr>
    </w:p>
    <w:p w:rsidR="00411B4B" w:rsidRPr="001F4CE0" w:rsidRDefault="00411B4B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3. </w:t>
      </w:r>
      <w:r w:rsidR="00F5167F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FARMACEUTSKI OBLIK</w:t>
      </w:r>
      <w:r w:rsidR="009F2D23" w:rsidRPr="001F4CE0">
        <w:rPr>
          <w:b/>
          <w:bCs/>
          <w:sz w:val="22"/>
          <w:szCs w:val="22"/>
          <w:lang w:val="sr-Latn-ME"/>
        </w:rPr>
        <w:t xml:space="preserve"> </w:t>
      </w:r>
    </w:p>
    <w:p w:rsidR="004A7F23" w:rsidRPr="001F4CE0" w:rsidRDefault="004A7F23" w:rsidP="004A7F23">
      <w:pPr>
        <w:jc w:val="both"/>
        <w:rPr>
          <w:bCs/>
          <w:sz w:val="22"/>
          <w:szCs w:val="22"/>
          <w:lang w:val="sr-Latn-ME"/>
        </w:rPr>
      </w:pPr>
    </w:p>
    <w:p w:rsidR="00B21741" w:rsidRPr="001F4CE0" w:rsidRDefault="00B21741" w:rsidP="00B21741">
      <w:pPr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>Mast.</w:t>
      </w:r>
    </w:p>
    <w:p w:rsidR="00B21741" w:rsidRPr="001F4CE0" w:rsidRDefault="00B21741" w:rsidP="00B21741">
      <w:pPr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>Bijela do poluprovidna homogena mast.</w:t>
      </w:r>
    </w:p>
    <w:p w:rsidR="00EC2532" w:rsidRPr="001F4CE0" w:rsidRDefault="00B21741" w:rsidP="004A7F23">
      <w:pPr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 xml:space="preserve"> </w:t>
      </w:r>
    </w:p>
    <w:p w:rsidR="00F6201D" w:rsidRPr="001F4CE0" w:rsidRDefault="00F6201D" w:rsidP="004A7F23">
      <w:pPr>
        <w:jc w:val="both"/>
        <w:rPr>
          <w:bCs/>
          <w:sz w:val="22"/>
          <w:szCs w:val="22"/>
          <w:lang w:val="sr-Latn-ME"/>
        </w:rPr>
      </w:pPr>
    </w:p>
    <w:p w:rsidR="00411B4B" w:rsidRPr="001F4CE0" w:rsidRDefault="00411B4B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4.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KLINIČKI PODACI</w:t>
      </w:r>
    </w:p>
    <w:p w:rsidR="00CD6F02" w:rsidRPr="001F4CE0" w:rsidRDefault="00CD6F02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1F4CE0" w:rsidRDefault="00411B4B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4.1.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Terapijske indikacije</w:t>
      </w:r>
    </w:p>
    <w:p w:rsidR="004A7F23" w:rsidRPr="001F4CE0" w:rsidRDefault="004A7F23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A7F23" w:rsidRPr="001F4CE0" w:rsidRDefault="00AC2DF2" w:rsidP="00D005B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Lijek </w:t>
      </w:r>
      <w:r w:rsidR="00D005BB" w:rsidRPr="001F4CE0">
        <w:rPr>
          <w:sz w:val="22"/>
          <w:szCs w:val="22"/>
          <w:lang w:val="sr-Latn-ME"/>
        </w:rPr>
        <w:t xml:space="preserve">GENTAMICIN </w:t>
      </w:r>
      <w:r w:rsidR="00FB7C94" w:rsidRPr="001F4CE0">
        <w:rPr>
          <w:caps/>
          <w:sz w:val="22"/>
          <w:szCs w:val="22"/>
          <w:lang w:val="sr-Latn-ME"/>
        </w:rPr>
        <w:t>Bosnalijek</w:t>
      </w:r>
      <w:r w:rsidR="00FB7C94" w:rsidRPr="001F4CE0">
        <w:rPr>
          <w:sz w:val="22"/>
          <w:szCs w:val="22"/>
          <w:lang w:val="sr-Latn-ME"/>
        </w:rPr>
        <w:t xml:space="preserve"> </w:t>
      </w:r>
      <w:r w:rsidR="00D005BB" w:rsidRPr="001F4CE0">
        <w:rPr>
          <w:sz w:val="22"/>
          <w:szCs w:val="22"/>
          <w:lang w:val="sr-Latn-ME"/>
        </w:rPr>
        <w:t xml:space="preserve">mast je </w:t>
      </w:r>
      <w:r w:rsidRPr="001F4CE0">
        <w:rPr>
          <w:sz w:val="22"/>
          <w:szCs w:val="22"/>
          <w:lang w:val="sr-Latn-ME"/>
        </w:rPr>
        <w:t>indikovan</w:t>
      </w:r>
      <w:r w:rsidR="00FB7C94" w:rsidRPr="001F4CE0">
        <w:rPr>
          <w:sz w:val="22"/>
          <w:szCs w:val="22"/>
          <w:lang w:val="sr-Latn-ME"/>
        </w:rPr>
        <w:t xml:space="preserve"> </w:t>
      </w:r>
      <w:r w:rsidR="00D005BB" w:rsidRPr="001F4CE0">
        <w:rPr>
          <w:sz w:val="22"/>
          <w:szCs w:val="22"/>
          <w:lang w:val="sr-Latn-ME"/>
        </w:rPr>
        <w:t>pri primarnim i sekundarnim bakterijskim infekcijama kože</w:t>
      </w:r>
      <w:r w:rsidR="00FB7C94" w:rsidRPr="001F4CE0">
        <w:rPr>
          <w:sz w:val="22"/>
          <w:szCs w:val="22"/>
          <w:lang w:val="sr-Latn-ME"/>
        </w:rPr>
        <w:t xml:space="preserve"> osjetljivim na gentamicin,</w:t>
      </w:r>
      <w:r w:rsidR="00D005BB" w:rsidRPr="001F4CE0">
        <w:rPr>
          <w:sz w:val="22"/>
          <w:szCs w:val="22"/>
          <w:lang w:val="sr-Latn-ME"/>
        </w:rPr>
        <w:t xml:space="preserve"> inficiranim venskim ulkusima potkoljenice, inficiranim ozeblinama i opeklinama manjih površina.</w:t>
      </w:r>
      <w:r w:rsidR="00FB7C94" w:rsidRPr="001F4CE0">
        <w:rPr>
          <w:sz w:val="22"/>
          <w:szCs w:val="22"/>
          <w:lang w:val="sr-Latn-ME"/>
        </w:rPr>
        <w:t xml:space="preserve"> </w:t>
      </w:r>
    </w:p>
    <w:p w:rsidR="00D005BB" w:rsidRPr="001F4CE0" w:rsidRDefault="00D005BB" w:rsidP="00D005B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B7C94" w:rsidRPr="001F4CE0" w:rsidRDefault="00FB7C94" w:rsidP="00FB7C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>Potrebno je uzeti u obzir službene smjernice o pravilnom korištenju antibakterijskih ljekova.</w:t>
      </w:r>
    </w:p>
    <w:p w:rsidR="00FB7C94" w:rsidRPr="001F4CE0" w:rsidRDefault="00FB7C94" w:rsidP="00D005B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 xml:space="preserve"> </w:t>
      </w:r>
    </w:p>
    <w:p w:rsidR="00411B4B" w:rsidRPr="001F4CE0" w:rsidRDefault="00411B4B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4.2.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Doziranje i način primjene</w:t>
      </w:r>
    </w:p>
    <w:p w:rsidR="004329F6" w:rsidRPr="001F4CE0" w:rsidRDefault="004329F6" w:rsidP="004D26A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FB7C94" w:rsidRPr="001F4CE0" w:rsidRDefault="00D005BB" w:rsidP="004D26A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F4CE0">
        <w:rPr>
          <w:sz w:val="22"/>
          <w:szCs w:val="22"/>
          <w:u w:val="single"/>
          <w:lang w:val="sr-Latn-ME"/>
        </w:rPr>
        <w:t>Doziranje</w:t>
      </w:r>
    </w:p>
    <w:p w:rsidR="00FB7C94" w:rsidRPr="001F4CE0" w:rsidRDefault="00FB7C94" w:rsidP="004D26A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FB7C94" w:rsidRPr="001F4CE0" w:rsidRDefault="00FB7C94" w:rsidP="00FB7C94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1F4CE0">
        <w:rPr>
          <w:i/>
          <w:sz w:val="22"/>
          <w:szCs w:val="22"/>
          <w:lang w:val="sr-Latn-ME"/>
        </w:rPr>
        <w:t xml:space="preserve">Odrasli </w:t>
      </w:r>
    </w:p>
    <w:p w:rsidR="00FB7C94" w:rsidRPr="001F4CE0" w:rsidRDefault="00AC2DF2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Lijek </w:t>
      </w:r>
      <w:r w:rsidR="00D005BB" w:rsidRPr="001F4CE0">
        <w:rPr>
          <w:sz w:val="22"/>
          <w:szCs w:val="22"/>
          <w:lang w:val="sr-Latn-ME"/>
        </w:rPr>
        <w:t xml:space="preserve">GENTAMICIN </w:t>
      </w:r>
      <w:r w:rsidR="00FB7C94" w:rsidRPr="001F4CE0">
        <w:rPr>
          <w:caps/>
          <w:sz w:val="22"/>
          <w:szCs w:val="22"/>
          <w:lang w:val="sr-Latn-ME"/>
        </w:rPr>
        <w:t>Bosnalijek</w:t>
      </w:r>
      <w:r w:rsidR="00FB7C94" w:rsidRPr="001F4CE0">
        <w:rPr>
          <w:sz w:val="22"/>
          <w:szCs w:val="22"/>
          <w:lang w:val="sr-Latn-ME"/>
        </w:rPr>
        <w:t xml:space="preserve"> mast </w:t>
      </w:r>
      <w:r w:rsidR="00D005BB" w:rsidRPr="001F4CE0">
        <w:rPr>
          <w:sz w:val="22"/>
          <w:szCs w:val="22"/>
          <w:lang w:val="sr-Latn-ME"/>
        </w:rPr>
        <w:t xml:space="preserve">se 3 do 4 puta na dan lagano namaže </w:t>
      </w:r>
      <w:r w:rsidR="00FB7C94" w:rsidRPr="001F4CE0">
        <w:rPr>
          <w:sz w:val="22"/>
          <w:szCs w:val="22"/>
          <w:lang w:val="sr-Latn-ME"/>
        </w:rPr>
        <w:t xml:space="preserve">u tankom sloju </w:t>
      </w:r>
      <w:r w:rsidR="00D005BB" w:rsidRPr="001F4CE0">
        <w:rPr>
          <w:sz w:val="22"/>
          <w:szCs w:val="22"/>
          <w:lang w:val="sr-Latn-ME"/>
        </w:rPr>
        <w:t>na inficirano mjesto.</w:t>
      </w:r>
    </w:p>
    <w:p w:rsidR="00FB7C94" w:rsidRPr="001F4CE0" w:rsidRDefault="00FB7C94" w:rsidP="00FB7C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Kod odraslih trajanje liječenja ograničeno je na 7 do 10 dana.</w:t>
      </w:r>
    </w:p>
    <w:p w:rsidR="00FB7C94" w:rsidRPr="001F4CE0" w:rsidRDefault="00FB7C94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 </w:t>
      </w:r>
    </w:p>
    <w:p w:rsidR="009E1E70" w:rsidRPr="001F4CE0" w:rsidRDefault="009E1E70" w:rsidP="009E1E7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i/>
          <w:iCs/>
          <w:sz w:val="22"/>
          <w:szCs w:val="22"/>
          <w:lang w:val="sr-Latn-ME"/>
        </w:rPr>
        <w:t>Djeca</w:t>
      </w:r>
    </w:p>
    <w:p w:rsidR="009E1E70" w:rsidRPr="001F4CE0" w:rsidRDefault="00AC2DF2" w:rsidP="009E1E7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Lijek </w:t>
      </w:r>
      <w:r w:rsidR="009E1E70" w:rsidRPr="001F4CE0">
        <w:rPr>
          <w:sz w:val="22"/>
          <w:szCs w:val="22"/>
          <w:lang w:val="sr-Latn-ME"/>
        </w:rPr>
        <w:t xml:space="preserve">GENTAMICIN BOSNALIJEK mast se kod djece starije od 1 godine i adolescenata lagano namaže 3 do 4 puta na dan u tankom sloju na inficirano mjesto. </w:t>
      </w:r>
    </w:p>
    <w:p w:rsidR="009E1E70" w:rsidRPr="001F4CE0" w:rsidRDefault="009E1E70" w:rsidP="009E1E7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Kod djece trajanje liječenja ograničeno je na 5 do 7 dana.</w:t>
      </w:r>
    </w:p>
    <w:p w:rsidR="00D005BB" w:rsidRPr="001F4CE0" w:rsidRDefault="00D005BB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 </w:t>
      </w:r>
      <w:r w:rsidR="00FB7C94" w:rsidRPr="001F4CE0">
        <w:rPr>
          <w:sz w:val="22"/>
          <w:szCs w:val="22"/>
          <w:lang w:val="sr-Latn-ME"/>
        </w:rPr>
        <w:t xml:space="preserve"> </w:t>
      </w:r>
    </w:p>
    <w:p w:rsidR="009E1E70" w:rsidRPr="001F4CE0" w:rsidRDefault="00D005BB" w:rsidP="004D26A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F4CE0">
        <w:rPr>
          <w:sz w:val="22"/>
          <w:szCs w:val="22"/>
          <w:u w:val="single"/>
          <w:lang w:val="sr-Latn-ME"/>
        </w:rPr>
        <w:t>Način primjene</w:t>
      </w:r>
    </w:p>
    <w:p w:rsidR="00D24822" w:rsidRPr="001F4CE0" w:rsidRDefault="00D24822" w:rsidP="009E1E7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E1E70" w:rsidRPr="001F4CE0" w:rsidRDefault="009E1E70" w:rsidP="009E1E7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Dermalna primjena.</w:t>
      </w:r>
    </w:p>
    <w:p w:rsidR="00452E9D" w:rsidRPr="001F4CE0" w:rsidRDefault="009E1E70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lastRenderedPageBreak/>
        <w:t xml:space="preserve">Ako postoji krasta, </w:t>
      </w:r>
      <w:r w:rsidR="004329F6" w:rsidRPr="001F4CE0">
        <w:rPr>
          <w:sz w:val="22"/>
          <w:szCs w:val="22"/>
          <w:lang w:val="sr-Latn-ME"/>
        </w:rPr>
        <w:t>treba</w:t>
      </w:r>
      <w:r w:rsidR="00D005BB" w:rsidRPr="001F4CE0">
        <w:rPr>
          <w:sz w:val="22"/>
          <w:szCs w:val="22"/>
          <w:lang w:val="sr-Latn-ME"/>
        </w:rPr>
        <w:t xml:space="preserve"> </w:t>
      </w:r>
      <w:r w:rsidRPr="001F4CE0">
        <w:rPr>
          <w:sz w:val="22"/>
          <w:szCs w:val="22"/>
          <w:lang w:val="sr-Latn-ME"/>
        </w:rPr>
        <w:t xml:space="preserve">je </w:t>
      </w:r>
      <w:r w:rsidR="00D005BB" w:rsidRPr="001F4CE0">
        <w:rPr>
          <w:sz w:val="22"/>
          <w:szCs w:val="22"/>
          <w:lang w:val="sr-Latn-ME"/>
        </w:rPr>
        <w:t xml:space="preserve">ukloniti </w:t>
      </w:r>
      <w:r w:rsidRPr="001F4CE0">
        <w:rPr>
          <w:sz w:val="22"/>
          <w:szCs w:val="22"/>
          <w:lang w:val="sr-Latn-ME" w:eastAsia="hr-HR"/>
        </w:rPr>
        <w:t xml:space="preserve">prije primjene </w:t>
      </w:r>
      <w:r w:rsidR="00AC2DF2" w:rsidRPr="001F4CE0">
        <w:rPr>
          <w:sz w:val="22"/>
          <w:szCs w:val="22"/>
          <w:lang w:val="sr-Latn-ME" w:eastAsia="hr-HR"/>
        </w:rPr>
        <w:t xml:space="preserve">lijeka </w:t>
      </w:r>
      <w:r w:rsidRPr="001F4CE0">
        <w:rPr>
          <w:sz w:val="22"/>
          <w:szCs w:val="22"/>
          <w:lang w:val="sr-Latn-ME"/>
        </w:rPr>
        <w:t xml:space="preserve">GENTAMICIN </w:t>
      </w:r>
      <w:r w:rsidRPr="001F4CE0">
        <w:rPr>
          <w:caps/>
          <w:sz w:val="22"/>
          <w:szCs w:val="22"/>
          <w:lang w:val="sr-Latn-ME"/>
        </w:rPr>
        <w:t>Bosnalijek</w:t>
      </w:r>
      <w:r w:rsidRPr="001F4CE0">
        <w:rPr>
          <w:caps/>
          <w:sz w:val="22"/>
          <w:szCs w:val="22"/>
          <w:vertAlign w:val="superscript"/>
          <w:lang w:val="sr-Latn-ME"/>
        </w:rPr>
        <w:t xml:space="preserve"> </w:t>
      </w:r>
      <w:r w:rsidR="00AC2DF2" w:rsidRPr="001F4CE0">
        <w:rPr>
          <w:sz w:val="22"/>
          <w:szCs w:val="22"/>
          <w:lang w:val="sr-Latn-ME"/>
        </w:rPr>
        <w:t>mast</w:t>
      </w:r>
      <w:r w:rsidRPr="001F4CE0">
        <w:rPr>
          <w:sz w:val="22"/>
          <w:szCs w:val="22"/>
          <w:lang w:val="sr-Latn-ME"/>
        </w:rPr>
        <w:t>,</w:t>
      </w:r>
      <w:r w:rsidRPr="001F4CE0">
        <w:rPr>
          <w:sz w:val="22"/>
          <w:szCs w:val="22"/>
          <w:lang w:val="sr-Latn-ME" w:eastAsia="hr-HR"/>
        </w:rPr>
        <w:t xml:space="preserve"> </w:t>
      </w:r>
      <w:r w:rsidR="00D005BB" w:rsidRPr="001F4CE0">
        <w:rPr>
          <w:sz w:val="22"/>
          <w:szCs w:val="22"/>
          <w:lang w:val="sr-Latn-ME"/>
        </w:rPr>
        <w:t>da</w:t>
      </w:r>
      <w:r w:rsidRPr="001F4CE0">
        <w:rPr>
          <w:sz w:val="22"/>
          <w:szCs w:val="22"/>
          <w:lang w:val="sr-Latn-ME"/>
        </w:rPr>
        <w:t xml:space="preserve"> bi</w:t>
      </w:r>
      <w:r w:rsidR="00D005BB" w:rsidRPr="001F4CE0">
        <w:rPr>
          <w:sz w:val="22"/>
          <w:szCs w:val="22"/>
          <w:lang w:val="sr-Latn-ME"/>
        </w:rPr>
        <w:t xml:space="preserve"> lijek </w:t>
      </w:r>
      <w:r w:rsidRPr="001F4CE0">
        <w:rPr>
          <w:sz w:val="22"/>
          <w:szCs w:val="22"/>
          <w:lang w:val="sr-Latn-ME"/>
        </w:rPr>
        <w:t xml:space="preserve">mogao </w:t>
      </w:r>
      <w:r w:rsidR="00D005BB" w:rsidRPr="001F4CE0">
        <w:rPr>
          <w:sz w:val="22"/>
          <w:szCs w:val="22"/>
          <w:lang w:val="sr-Latn-ME"/>
        </w:rPr>
        <w:t>lakše dopr</w:t>
      </w:r>
      <w:r w:rsidRPr="001F4CE0">
        <w:rPr>
          <w:sz w:val="22"/>
          <w:szCs w:val="22"/>
          <w:lang w:val="sr-Latn-ME"/>
        </w:rPr>
        <w:t>ijeti</w:t>
      </w:r>
      <w:r w:rsidR="00D005BB" w:rsidRPr="001F4CE0">
        <w:rPr>
          <w:sz w:val="22"/>
          <w:szCs w:val="22"/>
          <w:lang w:val="sr-Latn-ME"/>
        </w:rPr>
        <w:t xml:space="preserve"> do bakterija</w:t>
      </w:r>
      <w:r w:rsidRPr="001F4CE0">
        <w:rPr>
          <w:sz w:val="22"/>
          <w:szCs w:val="22"/>
          <w:lang w:val="sr-Latn-ME"/>
        </w:rPr>
        <w:t xml:space="preserve"> koje uzrokuju infekciju</w:t>
      </w:r>
      <w:r w:rsidR="00D005BB" w:rsidRPr="001F4CE0">
        <w:rPr>
          <w:sz w:val="22"/>
          <w:szCs w:val="22"/>
          <w:lang w:val="sr-Latn-ME"/>
        </w:rPr>
        <w:t>. Namazana površina se može pokriti gazom.</w:t>
      </w:r>
    </w:p>
    <w:p w:rsidR="00D005BB" w:rsidRPr="001F4CE0" w:rsidRDefault="009E1E70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 xml:space="preserve"> </w:t>
      </w:r>
    </w:p>
    <w:p w:rsidR="00411B4B" w:rsidRPr="001F4CE0" w:rsidRDefault="00411B4B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4.3.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Kontraindikacije</w:t>
      </w:r>
    </w:p>
    <w:p w:rsidR="004A7F23" w:rsidRPr="001F4CE0" w:rsidRDefault="004A7F23" w:rsidP="004D26A8">
      <w:pPr>
        <w:contextualSpacing/>
        <w:jc w:val="both"/>
        <w:rPr>
          <w:sz w:val="22"/>
          <w:szCs w:val="22"/>
          <w:lang w:val="sr-Latn-ME"/>
        </w:rPr>
      </w:pPr>
    </w:p>
    <w:p w:rsidR="004A7F23" w:rsidRPr="001F4CE0" w:rsidRDefault="00D005BB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Preosjetljivost na gentamicin ili </w:t>
      </w:r>
      <w:r w:rsidR="009E1E70" w:rsidRPr="001F4CE0">
        <w:rPr>
          <w:sz w:val="22"/>
          <w:szCs w:val="22"/>
          <w:lang w:val="sr-Latn-ME"/>
        </w:rPr>
        <w:t xml:space="preserve">na bilo koju </w:t>
      </w:r>
      <w:r w:rsidRPr="001F4CE0">
        <w:rPr>
          <w:sz w:val="22"/>
          <w:szCs w:val="22"/>
          <w:lang w:val="sr-Latn-ME"/>
        </w:rPr>
        <w:t xml:space="preserve">od pomoćnih supstanci </w:t>
      </w:r>
      <w:r w:rsidR="00945648" w:rsidRPr="001F4CE0">
        <w:rPr>
          <w:sz w:val="22"/>
          <w:szCs w:val="22"/>
          <w:lang w:val="sr-Latn-ME"/>
        </w:rPr>
        <w:t>navedenih u dijelu 6.1. i</w:t>
      </w:r>
      <w:r w:rsidRPr="001F4CE0">
        <w:rPr>
          <w:sz w:val="22"/>
          <w:szCs w:val="22"/>
          <w:lang w:val="sr-Latn-ME"/>
        </w:rPr>
        <w:t xml:space="preserve"> na druge aminoglikozidne antibiotike.</w:t>
      </w:r>
    </w:p>
    <w:p w:rsidR="001D6356" w:rsidRPr="001F4CE0" w:rsidRDefault="001D6356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1D6356" w:rsidRPr="001F4CE0" w:rsidRDefault="001D6356" w:rsidP="001D635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Istovremena sistemska primjena aminoglikozidnih antibiotika (rizik od toksičnih nivoa u serumu).</w:t>
      </w:r>
    </w:p>
    <w:p w:rsidR="00D005BB" w:rsidRPr="001F4CE0" w:rsidRDefault="00D005BB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1F4CE0" w:rsidRDefault="00411B4B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4.4.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4A7F23" w:rsidRPr="001F4CE0" w:rsidRDefault="004A7F23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D6356" w:rsidRPr="001F4CE0" w:rsidRDefault="001D6356" w:rsidP="001D635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Ne preporučuje se dugotrajna primjena na većim upaljenim ili erodiranim površinama kože, jer je u takvim slučajevima moguća veća apsorpcija gentamicina, a time i mogućnost ispoljavanja sličnih neželjenih dejstava kao pri sistemskoj primjeni lijeka (ototoksičnost, nefrotoksičnost). </w:t>
      </w:r>
    </w:p>
    <w:p w:rsidR="001D6356" w:rsidRPr="001F4CE0" w:rsidRDefault="001D6356" w:rsidP="00D005B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D005BB" w:rsidRPr="001F4CE0" w:rsidRDefault="00D005BB" w:rsidP="00D005B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Moguća je unakrsna preosjetljivost s drugim antibioticima aminoglikozidne grupe. Ukoliko dođe do podražaja kože ili preosjetljivosti, umjesto </w:t>
      </w:r>
      <w:r w:rsidR="00AC2DF2" w:rsidRPr="001F4CE0">
        <w:rPr>
          <w:sz w:val="22"/>
          <w:szCs w:val="22"/>
          <w:lang w:val="sr-Latn-ME"/>
        </w:rPr>
        <w:t xml:space="preserve">lijeka </w:t>
      </w:r>
      <w:r w:rsidRPr="001F4CE0">
        <w:rPr>
          <w:sz w:val="22"/>
          <w:szCs w:val="22"/>
          <w:lang w:val="sr-Latn-ME"/>
        </w:rPr>
        <w:t xml:space="preserve">GENTAMICIN </w:t>
      </w:r>
      <w:r w:rsidR="001D6356" w:rsidRPr="001F4CE0">
        <w:rPr>
          <w:caps/>
          <w:sz w:val="22"/>
          <w:szCs w:val="22"/>
          <w:lang w:val="sr-Latn-ME"/>
        </w:rPr>
        <w:t>Bosnalijek</w:t>
      </w:r>
      <w:r w:rsidR="001D6356" w:rsidRPr="001F4CE0">
        <w:rPr>
          <w:sz w:val="22"/>
          <w:szCs w:val="22"/>
          <w:lang w:val="sr-Latn-ME"/>
        </w:rPr>
        <w:t xml:space="preserve"> </w:t>
      </w:r>
      <w:r w:rsidRPr="001F4CE0">
        <w:rPr>
          <w:sz w:val="22"/>
          <w:szCs w:val="22"/>
          <w:lang w:val="sr-Latn-ME"/>
        </w:rPr>
        <w:t xml:space="preserve">mast treba primijeniti drugi lijek. </w:t>
      </w:r>
    </w:p>
    <w:p w:rsidR="00D005BB" w:rsidRPr="001F4CE0" w:rsidRDefault="00D005BB" w:rsidP="00D005B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D005BB" w:rsidRPr="001F4CE0" w:rsidRDefault="00945648" w:rsidP="00D005B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Lijek </w:t>
      </w:r>
      <w:r w:rsidR="001D6356" w:rsidRPr="001F4CE0">
        <w:rPr>
          <w:sz w:val="22"/>
          <w:szCs w:val="22"/>
          <w:lang w:val="sr-Latn-ME"/>
        </w:rPr>
        <w:t xml:space="preserve">treba </w:t>
      </w:r>
      <w:r w:rsidR="00D005BB" w:rsidRPr="001F4CE0">
        <w:rPr>
          <w:sz w:val="22"/>
          <w:szCs w:val="22"/>
          <w:lang w:val="sr-Latn-ME"/>
        </w:rPr>
        <w:t xml:space="preserve">oprezno </w:t>
      </w:r>
      <w:r w:rsidRPr="001F4CE0">
        <w:rPr>
          <w:sz w:val="22"/>
          <w:szCs w:val="22"/>
          <w:lang w:val="sr-Latn-ME"/>
        </w:rPr>
        <w:t>da se primjenjuje</w:t>
      </w:r>
      <w:r w:rsidR="001D6356" w:rsidRPr="001F4CE0">
        <w:rPr>
          <w:sz w:val="22"/>
          <w:szCs w:val="22"/>
          <w:lang w:val="sr-Latn-ME"/>
        </w:rPr>
        <w:t xml:space="preserve"> kod </w:t>
      </w:r>
      <w:r w:rsidR="00D005BB" w:rsidRPr="001F4CE0">
        <w:rPr>
          <w:sz w:val="22"/>
          <w:szCs w:val="22"/>
          <w:lang w:val="sr-Latn-ME"/>
        </w:rPr>
        <w:t>stariji</w:t>
      </w:r>
      <w:r w:rsidR="001D6356" w:rsidRPr="001F4CE0">
        <w:rPr>
          <w:sz w:val="22"/>
          <w:szCs w:val="22"/>
          <w:lang w:val="sr-Latn-ME"/>
        </w:rPr>
        <w:t>h</w:t>
      </w:r>
      <w:r w:rsidR="00D005BB" w:rsidRPr="001F4CE0">
        <w:rPr>
          <w:sz w:val="22"/>
          <w:szCs w:val="22"/>
          <w:lang w:val="sr-Latn-ME"/>
        </w:rPr>
        <w:t xml:space="preserve"> </w:t>
      </w:r>
      <w:r w:rsidR="001D6356" w:rsidRPr="001F4CE0">
        <w:rPr>
          <w:sz w:val="22"/>
          <w:szCs w:val="22"/>
          <w:lang w:val="sr-Latn-ME"/>
        </w:rPr>
        <w:t xml:space="preserve">osoba, osoba </w:t>
      </w:r>
      <w:r w:rsidR="00D005BB" w:rsidRPr="001F4CE0">
        <w:rPr>
          <w:sz w:val="22"/>
          <w:szCs w:val="22"/>
          <w:lang w:val="sr-Latn-ME"/>
        </w:rPr>
        <w:t>s oštećenjem sluha</w:t>
      </w:r>
      <w:r w:rsidR="001D6356" w:rsidRPr="001F4CE0">
        <w:rPr>
          <w:sz w:val="22"/>
          <w:szCs w:val="22"/>
          <w:lang w:val="sr-Latn-ME"/>
        </w:rPr>
        <w:t xml:space="preserve">, </w:t>
      </w:r>
      <w:r w:rsidR="00D005BB" w:rsidRPr="001F4CE0">
        <w:rPr>
          <w:sz w:val="22"/>
          <w:szCs w:val="22"/>
          <w:lang w:val="sr-Latn-ME"/>
        </w:rPr>
        <w:t xml:space="preserve"> </w:t>
      </w:r>
      <w:r w:rsidR="00744BA2" w:rsidRPr="001F4CE0">
        <w:rPr>
          <w:sz w:val="22"/>
          <w:szCs w:val="22"/>
          <w:lang w:val="sr-Latn-ME"/>
        </w:rPr>
        <w:t xml:space="preserve">osoba sa oštećenjem </w:t>
      </w:r>
      <w:r w:rsidR="00D005BB" w:rsidRPr="001F4CE0">
        <w:rPr>
          <w:sz w:val="22"/>
          <w:szCs w:val="22"/>
          <w:lang w:val="sr-Latn-ME"/>
        </w:rPr>
        <w:t>bubrežne funkcije</w:t>
      </w:r>
      <w:r w:rsidR="001D6356" w:rsidRPr="001F4CE0">
        <w:rPr>
          <w:sz w:val="22"/>
          <w:szCs w:val="22"/>
          <w:lang w:val="sr-Latn-ME"/>
        </w:rPr>
        <w:t>,</w:t>
      </w:r>
      <w:r w:rsidR="001D6356" w:rsidRPr="001F4CE0">
        <w:rPr>
          <w:rFonts w:ascii="Microsoft Sans Serif" w:hAnsi="Microsoft Sans Serif" w:cs="Microsoft Sans Serif"/>
          <w:sz w:val="20"/>
          <w:szCs w:val="20"/>
          <w:lang w:val="sr-Latn-ME"/>
        </w:rPr>
        <w:t xml:space="preserve"> </w:t>
      </w:r>
      <w:r w:rsidR="001D6356" w:rsidRPr="001F4CE0">
        <w:rPr>
          <w:sz w:val="22"/>
          <w:szCs w:val="22"/>
          <w:lang w:val="sr-Latn-ME"/>
        </w:rPr>
        <w:t>trudnica</w:t>
      </w:r>
      <w:r w:rsidRPr="001F4CE0">
        <w:rPr>
          <w:sz w:val="22"/>
          <w:szCs w:val="22"/>
          <w:lang w:val="sr-Latn-ME"/>
        </w:rPr>
        <w:t xml:space="preserve"> i dojilja (vidjeti dio 4.6) i</w:t>
      </w:r>
      <w:r w:rsidR="001D6356" w:rsidRPr="001F4CE0">
        <w:rPr>
          <w:sz w:val="22"/>
          <w:szCs w:val="22"/>
          <w:lang w:val="sr-Latn-ME"/>
        </w:rPr>
        <w:t xml:space="preserve"> djece (posebno male djece).</w:t>
      </w:r>
      <w:r w:rsidR="00D005BB" w:rsidRPr="001F4CE0">
        <w:rPr>
          <w:sz w:val="22"/>
          <w:szCs w:val="22"/>
          <w:lang w:val="sr-Latn-ME"/>
        </w:rPr>
        <w:t xml:space="preserve"> </w:t>
      </w:r>
    </w:p>
    <w:p w:rsidR="00D005BB" w:rsidRPr="001F4CE0" w:rsidRDefault="00D005BB" w:rsidP="00D005B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1D6356" w:rsidRPr="001F4CE0" w:rsidRDefault="001D6356" w:rsidP="001D635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Primjenjivati isključivo na kožu.</w:t>
      </w:r>
    </w:p>
    <w:p w:rsidR="001D6356" w:rsidRPr="001F4CE0" w:rsidRDefault="001D6356" w:rsidP="001D635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1D6356" w:rsidRPr="001F4CE0" w:rsidRDefault="001D6356" w:rsidP="001D6356">
      <w:pPr>
        <w:tabs>
          <w:tab w:val="left" w:pos="540"/>
          <w:tab w:val="left" w:pos="569"/>
        </w:tabs>
        <w:jc w:val="both"/>
        <w:rPr>
          <w:b/>
          <w:sz w:val="22"/>
          <w:szCs w:val="22"/>
          <w:u w:val="single"/>
          <w:lang w:val="sr-Latn-ME"/>
        </w:rPr>
      </w:pPr>
      <w:r w:rsidRPr="001F4CE0">
        <w:rPr>
          <w:sz w:val="22"/>
          <w:szCs w:val="22"/>
          <w:u w:val="single"/>
          <w:lang w:val="sr-Latn-ME"/>
        </w:rPr>
        <w:t>Djeca</w:t>
      </w:r>
    </w:p>
    <w:p w:rsidR="001D6356" w:rsidRPr="001F4CE0" w:rsidRDefault="001D6356" w:rsidP="001D635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Lijek se oprezno primjenjuje maloj djeci (starijoj od 1 godine).</w:t>
      </w:r>
    </w:p>
    <w:p w:rsidR="00D005BB" w:rsidRPr="001F4CE0" w:rsidRDefault="00D005BB" w:rsidP="00D005B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B7254" w:rsidRPr="001F4CE0" w:rsidRDefault="00AC2DF2" w:rsidP="00D005B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Lijek </w:t>
      </w:r>
      <w:r w:rsidR="00D005BB" w:rsidRPr="001F4CE0">
        <w:rPr>
          <w:sz w:val="22"/>
          <w:szCs w:val="22"/>
          <w:lang w:val="sr-Latn-ME"/>
        </w:rPr>
        <w:t xml:space="preserve">GENTAMICIN </w:t>
      </w:r>
      <w:r w:rsidR="001D6356" w:rsidRPr="001F4CE0">
        <w:rPr>
          <w:caps/>
          <w:sz w:val="22"/>
          <w:szCs w:val="22"/>
          <w:lang w:val="sr-Latn-ME"/>
        </w:rPr>
        <w:t>Bosnalijek</w:t>
      </w:r>
      <w:r w:rsidR="001D6356" w:rsidRPr="001F4CE0">
        <w:rPr>
          <w:sz w:val="22"/>
          <w:szCs w:val="22"/>
          <w:lang w:val="sr-Latn-ME"/>
        </w:rPr>
        <w:t xml:space="preserve"> </w:t>
      </w:r>
      <w:r w:rsidRPr="001F4CE0">
        <w:rPr>
          <w:sz w:val="22"/>
          <w:szCs w:val="22"/>
          <w:lang w:val="sr-Latn-ME"/>
        </w:rPr>
        <w:t xml:space="preserve">mast </w:t>
      </w:r>
      <w:r w:rsidR="00D005BB" w:rsidRPr="001F4CE0">
        <w:rPr>
          <w:sz w:val="22"/>
          <w:szCs w:val="22"/>
          <w:lang w:val="sr-Latn-ME"/>
        </w:rPr>
        <w:t>sadrži metilparahidroksibenzoat</w:t>
      </w:r>
      <w:r w:rsidR="000752E3" w:rsidRPr="001F4CE0">
        <w:rPr>
          <w:sz w:val="22"/>
          <w:szCs w:val="22"/>
          <w:lang w:val="sr-Latn-ME"/>
        </w:rPr>
        <w:t xml:space="preserve"> (E218) </w:t>
      </w:r>
      <w:r w:rsidR="00D005BB" w:rsidRPr="001F4CE0">
        <w:rPr>
          <w:sz w:val="22"/>
          <w:szCs w:val="22"/>
          <w:lang w:val="sr-Latn-ME"/>
        </w:rPr>
        <w:t>i propilparahidroksibenzoat</w:t>
      </w:r>
      <w:r w:rsidR="000752E3" w:rsidRPr="001F4CE0">
        <w:rPr>
          <w:sz w:val="22"/>
          <w:szCs w:val="22"/>
          <w:lang w:val="sr-Latn-ME"/>
        </w:rPr>
        <w:t xml:space="preserve"> (E216),</w:t>
      </w:r>
      <w:r w:rsidR="00C9785D" w:rsidRPr="001F4CE0">
        <w:rPr>
          <w:sz w:val="22"/>
          <w:szCs w:val="22"/>
          <w:lang w:val="sr-Latn-ME"/>
        </w:rPr>
        <w:t xml:space="preserve"> koji mogu </w:t>
      </w:r>
      <w:r w:rsidR="00945648" w:rsidRPr="001F4CE0">
        <w:rPr>
          <w:sz w:val="22"/>
          <w:szCs w:val="22"/>
          <w:lang w:val="sr-Latn-ME"/>
        </w:rPr>
        <w:t>da uzrokuju</w:t>
      </w:r>
      <w:r w:rsidR="00D005BB" w:rsidRPr="001F4CE0">
        <w:rPr>
          <w:sz w:val="22"/>
          <w:szCs w:val="22"/>
          <w:lang w:val="sr-Latn-ME"/>
        </w:rPr>
        <w:t xml:space="preserve"> alergijske reakcije (moguće i reakcije odgođene preosjetljivosti).</w:t>
      </w:r>
    </w:p>
    <w:p w:rsidR="002B7254" w:rsidRPr="001F4CE0" w:rsidRDefault="00D005BB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F4CE0">
        <w:rPr>
          <w:bCs/>
          <w:sz w:val="22"/>
          <w:szCs w:val="22"/>
          <w:u w:val="single"/>
          <w:lang w:val="sr-Latn-ME"/>
        </w:rPr>
        <w:t xml:space="preserve"> </w:t>
      </w:r>
    </w:p>
    <w:p w:rsidR="00411B4B" w:rsidRPr="001F4CE0" w:rsidRDefault="00411B4B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>4.5.</w:t>
      </w:r>
      <w:r w:rsidR="000D60CC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4A7F23" w:rsidRPr="001F4CE0" w:rsidRDefault="004A7F23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0D2B91" w:rsidRPr="001F4CE0" w:rsidRDefault="00D005BB" w:rsidP="000D2B91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Do klinički značajnih interakcija dolazi pri sistemskoj primjeni gentamicina</w:t>
      </w:r>
      <w:r w:rsidR="000D2B91" w:rsidRPr="001F4CE0">
        <w:rPr>
          <w:rFonts w:ascii="Microsoft Sans Serif" w:hAnsi="Microsoft Sans Serif" w:cs="Microsoft Sans Serif"/>
          <w:iCs/>
          <w:sz w:val="20"/>
          <w:szCs w:val="20"/>
          <w:lang w:val="sr-Latn-ME"/>
        </w:rPr>
        <w:t xml:space="preserve"> </w:t>
      </w:r>
      <w:r w:rsidR="000D2B91" w:rsidRPr="001F4CE0">
        <w:rPr>
          <w:iCs/>
          <w:sz w:val="22"/>
          <w:szCs w:val="22"/>
          <w:lang w:val="sr-Latn-ME"/>
        </w:rPr>
        <w:t>ili pri povećanoj apsorpciji topikalno primijenjenog gentamicina.</w:t>
      </w:r>
    </w:p>
    <w:p w:rsidR="000D2B91" w:rsidRPr="001F4CE0" w:rsidRDefault="000D2B91" w:rsidP="000D2B91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</w:p>
    <w:p w:rsidR="000D2B91" w:rsidRPr="001F4CE0" w:rsidRDefault="000D2B91" w:rsidP="000D2B91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r w:rsidRPr="001F4CE0">
        <w:rPr>
          <w:iCs/>
          <w:sz w:val="22"/>
          <w:szCs w:val="22"/>
          <w:lang w:val="sr-Latn-ME"/>
        </w:rPr>
        <w:t>Gentamicin nije kompatibilan s</w:t>
      </w:r>
      <w:r w:rsidR="00CB67D5" w:rsidRPr="001F4CE0">
        <w:rPr>
          <w:iCs/>
          <w:sz w:val="22"/>
          <w:szCs w:val="22"/>
          <w:lang w:val="sr-Latn-ME"/>
        </w:rPr>
        <w:t>a</w:t>
      </w:r>
      <w:r w:rsidRPr="001F4CE0">
        <w:rPr>
          <w:iCs/>
          <w:sz w:val="22"/>
          <w:szCs w:val="22"/>
          <w:lang w:val="sr-Latn-ME"/>
        </w:rPr>
        <w:t xml:space="preserve"> amfotericinom B, heparinom, sulfadiazinom i beta-laktamskim antibioticima (npr. cefalosporinima). </w:t>
      </w:r>
    </w:p>
    <w:p w:rsidR="000D2B91" w:rsidRPr="001F4CE0" w:rsidRDefault="000D2B91" w:rsidP="000D2B91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</w:p>
    <w:p w:rsidR="0072020E" w:rsidRPr="001F4CE0" w:rsidRDefault="0072020E" w:rsidP="004D26A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4.6.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="006D20A5" w:rsidRPr="001F4CE0">
        <w:rPr>
          <w:b/>
          <w:sz w:val="22"/>
          <w:szCs w:val="22"/>
          <w:lang w:val="sr-Latn-ME"/>
        </w:rPr>
        <w:t>Plodnost, trudnoća i dojenje</w:t>
      </w:r>
    </w:p>
    <w:p w:rsidR="004A7F23" w:rsidRPr="001F4CE0" w:rsidRDefault="004A7F23" w:rsidP="004D26A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:rsidR="002B7254" w:rsidRPr="001F4CE0" w:rsidRDefault="00D005BB" w:rsidP="00D005B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Neškodljivost </w:t>
      </w:r>
      <w:r w:rsidR="000D2B91" w:rsidRPr="001F4CE0">
        <w:rPr>
          <w:sz w:val="22"/>
          <w:szCs w:val="22"/>
          <w:lang w:val="sr-Latn-ME"/>
        </w:rPr>
        <w:t xml:space="preserve">topikalne </w:t>
      </w:r>
      <w:r w:rsidRPr="001F4CE0">
        <w:rPr>
          <w:sz w:val="22"/>
          <w:szCs w:val="22"/>
          <w:lang w:val="sr-Latn-ME"/>
        </w:rPr>
        <w:t xml:space="preserve">primjene </w:t>
      </w:r>
      <w:r w:rsidR="00AC2DF2" w:rsidRPr="001F4CE0">
        <w:rPr>
          <w:sz w:val="22"/>
          <w:szCs w:val="22"/>
          <w:lang w:val="sr-Latn-ME"/>
        </w:rPr>
        <w:t xml:space="preserve">lijeka </w:t>
      </w:r>
      <w:r w:rsidR="000D2B91" w:rsidRPr="001F4CE0">
        <w:rPr>
          <w:sz w:val="22"/>
          <w:szCs w:val="22"/>
          <w:lang w:val="sr-Latn-ME"/>
        </w:rPr>
        <w:t>GENTAMICIN BOSNALIJEK</w:t>
      </w:r>
      <w:r w:rsidR="000D2B91" w:rsidRPr="001F4CE0">
        <w:rPr>
          <w:sz w:val="22"/>
          <w:szCs w:val="22"/>
          <w:vertAlign w:val="superscript"/>
          <w:lang w:val="sr-Latn-ME"/>
        </w:rPr>
        <w:t xml:space="preserve"> </w:t>
      </w:r>
      <w:r w:rsidR="000D2B91" w:rsidRPr="001F4CE0">
        <w:rPr>
          <w:sz w:val="22"/>
          <w:szCs w:val="22"/>
          <w:lang w:val="sr-Latn-ME"/>
        </w:rPr>
        <w:t>mast</w:t>
      </w:r>
      <w:r w:rsidR="00AC2DF2" w:rsidRPr="001F4CE0">
        <w:rPr>
          <w:sz w:val="22"/>
          <w:szCs w:val="22"/>
          <w:lang w:val="sr-Latn-ME"/>
        </w:rPr>
        <w:t xml:space="preserve"> </w:t>
      </w:r>
      <w:r w:rsidRPr="001F4CE0">
        <w:rPr>
          <w:sz w:val="22"/>
          <w:szCs w:val="22"/>
          <w:lang w:val="sr-Latn-ME"/>
        </w:rPr>
        <w:t xml:space="preserve">tokom trudnoće i dojenja nije ustanovljena. </w:t>
      </w:r>
      <w:r w:rsidR="000D2B91" w:rsidRPr="001F4CE0">
        <w:rPr>
          <w:sz w:val="22"/>
          <w:szCs w:val="22"/>
          <w:lang w:val="sr-Latn-ME"/>
        </w:rPr>
        <w:t xml:space="preserve">Primjenjuje </w:t>
      </w:r>
      <w:r w:rsidRPr="001F4CE0">
        <w:rPr>
          <w:sz w:val="22"/>
          <w:szCs w:val="22"/>
          <w:lang w:val="sr-Latn-ME"/>
        </w:rPr>
        <w:t>se samo u pojedinim</w:t>
      </w:r>
      <w:r w:rsidR="000D2B91" w:rsidRPr="001F4CE0">
        <w:rPr>
          <w:sz w:val="22"/>
          <w:szCs w:val="22"/>
          <w:lang w:val="sr-Latn-ME"/>
        </w:rPr>
        <w:t>,</w:t>
      </w:r>
      <w:r w:rsidRPr="001F4CE0">
        <w:rPr>
          <w:sz w:val="22"/>
          <w:szCs w:val="22"/>
          <w:lang w:val="sr-Latn-ME"/>
        </w:rPr>
        <w:t xml:space="preserve"> </w:t>
      </w:r>
      <w:r w:rsidR="000D2B91" w:rsidRPr="001F4CE0">
        <w:rPr>
          <w:sz w:val="22"/>
          <w:szCs w:val="22"/>
          <w:lang w:val="sr-Latn-ME"/>
        </w:rPr>
        <w:t>neophodnim</w:t>
      </w:r>
      <w:r w:rsidRPr="001F4CE0">
        <w:rPr>
          <w:sz w:val="22"/>
          <w:szCs w:val="22"/>
          <w:lang w:val="sr-Latn-ME"/>
        </w:rPr>
        <w:t xml:space="preserve"> slučajevima, kada očekivana korist opravdava rizik. Trudnicama i dojiljama se ne </w:t>
      </w:r>
      <w:r w:rsidR="000D2B91" w:rsidRPr="001F4CE0">
        <w:rPr>
          <w:sz w:val="22"/>
          <w:szCs w:val="22"/>
          <w:lang w:val="sr-Latn-ME"/>
        </w:rPr>
        <w:t xml:space="preserve">primjenjuje </w:t>
      </w:r>
      <w:r w:rsidRPr="001F4CE0">
        <w:rPr>
          <w:sz w:val="22"/>
          <w:szCs w:val="22"/>
          <w:lang w:val="sr-Latn-ME"/>
        </w:rPr>
        <w:t>ako je površina oboljele kože veoma velika.</w:t>
      </w:r>
    </w:p>
    <w:p w:rsidR="000D2B91" w:rsidRPr="001F4CE0" w:rsidRDefault="000D2B91" w:rsidP="000D2B91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Nakon sistemske primjene, gentamicin prol</w:t>
      </w:r>
      <w:r w:rsidR="00945648" w:rsidRPr="001F4CE0">
        <w:rPr>
          <w:sz w:val="22"/>
          <w:szCs w:val="22"/>
          <w:lang w:val="sr-Latn-ME"/>
        </w:rPr>
        <w:t>azi kroz placentarnu barijeru  i</w:t>
      </w:r>
      <w:r w:rsidRPr="001F4CE0">
        <w:rPr>
          <w:sz w:val="22"/>
          <w:szCs w:val="22"/>
          <w:lang w:val="sr-Latn-ME"/>
        </w:rPr>
        <w:t xml:space="preserve"> u malim količinama </w:t>
      </w:r>
      <w:r w:rsidR="00945648" w:rsidRPr="001F4CE0">
        <w:rPr>
          <w:sz w:val="22"/>
          <w:szCs w:val="22"/>
          <w:lang w:val="sr-Latn-ME"/>
        </w:rPr>
        <w:t xml:space="preserve">se </w:t>
      </w:r>
      <w:r w:rsidRPr="001F4CE0">
        <w:rPr>
          <w:sz w:val="22"/>
          <w:szCs w:val="22"/>
          <w:lang w:val="sr-Latn-ME"/>
        </w:rPr>
        <w:t xml:space="preserve">izlučuje u majčino mlijeko. </w:t>
      </w:r>
    </w:p>
    <w:p w:rsidR="000D2B91" w:rsidRPr="001F4CE0" w:rsidRDefault="000D2B91" w:rsidP="00D005B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</w:p>
    <w:p w:rsidR="0072020E" w:rsidRPr="001F4CE0" w:rsidRDefault="0072020E" w:rsidP="004D26A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4.7.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 xml:space="preserve">Uticaj na </w:t>
      </w:r>
      <w:r w:rsidR="002031B3" w:rsidRPr="001F4CE0">
        <w:rPr>
          <w:b/>
          <w:bCs/>
          <w:sz w:val="22"/>
          <w:szCs w:val="22"/>
          <w:lang w:val="sr-Latn-ME"/>
        </w:rPr>
        <w:t xml:space="preserve">sposobnost </w:t>
      </w:r>
      <w:r w:rsidR="00F34554" w:rsidRPr="001F4CE0">
        <w:rPr>
          <w:b/>
          <w:bCs/>
          <w:sz w:val="22"/>
          <w:szCs w:val="22"/>
          <w:lang w:val="sr-Latn-ME"/>
        </w:rPr>
        <w:t>upravljanja vozili</w:t>
      </w:r>
      <w:r w:rsidRPr="001F4CE0">
        <w:rPr>
          <w:b/>
          <w:bCs/>
          <w:sz w:val="22"/>
          <w:szCs w:val="22"/>
          <w:lang w:val="sr-Latn-ME"/>
        </w:rPr>
        <w:t>m</w:t>
      </w:r>
      <w:r w:rsidR="00F34554" w:rsidRPr="001F4CE0">
        <w:rPr>
          <w:b/>
          <w:bCs/>
          <w:sz w:val="22"/>
          <w:szCs w:val="22"/>
          <w:lang w:val="sr-Latn-ME"/>
        </w:rPr>
        <w:t>a</w:t>
      </w:r>
      <w:r w:rsidRPr="001F4CE0">
        <w:rPr>
          <w:b/>
          <w:bCs/>
          <w:sz w:val="22"/>
          <w:szCs w:val="22"/>
          <w:lang w:val="sr-Latn-ME"/>
        </w:rPr>
        <w:t xml:space="preserve"> i </w:t>
      </w:r>
      <w:r w:rsidR="000D3449" w:rsidRPr="001F4CE0">
        <w:rPr>
          <w:b/>
          <w:bCs/>
          <w:sz w:val="22"/>
          <w:szCs w:val="22"/>
          <w:lang w:val="sr-Latn-ME"/>
        </w:rPr>
        <w:t xml:space="preserve">rukovanje </w:t>
      </w:r>
      <w:r w:rsidRPr="001F4CE0">
        <w:rPr>
          <w:b/>
          <w:bCs/>
          <w:sz w:val="22"/>
          <w:szCs w:val="22"/>
          <w:lang w:val="sr-Latn-ME"/>
        </w:rPr>
        <w:t>mašinama</w:t>
      </w:r>
    </w:p>
    <w:p w:rsidR="0072020E" w:rsidRPr="001F4CE0" w:rsidRDefault="0072020E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3F16A5" w:rsidRPr="001F4CE0" w:rsidRDefault="00AC2DF2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Lijek </w:t>
      </w:r>
      <w:r w:rsidR="00D005BB" w:rsidRPr="001F4CE0">
        <w:rPr>
          <w:sz w:val="22"/>
          <w:szCs w:val="22"/>
          <w:lang w:val="sr-Latn-ME"/>
        </w:rPr>
        <w:t xml:space="preserve">GENTAMICIN </w:t>
      </w:r>
      <w:r w:rsidR="000D2B91" w:rsidRPr="001F4CE0">
        <w:rPr>
          <w:sz w:val="22"/>
          <w:szCs w:val="22"/>
          <w:lang w:val="sr-Latn-ME"/>
        </w:rPr>
        <w:t>BOSNALIJEK</w:t>
      </w:r>
      <w:r w:rsidR="000D2B91" w:rsidRPr="001F4CE0">
        <w:rPr>
          <w:sz w:val="22"/>
          <w:szCs w:val="22"/>
          <w:vertAlign w:val="superscript"/>
          <w:lang w:val="sr-Latn-ME"/>
        </w:rPr>
        <w:t xml:space="preserve"> </w:t>
      </w:r>
      <w:r w:rsidR="000D2B91" w:rsidRPr="001F4CE0">
        <w:rPr>
          <w:sz w:val="22"/>
          <w:szCs w:val="22"/>
          <w:lang w:val="sr-Latn-ME"/>
        </w:rPr>
        <w:t xml:space="preserve">mast </w:t>
      </w:r>
      <w:r w:rsidR="00D005BB" w:rsidRPr="001F4CE0">
        <w:rPr>
          <w:sz w:val="22"/>
          <w:szCs w:val="22"/>
          <w:lang w:val="sr-Latn-ME"/>
        </w:rPr>
        <w:t xml:space="preserve">ne utiče na sposobnost </w:t>
      </w:r>
      <w:r w:rsidR="00744BA2" w:rsidRPr="001F4CE0">
        <w:rPr>
          <w:sz w:val="22"/>
          <w:szCs w:val="22"/>
          <w:lang w:val="sr-Latn-ME"/>
        </w:rPr>
        <w:t xml:space="preserve">pacijenata </w:t>
      </w:r>
      <w:r w:rsidR="00D005BB" w:rsidRPr="001F4CE0">
        <w:rPr>
          <w:sz w:val="22"/>
          <w:szCs w:val="22"/>
          <w:lang w:val="sr-Latn-ME"/>
        </w:rPr>
        <w:t>pri upravljanju vozilima i radu na mašinama, budući da je apsorpcija zanemariva.</w:t>
      </w:r>
    </w:p>
    <w:p w:rsidR="00A735DF" w:rsidRPr="001F4CE0" w:rsidRDefault="00A735DF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4.8.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Neželjena dejstva</w:t>
      </w:r>
    </w:p>
    <w:p w:rsidR="004A7F23" w:rsidRPr="001F4CE0" w:rsidRDefault="004A7F23" w:rsidP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:rsidR="000D2B91" w:rsidRPr="001F4CE0" w:rsidRDefault="000D2B91" w:rsidP="000D2B9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Učestalost ispoljavanja neželjenih dejstava definisana je na sljedeći način:</w:t>
      </w:r>
    </w:p>
    <w:p w:rsidR="000D2B91" w:rsidRPr="001F4CE0" w:rsidRDefault="000D2B91" w:rsidP="00D005B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:rsidR="00D005BB" w:rsidRPr="001F4CE0" w:rsidRDefault="000D2B91" w:rsidP="00D24822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v</w:t>
      </w:r>
      <w:r w:rsidR="000752E3" w:rsidRPr="001F4CE0">
        <w:rPr>
          <w:rFonts w:eastAsia="Calibri"/>
          <w:sz w:val="22"/>
          <w:szCs w:val="22"/>
          <w:lang w:val="sr-Latn-ME"/>
        </w:rPr>
        <w:t>rlo često (≥</w:t>
      </w:r>
      <w:r w:rsidR="00D005BB" w:rsidRPr="001F4CE0">
        <w:rPr>
          <w:rFonts w:eastAsia="Calibri"/>
          <w:sz w:val="22"/>
          <w:szCs w:val="22"/>
          <w:lang w:val="sr-Latn-ME"/>
        </w:rPr>
        <w:t>1/10)</w:t>
      </w:r>
    </w:p>
    <w:p w:rsidR="00D005BB" w:rsidRPr="001F4CE0" w:rsidRDefault="000D2B91" w:rsidP="00D24822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č</w:t>
      </w:r>
      <w:r w:rsidR="000752E3" w:rsidRPr="001F4CE0">
        <w:rPr>
          <w:rFonts w:eastAsia="Calibri"/>
          <w:sz w:val="22"/>
          <w:szCs w:val="22"/>
          <w:lang w:val="sr-Latn-ME"/>
        </w:rPr>
        <w:t>esto (≥</w:t>
      </w:r>
      <w:r w:rsidR="00D005BB" w:rsidRPr="001F4CE0">
        <w:rPr>
          <w:rFonts w:eastAsia="Calibri"/>
          <w:sz w:val="22"/>
          <w:szCs w:val="22"/>
          <w:lang w:val="sr-Latn-ME"/>
        </w:rPr>
        <w:t>1/100 i &lt;1/10)</w:t>
      </w:r>
    </w:p>
    <w:p w:rsidR="00D005BB" w:rsidRPr="001F4CE0" w:rsidRDefault="000D2B91" w:rsidP="00D24822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m</w:t>
      </w:r>
      <w:r w:rsidR="000752E3" w:rsidRPr="001F4CE0">
        <w:rPr>
          <w:rFonts w:eastAsia="Calibri"/>
          <w:sz w:val="22"/>
          <w:szCs w:val="22"/>
          <w:lang w:val="sr-Latn-ME"/>
        </w:rPr>
        <w:t>anje često (≥</w:t>
      </w:r>
      <w:r w:rsidR="00D005BB" w:rsidRPr="001F4CE0">
        <w:rPr>
          <w:rFonts w:eastAsia="Calibri"/>
          <w:sz w:val="22"/>
          <w:szCs w:val="22"/>
          <w:lang w:val="sr-Latn-ME"/>
        </w:rPr>
        <w:t>1/1000 i &lt;1/100)</w:t>
      </w:r>
    </w:p>
    <w:p w:rsidR="00D005BB" w:rsidRPr="001F4CE0" w:rsidRDefault="000D2B91" w:rsidP="00D24822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r</w:t>
      </w:r>
      <w:r w:rsidR="000752E3" w:rsidRPr="001F4CE0">
        <w:rPr>
          <w:rFonts w:eastAsia="Calibri"/>
          <w:sz w:val="22"/>
          <w:szCs w:val="22"/>
          <w:lang w:val="sr-Latn-ME"/>
        </w:rPr>
        <w:t>ijetko (≥</w:t>
      </w:r>
      <w:r w:rsidR="00D005BB" w:rsidRPr="001F4CE0">
        <w:rPr>
          <w:rFonts w:eastAsia="Calibri"/>
          <w:sz w:val="22"/>
          <w:szCs w:val="22"/>
          <w:lang w:val="sr-Latn-ME"/>
        </w:rPr>
        <w:t>1/10 000 i &lt;1/1000)</w:t>
      </w:r>
    </w:p>
    <w:p w:rsidR="00D005BB" w:rsidRPr="001F4CE0" w:rsidRDefault="000D2B91" w:rsidP="00D24822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v</w:t>
      </w:r>
      <w:r w:rsidR="00D005BB" w:rsidRPr="001F4CE0">
        <w:rPr>
          <w:rFonts w:eastAsia="Calibri"/>
          <w:sz w:val="22"/>
          <w:szCs w:val="22"/>
          <w:lang w:val="sr-Latn-ME"/>
        </w:rPr>
        <w:t>rlo rijetko (&lt;1/10 000)</w:t>
      </w:r>
    </w:p>
    <w:p w:rsidR="00D005BB" w:rsidRPr="001F4CE0" w:rsidRDefault="000D2B91" w:rsidP="00D24822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n</w:t>
      </w:r>
      <w:r w:rsidR="00D005BB" w:rsidRPr="001F4CE0">
        <w:rPr>
          <w:rFonts w:eastAsia="Calibri"/>
          <w:sz w:val="22"/>
          <w:szCs w:val="22"/>
          <w:lang w:val="sr-Latn-ME"/>
        </w:rPr>
        <w:t>epoznato (ne može se procijeniti iz dostupnih podataka)</w:t>
      </w:r>
    </w:p>
    <w:p w:rsidR="000752E3" w:rsidRPr="001F4CE0" w:rsidRDefault="000752E3" w:rsidP="00D005B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47"/>
      </w:tblGrid>
      <w:tr w:rsidR="004329F6" w:rsidRPr="001F4CE0" w:rsidTr="00D24822">
        <w:tc>
          <w:tcPr>
            <w:tcW w:w="4528" w:type="dxa"/>
            <w:shd w:val="clear" w:color="auto" w:fill="auto"/>
          </w:tcPr>
          <w:p w:rsidR="00E73A89" w:rsidRPr="001F4CE0" w:rsidRDefault="000752E3" w:rsidP="00B268C7">
            <w:pPr>
              <w:jc w:val="both"/>
              <w:rPr>
                <w:b/>
                <w:iCs/>
                <w:sz w:val="22"/>
                <w:szCs w:val="22"/>
                <w:lang w:val="sr-Latn-ME"/>
              </w:rPr>
            </w:pPr>
            <w:r w:rsidRPr="001F4CE0">
              <w:rPr>
                <w:b/>
                <w:iCs/>
                <w:sz w:val="22"/>
                <w:szCs w:val="22"/>
                <w:lang w:val="sr-Latn-ME"/>
              </w:rPr>
              <w:t>Poremećaji imunog sistema</w:t>
            </w:r>
          </w:p>
          <w:p w:rsidR="000752E3" w:rsidRPr="001F4CE0" w:rsidRDefault="00E73A89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  <w:r w:rsidRPr="001F4CE0">
              <w:rPr>
                <w:bCs/>
                <w:iCs/>
                <w:sz w:val="22"/>
                <w:szCs w:val="22"/>
                <w:lang w:val="sr-Latn-ME"/>
              </w:rPr>
              <w:t>Vrlo rijetko</w:t>
            </w:r>
            <w:r w:rsidR="000752E3" w:rsidRPr="001F4CE0">
              <w:rPr>
                <w:i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547" w:type="dxa"/>
            <w:shd w:val="clear" w:color="auto" w:fill="auto"/>
          </w:tcPr>
          <w:p w:rsidR="000752E3" w:rsidRPr="001F4CE0" w:rsidRDefault="00E73A89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  <w:r w:rsidRPr="001F4CE0">
              <w:rPr>
                <w:iCs/>
                <w:sz w:val="22"/>
                <w:szCs w:val="22"/>
                <w:lang w:val="sr-Latn-ME"/>
              </w:rPr>
              <w:t>fotosenzibilnost</w:t>
            </w:r>
          </w:p>
        </w:tc>
      </w:tr>
      <w:tr w:rsidR="004329F6" w:rsidRPr="001F4CE0" w:rsidTr="00D24822">
        <w:tc>
          <w:tcPr>
            <w:tcW w:w="4528" w:type="dxa"/>
            <w:shd w:val="clear" w:color="auto" w:fill="auto"/>
          </w:tcPr>
          <w:p w:rsidR="000752E3" w:rsidRPr="001F4CE0" w:rsidRDefault="000752E3" w:rsidP="00B268C7">
            <w:pPr>
              <w:jc w:val="both"/>
              <w:rPr>
                <w:b/>
                <w:iCs/>
                <w:sz w:val="22"/>
                <w:szCs w:val="22"/>
                <w:lang w:val="sr-Latn-ME"/>
              </w:rPr>
            </w:pPr>
            <w:r w:rsidRPr="001F4CE0">
              <w:rPr>
                <w:b/>
                <w:iCs/>
                <w:sz w:val="22"/>
                <w:szCs w:val="22"/>
                <w:lang w:val="sr-Latn-ME"/>
              </w:rPr>
              <w:t>Poremećaji kože i potkožnog tkiva</w:t>
            </w:r>
          </w:p>
          <w:p w:rsidR="00E73A89" w:rsidRPr="001F4CE0" w:rsidRDefault="00E73A89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  <w:r w:rsidRPr="001F4CE0">
              <w:rPr>
                <w:bCs/>
                <w:iCs/>
                <w:sz w:val="22"/>
                <w:szCs w:val="22"/>
                <w:lang w:val="sr-Latn-ME"/>
              </w:rPr>
              <w:t>Vrlo rijetko</w:t>
            </w:r>
          </w:p>
        </w:tc>
        <w:tc>
          <w:tcPr>
            <w:tcW w:w="4547" w:type="dxa"/>
            <w:shd w:val="clear" w:color="auto" w:fill="auto"/>
          </w:tcPr>
          <w:p w:rsidR="000752E3" w:rsidRPr="001F4CE0" w:rsidRDefault="000752E3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  <w:r w:rsidRPr="001F4CE0">
              <w:rPr>
                <w:iCs/>
                <w:sz w:val="22"/>
                <w:szCs w:val="22"/>
                <w:lang w:val="sr-Latn-ME"/>
              </w:rPr>
              <w:t>blagi podražaj kože (eritem i svrbež)</w:t>
            </w:r>
          </w:p>
        </w:tc>
      </w:tr>
      <w:tr w:rsidR="00E73A89" w:rsidRPr="001F4CE0" w:rsidTr="00E73A89">
        <w:tc>
          <w:tcPr>
            <w:tcW w:w="4528" w:type="dxa"/>
            <w:shd w:val="clear" w:color="auto" w:fill="auto"/>
          </w:tcPr>
          <w:p w:rsidR="00E73A89" w:rsidRPr="001F4CE0" w:rsidRDefault="00E73A89" w:rsidP="00B268C7">
            <w:pPr>
              <w:jc w:val="both"/>
              <w:rPr>
                <w:b/>
                <w:iCs/>
                <w:sz w:val="22"/>
                <w:szCs w:val="22"/>
                <w:lang w:val="sr-Latn-ME"/>
              </w:rPr>
            </w:pPr>
            <w:r w:rsidRPr="001F4CE0">
              <w:rPr>
                <w:b/>
                <w:iCs/>
                <w:sz w:val="22"/>
                <w:szCs w:val="22"/>
                <w:lang w:val="sr-Latn-ME"/>
              </w:rPr>
              <w:t>Poremećaji uha i labirinta</w:t>
            </w:r>
          </w:p>
          <w:p w:rsidR="00E73A89" w:rsidRPr="001F4CE0" w:rsidRDefault="00E73A89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  <w:r w:rsidRPr="001F4CE0">
              <w:rPr>
                <w:iCs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4547" w:type="dxa"/>
            <w:shd w:val="clear" w:color="auto" w:fill="auto"/>
          </w:tcPr>
          <w:p w:rsidR="00E73A89" w:rsidRPr="001F4CE0" w:rsidRDefault="00E73A89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</w:p>
          <w:p w:rsidR="00E73A89" w:rsidRPr="001F4CE0" w:rsidRDefault="00E73A89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  <w:r w:rsidRPr="001F4CE0">
              <w:rPr>
                <w:iCs/>
                <w:sz w:val="22"/>
                <w:szCs w:val="22"/>
                <w:lang w:val="sr-Latn-ME"/>
              </w:rPr>
              <w:t>ototoksičnost*</w:t>
            </w:r>
          </w:p>
        </w:tc>
      </w:tr>
      <w:tr w:rsidR="00E73A89" w:rsidRPr="001F4CE0" w:rsidTr="00E73A89">
        <w:tc>
          <w:tcPr>
            <w:tcW w:w="4528" w:type="dxa"/>
            <w:shd w:val="clear" w:color="auto" w:fill="auto"/>
          </w:tcPr>
          <w:p w:rsidR="00E73A89" w:rsidRPr="001F4CE0" w:rsidRDefault="00E73A89" w:rsidP="00B268C7">
            <w:pPr>
              <w:jc w:val="both"/>
              <w:rPr>
                <w:b/>
                <w:iCs/>
                <w:sz w:val="22"/>
                <w:szCs w:val="22"/>
                <w:lang w:val="sr-Latn-ME"/>
              </w:rPr>
            </w:pPr>
            <w:r w:rsidRPr="001F4CE0">
              <w:rPr>
                <w:b/>
                <w:iCs/>
                <w:sz w:val="22"/>
                <w:szCs w:val="22"/>
                <w:lang w:val="sr-Latn-ME"/>
              </w:rPr>
              <w:t>Poremećaji bubrega i mokraćnog sistema</w:t>
            </w:r>
          </w:p>
          <w:p w:rsidR="00E73A89" w:rsidRPr="001F4CE0" w:rsidRDefault="00E73A89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  <w:r w:rsidRPr="001F4CE0">
              <w:rPr>
                <w:iCs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4547" w:type="dxa"/>
            <w:shd w:val="clear" w:color="auto" w:fill="auto"/>
          </w:tcPr>
          <w:p w:rsidR="00E73A89" w:rsidRPr="001F4CE0" w:rsidRDefault="00E73A89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</w:p>
          <w:p w:rsidR="00E73A89" w:rsidRPr="001F4CE0" w:rsidRDefault="00E73A89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  <w:r w:rsidRPr="001F4CE0">
              <w:rPr>
                <w:iCs/>
                <w:sz w:val="22"/>
                <w:szCs w:val="22"/>
                <w:lang w:val="sr-Latn-ME"/>
              </w:rPr>
              <w:t>nefrotoksičnost*</w:t>
            </w:r>
          </w:p>
        </w:tc>
      </w:tr>
      <w:tr w:rsidR="004329F6" w:rsidRPr="001F4CE0" w:rsidTr="00D24822">
        <w:tc>
          <w:tcPr>
            <w:tcW w:w="4528" w:type="dxa"/>
            <w:shd w:val="clear" w:color="auto" w:fill="auto"/>
          </w:tcPr>
          <w:p w:rsidR="000752E3" w:rsidRPr="001F4CE0" w:rsidRDefault="000752E3" w:rsidP="00B268C7">
            <w:pPr>
              <w:jc w:val="both"/>
              <w:rPr>
                <w:b/>
                <w:iCs/>
                <w:sz w:val="22"/>
                <w:szCs w:val="22"/>
                <w:lang w:val="sr-Latn-ME"/>
              </w:rPr>
            </w:pPr>
            <w:r w:rsidRPr="001F4CE0">
              <w:rPr>
                <w:b/>
                <w:iCs/>
                <w:sz w:val="22"/>
                <w:szCs w:val="22"/>
                <w:lang w:val="sr-Latn-ME"/>
              </w:rPr>
              <w:t>Opšti poremećaji i reakcije na mjestu primjene</w:t>
            </w:r>
          </w:p>
          <w:p w:rsidR="00E73A89" w:rsidRPr="001F4CE0" w:rsidRDefault="00E73A89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  <w:r w:rsidRPr="001F4CE0">
              <w:rPr>
                <w:bCs/>
                <w:iCs/>
                <w:sz w:val="22"/>
                <w:szCs w:val="22"/>
                <w:lang w:val="sr-Latn-ME"/>
              </w:rPr>
              <w:t>Vrlo rijetko</w:t>
            </w:r>
          </w:p>
        </w:tc>
        <w:tc>
          <w:tcPr>
            <w:tcW w:w="4547" w:type="dxa"/>
            <w:shd w:val="clear" w:color="auto" w:fill="auto"/>
          </w:tcPr>
          <w:p w:rsidR="000752E3" w:rsidRPr="001F4CE0" w:rsidRDefault="000752E3" w:rsidP="00B268C7">
            <w:pPr>
              <w:jc w:val="both"/>
              <w:rPr>
                <w:iCs/>
                <w:sz w:val="22"/>
                <w:szCs w:val="22"/>
                <w:lang w:val="sr-Latn-ME"/>
              </w:rPr>
            </w:pPr>
            <w:r w:rsidRPr="001F4CE0">
              <w:rPr>
                <w:iCs/>
                <w:sz w:val="22"/>
                <w:szCs w:val="22"/>
                <w:lang w:val="sr-Latn-ME"/>
              </w:rPr>
              <w:t>prekomjeran rast neosjetljivih organizama, npr. gljivica</w:t>
            </w:r>
          </w:p>
        </w:tc>
      </w:tr>
    </w:tbl>
    <w:p w:rsidR="00E73A89" w:rsidRPr="001F4CE0" w:rsidRDefault="000752E3" w:rsidP="00E73A89">
      <w:p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 xml:space="preserve"> </w:t>
      </w:r>
      <w:r w:rsidR="00E73A89" w:rsidRPr="001F4CE0">
        <w:rPr>
          <w:rFonts w:eastAsia="Calibri"/>
          <w:iCs/>
          <w:sz w:val="22"/>
          <w:szCs w:val="22"/>
          <w:lang w:val="sr-Latn-ME"/>
        </w:rPr>
        <w:t xml:space="preserve">*mogu </w:t>
      </w:r>
      <w:r w:rsidR="00870C57" w:rsidRPr="001F4CE0">
        <w:rPr>
          <w:rFonts w:eastAsia="Calibri"/>
          <w:iCs/>
          <w:sz w:val="22"/>
          <w:szCs w:val="22"/>
          <w:lang w:val="sr-Latn-ME"/>
        </w:rPr>
        <w:t>da se jave</w:t>
      </w:r>
      <w:r w:rsidR="00E73A89" w:rsidRPr="001F4CE0">
        <w:rPr>
          <w:rFonts w:eastAsia="Calibri"/>
          <w:iCs/>
          <w:sz w:val="22"/>
          <w:szCs w:val="22"/>
          <w:lang w:val="sr-Latn-ME"/>
        </w:rPr>
        <w:t xml:space="preserve"> pri dugotrajnoj primjeni, primjeni na velikoj površini kože ili na oštećenoj koži zbog sistemske toksičnosti gentamicina. </w:t>
      </w:r>
    </w:p>
    <w:p w:rsidR="00E73A89" w:rsidRPr="001F4CE0" w:rsidRDefault="00E73A89" w:rsidP="00E73A89">
      <w:p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  <w:u w:val="single"/>
          <w:lang w:val="sr-Latn-ME"/>
        </w:rPr>
      </w:pPr>
    </w:p>
    <w:p w:rsidR="00E73A89" w:rsidRPr="001F4CE0" w:rsidRDefault="00E73A89" w:rsidP="00E73A89">
      <w:p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  <w:u w:val="single"/>
          <w:lang w:val="sr-Latn-ME"/>
        </w:rPr>
      </w:pPr>
      <w:r w:rsidRPr="001F4CE0">
        <w:rPr>
          <w:rFonts w:eastAsia="Calibri"/>
          <w:iCs/>
          <w:sz w:val="22"/>
          <w:szCs w:val="22"/>
          <w:u w:val="single"/>
          <w:lang w:val="sr-Latn-ME"/>
        </w:rPr>
        <w:t>Djeca</w:t>
      </w:r>
    </w:p>
    <w:p w:rsidR="00E73A89" w:rsidRPr="001F4CE0" w:rsidRDefault="00E73A89" w:rsidP="00E73A89">
      <w:p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  <w:lang w:val="sr-Latn-ME"/>
        </w:rPr>
      </w:pPr>
      <w:r w:rsidRPr="001F4CE0">
        <w:rPr>
          <w:rFonts w:eastAsia="Calibri"/>
          <w:iCs/>
          <w:sz w:val="22"/>
          <w:szCs w:val="22"/>
          <w:lang w:val="sr-Latn-ME"/>
        </w:rPr>
        <w:t>Veća je mogućnost da dođe do neželjenih dejstava kod male djece i starijih ljudi koji već imaju oštećenje sluha ili bubrega.</w:t>
      </w:r>
    </w:p>
    <w:p w:rsidR="000752E3" w:rsidRPr="001F4CE0" w:rsidRDefault="00E73A89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 xml:space="preserve"> </w:t>
      </w:r>
    </w:p>
    <w:p w:rsidR="002B7254" w:rsidRPr="001F4CE0" w:rsidRDefault="002B7254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1F4CE0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965606" w:rsidRPr="001F4CE0" w:rsidRDefault="002B7254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 xml:space="preserve">Prijavljivanje neželjenih dejstava nakon dobijanja dozvole je od velikog značaja jer obezbjeđuje kontinuirano praćenje odnosa korist /rizik  primjene lijeka. Zdravstveni radnici treba da prijave svaku sumnju na neželjeno dejstvo ovog lijeka </w:t>
      </w:r>
      <w:r w:rsidR="00CD77A0" w:rsidRPr="001F4CE0">
        <w:rPr>
          <w:rFonts w:eastAsia="Calibri"/>
          <w:sz w:val="22"/>
          <w:szCs w:val="22"/>
          <w:lang w:val="sr-Latn-ME"/>
        </w:rPr>
        <w:t>Institutu za ljekove i medicinska sredstva (CInMED):</w:t>
      </w:r>
    </w:p>
    <w:p w:rsidR="005A19EB" w:rsidRPr="001F4CE0" w:rsidRDefault="005A19EB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:rsidR="00CD77A0" w:rsidRPr="001F4CE0" w:rsidRDefault="00CD77A0" w:rsidP="00CD77A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 xml:space="preserve">Institut za ljekove i medicinska sredstva  </w:t>
      </w:r>
    </w:p>
    <w:p w:rsidR="002B7254" w:rsidRPr="001F4CE0" w:rsidRDefault="002B7254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Odjeljenje za farmakovigilancu</w:t>
      </w:r>
    </w:p>
    <w:p w:rsidR="002B7254" w:rsidRPr="001F4CE0" w:rsidRDefault="002B7254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965606" w:rsidRPr="001F4CE0" w:rsidRDefault="00965606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:rsidR="002B7254" w:rsidRPr="001F4CE0" w:rsidRDefault="002B7254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tel: +382 (0) 20 310 280</w:t>
      </w:r>
    </w:p>
    <w:p w:rsidR="002B7254" w:rsidRPr="001F4CE0" w:rsidRDefault="002B7254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fax:+382 (0) 20 310 581</w:t>
      </w:r>
    </w:p>
    <w:p w:rsidR="00CD77A0" w:rsidRPr="001F4CE0" w:rsidRDefault="00990D95" w:rsidP="00CD77A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CD77A0" w:rsidRPr="001F4CE0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:rsidR="00CD77A0" w:rsidRPr="001F4CE0" w:rsidRDefault="00990D95" w:rsidP="00CD77A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  <w:hyperlink r:id="rId9" w:history="1">
        <w:r w:rsidR="00CD77A0" w:rsidRPr="001F4CE0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:rsidR="00CD77A0" w:rsidRPr="001F4CE0" w:rsidRDefault="00CD77A0" w:rsidP="00CD77A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putem IS zdravstvene zaštite</w:t>
      </w:r>
    </w:p>
    <w:p w:rsidR="00CD77A0" w:rsidRPr="001F4CE0" w:rsidRDefault="00CD77A0" w:rsidP="00CD77A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:rsidR="00CD77A0" w:rsidRPr="001F4CE0" w:rsidRDefault="00CD77A0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 xml:space="preserve"> </w:t>
      </w:r>
    </w:p>
    <w:p w:rsidR="00D65A3F" w:rsidRPr="001F4CE0" w:rsidRDefault="00297F79" w:rsidP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3A6175B8" wp14:editId="47EDE9B6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254" w:rsidRPr="001F4CE0" w:rsidRDefault="002B7254" w:rsidP="004D26A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:rsidR="00CD6F02" w:rsidRPr="001F4CE0" w:rsidRDefault="0072020E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4.9.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Predoziranje</w:t>
      </w:r>
      <w:r w:rsidR="002846DB" w:rsidRPr="001F4CE0">
        <w:rPr>
          <w:b/>
          <w:bCs/>
          <w:sz w:val="22"/>
          <w:szCs w:val="22"/>
          <w:lang w:val="sr-Latn-ME"/>
        </w:rPr>
        <w:t xml:space="preserve"> </w:t>
      </w:r>
    </w:p>
    <w:p w:rsidR="004A7F23" w:rsidRPr="001F4CE0" w:rsidRDefault="004A7F23" w:rsidP="004D26A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:rsidR="00CD77A0" w:rsidRPr="001F4CE0" w:rsidRDefault="00CD77A0" w:rsidP="00CD77A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Nakon </w:t>
      </w:r>
      <w:r w:rsidR="00870C57" w:rsidRPr="001F4CE0">
        <w:rPr>
          <w:sz w:val="22"/>
          <w:szCs w:val="22"/>
          <w:lang w:val="sr-Latn-ME"/>
        </w:rPr>
        <w:t>dugotrajne topikalne primjene i</w:t>
      </w:r>
      <w:r w:rsidRPr="001F4CE0">
        <w:rPr>
          <w:sz w:val="22"/>
          <w:szCs w:val="22"/>
          <w:lang w:val="sr-Latn-ME"/>
        </w:rPr>
        <w:t xml:space="preserve"> primjene na većim ili erodiranim površinama može </w:t>
      </w:r>
      <w:r w:rsidR="00870C57" w:rsidRPr="001F4CE0">
        <w:rPr>
          <w:sz w:val="22"/>
          <w:szCs w:val="22"/>
          <w:lang w:val="sr-Latn-ME"/>
        </w:rPr>
        <w:t>da dođe</w:t>
      </w:r>
      <w:r w:rsidRPr="001F4CE0">
        <w:rPr>
          <w:sz w:val="22"/>
          <w:szCs w:val="22"/>
          <w:lang w:val="sr-Latn-ME"/>
        </w:rPr>
        <w:t xml:space="preserve"> do sistemskih efekata gentamicina: ototoksičnost, nefrotoksičnost.</w:t>
      </w:r>
    </w:p>
    <w:p w:rsidR="0072020E" w:rsidRPr="001F4CE0" w:rsidRDefault="00F6201D" w:rsidP="005F6265">
      <w:pPr>
        <w:rPr>
          <w:b/>
          <w:bCs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br w:type="page"/>
      </w:r>
      <w:r w:rsidR="0072020E" w:rsidRPr="001F4CE0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="0072020E" w:rsidRPr="001F4CE0">
        <w:rPr>
          <w:b/>
          <w:bCs/>
          <w:sz w:val="22"/>
          <w:szCs w:val="22"/>
          <w:lang w:val="sr-Latn-ME"/>
        </w:rPr>
        <w:t>FARMAKOLOŠK</w:t>
      </w:r>
      <w:r w:rsidR="000D425A" w:rsidRPr="001F4CE0">
        <w:rPr>
          <w:b/>
          <w:bCs/>
          <w:sz w:val="22"/>
          <w:szCs w:val="22"/>
          <w:lang w:val="sr-Latn-ME"/>
        </w:rPr>
        <w:t>I</w:t>
      </w:r>
      <w:r w:rsidR="0072020E" w:rsidRPr="001F4CE0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1F4CE0" w:rsidRDefault="0072020E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1F4CE0" w:rsidRDefault="0072020E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5.1.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Farmakodinamski podaci</w:t>
      </w:r>
      <w:r w:rsidR="003A7059" w:rsidRPr="001F4CE0">
        <w:rPr>
          <w:b/>
          <w:bCs/>
          <w:sz w:val="22"/>
          <w:szCs w:val="22"/>
          <w:lang w:val="sr-Latn-ME"/>
        </w:rPr>
        <w:t xml:space="preserve"> </w:t>
      </w:r>
    </w:p>
    <w:p w:rsidR="00F45F77" w:rsidRPr="001F4CE0" w:rsidRDefault="00F45F77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C643C2" w:rsidRPr="001F4CE0" w:rsidRDefault="001A2817" w:rsidP="000752E3">
      <w:pPr>
        <w:jc w:val="both"/>
        <w:rPr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 xml:space="preserve">Farmakoterapijska grupa: </w:t>
      </w:r>
      <w:r w:rsidR="000752E3" w:rsidRPr="001F4CE0">
        <w:rPr>
          <w:sz w:val="22"/>
          <w:szCs w:val="22"/>
          <w:lang w:val="sr-Latn-ME"/>
        </w:rPr>
        <w:t xml:space="preserve">Ostali antibiotici za lokalnu primjenu. </w:t>
      </w:r>
    </w:p>
    <w:p w:rsidR="000752E3" w:rsidRPr="001F4CE0" w:rsidRDefault="000752E3" w:rsidP="000752E3">
      <w:pPr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ATC kod: D06AX07.</w:t>
      </w:r>
    </w:p>
    <w:p w:rsidR="001A2817" w:rsidRPr="001F4CE0" w:rsidRDefault="001A2817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643C2" w:rsidRPr="001F4CE0" w:rsidRDefault="00C643C2" w:rsidP="00C643C2">
      <w:pPr>
        <w:jc w:val="both"/>
        <w:rPr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>Mehanizam djelovanja</w:t>
      </w:r>
    </w:p>
    <w:p w:rsidR="00C643C2" w:rsidRPr="001F4CE0" w:rsidRDefault="00C643C2" w:rsidP="00C643C2">
      <w:pPr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Gentamicin djeluje baktericidno.  Koči sintezu bjelančevina u bakterijskoj ćeliji tako </w:t>
      </w:r>
      <w:r w:rsidR="00D65A3F" w:rsidRPr="001F4CE0">
        <w:rPr>
          <w:sz w:val="22"/>
          <w:szCs w:val="22"/>
          <w:lang w:val="sr-Latn-ME"/>
        </w:rPr>
        <w:t>što</w:t>
      </w:r>
      <w:r w:rsidRPr="001F4CE0">
        <w:rPr>
          <w:sz w:val="22"/>
          <w:szCs w:val="22"/>
          <w:lang w:val="sr-Latn-ME"/>
        </w:rPr>
        <w:t xml:space="preserve"> se veže na veće i manje podjedinice ribozoma. Ipak, to vez</w:t>
      </w:r>
      <w:r w:rsidR="00D65A3F" w:rsidRPr="001F4CE0">
        <w:rPr>
          <w:sz w:val="22"/>
          <w:szCs w:val="22"/>
          <w:lang w:val="sr-Latn-ME"/>
        </w:rPr>
        <w:t>iv</w:t>
      </w:r>
      <w:r w:rsidRPr="001F4CE0">
        <w:rPr>
          <w:sz w:val="22"/>
          <w:szCs w:val="22"/>
          <w:lang w:val="sr-Latn-ME"/>
        </w:rPr>
        <w:t>anje još ne objašnjava baktericidno djelovanje gentamicina. Gentamicin  aktivno  prelazi  kroz  bakterijski zid  u  unutrašnjost</w:t>
      </w:r>
      <w:r w:rsidR="00121504" w:rsidRPr="001F4CE0">
        <w:rPr>
          <w:sz w:val="22"/>
          <w:szCs w:val="22"/>
          <w:lang w:val="sr-Latn-ME"/>
        </w:rPr>
        <w:t xml:space="preserve">  bakterije,  što   rezultira  </w:t>
      </w:r>
      <w:r w:rsidRPr="001F4CE0">
        <w:rPr>
          <w:sz w:val="22"/>
          <w:szCs w:val="22"/>
          <w:lang w:val="sr-Latn-ME"/>
        </w:rPr>
        <w:t xml:space="preserve">  bitno   većom   koncentracijom gentamicina u bakteriji u odnosu na njenu okolinu. Pri anaerobnom procesu, povećanoj osmolarnosti i niskom pH,  gradijent je</w:t>
      </w:r>
      <w:r w:rsidR="00121504" w:rsidRPr="001F4CE0">
        <w:rPr>
          <w:sz w:val="22"/>
          <w:szCs w:val="22"/>
          <w:lang w:val="sr-Latn-ME"/>
        </w:rPr>
        <w:t xml:space="preserve"> manji, transport je zakočen i</w:t>
      </w:r>
      <w:r w:rsidRPr="001F4CE0">
        <w:rPr>
          <w:sz w:val="22"/>
          <w:szCs w:val="22"/>
          <w:lang w:val="sr-Latn-ME"/>
        </w:rPr>
        <w:t xml:space="preserve"> nastane relativna otpornost bakterije na gentamicin. I velike koncentracije kalcijuma i magnezijuma koče transport gentamicina u bakteriju. </w:t>
      </w:r>
    </w:p>
    <w:p w:rsidR="00C643C2" w:rsidRPr="001F4CE0" w:rsidRDefault="00C643C2" w:rsidP="00C643C2">
      <w:pPr>
        <w:jc w:val="both"/>
        <w:rPr>
          <w:sz w:val="22"/>
          <w:szCs w:val="22"/>
          <w:lang w:val="sr-Latn-ME"/>
        </w:rPr>
      </w:pPr>
    </w:p>
    <w:p w:rsidR="00C643C2" w:rsidRPr="001F4CE0" w:rsidRDefault="00C643C2" w:rsidP="004D26A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1F4CE0">
        <w:rPr>
          <w:b/>
          <w:sz w:val="22"/>
          <w:szCs w:val="22"/>
          <w:lang w:val="sr-Latn-ME"/>
        </w:rPr>
        <w:t xml:space="preserve">Klinička djelotvornost i sigurnost </w:t>
      </w:r>
    </w:p>
    <w:p w:rsidR="00C643C2" w:rsidRPr="001F4CE0" w:rsidRDefault="00C643C2" w:rsidP="004D26A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:rsidR="00C643C2" w:rsidRPr="001F4CE0" w:rsidRDefault="00C643C2" w:rsidP="004D26A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F4CE0">
        <w:rPr>
          <w:sz w:val="22"/>
          <w:szCs w:val="22"/>
          <w:u w:val="single"/>
          <w:lang w:val="sr-Latn-ME"/>
        </w:rPr>
        <w:t xml:space="preserve">Antibakterijska djelotvornost </w:t>
      </w:r>
    </w:p>
    <w:p w:rsidR="00C643C2" w:rsidRPr="001F4CE0" w:rsidRDefault="00C643C2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Gentamicin je djelotvoran protiv brojnih bakterija. U nastavku su nabrojane bakterije prema kojima je djelotvoran i koje su klinički značajne pri infekcijama kože. </w:t>
      </w:r>
    </w:p>
    <w:p w:rsidR="00C643C2" w:rsidRPr="001F4CE0" w:rsidRDefault="00C643C2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FC0F0F" w:rsidRPr="001F4CE0" w:rsidRDefault="00C643C2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Gram-pozitivne bakterije: </w:t>
      </w:r>
    </w:p>
    <w:p w:rsidR="00C643C2" w:rsidRPr="001F4CE0" w:rsidRDefault="00C643C2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i/>
          <w:sz w:val="22"/>
          <w:szCs w:val="22"/>
          <w:lang w:val="sr-Latn-ME"/>
        </w:rPr>
        <w:t>Staphylococcus aureus, Staphylococcus epidermidis, Streptococcus pyogenes i Streptococcus pneumoniae.</w:t>
      </w:r>
      <w:r w:rsidRPr="001F4CE0">
        <w:rPr>
          <w:sz w:val="22"/>
          <w:szCs w:val="22"/>
          <w:lang w:val="sr-Latn-ME"/>
        </w:rPr>
        <w:t xml:space="preserve"> </w:t>
      </w:r>
    </w:p>
    <w:p w:rsidR="00C643C2" w:rsidRPr="001F4CE0" w:rsidRDefault="00C643C2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FC0F0F" w:rsidRPr="001F4CE0" w:rsidRDefault="00C643C2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Gram-negativne bakterije: </w:t>
      </w:r>
    </w:p>
    <w:p w:rsidR="00974462" w:rsidRPr="001F4CE0" w:rsidRDefault="00C643C2" w:rsidP="004D26A8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1F4CE0">
        <w:rPr>
          <w:i/>
          <w:sz w:val="22"/>
          <w:szCs w:val="22"/>
          <w:lang w:val="sr-Latn-ME"/>
        </w:rPr>
        <w:t>E. coli, Enterobacter aerogenes, Klebsiella pneumoniae, Haemophillus influenzae, Neisseria spp., Serratia marcescens, Pseudomonas aeruginosa, Moraxella lacunata, Proteus spp.</w:t>
      </w:r>
    </w:p>
    <w:p w:rsidR="00C643C2" w:rsidRPr="001F4CE0" w:rsidRDefault="00C643C2" w:rsidP="004D26A8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  <w:lang w:val="sr-Latn-ME"/>
        </w:rPr>
      </w:pPr>
    </w:p>
    <w:p w:rsidR="0072020E" w:rsidRPr="001F4CE0" w:rsidRDefault="0072020E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5.2.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Farmakokinetički podaci</w:t>
      </w:r>
      <w:r w:rsidR="003A7059" w:rsidRPr="001F4CE0">
        <w:rPr>
          <w:b/>
          <w:bCs/>
          <w:sz w:val="22"/>
          <w:szCs w:val="22"/>
          <w:lang w:val="sr-Latn-ME"/>
        </w:rPr>
        <w:t xml:space="preserve"> </w:t>
      </w:r>
    </w:p>
    <w:p w:rsidR="00C643C2" w:rsidRPr="001F4CE0" w:rsidRDefault="00C643C2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C643C2" w:rsidRPr="001F4CE0" w:rsidRDefault="00C643C2" w:rsidP="004D26A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F4CE0">
        <w:rPr>
          <w:sz w:val="22"/>
          <w:szCs w:val="22"/>
          <w:u w:val="single"/>
          <w:lang w:val="sr-Latn-ME"/>
        </w:rPr>
        <w:t>Apsorpcija i distribucija</w:t>
      </w:r>
    </w:p>
    <w:p w:rsidR="00FC0F0F" w:rsidRPr="001F4CE0" w:rsidRDefault="00C643C2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Gentamicin se kroz neoštećenu kožu praktično ne apsorbuje. Budući da je apsorpcija kroz erodiranu kožu samo 5%, može </w:t>
      </w:r>
      <w:r w:rsidR="00121504" w:rsidRPr="001F4CE0">
        <w:rPr>
          <w:sz w:val="22"/>
          <w:szCs w:val="22"/>
          <w:lang w:val="sr-Latn-ME"/>
        </w:rPr>
        <w:t>da se zaključi</w:t>
      </w:r>
      <w:r w:rsidRPr="001F4CE0">
        <w:rPr>
          <w:sz w:val="22"/>
          <w:szCs w:val="22"/>
          <w:lang w:val="sr-Latn-ME"/>
        </w:rPr>
        <w:t xml:space="preserve"> da su sistemske koncentracije apsorb</w:t>
      </w:r>
      <w:r w:rsidR="00D65A3F" w:rsidRPr="001F4CE0">
        <w:rPr>
          <w:sz w:val="22"/>
          <w:szCs w:val="22"/>
          <w:lang w:val="sr-Latn-ME"/>
        </w:rPr>
        <w:t>ov</w:t>
      </w:r>
      <w:r w:rsidRPr="001F4CE0">
        <w:rPr>
          <w:sz w:val="22"/>
          <w:szCs w:val="22"/>
          <w:lang w:val="sr-Latn-ME"/>
        </w:rPr>
        <w:t xml:space="preserve">anog gentamicina zanemarive i da podaci o farmakokinetici nisu važni za primjenu gentamicina u obliku masti. </w:t>
      </w:r>
    </w:p>
    <w:p w:rsidR="00D65A3F" w:rsidRPr="001F4CE0" w:rsidRDefault="00D65A3F" w:rsidP="004D26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2020E" w:rsidRPr="001F4CE0" w:rsidRDefault="00C643C2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Međutim, postoji mogućnost veće apsorpcije nakon lokalnog liječenja gentamicinom, gdje serumske kon</w:t>
      </w:r>
      <w:r w:rsidR="00121504" w:rsidRPr="001F4CE0">
        <w:rPr>
          <w:sz w:val="22"/>
          <w:szCs w:val="22"/>
          <w:lang w:val="sr-Latn-ME"/>
        </w:rPr>
        <w:t xml:space="preserve">centracije dosežu 4 µg/ml. To </w:t>
      </w:r>
      <w:r w:rsidRPr="001F4CE0">
        <w:rPr>
          <w:sz w:val="22"/>
          <w:szCs w:val="22"/>
          <w:lang w:val="sr-Latn-ME"/>
        </w:rPr>
        <w:t xml:space="preserve"> može </w:t>
      </w:r>
      <w:r w:rsidR="00121504" w:rsidRPr="001F4CE0">
        <w:rPr>
          <w:sz w:val="22"/>
          <w:szCs w:val="22"/>
          <w:lang w:val="sr-Latn-ME"/>
        </w:rPr>
        <w:t>da se dogodi</w:t>
      </w:r>
      <w:r w:rsidRPr="001F4CE0">
        <w:rPr>
          <w:sz w:val="22"/>
          <w:szCs w:val="22"/>
          <w:lang w:val="sr-Latn-ME"/>
        </w:rPr>
        <w:t xml:space="preserve"> ako se mažu veoma velike ili erodirane površine kože. Pritom može </w:t>
      </w:r>
      <w:r w:rsidR="00121504" w:rsidRPr="001F4CE0">
        <w:rPr>
          <w:sz w:val="22"/>
          <w:szCs w:val="22"/>
          <w:lang w:val="sr-Latn-ME"/>
        </w:rPr>
        <w:t>da dođe</w:t>
      </w:r>
      <w:r w:rsidRPr="001F4CE0">
        <w:rPr>
          <w:sz w:val="22"/>
          <w:szCs w:val="22"/>
          <w:lang w:val="sr-Latn-ME"/>
        </w:rPr>
        <w:t xml:space="preserve"> do nefrotoksičnosti ili ototoksičnosti, posebno ako je bubrežna funkcija oštećena ili ako bolesnik istovremeno prima druge nefro- ili ototoksične ljekove.</w:t>
      </w:r>
    </w:p>
    <w:p w:rsidR="001A2817" w:rsidRPr="001F4CE0" w:rsidRDefault="001A2817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1F4CE0" w:rsidRDefault="0072020E" w:rsidP="004D26A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5.3.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:rsidR="00836B35" w:rsidRPr="001F4CE0" w:rsidRDefault="00836B35" w:rsidP="004D26A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643C2" w:rsidRPr="001F4CE0" w:rsidRDefault="00C643C2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Toksičnost predstavlja problem samo pri sistemskoj aplikaciji gentamicina, a pri lokalnoj </w:t>
      </w:r>
      <w:r w:rsidR="00FC0F0F" w:rsidRPr="001F4CE0">
        <w:rPr>
          <w:sz w:val="22"/>
          <w:szCs w:val="22"/>
          <w:lang w:val="sr-Latn-ME"/>
        </w:rPr>
        <w:t>primjeni</w:t>
      </w:r>
      <w:r w:rsidRPr="001F4CE0">
        <w:rPr>
          <w:sz w:val="22"/>
          <w:szCs w:val="22"/>
          <w:lang w:val="sr-Latn-ME"/>
        </w:rPr>
        <w:t xml:space="preserve"> opasnost </w:t>
      </w:r>
      <w:r w:rsidR="00FC0F0F" w:rsidRPr="001F4CE0">
        <w:rPr>
          <w:sz w:val="22"/>
          <w:szCs w:val="22"/>
          <w:lang w:val="sr-Latn-ME"/>
        </w:rPr>
        <w:t xml:space="preserve">je </w:t>
      </w:r>
      <w:r w:rsidRPr="001F4CE0">
        <w:rPr>
          <w:sz w:val="22"/>
          <w:szCs w:val="22"/>
          <w:lang w:val="sr-Latn-ME"/>
        </w:rPr>
        <w:t xml:space="preserve">praktično zanemariva. </w:t>
      </w:r>
    </w:p>
    <w:p w:rsidR="00FC0F0F" w:rsidRPr="001F4CE0" w:rsidRDefault="00FC0F0F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C643C2" w:rsidRPr="001F4CE0" w:rsidRDefault="00C643C2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Ispitivanja toksičnosti pojedinačne doze pokazala su nisku toksičnost</w:t>
      </w:r>
      <w:r w:rsidR="00121504" w:rsidRPr="001F4CE0">
        <w:rPr>
          <w:sz w:val="22"/>
          <w:szCs w:val="22"/>
          <w:lang w:val="sr-Latn-ME"/>
        </w:rPr>
        <w:t xml:space="preserve"> gentamicina kod miševa, pacova</w:t>
      </w:r>
      <w:r w:rsidRPr="001F4CE0">
        <w:rPr>
          <w:sz w:val="22"/>
          <w:szCs w:val="22"/>
          <w:lang w:val="sr-Latn-ME"/>
        </w:rPr>
        <w:t>, zečeva, mačaka i pasa: vrijednosti LD</w:t>
      </w:r>
      <w:r w:rsidRPr="001F4CE0">
        <w:rPr>
          <w:sz w:val="22"/>
          <w:szCs w:val="22"/>
          <w:vertAlign w:val="subscript"/>
          <w:lang w:val="sr-Latn-ME"/>
        </w:rPr>
        <w:t>50</w:t>
      </w:r>
      <w:r w:rsidRPr="001F4CE0">
        <w:rPr>
          <w:sz w:val="22"/>
          <w:szCs w:val="22"/>
          <w:lang w:val="sr-Latn-ME"/>
        </w:rPr>
        <w:t xml:space="preserve"> nakon intravenske primjene bile su između 20 i 180 mg/kg, dok su nakon intramuskularnog doziranja bile između 430 i 780 mg/kg. Ponovljenim intramuskularnim dozama gentamicina kod </w:t>
      </w:r>
      <w:r w:rsidR="00D65A3F" w:rsidRPr="001F4CE0">
        <w:rPr>
          <w:sz w:val="22"/>
          <w:szCs w:val="22"/>
          <w:lang w:val="sr-Latn-ME"/>
        </w:rPr>
        <w:t>pacova</w:t>
      </w:r>
      <w:r w:rsidRPr="001F4CE0">
        <w:rPr>
          <w:sz w:val="22"/>
          <w:szCs w:val="22"/>
          <w:lang w:val="sr-Latn-ME"/>
        </w:rPr>
        <w:t>, zečeva, pasa, zamoraca i majmuna tokom do 50 dana s dozama do 200 mg/kg/dan</w:t>
      </w:r>
      <w:r w:rsidR="00D65A3F" w:rsidRPr="001F4CE0">
        <w:rPr>
          <w:sz w:val="22"/>
          <w:szCs w:val="22"/>
          <w:lang w:val="sr-Latn-ME"/>
        </w:rPr>
        <w:t>,</w:t>
      </w:r>
      <w:r w:rsidRPr="001F4CE0">
        <w:rPr>
          <w:sz w:val="22"/>
          <w:szCs w:val="22"/>
          <w:lang w:val="sr-Latn-ME"/>
        </w:rPr>
        <w:t xml:space="preserve"> utvrđeno je da tkivo bubrega i slušnog sistema predstavlja metu za toksično djelovanje lijeka. Izgleda da je toksičnost gentamicina </w:t>
      </w:r>
      <w:r w:rsidR="00D65A3F" w:rsidRPr="001F4CE0">
        <w:rPr>
          <w:sz w:val="22"/>
          <w:szCs w:val="22"/>
          <w:lang w:val="sr-Latn-ME"/>
        </w:rPr>
        <w:t>prvenstveno</w:t>
      </w:r>
      <w:r w:rsidRPr="001F4CE0">
        <w:rPr>
          <w:sz w:val="22"/>
          <w:szCs w:val="22"/>
          <w:lang w:val="sr-Latn-ME"/>
        </w:rPr>
        <w:t xml:space="preserve"> posljedica nakupljanja lijeka u ciljnim tkivima. Lokalna primjena injekcije gentamicina može </w:t>
      </w:r>
      <w:r w:rsidR="00121504" w:rsidRPr="001F4CE0">
        <w:rPr>
          <w:sz w:val="22"/>
          <w:szCs w:val="22"/>
          <w:lang w:val="sr-Latn-ME"/>
        </w:rPr>
        <w:t>da uzrokuje</w:t>
      </w:r>
      <w:r w:rsidRPr="001F4CE0">
        <w:rPr>
          <w:sz w:val="22"/>
          <w:szCs w:val="22"/>
          <w:lang w:val="sr-Latn-ME"/>
        </w:rPr>
        <w:t xml:space="preserve"> blage do teške toksične efekte na mjestu primjene. </w:t>
      </w:r>
    </w:p>
    <w:p w:rsidR="00C643C2" w:rsidRPr="001F4CE0" w:rsidRDefault="00C643C2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C643C2" w:rsidRPr="001F4CE0" w:rsidRDefault="00C643C2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lastRenderedPageBreak/>
        <w:t xml:space="preserve">Nije zabilježen uticaj na fertilitet i reproduktivnu sposobnost, međutim, utvrđeno je da gentamicin ima embriotoksične efekte kod laboratorijskih životinja. </w:t>
      </w:r>
    </w:p>
    <w:p w:rsidR="00C643C2" w:rsidRPr="001F4CE0" w:rsidRDefault="00C643C2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C643C2" w:rsidRPr="001F4CE0" w:rsidRDefault="00C643C2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Mutageno djelovanje pripisivo gentamicinu nije utvrđeno, a evaluacijom su predočeni dokazi po kojima mogućnost karcinogenog djelovanja gentamicina nije vjerovatna. </w:t>
      </w:r>
    </w:p>
    <w:p w:rsidR="00C643C2" w:rsidRPr="001F4CE0" w:rsidRDefault="00C643C2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396DFD" w:rsidRPr="001F4CE0" w:rsidRDefault="00C643C2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Pretklinički efekti ispitani su pri izloženosti koja dovoljno premašuje maksimalnu izloženost kod ljudi, što ukazuje na mali značaj za kliničku primjenu.</w:t>
      </w:r>
    </w:p>
    <w:p w:rsidR="00C643C2" w:rsidRPr="001F4CE0" w:rsidRDefault="00C643C2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BD1D9F" w:rsidRPr="001F4CE0" w:rsidRDefault="00BD1D9F" w:rsidP="00C643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6.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FARMACEUTSKI PODACI</w:t>
      </w:r>
    </w:p>
    <w:p w:rsidR="00836B35" w:rsidRPr="001F4CE0" w:rsidRDefault="00836B35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6.1.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Lista pomoćnih supstanci</w:t>
      </w:r>
      <w:r w:rsidR="002E0135" w:rsidRPr="001F4CE0">
        <w:rPr>
          <w:b/>
          <w:bCs/>
          <w:sz w:val="22"/>
          <w:szCs w:val="22"/>
          <w:lang w:val="sr-Latn-ME"/>
        </w:rPr>
        <w:t xml:space="preserve"> (ekscipijenasa)</w:t>
      </w:r>
    </w:p>
    <w:p w:rsidR="001A2817" w:rsidRPr="001F4CE0" w:rsidRDefault="001A2817" w:rsidP="001A281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1D0670" w:rsidRPr="001F4CE0" w:rsidRDefault="001D0670" w:rsidP="001D0670">
      <w:pPr>
        <w:numPr>
          <w:ilvl w:val="0"/>
          <w:numId w:val="25"/>
        </w:numPr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Parafin</w:t>
      </w:r>
      <w:r w:rsidR="00850748" w:rsidRPr="001F4CE0">
        <w:rPr>
          <w:sz w:val="22"/>
          <w:szCs w:val="22"/>
          <w:lang w:val="sr-Latn-ME"/>
        </w:rPr>
        <w:t>, tečni</w:t>
      </w:r>
    </w:p>
    <w:p w:rsidR="001D0670" w:rsidRPr="001F4CE0" w:rsidRDefault="001D0670" w:rsidP="001D0670">
      <w:pPr>
        <w:numPr>
          <w:ilvl w:val="0"/>
          <w:numId w:val="25"/>
        </w:numPr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Metil</w:t>
      </w:r>
      <w:r w:rsidR="00297F79" w:rsidRPr="001F4CE0">
        <w:rPr>
          <w:sz w:val="22"/>
          <w:szCs w:val="22"/>
          <w:lang w:val="sr-Latn-ME"/>
        </w:rPr>
        <w:t xml:space="preserve"> </w:t>
      </w:r>
      <w:r w:rsidRPr="001F4CE0">
        <w:rPr>
          <w:sz w:val="22"/>
          <w:szCs w:val="22"/>
          <w:lang w:val="sr-Latn-ME"/>
        </w:rPr>
        <w:t>parahidroksibenzoat (E218)</w:t>
      </w:r>
    </w:p>
    <w:p w:rsidR="001D0670" w:rsidRPr="001F4CE0" w:rsidRDefault="001D0670" w:rsidP="001D0670">
      <w:pPr>
        <w:numPr>
          <w:ilvl w:val="0"/>
          <w:numId w:val="25"/>
        </w:numPr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Propil</w:t>
      </w:r>
      <w:r w:rsidR="00297F79" w:rsidRPr="001F4CE0">
        <w:rPr>
          <w:sz w:val="22"/>
          <w:szCs w:val="22"/>
          <w:lang w:val="sr-Latn-ME"/>
        </w:rPr>
        <w:t xml:space="preserve"> </w:t>
      </w:r>
      <w:r w:rsidRPr="001F4CE0">
        <w:rPr>
          <w:sz w:val="22"/>
          <w:szCs w:val="22"/>
          <w:lang w:val="sr-Latn-ME"/>
        </w:rPr>
        <w:t>parahidroksibenzoat (E216)</w:t>
      </w:r>
    </w:p>
    <w:p w:rsidR="001D0670" w:rsidRPr="001F4CE0" w:rsidRDefault="001D0670" w:rsidP="001D0670">
      <w:pPr>
        <w:numPr>
          <w:ilvl w:val="0"/>
          <w:numId w:val="25"/>
        </w:numPr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Bijeli vazelin</w:t>
      </w:r>
    </w:p>
    <w:p w:rsidR="00974462" w:rsidRPr="001F4CE0" w:rsidRDefault="001D0670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 xml:space="preserve"> </w:t>
      </w: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6.2.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Inkompatibilnost</w:t>
      </w:r>
      <w:r w:rsidR="002846DB" w:rsidRPr="001F4CE0">
        <w:rPr>
          <w:b/>
          <w:bCs/>
          <w:sz w:val="22"/>
          <w:szCs w:val="22"/>
          <w:lang w:val="sr-Latn-ME"/>
        </w:rPr>
        <w:t>i</w:t>
      </w:r>
    </w:p>
    <w:p w:rsidR="001A2817" w:rsidRPr="001F4CE0" w:rsidRDefault="001A2817" w:rsidP="001A281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:rsidR="00FC0F0F" w:rsidRPr="001F4CE0" w:rsidRDefault="00FC0F0F" w:rsidP="00FC0F0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Gentamicin nije kompatibilan s</w:t>
      </w:r>
      <w:r w:rsidR="00297F79" w:rsidRPr="001F4CE0">
        <w:rPr>
          <w:rFonts w:eastAsia="Calibri"/>
          <w:sz w:val="22"/>
          <w:szCs w:val="22"/>
          <w:lang w:val="sr-Latn-ME"/>
        </w:rPr>
        <w:t>a</w:t>
      </w:r>
      <w:r w:rsidRPr="001F4CE0">
        <w:rPr>
          <w:rFonts w:eastAsia="Calibri"/>
          <w:sz w:val="22"/>
          <w:szCs w:val="22"/>
          <w:lang w:val="sr-Latn-ME"/>
        </w:rPr>
        <w:t xml:space="preserve"> amfotericinom B, heparinom, sulfadiazinom i beta-laktamskim antibioticima (npr. cefalosporinima).   </w:t>
      </w:r>
    </w:p>
    <w:p w:rsidR="004A7F23" w:rsidRPr="001F4CE0" w:rsidRDefault="004A7F23" w:rsidP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>6.3.</w:t>
      </w:r>
      <w:r w:rsidR="00C05DF8" w:rsidRPr="001F4CE0">
        <w:rPr>
          <w:b/>
          <w:bCs/>
          <w:sz w:val="22"/>
          <w:szCs w:val="22"/>
          <w:lang w:val="sr-Latn-ME"/>
        </w:rPr>
        <w:t xml:space="preserve">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Rok upotrebe</w:t>
      </w: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D0670" w:rsidRPr="001F4CE0" w:rsidRDefault="00992903" w:rsidP="001D0670">
      <w:pPr>
        <w:rPr>
          <w:rFonts w:eastAsia="Calibri"/>
          <w:sz w:val="22"/>
          <w:szCs w:val="22"/>
          <w:lang w:val="sr-Latn-ME"/>
        </w:rPr>
      </w:pPr>
      <w:r w:rsidRPr="001F4CE0">
        <w:rPr>
          <w:rFonts w:eastAsia="Calibri"/>
          <w:sz w:val="22"/>
          <w:szCs w:val="22"/>
          <w:lang w:val="sr-Latn-ME"/>
        </w:rPr>
        <w:t>36 mjeseci</w:t>
      </w:r>
      <w:r w:rsidR="001D0670" w:rsidRPr="001F4CE0">
        <w:rPr>
          <w:rFonts w:eastAsia="Calibri"/>
          <w:sz w:val="22"/>
          <w:szCs w:val="22"/>
          <w:lang w:val="sr-Latn-ME"/>
        </w:rPr>
        <w:t>.</w:t>
      </w:r>
    </w:p>
    <w:p w:rsidR="004A7F23" w:rsidRPr="001F4CE0" w:rsidRDefault="001D0670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 xml:space="preserve"> </w:t>
      </w: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6.4.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1F4CE0">
        <w:rPr>
          <w:b/>
          <w:bCs/>
          <w:sz w:val="22"/>
          <w:szCs w:val="22"/>
          <w:lang w:val="sr-Latn-ME"/>
        </w:rPr>
        <w:t xml:space="preserve"> lijeka</w:t>
      </w:r>
    </w:p>
    <w:p w:rsidR="004A7F23" w:rsidRPr="001F4CE0" w:rsidRDefault="004A7F23" w:rsidP="004A7F23">
      <w:pPr>
        <w:jc w:val="both"/>
        <w:rPr>
          <w:bCs/>
          <w:sz w:val="22"/>
          <w:szCs w:val="22"/>
          <w:lang w:val="sr-Latn-ME"/>
        </w:rPr>
      </w:pPr>
    </w:p>
    <w:p w:rsidR="001D0670" w:rsidRPr="001F4CE0" w:rsidRDefault="001D0670" w:rsidP="001D0670">
      <w:pPr>
        <w:jc w:val="both"/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 xml:space="preserve">Čuvati na temperaturi do 25 °C. </w:t>
      </w:r>
      <w:r w:rsidR="00D311BB" w:rsidRPr="001F4CE0">
        <w:rPr>
          <w:sz w:val="22"/>
          <w:szCs w:val="22"/>
          <w:lang w:val="sr-Latn-ME"/>
        </w:rPr>
        <w:t>Upotrijebiti u roku od 12 mjeseci nakon prvog otvaranja.</w:t>
      </w:r>
    </w:p>
    <w:p w:rsidR="00EC2532" w:rsidRPr="001F4CE0" w:rsidRDefault="00EC2532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6.5.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="002846DB" w:rsidRPr="001F4CE0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1F4CE0">
        <w:rPr>
          <w:b/>
          <w:bCs/>
          <w:sz w:val="22"/>
          <w:szCs w:val="22"/>
          <w:lang w:val="sr-Latn-ME"/>
        </w:rPr>
        <w:t>pakovanja</w:t>
      </w:r>
      <w:r w:rsidR="00C06864" w:rsidRPr="001F4CE0">
        <w:rPr>
          <w:b/>
          <w:bCs/>
          <w:sz w:val="22"/>
          <w:szCs w:val="22"/>
          <w:lang w:val="sr-Latn-ME"/>
        </w:rPr>
        <w:t xml:space="preserve"> </w:t>
      </w: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0233F" w:rsidRPr="001F4CE0" w:rsidRDefault="0040233F" w:rsidP="001D0670">
      <w:pPr>
        <w:keepNext/>
        <w:tabs>
          <w:tab w:val="left" w:pos="142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>Unutrašnje pakovanje je a</w:t>
      </w:r>
      <w:r w:rsidR="001D0670" w:rsidRPr="001F4CE0">
        <w:rPr>
          <w:bCs/>
          <w:sz w:val="22"/>
          <w:szCs w:val="22"/>
          <w:lang w:val="sr-Latn-ME"/>
        </w:rPr>
        <w:t>luminij</w:t>
      </w:r>
      <w:r w:rsidRPr="001F4CE0">
        <w:rPr>
          <w:bCs/>
          <w:sz w:val="22"/>
          <w:szCs w:val="22"/>
          <w:lang w:val="sr-Latn-ME"/>
        </w:rPr>
        <w:t>umska</w:t>
      </w:r>
      <w:r w:rsidR="001D0670" w:rsidRPr="001F4CE0">
        <w:rPr>
          <w:bCs/>
          <w:sz w:val="22"/>
          <w:szCs w:val="22"/>
          <w:lang w:val="sr-Latn-ME"/>
        </w:rPr>
        <w:t xml:space="preserve"> tuba s membranom i zatvaračem</w:t>
      </w:r>
      <w:r w:rsidRPr="001F4CE0">
        <w:rPr>
          <w:bCs/>
          <w:sz w:val="22"/>
          <w:szCs w:val="22"/>
          <w:lang w:val="sr-Latn-ME"/>
        </w:rPr>
        <w:t>.</w:t>
      </w:r>
    </w:p>
    <w:p w:rsidR="0040233F" w:rsidRPr="001F4CE0" w:rsidRDefault="0040233F" w:rsidP="0040233F">
      <w:pPr>
        <w:keepNext/>
        <w:tabs>
          <w:tab w:val="left" w:pos="142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 xml:space="preserve">Spoljašnje pakovanje je složiva kartonska kutija u kojoj se nalazi 1 tuba </w:t>
      </w:r>
      <w:r w:rsidR="001D0670" w:rsidRPr="001F4CE0">
        <w:rPr>
          <w:bCs/>
          <w:sz w:val="22"/>
          <w:szCs w:val="22"/>
          <w:lang w:val="sr-Latn-ME"/>
        </w:rPr>
        <w:t>sa sadržajem 15 g masti</w:t>
      </w:r>
      <w:r w:rsidRPr="001F4CE0">
        <w:rPr>
          <w:bCs/>
          <w:sz w:val="22"/>
          <w:szCs w:val="22"/>
          <w:lang w:val="sr-Latn-ME"/>
        </w:rPr>
        <w:t xml:space="preserve"> i Uputstvo za lijek.  </w:t>
      </w:r>
    </w:p>
    <w:p w:rsidR="001D0670" w:rsidRPr="001F4CE0" w:rsidRDefault="0040233F" w:rsidP="001D0670">
      <w:pPr>
        <w:keepNext/>
        <w:tabs>
          <w:tab w:val="left" w:pos="142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 xml:space="preserve"> </w:t>
      </w:r>
    </w:p>
    <w:p w:rsidR="002846DB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6.6.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 xml:space="preserve">Posebne mjere opreza pri odlaganju materijala koji treba odbaciti nakon primjene lijeka </w:t>
      </w:r>
      <w:r w:rsidR="00310F03" w:rsidRPr="001F4CE0">
        <w:rPr>
          <w:b/>
          <w:bCs/>
          <w:sz w:val="22"/>
          <w:szCs w:val="22"/>
          <w:lang w:val="sr-Latn-ME"/>
        </w:rPr>
        <w:t>(i druga uputs</w:t>
      </w:r>
      <w:r w:rsidR="00444FC4" w:rsidRPr="001F4CE0">
        <w:rPr>
          <w:b/>
          <w:bCs/>
          <w:sz w:val="22"/>
          <w:szCs w:val="22"/>
          <w:lang w:val="sr-Latn-ME"/>
        </w:rPr>
        <w:t>t</w:t>
      </w:r>
      <w:r w:rsidR="00310F03" w:rsidRPr="001F4CE0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B66A70" w:rsidRPr="001F4CE0" w:rsidRDefault="00B66A70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4A7F23" w:rsidRPr="001F4CE0" w:rsidRDefault="004A7F23" w:rsidP="004A7F2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>Neupotrijebljeni lijek se uništava u skladu sa važećim propisima.</w:t>
      </w: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201D" w:rsidRPr="001F4CE0" w:rsidRDefault="00F6201D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8570A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7.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NOSILAC DOZVOLE</w:t>
      </w:r>
      <w:r w:rsidR="00483928" w:rsidRPr="001F4CE0">
        <w:rPr>
          <w:b/>
          <w:bCs/>
          <w:sz w:val="22"/>
          <w:szCs w:val="22"/>
          <w:lang w:val="sr-Latn-ME"/>
        </w:rPr>
        <w:t xml:space="preserve"> </w:t>
      </w:r>
    </w:p>
    <w:p w:rsidR="00C61BE0" w:rsidRPr="001F4CE0" w:rsidRDefault="00C61BE0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A7F23" w:rsidRPr="001F4CE0" w:rsidRDefault="004A7F23" w:rsidP="004A7F23">
      <w:pPr>
        <w:rPr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Bosnalijek d.d. Predstavništvo Crna Gora, Bulevar Svetog Petra Cetinjskog 63, Podgorica, Crna Gora</w:t>
      </w:r>
    </w:p>
    <w:p w:rsidR="006F1004" w:rsidRPr="001F4CE0" w:rsidRDefault="006F1004" w:rsidP="004A7F23">
      <w:pPr>
        <w:rPr>
          <w:sz w:val="22"/>
          <w:szCs w:val="22"/>
          <w:lang w:val="sr-Latn-ME"/>
        </w:rPr>
      </w:pPr>
    </w:p>
    <w:p w:rsidR="00F6201D" w:rsidRPr="001F4CE0" w:rsidRDefault="00F6201D" w:rsidP="004A7F23">
      <w:pPr>
        <w:rPr>
          <w:sz w:val="22"/>
          <w:szCs w:val="22"/>
          <w:lang w:val="sr-Latn-ME"/>
        </w:rPr>
      </w:pP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8.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>BROJ DOZVOLE</w:t>
      </w:r>
      <w:r w:rsidR="008A6D43" w:rsidRPr="001F4CE0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BD1D9F" w:rsidRPr="001F4CE0" w:rsidRDefault="00BD1D9F" w:rsidP="0048739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C1FDF" w:rsidRPr="001F4CE0" w:rsidRDefault="001F4CE0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sz w:val="22"/>
          <w:szCs w:val="22"/>
          <w:lang w:val="sr-Latn-ME"/>
        </w:rPr>
        <w:t>2030/25/1231 - 474</w:t>
      </w:r>
    </w:p>
    <w:p w:rsidR="00F6201D" w:rsidRPr="001F4CE0" w:rsidRDefault="00F6201D">
      <w:pPr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br w:type="page"/>
      </w:r>
      <w:bookmarkStart w:id="0" w:name="_GoBack"/>
      <w:bookmarkEnd w:id="0"/>
    </w:p>
    <w:p w:rsidR="00F6201D" w:rsidRPr="001F4CE0" w:rsidRDefault="00F6201D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9.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Pr="001F4CE0">
        <w:rPr>
          <w:b/>
          <w:bCs/>
          <w:sz w:val="22"/>
          <w:szCs w:val="22"/>
          <w:lang w:val="sr-Latn-ME"/>
        </w:rPr>
        <w:t xml:space="preserve">DATUM </w:t>
      </w:r>
      <w:r w:rsidR="00C05DF8" w:rsidRPr="001F4CE0">
        <w:rPr>
          <w:b/>
          <w:bCs/>
          <w:sz w:val="22"/>
          <w:szCs w:val="22"/>
          <w:lang w:val="sr-Latn-ME"/>
        </w:rPr>
        <w:t xml:space="preserve">PRVE </w:t>
      </w:r>
      <w:r w:rsidR="008A6D43" w:rsidRPr="001F4CE0">
        <w:rPr>
          <w:b/>
          <w:bCs/>
          <w:sz w:val="22"/>
          <w:szCs w:val="22"/>
          <w:lang w:val="sr-Latn-ME"/>
        </w:rPr>
        <w:t>DOZVOLE</w:t>
      </w:r>
      <w:r w:rsidR="00C05DF8" w:rsidRPr="001F4CE0">
        <w:rPr>
          <w:b/>
          <w:bCs/>
          <w:sz w:val="22"/>
          <w:szCs w:val="22"/>
          <w:lang w:val="sr-Latn-ME"/>
        </w:rPr>
        <w:t>/OBNOVE DOZVOLE</w:t>
      </w:r>
      <w:r w:rsidR="008A6D43" w:rsidRPr="001F4CE0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1F4CE0" w:rsidRDefault="0072020E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8739F" w:rsidRPr="001F4CE0" w:rsidRDefault="00297F79" w:rsidP="0048739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>Datum prve dozvole:</w:t>
      </w:r>
      <w:r w:rsidR="00CB67D5" w:rsidRPr="001F4CE0">
        <w:rPr>
          <w:bCs/>
          <w:sz w:val="22"/>
          <w:szCs w:val="22"/>
          <w:lang w:val="sr-Latn-ME"/>
        </w:rPr>
        <w:t xml:space="preserve"> 15.07.2015. godine</w:t>
      </w:r>
    </w:p>
    <w:p w:rsidR="00297F79" w:rsidRPr="001F4CE0" w:rsidRDefault="00297F79" w:rsidP="0048739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>Datum posl</w:t>
      </w:r>
      <w:r w:rsidR="008173EA" w:rsidRPr="001F4CE0">
        <w:rPr>
          <w:bCs/>
          <w:sz w:val="22"/>
          <w:szCs w:val="22"/>
          <w:lang w:val="sr-Latn-ME"/>
        </w:rPr>
        <w:t>j</w:t>
      </w:r>
      <w:r w:rsidRPr="001F4CE0">
        <w:rPr>
          <w:bCs/>
          <w:sz w:val="22"/>
          <w:szCs w:val="22"/>
          <w:lang w:val="sr-Latn-ME"/>
        </w:rPr>
        <w:t>ednje obnove dozvole:</w:t>
      </w:r>
      <w:r w:rsidR="001F4CE0" w:rsidRPr="001F4CE0">
        <w:rPr>
          <w:bCs/>
          <w:sz w:val="22"/>
          <w:szCs w:val="22"/>
          <w:lang w:val="sr-Latn-ME"/>
        </w:rPr>
        <w:t xml:space="preserve"> 07.03.2025. godine</w:t>
      </w:r>
    </w:p>
    <w:p w:rsidR="006F1004" w:rsidRPr="001F4CE0" w:rsidRDefault="006F1004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201D" w:rsidRPr="001F4CE0" w:rsidRDefault="00F6201D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3F6A59" w:rsidRPr="001F4CE0" w:rsidRDefault="0072020E" w:rsidP="004A7F23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1F4CE0">
        <w:rPr>
          <w:b/>
          <w:bCs/>
          <w:sz w:val="22"/>
          <w:szCs w:val="22"/>
          <w:lang w:val="sr-Latn-ME"/>
        </w:rPr>
        <w:t xml:space="preserve">10. </w:t>
      </w:r>
      <w:r w:rsidR="00480FB1" w:rsidRPr="001F4CE0">
        <w:rPr>
          <w:b/>
          <w:bCs/>
          <w:sz w:val="22"/>
          <w:szCs w:val="22"/>
          <w:lang w:val="sr-Latn-ME"/>
        </w:rPr>
        <w:tab/>
      </w:r>
      <w:r w:rsidR="002846DB" w:rsidRPr="001F4CE0">
        <w:rPr>
          <w:b/>
          <w:bCs/>
          <w:sz w:val="22"/>
          <w:szCs w:val="22"/>
          <w:lang w:val="sr-Latn-ME"/>
        </w:rPr>
        <w:t>D</w:t>
      </w:r>
      <w:r w:rsidR="00EC2532" w:rsidRPr="001F4CE0">
        <w:rPr>
          <w:b/>
          <w:bCs/>
          <w:sz w:val="22"/>
          <w:szCs w:val="22"/>
          <w:lang w:val="sr-Latn-ME"/>
        </w:rPr>
        <w:t xml:space="preserve">ATUM REVIZIJE TEKSTA </w:t>
      </w:r>
    </w:p>
    <w:p w:rsidR="003F6A59" w:rsidRPr="001F4CE0" w:rsidRDefault="003F6A59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A6D43" w:rsidRPr="001F4CE0" w:rsidRDefault="001F4CE0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F4CE0">
        <w:rPr>
          <w:bCs/>
          <w:sz w:val="22"/>
          <w:szCs w:val="22"/>
          <w:lang w:val="sr-Latn-ME"/>
        </w:rPr>
        <w:t>Mart, 2025. godine</w:t>
      </w:r>
    </w:p>
    <w:sectPr w:rsidR="008A6D43" w:rsidRPr="001F4CE0" w:rsidSect="00EF3B86">
      <w:headerReference w:type="default" r:id="rId12"/>
      <w:footerReference w:type="default" r:id="rId13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95" w:rsidRDefault="00990D95">
      <w:r>
        <w:separator/>
      </w:r>
    </w:p>
  </w:endnote>
  <w:endnote w:type="continuationSeparator" w:id="0">
    <w:p w:rsidR="00990D95" w:rsidRDefault="009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42" w:rsidRPr="00B23F69" w:rsidRDefault="00242BA2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F76A42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1F4CE0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="00F76A42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F76A42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1F4CE0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95" w:rsidRDefault="00990D95">
      <w:r>
        <w:separator/>
      </w:r>
    </w:p>
  </w:footnote>
  <w:footnote w:type="continuationSeparator" w:id="0">
    <w:p w:rsidR="00990D95" w:rsidRDefault="0099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42" w:rsidRDefault="00184D67" w:rsidP="00E74AEE">
    <w:pPr>
      <w:pStyle w:val="Header"/>
    </w:pPr>
    <w:r>
      <w:t xml:space="preserve"> </w:t>
    </w:r>
  </w:p>
  <w:p w:rsidR="00F76A42" w:rsidRPr="00FD4723" w:rsidRDefault="00F76A42" w:rsidP="00E74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45pt;height:14.6pt;visibility:visible" o:bullet="t">
        <v:imagedata r:id="rId1" o:title="BT_1000x858px"/>
      </v:shape>
    </w:pict>
  </w:numPicBullet>
  <w:abstractNum w:abstractNumId="0" w15:restartNumberingAfterBreak="0">
    <w:nsid w:val="08625B77"/>
    <w:multiLevelType w:val="hybridMultilevel"/>
    <w:tmpl w:val="36E69C68"/>
    <w:lvl w:ilvl="0" w:tplc="D458BCD6">
      <w:start w:val="1"/>
      <w:numFmt w:val="bullet"/>
      <w:lvlText w:val="-"/>
      <w:lvlJc w:val="left"/>
      <w:pPr>
        <w:ind w:left="1080" w:hanging="360"/>
      </w:pPr>
      <w:rPr>
        <w:rFonts w:ascii="Microsoft Sans Serif" w:eastAsia="Calibri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40F24E3"/>
    <w:multiLevelType w:val="hybridMultilevel"/>
    <w:tmpl w:val="7FEE5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047C"/>
    <w:multiLevelType w:val="hybridMultilevel"/>
    <w:tmpl w:val="83442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3847"/>
    <w:multiLevelType w:val="hybridMultilevel"/>
    <w:tmpl w:val="8DAA2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0A59F2"/>
    <w:multiLevelType w:val="hybridMultilevel"/>
    <w:tmpl w:val="ABFC6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E348B"/>
    <w:multiLevelType w:val="hybridMultilevel"/>
    <w:tmpl w:val="0B62F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607FBF"/>
    <w:multiLevelType w:val="hybridMultilevel"/>
    <w:tmpl w:val="3D985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C423E7E"/>
    <w:multiLevelType w:val="hybridMultilevel"/>
    <w:tmpl w:val="3F9C9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B0C3F"/>
    <w:multiLevelType w:val="hybridMultilevel"/>
    <w:tmpl w:val="EA62489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E2EB7"/>
    <w:multiLevelType w:val="hybridMultilevel"/>
    <w:tmpl w:val="B09C0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423E6"/>
    <w:multiLevelType w:val="hybridMultilevel"/>
    <w:tmpl w:val="DA06A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DCA46A2"/>
    <w:multiLevelType w:val="hybridMultilevel"/>
    <w:tmpl w:val="E8CA539E"/>
    <w:lvl w:ilvl="0" w:tplc="8A64B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42034"/>
    <w:multiLevelType w:val="hybridMultilevel"/>
    <w:tmpl w:val="44CA8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E776E"/>
    <w:multiLevelType w:val="hybridMultilevel"/>
    <w:tmpl w:val="215076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5F79F8"/>
    <w:multiLevelType w:val="hybridMultilevel"/>
    <w:tmpl w:val="FE6AD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80E73"/>
    <w:multiLevelType w:val="hybridMultilevel"/>
    <w:tmpl w:val="1A3CC230"/>
    <w:lvl w:ilvl="0" w:tplc="35F8F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C1B0F"/>
    <w:multiLevelType w:val="hybridMultilevel"/>
    <w:tmpl w:val="3CB65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"/>
  </w:num>
  <w:num w:numId="4">
    <w:abstractNumId w:val="19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12"/>
  </w:num>
  <w:num w:numId="10">
    <w:abstractNumId w:val="26"/>
  </w:num>
  <w:num w:numId="11">
    <w:abstractNumId w:val="10"/>
  </w:num>
  <w:num w:numId="12">
    <w:abstractNumId w:val="4"/>
  </w:num>
  <w:num w:numId="13">
    <w:abstractNumId w:val="18"/>
  </w:num>
  <w:num w:numId="14">
    <w:abstractNumId w:val="24"/>
  </w:num>
  <w:num w:numId="15">
    <w:abstractNumId w:val="15"/>
  </w:num>
  <w:num w:numId="16">
    <w:abstractNumId w:val="0"/>
  </w:num>
  <w:num w:numId="17">
    <w:abstractNumId w:val="21"/>
  </w:num>
  <w:num w:numId="18">
    <w:abstractNumId w:val="11"/>
  </w:num>
  <w:num w:numId="19">
    <w:abstractNumId w:val="3"/>
  </w:num>
  <w:num w:numId="20">
    <w:abstractNumId w:val="17"/>
  </w:num>
  <w:num w:numId="21">
    <w:abstractNumId w:val="8"/>
  </w:num>
  <w:num w:numId="22">
    <w:abstractNumId w:val="5"/>
  </w:num>
  <w:num w:numId="23">
    <w:abstractNumId w:val="27"/>
  </w:num>
  <w:num w:numId="24">
    <w:abstractNumId w:val="13"/>
  </w:num>
  <w:num w:numId="25">
    <w:abstractNumId w:val="16"/>
  </w:num>
  <w:num w:numId="26">
    <w:abstractNumId w:val="2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40BDA"/>
    <w:rsid w:val="00041000"/>
    <w:rsid w:val="00057E35"/>
    <w:rsid w:val="000752E3"/>
    <w:rsid w:val="00076726"/>
    <w:rsid w:val="00080303"/>
    <w:rsid w:val="000A3F58"/>
    <w:rsid w:val="000B5D86"/>
    <w:rsid w:val="000D2343"/>
    <w:rsid w:val="000D2A7D"/>
    <w:rsid w:val="000D2B91"/>
    <w:rsid w:val="000D3449"/>
    <w:rsid w:val="000D425A"/>
    <w:rsid w:val="000D60CC"/>
    <w:rsid w:val="000E2084"/>
    <w:rsid w:val="000E6F55"/>
    <w:rsid w:val="000F77FA"/>
    <w:rsid w:val="00107BF7"/>
    <w:rsid w:val="00121504"/>
    <w:rsid w:val="00126F53"/>
    <w:rsid w:val="00133D83"/>
    <w:rsid w:val="0014095F"/>
    <w:rsid w:val="00143389"/>
    <w:rsid w:val="001435C2"/>
    <w:rsid w:val="0014766D"/>
    <w:rsid w:val="001536CC"/>
    <w:rsid w:val="00165A52"/>
    <w:rsid w:val="00184D67"/>
    <w:rsid w:val="00187BF2"/>
    <w:rsid w:val="00195DC3"/>
    <w:rsid w:val="0019661A"/>
    <w:rsid w:val="001A2817"/>
    <w:rsid w:val="001A3FBA"/>
    <w:rsid w:val="001A5518"/>
    <w:rsid w:val="001B1C6A"/>
    <w:rsid w:val="001B6BA2"/>
    <w:rsid w:val="001C1263"/>
    <w:rsid w:val="001C1417"/>
    <w:rsid w:val="001C6715"/>
    <w:rsid w:val="001D0670"/>
    <w:rsid w:val="001D3FD0"/>
    <w:rsid w:val="001D5521"/>
    <w:rsid w:val="001D6356"/>
    <w:rsid w:val="001E28FA"/>
    <w:rsid w:val="001E390B"/>
    <w:rsid w:val="001F42FB"/>
    <w:rsid w:val="001F4CE0"/>
    <w:rsid w:val="001F719A"/>
    <w:rsid w:val="002031B3"/>
    <w:rsid w:val="00204AEE"/>
    <w:rsid w:val="00215931"/>
    <w:rsid w:val="0022495A"/>
    <w:rsid w:val="00224DCB"/>
    <w:rsid w:val="00227BDB"/>
    <w:rsid w:val="0023114F"/>
    <w:rsid w:val="00234CB1"/>
    <w:rsid w:val="002352F8"/>
    <w:rsid w:val="00242BA2"/>
    <w:rsid w:val="002510A5"/>
    <w:rsid w:val="00254A0A"/>
    <w:rsid w:val="00266046"/>
    <w:rsid w:val="002751A8"/>
    <w:rsid w:val="00283103"/>
    <w:rsid w:val="002846DB"/>
    <w:rsid w:val="00284CCD"/>
    <w:rsid w:val="00296DC2"/>
    <w:rsid w:val="00297F79"/>
    <w:rsid w:val="002A1689"/>
    <w:rsid w:val="002B3472"/>
    <w:rsid w:val="002B7254"/>
    <w:rsid w:val="002C4A94"/>
    <w:rsid w:val="002C6637"/>
    <w:rsid w:val="002E0135"/>
    <w:rsid w:val="002E37A5"/>
    <w:rsid w:val="002E6B4C"/>
    <w:rsid w:val="002E7196"/>
    <w:rsid w:val="002F7D77"/>
    <w:rsid w:val="00301F25"/>
    <w:rsid w:val="00310F03"/>
    <w:rsid w:val="00321759"/>
    <w:rsid w:val="003247D2"/>
    <w:rsid w:val="003445C1"/>
    <w:rsid w:val="00355B61"/>
    <w:rsid w:val="00362686"/>
    <w:rsid w:val="00367000"/>
    <w:rsid w:val="00371510"/>
    <w:rsid w:val="00396DFD"/>
    <w:rsid w:val="003A7059"/>
    <w:rsid w:val="003B7A36"/>
    <w:rsid w:val="003C17AB"/>
    <w:rsid w:val="003C7823"/>
    <w:rsid w:val="003D0155"/>
    <w:rsid w:val="003E1DCC"/>
    <w:rsid w:val="003F16A5"/>
    <w:rsid w:val="003F6A59"/>
    <w:rsid w:val="0040233F"/>
    <w:rsid w:val="004065C8"/>
    <w:rsid w:val="0041170B"/>
    <w:rsid w:val="00411B4B"/>
    <w:rsid w:val="00415BEE"/>
    <w:rsid w:val="00417596"/>
    <w:rsid w:val="00427F85"/>
    <w:rsid w:val="004329F6"/>
    <w:rsid w:val="00436F42"/>
    <w:rsid w:val="004378B4"/>
    <w:rsid w:val="00444FC4"/>
    <w:rsid w:val="00451314"/>
    <w:rsid w:val="0045221D"/>
    <w:rsid w:val="00452E9D"/>
    <w:rsid w:val="004534C7"/>
    <w:rsid w:val="004671AA"/>
    <w:rsid w:val="00471397"/>
    <w:rsid w:val="00472923"/>
    <w:rsid w:val="00480FB1"/>
    <w:rsid w:val="00483928"/>
    <w:rsid w:val="0048739F"/>
    <w:rsid w:val="00495CA1"/>
    <w:rsid w:val="004A7F23"/>
    <w:rsid w:val="004D26A8"/>
    <w:rsid w:val="004D6103"/>
    <w:rsid w:val="004E3BCE"/>
    <w:rsid w:val="004E3F33"/>
    <w:rsid w:val="004F0E97"/>
    <w:rsid w:val="00515C21"/>
    <w:rsid w:val="00530BD7"/>
    <w:rsid w:val="00545CD2"/>
    <w:rsid w:val="005476F3"/>
    <w:rsid w:val="00557AE5"/>
    <w:rsid w:val="00572527"/>
    <w:rsid w:val="00573E40"/>
    <w:rsid w:val="00576348"/>
    <w:rsid w:val="00596267"/>
    <w:rsid w:val="005A0B2E"/>
    <w:rsid w:val="005A19EB"/>
    <w:rsid w:val="005A23D2"/>
    <w:rsid w:val="005A36CB"/>
    <w:rsid w:val="005B0DA9"/>
    <w:rsid w:val="005B49B8"/>
    <w:rsid w:val="005C0741"/>
    <w:rsid w:val="005C25D6"/>
    <w:rsid w:val="005C5EF4"/>
    <w:rsid w:val="005C6EBE"/>
    <w:rsid w:val="005D104C"/>
    <w:rsid w:val="005E2E0B"/>
    <w:rsid w:val="005E7A7D"/>
    <w:rsid w:val="005F5EF1"/>
    <w:rsid w:val="005F6265"/>
    <w:rsid w:val="00606C52"/>
    <w:rsid w:val="006232B8"/>
    <w:rsid w:val="00626D4A"/>
    <w:rsid w:val="00630D50"/>
    <w:rsid w:val="00632709"/>
    <w:rsid w:val="00646BD1"/>
    <w:rsid w:val="006561C2"/>
    <w:rsid w:val="0066732D"/>
    <w:rsid w:val="00671CB3"/>
    <w:rsid w:val="00674BAF"/>
    <w:rsid w:val="00682200"/>
    <w:rsid w:val="0069009A"/>
    <w:rsid w:val="0069164E"/>
    <w:rsid w:val="00693ADE"/>
    <w:rsid w:val="00694916"/>
    <w:rsid w:val="006A1497"/>
    <w:rsid w:val="006B0BD1"/>
    <w:rsid w:val="006B1D55"/>
    <w:rsid w:val="006D20A5"/>
    <w:rsid w:val="006D37BF"/>
    <w:rsid w:val="006F1004"/>
    <w:rsid w:val="00702E22"/>
    <w:rsid w:val="0072020E"/>
    <w:rsid w:val="00744BA2"/>
    <w:rsid w:val="00786071"/>
    <w:rsid w:val="00796EAA"/>
    <w:rsid w:val="007A225B"/>
    <w:rsid w:val="007A24EA"/>
    <w:rsid w:val="007A3ECB"/>
    <w:rsid w:val="007B08B7"/>
    <w:rsid w:val="007B78AC"/>
    <w:rsid w:val="007C4369"/>
    <w:rsid w:val="007E2369"/>
    <w:rsid w:val="008101F7"/>
    <w:rsid w:val="008173EA"/>
    <w:rsid w:val="00824AB9"/>
    <w:rsid w:val="00836B35"/>
    <w:rsid w:val="00843BDE"/>
    <w:rsid w:val="00850748"/>
    <w:rsid w:val="00870C57"/>
    <w:rsid w:val="0089705C"/>
    <w:rsid w:val="008A3471"/>
    <w:rsid w:val="008A6D43"/>
    <w:rsid w:val="008B491E"/>
    <w:rsid w:val="008C0B09"/>
    <w:rsid w:val="008C1A28"/>
    <w:rsid w:val="008C1FDF"/>
    <w:rsid w:val="008C2E98"/>
    <w:rsid w:val="008E49BD"/>
    <w:rsid w:val="008E53E9"/>
    <w:rsid w:val="008E5771"/>
    <w:rsid w:val="008F3D94"/>
    <w:rsid w:val="009002BD"/>
    <w:rsid w:val="00940B9B"/>
    <w:rsid w:val="0094477C"/>
    <w:rsid w:val="00945648"/>
    <w:rsid w:val="0095676E"/>
    <w:rsid w:val="00956983"/>
    <w:rsid w:val="00963CF0"/>
    <w:rsid w:val="00964BB1"/>
    <w:rsid w:val="00965606"/>
    <w:rsid w:val="00974462"/>
    <w:rsid w:val="009775D9"/>
    <w:rsid w:val="00990D95"/>
    <w:rsid w:val="00992903"/>
    <w:rsid w:val="00994859"/>
    <w:rsid w:val="00997175"/>
    <w:rsid w:val="009A1847"/>
    <w:rsid w:val="009B062A"/>
    <w:rsid w:val="009C35F1"/>
    <w:rsid w:val="009D6A38"/>
    <w:rsid w:val="009E1E70"/>
    <w:rsid w:val="009E7C6F"/>
    <w:rsid w:val="009F1793"/>
    <w:rsid w:val="009F2D23"/>
    <w:rsid w:val="00A01D69"/>
    <w:rsid w:val="00A02335"/>
    <w:rsid w:val="00A154F8"/>
    <w:rsid w:val="00A46C9A"/>
    <w:rsid w:val="00A555D4"/>
    <w:rsid w:val="00A619F3"/>
    <w:rsid w:val="00A62A73"/>
    <w:rsid w:val="00A735DF"/>
    <w:rsid w:val="00A87FF6"/>
    <w:rsid w:val="00A93BDC"/>
    <w:rsid w:val="00AA0A3B"/>
    <w:rsid w:val="00AA207B"/>
    <w:rsid w:val="00AB3E0F"/>
    <w:rsid w:val="00AB50CA"/>
    <w:rsid w:val="00AC2DF2"/>
    <w:rsid w:val="00AC53CE"/>
    <w:rsid w:val="00AD07F6"/>
    <w:rsid w:val="00AD2193"/>
    <w:rsid w:val="00AF2AC7"/>
    <w:rsid w:val="00AF74CE"/>
    <w:rsid w:val="00B208DB"/>
    <w:rsid w:val="00B21741"/>
    <w:rsid w:val="00B23F69"/>
    <w:rsid w:val="00B268C7"/>
    <w:rsid w:val="00B5434B"/>
    <w:rsid w:val="00B60619"/>
    <w:rsid w:val="00B61718"/>
    <w:rsid w:val="00B66A70"/>
    <w:rsid w:val="00B67366"/>
    <w:rsid w:val="00B71B7F"/>
    <w:rsid w:val="00B80EE1"/>
    <w:rsid w:val="00B84135"/>
    <w:rsid w:val="00BB6F72"/>
    <w:rsid w:val="00BC6685"/>
    <w:rsid w:val="00BD1D9F"/>
    <w:rsid w:val="00BE74DA"/>
    <w:rsid w:val="00C03535"/>
    <w:rsid w:val="00C04D34"/>
    <w:rsid w:val="00C05DF8"/>
    <w:rsid w:val="00C06864"/>
    <w:rsid w:val="00C10F54"/>
    <w:rsid w:val="00C22A8B"/>
    <w:rsid w:val="00C23D8D"/>
    <w:rsid w:val="00C37AA3"/>
    <w:rsid w:val="00C37FD7"/>
    <w:rsid w:val="00C40CDA"/>
    <w:rsid w:val="00C43419"/>
    <w:rsid w:val="00C44CF3"/>
    <w:rsid w:val="00C567DD"/>
    <w:rsid w:val="00C61BE0"/>
    <w:rsid w:val="00C643C2"/>
    <w:rsid w:val="00C70B0E"/>
    <w:rsid w:val="00C773CA"/>
    <w:rsid w:val="00C80279"/>
    <w:rsid w:val="00C83785"/>
    <w:rsid w:val="00C94C0D"/>
    <w:rsid w:val="00C962A6"/>
    <w:rsid w:val="00C9785D"/>
    <w:rsid w:val="00CA1FEB"/>
    <w:rsid w:val="00CB67D5"/>
    <w:rsid w:val="00CD4F85"/>
    <w:rsid w:val="00CD6F02"/>
    <w:rsid w:val="00CD77A0"/>
    <w:rsid w:val="00CE246D"/>
    <w:rsid w:val="00CE41E9"/>
    <w:rsid w:val="00CF07A0"/>
    <w:rsid w:val="00CF3E03"/>
    <w:rsid w:val="00D005BB"/>
    <w:rsid w:val="00D0082A"/>
    <w:rsid w:val="00D065BC"/>
    <w:rsid w:val="00D21455"/>
    <w:rsid w:val="00D23B7A"/>
    <w:rsid w:val="00D24822"/>
    <w:rsid w:val="00D311BB"/>
    <w:rsid w:val="00D47634"/>
    <w:rsid w:val="00D65A3F"/>
    <w:rsid w:val="00D709B3"/>
    <w:rsid w:val="00D71054"/>
    <w:rsid w:val="00D75E2E"/>
    <w:rsid w:val="00D92742"/>
    <w:rsid w:val="00DA2ED6"/>
    <w:rsid w:val="00DA4C01"/>
    <w:rsid w:val="00DB76B8"/>
    <w:rsid w:val="00DC2EA1"/>
    <w:rsid w:val="00DD53DC"/>
    <w:rsid w:val="00DD6AAF"/>
    <w:rsid w:val="00DD789D"/>
    <w:rsid w:val="00DE3F5C"/>
    <w:rsid w:val="00DE6AC3"/>
    <w:rsid w:val="00DF1D20"/>
    <w:rsid w:val="00E07327"/>
    <w:rsid w:val="00E21324"/>
    <w:rsid w:val="00E246B9"/>
    <w:rsid w:val="00E31FEA"/>
    <w:rsid w:val="00E45169"/>
    <w:rsid w:val="00E47787"/>
    <w:rsid w:val="00E51C30"/>
    <w:rsid w:val="00E64180"/>
    <w:rsid w:val="00E73A89"/>
    <w:rsid w:val="00E74AEE"/>
    <w:rsid w:val="00E77698"/>
    <w:rsid w:val="00E81941"/>
    <w:rsid w:val="00E868E5"/>
    <w:rsid w:val="00E9237A"/>
    <w:rsid w:val="00E939FA"/>
    <w:rsid w:val="00EA2E7B"/>
    <w:rsid w:val="00EA55F8"/>
    <w:rsid w:val="00EA5765"/>
    <w:rsid w:val="00EB689B"/>
    <w:rsid w:val="00EC2532"/>
    <w:rsid w:val="00EC7BC2"/>
    <w:rsid w:val="00EC7FBC"/>
    <w:rsid w:val="00ED228E"/>
    <w:rsid w:val="00ED47D8"/>
    <w:rsid w:val="00ED7812"/>
    <w:rsid w:val="00EE7AAA"/>
    <w:rsid w:val="00EF3B86"/>
    <w:rsid w:val="00F132B8"/>
    <w:rsid w:val="00F317E9"/>
    <w:rsid w:val="00F34554"/>
    <w:rsid w:val="00F368F3"/>
    <w:rsid w:val="00F45F77"/>
    <w:rsid w:val="00F5167F"/>
    <w:rsid w:val="00F52258"/>
    <w:rsid w:val="00F56183"/>
    <w:rsid w:val="00F6201D"/>
    <w:rsid w:val="00F6658D"/>
    <w:rsid w:val="00F67BCD"/>
    <w:rsid w:val="00F7087C"/>
    <w:rsid w:val="00F729EC"/>
    <w:rsid w:val="00F76A42"/>
    <w:rsid w:val="00F82FC9"/>
    <w:rsid w:val="00F8570A"/>
    <w:rsid w:val="00F91C7B"/>
    <w:rsid w:val="00F91E24"/>
    <w:rsid w:val="00FA1302"/>
    <w:rsid w:val="00FB0069"/>
    <w:rsid w:val="00FB51A0"/>
    <w:rsid w:val="00FB6066"/>
    <w:rsid w:val="00FB7C94"/>
    <w:rsid w:val="00FC0F0F"/>
    <w:rsid w:val="00FF0756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544DDE"/>
  <w15:docId w15:val="{ADF1D9C1-B746-47B1-9701-D65358CF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71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customStyle="1" w:styleId="Default">
    <w:name w:val="Default"/>
    <w:rsid w:val="004A7F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rsid w:val="002B72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44221-E0D7-4D3A-8447-DB2CEE18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10460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creator>tatjana.bankovic</dc:creator>
  <cp:lastModifiedBy>Aleksandra Jonić-Popović</cp:lastModifiedBy>
  <cp:revision>2</cp:revision>
  <dcterms:created xsi:type="dcterms:W3CDTF">2025-03-07T06:41:00Z</dcterms:created>
  <dcterms:modified xsi:type="dcterms:W3CDTF">2025-03-07T06:41:00Z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