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1E259D" w14:textId="0642A92E" w:rsidR="00593C52" w:rsidRPr="002041DF" w:rsidRDefault="00623D38" w:rsidP="002041DF">
      <w:pPr>
        <w:widowControl w:val="0"/>
        <w:jc w:val="center"/>
        <w:rPr>
          <w:b/>
          <w:iCs/>
          <w:sz w:val="22"/>
          <w:szCs w:val="22"/>
          <w:u w:val="single"/>
          <w:lang w:val="sr-Latn-ME"/>
        </w:rPr>
      </w:pPr>
      <w:r w:rsidRPr="002041DF">
        <w:rPr>
          <w:b/>
          <w:sz w:val="22"/>
          <w:szCs w:val="22"/>
          <w:u w:val="single"/>
          <w:lang w:val="sr-Latn-ME"/>
        </w:rPr>
        <w:t>SAŽETAK KARAKTERISTIKA L</w:t>
      </w:r>
      <w:r w:rsidR="00C23E53" w:rsidRPr="002041DF">
        <w:rPr>
          <w:b/>
          <w:sz w:val="22"/>
          <w:szCs w:val="22"/>
          <w:u w:val="single"/>
          <w:lang w:val="sr-Latn-ME"/>
        </w:rPr>
        <w:t>IJ</w:t>
      </w:r>
      <w:r w:rsidRPr="002041DF">
        <w:rPr>
          <w:b/>
          <w:sz w:val="22"/>
          <w:szCs w:val="22"/>
          <w:u w:val="single"/>
          <w:lang w:val="sr-Latn-ME"/>
        </w:rPr>
        <w:t>EKA</w:t>
      </w:r>
      <w:bookmarkStart w:id="0" w:name="_Hlk506990819"/>
    </w:p>
    <w:p w14:paraId="356F7E3F" w14:textId="77777777" w:rsidR="00FA043C" w:rsidRPr="002041DF" w:rsidRDefault="00FA043C" w:rsidP="002041DF">
      <w:pPr>
        <w:widowControl w:val="0"/>
        <w:autoSpaceDE w:val="0"/>
        <w:autoSpaceDN w:val="0"/>
        <w:adjustRightInd w:val="0"/>
        <w:jc w:val="both"/>
        <w:rPr>
          <w:color w:val="000000"/>
          <w:sz w:val="22"/>
          <w:szCs w:val="22"/>
          <w:lang w:val="sr-Latn-ME"/>
        </w:rPr>
      </w:pPr>
    </w:p>
    <w:bookmarkEnd w:id="0"/>
    <w:p w14:paraId="13C3DC8B" w14:textId="77777777" w:rsidR="002041DF" w:rsidRDefault="002041DF" w:rsidP="002041DF">
      <w:pPr>
        <w:widowControl w:val="0"/>
        <w:tabs>
          <w:tab w:val="left" w:pos="540"/>
          <w:tab w:val="left" w:pos="569"/>
        </w:tabs>
        <w:jc w:val="both"/>
        <w:rPr>
          <w:b/>
          <w:sz w:val="22"/>
          <w:szCs w:val="22"/>
          <w:lang w:val="sr-Latn-ME"/>
        </w:rPr>
      </w:pPr>
    </w:p>
    <w:p w14:paraId="17499467" w14:textId="77777777" w:rsidR="00921FA2" w:rsidRPr="002041DF" w:rsidRDefault="00921FA2" w:rsidP="002041DF">
      <w:pPr>
        <w:widowControl w:val="0"/>
        <w:tabs>
          <w:tab w:val="left" w:pos="540"/>
          <w:tab w:val="left" w:pos="569"/>
        </w:tabs>
        <w:jc w:val="both"/>
        <w:rPr>
          <w:b/>
          <w:bCs/>
          <w:sz w:val="22"/>
          <w:szCs w:val="22"/>
          <w:lang w:val="sr-Latn-ME"/>
        </w:rPr>
      </w:pPr>
      <w:bookmarkStart w:id="1" w:name="_Hlk131771689"/>
      <w:r w:rsidRPr="002041DF">
        <w:rPr>
          <w:b/>
          <w:bCs/>
          <w:sz w:val="22"/>
          <w:szCs w:val="22"/>
          <w:lang w:val="sr-Latn-ME"/>
        </w:rPr>
        <w:t>1.</w:t>
      </w:r>
      <w:r w:rsidRPr="002041DF">
        <w:rPr>
          <w:b/>
          <w:bCs/>
          <w:sz w:val="22"/>
          <w:szCs w:val="22"/>
          <w:lang w:val="sr-Latn-ME"/>
        </w:rPr>
        <w:tab/>
        <w:t>NAZIV LIJEKA</w:t>
      </w:r>
    </w:p>
    <w:bookmarkEnd w:id="1"/>
    <w:p w14:paraId="63F832EE" w14:textId="77777777" w:rsidR="00623D38" w:rsidRPr="002041DF" w:rsidRDefault="00623D38" w:rsidP="002041DF">
      <w:pPr>
        <w:widowControl w:val="0"/>
        <w:jc w:val="both"/>
        <w:rPr>
          <w:iCs/>
          <w:sz w:val="22"/>
          <w:szCs w:val="22"/>
          <w:lang w:val="sr-Latn-ME"/>
        </w:rPr>
      </w:pPr>
    </w:p>
    <w:p w14:paraId="3A75367D" w14:textId="17D55B13" w:rsidR="00E173B0" w:rsidRPr="002041DF" w:rsidRDefault="00E173B0" w:rsidP="002041DF">
      <w:pPr>
        <w:pStyle w:val="Header"/>
        <w:widowControl w:val="0"/>
        <w:tabs>
          <w:tab w:val="left" w:pos="284"/>
        </w:tabs>
        <w:jc w:val="both"/>
        <w:rPr>
          <w:sz w:val="22"/>
          <w:szCs w:val="22"/>
          <w:lang w:val="sr-Latn-ME"/>
        </w:rPr>
      </w:pPr>
      <w:r w:rsidRPr="002041DF">
        <w:rPr>
          <w:sz w:val="22"/>
          <w:szCs w:val="22"/>
          <w:lang w:val="sr-Latn-ME"/>
        </w:rPr>
        <w:t>Stelara, 90</w:t>
      </w:r>
      <w:r w:rsidR="00B829B1" w:rsidRPr="002041DF">
        <w:rPr>
          <w:sz w:val="22"/>
          <w:szCs w:val="22"/>
          <w:lang w:val="sr-Latn-ME"/>
        </w:rPr>
        <w:t xml:space="preserve"> </w:t>
      </w:r>
      <w:r w:rsidRPr="002041DF">
        <w:rPr>
          <w:sz w:val="22"/>
          <w:szCs w:val="22"/>
          <w:lang w:val="sr-Latn-ME"/>
        </w:rPr>
        <w:t>mg/m</w:t>
      </w:r>
      <w:r w:rsidR="00FB6228" w:rsidRPr="002041DF">
        <w:rPr>
          <w:sz w:val="22"/>
          <w:szCs w:val="22"/>
          <w:lang w:val="sr-Latn-ME"/>
        </w:rPr>
        <w:t>l</w:t>
      </w:r>
      <w:r w:rsidRPr="002041DF">
        <w:rPr>
          <w:sz w:val="22"/>
          <w:szCs w:val="22"/>
          <w:lang w:val="sr-Latn-ME"/>
        </w:rPr>
        <w:t>, rastvor za injekciju u napunjenom injekcionom špricu</w:t>
      </w:r>
    </w:p>
    <w:p w14:paraId="3DB81D5F" w14:textId="77777777" w:rsidR="00E173B0" w:rsidRPr="002041DF" w:rsidRDefault="00E173B0" w:rsidP="002041DF">
      <w:pPr>
        <w:pStyle w:val="Header"/>
        <w:widowControl w:val="0"/>
        <w:tabs>
          <w:tab w:val="left" w:pos="284"/>
        </w:tabs>
        <w:jc w:val="both"/>
        <w:rPr>
          <w:sz w:val="22"/>
          <w:szCs w:val="22"/>
          <w:lang w:val="sr-Latn-ME"/>
        </w:rPr>
      </w:pPr>
    </w:p>
    <w:p w14:paraId="5B4B95AF" w14:textId="77777777" w:rsidR="00E173B0" w:rsidRPr="002041DF" w:rsidRDefault="00E173B0" w:rsidP="002041DF">
      <w:pPr>
        <w:pStyle w:val="Header"/>
        <w:widowControl w:val="0"/>
        <w:tabs>
          <w:tab w:val="left" w:pos="284"/>
        </w:tabs>
        <w:jc w:val="both"/>
        <w:rPr>
          <w:sz w:val="22"/>
          <w:szCs w:val="22"/>
          <w:lang w:val="sr-Latn-ME"/>
        </w:rPr>
      </w:pPr>
      <w:r w:rsidRPr="002041DF">
        <w:rPr>
          <w:sz w:val="22"/>
          <w:szCs w:val="22"/>
          <w:lang w:val="sr-Latn-ME"/>
        </w:rPr>
        <w:t>INN: ustekinumab</w:t>
      </w:r>
    </w:p>
    <w:p w14:paraId="7DBA420C" w14:textId="4A527E93" w:rsidR="00623D38" w:rsidRPr="002041DF" w:rsidRDefault="00623D38" w:rsidP="002041DF">
      <w:pPr>
        <w:widowControl w:val="0"/>
        <w:jc w:val="both"/>
        <w:rPr>
          <w:bCs/>
          <w:sz w:val="22"/>
          <w:szCs w:val="22"/>
          <w:lang w:val="sr-Latn-ME"/>
        </w:rPr>
      </w:pPr>
    </w:p>
    <w:p w14:paraId="59CEAD3C" w14:textId="77777777" w:rsidR="00921FA2" w:rsidRPr="002041DF" w:rsidRDefault="00921FA2" w:rsidP="002041DF">
      <w:pPr>
        <w:widowControl w:val="0"/>
        <w:jc w:val="both"/>
        <w:rPr>
          <w:bCs/>
          <w:sz w:val="22"/>
          <w:szCs w:val="22"/>
          <w:lang w:val="sr-Latn-ME"/>
        </w:rPr>
      </w:pPr>
    </w:p>
    <w:p w14:paraId="0EF0FBCE" w14:textId="77777777" w:rsidR="00921FA2" w:rsidRPr="002041DF" w:rsidRDefault="00921FA2" w:rsidP="002041DF">
      <w:pPr>
        <w:widowControl w:val="0"/>
        <w:tabs>
          <w:tab w:val="left" w:pos="540"/>
          <w:tab w:val="left" w:pos="569"/>
        </w:tabs>
        <w:jc w:val="both"/>
        <w:rPr>
          <w:b/>
          <w:bCs/>
          <w:sz w:val="22"/>
          <w:szCs w:val="22"/>
          <w:lang w:val="sr-Latn-ME"/>
        </w:rPr>
      </w:pPr>
      <w:bookmarkStart w:id="2" w:name="_Hlk131771701"/>
      <w:r w:rsidRPr="002041DF">
        <w:rPr>
          <w:b/>
          <w:bCs/>
          <w:sz w:val="22"/>
          <w:szCs w:val="22"/>
          <w:lang w:val="sr-Latn-ME"/>
        </w:rPr>
        <w:t xml:space="preserve">2. </w:t>
      </w:r>
      <w:r w:rsidRPr="002041DF">
        <w:rPr>
          <w:b/>
          <w:bCs/>
          <w:sz w:val="22"/>
          <w:szCs w:val="22"/>
          <w:lang w:val="sr-Latn-ME"/>
        </w:rPr>
        <w:tab/>
        <w:t>KVALITATIVNI I KVANTITATIVNI SASTAV</w:t>
      </w:r>
    </w:p>
    <w:bookmarkEnd w:id="2"/>
    <w:p w14:paraId="18DF3E34" w14:textId="77777777" w:rsidR="00623D38" w:rsidRPr="002041DF" w:rsidRDefault="00623D38" w:rsidP="002041DF">
      <w:pPr>
        <w:widowControl w:val="0"/>
        <w:jc w:val="both"/>
        <w:rPr>
          <w:bCs/>
          <w:sz w:val="22"/>
          <w:szCs w:val="22"/>
          <w:lang w:val="sr-Latn-ME"/>
        </w:rPr>
      </w:pPr>
    </w:p>
    <w:p w14:paraId="3328F77A" w14:textId="0B85ADC6" w:rsidR="00623D38" w:rsidRPr="002041DF" w:rsidRDefault="00B11956" w:rsidP="002041DF">
      <w:pPr>
        <w:pStyle w:val="Header"/>
        <w:widowControl w:val="0"/>
        <w:tabs>
          <w:tab w:val="left" w:pos="284"/>
        </w:tabs>
        <w:jc w:val="both"/>
        <w:rPr>
          <w:sz w:val="22"/>
          <w:szCs w:val="22"/>
          <w:lang w:val="sr-Latn-ME"/>
        </w:rPr>
      </w:pPr>
      <w:r w:rsidRPr="002041DF">
        <w:rPr>
          <w:sz w:val="22"/>
          <w:szCs w:val="22"/>
          <w:lang w:val="sr-Latn-ME"/>
        </w:rPr>
        <w:t>Jedan</w:t>
      </w:r>
      <w:r w:rsidR="00623D38" w:rsidRPr="002041DF">
        <w:rPr>
          <w:sz w:val="22"/>
          <w:szCs w:val="22"/>
          <w:lang w:val="sr-Latn-ME"/>
        </w:rPr>
        <w:t xml:space="preserve"> napunjeni injekcioni špric sadrži 90 mg ustekinumaba u 1 </w:t>
      </w:r>
      <w:r w:rsidR="00FB6228" w:rsidRPr="002041DF">
        <w:rPr>
          <w:sz w:val="22"/>
          <w:szCs w:val="22"/>
          <w:lang w:val="sr-Latn-ME"/>
        </w:rPr>
        <w:t xml:space="preserve">ml </w:t>
      </w:r>
      <w:r w:rsidR="00623D38" w:rsidRPr="002041DF">
        <w:rPr>
          <w:sz w:val="22"/>
          <w:szCs w:val="22"/>
          <w:lang w:val="sr-Latn-ME"/>
        </w:rPr>
        <w:t>rastvora.</w:t>
      </w:r>
    </w:p>
    <w:p w14:paraId="45AACD46" w14:textId="77777777" w:rsidR="00623D38" w:rsidRPr="002041DF" w:rsidRDefault="00623D38" w:rsidP="002041DF">
      <w:pPr>
        <w:pStyle w:val="Header"/>
        <w:widowControl w:val="0"/>
        <w:tabs>
          <w:tab w:val="left" w:pos="284"/>
        </w:tabs>
        <w:jc w:val="both"/>
        <w:rPr>
          <w:sz w:val="22"/>
          <w:szCs w:val="22"/>
          <w:lang w:val="sr-Latn-ME"/>
        </w:rPr>
      </w:pPr>
    </w:p>
    <w:p w14:paraId="4491DAFC" w14:textId="22683F27" w:rsidR="00623D38" w:rsidRPr="002041DF" w:rsidRDefault="00623D38" w:rsidP="002041DF">
      <w:pPr>
        <w:pStyle w:val="Header"/>
        <w:widowControl w:val="0"/>
        <w:tabs>
          <w:tab w:val="clear" w:pos="9406"/>
          <w:tab w:val="left" w:pos="284"/>
        </w:tabs>
        <w:jc w:val="both"/>
        <w:rPr>
          <w:sz w:val="22"/>
          <w:szCs w:val="22"/>
          <w:lang w:val="sr-Latn-ME"/>
        </w:rPr>
      </w:pPr>
      <w:r w:rsidRPr="002041DF">
        <w:rPr>
          <w:sz w:val="22"/>
          <w:szCs w:val="22"/>
          <w:lang w:val="sr-Latn-ME"/>
        </w:rPr>
        <w:t xml:space="preserve">Ustekinumab je kompletno humano IgG1k monoklonsko </w:t>
      </w:r>
      <w:r w:rsidR="00C23E53" w:rsidRPr="002041DF">
        <w:rPr>
          <w:sz w:val="22"/>
          <w:szCs w:val="22"/>
          <w:lang w:val="sr-Latn-ME"/>
        </w:rPr>
        <w:t>antitijelo</w:t>
      </w:r>
      <w:r w:rsidRPr="002041DF">
        <w:rPr>
          <w:sz w:val="22"/>
          <w:szCs w:val="22"/>
          <w:lang w:val="sr-Latn-ME"/>
        </w:rPr>
        <w:t xml:space="preserve"> </w:t>
      </w:r>
      <w:r w:rsidR="007477E7" w:rsidRPr="002041DF">
        <w:rPr>
          <w:sz w:val="22"/>
          <w:szCs w:val="22"/>
          <w:lang w:val="sr-Latn-ME"/>
        </w:rPr>
        <w:t>na</w:t>
      </w:r>
      <w:r w:rsidRPr="002041DF">
        <w:rPr>
          <w:sz w:val="22"/>
          <w:szCs w:val="22"/>
          <w:lang w:val="sr-Latn-ME"/>
        </w:rPr>
        <w:t xml:space="preserve"> interleukin (IL)-12/23 proizvedeno u mijelomskim ćelijama </w:t>
      </w:r>
      <w:r w:rsidR="00FB6228" w:rsidRPr="002041DF">
        <w:rPr>
          <w:sz w:val="22"/>
          <w:szCs w:val="22"/>
          <w:lang w:val="sr-Latn-ME"/>
        </w:rPr>
        <w:t xml:space="preserve">miševa </w:t>
      </w:r>
      <w:r w:rsidRPr="002041DF">
        <w:rPr>
          <w:sz w:val="22"/>
          <w:szCs w:val="22"/>
          <w:lang w:val="sr-Latn-ME"/>
        </w:rPr>
        <w:t>koristeći rekombinantnu DNK tehnologiju.</w:t>
      </w:r>
    </w:p>
    <w:p w14:paraId="2A8AC63F" w14:textId="77777777" w:rsidR="00623D38" w:rsidRPr="002041DF" w:rsidRDefault="00623D38" w:rsidP="002041DF">
      <w:pPr>
        <w:pStyle w:val="Header"/>
        <w:widowControl w:val="0"/>
        <w:tabs>
          <w:tab w:val="left" w:pos="284"/>
        </w:tabs>
        <w:jc w:val="both"/>
        <w:rPr>
          <w:sz w:val="22"/>
          <w:szCs w:val="22"/>
          <w:lang w:val="sr-Latn-ME"/>
        </w:rPr>
      </w:pPr>
    </w:p>
    <w:p w14:paraId="28E42A6B" w14:textId="7BA7EACF" w:rsidR="00623D38" w:rsidRPr="002041DF" w:rsidRDefault="00623D38" w:rsidP="002041DF">
      <w:pPr>
        <w:pStyle w:val="Header"/>
        <w:widowControl w:val="0"/>
        <w:tabs>
          <w:tab w:val="left" w:pos="284"/>
        </w:tabs>
        <w:jc w:val="both"/>
        <w:rPr>
          <w:sz w:val="22"/>
          <w:szCs w:val="22"/>
          <w:lang w:val="sr-Latn-ME"/>
        </w:rPr>
      </w:pPr>
      <w:r w:rsidRPr="002041DF">
        <w:rPr>
          <w:sz w:val="22"/>
          <w:szCs w:val="22"/>
          <w:lang w:val="sr-Latn-ME"/>
        </w:rPr>
        <w:t>Za listu pomoćnih supstanci, vid</w:t>
      </w:r>
      <w:r w:rsidR="00C23E53" w:rsidRPr="002041DF">
        <w:rPr>
          <w:sz w:val="22"/>
          <w:szCs w:val="22"/>
          <w:lang w:val="sr-Latn-ME"/>
        </w:rPr>
        <w:t>j</w:t>
      </w:r>
      <w:r w:rsidRPr="002041DF">
        <w:rPr>
          <w:sz w:val="22"/>
          <w:szCs w:val="22"/>
          <w:lang w:val="sr-Latn-ME"/>
        </w:rPr>
        <w:t xml:space="preserve">eti </w:t>
      </w:r>
      <w:r w:rsidR="00FB6228" w:rsidRPr="002041DF">
        <w:rPr>
          <w:sz w:val="22"/>
          <w:szCs w:val="22"/>
          <w:lang w:val="sr-Latn-ME"/>
        </w:rPr>
        <w:t xml:space="preserve">dio </w:t>
      </w:r>
      <w:r w:rsidRPr="002041DF">
        <w:rPr>
          <w:sz w:val="22"/>
          <w:szCs w:val="22"/>
          <w:lang w:val="sr-Latn-ME"/>
        </w:rPr>
        <w:t>6.1.</w:t>
      </w:r>
    </w:p>
    <w:p w14:paraId="051D4EDB" w14:textId="77777777" w:rsidR="00FB6228" w:rsidRPr="002041DF" w:rsidRDefault="00FB6228" w:rsidP="002041DF">
      <w:pPr>
        <w:pStyle w:val="Header"/>
        <w:widowControl w:val="0"/>
        <w:tabs>
          <w:tab w:val="left" w:pos="284"/>
        </w:tabs>
        <w:jc w:val="both"/>
        <w:rPr>
          <w:sz w:val="22"/>
          <w:szCs w:val="22"/>
          <w:lang w:val="sr-Latn-ME"/>
        </w:rPr>
      </w:pPr>
    </w:p>
    <w:p w14:paraId="543C01F1" w14:textId="77777777" w:rsidR="00623D38" w:rsidRPr="002041DF" w:rsidRDefault="00623D38" w:rsidP="002041DF">
      <w:pPr>
        <w:widowControl w:val="0"/>
        <w:jc w:val="both"/>
        <w:rPr>
          <w:sz w:val="22"/>
          <w:szCs w:val="22"/>
          <w:lang w:val="sr-Latn-ME"/>
        </w:rPr>
      </w:pPr>
    </w:p>
    <w:p w14:paraId="7469DF8B" w14:textId="77777777" w:rsidR="00921FA2" w:rsidRPr="002041DF" w:rsidRDefault="00921FA2" w:rsidP="002041DF">
      <w:pPr>
        <w:widowControl w:val="0"/>
        <w:tabs>
          <w:tab w:val="left" w:pos="540"/>
          <w:tab w:val="left" w:pos="569"/>
        </w:tabs>
        <w:jc w:val="both"/>
        <w:rPr>
          <w:b/>
          <w:bCs/>
          <w:sz w:val="22"/>
          <w:szCs w:val="22"/>
          <w:lang w:val="sr-Latn-ME"/>
        </w:rPr>
      </w:pPr>
      <w:bookmarkStart w:id="3" w:name="_Hlk131771726"/>
      <w:r w:rsidRPr="002041DF">
        <w:rPr>
          <w:b/>
          <w:bCs/>
          <w:sz w:val="22"/>
          <w:szCs w:val="22"/>
          <w:lang w:val="sr-Latn-ME"/>
        </w:rPr>
        <w:t xml:space="preserve">3. </w:t>
      </w:r>
      <w:r w:rsidRPr="002041DF">
        <w:rPr>
          <w:b/>
          <w:bCs/>
          <w:sz w:val="22"/>
          <w:szCs w:val="22"/>
          <w:lang w:val="sr-Latn-ME"/>
        </w:rPr>
        <w:tab/>
        <w:t xml:space="preserve">FARMACEUTSKI OBLIK </w:t>
      </w:r>
    </w:p>
    <w:bookmarkEnd w:id="3"/>
    <w:p w14:paraId="7251D080" w14:textId="77777777" w:rsidR="00623D38" w:rsidRPr="002041DF" w:rsidRDefault="00623D38" w:rsidP="002041DF">
      <w:pPr>
        <w:widowControl w:val="0"/>
        <w:jc w:val="both"/>
        <w:rPr>
          <w:sz w:val="22"/>
          <w:szCs w:val="22"/>
          <w:lang w:val="sr-Latn-ME"/>
        </w:rPr>
      </w:pPr>
    </w:p>
    <w:p w14:paraId="166D2613" w14:textId="7AFFC2F9" w:rsidR="008638EE" w:rsidRPr="002041DF" w:rsidRDefault="00E62212" w:rsidP="002041DF">
      <w:pPr>
        <w:pStyle w:val="Header"/>
        <w:widowControl w:val="0"/>
        <w:tabs>
          <w:tab w:val="left" w:pos="9000"/>
        </w:tabs>
        <w:jc w:val="both"/>
        <w:rPr>
          <w:sz w:val="22"/>
          <w:szCs w:val="22"/>
          <w:lang w:val="sr-Latn-ME"/>
        </w:rPr>
      </w:pPr>
      <w:r w:rsidRPr="002041DF">
        <w:rPr>
          <w:sz w:val="22"/>
          <w:szCs w:val="22"/>
          <w:lang w:val="sr-Latn-ME"/>
        </w:rPr>
        <w:t>R</w:t>
      </w:r>
      <w:r w:rsidR="008638EE" w:rsidRPr="002041DF">
        <w:rPr>
          <w:sz w:val="22"/>
          <w:szCs w:val="22"/>
          <w:lang w:val="sr-Latn-ME"/>
        </w:rPr>
        <w:t>astvor za injekciju u napunjenom injekcionom špricu</w:t>
      </w:r>
      <w:r w:rsidR="00DC3A19" w:rsidRPr="002041DF">
        <w:rPr>
          <w:sz w:val="22"/>
          <w:szCs w:val="22"/>
          <w:lang w:val="sr-Latn-ME"/>
        </w:rPr>
        <w:t>.</w:t>
      </w:r>
    </w:p>
    <w:p w14:paraId="177E1ED9" w14:textId="1D577527" w:rsidR="00623D38" w:rsidRPr="002041DF" w:rsidRDefault="00623D38" w:rsidP="002041DF">
      <w:pPr>
        <w:widowControl w:val="0"/>
        <w:jc w:val="both"/>
        <w:rPr>
          <w:sz w:val="22"/>
          <w:szCs w:val="22"/>
          <w:lang w:val="sr-Latn-ME"/>
        </w:rPr>
      </w:pPr>
      <w:r w:rsidRPr="002041DF">
        <w:rPr>
          <w:sz w:val="22"/>
          <w:szCs w:val="22"/>
          <w:lang w:val="sr-Latn-ME"/>
        </w:rPr>
        <w:t xml:space="preserve">Rastvor je bistar do blago opalescentan, bezbojan do </w:t>
      </w:r>
      <w:r w:rsidR="00DC3A19" w:rsidRPr="002041DF">
        <w:rPr>
          <w:sz w:val="22"/>
          <w:szCs w:val="22"/>
          <w:lang w:val="sr-Latn-ME"/>
        </w:rPr>
        <w:t>sv</w:t>
      </w:r>
      <w:r w:rsidR="00C23E53" w:rsidRPr="002041DF">
        <w:rPr>
          <w:sz w:val="22"/>
          <w:szCs w:val="22"/>
          <w:lang w:val="sr-Latn-ME"/>
        </w:rPr>
        <w:t>ij</w:t>
      </w:r>
      <w:r w:rsidR="00DC3A19" w:rsidRPr="002041DF">
        <w:rPr>
          <w:sz w:val="22"/>
          <w:szCs w:val="22"/>
          <w:lang w:val="sr-Latn-ME"/>
        </w:rPr>
        <w:t>etložute boje.</w:t>
      </w:r>
    </w:p>
    <w:p w14:paraId="5C7218D6" w14:textId="449C66A3" w:rsidR="00623D38" w:rsidRPr="002041DF" w:rsidRDefault="00623D38" w:rsidP="002041DF">
      <w:pPr>
        <w:widowControl w:val="0"/>
        <w:jc w:val="both"/>
        <w:rPr>
          <w:sz w:val="22"/>
          <w:szCs w:val="22"/>
          <w:lang w:val="sr-Latn-ME"/>
        </w:rPr>
      </w:pPr>
    </w:p>
    <w:p w14:paraId="3F1A476B" w14:textId="77777777" w:rsidR="00292E06" w:rsidRPr="002041DF" w:rsidRDefault="00292E06" w:rsidP="002041DF">
      <w:pPr>
        <w:widowControl w:val="0"/>
        <w:jc w:val="both"/>
        <w:rPr>
          <w:sz w:val="22"/>
          <w:szCs w:val="22"/>
          <w:lang w:val="sr-Latn-ME"/>
        </w:rPr>
      </w:pPr>
    </w:p>
    <w:p w14:paraId="23A9C014" w14:textId="77777777" w:rsidR="00921FA2" w:rsidRPr="002041DF" w:rsidRDefault="00921FA2" w:rsidP="002041DF">
      <w:pPr>
        <w:widowControl w:val="0"/>
        <w:tabs>
          <w:tab w:val="left" w:pos="540"/>
          <w:tab w:val="left" w:pos="569"/>
        </w:tabs>
        <w:jc w:val="both"/>
        <w:rPr>
          <w:b/>
          <w:bCs/>
          <w:sz w:val="22"/>
          <w:szCs w:val="22"/>
          <w:lang w:val="sr-Latn-ME"/>
        </w:rPr>
      </w:pPr>
      <w:bookmarkStart w:id="4" w:name="_Hlk131771736"/>
      <w:r w:rsidRPr="002041DF">
        <w:rPr>
          <w:b/>
          <w:bCs/>
          <w:sz w:val="22"/>
          <w:szCs w:val="22"/>
          <w:lang w:val="sr-Latn-ME"/>
        </w:rPr>
        <w:t xml:space="preserve">4. </w:t>
      </w:r>
      <w:r w:rsidRPr="002041DF">
        <w:rPr>
          <w:b/>
          <w:bCs/>
          <w:sz w:val="22"/>
          <w:szCs w:val="22"/>
          <w:lang w:val="sr-Latn-ME"/>
        </w:rPr>
        <w:tab/>
        <w:t>KLINIČKI PODACI</w:t>
      </w:r>
    </w:p>
    <w:bookmarkEnd w:id="4"/>
    <w:p w14:paraId="61AB79E2" w14:textId="77777777" w:rsidR="00623D38" w:rsidRPr="002041DF" w:rsidRDefault="00623D38" w:rsidP="002041DF">
      <w:pPr>
        <w:widowControl w:val="0"/>
        <w:jc w:val="both"/>
        <w:rPr>
          <w:sz w:val="22"/>
          <w:szCs w:val="22"/>
          <w:lang w:val="sr-Latn-ME"/>
        </w:rPr>
      </w:pPr>
    </w:p>
    <w:p w14:paraId="55C033DA" w14:textId="77777777" w:rsidR="00921FA2" w:rsidRPr="002041DF" w:rsidRDefault="00921FA2" w:rsidP="002041DF">
      <w:pPr>
        <w:widowControl w:val="0"/>
        <w:tabs>
          <w:tab w:val="left" w:pos="540"/>
          <w:tab w:val="left" w:pos="569"/>
        </w:tabs>
        <w:jc w:val="both"/>
        <w:rPr>
          <w:b/>
          <w:bCs/>
          <w:sz w:val="22"/>
          <w:szCs w:val="22"/>
          <w:lang w:val="sr-Latn-ME"/>
        </w:rPr>
      </w:pPr>
      <w:bookmarkStart w:id="5" w:name="_Hlk131771747"/>
      <w:bookmarkStart w:id="6" w:name="_Hlk504747520"/>
      <w:r w:rsidRPr="002041DF">
        <w:rPr>
          <w:b/>
          <w:bCs/>
          <w:sz w:val="22"/>
          <w:szCs w:val="22"/>
          <w:lang w:val="sr-Latn-ME"/>
        </w:rPr>
        <w:t xml:space="preserve">4.1. </w:t>
      </w:r>
      <w:r w:rsidRPr="002041DF">
        <w:rPr>
          <w:b/>
          <w:bCs/>
          <w:sz w:val="22"/>
          <w:szCs w:val="22"/>
          <w:lang w:val="sr-Latn-ME"/>
        </w:rPr>
        <w:tab/>
        <w:t>Terapijske indikacije</w:t>
      </w:r>
    </w:p>
    <w:bookmarkEnd w:id="5"/>
    <w:p w14:paraId="79336C41" w14:textId="77777777" w:rsidR="00D66231" w:rsidRPr="002041DF" w:rsidRDefault="00D66231" w:rsidP="002041DF">
      <w:pPr>
        <w:widowControl w:val="0"/>
        <w:jc w:val="both"/>
        <w:rPr>
          <w:sz w:val="22"/>
          <w:szCs w:val="22"/>
          <w:lang w:val="sr-Latn-ME"/>
        </w:rPr>
      </w:pPr>
    </w:p>
    <w:p w14:paraId="44CCF3F9" w14:textId="77777777" w:rsidR="00D66231" w:rsidRPr="002041DF" w:rsidRDefault="00D66231" w:rsidP="002041DF">
      <w:pPr>
        <w:widowControl w:val="0"/>
        <w:jc w:val="both"/>
        <w:rPr>
          <w:sz w:val="22"/>
          <w:szCs w:val="22"/>
          <w:u w:val="single"/>
          <w:lang w:val="sr-Latn-ME"/>
        </w:rPr>
      </w:pPr>
      <w:r w:rsidRPr="002041DF">
        <w:rPr>
          <w:sz w:val="22"/>
          <w:szCs w:val="22"/>
          <w:u w:val="single"/>
          <w:lang w:val="sr-Latn-ME"/>
        </w:rPr>
        <w:t>Psorijaza tipa plaka</w:t>
      </w:r>
    </w:p>
    <w:p w14:paraId="0DB19B60" w14:textId="03B0FADB" w:rsidR="00F9201E" w:rsidRPr="002041DF" w:rsidRDefault="00C23E53" w:rsidP="002041DF">
      <w:pPr>
        <w:widowControl w:val="0"/>
        <w:jc w:val="both"/>
        <w:rPr>
          <w:sz w:val="22"/>
          <w:szCs w:val="22"/>
          <w:lang w:val="sr-Latn-ME"/>
        </w:rPr>
      </w:pPr>
      <w:r w:rsidRPr="002041DF">
        <w:rPr>
          <w:sz w:val="22"/>
          <w:szCs w:val="22"/>
          <w:lang w:val="sr-Latn-ME"/>
        </w:rPr>
        <w:t xml:space="preserve">Lijek Stelara </w:t>
      </w:r>
      <w:r w:rsidR="00F9201E" w:rsidRPr="002041DF">
        <w:rPr>
          <w:sz w:val="22"/>
          <w:szCs w:val="22"/>
          <w:lang w:val="sr-Latn-ME"/>
        </w:rPr>
        <w:t xml:space="preserve">je indikovan za </w:t>
      </w:r>
      <w:r w:rsidRPr="002041DF">
        <w:rPr>
          <w:sz w:val="22"/>
          <w:szCs w:val="22"/>
          <w:lang w:val="sr-Latn-ME"/>
        </w:rPr>
        <w:t>liječenje</w:t>
      </w:r>
      <w:r w:rsidR="00F9201E" w:rsidRPr="002041DF">
        <w:rPr>
          <w:sz w:val="22"/>
          <w:szCs w:val="22"/>
          <w:lang w:val="sr-Latn-ME"/>
        </w:rPr>
        <w:t xml:space="preserve"> odraslih osoba sa um</w:t>
      </w:r>
      <w:r w:rsidRPr="002041DF">
        <w:rPr>
          <w:sz w:val="22"/>
          <w:szCs w:val="22"/>
          <w:lang w:val="sr-Latn-ME"/>
        </w:rPr>
        <w:t>j</w:t>
      </w:r>
      <w:r w:rsidR="00F9201E" w:rsidRPr="002041DF">
        <w:rPr>
          <w:sz w:val="22"/>
          <w:szCs w:val="22"/>
          <w:lang w:val="sr-Latn-ME"/>
        </w:rPr>
        <w:t>erenom ili teškom psorijazom tipa plaka kod kojih nije bilo odgovora na drugu sistemsku terapiju</w:t>
      </w:r>
      <w:r w:rsidR="00DD4FAE" w:rsidRPr="002041DF">
        <w:rPr>
          <w:sz w:val="22"/>
          <w:szCs w:val="22"/>
          <w:lang w:val="sr-Latn-ME"/>
        </w:rPr>
        <w:t xml:space="preserve"> </w:t>
      </w:r>
      <w:r w:rsidR="00F9201E" w:rsidRPr="002041DF">
        <w:rPr>
          <w:sz w:val="22"/>
          <w:szCs w:val="22"/>
          <w:lang w:val="sr-Latn-ME"/>
        </w:rPr>
        <w:t>ili kod kojih je prim</w:t>
      </w:r>
      <w:r w:rsidR="006779EA" w:rsidRPr="002041DF">
        <w:rPr>
          <w:sz w:val="22"/>
          <w:szCs w:val="22"/>
          <w:lang w:val="sr-Latn-ME"/>
        </w:rPr>
        <w:t>j</w:t>
      </w:r>
      <w:r w:rsidR="00F9201E" w:rsidRPr="002041DF">
        <w:rPr>
          <w:sz w:val="22"/>
          <w:szCs w:val="22"/>
          <w:lang w:val="sr-Latn-ME"/>
        </w:rPr>
        <w:t>ena sistemske terapije bila kontraindikovana ili koji ne podnose drugu sistemsku terapiju, uključujući ciklosporin, metotreksat</w:t>
      </w:r>
      <w:r w:rsidR="00B829B1" w:rsidRPr="002041DF">
        <w:rPr>
          <w:sz w:val="22"/>
          <w:szCs w:val="22"/>
          <w:lang w:val="sr-Latn-ME"/>
        </w:rPr>
        <w:t xml:space="preserve"> </w:t>
      </w:r>
      <w:r w:rsidR="00F9201E" w:rsidRPr="002041DF">
        <w:rPr>
          <w:sz w:val="22"/>
          <w:szCs w:val="22"/>
          <w:lang w:val="sr-Latn-ME"/>
        </w:rPr>
        <w:t>(MTX) ili PUVA</w:t>
      </w:r>
      <w:r w:rsidR="00B829B1" w:rsidRPr="002041DF">
        <w:rPr>
          <w:sz w:val="22"/>
          <w:szCs w:val="22"/>
          <w:lang w:val="sr-Latn-ME"/>
        </w:rPr>
        <w:t xml:space="preserve"> </w:t>
      </w:r>
      <w:r w:rsidR="00F9201E" w:rsidRPr="002041DF">
        <w:rPr>
          <w:sz w:val="22"/>
          <w:szCs w:val="22"/>
          <w:lang w:val="sr-Latn-ME"/>
        </w:rPr>
        <w:t>terapiju</w:t>
      </w:r>
      <w:r w:rsidR="00B829B1" w:rsidRPr="002041DF">
        <w:rPr>
          <w:sz w:val="22"/>
          <w:szCs w:val="22"/>
          <w:lang w:val="sr-Latn-ME"/>
        </w:rPr>
        <w:t xml:space="preserve"> (psoralen i ultravioletne zrake A)</w:t>
      </w:r>
      <w:r w:rsidR="00F9201E" w:rsidRPr="002041DF">
        <w:rPr>
          <w:sz w:val="22"/>
          <w:szCs w:val="22"/>
          <w:lang w:val="sr-Latn-ME"/>
        </w:rPr>
        <w:t xml:space="preserve"> (</w:t>
      </w:r>
      <w:r w:rsidR="006779EA" w:rsidRPr="002041DF">
        <w:rPr>
          <w:sz w:val="22"/>
          <w:szCs w:val="22"/>
          <w:lang w:val="sr-Latn-ME"/>
        </w:rPr>
        <w:t>vidjeti</w:t>
      </w:r>
      <w:r w:rsidR="00F9201E" w:rsidRPr="002041DF">
        <w:rPr>
          <w:sz w:val="22"/>
          <w:szCs w:val="22"/>
          <w:lang w:val="sr-Latn-ME"/>
        </w:rPr>
        <w:t xml:space="preserve"> </w:t>
      </w:r>
      <w:r w:rsidR="00292E06" w:rsidRPr="002041DF">
        <w:rPr>
          <w:sz w:val="22"/>
          <w:szCs w:val="22"/>
          <w:lang w:val="sr-Latn-ME"/>
        </w:rPr>
        <w:t xml:space="preserve">dio </w:t>
      </w:r>
      <w:r w:rsidR="00F9201E" w:rsidRPr="002041DF">
        <w:rPr>
          <w:sz w:val="22"/>
          <w:szCs w:val="22"/>
          <w:lang w:val="sr-Latn-ME"/>
        </w:rPr>
        <w:t>5.1.).</w:t>
      </w:r>
    </w:p>
    <w:p w14:paraId="71A25EC1" w14:textId="77777777" w:rsidR="00D66231" w:rsidRPr="002041DF" w:rsidRDefault="00D66231" w:rsidP="002041DF">
      <w:pPr>
        <w:widowControl w:val="0"/>
        <w:jc w:val="both"/>
        <w:rPr>
          <w:sz w:val="22"/>
          <w:szCs w:val="22"/>
          <w:lang w:val="sr-Latn-ME"/>
        </w:rPr>
      </w:pPr>
    </w:p>
    <w:p w14:paraId="7D1A0ABF" w14:textId="77777777" w:rsidR="00641C7D" w:rsidRPr="002041DF" w:rsidRDefault="00641C7D" w:rsidP="002041DF">
      <w:pPr>
        <w:widowControl w:val="0"/>
        <w:jc w:val="both"/>
        <w:rPr>
          <w:sz w:val="22"/>
          <w:szCs w:val="22"/>
          <w:u w:val="single"/>
          <w:lang w:val="sr-Latn-ME"/>
        </w:rPr>
      </w:pPr>
      <w:r w:rsidRPr="002041DF">
        <w:rPr>
          <w:sz w:val="22"/>
          <w:szCs w:val="22"/>
          <w:u w:val="single"/>
          <w:lang w:val="sr-Latn-ME"/>
        </w:rPr>
        <w:t>Psorijaza tipa plaka kod pedijatrijskih pacijenata</w:t>
      </w:r>
    </w:p>
    <w:p w14:paraId="0C7FB456" w14:textId="3794619A" w:rsidR="00F9201E" w:rsidRPr="002041DF" w:rsidRDefault="00C23E53" w:rsidP="002041DF">
      <w:pPr>
        <w:widowControl w:val="0"/>
        <w:jc w:val="both"/>
        <w:rPr>
          <w:sz w:val="22"/>
          <w:szCs w:val="22"/>
          <w:lang w:val="sr-Latn-ME"/>
        </w:rPr>
      </w:pPr>
      <w:r w:rsidRPr="002041DF">
        <w:rPr>
          <w:sz w:val="22"/>
          <w:szCs w:val="22"/>
          <w:lang w:val="sr-Latn-ME"/>
        </w:rPr>
        <w:t xml:space="preserve">Lijek Stelara </w:t>
      </w:r>
      <w:r w:rsidR="00F9201E" w:rsidRPr="002041DF">
        <w:rPr>
          <w:sz w:val="22"/>
          <w:szCs w:val="22"/>
          <w:lang w:val="sr-Latn-ME"/>
        </w:rPr>
        <w:t xml:space="preserve">je indikovan za </w:t>
      </w:r>
      <w:r w:rsidRPr="002041DF">
        <w:rPr>
          <w:sz w:val="22"/>
          <w:szCs w:val="22"/>
          <w:lang w:val="sr-Latn-ME"/>
        </w:rPr>
        <w:t>liječenje</w:t>
      </w:r>
      <w:r w:rsidR="00F9201E" w:rsidRPr="002041DF">
        <w:rPr>
          <w:sz w:val="22"/>
          <w:szCs w:val="22"/>
          <w:lang w:val="sr-Latn-ME"/>
        </w:rPr>
        <w:t xml:space="preserve"> </w:t>
      </w:r>
      <w:r w:rsidR="00327388" w:rsidRPr="002041DF">
        <w:rPr>
          <w:sz w:val="22"/>
          <w:szCs w:val="22"/>
          <w:lang w:val="sr-Latn-ME"/>
        </w:rPr>
        <w:t>d</w:t>
      </w:r>
      <w:r w:rsidR="00E50471" w:rsidRPr="002041DF">
        <w:rPr>
          <w:sz w:val="22"/>
          <w:szCs w:val="22"/>
          <w:lang w:val="sr-Latn-ME"/>
        </w:rPr>
        <w:t>j</w:t>
      </w:r>
      <w:r w:rsidR="00327388" w:rsidRPr="002041DF">
        <w:rPr>
          <w:sz w:val="22"/>
          <w:szCs w:val="22"/>
          <w:lang w:val="sr-Latn-ME"/>
        </w:rPr>
        <w:t xml:space="preserve">ece i </w:t>
      </w:r>
      <w:r w:rsidR="00F9201E" w:rsidRPr="002041DF">
        <w:rPr>
          <w:sz w:val="22"/>
          <w:szCs w:val="22"/>
          <w:lang w:val="sr-Latn-ME"/>
        </w:rPr>
        <w:t xml:space="preserve">adolescenata uzrasta </w:t>
      </w:r>
      <w:r w:rsidR="003B3F96" w:rsidRPr="002041DF">
        <w:rPr>
          <w:sz w:val="22"/>
          <w:szCs w:val="22"/>
          <w:lang w:val="sr-Latn-ME"/>
        </w:rPr>
        <w:t xml:space="preserve">od </w:t>
      </w:r>
      <w:r w:rsidR="00667402" w:rsidRPr="002041DF">
        <w:rPr>
          <w:sz w:val="22"/>
          <w:szCs w:val="22"/>
          <w:lang w:val="sr-Latn-ME"/>
        </w:rPr>
        <w:t>6</w:t>
      </w:r>
      <w:r w:rsidR="00F9201E" w:rsidRPr="002041DF">
        <w:rPr>
          <w:sz w:val="22"/>
          <w:szCs w:val="22"/>
          <w:lang w:val="sr-Latn-ME"/>
        </w:rPr>
        <w:t xml:space="preserve"> godina</w:t>
      </w:r>
      <w:r w:rsidR="003B3F96" w:rsidRPr="002041DF">
        <w:rPr>
          <w:sz w:val="22"/>
          <w:szCs w:val="22"/>
          <w:lang w:val="sr-Latn-ME"/>
        </w:rPr>
        <w:t xml:space="preserve"> i starijih</w:t>
      </w:r>
      <w:r w:rsidR="00F9201E" w:rsidRPr="002041DF">
        <w:rPr>
          <w:sz w:val="22"/>
          <w:szCs w:val="22"/>
          <w:lang w:val="sr-Latn-ME"/>
        </w:rPr>
        <w:t xml:space="preserve"> sa um</w:t>
      </w:r>
      <w:r w:rsidR="00E50471" w:rsidRPr="002041DF">
        <w:rPr>
          <w:sz w:val="22"/>
          <w:szCs w:val="22"/>
          <w:lang w:val="sr-Latn-ME"/>
        </w:rPr>
        <w:t>j</w:t>
      </w:r>
      <w:r w:rsidR="00F9201E" w:rsidRPr="002041DF">
        <w:rPr>
          <w:sz w:val="22"/>
          <w:szCs w:val="22"/>
          <w:lang w:val="sr-Latn-ME"/>
        </w:rPr>
        <w:t>erenom ili teškom psorijazom tipa plaka koji</w:t>
      </w:r>
      <w:r w:rsidR="00E50471" w:rsidRPr="002041DF">
        <w:rPr>
          <w:sz w:val="22"/>
          <w:szCs w:val="22"/>
          <w:lang w:val="sr-Latn-ME"/>
        </w:rPr>
        <w:t xml:space="preserve"> nijesu </w:t>
      </w:r>
      <w:r w:rsidR="00F9201E" w:rsidRPr="002041DF">
        <w:rPr>
          <w:sz w:val="22"/>
          <w:szCs w:val="22"/>
          <w:lang w:val="sr-Latn-ME"/>
        </w:rPr>
        <w:t>adekvatno kontrolisani ili ne podnose drugu sistemsku terapiju ili fototerapiju (</w:t>
      </w:r>
      <w:r w:rsidR="006779EA" w:rsidRPr="002041DF">
        <w:rPr>
          <w:sz w:val="22"/>
          <w:szCs w:val="22"/>
          <w:lang w:val="sr-Latn-ME"/>
        </w:rPr>
        <w:t>vidjeti</w:t>
      </w:r>
      <w:r w:rsidR="00F9201E" w:rsidRPr="002041DF">
        <w:rPr>
          <w:sz w:val="22"/>
          <w:szCs w:val="22"/>
          <w:lang w:val="sr-Latn-ME"/>
        </w:rPr>
        <w:t xml:space="preserve"> </w:t>
      </w:r>
      <w:r w:rsidR="00292E06" w:rsidRPr="002041DF">
        <w:rPr>
          <w:sz w:val="22"/>
          <w:szCs w:val="22"/>
          <w:lang w:val="sr-Latn-ME"/>
        </w:rPr>
        <w:t>dio</w:t>
      </w:r>
      <w:r w:rsidR="00F9201E" w:rsidRPr="002041DF">
        <w:rPr>
          <w:sz w:val="22"/>
          <w:szCs w:val="22"/>
          <w:lang w:val="sr-Latn-ME"/>
        </w:rPr>
        <w:t xml:space="preserve"> 5.1).</w:t>
      </w:r>
    </w:p>
    <w:p w14:paraId="1A35EE6F" w14:textId="77777777" w:rsidR="00D66231" w:rsidRPr="002041DF" w:rsidRDefault="00D66231" w:rsidP="002041DF">
      <w:pPr>
        <w:widowControl w:val="0"/>
        <w:jc w:val="both"/>
        <w:rPr>
          <w:sz w:val="22"/>
          <w:szCs w:val="22"/>
          <w:lang w:val="sr-Latn-ME"/>
        </w:rPr>
      </w:pPr>
    </w:p>
    <w:p w14:paraId="2208CBBA" w14:textId="77777777" w:rsidR="00660BE9" w:rsidRPr="002041DF" w:rsidRDefault="00660BE9" w:rsidP="002041DF">
      <w:pPr>
        <w:widowControl w:val="0"/>
        <w:jc w:val="both"/>
        <w:rPr>
          <w:sz w:val="22"/>
          <w:szCs w:val="22"/>
          <w:u w:val="single"/>
          <w:lang w:val="sr-Latn-ME"/>
        </w:rPr>
      </w:pPr>
      <w:r w:rsidRPr="002041DF">
        <w:rPr>
          <w:sz w:val="22"/>
          <w:szCs w:val="22"/>
          <w:u w:val="single"/>
          <w:lang w:val="sr-Latn-ME"/>
        </w:rPr>
        <w:t>Psorijatični artritis (PsA)</w:t>
      </w:r>
    </w:p>
    <w:p w14:paraId="2DDF7FF1" w14:textId="570DDA86" w:rsidR="00660BE9" w:rsidRPr="002041DF" w:rsidRDefault="00C23E53" w:rsidP="002041DF">
      <w:pPr>
        <w:widowControl w:val="0"/>
        <w:jc w:val="both"/>
        <w:rPr>
          <w:sz w:val="22"/>
          <w:szCs w:val="22"/>
          <w:lang w:val="sr-Latn-ME"/>
        </w:rPr>
      </w:pPr>
      <w:r w:rsidRPr="002041DF">
        <w:rPr>
          <w:sz w:val="22"/>
          <w:szCs w:val="22"/>
          <w:lang w:val="sr-Latn-ME"/>
        </w:rPr>
        <w:t xml:space="preserve">Lijek Stelara </w:t>
      </w:r>
      <w:r w:rsidR="00660BE9" w:rsidRPr="002041DF">
        <w:rPr>
          <w:sz w:val="22"/>
          <w:szCs w:val="22"/>
          <w:lang w:val="sr-Latn-ME"/>
        </w:rPr>
        <w:t xml:space="preserve">kao monoterapija ili u kombinaciji sa metatreksatom (MTX) je indikovana za </w:t>
      </w:r>
      <w:r w:rsidRPr="002041DF">
        <w:rPr>
          <w:sz w:val="22"/>
          <w:szCs w:val="22"/>
          <w:lang w:val="sr-Latn-ME"/>
        </w:rPr>
        <w:t>liječenje</w:t>
      </w:r>
      <w:r w:rsidR="00660BE9" w:rsidRPr="002041DF">
        <w:rPr>
          <w:sz w:val="22"/>
          <w:szCs w:val="22"/>
          <w:lang w:val="sr-Latn-ME"/>
        </w:rPr>
        <w:t xml:space="preserve"> odraslih pacijenata sa aktivnim psorijatičnim artritisom kada je odgovor na prethodnu nebiološku terapiju antireumatskim l</w:t>
      </w:r>
      <w:r w:rsidR="00E50471" w:rsidRPr="002041DF">
        <w:rPr>
          <w:sz w:val="22"/>
          <w:szCs w:val="22"/>
          <w:lang w:val="sr-Latn-ME"/>
        </w:rPr>
        <w:t>j</w:t>
      </w:r>
      <w:r w:rsidR="00660BE9" w:rsidRPr="002041DF">
        <w:rPr>
          <w:sz w:val="22"/>
          <w:szCs w:val="22"/>
          <w:lang w:val="sr-Latn-ME"/>
        </w:rPr>
        <w:t>ekovima koji m</w:t>
      </w:r>
      <w:r w:rsidR="00E50471" w:rsidRPr="002041DF">
        <w:rPr>
          <w:sz w:val="22"/>
          <w:szCs w:val="22"/>
          <w:lang w:val="sr-Latn-ME"/>
        </w:rPr>
        <w:t>ij</w:t>
      </w:r>
      <w:r w:rsidR="00660BE9" w:rsidRPr="002041DF">
        <w:rPr>
          <w:sz w:val="22"/>
          <w:szCs w:val="22"/>
          <w:lang w:val="sr-Latn-ME"/>
        </w:rPr>
        <w:t>enjaju tok bolesti (</w:t>
      </w:r>
      <w:r w:rsidR="003B3F96" w:rsidRPr="002041DF">
        <w:rPr>
          <w:rFonts w:eastAsia="TimesNewRoman"/>
          <w:sz w:val="22"/>
          <w:szCs w:val="22"/>
          <w:lang w:val="sr-Latn-ME"/>
        </w:rPr>
        <w:t xml:space="preserve">engl. </w:t>
      </w:r>
      <w:r w:rsidR="003B3F96" w:rsidRPr="002041DF">
        <w:rPr>
          <w:rFonts w:eastAsia="TimesNewRoman,Italic"/>
          <w:i/>
          <w:iCs/>
          <w:sz w:val="22"/>
          <w:szCs w:val="22"/>
          <w:lang w:val="sr-Latn-ME"/>
        </w:rPr>
        <w:t>disease-modifying anti-rheumatic drug</w:t>
      </w:r>
      <w:r w:rsidR="003B3F96" w:rsidRPr="002041DF">
        <w:rPr>
          <w:rFonts w:eastAsia="TimesNewRoman"/>
          <w:sz w:val="22"/>
          <w:szCs w:val="22"/>
          <w:lang w:val="sr-Latn-ME"/>
        </w:rPr>
        <w:t xml:space="preserve">, </w:t>
      </w:r>
      <w:r w:rsidR="00660BE9" w:rsidRPr="002041DF">
        <w:rPr>
          <w:sz w:val="22"/>
          <w:szCs w:val="22"/>
          <w:lang w:val="sr-Latn-ME"/>
        </w:rPr>
        <w:t>DMARD) bio neadekvatan (</w:t>
      </w:r>
      <w:r w:rsidR="006779EA" w:rsidRPr="002041DF">
        <w:rPr>
          <w:sz w:val="22"/>
          <w:szCs w:val="22"/>
          <w:lang w:val="sr-Latn-ME"/>
        </w:rPr>
        <w:t>vidjeti</w:t>
      </w:r>
      <w:r w:rsidR="00660BE9" w:rsidRPr="002041DF">
        <w:rPr>
          <w:sz w:val="22"/>
          <w:szCs w:val="22"/>
          <w:lang w:val="sr-Latn-ME"/>
        </w:rPr>
        <w:t xml:space="preserve"> </w:t>
      </w:r>
      <w:r w:rsidR="00494EF4" w:rsidRPr="002041DF">
        <w:rPr>
          <w:sz w:val="22"/>
          <w:szCs w:val="22"/>
          <w:lang w:val="sr-Latn-ME"/>
        </w:rPr>
        <w:t xml:space="preserve">dio </w:t>
      </w:r>
      <w:r w:rsidR="00660BE9" w:rsidRPr="002041DF">
        <w:rPr>
          <w:sz w:val="22"/>
          <w:szCs w:val="22"/>
          <w:lang w:val="sr-Latn-ME"/>
        </w:rPr>
        <w:t xml:space="preserve">5.1). </w:t>
      </w:r>
    </w:p>
    <w:p w14:paraId="0E9EA615" w14:textId="77777777" w:rsidR="00494EF4" w:rsidRPr="002041DF" w:rsidRDefault="00494EF4" w:rsidP="002041DF">
      <w:pPr>
        <w:widowControl w:val="0"/>
        <w:jc w:val="both"/>
        <w:rPr>
          <w:sz w:val="22"/>
          <w:szCs w:val="22"/>
          <w:u w:val="single"/>
          <w:lang w:val="sr-Latn-ME"/>
        </w:rPr>
      </w:pPr>
    </w:p>
    <w:p w14:paraId="050154B2" w14:textId="33884A7F" w:rsidR="00BA23C6" w:rsidRPr="002041DF" w:rsidRDefault="00BA23C6" w:rsidP="002041DF">
      <w:pPr>
        <w:widowControl w:val="0"/>
        <w:jc w:val="both"/>
        <w:rPr>
          <w:sz w:val="22"/>
          <w:szCs w:val="22"/>
          <w:u w:val="single"/>
          <w:lang w:val="sr-Latn-ME"/>
        </w:rPr>
      </w:pPr>
      <w:r w:rsidRPr="002041DF">
        <w:rPr>
          <w:sz w:val="22"/>
          <w:szCs w:val="22"/>
          <w:u w:val="single"/>
          <w:lang w:val="sr-Latn-ME"/>
        </w:rPr>
        <w:t>Kronova bolest</w:t>
      </w:r>
    </w:p>
    <w:p w14:paraId="1F1AEB09" w14:textId="44881A94" w:rsidR="00BA23C6" w:rsidRPr="002041DF" w:rsidRDefault="00C23E53" w:rsidP="002041DF">
      <w:pPr>
        <w:widowControl w:val="0"/>
        <w:jc w:val="both"/>
        <w:rPr>
          <w:bCs/>
          <w:sz w:val="22"/>
          <w:szCs w:val="22"/>
          <w:lang w:val="sr-Latn-ME"/>
        </w:rPr>
      </w:pPr>
      <w:r w:rsidRPr="002041DF">
        <w:rPr>
          <w:bCs/>
          <w:sz w:val="22"/>
          <w:szCs w:val="22"/>
          <w:lang w:val="sr-Latn-ME"/>
        </w:rPr>
        <w:t xml:space="preserve">Lijek Stelara </w:t>
      </w:r>
      <w:r w:rsidR="007C3AAF" w:rsidRPr="002041DF">
        <w:rPr>
          <w:bCs/>
          <w:sz w:val="22"/>
          <w:szCs w:val="22"/>
          <w:lang w:val="sr-Latn-ME"/>
        </w:rPr>
        <w:t>je indikovan</w:t>
      </w:r>
      <w:r w:rsidR="00BA23C6" w:rsidRPr="002041DF">
        <w:rPr>
          <w:bCs/>
          <w:sz w:val="22"/>
          <w:szCs w:val="22"/>
          <w:lang w:val="sr-Latn-ME"/>
        </w:rPr>
        <w:t xml:space="preserve"> za </w:t>
      </w:r>
      <w:r w:rsidRPr="002041DF">
        <w:rPr>
          <w:bCs/>
          <w:sz w:val="22"/>
          <w:szCs w:val="22"/>
          <w:lang w:val="sr-Latn-ME"/>
        </w:rPr>
        <w:t>liječenje</w:t>
      </w:r>
      <w:r w:rsidR="00BA23C6" w:rsidRPr="002041DF">
        <w:rPr>
          <w:bCs/>
          <w:sz w:val="22"/>
          <w:szCs w:val="22"/>
          <w:lang w:val="sr-Latn-ME"/>
        </w:rPr>
        <w:t xml:space="preserve"> odraslih pacijenata sa </w:t>
      </w:r>
      <w:r w:rsidR="00E50471" w:rsidRPr="002041DF">
        <w:rPr>
          <w:bCs/>
          <w:sz w:val="22"/>
          <w:szCs w:val="22"/>
          <w:lang w:val="sr-Latn-ME"/>
        </w:rPr>
        <w:t>umjeren</w:t>
      </w:r>
      <w:r w:rsidR="00BA23C6" w:rsidRPr="002041DF">
        <w:rPr>
          <w:bCs/>
          <w:sz w:val="22"/>
          <w:szCs w:val="22"/>
          <w:lang w:val="sr-Latn-ME"/>
        </w:rPr>
        <w:t>im do teškim oblikom aktivne Kronove bolesti, koji su imali neadekvatan odgovor na terapiju ili su izgubili odgovor ili</w:t>
      </w:r>
      <w:r w:rsidR="00E50471" w:rsidRPr="002041DF">
        <w:rPr>
          <w:bCs/>
          <w:sz w:val="22"/>
          <w:szCs w:val="22"/>
          <w:lang w:val="sr-Latn-ME"/>
        </w:rPr>
        <w:t xml:space="preserve"> nijesu </w:t>
      </w:r>
      <w:r w:rsidR="00BA23C6" w:rsidRPr="002041DF">
        <w:rPr>
          <w:bCs/>
          <w:sz w:val="22"/>
          <w:szCs w:val="22"/>
          <w:lang w:val="sr-Latn-ME"/>
        </w:rPr>
        <w:t>podnosili bilo konvencionalnu terapiju ili terapiju antagonistom TNFα ili su imali medicinske kontraindikacije za takvu terapiju.</w:t>
      </w:r>
    </w:p>
    <w:p w14:paraId="61CFE642" w14:textId="7FC14EA9" w:rsidR="003917C1" w:rsidRPr="002041DF" w:rsidRDefault="003917C1" w:rsidP="002041DF">
      <w:pPr>
        <w:widowControl w:val="0"/>
        <w:jc w:val="both"/>
        <w:rPr>
          <w:bCs/>
          <w:sz w:val="22"/>
          <w:szCs w:val="22"/>
          <w:u w:val="single"/>
          <w:lang w:val="sr-Latn-ME"/>
        </w:rPr>
      </w:pPr>
    </w:p>
    <w:p w14:paraId="5DF518D1" w14:textId="77777777" w:rsidR="003917C1" w:rsidRPr="002041DF" w:rsidRDefault="003917C1" w:rsidP="002041DF">
      <w:pPr>
        <w:pStyle w:val="Header"/>
        <w:widowControl w:val="0"/>
        <w:tabs>
          <w:tab w:val="left" w:pos="8931"/>
        </w:tabs>
        <w:jc w:val="both"/>
        <w:rPr>
          <w:bCs/>
          <w:sz w:val="22"/>
          <w:szCs w:val="22"/>
          <w:u w:val="single"/>
          <w:lang w:val="sr-Latn-ME"/>
        </w:rPr>
      </w:pPr>
      <w:r w:rsidRPr="002041DF">
        <w:rPr>
          <w:bCs/>
          <w:sz w:val="22"/>
          <w:szCs w:val="22"/>
          <w:u w:val="single"/>
          <w:lang w:val="sr-Latn-ME"/>
        </w:rPr>
        <w:t>Ulcerozni kolitis</w:t>
      </w:r>
    </w:p>
    <w:p w14:paraId="1EC5E664" w14:textId="4985235E" w:rsidR="003917C1" w:rsidRPr="002041DF" w:rsidRDefault="00C23E53" w:rsidP="002041DF">
      <w:pPr>
        <w:pStyle w:val="Header"/>
        <w:widowControl w:val="0"/>
        <w:tabs>
          <w:tab w:val="left" w:pos="8931"/>
        </w:tabs>
        <w:jc w:val="both"/>
        <w:rPr>
          <w:bCs/>
          <w:sz w:val="22"/>
          <w:szCs w:val="22"/>
          <w:lang w:val="sr-Latn-ME"/>
        </w:rPr>
      </w:pPr>
      <w:r w:rsidRPr="002041DF">
        <w:rPr>
          <w:bCs/>
          <w:sz w:val="22"/>
          <w:szCs w:val="22"/>
          <w:lang w:val="sr-Latn-ME"/>
        </w:rPr>
        <w:lastRenderedPageBreak/>
        <w:t xml:space="preserve">Lijek Stelara </w:t>
      </w:r>
      <w:r w:rsidR="003917C1" w:rsidRPr="002041DF">
        <w:rPr>
          <w:bCs/>
          <w:sz w:val="22"/>
          <w:szCs w:val="22"/>
          <w:lang w:val="sr-Latn-ME"/>
        </w:rPr>
        <w:t xml:space="preserve">je indikovan za </w:t>
      </w:r>
      <w:r w:rsidRPr="002041DF">
        <w:rPr>
          <w:bCs/>
          <w:sz w:val="22"/>
          <w:szCs w:val="22"/>
          <w:lang w:val="sr-Latn-ME"/>
        </w:rPr>
        <w:t>liječenje</w:t>
      </w:r>
      <w:r w:rsidR="003917C1" w:rsidRPr="002041DF">
        <w:rPr>
          <w:bCs/>
          <w:sz w:val="22"/>
          <w:szCs w:val="22"/>
          <w:lang w:val="sr-Latn-ME"/>
        </w:rPr>
        <w:t xml:space="preserve"> odraslih pacijenata sa </w:t>
      </w:r>
      <w:r w:rsidR="00E50471" w:rsidRPr="002041DF">
        <w:rPr>
          <w:bCs/>
          <w:sz w:val="22"/>
          <w:szCs w:val="22"/>
          <w:lang w:val="sr-Latn-ME"/>
        </w:rPr>
        <w:t>umjeren</w:t>
      </w:r>
      <w:r w:rsidR="003917C1" w:rsidRPr="002041DF">
        <w:rPr>
          <w:bCs/>
          <w:sz w:val="22"/>
          <w:szCs w:val="22"/>
          <w:lang w:val="sr-Latn-ME"/>
        </w:rPr>
        <w:t>im do teškim aktivnim ulceroznim kolitisom kod kojih nije bilo adekvatnog odgovora na terapiju</w:t>
      </w:r>
      <w:r w:rsidR="003917C1" w:rsidRPr="002041DF" w:rsidDel="004F2CFF">
        <w:rPr>
          <w:bCs/>
          <w:sz w:val="22"/>
          <w:szCs w:val="22"/>
          <w:lang w:val="sr-Latn-ME"/>
        </w:rPr>
        <w:t xml:space="preserve"> </w:t>
      </w:r>
      <w:r w:rsidR="003917C1" w:rsidRPr="002041DF">
        <w:rPr>
          <w:bCs/>
          <w:sz w:val="22"/>
          <w:szCs w:val="22"/>
          <w:lang w:val="sr-Latn-ME"/>
        </w:rPr>
        <w:t>ili su izgubili odgovor ili</w:t>
      </w:r>
      <w:r w:rsidR="00E50471" w:rsidRPr="002041DF">
        <w:rPr>
          <w:bCs/>
          <w:sz w:val="22"/>
          <w:szCs w:val="22"/>
          <w:lang w:val="sr-Latn-ME"/>
        </w:rPr>
        <w:t xml:space="preserve"> nijesu </w:t>
      </w:r>
      <w:r w:rsidR="003917C1" w:rsidRPr="002041DF">
        <w:rPr>
          <w:bCs/>
          <w:sz w:val="22"/>
          <w:szCs w:val="22"/>
          <w:lang w:val="sr-Latn-ME"/>
        </w:rPr>
        <w:t>podnosili bilo konvencinalnu terapiju ili neki biološki</w:t>
      </w:r>
      <w:r w:rsidR="00E50471" w:rsidRPr="002041DF">
        <w:rPr>
          <w:bCs/>
          <w:sz w:val="22"/>
          <w:szCs w:val="22"/>
          <w:lang w:val="sr-Latn-ME"/>
        </w:rPr>
        <w:t xml:space="preserve"> lijek,</w:t>
      </w:r>
      <w:r w:rsidR="003917C1" w:rsidRPr="002041DF">
        <w:rPr>
          <w:bCs/>
          <w:sz w:val="22"/>
          <w:szCs w:val="22"/>
          <w:lang w:val="sr-Latn-ME"/>
        </w:rPr>
        <w:t xml:space="preserve"> ili imaju medicinske kontraindikacije na takve terapije (</w:t>
      </w:r>
      <w:r w:rsidR="006779EA" w:rsidRPr="002041DF">
        <w:rPr>
          <w:bCs/>
          <w:sz w:val="22"/>
          <w:szCs w:val="22"/>
          <w:lang w:val="sr-Latn-ME"/>
        </w:rPr>
        <w:t>vidjeti</w:t>
      </w:r>
      <w:r w:rsidR="003917C1" w:rsidRPr="002041DF">
        <w:rPr>
          <w:bCs/>
          <w:sz w:val="22"/>
          <w:szCs w:val="22"/>
          <w:lang w:val="sr-Latn-ME"/>
        </w:rPr>
        <w:t xml:space="preserve"> </w:t>
      </w:r>
      <w:r w:rsidR="00292E06" w:rsidRPr="002041DF">
        <w:rPr>
          <w:bCs/>
          <w:sz w:val="22"/>
          <w:szCs w:val="22"/>
          <w:lang w:val="sr-Latn-ME"/>
        </w:rPr>
        <w:t>dio</w:t>
      </w:r>
      <w:r w:rsidR="003917C1" w:rsidRPr="002041DF">
        <w:rPr>
          <w:bCs/>
          <w:sz w:val="22"/>
          <w:szCs w:val="22"/>
          <w:lang w:val="sr-Latn-ME"/>
        </w:rPr>
        <w:t xml:space="preserve"> 5.1).</w:t>
      </w:r>
    </w:p>
    <w:p w14:paraId="66B77EDA" w14:textId="77777777" w:rsidR="00623D38" w:rsidRPr="002041DF" w:rsidRDefault="00623D38" w:rsidP="002041DF">
      <w:pPr>
        <w:widowControl w:val="0"/>
        <w:jc w:val="both"/>
        <w:rPr>
          <w:sz w:val="22"/>
          <w:szCs w:val="22"/>
          <w:lang w:val="sr-Latn-ME"/>
        </w:rPr>
      </w:pPr>
    </w:p>
    <w:p w14:paraId="0E048E23" w14:textId="77777777" w:rsidR="00921FA2" w:rsidRPr="002041DF" w:rsidRDefault="00921FA2" w:rsidP="002041DF">
      <w:pPr>
        <w:widowControl w:val="0"/>
        <w:tabs>
          <w:tab w:val="left" w:pos="540"/>
          <w:tab w:val="left" w:pos="569"/>
        </w:tabs>
        <w:jc w:val="both"/>
        <w:rPr>
          <w:b/>
          <w:bCs/>
          <w:sz w:val="22"/>
          <w:szCs w:val="22"/>
          <w:lang w:val="sr-Latn-ME"/>
        </w:rPr>
      </w:pPr>
      <w:bookmarkStart w:id="7" w:name="_Hlk131771761"/>
      <w:r w:rsidRPr="002041DF">
        <w:rPr>
          <w:b/>
          <w:bCs/>
          <w:sz w:val="22"/>
          <w:szCs w:val="22"/>
          <w:lang w:val="sr-Latn-ME"/>
        </w:rPr>
        <w:t xml:space="preserve">4.2. </w:t>
      </w:r>
      <w:r w:rsidRPr="002041DF">
        <w:rPr>
          <w:b/>
          <w:bCs/>
          <w:sz w:val="22"/>
          <w:szCs w:val="22"/>
          <w:lang w:val="sr-Latn-ME"/>
        </w:rPr>
        <w:tab/>
        <w:t xml:space="preserve">Doziranje i način </w:t>
      </w:r>
      <w:bookmarkStart w:id="8" w:name="_Hlk131771672"/>
      <w:r w:rsidRPr="002041DF">
        <w:rPr>
          <w:b/>
          <w:bCs/>
          <w:sz w:val="22"/>
          <w:szCs w:val="22"/>
          <w:lang w:val="sr-Latn-ME"/>
        </w:rPr>
        <w:t>primjene</w:t>
      </w:r>
      <w:bookmarkEnd w:id="8"/>
    </w:p>
    <w:bookmarkEnd w:id="7"/>
    <w:p w14:paraId="5D08A2F5" w14:textId="77777777" w:rsidR="00623D38" w:rsidRPr="002041DF" w:rsidRDefault="00623D38" w:rsidP="002041DF">
      <w:pPr>
        <w:widowControl w:val="0"/>
        <w:jc w:val="both"/>
        <w:rPr>
          <w:bCs/>
          <w:sz w:val="22"/>
          <w:szCs w:val="22"/>
          <w:lang w:val="sr-Latn-ME"/>
        </w:rPr>
      </w:pPr>
    </w:p>
    <w:p w14:paraId="2F60720A" w14:textId="04880271" w:rsidR="00623D38" w:rsidRPr="002041DF" w:rsidRDefault="00C23E53" w:rsidP="002041DF">
      <w:pPr>
        <w:pStyle w:val="Header"/>
        <w:widowControl w:val="0"/>
        <w:tabs>
          <w:tab w:val="left" w:pos="284"/>
        </w:tabs>
        <w:jc w:val="both"/>
        <w:rPr>
          <w:sz w:val="22"/>
          <w:szCs w:val="22"/>
          <w:lang w:val="sr-Latn-ME"/>
        </w:rPr>
      </w:pPr>
      <w:r w:rsidRPr="002041DF">
        <w:rPr>
          <w:sz w:val="22"/>
          <w:szCs w:val="22"/>
          <w:lang w:val="sr-Latn-ME"/>
        </w:rPr>
        <w:t xml:space="preserve">Lijek Stelara </w:t>
      </w:r>
      <w:r w:rsidR="00623D38" w:rsidRPr="002041DF">
        <w:rPr>
          <w:sz w:val="22"/>
          <w:szCs w:val="22"/>
          <w:lang w:val="sr-Latn-ME"/>
        </w:rPr>
        <w:t>je nam</w:t>
      </w:r>
      <w:r w:rsidR="0051295B" w:rsidRPr="002041DF">
        <w:rPr>
          <w:sz w:val="22"/>
          <w:szCs w:val="22"/>
          <w:lang w:val="sr-Latn-ME"/>
        </w:rPr>
        <w:t>ij</w:t>
      </w:r>
      <w:r w:rsidR="00623D38" w:rsidRPr="002041DF">
        <w:rPr>
          <w:sz w:val="22"/>
          <w:szCs w:val="22"/>
          <w:lang w:val="sr-Latn-ME"/>
        </w:rPr>
        <w:t>enjen za prim</w:t>
      </w:r>
      <w:r w:rsidR="0051295B" w:rsidRPr="002041DF">
        <w:rPr>
          <w:sz w:val="22"/>
          <w:szCs w:val="22"/>
          <w:lang w:val="sr-Latn-ME"/>
        </w:rPr>
        <w:t>j</w:t>
      </w:r>
      <w:r w:rsidR="00623D38" w:rsidRPr="002041DF">
        <w:rPr>
          <w:sz w:val="22"/>
          <w:szCs w:val="22"/>
          <w:lang w:val="sr-Latn-ME"/>
        </w:rPr>
        <w:t xml:space="preserve">enu prema uputstvu i pod nadzorom </w:t>
      </w:r>
      <w:r w:rsidRPr="002041DF">
        <w:rPr>
          <w:sz w:val="22"/>
          <w:szCs w:val="22"/>
          <w:lang w:val="sr-Latn-ME"/>
        </w:rPr>
        <w:t>ljekar</w:t>
      </w:r>
      <w:r w:rsidR="00623D38" w:rsidRPr="002041DF">
        <w:rPr>
          <w:sz w:val="22"/>
          <w:szCs w:val="22"/>
          <w:lang w:val="sr-Latn-ME"/>
        </w:rPr>
        <w:t xml:space="preserve">a </w:t>
      </w:r>
      <w:r w:rsidR="002169CB" w:rsidRPr="002041DF">
        <w:rPr>
          <w:sz w:val="22"/>
          <w:szCs w:val="22"/>
          <w:lang w:val="sr-Latn-ME"/>
        </w:rPr>
        <w:t xml:space="preserve">specijaliste </w:t>
      </w:r>
      <w:r w:rsidR="00623D38" w:rsidRPr="002041DF">
        <w:rPr>
          <w:sz w:val="22"/>
          <w:szCs w:val="22"/>
          <w:lang w:val="sr-Latn-ME"/>
        </w:rPr>
        <w:t>iskusnog u postavljanju dijagnoze i l</w:t>
      </w:r>
      <w:r w:rsidR="0051295B" w:rsidRPr="002041DF">
        <w:rPr>
          <w:sz w:val="22"/>
          <w:szCs w:val="22"/>
          <w:lang w:val="sr-Latn-ME"/>
        </w:rPr>
        <w:t>ij</w:t>
      </w:r>
      <w:r w:rsidR="00623D38" w:rsidRPr="002041DF">
        <w:rPr>
          <w:sz w:val="22"/>
          <w:szCs w:val="22"/>
          <w:lang w:val="sr-Latn-ME"/>
        </w:rPr>
        <w:t xml:space="preserve">ečenju </w:t>
      </w:r>
      <w:r w:rsidR="008638EE" w:rsidRPr="002041DF">
        <w:rPr>
          <w:sz w:val="22"/>
          <w:szCs w:val="22"/>
          <w:lang w:val="sr-Latn-ME"/>
        </w:rPr>
        <w:t xml:space="preserve">bolesti za koje je </w:t>
      </w:r>
      <w:r w:rsidR="0051295B" w:rsidRPr="002041DF">
        <w:rPr>
          <w:sz w:val="22"/>
          <w:szCs w:val="22"/>
          <w:lang w:val="sr-Latn-ME"/>
        </w:rPr>
        <w:t>l</w:t>
      </w:r>
      <w:r w:rsidRPr="002041DF">
        <w:rPr>
          <w:sz w:val="22"/>
          <w:szCs w:val="22"/>
          <w:lang w:val="sr-Latn-ME"/>
        </w:rPr>
        <w:t xml:space="preserve">ijek Stelara </w:t>
      </w:r>
      <w:r w:rsidR="008638EE" w:rsidRPr="002041DF">
        <w:rPr>
          <w:sz w:val="22"/>
          <w:szCs w:val="22"/>
          <w:lang w:val="sr-Latn-ME"/>
        </w:rPr>
        <w:t>indikovan.</w:t>
      </w:r>
    </w:p>
    <w:p w14:paraId="2203A5BA" w14:textId="77777777" w:rsidR="00623D38" w:rsidRPr="002041DF" w:rsidRDefault="00623D38" w:rsidP="002041DF">
      <w:pPr>
        <w:pStyle w:val="Header"/>
        <w:widowControl w:val="0"/>
        <w:tabs>
          <w:tab w:val="left" w:pos="284"/>
        </w:tabs>
        <w:jc w:val="both"/>
        <w:rPr>
          <w:sz w:val="22"/>
          <w:szCs w:val="22"/>
          <w:lang w:val="sr-Latn-ME"/>
        </w:rPr>
      </w:pPr>
    </w:p>
    <w:p w14:paraId="00F99DFA" w14:textId="77777777" w:rsidR="00623D38" w:rsidRPr="002041DF" w:rsidRDefault="00623D38" w:rsidP="002041DF">
      <w:pPr>
        <w:pStyle w:val="Header"/>
        <w:widowControl w:val="0"/>
        <w:tabs>
          <w:tab w:val="left" w:pos="284"/>
        </w:tabs>
        <w:jc w:val="both"/>
        <w:rPr>
          <w:sz w:val="22"/>
          <w:szCs w:val="22"/>
          <w:u w:val="single"/>
          <w:lang w:val="sr-Latn-ME"/>
        </w:rPr>
      </w:pPr>
      <w:r w:rsidRPr="002041DF">
        <w:rPr>
          <w:sz w:val="22"/>
          <w:szCs w:val="22"/>
          <w:u w:val="single"/>
          <w:lang w:val="sr-Latn-ME"/>
        </w:rPr>
        <w:t>Doziranje</w:t>
      </w:r>
    </w:p>
    <w:p w14:paraId="032E254A" w14:textId="77777777" w:rsidR="00C66B1C" w:rsidRPr="002041DF" w:rsidRDefault="00C66B1C" w:rsidP="002041DF">
      <w:pPr>
        <w:widowControl w:val="0"/>
        <w:jc w:val="both"/>
        <w:rPr>
          <w:sz w:val="22"/>
          <w:szCs w:val="22"/>
          <w:u w:val="single"/>
          <w:lang w:val="sr-Latn-ME"/>
        </w:rPr>
      </w:pPr>
    </w:p>
    <w:p w14:paraId="1C593478" w14:textId="77777777" w:rsidR="00D66231" w:rsidRPr="002041DF" w:rsidRDefault="00D66231" w:rsidP="002041DF">
      <w:pPr>
        <w:widowControl w:val="0"/>
        <w:jc w:val="both"/>
        <w:rPr>
          <w:sz w:val="22"/>
          <w:szCs w:val="22"/>
          <w:u w:val="single"/>
          <w:lang w:val="sr-Latn-ME"/>
        </w:rPr>
      </w:pPr>
      <w:r w:rsidRPr="002041DF">
        <w:rPr>
          <w:sz w:val="22"/>
          <w:szCs w:val="22"/>
          <w:u w:val="single"/>
          <w:lang w:val="sr-Latn-ME"/>
        </w:rPr>
        <w:t>Psorijaza tipa plaka</w:t>
      </w:r>
    </w:p>
    <w:p w14:paraId="253EA17E" w14:textId="77777777" w:rsidR="00D66231" w:rsidRPr="002041DF" w:rsidRDefault="00D66231" w:rsidP="002041DF">
      <w:pPr>
        <w:pStyle w:val="Header"/>
        <w:widowControl w:val="0"/>
        <w:tabs>
          <w:tab w:val="left" w:pos="284"/>
        </w:tabs>
        <w:jc w:val="both"/>
        <w:rPr>
          <w:sz w:val="22"/>
          <w:szCs w:val="22"/>
          <w:lang w:val="sr-Latn-ME"/>
        </w:rPr>
      </w:pPr>
    </w:p>
    <w:p w14:paraId="6EC62B4F" w14:textId="0E8E9BBC" w:rsidR="00623D38" w:rsidRPr="002041DF" w:rsidRDefault="00623D38" w:rsidP="002041DF">
      <w:pPr>
        <w:pStyle w:val="Header"/>
        <w:widowControl w:val="0"/>
        <w:tabs>
          <w:tab w:val="left" w:pos="284"/>
        </w:tabs>
        <w:jc w:val="both"/>
        <w:rPr>
          <w:sz w:val="22"/>
          <w:szCs w:val="22"/>
          <w:lang w:val="sr-Latn-ME"/>
        </w:rPr>
      </w:pPr>
      <w:r w:rsidRPr="002041DF">
        <w:rPr>
          <w:sz w:val="22"/>
          <w:szCs w:val="22"/>
          <w:lang w:val="sr-Latn-ME"/>
        </w:rPr>
        <w:t>Preporučeno doziranje l</w:t>
      </w:r>
      <w:r w:rsidR="004372C4" w:rsidRPr="002041DF">
        <w:rPr>
          <w:sz w:val="22"/>
          <w:szCs w:val="22"/>
          <w:lang w:val="sr-Latn-ME"/>
        </w:rPr>
        <w:t>ij</w:t>
      </w:r>
      <w:r w:rsidRPr="002041DF">
        <w:rPr>
          <w:sz w:val="22"/>
          <w:szCs w:val="22"/>
          <w:lang w:val="sr-Latn-ME"/>
        </w:rPr>
        <w:t>eka Stelara je početna doza od 45 mg prim</w:t>
      </w:r>
      <w:r w:rsidR="004372C4" w:rsidRPr="002041DF">
        <w:rPr>
          <w:sz w:val="22"/>
          <w:szCs w:val="22"/>
          <w:lang w:val="sr-Latn-ME"/>
        </w:rPr>
        <w:t>ij</w:t>
      </w:r>
      <w:r w:rsidRPr="002041DF">
        <w:rPr>
          <w:sz w:val="22"/>
          <w:szCs w:val="22"/>
          <w:lang w:val="sr-Latn-ME"/>
        </w:rPr>
        <w:t>enjena su</w:t>
      </w:r>
      <w:r w:rsidR="00345EB0" w:rsidRPr="002041DF">
        <w:rPr>
          <w:sz w:val="22"/>
          <w:szCs w:val="22"/>
          <w:lang w:val="sr-Latn-ME"/>
        </w:rPr>
        <w:t>p</w:t>
      </w:r>
      <w:r w:rsidRPr="002041DF">
        <w:rPr>
          <w:sz w:val="22"/>
          <w:szCs w:val="22"/>
          <w:lang w:val="sr-Latn-ME"/>
        </w:rPr>
        <w:t>kutano, nakon toga doza od 45 mg 4 ned</w:t>
      </w:r>
      <w:r w:rsidR="004372C4" w:rsidRPr="002041DF">
        <w:rPr>
          <w:sz w:val="22"/>
          <w:szCs w:val="22"/>
          <w:lang w:val="sr-Latn-ME"/>
        </w:rPr>
        <w:t>j</w:t>
      </w:r>
      <w:r w:rsidRPr="002041DF">
        <w:rPr>
          <w:sz w:val="22"/>
          <w:szCs w:val="22"/>
          <w:lang w:val="sr-Latn-ME"/>
        </w:rPr>
        <w:t xml:space="preserve">elje kasnije, a zatim na svakih </w:t>
      </w:r>
      <w:r w:rsidR="00290012" w:rsidRPr="002041DF">
        <w:rPr>
          <w:sz w:val="22"/>
          <w:szCs w:val="22"/>
          <w:lang w:val="sr-Latn-ME"/>
        </w:rPr>
        <w:t>12</w:t>
      </w:r>
      <w:r w:rsidRPr="002041DF">
        <w:rPr>
          <w:sz w:val="22"/>
          <w:szCs w:val="22"/>
          <w:lang w:val="sr-Latn-ME"/>
        </w:rPr>
        <w:t xml:space="preserve"> ned</w:t>
      </w:r>
      <w:r w:rsidR="004372C4" w:rsidRPr="002041DF">
        <w:rPr>
          <w:sz w:val="22"/>
          <w:szCs w:val="22"/>
          <w:lang w:val="sr-Latn-ME"/>
        </w:rPr>
        <w:t>j</w:t>
      </w:r>
      <w:r w:rsidRPr="002041DF">
        <w:rPr>
          <w:sz w:val="22"/>
          <w:szCs w:val="22"/>
          <w:lang w:val="sr-Latn-ME"/>
        </w:rPr>
        <w:t>elja.</w:t>
      </w:r>
    </w:p>
    <w:p w14:paraId="437877AA" w14:textId="77777777" w:rsidR="00623D38" w:rsidRPr="002041DF" w:rsidRDefault="00623D38" w:rsidP="002041DF">
      <w:pPr>
        <w:pStyle w:val="Header"/>
        <w:widowControl w:val="0"/>
        <w:tabs>
          <w:tab w:val="left" w:pos="284"/>
        </w:tabs>
        <w:jc w:val="both"/>
        <w:rPr>
          <w:sz w:val="22"/>
          <w:szCs w:val="22"/>
          <w:lang w:val="sr-Latn-ME"/>
        </w:rPr>
      </w:pPr>
    </w:p>
    <w:p w14:paraId="7F937DA9" w14:textId="70D24C19" w:rsidR="00290012" w:rsidRPr="002041DF" w:rsidRDefault="00290012" w:rsidP="002041DF">
      <w:pPr>
        <w:pStyle w:val="Header"/>
        <w:widowControl w:val="0"/>
        <w:tabs>
          <w:tab w:val="left" w:pos="284"/>
        </w:tabs>
        <w:jc w:val="both"/>
        <w:rPr>
          <w:sz w:val="22"/>
          <w:szCs w:val="22"/>
          <w:lang w:val="sr-Latn-ME"/>
        </w:rPr>
      </w:pPr>
      <w:r w:rsidRPr="002041DF">
        <w:rPr>
          <w:sz w:val="22"/>
          <w:szCs w:val="22"/>
          <w:lang w:val="sr-Latn-ME"/>
        </w:rPr>
        <w:t>Prekid terapije treba razmotriti kod pacijenata koji</w:t>
      </w:r>
      <w:r w:rsidR="00E50471" w:rsidRPr="002041DF">
        <w:rPr>
          <w:sz w:val="22"/>
          <w:szCs w:val="22"/>
          <w:lang w:val="sr-Latn-ME"/>
        </w:rPr>
        <w:t xml:space="preserve"> nijesu </w:t>
      </w:r>
      <w:r w:rsidRPr="002041DF">
        <w:rPr>
          <w:sz w:val="22"/>
          <w:szCs w:val="22"/>
          <w:lang w:val="sr-Latn-ME"/>
        </w:rPr>
        <w:t>pokazali odgovor nakon 28 ned</w:t>
      </w:r>
      <w:r w:rsidR="004372C4" w:rsidRPr="002041DF">
        <w:rPr>
          <w:sz w:val="22"/>
          <w:szCs w:val="22"/>
          <w:lang w:val="sr-Latn-ME"/>
        </w:rPr>
        <w:t>j</w:t>
      </w:r>
      <w:r w:rsidRPr="002041DF">
        <w:rPr>
          <w:sz w:val="22"/>
          <w:szCs w:val="22"/>
          <w:lang w:val="sr-Latn-ME"/>
        </w:rPr>
        <w:t>elja terapije.</w:t>
      </w:r>
    </w:p>
    <w:p w14:paraId="5848B27B" w14:textId="77777777" w:rsidR="00623D38" w:rsidRPr="002041DF" w:rsidRDefault="00623D38" w:rsidP="002041DF">
      <w:pPr>
        <w:pStyle w:val="Header"/>
        <w:widowControl w:val="0"/>
        <w:tabs>
          <w:tab w:val="left" w:pos="284"/>
        </w:tabs>
        <w:jc w:val="both"/>
        <w:rPr>
          <w:sz w:val="22"/>
          <w:szCs w:val="22"/>
          <w:lang w:val="sr-Latn-ME"/>
        </w:rPr>
      </w:pPr>
    </w:p>
    <w:p w14:paraId="77F3FCB6" w14:textId="05314C5F" w:rsidR="00623D38" w:rsidRPr="002041DF" w:rsidRDefault="00623D38" w:rsidP="002041DF">
      <w:pPr>
        <w:pStyle w:val="Header"/>
        <w:widowControl w:val="0"/>
        <w:tabs>
          <w:tab w:val="left" w:pos="284"/>
        </w:tabs>
        <w:jc w:val="both"/>
        <w:rPr>
          <w:sz w:val="22"/>
          <w:szCs w:val="22"/>
          <w:lang w:val="sr-Latn-ME"/>
        </w:rPr>
      </w:pPr>
      <w:r w:rsidRPr="002041DF">
        <w:rPr>
          <w:i/>
          <w:sz w:val="22"/>
          <w:szCs w:val="22"/>
          <w:lang w:val="sr-Latn-ME"/>
        </w:rPr>
        <w:t>Pacijenti sa t</w:t>
      </w:r>
      <w:r w:rsidR="004372C4" w:rsidRPr="002041DF">
        <w:rPr>
          <w:i/>
          <w:sz w:val="22"/>
          <w:szCs w:val="22"/>
          <w:lang w:val="sr-Latn-ME"/>
        </w:rPr>
        <w:t>j</w:t>
      </w:r>
      <w:r w:rsidRPr="002041DF">
        <w:rPr>
          <w:i/>
          <w:sz w:val="22"/>
          <w:szCs w:val="22"/>
          <w:lang w:val="sr-Latn-ME"/>
        </w:rPr>
        <w:t xml:space="preserve">elesnom </w:t>
      </w:r>
      <w:r w:rsidR="00F9201E" w:rsidRPr="002041DF">
        <w:rPr>
          <w:i/>
          <w:sz w:val="22"/>
          <w:szCs w:val="22"/>
          <w:lang w:val="sr-Latn-ME"/>
        </w:rPr>
        <w:t>masom</w:t>
      </w:r>
      <w:r w:rsidRPr="002041DF">
        <w:rPr>
          <w:i/>
          <w:sz w:val="22"/>
          <w:szCs w:val="22"/>
          <w:lang w:val="sr-Latn-ME"/>
        </w:rPr>
        <w:t xml:space="preserve"> &gt; 100 kg</w:t>
      </w:r>
    </w:p>
    <w:p w14:paraId="6632BEC3" w14:textId="7CD91FBE" w:rsidR="00F9201E" w:rsidRPr="002041DF" w:rsidRDefault="00F9201E" w:rsidP="002041DF">
      <w:pPr>
        <w:pStyle w:val="Header"/>
        <w:widowControl w:val="0"/>
        <w:tabs>
          <w:tab w:val="left" w:pos="284"/>
        </w:tabs>
        <w:jc w:val="both"/>
        <w:rPr>
          <w:sz w:val="22"/>
          <w:szCs w:val="22"/>
          <w:lang w:val="sr-Latn-ME"/>
        </w:rPr>
      </w:pPr>
      <w:r w:rsidRPr="002041DF">
        <w:rPr>
          <w:sz w:val="22"/>
          <w:szCs w:val="22"/>
          <w:lang w:val="sr-Latn-ME"/>
        </w:rPr>
        <w:t>Za pacijente sa t</w:t>
      </w:r>
      <w:r w:rsidR="004372C4" w:rsidRPr="002041DF">
        <w:rPr>
          <w:sz w:val="22"/>
          <w:szCs w:val="22"/>
          <w:lang w:val="sr-Latn-ME"/>
        </w:rPr>
        <w:t>j</w:t>
      </w:r>
      <w:r w:rsidRPr="002041DF">
        <w:rPr>
          <w:sz w:val="22"/>
          <w:szCs w:val="22"/>
          <w:lang w:val="sr-Latn-ME"/>
        </w:rPr>
        <w:t>elesnom masom &gt; 100 kg prim</w:t>
      </w:r>
      <w:r w:rsidR="004372C4" w:rsidRPr="002041DF">
        <w:rPr>
          <w:sz w:val="22"/>
          <w:szCs w:val="22"/>
          <w:lang w:val="sr-Latn-ME"/>
        </w:rPr>
        <w:t>j</w:t>
      </w:r>
      <w:r w:rsidRPr="002041DF">
        <w:rPr>
          <w:sz w:val="22"/>
          <w:szCs w:val="22"/>
          <w:lang w:val="sr-Latn-ME"/>
        </w:rPr>
        <w:t>enjuje se inicijalna doza od 90 mg supkutano, nakon čega sl</w:t>
      </w:r>
      <w:r w:rsidR="004372C4" w:rsidRPr="002041DF">
        <w:rPr>
          <w:sz w:val="22"/>
          <w:szCs w:val="22"/>
          <w:lang w:val="sr-Latn-ME"/>
        </w:rPr>
        <w:t>ij</w:t>
      </w:r>
      <w:r w:rsidRPr="002041DF">
        <w:rPr>
          <w:sz w:val="22"/>
          <w:szCs w:val="22"/>
          <w:lang w:val="sr-Latn-ME"/>
        </w:rPr>
        <w:t>edi nova doza od 90 mg 4 ned</w:t>
      </w:r>
      <w:r w:rsidR="004372C4" w:rsidRPr="002041DF">
        <w:rPr>
          <w:sz w:val="22"/>
          <w:szCs w:val="22"/>
          <w:lang w:val="sr-Latn-ME"/>
        </w:rPr>
        <w:t>j</w:t>
      </w:r>
      <w:r w:rsidRPr="002041DF">
        <w:rPr>
          <w:sz w:val="22"/>
          <w:szCs w:val="22"/>
          <w:lang w:val="sr-Latn-ME"/>
        </w:rPr>
        <w:t>elje kasnije, a zatim na svakih 12 ned</w:t>
      </w:r>
      <w:r w:rsidR="004372C4" w:rsidRPr="002041DF">
        <w:rPr>
          <w:sz w:val="22"/>
          <w:szCs w:val="22"/>
          <w:lang w:val="sr-Latn-ME"/>
        </w:rPr>
        <w:t>j</w:t>
      </w:r>
      <w:r w:rsidRPr="002041DF">
        <w:rPr>
          <w:sz w:val="22"/>
          <w:szCs w:val="22"/>
          <w:lang w:val="sr-Latn-ME"/>
        </w:rPr>
        <w:t>elja.</w:t>
      </w:r>
      <w:r w:rsidR="00B829B1" w:rsidRPr="002041DF">
        <w:rPr>
          <w:sz w:val="22"/>
          <w:szCs w:val="22"/>
          <w:lang w:val="sr-Latn-ME"/>
        </w:rPr>
        <w:t xml:space="preserve"> </w:t>
      </w:r>
      <w:r w:rsidRPr="002041DF">
        <w:rPr>
          <w:sz w:val="22"/>
          <w:szCs w:val="22"/>
          <w:lang w:val="sr-Latn-ME"/>
        </w:rPr>
        <w:t>Kod ovih pacijenata, doza od 45 mg se takođe pokazala efikasnom. Ipak, veću efikasnost je imala doza od 90</w:t>
      </w:r>
      <w:r w:rsidR="00290012" w:rsidRPr="002041DF">
        <w:rPr>
          <w:sz w:val="22"/>
          <w:szCs w:val="22"/>
          <w:lang w:val="sr-Latn-ME"/>
        </w:rPr>
        <w:t xml:space="preserve"> </w:t>
      </w:r>
      <w:r w:rsidRPr="002041DF">
        <w:rPr>
          <w:sz w:val="22"/>
          <w:szCs w:val="22"/>
          <w:lang w:val="sr-Latn-ME"/>
        </w:rPr>
        <w:t>mg (</w:t>
      </w:r>
      <w:r w:rsidR="006779EA" w:rsidRPr="002041DF">
        <w:rPr>
          <w:sz w:val="22"/>
          <w:szCs w:val="22"/>
          <w:lang w:val="sr-Latn-ME"/>
        </w:rPr>
        <w:t>vidjeti</w:t>
      </w:r>
      <w:r w:rsidRPr="002041DF">
        <w:rPr>
          <w:sz w:val="22"/>
          <w:szCs w:val="22"/>
          <w:lang w:val="sr-Latn-ME"/>
        </w:rPr>
        <w:t xml:space="preserve"> </w:t>
      </w:r>
      <w:r w:rsidR="00292E06" w:rsidRPr="002041DF">
        <w:rPr>
          <w:sz w:val="22"/>
          <w:szCs w:val="22"/>
          <w:lang w:val="sr-Latn-ME"/>
        </w:rPr>
        <w:t>dio</w:t>
      </w:r>
      <w:r w:rsidRPr="002041DF">
        <w:rPr>
          <w:sz w:val="22"/>
          <w:szCs w:val="22"/>
          <w:lang w:val="sr-Latn-ME"/>
        </w:rPr>
        <w:t xml:space="preserve"> 5.1, Tabelu 4).</w:t>
      </w:r>
    </w:p>
    <w:p w14:paraId="43CD275D" w14:textId="77777777" w:rsidR="00623D38" w:rsidRPr="002041DF" w:rsidRDefault="00623D38" w:rsidP="002041DF">
      <w:pPr>
        <w:pStyle w:val="Header"/>
        <w:widowControl w:val="0"/>
        <w:tabs>
          <w:tab w:val="left" w:pos="284"/>
        </w:tabs>
        <w:jc w:val="both"/>
        <w:rPr>
          <w:sz w:val="22"/>
          <w:szCs w:val="22"/>
          <w:lang w:val="sr-Latn-ME"/>
        </w:rPr>
      </w:pPr>
    </w:p>
    <w:p w14:paraId="306C0389" w14:textId="77777777" w:rsidR="00660BE9" w:rsidRPr="002041DF" w:rsidRDefault="00660BE9" w:rsidP="002041DF">
      <w:pPr>
        <w:pStyle w:val="Header"/>
        <w:widowControl w:val="0"/>
        <w:tabs>
          <w:tab w:val="left" w:pos="284"/>
        </w:tabs>
        <w:jc w:val="both"/>
        <w:rPr>
          <w:sz w:val="22"/>
          <w:szCs w:val="22"/>
          <w:u w:val="single"/>
          <w:lang w:val="sr-Latn-ME"/>
        </w:rPr>
      </w:pPr>
      <w:r w:rsidRPr="002041DF">
        <w:rPr>
          <w:sz w:val="22"/>
          <w:szCs w:val="22"/>
          <w:u w:val="single"/>
          <w:lang w:val="sr-Latn-ME"/>
        </w:rPr>
        <w:t>Psorijatični artritis (PsA)</w:t>
      </w:r>
    </w:p>
    <w:p w14:paraId="3AD07610" w14:textId="77777777" w:rsidR="00660BE9" w:rsidRPr="002041DF" w:rsidRDefault="00660BE9" w:rsidP="002041DF">
      <w:pPr>
        <w:pStyle w:val="Header"/>
        <w:widowControl w:val="0"/>
        <w:tabs>
          <w:tab w:val="left" w:pos="284"/>
        </w:tabs>
        <w:jc w:val="both"/>
        <w:rPr>
          <w:sz w:val="22"/>
          <w:szCs w:val="22"/>
          <w:lang w:val="sr-Latn-ME"/>
        </w:rPr>
      </w:pPr>
    </w:p>
    <w:p w14:paraId="6A4E0EBD" w14:textId="06BF699F" w:rsidR="00660BE9" w:rsidRPr="002041DF" w:rsidRDefault="00660BE9" w:rsidP="002041DF">
      <w:pPr>
        <w:pStyle w:val="Header"/>
        <w:widowControl w:val="0"/>
        <w:tabs>
          <w:tab w:val="left" w:pos="284"/>
        </w:tabs>
        <w:jc w:val="both"/>
        <w:rPr>
          <w:sz w:val="22"/>
          <w:szCs w:val="22"/>
          <w:lang w:val="sr-Latn-ME"/>
        </w:rPr>
      </w:pPr>
      <w:r w:rsidRPr="002041DF">
        <w:rPr>
          <w:sz w:val="22"/>
          <w:szCs w:val="22"/>
          <w:lang w:val="sr-Latn-ME"/>
        </w:rPr>
        <w:t>Preporučeno doziranje l</w:t>
      </w:r>
      <w:r w:rsidR="004372C4" w:rsidRPr="002041DF">
        <w:rPr>
          <w:sz w:val="22"/>
          <w:szCs w:val="22"/>
          <w:lang w:val="sr-Latn-ME"/>
        </w:rPr>
        <w:t>ij</w:t>
      </w:r>
      <w:r w:rsidRPr="002041DF">
        <w:rPr>
          <w:sz w:val="22"/>
          <w:szCs w:val="22"/>
          <w:lang w:val="sr-Latn-ME"/>
        </w:rPr>
        <w:t xml:space="preserve">eka </w:t>
      </w:r>
      <w:r w:rsidR="00C66B1C" w:rsidRPr="002041DF">
        <w:rPr>
          <w:sz w:val="22"/>
          <w:szCs w:val="22"/>
          <w:lang w:val="sr-Latn-ME"/>
        </w:rPr>
        <w:t xml:space="preserve">Stelara </w:t>
      </w:r>
      <w:r w:rsidRPr="002041DF">
        <w:rPr>
          <w:sz w:val="22"/>
          <w:szCs w:val="22"/>
          <w:lang w:val="sr-Latn-ME"/>
        </w:rPr>
        <w:t>je sl</w:t>
      </w:r>
      <w:r w:rsidR="004372C4" w:rsidRPr="002041DF">
        <w:rPr>
          <w:sz w:val="22"/>
          <w:szCs w:val="22"/>
          <w:lang w:val="sr-Latn-ME"/>
        </w:rPr>
        <w:t>j</w:t>
      </w:r>
      <w:r w:rsidRPr="002041DF">
        <w:rPr>
          <w:sz w:val="22"/>
          <w:szCs w:val="22"/>
          <w:lang w:val="sr-Latn-ME"/>
        </w:rPr>
        <w:t>edeće: početna doza od 45 mg prim</w:t>
      </w:r>
      <w:r w:rsidR="004372C4" w:rsidRPr="002041DF">
        <w:rPr>
          <w:sz w:val="22"/>
          <w:szCs w:val="22"/>
          <w:lang w:val="sr-Latn-ME"/>
        </w:rPr>
        <w:t>ij</w:t>
      </w:r>
      <w:r w:rsidRPr="002041DF">
        <w:rPr>
          <w:sz w:val="22"/>
          <w:szCs w:val="22"/>
          <w:lang w:val="sr-Latn-ME"/>
        </w:rPr>
        <w:t>enjena su</w:t>
      </w:r>
      <w:r w:rsidR="00345EB0" w:rsidRPr="002041DF">
        <w:rPr>
          <w:sz w:val="22"/>
          <w:szCs w:val="22"/>
          <w:lang w:val="sr-Latn-ME"/>
        </w:rPr>
        <w:t>p</w:t>
      </w:r>
      <w:r w:rsidRPr="002041DF">
        <w:rPr>
          <w:sz w:val="22"/>
          <w:szCs w:val="22"/>
          <w:lang w:val="sr-Latn-ME"/>
        </w:rPr>
        <w:t>kutano, 4 ned</w:t>
      </w:r>
      <w:r w:rsidR="004372C4" w:rsidRPr="002041DF">
        <w:rPr>
          <w:sz w:val="22"/>
          <w:szCs w:val="22"/>
          <w:lang w:val="sr-Latn-ME"/>
        </w:rPr>
        <w:t>j</w:t>
      </w:r>
      <w:r w:rsidRPr="002041DF">
        <w:rPr>
          <w:sz w:val="22"/>
          <w:szCs w:val="22"/>
          <w:lang w:val="sr-Latn-ME"/>
        </w:rPr>
        <w:t xml:space="preserve">elje kasnije doza od 45 mg, a zatim na svakih </w:t>
      </w:r>
      <w:r w:rsidR="00290012" w:rsidRPr="002041DF">
        <w:rPr>
          <w:sz w:val="22"/>
          <w:szCs w:val="22"/>
          <w:lang w:val="sr-Latn-ME"/>
        </w:rPr>
        <w:t>12</w:t>
      </w:r>
      <w:r w:rsidRPr="002041DF">
        <w:rPr>
          <w:sz w:val="22"/>
          <w:szCs w:val="22"/>
          <w:lang w:val="sr-Latn-ME"/>
        </w:rPr>
        <w:t xml:space="preserve"> ned</w:t>
      </w:r>
      <w:r w:rsidR="004372C4" w:rsidRPr="002041DF">
        <w:rPr>
          <w:sz w:val="22"/>
          <w:szCs w:val="22"/>
          <w:lang w:val="sr-Latn-ME"/>
        </w:rPr>
        <w:t>j</w:t>
      </w:r>
      <w:r w:rsidRPr="002041DF">
        <w:rPr>
          <w:sz w:val="22"/>
          <w:szCs w:val="22"/>
          <w:lang w:val="sr-Latn-ME"/>
        </w:rPr>
        <w:t>elja. Altern</w:t>
      </w:r>
      <w:r w:rsidR="004372C4" w:rsidRPr="002041DF">
        <w:rPr>
          <w:sz w:val="22"/>
          <w:szCs w:val="22"/>
          <w:lang w:val="sr-Latn-ME"/>
        </w:rPr>
        <w:t>a</w:t>
      </w:r>
      <w:r w:rsidRPr="002041DF">
        <w:rPr>
          <w:sz w:val="22"/>
          <w:szCs w:val="22"/>
          <w:lang w:val="sr-Latn-ME"/>
        </w:rPr>
        <w:t>tivno, 90 mg l</w:t>
      </w:r>
      <w:r w:rsidR="004372C4" w:rsidRPr="002041DF">
        <w:rPr>
          <w:sz w:val="22"/>
          <w:szCs w:val="22"/>
          <w:lang w:val="sr-Latn-ME"/>
        </w:rPr>
        <w:t>ij</w:t>
      </w:r>
      <w:r w:rsidRPr="002041DF">
        <w:rPr>
          <w:sz w:val="22"/>
          <w:szCs w:val="22"/>
          <w:lang w:val="sr-Latn-ME"/>
        </w:rPr>
        <w:t>eka se može prim</w:t>
      </w:r>
      <w:r w:rsidR="004372C4" w:rsidRPr="002041DF">
        <w:rPr>
          <w:sz w:val="22"/>
          <w:szCs w:val="22"/>
          <w:lang w:val="sr-Latn-ME"/>
        </w:rPr>
        <w:t>ij</w:t>
      </w:r>
      <w:r w:rsidRPr="002041DF">
        <w:rPr>
          <w:sz w:val="22"/>
          <w:szCs w:val="22"/>
          <w:lang w:val="sr-Latn-ME"/>
        </w:rPr>
        <w:t>eniti kod pacijenata sa t</w:t>
      </w:r>
      <w:r w:rsidR="004372C4" w:rsidRPr="002041DF">
        <w:rPr>
          <w:sz w:val="22"/>
          <w:szCs w:val="22"/>
          <w:lang w:val="sr-Latn-ME"/>
        </w:rPr>
        <w:t>j</w:t>
      </w:r>
      <w:r w:rsidRPr="002041DF">
        <w:rPr>
          <w:sz w:val="22"/>
          <w:szCs w:val="22"/>
          <w:lang w:val="sr-Latn-ME"/>
        </w:rPr>
        <w:t xml:space="preserve">elesnom </w:t>
      </w:r>
      <w:r w:rsidR="00A95B8A" w:rsidRPr="002041DF">
        <w:rPr>
          <w:sz w:val="22"/>
          <w:szCs w:val="22"/>
          <w:lang w:val="sr-Latn-ME"/>
        </w:rPr>
        <w:t>masom</w:t>
      </w:r>
      <w:r w:rsidRPr="002041DF">
        <w:rPr>
          <w:sz w:val="22"/>
          <w:szCs w:val="22"/>
          <w:lang w:val="sr-Latn-ME"/>
        </w:rPr>
        <w:t xml:space="preserve"> &gt;100</w:t>
      </w:r>
      <w:r w:rsidR="006B6456" w:rsidRPr="002041DF">
        <w:rPr>
          <w:sz w:val="22"/>
          <w:szCs w:val="22"/>
          <w:lang w:val="sr-Latn-ME"/>
        </w:rPr>
        <w:t xml:space="preserve"> </w:t>
      </w:r>
      <w:r w:rsidRPr="002041DF">
        <w:rPr>
          <w:sz w:val="22"/>
          <w:szCs w:val="22"/>
          <w:lang w:val="sr-Latn-ME"/>
        </w:rPr>
        <w:t>kg.</w:t>
      </w:r>
    </w:p>
    <w:p w14:paraId="4F985B13" w14:textId="77777777" w:rsidR="00660BE9" w:rsidRPr="002041DF" w:rsidRDefault="00660BE9" w:rsidP="002041DF">
      <w:pPr>
        <w:pStyle w:val="Header"/>
        <w:widowControl w:val="0"/>
        <w:tabs>
          <w:tab w:val="left" w:pos="284"/>
        </w:tabs>
        <w:jc w:val="both"/>
        <w:rPr>
          <w:sz w:val="22"/>
          <w:szCs w:val="22"/>
          <w:lang w:val="sr-Latn-ME"/>
        </w:rPr>
      </w:pPr>
    </w:p>
    <w:p w14:paraId="22EACFC1" w14:textId="7843BA9F" w:rsidR="00D66231" w:rsidRPr="002041DF" w:rsidRDefault="00660BE9" w:rsidP="002041DF">
      <w:pPr>
        <w:pStyle w:val="Header"/>
        <w:widowControl w:val="0"/>
        <w:tabs>
          <w:tab w:val="left" w:pos="284"/>
        </w:tabs>
        <w:jc w:val="both"/>
        <w:rPr>
          <w:sz w:val="22"/>
          <w:szCs w:val="22"/>
          <w:lang w:val="sr-Latn-ME"/>
        </w:rPr>
      </w:pPr>
      <w:r w:rsidRPr="002041DF">
        <w:rPr>
          <w:sz w:val="22"/>
          <w:szCs w:val="22"/>
          <w:lang w:val="sr-Latn-ME"/>
        </w:rPr>
        <w:t>Prekid terapije treba razmotriti kod pacijenata koji</w:t>
      </w:r>
      <w:r w:rsidR="00E50471" w:rsidRPr="002041DF">
        <w:rPr>
          <w:sz w:val="22"/>
          <w:szCs w:val="22"/>
          <w:lang w:val="sr-Latn-ME"/>
        </w:rPr>
        <w:t xml:space="preserve"> nijesu </w:t>
      </w:r>
      <w:r w:rsidRPr="002041DF">
        <w:rPr>
          <w:sz w:val="22"/>
          <w:szCs w:val="22"/>
          <w:lang w:val="sr-Latn-ME"/>
        </w:rPr>
        <w:t>pokazali odg</w:t>
      </w:r>
      <w:r w:rsidR="00641C7D" w:rsidRPr="002041DF">
        <w:rPr>
          <w:sz w:val="22"/>
          <w:szCs w:val="22"/>
          <w:lang w:val="sr-Latn-ME"/>
        </w:rPr>
        <w:t>ovor nakon 28 ned</w:t>
      </w:r>
      <w:r w:rsidR="004372C4" w:rsidRPr="002041DF">
        <w:rPr>
          <w:sz w:val="22"/>
          <w:szCs w:val="22"/>
          <w:lang w:val="sr-Latn-ME"/>
        </w:rPr>
        <w:t>j</w:t>
      </w:r>
      <w:r w:rsidR="00641C7D" w:rsidRPr="002041DF">
        <w:rPr>
          <w:sz w:val="22"/>
          <w:szCs w:val="22"/>
          <w:lang w:val="sr-Latn-ME"/>
        </w:rPr>
        <w:t>elja terapije.</w:t>
      </w:r>
    </w:p>
    <w:p w14:paraId="2530EF83" w14:textId="77777777" w:rsidR="00641C7D" w:rsidRPr="002041DF" w:rsidRDefault="00641C7D" w:rsidP="002041DF">
      <w:pPr>
        <w:pStyle w:val="Header"/>
        <w:widowControl w:val="0"/>
        <w:tabs>
          <w:tab w:val="left" w:pos="284"/>
        </w:tabs>
        <w:jc w:val="both"/>
        <w:rPr>
          <w:sz w:val="22"/>
          <w:szCs w:val="22"/>
          <w:lang w:val="sr-Latn-ME"/>
        </w:rPr>
      </w:pPr>
    </w:p>
    <w:p w14:paraId="61614A9B" w14:textId="77777777" w:rsidR="00623D38" w:rsidRPr="002041DF" w:rsidRDefault="00623D38" w:rsidP="002041DF">
      <w:pPr>
        <w:pStyle w:val="Header"/>
        <w:widowControl w:val="0"/>
        <w:tabs>
          <w:tab w:val="left" w:pos="284"/>
        </w:tabs>
        <w:jc w:val="both"/>
        <w:rPr>
          <w:sz w:val="22"/>
          <w:szCs w:val="22"/>
          <w:lang w:val="sr-Latn-ME"/>
        </w:rPr>
      </w:pPr>
      <w:r w:rsidRPr="002041DF">
        <w:rPr>
          <w:i/>
          <w:sz w:val="22"/>
          <w:szCs w:val="22"/>
          <w:lang w:val="sr-Latn-ME"/>
        </w:rPr>
        <w:t xml:space="preserve">Stariji </w:t>
      </w:r>
      <w:r w:rsidR="00290012" w:rsidRPr="002041DF">
        <w:rPr>
          <w:i/>
          <w:sz w:val="22"/>
          <w:szCs w:val="22"/>
          <w:lang w:val="sr-Latn-ME"/>
        </w:rPr>
        <w:t xml:space="preserve">pacijenti </w:t>
      </w:r>
      <w:r w:rsidRPr="002041DF">
        <w:rPr>
          <w:i/>
          <w:sz w:val="22"/>
          <w:szCs w:val="22"/>
          <w:lang w:val="sr-Latn-ME"/>
        </w:rPr>
        <w:t>(≥ 65 godina)</w:t>
      </w:r>
    </w:p>
    <w:p w14:paraId="6C780A3A" w14:textId="4E21ADE7" w:rsidR="00623D38" w:rsidRPr="002041DF" w:rsidRDefault="00623D38" w:rsidP="002041DF">
      <w:pPr>
        <w:pStyle w:val="Header"/>
        <w:widowControl w:val="0"/>
        <w:tabs>
          <w:tab w:val="left" w:pos="284"/>
        </w:tabs>
        <w:jc w:val="both"/>
        <w:rPr>
          <w:sz w:val="22"/>
          <w:szCs w:val="22"/>
          <w:lang w:val="sr-Latn-ME"/>
        </w:rPr>
      </w:pPr>
      <w:r w:rsidRPr="002041DF">
        <w:rPr>
          <w:sz w:val="22"/>
          <w:szCs w:val="22"/>
          <w:lang w:val="sr-Latn-ME"/>
        </w:rPr>
        <w:t>Nije potrebno prilagođavanje doze kod starijih pacijenata (</w:t>
      </w:r>
      <w:r w:rsidR="006779EA" w:rsidRPr="002041DF">
        <w:rPr>
          <w:sz w:val="22"/>
          <w:szCs w:val="22"/>
          <w:lang w:val="sr-Latn-ME"/>
        </w:rPr>
        <w:t>vidjeti</w:t>
      </w:r>
      <w:r w:rsidRPr="002041DF">
        <w:rPr>
          <w:sz w:val="22"/>
          <w:szCs w:val="22"/>
          <w:lang w:val="sr-Latn-ME"/>
        </w:rPr>
        <w:t xml:space="preserve"> </w:t>
      </w:r>
      <w:r w:rsidR="00292E06" w:rsidRPr="002041DF">
        <w:rPr>
          <w:sz w:val="22"/>
          <w:szCs w:val="22"/>
          <w:lang w:val="sr-Latn-ME"/>
        </w:rPr>
        <w:t>dio</w:t>
      </w:r>
      <w:r w:rsidRPr="002041DF">
        <w:rPr>
          <w:sz w:val="22"/>
          <w:szCs w:val="22"/>
          <w:lang w:val="sr-Latn-ME"/>
        </w:rPr>
        <w:t xml:space="preserve"> 4.4).</w:t>
      </w:r>
    </w:p>
    <w:p w14:paraId="542D3ED1" w14:textId="77777777" w:rsidR="00623D38" w:rsidRPr="002041DF" w:rsidRDefault="00623D38" w:rsidP="002041DF">
      <w:pPr>
        <w:pStyle w:val="Header"/>
        <w:widowControl w:val="0"/>
        <w:tabs>
          <w:tab w:val="left" w:pos="284"/>
        </w:tabs>
        <w:jc w:val="both"/>
        <w:rPr>
          <w:sz w:val="22"/>
          <w:szCs w:val="22"/>
          <w:lang w:val="sr-Latn-ME"/>
        </w:rPr>
      </w:pPr>
    </w:p>
    <w:p w14:paraId="66CFB98E" w14:textId="77777777" w:rsidR="00623D38" w:rsidRPr="002041DF" w:rsidRDefault="00623D38" w:rsidP="002041DF">
      <w:pPr>
        <w:pStyle w:val="Header"/>
        <w:widowControl w:val="0"/>
        <w:tabs>
          <w:tab w:val="left" w:pos="284"/>
        </w:tabs>
        <w:jc w:val="both"/>
        <w:rPr>
          <w:sz w:val="22"/>
          <w:szCs w:val="22"/>
          <w:lang w:val="sr-Latn-ME"/>
        </w:rPr>
      </w:pPr>
      <w:r w:rsidRPr="002041DF">
        <w:rPr>
          <w:i/>
          <w:sz w:val="22"/>
          <w:szCs w:val="22"/>
          <w:lang w:val="sr-Latn-ME"/>
        </w:rPr>
        <w:t>Poremećaj funkcije bubrega i jetre</w:t>
      </w:r>
    </w:p>
    <w:p w14:paraId="4A0E706D" w14:textId="59982776" w:rsidR="00623D38" w:rsidRPr="002041DF" w:rsidRDefault="00C23E53" w:rsidP="002041DF">
      <w:pPr>
        <w:pStyle w:val="Header"/>
        <w:widowControl w:val="0"/>
        <w:tabs>
          <w:tab w:val="left" w:pos="284"/>
        </w:tabs>
        <w:jc w:val="both"/>
        <w:rPr>
          <w:sz w:val="22"/>
          <w:szCs w:val="22"/>
          <w:lang w:val="sr-Latn-ME"/>
        </w:rPr>
      </w:pPr>
      <w:r w:rsidRPr="002041DF">
        <w:rPr>
          <w:sz w:val="22"/>
          <w:szCs w:val="22"/>
          <w:lang w:val="sr-Latn-ME"/>
        </w:rPr>
        <w:t xml:space="preserve">Lijek Stelara </w:t>
      </w:r>
      <w:r w:rsidR="00623D38" w:rsidRPr="002041DF">
        <w:rPr>
          <w:sz w:val="22"/>
          <w:szCs w:val="22"/>
          <w:lang w:val="sr-Latn-ME"/>
        </w:rPr>
        <w:t>nije ispitivan kod ove grupe pacijenata. S obzirom na to, ne postoje preporuke za doziranje kod ovih pacijenata.</w:t>
      </w:r>
    </w:p>
    <w:p w14:paraId="26FBD865" w14:textId="77777777" w:rsidR="00623D38" w:rsidRPr="002041DF" w:rsidRDefault="00623D38" w:rsidP="002041DF">
      <w:pPr>
        <w:pStyle w:val="Header"/>
        <w:widowControl w:val="0"/>
        <w:tabs>
          <w:tab w:val="clear" w:pos="4703"/>
          <w:tab w:val="clear" w:pos="9406"/>
          <w:tab w:val="left" w:pos="284"/>
          <w:tab w:val="left" w:pos="8440"/>
        </w:tabs>
        <w:jc w:val="both"/>
        <w:rPr>
          <w:sz w:val="22"/>
          <w:szCs w:val="22"/>
          <w:lang w:val="sr-Latn-ME"/>
        </w:rPr>
      </w:pPr>
    </w:p>
    <w:p w14:paraId="26A96985" w14:textId="10ABF0FE" w:rsidR="00623D38" w:rsidRPr="002041DF" w:rsidRDefault="00623D38" w:rsidP="002041DF">
      <w:pPr>
        <w:pStyle w:val="Header"/>
        <w:widowControl w:val="0"/>
        <w:tabs>
          <w:tab w:val="clear" w:pos="4703"/>
          <w:tab w:val="clear" w:pos="9406"/>
          <w:tab w:val="left" w:pos="284"/>
          <w:tab w:val="left" w:pos="8440"/>
        </w:tabs>
        <w:jc w:val="both"/>
        <w:rPr>
          <w:i/>
          <w:sz w:val="22"/>
          <w:szCs w:val="22"/>
          <w:lang w:val="sr-Latn-ME"/>
        </w:rPr>
      </w:pPr>
      <w:r w:rsidRPr="002041DF">
        <w:rPr>
          <w:i/>
          <w:sz w:val="22"/>
          <w:szCs w:val="22"/>
          <w:lang w:val="sr-Latn-ME"/>
        </w:rPr>
        <w:t>Pedijatrijska populacija</w:t>
      </w:r>
      <w:r w:rsidRPr="002041DF">
        <w:rPr>
          <w:i/>
          <w:sz w:val="22"/>
          <w:szCs w:val="22"/>
          <w:lang w:val="sr-Latn-ME"/>
        </w:rPr>
        <w:tab/>
      </w:r>
    </w:p>
    <w:p w14:paraId="4C41CA17" w14:textId="19BDEB20" w:rsidR="00641C7D" w:rsidRPr="002041DF" w:rsidRDefault="00641C7D" w:rsidP="002041DF">
      <w:pPr>
        <w:pStyle w:val="Header"/>
        <w:widowControl w:val="0"/>
        <w:tabs>
          <w:tab w:val="left" w:pos="284"/>
        </w:tabs>
        <w:jc w:val="both"/>
        <w:rPr>
          <w:sz w:val="22"/>
          <w:szCs w:val="22"/>
          <w:lang w:val="sr-Latn-ME"/>
        </w:rPr>
      </w:pPr>
      <w:r w:rsidRPr="002041DF">
        <w:rPr>
          <w:sz w:val="22"/>
          <w:szCs w:val="22"/>
          <w:lang w:val="sr-Latn-ME"/>
        </w:rPr>
        <w:t>Bezb</w:t>
      </w:r>
      <w:r w:rsidR="00AA3CA9" w:rsidRPr="002041DF">
        <w:rPr>
          <w:sz w:val="22"/>
          <w:szCs w:val="22"/>
          <w:lang w:val="sr-Latn-ME"/>
        </w:rPr>
        <w:t>j</w:t>
      </w:r>
      <w:r w:rsidRPr="002041DF">
        <w:rPr>
          <w:sz w:val="22"/>
          <w:szCs w:val="22"/>
          <w:lang w:val="sr-Latn-ME"/>
        </w:rPr>
        <w:t>ednost i efikasnost</w:t>
      </w:r>
      <w:r w:rsidR="00A35D07" w:rsidRPr="002041DF">
        <w:rPr>
          <w:sz w:val="22"/>
          <w:szCs w:val="22"/>
          <w:lang w:val="sr-Latn-ME"/>
        </w:rPr>
        <w:t xml:space="preserve"> lijeka </w:t>
      </w:r>
      <w:r w:rsidRPr="002041DF">
        <w:rPr>
          <w:sz w:val="22"/>
          <w:szCs w:val="22"/>
          <w:lang w:val="sr-Latn-ME"/>
        </w:rPr>
        <w:t>Stelara kod</w:t>
      </w:r>
      <w:r w:rsidR="0090158F" w:rsidRPr="002041DF">
        <w:rPr>
          <w:sz w:val="22"/>
          <w:szCs w:val="22"/>
          <w:lang w:val="sr-Latn-ME"/>
        </w:rPr>
        <w:t xml:space="preserve"> djece </w:t>
      </w:r>
      <w:r w:rsidR="00C27BFA" w:rsidRPr="002041DF">
        <w:rPr>
          <w:sz w:val="22"/>
          <w:szCs w:val="22"/>
          <w:lang w:val="sr-Latn-ME"/>
        </w:rPr>
        <w:t xml:space="preserve">sa psorijazom </w:t>
      </w:r>
      <w:r w:rsidRPr="002041DF">
        <w:rPr>
          <w:sz w:val="22"/>
          <w:szCs w:val="22"/>
          <w:lang w:val="sr-Latn-ME"/>
        </w:rPr>
        <w:t xml:space="preserve">mlađe od </w:t>
      </w:r>
      <w:r w:rsidR="00667402" w:rsidRPr="002041DF">
        <w:rPr>
          <w:sz w:val="22"/>
          <w:szCs w:val="22"/>
          <w:lang w:val="sr-Latn-ME"/>
        </w:rPr>
        <w:t>6</w:t>
      </w:r>
      <w:r w:rsidRPr="002041DF">
        <w:rPr>
          <w:sz w:val="22"/>
          <w:szCs w:val="22"/>
          <w:lang w:val="sr-Latn-ME"/>
        </w:rPr>
        <w:t xml:space="preserve"> godina </w:t>
      </w:r>
      <w:r w:rsidR="00C27BFA" w:rsidRPr="002041DF">
        <w:rPr>
          <w:sz w:val="22"/>
          <w:szCs w:val="22"/>
          <w:lang w:val="sr-Latn-ME"/>
        </w:rPr>
        <w:t>starosti ili kod</w:t>
      </w:r>
      <w:r w:rsidR="0090158F" w:rsidRPr="002041DF">
        <w:rPr>
          <w:sz w:val="22"/>
          <w:szCs w:val="22"/>
          <w:lang w:val="sr-Latn-ME"/>
        </w:rPr>
        <w:t xml:space="preserve"> djece </w:t>
      </w:r>
      <w:r w:rsidR="00C73406" w:rsidRPr="002041DF">
        <w:rPr>
          <w:sz w:val="22"/>
          <w:szCs w:val="22"/>
          <w:lang w:val="sr-Latn-ME"/>
        </w:rPr>
        <w:t xml:space="preserve">i adolescenata </w:t>
      </w:r>
      <w:r w:rsidR="00C27BFA" w:rsidRPr="002041DF">
        <w:rPr>
          <w:sz w:val="22"/>
          <w:szCs w:val="22"/>
          <w:lang w:val="sr-Latn-ME"/>
        </w:rPr>
        <w:t xml:space="preserve">sa psorijatičnim artritisom mlađih od 18 godina starosti </w:t>
      </w:r>
      <w:r w:rsidRPr="002041DF">
        <w:rPr>
          <w:sz w:val="22"/>
          <w:szCs w:val="22"/>
          <w:lang w:val="sr-Latn-ME"/>
        </w:rPr>
        <w:t xml:space="preserve">još uvek nije utvrđena. </w:t>
      </w:r>
    </w:p>
    <w:p w14:paraId="01CCB474" w14:textId="31728640" w:rsidR="00641C7D" w:rsidRPr="002041DF" w:rsidRDefault="00641C7D" w:rsidP="002041DF">
      <w:pPr>
        <w:widowControl w:val="0"/>
        <w:jc w:val="both"/>
        <w:rPr>
          <w:sz w:val="22"/>
          <w:szCs w:val="22"/>
          <w:u w:val="single"/>
          <w:lang w:val="sr-Latn-ME"/>
        </w:rPr>
      </w:pPr>
      <w:r w:rsidRPr="002041DF">
        <w:rPr>
          <w:sz w:val="22"/>
          <w:szCs w:val="22"/>
          <w:u w:val="single"/>
          <w:lang w:val="sr-Latn-ME"/>
        </w:rPr>
        <w:t>Psorijaza tipa plaka kod pedijatrijskih pacijenata</w:t>
      </w:r>
      <w:r w:rsidR="00FA6F22" w:rsidRPr="002041DF">
        <w:rPr>
          <w:sz w:val="22"/>
          <w:szCs w:val="22"/>
          <w:u w:val="single"/>
          <w:lang w:val="sr-Latn-ME"/>
        </w:rPr>
        <w:t xml:space="preserve"> </w:t>
      </w:r>
      <w:r w:rsidRPr="002041DF">
        <w:rPr>
          <w:sz w:val="22"/>
          <w:szCs w:val="22"/>
          <w:u w:val="single"/>
          <w:lang w:val="sr-Latn-ME"/>
        </w:rPr>
        <w:t>(</w:t>
      </w:r>
      <w:r w:rsidR="00667402" w:rsidRPr="002041DF">
        <w:rPr>
          <w:sz w:val="22"/>
          <w:szCs w:val="22"/>
          <w:u w:val="single"/>
          <w:lang w:val="sr-Latn-ME"/>
        </w:rPr>
        <w:t>6</w:t>
      </w:r>
      <w:r w:rsidRPr="002041DF">
        <w:rPr>
          <w:sz w:val="22"/>
          <w:szCs w:val="22"/>
          <w:u w:val="single"/>
          <w:lang w:val="sr-Latn-ME"/>
        </w:rPr>
        <w:t> godina i stariji)</w:t>
      </w:r>
    </w:p>
    <w:p w14:paraId="25337E7D" w14:textId="5B41FF71" w:rsidR="00641C7D" w:rsidRPr="002041DF" w:rsidRDefault="00641C7D" w:rsidP="002041DF">
      <w:pPr>
        <w:widowControl w:val="0"/>
        <w:jc w:val="both"/>
        <w:rPr>
          <w:sz w:val="22"/>
          <w:szCs w:val="22"/>
          <w:lang w:val="sr-Latn-ME"/>
        </w:rPr>
      </w:pPr>
      <w:r w:rsidRPr="002041DF">
        <w:rPr>
          <w:sz w:val="22"/>
          <w:szCs w:val="22"/>
          <w:lang w:val="sr-Latn-ME"/>
        </w:rPr>
        <w:t>Preporučena doza l</w:t>
      </w:r>
      <w:r w:rsidR="004372C4" w:rsidRPr="002041DF">
        <w:rPr>
          <w:sz w:val="22"/>
          <w:szCs w:val="22"/>
          <w:lang w:val="sr-Latn-ME"/>
        </w:rPr>
        <w:t>ij</w:t>
      </w:r>
      <w:r w:rsidRPr="002041DF">
        <w:rPr>
          <w:sz w:val="22"/>
          <w:szCs w:val="22"/>
          <w:lang w:val="sr-Latn-ME"/>
        </w:rPr>
        <w:t>eka S</w:t>
      </w:r>
      <w:r w:rsidR="00C27BFA" w:rsidRPr="002041DF">
        <w:rPr>
          <w:sz w:val="22"/>
          <w:szCs w:val="22"/>
          <w:lang w:val="sr-Latn-ME"/>
        </w:rPr>
        <w:t>telara</w:t>
      </w:r>
      <w:r w:rsidRPr="002041DF">
        <w:rPr>
          <w:sz w:val="22"/>
          <w:szCs w:val="22"/>
          <w:lang w:val="sr-Latn-ME"/>
        </w:rPr>
        <w:t xml:space="preserve"> zasnovana na t</w:t>
      </w:r>
      <w:r w:rsidR="004372C4" w:rsidRPr="002041DF">
        <w:rPr>
          <w:sz w:val="22"/>
          <w:szCs w:val="22"/>
          <w:lang w:val="sr-Latn-ME"/>
        </w:rPr>
        <w:t>j</w:t>
      </w:r>
      <w:r w:rsidRPr="002041DF">
        <w:rPr>
          <w:sz w:val="22"/>
          <w:szCs w:val="22"/>
          <w:lang w:val="sr-Latn-ME"/>
        </w:rPr>
        <w:t>elesnoj masi prikazana je ispod (</w:t>
      </w:r>
      <w:r w:rsidR="003B1319" w:rsidRPr="002041DF">
        <w:rPr>
          <w:sz w:val="22"/>
          <w:szCs w:val="22"/>
          <w:lang w:val="sr-Latn-ME"/>
        </w:rPr>
        <w:t>T</w:t>
      </w:r>
      <w:r w:rsidRPr="002041DF">
        <w:rPr>
          <w:sz w:val="22"/>
          <w:szCs w:val="22"/>
          <w:lang w:val="sr-Latn-ME"/>
        </w:rPr>
        <w:t xml:space="preserve">abela 1 i 2). </w:t>
      </w:r>
    </w:p>
    <w:p w14:paraId="43884BAB" w14:textId="584BF32C" w:rsidR="00641C7D" w:rsidRPr="002041DF" w:rsidRDefault="00C23E53" w:rsidP="002041DF">
      <w:pPr>
        <w:widowControl w:val="0"/>
        <w:jc w:val="both"/>
        <w:rPr>
          <w:sz w:val="22"/>
          <w:szCs w:val="22"/>
          <w:lang w:val="sr-Latn-ME"/>
        </w:rPr>
      </w:pPr>
      <w:r w:rsidRPr="002041DF">
        <w:rPr>
          <w:sz w:val="22"/>
          <w:szCs w:val="22"/>
          <w:lang w:val="sr-Latn-ME"/>
        </w:rPr>
        <w:t xml:space="preserve">Lijek Stelara </w:t>
      </w:r>
      <w:r w:rsidR="00641C7D" w:rsidRPr="002041DF">
        <w:rPr>
          <w:sz w:val="22"/>
          <w:szCs w:val="22"/>
          <w:lang w:val="sr-Latn-ME"/>
        </w:rPr>
        <w:t>se mora prim</w:t>
      </w:r>
      <w:r w:rsidR="004372C4" w:rsidRPr="002041DF">
        <w:rPr>
          <w:sz w:val="22"/>
          <w:szCs w:val="22"/>
          <w:lang w:val="sr-Latn-ME"/>
        </w:rPr>
        <w:t>j</w:t>
      </w:r>
      <w:r w:rsidR="00641C7D" w:rsidRPr="002041DF">
        <w:rPr>
          <w:sz w:val="22"/>
          <w:szCs w:val="22"/>
          <w:lang w:val="sr-Latn-ME"/>
        </w:rPr>
        <w:t xml:space="preserve">enjivati u 0. i 4. </w:t>
      </w:r>
      <w:r w:rsidR="004372C4" w:rsidRPr="002041DF">
        <w:rPr>
          <w:sz w:val="22"/>
          <w:szCs w:val="22"/>
          <w:lang w:val="sr-Latn-ME"/>
        </w:rPr>
        <w:t>nedjelji</w:t>
      </w:r>
      <w:r w:rsidR="00641C7D" w:rsidRPr="002041DF">
        <w:rPr>
          <w:sz w:val="22"/>
          <w:szCs w:val="22"/>
          <w:lang w:val="sr-Latn-ME"/>
        </w:rPr>
        <w:t>, i zatim na svakih 12 </w:t>
      </w:r>
      <w:r w:rsidR="004372C4" w:rsidRPr="002041DF">
        <w:rPr>
          <w:sz w:val="22"/>
          <w:szCs w:val="22"/>
          <w:lang w:val="sr-Latn-ME"/>
        </w:rPr>
        <w:t>nedjelja</w:t>
      </w:r>
      <w:r w:rsidR="00641C7D" w:rsidRPr="002041DF">
        <w:rPr>
          <w:sz w:val="22"/>
          <w:szCs w:val="22"/>
          <w:lang w:val="sr-Latn-ME"/>
        </w:rPr>
        <w:t>.</w:t>
      </w:r>
    </w:p>
    <w:p w14:paraId="5ECBA9D3" w14:textId="77777777" w:rsidR="00641C7D" w:rsidRPr="002041DF" w:rsidRDefault="00641C7D" w:rsidP="002041DF">
      <w:pPr>
        <w:widowControl w:val="0"/>
        <w:jc w:val="both"/>
        <w:rPr>
          <w:sz w:val="22"/>
          <w:szCs w:val="22"/>
          <w:lang w:val="sr-Latn-ME"/>
        </w:rPr>
      </w:pPr>
    </w:p>
    <w:p w14:paraId="463EE12A" w14:textId="285521BC" w:rsidR="00641C7D" w:rsidRPr="002041DF" w:rsidRDefault="00641C7D" w:rsidP="002041DF">
      <w:pPr>
        <w:widowControl w:val="0"/>
        <w:jc w:val="both"/>
        <w:rPr>
          <w:i/>
          <w:sz w:val="22"/>
          <w:szCs w:val="22"/>
          <w:lang w:val="sr-Latn-ME"/>
        </w:rPr>
      </w:pPr>
      <w:r w:rsidRPr="002041DF">
        <w:rPr>
          <w:b/>
          <w:sz w:val="22"/>
          <w:szCs w:val="22"/>
          <w:lang w:val="sr-Latn-ME"/>
        </w:rPr>
        <w:t>Tabela 1</w:t>
      </w:r>
      <w:r w:rsidRPr="002041DF">
        <w:rPr>
          <w:i/>
          <w:sz w:val="22"/>
          <w:szCs w:val="22"/>
          <w:lang w:val="sr-Latn-ME"/>
        </w:rPr>
        <w:t>: Preporučena doza l</w:t>
      </w:r>
      <w:r w:rsidR="004372C4" w:rsidRPr="002041DF">
        <w:rPr>
          <w:i/>
          <w:sz w:val="22"/>
          <w:szCs w:val="22"/>
          <w:lang w:val="sr-Latn-ME"/>
        </w:rPr>
        <w:t>ij</w:t>
      </w:r>
      <w:r w:rsidRPr="002041DF">
        <w:rPr>
          <w:i/>
          <w:sz w:val="22"/>
          <w:szCs w:val="22"/>
          <w:lang w:val="sr-Latn-ME"/>
        </w:rPr>
        <w:t>eka S</w:t>
      </w:r>
      <w:r w:rsidR="00C27BFA" w:rsidRPr="002041DF">
        <w:rPr>
          <w:i/>
          <w:sz w:val="22"/>
          <w:szCs w:val="22"/>
          <w:lang w:val="sr-Latn-ME"/>
        </w:rPr>
        <w:t>telara</w:t>
      </w:r>
      <w:r w:rsidRPr="002041DF">
        <w:rPr>
          <w:i/>
          <w:sz w:val="22"/>
          <w:szCs w:val="22"/>
          <w:lang w:val="sr-Latn-ME"/>
        </w:rPr>
        <w:t xml:space="preserve"> za pedijatrijske</w:t>
      </w:r>
      <w:r w:rsidR="00495903" w:rsidRPr="002041DF">
        <w:rPr>
          <w:i/>
          <w:sz w:val="22"/>
          <w:szCs w:val="22"/>
          <w:lang w:val="sr-Latn-ME"/>
        </w:rPr>
        <w:t xml:space="preserve"> pacijente</w:t>
      </w:r>
      <w:r w:rsidRPr="002041DF">
        <w:rPr>
          <w:i/>
          <w:sz w:val="22"/>
          <w:szCs w:val="22"/>
          <w:lang w:val="sr-Latn-ME"/>
        </w:rPr>
        <w:t xml:space="preserve"> sa psorijazom</w:t>
      </w:r>
    </w:p>
    <w:tbl>
      <w:tblPr>
        <w:tblW w:w="5000" w:type="pct"/>
        <w:jc w:val="center"/>
        <w:tblLook w:val="0000" w:firstRow="0" w:lastRow="0" w:firstColumn="0" w:lastColumn="0" w:noHBand="0" w:noVBand="0"/>
      </w:tblPr>
      <w:tblGrid>
        <w:gridCol w:w="5247"/>
        <w:gridCol w:w="4147"/>
      </w:tblGrid>
      <w:tr w:rsidR="00641C7D" w:rsidRPr="002041DF" w14:paraId="6AE75925" w14:textId="77777777" w:rsidTr="007C6E24">
        <w:trPr>
          <w:cantSplit/>
          <w:jc w:val="center"/>
        </w:trPr>
        <w:tc>
          <w:tcPr>
            <w:tcW w:w="2793" w:type="pct"/>
            <w:tcBorders>
              <w:top w:val="single" w:sz="4" w:space="0" w:color="000000"/>
              <w:left w:val="single" w:sz="4" w:space="0" w:color="000000"/>
              <w:bottom w:val="single" w:sz="4" w:space="0" w:color="000000"/>
              <w:right w:val="single" w:sz="4" w:space="0" w:color="000000"/>
            </w:tcBorders>
          </w:tcPr>
          <w:p w14:paraId="7550D61B" w14:textId="74BCD512" w:rsidR="00641C7D" w:rsidRPr="002041DF" w:rsidRDefault="00641C7D" w:rsidP="002041DF">
            <w:pPr>
              <w:widowControl w:val="0"/>
              <w:autoSpaceDE w:val="0"/>
              <w:autoSpaceDN w:val="0"/>
              <w:adjustRightInd w:val="0"/>
              <w:jc w:val="both"/>
              <w:rPr>
                <w:sz w:val="22"/>
                <w:szCs w:val="22"/>
                <w:lang w:val="sr-Latn-ME"/>
              </w:rPr>
            </w:pPr>
            <w:r w:rsidRPr="002041DF">
              <w:rPr>
                <w:b/>
                <w:sz w:val="22"/>
                <w:szCs w:val="22"/>
                <w:lang w:val="sr-Latn-ME"/>
              </w:rPr>
              <w:t>T</w:t>
            </w:r>
            <w:r w:rsidR="004372C4" w:rsidRPr="002041DF">
              <w:rPr>
                <w:b/>
                <w:sz w:val="22"/>
                <w:szCs w:val="22"/>
                <w:lang w:val="sr-Latn-ME"/>
              </w:rPr>
              <w:t>j</w:t>
            </w:r>
            <w:r w:rsidRPr="002041DF">
              <w:rPr>
                <w:b/>
                <w:sz w:val="22"/>
                <w:szCs w:val="22"/>
                <w:lang w:val="sr-Latn-ME"/>
              </w:rPr>
              <w:t>elesna masa u</w:t>
            </w:r>
            <w:r w:rsidR="004372C4" w:rsidRPr="002041DF">
              <w:rPr>
                <w:b/>
                <w:sz w:val="22"/>
                <w:szCs w:val="22"/>
                <w:lang w:val="sr-Latn-ME"/>
              </w:rPr>
              <w:t xml:space="preserve"> vrijeme </w:t>
            </w:r>
            <w:r w:rsidRPr="002041DF">
              <w:rPr>
                <w:b/>
                <w:sz w:val="22"/>
                <w:szCs w:val="22"/>
                <w:lang w:val="sr-Latn-ME"/>
              </w:rPr>
              <w:t>doziranja</w:t>
            </w:r>
          </w:p>
        </w:tc>
        <w:tc>
          <w:tcPr>
            <w:tcW w:w="2207" w:type="pct"/>
            <w:tcBorders>
              <w:top w:val="single" w:sz="4" w:space="0" w:color="000000"/>
              <w:left w:val="single" w:sz="4" w:space="0" w:color="000000"/>
              <w:bottom w:val="single" w:sz="4" w:space="0" w:color="000000"/>
              <w:right w:val="single" w:sz="4" w:space="0" w:color="000000"/>
            </w:tcBorders>
          </w:tcPr>
          <w:p w14:paraId="3932BF72" w14:textId="77777777" w:rsidR="00641C7D" w:rsidRPr="002041DF" w:rsidRDefault="00641C7D" w:rsidP="002041DF">
            <w:pPr>
              <w:widowControl w:val="0"/>
              <w:autoSpaceDE w:val="0"/>
              <w:autoSpaceDN w:val="0"/>
              <w:adjustRightInd w:val="0"/>
              <w:jc w:val="both"/>
              <w:rPr>
                <w:sz w:val="22"/>
                <w:szCs w:val="22"/>
                <w:lang w:val="sr-Latn-ME"/>
              </w:rPr>
            </w:pPr>
            <w:r w:rsidRPr="002041DF">
              <w:rPr>
                <w:b/>
                <w:sz w:val="22"/>
                <w:szCs w:val="22"/>
                <w:lang w:val="sr-Latn-ME"/>
              </w:rPr>
              <w:t>Preporučena doza</w:t>
            </w:r>
          </w:p>
        </w:tc>
      </w:tr>
      <w:tr w:rsidR="00641C7D" w:rsidRPr="002041DF" w14:paraId="2BFA3144" w14:textId="77777777" w:rsidTr="007C6E24">
        <w:trPr>
          <w:cantSplit/>
          <w:jc w:val="center"/>
        </w:trPr>
        <w:tc>
          <w:tcPr>
            <w:tcW w:w="2793" w:type="pct"/>
            <w:tcBorders>
              <w:top w:val="single" w:sz="4" w:space="0" w:color="000000"/>
              <w:left w:val="single" w:sz="4" w:space="0" w:color="000000"/>
              <w:bottom w:val="single" w:sz="4" w:space="0" w:color="000000"/>
              <w:right w:val="single" w:sz="4" w:space="0" w:color="000000"/>
            </w:tcBorders>
          </w:tcPr>
          <w:p w14:paraId="4853CD63" w14:textId="77777777" w:rsidR="00641C7D" w:rsidRPr="002041DF" w:rsidRDefault="00641C7D" w:rsidP="002041DF">
            <w:pPr>
              <w:widowControl w:val="0"/>
              <w:autoSpaceDE w:val="0"/>
              <w:autoSpaceDN w:val="0"/>
              <w:adjustRightInd w:val="0"/>
              <w:jc w:val="both"/>
              <w:rPr>
                <w:sz w:val="22"/>
                <w:szCs w:val="22"/>
                <w:lang w:val="sr-Latn-ME"/>
              </w:rPr>
            </w:pPr>
            <w:r w:rsidRPr="002041DF">
              <w:rPr>
                <w:sz w:val="22"/>
                <w:szCs w:val="22"/>
                <w:lang w:val="sr-Latn-ME"/>
              </w:rPr>
              <w:t>&lt; 60 kg</w:t>
            </w:r>
          </w:p>
        </w:tc>
        <w:tc>
          <w:tcPr>
            <w:tcW w:w="2207" w:type="pct"/>
            <w:tcBorders>
              <w:top w:val="single" w:sz="4" w:space="0" w:color="000000"/>
              <w:left w:val="single" w:sz="4" w:space="0" w:color="000000"/>
              <w:bottom w:val="single" w:sz="4" w:space="0" w:color="000000"/>
              <w:right w:val="single" w:sz="4" w:space="0" w:color="000000"/>
            </w:tcBorders>
          </w:tcPr>
          <w:p w14:paraId="51FB2D00" w14:textId="5010AA94" w:rsidR="00641C7D" w:rsidRPr="002041DF" w:rsidRDefault="00641C7D" w:rsidP="002041DF">
            <w:pPr>
              <w:widowControl w:val="0"/>
              <w:autoSpaceDE w:val="0"/>
              <w:autoSpaceDN w:val="0"/>
              <w:adjustRightInd w:val="0"/>
              <w:jc w:val="both"/>
              <w:rPr>
                <w:sz w:val="22"/>
                <w:szCs w:val="22"/>
                <w:lang w:val="sr-Latn-ME"/>
              </w:rPr>
            </w:pPr>
            <w:r w:rsidRPr="002041DF">
              <w:rPr>
                <w:sz w:val="22"/>
                <w:szCs w:val="22"/>
                <w:lang w:val="sr-Latn-ME"/>
              </w:rPr>
              <w:t>0,75 mg/kg</w:t>
            </w:r>
          </w:p>
        </w:tc>
      </w:tr>
      <w:tr w:rsidR="00641C7D" w:rsidRPr="002041DF" w14:paraId="5FBA9D8A" w14:textId="77777777" w:rsidTr="007C6E24">
        <w:trPr>
          <w:cantSplit/>
          <w:jc w:val="center"/>
        </w:trPr>
        <w:tc>
          <w:tcPr>
            <w:tcW w:w="2793" w:type="pct"/>
            <w:tcBorders>
              <w:top w:val="single" w:sz="4" w:space="0" w:color="000000"/>
              <w:left w:val="single" w:sz="4" w:space="0" w:color="000000"/>
              <w:bottom w:val="single" w:sz="4" w:space="0" w:color="000000"/>
              <w:right w:val="single" w:sz="4" w:space="0" w:color="000000"/>
            </w:tcBorders>
          </w:tcPr>
          <w:p w14:paraId="3840D67E" w14:textId="77777777" w:rsidR="00641C7D" w:rsidRPr="002041DF" w:rsidRDefault="00641C7D" w:rsidP="002041DF">
            <w:pPr>
              <w:widowControl w:val="0"/>
              <w:autoSpaceDE w:val="0"/>
              <w:autoSpaceDN w:val="0"/>
              <w:adjustRightInd w:val="0"/>
              <w:jc w:val="both"/>
              <w:rPr>
                <w:sz w:val="22"/>
                <w:szCs w:val="22"/>
                <w:lang w:val="sr-Latn-ME"/>
              </w:rPr>
            </w:pPr>
            <w:r w:rsidRPr="002041DF">
              <w:rPr>
                <w:sz w:val="22"/>
                <w:szCs w:val="22"/>
                <w:lang w:val="sr-Latn-ME"/>
              </w:rPr>
              <w:t>≥ 60-≤ 100 kg</w:t>
            </w:r>
          </w:p>
        </w:tc>
        <w:tc>
          <w:tcPr>
            <w:tcW w:w="2207" w:type="pct"/>
            <w:tcBorders>
              <w:top w:val="single" w:sz="4" w:space="0" w:color="000000"/>
              <w:left w:val="single" w:sz="4" w:space="0" w:color="000000"/>
              <w:bottom w:val="single" w:sz="4" w:space="0" w:color="000000"/>
              <w:right w:val="single" w:sz="4" w:space="0" w:color="000000"/>
            </w:tcBorders>
          </w:tcPr>
          <w:p w14:paraId="2A7182FB" w14:textId="77777777" w:rsidR="00641C7D" w:rsidRPr="002041DF" w:rsidRDefault="00641C7D" w:rsidP="002041DF">
            <w:pPr>
              <w:widowControl w:val="0"/>
              <w:autoSpaceDE w:val="0"/>
              <w:autoSpaceDN w:val="0"/>
              <w:adjustRightInd w:val="0"/>
              <w:jc w:val="both"/>
              <w:rPr>
                <w:sz w:val="22"/>
                <w:szCs w:val="22"/>
                <w:lang w:val="sr-Latn-ME"/>
              </w:rPr>
            </w:pPr>
            <w:r w:rsidRPr="002041DF">
              <w:rPr>
                <w:sz w:val="22"/>
                <w:szCs w:val="22"/>
                <w:lang w:val="sr-Latn-ME"/>
              </w:rPr>
              <w:t>45 mg</w:t>
            </w:r>
          </w:p>
        </w:tc>
      </w:tr>
      <w:tr w:rsidR="00641C7D" w:rsidRPr="002041DF" w14:paraId="658FEBFF" w14:textId="77777777" w:rsidTr="007C6E24">
        <w:trPr>
          <w:cantSplit/>
          <w:jc w:val="center"/>
        </w:trPr>
        <w:tc>
          <w:tcPr>
            <w:tcW w:w="2793" w:type="pct"/>
            <w:tcBorders>
              <w:top w:val="single" w:sz="4" w:space="0" w:color="000000"/>
              <w:left w:val="single" w:sz="4" w:space="0" w:color="000000"/>
              <w:bottom w:val="single" w:sz="4" w:space="0" w:color="000000"/>
              <w:right w:val="single" w:sz="4" w:space="0" w:color="000000"/>
            </w:tcBorders>
          </w:tcPr>
          <w:p w14:paraId="153AA67B" w14:textId="77777777" w:rsidR="00641C7D" w:rsidRPr="002041DF" w:rsidRDefault="00641C7D" w:rsidP="002041DF">
            <w:pPr>
              <w:widowControl w:val="0"/>
              <w:autoSpaceDE w:val="0"/>
              <w:autoSpaceDN w:val="0"/>
              <w:adjustRightInd w:val="0"/>
              <w:jc w:val="both"/>
              <w:rPr>
                <w:sz w:val="22"/>
                <w:szCs w:val="22"/>
                <w:lang w:val="sr-Latn-ME"/>
              </w:rPr>
            </w:pPr>
            <w:r w:rsidRPr="002041DF">
              <w:rPr>
                <w:sz w:val="22"/>
                <w:szCs w:val="22"/>
                <w:lang w:val="sr-Latn-ME"/>
              </w:rPr>
              <w:t>&gt; 100 kg</w:t>
            </w:r>
          </w:p>
        </w:tc>
        <w:tc>
          <w:tcPr>
            <w:tcW w:w="2207" w:type="pct"/>
            <w:tcBorders>
              <w:top w:val="single" w:sz="4" w:space="0" w:color="000000"/>
              <w:left w:val="single" w:sz="4" w:space="0" w:color="000000"/>
              <w:bottom w:val="single" w:sz="4" w:space="0" w:color="000000"/>
              <w:right w:val="single" w:sz="4" w:space="0" w:color="000000"/>
            </w:tcBorders>
          </w:tcPr>
          <w:p w14:paraId="06116D04" w14:textId="77777777" w:rsidR="00641C7D" w:rsidRPr="002041DF" w:rsidRDefault="00641C7D" w:rsidP="002041DF">
            <w:pPr>
              <w:widowControl w:val="0"/>
              <w:autoSpaceDE w:val="0"/>
              <w:autoSpaceDN w:val="0"/>
              <w:adjustRightInd w:val="0"/>
              <w:jc w:val="both"/>
              <w:rPr>
                <w:sz w:val="22"/>
                <w:szCs w:val="22"/>
                <w:lang w:val="sr-Latn-ME"/>
              </w:rPr>
            </w:pPr>
            <w:r w:rsidRPr="002041DF">
              <w:rPr>
                <w:sz w:val="22"/>
                <w:szCs w:val="22"/>
                <w:lang w:val="sr-Latn-ME"/>
              </w:rPr>
              <w:t>90 mg</w:t>
            </w:r>
          </w:p>
        </w:tc>
      </w:tr>
    </w:tbl>
    <w:p w14:paraId="73EE09AB" w14:textId="45F5E36A" w:rsidR="00641C7D" w:rsidRPr="002041DF" w:rsidRDefault="00641C7D" w:rsidP="002041DF">
      <w:pPr>
        <w:widowControl w:val="0"/>
        <w:jc w:val="both"/>
        <w:rPr>
          <w:sz w:val="22"/>
          <w:szCs w:val="22"/>
          <w:lang w:val="sr-Latn-ME"/>
        </w:rPr>
      </w:pPr>
    </w:p>
    <w:p w14:paraId="5FCDC043" w14:textId="588587AE" w:rsidR="00667402" w:rsidRPr="002041DF" w:rsidRDefault="00667402" w:rsidP="002041DF">
      <w:pPr>
        <w:widowControl w:val="0"/>
        <w:jc w:val="both"/>
        <w:rPr>
          <w:sz w:val="22"/>
          <w:szCs w:val="22"/>
          <w:lang w:val="sr-Latn-ME"/>
        </w:rPr>
      </w:pPr>
      <w:r w:rsidRPr="002041DF">
        <w:rPr>
          <w:sz w:val="22"/>
          <w:szCs w:val="22"/>
          <w:lang w:val="sr-Latn-ME"/>
        </w:rPr>
        <w:t>Za proračun volumena injekcije (</w:t>
      </w:r>
      <w:r w:rsidR="00AA3CA9" w:rsidRPr="002041DF">
        <w:rPr>
          <w:sz w:val="22"/>
          <w:szCs w:val="22"/>
          <w:lang w:val="sr-Latn-ME"/>
        </w:rPr>
        <w:t>ml</w:t>
      </w:r>
      <w:r w:rsidRPr="002041DF">
        <w:rPr>
          <w:sz w:val="22"/>
          <w:szCs w:val="22"/>
          <w:lang w:val="sr-Latn-ME"/>
        </w:rPr>
        <w:t>) za pacijente &lt; 60 kg, upotr</w:t>
      </w:r>
      <w:r w:rsidR="004372C4" w:rsidRPr="002041DF">
        <w:rPr>
          <w:sz w:val="22"/>
          <w:szCs w:val="22"/>
          <w:lang w:val="sr-Latn-ME"/>
        </w:rPr>
        <w:t>ij</w:t>
      </w:r>
      <w:r w:rsidRPr="002041DF">
        <w:rPr>
          <w:sz w:val="22"/>
          <w:szCs w:val="22"/>
          <w:lang w:val="sr-Latn-ME"/>
        </w:rPr>
        <w:t>ebiti sl</w:t>
      </w:r>
      <w:r w:rsidR="004372C4" w:rsidRPr="002041DF">
        <w:rPr>
          <w:sz w:val="22"/>
          <w:szCs w:val="22"/>
          <w:lang w:val="sr-Latn-ME"/>
        </w:rPr>
        <w:t>j</w:t>
      </w:r>
      <w:r w:rsidRPr="002041DF">
        <w:rPr>
          <w:sz w:val="22"/>
          <w:szCs w:val="22"/>
          <w:lang w:val="sr-Latn-ME"/>
        </w:rPr>
        <w:t>edeću formulu: t</w:t>
      </w:r>
      <w:r w:rsidR="004372C4" w:rsidRPr="002041DF">
        <w:rPr>
          <w:sz w:val="22"/>
          <w:szCs w:val="22"/>
          <w:lang w:val="sr-Latn-ME"/>
        </w:rPr>
        <w:t>j</w:t>
      </w:r>
      <w:r w:rsidRPr="002041DF">
        <w:rPr>
          <w:sz w:val="22"/>
          <w:szCs w:val="22"/>
          <w:lang w:val="sr-Latn-ME"/>
        </w:rPr>
        <w:t xml:space="preserve">elesna masa </w:t>
      </w:r>
      <w:r w:rsidRPr="002041DF">
        <w:rPr>
          <w:sz w:val="22"/>
          <w:szCs w:val="22"/>
          <w:lang w:val="sr-Latn-ME"/>
        </w:rPr>
        <w:lastRenderedPageBreak/>
        <w:t>(kg) x 0,0083 (</w:t>
      </w:r>
      <w:r w:rsidR="00AA3CA9" w:rsidRPr="002041DF">
        <w:rPr>
          <w:sz w:val="22"/>
          <w:szCs w:val="22"/>
          <w:lang w:val="sr-Latn-ME"/>
        </w:rPr>
        <w:t>ml</w:t>
      </w:r>
      <w:r w:rsidRPr="002041DF">
        <w:rPr>
          <w:sz w:val="22"/>
          <w:szCs w:val="22"/>
          <w:lang w:val="sr-Latn-ME"/>
        </w:rPr>
        <w:t xml:space="preserve">/kg) ili </w:t>
      </w:r>
      <w:r w:rsidR="006779EA" w:rsidRPr="002041DF">
        <w:rPr>
          <w:sz w:val="22"/>
          <w:szCs w:val="22"/>
          <w:lang w:val="sr-Latn-ME"/>
        </w:rPr>
        <w:t>vidjeti</w:t>
      </w:r>
      <w:r w:rsidRPr="002041DF">
        <w:rPr>
          <w:sz w:val="22"/>
          <w:szCs w:val="22"/>
          <w:lang w:val="sr-Latn-ME"/>
        </w:rPr>
        <w:t xml:space="preserve"> Tabelu 2. Izračunat volumen treba zaokružiti sa preciznošću od 0,01 </w:t>
      </w:r>
      <w:r w:rsidR="00AA3CA9" w:rsidRPr="002041DF">
        <w:rPr>
          <w:sz w:val="22"/>
          <w:szCs w:val="22"/>
          <w:lang w:val="sr-Latn-ME"/>
        </w:rPr>
        <w:t>ml</w:t>
      </w:r>
      <w:r w:rsidRPr="002041DF">
        <w:rPr>
          <w:sz w:val="22"/>
          <w:szCs w:val="22"/>
          <w:lang w:val="sr-Latn-ME"/>
        </w:rPr>
        <w:t xml:space="preserve"> i prim</w:t>
      </w:r>
      <w:r w:rsidR="004372C4" w:rsidRPr="002041DF">
        <w:rPr>
          <w:sz w:val="22"/>
          <w:szCs w:val="22"/>
          <w:lang w:val="sr-Latn-ME"/>
        </w:rPr>
        <w:t>ij</w:t>
      </w:r>
      <w:r w:rsidRPr="002041DF">
        <w:rPr>
          <w:sz w:val="22"/>
          <w:szCs w:val="22"/>
          <w:lang w:val="sr-Latn-ME"/>
        </w:rPr>
        <w:t>eniti koristeći špric graduiran na 1 </w:t>
      </w:r>
      <w:r w:rsidR="00AA3CA9" w:rsidRPr="002041DF">
        <w:rPr>
          <w:sz w:val="22"/>
          <w:szCs w:val="22"/>
          <w:lang w:val="sr-Latn-ME"/>
        </w:rPr>
        <w:t>ml</w:t>
      </w:r>
      <w:r w:rsidRPr="002041DF">
        <w:rPr>
          <w:sz w:val="22"/>
          <w:szCs w:val="22"/>
          <w:lang w:val="sr-Latn-ME"/>
        </w:rPr>
        <w:t>. Bočica, staklena od 45 mg je dostupna za pedijatrijske pacijente koji treba da prime manje od pune doze od 45 mg.</w:t>
      </w:r>
    </w:p>
    <w:p w14:paraId="04C39F95" w14:textId="77777777" w:rsidR="00667402" w:rsidRPr="002041DF" w:rsidRDefault="00667402" w:rsidP="002041DF">
      <w:pPr>
        <w:widowControl w:val="0"/>
        <w:jc w:val="both"/>
        <w:rPr>
          <w:sz w:val="22"/>
          <w:szCs w:val="22"/>
          <w:lang w:val="sr-Latn-ME"/>
        </w:rPr>
      </w:pPr>
    </w:p>
    <w:p w14:paraId="0DF5ECE5" w14:textId="077A0789" w:rsidR="00641C7D" w:rsidRPr="002041DF" w:rsidRDefault="00641C7D" w:rsidP="002041DF">
      <w:pPr>
        <w:widowControl w:val="0"/>
        <w:jc w:val="both"/>
        <w:rPr>
          <w:i/>
          <w:sz w:val="22"/>
          <w:szCs w:val="22"/>
          <w:lang w:val="sr-Latn-ME"/>
        </w:rPr>
      </w:pPr>
      <w:r w:rsidRPr="002041DF">
        <w:rPr>
          <w:b/>
          <w:sz w:val="22"/>
          <w:szCs w:val="22"/>
          <w:lang w:val="sr-Latn-ME"/>
        </w:rPr>
        <w:t>Tabela 2</w:t>
      </w:r>
      <w:r w:rsidRPr="002041DF">
        <w:rPr>
          <w:i/>
          <w:sz w:val="22"/>
          <w:szCs w:val="22"/>
          <w:lang w:val="sr-Latn-ME"/>
        </w:rPr>
        <w:t>: Injekcioni volumeni l</w:t>
      </w:r>
      <w:r w:rsidR="004372C4" w:rsidRPr="002041DF">
        <w:rPr>
          <w:i/>
          <w:sz w:val="22"/>
          <w:szCs w:val="22"/>
          <w:lang w:val="sr-Latn-ME"/>
        </w:rPr>
        <w:t>ij</w:t>
      </w:r>
      <w:r w:rsidRPr="002041DF">
        <w:rPr>
          <w:i/>
          <w:sz w:val="22"/>
          <w:szCs w:val="22"/>
          <w:lang w:val="sr-Latn-ME"/>
        </w:rPr>
        <w:t>eka S</w:t>
      </w:r>
      <w:r w:rsidR="00C27BFA" w:rsidRPr="002041DF">
        <w:rPr>
          <w:i/>
          <w:sz w:val="22"/>
          <w:szCs w:val="22"/>
          <w:lang w:val="sr-Latn-ME"/>
        </w:rPr>
        <w:t>telara</w:t>
      </w:r>
      <w:r w:rsidRPr="002041DF">
        <w:rPr>
          <w:i/>
          <w:sz w:val="22"/>
          <w:szCs w:val="22"/>
          <w:lang w:val="sr-Latn-ME"/>
        </w:rPr>
        <w:t xml:space="preserve"> za pedijatrijske </w:t>
      </w:r>
      <w:r w:rsidR="00495903" w:rsidRPr="002041DF">
        <w:rPr>
          <w:i/>
          <w:sz w:val="22"/>
          <w:szCs w:val="22"/>
          <w:lang w:val="sr-Latn-ME"/>
        </w:rPr>
        <w:t>pacijente</w:t>
      </w:r>
      <w:r w:rsidRPr="002041DF">
        <w:rPr>
          <w:i/>
          <w:sz w:val="22"/>
          <w:szCs w:val="22"/>
          <w:lang w:val="sr-Latn-ME"/>
        </w:rPr>
        <w:t xml:space="preserve"> s</w:t>
      </w:r>
      <w:r w:rsidR="00527AC8" w:rsidRPr="002041DF">
        <w:rPr>
          <w:i/>
          <w:sz w:val="22"/>
          <w:szCs w:val="22"/>
          <w:lang w:val="sr-Latn-ME"/>
        </w:rPr>
        <w:t>a</w:t>
      </w:r>
      <w:r w:rsidRPr="002041DF">
        <w:rPr>
          <w:i/>
          <w:sz w:val="22"/>
          <w:szCs w:val="22"/>
          <w:lang w:val="sr-Latn-ME"/>
        </w:rPr>
        <w:t xml:space="preserve"> psorijazom &lt; 60 kg</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32"/>
        <w:gridCol w:w="2647"/>
        <w:gridCol w:w="3515"/>
      </w:tblGrid>
      <w:tr w:rsidR="00641C7D" w:rsidRPr="002041DF" w14:paraId="2EADE4BB" w14:textId="77777777" w:rsidTr="007C6E24">
        <w:trPr>
          <w:cantSplit/>
          <w:jc w:val="center"/>
        </w:trPr>
        <w:tc>
          <w:tcPr>
            <w:tcW w:w="1720" w:type="pct"/>
            <w:shd w:val="clear" w:color="auto" w:fill="auto"/>
            <w:vAlign w:val="center"/>
            <w:hideMark/>
          </w:tcPr>
          <w:p w14:paraId="2E8DC5C3" w14:textId="3C946266" w:rsidR="00641C7D" w:rsidRPr="002041DF" w:rsidRDefault="00641C7D" w:rsidP="002041DF">
            <w:pPr>
              <w:widowControl w:val="0"/>
              <w:jc w:val="both"/>
              <w:rPr>
                <w:b/>
                <w:sz w:val="22"/>
                <w:szCs w:val="22"/>
                <w:lang w:val="sr-Latn-ME"/>
              </w:rPr>
            </w:pPr>
            <w:r w:rsidRPr="002041DF">
              <w:rPr>
                <w:b/>
                <w:sz w:val="22"/>
                <w:szCs w:val="22"/>
                <w:lang w:val="sr-Latn-ME"/>
              </w:rPr>
              <w:t>T</w:t>
            </w:r>
            <w:r w:rsidR="004372C4" w:rsidRPr="002041DF">
              <w:rPr>
                <w:b/>
                <w:sz w:val="22"/>
                <w:szCs w:val="22"/>
                <w:lang w:val="sr-Latn-ME"/>
              </w:rPr>
              <w:t>j</w:t>
            </w:r>
            <w:r w:rsidRPr="002041DF">
              <w:rPr>
                <w:b/>
                <w:sz w:val="22"/>
                <w:szCs w:val="22"/>
                <w:lang w:val="sr-Latn-ME"/>
              </w:rPr>
              <w:t>elesna masa u</w:t>
            </w:r>
            <w:r w:rsidR="004372C4" w:rsidRPr="002041DF">
              <w:rPr>
                <w:b/>
                <w:sz w:val="22"/>
                <w:szCs w:val="22"/>
                <w:lang w:val="sr-Latn-ME"/>
              </w:rPr>
              <w:t xml:space="preserve"> vrijeme </w:t>
            </w:r>
            <w:r w:rsidRPr="002041DF">
              <w:rPr>
                <w:b/>
                <w:sz w:val="22"/>
                <w:szCs w:val="22"/>
                <w:lang w:val="sr-Latn-ME"/>
              </w:rPr>
              <w:t>doziranja (kg)</w:t>
            </w:r>
          </w:p>
        </w:tc>
        <w:tc>
          <w:tcPr>
            <w:tcW w:w="1409" w:type="pct"/>
            <w:shd w:val="clear" w:color="auto" w:fill="auto"/>
            <w:vAlign w:val="center"/>
            <w:hideMark/>
          </w:tcPr>
          <w:p w14:paraId="0FE8A901" w14:textId="77777777" w:rsidR="00641C7D" w:rsidRPr="002041DF" w:rsidRDefault="00641C7D" w:rsidP="002041DF">
            <w:pPr>
              <w:widowControl w:val="0"/>
              <w:jc w:val="both"/>
              <w:rPr>
                <w:b/>
                <w:sz w:val="22"/>
                <w:szCs w:val="22"/>
                <w:lang w:val="sr-Latn-ME"/>
              </w:rPr>
            </w:pPr>
            <w:r w:rsidRPr="002041DF">
              <w:rPr>
                <w:b/>
                <w:sz w:val="22"/>
                <w:szCs w:val="22"/>
                <w:lang w:val="sr-Latn-ME"/>
              </w:rPr>
              <w:t>Doza (mg)</w:t>
            </w:r>
          </w:p>
        </w:tc>
        <w:tc>
          <w:tcPr>
            <w:tcW w:w="1871" w:type="pct"/>
            <w:shd w:val="clear" w:color="auto" w:fill="auto"/>
            <w:vAlign w:val="center"/>
            <w:hideMark/>
          </w:tcPr>
          <w:p w14:paraId="6BA832B3" w14:textId="15B316A0" w:rsidR="00641C7D" w:rsidRPr="002041DF" w:rsidRDefault="00641C7D" w:rsidP="002041DF">
            <w:pPr>
              <w:widowControl w:val="0"/>
              <w:jc w:val="both"/>
              <w:rPr>
                <w:b/>
                <w:sz w:val="22"/>
                <w:szCs w:val="22"/>
                <w:lang w:val="sr-Latn-ME"/>
              </w:rPr>
            </w:pPr>
            <w:r w:rsidRPr="002041DF">
              <w:rPr>
                <w:b/>
                <w:sz w:val="22"/>
                <w:szCs w:val="22"/>
                <w:lang w:val="sr-Latn-ME"/>
              </w:rPr>
              <w:t>Volumen injekcije (</w:t>
            </w:r>
            <w:r w:rsidR="00AA3CA9" w:rsidRPr="002041DF">
              <w:rPr>
                <w:b/>
                <w:sz w:val="22"/>
                <w:szCs w:val="22"/>
                <w:lang w:val="sr-Latn-ME"/>
              </w:rPr>
              <w:t>ml</w:t>
            </w:r>
            <w:r w:rsidRPr="002041DF">
              <w:rPr>
                <w:b/>
                <w:sz w:val="22"/>
                <w:szCs w:val="22"/>
                <w:lang w:val="sr-Latn-ME"/>
              </w:rPr>
              <w:t>)</w:t>
            </w:r>
          </w:p>
        </w:tc>
      </w:tr>
      <w:tr w:rsidR="00667402" w:rsidRPr="002041DF" w14:paraId="48301E00" w14:textId="77777777" w:rsidTr="007C6E24">
        <w:trPr>
          <w:cantSplit/>
          <w:jc w:val="center"/>
        </w:trPr>
        <w:tc>
          <w:tcPr>
            <w:tcW w:w="1720" w:type="pct"/>
            <w:shd w:val="clear" w:color="auto" w:fill="auto"/>
            <w:noWrap/>
            <w:vAlign w:val="center"/>
          </w:tcPr>
          <w:p w14:paraId="6CB2A015" w14:textId="1EB3EADE" w:rsidR="00667402" w:rsidRPr="002041DF" w:rsidRDefault="00667402" w:rsidP="002041DF">
            <w:pPr>
              <w:widowControl w:val="0"/>
              <w:jc w:val="both"/>
              <w:rPr>
                <w:sz w:val="22"/>
                <w:szCs w:val="22"/>
                <w:lang w:val="sr-Latn-ME"/>
              </w:rPr>
            </w:pPr>
            <w:r w:rsidRPr="002041DF">
              <w:rPr>
                <w:sz w:val="22"/>
                <w:szCs w:val="22"/>
                <w:lang w:val="sr-Latn-ME"/>
              </w:rPr>
              <w:t>15</w:t>
            </w:r>
          </w:p>
        </w:tc>
        <w:tc>
          <w:tcPr>
            <w:tcW w:w="1409" w:type="pct"/>
            <w:shd w:val="clear" w:color="auto" w:fill="auto"/>
            <w:noWrap/>
          </w:tcPr>
          <w:p w14:paraId="1BB42A69" w14:textId="77461339" w:rsidR="00667402" w:rsidRPr="002041DF" w:rsidRDefault="00667402" w:rsidP="002041DF">
            <w:pPr>
              <w:widowControl w:val="0"/>
              <w:jc w:val="both"/>
              <w:rPr>
                <w:sz w:val="22"/>
                <w:szCs w:val="22"/>
                <w:lang w:val="sr-Latn-ME"/>
              </w:rPr>
            </w:pPr>
            <w:r w:rsidRPr="002041DF">
              <w:rPr>
                <w:sz w:val="22"/>
                <w:szCs w:val="22"/>
                <w:lang w:val="sr-Latn-ME"/>
              </w:rPr>
              <w:t>11,3</w:t>
            </w:r>
          </w:p>
        </w:tc>
        <w:tc>
          <w:tcPr>
            <w:tcW w:w="1871" w:type="pct"/>
            <w:shd w:val="clear" w:color="auto" w:fill="auto"/>
            <w:noWrap/>
            <w:vAlign w:val="center"/>
          </w:tcPr>
          <w:p w14:paraId="69CBBD75" w14:textId="565C63F9" w:rsidR="00667402" w:rsidRPr="002041DF" w:rsidRDefault="00667402" w:rsidP="002041DF">
            <w:pPr>
              <w:widowControl w:val="0"/>
              <w:jc w:val="both"/>
              <w:rPr>
                <w:sz w:val="22"/>
                <w:szCs w:val="22"/>
                <w:lang w:val="sr-Latn-ME"/>
              </w:rPr>
            </w:pPr>
            <w:r w:rsidRPr="002041DF">
              <w:rPr>
                <w:sz w:val="22"/>
                <w:szCs w:val="22"/>
                <w:lang w:val="sr-Latn-ME"/>
              </w:rPr>
              <w:t>0,12</w:t>
            </w:r>
          </w:p>
        </w:tc>
      </w:tr>
      <w:tr w:rsidR="00667402" w:rsidRPr="002041DF" w14:paraId="2D95343D" w14:textId="77777777" w:rsidTr="007C6E24">
        <w:trPr>
          <w:cantSplit/>
          <w:jc w:val="center"/>
        </w:trPr>
        <w:tc>
          <w:tcPr>
            <w:tcW w:w="1720" w:type="pct"/>
            <w:shd w:val="clear" w:color="auto" w:fill="auto"/>
            <w:noWrap/>
            <w:vAlign w:val="center"/>
          </w:tcPr>
          <w:p w14:paraId="78FBC06F" w14:textId="31742172" w:rsidR="00667402" w:rsidRPr="002041DF" w:rsidRDefault="00667402" w:rsidP="002041DF">
            <w:pPr>
              <w:widowControl w:val="0"/>
              <w:jc w:val="both"/>
              <w:rPr>
                <w:sz w:val="22"/>
                <w:szCs w:val="22"/>
                <w:lang w:val="sr-Latn-ME"/>
              </w:rPr>
            </w:pPr>
            <w:r w:rsidRPr="002041DF">
              <w:rPr>
                <w:sz w:val="22"/>
                <w:szCs w:val="22"/>
                <w:lang w:val="sr-Latn-ME"/>
              </w:rPr>
              <w:t>16</w:t>
            </w:r>
          </w:p>
        </w:tc>
        <w:tc>
          <w:tcPr>
            <w:tcW w:w="1409" w:type="pct"/>
            <w:shd w:val="clear" w:color="auto" w:fill="auto"/>
            <w:noWrap/>
          </w:tcPr>
          <w:p w14:paraId="6D126BBE" w14:textId="4F33F206" w:rsidR="00667402" w:rsidRPr="002041DF" w:rsidRDefault="00667402" w:rsidP="002041DF">
            <w:pPr>
              <w:widowControl w:val="0"/>
              <w:jc w:val="both"/>
              <w:rPr>
                <w:sz w:val="22"/>
                <w:szCs w:val="22"/>
                <w:lang w:val="sr-Latn-ME"/>
              </w:rPr>
            </w:pPr>
            <w:r w:rsidRPr="002041DF">
              <w:rPr>
                <w:sz w:val="22"/>
                <w:szCs w:val="22"/>
                <w:lang w:val="sr-Latn-ME"/>
              </w:rPr>
              <w:t>12,0</w:t>
            </w:r>
          </w:p>
        </w:tc>
        <w:tc>
          <w:tcPr>
            <w:tcW w:w="1871" w:type="pct"/>
            <w:shd w:val="clear" w:color="auto" w:fill="auto"/>
            <w:noWrap/>
            <w:vAlign w:val="center"/>
          </w:tcPr>
          <w:p w14:paraId="76BC36F4" w14:textId="16D8A154" w:rsidR="00667402" w:rsidRPr="002041DF" w:rsidRDefault="00667402" w:rsidP="002041DF">
            <w:pPr>
              <w:widowControl w:val="0"/>
              <w:jc w:val="both"/>
              <w:rPr>
                <w:sz w:val="22"/>
                <w:szCs w:val="22"/>
                <w:lang w:val="sr-Latn-ME"/>
              </w:rPr>
            </w:pPr>
            <w:r w:rsidRPr="002041DF">
              <w:rPr>
                <w:sz w:val="22"/>
                <w:szCs w:val="22"/>
                <w:lang w:val="sr-Latn-ME"/>
              </w:rPr>
              <w:t>0,13</w:t>
            </w:r>
          </w:p>
        </w:tc>
      </w:tr>
      <w:tr w:rsidR="00667402" w:rsidRPr="002041DF" w14:paraId="448157E3" w14:textId="77777777" w:rsidTr="007C6E24">
        <w:trPr>
          <w:cantSplit/>
          <w:jc w:val="center"/>
        </w:trPr>
        <w:tc>
          <w:tcPr>
            <w:tcW w:w="1720" w:type="pct"/>
            <w:shd w:val="clear" w:color="auto" w:fill="auto"/>
            <w:noWrap/>
            <w:vAlign w:val="center"/>
          </w:tcPr>
          <w:p w14:paraId="5001DCE7" w14:textId="0FB1E27E" w:rsidR="00667402" w:rsidRPr="002041DF" w:rsidRDefault="00667402" w:rsidP="002041DF">
            <w:pPr>
              <w:widowControl w:val="0"/>
              <w:jc w:val="both"/>
              <w:rPr>
                <w:sz w:val="22"/>
                <w:szCs w:val="22"/>
                <w:lang w:val="sr-Latn-ME"/>
              </w:rPr>
            </w:pPr>
            <w:r w:rsidRPr="002041DF">
              <w:rPr>
                <w:sz w:val="22"/>
                <w:szCs w:val="22"/>
                <w:lang w:val="sr-Latn-ME"/>
              </w:rPr>
              <w:t>17</w:t>
            </w:r>
          </w:p>
        </w:tc>
        <w:tc>
          <w:tcPr>
            <w:tcW w:w="1409" w:type="pct"/>
            <w:shd w:val="clear" w:color="auto" w:fill="auto"/>
            <w:noWrap/>
          </w:tcPr>
          <w:p w14:paraId="72847477" w14:textId="364AC07C" w:rsidR="00667402" w:rsidRPr="002041DF" w:rsidRDefault="00667402" w:rsidP="002041DF">
            <w:pPr>
              <w:widowControl w:val="0"/>
              <w:jc w:val="both"/>
              <w:rPr>
                <w:sz w:val="22"/>
                <w:szCs w:val="22"/>
                <w:lang w:val="sr-Latn-ME"/>
              </w:rPr>
            </w:pPr>
            <w:r w:rsidRPr="002041DF">
              <w:rPr>
                <w:sz w:val="22"/>
                <w:szCs w:val="22"/>
                <w:lang w:val="sr-Latn-ME"/>
              </w:rPr>
              <w:t>12,8</w:t>
            </w:r>
          </w:p>
        </w:tc>
        <w:tc>
          <w:tcPr>
            <w:tcW w:w="1871" w:type="pct"/>
            <w:shd w:val="clear" w:color="auto" w:fill="auto"/>
            <w:noWrap/>
            <w:vAlign w:val="center"/>
          </w:tcPr>
          <w:p w14:paraId="5E74DE4F" w14:textId="6CC71E2D" w:rsidR="00667402" w:rsidRPr="002041DF" w:rsidRDefault="00667402" w:rsidP="002041DF">
            <w:pPr>
              <w:widowControl w:val="0"/>
              <w:jc w:val="both"/>
              <w:rPr>
                <w:sz w:val="22"/>
                <w:szCs w:val="22"/>
                <w:lang w:val="sr-Latn-ME"/>
              </w:rPr>
            </w:pPr>
            <w:r w:rsidRPr="002041DF">
              <w:rPr>
                <w:sz w:val="22"/>
                <w:szCs w:val="22"/>
                <w:lang w:val="sr-Latn-ME"/>
              </w:rPr>
              <w:t>0,14</w:t>
            </w:r>
          </w:p>
        </w:tc>
      </w:tr>
      <w:tr w:rsidR="00667402" w:rsidRPr="002041DF" w14:paraId="154CA002" w14:textId="77777777" w:rsidTr="007C6E24">
        <w:trPr>
          <w:cantSplit/>
          <w:jc w:val="center"/>
        </w:trPr>
        <w:tc>
          <w:tcPr>
            <w:tcW w:w="1720" w:type="pct"/>
            <w:shd w:val="clear" w:color="auto" w:fill="auto"/>
            <w:noWrap/>
            <w:vAlign w:val="center"/>
          </w:tcPr>
          <w:p w14:paraId="31157B7A" w14:textId="2DDD88FA" w:rsidR="00667402" w:rsidRPr="002041DF" w:rsidRDefault="00667402" w:rsidP="002041DF">
            <w:pPr>
              <w:widowControl w:val="0"/>
              <w:jc w:val="both"/>
              <w:rPr>
                <w:sz w:val="22"/>
                <w:szCs w:val="22"/>
                <w:lang w:val="sr-Latn-ME"/>
              </w:rPr>
            </w:pPr>
            <w:r w:rsidRPr="002041DF">
              <w:rPr>
                <w:sz w:val="22"/>
                <w:szCs w:val="22"/>
                <w:lang w:val="sr-Latn-ME"/>
              </w:rPr>
              <w:t>18</w:t>
            </w:r>
          </w:p>
        </w:tc>
        <w:tc>
          <w:tcPr>
            <w:tcW w:w="1409" w:type="pct"/>
            <w:shd w:val="clear" w:color="auto" w:fill="auto"/>
            <w:noWrap/>
          </w:tcPr>
          <w:p w14:paraId="202ED342" w14:textId="26DCB690" w:rsidR="00667402" w:rsidRPr="002041DF" w:rsidRDefault="00667402" w:rsidP="002041DF">
            <w:pPr>
              <w:widowControl w:val="0"/>
              <w:jc w:val="both"/>
              <w:rPr>
                <w:sz w:val="22"/>
                <w:szCs w:val="22"/>
                <w:lang w:val="sr-Latn-ME"/>
              </w:rPr>
            </w:pPr>
            <w:r w:rsidRPr="002041DF">
              <w:rPr>
                <w:sz w:val="22"/>
                <w:szCs w:val="22"/>
                <w:lang w:val="sr-Latn-ME"/>
              </w:rPr>
              <w:t>13,5</w:t>
            </w:r>
          </w:p>
        </w:tc>
        <w:tc>
          <w:tcPr>
            <w:tcW w:w="1871" w:type="pct"/>
            <w:shd w:val="clear" w:color="auto" w:fill="auto"/>
            <w:noWrap/>
            <w:vAlign w:val="center"/>
          </w:tcPr>
          <w:p w14:paraId="3F6B5FF2" w14:textId="7C5480AF" w:rsidR="00667402" w:rsidRPr="002041DF" w:rsidRDefault="00667402" w:rsidP="002041DF">
            <w:pPr>
              <w:widowControl w:val="0"/>
              <w:jc w:val="both"/>
              <w:rPr>
                <w:sz w:val="22"/>
                <w:szCs w:val="22"/>
                <w:lang w:val="sr-Latn-ME"/>
              </w:rPr>
            </w:pPr>
            <w:r w:rsidRPr="002041DF">
              <w:rPr>
                <w:sz w:val="22"/>
                <w:szCs w:val="22"/>
                <w:lang w:val="sr-Latn-ME"/>
              </w:rPr>
              <w:t>0,15</w:t>
            </w:r>
          </w:p>
        </w:tc>
      </w:tr>
      <w:tr w:rsidR="00667402" w:rsidRPr="002041DF" w14:paraId="26E8C993" w14:textId="77777777" w:rsidTr="007C6E24">
        <w:trPr>
          <w:cantSplit/>
          <w:jc w:val="center"/>
        </w:trPr>
        <w:tc>
          <w:tcPr>
            <w:tcW w:w="1720" w:type="pct"/>
            <w:shd w:val="clear" w:color="auto" w:fill="auto"/>
            <w:noWrap/>
            <w:vAlign w:val="center"/>
          </w:tcPr>
          <w:p w14:paraId="37A31F14" w14:textId="50D9B9A0" w:rsidR="00667402" w:rsidRPr="002041DF" w:rsidRDefault="00667402" w:rsidP="002041DF">
            <w:pPr>
              <w:widowControl w:val="0"/>
              <w:jc w:val="both"/>
              <w:rPr>
                <w:sz w:val="22"/>
                <w:szCs w:val="22"/>
                <w:lang w:val="sr-Latn-ME"/>
              </w:rPr>
            </w:pPr>
            <w:r w:rsidRPr="002041DF">
              <w:rPr>
                <w:sz w:val="22"/>
                <w:szCs w:val="22"/>
                <w:lang w:val="sr-Latn-ME"/>
              </w:rPr>
              <w:t>19</w:t>
            </w:r>
          </w:p>
        </w:tc>
        <w:tc>
          <w:tcPr>
            <w:tcW w:w="1409" w:type="pct"/>
            <w:shd w:val="clear" w:color="auto" w:fill="auto"/>
            <w:noWrap/>
          </w:tcPr>
          <w:p w14:paraId="07EC1E82" w14:textId="4BB3194C" w:rsidR="00667402" w:rsidRPr="002041DF" w:rsidRDefault="00667402" w:rsidP="002041DF">
            <w:pPr>
              <w:widowControl w:val="0"/>
              <w:jc w:val="both"/>
              <w:rPr>
                <w:sz w:val="22"/>
                <w:szCs w:val="22"/>
                <w:lang w:val="sr-Latn-ME"/>
              </w:rPr>
            </w:pPr>
            <w:r w:rsidRPr="002041DF">
              <w:rPr>
                <w:sz w:val="22"/>
                <w:szCs w:val="22"/>
                <w:lang w:val="sr-Latn-ME"/>
              </w:rPr>
              <w:t>14,3</w:t>
            </w:r>
          </w:p>
        </w:tc>
        <w:tc>
          <w:tcPr>
            <w:tcW w:w="1871" w:type="pct"/>
            <w:shd w:val="clear" w:color="auto" w:fill="auto"/>
            <w:noWrap/>
            <w:vAlign w:val="center"/>
          </w:tcPr>
          <w:p w14:paraId="085B0559" w14:textId="30DE6136" w:rsidR="00667402" w:rsidRPr="002041DF" w:rsidRDefault="00667402" w:rsidP="002041DF">
            <w:pPr>
              <w:widowControl w:val="0"/>
              <w:jc w:val="both"/>
              <w:rPr>
                <w:sz w:val="22"/>
                <w:szCs w:val="22"/>
                <w:lang w:val="sr-Latn-ME"/>
              </w:rPr>
            </w:pPr>
            <w:r w:rsidRPr="002041DF">
              <w:rPr>
                <w:sz w:val="22"/>
                <w:szCs w:val="22"/>
                <w:lang w:val="sr-Latn-ME"/>
              </w:rPr>
              <w:t>0,16</w:t>
            </w:r>
          </w:p>
        </w:tc>
      </w:tr>
      <w:tr w:rsidR="00667402" w:rsidRPr="002041DF" w14:paraId="4956BBD3" w14:textId="77777777" w:rsidTr="007C6E24">
        <w:trPr>
          <w:cantSplit/>
          <w:jc w:val="center"/>
        </w:trPr>
        <w:tc>
          <w:tcPr>
            <w:tcW w:w="1720" w:type="pct"/>
            <w:shd w:val="clear" w:color="auto" w:fill="auto"/>
            <w:noWrap/>
            <w:vAlign w:val="center"/>
          </w:tcPr>
          <w:p w14:paraId="4B89E69E" w14:textId="3B2847AE" w:rsidR="00667402" w:rsidRPr="002041DF" w:rsidRDefault="00667402" w:rsidP="002041DF">
            <w:pPr>
              <w:widowControl w:val="0"/>
              <w:jc w:val="both"/>
              <w:rPr>
                <w:sz w:val="22"/>
                <w:szCs w:val="22"/>
                <w:lang w:val="sr-Latn-ME"/>
              </w:rPr>
            </w:pPr>
            <w:r w:rsidRPr="002041DF">
              <w:rPr>
                <w:sz w:val="22"/>
                <w:szCs w:val="22"/>
                <w:lang w:val="sr-Latn-ME"/>
              </w:rPr>
              <w:t>20</w:t>
            </w:r>
          </w:p>
        </w:tc>
        <w:tc>
          <w:tcPr>
            <w:tcW w:w="1409" w:type="pct"/>
            <w:shd w:val="clear" w:color="auto" w:fill="auto"/>
            <w:noWrap/>
          </w:tcPr>
          <w:p w14:paraId="0461098D" w14:textId="763EACA0" w:rsidR="00667402" w:rsidRPr="002041DF" w:rsidRDefault="00667402" w:rsidP="002041DF">
            <w:pPr>
              <w:widowControl w:val="0"/>
              <w:jc w:val="both"/>
              <w:rPr>
                <w:sz w:val="22"/>
                <w:szCs w:val="22"/>
                <w:lang w:val="sr-Latn-ME"/>
              </w:rPr>
            </w:pPr>
            <w:r w:rsidRPr="002041DF">
              <w:rPr>
                <w:sz w:val="22"/>
                <w:szCs w:val="22"/>
                <w:lang w:val="sr-Latn-ME"/>
              </w:rPr>
              <w:t>15,0</w:t>
            </w:r>
          </w:p>
        </w:tc>
        <w:tc>
          <w:tcPr>
            <w:tcW w:w="1871" w:type="pct"/>
            <w:shd w:val="clear" w:color="auto" w:fill="auto"/>
            <w:noWrap/>
            <w:vAlign w:val="center"/>
          </w:tcPr>
          <w:p w14:paraId="19B82B02" w14:textId="5D7167CA" w:rsidR="00667402" w:rsidRPr="002041DF" w:rsidRDefault="00667402" w:rsidP="002041DF">
            <w:pPr>
              <w:widowControl w:val="0"/>
              <w:jc w:val="both"/>
              <w:rPr>
                <w:sz w:val="22"/>
                <w:szCs w:val="22"/>
                <w:lang w:val="sr-Latn-ME"/>
              </w:rPr>
            </w:pPr>
            <w:r w:rsidRPr="002041DF">
              <w:rPr>
                <w:sz w:val="22"/>
                <w:szCs w:val="22"/>
                <w:lang w:val="sr-Latn-ME"/>
              </w:rPr>
              <w:t>0,17</w:t>
            </w:r>
          </w:p>
        </w:tc>
      </w:tr>
      <w:tr w:rsidR="00667402" w:rsidRPr="002041DF" w14:paraId="1E9B931C" w14:textId="77777777" w:rsidTr="007C6E24">
        <w:trPr>
          <w:cantSplit/>
          <w:jc w:val="center"/>
        </w:trPr>
        <w:tc>
          <w:tcPr>
            <w:tcW w:w="1720" w:type="pct"/>
            <w:shd w:val="clear" w:color="auto" w:fill="auto"/>
            <w:noWrap/>
            <w:vAlign w:val="center"/>
          </w:tcPr>
          <w:p w14:paraId="1F706E2A" w14:textId="62A79F5A" w:rsidR="00667402" w:rsidRPr="002041DF" w:rsidRDefault="00667402" w:rsidP="002041DF">
            <w:pPr>
              <w:widowControl w:val="0"/>
              <w:jc w:val="both"/>
              <w:rPr>
                <w:sz w:val="22"/>
                <w:szCs w:val="22"/>
                <w:lang w:val="sr-Latn-ME"/>
              </w:rPr>
            </w:pPr>
            <w:r w:rsidRPr="002041DF">
              <w:rPr>
                <w:sz w:val="22"/>
                <w:szCs w:val="22"/>
                <w:lang w:val="sr-Latn-ME"/>
              </w:rPr>
              <w:t>21</w:t>
            </w:r>
          </w:p>
        </w:tc>
        <w:tc>
          <w:tcPr>
            <w:tcW w:w="1409" w:type="pct"/>
            <w:shd w:val="clear" w:color="auto" w:fill="auto"/>
            <w:noWrap/>
          </w:tcPr>
          <w:p w14:paraId="373EF2F0" w14:textId="539919E8" w:rsidR="00667402" w:rsidRPr="002041DF" w:rsidRDefault="00667402" w:rsidP="002041DF">
            <w:pPr>
              <w:widowControl w:val="0"/>
              <w:jc w:val="both"/>
              <w:rPr>
                <w:sz w:val="22"/>
                <w:szCs w:val="22"/>
                <w:lang w:val="sr-Latn-ME"/>
              </w:rPr>
            </w:pPr>
            <w:r w:rsidRPr="002041DF">
              <w:rPr>
                <w:sz w:val="22"/>
                <w:szCs w:val="22"/>
                <w:lang w:val="sr-Latn-ME"/>
              </w:rPr>
              <w:t>15,8</w:t>
            </w:r>
          </w:p>
        </w:tc>
        <w:tc>
          <w:tcPr>
            <w:tcW w:w="1871" w:type="pct"/>
            <w:shd w:val="clear" w:color="auto" w:fill="auto"/>
            <w:noWrap/>
            <w:vAlign w:val="center"/>
          </w:tcPr>
          <w:p w14:paraId="04FAA514" w14:textId="3383CDCC" w:rsidR="00667402" w:rsidRPr="002041DF" w:rsidRDefault="00667402" w:rsidP="002041DF">
            <w:pPr>
              <w:widowControl w:val="0"/>
              <w:jc w:val="both"/>
              <w:rPr>
                <w:sz w:val="22"/>
                <w:szCs w:val="22"/>
                <w:lang w:val="sr-Latn-ME"/>
              </w:rPr>
            </w:pPr>
            <w:r w:rsidRPr="002041DF">
              <w:rPr>
                <w:sz w:val="22"/>
                <w:szCs w:val="22"/>
                <w:lang w:val="sr-Latn-ME"/>
              </w:rPr>
              <w:t>0,17</w:t>
            </w:r>
          </w:p>
        </w:tc>
      </w:tr>
      <w:tr w:rsidR="00667402" w:rsidRPr="002041DF" w14:paraId="238BAAE6" w14:textId="77777777" w:rsidTr="007C6E24">
        <w:trPr>
          <w:cantSplit/>
          <w:jc w:val="center"/>
        </w:trPr>
        <w:tc>
          <w:tcPr>
            <w:tcW w:w="1720" w:type="pct"/>
            <w:shd w:val="clear" w:color="auto" w:fill="auto"/>
            <w:noWrap/>
            <w:vAlign w:val="center"/>
          </w:tcPr>
          <w:p w14:paraId="51675E68" w14:textId="627ACFE4" w:rsidR="00667402" w:rsidRPr="002041DF" w:rsidRDefault="00667402" w:rsidP="002041DF">
            <w:pPr>
              <w:widowControl w:val="0"/>
              <w:jc w:val="both"/>
              <w:rPr>
                <w:sz w:val="22"/>
                <w:szCs w:val="22"/>
                <w:lang w:val="sr-Latn-ME"/>
              </w:rPr>
            </w:pPr>
            <w:r w:rsidRPr="002041DF">
              <w:rPr>
                <w:sz w:val="22"/>
                <w:szCs w:val="22"/>
                <w:lang w:val="sr-Latn-ME"/>
              </w:rPr>
              <w:t>22</w:t>
            </w:r>
          </w:p>
        </w:tc>
        <w:tc>
          <w:tcPr>
            <w:tcW w:w="1409" w:type="pct"/>
            <w:shd w:val="clear" w:color="auto" w:fill="auto"/>
            <w:noWrap/>
          </w:tcPr>
          <w:p w14:paraId="059D8F55" w14:textId="1C86544B" w:rsidR="00667402" w:rsidRPr="002041DF" w:rsidRDefault="00667402" w:rsidP="002041DF">
            <w:pPr>
              <w:widowControl w:val="0"/>
              <w:jc w:val="both"/>
              <w:rPr>
                <w:sz w:val="22"/>
                <w:szCs w:val="22"/>
                <w:lang w:val="sr-Latn-ME"/>
              </w:rPr>
            </w:pPr>
            <w:r w:rsidRPr="002041DF">
              <w:rPr>
                <w:sz w:val="22"/>
                <w:szCs w:val="22"/>
                <w:lang w:val="sr-Latn-ME"/>
              </w:rPr>
              <w:t>16,5</w:t>
            </w:r>
          </w:p>
        </w:tc>
        <w:tc>
          <w:tcPr>
            <w:tcW w:w="1871" w:type="pct"/>
            <w:shd w:val="clear" w:color="auto" w:fill="auto"/>
            <w:noWrap/>
            <w:vAlign w:val="center"/>
          </w:tcPr>
          <w:p w14:paraId="0890514D" w14:textId="685C7B63" w:rsidR="00667402" w:rsidRPr="002041DF" w:rsidRDefault="00667402" w:rsidP="002041DF">
            <w:pPr>
              <w:widowControl w:val="0"/>
              <w:jc w:val="both"/>
              <w:rPr>
                <w:sz w:val="22"/>
                <w:szCs w:val="22"/>
                <w:lang w:val="sr-Latn-ME"/>
              </w:rPr>
            </w:pPr>
            <w:r w:rsidRPr="002041DF">
              <w:rPr>
                <w:sz w:val="22"/>
                <w:szCs w:val="22"/>
                <w:lang w:val="sr-Latn-ME"/>
              </w:rPr>
              <w:t>0,18</w:t>
            </w:r>
          </w:p>
        </w:tc>
      </w:tr>
      <w:tr w:rsidR="00667402" w:rsidRPr="002041DF" w14:paraId="4E93C7CC" w14:textId="77777777" w:rsidTr="007C6E24">
        <w:trPr>
          <w:cantSplit/>
          <w:jc w:val="center"/>
        </w:trPr>
        <w:tc>
          <w:tcPr>
            <w:tcW w:w="1720" w:type="pct"/>
            <w:shd w:val="clear" w:color="auto" w:fill="auto"/>
            <w:noWrap/>
            <w:vAlign w:val="center"/>
          </w:tcPr>
          <w:p w14:paraId="40280EAC" w14:textId="3EF6835F" w:rsidR="00667402" w:rsidRPr="002041DF" w:rsidRDefault="00667402" w:rsidP="002041DF">
            <w:pPr>
              <w:widowControl w:val="0"/>
              <w:jc w:val="both"/>
              <w:rPr>
                <w:sz w:val="22"/>
                <w:szCs w:val="22"/>
                <w:lang w:val="sr-Latn-ME"/>
              </w:rPr>
            </w:pPr>
            <w:r w:rsidRPr="002041DF">
              <w:rPr>
                <w:sz w:val="22"/>
                <w:szCs w:val="22"/>
                <w:lang w:val="sr-Latn-ME"/>
              </w:rPr>
              <w:t>23</w:t>
            </w:r>
          </w:p>
        </w:tc>
        <w:tc>
          <w:tcPr>
            <w:tcW w:w="1409" w:type="pct"/>
            <w:shd w:val="clear" w:color="auto" w:fill="auto"/>
            <w:noWrap/>
          </w:tcPr>
          <w:p w14:paraId="5BC7C382" w14:textId="121A9766" w:rsidR="00667402" w:rsidRPr="002041DF" w:rsidRDefault="00667402" w:rsidP="002041DF">
            <w:pPr>
              <w:widowControl w:val="0"/>
              <w:jc w:val="both"/>
              <w:rPr>
                <w:sz w:val="22"/>
                <w:szCs w:val="22"/>
                <w:lang w:val="sr-Latn-ME"/>
              </w:rPr>
            </w:pPr>
            <w:r w:rsidRPr="002041DF">
              <w:rPr>
                <w:sz w:val="22"/>
                <w:szCs w:val="22"/>
                <w:lang w:val="sr-Latn-ME"/>
              </w:rPr>
              <w:t>17,3</w:t>
            </w:r>
          </w:p>
        </w:tc>
        <w:tc>
          <w:tcPr>
            <w:tcW w:w="1871" w:type="pct"/>
            <w:shd w:val="clear" w:color="auto" w:fill="auto"/>
            <w:noWrap/>
            <w:vAlign w:val="center"/>
          </w:tcPr>
          <w:p w14:paraId="19A44911" w14:textId="212EED43" w:rsidR="00667402" w:rsidRPr="002041DF" w:rsidRDefault="00667402" w:rsidP="002041DF">
            <w:pPr>
              <w:widowControl w:val="0"/>
              <w:jc w:val="both"/>
              <w:rPr>
                <w:sz w:val="22"/>
                <w:szCs w:val="22"/>
                <w:lang w:val="sr-Latn-ME"/>
              </w:rPr>
            </w:pPr>
            <w:r w:rsidRPr="002041DF">
              <w:rPr>
                <w:sz w:val="22"/>
                <w:szCs w:val="22"/>
                <w:lang w:val="sr-Latn-ME"/>
              </w:rPr>
              <w:t>0,19</w:t>
            </w:r>
          </w:p>
        </w:tc>
      </w:tr>
      <w:tr w:rsidR="00667402" w:rsidRPr="002041DF" w14:paraId="61DA6189" w14:textId="77777777" w:rsidTr="007C6E24">
        <w:trPr>
          <w:cantSplit/>
          <w:jc w:val="center"/>
        </w:trPr>
        <w:tc>
          <w:tcPr>
            <w:tcW w:w="1720" w:type="pct"/>
            <w:shd w:val="clear" w:color="auto" w:fill="auto"/>
            <w:noWrap/>
            <w:vAlign w:val="center"/>
          </w:tcPr>
          <w:p w14:paraId="1664C6E9" w14:textId="2050E893" w:rsidR="00667402" w:rsidRPr="002041DF" w:rsidRDefault="00667402" w:rsidP="002041DF">
            <w:pPr>
              <w:widowControl w:val="0"/>
              <w:jc w:val="both"/>
              <w:rPr>
                <w:sz w:val="22"/>
                <w:szCs w:val="22"/>
                <w:lang w:val="sr-Latn-ME"/>
              </w:rPr>
            </w:pPr>
            <w:r w:rsidRPr="002041DF">
              <w:rPr>
                <w:sz w:val="22"/>
                <w:szCs w:val="22"/>
                <w:lang w:val="sr-Latn-ME"/>
              </w:rPr>
              <w:t>24</w:t>
            </w:r>
          </w:p>
        </w:tc>
        <w:tc>
          <w:tcPr>
            <w:tcW w:w="1409" w:type="pct"/>
            <w:shd w:val="clear" w:color="auto" w:fill="auto"/>
            <w:noWrap/>
          </w:tcPr>
          <w:p w14:paraId="332F9E67" w14:textId="5AF722F2" w:rsidR="00667402" w:rsidRPr="002041DF" w:rsidRDefault="00667402" w:rsidP="002041DF">
            <w:pPr>
              <w:widowControl w:val="0"/>
              <w:jc w:val="both"/>
              <w:rPr>
                <w:sz w:val="22"/>
                <w:szCs w:val="22"/>
                <w:lang w:val="sr-Latn-ME"/>
              </w:rPr>
            </w:pPr>
            <w:r w:rsidRPr="002041DF">
              <w:rPr>
                <w:sz w:val="22"/>
                <w:szCs w:val="22"/>
                <w:lang w:val="sr-Latn-ME"/>
              </w:rPr>
              <w:t>18,0</w:t>
            </w:r>
          </w:p>
        </w:tc>
        <w:tc>
          <w:tcPr>
            <w:tcW w:w="1871" w:type="pct"/>
            <w:shd w:val="clear" w:color="auto" w:fill="auto"/>
            <w:noWrap/>
            <w:vAlign w:val="center"/>
          </w:tcPr>
          <w:p w14:paraId="44DCB361" w14:textId="56048C0F" w:rsidR="00667402" w:rsidRPr="002041DF" w:rsidRDefault="00667402" w:rsidP="002041DF">
            <w:pPr>
              <w:widowControl w:val="0"/>
              <w:jc w:val="both"/>
              <w:rPr>
                <w:sz w:val="22"/>
                <w:szCs w:val="22"/>
                <w:lang w:val="sr-Latn-ME"/>
              </w:rPr>
            </w:pPr>
            <w:r w:rsidRPr="002041DF">
              <w:rPr>
                <w:sz w:val="22"/>
                <w:szCs w:val="22"/>
                <w:lang w:val="sr-Latn-ME"/>
              </w:rPr>
              <w:t>0,20</w:t>
            </w:r>
          </w:p>
        </w:tc>
      </w:tr>
      <w:tr w:rsidR="00667402" w:rsidRPr="002041DF" w14:paraId="1D330CF6" w14:textId="77777777" w:rsidTr="007C6E24">
        <w:trPr>
          <w:cantSplit/>
          <w:jc w:val="center"/>
        </w:trPr>
        <w:tc>
          <w:tcPr>
            <w:tcW w:w="1720" w:type="pct"/>
            <w:shd w:val="clear" w:color="auto" w:fill="auto"/>
            <w:noWrap/>
            <w:vAlign w:val="center"/>
          </w:tcPr>
          <w:p w14:paraId="11DCA1AF" w14:textId="077DF5BE" w:rsidR="00667402" w:rsidRPr="002041DF" w:rsidRDefault="00667402" w:rsidP="002041DF">
            <w:pPr>
              <w:widowControl w:val="0"/>
              <w:jc w:val="both"/>
              <w:rPr>
                <w:sz w:val="22"/>
                <w:szCs w:val="22"/>
                <w:lang w:val="sr-Latn-ME"/>
              </w:rPr>
            </w:pPr>
            <w:r w:rsidRPr="002041DF">
              <w:rPr>
                <w:sz w:val="22"/>
                <w:szCs w:val="22"/>
                <w:lang w:val="sr-Latn-ME"/>
              </w:rPr>
              <w:t>25</w:t>
            </w:r>
          </w:p>
        </w:tc>
        <w:tc>
          <w:tcPr>
            <w:tcW w:w="1409" w:type="pct"/>
            <w:shd w:val="clear" w:color="auto" w:fill="auto"/>
            <w:noWrap/>
          </w:tcPr>
          <w:p w14:paraId="5833730A" w14:textId="064928C8" w:rsidR="00667402" w:rsidRPr="002041DF" w:rsidRDefault="00667402" w:rsidP="002041DF">
            <w:pPr>
              <w:widowControl w:val="0"/>
              <w:jc w:val="both"/>
              <w:rPr>
                <w:sz w:val="22"/>
                <w:szCs w:val="22"/>
                <w:lang w:val="sr-Latn-ME"/>
              </w:rPr>
            </w:pPr>
            <w:r w:rsidRPr="002041DF">
              <w:rPr>
                <w:sz w:val="22"/>
                <w:szCs w:val="22"/>
                <w:lang w:val="sr-Latn-ME"/>
              </w:rPr>
              <w:t>18,8</w:t>
            </w:r>
          </w:p>
        </w:tc>
        <w:tc>
          <w:tcPr>
            <w:tcW w:w="1871" w:type="pct"/>
            <w:shd w:val="clear" w:color="auto" w:fill="auto"/>
            <w:noWrap/>
            <w:vAlign w:val="center"/>
          </w:tcPr>
          <w:p w14:paraId="48D136E0" w14:textId="3FAE4152" w:rsidR="00667402" w:rsidRPr="002041DF" w:rsidRDefault="00667402" w:rsidP="002041DF">
            <w:pPr>
              <w:widowControl w:val="0"/>
              <w:jc w:val="both"/>
              <w:rPr>
                <w:sz w:val="22"/>
                <w:szCs w:val="22"/>
                <w:lang w:val="sr-Latn-ME"/>
              </w:rPr>
            </w:pPr>
            <w:r w:rsidRPr="002041DF">
              <w:rPr>
                <w:sz w:val="22"/>
                <w:szCs w:val="22"/>
                <w:lang w:val="sr-Latn-ME"/>
              </w:rPr>
              <w:t>0,21</w:t>
            </w:r>
          </w:p>
        </w:tc>
      </w:tr>
      <w:tr w:rsidR="00667402" w:rsidRPr="002041DF" w14:paraId="357E0633" w14:textId="77777777" w:rsidTr="007C6E24">
        <w:trPr>
          <w:cantSplit/>
          <w:jc w:val="center"/>
        </w:trPr>
        <w:tc>
          <w:tcPr>
            <w:tcW w:w="1720" w:type="pct"/>
            <w:shd w:val="clear" w:color="auto" w:fill="auto"/>
            <w:noWrap/>
            <w:vAlign w:val="center"/>
          </w:tcPr>
          <w:p w14:paraId="4A850E30" w14:textId="1B0CB744" w:rsidR="00667402" w:rsidRPr="002041DF" w:rsidRDefault="00667402" w:rsidP="002041DF">
            <w:pPr>
              <w:widowControl w:val="0"/>
              <w:jc w:val="both"/>
              <w:rPr>
                <w:sz w:val="22"/>
                <w:szCs w:val="22"/>
                <w:lang w:val="sr-Latn-ME"/>
              </w:rPr>
            </w:pPr>
            <w:r w:rsidRPr="002041DF">
              <w:rPr>
                <w:sz w:val="22"/>
                <w:szCs w:val="22"/>
                <w:lang w:val="sr-Latn-ME"/>
              </w:rPr>
              <w:t>26</w:t>
            </w:r>
          </w:p>
        </w:tc>
        <w:tc>
          <w:tcPr>
            <w:tcW w:w="1409" w:type="pct"/>
            <w:shd w:val="clear" w:color="auto" w:fill="auto"/>
            <w:noWrap/>
          </w:tcPr>
          <w:p w14:paraId="6D7E1297" w14:textId="51DF6253" w:rsidR="00667402" w:rsidRPr="002041DF" w:rsidRDefault="00667402" w:rsidP="002041DF">
            <w:pPr>
              <w:widowControl w:val="0"/>
              <w:jc w:val="both"/>
              <w:rPr>
                <w:sz w:val="22"/>
                <w:szCs w:val="22"/>
                <w:lang w:val="sr-Latn-ME"/>
              </w:rPr>
            </w:pPr>
            <w:r w:rsidRPr="002041DF">
              <w:rPr>
                <w:sz w:val="22"/>
                <w:szCs w:val="22"/>
                <w:lang w:val="sr-Latn-ME"/>
              </w:rPr>
              <w:t>19,5</w:t>
            </w:r>
          </w:p>
        </w:tc>
        <w:tc>
          <w:tcPr>
            <w:tcW w:w="1871" w:type="pct"/>
            <w:shd w:val="clear" w:color="auto" w:fill="auto"/>
            <w:noWrap/>
            <w:vAlign w:val="center"/>
          </w:tcPr>
          <w:p w14:paraId="189C0BD1" w14:textId="01CBF3F5" w:rsidR="00667402" w:rsidRPr="002041DF" w:rsidRDefault="00667402" w:rsidP="002041DF">
            <w:pPr>
              <w:widowControl w:val="0"/>
              <w:jc w:val="both"/>
              <w:rPr>
                <w:sz w:val="22"/>
                <w:szCs w:val="22"/>
                <w:lang w:val="sr-Latn-ME"/>
              </w:rPr>
            </w:pPr>
            <w:r w:rsidRPr="002041DF">
              <w:rPr>
                <w:sz w:val="22"/>
                <w:szCs w:val="22"/>
                <w:lang w:val="sr-Latn-ME"/>
              </w:rPr>
              <w:t>0,22</w:t>
            </w:r>
          </w:p>
        </w:tc>
      </w:tr>
      <w:tr w:rsidR="00667402" w:rsidRPr="002041DF" w14:paraId="076F88A6" w14:textId="77777777" w:rsidTr="007C6E24">
        <w:trPr>
          <w:cantSplit/>
          <w:jc w:val="center"/>
        </w:trPr>
        <w:tc>
          <w:tcPr>
            <w:tcW w:w="1720" w:type="pct"/>
            <w:shd w:val="clear" w:color="auto" w:fill="auto"/>
            <w:noWrap/>
            <w:vAlign w:val="center"/>
          </w:tcPr>
          <w:p w14:paraId="3EC0B1FD" w14:textId="085A9D67" w:rsidR="00667402" w:rsidRPr="002041DF" w:rsidRDefault="00667402" w:rsidP="002041DF">
            <w:pPr>
              <w:widowControl w:val="0"/>
              <w:jc w:val="both"/>
              <w:rPr>
                <w:sz w:val="22"/>
                <w:szCs w:val="22"/>
                <w:lang w:val="sr-Latn-ME"/>
              </w:rPr>
            </w:pPr>
            <w:r w:rsidRPr="002041DF">
              <w:rPr>
                <w:sz w:val="22"/>
                <w:szCs w:val="22"/>
                <w:lang w:val="sr-Latn-ME"/>
              </w:rPr>
              <w:t>27</w:t>
            </w:r>
          </w:p>
        </w:tc>
        <w:tc>
          <w:tcPr>
            <w:tcW w:w="1409" w:type="pct"/>
            <w:shd w:val="clear" w:color="auto" w:fill="auto"/>
            <w:noWrap/>
          </w:tcPr>
          <w:p w14:paraId="0178FA20" w14:textId="17553005" w:rsidR="00667402" w:rsidRPr="002041DF" w:rsidRDefault="00667402" w:rsidP="002041DF">
            <w:pPr>
              <w:widowControl w:val="0"/>
              <w:jc w:val="both"/>
              <w:rPr>
                <w:sz w:val="22"/>
                <w:szCs w:val="22"/>
                <w:lang w:val="sr-Latn-ME"/>
              </w:rPr>
            </w:pPr>
            <w:r w:rsidRPr="002041DF">
              <w:rPr>
                <w:sz w:val="22"/>
                <w:szCs w:val="22"/>
                <w:lang w:val="sr-Latn-ME"/>
              </w:rPr>
              <w:t>20,3</w:t>
            </w:r>
          </w:p>
        </w:tc>
        <w:tc>
          <w:tcPr>
            <w:tcW w:w="1871" w:type="pct"/>
            <w:shd w:val="clear" w:color="auto" w:fill="auto"/>
            <w:noWrap/>
            <w:vAlign w:val="center"/>
          </w:tcPr>
          <w:p w14:paraId="19204E7B" w14:textId="3A1FF1BF" w:rsidR="00667402" w:rsidRPr="002041DF" w:rsidRDefault="00667402" w:rsidP="002041DF">
            <w:pPr>
              <w:widowControl w:val="0"/>
              <w:jc w:val="both"/>
              <w:rPr>
                <w:sz w:val="22"/>
                <w:szCs w:val="22"/>
                <w:lang w:val="sr-Latn-ME"/>
              </w:rPr>
            </w:pPr>
            <w:r w:rsidRPr="002041DF">
              <w:rPr>
                <w:sz w:val="22"/>
                <w:szCs w:val="22"/>
                <w:lang w:val="sr-Latn-ME"/>
              </w:rPr>
              <w:t>0,22</w:t>
            </w:r>
          </w:p>
        </w:tc>
      </w:tr>
      <w:tr w:rsidR="00667402" w:rsidRPr="002041DF" w14:paraId="69CA8368" w14:textId="77777777" w:rsidTr="007C6E24">
        <w:trPr>
          <w:cantSplit/>
          <w:jc w:val="center"/>
        </w:trPr>
        <w:tc>
          <w:tcPr>
            <w:tcW w:w="1720" w:type="pct"/>
            <w:shd w:val="clear" w:color="auto" w:fill="auto"/>
            <w:noWrap/>
            <w:vAlign w:val="center"/>
          </w:tcPr>
          <w:p w14:paraId="5CD9FD9D" w14:textId="7689F0FB" w:rsidR="00667402" w:rsidRPr="002041DF" w:rsidRDefault="00667402" w:rsidP="002041DF">
            <w:pPr>
              <w:widowControl w:val="0"/>
              <w:jc w:val="both"/>
              <w:rPr>
                <w:sz w:val="22"/>
                <w:szCs w:val="22"/>
                <w:lang w:val="sr-Latn-ME"/>
              </w:rPr>
            </w:pPr>
            <w:r w:rsidRPr="002041DF">
              <w:rPr>
                <w:sz w:val="22"/>
                <w:szCs w:val="22"/>
                <w:lang w:val="sr-Latn-ME"/>
              </w:rPr>
              <w:t>28</w:t>
            </w:r>
          </w:p>
        </w:tc>
        <w:tc>
          <w:tcPr>
            <w:tcW w:w="1409" w:type="pct"/>
            <w:shd w:val="clear" w:color="auto" w:fill="auto"/>
            <w:noWrap/>
          </w:tcPr>
          <w:p w14:paraId="31E36629" w14:textId="24EEC55F" w:rsidR="00667402" w:rsidRPr="002041DF" w:rsidRDefault="00667402" w:rsidP="002041DF">
            <w:pPr>
              <w:widowControl w:val="0"/>
              <w:jc w:val="both"/>
              <w:rPr>
                <w:sz w:val="22"/>
                <w:szCs w:val="22"/>
                <w:lang w:val="sr-Latn-ME"/>
              </w:rPr>
            </w:pPr>
            <w:r w:rsidRPr="002041DF">
              <w:rPr>
                <w:sz w:val="22"/>
                <w:szCs w:val="22"/>
                <w:lang w:val="sr-Latn-ME"/>
              </w:rPr>
              <w:t>21,0</w:t>
            </w:r>
          </w:p>
        </w:tc>
        <w:tc>
          <w:tcPr>
            <w:tcW w:w="1871" w:type="pct"/>
            <w:shd w:val="clear" w:color="auto" w:fill="auto"/>
            <w:noWrap/>
            <w:vAlign w:val="center"/>
          </w:tcPr>
          <w:p w14:paraId="7BD30743" w14:textId="77168E79" w:rsidR="00667402" w:rsidRPr="002041DF" w:rsidRDefault="00667402" w:rsidP="002041DF">
            <w:pPr>
              <w:widowControl w:val="0"/>
              <w:jc w:val="both"/>
              <w:rPr>
                <w:sz w:val="22"/>
                <w:szCs w:val="22"/>
                <w:lang w:val="sr-Latn-ME"/>
              </w:rPr>
            </w:pPr>
            <w:r w:rsidRPr="002041DF">
              <w:rPr>
                <w:sz w:val="22"/>
                <w:szCs w:val="22"/>
                <w:lang w:val="sr-Latn-ME"/>
              </w:rPr>
              <w:t>0,23</w:t>
            </w:r>
          </w:p>
        </w:tc>
      </w:tr>
      <w:tr w:rsidR="00667402" w:rsidRPr="002041DF" w14:paraId="3F040B16" w14:textId="77777777" w:rsidTr="007C6E24">
        <w:trPr>
          <w:cantSplit/>
          <w:jc w:val="center"/>
        </w:trPr>
        <w:tc>
          <w:tcPr>
            <w:tcW w:w="1720" w:type="pct"/>
            <w:shd w:val="clear" w:color="auto" w:fill="auto"/>
            <w:noWrap/>
            <w:vAlign w:val="center"/>
          </w:tcPr>
          <w:p w14:paraId="1920268B" w14:textId="3764A44E" w:rsidR="00667402" w:rsidRPr="002041DF" w:rsidRDefault="00667402" w:rsidP="002041DF">
            <w:pPr>
              <w:widowControl w:val="0"/>
              <w:jc w:val="both"/>
              <w:rPr>
                <w:sz w:val="22"/>
                <w:szCs w:val="22"/>
                <w:lang w:val="sr-Latn-ME"/>
              </w:rPr>
            </w:pPr>
            <w:r w:rsidRPr="002041DF">
              <w:rPr>
                <w:sz w:val="22"/>
                <w:szCs w:val="22"/>
                <w:lang w:val="sr-Latn-ME"/>
              </w:rPr>
              <w:t>29</w:t>
            </w:r>
          </w:p>
        </w:tc>
        <w:tc>
          <w:tcPr>
            <w:tcW w:w="1409" w:type="pct"/>
            <w:shd w:val="clear" w:color="auto" w:fill="auto"/>
            <w:noWrap/>
          </w:tcPr>
          <w:p w14:paraId="01735C58" w14:textId="2B0010FD" w:rsidR="00667402" w:rsidRPr="002041DF" w:rsidRDefault="00667402" w:rsidP="002041DF">
            <w:pPr>
              <w:widowControl w:val="0"/>
              <w:jc w:val="both"/>
              <w:rPr>
                <w:sz w:val="22"/>
                <w:szCs w:val="22"/>
                <w:lang w:val="sr-Latn-ME"/>
              </w:rPr>
            </w:pPr>
            <w:r w:rsidRPr="002041DF">
              <w:rPr>
                <w:sz w:val="22"/>
                <w:szCs w:val="22"/>
                <w:lang w:val="sr-Latn-ME"/>
              </w:rPr>
              <w:t>21,8</w:t>
            </w:r>
          </w:p>
        </w:tc>
        <w:tc>
          <w:tcPr>
            <w:tcW w:w="1871" w:type="pct"/>
            <w:shd w:val="clear" w:color="auto" w:fill="auto"/>
            <w:noWrap/>
            <w:vAlign w:val="center"/>
          </w:tcPr>
          <w:p w14:paraId="41AA5823" w14:textId="3C988CC8" w:rsidR="00667402" w:rsidRPr="002041DF" w:rsidRDefault="00667402" w:rsidP="002041DF">
            <w:pPr>
              <w:widowControl w:val="0"/>
              <w:jc w:val="both"/>
              <w:rPr>
                <w:sz w:val="22"/>
                <w:szCs w:val="22"/>
                <w:lang w:val="sr-Latn-ME"/>
              </w:rPr>
            </w:pPr>
            <w:r w:rsidRPr="002041DF">
              <w:rPr>
                <w:sz w:val="22"/>
                <w:szCs w:val="22"/>
                <w:lang w:val="sr-Latn-ME"/>
              </w:rPr>
              <w:t>0,24</w:t>
            </w:r>
          </w:p>
        </w:tc>
      </w:tr>
      <w:tr w:rsidR="00667402" w:rsidRPr="002041DF" w14:paraId="12AFAF35" w14:textId="77777777" w:rsidTr="007C6E24">
        <w:trPr>
          <w:cantSplit/>
          <w:jc w:val="center"/>
        </w:trPr>
        <w:tc>
          <w:tcPr>
            <w:tcW w:w="1720" w:type="pct"/>
            <w:shd w:val="clear" w:color="auto" w:fill="auto"/>
            <w:noWrap/>
            <w:vAlign w:val="center"/>
            <w:hideMark/>
          </w:tcPr>
          <w:p w14:paraId="602C9C65" w14:textId="77777777" w:rsidR="00667402" w:rsidRPr="002041DF" w:rsidRDefault="00667402" w:rsidP="002041DF">
            <w:pPr>
              <w:widowControl w:val="0"/>
              <w:jc w:val="both"/>
              <w:rPr>
                <w:sz w:val="22"/>
                <w:szCs w:val="22"/>
                <w:lang w:val="sr-Latn-ME"/>
              </w:rPr>
            </w:pPr>
            <w:r w:rsidRPr="002041DF">
              <w:rPr>
                <w:sz w:val="22"/>
                <w:szCs w:val="22"/>
                <w:lang w:val="sr-Latn-ME"/>
              </w:rPr>
              <w:t>30</w:t>
            </w:r>
          </w:p>
        </w:tc>
        <w:tc>
          <w:tcPr>
            <w:tcW w:w="1409" w:type="pct"/>
            <w:shd w:val="clear" w:color="auto" w:fill="auto"/>
            <w:noWrap/>
          </w:tcPr>
          <w:p w14:paraId="2A78ACF4" w14:textId="77777777" w:rsidR="00667402" w:rsidRPr="002041DF" w:rsidRDefault="00667402" w:rsidP="002041DF">
            <w:pPr>
              <w:widowControl w:val="0"/>
              <w:jc w:val="both"/>
              <w:rPr>
                <w:sz w:val="22"/>
                <w:szCs w:val="22"/>
                <w:lang w:val="sr-Latn-ME"/>
              </w:rPr>
            </w:pPr>
            <w:r w:rsidRPr="002041DF">
              <w:rPr>
                <w:sz w:val="22"/>
                <w:szCs w:val="22"/>
                <w:lang w:val="sr-Latn-ME"/>
              </w:rPr>
              <w:t>22,5</w:t>
            </w:r>
          </w:p>
        </w:tc>
        <w:tc>
          <w:tcPr>
            <w:tcW w:w="1871" w:type="pct"/>
            <w:shd w:val="clear" w:color="auto" w:fill="auto"/>
            <w:noWrap/>
            <w:vAlign w:val="center"/>
            <w:hideMark/>
          </w:tcPr>
          <w:p w14:paraId="728FD372" w14:textId="77777777" w:rsidR="00667402" w:rsidRPr="002041DF" w:rsidRDefault="00667402" w:rsidP="002041DF">
            <w:pPr>
              <w:widowControl w:val="0"/>
              <w:jc w:val="both"/>
              <w:rPr>
                <w:sz w:val="22"/>
                <w:szCs w:val="22"/>
                <w:lang w:val="sr-Latn-ME"/>
              </w:rPr>
            </w:pPr>
            <w:r w:rsidRPr="002041DF">
              <w:rPr>
                <w:sz w:val="22"/>
                <w:szCs w:val="22"/>
                <w:lang w:val="sr-Latn-ME"/>
              </w:rPr>
              <w:t>0,25</w:t>
            </w:r>
          </w:p>
        </w:tc>
      </w:tr>
      <w:tr w:rsidR="00667402" w:rsidRPr="002041DF" w14:paraId="27000675" w14:textId="77777777" w:rsidTr="007C6E24">
        <w:trPr>
          <w:cantSplit/>
          <w:jc w:val="center"/>
        </w:trPr>
        <w:tc>
          <w:tcPr>
            <w:tcW w:w="1720" w:type="pct"/>
            <w:shd w:val="clear" w:color="auto" w:fill="auto"/>
            <w:noWrap/>
            <w:vAlign w:val="center"/>
            <w:hideMark/>
          </w:tcPr>
          <w:p w14:paraId="78E14237" w14:textId="77777777" w:rsidR="00667402" w:rsidRPr="002041DF" w:rsidRDefault="00667402" w:rsidP="002041DF">
            <w:pPr>
              <w:widowControl w:val="0"/>
              <w:jc w:val="both"/>
              <w:rPr>
                <w:sz w:val="22"/>
                <w:szCs w:val="22"/>
                <w:lang w:val="sr-Latn-ME"/>
              </w:rPr>
            </w:pPr>
            <w:r w:rsidRPr="002041DF">
              <w:rPr>
                <w:sz w:val="22"/>
                <w:szCs w:val="22"/>
                <w:lang w:val="sr-Latn-ME"/>
              </w:rPr>
              <w:t>31</w:t>
            </w:r>
          </w:p>
        </w:tc>
        <w:tc>
          <w:tcPr>
            <w:tcW w:w="1409" w:type="pct"/>
            <w:shd w:val="clear" w:color="auto" w:fill="auto"/>
            <w:noWrap/>
          </w:tcPr>
          <w:p w14:paraId="74B6407F" w14:textId="77777777" w:rsidR="00667402" w:rsidRPr="002041DF" w:rsidRDefault="00667402" w:rsidP="002041DF">
            <w:pPr>
              <w:widowControl w:val="0"/>
              <w:jc w:val="both"/>
              <w:rPr>
                <w:sz w:val="22"/>
                <w:szCs w:val="22"/>
                <w:lang w:val="sr-Latn-ME"/>
              </w:rPr>
            </w:pPr>
            <w:r w:rsidRPr="002041DF">
              <w:rPr>
                <w:sz w:val="22"/>
                <w:szCs w:val="22"/>
                <w:lang w:val="sr-Latn-ME"/>
              </w:rPr>
              <w:t>23,3</w:t>
            </w:r>
          </w:p>
        </w:tc>
        <w:tc>
          <w:tcPr>
            <w:tcW w:w="1871" w:type="pct"/>
            <w:shd w:val="clear" w:color="auto" w:fill="auto"/>
            <w:noWrap/>
            <w:vAlign w:val="center"/>
            <w:hideMark/>
          </w:tcPr>
          <w:p w14:paraId="0ED5468B" w14:textId="77777777" w:rsidR="00667402" w:rsidRPr="002041DF" w:rsidRDefault="00667402" w:rsidP="002041DF">
            <w:pPr>
              <w:widowControl w:val="0"/>
              <w:jc w:val="both"/>
              <w:rPr>
                <w:sz w:val="22"/>
                <w:szCs w:val="22"/>
                <w:lang w:val="sr-Latn-ME"/>
              </w:rPr>
            </w:pPr>
            <w:r w:rsidRPr="002041DF">
              <w:rPr>
                <w:sz w:val="22"/>
                <w:szCs w:val="22"/>
                <w:lang w:val="sr-Latn-ME"/>
              </w:rPr>
              <w:t>0,26</w:t>
            </w:r>
          </w:p>
        </w:tc>
      </w:tr>
      <w:tr w:rsidR="00667402" w:rsidRPr="002041DF" w14:paraId="391C632A" w14:textId="77777777" w:rsidTr="007C6E24">
        <w:trPr>
          <w:cantSplit/>
          <w:jc w:val="center"/>
        </w:trPr>
        <w:tc>
          <w:tcPr>
            <w:tcW w:w="1720" w:type="pct"/>
            <w:shd w:val="clear" w:color="auto" w:fill="auto"/>
            <w:noWrap/>
            <w:vAlign w:val="center"/>
            <w:hideMark/>
          </w:tcPr>
          <w:p w14:paraId="470486AD" w14:textId="77777777" w:rsidR="00667402" w:rsidRPr="002041DF" w:rsidRDefault="00667402" w:rsidP="002041DF">
            <w:pPr>
              <w:widowControl w:val="0"/>
              <w:jc w:val="both"/>
              <w:rPr>
                <w:sz w:val="22"/>
                <w:szCs w:val="22"/>
                <w:lang w:val="sr-Latn-ME"/>
              </w:rPr>
            </w:pPr>
            <w:r w:rsidRPr="002041DF">
              <w:rPr>
                <w:sz w:val="22"/>
                <w:szCs w:val="22"/>
                <w:lang w:val="sr-Latn-ME"/>
              </w:rPr>
              <w:t>32</w:t>
            </w:r>
          </w:p>
        </w:tc>
        <w:tc>
          <w:tcPr>
            <w:tcW w:w="1409" w:type="pct"/>
            <w:shd w:val="clear" w:color="auto" w:fill="auto"/>
            <w:noWrap/>
          </w:tcPr>
          <w:p w14:paraId="13AF8254" w14:textId="77777777" w:rsidR="00667402" w:rsidRPr="002041DF" w:rsidRDefault="00667402" w:rsidP="002041DF">
            <w:pPr>
              <w:widowControl w:val="0"/>
              <w:jc w:val="both"/>
              <w:rPr>
                <w:sz w:val="22"/>
                <w:szCs w:val="22"/>
                <w:lang w:val="sr-Latn-ME"/>
              </w:rPr>
            </w:pPr>
            <w:r w:rsidRPr="002041DF">
              <w:rPr>
                <w:sz w:val="22"/>
                <w:szCs w:val="22"/>
                <w:lang w:val="sr-Latn-ME"/>
              </w:rPr>
              <w:t>24,0</w:t>
            </w:r>
          </w:p>
        </w:tc>
        <w:tc>
          <w:tcPr>
            <w:tcW w:w="1871" w:type="pct"/>
            <w:shd w:val="clear" w:color="auto" w:fill="auto"/>
            <w:noWrap/>
            <w:vAlign w:val="center"/>
            <w:hideMark/>
          </w:tcPr>
          <w:p w14:paraId="4F277E12" w14:textId="77777777" w:rsidR="00667402" w:rsidRPr="002041DF" w:rsidRDefault="00667402" w:rsidP="002041DF">
            <w:pPr>
              <w:widowControl w:val="0"/>
              <w:jc w:val="both"/>
              <w:rPr>
                <w:sz w:val="22"/>
                <w:szCs w:val="22"/>
                <w:lang w:val="sr-Latn-ME"/>
              </w:rPr>
            </w:pPr>
            <w:r w:rsidRPr="002041DF">
              <w:rPr>
                <w:sz w:val="22"/>
                <w:szCs w:val="22"/>
                <w:lang w:val="sr-Latn-ME"/>
              </w:rPr>
              <w:t>0,27</w:t>
            </w:r>
          </w:p>
        </w:tc>
      </w:tr>
      <w:tr w:rsidR="00667402" w:rsidRPr="002041DF" w14:paraId="06F5098C" w14:textId="77777777" w:rsidTr="007C6E24">
        <w:trPr>
          <w:cantSplit/>
          <w:jc w:val="center"/>
        </w:trPr>
        <w:tc>
          <w:tcPr>
            <w:tcW w:w="1720" w:type="pct"/>
            <w:shd w:val="clear" w:color="auto" w:fill="auto"/>
            <w:noWrap/>
            <w:vAlign w:val="center"/>
            <w:hideMark/>
          </w:tcPr>
          <w:p w14:paraId="111507F2" w14:textId="77777777" w:rsidR="00667402" w:rsidRPr="002041DF" w:rsidRDefault="00667402" w:rsidP="002041DF">
            <w:pPr>
              <w:widowControl w:val="0"/>
              <w:jc w:val="both"/>
              <w:rPr>
                <w:sz w:val="22"/>
                <w:szCs w:val="22"/>
                <w:lang w:val="sr-Latn-ME"/>
              </w:rPr>
            </w:pPr>
            <w:r w:rsidRPr="002041DF">
              <w:rPr>
                <w:sz w:val="22"/>
                <w:szCs w:val="22"/>
                <w:lang w:val="sr-Latn-ME"/>
              </w:rPr>
              <w:t>33</w:t>
            </w:r>
          </w:p>
        </w:tc>
        <w:tc>
          <w:tcPr>
            <w:tcW w:w="1409" w:type="pct"/>
            <w:shd w:val="clear" w:color="auto" w:fill="auto"/>
            <w:noWrap/>
          </w:tcPr>
          <w:p w14:paraId="6EDE7F8A" w14:textId="77777777" w:rsidR="00667402" w:rsidRPr="002041DF" w:rsidRDefault="00667402" w:rsidP="002041DF">
            <w:pPr>
              <w:widowControl w:val="0"/>
              <w:jc w:val="both"/>
              <w:rPr>
                <w:sz w:val="22"/>
                <w:szCs w:val="22"/>
                <w:lang w:val="sr-Latn-ME"/>
              </w:rPr>
            </w:pPr>
            <w:r w:rsidRPr="002041DF">
              <w:rPr>
                <w:sz w:val="22"/>
                <w:szCs w:val="22"/>
                <w:lang w:val="sr-Latn-ME"/>
              </w:rPr>
              <w:t>24,8</w:t>
            </w:r>
          </w:p>
        </w:tc>
        <w:tc>
          <w:tcPr>
            <w:tcW w:w="1871" w:type="pct"/>
            <w:shd w:val="clear" w:color="auto" w:fill="auto"/>
            <w:noWrap/>
            <w:vAlign w:val="center"/>
            <w:hideMark/>
          </w:tcPr>
          <w:p w14:paraId="68CFCCEA" w14:textId="77777777" w:rsidR="00667402" w:rsidRPr="002041DF" w:rsidRDefault="00667402" w:rsidP="002041DF">
            <w:pPr>
              <w:widowControl w:val="0"/>
              <w:jc w:val="both"/>
              <w:rPr>
                <w:sz w:val="22"/>
                <w:szCs w:val="22"/>
                <w:lang w:val="sr-Latn-ME"/>
              </w:rPr>
            </w:pPr>
            <w:r w:rsidRPr="002041DF">
              <w:rPr>
                <w:sz w:val="22"/>
                <w:szCs w:val="22"/>
                <w:lang w:val="sr-Latn-ME"/>
              </w:rPr>
              <w:t>0,27</w:t>
            </w:r>
          </w:p>
        </w:tc>
      </w:tr>
      <w:tr w:rsidR="00667402" w:rsidRPr="002041DF" w14:paraId="725E89A4" w14:textId="77777777" w:rsidTr="007C6E24">
        <w:trPr>
          <w:cantSplit/>
          <w:jc w:val="center"/>
        </w:trPr>
        <w:tc>
          <w:tcPr>
            <w:tcW w:w="1720" w:type="pct"/>
            <w:shd w:val="clear" w:color="auto" w:fill="auto"/>
            <w:noWrap/>
            <w:vAlign w:val="center"/>
            <w:hideMark/>
          </w:tcPr>
          <w:p w14:paraId="017BFFDA" w14:textId="77777777" w:rsidR="00667402" w:rsidRPr="002041DF" w:rsidRDefault="00667402" w:rsidP="002041DF">
            <w:pPr>
              <w:widowControl w:val="0"/>
              <w:jc w:val="both"/>
              <w:rPr>
                <w:sz w:val="22"/>
                <w:szCs w:val="22"/>
                <w:lang w:val="sr-Latn-ME"/>
              </w:rPr>
            </w:pPr>
            <w:r w:rsidRPr="002041DF">
              <w:rPr>
                <w:sz w:val="22"/>
                <w:szCs w:val="22"/>
                <w:lang w:val="sr-Latn-ME"/>
              </w:rPr>
              <w:t>34</w:t>
            </w:r>
          </w:p>
        </w:tc>
        <w:tc>
          <w:tcPr>
            <w:tcW w:w="1409" w:type="pct"/>
            <w:shd w:val="clear" w:color="auto" w:fill="auto"/>
            <w:noWrap/>
          </w:tcPr>
          <w:p w14:paraId="0D130652" w14:textId="77777777" w:rsidR="00667402" w:rsidRPr="002041DF" w:rsidRDefault="00667402" w:rsidP="002041DF">
            <w:pPr>
              <w:widowControl w:val="0"/>
              <w:jc w:val="both"/>
              <w:rPr>
                <w:sz w:val="22"/>
                <w:szCs w:val="22"/>
                <w:lang w:val="sr-Latn-ME"/>
              </w:rPr>
            </w:pPr>
            <w:r w:rsidRPr="002041DF">
              <w:rPr>
                <w:sz w:val="22"/>
                <w:szCs w:val="22"/>
                <w:lang w:val="sr-Latn-ME"/>
              </w:rPr>
              <w:t>25,5</w:t>
            </w:r>
          </w:p>
        </w:tc>
        <w:tc>
          <w:tcPr>
            <w:tcW w:w="1871" w:type="pct"/>
            <w:shd w:val="clear" w:color="auto" w:fill="auto"/>
            <w:noWrap/>
            <w:vAlign w:val="center"/>
            <w:hideMark/>
          </w:tcPr>
          <w:p w14:paraId="2DE62D24" w14:textId="77777777" w:rsidR="00667402" w:rsidRPr="002041DF" w:rsidRDefault="00667402" w:rsidP="002041DF">
            <w:pPr>
              <w:widowControl w:val="0"/>
              <w:jc w:val="both"/>
              <w:rPr>
                <w:sz w:val="22"/>
                <w:szCs w:val="22"/>
                <w:lang w:val="sr-Latn-ME"/>
              </w:rPr>
            </w:pPr>
            <w:r w:rsidRPr="002041DF">
              <w:rPr>
                <w:sz w:val="22"/>
                <w:szCs w:val="22"/>
                <w:lang w:val="sr-Latn-ME"/>
              </w:rPr>
              <w:t>0,28</w:t>
            </w:r>
          </w:p>
        </w:tc>
      </w:tr>
      <w:tr w:rsidR="00667402" w:rsidRPr="002041DF" w14:paraId="5200D3B4" w14:textId="77777777" w:rsidTr="007C6E24">
        <w:trPr>
          <w:cantSplit/>
          <w:jc w:val="center"/>
        </w:trPr>
        <w:tc>
          <w:tcPr>
            <w:tcW w:w="1720" w:type="pct"/>
            <w:shd w:val="clear" w:color="auto" w:fill="auto"/>
            <w:noWrap/>
            <w:vAlign w:val="center"/>
            <w:hideMark/>
          </w:tcPr>
          <w:p w14:paraId="2FD34CAE" w14:textId="77777777" w:rsidR="00667402" w:rsidRPr="002041DF" w:rsidRDefault="00667402" w:rsidP="002041DF">
            <w:pPr>
              <w:widowControl w:val="0"/>
              <w:jc w:val="both"/>
              <w:rPr>
                <w:sz w:val="22"/>
                <w:szCs w:val="22"/>
                <w:lang w:val="sr-Latn-ME"/>
              </w:rPr>
            </w:pPr>
            <w:r w:rsidRPr="002041DF">
              <w:rPr>
                <w:sz w:val="22"/>
                <w:szCs w:val="22"/>
                <w:lang w:val="sr-Latn-ME"/>
              </w:rPr>
              <w:t>35</w:t>
            </w:r>
          </w:p>
        </w:tc>
        <w:tc>
          <w:tcPr>
            <w:tcW w:w="1409" w:type="pct"/>
            <w:shd w:val="clear" w:color="auto" w:fill="auto"/>
            <w:noWrap/>
          </w:tcPr>
          <w:p w14:paraId="58318740" w14:textId="77777777" w:rsidR="00667402" w:rsidRPr="002041DF" w:rsidRDefault="00667402" w:rsidP="002041DF">
            <w:pPr>
              <w:widowControl w:val="0"/>
              <w:jc w:val="both"/>
              <w:rPr>
                <w:sz w:val="22"/>
                <w:szCs w:val="22"/>
                <w:lang w:val="sr-Latn-ME"/>
              </w:rPr>
            </w:pPr>
            <w:r w:rsidRPr="002041DF">
              <w:rPr>
                <w:sz w:val="22"/>
                <w:szCs w:val="22"/>
                <w:lang w:val="sr-Latn-ME"/>
              </w:rPr>
              <w:t>26,3</w:t>
            </w:r>
          </w:p>
        </w:tc>
        <w:tc>
          <w:tcPr>
            <w:tcW w:w="1871" w:type="pct"/>
            <w:shd w:val="clear" w:color="auto" w:fill="auto"/>
            <w:noWrap/>
            <w:vAlign w:val="center"/>
            <w:hideMark/>
          </w:tcPr>
          <w:p w14:paraId="7F1E8C7F" w14:textId="77777777" w:rsidR="00667402" w:rsidRPr="002041DF" w:rsidRDefault="00667402" w:rsidP="002041DF">
            <w:pPr>
              <w:widowControl w:val="0"/>
              <w:jc w:val="both"/>
              <w:rPr>
                <w:sz w:val="22"/>
                <w:szCs w:val="22"/>
                <w:lang w:val="sr-Latn-ME"/>
              </w:rPr>
            </w:pPr>
            <w:r w:rsidRPr="002041DF">
              <w:rPr>
                <w:sz w:val="22"/>
                <w:szCs w:val="22"/>
                <w:lang w:val="sr-Latn-ME"/>
              </w:rPr>
              <w:t>0,29</w:t>
            </w:r>
          </w:p>
        </w:tc>
      </w:tr>
      <w:tr w:rsidR="00667402" w:rsidRPr="002041DF" w14:paraId="111F4704" w14:textId="77777777" w:rsidTr="007C6E24">
        <w:trPr>
          <w:cantSplit/>
          <w:jc w:val="center"/>
        </w:trPr>
        <w:tc>
          <w:tcPr>
            <w:tcW w:w="1720" w:type="pct"/>
            <w:shd w:val="clear" w:color="auto" w:fill="auto"/>
            <w:noWrap/>
            <w:vAlign w:val="center"/>
            <w:hideMark/>
          </w:tcPr>
          <w:p w14:paraId="04C68C11" w14:textId="77777777" w:rsidR="00667402" w:rsidRPr="002041DF" w:rsidRDefault="00667402" w:rsidP="002041DF">
            <w:pPr>
              <w:widowControl w:val="0"/>
              <w:jc w:val="both"/>
              <w:rPr>
                <w:sz w:val="22"/>
                <w:szCs w:val="22"/>
                <w:lang w:val="sr-Latn-ME"/>
              </w:rPr>
            </w:pPr>
            <w:r w:rsidRPr="002041DF">
              <w:rPr>
                <w:sz w:val="22"/>
                <w:szCs w:val="22"/>
                <w:lang w:val="sr-Latn-ME"/>
              </w:rPr>
              <w:t>36</w:t>
            </w:r>
          </w:p>
        </w:tc>
        <w:tc>
          <w:tcPr>
            <w:tcW w:w="1409" w:type="pct"/>
            <w:shd w:val="clear" w:color="auto" w:fill="auto"/>
            <w:noWrap/>
          </w:tcPr>
          <w:p w14:paraId="4FF81C53" w14:textId="77777777" w:rsidR="00667402" w:rsidRPr="002041DF" w:rsidRDefault="00667402" w:rsidP="002041DF">
            <w:pPr>
              <w:widowControl w:val="0"/>
              <w:jc w:val="both"/>
              <w:rPr>
                <w:sz w:val="22"/>
                <w:szCs w:val="22"/>
                <w:lang w:val="sr-Latn-ME"/>
              </w:rPr>
            </w:pPr>
            <w:r w:rsidRPr="002041DF">
              <w:rPr>
                <w:sz w:val="22"/>
                <w:szCs w:val="22"/>
                <w:lang w:val="sr-Latn-ME"/>
              </w:rPr>
              <w:t>27,0</w:t>
            </w:r>
          </w:p>
        </w:tc>
        <w:tc>
          <w:tcPr>
            <w:tcW w:w="1871" w:type="pct"/>
            <w:shd w:val="clear" w:color="auto" w:fill="auto"/>
            <w:noWrap/>
            <w:vAlign w:val="center"/>
            <w:hideMark/>
          </w:tcPr>
          <w:p w14:paraId="7C63862C" w14:textId="77777777" w:rsidR="00667402" w:rsidRPr="002041DF" w:rsidRDefault="00667402" w:rsidP="002041DF">
            <w:pPr>
              <w:widowControl w:val="0"/>
              <w:jc w:val="both"/>
              <w:rPr>
                <w:sz w:val="22"/>
                <w:szCs w:val="22"/>
                <w:lang w:val="sr-Latn-ME"/>
              </w:rPr>
            </w:pPr>
            <w:r w:rsidRPr="002041DF">
              <w:rPr>
                <w:sz w:val="22"/>
                <w:szCs w:val="22"/>
                <w:lang w:val="sr-Latn-ME"/>
              </w:rPr>
              <w:t>0,30</w:t>
            </w:r>
          </w:p>
        </w:tc>
      </w:tr>
      <w:tr w:rsidR="00667402" w:rsidRPr="002041DF" w14:paraId="5DA18D17" w14:textId="77777777" w:rsidTr="007C6E24">
        <w:trPr>
          <w:cantSplit/>
          <w:jc w:val="center"/>
        </w:trPr>
        <w:tc>
          <w:tcPr>
            <w:tcW w:w="1720" w:type="pct"/>
            <w:shd w:val="clear" w:color="auto" w:fill="auto"/>
            <w:noWrap/>
            <w:vAlign w:val="center"/>
            <w:hideMark/>
          </w:tcPr>
          <w:p w14:paraId="77F40FD5" w14:textId="77777777" w:rsidR="00667402" w:rsidRPr="002041DF" w:rsidRDefault="00667402" w:rsidP="002041DF">
            <w:pPr>
              <w:widowControl w:val="0"/>
              <w:jc w:val="both"/>
              <w:rPr>
                <w:sz w:val="22"/>
                <w:szCs w:val="22"/>
                <w:lang w:val="sr-Latn-ME"/>
              </w:rPr>
            </w:pPr>
            <w:r w:rsidRPr="002041DF">
              <w:rPr>
                <w:sz w:val="22"/>
                <w:szCs w:val="22"/>
                <w:lang w:val="sr-Latn-ME"/>
              </w:rPr>
              <w:t>37</w:t>
            </w:r>
          </w:p>
        </w:tc>
        <w:tc>
          <w:tcPr>
            <w:tcW w:w="1409" w:type="pct"/>
            <w:shd w:val="clear" w:color="auto" w:fill="auto"/>
            <w:noWrap/>
          </w:tcPr>
          <w:p w14:paraId="69106519" w14:textId="77777777" w:rsidR="00667402" w:rsidRPr="002041DF" w:rsidRDefault="00667402" w:rsidP="002041DF">
            <w:pPr>
              <w:widowControl w:val="0"/>
              <w:jc w:val="both"/>
              <w:rPr>
                <w:sz w:val="22"/>
                <w:szCs w:val="22"/>
                <w:lang w:val="sr-Latn-ME"/>
              </w:rPr>
            </w:pPr>
            <w:r w:rsidRPr="002041DF">
              <w:rPr>
                <w:sz w:val="22"/>
                <w:szCs w:val="22"/>
                <w:lang w:val="sr-Latn-ME"/>
              </w:rPr>
              <w:t>27,8</w:t>
            </w:r>
          </w:p>
        </w:tc>
        <w:tc>
          <w:tcPr>
            <w:tcW w:w="1871" w:type="pct"/>
            <w:shd w:val="clear" w:color="auto" w:fill="auto"/>
            <w:noWrap/>
            <w:vAlign w:val="center"/>
            <w:hideMark/>
          </w:tcPr>
          <w:p w14:paraId="350360B3" w14:textId="77777777" w:rsidR="00667402" w:rsidRPr="002041DF" w:rsidRDefault="00667402" w:rsidP="002041DF">
            <w:pPr>
              <w:widowControl w:val="0"/>
              <w:jc w:val="both"/>
              <w:rPr>
                <w:sz w:val="22"/>
                <w:szCs w:val="22"/>
                <w:lang w:val="sr-Latn-ME"/>
              </w:rPr>
            </w:pPr>
            <w:r w:rsidRPr="002041DF">
              <w:rPr>
                <w:sz w:val="22"/>
                <w:szCs w:val="22"/>
                <w:lang w:val="sr-Latn-ME"/>
              </w:rPr>
              <w:t>0,31</w:t>
            </w:r>
          </w:p>
        </w:tc>
      </w:tr>
      <w:tr w:rsidR="00667402" w:rsidRPr="002041DF" w14:paraId="7F88280B" w14:textId="77777777" w:rsidTr="007C6E24">
        <w:trPr>
          <w:cantSplit/>
          <w:jc w:val="center"/>
        </w:trPr>
        <w:tc>
          <w:tcPr>
            <w:tcW w:w="1720" w:type="pct"/>
            <w:shd w:val="clear" w:color="auto" w:fill="auto"/>
            <w:noWrap/>
            <w:vAlign w:val="center"/>
            <w:hideMark/>
          </w:tcPr>
          <w:p w14:paraId="19AE91EF" w14:textId="77777777" w:rsidR="00667402" w:rsidRPr="002041DF" w:rsidRDefault="00667402" w:rsidP="002041DF">
            <w:pPr>
              <w:widowControl w:val="0"/>
              <w:jc w:val="both"/>
              <w:rPr>
                <w:sz w:val="22"/>
                <w:szCs w:val="22"/>
                <w:lang w:val="sr-Latn-ME"/>
              </w:rPr>
            </w:pPr>
            <w:r w:rsidRPr="002041DF">
              <w:rPr>
                <w:sz w:val="22"/>
                <w:szCs w:val="22"/>
                <w:lang w:val="sr-Latn-ME"/>
              </w:rPr>
              <w:t>38</w:t>
            </w:r>
          </w:p>
        </w:tc>
        <w:tc>
          <w:tcPr>
            <w:tcW w:w="1409" w:type="pct"/>
            <w:shd w:val="clear" w:color="auto" w:fill="auto"/>
            <w:noWrap/>
          </w:tcPr>
          <w:p w14:paraId="59214AD9" w14:textId="77777777" w:rsidR="00667402" w:rsidRPr="002041DF" w:rsidRDefault="00667402" w:rsidP="002041DF">
            <w:pPr>
              <w:widowControl w:val="0"/>
              <w:jc w:val="both"/>
              <w:rPr>
                <w:sz w:val="22"/>
                <w:szCs w:val="22"/>
                <w:lang w:val="sr-Latn-ME"/>
              </w:rPr>
            </w:pPr>
            <w:r w:rsidRPr="002041DF">
              <w:rPr>
                <w:sz w:val="22"/>
                <w:szCs w:val="22"/>
                <w:lang w:val="sr-Latn-ME"/>
              </w:rPr>
              <w:t>28,5</w:t>
            </w:r>
          </w:p>
        </w:tc>
        <w:tc>
          <w:tcPr>
            <w:tcW w:w="1871" w:type="pct"/>
            <w:shd w:val="clear" w:color="auto" w:fill="auto"/>
            <w:noWrap/>
            <w:vAlign w:val="center"/>
            <w:hideMark/>
          </w:tcPr>
          <w:p w14:paraId="6D415C8B" w14:textId="77777777" w:rsidR="00667402" w:rsidRPr="002041DF" w:rsidRDefault="00667402" w:rsidP="002041DF">
            <w:pPr>
              <w:widowControl w:val="0"/>
              <w:jc w:val="both"/>
              <w:rPr>
                <w:sz w:val="22"/>
                <w:szCs w:val="22"/>
                <w:lang w:val="sr-Latn-ME"/>
              </w:rPr>
            </w:pPr>
            <w:r w:rsidRPr="002041DF">
              <w:rPr>
                <w:sz w:val="22"/>
                <w:szCs w:val="22"/>
                <w:lang w:val="sr-Latn-ME"/>
              </w:rPr>
              <w:t>0,32</w:t>
            </w:r>
          </w:p>
        </w:tc>
      </w:tr>
      <w:tr w:rsidR="00667402" w:rsidRPr="002041DF" w14:paraId="38A367BB" w14:textId="77777777" w:rsidTr="007C6E24">
        <w:trPr>
          <w:cantSplit/>
          <w:jc w:val="center"/>
        </w:trPr>
        <w:tc>
          <w:tcPr>
            <w:tcW w:w="1720" w:type="pct"/>
            <w:shd w:val="clear" w:color="auto" w:fill="auto"/>
            <w:noWrap/>
            <w:vAlign w:val="center"/>
            <w:hideMark/>
          </w:tcPr>
          <w:p w14:paraId="25752F66" w14:textId="77777777" w:rsidR="00667402" w:rsidRPr="002041DF" w:rsidRDefault="00667402" w:rsidP="002041DF">
            <w:pPr>
              <w:widowControl w:val="0"/>
              <w:jc w:val="both"/>
              <w:rPr>
                <w:sz w:val="22"/>
                <w:szCs w:val="22"/>
                <w:lang w:val="sr-Latn-ME"/>
              </w:rPr>
            </w:pPr>
            <w:r w:rsidRPr="002041DF">
              <w:rPr>
                <w:sz w:val="22"/>
                <w:szCs w:val="22"/>
                <w:lang w:val="sr-Latn-ME"/>
              </w:rPr>
              <w:t>39</w:t>
            </w:r>
          </w:p>
        </w:tc>
        <w:tc>
          <w:tcPr>
            <w:tcW w:w="1409" w:type="pct"/>
            <w:shd w:val="clear" w:color="auto" w:fill="auto"/>
            <w:noWrap/>
          </w:tcPr>
          <w:p w14:paraId="1BA82A35" w14:textId="77777777" w:rsidR="00667402" w:rsidRPr="002041DF" w:rsidRDefault="00667402" w:rsidP="002041DF">
            <w:pPr>
              <w:widowControl w:val="0"/>
              <w:jc w:val="both"/>
              <w:rPr>
                <w:sz w:val="22"/>
                <w:szCs w:val="22"/>
                <w:lang w:val="sr-Latn-ME"/>
              </w:rPr>
            </w:pPr>
            <w:r w:rsidRPr="002041DF">
              <w:rPr>
                <w:sz w:val="22"/>
                <w:szCs w:val="22"/>
                <w:lang w:val="sr-Latn-ME"/>
              </w:rPr>
              <w:t>29,3</w:t>
            </w:r>
          </w:p>
        </w:tc>
        <w:tc>
          <w:tcPr>
            <w:tcW w:w="1871" w:type="pct"/>
            <w:shd w:val="clear" w:color="auto" w:fill="auto"/>
            <w:noWrap/>
            <w:vAlign w:val="center"/>
            <w:hideMark/>
          </w:tcPr>
          <w:p w14:paraId="1D67F80A" w14:textId="77777777" w:rsidR="00667402" w:rsidRPr="002041DF" w:rsidRDefault="00667402" w:rsidP="002041DF">
            <w:pPr>
              <w:widowControl w:val="0"/>
              <w:jc w:val="both"/>
              <w:rPr>
                <w:sz w:val="22"/>
                <w:szCs w:val="22"/>
                <w:lang w:val="sr-Latn-ME"/>
              </w:rPr>
            </w:pPr>
            <w:r w:rsidRPr="002041DF">
              <w:rPr>
                <w:sz w:val="22"/>
                <w:szCs w:val="22"/>
                <w:lang w:val="sr-Latn-ME"/>
              </w:rPr>
              <w:t>0,32</w:t>
            </w:r>
          </w:p>
        </w:tc>
      </w:tr>
      <w:tr w:rsidR="00667402" w:rsidRPr="002041DF" w14:paraId="06612377" w14:textId="77777777" w:rsidTr="007C6E24">
        <w:trPr>
          <w:cantSplit/>
          <w:jc w:val="center"/>
        </w:trPr>
        <w:tc>
          <w:tcPr>
            <w:tcW w:w="1720" w:type="pct"/>
            <w:shd w:val="clear" w:color="auto" w:fill="auto"/>
            <w:noWrap/>
            <w:vAlign w:val="center"/>
            <w:hideMark/>
          </w:tcPr>
          <w:p w14:paraId="6FCF5170" w14:textId="77777777" w:rsidR="00667402" w:rsidRPr="002041DF" w:rsidRDefault="00667402" w:rsidP="002041DF">
            <w:pPr>
              <w:widowControl w:val="0"/>
              <w:jc w:val="both"/>
              <w:rPr>
                <w:sz w:val="22"/>
                <w:szCs w:val="22"/>
                <w:lang w:val="sr-Latn-ME"/>
              </w:rPr>
            </w:pPr>
            <w:r w:rsidRPr="002041DF">
              <w:rPr>
                <w:sz w:val="22"/>
                <w:szCs w:val="22"/>
                <w:lang w:val="sr-Latn-ME"/>
              </w:rPr>
              <w:t>40</w:t>
            </w:r>
          </w:p>
        </w:tc>
        <w:tc>
          <w:tcPr>
            <w:tcW w:w="1409" w:type="pct"/>
            <w:shd w:val="clear" w:color="auto" w:fill="auto"/>
            <w:noWrap/>
          </w:tcPr>
          <w:p w14:paraId="7F743417" w14:textId="77777777" w:rsidR="00667402" w:rsidRPr="002041DF" w:rsidRDefault="00667402" w:rsidP="002041DF">
            <w:pPr>
              <w:widowControl w:val="0"/>
              <w:jc w:val="both"/>
              <w:rPr>
                <w:sz w:val="22"/>
                <w:szCs w:val="22"/>
                <w:lang w:val="sr-Latn-ME"/>
              </w:rPr>
            </w:pPr>
            <w:r w:rsidRPr="002041DF">
              <w:rPr>
                <w:sz w:val="22"/>
                <w:szCs w:val="22"/>
                <w:lang w:val="sr-Latn-ME"/>
              </w:rPr>
              <w:t>30,0</w:t>
            </w:r>
          </w:p>
        </w:tc>
        <w:tc>
          <w:tcPr>
            <w:tcW w:w="1871" w:type="pct"/>
            <w:shd w:val="clear" w:color="auto" w:fill="auto"/>
            <w:noWrap/>
            <w:vAlign w:val="center"/>
            <w:hideMark/>
          </w:tcPr>
          <w:p w14:paraId="27FF40AE" w14:textId="77777777" w:rsidR="00667402" w:rsidRPr="002041DF" w:rsidRDefault="00667402" w:rsidP="002041DF">
            <w:pPr>
              <w:widowControl w:val="0"/>
              <w:jc w:val="both"/>
              <w:rPr>
                <w:sz w:val="22"/>
                <w:szCs w:val="22"/>
                <w:lang w:val="sr-Latn-ME"/>
              </w:rPr>
            </w:pPr>
            <w:r w:rsidRPr="002041DF">
              <w:rPr>
                <w:sz w:val="22"/>
                <w:szCs w:val="22"/>
                <w:lang w:val="sr-Latn-ME"/>
              </w:rPr>
              <w:t>0,33</w:t>
            </w:r>
          </w:p>
        </w:tc>
      </w:tr>
      <w:tr w:rsidR="00667402" w:rsidRPr="002041DF" w14:paraId="7E7EA214" w14:textId="77777777" w:rsidTr="007C6E24">
        <w:trPr>
          <w:cantSplit/>
          <w:jc w:val="center"/>
        </w:trPr>
        <w:tc>
          <w:tcPr>
            <w:tcW w:w="1720" w:type="pct"/>
            <w:shd w:val="clear" w:color="auto" w:fill="auto"/>
            <w:noWrap/>
            <w:vAlign w:val="center"/>
            <w:hideMark/>
          </w:tcPr>
          <w:p w14:paraId="579A2DF2" w14:textId="77777777" w:rsidR="00667402" w:rsidRPr="002041DF" w:rsidRDefault="00667402" w:rsidP="002041DF">
            <w:pPr>
              <w:widowControl w:val="0"/>
              <w:jc w:val="both"/>
              <w:rPr>
                <w:sz w:val="22"/>
                <w:szCs w:val="22"/>
                <w:lang w:val="sr-Latn-ME"/>
              </w:rPr>
            </w:pPr>
            <w:r w:rsidRPr="002041DF">
              <w:rPr>
                <w:sz w:val="22"/>
                <w:szCs w:val="22"/>
                <w:lang w:val="sr-Latn-ME"/>
              </w:rPr>
              <w:t>41</w:t>
            </w:r>
          </w:p>
        </w:tc>
        <w:tc>
          <w:tcPr>
            <w:tcW w:w="1409" w:type="pct"/>
            <w:shd w:val="clear" w:color="auto" w:fill="auto"/>
            <w:noWrap/>
          </w:tcPr>
          <w:p w14:paraId="50E19313" w14:textId="77777777" w:rsidR="00667402" w:rsidRPr="002041DF" w:rsidRDefault="00667402" w:rsidP="002041DF">
            <w:pPr>
              <w:widowControl w:val="0"/>
              <w:jc w:val="both"/>
              <w:rPr>
                <w:sz w:val="22"/>
                <w:szCs w:val="22"/>
                <w:lang w:val="sr-Latn-ME"/>
              </w:rPr>
            </w:pPr>
            <w:r w:rsidRPr="002041DF">
              <w:rPr>
                <w:sz w:val="22"/>
                <w:szCs w:val="22"/>
                <w:lang w:val="sr-Latn-ME"/>
              </w:rPr>
              <w:t>30,8</w:t>
            </w:r>
          </w:p>
        </w:tc>
        <w:tc>
          <w:tcPr>
            <w:tcW w:w="1871" w:type="pct"/>
            <w:shd w:val="clear" w:color="auto" w:fill="auto"/>
            <w:noWrap/>
            <w:vAlign w:val="center"/>
            <w:hideMark/>
          </w:tcPr>
          <w:p w14:paraId="78D42AE6" w14:textId="77777777" w:rsidR="00667402" w:rsidRPr="002041DF" w:rsidRDefault="00667402" w:rsidP="002041DF">
            <w:pPr>
              <w:widowControl w:val="0"/>
              <w:jc w:val="both"/>
              <w:rPr>
                <w:sz w:val="22"/>
                <w:szCs w:val="22"/>
                <w:lang w:val="sr-Latn-ME"/>
              </w:rPr>
            </w:pPr>
            <w:r w:rsidRPr="002041DF">
              <w:rPr>
                <w:sz w:val="22"/>
                <w:szCs w:val="22"/>
                <w:lang w:val="sr-Latn-ME"/>
              </w:rPr>
              <w:t>0,34</w:t>
            </w:r>
          </w:p>
        </w:tc>
      </w:tr>
      <w:tr w:rsidR="00667402" w:rsidRPr="002041DF" w14:paraId="6ECFE5B8" w14:textId="77777777" w:rsidTr="007C6E24">
        <w:trPr>
          <w:cantSplit/>
          <w:jc w:val="center"/>
        </w:trPr>
        <w:tc>
          <w:tcPr>
            <w:tcW w:w="1720" w:type="pct"/>
            <w:shd w:val="clear" w:color="auto" w:fill="auto"/>
            <w:noWrap/>
            <w:vAlign w:val="center"/>
            <w:hideMark/>
          </w:tcPr>
          <w:p w14:paraId="5B1CC217" w14:textId="77777777" w:rsidR="00667402" w:rsidRPr="002041DF" w:rsidRDefault="00667402" w:rsidP="002041DF">
            <w:pPr>
              <w:widowControl w:val="0"/>
              <w:jc w:val="both"/>
              <w:rPr>
                <w:sz w:val="22"/>
                <w:szCs w:val="22"/>
                <w:lang w:val="sr-Latn-ME"/>
              </w:rPr>
            </w:pPr>
            <w:r w:rsidRPr="002041DF">
              <w:rPr>
                <w:sz w:val="22"/>
                <w:szCs w:val="22"/>
                <w:lang w:val="sr-Latn-ME"/>
              </w:rPr>
              <w:t>42</w:t>
            </w:r>
          </w:p>
        </w:tc>
        <w:tc>
          <w:tcPr>
            <w:tcW w:w="1409" w:type="pct"/>
            <w:shd w:val="clear" w:color="auto" w:fill="auto"/>
            <w:noWrap/>
          </w:tcPr>
          <w:p w14:paraId="794ECAB0" w14:textId="77777777" w:rsidR="00667402" w:rsidRPr="002041DF" w:rsidRDefault="00667402" w:rsidP="002041DF">
            <w:pPr>
              <w:widowControl w:val="0"/>
              <w:jc w:val="both"/>
              <w:rPr>
                <w:sz w:val="22"/>
                <w:szCs w:val="22"/>
                <w:lang w:val="sr-Latn-ME"/>
              </w:rPr>
            </w:pPr>
            <w:r w:rsidRPr="002041DF">
              <w:rPr>
                <w:sz w:val="22"/>
                <w:szCs w:val="22"/>
                <w:lang w:val="sr-Latn-ME"/>
              </w:rPr>
              <w:t>31,5</w:t>
            </w:r>
          </w:p>
        </w:tc>
        <w:tc>
          <w:tcPr>
            <w:tcW w:w="1871" w:type="pct"/>
            <w:shd w:val="clear" w:color="auto" w:fill="auto"/>
            <w:noWrap/>
            <w:vAlign w:val="center"/>
            <w:hideMark/>
          </w:tcPr>
          <w:p w14:paraId="5EC2B613" w14:textId="77777777" w:rsidR="00667402" w:rsidRPr="002041DF" w:rsidRDefault="00667402" w:rsidP="002041DF">
            <w:pPr>
              <w:widowControl w:val="0"/>
              <w:jc w:val="both"/>
              <w:rPr>
                <w:sz w:val="22"/>
                <w:szCs w:val="22"/>
                <w:lang w:val="sr-Latn-ME"/>
              </w:rPr>
            </w:pPr>
            <w:r w:rsidRPr="002041DF">
              <w:rPr>
                <w:sz w:val="22"/>
                <w:szCs w:val="22"/>
                <w:lang w:val="sr-Latn-ME"/>
              </w:rPr>
              <w:t>0,35</w:t>
            </w:r>
          </w:p>
        </w:tc>
      </w:tr>
      <w:tr w:rsidR="00667402" w:rsidRPr="002041DF" w14:paraId="18328EEB" w14:textId="77777777" w:rsidTr="007C6E24">
        <w:trPr>
          <w:cantSplit/>
          <w:jc w:val="center"/>
        </w:trPr>
        <w:tc>
          <w:tcPr>
            <w:tcW w:w="1720" w:type="pct"/>
            <w:shd w:val="clear" w:color="auto" w:fill="auto"/>
            <w:noWrap/>
            <w:vAlign w:val="center"/>
            <w:hideMark/>
          </w:tcPr>
          <w:p w14:paraId="38ACB67C" w14:textId="77777777" w:rsidR="00667402" w:rsidRPr="002041DF" w:rsidRDefault="00667402" w:rsidP="002041DF">
            <w:pPr>
              <w:widowControl w:val="0"/>
              <w:jc w:val="both"/>
              <w:rPr>
                <w:sz w:val="22"/>
                <w:szCs w:val="22"/>
                <w:lang w:val="sr-Latn-ME"/>
              </w:rPr>
            </w:pPr>
            <w:r w:rsidRPr="002041DF">
              <w:rPr>
                <w:sz w:val="22"/>
                <w:szCs w:val="22"/>
                <w:lang w:val="sr-Latn-ME"/>
              </w:rPr>
              <w:t>43</w:t>
            </w:r>
          </w:p>
        </w:tc>
        <w:tc>
          <w:tcPr>
            <w:tcW w:w="1409" w:type="pct"/>
            <w:shd w:val="clear" w:color="auto" w:fill="auto"/>
            <w:noWrap/>
          </w:tcPr>
          <w:p w14:paraId="54E18997" w14:textId="77777777" w:rsidR="00667402" w:rsidRPr="002041DF" w:rsidRDefault="00667402" w:rsidP="002041DF">
            <w:pPr>
              <w:widowControl w:val="0"/>
              <w:jc w:val="both"/>
              <w:rPr>
                <w:sz w:val="22"/>
                <w:szCs w:val="22"/>
                <w:lang w:val="sr-Latn-ME"/>
              </w:rPr>
            </w:pPr>
            <w:r w:rsidRPr="002041DF">
              <w:rPr>
                <w:sz w:val="22"/>
                <w:szCs w:val="22"/>
                <w:lang w:val="sr-Latn-ME"/>
              </w:rPr>
              <w:t>32,3</w:t>
            </w:r>
          </w:p>
        </w:tc>
        <w:tc>
          <w:tcPr>
            <w:tcW w:w="1871" w:type="pct"/>
            <w:shd w:val="clear" w:color="auto" w:fill="auto"/>
            <w:noWrap/>
            <w:vAlign w:val="center"/>
            <w:hideMark/>
          </w:tcPr>
          <w:p w14:paraId="6B6837D3" w14:textId="77777777" w:rsidR="00667402" w:rsidRPr="002041DF" w:rsidRDefault="00667402" w:rsidP="002041DF">
            <w:pPr>
              <w:widowControl w:val="0"/>
              <w:jc w:val="both"/>
              <w:rPr>
                <w:sz w:val="22"/>
                <w:szCs w:val="22"/>
                <w:lang w:val="sr-Latn-ME"/>
              </w:rPr>
            </w:pPr>
            <w:r w:rsidRPr="002041DF">
              <w:rPr>
                <w:sz w:val="22"/>
                <w:szCs w:val="22"/>
                <w:lang w:val="sr-Latn-ME"/>
              </w:rPr>
              <w:t>0,36</w:t>
            </w:r>
          </w:p>
        </w:tc>
      </w:tr>
      <w:tr w:rsidR="00667402" w:rsidRPr="002041DF" w14:paraId="29FC83D2" w14:textId="77777777" w:rsidTr="007C6E24">
        <w:trPr>
          <w:cantSplit/>
          <w:jc w:val="center"/>
        </w:trPr>
        <w:tc>
          <w:tcPr>
            <w:tcW w:w="1720" w:type="pct"/>
            <w:shd w:val="clear" w:color="auto" w:fill="auto"/>
            <w:noWrap/>
            <w:vAlign w:val="center"/>
            <w:hideMark/>
          </w:tcPr>
          <w:p w14:paraId="66A18B2F" w14:textId="77777777" w:rsidR="00667402" w:rsidRPr="002041DF" w:rsidRDefault="00667402" w:rsidP="002041DF">
            <w:pPr>
              <w:widowControl w:val="0"/>
              <w:jc w:val="both"/>
              <w:rPr>
                <w:sz w:val="22"/>
                <w:szCs w:val="22"/>
                <w:lang w:val="sr-Latn-ME"/>
              </w:rPr>
            </w:pPr>
            <w:r w:rsidRPr="002041DF">
              <w:rPr>
                <w:sz w:val="22"/>
                <w:szCs w:val="22"/>
                <w:lang w:val="sr-Latn-ME"/>
              </w:rPr>
              <w:t>44</w:t>
            </w:r>
          </w:p>
        </w:tc>
        <w:tc>
          <w:tcPr>
            <w:tcW w:w="1409" w:type="pct"/>
            <w:shd w:val="clear" w:color="auto" w:fill="auto"/>
            <w:noWrap/>
          </w:tcPr>
          <w:p w14:paraId="5E6584A8" w14:textId="77777777" w:rsidR="00667402" w:rsidRPr="002041DF" w:rsidRDefault="00667402" w:rsidP="002041DF">
            <w:pPr>
              <w:widowControl w:val="0"/>
              <w:jc w:val="both"/>
              <w:rPr>
                <w:sz w:val="22"/>
                <w:szCs w:val="22"/>
                <w:lang w:val="sr-Latn-ME"/>
              </w:rPr>
            </w:pPr>
            <w:r w:rsidRPr="002041DF">
              <w:rPr>
                <w:sz w:val="22"/>
                <w:szCs w:val="22"/>
                <w:lang w:val="sr-Latn-ME"/>
              </w:rPr>
              <w:t>33,0</w:t>
            </w:r>
          </w:p>
        </w:tc>
        <w:tc>
          <w:tcPr>
            <w:tcW w:w="1871" w:type="pct"/>
            <w:shd w:val="clear" w:color="auto" w:fill="auto"/>
            <w:noWrap/>
            <w:vAlign w:val="center"/>
            <w:hideMark/>
          </w:tcPr>
          <w:p w14:paraId="779F0129" w14:textId="77777777" w:rsidR="00667402" w:rsidRPr="002041DF" w:rsidRDefault="00667402" w:rsidP="002041DF">
            <w:pPr>
              <w:widowControl w:val="0"/>
              <w:jc w:val="both"/>
              <w:rPr>
                <w:sz w:val="22"/>
                <w:szCs w:val="22"/>
                <w:lang w:val="sr-Latn-ME"/>
              </w:rPr>
            </w:pPr>
            <w:r w:rsidRPr="002041DF">
              <w:rPr>
                <w:sz w:val="22"/>
                <w:szCs w:val="22"/>
                <w:lang w:val="sr-Latn-ME"/>
              </w:rPr>
              <w:t>0,37</w:t>
            </w:r>
          </w:p>
        </w:tc>
      </w:tr>
      <w:tr w:rsidR="00667402" w:rsidRPr="002041DF" w14:paraId="467E8E00" w14:textId="77777777" w:rsidTr="007C6E24">
        <w:trPr>
          <w:cantSplit/>
          <w:jc w:val="center"/>
        </w:trPr>
        <w:tc>
          <w:tcPr>
            <w:tcW w:w="1720" w:type="pct"/>
            <w:shd w:val="clear" w:color="auto" w:fill="auto"/>
            <w:noWrap/>
            <w:vAlign w:val="center"/>
            <w:hideMark/>
          </w:tcPr>
          <w:p w14:paraId="5759E7EE" w14:textId="77777777" w:rsidR="00667402" w:rsidRPr="002041DF" w:rsidRDefault="00667402" w:rsidP="002041DF">
            <w:pPr>
              <w:widowControl w:val="0"/>
              <w:jc w:val="both"/>
              <w:rPr>
                <w:sz w:val="22"/>
                <w:szCs w:val="22"/>
                <w:lang w:val="sr-Latn-ME"/>
              </w:rPr>
            </w:pPr>
            <w:r w:rsidRPr="002041DF">
              <w:rPr>
                <w:sz w:val="22"/>
                <w:szCs w:val="22"/>
                <w:lang w:val="sr-Latn-ME"/>
              </w:rPr>
              <w:t>45</w:t>
            </w:r>
          </w:p>
        </w:tc>
        <w:tc>
          <w:tcPr>
            <w:tcW w:w="1409" w:type="pct"/>
            <w:shd w:val="clear" w:color="auto" w:fill="auto"/>
            <w:noWrap/>
          </w:tcPr>
          <w:p w14:paraId="2F236ABB" w14:textId="77777777" w:rsidR="00667402" w:rsidRPr="002041DF" w:rsidRDefault="00667402" w:rsidP="002041DF">
            <w:pPr>
              <w:widowControl w:val="0"/>
              <w:jc w:val="both"/>
              <w:rPr>
                <w:sz w:val="22"/>
                <w:szCs w:val="22"/>
                <w:lang w:val="sr-Latn-ME"/>
              </w:rPr>
            </w:pPr>
            <w:r w:rsidRPr="002041DF">
              <w:rPr>
                <w:sz w:val="22"/>
                <w:szCs w:val="22"/>
                <w:lang w:val="sr-Latn-ME"/>
              </w:rPr>
              <w:t>33,8</w:t>
            </w:r>
          </w:p>
        </w:tc>
        <w:tc>
          <w:tcPr>
            <w:tcW w:w="1871" w:type="pct"/>
            <w:shd w:val="clear" w:color="auto" w:fill="auto"/>
            <w:noWrap/>
            <w:vAlign w:val="center"/>
            <w:hideMark/>
          </w:tcPr>
          <w:p w14:paraId="7CC25688" w14:textId="77777777" w:rsidR="00667402" w:rsidRPr="002041DF" w:rsidRDefault="00667402" w:rsidP="002041DF">
            <w:pPr>
              <w:widowControl w:val="0"/>
              <w:jc w:val="both"/>
              <w:rPr>
                <w:sz w:val="22"/>
                <w:szCs w:val="22"/>
                <w:lang w:val="sr-Latn-ME"/>
              </w:rPr>
            </w:pPr>
            <w:r w:rsidRPr="002041DF">
              <w:rPr>
                <w:sz w:val="22"/>
                <w:szCs w:val="22"/>
                <w:lang w:val="sr-Latn-ME"/>
              </w:rPr>
              <w:t>0,37</w:t>
            </w:r>
          </w:p>
        </w:tc>
      </w:tr>
      <w:tr w:rsidR="00667402" w:rsidRPr="002041DF" w14:paraId="6BC6BBB5" w14:textId="77777777" w:rsidTr="007C6E24">
        <w:trPr>
          <w:cantSplit/>
          <w:jc w:val="center"/>
        </w:trPr>
        <w:tc>
          <w:tcPr>
            <w:tcW w:w="1720" w:type="pct"/>
            <w:shd w:val="clear" w:color="auto" w:fill="auto"/>
            <w:noWrap/>
            <w:vAlign w:val="center"/>
            <w:hideMark/>
          </w:tcPr>
          <w:p w14:paraId="001A73BD" w14:textId="77777777" w:rsidR="00667402" w:rsidRPr="002041DF" w:rsidRDefault="00667402" w:rsidP="002041DF">
            <w:pPr>
              <w:widowControl w:val="0"/>
              <w:jc w:val="both"/>
              <w:rPr>
                <w:sz w:val="22"/>
                <w:szCs w:val="22"/>
                <w:lang w:val="sr-Latn-ME"/>
              </w:rPr>
            </w:pPr>
            <w:r w:rsidRPr="002041DF">
              <w:rPr>
                <w:sz w:val="22"/>
                <w:szCs w:val="22"/>
                <w:lang w:val="sr-Latn-ME"/>
              </w:rPr>
              <w:t>46</w:t>
            </w:r>
          </w:p>
        </w:tc>
        <w:tc>
          <w:tcPr>
            <w:tcW w:w="1409" w:type="pct"/>
            <w:shd w:val="clear" w:color="auto" w:fill="auto"/>
            <w:noWrap/>
          </w:tcPr>
          <w:p w14:paraId="11D6D60E" w14:textId="77777777" w:rsidR="00667402" w:rsidRPr="002041DF" w:rsidRDefault="00667402" w:rsidP="002041DF">
            <w:pPr>
              <w:widowControl w:val="0"/>
              <w:jc w:val="both"/>
              <w:rPr>
                <w:sz w:val="22"/>
                <w:szCs w:val="22"/>
                <w:lang w:val="sr-Latn-ME"/>
              </w:rPr>
            </w:pPr>
            <w:r w:rsidRPr="002041DF">
              <w:rPr>
                <w:sz w:val="22"/>
                <w:szCs w:val="22"/>
                <w:lang w:val="sr-Latn-ME"/>
              </w:rPr>
              <w:t>34,5</w:t>
            </w:r>
          </w:p>
        </w:tc>
        <w:tc>
          <w:tcPr>
            <w:tcW w:w="1871" w:type="pct"/>
            <w:shd w:val="clear" w:color="auto" w:fill="auto"/>
            <w:noWrap/>
            <w:vAlign w:val="center"/>
            <w:hideMark/>
          </w:tcPr>
          <w:p w14:paraId="79DE99FF" w14:textId="77777777" w:rsidR="00667402" w:rsidRPr="002041DF" w:rsidRDefault="00667402" w:rsidP="002041DF">
            <w:pPr>
              <w:widowControl w:val="0"/>
              <w:jc w:val="both"/>
              <w:rPr>
                <w:sz w:val="22"/>
                <w:szCs w:val="22"/>
                <w:lang w:val="sr-Latn-ME"/>
              </w:rPr>
            </w:pPr>
            <w:r w:rsidRPr="002041DF">
              <w:rPr>
                <w:sz w:val="22"/>
                <w:szCs w:val="22"/>
                <w:lang w:val="sr-Latn-ME"/>
              </w:rPr>
              <w:t>0,38</w:t>
            </w:r>
          </w:p>
        </w:tc>
      </w:tr>
      <w:tr w:rsidR="00667402" w:rsidRPr="002041DF" w14:paraId="67ACF231" w14:textId="77777777" w:rsidTr="007C6E24">
        <w:trPr>
          <w:cantSplit/>
          <w:jc w:val="center"/>
        </w:trPr>
        <w:tc>
          <w:tcPr>
            <w:tcW w:w="1720" w:type="pct"/>
            <w:shd w:val="clear" w:color="auto" w:fill="auto"/>
            <w:noWrap/>
            <w:vAlign w:val="center"/>
            <w:hideMark/>
          </w:tcPr>
          <w:p w14:paraId="421C0CB5" w14:textId="77777777" w:rsidR="00667402" w:rsidRPr="002041DF" w:rsidRDefault="00667402" w:rsidP="002041DF">
            <w:pPr>
              <w:widowControl w:val="0"/>
              <w:jc w:val="both"/>
              <w:rPr>
                <w:sz w:val="22"/>
                <w:szCs w:val="22"/>
                <w:lang w:val="sr-Latn-ME"/>
              </w:rPr>
            </w:pPr>
            <w:r w:rsidRPr="002041DF">
              <w:rPr>
                <w:sz w:val="22"/>
                <w:szCs w:val="22"/>
                <w:lang w:val="sr-Latn-ME"/>
              </w:rPr>
              <w:t>47</w:t>
            </w:r>
          </w:p>
        </w:tc>
        <w:tc>
          <w:tcPr>
            <w:tcW w:w="1409" w:type="pct"/>
            <w:shd w:val="clear" w:color="auto" w:fill="auto"/>
            <w:noWrap/>
          </w:tcPr>
          <w:p w14:paraId="492062A1" w14:textId="77777777" w:rsidR="00667402" w:rsidRPr="002041DF" w:rsidRDefault="00667402" w:rsidP="002041DF">
            <w:pPr>
              <w:widowControl w:val="0"/>
              <w:jc w:val="both"/>
              <w:rPr>
                <w:sz w:val="22"/>
                <w:szCs w:val="22"/>
                <w:lang w:val="sr-Latn-ME"/>
              </w:rPr>
            </w:pPr>
            <w:r w:rsidRPr="002041DF">
              <w:rPr>
                <w:sz w:val="22"/>
                <w:szCs w:val="22"/>
                <w:lang w:val="sr-Latn-ME"/>
              </w:rPr>
              <w:t>35,3</w:t>
            </w:r>
          </w:p>
        </w:tc>
        <w:tc>
          <w:tcPr>
            <w:tcW w:w="1871" w:type="pct"/>
            <w:shd w:val="clear" w:color="auto" w:fill="auto"/>
            <w:noWrap/>
            <w:vAlign w:val="center"/>
            <w:hideMark/>
          </w:tcPr>
          <w:p w14:paraId="7A74A362" w14:textId="77777777" w:rsidR="00667402" w:rsidRPr="002041DF" w:rsidRDefault="00667402" w:rsidP="002041DF">
            <w:pPr>
              <w:widowControl w:val="0"/>
              <w:jc w:val="both"/>
              <w:rPr>
                <w:sz w:val="22"/>
                <w:szCs w:val="22"/>
                <w:lang w:val="sr-Latn-ME"/>
              </w:rPr>
            </w:pPr>
            <w:r w:rsidRPr="002041DF">
              <w:rPr>
                <w:sz w:val="22"/>
                <w:szCs w:val="22"/>
                <w:lang w:val="sr-Latn-ME"/>
              </w:rPr>
              <w:t>0,39</w:t>
            </w:r>
          </w:p>
        </w:tc>
      </w:tr>
      <w:tr w:rsidR="00667402" w:rsidRPr="002041DF" w14:paraId="58EB8EE8" w14:textId="77777777" w:rsidTr="007C6E24">
        <w:trPr>
          <w:cantSplit/>
          <w:jc w:val="center"/>
        </w:trPr>
        <w:tc>
          <w:tcPr>
            <w:tcW w:w="1720" w:type="pct"/>
            <w:shd w:val="clear" w:color="auto" w:fill="auto"/>
            <w:noWrap/>
            <w:vAlign w:val="center"/>
            <w:hideMark/>
          </w:tcPr>
          <w:p w14:paraId="70D42AEC" w14:textId="77777777" w:rsidR="00667402" w:rsidRPr="002041DF" w:rsidRDefault="00667402" w:rsidP="002041DF">
            <w:pPr>
              <w:widowControl w:val="0"/>
              <w:jc w:val="both"/>
              <w:rPr>
                <w:sz w:val="22"/>
                <w:szCs w:val="22"/>
                <w:lang w:val="sr-Latn-ME"/>
              </w:rPr>
            </w:pPr>
            <w:r w:rsidRPr="002041DF">
              <w:rPr>
                <w:sz w:val="22"/>
                <w:szCs w:val="22"/>
                <w:lang w:val="sr-Latn-ME"/>
              </w:rPr>
              <w:t>48</w:t>
            </w:r>
          </w:p>
        </w:tc>
        <w:tc>
          <w:tcPr>
            <w:tcW w:w="1409" w:type="pct"/>
            <w:shd w:val="clear" w:color="auto" w:fill="auto"/>
            <w:noWrap/>
          </w:tcPr>
          <w:p w14:paraId="167F99DF" w14:textId="77777777" w:rsidR="00667402" w:rsidRPr="002041DF" w:rsidRDefault="00667402" w:rsidP="002041DF">
            <w:pPr>
              <w:widowControl w:val="0"/>
              <w:jc w:val="both"/>
              <w:rPr>
                <w:sz w:val="22"/>
                <w:szCs w:val="22"/>
                <w:lang w:val="sr-Latn-ME"/>
              </w:rPr>
            </w:pPr>
            <w:r w:rsidRPr="002041DF">
              <w:rPr>
                <w:sz w:val="22"/>
                <w:szCs w:val="22"/>
                <w:lang w:val="sr-Latn-ME"/>
              </w:rPr>
              <w:t>36,0</w:t>
            </w:r>
          </w:p>
        </w:tc>
        <w:tc>
          <w:tcPr>
            <w:tcW w:w="1871" w:type="pct"/>
            <w:shd w:val="clear" w:color="auto" w:fill="auto"/>
            <w:noWrap/>
            <w:vAlign w:val="center"/>
            <w:hideMark/>
          </w:tcPr>
          <w:p w14:paraId="383EB67C" w14:textId="77777777" w:rsidR="00667402" w:rsidRPr="002041DF" w:rsidRDefault="00667402" w:rsidP="002041DF">
            <w:pPr>
              <w:widowControl w:val="0"/>
              <w:jc w:val="both"/>
              <w:rPr>
                <w:sz w:val="22"/>
                <w:szCs w:val="22"/>
                <w:lang w:val="sr-Latn-ME"/>
              </w:rPr>
            </w:pPr>
            <w:r w:rsidRPr="002041DF">
              <w:rPr>
                <w:sz w:val="22"/>
                <w:szCs w:val="22"/>
                <w:lang w:val="sr-Latn-ME"/>
              </w:rPr>
              <w:t>0,40</w:t>
            </w:r>
          </w:p>
        </w:tc>
      </w:tr>
      <w:tr w:rsidR="00667402" w:rsidRPr="002041DF" w14:paraId="07285FFD" w14:textId="77777777" w:rsidTr="007C6E24">
        <w:trPr>
          <w:cantSplit/>
          <w:jc w:val="center"/>
        </w:trPr>
        <w:tc>
          <w:tcPr>
            <w:tcW w:w="1720" w:type="pct"/>
            <w:shd w:val="clear" w:color="auto" w:fill="auto"/>
            <w:noWrap/>
            <w:vAlign w:val="center"/>
            <w:hideMark/>
          </w:tcPr>
          <w:p w14:paraId="5FD64EA5" w14:textId="77777777" w:rsidR="00667402" w:rsidRPr="002041DF" w:rsidRDefault="00667402" w:rsidP="002041DF">
            <w:pPr>
              <w:widowControl w:val="0"/>
              <w:jc w:val="both"/>
              <w:rPr>
                <w:sz w:val="22"/>
                <w:szCs w:val="22"/>
                <w:lang w:val="sr-Latn-ME"/>
              </w:rPr>
            </w:pPr>
            <w:r w:rsidRPr="002041DF">
              <w:rPr>
                <w:sz w:val="22"/>
                <w:szCs w:val="22"/>
                <w:lang w:val="sr-Latn-ME"/>
              </w:rPr>
              <w:t>49</w:t>
            </w:r>
          </w:p>
        </w:tc>
        <w:tc>
          <w:tcPr>
            <w:tcW w:w="1409" w:type="pct"/>
            <w:shd w:val="clear" w:color="auto" w:fill="auto"/>
            <w:noWrap/>
          </w:tcPr>
          <w:p w14:paraId="3B93ED27" w14:textId="77777777" w:rsidR="00667402" w:rsidRPr="002041DF" w:rsidRDefault="00667402" w:rsidP="002041DF">
            <w:pPr>
              <w:widowControl w:val="0"/>
              <w:jc w:val="both"/>
              <w:rPr>
                <w:sz w:val="22"/>
                <w:szCs w:val="22"/>
                <w:lang w:val="sr-Latn-ME"/>
              </w:rPr>
            </w:pPr>
            <w:r w:rsidRPr="002041DF">
              <w:rPr>
                <w:sz w:val="22"/>
                <w:szCs w:val="22"/>
                <w:lang w:val="sr-Latn-ME"/>
              </w:rPr>
              <w:t>36,8</w:t>
            </w:r>
          </w:p>
        </w:tc>
        <w:tc>
          <w:tcPr>
            <w:tcW w:w="1871" w:type="pct"/>
            <w:shd w:val="clear" w:color="auto" w:fill="auto"/>
            <w:noWrap/>
            <w:vAlign w:val="center"/>
            <w:hideMark/>
          </w:tcPr>
          <w:p w14:paraId="34FDC982" w14:textId="77777777" w:rsidR="00667402" w:rsidRPr="002041DF" w:rsidRDefault="00667402" w:rsidP="002041DF">
            <w:pPr>
              <w:widowControl w:val="0"/>
              <w:jc w:val="both"/>
              <w:rPr>
                <w:sz w:val="22"/>
                <w:szCs w:val="22"/>
                <w:lang w:val="sr-Latn-ME"/>
              </w:rPr>
            </w:pPr>
            <w:r w:rsidRPr="002041DF">
              <w:rPr>
                <w:sz w:val="22"/>
                <w:szCs w:val="22"/>
                <w:lang w:val="sr-Latn-ME"/>
              </w:rPr>
              <w:t>0,41</w:t>
            </w:r>
          </w:p>
        </w:tc>
      </w:tr>
      <w:tr w:rsidR="00667402" w:rsidRPr="002041DF" w14:paraId="22C523BB" w14:textId="77777777" w:rsidTr="007C6E24">
        <w:trPr>
          <w:cantSplit/>
          <w:jc w:val="center"/>
        </w:trPr>
        <w:tc>
          <w:tcPr>
            <w:tcW w:w="1720" w:type="pct"/>
            <w:shd w:val="clear" w:color="auto" w:fill="auto"/>
            <w:noWrap/>
            <w:vAlign w:val="center"/>
            <w:hideMark/>
          </w:tcPr>
          <w:p w14:paraId="32F725A2" w14:textId="77777777" w:rsidR="00667402" w:rsidRPr="002041DF" w:rsidRDefault="00667402" w:rsidP="002041DF">
            <w:pPr>
              <w:widowControl w:val="0"/>
              <w:jc w:val="both"/>
              <w:rPr>
                <w:sz w:val="22"/>
                <w:szCs w:val="22"/>
                <w:lang w:val="sr-Latn-ME"/>
              </w:rPr>
            </w:pPr>
            <w:r w:rsidRPr="002041DF">
              <w:rPr>
                <w:sz w:val="22"/>
                <w:szCs w:val="22"/>
                <w:lang w:val="sr-Latn-ME"/>
              </w:rPr>
              <w:t>50</w:t>
            </w:r>
          </w:p>
        </w:tc>
        <w:tc>
          <w:tcPr>
            <w:tcW w:w="1409" w:type="pct"/>
            <w:shd w:val="clear" w:color="auto" w:fill="auto"/>
            <w:noWrap/>
          </w:tcPr>
          <w:p w14:paraId="4E6B7E95" w14:textId="77777777" w:rsidR="00667402" w:rsidRPr="002041DF" w:rsidRDefault="00667402" w:rsidP="002041DF">
            <w:pPr>
              <w:widowControl w:val="0"/>
              <w:jc w:val="both"/>
              <w:rPr>
                <w:sz w:val="22"/>
                <w:szCs w:val="22"/>
                <w:lang w:val="sr-Latn-ME"/>
              </w:rPr>
            </w:pPr>
            <w:r w:rsidRPr="002041DF">
              <w:rPr>
                <w:sz w:val="22"/>
                <w:szCs w:val="22"/>
                <w:lang w:val="sr-Latn-ME"/>
              </w:rPr>
              <w:t>37,5</w:t>
            </w:r>
          </w:p>
        </w:tc>
        <w:tc>
          <w:tcPr>
            <w:tcW w:w="1871" w:type="pct"/>
            <w:shd w:val="clear" w:color="auto" w:fill="auto"/>
            <w:noWrap/>
            <w:vAlign w:val="center"/>
            <w:hideMark/>
          </w:tcPr>
          <w:p w14:paraId="0CE405F4" w14:textId="77777777" w:rsidR="00667402" w:rsidRPr="002041DF" w:rsidRDefault="00667402" w:rsidP="002041DF">
            <w:pPr>
              <w:widowControl w:val="0"/>
              <w:jc w:val="both"/>
              <w:rPr>
                <w:sz w:val="22"/>
                <w:szCs w:val="22"/>
                <w:lang w:val="sr-Latn-ME"/>
              </w:rPr>
            </w:pPr>
            <w:r w:rsidRPr="002041DF">
              <w:rPr>
                <w:sz w:val="22"/>
                <w:szCs w:val="22"/>
                <w:lang w:val="sr-Latn-ME"/>
              </w:rPr>
              <w:t>0,42</w:t>
            </w:r>
          </w:p>
        </w:tc>
      </w:tr>
      <w:tr w:rsidR="00667402" w:rsidRPr="002041DF" w14:paraId="5DFDAB38" w14:textId="77777777" w:rsidTr="007C6E24">
        <w:trPr>
          <w:cantSplit/>
          <w:jc w:val="center"/>
        </w:trPr>
        <w:tc>
          <w:tcPr>
            <w:tcW w:w="1720" w:type="pct"/>
            <w:shd w:val="clear" w:color="auto" w:fill="auto"/>
            <w:noWrap/>
            <w:vAlign w:val="center"/>
            <w:hideMark/>
          </w:tcPr>
          <w:p w14:paraId="7FF87859" w14:textId="77777777" w:rsidR="00667402" w:rsidRPr="002041DF" w:rsidRDefault="00667402" w:rsidP="002041DF">
            <w:pPr>
              <w:widowControl w:val="0"/>
              <w:jc w:val="both"/>
              <w:rPr>
                <w:sz w:val="22"/>
                <w:szCs w:val="22"/>
                <w:lang w:val="sr-Latn-ME"/>
              </w:rPr>
            </w:pPr>
            <w:r w:rsidRPr="002041DF">
              <w:rPr>
                <w:sz w:val="22"/>
                <w:szCs w:val="22"/>
                <w:lang w:val="sr-Latn-ME"/>
              </w:rPr>
              <w:t>51</w:t>
            </w:r>
          </w:p>
        </w:tc>
        <w:tc>
          <w:tcPr>
            <w:tcW w:w="1409" w:type="pct"/>
            <w:shd w:val="clear" w:color="auto" w:fill="auto"/>
            <w:noWrap/>
          </w:tcPr>
          <w:p w14:paraId="7A2DF01B" w14:textId="77777777" w:rsidR="00667402" w:rsidRPr="002041DF" w:rsidRDefault="00667402" w:rsidP="002041DF">
            <w:pPr>
              <w:widowControl w:val="0"/>
              <w:jc w:val="both"/>
              <w:rPr>
                <w:sz w:val="22"/>
                <w:szCs w:val="22"/>
                <w:lang w:val="sr-Latn-ME"/>
              </w:rPr>
            </w:pPr>
            <w:r w:rsidRPr="002041DF">
              <w:rPr>
                <w:sz w:val="22"/>
                <w:szCs w:val="22"/>
                <w:lang w:val="sr-Latn-ME"/>
              </w:rPr>
              <w:t>38,3</w:t>
            </w:r>
          </w:p>
        </w:tc>
        <w:tc>
          <w:tcPr>
            <w:tcW w:w="1871" w:type="pct"/>
            <w:shd w:val="clear" w:color="auto" w:fill="auto"/>
            <w:noWrap/>
            <w:vAlign w:val="center"/>
            <w:hideMark/>
          </w:tcPr>
          <w:p w14:paraId="4F612CBA" w14:textId="77777777" w:rsidR="00667402" w:rsidRPr="002041DF" w:rsidRDefault="00667402" w:rsidP="002041DF">
            <w:pPr>
              <w:widowControl w:val="0"/>
              <w:jc w:val="both"/>
              <w:rPr>
                <w:sz w:val="22"/>
                <w:szCs w:val="22"/>
                <w:lang w:val="sr-Latn-ME"/>
              </w:rPr>
            </w:pPr>
            <w:r w:rsidRPr="002041DF">
              <w:rPr>
                <w:sz w:val="22"/>
                <w:szCs w:val="22"/>
                <w:lang w:val="sr-Latn-ME"/>
              </w:rPr>
              <w:t>0,42</w:t>
            </w:r>
          </w:p>
        </w:tc>
      </w:tr>
      <w:tr w:rsidR="00667402" w:rsidRPr="002041DF" w14:paraId="24A03E3D" w14:textId="77777777" w:rsidTr="007C6E24">
        <w:trPr>
          <w:cantSplit/>
          <w:jc w:val="center"/>
        </w:trPr>
        <w:tc>
          <w:tcPr>
            <w:tcW w:w="1720" w:type="pct"/>
            <w:shd w:val="clear" w:color="auto" w:fill="auto"/>
            <w:noWrap/>
            <w:vAlign w:val="center"/>
            <w:hideMark/>
          </w:tcPr>
          <w:p w14:paraId="679E6067" w14:textId="77777777" w:rsidR="00667402" w:rsidRPr="002041DF" w:rsidRDefault="00667402" w:rsidP="002041DF">
            <w:pPr>
              <w:widowControl w:val="0"/>
              <w:jc w:val="both"/>
              <w:rPr>
                <w:sz w:val="22"/>
                <w:szCs w:val="22"/>
                <w:lang w:val="sr-Latn-ME"/>
              </w:rPr>
            </w:pPr>
            <w:r w:rsidRPr="002041DF">
              <w:rPr>
                <w:sz w:val="22"/>
                <w:szCs w:val="22"/>
                <w:lang w:val="sr-Latn-ME"/>
              </w:rPr>
              <w:t>52</w:t>
            </w:r>
          </w:p>
        </w:tc>
        <w:tc>
          <w:tcPr>
            <w:tcW w:w="1409" w:type="pct"/>
            <w:shd w:val="clear" w:color="auto" w:fill="auto"/>
            <w:noWrap/>
          </w:tcPr>
          <w:p w14:paraId="41E5402F" w14:textId="77777777" w:rsidR="00667402" w:rsidRPr="002041DF" w:rsidRDefault="00667402" w:rsidP="002041DF">
            <w:pPr>
              <w:widowControl w:val="0"/>
              <w:jc w:val="both"/>
              <w:rPr>
                <w:sz w:val="22"/>
                <w:szCs w:val="22"/>
                <w:lang w:val="sr-Latn-ME"/>
              </w:rPr>
            </w:pPr>
            <w:r w:rsidRPr="002041DF">
              <w:rPr>
                <w:sz w:val="22"/>
                <w:szCs w:val="22"/>
                <w:lang w:val="sr-Latn-ME"/>
              </w:rPr>
              <w:t>39,0</w:t>
            </w:r>
          </w:p>
        </w:tc>
        <w:tc>
          <w:tcPr>
            <w:tcW w:w="1871" w:type="pct"/>
            <w:shd w:val="clear" w:color="auto" w:fill="auto"/>
            <w:noWrap/>
            <w:vAlign w:val="center"/>
            <w:hideMark/>
          </w:tcPr>
          <w:p w14:paraId="12DC3314" w14:textId="77777777" w:rsidR="00667402" w:rsidRPr="002041DF" w:rsidRDefault="00667402" w:rsidP="002041DF">
            <w:pPr>
              <w:widowControl w:val="0"/>
              <w:jc w:val="both"/>
              <w:rPr>
                <w:sz w:val="22"/>
                <w:szCs w:val="22"/>
                <w:lang w:val="sr-Latn-ME"/>
              </w:rPr>
            </w:pPr>
            <w:r w:rsidRPr="002041DF">
              <w:rPr>
                <w:sz w:val="22"/>
                <w:szCs w:val="22"/>
                <w:lang w:val="sr-Latn-ME"/>
              </w:rPr>
              <w:t>0,43</w:t>
            </w:r>
          </w:p>
        </w:tc>
      </w:tr>
      <w:tr w:rsidR="00667402" w:rsidRPr="002041DF" w14:paraId="72D15EF4" w14:textId="77777777" w:rsidTr="007C6E24">
        <w:trPr>
          <w:cantSplit/>
          <w:jc w:val="center"/>
        </w:trPr>
        <w:tc>
          <w:tcPr>
            <w:tcW w:w="1720" w:type="pct"/>
            <w:shd w:val="clear" w:color="auto" w:fill="auto"/>
            <w:noWrap/>
            <w:vAlign w:val="center"/>
            <w:hideMark/>
          </w:tcPr>
          <w:p w14:paraId="328077F0" w14:textId="77777777" w:rsidR="00667402" w:rsidRPr="002041DF" w:rsidRDefault="00667402" w:rsidP="002041DF">
            <w:pPr>
              <w:widowControl w:val="0"/>
              <w:jc w:val="both"/>
              <w:rPr>
                <w:sz w:val="22"/>
                <w:szCs w:val="22"/>
                <w:lang w:val="sr-Latn-ME"/>
              </w:rPr>
            </w:pPr>
            <w:r w:rsidRPr="002041DF">
              <w:rPr>
                <w:sz w:val="22"/>
                <w:szCs w:val="22"/>
                <w:lang w:val="sr-Latn-ME"/>
              </w:rPr>
              <w:t>53</w:t>
            </w:r>
          </w:p>
        </w:tc>
        <w:tc>
          <w:tcPr>
            <w:tcW w:w="1409" w:type="pct"/>
            <w:shd w:val="clear" w:color="auto" w:fill="auto"/>
            <w:noWrap/>
          </w:tcPr>
          <w:p w14:paraId="0585FA7F" w14:textId="77777777" w:rsidR="00667402" w:rsidRPr="002041DF" w:rsidRDefault="00667402" w:rsidP="002041DF">
            <w:pPr>
              <w:widowControl w:val="0"/>
              <w:jc w:val="both"/>
              <w:rPr>
                <w:sz w:val="22"/>
                <w:szCs w:val="22"/>
                <w:lang w:val="sr-Latn-ME"/>
              </w:rPr>
            </w:pPr>
            <w:r w:rsidRPr="002041DF">
              <w:rPr>
                <w:sz w:val="22"/>
                <w:szCs w:val="22"/>
                <w:lang w:val="sr-Latn-ME"/>
              </w:rPr>
              <w:t>39,8</w:t>
            </w:r>
          </w:p>
        </w:tc>
        <w:tc>
          <w:tcPr>
            <w:tcW w:w="1871" w:type="pct"/>
            <w:shd w:val="clear" w:color="auto" w:fill="auto"/>
            <w:noWrap/>
            <w:vAlign w:val="center"/>
            <w:hideMark/>
          </w:tcPr>
          <w:p w14:paraId="7FE79879" w14:textId="77777777" w:rsidR="00667402" w:rsidRPr="002041DF" w:rsidRDefault="00667402" w:rsidP="002041DF">
            <w:pPr>
              <w:widowControl w:val="0"/>
              <w:jc w:val="both"/>
              <w:rPr>
                <w:sz w:val="22"/>
                <w:szCs w:val="22"/>
                <w:lang w:val="sr-Latn-ME"/>
              </w:rPr>
            </w:pPr>
            <w:r w:rsidRPr="002041DF">
              <w:rPr>
                <w:sz w:val="22"/>
                <w:szCs w:val="22"/>
                <w:lang w:val="sr-Latn-ME"/>
              </w:rPr>
              <w:t>0,44</w:t>
            </w:r>
          </w:p>
        </w:tc>
      </w:tr>
      <w:tr w:rsidR="00667402" w:rsidRPr="002041DF" w14:paraId="63EDFAE1" w14:textId="77777777" w:rsidTr="007C6E24">
        <w:trPr>
          <w:cantSplit/>
          <w:jc w:val="center"/>
        </w:trPr>
        <w:tc>
          <w:tcPr>
            <w:tcW w:w="1720" w:type="pct"/>
            <w:shd w:val="clear" w:color="auto" w:fill="auto"/>
            <w:noWrap/>
            <w:vAlign w:val="center"/>
            <w:hideMark/>
          </w:tcPr>
          <w:p w14:paraId="6534A05D" w14:textId="77777777" w:rsidR="00667402" w:rsidRPr="002041DF" w:rsidRDefault="00667402" w:rsidP="002041DF">
            <w:pPr>
              <w:widowControl w:val="0"/>
              <w:jc w:val="both"/>
              <w:rPr>
                <w:sz w:val="22"/>
                <w:szCs w:val="22"/>
                <w:lang w:val="sr-Latn-ME"/>
              </w:rPr>
            </w:pPr>
            <w:r w:rsidRPr="002041DF">
              <w:rPr>
                <w:sz w:val="22"/>
                <w:szCs w:val="22"/>
                <w:lang w:val="sr-Latn-ME"/>
              </w:rPr>
              <w:t>54</w:t>
            </w:r>
          </w:p>
        </w:tc>
        <w:tc>
          <w:tcPr>
            <w:tcW w:w="1409" w:type="pct"/>
            <w:shd w:val="clear" w:color="auto" w:fill="auto"/>
            <w:noWrap/>
          </w:tcPr>
          <w:p w14:paraId="2EF8F504" w14:textId="77777777" w:rsidR="00667402" w:rsidRPr="002041DF" w:rsidRDefault="00667402" w:rsidP="002041DF">
            <w:pPr>
              <w:widowControl w:val="0"/>
              <w:jc w:val="both"/>
              <w:rPr>
                <w:sz w:val="22"/>
                <w:szCs w:val="22"/>
                <w:lang w:val="sr-Latn-ME"/>
              </w:rPr>
            </w:pPr>
            <w:r w:rsidRPr="002041DF">
              <w:rPr>
                <w:sz w:val="22"/>
                <w:szCs w:val="22"/>
                <w:lang w:val="sr-Latn-ME"/>
              </w:rPr>
              <w:t>40,5</w:t>
            </w:r>
          </w:p>
        </w:tc>
        <w:tc>
          <w:tcPr>
            <w:tcW w:w="1871" w:type="pct"/>
            <w:shd w:val="clear" w:color="auto" w:fill="auto"/>
            <w:noWrap/>
            <w:vAlign w:val="center"/>
            <w:hideMark/>
          </w:tcPr>
          <w:p w14:paraId="1FDC5D24" w14:textId="77777777" w:rsidR="00667402" w:rsidRPr="002041DF" w:rsidRDefault="00667402" w:rsidP="002041DF">
            <w:pPr>
              <w:widowControl w:val="0"/>
              <w:jc w:val="both"/>
              <w:rPr>
                <w:sz w:val="22"/>
                <w:szCs w:val="22"/>
                <w:lang w:val="sr-Latn-ME"/>
              </w:rPr>
            </w:pPr>
            <w:r w:rsidRPr="002041DF">
              <w:rPr>
                <w:sz w:val="22"/>
                <w:szCs w:val="22"/>
                <w:lang w:val="sr-Latn-ME"/>
              </w:rPr>
              <w:t>0,45</w:t>
            </w:r>
          </w:p>
        </w:tc>
      </w:tr>
      <w:tr w:rsidR="00667402" w:rsidRPr="002041DF" w14:paraId="7465F058" w14:textId="77777777" w:rsidTr="007C6E24">
        <w:trPr>
          <w:cantSplit/>
          <w:jc w:val="center"/>
        </w:trPr>
        <w:tc>
          <w:tcPr>
            <w:tcW w:w="1720" w:type="pct"/>
            <w:shd w:val="clear" w:color="auto" w:fill="auto"/>
            <w:noWrap/>
            <w:vAlign w:val="center"/>
            <w:hideMark/>
          </w:tcPr>
          <w:p w14:paraId="3BBE6A8C" w14:textId="77777777" w:rsidR="00667402" w:rsidRPr="002041DF" w:rsidRDefault="00667402" w:rsidP="002041DF">
            <w:pPr>
              <w:widowControl w:val="0"/>
              <w:jc w:val="both"/>
              <w:rPr>
                <w:sz w:val="22"/>
                <w:szCs w:val="22"/>
                <w:lang w:val="sr-Latn-ME"/>
              </w:rPr>
            </w:pPr>
            <w:r w:rsidRPr="002041DF">
              <w:rPr>
                <w:sz w:val="22"/>
                <w:szCs w:val="22"/>
                <w:lang w:val="sr-Latn-ME"/>
              </w:rPr>
              <w:t>55</w:t>
            </w:r>
          </w:p>
        </w:tc>
        <w:tc>
          <w:tcPr>
            <w:tcW w:w="1409" w:type="pct"/>
            <w:shd w:val="clear" w:color="auto" w:fill="auto"/>
            <w:noWrap/>
          </w:tcPr>
          <w:p w14:paraId="130A4A6A" w14:textId="77777777" w:rsidR="00667402" w:rsidRPr="002041DF" w:rsidRDefault="00667402" w:rsidP="002041DF">
            <w:pPr>
              <w:widowControl w:val="0"/>
              <w:jc w:val="both"/>
              <w:rPr>
                <w:sz w:val="22"/>
                <w:szCs w:val="22"/>
                <w:lang w:val="sr-Latn-ME"/>
              </w:rPr>
            </w:pPr>
            <w:r w:rsidRPr="002041DF">
              <w:rPr>
                <w:sz w:val="22"/>
                <w:szCs w:val="22"/>
                <w:lang w:val="sr-Latn-ME"/>
              </w:rPr>
              <w:t>41,3</w:t>
            </w:r>
          </w:p>
        </w:tc>
        <w:tc>
          <w:tcPr>
            <w:tcW w:w="1871" w:type="pct"/>
            <w:shd w:val="clear" w:color="auto" w:fill="auto"/>
            <w:noWrap/>
            <w:vAlign w:val="center"/>
            <w:hideMark/>
          </w:tcPr>
          <w:p w14:paraId="0CD577E9" w14:textId="77777777" w:rsidR="00667402" w:rsidRPr="002041DF" w:rsidRDefault="00667402" w:rsidP="002041DF">
            <w:pPr>
              <w:widowControl w:val="0"/>
              <w:jc w:val="both"/>
              <w:rPr>
                <w:sz w:val="22"/>
                <w:szCs w:val="22"/>
                <w:lang w:val="sr-Latn-ME"/>
              </w:rPr>
            </w:pPr>
            <w:r w:rsidRPr="002041DF">
              <w:rPr>
                <w:sz w:val="22"/>
                <w:szCs w:val="22"/>
                <w:lang w:val="sr-Latn-ME"/>
              </w:rPr>
              <w:t>0,46</w:t>
            </w:r>
          </w:p>
        </w:tc>
      </w:tr>
      <w:tr w:rsidR="00667402" w:rsidRPr="002041DF" w14:paraId="43FAD665" w14:textId="77777777" w:rsidTr="007C6E24">
        <w:trPr>
          <w:cantSplit/>
          <w:jc w:val="center"/>
        </w:trPr>
        <w:tc>
          <w:tcPr>
            <w:tcW w:w="1720" w:type="pct"/>
            <w:shd w:val="clear" w:color="auto" w:fill="auto"/>
            <w:noWrap/>
            <w:vAlign w:val="center"/>
            <w:hideMark/>
          </w:tcPr>
          <w:p w14:paraId="05C263D9" w14:textId="77777777" w:rsidR="00667402" w:rsidRPr="002041DF" w:rsidRDefault="00667402" w:rsidP="002041DF">
            <w:pPr>
              <w:widowControl w:val="0"/>
              <w:jc w:val="both"/>
              <w:rPr>
                <w:sz w:val="22"/>
                <w:szCs w:val="22"/>
                <w:lang w:val="sr-Latn-ME"/>
              </w:rPr>
            </w:pPr>
            <w:r w:rsidRPr="002041DF">
              <w:rPr>
                <w:sz w:val="22"/>
                <w:szCs w:val="22"/>
                <w:lang w:val="sr-Latn-ME"/>
              </w:rPr>
              <w:t>56</w:t>
            </w:r>
          </w:p>
        </w:tc>
        <w:tc>
          <w:tcPr>
            <w:tcW w:w="1409" w:type="pct"/>
            <w:shd w:val="clear" w:color="auto" w:fill="auto"/>
            <w:noWrap/>
          </w:tcPr>
          <w:p w14:paraId="0D7D2353" w14:textId="77777777" w:rsidR="00667402" w:rsidRPr="002041DF" w:rsidRDefault="00667402" w:rsidP="002041DF">
            <w:pPr>
              <w:widowControl w:val="0"/>
              <w:jc w:val="both"/>
              <w:rPr>
                <w:sz w:val="22"/>
                <w:szCs w:val="22"/>
                <w:lang w:val="sr-Latn-ME"/>
              </w:rPr>
            </w:pPr>
            <w:r w:rsidRPr="002041DF">
              <w:rPr>
                <w:sz w:val="22"/>
                <w:szCs w:val="22"/>
                <w:lang w:val="sr-Latn-ME"/>
              </w:rPr>
              <w:t>42,0</w:t>
            </w:r>
          </w:p>
        </w:tc>
        <w:tc>
          <w:tcPr>
            <w:tcW w:w="1871" w:type="pct"/>
            <w:shd w:val="clear" w:color="auto" w:fill="auto"/>
            <w:noWrap/>
            <w:vAlign w:val="center"/>
            <w:hideMark/>
          </w:tcPr>
          <w:p w14:paraId="14C0D011" w14:textId="77777777" w:rsidR="00667402" w:rsidRPr="002041DF" w:rsidRDefault="00667402" w:rsidP="002041DF">
            <w:pPr>
              <w:widowControl w:val="0"/>
              <w:jc w:val="both"/>
              <w:rPr>
                <w:sz w:val="22"/>
                <w:szCs w:val="22"/>
                <w:lang w:val="sr-Latn-ME"/>
              </w:rPr>
            </w:pPr>
            <w:r w:rsidRPr="002041DF">
              <w:rPr>
                <w:sz w:val="22"/>
                <w:szCs w:val="22"/>
                <w:lang w:val="sr-Latn-ME"/>
              </w:rPr>
              <w:t>0,46</w:t>
            </w:r>
          </w:p>
        </w:tc>
      </w:tr>
      <w:tr w:rsidR="00667402" w:rsidRPr="002041DF" w14:paraId="4E8FBE3F" w14:textId="77777777" w:rsidTr="007C6E24">
        <w:trPr>
          <w:cantSplit/>
          <w:jc w:val="center"/>
        </w:trPr>
        <w:tc>
          <w:tcPr>
            <w:tcW w:w="1720" w:type="pct"/>
            <w:shd w:val="clear" w:color="auto" w:fill="auto"/>
            <w:noWrap/>
            <w:vAlign w:val="center"/>
            <w:hideMark/>
          </w:tcPr>
          <w:p w14:paraId="08FFBFB4" w14:textId="77777777" w:rsidR="00667402" w:rsidRPr="002041DF" w:rsidRDefault="00667402" w:rsidP="002041DF">
            <w:pPr>
              <w:widowControl w:val="0"/>
              <w:jc w:val="both"/>
              <w:rPr>
                <w:sz w:val="22"/>
                <w:szCs w:val="22"/>
                <w:lang w:val="sr-Latn-ME"/>
              </w:rPr>
            </w:pPr>
            <w:r w:rsidRPr="002041DF">
              <w:rPr>
                <w:sz w:val="22"/>
                <w:szCs w:val="22"/>
                <w:lang w:val="sr-Latn-ME"/>
              </w:rPr>
              <w:t>57</w:t>
            </w:r>
          </w:p>
        </w:tc>
        <w:tc>
          <w:tcPr>
            <w:tcW w:w="1409" w:type="pct"/>
            <w:shd w:val="clear" w:color="auto" w:fill="auto"/>
            <w:noWrap/>
          </w:tcPr>
          <w:p w14:paraId="566A1C27" w14:textId="77777777" w:rsidR="00667402" w:rsidRPr="002041DF" w:rsidRDefault="00667402" w:rsidP="002041DF">
            <w:pPr>
              <w:widowControl w:val="0"/>
              <w:jc w:val="both"/>
              <w:rPr>
                <w:sz w:val="22"/>
                <w:szCs w:val="22"/>
                <w:lang w:val="sr-Latn-ME"/>
              </w:rPr>
            </w:pPr>
            <w:r w:rsidRPr="002041DF">
              <w:rPr>
                <w:sz w:val="22"/>
                <w:szCs w:val="22"/>
                <w:lang w:val="sr-Latn-ME"/>
              </w:rPr>
              <w:t>42,8</w:t>
            </w:r>
          </w:p>
        </w:tc>
        <w:tc>
          <w:tcPr>
            <w:tcW w:w="1871" w:type="pct"/>
            <w:shd w:val="clear" w:color="auto" w:fill="auto"/>
            <w:noWrap/>
            <w:vAlign w:val="center"/>
            <w:hideMark/>
          </w:tcPr>
          <w:p w14:paraId="3FC6F41C" w14:textId="77777777" w:rsidR="00667402" w:rsidRPr="002041DF" w:rsidRDefault="00667402" w:rsidP="002041DF">
            <w:pPr>
              <w:widowControl w:val="0"/>
              <w:jc w:val="both"/>
              <w:rPr>
                <w:sz w:val="22"/>
                <w:szCs w:val="22"/>
                <w:lang w:val="sr-Latn-ME"/>
              </w:rPr>
            </w:pPr>
            <w:r w:rsidRPr="002041DF">
              <w:rPr>
                <w:sz w:val="22"/>
                <w:szCs w:val="22"/>
                <w:lang w:val="sr-Latn-ME"/>
              </w:rPr>
              <w:t>0,47</w:t>
            </w:r>
          </w:p>
        </w:tc>
      </w:tr>
      <w:tr w:rsidR="00667402" w:rsidRPr="002041DF" w14:paraId="48B6EE20" w14:textId="77777777" w:rsidTr="007C6E24">
        <w:trPr>
          <w:cantSplit/>
          <w:jc w:val="center"/>
        </w:trPr>
        <w:tc>
          <w:tcPr>
            <w:tcW w:w="1720" w:type="pct"/>
            <w:shd w:val="clear" w:color="auto" w:fill="auto"/>
            <w:noWrap/>
            <w:vAlign w:val="center"/>
            <w:hideMark/>
          </w:tcPr>
          <w:p w14:paraId="7B825C30" w14:textId="77777777" w:rsidR="00667402" w:rsidRPr="002041DF" w:rsidRDefault="00667402" w:rsidP="002041DF">
            <w:pPr>
              <w:widowControl w:val="0"/>
              <w:jc w:val="both"/>
              <w:rPr>
                <w:sz w:val="22"/>
                <w:szCs w:val="22"/>
                <w:lang w:val="sr-Latn-ME"/>
              </w:rPr>
            </w:pPr>
            <w:r w:rsidRPr="002041DF">
              <w:rPr>
                <w:sz w:val="22"/>
                <w:szCs w:val="22"/>
                <w:lang w:val="sr-Latn-ME"/>
              </w:rPr>
              <w:t>58</w:t>
            </w:r>
          </w:p>
        </w:tc>
        <w:tc>
          <w:tcPr>
            <w:tcW w:w="1409" w:type="pct"/>
            <w:shd w:val="clear" w:color="auto" w:fill="auto"/>
            <w:noWrap/>
          </w:tcPr>
          <w:p w14:paraId="53178D74" w14:textId="77777777" w:rsidR="00667402" w:rsidRPr="002041DF" w:rsidRDefault="00667402" w:rsidP="002041DF">
            <w:pPr>
              <w:widowControl w:val="0"/>
              <w:jc w:val="both"/>
              <w:rPr>
                <w:sz w:val="22"/>
                <w:szCs w:val="22"/>
                <w:lang w:val="sr-Latn-ME"/>
              </w:rPr>
            </w:pPr>
            <w:r w:rsidRPr="002041DF">
              <w:rPr>
                <w:sz w:val="22"/>
                <w:szCs w:val="22"/>
                <w:lang w:val="sr-Latn-ME"/>
              </w:rPr>
              <w:t>43,5</w:t>
            </w:r>
          </w:p>
        </w:tc>
        <w:tc>
          <w:tcPr>
            <w:tcW w:w="1871" w:type="pct"/>
            <w:shd w:val="clear" w:color="auto" w:fill="auto"/>
            <w:noWrap/>
            <w:vAlign w:val="center"/>
            <w:hideMark/>
          </w:tcPr>
          <w:p w14:paraId="499A8A42" w14:textId="77777777" w:rsidR="00667402" w:rsidRPr="002041DF" w:rsidRDefault="00667402" w:rsidP="002041DF">
            <w:pPr>
              <w:widowControl w:val="0"/>
              <w:jc w:val="both"/>
              <w:rPr>
                <w:sz w:val="22"/>
                <w:szCs w:val="22"/>
                <w:lang w:val="sr-Latn-ME"/>
              </w:rPr>
            </w:pPr>
            <w:r w:rsidRPr="002041DF">
              <w:rPr>
                <w:sz w:val="22"/>
                <w:szCs w:val="22"/>
                <w:lang w:val="sr-Latn-ME"/>
              </w:rPr>
              <w:t>0,48</w:t>
            </w:r>
          </w:p>
        </w:tc>
      </w:tr>
      <w:tr w:rsidR="00667402" w:rsidRPr="002041DF" w14:paraId="7E4ECECD" w14:textId="77777777" w:rsidTr="007C6E24">
        <w:trPr>
          <w:cantSplit/>
          <w:jc w:val="center"/>
        </w:trPr>
        <w:tc>
          <w:tcPr>
            <w:tcW w:w="1720" w:type="pct"/>
            <w:shd w:val="clear" w:color="auto" w:fill="auto"/>
            <w:noWrap/>
            <w:vAlign w:val="center"/>
            <w:hideMark/>
          </w:tcPr>
          <w:p w14:paraId="2CDA2DE6" w14:textId="77777777" w:rsidR="00667402" w:rsidRPr="002041DF" w:rsidRDefault="00667402" w:rsidP="002041DF">
            <w:pPr>
              <w:widowControl w:val="0"/>
              <w:jc w:val="both"/>
              <w:rPr>
                <w:sz w:val="22"/>
                <w:szCs w:val="22"/>
                <w:lang w:val="sr-Latn-ME"/>
              </w:rPr>
            </w:pPr>
            <w:r w:rsidRPr="002041DF">
              <w:rPr>
                <w:sz w:val="22"/>
                <w:szCs w:val="22"/>
                <w:lang w:val="sr-Latn-ME"/>
              </w:rPr>
              <w:t>59</w:t>
            </w:r>
          </w:p>
        </w:tc>
        <w:tc>
          <w:tcPr>
            <w:tcW w:w="1409" w:type="pct"/>
            <w:shd w:val="clear" w:color="auto" w:fill="auto"/>
            <w:noWrap/>
          </w:tcPr>
          <w:p w14:paraId="491F9617" w14:textId="77777777" w:rsidR="00667402" w:rsidRPr="002041DF" w:rsidRDefault="00667402" w:rsidP="002041DF">
            <w:pPr>
              <w:widowControl w:val="0"/>
              <w:jc w:val="both"/>
              <w:rPr>
                <w:sz w:val="22"/>
                <w:szCs w:val="22"/>
                <w:lang w:val="sr-Latn-ME"/>
              </w:rPr>
            </w:pPr>
            <w:r w:rsidRPr="002041DF">
              <w:rPr>
                <w:sz w:val="22"/>
                <w:szCs w:val="22"/>
                <w:lang w:val="sr-Latn-ME"/>
              </w:rPr>
              <w:t>44,3</w:t>
            </w:r>
          </w:p>
        </w:tc>
        <w:tc>
          <w:tcPr>
            <w:tcW w:w="1871" w:type="pct"/>
            <w:shd w:val="clear" w:color="auto" w:fill="auto"/>
            <w:noWrap/>
            <w:vAlign w:val="center"/>
            <w:hideMark/>
          </w:tcPr>
          <w:p w14:paraId="5BCDB969" w14:textId="77777777" w:rsidR="00667402" w:rsidRPr="002041DF" w:rsidRDefault="00667402" w:rsidP="002041DF">
            <w:pPr>
              <w:widowControl w:val="0"/>
              <w:jc w:val="both"/>
              <w:rPr>
                <w:sz w:val="22"/>
                <w:szCs w:val="22"/>
                <w:lang w:val="sr-Latn-ME"/>
              </w:rPr>
            </w:pPr>
            <w:r w:rsidRPr="002041DF">
              <w:rPr>
                <w:sz w:val="22"/>
                <w:szCs w:val="22"/>
                <w:lang w:val="sr-Latn-ME"/>
              </w:rPr>
              <w:t>0,49</w:t>
            </w:r>
          </w:p>
        </w:tc>
      </w:tr>
    </w:tbl>
    <w:p w14:paraId="306090A0" w14:textId="77777777" w:rsidR="00641C7D" w:rsidRPr="002041DF" w:rsidRDefault="00641C7D" w:rsidP="002041DF">
      <w:pPr>
        <w:widowControl w:val="0"/>
        <w:jc w:val="both"/>
        <w:rPr>
          <w:sz w:val="22"/>
          <w:szCs w:val="22"/>
          <w:lang w:val="sr-Latn-ME"/>
        </w:rPr>
      </w:pPr>
    </w:p>
    <w:p w14:paraId="0399113C" w14:textId="59C7ABF6" w:rsidR="009534F5" w:rsidRPr="002041DF" w:rsidRDefault="009534F5" w:rsidP="002041DF">
      <w:pPr>
        <w:pStyle w:val="Header"/>
        <w:widowControl w:val="0"/>
        <w:tabs>
          <w:tab w:val="left" w:pos="284"/>
        </w:tabs>
        <w:jc w:val="both"/>
        <w:rPr>
          <w:sz w:val="22"/>
          <w:szCs w:val="22"/>
          <w:lang w:val="sr-Latn-ME"/>
        </w:rPr>
      </w:pPr>
      <w:r w:rsidRPr="002041DF">
        <w:rPr>
          <w:sz w:val="22"/>
          <w:szCs w:val="22"/>
          <w:lang w:val="sr-Latn-ME"/>
        </w:rPr>
        <w:t>Prekid terapije treba razmotriti kod pacijenata koji</w:t>
      </w:r>
      <w:r w:rsidR="00E50471" w:rsidRPr="002041DF">
        <w:rPr>
          <w:sz w:val="22"/>
          <w:szCs w:val="22"/>
          <w:lang w:val="sr-Latn-ME"/>
        </w:rPr>
        <w:t xml:space="preserve"> nijesu </w:t>
      </w:r>
      <w:r w:rsidRPr="002041DF">
        <w:rPr>
          <w:sz w:val="22"/>
          <w:szCs w:val="22"/>
          <w:lang w:val="sr-Latn-ME"/>
        </w:rPr>
        <w:t xml:space="preserve">pokazali odgovor nakon 28 </w:t>
      </w:r>
      <w:r w:rsidR="004372C4" w:rsidRPr="002041DF">
        <w:rPr>
          <w:sz w:val="22"/>
          <w:szCs w:val="22"/>
          <w:lang w:val="sr-Latn-ME"/>
        </w:rPr>
        <w:t>nedjelja</w:t>
      </w:r>
      <w:r w:rsidRPr="002041DF">
        <w:rPr>
          <w:sz w:val="22"/>
          <w:szCs w:val="22"/>
          <w:lang w:val="sr-Latn-ME"/>
        </w:rPr>
        <w:t xml:space="preserve"> terapije.</w:t>
      </w:r>
    </w:p>
    <w:p w14:paraId="3024BC25" w14:textId="77777777" w:rsidR="00407AAC" w:rsidRPr="002041DF" w:rsidRDefault="00407AAC" w:rsidP="002041DF">
      <w:pPr>
        <w:pStyle w:val="Header"/>
        <w:widowControl w:val="0"/>
        <w:jc w:val="both"/>
        <w:rPr>
          <w:b/>
          <w:sz w:val="22"/>
          <w:szCs w:val="22"/>
          <w:lang w:val="sr-Latn-ME"/>
        </w:rPr>
      </w:pPr>
    </w:p>
    <w:p w14:paraId="0C5294BC" w14:textId="2B59D727" w:rsidR="00C27BFA" w:rsidRPr="002041DF" w:rsidRDefault="00C27BFA" w:rsidP="002041DF">
      <w:pPr>
        <w:pStyle w:val="Header"/>
        <w:widowControl w:val="0"/>
        <w:jc w:val="both"/>
        <w:rPr>
          <w:sz w:val="22"/>
          <w:szCs w:val="22"/>
          <w:u w:val="single"/>
          <w:lang w:val="sr-Latn-ME"/>
        </w:rPr>
      </w:pPr>
      <w:r w:rsidRPr="002041DF">
        <w:rPr>
          <w:sz w:val="22"/>
          <w:szCs w:val="22"/>
          <w:u w:val="single"/>
          <w:lang w:val="sr-Latn-ME"/>
        </w:rPr>
        <w:t>Kronova bolest</w:t>
      </w:r>
      <w:r w:rsidR="003917C1" w:rsidRPr="002041DF">
        <w:rPr>
          <w:sz w:val="22"/>
          <w:szCs w:val="22"/>
          <w:u w:val="single"/>
          <w:lang w:val="sr-Latn-ME"/>
        </w:rPr>
        <w:t xml:space="preserve"> i ulcerozni kolitis</w:t>
      </w:r>
    </w:p>
    <w:p w14:paraId="5720BA1A" w14:textId="77777777" w:rsidR="00407AAC" w:rsidRPr="002041DF" w:rsidRDefault="00407AAC" w:rsidP="002041DF">
      <w:pPr>
        <w:pStyle w:val="Header"/>
        <w:widowControl w:val="0"/>
        <w:jc w:val="both"/>
        <w:rPr>
          <w:sz w:val="22"/>
          <w:szCs w:val="22"/>
          <w:lang w:val="sr-Latn-ME"/>
        </w:rPr>
      </w:pPr>
    </w:p>
    <w:p w14:paraId="1D904E11" w14:textId="1277A7A2" w:rsidR="00C27BFA" w:rsidRPr="002041DF" w:rsidRDefault="00C27BFA" w:rsidP="002041DF">
      <w:pPr>
        <w:pStyle w:val="Header"/>
        <w:widowControl w:val="0"/>
        <w:jc w:val="both"/>
        <w:rPr>
          <w:sz w:val="22"/>
          <w:szCs w:val="22"/>
          <w:lang w:val="sr-Latn-ME"/>
        </w:rPr>
      </w:pPr>
      <w:r w:rsidRPr="002041DF">
        <w:rPr>
          <w:sz w:val="22"/>
          <w:szCs w:val="22"/>
          <w:lang w:val="sr-Latn-ME"/>
        </w:rPr>
        <w:t>Tokom režima l</w:t>
      </w:r>
      <w:r w:rsidR="004372C4" w:rsidRPr="002041DF">
        <w:rPr>
          <w:sz w:val="22"/>
          <w:szCs w:val="22"/>
          <w:lang w:val="sr-Latn-ME"/>
        </w:rPr>
        <w:t>ij</w:t>
      </w:r>
      <w:r w:rsidRPr="002041DF">
        <w:rPr>
          <w:sz w:val="22"/>
          <w:szCs w:val="22"/>
          <w:lang w:val="sr-Latn-ME"/>
        </w:rPr>
        <w:t>ečenja, prva doza l</w:t>
      </w:r>
      <w:r w:rsidR="004372C4" w:rsidRPr="002041DF">
        <w:rPr>
          <w:sz w:val="22"/>
          <w:szCs w:val="22"/>
          <w:lang w:val="sr-Latn-ME"/>
        </w:rPr>
        <w:t>ij</w:t>
      </w:r>
      <w:r w:rsidRPr="002041DF">
        <w:rPr>
          <w:sz w:val="22"/>
          <w:szCs w:val="22"/>
          <w:lang w:val="sr-Latn-ME"/>
        </w:rPr>
        <w:t>eka Stelara se prim</w:t>
      </w:r>
      <w:r w:rsidR="004372C4" w:rsidRPr="002041DF">
        <w:rPr>
          <w:sz w:val="22"/>
          <w:szCs w:val="22"/>
          <w:lang w:val="sr-Latn-ME"/>
        </w:rPr>
        <w:t>j</w:t>
      </w:r>
      <w:r w:rsidRPr="002041DF">
        <w:rPr>
          <w:sz w:val="22"/>
          <w:szCs w:val="22"/>
          <w:lang w:val="sr-Latn-ME"/>
        </w:rPr>
        <w:t>enjuje intravenski. Za doziranje putem intravenskog načina prim</w:t>
      </w:r>
      <w:r w:rsidR="004372C4" w:rsidRPr="002041DF">
        <w:rPr>
          <w:sz w:val="22"/>
          <w:szCs w:val="22"/>
          <w:lang w:val="sr-Latn-ME"/>
        </w:rPr>
        <w:t>j</w:t>
      </w:r>
      <w:r w:rsidRPr="002041DF">
        <w:rPr>
          <w:sz w:val="22"/>
          <w:szCs w:val="22"/>
          <w:lang w:val="sr-Latn-ME"/>
        </w:rPr>
        <w:t xml:space="preserve">ene, </w:t>
      </w:r>
      <w:r w:rsidR="006779EA" w:rsidRPr="002041DF">
        <w:rPr>
          <w:sz w:val="22"/>
          <w:szCs w:val="22"/>
          <w:lang w:val="sr-Latn-ME"/>
        </w:rPr>
        <w:t>vidjeti</w:t>
      </w:r>
      <w:r w:rsidRPr="002041DF">
        <w:rPr>
          <w:sz w:val="22"/>
          <w:szCs w:val="22"/>
          <w:lang w:val="sr-Latn-ME"/>
        </w:rPr>
        <w:t xml:space="preserve"> </w:t>
      </w:r>
      <w:r w:rsidR="00292E06" w:rsidRPr="002041DF">
        <w:rPr>
          <w:sz w:val="22"/>
          <w:szCs w:val="22"/>
          <w:lang w:val="sr-Latn-ME"/>
        </w:rPr>
        <w:t>dio</w:t>
      </w:r>
      <w:r w:rsidRPr="002041DF">
        <w:rPr>
          <w:sz w:val="22"/>
          <w:szCs w:val="22"/>
          <w:lang w:val="sr-Latn-ME"/>
        </w:rPr>
        <w:t xml:space="preserve"> 4.2 Sažetka karakteristika l</w:t>
      </w:r>
      <w:r w:rsidR="004372C4" w:rsidRPr="002041DF">
        <w:rPr>
          <w:sz w:val="22"/>
          <w:szCs w:val="22"/>
          <w:lang w:val="sr-Latn-ME"/>
        </w:rPr>
        <w:t>ij</w:t>
      </w:r>
      <w:r w:rsidRPr="002041DF">
        <w:rPr>
          <w:sz w:val="22"/>
          <w:szCs w:val="22"/>
          <w:lang w:val="sr-Latn-ME"/>
        </w:rPr>
        <w:t>eka Stelara 130 mg koncentrat za rastvor za infuziju.</w:t>
      </w:r>
    </w:p>
    <w:p w14:paraId="440F94C1" w14:textId="77777777" w:rsidR="00C27BFA" w:rsidRPr="002041DF" w:rsidRDefault="00C27BFA" w:rsidP="002041DF">
      <w:pPr>
        <w:pStyle w:val="Header"/>
        <w:widowControl w:val="0"/>
        <w:jc w:val="both"/>
        <w:rPr>
          <w:sz w:val="22"/>
          <w:szCs w:val="22"/>
          <w:lang w:val="sr-Latn-ME"/>
        </w:rPr>
      </w:pPr>
    </w:p>
    <w:p w14:paraId="24CA7AE5" w14:textId="3EEB330F" w:rsidR="00C27BFA" w:rsidRPr="002041DF" w:rsidRDefault="00C27BFA" w:rsidP="002041DF">
      <w:pPr>
        <w:pStyle w:val="Header"/>
        <w:widowControl w:val="0"/>
        <w:jc w:val="both"/>
        <w:rPr>
          <w:sz w:val="22"/>
          <w:szCs w:val="22"/>
          <w:lang w:val="sr-Latn-ME"/>
        </w:rPr>
      </w:pPr>
      <w:r w:rsidRPr="002041DF">
        <w:rPr>
          <w:sz w:val="22"/>
          <w:szCs w:val="22"/>
          <w:lang w:val="sr-Latn-ME"/>
        </w:rPr>
        <w:t>Prva supkutana prim</w:t>
      </w:r>
      <w:r w:rsidR="004372C4" w:rsidRPr="002041DF">
        <w:rPr>
          <w:sz w:val="22"/>
          <w:szCs w:val="22"/>
          <w:lang w:val="sr-Latn-ME"/>
        </w:rPr>
        <w:t>j</w:t>
      </w:r>
      <w:r w:rsidRPr="002041DF">
        <w:rPr>
          <w:sz w:val="22"/>
          <w:szCs w:val="22"/>
          <w:lang w:val="sr-Latn-ME"/>
        </w:rPr>
        <w:t>ena 90 mg l</w:t>
      </w:r>
      <w:r w:rsidR="004372C4" w:rsidRPr="002041DF">
        <w:rPr>
          <w:sz w:val="22"/>
          <w:szCs w:val="22"/>
          <w:lang w:val="sr-Latn-ME"/>
        </w:rPr>
        <w:t>ij</w:t>
      </w:r>
      <w:r w:rsidRPr="002041DF">
        <w:rPr>
          <w:sz w:val="22"/>
          <w:szCs w:val="22"/>
          <w:lang w:val="sr-Latn-ME"/>
        </w:rPr>
        <w:t xml:space="preserve">eka Stelara treba biti u toku 8. </w:t>
      </w:r>
      <w:r w:rsidR="004372C4" w:rsidRPr="002041DF">
        <w:rPr>
          <w:sz w:val="22"/>
          <w:szCs w:val="22"/>
          <w:lang w:val="sr-Latn-ME"/>
        </w:rPr>
        <w:t>nedjelje</w:t>
      </w:r>
      <w:r w:rsidRPr="002041DF">
        <w:rPr>
          <w:sz w:val="22"/>
          <w:szCs w:val="22"/>
          <w:lang w:val="sr-Latn-ME"/>
        </w:rPr>
        <w:t xml:space="preserve"> nakon intravenske doze. Nakon toga, preporučeno je doziranje na svakih 12 </w:t>
      </w:r>
      <w:r w:rsidR="004372C4" w:rsidRPr="002041DF">
        <w:rPr>
          <w:sz w:val="22"/>
          <w:szCs w:val="22"/>
          <w:lang w:val="sr-Latn-ME"/>
        </w:rPr>
        <w:t>nedjelja</w:t>
      </w:r>
      <w:r w:rsidRPr="002041DF">
        <w:rPr>
          <w:sz w:val="22"/>
          <w:szCs w:val="22"/>
          <w:lang w:val="sr-Latn-ME"/>
        </w:rPr>
        <w:t>.</w:t>
      </w:r>
    </w:p>
    <w:p w14:paraId="06D96150" w14:textId="77777777" w:rsidR="00C27BFA" w:rsidRPr="002041DF" w:rsidRDefault="00C27BFA" w:rsidP="002041DF">
      <w:pPr>
        <w:pStyle w:val="Header"/>
        <w:widowControl w:val="0"/>
        <w:jc w:val="both"/>
        <w:rPr>
          <w:sz w:val="22"/>
          <w:szCs w:val="22"/>
          <w:lang w:val="sr-Latn-ME"/>
        </w:rPr>
      </w:pPr>
    </w:p>
    <w:p w14:paraId="5C76DD6D" w14:textId="2B05C6DF" w:rsidR="00C27BFA" w:rsidRPr="002041DF" w:rsidRDefault="00C27BFA" w:rsidP="002041DF">
      <w:pPr>
        <w:pStyle w:val="Header"/>
        <w:widowControl w:val="0"/>
        <w:jc w:val="both"/>
        <w:rPr>
          <w:sz w:val="22"/>
          <w:szCs w:val="22"/>
          <w:lang w:val="sr-Latn-ME"/>
        </w:rPr>
      </w:pPr>
      <w:r w:rsidRPr="002041DF">
        <w:rPr>
          <w:sz w:val="22"/>
          <w:szCs w:val="22"/>
          <w:lang w:val="sr-Latn-ME"/>
        </w:rPr>
        <w:t>Pacijenti koji</w:t>
      </w:r>
      <w:r w:rsidR="00E50471" w:rsidRPr="002041DF">
        <w:rPr>
          <w:sz w:val="22"/>
          <w:szCs w:val="22"/>
          <w:lang w:val="sr-Latn-ME"/>
        </w:rPr>
        <w:t xml:space="preserve"> nijesu </w:t>
      </w:r>
      <w:r w:rsidRPr="002041DF">
        <w:rPr>
          <w:sz w:val="22"/>
          <w:szCs w:val="22"/>
          <w:lang w:val="sr-Latn-ME"/>
        </w:rPr>
        <w:t xml:space="preserve">pokazali odgovarajući odgovor u toku 8 </w:t>
      </w:r>
      <w:r w:rsidR="004372C4" w:rsidRPr="002041DF">
        <w:rPr>
          <w:sz w:val="22"/>
          <w:szCs w:val="22"/>
          <w:lang w:val="sr-Latn-ME"/>
        </w:rPr>
        <w:t>nedjelja</w:t>
      </w:r>
      <w:r w:rsidR="005C4A4E" w:rsidRPr="002041DF">
        <w:rPr>
          <w:sz w:val="22"/>
          <w:szCs w:val="22"/>
          <w:lang w:val="sr-Latn-ME"/>
        </w:rPr>
        <w:t xml:space="preserve"> nakon prve sup</w:t>
      </w:r>
      <w:r w:rsidRPr="002041DF">
        <w:rPr>
          <w:sz w:val="22"/>
          <w:szCs w:val="22"/>
          <w:lang w:val="sr-Latn-ME"/>
        </w:rPr>
        <w:t>kutane doze, mogu u to</w:t>
      </w:r>
      <w:r w:rsidR="004372C4" w:rsidRPr="002041DF">
        <w:rPr>
          <w:sz w:val="22"/>
          <w:szCs w:val="22"/>
          <w:lang w:val="sr-Latn-ME"/>
        </w:rPr>
        <w:t xml:space="preserve"> vrijeme </w:t>
      </w:r>
      <w:r w:rsidRPr="002041DF">
        <w:rPr>
          <w:sz w:val="22"/>
          <w:szCs w:val="22"/>
          <w:lang w:val="sr-Latn-ME"/>
        </w:rPr>
        <w:t>primiti drugu su</w:t>
      </w:r>
      <w:r w:rsidR="00345EB0" w:rsidRPr="002041DF">
        <w:rPr>
          <w:sz w:val="22"/>
          <w:szCs w:val="22"/>
          <w:lang w:val="sr-Latn-ME"/>
        </w:rPr>
        <w:t>p</w:t>
      </w:r>
      <w:r w:rsidRPr="002041DF">
        <w:rPr>
          <w:sz w:val="22"/>
          <w:szCs w:val="22"/>
          <w:lang w:val="sr-Latn-ME"/>
        </w:rPr>
        <w:t>kutanu dozu (</w:t>
      </w:r>
      <w:r w:rsidR="006779EA" w:rsidRPr="002041DF">
        <w:rPr>
          <w:sz w:val="22"/>
          <w:szCs w:val="22"/>
          <w:lang w:val="sr-Latn-ME"/>
        </w:rPr>
        <w:t>vidjeti</w:t>
      </w:r>
      <w:r w:rsidRPr="002041DF">
        <w:rPr>
          <w:sz w:val="22"/>
          <w:szCs w:val="22"/>
          <w:lang w:val="sr-Latn-ME"/>
        </w:rPr>
        <w:t xml:space="preserve"> </w:t>
      </w:r>
      <w:r w:rsidR="00292E06" w:rsidRPr="002041DF">
        <w:rPr>
          <w:sz w:val="22"/>
          <w:szCs w:val="22"/>
          <w:lang w:val="sr-Latn-ME"/>
        </w:rPr>
        <w:t>dio</w:t>
      </w:r>
      <w:r w:rsidRPr="002041DF">
        <w:rPr>
          <w:sz w:val="22"/>
          <w:szCs w:val="22"/>
          <w:lang w:val="sr-Latn-ME"/>
        </w:rPr>
        <w:t xml:space="preserve"> 5.1</w:t>
      </w:r>
      <w:r w:rsidR="003917C1" w:rsidRPr="002041DF">
        <w:rPr>
          <w:sz w:val="22"/>
          <w:szCs w:val="22"/>
          <w:lang w:val="sr-Latn-ME"/>
        </w:rPr>
        <w:t>,</w:t>
      </w:r>
      <w:r w:rsidRPr="002041DF">
        <w:rPr>
          <w:sz w:val="22"/>
          <w:szCs w:val="22"/>
          <w:lang w:val="sr-Latn-ME"/>
        </w:rPr>
        <w:t>).</w:t>
      </w:r>
    </w:p>
    <w:p w14:paraId="5719949C" w14:textId="77777777" w:rsidR="00C27BFA" w:rsidRPr="002041DF" w:rsidRDefault="00C27BFA" w:rsidP="002041DF">
      <w:pPr>
        <w:pStyle w:val="Header"/>
        <w:widowControl w:val="0"/>
        <w:jc w:val="both"/>
        <w:rPr>
          <w:sz w:val="22"/>
          <w:szCs w:val="22"/>
          <w:lang w:val="sr-Latn-ME"/>
        </w:rPr>
      </w:pPr>
    </w:p>
    <w:p w14:paraId="0B6701BD" w14:textId="17AB1089" w:rsidR="00C27BFA" w:rsidRPr="002041DF" w:rsidRDefault="005C4A4E" w:rsidP="002041DF">
      <w:pPr>
        <w:pStyle w:val="Header"/>
        <w:widowControl w:val="0"/>
        <w:jc w:val="both"/>
        <w:rPr>
          <w:sz w:val="22"/>
          <w:szCs w:val="22"/>
          <w:lang w:val="sr-Latn-ME"/>
        </w:rPr>
      </w:pPr>
      <w:r w:rsidRPr="002041DF">
        <w:rPr>
          <w:sz w:val="22"/>
          <w:szCs w:val="22"/>
          <w:lang w:val="sr-Latn-ME"/>
        </w:rPr>
        <w:t>Pacijenti</w:t>
      </w:r>
      <w:r w:rsidR="00C27BFA" w:rsidRPr="002041DF">
        <w:rPr>
          <w:sz w:val="22"/>
          <w:szCs w:val="22"/>
          <w:lang w:val="sr-Latn-ME"/>
        </w:rPr>
        <w:t xml:space="preserve"> koji izgube odgovor na terapiju kada se prim</w:t>
      </w:r>
      <w:r w:rsidR="004372C4" w:rsidRPr="002041DF">
        <w:rPr>
          <w:sz w:val="22"/>
          <w:szCs w:val="22"/>
          <w:lang w:val="sr-Latn-ME"/>
        </w:rPr>
        <w:t>j</w:t>
      </w:r>
      <w:r w:rsidR="00C27BFA" w:rsidRPr="002041DF">
        <w:rPr>
          <w:sz w:val="22"/>
          <w:szCs w:val="22"/>
          <w:lang w:val="sr-Latn-ME"/>
        </w:rPr>
        <w:t xml:space="preserve">enjuje režim doziranja svakih 12 </w:t>
      </w:r>
      <w:r w:rsidR="004372C4" w:rsidRPr="002041DF">
        <w:rPr>
          <w:sz w:val="22"/>
          <w:szCs w:val="22"/>
          <w:lang w:val="sr-Latn-ME"/>
        </w:rPr>
        <w:t>nedjelja</w:t>
      </w:r>
      <w:r w:rsidR="00C27BFA" w:rsidRPr="002041DF">
        <w:rPr>
          <w:sz w:val="22"/>
          <w:szCs w:val="22"/>
          <w:lang w:val="sr-Latn-ME"/>
        </w:rPr>
        <w:t xml:space="preserve"> mogu imati koristi od povećanja učestalosti doziranja na svakih 8 </w:t>
      </w:r>
      <w:r w:rsidR="004372C4" w:rsidRPr="002041DF">
        <w:rPr>
          <w:sz w:val="22"/>
          <w:szCs w:val="22"/>
          <w:lang w:val="sr-Latn-ME"/>
        </w:rPr>
        <w:t>nedjelja</w:t>
      </w:r>
      <w:r w:rsidR="00C27BFA" w:rsidRPr="002041DF">
        <w:rPr>
          <w:sz w:val="22"/>
          <w:szCs w:val="22"/>
          <w:lang w:val="sr-Latn-ME"/>
        </w:rPr>
        <w:t xml:space="preserve"> (</w:t>
      </w:r>
      <w:r w:rsidR="006779EA" w:rsidRPr="002041DF">
        <w:rPr>
          <w:sz w:val="22"/>
          <w:szCs w:val="22"/>
          <w:lang w:val="sr-Latn-ME"/>
        </w:rPr>
        <w:t>vidjeti</w:t>
      </w:r>
      <w:r w:rsidR="00C27BFA" w:rsidRPr="002041DF">
        <w:rPr>
          <w:sz w:val="22"/>
          <w:szCs w:val="22"/>
          <w:lang w:val="sr-Latn-ME"/>
        </w:rPr>
        <w:t xml:space="preserve"> </w:t>
      </w:r>
      <w:r w:rsidR="00292E06" w:rsidRPr="002041DF">
        <w:rPr>
          <w:sz w:val="22"/>
          <w:szCs w:val="22"/>
          <w:lang w:val="sr-Latn-ME"/>
        </w:rPr>
        <w:t>d</w:t>
      </w:r>
      <w:r w:rsidR="00557C3E" w:rsidRPr="002041DF">
        <w:rPr>
          <w:sz w:val="22"/>
          <w:szCs w:val="22"/>
          <w:lang w:val="sr-Latn-ME"/>
        </w:rPr>
        <w:t>jelove</w:t>
      </w:r>
      <w:r w:rsidR="00C27BFA" w:rsidRPr="002041DF">
        <w:rPr>
          <w:sz w:val="22"/>
          <w:szCs w:val="22"/>
          <w:lang w:val="sr-Latn-ME"/>
        </w:rPr>
        <w:t xml:space="preserve"> 5.1</w:t>
      </w:r>
      <w:r w:rsidR="00557C3E" w:rsidRPr="002041DF">
        <w:rPr>
          <w:sz w:val="22"/>
          <w:szCs w:val="22"/>
          <w:lang w:val="sr-Latn-ME"/>
        </w:rPr>
        <w:t xml:space="preserve"> i 5.2</w:t>
      </w:r>
      <w:r w:rsidR="00C27BFA" w:rsidRPr="002041DF">
        <w:rPr>
          <w:sz w:val="22"/>
          <w:szCs w:val="22"/>
          <w:lang w:val="sr-Latn-ME"/>
        </w:rPr>
        <w:t>).</w:t>
      </w:r>
    </w:p>
    <w:p w14:paraId="09BA53B4" w14:textId="77777777" w:rsidR="00C27BFA" w:rsidRPr="002041DF" w:rsidRDefault="00C27BFA" w:rsidP="002041DF">
      <w:pPr>
        <w:pStyle w:val="Header"/>
        <w:widowControl w:val="0"/>
        <w:jc w:val="both"/>
        <w:rPr>
          <w:sz w:val="22"/>
          <w:szCs w:val="22"/>
          <w:lang w:val="sr-Latn-ME"/>
        </w:rPr>
      </w:pPr>
    </w:p>
    <w:p w14:paraId="4C29E207" w14:textId="18A6221A" w:rsidR="00C27BFA" w:rsidRPr="002041DF" w:rsidRDefault="00C27BFA" w:rsidP="002041DF">
      <w:pPr>
        <w:pStyle w:val="Header"/>
        <w:widowControl w:val="0"/>
        <w:jc w:val="both"/>
        <w:rPr>
          <w:sz w:val="22"/>
          <w:szCs w:val="22"/>
          <w:lang w:val="sr-Latn-ME"/>
        </w:rPr>
      </w:pPr>
      <w:r w:rsidRPr="002041DF">
        <w:rPr>
          <w:sz w:val="22"/>
          <w:szCs w:val="22"/>
          <w:lang w:val="sr-Latn-ME"/>
        </w:rPr>
        <w:t xml:space="preserve">Pacijentima se naknadno može dati doza na svakih 8 </w:t>
      </w:r>
      <w:r w:rsidR="004372C4" w:rsidRPr="002041DF">
        <w:rPr>
          <w:sz w:val="22"/>
          <w:szCs w:val="22"/>
          <w:lang w:val="sr-Latn-ME"/>
        </w:rPr>
        <w:t>nedjelja</w:t>
      </w:r>
      <w:r w:rsidRPr="002041DF">
        <w:rPr>
          <w:sz w:val="22"/>
          <w:szCs w:val="22"/>
          <w:lang w:val="sr-Latn-ME"/>
        </w:rPr>
        <w:t xml:space="preserve"> ili svakih 12 </w:t>
      </w:r>
      <w:r w:rsidR="004372C4" w:rsidRPr="002041DF">
        <w:rPr>
          <w:sz w:val="22"/>
          <w:szCs w:val="22"/>
          <w:lang w:val="sr-Latn-ME"/>
        </w:rPr>
        <w:t>nedjelja</w:t>
      </w:r>
      <w:r w:rsidRPr="002041DF">
        <w:rPr>
          <w:sz w:val="22"/>
          <w:szCs w:val="22"/>
          <w:lang w:val="sr-Latn-ME"/>
        </w:rPr>
        <w:t xml:space="preserve"> u skladu sa kliničkom proc</w:t>
      </w:r>
      <w:r w:rsidR="004372C4" w:rsidRPr="002041DF">
        <w:rPr>
          <w:sz w:val="22"/>
          <w:szCs w:val="22"/>
          <w:lang w:val="sr-Latn-ME"/>
        </w:rPr>
        <w:t>j</w:t>
      </w:r>
      <w:r w:rsidRPr="002041DF">
        <w:rPr>
          <w:sz w:val="22"/>
          <w:szCs w:val="22"/>
          <w:lang w:val="sr-Latn-ME"/>
        </w:rPr>
        <w:t>enom (</w:t>
      </w:r>
      <w:r w:rsidR="006779EA" w:rsidRPr="002041DF">
        <w:rPr>
          <w:sz w:val="22"/>
          <w:szCs w:val="22"/>
          <w:lang w:val="sr-Latn-ME"/>
        </w:rPr>
        <w:t>vidjeti</w:t>
      </w:r>
      <w:r w:rsidRPr="002041DF">
        <w:rPr>
          <w:sz w:val="22"/>
          <w:szCs w:val="22"/>
          <w:lang w:val="sr-Latn-ME"/>
        </w:rPr>
        <w:t xml:space="preserve"> </w:t>
      </w:r>
      <w:r w:rsidR="00292E06" w:rsidRPr="002041DF">
        <w:rPr>
          <w:sz w:val="22"/>
          <w:szCs w:val="22"/>
          <w:lang w:val="sr-Latn-ME"/>
        </w:rPr>
        <w:t>dio</w:t>
      </w:r>
      <w:r w:rsidRPr="002041DF">
        <w:rPr>
          <w:sz w:val="22"/>
          <w:szCs w:val="22"/>
          <w:lang w:val="sr-Latn-ME"/>
        </w:rPr>
        <w:t xml:space="preserve"> 5.1).</w:t>
      </w:r>
    </w:p>
    <w:p w14:paraId="7DD104E0" w14:textId="77777777" w:rsidR="00C27BFA" w:rsidRPr="002041DF" w:rsidRDefault="00C27BFA" w:rsidP="002041DF">
      <w:pPr>
        <w:pStyle w:val="Header"/>
        <w:widowControl w:val="0"/>
        <w:jc w:val="both"/>
        <w:rPr>
          <w:sz w:val="22"/>
          <w:szCs w:val="22"/>
          <w:lang w:val="sr-Latn-ME"/>
        </w:rPr>
      </w:pPr>
    </w:p>
    <w:p w14:paraId="56B4F983" w14:textId="310D39AD" w:rsidR="00C27BFA" w:rsidRPr="002041DF" w:rsidRDefault="00C27BFA" w:rsidP="002041DF">
      <w:pPr>
        <w:pStyle w:val="Header"/>
        <w:widowControl w:val="0"/>
        <w:jc w:val="both"/>
        <w:rPr>
          <w:sz w:val="22"/>
          <w:szCs w:val="22"/>
          <w:lang w:val="sr-Latn-ME"/>
        </w:rPr>
      </w:pPr>
      <w:r w:rsidRPr="002041DF">
        <w:rPr>
          <w:sz w:val="22"/>
          <w:szCs w:val="22"/>
          <w:lang w:val="sr-Latn-ME"/>
        </w:rPr>
        <w:t xml:space="preserve">Kod pacijenata kod kojih se 16 </w:t>
      </w:r>
      <w:r w:rsidR="001849A3" w:rsidRPr="002041DF">
        <w:rPr>
          <w:sz w:val="22"/>
          <w:szCs w:val="22"/>
          <w:lang w:val="sr-Latn-ME"/>
        </w:rPr>
        <w:t xml:space="preserve">nedjelja </w:t>
      </w:r>
      <w:r w:rsidR="003917C1" w:rsidRPr="002041DF">
        <w:rPr>
          <w:sz w:val="22"/>
          <w:szCs w:val="22"/>
          <w:lang w:val="sr-Latn-ME"/>
        </w:rPr>
        <w:t>posl</w:t>
      </w:r>
      <w:r w:rsidR="001849A3" w:rsidRPr="002041DF">
        <w:rPr>
          <w:sz w:val="22"/>
          <w:szCs w:val="22"/>
          <w:lang w:val="sr-Latn-ME"/>
        </w:rPr>
        <w:t>ij</w:t>
      </w:r>
      <w:r w:rsidR="003917C1" w:rsidRPr="002041DF">
        <w:rPr>
          <w:sz w:val="22"/>
          <w:szCs w:val="22"/>
          <w:lang w:val="sr-Latn-ME"/>
        </w:rPr>
        <w:t>e IV indukcione doze</w:t>
      </w:r>
      <w:r w:rsidRPr="002041DF">
        <w:rPr>
          <w:sz w:val="22"/>
          <w:szCs w:val="22"/>
          <w:lang w:val="sr-Latn-ME"/>
        </w:rPr>
        <w:t xml:space="preserve"> ili 16 </w:t>
      </w:r>
      <w:r w:rsidR="004372C4" w:rsidRPr="002041DF">
        <w:rPr>
          <w:sz w:val="22"/>
          <w:szCs w:val="22"/>
          <w:lang w:val="sr-Latn-ME"/>
        </w:rPr>
        <w:t>nedjelja</w:t>
      </w:r>
      <w:r w:rsidRPr="002041DF">
        <w:rPr>
          <w:sz w:val="22"/>
          <w:szCs w:val="22"/>
          <w:lang w:val="sr-Latn-ME"/>
        </w:rPr>
        <w:t xml:space="preserve"> nakon prelaska na prim</w:t>
      </w:r>
      <w:r w:rsidR="004372C4" w:rsidRPr="002041DF">
        <w:rPr>
          <w:sz w:val="22"/>
          <w:szCs w:val="22"/>
          <w:lang w:val="sr-Latn-ME"/>
        </w:rPr>
        <w:t>j</w:t>
      </w:r>
      <w:r w:rsidRPr="002041DF">
        <w:rPr>
          <w:sz w:val="22"/>
          <w:szCs w:val="22"/>
          <w:lang w:val="sr-Latn-ME"/>
        </w:rPr>
        <w:t xml:space="preserve">enu </w:t>
      </w:r>
      <w:r w:rsidR="003917C1" w:rsidRPr="002041DF">
        <w:rPr>
          <w:sz w:val="22"/>
          <w:szCs w:val="22"/>
          <w:lang w:val="sr-Latn-ME"/>
        </w:rPr>
        <w:t xml:space="preserve">doze održavanja </w:t>
      </w:r>
      <w:r w:rsidRPr="002041DF">
        <w:rPr>
          <w:sz w:val="22"/>
          <w:szCs w:val="22"/>
          <w:lang w:val="sr-Latn-ME"/>
        </w:rPr>
        <w:t xml:space="preserve">svakih 8 </w:t>
      </w:r>
      <w:r w:rsidR="004372C4" w:rsidRPr="002041DF">
        <w:rPr>
          <w:sz w:val="22"/>
          <w:szCs w:val="22"/>
          <w:lang w:val="sr-Latn-ME"/>
        </w:rPr>
        <w:t>nedjelja</w:t>
      </w:r>
      <w:r w:rsidRPr="002041DF">
        <w:rPr>
          <w:sz w:val="22"/>
          <w:szCs w:val="22"/>
          <w:lang w:val="sr-Latn-ME"/>
        </w:rPr>
        <w:t xml:space="preserve"> ne pokaže terapijska korist, treba razmotriti prekid l</w:t>
      </w:r>
      <w:r w:rsidR="004372C4" w:rsidRPr="002041DF">
        <w:rPr>
          <w:sz w:val="22"/>
          <w:szCs w:val="22"/>
          <w:lang w:val="sr-Latn-ME"/>
        </w:rPr>
        <w:t>ij</w:t>
      </w:r>
      <w:r w:rsidRPr="002041DF">
        <w:rPr>
          <w:sz w:val="22"/>
          <w:szCs w:val="22"/>
          <w:lang w:val="sr-Latn-ME"/>
        </w:rPr>
        <w:t>ečenja.</w:t>
      </w:r>
    </w:p>
    <w:p w14:paraId="77D50568" w14:textId="77777777" w:rsidR="00C27BFA" w:rsidRPr="002041DF" w:rsidRDefault="00C27BFA" w:rsidP="002041DF">
      <w:pPr>
        <w:pStyle w:val="Header"/>
        <w:widowControl w:val="0"/>
        <w:tabs>
          <w:tab w:val="clear" w:pos="9406"/>
          <w:tab w:val="right" w:pos="8886"/>
        </w:tabs>
        <w:jc w:val="both"/>
        <w:rPr>
          <w:sz w:val="22"/>
          <w:szCs w:val="22"/>
          <w:lang w:val="sr-Latn-ME"/>
        </w:rPr>
      </w:pPr>
    </w:p>
    <w:p w14:paraId="423D596C" w14:textId="48356CAE" w:rsidR="00C27BFA" w:rsidRPr="002041DF" w:rsidRDefault="00370219" w:rsidP="002041DF">
      <w:pPr>
        <w:pStyle w:val="Header"/>
        <w:widowControl w:val="0"/>
        <w:jc w:val="both"/>
        <w:rPr>
          <w:sz w:val="22"/>
          <w:szCs w:val="22"/>
          <w:lang w:val="sr-Latn-ME"/>
        </w:rPr>
      </w:pPr>
      <w:r w:rsidRPr="002041DF">
        <w:rPr>
          <w:sz w:val="22"/>
          <w:szCs w:val="22"/>
          <w:lang w:val="sr-Latn-ME"/>
        </w:rPr>
        <w:t>Prim</w:t>
      </w:r>
      <w:r w:rsidR="004372C4" w:rsidRPr="002041DF">
        <w:rPr>
          <w:sz w:val="22"/>
          <w:szCs w:val="22"/>
          <w:lang w:val="sr-Latn-ME"/>
        </w:rPr>
        <w:t>j</w:t>
      </w:r>
      <w:r w:rsidRPr="002041DF">
        <w:rPr>
          <w:sz w:val="22"/>
          <w:szCs w:val="22"/>
          <w:lang w:val="sr-Latn-ME"/>
        </w:rPr>
        <w:t xml:space="preserve">ena </w:t>
      </w:r>
      <w:r w:rsidR="00C27BFA" w:rsidRPr="002041DF">
        <w:rPr>
          <w:sz w:val="22"/>
          <w:szCs w:val="22"/>
          <w:lang w:val="sr-Latn-ME"/>
        </w:rPr>
        <w:t xml:space="preserve">imunomodulatora i/ili kortikosteroida </w:t>
      </w:r>
      <w:r w:rsidR="0062640A" w:rsidRPr="002041DF">
        <w:rPr>
          <w:sz w:val="22"/>
          <w:szCs w:val="22"/>
          <w:lang w:val="sr-Latn-ME"/>
        </w:rPr>
        <w:t xml:space="preserve">se može nastaviti </w:t>
      </w:r>
      <w:r w:rsidR="00C27BFA" w:rsidRPr="002041DF">
        <w:rPr>
          <w:sz w:val="22"/>
          <w:szCs w:val="22"/>
          <w:lang w:val="sr-Latn-ME"/>
        </w:rPr>
        <w:t>tokom l</w:t>
      </w:r>
      <w:r w:rsidR="004372C4" w:rsidRPr="002041DF">
        <w:rPr>
          <w:sz w:val="22"/>
          <w:szCs w:val="22"/>
          <w:lang w:val="sr-Latn-ME"/>
        </w:rPr>
        <w:t>ij</w:t>
      </w:r>
      <w:r w:rsidR="00C27BFA" w:rsidRPr="002041DF">
        <w:rPr>
          <w:sz w:val="22"/>
          <w:szCs w:val="22"/>
          <w:lang w:val="sr-Latn-ME"/>
        </w:rPr>
        <w:t>ečenja l</w:t>
      </w:r>
      <w:r w:rsidR="004372C4" w:rsidRPr="002041DF">
        <w:rPr>
          <w:sz w:val="22"/>
          <w:szCs w:val="22"/>
          <w:lang w:val="sr-Latn-ME"/>
        </w:rPr>
        <w:t>ij</w:t>
      </w:r>
      <w:r w:rsidR="00C27BFA" w:rsidRPr="002041DF">
        <w:rPr>
          <w:sz w:val="22"/>
          <w:szCs w:val="22"/>
          <w:lang w:val="sr-Latn-ME"/>
        </w:rPr>
        <w:t xml:space="preserve">ekom Stelara. Kod pacijenata koji su odgovorili na </w:t>
      </w:r>
      <w:r w:rsidR="00C23E53" w:rsidRPr="002041DF">
        <w:rPr>
          <w:sz w:val="22"/>
          <w:szCs w:val="22"/>
          <w:lang w:val="sr-Latn-ME"/>
        </w:rPr>
        <w:t>liječenje</w:t>
      </w:r>
      <w:r w:rsidR="00C27BFA" w:rsidRPr="002041DF">
        <w:rPr>
          <w:sz w:val="22"/>
          <w:szCs w:val="22"/>
          <w:lang w:val="sr-Latn-ME"/>
        </w:rPr>
        <w:t xml:space="preserve"> l</w:t>
      </w:r>
      <w:r w:rsidR="004372C4" w:rsidRPr="002041DF">
        <w:rPr>
          <w:sz w:val="22"/>
          <w:szCs w:val="22"/>
          <w:lang w:val="sr-Latn-ME"/>
        </w:rPr>
        <w:t>ij</w:t>
      </w:r>
      <w:r w:rsidR="00C27BFA" w:rsidRPr="002041DF">
        <w:rPr>
          <w:sz w:val="22"/>
          <w:szCs w:val="22"/>
          <w:lang w:val="sr-Latn-ME"/>
        </w:rPr>
        <w:t>ekom Stelara, kortikosteroidi se mogu smanjiti ili obustaviti u skladu sa standardnom terapijom.</w:t>
      </w:r>
    </w:p>
    <w:p w14:paraId="469C5AC7" w14:textId="77777777" w:rsidR="00C27BFA" w:rsidRPr="002041DF" w:rsidRDefault="00C27BFA" w:rsidP="002041DF">
      <w:pPr>
        <w:pStyle w:val="Header"/>
        <w:widowControl w:val="0"/>
        <w:jc w:val="both"/>
        <w:rPr>
          <w:sz w:val="22"/>
          <w:szCs w:val="22"/>
          <w:lang w:val="sr-Latn-ME"/>
        </w:rPr>
      </w:pPr>
    </w:p>
    <w:p w14:paraId="77535643" w14:textId="71EF4517" w:rsidR="00C27BFA" w:rsidRPr="002041DF" w:rsidRDefault="003917C1" w:rsidP="002041DF">
      <w:pPr>
        <w:pStyle w:val="Header"/>
        <w:widowControl w:val="0"/>
        <w:jc w:val="both"/>
        <w:rPr>
          <w:sz w:val="22"/>
          <w:szCs w:val="22"/>
          <w:lang w:val="sr-Latn-ME"/>
        </w:rPr>
      </w:pPr>
      <w:r w:rsidRPr="002041DF">
        <w:rPr>
          <w:sz w:val="22"/>
          <w:szCs w:val="22"/>
          <w:lang w:val="sr-Latn-ME"/>
        </w:rPr>
        <w:t>Kod Kronove bolesti</w:t>
      </w:r>
      <w:r w:rsidR="00A4123B" w:rsidRPr="002041DF">
        <w:rPr>
          <w:sz w:val="22"/>
          <w:szCs w:val="22"/>
          <w:lang w:val="sr-Latn-ME"/>
        </w:rPr>
        <w:t xml:space="preserve"> i</w:t>
      </w:r>
      <w:r w:rsidR="00D81D44" w:rsidRPr="002041DF">
        <w:rPr>
          <w:sz w:val="22"/>
          <w:szCs w:val="22"/>
          <w:lang w:val="sr-Latn-ME"/>
        </w:rPr>
        <w:t>li</w:t>
      </w:r>
      <w:r w:rsidR="00A4123B" w:rsidRPr="002041DF">
        <w:rPr>
          <w:sz w:val="22"/>
          <w:szCs w:val="22"/>
          <w:lang w:val="sr-Latn-ME"/>
        </w:rPr>
        <w:t xml:space="preserve"> ulceroznog kolitisa</w:t>
      </w:r>
      <w:r w:rsidRPr="002041DF">
        <w:rPr>
          <w:sz w:val="22"/>
          <w:szCs w:val="22"/>
          <w:lang w:val="sr-Latn-ME"/>
        </w:rPr>
        <w:t xml:space="preserve">, ukoliko </w:t>
      </w:r>
      <w:r w:rsidR="00C27BFA" w:rsidRPr="002041DF">
        <w:rPr>
          <w:sz w:val="22"/>
          <w:szCs w:val="22"/>
          <w:lang w:val="sr-Latn-ME"/>
        </w:rPr>
        <w:t xml:space="preserve">se </w:t>
      </w:r>
      <w:r w:rsidR="00C23E53" w:rsidRPr="002041DF">
        <w:rPr>
          <w:sz w:val="22"/>
          <w:szCs w:val="22"/>
          <w:lang w:val="sr-Latn-ME"/>
        </w:rPr>
        <w:t>liječenje</w:t>
      </w:r>
      <w:r w:rsidR="00C27BFA" w:rsidRPr="002041DF">
        <w:rPr>
          <w:sz w:val="22"/>
          <w:szCs w:val="22"/>
          <w:lang w:val="sr-Latn-ME"/>
        </w:rPr>
        <w:t xml:space="preserve"> prekine, nastavak </w:t>
      </w:r>
      <w:r w:rsidR="00891C9B" w:rsidRPr="002041DF">
        <w:rPr>
          <w:sz w:val="22"/>
          <w:szCs w:val="22"/>
          <w:lang w:val="sr-Latn-ME"/>
        </w:rPr>
        <w:t>liječen</w:t>
      </w:r>
      <w:r w:rsidR="00C27BFA" w:rsidRPr="002041DF">
        <w:rPr>
          <w:sz w:val="22"/>
          <w:szCs w:val="22"/>
          <w:lang w:val="sr-Latn-ME"/>
        </w:rPr>
        <w:t xml:space="preserve">ja </w:t>
      </w:r>
      <w:r w:rsidR="005C4A4E" w:rsidRPr="002041DF">
        <w:rPr>
          <w:sz w:val="22"/>
          <w:szCs w:val="22"/>
          <w:lang w:val="sr-Latn-ME"/>
        </w:rPr>
        <w:t>sup</w:t>
      </w:r>
      <w:r w:rsidR="00C27BFA" w:rsidRPr="002041DF">
        <w:rPr>
          <w:sz w:val="22"/>
          <w:szCs w:val="22"/>
          <w:lang w:val="sr-Latn-ME"/>
        </w:rPr>
        <w:t xml:space="preserve">kutanim doziranjem na svakih 8 </w:t>
      </w:r>
      <w:r w:rsidR="004372C4" w:rsidRPr="002041DF">
        <w:rPr>
          <w:sz w:val="22"/>
          <w:szCs w:val="22"/>
          <w:lang w:val="sr-Latn-ME"/>
        </w:rPr>
        <w:t>nedjelja</w:t>
      </w:r>
      <w:r w:rsidR="00C27BFA" w:rsidRPr="002041DF">
        <w:rPr>
          <w:sz w:val="22"/>
          <w:szCs w:val="22"/>
          <w:lang w:val="sr-Latn-ME"/>
        </w:rPr>
        <w:t xml:space="preserve"> je </w:t>
      </w:r>
      <w:bookmarkStart w:id="9" w:name="_Hlk504749050"/>
      <w:r w:rsidR="005C4A4E" w:rsidRPr="002041DF">
        <w:rPr>
          <w:sz w:val="22"/>
          <w:szCs w:val="22"/>
          <w:lang w:val="sr-Latn-ME"/>
        </w:rPr>
        <w:t>bezb</w:t>
      </w:r>
      <w:r w:rsidR="004372C4" w:rsidRPr="002041DF">
        <w:rPr>
          <w:sz w:val="22"/>
          <w:szCs w:val="22"/>
          <w:lang w:val="sr-Latn-ME"/>
        </w:rPr>
        <w:t>j</w:t>
      </w:r>
      <w:r w:rsidR="005C4A4E" w:rsidRPr="002041DF">
        <w:rPr>
          <w:sz w:val="22"/>
          <w:szCs w:val="22"/>
          <w:lang w:val="sr-Latn-ME"/>
        </w:rPr>
        <w:t>edan</w:t>
      </w:r>
      <w:r w:rsidR="00C27BFA" w:rsidRPr="002041DF">
        <w:rPr>
          <w:sz w:val="22"/>
          <w:szCs w:val="22"/>
          <w:lang w:val="sr-Latn-ME"/>
        </w:rPr>
        <w:t xml:space="preserve"> i </w:t>
      </w:r>
      <w:r w:rsidR="005C4A4E" w:rsidRPr="002041DF">
        <w:rPr>
          <w:sz w:val="22"/>
          <w:szCs w:val="22"/>
          <w:lang w:val="sr-Latn-ME"/>
        </w:rPr>
        <w:t>efikasan</w:t>
      </w:r>
      <w:r w:rsidR="00C27BFA" w:rsidRPr="002041DF">
        <w:rPr>
          <w:sz w:val="22"/>
          <w:szCs w:val="22"/>
          <w:lang w:val="sr-Latn-ME"/>
        </w:rPr>
        <w:t>.</w:t>
      </w:r>
      <w:bookmarkEnd w:id="9"/>
    </w:p>
    <w:p w14:paraId="454999DA" w14:textId="77777777" w:rsidR="001849A3" w:rsidRPr="002041DF" w:rsidRDefault="001849A3" w:rsidP="002041DF">
      <w:pPr>
        <w:pStyle w:val="Header"/>
        <w:widowControl w:val="0"/>
        <w:jc w:val="both"/>
        <w:rPr>
          <w:i/>
          <w:sz w:val="22"/>
          <w:szCs w:val="22"/>
          <w:lang w:val="sr-Latn-ME"/>
        </w:rPr>
      </w:pPr>
    </w:p>
    <w:p w14:paraId="3D452120" w14:textId="544A6676" w:rsidR="00C27BFA" w:rsidRPr="002041DF" w:rsidRDefault="00C27BFA" w:rsidP="002041DF">
      <w:pPr>
        <w:pStyle w:val="Header"/>
        <w:widowControl w:val="0"/>
        <w:jc w:val="both"/>
        <w:rPr>
          <w:i/>
          <w:sz w:val="22"/>
          <w:szCs w:val="22"/>
          <w:lang w:val="sr-Latn-ME"/>
        </w:rPr>
      </w:pPr>
      <w:r w:rsidRPr="002041DF">
        <w:rPr>
          <w:i/>
          <w:sz w:val="22"/>
          <w:szCs w:val="22"/>
          <w:lang w:val="sr-Latn-ME"/>
        </w:rPr>
        <w:t xml:space="preserve">Stariji </w:t>
      </w:r>
      <w:r w:rsidR="007C1105" w:rsidRPr="002041DF">
        <w:rPr>
          <w:i/>
          <w:sz w:val="22"/>
          <w:szCs w:val="22"/>
          <w:lang w:val="sr-Latn-ME"/>
        </w:rPr>
        <w:t xml:space="preserve">pacijenti </w:t>
      </w:r>
      <w:r w:rsidRPr="002041DF">
        <w:rPr>
          <w:i/>
          <w:sz w:val="22"/>
          <w:szCs w:val="22"/>
          <w:lang w:val="sr-Latn-ME"/>
        </w:rPr>
        <w:t>(≥ 65 godina)</w:t>
      </w:r>
    </w:p>
    <w:p w14:paraId="20149CD9" w14:textId="636A6DAC" w:rsidR="00C27BFA" w:rsidRPr="002041DF" w:rsidRDefault="00C27BFA" w:rsidP="002041DF">
      <w:pPr>
        <w:pStyle w:val="Header"/>
        <w:widowControl w:val="0"/>
        <w:jc w:val="both"/>
        <w:rPr>
          <w:sz w:val="22"/>
          <w:szCs w:val="22"/>
          <w:lang w:val="sr-Latn-ME"/>
        </w:rPr>
      </w:pPr>
      <w:r w:rsidRPr="002041DF">
        <w:rPr>
          <w:sz w:val="22"/>
          <w:szCs w:val="22"/>
          <w:lang w:val="sr-Latn-ME"/>
        </w:rPr>
        <w:t>Nije potrebno prilagođavanje doze za starije pacijente (</w:t>
      </w:r>
      <w:r w:rsidR="006779EA" w:rsidRPr="002041DF">
        <w:rPr>
          <w:sz w:val="22"/>
          <w:szCs w:val="22"/>
          <w:lang w:val="sr-Latn-ME"/>
        </w:rPr>
        <w:t>vidjeti</w:t>
      </w:r>
      <w:r w:rsidRPr="002041DF">
        <w:rPr>
          <w:sz w:val="22"/>
          <w:szCs w:val="22"/>
          <w:lang w:val="sr-Latn-ME"/>
        </w:rPr>
        <w:t xml:space="preserve"> </w:t>
      </w:r>
      <w:r w:rsidR="00292E06" w:rsidRPr="002041DF">
        <w:rPr>
          <w:sz w:val="22"/>
          <w:szCs w:val="22"/>
          <w:lang w:val="sr-Latn-ME"/>
        </w:rPr>
        <w:t>dio</w:t>
      </w:r>
      <w:r w:rsidRPr="002041DF">
        <w:rPr>
          <w:sz w:val="22"/>
          <w:szCs w:val="22"/>
          <w:lang w:val="sr-Latn-ME"/>
        </w:rPr>
        <w:t xml:space="preserve"> 4.4).</w:t>
      </w:r>
    </w:p>
    <w:p w14:paraId="38A1BAAA" w14:textId="77777777" w:rsidR="0047575E" w:rsidRPr="002041DF" w:rsidRDefault="0047575E" w:rsidP="002041DF">
      <w:pPr>
        <w:pStyle w:val="Header"/>
        <w:widowControl w:val="0"/>
        <w:jc w:val="both"/>
        <w:rPr>
          <w:sz w:val="22"/>
          <w:szCs w:val="22"/>
          <w:lang w:val="sr-Latn-ME"/>
        </w:rPr>
      </w:pPr>
    </w:p>
    <w:p w14:paraId="7D21F181" w14:textId="77777777" w:rsidR="00C27BFA" w:rsidRPr="002041DF" w:rsidRDefault="00C27BFA" w:rsidP="002041DF">
      <w:pPr>
        <w:pStyle w:val="Header"/>
        <w:widowControl w:val="0"/>
        <w:tabs>
          <w:tab w:val="left" w:pos="284"/>
        </w:tabs>
        <w:jc w:val="both"/>
        <w:rPr>
          <w:sz w:val="22"/>
          <w:szCs w:val="22"/>
          <w:lang w:val="sr-Latn-ME"/>
        </w:rPr>
      </w:pPr>
      <w:r w:rsidRPr="002041DF">
        <w:rPr>
          <w:i/>
          <w:sz w:val="22"/>
          <w:szCs w:val="22"/>
          <w:lang w:val="sr-Latn-ME"/>
        </w:rPr>
        <w:t>Poremećaj funkcije bubrega i jetre</w:t>
      </w:r>
    </w:p>
    <w:p w14:paraId="1A3AE0B8" w14:textId="67D4B3DA" w:rsidR="00C27BFA" w:rsidRPr="002041DF" w:rsidRDefault="00C27BFA" w:rsidP="002041DF">
      <w:pPr>
        <w:pStyle w:val="Header"/>
        <w:widowControl w:val="0"/>
        <w:tabs>
          <w:tab w:val="clear" w:pos="9406"/>
          <w:tab w:val="right" w:pos="9360"/>
        </w:tabs>
        <w:jc w:val="both"/>
        <w:rPr>
          <w:sz w:val="22"/>
          <w:szCs w:val="22"/>
          <w:lang w:val="sr-Latn-ME"/>
        </w:rPr>
      </w:pPr>
      <w:r w:rsidRPr="002041DF">
        <w:rPr>
          <w:sz w:val="22"/>
          <w:szCs w:val="22"/>
          <w:lang w:val="sr-Latn-ME"/>
        </w:rPr>
        <w:t>Ispitivanja l</w:t>
      </w:r>
      <w:r w:rsidR="004372C4" w:rsidRPr="002041DF">
        <w:rPr>
          <w:sz w:val="22"/>
          <w:szCs w:val="22"/>
          <w:lang w:val="sr-Latn-ME"/>
        </w:rPr>
        <w:t>ij</w:t>
      </w:r>
      <w:r w:rsidRPr="002041DF">
        <w:rPr>
          <w:sz w:val="22"/>
          <w:szCs w:val="22"/>
          <w:lang w:val="sr-Latn-ME"/>
        </w:rPr>
        <w:t xml:space="preserve">eka Stelara u </w:t>
      </w:r>
      <w:r w:rsidR="0062640A" w:rsidRPr="002041DF">
        <w:rPr>
          <w:sz w:val="22"/>
          <w:szCs w:val="22"/>
          <w:lang w:val="sr-Latn-ME"/>
        </w:rPr>
        <w:t>ovoj</w:t>
      </w:r>
      <w:r w:rsidRPr="002041DF">
        <w:rPr>
          <w:sz w:val="22"/>
          <w:szCs w:val="22"/>
          <w:lang w:val="sr-Latn-ME"/>
        </w:rPr>
        <w:t xml:space="preserve"> populaciji pacijenata</w:t>
      </w:r>
      <w:r w:rsidR="00E50471" w:rsidRPr="002041DF">
        <w:rPr>
          <w:sz w:val="22"/>
          <w:szCs w:val="22"/>
          <w:lang w:val="sr-Latn-ME"/>
        </w:rPr>
        <w:t xml:space="preserve"> nijesu </w:t>
      </w:r>
      <w:r w:rsidRPr="002041DF">
        <w:rPr>
          <w:sz w:val="22"/>
          <w:szCs w:val="22"/>
          <w:lang w:val="sr-Latn-ME"/>
        </w:rPr>
        <w:t>sprovedena. Ne mogu se dati preporuke</w:t>
      </w:r>
      <w:r w:rsidR="00407AAC" w:rsidRPr="002041DF">
        <w:rPr>
          <w:sz w:val="22"/>
          <w:szCs w:val="22"/>
          <w:lang w:val="sr-Latn-ME"/>
        </w:rPr>
        <w:t xml:space="preserve"> za </w:t>
      </w:r>
      <w:r w:rsidRPr="002041DF">
        <w:rPr>
          <w:sz w:val="22"/>
          <w:szCs w:val="22"/>
          <w:lang w:val="sr-Latn-ME"/>
        </w:rPr>
        <w:t>doziranje.</w:t>
      </w:r>
    </w:p>
    <w:p w14:paraId="5FCBBA40" w14:textId="77777777" w:rsidR="00C27BFA" w:rsidRPr="002041DF" w:rsidRDefault="00C27BFA" w:rsidP="002041DF">
      <w:pPr>
        <w:pStyle w:val="Header"/>
        <w:widowControl w:val="0"/>
        <w:jc w:val="both"/>
        <w:rPr>
          <w:sz w:val="22"/>
          <w:szCs w:val="22"/>
          <w:lang w:val="sr-Latn-ME"/>
        </w:rPr>
      </w:pPr>
    </w:p>
    <w:p w14:paraId="25B50710" w14:textId="77777777" w:rsidR="00C27BFA" w:rsidRPr="002041DF" w:rsidRDefault="00C27BFA" w:rsidP="002041DF">
      <w:pPr>
        <w:pStyle w:val="Header"/>
        <w:widowControl w:val="0"/>
        <w:jc w:val="both"/>
        <w:rPr>
          <w:b/>
          <w:i/>
          <w:sz w:val="22"/>
          <w:szCs w:val="22"/>
          <w:lang w:val="sr-Latn-ME"/>
        </w:rPr>
      </w:pPr>
      <w:r w:rsidRPr="002041DF">
        <w:rPr>
          <w:b/>
          <w:i/>
          <w:sz w:val="22"/>
          <w:szCs w:val="22"/>
          <w:lang w:val="sr-Latn-ME"/>
        </w:rPr>
        <w:t>Pedijatrijska populacija</w:t>
      </w:r>
    </w:p>
    <w:p w14:paraId="2CDCB42D" w14:textId="44810BAE" w:rsidR="00C27BFA" w:rsidRPr="002041DF" w:rsidRDefault="00C27BFA" w:rsidP="002041DF">
      <w:pPr>
        <w:pStyle w:val="Header"/>
        <w:widowControl w:val="0"/>
        <w:tabs>
          <w:tab w:val="clear" w:pos="9406"/>
          <w:tab w:val="right" w:pos="9360"/>
        </w:tabs>
        <w:jc w:val="both"/>
        <w:rPr>
          <w:sz w:val="22"/>
          <w:szCs w:val="22"/>
          <w:lang w:val="sr-Latn-ME"/>
        </w:rPr>
      </w:pPr>
      <w:r w:rsidRPr="002041DF">
        <w:rPr>
          <w:sz w:val="22"/>
          <w:szCs w:val="22"/>
          <w:lang w:val="sr-Latn-ME"/>
        </w:rPr>
        <w:t>Bezb</w:t>
      </w:r>
      <w:r w:rsidR="004372C4" w:rsidRPr="002041DF">
        <w:rPr>
          <w:sz w:val="22"/>
          <w:szCs w:val="22"/>
          <w:lang w:val="sr-Latn-ME"/>
        </w:rPr>
        <w:t>j</w:t>
      </w:r>
      <w:r w:rsidRPr="002041DF">
        <w:rPr>
          <w:sz w:val="22"/>
          <w:szCs w:val="22"/>
          <w:lang w:val="sr-Latn-ME"/>
        </w:rPr>
        <w:t xml:space="preserve">ednost i efikasnost </w:t>
      </w:r>
      <w:r w:rsidR="00F32341" w:rsidRPr="002041DF">
        <w:rPr>
          <w:sz w:val="22"/>
          <w:szCs w:val="22"/>
          <w:lang w:val="sr-Latn-ME"/>
        </w:rPr>
        <w:t>l</w:t>
      </w:r>
      <w:r w:rsidR="004372C4" w:rsidRPr="002041DF">
        <w:rPr>
          <w:sz w:val="22"/>
          <w:szCs w:val="22"/>
          <w:lang w:val="sr-Latn-ME"/>
        </w:rPr>
        <w:t>ij</w:t>
      </w:r>
      <w:r w:rsidR="00F32341" w:rsidRPr="002041DF">
        <w:rPr>
          <w:sz w:val="22"/>
          <w:szCs w:val="22"/>
          <w:lang w:val="sr-Latn-ME"/>
        </w:rPr>
        <w:t>eka Stelara u l</w:t>
      </w:r>
      <w:r w:rsidR="004372C4" w:rsidRPr="002041DF">
        <w:rPr>
          <w:sz w:val="22"/>
          <w:szCs w:val="22"/>
          <w:lang w:val="sr-Latn-ME"/>
        </w:rPr>
        <w:t>ij</w:t>
      </w:r>
      <w:r w:rsidR="00F32341" w:rsidRPr="002041DF">
        <w:rPr>
          <w:sz w:val="22"/>
          <w:szCs w:val="22"/>
          <w:lang w:val="sr-Latn-ME"/>
        </w:rPr>
        <w:t>ečenju Kro</w:t>
      </w:r>
      <w:r w:rsidRPr="002041DF">
        <w:rPr>
          <w:sz w:val="22"/>
          <w:szCs w:val="22"/>
          <w:lang w:val="sr-Latn-ME"/>
        </w:rPr>
        <w:t xml:space="preserve">nove bolesti </w:t>
      </w:r>
      <w:r w:rsidR="003917C1" w:rsidRPr="002041DF">
        <w:rPr>
          <w:sz w:val="22"/>
          <w:szCs w:val="22"/>
          <w:lang w:val="sr-Latn-ME"/>
        </w:rPr>
        <w:t xml:space="preserve">ili ulceroznog kolitisa </w:t>
      </w:r>
      <w:r w:rsidRPr="002041DF">
        <w:rPr>
          <w:sz w:val="22"/>
          <w:szCs w:val="22"/>
          <w:lang w:val="sr-Latn-ME"/>
        </w:rPr>
        <w:t>kod d</w:t>
      </w:r>
      <w:r w:rsidR="004372C4" w:rsidRPr="002041DF">
        <w:rPr>
          <w:sz w:val="22"/>
          <w:szCs w:val="22"/>
          <w:lang w:val="sr-Latn-ME"/>
        </w:rPr>
        <w:t>j</w:t>
      </w:r>
      <w:r w:rsidRPr="002041DF">
        <w:rPr>
          <w:sz w:val="22"/>
          <w:szCs w:val="22"/>
          <w:lang w:val="sr-Latn-ME"/>
        </w:rPr>
        <w:t xml:space="preserve">ece </w:t>
      </w:r>
      <w:r w:rsidR="006D6A83" w:rsidRPr="002041DF">
        <w:rPr>
          <w:sz w:val="22"/>
          <w:szCs w:val="22"/>
          <w:lang w:val="sr-Latn-ME"/>
        </w:rPr>
        <w:t xml:space="preserve">i adolescenata </w:t>
      </w:r>
      <w:r w:rsidRPr="002041DF">
        <w:rPr>
          <w:sz w:val="22"/>
          <w:szCs w:val="22"/>
          <w:lang w:val="sr-Latn-ME"/>
        </w:rPr>
        <w:t>mlađ</w:t>
      </w:r>
      <w:r w:rsidR="006D6A83" w:rsidRPr="002041DF">
        <w:rPr>
          <w:sz w:val="22"/>
          <w:szCs w:val="22"/>
          <w:lang w:val="sr-Latn-ME"/>
        </w:rPr>
        <w:t>ih</w:t>
      </w:r>
      <w:r w:rsidRPr="002041DF">
        <w:rPr>
          <w:sz w:val="22"/>
          <w:szCs w:val="22"/>
          <w:lang w:val="sr-Latn-ME"/>
        </w:rPr>
        <w:t xml:space="preserve"> od 18 godina još nije ustanovljena. Nema dostupnih podataka.</w:t>
      </w:r>
      <w:r w:rsidRPr="002041DF">
        <w:rPr>
          <w:sz w:val="22"/>
          <w:szCs w:val="22"/>
          <w:lang w:val="sr-Latn-ME"/>
        </w:rPr>
        <w:cr/>
      </w:r>
    </w:p>
    <w:p w14:paraId="4BE1DDCC" w14:textId="3C3AFAFC" w:rsidR="007C1105" w:rsidRPr="002041DF" w:rsidRDefault="00623D38" w:rsidP="002041DF">
      <w:pPr>
        <w:pStyle w:val="Header"/>
        <w:widowControl w:val="0"/>
        <w:tabs>
          <w:tab w:val="left" w:pos="284"/>
        </w:tabs>
        <w:jc w:val="both"/>
        <w:rPr>
          <w:sz w:val="22"/>
          <w:szCs w:val="22"/>
          <w:u w:val="single"/>
          <w:lang w:val="sr-Latn-ME"/>
        </w:rPr>
      </w:pPr>
      <w:r w:rsidRPr="002041DF">
        <w:rPr>
          <w:sz w:val="22"/>
          <w:szCs w:val="22"/>
          <w:u w:val="single"/>
          <w:lang w:val="sr-Latn-ME"/>
        </w:rPr>
        <w:t>Način prim</w:t>
      </w:r>
      <w:r w:rsidR="004372C4" w:rsidRPr="002041DF">
        <w:rPr>
          <w:sz w:val="22"/>
          <w:szCs w:val="22"/>
          <w:u w:val="single"/>
          <w:lang w:val="sr-Latn-ME"/>
        </w:rPr>
        <w:t>j</w:t>
      </w:r>
      <w:r w:rsidRPr="002041DF">
        <w:rPr>
          <w:sz w:val="22"/>
          <w:szCs w:val="22"/>
          <w:u w:val="single"/>
          <w:lang w:val="sr-Latn-ME"/>
        </w:rPr>
        <w:t>ene</w:t>
      </w:r>
    </w:p>
    <w:p w14:paraId="6E8F9A4E" w14:textId="77777777" w:rsidR="00921FA2" w:rsidRPr="002041DF" w:rsidRDefault="00921FA2" w:rsidP="002041DF">
      <w:pPr>
        <w:pStyle w:val="Header"/>
        <w:widowControl w:val="0"/>
        <w:tabs>
          <w:tab w:val="left" w:pos="284"/>
        </w:tabs>
        <w:jc w:val="both"/>
        <w:rPr>
          <w:sz w:val="22"/>
          <w:szCs w:val="22"/>
          <w:lang w:val="sr-Latn-ME"/>
        </w:rPr>
      </w:pPr>
    </w:p>
    <w:p w14:paraId="3306AC08" w14:textId="1889C763" w:rsidR="00F9201E" w:rsidRPr="002041DF" w:rsidRDefault="00F9201E" w:rsidP="002041DF">
      <w:pPr>
        <w:pStyle w:val="Header"/>
        <w:widowControl w:val="0"/>
        <w:tabs>
          <w:tab w:val="left" w:pos="284"/>
        </w:tabs>
        <w:jc w:val="both"/>
        <w:rPr>
          <w:sz w:val="22"/>
          <w:szCs w:val="22"/>
          <w:lang w:val="sr-Latn-ME"/>
        </w:rPr>
      </w:pPr>
      <w:r w:rsidRPr="002041DF">
        <w:rPr>
          <w:sz w:val="22"/>
          <w:szCs w:val="22"/>
          <w:lang w:val="sr-Latn-ME"/>
        </w:rPr>
        <w:t>L</w:t>
      </w:r>
      <w:r w:rsidR="004372C4" w:rsidRPr="002041DF">
        <w:rPr>
          <w:sz w:val="22"/>
          <w:szCs w:val="22"/>
          <w:lang w:val="sr-Latn-ME"/>
        </w:rPr>
        <w:t>ij</w:t>
      </w:r>
      <w:r w:rsidRPr="002041DF">
        <w:rPr>
          <w:sz w:val="22"/>
          <w:szCs w:val="22"/>
          <w:lang w:val="sr-Latn-ME"/>
        </w:rPr>
        <w:t>ek Stelara</w:t>
      </w:r>
      <w:r w:rsidR="005351A4" w:rsidRPr="002041DF">
        <w:rPr>
          <w:sz w:val="22"/>
          <w:szCs w:val="22"/>
          <w:lang w:val="sr-Latn-ME"/>
        </w:rPr>
        <w:t>, jačine</w:t>
      </w:r>
      <w:r w:rsidRPr="002041DF">
        <w:rPr>
          <w:sz w:val="22"/>
          <w:szCs w:val="22"/>
          <w:lang w:val="sr-Latn-ME"/>
        </w:rPr>
        <w:t xml:space="preserve"> </w:t>
      </w:r>
      <w:r w:rsidR="002E6137" w:rsidRPr="002041DF">
        <w:rPr>
          <w:sz w:val="22"/>
          <w:szCs w:val="22"/>
          <w:lang w:val="sr-Latn-ME"/>
        </w:rPr>
        <w:t>90 mg/</w:t>
      </w:r>
      <w:r w:rsidR="00AA3CA9" w:rsidRPr="002041DF">
        <w:rPr>
          <w:sz w:val="22"/>
          <w:szCs w:val="22"/>
          <w:lang w:val="sr-Latn-ME"/>
        </w:rPr>
        <w:t>ml</w:t>
      </w:r>
      <w:r w:rsidR="00AB5253" w:rsidRPr="002041DF">
        <w:rPr>
          <w:sz w:val="22"/>
          <w:szCs w:val="22"/>
          <w:lang w:val="sr-Latn-ME"/>
        </w:rPr>
        <w:t xml:space="preserve">, </w:t>
      </w:r>
      <w:r w:rsidR="005351A4" w:rsidRPr="002041DF">
        <w:rPr>
          <w:sz w:val="22"/>
          <w:szCs w:val="22"/>
          <w:lang w:val="sr-Latn-ME"/>
        </w:rPr>
        <w:t xml:space="preserve">rastvor za injekciju u </w:t>
      </w:r>
      <w:r w:rsidR="002E6137" w:rsidRPr="002041DF">
        <w:rPr>
          <w:sz w:val="22"/>
          <w:szCs w:val="22"/>
          <w:lang w:val="sr-Latn-ME"/>
        </w:rPr>
        <w:t>napunjen</w:t>
      </w:r>
      <w:r w:rsidR="005351A4" w:rsidRPr="002041DF">
        <w:rPr>
          <w:sz w:val="22"/>
          <w:szCs w:val="22"/>
          <w:lang w:val="sr-Latn-ME"/>
        </w:rPr>
        <w:t>om</w:t>
      </w:r>
      <w:r w:rsidR="002E6137" w:rsidRPr="002041DF">
        <w:rPr>
          <w:sz w:val="22"/>
          <w:szCs w:val="22"/>
          <w:lang w:val="sr-Latn-ME"/>
        </w:rPr>
        <w:t xml:space="preserve"> injekcion</w:t>
      </w:r>
      <w:r w:rsidR="005351A4" w:rsidRPr="002041DF">
        <w:rPr>
          <w:sz w:val="22"/>
          <w:szCs w:val="22"/>
          <w:lang w:val="sr-Latn-ME"/>
        </w:rPr>
        <w:t>om</w:t>
      </w:r>
      <w:r w:rsidR="002E6137" w:rsidRPr="002041DF">
        <w:rPr>
          <w:sz w:val="22"/>
          <w:szCs w:val="22"/>
          <w:lang w:val="sr-Latn-ME"/>
        </w:rPr>
        <w:t xml:space="preserve"> špric</w:t>
      </w:r>
      <w:r w:rsidR="005351A4" w:rsidRPr="002041DF">
        <w:rPr>
          <w:sz w:val="22"/>
          <w:szCs w:val="22"/>
          <w:lang w:val="sr-Latn-ME"/>
        </w:rPr>
        <w:t>u</w:t>
      </w:r>
      <w:r w:rsidR="00AB5253" w:rsidRPr="002041DF">
        <w:rPr>
          <w:sz w:val="22"/>
          <w:szCs w:val="22"/>
          <w:lang w:val="sr-Latn-ME"/>
        </w:rPr>
        <w:t>, nam</w:t>
      </w:r>
      <w:r w:rsidR="004372C4" w:rsidRPr="002041DF">
        <w:rPr>
          <w:sz w:val="22"/>
          <w:szCs w:val="22"/>
          <w:lang w:val="sr-Latn-ME"/>
        </w:rPr>
        <w:t>ij</w:t>
      </w:r>
      <w:r w:rsidR="00AB5253" w:rsidRPr="002041DF">
        <w:rPr>
          <w:sz w:val="22"/>
          <w:szCs w:val="22"/>
          <w:lang w:val="sr-Latn-ME"/>
        </w:rPr>
        <w:t>enjen</w:t>
      </w:r>
      <w:r w:rsidR="005351A4" w:rsidRPr="002041DF">
        <w:rPr>
          <w:sz w:val="22"/>
          <w:szCs w:val="22"/>
          <w:lang w:val="sr-Latn-ME"/>
        </w:rPr>
        <w:t xml:space="preserve"> je</w:t>
      </w:r>
      <w:r w:rsidR="00AB5253" w:rsidRPr="002041DF">
        <w:rPr>
          <w:sz w:val="22"/>
          <w:szCs w:val="22"/>
          <w:lang w:val="sr-Latn-ME"/>
        </w:rPr>
        <w:t xml:space="preserve"> </w:t>
      </w:r>
      <w:r w:rsidR="002E6137" w:rsidRPr="002041DF">
        <w:rPr>
          <w:sz w:val="22"/>
          <w:szCs w:val="22"/>
          <w:lang w:val="sr-Latn-ME"/>
        </w:rPr>
        <w:t>samo</w:t>
      </w:r>
      <w:r w:rsidRPr="002041DF">
        <w:rPr>
          <w:sz w:val="22"/>
          <w:szCs w:val="22"/>
          <w:lang w:val="sr-Latn-ME"/>
        </w:rPr>
        <w:t xml:space="preserve"> za supkutanu prim</w:t>
      </w:r>
      <w:r w:rsidR="004372C4" w:rsidRPr="002041DF">
        <w:rPr>
          <w:sz w:val="22"/>
          <w:szCs w:val="22"/>
          <w:lang w:val="sr-Latn-ME"/>
        </w:rPr>
        <w:t>j</w:t>
      </w:r>
      <w:r w:rsidRPr="002041DF">
        <w:rPr>
          <w:sz w:val="22"/>
          <w:szCs w:val="22"/>
          <w:lang w:val="sr-Latn-ME"/>
        </w:rPr>
        <w:t>enu. Ukoliko je moguće, površina kože koja je zahvaćena psorijazom, ne treba da se koristi kao m</w:t>
      </w:r>
      <w:r w:rsidR="004372C4" w:rsidRPr="002041DF">
        <w:rPr>
          <w:sz w:val="22"/>
          <w:szCs w:val="22"/>
          <w:lang w:val="sr-Latn-ME"/>
        </w:rPr>
        <w:t>j</w:t>
      </w:r>
      <w:r w:rsidRPr="002041DF">
        <w:rPr>
          <w:sz w:val="22"/>
          <w:szCs w:val="22"/>
          <w:lang w:val="sr-Latn-ME"/>
        </w:rPr>
        <w:t>esto prim</w:t>
      </w:r>
      <w:r w:rsidR="004372C4" w:rsidRPr="002041DF">
        <w:rPr>
          <w:sz w:val="22"/>
          <w:szCs w:val="22"/>
          <w:lang w:val="sr-Latn-ME"/>
        </w:rPr>
        <w:t>j</w:t>
      </w:r>
      <w:r w:rsidRPr="002041DF">
        <w:rPr>
          <w:sz w:val="22"/>
          <w:szCs w:val="22"/>
          <w:lang w:val="sr-Latn-ME"/>
        </w:rPr>
        <w:t>ene injekcije.</w:t>
      </w:r>
    </w:p>
    <w:p w14:paraId="22028F57" w14:textId="77777777" w:rsidR="00F9201E" w:rsidRPr="002041DF" w:rsidRDefault="00F9201E" w:rsidP="002041DF">
      <w:pPr>
        <w:pStyle w:val="Header"/>
        <w:widowControl w:val="0"/>
        <w:tabs>
          <w:tab w:val="clear" w:pos="9406"/>
          <w:tab w:val="left" w:pos="284"/>
          <w:tab w:val="right" w:pos="9360"/>
        </w:tabs>
        <w:jc w:val="both"/>
        <w:rPr>
          <w:sz w:val="22"/>
          <w:szCs w:val="22"/>
          <w:lang w:val="sr-Latn-ME"/>
        </w:rPr>
      </w:pPr>
    </w:p>
    <w:p w14:paraId="5741CDAD" w14:textId="43DF4C6E" w:rsidR="00623D38" w:rsidRPr="002041DF" w:rsidRDefault="00F9201E" w:rsidP="002041DF">
      <w:pPr>
        <w:pStyle w:val="Header"/>
        <w:widowControl w:val="0"/>
        <w:tabs>
          <w:tab w:val="clear" w:pos="9406"/>
          <w:tab w:val="left" w:pos="284"/>
          <w:tab w:val="right" w:pos="9360"/>
        </w:tabs>
        <w:jc w:val="both"/>
        <w:rPr>
          <w:sz w:val="22"/>
          <w:szCs w:val="22"/>
          <w:lang w:val="sr-Latn-ME"/>
        </w:rPr>
      </w:pPr>
      <w:r w:rsidRPr="002041DF">
        <w:rPr>
          <w:sz w:val="22"/>
          <w:szCs w:val="22"/>
          <w:lang w:val="sr-Latn-ME"/>
        </w:rPr>
        <w:t xml:space="preserve">U slučaju kada </w:t>
      </w:r>
      <w:r w:rsidR="00C23E53" w:rsidRPr="002041DF">
        <w:rPr>
          <w:sz w:val="22"/>
          <w:szCs w:val="22"/>
          <w:lang w:val="sr-Latn-ME"/>
        </w:rPr>
        <w:t>ljekar</w:t>
      </w:r>
      <w:r w:rsidRPr="002041DF">
        <w:rPr>
          <w:sz w:val="22"/>
          <w:szCs w:val="22"/>
          <w:lang w:val="sr-Latn-ME"/>
        </w:rPr>
        <w:t xml:space="preserve"> odredi da je adekvatno, pacijenti ili njihovi n</w:t>
      </w:r>
      <w:r w:rsidR="00A35D07" w:rsidRPr="002041DF">
        <w:rPr>
          <w:sz w:val="22"/>
          <w:szCs w:val="22"/>
          <w:lang w:val="sr-Latn-ME"/>
        </w:rPr>
        <w:t>j</w:t>
      </w:r>
      <w:r w:rsidRPr="002041DF">
        <w:rPr>
          <w:sz w:val="22"/>
          <w:szCs w:val="22"/>
          <w:lang w:val="sr-Latn-ME"/>
        </w:rPr>
        <w:t>egovatelji mogu sami injektovati l</w:t>
      </w:r>
      <w:r w:rsidR="00A35D07" w:rsidRPr="002041DF">
        <w:rPr>
          <w:sz w:val="22"/>
          <w:szCs w:val="22"/>
          <w:lang w:val="sr-Latn-ME"/>
        </w:rPr>
        <w:t>ij</w:t>
      </w:r>
      <w:r w:rsidRPr="002041DF">
        <w:rPr>
          <w:sz w:val="22"/>
          <w:szCs w:val="22"/>
          <w:lang w:val="sr-Latn-ME"/>
        </w:rPr>
        <w:t>ek Stelara, nakon što su prošli odgovarajuću obuku o tehnici prim</w:t>
      </w:r>
      <w:r w:rsidR="00A35D07" w:rsidRPr="002041DF">
        <w:rPr>
          <w:sz w:val="22"/>
          <w:szCs w:val="22"/>
          <w:lang w:val="sr-Latn-ME"/>
        </w:rPr>
        <w:t>j</w:t>
      </w:r>
      <w:r w:rsidRPr="002041DF">
        <w:rPr>
          <w:sz w:val="22"/>
          <w:szCs w:val="22"/>
          <w:lang w:val="sr-Latn-ME"/>
        </w:rPr>
        <w:t xml:space="preserve">ene supkutane injekcije. Međutim, </w:t>
      </w:r>
      <w:r w:rsidR="00C23E53" w:rsidRPr="002041DF">
        <w:rPr>
          <w:sz w:val="22"/>
          <w:szCs w:val="22"/>
          <w:lang w:val="sr-Latn-ME"/>
        </w:rPr>
        <w:t>ljekar</w:t>
      </w:r>
      <w:r w:rsidRPr="002041DF">
        <w:rPr>
          <w:sz w:val="22"/>
          <w:szCs w:val="22"/>
          <w:lang w:val="sr-Latn-ME"/>
        </w:rPr>
        <w:t xml:space="preserve"> </w:t>
      </w:r>
      <w:r w:rsidR="005B2426" w:rsidRPr="002041DF">
        <w:rPr>
          <w:sz w:val="22"/>
          <w:szCs w:val="22"/>
          <w:lang w:val="sr-Latn-ME"/>
        </w:rPr>
        <w:t>treba da</w:t>
      </w:r>
      <w:r w:rsidRPr="002041DF">
        <w:rPr>
          <w:sz w:val="22"/>
          <w:szCs w:val="22"/>
          <w:lang w:val="sr-Latn-ME"/>
        </w:rPr>
        <w:t xml:space="preserve"> </w:t>
      </w:r>
      <w:r w:rsidR="000A7A57" w:rsidRPr="002041DF">
        <w:rPr>
          <w:sz w:val="22"/>
          <w:szCs w:val="22"/>
          <w:lang w:val="sr-Latn-ME"/>
        </w:rPr>
        <w:t xml:space="preserve">osigura odgovarajuće praćenje </w:t>
      </w:r>
      <w:r w:rsidR="00623D38" w:rsidRPr="002041DF">
        <w:rPr>
          <w:sz w:val="22"/>
          <w:szCs w:val="22"/>
          <w:lang w:val="sr-Latn-ME"/>
        </w:rPr>
        <w:t xml:space="preserve">pacijenta. Pacijenta </w:t>
      </w:r>
      <w:r w:rsidR="0062640A" w:rsidRPr="002041DF">
        <w:rPr>
          <w:sz w:val="22"/>
          <w:szCs w:val="22"/>
          <w:lang w:val="sr-Latn-ME"/>
        </w:rPr>
        <w:t>ili n</w:t>
      </w:r>
      <w:r w:rsidR="00A35D07" w:rsidRPr="002041DF">
        <w:rPr>
          <w:sz w:val="22"/>
          <w:szCs w:val="22"/>
          <w:lang w:val="sr-Latn-ME"/>
        </w:rPr>
        <w:t>j</w:t>
      </w:r>
      <w:r w:rsidR="0062640A" w:rsidRPr="002041DF">
        <w:rPr>
          <w:sz w:val="22"/>
          <w:szCs w:val="22"/>
          <w:lang w:val="sr-Latn-ME"/>
        </w:rPr>
        <w:t xml:space="preserve">egovatelja </w:t>
      </w:r>
      <w:r w:rsidR="00623D38" w:rsidRPr="002041DF">
        <w:rPr>
          <w:sz w:val="22"/>
          <w:szCs w:val="22"/>
          <w:lang w:val="sr-Latn-ME"/>
        </w:rPr>
        <w:t>treba obučiti da prim</w:t>
      </w:r>
      <w:r w:rsidR="00A35D07" w:rsidRPr="002041DF">
        <w:rPr>
          <w:sz w:val="22"/>
          <w:szCs w:val="22"/>
          <w:lang w:val="sr-Latn-ME"/>
        </w:rPr>
        <w:t>ij</w:t>
      </w:r>
      <w:r w:rsidR="00623D38" w:rsidRPr="002041DF">
        <w:rPr>
          <w:sz w:val="22"/>
          <w:szCs w:val="22"/>
          <w:lang w:val="sr-Latn-ME"/>
        </w:rPr>
        <w:t>eni c</w:t>
      </w:r>
      <w:r w:rsidR="00A35D07" w:rsidRPr="002041DF">
        <w:rPr>
          <w:sz w:val="22"/>
          <w:szCs w:val="22"/>
          <w:lang w:val="sr-Latn-ME"/>
        </w:rPr>
        <w:t>j</w:t>
      </w:r>
      <w:r w:rsidR="00623D38" w:rsidRPr="002041DF">
        <w:rPr>
          <w:sz w:val="22"/>
          <w:szCs w:val="22"/>
          <w:lang w:val="sr-Latn-ME"/>
        </w:rPr>
        <w:t>elokupnu dozu</w:t>
      </w:r>
      <w:r w:rsidR="00A35D07" w:rsidRPr="002041DF">
        <w:rPr>
          <w:sz w:val="22"/>
          <w:szCs w:val="22"/>
          <w:lang w:val="sr-Latn-ME"/>
        </w:rPr>
        <w:t xml:space="preserve"> lijeka </w:t>
      </w:r>
      <w:r w:rsidR="00623D38" w:rsidRPr="002041DF">
        <w:rPr>
          <w:sz w:val="22"/>
          <w:szCs w:val="22"/>
          <w:lang w:val="sr-Latn-ME"/>
        </w:rPr>
        <w:t>Stelara prema uputstvima datim u Uputstvu za</w:t>
      </w:r>
      <w:r w:rsidR="00E50471" w:rsidRPr="002041DF">
        <w:rPr>
          <w:sz w:val="22"/>
          <w:szCs w:val="22"/>
          <w:lang w:val="sr-Latn-ME"/>
        </w:rPr>
        <w:t xml:space="preserve"> lijek.</w:t>
      </w:r>
      <w:r w:rsidR="00623D38" w:rsidRPr="002041DF">
        <w:rPr>
          <w:sz w:val="22"/>
          <w:szCs w:val="22"/>
          <w:lang w:val="sr-Latn-ME"/>
        </w:rPr>
        <w:t xml:space="preserve"> Odgovarajuće instrukcije za prim</w:t>
      </w:r>
      <w:r w:rsidR="00A35D07" w:rsidRPr="002041DF">
        <w:rPr>
          <w:sz w:val="22"/>
          <w:szCs w:val="22"/>
          <w:lang w:val="sr-Latn-ME"/>
        </w:rPr>
        <w:t>j</w:t>
      </w:r>
      <w:r w:rsidR="00623D38" w:rsidRPr="002041DF">
        <w:rPr>
          <w:sz w:val="22"/>
          <w:szCs w:val="22"/>
          <w:lang w:val="sr-Latn-ME"/>
        </w:rPr>
        <w:t>enu</w:t>
      </w:r>
      <w:r w:rsidR="00A35D07" w:rsidRPr="002041DF">
        <w:rPr>
          <w:sz w:val="22"/>
          <w:szCs w:val="22"/>
          <w:lang w:val="sr-Latn-ME"/>
        </w:rPr>
        <w:t xml:space="preserve"> lijeka </w:t>
      </w:r>
      <w:r w:rsidR="00623D38" w:rsidRPr="002041DF">
        <w:rPr>
          <w:sz w:val="22"/>
          <w:szCs w:val="22"/>
          <w:lang w:val="sr-Latn-ME"/>
        </w:rPr>
        <w:t>se nalaze u Uputstvu za</w:t>
      </w:r>
      <w:r w:rsidR="00E50471" w:rsidRPr="002041DF">
        <w:rPr>
          <w:sz w:val="22"/>
          <w:szCs w:val="22"/>
          <w:lang w:val="sr-Latn-ME"/>
        </w:rPr>
        <w:t xml:space="preserve"> lijek.</w:t>
      </w:r>
    </w:p>
    <w:p w14:paraId="127C5438" w14:textId="77777777" w:rsidR="00623D38" w:rsidRPr="002041DF" w:rsidRDefault="00623D38" w:rsidP="002041DF">
      <w:pPr>
        <w:pStyle w:val="Header"/>
        <w:widowControl w:val="0"/>
        <w:tabs>
          <w:tab w:val="left" w:pos="284"/>
        </w:tabs>
        <w:jc w:val="both"/>
        <w:rPr>
          <w:sz w:val="22"/>
          <w:szCs w:val="22"/>
          <w:lang w:val="sr-Latn-ME"/>
        </w:rPr>
      </w:pPr>
    </w:p>
    <w:p w14:paraId="46B7B12D" w14:textId="78B2D76F" w:rsidR="00623D38" w:rsidRPr="002041DF" w:rsidRDefault="00623D38" w:rsidP="002041DF">
      <w:pPr>
        <w:pStyle w:val="Header"/>
        <w:widowControl w:val="0"/>
        <w:tabs>
          <w:tab w:val="left" w:pos="284"/>
        </w:tabs>
        <w:jc w:val="both"/>
        <w:rPr>
          <w:sz w:val="22"/>
          <w:szCs w:val="22"/>
          <w:lang w:val="sr-Latn-ME"/>
        </w:rPr>
      </w:pPr>
      <w:r w:rsidRPr="002041DF">
        <w:rPr>
          <w:sz w:val="22"/>
          <w:szCs w:val="22"/>
          <w:lang w:val="sr-Latn-ME"/>
        </w:rPr>
        <w:lastRenderedPageBreak/>
        <w:t>Za dalja uputstva o pripremi i posebnim m</w:t>
      </w:r>
      <w:r w:rsidR="00A35D07" w:rsidRPr="002041DF">
        <w:rPr>
          <w:sz w:val="22"/>
          <w:szCs w:val="22"/>
          <w:lang w:val="sr-Latn-ME"/>
        </w:rPr>
        <w:t>j</w:t>
      </w:r>
      <w:r w:rsidRPr="002041DF">
        <w:rPr>
          <w:sz w:val="22"/>
          <w:szCs w:val="22"/>
          <w:lang w:val="sr-Latn-ME"/>
        </w:rPr>
        <w:t xml:space="preserve">erama upozorenja pri rukovanju, </w:t>
      </w:r>
      <w:r w:rsidR="006779EA" w:rsidRPr="002041DF">
        <w:rPr>
          <w:sz w:val="22"/>
          <w:szCs w:val="22"/>
          <w:lang w:val="sr-Latn-ME"/>
        </w:rPr>
        <w:t>vidjeti</w:t>
      </w:r>
      <w:r w:rsidRPr="002041DF">
        <w:rPr>
          <w:sz w:val="22"/>
          <w:szCs w:val="22"/>
          <w:lang w:val="sr-Latn-ME"/>
        </w:rPr>
        <w:t xml:space="preserve"> </w:t>
      </w:r>
      <w:r w:rsidR="00292E06" w:rsidRPr="002041DF">
        <w:rPr>
          <w:sz w:val="22"/>
          <w:szCs w:val="22"/>
          <w:lang w:val="sr-Latn-ME"/>
        </w:rPr>
        <w:t>dio</w:t>
      </w:r>
      <w:r w:rsidRPr="002041DF">
        <w:rPr>
          <w:sz w:val="22"/>
          <w:szCs w:val="22"/>
          <w:lang w:val="sr-Latn-ME"/>
        </w:rPr>
        <w:t xml:space="preserve"> 6.6.</w:t>
      </w:r>
    </w:p>
    <w:p w14:paraId="1014D41B" w14:textId="77777777" w:rsidR="00623D38" w:rsidRPr="002041DF" w:rsidRDefault="00623D38" w:rsidP="002041DF">
      <w:pPr>
        <w:widowControl w:val="0"/>
        <w:jc w:val="both"/>
        <w:rPr>
          <w:sz w:val="22"/>
          <w:szCs w:val="22"/>
          <w:lang w:val="sr-Latn-ME"/>
        </w:rPr>
      </w:pPr>
    </w:p>
    <w:p w14:paraId="4CE0D229" w14:textId="77777777" w:rsidR="00921FA2" w:rsidRPr="002041DF" w:rsidRDefault="00921FA2" w:rsidP="002041DF">
      <w:pPr>
        <w:widowControl w:val="0"/>
        <w:tabs>
          <w:tab w:val="left" w:pos="540"/>
          <w:tab w:val="left" w:pos="569"/>
        </w:tabs>
        <w:jc w:val="both"/>
        <w:rPr>
          <w:b/>
          <w:bCs/>
          <w:sz w:val="22"/>
          <w:szCs w:val="22"/>
          <w:lang w:val="sr-Latn-ME"/>
        </w:rPr>
      </w:pPr>
      <w:bookmarkStart w:id="10" w:name="_Hlk131771832"/>
      <w:r w:rsidRPr="002041DF">
        <w:rPr>
          <w:b/>
          <w:bCs/>
          <w:sz w:val="22"/>
          <w:szCs w:val="22"/>
          <w:lang w:val="sr-Latn-ME"/>
        </w:rPr>
        <w:t xml:space="preserve">4.3. </w:t>
      </w:r>
      <w:r w:rsidRPr="002041DF">
        <w:rPr>
          <w:b/>
          <w:bCs/>
          <w:sz w:val="22"/>
          <w:szCs w:val="22"/>
          <w:lang w:val="sr-Latn-ME"/>
        </w:rPr>
        <w:tab/>
        <w:t>Kontraindikacije</w:t>
      </w:r>
    </w:p>
    <w:bookmarkEnd w:id="10"/>
    <w:p w14:paraId="1B8AA07E" w14:textId="77777777" w:rsidR="00623D38" w:rsidRPr="002041DF" w:rsidRDefault="00623D38" w:rsidP="002041DF">
      <w:pPr>
        <w:widowControl w:val="0"/>
        <w:jc w:val="both"/>
        <w:rPr>
          <w:sz w:val="22"/>
          <w:szCs w:val="22"/>
          <w:lang w:val="sr-Latn-ME"/>
        </w:rPr>
      </w:pPr>
    </w:p>
    <w:p w14:paraId="303BC74F" w14:textId="50B8F1BC" w:rsidR="00623D38" w:rsidRPr="002041DF" w:rsidRDefault="00623D38" w:rsidP="002041DF">
      <w:pPr>
        <w:pStyle w:val="Header"/>
        <w:widowControl w:val="0"/>
        <w:tabs>
          <w:tab w:val="left" w:pos="284"/>
        </w:tabs>
        <w:jc w:val="both"/>
        <w:rPr>
          <w:sz w:val="22"/>
          <w:szCs w:val="22"/>
          <w:lang w:val="sr-Latn-ME"/>
        </w:rPr>
      </w:pPr>
      <w:r w:rsidRPr="002041DF">
        <w:rPr>
          <w:sz w:val="22"/>
          <w:szCs w:val="22"/>
          <w:lang w:val="sr-Latn-ME"/>
        </w:rPr>
        <w:t>Preos</w:t>
      </w:r>
      <w:r w:rsidR="00A35D07" w:rsidRPr="002041DF">
        <w:rPr>
          <w:sz w:val="22"/>
          <w:szCs w:val="22"/>
          <w:lang w:val="sr-Latn-ME"/>
        </w:rPr>
        <w:t>j</w:t>
      </w:r>
      <w:r w:rsidRPr="002041DF">
        <w:rPr>
          <w:sz w:val="22"/>
          <w:szCs w:val="22"/>
          <w:lang w:val="sr-Latn-ME"/>
        </w:rPr>
        <w:t xml:space="preserve">etljivost na aktivnu supstancu ili bilo koju od pomoćnih </w:t>
      </w:r>
      <w:r w:rsidR="0062640A" w:rsidRPr="002041DF">
        <w:rPr>
          <w:sz w:val="22"/>
          <w:szCs w:val="22"/>
          <w:lang w:val="sr-Latn-ME"/>
        </w:rPr>
        <w:t>supstanci</w:t>
      </w:r>
      <w:r w:rsidR="002F7F13" w:rsidRPr="002041DF">
        <w:rPr>
          <w:sz w:val="22"/>
          <w:szCs w:val="22"/>
          <w:lang w:val="sr-Latn-ME"/>
        </w:rPr>
        <w:t xml:space="preserve"> navedenih u </w:t>
      </w:r>
      <w:r w:rsidR="00292E06" w:rsidRPr="002041DF">
        <w:rPr>
          <w:sz w:val="22"/>
          <w:szCs w:val="22"/>
          <w:lang w:val="sr-Latn-ME"/>
        </w:rPr>
        <w:t xml:space="preserve">dijelu </w:t>
      </w:r>
      <w:r w:rsidR="002F7F13" w:rsidRPr="002041DF">
        <w:rPr>
          <w:sz w:val="22"/>
          <w:szCs w:val="22"/>
          <w:lang w:val="sr-Latn-ME"/>
        </w:rPr>
        <w:t>6.1.</w:t>
      </w:r>
    </w:p>
    <w:p w14:paraId="0059EAC2" w14:textId="77777777" w:rsidR="00623D38" w:rsidRPr="002041DF" w:rsidRDefault="00623D38" w:rsidP="002041DF">
      <w:pPr>
        <w:pStyle w:val="Header"/>
        <w:widowControl w:val="0"/>
        <w:tabs>
          <w:tab w:val="left" w:pos="284"/>
        </w:tabs>
        <w:jc w:val="both"/>
        <w:rPr>
          <w:sz w:val="22"/>
          <w:szCs w:val="22"/>
          <w:lang w:val="sr-Latn-ME"/>
        </w:rPr>
      </w:pPr>
    </w:p>
    <w:p w14:paraId="148FCBC7" w14:textId="621E905D" w:rsidR="00623D38" w:rsidRPr="002041DF" w:rsidRDefault="00623D38" w:rsidP="002041DF">
      <w:pPr>
        <w:widowControl w:val="0"/>
        <w:jc w:val="both"/>
        <w:rPr>
          <w:bCs/>
          <w:sz w:val="22"/>
          <w:szCs w:val="22"/>
          <w:lang w:val="sr-Latn-ME"/>
        </w:rPr>
      </w:pPr>
      <w:r w:rsidRPr="002041DF">
        <w:rPr>
          <w:sz w:val="22"/>
          <w:szCs w:val="22"/>
          <w:lang w:val="sr-Latn-ME"/>
        </w:rPr>
        <w:t>Klinički važna</w:t>
      </w:r>
      <w:r w:rsidR="0062640A" w:rsidRPr="002041DF">
        <w:rPr>
          <w:sz w:val="22"/>
          <w:szCs w:val="22"/>
          <w:lang w:val="sr-Latn-ME"/>
        </w:rPr>
        <w:t>,</w:t>
      </w:r>
      <w:r w:rsidRPr="002041DF">
        <w:rPr>
          <w:sz w:val="22"/>
          <w:szCs w:val="22"/>
          <w:lang w:val="sr-Latn-ME"/>
        </w:rPr>
        <w:t xml:space="preserve"> aktivna infekcija (na prim</w:t>
      </w:r>
      <w:r w:rsidR="00A35D07" w:rsidRPr="002041DF">
        <w:rPr>
          <w:sz w:val="22"/>
          <w:szCs w:val="22"/>
          <w:lang w:val="sr-Latn-ME"/>
        </w:rPr>
        <w:t>j</w:t>
      </w:r>
      <w:r w:rsidRPr="002041DF">
        <w:rPr>
          <w:sz w:val="22"/>
          <w:szCs w:val="22"/>
          <w:lang w:val="sr-Latn-ME"/>
        </w:rPr>
        <w:t>er aktivna tuberkuloza</w:t>
      </w:r>
      <w:r w:rsidR="001C2143" w:rsidRPr="002041DF">
        <w:rPr>
          <w:sz w:val="22"/>
          <w:szCs w:val="22"/>
          <w:lang w:val="sr-Latn-ME"/>
        </w:rPr>
        <w:t xml:space="preserve">, </w:t>
      </w:r>
      <w:r w:rsidR="006779EA" w:rsidRPr="002041DF">
        <w:rPr>
          <w:sz w:val="22"/>
          <w:szCs w:val="22"/>
          <w:lang w:val="sr-Latn-ME"/>
        </w:rPr>
        <w:t>vidjeti</w:t>
      </w:r>
      <w:r w:rsidR="001C2143" w:rsidRPr="002041DF">
        <w:rPr>
          <w:sz w:val="22"/>
          <w:szCs w:val="22"/>
          <w:lang w:val="sr-Latn-ME"/>
        </w:rPr>
        <w:t xml:space="preserve"> </w:t>
      </w:r>
      <w:r w:rsidR="00292E06" w:rsidRPr="002041DF">
        <w:rPr>
          <w:sz w:val="22"/>
          <w:szCs w:val="22"/>
          <w:lang w:val="sr-Latn-ME"/>
        </w:rPr>
        <w:t>dio</w:t>
      </w:r>
      <w:r w:rsidR="001C2143" w:rsidRPr="002041DF">
        <w:rPr>
          <w:sz w:val="22"/>
          <w:szCs w:val="22"/>
          <w:lang w:val="sr-Latn-ME"/>
        </w:rPr>
        <w:t xml:space="preserve"> 4.4</w:t>
      </w:r>
      <w:r w:rsidRPr="002041DF">
        <w:rPr>
          <w:sz w:val="22"/>
          <w:szCs w:val="22"/>
          <w:lang w:val="sr-Latn-ME"/>
        </w:rPr>
        <w:t>).</w:t>
      </w:r>
    </w:p>
    <w:p w14:paraId="6B8946B7" w14:textId="77777777" w:rsidR="00623D38" w:rsidRPr="002041DF" w:rsidRDefault="00623D38" w:rsidP="002041DF">
      <w:pPr>
        <w:widowControl w:val="0"/>
        <w:jc w:val="both"/>
        <w:rPr>
          <w:b/>
          <w:sz w:val="22"/>
          <w:szCs w:val="22"/>
          <w:lang w:val="sr-Latn-ME"/>
        </w:rPr>
      </w:pPr>
    </w:p>
    <w:p w14:paraId="1A37112F" w14:textId="77777777" w:rsidR="00921FA2" w:rsidRPr="002041DF" w:rsidRDefault="00921FA2" w:rsidP="002041DF">
      <w:pPr>
        <w:widowControl w:val="0"/>
        <w:tabs>
          <w:tab w:val="left" w:pos="540"/>
          <w:tab w:val="left" w:pos="569"/>
        </w:tabs>
        <w:jc w:val="both"/>
        <w:rPr>
          <w:b/>
          <w:bCs/>
          <w:sz w:val="22"/>
          <w:szCs w:val="22"/>
          <w:lang w:val="sr-Latn-ME"/>
        </w:rPr>
      </w:pPr>
      <w:bookmarkStart w:id="11" w:name="_Hlk131771844"/>
      <w:r w:rsidRPr="002041DF">
        <w:rPr>
          <w:b/>
          <w:bCs/>
          <w:sz w:val="22"/>
          <w:szCs w:val="22"/>
          <w:lang w:val="sr-Latn-ME"/>
        </w:rPr>
        <w:t xml:space="preserve">4.4. </w:t>
      </w:r>
      <w:r w:rsidRPr="002041DF">
        <w:rPr>
          <w:b/>
          <w:bCs/>
          <w:sz w:val="22"/>
          <w:szCs w:val="22"/>
          <w:lang w:val="sr-Latn-ME"/>
        </w:rPr>
        <w:tab/>
        <w:t>Posebna upozorenja i mjere opreza pri upotrebi lijeka</w:t>
      </w:r>
    </w:p>
    <w:bookmarkEnd w:id="11"/>
    <w:p w14:paraId="79A9ED00" w14:textId="77777777" w:rsidR="00D0232B" w:rsidRPr="002041DF" w:rsidRDefault="00D0232B" w:rsidP="002041DF">
      <w:pPr>
        <w:widowControl w:val="0"/>
        <w:jc w:val="both"/>
        <w:rPr>
          <w:sz w:val="22"/>
          <w:szCs w:val="22"/>
          <w:lang w:val="sr-Latn-ME"/>
        </w:rPr>
      </w:pPr>
    </w:p>
    <w:p w14:paraId="06F60919" w14:textId="6D9F1CEF" w:rsidR="007278FF" w:rsidRPr="002041DF" w:rsidRDefault="00D0232B" w:rsidP="002041DF">
      <w:pPr>
        <w:widowControl w:val="0"/>
        <w:jc w:val="both"/>
        <w:rPr>
          <w:sz w:val="22"/>
          <w:szCs w:val="22"/>
          <w:u w:val="single"/>
          <w:lang w:val="sr-Latn-ME"/>
        </w:rPr>
      </w:pPr>
      <w:bookmarkStart w:id="12" w:name="_Hlk506990861"/>
      <w:r w:rsidRPr="002041DF">
        <w:rPr>
          <w:sz w:val="22"/>
          <w:szCs w:val="22"/>
          <w:u w:val="single"/>
          <w:lang w:val="sr-Latn-ME"/>
        </w:rPr>
        <w:t>S</w:t>
      </w:r>
      <w:r w:rsidR="00BA7EBB" w:rsidRPr="002041DF">
        <w:rPr>
          <w:sz w:val="22"/>
          <w:szCs w:val="22"/>
          <w:u w:val="single"/>
          <w:lang w:val="sr-Latn-ME"/>
        </w:rPr>
        <w:t>l</w:t>
      </w:r>
      <w:r w:rsidR="00574B8C" w:rsidRPr="002041DF">
        <w:rPr>
          <w:sz w:val="22"/>
          <w:szCs w:val="22"/>
          <w:u w:val="single"/>
          <w:lang w:val="sr-Latn-ME"/>
        </w:rPr>
        <w:t>ij</w:t>
      </w:r>
      <w:r w:rsidR="00BA7EBB" w:rsidRPr="002041DF">
        <w:rPr>
          <w:sz w:val="22"/>
          <w:szCs w:val="22"/>
          <w:u w:val="single"/>
          <w:lang w:val="sr-Latn-ME"/>
        </w:rPr>
        <w:t xml:space="preserve">edljivost </w:t>
      </w:r>
    </w:p>
    <w:p w14:paraId="27C7AD5F" w14:textId="38DAAE9C" w:rsidR="00623D38" w:rsidRPr="002041DF" w:rsidRDefault="00751C9D" w:rsidP="002041DF">
      <w:pPr>
        <w:widowControl w:val="0"/>
        <w:jc w:val="both"/>
        <w:rPr>
          <w:sz w:val="22"/>
          <w:szCs w:val="22"/>
          <w:lang w:val="sr-Latn-ME"/>
        </w:rPr>
      </w:pPr>
      <w:r w:rsidRPr="002041DF">
        <w:rPr>
          <w:sz w:val="22"/>
          <w:szCs w:val="22"/>
          <w:lang w:val="sr-Latn-ME"/>
        </w:rPr>
        <w:t>Kako bi se poboljšala sl</w:t>
      </w:r>
      <w:r w:rsidR="0050256F" w:rsidRPr="002041DF">
        <w:rPr>
          <w:sz w:val="22"/>
          <w:szCs w:val="22"/>
          <w:lang w:val="sr-Latn-ME"/>
        </w:rPr>
        <w:t>ij</w:t>
      </w:r>
      <w:r w:rsidRPr="002041DF">
        <w:rPr>
          <w:sz w:val="22"/>
          <w:szCs w:val="22"/>
          <w:lang w:val="sr-Latn-ME"/>
        </w:rPr>
        <w:t xml:space="preserve">edljivost </w:t>
      </w:r>
      <w:r w:rsidR="007278FF" w:rsidRPr="002041DF">
        <w:rPr>
          <w:sz w:val="22"/>
          <w:szCs w:val="22"/>
          <w:lang w:val="sr-Latn-ME"/>
        </w:rPr>
        <w:t xml:space="preserve">bioloških </w:t>
      </w:r>
      <w:r w:rsidR="00D0232B" w:rsidRPr="002041DF">
        <w:rPr>
          <w:sz w:val="22"/>
          <w:szCs w:val="22"/>
          <w:lang w:val="sr-Latn-ME"/>
        </w:rPr>
        <w:t>l</w:t>
      </w:r>
      <w:r w:rsidR="00574B8C" w:rsidRPr="002041DF">
        <w:rPr>
          <w:sz w:val="22"/>
          <w:szCs w:val="22"/>
          <w:lang w:val="sr-Latn-ME"/>
        </w:rPr>
        <w:t>j</w:t>
      </w:r>
      <w:r w:rsidR="00D0232B" w:rsidRPr="002041DF">
        <w:rPr>
          <w:sz w:val="22"/>
          <w:szCs w:val="22"/>
          <w:lang w:val="sr-Latn-ME"/>
        </w:rPr>
        <w:t>ekova</w:t>
      </w:r>
      <w:r w:rsidR="007278FF" w:rsidRPr="002041DF">
        <w:rPr>
          <w:sz w:val="22"/>
          <w:szCs w:val="22"/>
          <w:lang w:val="sr-Latn-ME"/>
        </w:rPr>
        <w:t xml:space="preserve">, </w:t>
      </w:r>
      <w:r w:rsidRPr="002041DF">
        <w:rPr>
          <w:sz w:val="22"/>
          <w:szCs w:val="22"/>
          <w:lang w:val="sr-Latn-ME"/>
        </w:rPr>
        <w:t>zaštićeno ime</w:t>
      </w:r>
      <w:r w:rsidR="00A35D07" w:rsidRPr="002041DF">
        <w:rPr>
          <w:sz w:val="22"/>
          <w:szCs w:val="22"/>
          <w:lang w:val="sr-Latn-ME"/>
        </w:rPr>
        <w:t xml:space="preserve"> lijeka </w:t>
      </w:r>
      <w:r w:rsidR="007278FF" w:rsidRPr="002041DF">
        <w:rPr>
          <w:sz w:val="22"/>
          <w:szCs w:val="22"/>
          <w:lang w:val="sr-Latn-ME"/>
        </w:rPr>
        <w:t xml:space="preserve">i </w:t>
      </w:r>
      <w:r w:rsidR="00D0232B" w:rsidRPr="002041DF">
        <w:rPr>
          <w:sz w:val="22"/>
          <w:szCs w:val="22"/>
          <w:lang w:val="sr-Latn-ME"/>
        </w:rPr>
        <w:t>broj serije</w:t>
      </w:r>
      <w:r w:rsidR="007278FF" w:rsidRPr="002041DF">
        <w:rPr>
          <w:sz w:val="22"/>
          <w:szCs w:val="22"/>
          <w:lang w:val="sr-Latn-ME"/>
        </w:rPr>
        <w:t xml:space="preserve"> prim</w:t>
      </w:r>
      <w:r w:rsidR="0050256F" w:rsidRPr="002041DF">
        <w:rPr>
          <w:sz w:val="22"/>
          <w:szCs w:val="22"/>
          <w:lang w:val="sr-Latn-ME"/>
        </w:rPr>
        <w:t>ij</w:t>
      </w:r>
      <w:r w:rsidR="007278FF" w:rsidRPr="002041DF">
        <w:rPr>
          <w:sz w:val="22"/>
          <w:szCs w:val="22"/>
          <w:lang w:val="sr-Latn-ME"/>
        </w:rPr>
        <w:t>enjenog</w:t>
      </w:r>
      <w:r w:rsidR="00A35D07" w:rsidRPr="002041DF">
        <w:rPr>
          <w:sz w:val="22"/>
          <w:szCs w:val="22"/>
          <w:lang w:val="sr-Latn-ME"/>
        </w:rPr>
        <w:t xml:space="preserve"> lijeka </w:t>
      </w:r>
      <w:r w:rsidRPr="002041DF">
        <w:rPr>
          <w:sz w:val="22"/>
          <w:szCs w:val="22"/>
          <w:lang w:val="sr-Latn-ME"/>
        </w:rPr>
        <w:t>se mora</w:t>
      </w:r>
      <w:r w:rsidR="00D0232B" w:rsidRPr="002041DF">
        <w:rPr>
          <w:sz w:val="22"/>
          <w:szCs w:val="22"/>
          <w:lang w:val="sr-Latn-ME"/>
        </w:rPr>
        <w:t xml:space="preserve"> jasno </w:t>
      </w:r>
      <w:r w:rsidR="0050256F" w:rsidRPr="002041DF">
        <w:rPr>
          <w:sz w:val="22"/>
          <w:szCs w:val="22"/>
          <w:lang w:val="sr-Latn-ME"/>
        </w:rPr>
        <w:t>zabilježiti</w:t>
      </w:r>
      <w:r w:rsidR="00D0232B" w:rsidRPr="002041DF">
        <w:rPr>
          <w:sz w:val="22"/>
          <w:szCs w:val="22"/>
          <w:lang w:val="sr-Latn-ME"/>
        </w:rPr>
        <w:t xml:space="preserve"> u karton</w:t>
      </w:r>
      <w:r w:rsidRPr="002041DF">
        <w:rPr>
          <w:sz w:val="22"/>
          <w:szCs w:val="22"/>
          <w:lang w:val="sr-Latn-ME"/>
        </w:rPr>
        <w:t xml:space="preserve"> pacijenta</w:t>
      </w:r>
      <w:r w:rsidR="007278FF" w:rsidRPr="002041DF">
        <w:rPr>
          <w:sz w:val="22"/>
          <w:szCs w:val="22"/>
          <w:lang w:val="sr-Latn-ME"/>
        </w:rPr>
        <w:t>.</w:t>
      </w:r>
    </w:p>
    <w:bookmarkEnd w:id="12"/>
    <w:p w14:paraId="3252CC36" w14:textId="77777777" w:rsidR="007278FF" w:rsidRPr="002041DF" w:rsidRDefault="007278FF" w:rsidP="002041DF">
      <w:pPr>
        <w:widowControl w:val="0"/>
        <w:jc w:val="both"/>
        <w:rPr>
          <w:sz w:val="22"/>
          <w:szCs w:val="22"/>
          <w:lang w:val="sr-Latn-ME"/>
        </w:rPr>
      </w:pPr>
    </w:p>
    <w:p w14:paraId="2D70FE06" w14:textId="77777777" w:rsidR="00623D38" w:rsidRPr="002041DF" w:rsidRDefault="00623D38" w:rsidP="002041DF">
      <w:pPr>
        <w:pStyle w:val="Header"/>
        <w:widowControl w:val="0"/>
        <w:tabs>
          <w:tab w:val="left" w:pos="284"/>
        </w:tabs>
        <w:jc w:val="both"/>
        <w:rPr>
          <w:sz w:val="22"/>
          <w:szCs w:val="22"/>
          <w:lang w:val="sr-Latn-ME"/>
        </w:rPr>
      </w:pPr>
      <w:r w:rsidRPr="002041DF">
        <w:rPr>
          <w:sz w:val="22"/>
          <w:szCs w:val="22"/>
          <w:u w:val="single"/>
          <w:lang w:val="sr-Latn-ME"/>
        </w:rPr>
        <w:t>Infekcije</w:t>
      </w:r>
    </w:p>
    <w:p w14:paraId="62CDEDD1" w14:textId="37A978BE" w:rsidR="00623D38" w:rsidRPr="002041DF" w:rsidRDefault="00623D38" w:rsidP="002041DF">
      <w:pPr>
        <w:pStyle w:val="Header"/>
        <w:widowControl w:val="0"/>
        <w:tabs>
          <w:tab w:val="left" w:pos="284"/>
        </w:tabs>
        <w:jc w:val="both"/>
        <w:rPr>
          <w:sz w:val="22"/>
          <w:szCs w:val="22"/>
          <w:lang w:val="sr-Latn-ME"/>
        </w:rPr>
      </w:pPr>
      <w:r w:rsidRPr="002041DF">
        <w:rPr>
          <w:sz w:val="22"/>
          <w:szCs w:val="22"/>
          <w:lang w:val="sr-Latn-ME"/>
        </w:rPr>
        <w:t>Ustekinumab može povećati rizik od nastanka infekcija i reaktivacije latentnih infekcija. U kliničkim ispitivanjima</w:t>
      </w:r>
      <w:r w:rsidR="007B7F42" w:rsidRPr="002041DF">
        <w:rPr>
          <w:sz w:val="22"/>
          <w:szCs w:val="22"/>
          <w:lang w:val="sr-Latn-ME"/>
        </w:rPr>
        <w:t xml:space="preserve"> i postmarketinškom opservacionom ispitivanju kod pacijenata sa psorijazom</w:t>
      </w:r>
      <w:r w:rsidRPr="002041DF">
        <w:rPr>
          <w:sz w:val="22"/>
          <w:szCs w:val="22"/>
          <w:lang w:val="sr-Latn-ME"/>
        </w:rPr>
        <w:t xml:space="preserve">, </w:t>
      </w:r>
      <w:r w:rsidR="00A937E0" w:rsidRPr="002041DF">
        <w:rPr>
          <w:sz w:val="22"/>
          <w:szCs w:val="22"/>
          <w:lang w:val="sr-Latn-ME" w:eastAsia="x-none"/>
        </w:rPr>
        <w:t>ozbiljne</w:t>
      </w:r>
      <w:r w:rsidRPr="002041DF">
        <w:rPr>
          <w:sz w:val="22"/>
          <w:szCs w:val="22"/>
          <w:lang w:val="sr-Latn-ME"/>
        </w:rPr>
        <w:t xml:space="preserve"> bakterijske, gljivične i virusne infekcije su prim</w:t>
      </w:r>
      <w:r w:rsidR="0050256F" w:rsidRPr="002041DF">
        <w:rPr>
          <w:sz w:val="22"/>
          <w:szCs w:val="22"/>
          <w:lang w:val="sr-Latn-ME"/>
        </w:rPr>
        <w:t>ij</w:t>
      </w:r>
      <w:r w:rsidRPr="002041DF">
        <w:rPr>
          <w:sz w:val="22"/>
          <w:szCs w:val="22"/>
          <w:lang w:val="sr-Latn-ME"/>
        </w:rPr>
        <w:t>ećene kod pacijen</w:t>
      </w:r>
      <w:r w:rsidR="00E56C97" w:rsidRPr="002041DF">
        <w:rPr>
          <w:sz w:val="22"/>
          <w:szCs w:val="22"/>
          <w:lang w:val="sr-Latn-ME"/>
        </w:rPr>
        <w:t>a</w:t>
      </w:r>
      <w:r w:rsidRPr="002041DF">
        <w:rPr>
          <w:sz w:val="22"/>
          <w:szCs w:val="22"/>
          <w:lang w:val="sr-Latn-ME"/>
        </w:rPr>
        <w:t xml:space="preserve">ta koji su primili </w:t>
      </w:r>
      <w:r w:rsidR="0050256F" w:rsidRPr="002041DF">
        <w:rPr>
          <w:sz w:val="22"/>
          <w:szCs w:val="22"/>
          <w:lang w:val="sr-Latn-ME"/>
        </w:rPr>
        <w:t>l</w:t>
      </w:r>
      <w:r w:rsidR="00C23E53" w:rsidRPr="002041DF">
        <w:rPr>
          <w:sz w:val="22"/>
          <w:szCs w:val="22"/>
          <w:lang w:val="sr-Latn-ME"/>
        </w:rPr>
        <w:t xml:space="preserve">ijek Stelara </w:t>
      </w:r>
      <w:r w:rsidRPr="002041DF">
        <w:rPr>
          <w:sz w:val="22"/>
          <w:szCs w:val="22"/>
          <w:lang w:val="sr-Latn-ME"/>
        </w:rPr>
        <w:t>(</w:t>
      </w:r>
      <w:r w:rsidR="006779EA" w:rsidRPr="002041DF">
        <w:rPr>
          <w:sz w:val="22"/>
          <w:szCs w:val="22"/>
          <w:lang w:val="sr-Latn-ME"/>
        </w:rPr>
        <w:t>vidjeti</w:t>
      </w:r>
      <w:r w:rsidRPr="002041DF">
        <w:rPr>
          <w:sz w:val="22"/>
          <w:szCs w:val="22"/>
          <w:lang w:val="sr-Latn-ME"/>
        </w:rPr>
        <w:t xml:space="preserve"> </w:t>
      </w:r>
      <w:r w:rsidR="00292E06" w:rsidRPr="002041DF">
        <w:rPr>
          <w:sz w:val="22"/>
          <w:szCs w:val="22"/>
          <w:lang w:val="sr-Latn-ME"/>
        </w:rPr>
        <w:t>dio</w:t>
      </w:r>
      <w:r w:rsidRPr="002041DF">
        <w:rPr>
          <w:sz w:val="22"/>
          <w:szCs w:val="22"/>
          <w:lang w:val="sr-Latn-ME"/>
        </w:rPr>
        <w:t xml:space="preserve"> 4.8.).</w:t>
      </w:r>
    </w:p>
    <w:p w14:paraId="11294944" w14:textId="4DE3D672" w:rsidR="00623D38" w:rsidRPr="002041DF" w:rsidRDefault="00623D38" w:rsidP="002041DF">
      <w:pPr>
        <w:pStyle w:val="Header"/>
        <w:widowControl w:val="0"/>
        <w:tabs>
          <w:tab w:val="left" w:pos="284"/>
        </w:tabs>
        <w:jc w:val="both"/>
        <w:rPr>
          <w:sz w:val="22"/>
          <w:szCs w:val="22"/>
          <w:lang w:val="sr-Latn-ME"/>
        </w:rPr>
      </w:pPr>
    </w:p>
    <w:p w14:paraId="70CF6010" w14:textId="23B8CF65" w:rsidR="00452B4D" w:rsidRPr="002041DF" w:rsidRDefault="00452B4D" w:rsidP="002041DF">
      <w:pPr>
        <w:pStyle w:val="Header"/>
        <w:widowControl w:val="0"/>
        <w:tabs>
          <w:tab w:val="left" w:pos="284"/>
          <w:tab w:val="left" w:pos="8931"/>
        </w:tabs>
        <w:jc w:val="both"/>
        <w:rPr>
          <w:sz w:val="22"/>
          <w:szCs w:val="22"/>
          <w:lang w:val="sr-Latn-ME"/>
        </w:rPr>
      </w:pPr>
      <w:r w:rsidRPr="002041DF">
        <w:rPr>
          <w:sz w:val="22"/>
          <w:szCs w:val="22"/>
          <w:lang w:val="sr-Latn-ME"/>
        </w:rPr>
        <w:t xml:space="preserve">Oportunističke infekcije </w:t>
      </w:r>
      <w:r w:rsidR="00723AC5" w:rsidRPr="002041DF">
        <w:rPr>
          <w:sz w:val="22"/>
          <w:szCs w:val="22"/>
          <w:lang w:val="sr-Latn-ME"/>
        </w:rPr>
        <w:t>uključujući reaktivaciju tuberkuloze, druge oportunističke bakterijske infekcije (uključujući atipičnu mikobakterijsku infekciju, listerijski meningitis izazvan listerijom, pneumoniju izazvanu legioneloma i nokardiozu), oportunističke gljivične infekcije, oportunističke virusne infekcije (uključujući encefalitis izazvan virusom herpes simpleks virusom tipa 2), i parazitske infekcije (uključujući očnu toksoplazmozu)</w:t>
      </w:r>
      <w:r w:rsidR="006A25CA" w:rsidRPr="002041DF">
        <w:rPr>
          <w:sz w:val="22"/>
          <w:szCs w:val="22"/>
          <w:lang w:val="sr-Latn-ME"/>
        </w:rPr>
        <w:t xml:space="preserve"> </w:t>
      </w:r>
      <w:r w:rsidRPr="002041DF">
        <w:rPr>
          <w:sz w:val="22"/>
          <w:szCs w:val="22"/>
          <w:lang w:val="sr-Latn-ME"/>
        </w:rPr>
        <w:t xml:space="preserve">su bile prijavljene kod pacijenata koji su </w:t>
      </w:r>
      <w:r w:rsidR="00891C9B" w:rsidRPr="002041DF">
        <w:rPr>
          <w:sz w:val="22"/>
          <w:szCs w:val="22"/>
          <w:lang w:val="sr-Latn-ME"/>
        </w:rPr>
        <w:t>liječen</w:t>
      </w:r>
      <w:r w:rsidRPr="002041DF">
        <w:rPr>
          <w:sz w:val="22"/>
          <w:szCs w:val="22"/>
          <w:lang w:val="sr-Latn-ME"/>
        </w:rPr>
        <w:t>i ustekinumabom.</w:t>
      </w:r>
    </w:p>
    <w:p w14:paraId="38A6C48E" w14:textId="77777777" w:rsidR="00452B4D" w:rsidRPr="002041DF" w:rsidRDefault="00452B4D" w:rsidP="002041DF">
      <w:pPr>
        <w:pStyle w:val="Header"/>
        <w:widowControl w:val="0"/>
        <w:tabs>
          <w:tab w:val="left" w:pos="284"/>
        </w:tabs>
        <w:jc w:val="both"/>
        <w:rPr>
          <w:sz w:val="22"/>
          <w:szCs w:val="22"/>
          <w:lang w:val="sr-Latn-ME"/>
        </w:rPr>
      </w:pPr>
    </w:p>
    <w:p w14:paraId="77EC5D1D" w14:textId="78669C66" w:rsidR="00623D38" w:rsidRPr="002041DF" w:rsidRDefault="00623D38" w:rsidP="002041DF">
      <w:pPr>
        <w:pStyle w:val="Header"/>
        <w:widowControl w:val="0"/>
        <w:tabs>
          <w:tab w:val="left" w:pos="284"/>
        </w:tabs>
        <w:jc w:val="both"/>
        <w:rPr>
          <w:sz w:val="22"/>
          <w:szCs w:val="22"/>
          <w:lang w:val="sr-Latn-ME"/>
        </w:rPr>
      </w:pPr>
      <w:r w:rsidRPr="002041DF">
        <w:rPr>
          <w:sz w:val="22"/>
          <w:szCs w:val="22"/>
          <w:lang w:val="sr-Latn-ME"/>
        </w:rPr>
        <w:t>Preporučuje se oprez prilikom upotrebe</w:t>
      </w:r>
      <w:r w:rsidR="00A35D07" w:rsidRPr="002041DF">
        <w:rPr>
          <w:sz w:val="22"/>
          <w:szCs w:val="22"/>
          <w:lang w:val="sr-Latn-ME"/>
        </w:rPr>
        <w:t xml:space="preserve"> lijeka </w:t>
      </w:r>
      <w:r w:rsidRPr="002041DF">
        <w:rPr>
          <w:sz w:val="22"/>
          <w:szCs w:val="22"/>
          <w:lang w:val="sr-Latn-ME"/>
        </w:rPr>
        <w:t xml:space="preserve">Stelara kod pacijenata sa hroničnom infekcijom ili kod pacijenata koji u </w:t>
      </w:r>
      <w:r w:rsidR="00A937E0" w:rsidRPr="002041DF">
        <w:rPr>
          <w:sz w:val="22"/>
          <w:szCs w:val="22"/>
          <w:lang w:val="sr-Latn-ME"/>
        </w:rPr>
        <w:t>anamnezi</w:t>
      </w:r>
      <w:r w:rsidRPr="002041DF">
        <w:rPr>
          <w:sz w:val="22"/>
          <w:szCs w:val="22"/>
          <w:lang w:val="sr-Latn-ME"/>
        </w:rPr>
        <w:t xml:space="preserve"> imaju rekurentnu infekciju (</w:t>
      </w:r>
      <w:r w:rsidR="006779EA" w:rsidRPr="002041DF">
        <w:rPr>
          <w:sz w:val="22"/>
          <w:szCs w:val="22"/>
          <w:lang w:val="sr-Latn-ME"/>
        </w:rPr>
        <w:t>vidjeti</w:t>
      </w:r>
      <w:r w:rsidRPr="002041DF">
        <w:rPr>
          <w:sz w:val="22"/>
          <w:szCs w:val="22"/>
          <w:lang w:val="sr-Latn-ME"/>
        </w:rPr>
        <w:t xml:space="preserve"> </w:t>
      </w:r>
      <w:r w:rsidR="00292E06" w:rsidRPr="002041DF">
        <w:rPr>
          <w:sz w:val="22"/>
          <w:szCs w:val="22"/>
          <w:lang w:val="sr-Latn-ME"/>
        </w:rPr>
        <w:t>dio</w:t>
      </w:r>
      <w:r w:rsidRPr="002041DF">
        <w:rPr>
          <w:sz w:val="22"/>
          <w:szCs w:val="22"/>
          <w:lang w:val="sr-Latn-ME"/>
        </w:rPr>
        <w:t xml:space="preserve"> 4.3. ).</w:t>
      </w:r>
    </w:p>
    <w:p w14:paraId="6B105835" w14:textId="77777777" w:rsidR="0047575E" w:rsidRPr="002041DF" w:rsidRDefault="0047575E" w:rsidP="002041DF">
      <w:pPr>
        <w:pStyle w:val="Header"/>
        <w:widowControl w:val="0"/>
        <w:tabs>
          <w:tab w:val="left" w:pos="284"/>
        </w:tabs>
        <w:jc w:val="both"/>
        <w:rPr>
          <w:sz w:val="22"/>
          <w:szCs w:val="22"/>
          <w:lang w:val="sr-Latn-ME"/>
        </w:rPr>
      </w:pPr>
    </w:p>
    <w:p w14:paraId="0D237FAC" w14:textId="138ADBC9" w:rsidR="00623D38" w:rsidRPr="002041DF" w:rsidRDefault="00623D38" w:rsidP="002041DF">
      <w:pPr>
        <w:pStyle w:val="Header"/>
        <w:widowControl w:val="0"/>
        <w:tabs>
          <w:tab w:val="left" w:pos="284"/>
          <w:tab w:val="left" w:pos="9923"/>
        </w:tabs>
        <w:jc w:val="both"/>
        <w:rPr>
          <w:sz w:val="22"/>
          <w:szCs w:val="22"/>
          <w:lang w:val="sr-Latn-ME"/>
        </w:rPr>
      </w:pPr>
      <w:r w:rsidRPr="002041DF">
        <w:rPr>
          <w:sz w:val="22"/>
          <w:szCs w:val="22"/>
          <w:lang w:val="sr-Latn-ME"/>
        </w:rPr>
        <w:t>Pr</w:t>
      </w:r>
      <w:r w:rsidR="00891C9B" w:rsidRPr="002041DF">
        <w:rPr>
          <w:sz w:val="22"/>
          <w:szCs w:val="22"/>
          <w:lang w:val="sr-Latn-ME"/>
        </w:rPr>
        <w:t>ij</w:t>
      </w:r>
      <w:r w:rsidRPr="002041DF">
        <w:rPr>
          <w:sz w:val="22"/>
          <w:szCs w:val="22"/>
          <w:lang w:val="sr-Latn-ME"/>
        </w:rPr>
        <w:t>e početka terapije</w:t>
      </w:r>
      <w:r w:rsidR="00891C9B" w:rsidRPr="002041DF">
        <w:rPr>
          <w:sz w:val="22"/>
          <w:szCs w:val="22"/>
          <w:lang w:val="sr-Latn-ME"/>
        </w:rPr>
        <w:t xml:space="preserve"> lijekom </w:t>
      </w:r>
      <w:r w:rsidRPr="002041DF">
        <w:rPr>
          <w:sz w:val="22"/>
          <w:szCs w:val="22"/>
          <w:lang w:val="sr-Latn-ME"/>
        </w:rPr>
        <w:t xml:space="preserve">Stelara, pacijenti se moraju ispitati da li boluju od tuberkuloze. </w:t>
      </w:r>
      <w:r w:rsidR="00C23E53" w:rsidRPr="002041DF">
        <w:rPr>
          <w:sz w:val="22"/>
          <w:szCs w:val="22"/>
          <w:lang w:val="sr-Latn-ME"/>
        </w:rPr>
        <w:t xml:space="preserve">Lijek Stelara </w:t>
      </w:r>
      <w:r w:rsidRPr="002041DF">
        <w:rPr>
          <w:sz w:val="22"/>
          <w:szCs w:val="22"/>
          <w:lang w:val="sr-Latn-ME"/>
        </w:rPr>
        <w:t>se ne</w:t>
      </w:r>
      <w:r w:rsidR="00891C9B" w:rsidRPr="002041DF">
        <w:rPr>
          <w:sz w:val="22"/>
          <w:szCs w:val="22"/>
          <w:lang w:val="sr-Latn-ME"/>
        </w:rPr>
        <w:t xml:space="preserve"> smije </w:t>
      </w:r>
      <w:r w:rsidRPr="002041DF">
        <w:rPr>
          <w:sz w:val="22"/>
          <w:szCs w:val="22"/>
          <w:lang w:val="sr-Latn-ME"/>
        </w:rPr>
        <w:t>davati pacijentima sa aktivnom tuberkulozom (</w:t>
      </w:r>
      <w:r w:rsidR="006779EA" w:rsidRPr="002041DF">
        <w:rPr>
          <w:sz w:val="22"/>
          <w:szCs w:val="22"/>
          <w:lang w:val="sr-Latn-ME"/>
        </w:rPr>
        <w:t>vidjeti</w:t>
      </w:r>
      <w:r w:rsidRPr="002041DF">
        <w:rPr>
          <w:sz w:val="22"/>
          <w:szCs w:val="22"/>
          <w:lang w:val="sr-Latn-ME"/>
        </w:rPr>
        <w:t xml:space="preserve"> </w:t>
      </w:r>
      <w:r w:rsidR="00292E06" w:rsidRPr="002041DF">
        <w:rPr>
          <w:sz w:val="22"/>
          <w:szCs w:val="22"/>
          <w:lang w:val="sr-Latn-ME"/>
        </w:rPr>
        <w:t>dio</w:t>
      </w:r>
      <w:r w:rsidRPr="002041DF">
        <w:rPr>
          <w:sz w:val="22"/>
          <w:szCs w:val="22"/>
          <w:lang w:val="sr-Latn-ME"/>
        </w:rPr>
        <w:t xml:space="preserve"> 4.3.). </w:t>
      </w:r>
      <w:r w:rsidR="00C23E53" w:rsidRPr="002041DF">
        <w:rPr>
          <w:sz w:val="22"/>
          <w:szCs w:val="22"/>
          <w:lang w:val="sr-Latn-ME"/>
        </w:rPr>
        <w:t>Liječenje</w:t>
      </w:r>
      <w:r w:rsidRPr="002041DF">
        <w:rPr>
          <w:sz w:val="22"/>
          <w:szCs w:val="22"/>
          <w:lang w:val="sr-Latn-ME"/>
        </w:rPr>
        <w:t xml:space="preserve"> latentne tuberkulozne infekcije treba započeti</w:t>
      </w:r>
      <w:r w:rsidR="00891C9B" w:rsidRPr="002041DF">
        <w:rPr>
          <w:sz w:val="22"/>
          <w:szCs w:val="22"/>
          <w:lang w:val="sr-Latn-ME"/>
        </w:rPr>
        <w:t xml:space="preserve"> prije </w:t>
      </w:r>
      <w:r w:rsidRPr="002041DF">
        <w:rPr>
          <w:sz w:val="22"/>
          <w:szCs w:val="22"/>
          <w:lang w:val="sr-Latn-ME"/>
        </w:rPr>
        <w:t>prim</w:t>
      </w:r>
      <w:r w:rsidR="006C4D16" w:rsidRPr="002041DF">
        <w:rPr>
          <w:sz w:val="22"/>
          <w:szCs w:val="22"/>
          <w:lang w:val="sr-Latn-ME"/>
        </w:rPr>
        <w:t>j</w:t>
      </w:r>
      <w:r w:rsidRPr="002041DF">
        <w:rPr>
          <w:sz w:val="22"/>
          <w:szCs w:val="22"/>
          <w:lang w:val="sr-Latn-ME"/>
        </w:rPr>
        <w:t>ene</w:t>
      </w:r>
      <w:r w:rsidR="00A35D07" w:rsidRPr="002041DF">
        <w:rPr>
          <w:sz w:val="22"/>
          <w:szCs w:val="22"/>
          <w:lang w:val="sr-Latn-ME"/>
        </w:rPr>
        <w:t xml:space="preserve"> lijeka </w:t>
      </w:r>
      <w:r w:rsidRPr="002041DF">
        <w:rPr>
          <w:sz w:val="22"/>
          <w:szCs w:val="22"/>
          <w:lang w:val="sr-Latn-ME"/>
        </w:rPr>
        <w:t>Stelara.</w:t>
      </w:r>
      <w:r w:rsidR="00A35D07" w:rsidRPr="002041DF">
        <w:rPr>
          <w:sz w:val="22"/>
          <w:szCs w:val="22"/>
          <w:lang w:val="sr-Latn-ME"/>
        </w:rPr>
        <w:t xml:space="preserve"> </w:t>
      </w:r>
      <w:r w:rsidR="00891C9B" w:rsidRPr="002041DF">
        <w:rPr>
          <w:sz w:val="22"/>
          <w:szCs w:val="22"/>
          <w:lang w:val="sr-Latn-ME"/>
        </w:rPr>
        <w:t>P</w:t>
      </w:r>
      <w:r w:rsidR="00A35D07" w:rsidRPr="002041DF">
        <w:rPr>
          <w:sz w:val="22"/>
          <w:szCs w:val="22"/>
          <w:lang w:val="sr-Latn-ME"/>
        </w:rPr>
        <w:t xml:space="preserve">rimjenu </w:t>
      </w:r>
      <w:r w:rsidRPr="002041DF">
        <w:rPr>
          <w:sz w:val="22"/>
          <w:szCs w:val="22"/>
          <w:lang w:val="sr-Latn-ME"/>
        </w:rPr>
        <w:t>antituberkulozne terapije je takođe potrebno razmotriti</w:t>
      </w:r>
      <w:r w:rsidR="00891C9B" w:rsidRPr="002041DF">
        <w:rPr>
          <w:sz w:val="22"/>
          <w:szCs w:val="22"/>
          <w:lang w:val="sr-Latn-ME"/>
        </w:rPr>
        <w:t xml:space="preserve"> prije </w:t>
      </w:r>
      <w:r w:rsidRPr="002041DF">
        <w:rPr>
          <w:sz w:val="22"/>
          <w:szCs w:val="22"/>
          <w:lang w:val="sr-Latn-ME"/>
        </w:rPr>
        <w:t>prim</w:t>
      </w:r>
      <w:r w:rsidR="006C4D16" w:rsidRPr="002041DF">
        <w:rPr>
          <w:sz w:val="22"/>
          <w:szCs w:val="22"/>
          <w:lang w:val="sr-Latn-ME"/>
        </w:rPr>
        <w:t>j</w:t>
      </w:r>
      <w:r w:rsidRPr="002041DF">
        <w:rPr>
          <w:sz w:val="22"/>
          <w:szCs w:val="22"/>
          <w:lang w:val="sr-Latn-ME"/>
        </w:rPr>
        <w:t>ene</w:t>
      </w:r>
      <w:r w:rsidR="00A35D07" w:rsidRPr="002041DF">
        <w:rPr>
          <w:sz w:val="22"/>
          <w:szCs w:val="22"/>
          <w:lang w:val="sr-Latn-ME"/>
        </w:rPr>
        <w:t xml:space="preserve"> lijeka </w:t>
      </w:r>
      <w:r w:rsidRPr="002041DF">
        <w:rPr>
          <w:sz w:val="22"/>
          <w:szCs w:val="22"/>
          <w:lang w:val="sr-Latn-ME"/>
        </w:rPr>
        <w:t xml:space="preserve">Stelara kod pacijenata sa </w:t>
      </w:r>
      <w:r w:rsidR="00B95056" w:rsidRPr="002041DF">
        <w:rPr>
          <w:sz w:val="22"/>
          <w:szCs w:val="22"/>
          <w:lang w:val="sr-Latn-ME" w:eastAsia="x-none"/>
        </w:rPr>
        <w:t>latentnom ili aktivnom tuberkulozom u anamnezi</w:t>
      </w:r>
      <w:r w:rsidRPr="002041DF">
        <w:rPr>
          <w:sz w:val="22"/>
          <w:szCs w:val="22"/>
          <w:lang w:val="sr-Latn-ME"/>
        </w:rPr>
        <w:t>, a kod kojih se ne može utvrditi da li je prim</w:t>
      </w:r>
      <w:r w:rsidR="00891C9B" w:rsidRPr="002041DF">
        <w:rPr>
          <w:sz w:val="22"/>
          <w:szCs w:val="22"/>
          <w:lang w:val="sr-Latn-ME"/>
        </w:rPr>
        <w:t>ij</w:t>
      </w:r>
      <w:r w:rsidRPr="002041DF">
        <w:rPr>
          <w:sz w:val="22"/>
          <w:szCs w:val="22"/>
          <w:lang w:val="sr-Latn-ME"/>
        </w:rPr>
        <w:t xml:space="preserve">enjen odgovarajući terapijski tretman. Pacijente koji primaju </w:t>
      </w:r>
      <w:r w:rsidR="00891C9B" w:rsidRPr="002041DF">
        <w:rPr>
          <w:sz w:val="22"/>
          <w:szCs w:val="22"/>
          <w:lang w:val="sr-Latn-ME"/>
        </w:rPr>
        <w:t>l</w:t>
      </w:r>
      <w:r w:rsidR="00C23E53" w:rsidRPr="002041DF">
        <w:rPr>
          <w:sz w:val="22"/>
          <w:szCs w:val="22"/>
          <w:lang w:val="sr-Latn-ME"/>
        </w:rPr>
        <w:t xml:space="preserve">ijek Stelara </w:t>
      </w:r>
      <w:r w:rsidRPr="002041DF">
        <w:rPr>
          <w:sz w:val="22"/>
          <w:szCs w:val="22"/>
          <w:lang w:val="sr-Latn-ME"/>
        </w:rPr>
        <w:t xml:space="preserve">treba pažljivo pratiti kako bi se utvrdili znaci i simptomi aktivne tuberkuloze tokom i nakon </w:t>
      </w:r>
      <w:r w:rsidR="00891C9B" w:rsidRPr="002041DF">
        <w:rPr>
          <w:sz w:val="22"/>
          <w:szCs w:val="22"/>
          <w:lang w:val="sr-Latn-ME"/>
        </w:rPr>
        <w:t>liječen</w:t>
      </w:r>
      <w:r w:rsidRPr="002041DF">
        <w:rPr>
          <w:sz w:val="22"/>
          <w:szCs w:val="22"/>
          <w:lang w:val="sr-Latn-ME"/>
        </w:rPr>
        <w:t>ja.</w:t>
      </w:r>
    </w:p>
    <w:p w14:paraId="25E5A8BA" w14:textId="77777777" w:rsidR="00623D38" w:rsidRPr="002041DF" w:rsidRDefault="00623D38" w:rsidP="002041DF">
      <w:pPr>
        <w:pStyle w:val="Header"/>
        <w:widowControl w:val="0"/>
        <w:tabs>
          <w:tab w:val="left" w:pos="284"/>
          <w:tab w:val="left" w:pos="9923"/>
        </w:tabs>
        <w:jc w:val="both"/>
        <w:rPr>
          <w:sz w:val="22"/>
          <w:szCs w:val="22"/>
          <w:lang w:val="sr-Latn-ME"/>
        </w:rPr>
      </w:pPr>
    </w:p>
    <w:p w14:paraId="7686A6BB" w14:textId="37ED1804" w:rsidR="00623D38" w:rsidRPr="002041DF" w:rsidRDefault="00623D38" w:rsidP="002041DF">
      <w:pPr>
        <w:pStyle w:val="Header"/>
        <w:widowControl w:val="0"/>
        <w:tabs>
          <w:tab w:val="left" w:pos="284"/>
          <w:tab w:val="left" w:pos="9923"/>
          <w:tab w:val="left" w:pos="10065"/>
        </w:tabs>
        <w:jc w:val="both"/>
        <w:rPr>
          <w:sz w:val="22"/>
          <w:szCs w:val="22"/>
          <w:lang w:val="sr-Latn-ME"/>
        </w:rPr>
      </w:pPr>
      <w:r w:rsidRPr="002041DF">
        <w:rPr>
          <w:sz w:val="22"/>
          <w:szCs w:val="22"/>
          <w:lang w:val="sr-Latn-ME"/>
        </w:rPr>
        <w:t xml:space="preserve">Potrebno je objasniti pacijentima da potraže medicinsku pomoć ukoliko se pojave znaci ili simptomi infekcije. Ako se kod pacijenta razvije ozbiljna infekcija, pacijenta treba pažljivo pratiti i </w:t>
      </w:r>
      <w:r w:rsidR="00891C9B" w:rsidRPr="002041DF">
        <w:rPr>
          <w:sz w:val="22"/>
          <w:szCs w:val="22"/>
          <w:lang w:val="sr-Latn-ME"/>
        </w:rPr>
        <w:t>l</w:t>
      </w:r>
      <w:r w:rsidR="00C23E53" w:rsidRPr="002041DF">
        <w:rPr>
          <w:sz w:val="22"/>
          <w:szCs w:val="22"/>
          <w:lang w:val="sr-Latn-ME"/>
        </w:rPr>
        <w:t xml:space="preserve">ijek Stelara </w:t>
      </w:r>
      <w:r w:rsidRPr="002041DF">
        <w:rPr>
          <w:sz w:val="22"/>
          <w:szCs w:val="22"/>
          <w:lang w:val="sr-Latn-ME"/>
        </w:rPr>
        <w:t>ne treba davati dok se infekcija ne izl</w:t>
      </w:r>
      <w:r w:rsidR="00891C9B" w:rsidRPr="002041DF">
        <w:rPr>
          <w:sz w:val="22"/>
          <w:szCs w:val="22"/>
          <w:lang w:val="sr-Latn-ME"/>
        </w:rPr>
        <w:t>ij</w:t>
      </w:r>
      <w:r w:rsidRPr="002041DF">
        <w:rPr>
          <w:sz w:val="22"/>
          <w:szCs w:val="22"/>
          <w:lang w:val="sr-Latn-ME"/>
        </w:rPr>
        <w:t>eči.</w:t>
      </w:r>
    </w:p>
    <w:p w14:paraId="26B758DC" w14:textId="77777777" w:rsidR="00623D38" w:rsidRPr="002041DF" w:rsidRDefault="00623D38" w:rsidP="002041DF">
      <w:pPr>
        <w:pStyle w:val="Header"/>
        <w:widowControl w:val="0"/>
        <w:tabs>
          <w:tab w:val="left" w:pos="284"/>
          <w:tab w:val="left" w:pos="9923"/>
          <w:tab w:val="left" w:pos="10065"/>
        </w:tabs>
        <w:jc w:val="both"/>
        <w:rPr>
          <w:sz w:val="22"/>
          <w:szCs w:val="22"/>
          <w:u w:val="single"/>
          <w:lang w:val="sr-Latn-ME"/>
        </w:rPr>
      </w:pPr>
    </w:p>
    <w:p w14:paraId="62D8AC63" w14:textId="77777777" w:rsidR="00623D38" w:rsidRPr="002041DF" w:rsidRDefault="00623D38" w:rsidP="002041DF">
      <w:pPr>
        <w:pStyle w:val="Header"/>
        <w:widowControl w:val="0"/>
        <w:tabs>
          <w:tab w:val="left" w:pos="284"/>
          <w:tab w:val="left" w:pos="9923"/>
        </w:tabs>
        <w:jc w:val="both"/>
        <w:rPr>
          <w:sz w:val="22"/>
          <w:szCs w:val="22"/>
          <w:lang w:val="sr-Latn-ME"/>
        </w:rPr>
      </w:pPr>
      <w:r w:rsidRPr="002041DF">
        <w:rPr>
          <w:sz w:val="22"/>
          <w:szCs w:val="22"/>
          <w:u w:val="single"/>
          <w:lang w:val="sr-Latn-ME"/>
        </w:rPr>
        <w:t>Maligna oboljenja</w:t>
      </w:r>
    </w:p>
    <w:p w14:paraId="2D5A4235" w14:textId="511E62B2" w:rsidR="00623D38" w:rsidRPr="002041DF" w:rsidRDefault="00623D38" w:rsidP="002041DF">
      <w:pPr>
        <w:pStyle w:val="Header"/>
        <w:widowControl w:val="0"/>
        <w:tabs>
          <w:tab w:val="left" w:pos="284"/>
          <w:tab w:val="left" w:pos="9923"/>
        </w:tabs>
        <w:jc w:val="both"/>
        <w:rPr>
          <w:sz w:val="22"/>
          <w:szCs w:val="22"/>
          <w:lang w:val="sr-Latn-ME"/>
        </w:rPr>
      </w:pPr>
      <w:r w:rsidRPr="002041DF">
        <w:rPr>
          <w:sz w:val="22"/>
          <w:szCs w:val="22"/>
          <w:lang w:val="sr-Latn-ME"/>
        </w:rPr>
        <w:t>Imunosupresivi, kao što je ustekinumab, mogu povećati rizik od nastanka malignih oboljenja. U kliničkim ispitivanjima</w:t>
      </w:r>
      <w:r w:rsidR="007B7F42" w:rsidRPr="002041DF">
        <w:rPr>
          <w:sz w:val="22"/>
          <w:szCs w:val="22"/>
          <w:lang w:val="sr-Latn-ME"/>
        </w:rPr>
        <w:t xml:space="preserve"> i postmarketinškom opservacionom ispitivanju kod pacijenata sa psorijazom</w:t>
      </w:r>
      <w:r w:rsidRPr="002041DF">
        <w:rPr>
          <w:sz w:val="22"/>
          <w:szCs w:val="22"/>
          <w:lang w:val="sr-Latn-ME"/>
        </w:rPr>
        <w:t>, kod pojedinih pacijenata koji su primali l</w:t>
      </w:r>
      <w:r w:rsidR="00891C9B" w:rsidRPr="002041DF">
        <w:rPr>
          <w:sz w:val="22"/>
          <w:szCs w:val="22"/>
          <w:lang w:val="sr-Latn-ME"/>
        </w:rPr>
        <w:t>ij</w:t>
      </w:r>
      <w:r w:rsidRPr="002041DF">
        <w:rPr>
          <w:sz w:val="22"/>
          <w:szCs w:val="22"/>
          <w:lang w:val="sr-Latn-ME"/>
        </w:rPr>
        <w:t>ek Stelara, razvila su se kutana i nekutana maligna oboljenja (</w:t>
      </w:r>
      <w:r w:rsidR="006779EA" w:rsidRPr="002041DF">
        <w:rPr>
          <w:sz w:val="22"/>
          <w:szCs w:val="22"/>
          <w:lang w:val="sr-Latn-ME"/>
        </w:rPr>
        <w:t>vidjeti</w:t>
      </w:r>
      <w:r w:rsidRPr="002041DF">
        <w:rPr>
          <w:sz w:val="22"/>
          <w:szCs w:val="22"/>
          <w:lang w:val="sr-Latn-ME"/>
        </w:rPr>
        <w:t xml:space="preserve"> </w:t>
      </w:r>
      <w:r w:rsidR="00292E06" w:rsidRPr="002041DF">
        <w:rPr>
          <w:sz w:val="22"/>
          <w:szCs w:val="22"/>
          <w:lang w:val="sr-Latn-ME"/>
        </w:rPr>
        <w:t>dio</w:t>
      </w:r>
      <w:r w:rsidRPr="002041DF">
        <w:rPr>
          <w:sz w:val="22"/>
          <w:szCs w:val="22"/>
          <w:lang w:val="sr-Latn-ME"/>
        </w:rPr>
        <w:t xml:space="preserve"> 4.8).</w:t>
      </w:r>
      <w:r w:rsidR="007B7F42" w:rsidRPr="002041DF">
        <w:rPr>
          <w:sz w:val="22"/>
          <w:szCs w:val="22"/>
          <w:lang w:val="sr-Latn-ME"/>
        </w:rPr>
        <w:t xml:space="preserve">  Rizik od malignih oboljenja može biti veći kod pacijenata sa psorijazom koji su tokom svoje bolesti </w:t>
      </w:r>
      <w:r w:rsidR="00891C9B" w:rsidRPr="002041DF">
        <w:rPr>
          <w:sz w:val="22"/>
          <w:szCs w:val="22"/>
          <w:lang w:val="sr-Latn-ME"/>
        </w:rPr>
        <w:t>liječen</w:t>
      </w:r>
      <w:r w:rsidR="007B7F42" w:rsidRPr="002041DF">
        <w:rPr>
          <w:sz w:val="22"/>
          <w:szCs w:val="22"/>
          <w:lang w:val="sr-Latn-ME"/>
        </w:rPr>
        <w:t>i drugim biološkim l</w:t>
      </w:r>
      <w:r w:rsidR="00891C9B" w:rsidRPr="002041DF">
        <w:rPr>
          <w:sz w:val="22"/>
          <w:szCs w:val="22"/>
          <w:lang w:val="sr-Latn-ME"/>
        </w:rPr>
        <w:t>j</w:t>
      </w:r>
      <w:r w:rsidR="007B7F42" w:rsidRPr="002041DF">
        <w:rPr>
          <w:sz w:val="22"/>
          <w:szCs w:val="22"/>
          <w:lang w:val="sr-Latn-ME"/>
        </w:rPr>
        <w:t>ekovima.</w:t>
      </w:r>
      <w:r w:rsidRPr="002041DF">
        <w:rPr>
          <w:sz w:val="22"/>
          <w:szCs w:val="22"/>
          <w:lang w:val="sr-Latn-ME"/>
        </w:rPr>
        <w:t xml:space="preserve"> </w:t>
      </w:r>
    </w:p>
    <w:p w14:paraId="7AAAC8D6" w14:textId="5B351247" w:rsidR="00623D38" w:rsidRPr="002041DF" w:rsidRDefault="00623D38" w:rsidP="002041DF">
      <w:pPr>
        <w:pStyle w:val="Header"/>
        <w:widowControl w:val="0"/>
        <w:tabs>
          <w:tab w:val="left" w:pos="284"/>
          <w:tab w:val="left" w:pos="9923"/>
        </w:tabs>
        <w:jc w:val="both"/>
        <w:rPr>
          <w:sz w:val="22"/>
          <w:szCs w:val="22"/>
          <w:lang w:val="sr-Latn-ME"/>
        </w:rPr>
      </w:pPr>
      <w:r w:rsidRPr="002041DF">
        <w:rPr>
          <w:sz w:val="22"/>
          <w:szCs w:val="22"/>
          <w:lang w:val="sr-Latn-ME"/>
        </w:rPr>
        <w:t>Ni</w:t>
      </w:r>
      <w:r w:rsidR="00891C9B" w:rsidRPr="002041DF">
        <w:rPr>
          <w:sz w:val="22"/>
          <w:szCs w:val="22"/>
          <w:lang w:val="sr-Latn-ME"/>
        </w:rPr>
        <w:t>je</w:t>
      </w:r>
      <w:r w:rsidRPr="002041DF">
        <w:rPr>
          <w:sz w:val="22"/>
          <w:szCs w:val="22"/>
          <w:lang w:val="sr-Latn-ME"/>
        </w:rPr>
        <w:t>su sprovedena ispitivanja u kojima su uključeni pacijenti koji imaju maligno oboljenje</w:t>
      </w:r>
      <w:r w:rsidR="002E5829" w:rsidRPr="002041DF">
        <w:rPr>
          <w:sz w:val="22"/>
          <w:szCs w:val="22"/>
          <w:lang w:val="sr-Latn-ME"/>
        </w:rPr>
        <w:t xml:space="preserve"> u anamnezi</w:t>
      </w:r>
      <w:r w:rsidRPr="002041DF">
        <w:rPr>
          <w:sz w:val="22"/>
          <w:szCs w:val="22"/>
          <w:lang w:val="sr-Latn-ME"/>
        </w:rPr>
        <w:t xml:space="preserve"> ili kod pacijenata kod kojih je terapija</w:t>
      </w:r>
      <w:r w:rsidR="00891C9B" w:rsidRPr="002041DF">
        <w:rPr>
          <w:sz w:val="22"/>
          <w:szCs w:val="22"/>
          <w:lang w:val="sr-Latn-ME"/>
        </w:rPr>
        <w:t xml:space="preserve"> lijekom </w:t>
      </w:r>
      <w:r w:rsidRPr="002041DF">
        <w:rPr>
          <w:sz w:val="22"/>
          <w:szCs w:val="22"/>
          <w:lang w:val="sr-Latn-ME"/>
        </w:rPr>
        <w:t>Stelara nastavljena</w:t>
      </w:r>
      <w:r w:rsidR="002E5829" w:rsidRPr="002041DF">
        <w:rPr>
          <w:sz w:val="22"/>
          <w:szCs w:val="22"/>
          <w:lang w:val="sr-Latn-ME"/>
        </w:rPr>
        <w:t>,</w:t>
      </w:r>
      <w:r w:rsidRPr="002041DF">
        <w:rPr>
          <w:sz w:val="22"/>
          <w:szCs w:val="22"/>
          <w:lang w:val="sr-Latn-ME"/>
        </w:rPr>
        <w:t xml:space="preserve"> a kod kojih se tokom terapije ovim</w:t>
      </w:r>
      <w:r w:rsidR="00891C9B" w:rsidRPr="002041DF">
        <w:rPr>
          <w:sz w:val="22"/>
          <w:szCs w:val="22"/>
          <w:lang w:val="sr-Latn-ME"/>
        </w:rPr>
        <w:t xml:space="preserve"> lijekom </w:t>
      </w:r>
      <w:r w:rsidRPr="002041DF">
        <w:rPr>
          <w:sz w:val="22"/>
          <w:szCs w:val="22"/>
          <w:lang w:val="sr-Latn-ME"/>
        </w:rPr>
        <w:t>razvilo maligno oboljenje. Zato je potreban oprez pri upotrebi</w:t>
      </w:r>
      <w:r w:rsidR="00A35D07" w:rsidRPr="002041DF">
        <w:rPr>
          <w:sz w:val="22"/>
          <w:szCs w:val="22"/>
          <w:lang w:val="sr-Latn-ME"/>
        </w:rPr>
        <w:t xml:space="preserve"> lijeka </w:t>
      </w:r>
      <w:r w:rsidRPr="002041DF">
        <w:rPr>
          <w:sz w:val="22"/>
          <w:szCs w:val="22"/>
          <w:lang w:val="sr-Latn-ME"/>
        </w:rPr>
        <w:t>Stelara kod ovih pacijenata.</w:t>
      </w:r>
    </w:p>
    <w:p w14:paraId="04E7B4EE" w14:textId="77777777" w:rsidR="00623D38" w:rsidRPr="002041DF" w:rsidRDefault="00623D38" w:rsidP="002041DF">
      <w:pPr>
        <w:pStyle w:val="Header"/>
        <w:widowControl w:val="0"/>
        <w:tabs>
          <w:tab w:val="left" w:pos="284"/>
          <w:tab w:val="left" w:pos="9923"/>
        </w:tabs>
        <w:jc w:val="both"/>
        <w:rPr>
          <w:sz w:val="22"/>
          <w:szCs w:val="22"/>
          <w:lang w:val="sr-Latn-ME"/>
        </w:rPr>
      </w:pPr>
    </w:p>
    <w:p w14:paraId="4814B340" w14:textId="77310F7B" w:rsidR="00623D38" w:rsidRPr="002041DF" w:rsidRDefault="00623D38" w:rsidP="002041DF">
      <w:pPr>
        <w:pStyle w:val="Header"/>
        <w:widowControl w:val="0"/>
        <w:tabs>
          <w:tab w:val="left" w:pos="284"/>
          <w:tab w:val="left" w:pos="9923"/>
        </w:tabs>
        <w:jc w:val="both"/>
        <w:rPr>
          <w:sz w:val="22"/>
          <w:szCs w:val="22"/>
          <w:lang w:val="sr-Latn-ME"/>
        </w:rPr>
      </w:pPr>
      <w:r w:rsidRPr="002041DF">
        <w:rPr>
          <w:sz w:val="22"/>
          <w:szCs w:val="22"/>
          <w:lang w:val="sr-Latn-ME"/>
        </w:rPr>
        <w:t>Svi pacijenti, naročito oni starosti preko 60 godina, pacijenti sa medicinskom istorijom produženog uzimanja imunosupresivne terapije ili sa istorijom PUVA terapije, treba da se prate na pojavu karcinoma kože (</w:t>
      </w:r>
      <w:r w:rsidR="006779EA" w:rsidRPr="002041DF">
        <w:rPr>
          <w:sz w:val="22"/>
          <w:szCs w:val="22"/>
          <w:lang w:val="sr-Latn-ME"/>
        </w:rPr>
        <w:t>vidjeti</w:t>
      </w:r>
      <w:r w:rsidRPr="002041DF">
        <w:rPr>
          <w:sz w:val="22"/>
          <w:szCs w:val="22"/>
          <w:lang w:val="sr-Latn-ME"/>
        </w:rPr>
        <w:t xml:space="preserve"> </w:t>
      </w:r>
      <w:r w:rsidR="00292E06" w:rsidRPr="002041DF">
        <w:rPr>
          <w:sz w:val="22"/>
          <w:szCs w:val="22"/>
          <w:lang w:val="sr-Latn-ME"/>
        </w:rPr>
        <w:t>dio</w:t>
      </w:r>
      <w:r w:rsidRPr="002041DF">
        <w:rPr>
          <w:sz w:val="22"/>
          <w:szCs w:val="22"/>
          <w:lang w:val="sr-Latn-ME"/>
        </w:rPr>
        <w:t xml:space="preserve"> 4.8)</w:t>
      </w:r>
      <w:r w:rsidR="00B95056" w:rsidRPr="002041DF">
        <w:rPr>
          <w:sz w:val="22"/>
          <w:szCs w:val="22"/>
          <w:lang w:val="sr-Latn-ME"/>
        </w:rPr>
        <w:t>.</w:t>
      </w:r>
    </w:p>
    <w:p w14:paraId="5D2D7F35" w14:textId="77777777" w:rsidR="00623D38" w:rsidRPr="002041DF" w:rsidRDefault="00623D38" w:rsidP="002041DF">
      <w:pPr>
        <w:pStyle w:val="Header"/>
        <w:widowControl w:val="0"/>
        <w:tabs>
          <w:tab w:val="left" w:pos="284"/>
          <w:tab w:val="left" w:pos="9923"/>
        </w:tabs>
        <w:jc w:val="both"/>
        <w:rPr>
          <w:sz w:val="22"/>
          <w:szCs w:val="22"/>
          <w:lang w:val="sr-Latn-ME"/>
        </w:rPr>
      </w:pPr>
    </w:p>
    <w:p w14:paraId="3575EFBE" w14:textId="708DB2FB" w:rsidR="00623D38" w:rsidRPr="002041DF" w:rsidRDefault="002E17BC" w:rsidP="002041DF">
      <w:pPr>
        <w:pStyle w:val="Header"/>
        <w:widowControl w:val="0"/>
        <w:tabs>
          <w:tab w:val="left" w:pos="284"/>
        </w:tabs>
        <w:jc w:val="both"/>
        <w:rPr>
          <w:sz w:val="22"/>
          <w:szCs w:val="22"/>
          <w:u w:val="single"/>
          <w:lang w:val="sr-Latn-ME"/>
        </w:rPr>
      </w:pPr>
      <w:r w:rsidRPr="002041DF">
        <w:rPr>
          <w:sz w:val="22"/>
          <w:szCs w:val="22"/>
          <w:u w:val="single"/>
          <w:lang w:val="sr-Latn-ME"/>
        </w:rPr>
        <w:t>Sistemske i respiratorne r</w:t>
      </w:r>
      <w:r w:rsidR="00623D38" w:rsidRPr="002041DF">
        <w:rPr>
          <w:sz w:val="22"/>
          <w:szCs w:val="22"/>
          <w:u w:val="single"/>
          <w:lang w:val="sr-Latn-ME"/>
        </w:rPr>
        <w:t>eakcije pre</w:t>
      </w:r>
      <w:r w:rsidR="00891C9B" w:rsidRPr="002041DF">
        <w:rPr>
          <w:sz w:val="22"/>
          <w:szCs w:val="22"/>
          <w:u w:val="single"/>
          <w:lang w:val="sr-Latn-ME"/>
        </w:rPr>
        <w:t>osjetljiv</w:t>
      </w:r>
      <w:r w:rsidR="00623D38" w:rsidRPr="002041DF">
        <w:rPr>
          <w:sz w:val="22"/>
          <w:szCs w:val="22"/>
          <w:u w:val="single"/>
          <w:lang w:val="sr-Latn-ME"/>
        </w:rPr>
        <w:t>osti</w:t>
      </w:r>
    </w:p>
    <w:p w14:paraId="087B1D8D" w14:textId="77777777" w:rsidR="005C16B9" w:rsidRPr="002041DF" w:rsidRDefault="005C16B9" w:rsidP="002041DF">
      <w:pPr>
        <w:pStyle w:val="Header"/>
        <w:widowControl w:val="0"/>
        <w:tabs>
          <w:tab w:val="left" w:pos="284"/>
        </w:tabs>
        <w:jc w:val="both"/>
        <w:rPr>
          <w:sz w:val="22"/>
          <w:szCs w:val="22"/>
          <w:lang w:val="sr-Latn-ME"/>
        </w:rPr>
      </w:pPr>
    </w:p>
    <w:p w14:paraId="76294F4F" w14:textId="77777777" w:rsidR="005C16B9" w:rsidRPr="002041DF" w:rsidRDefault="005C16B9" w:rsidP="002041DF">
      <w:pPr>
        <w:pStyle w:val="Header"/>
        <w:widowControl w:val="0"/>
        <w:tabs>
          <w:tab w:val="left" w:pos="284"/>
        </w:tabs>
        <w:jc w:val="both"/>
        <w:rPr>
          <w:i/>
          <w:sz w:val="22"/>
          <w:szCs w:val="22"/>
          <w:lang w:val="sr-Latn-ME"/>
        </w:rPr>
      </w:pPr>
      <w:r w:rsidRPr="002041DF">
        <w:rPr>
          <w:i/>
          <w:sz w:val="22"/>
          <w:szCs w:val="22"/>
          <w:lang w:val="sr-Latn-ME"/>
        </w:rPr>
        <w:t>Sistemske</w:t>
      </w:r>
    </w:p>
    <w:p w14:paraId="29D48688" w14:textId="6B1EDEA8" w:rsidR="005C16B9" w:rsidRPr="002041DF" w:rsidRDefault="00623D38" w:rsidP="002041DF">
      <w:pPr>
        <w:pStyle w:val="Header"/>
        <w:widowControl w:val="0"/>
        <w:tabs>
          <w:tab w:val="left" w:pos="284"/>
        </w:tabs>
        <w:jc w:val="both"/>
        <w:rPr>
          <w:sz w:val="22"/>
          <w:szCs w:val="22"/>
          <w:lang w:val="sr-Latn-ME"/>
        </w:rPr>
      </w:pPr>
      <w:r w:rsidRPr="002041DF">
        <w:rPr>
          <w:sz w:val="22"/>
          <w:szCs w:val="22"/>
          <w:lang w:val="sr-Latn-ME"/>
        </w:rPr>
        <w:t xml:space="preserve">Nekoliko slučajeva </w:t>
      </w:r>
      <w:r w:rsidR="00057787" w:rsidRPr="002041DF">
        <w:rPr>
          <w:sz w:val="22"/>
          <w:szCs w:val="22"/>
          <w:lang w:val="sr-Latn-ME"/>
        </w:rPr>
        <w:t>teške</w:t>
      </w:r>
      <w:r w:rsidRPr="002041DF">
        <w:rPr>
          <w:sz w:val="22"/>
          <w:szCs w:val="22"/>
          <w:lang w:val="sr-Latn-ME"/>
        </w:rPr>
        <w:t xml:space="preserve"> reakcije pre</w:t>
      </w:r>
      <w:r w:rsidR="00891C9B" w:rsidRPr="002041DF">
        <w:rPr>
          <w:sz w:val="22"/>
          <w:szCs w:val="22"/>
          <w:lang w:val="sr-Latn-ME"/>
        </w:rPr>
        <w:t>osjetljiv</w:t>
      </w:r>
      <w:r w:rsidRPr="002041DF">
        <w:rPr>
          <w:sz w:val="22"/>
          <w:szCs w:val="22"/>
          <w:lang w:val="sr-Latn-ME"/>
        </w:rPr>
        <w:t>osti su prijavljene tokom postmarketinškog perioda nekoliko dana nakon</w:t>
      </w:r>
      <w:r w:rsidR="00891C9B" w:rsidRPr="002041DF">
        <w:rPr>
          <w:sz w:val="22"/>
          <w:szCs w:val="22"/>
          <w:lang w:val="sr-Latn-ME"/>
        </w:rPr>
        <w:t xml:space="preserve"> primjene </w:t>
      </w:r>
      <w:r w:rsidRPr="002041DF">
        <w:rPr>
          <w:sz w:val="22"/>
          <w:szCs w:val="22"/>
          <w:lang w:val="sr-Latn-ME"/>
        </w:rPr>
        <w:t>terapije. Javili su se anafilak</w:t>
      </w:r>
      <w:r w:rsidR="00E56C97" w:rsidRPr="002041DF">
        <w:rPr>
          <w:sz w:val="22"/>
          <w:szCs w:val="22"/>
          <w:lang w:val="sr-Latn-ME"/>
        </w:rPr>
        <w:t>s</w:t>
      </w:r>
      <w:r w:rsidRPr="002041DF">
        <w:rPr>
          <w:sz w:val="22"/>
          <w:szCs w:val="22"/>
          <w:lang w:val="sr-Latn-ME"/>
        </w:rPr>
        <w:t xml:space="preserve">a i angioedem. </w:t>
      </w:r>
      <w:r w:rsidR="00660BE9" w:rsidRPr="002041DF">
        <w:rPr>
          <w:sz w:val="22"/>
          <w:szCs w:val="22"/>
          <w:lang w:val="sr-Latn-ME"/>
        </w:rPr>
        <w:t xml:space="preserve">U slučaju pojave anafilaktičke ili druge </w:t>
      </w:r>
      <w:r w:rsidR="00057787" w:rsidRPr="002041DF">
        <w:rPr>
          <w:sz w:val="22"/>
          <w:szCs w:val="22"/>
          <w:lang w:val="sr-Latn-ME"/>
        </w:rPr>
        <w:t>teške</w:t>
      </w:r>
      <w:r w:rsidR="007C3AAF" w:rsidRPr="002041DF">
        <w:rPr>
          <w:sz w:val="22"/>
          <w:szCs w:val="22"/>
          <w:lang w:val="sr-Latn-ME"/>
        </w:rPr>
        <w:t xml:space="preserve"> </w:t>
      </w:r>
      <w:r w:rsidR="00660BE9" w:rsidRPr="002041DF">
        <w:rPr>
          <w:sz w:val="22"/>
          <w:szCs w:val="22"/>
          <w:lang w:val="sr-Latn-ME"/>
        </w:rPr>
        <w:t>alergijske reakcije, treba prim</w:t>
      </w:r>
      <w:r w:rsidR="00891C9B" w:rsidRPr="002041DF">
        <w:rPr>
          <w:sz w:val="22"/>
          <w:szCs w:val="22"/>
          <w:lang w:val="sr-Latn-ME"/>
        </w:rPr>
        <w:t>ij</w:t>
      </w:r>
      <w:r w:rsidR="00660BE9" w:rsidRPr="002041DF">
        <w:rPr>
          <w:sz w:val="22"/>
          <w:szCs w:val="22"/>
          <w:lang w:val="sr-Latn-ME"/>
        </w:rPr>
        <w:t>eniti odgovarajuću terapiju i prim</w:t>
      </w:r>
      <w:r w:rsidR="00891C9B" w:rsidRPr="002041DF">
        <w:rPr>
          <w:sz w:val="22"/>
          <w:szCs w:val="22"/>
          <w:lang w:val="sr-Latn-ME"/>
        </w:rPr>
        <w:t>j</w:t>
      </w:r>
      <w:r w:rsidR="00660BE9" w:rsidRPr="002041DF">
        <w:rPr>
          <w:sz w:val="22"/>
          <w:szCs w:val="22"/>
          <w:lang w:val="sr-Latn-ME"/>
        </w:rPr>
        <w:t>enu</w:t>
      </w:r>
      <w:r w:rsidR="00A35D07" w:rsidRPr="002041DF">
        <w:rPr>
          <w:sz w:val="22"/>
          <w:szCs w:val="22"/>
          <w:lang w:val="sr-Latn-ME"/>
        </w:rPr>
        <w:t xml:space="preserve"> lijeka </w:t>
      </w:r>
      <w:r w:rsidR="006D4601" w:rsidRPr="002041DF">
        <w:rPr>
          <w:sz w:val="22"/>
          <w:szCs w:val="22"/>
          <w:lang w:val="sr-Latn-ME"/>
        </w:rPr>
        <w:t xml:space="preserve">Stelara </w:t>
      </w:r>
      <w:r w:rsidR="00660BE9" w:rsidRPr="002041DF">
        <w:rPr>
          <w:sz w:val="22"/>
          <w:szCs w:val="22"/>
          <w:lang w:val="sr-Latn-ME"/>
        </w:rPr>
        <w:t>treba odmah prekinuti (</w:t>
      </w:r>
      <w:r w:rsidR="006779EA" w:rsidRPr="002041DF">
        <w:rPr>
          <w:sz w:val="22"/>
          <w:szCs w:val="22"/>
          <w:lang w:val="sr-Latn-ME"/>
        </w:rPr>
        <w:t>vidjeti</w:t>
      </w:r>
      <w:r w:rsidR="00660BE9" w:rsidRPr="002041DF">
        <w:rPr>
          <w:sz w:val="22"/>
          <w:szCs w:val="22"/>
          <w:lang w:val="sr-Latn-ME"/>
        </w:rPr>
        <w:t xml:space="preserve"> </w:t>
      </w:r>
      <w:r w:rsidR="00292E06" w:rsidRPr="002041DF">
        <w:rPr>
          <w:sz w:val="22"/>
          <w:szCs w:val="22"/>
          <w:lang w:val="sr-Latn-ME"/>
        </w:rPr>
        <w:t>dio</w:t>
      </w:r>
      <w:r w:rsidR="00660BE9" w:rsidRPr="002041DF">
        <w:rPr>
          <w:sz w:val="22"/>
          <w:szCs w:val="22"/>
          <w:lang w:val="sr-Latn-ME"/>
        </w:rPr>
        <w:t xml:space="preserve"> 4.8)</w:t>
      </w:r>
      <w:r w:rsidR="005C16B9" w:rsidRPr="002041DF">
        <w:rPr>
          <w:sz w:val="22"/>
          <w:szCs w:val="22"/>
          <w:lang w:val="sr-Latn-ME"/>
        </w:rPr>
        <w:t>.</w:t>
      </w:r>
    </w:p>
    <w:p w14:paraId="68007A28" w14:textId="77777777" w:rsidR="00452B4D" w:rsidRPr="002041DF" w:rsidRDefault="00452B4D" w:rsidP="002041DF">
      <w:pPr>
        <w:pStyle w:val="Header"/>
        <w:widowControl w:val="0"/>
        <w:tabs>
          <w:tab w:val="left" w:pos="284"/>
        </w:tabs>
        <w:jc w:val="both"/>
        <w:rPr>
          <w:sz w:val="22"/>
          <w:szCs w:val="22"/>
          <w:lang w:val="sr-Latn-ME"/>
        </w:rPr>
      </w:pPr>
    </w:p>
    <w:p w14:paraId="1B8280E9" w14:textId="77777777" w:rsidR="005C16B9" w:rsidRPr="002041DF" w:rsidRDefault="005C16B9" w:rsidP="002041DF">
      <w:pPr>
        <w:pStyle w:val="Header"/>
        <w:widowControl w:val="0"/>
        <w:tabs>
          <w:tab w:val="left" w:pos="284"/>
        </w:tabs>
        <w:jc w:val="both"/>
        <w:rPr>
          <w:i/>
          <w:sz w:val="22"/>
          <w:szCs w:val="22"/>
          <w:lang w:val="sr-Latn-ME"/>
        </w:rPr>
      </w:pPr>
      <w:r w:rsidRPr="002041DF">
        <w:rPr>
          <w:i/>
          <w:sz w:val="22"/>
          <w:szCs w:val="22"/>
          <w:lang w:val="sr-Latn-ME"/>
        </w:rPr>
        <w:t>Respiratorne</w:t>
      </w:r>
    </w:p>
    <w:p w14:paraId="78981FC4" w14:textId="1A50B318" w:rsidR="00660BE9" w:rsidRPr="002041DF" w:rsidRDefault="005C16B9" w:rsidP="002041DF">
      <w:pPr>
        <w:pStyle w:val="Header"/>
        <w:widowControl w:val="0"/>
        <w:tabs>
          <w:tab w:val="left" w:pos="284"/>
        </w:tabs>
        <w:jc w:val="both"/>
        <w:rPr>
          <w:sz w:val="22"/>
          <w:szCs w:val="22"/>
          <w:lang w:val="sr-Latn-ME"/>
        </w:rPr>
      </w:pPr>
      <w:r w:rsidRPr="002041DF">
        <w:rPr>
          <w:sz w:val="22"/>
          <w:szCs w:val="22"/>
          <w:lang w:val="sr-Latn-ME"/>
        </w:rPr>
        <w:t>Slučajevi alergijskog alveolitisa</w:t>
      </w:r>
      <w:r w:rsidR="003917C1" w:rsidRPr="002041DF">
        <w:rPr>
          <w:sz w:val="22"/>
          <w:szCs w:val="22"/>
          <w:lang w:val="sr-Latn-ME"/>
        </w:rPr>
        <w:t>,</w:t>
      </w:r>
      <w:r w:rsidRPr="002041DF">
        <w:rPr>
          <w:sz w:val="22"/>
          <w:szCs w:val="22"/>
          <w:lang w:val="sr-Latn-ME"/>
        </w:rPr>
        <w:t xml:space="preserve"> eozinofilne pneumonije </w:t>
      </w:r>
      <w:r w:rsidR="003917C1" w:rsidRPr="002041DF">
        <w:rPr>
          <w:sz w:val="22"/>
          <w:szCs w:val="22"/>
          <w:lang w:val="sr-Latn-ME"/>
        </w:rPr>
        <w:t xml:space="preserve">i neinfektivne organizujuće pneumonije </w:t>
      </w:r>
      <w:r w:rsidRPr="002041DF">
        <w:rPr>
          <w:sz w:val="22"/>
          <w:szCs w:val="22"/>
          <w:lang w:val="sr-Latn-ME"/>
        </w:rPr>
        <w:t xml:space="preserve">su bili prijavljeni </w:t>
      </w:r>
      <w:r w:rsidR="007C48D2" w:rsidRPr="002041DF">
        <w:rPr>
          <w:sz w:val="22"/>
          <w:szCs w:val="22"/>
          <w:lang w:val="sr-Latn-ME"/>
        </w:rPr>
        <w:t>nakon stavljanja ustekinumaba u promet</w:t>
      </w:r>
      <w:r w:rsidRPr="002041DF">
        <w:rPr>
          <w:sz w:val="22"/>
          <w:szCs w:val="22"/>
          <w:lang w:val="sr-Latn-ME"/>
        </w:rPr>
        <w:t>. Kliničk</w:t>
      </w:r>
      <w:r w:rsidR="007C48D2" w:rsidRPr="002041DF">
        <w:rPr>
          <w:sz w:val="22"/>
          <w:szCs w:val="22"/>
          <w:lang w:val="sr-Latn-ME"/>
        </w:rPr>
        <w:t>a</w:t>
      </w:r>
      <w:r w:rsidRPr="002041DF">
        <w:rPr>
          <w:sz w:val="22"/>
          <w:szCs w:val="22"/>
          <w:lang w:val="sr-Latn-ME"/>
        </w:rPr>
        <w:t xml:space="preserve"> slik</w:t>
      </w:r>
      <w:r w:rsidR="007C48D2" w:rsidRPr="002041DF">
        <w:rPr>
          <w:sz w:val="22"/>
          <w:szCs w:val="22"/>
          <w:lang w:val="sr-Latn-ME"/>
        </w:rPr>
        <w:t>a</w:t>
      </w:r>
      <w:r w:rsidRPr="002041DF">
        <w:rPr>
          <w:sz w:val="22"/>
          <w:szCs w:val="22"/>
          <w:lang w:val="sr-Latn-ME"/>
        </w:rPr>
        <w:t xml:space="preserve"> uključuj</w:t>
      </w:r>
      <w:r w:rsidR="007C48D2" w:rsidRPr="002041DF">
        <w:rPr>
          <w:sz w:val="22"/>
          <w:szCs w:val="22"/>
          <w:lang w:val="sr-Latn-ME"/>
        </w:rPr>
        <w:t>e</w:t>
      </w:r>
      <w:r w:rsidRPr="002041DF">
        <w:rPr>
          <w:sz w:val="22"/>
          <w:szCs w:val="22"/>
          <w:lang w:val="sr-Latn-ME"/>
        </w:rPr>
        <w:t xml:space="preserve"> kašalj, dispneju i intestinalne infiltracije nakon jedne do 3 doze l</w:t>
      </w:r>
      <w:r w:rsidR="00891C9B" w:rsidRPr="002041DF">
        <w:rPr>
          <w:sz w:val="22"/>
          <w:szCs w:val="22"/>
          <w:lang w:val="sr-Latn-ME"/>
        </w:rPr>
        <w:t>ij</w:t>
      </w:r>
      <w:r w:rsidRPr="002041DF">
        <w:rPr>
          <w:sz w:val="22"/>
          <w:szCs w:val="22"/>
          <w:lang w:val="sr-Latn-ME"/>
        </w:rPr>
        <w:t>eka. Ozbiljni ishodi su uključivali respiratorni zastoj i produženu hospitalizaciju. Poboljšanje je prijavljeno nakon prekida terapije ustekinumabom i takođe, u nekim slučajevima,</w:t>
      </w:r>
      <w:r w:rsidR="00891C9B" w:rsidRPr="002041DF">
        <w:rPr>
          <w:sz w:val="22"/>
          <w:szCs w:val="22"/>
          <w:lang w:val="sr-Latn-ME"/>
        </w:rPr>
        <w:t xml:space="preserve"> primjene </w:t>
      </w:r>
      <w:r w:rsidRPr="002041DF">
        <w:rPr>
          <w:sz w:val="22"/>
          <w:szCs w:val="22"/>
          <w:lang w:val="sr-Latn-ME"/>
        </w:rPr>
        <w:t xml:space="preserve">kortikosteroida. Ukoliko </w:t>
      </w:r>
      <w:r w:rsidR="001A35BB" w:rsidRPr="002041DF">
        <w:rPr>
          <w:sz w:val="22"/>
          <w:szCs w:val="22"/>
          <w:lang w:val="sr-Latn-ME"/>
        </w:rPr>
        <w:t>s</w:t>
      </w:r>
      <w:r w:rsidRPr="002041DF">
        <w:rPr>
          <w:sz w:val="22"/>
          <w:szCs w:val="22"/>
          <w:lang w:val="sr-Latn-ME"/>
        </w:rPr>
        <w:t>e isključi sumnja na infekciju i potvrdi se dijagnoza, prestati sa upotrebom ustekinumaba i prim</w:t>
      </w:r>
      <w:r w:rsidR="00891C9B" w:rsidRPr="002041DF">
        <w:rPr>
          <w:sz w:val="22"/>
          <w:szCs w:val="22"/>
          <w:lang w:val="sr-Latn-ME"/>
        </w:rPr>
        <w:t>ij</w:t>
      </w:r>
      <w:r w:rsidRPr="002041DF">
        <w:rPr>
          <w:sz w:val="22"/>
          <w:szCs w:val="22"/>
          <w:lang w:val="sr-Latn-ME"/>
        </w:rPr>
        <w:t>eniti odgovarajuću terapiju (</w:t>
      </w:r>
      <w:r w:rsidR="006779EA" w:rsidRPr="002041DF">
        <w:rPr>
          <w:sz w:val="22"/>
          <w:szCs w:val="22"/>
          <w:lang w:val="sr-Latn-ME"/>
        </w:rPr>
        <w:t>vidjeti</w:t>
      </w:r>
      <w:r w:rsidRPr="002041DF">
        <w:rPr>
          <w:sz w:val="22"/>
          <w:szCs w:val="22"/>
          <w:lang w:val="sr-Latn-ME"/>
        </w:rPr>
        <w:t xml:space="preserve"> </w:t>
      </w:r>
      <w:r w:rsidR="00292E06" w:rsidRPr="002041DF">
        <w:rPr>
          <w:sz w:val="22"/>
          <w:szCs w:val="22"/>
          <w:lang w:val="sr-Latn-ME"/>
        </w:rPr>
        <w:t>dio</w:t>
      </w:r>
      <w:r w:rsidRPr="002041DF">
        <w:rPr>
          <w:sz w:val="22"/>
          <w:szCs w:val="22"/>
          <w:lang w:val="sr-Latn-ME"/>
        </w:rPr>
        <w:t xml:space="preserve"> 4.8).</w:t>
      </w:r>
      <w:r w:rsidR="00660BE9" w:rsidRPr="002041DF">
        <w:rPr>
          <w:sz w:val="22"/>
          <w:szCs w:val="22"/>
          <w:lang w:val="sr-Latn-ME"/>
        </w:rPr>
        <w:t xml:space="preserve"> </w:t>
      </w:r>
    </w:p>
    <w:p w14:paraId="10949A6F" w14:textId="77777777" w:rsidR="007B7F42" w:rsidRPr="002041DF" w:rsidRDefault="007B7F42" w:rsidP="002041DF">
      <w:pPr>
        <w:pStyle w:val="Header"/>
        <w:widowControl w:val="0"/>
        <w:tabs>
          <w:tab w:val="left" w:pos="284"/>
        </w:tabs>
        <w:jc w:val="both"/>
        <w:rPr>
          <w:sz w:val="22"/>
          <w:szCs w:val="22"/>
          <w:u w:val="single"/>
          <w:lang w:val="sr-Latn-ME"/>
        </w:rPr>
      </w:pPr>
    </w:p>
    <w:p w14:paraId="0BB1B84E" w14:textId="77777777" w:rsidR="00E54BB8" w:rsidRPr="002041DF" w:rsidRDefault="00E54BB8" w:rsidP="002041DF">
      <w:pPr>
        <w:pStyle w:val="Header"/>
        <w:widowControl w:val="0"/>
        <w:tabs>
          <w:tab w:val="left" w:pos="284"/>
        </w:tabs>
        <w:jc w:val="both"/>
        <w:rPr>
          <w:sz w:val="22"/>
          <w:szCs w:val="22"/>
          <w:u w:val="single"/>
          <w:lang w:val="sr-Latn-ME"/>
        </w:rPr>
      </w:pPr>
      <w:r w:rsidRPr="002041DF">
        <w:rPr>
          <w:sz w:val="22"/>
          <w:szCs w:val="22"/>
          <w:u w:val="single"/>
          <w:lang w:val="sr-Latn-ME"/>
        </w:rPr>
        <w:t>Kardiovaskularni događaji</w:t>
      </w:r>
    </w:p>
    <w:p w14:paraId="7F079A16" w14:textId="005A1151" w:rsidR="00623D38" w:rsidRPr="002041DF" w:rsidRDefault="00E54BB8" w:rsidP="002041DF">
      <w:pPr>
        <w:pStyle w:val="Header"/>
        <w:widowControl w:val="0"/>
        <w:tabs>
          <w:tab w:val="left" w:pos="284"/>
        </w:tabs>
        <w:jc w:val="both"/>
        <w:rPr>
          <w:sz w:val="22"/>
          <w:szCs w:val="22"/>
          <w:lang w:val="sr-Latn-ME"/>
        </w:rPr>
      </w:pPr>
      <w:r w:rsidRPr="002041DF">
        <w:rPr>
          <w:sz w:val="22"/>
          <w:szCs w:val="22"/>
          <w:lang w:val="sr-Latn-ME"/>
        </w:rPr>
        <w:t>Kod pacijenata sa psorijazom koji su bili izloženi l</w:t>
      </w:r>
      <w:r w:rsidR="00891C9B" w:rsidRPr="002041DF">
        <w:rPr>
          <w:sz w:val="22"/>
          <w:szCs w:val="22"/>
          <w:lang w:val="sr-Latn-ME"/>
        </w:rPr>
        <w:t>ij</w:t>
      </w:r>
      <w:r w:rsidRPr="002041DF">
        <w:rPr>
          <w:sz w:val="22"/>
          <w:szCs w:val="22"/>
          <w:lang w:val="sr-Latn-ME"/>
        </w:rPr>
        <w:t xml:space="preserve">eku STELARA u postmarketinškom opservacionom ispitivanju </w:t>
      </w:r>
      <w:r w:rsidR="00891C9B" w:rsidRPr="002041DF">
        <w:rPr>
          <w:sz w:val="22"/>
          <w:szCs w:val="22"/>
          <w:lang w:val="sr-Latn-ME"/>
        </w:rPr>
        <w:t>zabilježen</w:t>
      </w:r>
      <w:r w:rsidRPr="002041DF">
        <w:rPr>
          <w:sz w:val="22"/>
          <w:szCs w:val="22"/>
          <w:lang w:val="sr-Latn-ME"/>
        </w:rPr>
        <w:t>i su kardiovaskularni događaji, uključujući infarkt miokarda i cerebrovaskularni insult. Faktore rizika za kardiovaskularne bolesti treba redovno proc</w:t>
      </w:r>
      <w:r w:rsidR="00891C9B" w:rsidRPr="002041DF">
        <w:rPr>
          <w:sz w:val="22"/>
          <w:szCs w:val="22"/>
          <w:lang w:val="sr-Latn-ME"/>
        </w:rPr>
        <w:t>j</w:t>
      </w:r>
      <w:r w:rsidRPr="002041DF">
        <w:rPr>
          <w:sz w:val="22"/>
          <w:szCs w:val="22"/>
          <w:lang w:val="sr-Latn-ME"/>
        </w:rPr>
        <w:t>enjivati tokom terapije</w:t>
      </w:r>
      <w:r w:rsidR="00891C9B" w:rsidRPr="002041DF">
        <w:rPr>
          <w:sz w:val="22"/>
          <w:szCs w:val="22"/>
          <w:lang w:val="sr-Latn-ME"/>
        </w:rPr>
        <w:t xml:space="preserve"> lijekom </w:t>
      </w:r>
      <w:r w:rsidRPr="002041DF">
        <w:rPr>
          <w:sz w:val="22"/>
          <w:szCs w:val="22"/>
          <w:lang w:val="sr-Latn-ME"/>
        </w:rPr>
        <w:t>Stelara.</w:t>
      </w:r>
    </w:p>
    <w:p w14:paraId="6AE289ED" w14:textId="77777777" w:rsidR="00C36D57" w:rsidRPr="002041DF" w:rsidRDefault="00C36D57" w:rsidP="002041DF">
      <w:pPr>
        <w:pStyle w:val="Header"/>
        <w:widowControl w:val="0"/>
        <w:tabs>
          <w:tab w:val="left" w:pos="284"/>
        </w:tabs>
        <w:jc w:val="both"/>
        <w:rPr>
          <w:i/>
          <w:sz w:val="22"/>
          <w:szCs w:val="22"/>
          <w:lang w:val="sr-Latn-ME"/>
        </w:rPr>
      </w:pPr>
    </w:p>
    <w:p w14:paraId="61AF2FCE" w14:textId="1A5711FE" w:rsidR="00623D38" w:rsidRPr="002041DF" w:rsidRDefault="00891C9B" w:rsidP="002041DF">
      <w:pPr>
        <w:pStyle w:val="Header"/>
        <w:widowControl w:val="0"/>
        <w:tabs>
          <w:tab w:val="left" w:pos="284"/>
        </w:tabs>
        <w:jc w:val="both"/>
        <w:rPr>
          <w:i/>
          <w:sz w:val="22"/>
          <w:szCs w:val="22"/>
          <w:lang w:val="sr-Latn-ME"/>
        </w:rPr>
      </w:pPr>
      <w:r w:rsidRPr="002041DF">
        <w:rPr>
          <w:i/>
          <w:sz w:val="22"/>
          <w:szCs w:val="22"/>
          <w:lang w:val="sr-Latn-ME"/>
        </w:rPr>
        <w:t>Osjetljiv</w:t>
      </w:r>
      <w:r w:rsidR="00623D38" w:rsidRPr="002041DF">
        <w:rPr>
          <w:i/>
          <w:sz w:val="22"/>
          <w:szCs w:val="22"/>
          <w:lang w:val="sr-Latn-ME"/>
        </w:rPr>
        <w:t>ost na lateks</w:t>
      </w:r>
    </w:p>
    <w:p w14:paraId="15D8C0FF" w14:textId="1959EE48" w:rsidR="00623D38" w:rsidRPr="002041DF" w:rsidRDefault="00623D38" w:rsidP="002041DF">
      <w:pPr>
        <w:pStyle w:val="Header"/>
        <w:widowControl w:val="0"/>
        <w:tabs>
          <w:tab w:val="left" w:pos="284"/>
        </w:tabs>
        <w:jc w:val="both"/>
        <w:rPr>
          <w:sz w:val="22"/>
          <w:szCs w:val="22"/>
          <w:lang w:val="sr-Latn-ME"/>
        </w:rPr>
      </w:pPr>
      <w:r w:rsidRPr="002041DF">
        <w:rPr>
          <w:sz w:val="22"/>
          <w:szCs w:val="22"/>
          <w:lang w:val="sr-Latn-ME"/>
        </w:rPr>
        <w:t xml:space="preserve">Zaštitnik za iglu napunjenog injekcionog šprica proizveden je od suve prirodne gume (derivata lateksa), što može prouzrokovati alergijske reakcije kod osoba </w:t>
      </w:r>
      <w:r w:rsidR="00891C9B" w:rsidRPr="002041DF">
        <w:rPr>
          <w:sz w:val="22"/>
          <w:szCs w:val="22"/>
          <w:lang w:val="sr-Latn-ME"/>
        </w:rPr>
        <w:t>osjetljiv</w:t>
      </w:r>
      <w:r w:rsidRPr="002041DF">
        <w:rPr>
          <w:sz w:val="22"/>
          <w:szCs w:val="22"/>
          <w:lang w:val="sr-Latn-ME"/>
        </w:rPr>
        <w:t xml:space="preserve">ih na lateks. </w:t>
      </w:r>
    </w:p>
    <w:p w14:paraId="23687FBD" w14:textId="77777777" w:rsidR="00FA468A" w:rsidRPr="002041DF" w:rsidRDefault="00FA468A" w:rsidP="002041DF">
      <w:pPr>
        <w:pStyle w:val="Header"/>
        <w:widowControl w:val="0"/>
        <w:tabs>
          <w:tab w:val="left" w:pos="284"/>
        </w:tabs>
        <w:jc w:val="both"/>
        <w:rPr>
          <w:sz w:val="22"/>
          <w:szCs w:val="22"/>
          <w:u w:val="single"/>
          <w:lang w:val="sr-Latn-ME"/>
        </w:rPr>
      </w:pPr>
    </w:p>
    <w:p w14:paraId="7C56FCDF" w14:textId="5AA5BDA0" w:rsidR="00623D38" w:rsidRPr="002041DF" w:rsidRDefault="00623D38" w:rsidP="002041DF">
      <w:pPr>
        <w:pStyle w:val="Header"/>
        <w:widowControl w:val="0"/>
        <w:tabs>
          <w:tab w:val="left" w:pos="284"/>
        </w:tabs>
        <w:jc w:val="both"/>
        <w:rPr>
          <w:sz w:val="22"/>
          <w:szCs w:val="22"/>
          <w:lang w:val="sr-Latn-ME"/>
        </w:rPr>
      </w:pPr>
      <w:r w:rsidRPr="002041DF">
        <w:rPr>
          <w:sz w:val="22"/>
          <w:szCs w:val="22"/>
          <w:u w:val="single"/>
          <w:lang w:val="sr-Latn-ME"/>
        </w:rPr>
        <w:t>Vakcinacija</w:t>
      </w:r>
    </w:p>
    <w:p w14:paraId="302FEAA1" w14:textId="3BB5FB25" w:rsidR="00623D38" w:rsidRPr="002041DF" w:rsidRDefault="00623D38" w:rsidP="002041DF">
      <w:pPr>
        <w:pStyle w:val="Header"/>
        <w:widowControl w:val="0"/>
        <w:tabs>
          <w:tab w:val="left" w:pos="284"/>
        </w:tabs>
        <w:jc w:val="both"/>
        <w:rPr>
          <w:sz w:val="22"/>
          <w:szCs w:val="22"/>
          <w:lang w:val="sr-Latn-ME"/>
        </w:rPr>
      </w:pPr>
      <w:r w:rsidRPr="002041DF">
        <w:rPr>
          <w:sz w:val="22"/>
          <w:szCs w:val="22"/>
          <w:lang w:val="sr-Latn-ME"/>
        </w:rPr>
        <w:t xml:space="preserve">Preporučuje se da žive virusne ili žive bakterijske vakcine (kao što je Bacillus Calmette </w:t>
      </w:r>
      <w:r w:rsidR="006D6A83" w:rsidRPr="002041DF">
        <w:rPr>
          <w:sz w:val="22"/>
          <w:szCs w:val="22"/>
          <w:lang w:val="sr-Latn-ME"/>
        </w:rPr>
        <w:t xml:space="preserve">– </w:t>
      </w:r>
      <w:r w:rsidRPr="002041DF">
        <w:rPr>
          <w:sz w:val="22"/>
          <w:szCs w:val="22"/>
          <w:lang w:val="sr-Latn-ME"/>
        </w:rPr>
        <w:t>Guérin</w:t>
      </w:r>
      <w:r w:rsidR="006D6A83" w:rsidRPr="002041DF">
        <w:rPr>
          <w:sz w:val="22"/>
          <w:szCs w:val="22"/>
          <w:lang w:val="sr-Latn-ME"/>
        </w:rPr>
        <w:t xml:space="preserve"> (</w:t>
      </w:r>
      <w:r w:rsidRPr="002041DF">
        <w:rPr>
          <w:sz w:val="22"/>
          <w:szCs w:val="22"/>
          <w:lang w:val="sr-Latn-ME"/>
        </w:rPr>
        <w:t>BCG</w:t>
      </w:r>
      <w:r w:rsidR="006D6A83" w:rsidRPr="002041DF">
        <w:rPr>
          <w:sz w:val="22"/>
          <w:szCs w:val="22"/>
          <w:lang w:val="sr-Latn-ME"/>
        </w:rPr>
        <w:t>)</w:t>
      </w:r>
      <w:r w:rsidRPr="002041DF">
        <w:rPr>
          <w:sz w:val="22"/>
          <w:szCs w:val="22"/>
          <w:lang w:val="sr-Latn-ME"/>
        </w:rPr>
        <w:t>) ne treba prim</w:t>
      </w:r>
      <w:r w:rsidR="00891C9B" w:rsidRPr="002041DF">
        <w:rPr>
          <w:sz w:val="22"/>
          <w:szCs w:val="22"/>
          <w:lang w:val="sr-Latn-ME"/>
        </w:rPr>
        <w:t>j</w:t>
      </w:r>
      <w:r w:rsidRPr="002041DF">
        <w:rPr>
          <w:sz w:val="22"/>
          <w:szCs w:val="22"/>
          <w:lang w:val="sr-Latn-ME"/>
        </w:rPr>
        <w:t>enjivati u isto</w:t>
      </w:r>
      <w:r w:rsidR="004372C4" w:rsidRPr="002041DF">
        <w:rPr>
          <w:sz w:val="22"/>
          <w:szCs w:val="22"/>
          <w:lang w:val="sr-Latn-ME"/>
        </w:rPr>
        <w:t xml:space="preserve"> vrijeme </w:t>
      </w:r>
      <w:r w:rsidRPr="002041DF">
        <w:rPr>
          <w:sz w:val="22"/>
          <w:szCs w:val="22"/>
          <w:lang w:val="sr-Latn-ME"/>
        </w:rPr>
        <w:t>kada i terapiju</w:t>
      </w:r>
      <w:r w:rsidR="00891C9B" w:rsidRPr="002041DF">
        <w:rPr>
          <w:sz w:val="22"/>
          <w:szCs w:val="22"/>
          <w:lang w:val="sr-Latn-ME"/>
        </w:rPr>
        <w:t xml:space="preserve"> lijekom </w:t>
      </w:r>
      <w:r w:rsidRPr="002041DF">
        <w:rPr>
          <w:sz w:val="22"/>
          <w:szCs w:val="22"/>
          <w:lang w:val="sr-Latn-ME"/>
        </w:rPr>
        <w:t>Stelara.</w:t>
      </w:r>
      <w:r w:rsidR="00E50471" w:rsidRPr="002041DF">
        <w:rPr>
          <w:sz w:val="22"/>
          <w:szCs w:val="22"/>
          <w:lang w:val="sr-Latn-ME"/>
        </w:rPr>
        <w:t xml:space="preserve"> </w:t>
      </w:r>
      <w:r w:rsidR="00891C9B" w:rsidRPr="002041DF">
        <w:rPr>
          <w:sz w:val="22"/>
          <w:szCs w:val="22"/>
          <w:lang w:val="sr-Latn-ME"/>
        </w:rPr>
        <w:t>N</w:t>
      </w:r>
      <w:r w:rsidR="00E50471" w:rsidRPr="002041DF">
        <w:rPr>
          <w:sz w:val="22"/>
          <w:szCs w:val="22"/>
          <w:lang w:val="sr-Latn-ME"/>
        </w:rPr>
        <w:t xml:space="preserve">ijesu </w:t>
      </w:r>
      <w:r w:rsidRPr="002041DF">
        <w:rPr>
          <w:sz w:val="22"/>
          <w:szCs w:val="22"/>
          <w:lang w:val="sr-Latn-ME"/>
        </w:rPr>
        <w:t>sprovedena posebna klinička ispitivanja kod pacijenata koji su nedavno primili žive virusne ili žive bakterijske vakcine. Podaci o sekundarnom prenosu infekcije živim vakcinama kod pacijenata koji su na terapiji</w:t>
      </w:r>
      <w:r w:rsidR="00891C9B" w:rsidRPr="002041DF">
        <w:rPr>
          <w:sz w:val="22"/>
          <w:szCs w:val="22"/>
          <w:lang w:val="sr-Latn-ME"/>
        </w:rPr>
        <w:t xml:space="preserve"> lijekom </w:t>
      </w:r>
      <w:r w:rsidRPr="002041DF">
        <w:rPr>
          <w:sz w:val="22"/>
          <w:szCs w:val="22"/>
          <w:lang w:val="sr-Latn-ME"/>
        </w:rPr>
        <w:t>Stelara</w:t>
      </w:r>
      <w:r w:rsidR="00E50471" w:rsidRPr="002041DF">
        <w:rPr>
          <w:sz w:val="22"/>
          <w:szCs w:val="22"/>
          <w:lang w:val="sr-Latn-ME"/>
        </w:rPr>
        <w:t xml:space="preserve"> nijesu </w:t>
      </w:r>
      <w:r w:rsidRPr="002041DF">
        <w:rPr>
          <w:sz w:val="22"/>
          <w:szCs w:val="22"/>
          <w:lang w:val="sr-Latn-ME"/>
        </w:rPr>
        <w:t>dostupni.</w:t>
      </w:r>
      <w:r w:rsidR="00891C9B" w:rsidRPr="002041DF">
        <w:rPr>
          <w:sz w:val="22"/>
          <w:szCs w:val="22"/>
          <w:lang w:val="sr-Latn-ME"/>
        </w:rPr>
        <w:t xml:space="preserve"> Prije </w:t>
      </w:r>
      <w:r w:rsidRPr="002041DF">
        <w:rPr>
          <w:sz w:val="22"/>
          <w:szCs w:val="22"/>
          <w:lang w:val="sr-Latn-ME"/>
        </w:rPr>
        <w:t>imunizacije živom virusnom ili bakterijskom vakcinom, potrebno je obustaviti terapiju</w:t>
      </w:r>
      <w:r w:rsidR="00891C9B" w:rsidRPr="002041DF">
        <w:rPr>
          <w:sz w:val="22"/>
          <w:szCs w:val="22"/>
          <w:lang w:val="sr-Latn-ME"/>
        </w:rPr>
        <w:t xml:space="preserve"> lijekom </w:t>
      </w:r>
      <w:r w:rsidRPr="002041DF">
        <w:rPr>
          <w:sz w:val="22"/>
          <w:szCs w:val="22"/>
          <w:lang w:val="sr-Latn-ME"/>
        </w:rPr>
        <w:t xml:space="preserve">Stelara najmanje 15 </w:t>
      </w:r>
      <w:r w:rsidR="004372C4" w:rsidRPr="002041DF">
        <w:rPr>
          <w:sz w:val="22"/>
          <w:szCs w:val="22"/>
          <w:lang w:val="sr-Latn-ME"/>
        </w:rPr>
        <w:t>nedjelja</w:t>
      </w:r>
      <w:r w:rsidRPr="002041DF">
        <w:rPr>
          <w:sz w:val="22"/>
          <w:szCs w:val="22"/>
          <w:lang w:val="sr-Latn-ME"/>
        </w:rPr>
        <w:t xml:space="preserve"> nakon posl</w:t>
      </w:r>
      <w:r w:rsidR="00891C9B" w:rsidRPr="002041DF">
        <w:rPr>
          <w:sz w:val="22"/>
          <w:szCs w:val="22"/>
          <w:lang w:val="sr-Latn-ME"/>
        </w:rPr>
        <w:t>j</w:t>
      </w:r>
      <w:r w:rsidRPr="002041DF">
        <w:rPr>
          <w:sz w:val="22"/>
          <w:szCs w:val="22"/>
          <w:lang w:val="sr-Latn-ME"/>
        </w:rPr>
        <w:t xml:space="preserve">ednje doze, a terapija se može nastaviti najmanje 2 </w:t>
      </w:r>
      <w:r w:rsidR="004372C4" w:rsidRPr="002041DF">
        <w:rPr>
          <w:sz w:val="22"/>
          <w:szCs w:val="22"/>
          <w:lang w:val="sr-Latn-ME"/>
        </w:rPr>
        <w:t>nedjelje</w:t>
      </w:r>
      <w:r w:rsidRPr="002041DF">
        <w:rPr>
          <w:sz w:val="22"/>
          <w:szCs w:val="22"/>
          <w:lang w:val="sr-Latn-ME"/>
        </w:rPr>
        <w:t xml:space="preserve"> nakon vakcinacije. Potrebno je konsultovati Sažetke karakteristika</w:t>
      </w:r>
      <w:r w:rsidR="00A35D07" w:rsidRPr="002041DF">
        <w:rPr>
          <w:sz w:val="22"/>
          <w:szCs w:val="22"/>
          <w:lang w:val="sr-Latn-ME"/>
        </w:rPr>
        <w:t xml:space="preserve"> lijeka </w:t>
      </w:r>
      <w:r w:rsidRPr="002041DF">
        <w:rPr>
          <w:sz w:val="22"/>
          <w:szCs w:val="22"/>
          <w:lang w:val="sr-Latn-ME"/>
        </w:rPr>
        <w:t>za određene vakcine, za dodatne informacije i instrukcije pri istovremenoj prim</w:t>
      </w:r>
      <w:r w:rsidR="00891C9B" w:rsidRPr="002041DF">
        <w:rPr>
          <w:sz w:val="22"/>
          <w:szCs w:val="22"/>
          <w:lang w:val="sr-Latn-ME"/>
        </w:rPr>
        <w:t>j</w:t>
      </w:r>
      <w:r w:rsidRPr="002041DF">
        <w:rPr>
          <w:sz w:val="22"/>
          <w:szCs w:val="22"/>
          <w:lang w:val="sr-Latn-ME"/>
        </w:rPr>
        <w:t>eni imunosupresiva nakon vakcinacije.</w:t>
      </w:r>
    </w:p>
    <w:p w14:paraId="3948E074" w14:textId="0ECBAACB" w:rsidR="00623D38" w:rsidRPr="002041DF" w:rsidRDefault="00623D38" w:rsidP="002041DF">
      <w:pPr>
        <w:pStyle w:val="Header"/>
        <w:widowControl w:val="0"/>
        <w:tabs>
          <w:tab w:val="left" w:pos="284"/>
        </w:tabs>
        <w:jc w:val="both"/>
        <w:rPr>
          <w:sz w:val="22"/>
          <w:szCs w:val="22"/>
          <w:lang w:val="sr-Latn-ME"/>
        </w:rPr>
      </w:pPr>
    </w:p>
    <w:p w14:paraId="797337B5" w14:textId="27EB14EF" w:rsidR="00D73A0F" w:rsidRPr="002041DF" w:rsidRDefault="00D73A0F" w:rsidP="002041DF">
      <w:pPr>
        <w:pStyle w:val="Header"/>
        <w:widowControl w:val="0"/>
        <w:tabs>
          <w:tab w:val="left" w:pos="284"/>
        </w:tabs>
        <w:jc w:val="both"/>
        <w:rPr>
          <w:sz w:val="22"/>
          <w:szCs w:val="22"/>
          <w:lang w:val="sr-Latn-ME"/>
        </w:rPr>
      </w:pPr>
      <w:r w:rsidRPr="002041DF">
        <w:rPr>
          <w:sz w:val="22"/>
          <w:szCs w:val="22"/>
          <w:lang w:val="sr-Latn-ME"/>
        </w:rPr>
        <w:t>Prim</w:t>
      </w:r>
      <w:r w:rsidR="00891C9B" w:rsidRPr="002041DF">
        <w:rPr>
          <w:sz w:val="22"/>
          <w:szCs w:val="22"/>
          <w:lang w:val="sr-Latn-ME"/>
        </w:rPr>
        <w:t>j</w:t>
      </w:r>
      <w:r w:rsidRPr="002041DF">
        <w:rPr>
          <w:sz w:val="22"/>
          <w:szCs w:val="22"/>
          <w:lang w:val="sr-Latn-ME"/>
        </w:rPr>
        <w:t xml:space="preserve">ena živih vakcina (kao što je BCG vakcina) kod odojčadi koja su bila izložena ustekinumabu </w:t>
      </w:r>
      <w:r w:rsidRPr="002041DF">
        <w:rPr>
          <w:i/>
          <w:iCs/>
          <w:sz w:val="22"/>
          <w:szCs w:val="22"/>
          <w:lang w:val="sr-Latn-ME"/>
        </w:rPr>
        <w:t>in utero</w:t>
      </w:r>
      <w:r w:rsidRPr="002041DF">
        <w:rPr>
          <w:sz w:val="22"/>
          <w:szCs w:val="22"/>
          <w:lang w:val="sr-Latn-ME"/>
        </w:rPr>
        <w:t xml:space="preserve">, se ne preporučuje </w:t>
      </w:r>
      <w:r w:rsidR="00B858EA" w:rsidRPr="002041DF">
        <w:rPr>
          <w:sz w:val="22"/>
          <w:lang w:val="sr-Latn-ME"/>
        </w:rPr>
        <w:t>dvanaest</w:t>
      </w:r>
      <w:r w:rsidRPr="002041DF">
        <w:rPr>
          <w:sz w:val="22"/>
          <w:szCs w:val="22"/>
          <w:lang w:val="sr-Latn-ME"/>
        </w:rPr>
        <w:t xml:space="preserve"> m</w:t>
      </w:r>
      <w:r w:rsidR="00891C9B" w:rsidRPr="002041DF">
        <w:rPr>
          <w:sz w:val="22"/>
          <w:szCs w:val="22"/>
          <w:lang w:val="sr-Latn-ME"/>
        </w:rPr>
        <w:t>j</w:t>
      </w:r>
      <w:r w:rsidRPr="002041DF">
        <w:rPr>
          <w:sz w:val="22"/>
          <w:szCs w:val="22"/>
          <w:lang w:val="sr-Latn-ME"/>
        </w:rPr>
        <w:t>eseci nakon rođenja ili dok se nivoi ustekinumaba u serumu odojčadi ne mogu detektovati (</w:t>
      </w:r>
      <w:r w:rsidR="006779EA" w:rsidRPr="002041DF">
        <w:rPr>
          <w:sz w:val="22"/>
          <w:szCs w:val="22"/>
          <w:lang w:val="sr-Latn-ME"/>
        </w:rPr>
        <w:t>vidjeti</w:t>
      </w:r>
      <w:r w:rsidRPr="002041DF">
        <w:rPr>
          <w:sz w:val="22"/>
          <w:szCs w:val="22"/>
          <w:lang w:val="sr-Latn-ME"/>
        </w:rPr>
        <w:t xml:space="preserve"> </w:t>
      </w:r>
      <w:r w:rsidR="00905218" w:rsidRPr="002041DF">
        <w:rPr>
          <w:sz w:val="22"/>
          <w:szCs w:val="22"/>
          <w:lang w:val="sr-Latn-ME"/>
        </w:rPr>
        <w:t xml:space="preserve">djelove </w:t>
      </w:r>
      <w:r w:rsidRPr="002041DF">
        <w:rPr>
          <w:sz w:val="22"/>
          <w:szCs w:val="22"/>
          <w:lang w:val="sr-Latn-ME"/>
        </w:rPr>
        <w:t>4.5 i 4.6). Ako postoji jasna klinička korist za pojedinačno odojče, može se razmotriti</w:t>
      </w:r>
      <w:r w:rsidR="00A35D07" w:rsidRPr="002041DF">
        <w:rPr>
          <w:sz w:val="22"/>
          <w:szCs w:val="22"/>
          <w:lang w:val="sr-Latn-ME"/>
        </w:rPr>
        <w:t xml:space="preserve"> prim</w:t>
      </w:r>
      <w:r w:rsidR="00891C9B" w:rsidRPr="002041DF">
        <w:rPr>
          <w:sz w:val="22"/>
          <w:szCs w:val="22"/>
          <w:lang w:val="sr-Latn-ME"/>
        </w:rPr>
        <w:t>j</w:t>
      </w:r>
      <w:r w:rsidR="00A35D07" w:rsidRPr="002041DF">
        <w:rPr>
          <w:sz w:val="22"/>
          <w:szCs w:val="22"/>
          <w:lang w:val="sr-Latn-ME"/>
        </w:rPr>
        <w:t xml:space="preserve">ena </w:t>
      </w:r>
      <w:r w:rsidRPr="002041DF">
        <w:rPr>
          <w:sz w:val="22"/>
          <w:szCs w:val="22"/>
          <w:lang w:val="sr-Latn-ME"/>
        </w:rPr>
        <w:t>žive vakcine u ranijem trenutku, ako se nivoi ustekinumaba u serumu odojčadi ne mogu detektovati.</w:t>
      </w:r>
    </w:p>
    <w:p w14:paraId="3663F12F" w14:textId="77777777" w:rsidR="00D73A0F" w:rsidRPr="002041DF" w:rsidRDefault="00D73A0F" w:rsidP="002041DF">
      <w:pPr>
        <w:pStyle w:val="Header"/>
        <w:widowControl w:val="0"/>
        <w:tabs>
          <w:tab w:val="left" w:pos="284"/>
        </w:tabs>
        <w:jc w:val="both"/>
        <w:rPr>
          <w:sz w:val="22"/>
          <w:szCs w:val="22"/>
          <w:lang w:val="sr-Latn-ME"/>
        </w:rPr>
      </w:pPr>
    </w:p>
    <w:p w14:paraId="3BD7A44C" w14:textId="04086D13" w:rsidR="00623D38" w:rsidRPr="002041DF" w:rsidRDefault="00623D38" w:rsidP="002041DF">
      <w:pPr>
        <w:pStyle w:val="Header"/>
        <w:widowControl w:val="0"/>
        <w:tabs>
          <w:tab w:val="left" w:pos="284"/>
        </w:tabs>
        <w:jc w:val="both"/>
        <w:rPr>
          <w:sz w:val="22"/>
          <w:szCs w:val="22"/>
          <w:lang w:val="sr-Latn-ME"/>
        </w:rPr>
      </w:pPr>
      <w:r w:rsidRPr="002041DF">
        <w:rPr>
          <w:sz w:val="22"/>
          <w:szCs w:val="22"/>
          <w:lang w:val="sr-Latn-ME"/>
        </w:rPr>
        <w:t>Pacijenti koji su na terapiji</w:t>
      </w:r>
      <w:r w:rsidR="00891C9B" w:rsidRPr="002041DF">
        <w:rPr>
          <w:sz w:val="22"/>
          <w:szCs w:val="22"/>
          <w:lang w:val="sr-Latn-ME"/>
        </w:rPr>
        <w:t xml:space="preserve"> lijekom </w:t>
      </w:r>
      <w:r w:rsidRPr="002041DF">
        <w:rPr>
          <w:sz w:val="22"/>
          <w:szCs w:val="22"/>
          <w:lang w:val="sr-Latn-ME"/>
        </w:rPr>
        <w:t>Stelara mogu da prime inaktivisane ili nežive vakcine.</w:t>
      </w:r>
    </w:p>
    <w:p w14:paraId="5AC6CF80" w14:textId="77777777" w:rsidR="00623D38" w:rsidRPr="002041DF" w:rsidRDefault="00623D38" w:rsidP="002041DF">
      <w:pPr>
        <w:pStyle w:val="Header"/>
        <w:widowControl w:val="0"/>
        <w:tabs>
          <w:tab w:val="left" w:pos="284"/>
        </w:tabs>
        <w:jc w:val="both"/>
        <w:rPr>
          <w:sz w:val="22"/>
          <w:szCs w:val="22"/>
          <w:lang w:val="sr-Latn-ME"/>
        </w:rPr>
      </w:pPr>
    </w:p>
    <w:p w14:paraId="18133DD0" w14:textId="7AF93C9D" w:rsidR="00623D38" w:rsidRPr="002041DF" w:rsidRDefault="00623D38" w:rsidP="002041DF">
      <w:pPr>
        <w:pStyle w:val="Header"/>
        <w:widowControl w:val="0"/>
        <w:tabs>
          <w:tab w:val="left" w:pos="284"/>
          <w:tab w:val="left" w:pos="8730"/>
          <w:tab w:val="left" w:pos="8886"/>
        </w:tabs>
        <w:jc w:val="both"/>
        <w:rPr>
          <w:sz w:val="22"/>
          <w:szCs w:val="22"/>
          <w:lang w:val="sr-Latn-ME"/>
        </w:rPr>
      </w:pPr>
      <w:r w:rsidRPr="002041DF">
        <w:rPr>
          <w:sz w:val="22"/>
          <w:szCs w:val="22"/>
          <w:lang w:val="sr-Latn-ME"/>
        </w:rPr>
        <w:t>Dug per</w:t>
      </w:r>
      <w:r w:rsidR="00FA468A" w:rsidRPr="002041DF">
        <w:rPr>
          <w:sz w:val="22"/>
          <w:szCs w:val="22"/>
          <w:lang w:val="sr-Latn-ME"/>
        </w:rPr>
        <w:t>i</w:t>
      </w:r>
      <w:r w:rsidRPr="002041DF">
        <w:rPr>
          <w:sz w:val="22"/>
          <w:szCs w:val="22"/>
          <w:lang w:val="sr-Latn-ME"/>
        </w:rPr>
        <w:t>od uzimanja</w:t>
      </w:r>
      <w:r w:rsidR="00A35D07" w:rsidRPr="002041DF">
        <w:rPr>
          <w:sz w:val="22"/>
          <w:szCs w:val="22"/>
          <w:lang w:val="sr-Latn-ME"/>
        </w:rPr>
        <w:t xml:space="preserve"> lijeka </w:t>
      </w:r>
      <w:r w:rsidRPr="002041DF">
        <w:rPr>
          <w:sz w:val="22"/>
          <w:szCs w:val="22"/>
          <w:lang w:val="sr-Latn-ME"/>
        </w:rPr>
        <w:t>Stelara ne suprimira humoralni imun</w:t>
      </w:r>
      <w:r w:rsidR="001A35BB" w:rsidRPr="002041DF">
        <w:rPr>
          <w:sz w:val="22"/>
          <w:szCs w:val="22"/>
          <w:lang w:val="sr-Latn-ME"/>
        </w:rPr>
        <w:t>ski</w:t>
      </w:r>
      <w:r w:rsidRPr="002041DF">
        <w:rPr>
          <w:sz w:val="22"/>
          <w:szCs w:val="22"/>
          <w:lang w:val="sr-Latn-ME"/>
        </w:rPr>
        <w:t xml:space="preserve"> odgovor na polisaharide pneumokoka ili na tetanusne vakcine (</w:t>
      </w:r>
      <w:r w:rsidR="006779EA" w:rsidRPr="002041DF">
        <w:rPr>
          <w:sz w:val="22"/>
          <w:szCs w:val="22"/>
          <w:lang w:val="sr-Latn-ME"/>
        </w:rPr>
        <w:t>vidjeti</w:t>
      </w:r>
      <w:r w:rsidRPr="002041DF">
        <w:rPr>
          <w:sz w:val="22"/>
          <w:szCs w:val="22"/>
          <w:lang w:val="sr-Latn-ME"/>
        </w:rPr>
        <w:t xml:space="preserve"> </w:t>
      </w:r>
      <w:r w:rsidR="00292E06" w:rsidRPr="002041DF">
        <w:rPr>
          <w:sz w:val="22"/>
          <w:szCs w:val="22"/>
          <w:lang w:val="sr-Latn-ME"/>
        </w:rPr>
        <w:t>dio</w:t>
      </w:r>
      <w:r w:rsidRPr="002041DF">
        <w:rPr>
          <w:sz w:val="22"/>
          <w:szCs w:val="22"/>
          <w:lang w:val="sr-Latn-ME"/>
        </w:rPr>
        <w:t xml:space="preserve"> 5.1).</w:t>
      </w:r>
    </w:p>
    <w:p w14:paraId="35372603" w14:textId="77777777" w:rsidR="00623D38" w:rsidRPr="002041DF" w:rsidRDefault="00623D38" w:rsidP="002041DF">
      <w:pPr>
        <w:pStyle w:val="Header"/>
        <w:widowControl w:val="0"/>
        <w:tabs>
          <w:tab w:val="left" w:pos="284"/>
          <w:tab w:val="left" w:pos="8730"/>
          <w:tab w:val="left" w:pos="8886"/>
        </w:tabs>
        <w:jc w:val="both"/>
        <w:rPr>
          <w:sz w:val="22"/>
          <w:szCs w:val="22"/>
          <w:lang w:val="sr-Latn-ME"/>
        </w:rPr>
      </w:pPr>
    </w:p>
    <w:p w14:paraId="1FBA0594" w14:textId="77777777" w:rsidR="00623D38" w:rsidRPr="002041DF" w:rsidRDefault="00623D38" w:rsidP="002041DF">
      <w:pPr>
        <w:pStyle w:val="Header"/>
        <w:widowControl w:val="0"/>
        <w:tabs>
          <w:tab w:val="left" w:pos="284"/>
        </w:tabs>
        <w:jc w:val="both"/>
        <w:rPr>
          <w:sz w:val="22"/>
          <w:szCs w:val="22"/>
          <w:lang w:val="sr-Latn-ME"/>
        </w:rPr>
      </w:pPr>
      <w:r w:rsidRPr="002041DF">
        <w:rPr>
          <w:sz w:val="22"/>
          <w:szCs w:val="22"/>
          <w:u w:val="single"/>
          <w:lang w:val="sr-Latn-ME"/>
        </w:rPr>
        <w:t>Istovremena imunosupresivna terapija</w:t>
      </w:r>
    </w:p>
    <w:p w14:paraId="3E74B2FE" w14:textId="28491F4C" w:rsidR="00660BE9" w:rsidRPr="002041DF" w:rsidRDefault="00660BE9" w:rsidP="002041DF">
      <w:pPr>
        <w:pStyle w:val="Header"/>
        <w:widowControl w:val="0"/>
        <w:tabs>
          <w:tab w:val="left" w:pos="284"/>
        </w:tabs>
        <w:jc w:val="both"/>
        <w:rPr>
          <w:sz w:val="22"/>
          <w:szCs w:val="22"/>
          <w:lang w:val="sr-Latn-ME"/>
        </w:rPr>
      </w:pPr>
      <w:r w:rsidRPr="002041DF">
        <w:rPr>
          <w:sz w:val="22"/>
          <w:szCs w:val="22"/>
          <w:lang w:val="sr-Latn-ME"/>
        </w:rPr>
        <w:t>U kliničkim ispitivanjima pacijenata sa psorijazom, bezb</w:t>
      </w:r>
      <w:r w:rsidR="00891C9B" w:rsidRPr="002041DF">
        <w:rPr>
          <w:sz w:val="22"/>
          <w:szCs w:val="22"/>
          <w:lang w:val="sr-Latn-ME"/>
        </w:rPr>
        <w:t>j</w:t>
      </w:r>
      <w:r w:rsidRPr="002041DF">
        <w:rPr>
          <w:sz w:val="22"/>
          <w:szCs w:val="22"/>
          <w:lang w:val="sr-Latn-ME"/>
        </w:rPr>
        <w:t>ednost i efikasnost</w:t>
      </w:r>
      <w:r w:rsidR="00A35D07" w:rsidRPr="002041DF">
        <w:rPr>
          <w:sz w:val="22"/>
          <w:szCs w:val="22"/>
          <w:lang w:val="sr-Latn-ME"/>
        </w:rPr>
        <w:t xml:space="preserve"> lijeka </w:t>
      </w:r>
      <w:r w:rsidRPr="002041DF">
        <w:rPr>
          <w:sz w:val="22"/>
          <w:szCs w:val="22"/>
          <w:lang w:val="sr-Latn-ME"/>
        </w:rPr>
        <w:t>S</w:t>
      </w:r>
      <w:r w:rsidR="008F159D" w:rsidRPr="002041DF">
        <w:rPr>
          <w:sz w:val="22"/>
          <w:szCs w:val="22"/>
          <w:lang w:val="sr-Latn-ME"/>
        </w:rPr>
        <w:t>telara</w:t>
      </w:r>
      <w:r w:rsidRPr="002041DF">
        <w:rPr>
          <w:sz w:val="22"/>
          <w:szCs w:val="22"/>
          <w:lang w:val="sr-Latn-ME"/>
        </w:rPr>
        <w:t xml:space="preserve"> u kombinaciji sa imunosupresivnim l</w:t>
      </w:r>
      <w:r w:rsidR="00891C9B" w:rsidRPr="002041DF">
        <w:rPr>
          <w:sz w:val="22"/>
          <w:szCs w:val="22"/>
          <w:lang w:val="sr-Latn-ME"/>
        </w:rPr>
        <w:t>j</w:t>
      </w:r>
      <w:r w:rsidRPr="002041DF">
        <w:rPr>
          <w:sz w:val="22"/>
          <w:szCs w:val="22"/>
          <w:lang w:val="sr-Latn-ME"/>
        </w:rPr>
        <w:t>ekovima, uključujući biološke l</w:t>
      </w:r>
      <w:r w:rsidR="00891C9B" w:rsidRPr="002041DF">
        <w:rPr>
          <w:sz w:val="22"/>
          <w:szCs w:val="22"/>
          <w:lang w:val="sr-Latn-ME"/>
        </w:rPr>
        <w:t>j</w:t>
      </w:r>
      <w:r w:rsidRPr="002041DF">
        <w:rPr>
          <w:sz w:val="22"/>
          <w:szCs w:val="22"/>
          <w:lang w:val="sr-Latn-ME"/>
        </w:rPr>
        <w:t>ekove ili fototerapiju,</w:t>
      </w:r>
      <w:r w:rsidR="00E50471" w:rsidRPr="002041DF">
        <w:rPr>
          <w:sz w:val="22"/>
          <w:szCs w:val="22"/>
          <w:lang w:val="sr-Latn-ME"/>
        </w:rPr>
        <w:t xml:space="preserve"> nijesu </w:t>
      </w:r>
      <w:r w:rsidRPr="002041DF">
        <w:rPr>
          <w:sz w:val="22"/>
          <w:szCs w:val="22"/>
          <w:lang w:val="sr-Latn-ME"/>
        </w:rPr>
        <w:t>ispitivani. U kliničkim ispitivanjima pacijenata sa psorijatičnim artritisom, zajednička upotreba ustekinumaba sa MTX-om nije pokazala uticaj na bezb</w:t>
      </w:r>
      <w:r w:rsidR="00891C9B" w:rsidRPr="002041DF">
        <w:rPr>
          <w:sz w:val="22"/>
          <w:szCs w:val="22"/>
          <w:lang w:val="sr-Latn-ME"/>
        </w:rPr>
        <w:t>j</w:t>
      </w:r>
      <w:r w:rsidRPr="002041DF">
        <w:rPr>
          <w:sz w:val="22"/>
          <w:szCs w:val="22"/>
          <w:lang w:val="sr-Latn-ME"/>
        </w:rPr>
        <w:t>ednost ili efikasnost</w:t>
      </w:r>
      <w:r w:rsidR="00A35D07" w:rsidRPr="002041DF">
        <w:rPr>
          <w:sz w:val="22"/>
          <w:szCs w:val="22"/>
          <w:lang w:val="sr-Latn-ME"/>
        </w:rPr>
        <w:t xml:space="preserve"> lijeka </w:t>
      </w:r>
      <w:r w:rsidRPr="002041DF">
        <w:rPr>
          <w:sz w:val="22"/>
          <w:szCs w:val="22"/>
          <w:lang w:val="sr-Latn-ME"/>
        </w:rPr>
        <w:t>S</w:t>
      </w:r>
      <w:r w:rsidR="008F159D" w:rsidRPr="002041DF">
        <w:rPr>
          <w:sz w:val="22"/>
          <w:szCs w:val="22"/>
          <w:lang w:val="sr-Latn-ME"/>
        </w:rPr>
        <w:t>telara</w:t>
      </w:r>
      <w:r w:rsidRPr="002041DF">
        <w:rPr>
          <w:sz w:val="22"/>
          <w:szCs w:val="22"/>
          <w:lang w:val="sr-Latn-ME"/>
        </w:rPr>
        <w:t xml:space="preserve">. </w:t>
      </w:r>
      <w:r w:rsidR="008F159D" w:rsidRPr="002041DF">
        <w:rPr>
          <w:sz w:val="22"/>
          <w:szCs w:val="22"/>
          <w:lang w:val="sr-Latn-ME"/>
        </w:rPr>
        <w:t>U ispitivanjima Kronove bolesti</w:t>
      </w:r>
      <w:r w:rsidR="003917C1" w:rsidRPr="002041DF">
        <w:rPr>
          <w:sz w:val="22"/>
          <w:szCs w:val="22"/>
          <w:lang w:val="sr-Latn-ME"/>
        </w:rPr>
        <w:t xml:space="preserve"> i ulceroznog kolitisa</w:t>
      </w:r>
      <w:r w:rsidR="008F159D" w:rsidRPr="002041DF">
        <w:rPr>
          <w:sz w:val="22"/>
          <w:szCs w:val="22"/>
          <w:lang w:val="sr-Latn-ME"/>
        </w:rPr>
        <w:t xml:space="preserve">, nije </w:t>
      </w:r>
      <w:r w:rsidR="00891C9B" w:rsidRPr="002041DF">
        <w:rPr>
          <w:sz w:val="22"/>
          <w:szCs w:val="22"/>
          <w:lang w:val="sr-Latn-ME"/>
        </w:rPr>
        <w:t>zabilježen</w:t>
      </w:r>
      <w:r w:rsidR="008F159D" w:rsidRPr="002041DF">
        <w:rPr>
          <w:sz w:val="22"/>
          <w:szCs w:val="22"/>
          <w:lang w:val="sr-Latn-ME"/>
        </w:rPr>
        <w:t>o da istovremena</w:t>
      </w:r>
      <w:r w:rsidR="00A35D07" w:rsidRPr="002041DF">
        <w:rPr>
          <w:sz w:val="22"/>
          <w:szCs w:val="22"/>
          <w:lang w:val="sr-Latn-ME"/>
        </w:rPr>
        <w:t xml:space="preserve"> prim</w:t>
      </w:r>
      <w:r w:rsidR="00891C9B" w:rsidRPr="002041DF">
        <w:rPr>
          <w:sz w:val="22"/>
          <w:szCs w:val="22"/>
          <w:lang w:val="sr-Latn-ME"/>
        </w:rPr>
        <w:t>j</w:t>
      </w:r>
      <w:r w:rsidR="00A35D07" w:rsidRPr="002041DF">
        <w:rPr>
          <w:sz w:val="22"/>
          <w:szCs w:val="22"/>
          <w:lang w:val="sr-Latn-ME"/>
        </w:rPr>
        <w:t xml:space="preserve">ena </w:t>
      </w:r>
      <w:r w:rsidR="008F159D" w:rsidRPr="002041DF">
        <w:rPr>
          <w:sz w:val="22"/>
          <w:szCs w:val="22"/>
          <w:lang w:val="sr-Latn-ME"/>
        </w:rPr>
        <w:t>imunosupresiva ili kortikosteroida utiče na bezb</w:t>
      </w:r>
      <w:r w:rsidR="00891C9B" w:rsidRPr="002041DF">
        <w:rPr>
          <w:sz w:val="22"/>
          <w:szCs w:val="22"/>
          <w:lang w:val="sr-Latn-ME"/>
        </w:rPr>
        <w:t>j</w:t>
      </w:r>
      <w:r w:rsidR="008F159D" w:rsidRPr="002041DF">
        <w:rPr>
          <w:sz w:val="22"/>
          <w:szCs w:val="22"/>
          <w:lang w:val="sr-Latn-ME"/>
        </w:rPr>
        <w:t>ednost ili efikasnost</w:t>
      </w:r>
      <w:r w:rsidR="00A35D07" w:rsidRPr="002041DF">
        <w:rPr>
          <w:sz w:val="22"/>
          <w:szCs w:val="22"/>
          <w:lang w:val="sr-Latn-ME"/>
        </w:rPr>
        <w:t xml:space="preserve"> lijeka </w:t>
      </w:r>
      <w:r w:rsidR="008F159D" w:rsidRPr="002041DF">
        <w:rPr>
          <w:sz w:val="22"/>
          <w:szCs w:val="22"/>
          <w:lang w:val="sr-Latn-ME"/>
        </w:rPr>
        <w:t xml:space="preserve">Stelara. </w:t>
      </w:r>
      <w:r w:rsidRPr="002041DF">
        <w:rPr>
          <w:sz w:val="22"/>
          <w:szCs w:val="22"/>
          <w:lang w:val="sr-Latn-ME"/>
        </w:rPr>
        <w:t>Potreban je oprez pri istovremenoj prim</w:t>
      </w:r>
      <w:r w:rsidR="00891C9B" w:rsidRPr="002041DF">
        <w:rPr>
          <w:sz w:val="22"/>
          <w:szCs w:val="22"/>
          <w:lang w:val="sr-Latn-ME"/>
        </w:rPr>
        <w:t>j</w:t>
      </w:r>
      <w:r w:rsidRPr="002041DF">
        <w:rPr>
          <w:sz w:val="22"/>
          <w:szCs w:val="22"/>
          <w:lang w:val="sr-Latn-ME"/>
        </w:rPr>
        <w:t>eni drugih imunosupresiva i</w:t>
      </w:r>
      <w:r w:rsidR="00A35D07" w:rsidRPr="002041DF">
        <w:rPr>
          <w:sz w:val="22"/>
          <w:szCs w:val="22"/>
          <w:lang w:val="sr-Latn-ME"/>
        </w:rPr>
        <w:t xml:space="preserve"> lijeka </w:t>
      </w:r>
      <w:r w:rsidRPr="002041DF">
        <w:rPr>
          <w:sz w:val="22"/>
          <w:szCs w:val="22"/>
          <w:lang w:val="sr-Latn-ME"/>
        </w:rPr>
        <w:lastRenderedPageBreak/>
        <w:t>S</w:t>
      </w:r>
      <w:r w:rsidR="008F159D" w:rsidRPr="002041DF">
        <w:rPr>
          <w:sz w:val="22"/>
          <w:szCs w:val="22"/>
          <w:lang w:val="sr-Latn-ME"/>
        </w:rPr>
        <w:t>telara</w:t>
      </w:r>
      <w:r w:rsidRPr="002041DF">
        <w:rPr>
          <w:sz w:val="22"/>
          <w:szCs w:val="22"/>
          <w:lang w:val="sr-Latn-ME"/>
        </w:rPr>
        <w:t xml:space="preserve"> ili pri prelazu sa drugih imunosupresivnih bioloških l</w:t>
      </w:r>
      <w:r w:rsidR="00891C9B" w:rsidRPr="002041DF">
        <w:rPr>
          <w:sz w:val="22"/>
          <w:szCs w:val="22"/>
          <w:lang w:val="sr-Latn-ME"/>
        </w:rPr>
        <w:t>j</w:t>
      </w:r>
      <w:r w:rsidRPr="002041DF">
        <w:rPr>
          <w:sz w:val="22"/>
          <w:szCs w:val="22"/>
          <w:lang w:val="sr-Latn-ME"/>
        </w:rPr>
        <w:t>ekova (</w:t>
      </w:r>
      <w:r w:rsidR="006779EA" w:rsidRPr="002041DF">
        <w:rPr>
          <w:sz w:val="22"/>
          <w:szCs w:val="22"/>
          <w:lang w:val="sr-Latn-ME"/>
        </w:rPr>
        <w:t>vidjeti</w:t>
      </w:r>
      <w:r w:rsidRPr="002041DF">
        <w:rPr>
          <w:sz w:val="22"/>
          <w:szCs w:val="22"/>
          <w:lang w:val="sr-Latn-ME"/>
        </w:rPr>
        <w:t xml:space="preserve"> </w:t>
      </w:r>
      <w:r w:rsidR="00292E06" w:rsidRPr="002041DF">
        <w:rPr>
          <w:sz w:val="22"/>
          <w:szCs w:val="22"/>
          <w:lang w:val="sr-Latn-ME"/>
        </w:rPr>
        <w:t>dio</w:t>
      </w:r>
      <w:r w:rsidRPr="002041DF">
        <w:rPr>
          <w:sz w:val="22"/>
          <w:szCs w:val="22"/>
          <w:lang w:val="sr-Latn-ME"/>
        </w:rPr>
        <w:t xml:space="preserve"> 4.5.).</w:t>
      </w:r>
    </w:p>
    <w:p w14:paraId="1E0384E8" w14:textId="77777777" w:rsidR="00623D38" w:rsidRPr="002041DF" w:rsidRDefault="00623D38" w:rsidP="002041DF">
      <w:pPr>
        <w:pStyle w:val="Header"/>
        <w:widowControl w:val="0"/>
        <w:tabs>
          <w:tab w:val="left" w:pos="284"/>
        </w:tabs>
        <w:jc w:val="both"/>
        <w:rPr>
          <w:sz w:val="22"/>
          <w:szCs w:val="22"/>
          <w:lang w:val="sr-Latn-ME"/>
        </w:rPr>
      </w:pPr>
    </w:p>
    <w:p w14:paraId="080E6877" w14:textId="77777777" w:rsidR="00623D38" w:rsidRPr="002041DF" w:rsidRDefault="00623D38" w:rsidP="002041DF">
      <w:pPr>
        <w:widowControl w:val="0"/>
        <w:jc w:val="both"/>
        <w:rPr>
          <w:sz w:val="22"/>
          <w:szCs w:val="22"/>
          <w:u w:val="single"/>
          <w:lang w:val="sr-Latn-ME"/>
        </w:rPr>
      </w:pPr>
      <w:r w:rsidRPr="002041DF">
        <w:rPr>
          <w:sz w:val="22"/>
          <w:szCs w:val="22"/>
          <w:u w:val="single"/>
          <w:lang w:val="sr-Latn-ME"/>
        </w:rPr>
        <w:t>Imunoterapija</w:t>
      </w:r>
    </w:p>
    <w:p w14:paraId="2BCA48D7" w14:textId="57393477" w:rsidR="008F159D" w:rsidRPr="002041DF" w:rsidRDefault="00623D38" w:rsidP="002041DF">
      <w:pPr>
        <w:pStyle w:val="Header"/>
        <w:widowControl w:val="0"/>
        <w:tabs>
          <w:tab w:val="left" w:pos="284"/>
        </w:tabs>
        <w:jc w:val="both"/>
        <w:rPr>
          <w:sz w:val="22"/>
          <w:szCs w:val="22"/>
          <w:lang w:val="sr-Latn-ME"/>
        </w:rPr>
      </w:pPr>
      <w:r w:rsidRPr="002041DF">
        <w:rPr>
          <w:sz w:val="22"/>
          <w:szCs w:val="22"/>
          <w:lang w:val="sr-Latn-ME"/>
        </w:rPr>
        <w:t>Uticaj</w:t>
      </w:r>
      <w:r w:rsidR="00A35D07" w:rsidRPr="002041DF">
        <w:rPr>
          <w:sz w:val="22"/>
          <w:szCs w:val="22"/>
          <w:lang w:val="sr-Latn-ME"/>
        </w:rPr>
        <w:t xml:space="preserve"> lijeka </w:t>
      </w:r>
      <w:r w:rsidRPr="002041DF">
        <w:rPr>
          <w:sz w:val="22"/>
          <w:szCs w:val="22"/>
          <w:lang w:val="sr-Latn-ME"/>
        </w:rPr>
        <w:t>Stelara kod pacijenata koji su na imunoterapiji alergije nije proc</w:t>
      </w:r>
      <w:r w:rsidR="00891C9B" w:rsidRPr="002041DF">
        <w:rPr>
          <w:sz w:val="22"/>
          <w:szCs w:val="22"/>
          <w:lang w:val="sr-Latn-ME"/>
        </w:rPr>
        <w:t>j</w:t>
      </w:r>
      <w:r w:rsidRPr="002041DF">
        <w:rPr>
          <w:sz w:val="22"/>
          <w:szCs w:val="22"/>
          <w:lang w:val="sr-Latn-ME"/>
        </w:rPr>
        <w:t xml:space="preserve">enjivan. </w:t>
      </w:r>
    </w:p>
    <w:p w14:paraId="0A592F02" w14:textId="489EA414" w:rsidR="00EE6F2C" w:rsidRPr="002041DF" w:rsidRDefault="008F159D" w:rsidP="002041DF">
      <w:pPr>
        <w:pStyle w:val="Header"/>
        <w:widowControl w:val="0"/>
        <w:tabs>
          <w:tab w:val="left" w:pos="284"/>
        </w:tabs>
        <w:jc w:val="both"/>
        <w:rPr>
          <w:sz w:val="22"/>
          <w:szCs w:val="22"/>
          <w:u w:val="single"/>
          <w:lang w:val="sr-Latn-ME" w:eastAsia="en-GB"/>
        </w:rPr>
      </w:pPr>
      <w:r w:rsidRPr="002041DF">
        <w:rPr>
          <w:sz w:val="22"/>
          <w:szCs w:val="22"/>
          <w:lang w:val="sr-Latn-ME"/>
        </w:rPr>
        <w:t xml:space="preserve">Nije poznato da li </w:t>
      </w:r>
      <w:r w:rsidR="00891C9B" w:rsidRPr="002041DF">
        <w:rPr>
          <w:sz w:val="22"/>
          <w:szCs w:val="22"/>
          <w:lang w:val="sr-Latn-ME"/>
        </w:rPr>
        <w:t>l</w:t>
      </w:r>
      <w:r w:rsidR="00C23E53" w:rsidRPr="002041DF">
        <w:rPr>
          <w:sz w:val="22"/>
          <w:szCs w:val="22"/>
          <w:lang w:val="sr-Latn-ME"/>
        </w:rPr>
        <w:t xml:space="preserve">ijek Stelara </w:t>
      </w:r>
      <w:r w:rsidRPr="002041DF">
        <w:rPr>
          <w:sz w:val="22"/>
          <w:szCs w:val="22"/>
          <w:lang w:val="sr-Latn-ME"/>
        </w:rPr>
        <w:t>može uticati na imunoterapiju alergija.</w:t>
      </w:r>
    </w:p>
    <w:p w14:paraId="1A6D1D78" w14:textId="77777777" w:rsidR="005F1D5F" w:rsidRPr="002041DF" w:rsidRDefault="005F1D5F" w:rsidP="002041DF">
      <w:pPr>
        <w:widowControl w:val="0"/>
        <w:jc w:val="both"/>
        <w:rPr>
          <w:sz w:val="22"/>
          <w:szCs w:val="22"/>
          <w:u w:val="single"/>
          <w:lang w:val="sr-Latn-ME" w:eastAsia="en-GB"/>
        </w:rPr>
      </w:pPr>
    </w:p>
    <w:p w14:paraId="671051D8" w14:textId="69AAA91B" w:rsidR="00EE6F2C" w:rsidRPr="002041DF" w:rsidRDefault="00603716" w:rsidP="002041DF">
      <w:pPr>
        <w:widowControl w:val="0"/>
        <w:jc w:val="both"/>
        <w:rPr>
          <w:sz w:val="22"/>
          <w:szCs w:val="22"/>
          <w:u w:val="single"/>
          <w:lang w:val="sr-Latn-ME" w:eastAsia="en-GB"/>
        </w:rPr>
      </w:pPr>
      <w:r w:rsidRPr="002041DF">
        <w:rPr>
          <w:sz w:val="22"/>
          <w:szCs w:val="22"/>
          <w:u w:val="single"/>
          <w:lang w:val="sr-Latn-ME" w:eastAsia="en-GB"/>
        </w:rPr>
        <w:t xml:space="preserve">Ozbiljna </w:t>
      </w:r>
      <w:r w:rsidR="00EE6F2C" w:rsidRPr="002041DF">
        <w:rPr>
          <w:sz w:val="22"/>
          <w:szCs w:val="22"/>
          <w:u w:val="single"/>
          <w:lang w:val="sr-Latn-ME" w:eastAsia="en-GB"/>
        </w:rPr>
        <w:t>stanja kože</w:t>
      </w:r>
    </w:p>
    <w:p w14:paraId="19022766" w14:textId="6701EA2F" w:rsidR="00EE6F2C" w:rsidRPr="002041DF" w:rsidRDefault="00EE6F2C" w:rsidP="002041DF">
      <w:pPr>
        <w:widowControl w:val="0"/>
        <w:jc w:val="both"/>
        <w:rPr>
          <w:sz w:val="22"/>
          <w:szCs w:val="22"/>
          <w:lang w:val="sr-Latn-ME" w:eastAsia="en-GB"/>
        </w:rPr>
      </w:pPr>
      <w:r w:rsidRPr="002041DF">
        <w:rPr>
          <w:sz w:val="22"/>
          <w:szCs w:val="22"/>
          <w:lang w:val="sr-Latn-ME" w:eastAsia="en-GB"/>
        </w:rPr>
        <w:t>Kod pacijenata sa psorijazom, eksfolijativni dermatitis je bio prijavljen nakon terapije ustekinumabom (</w:t>
      </w:r>
      <w:r w:rsidR="006779EA" w:rsidRPr="002041DF">
        <w:rPr>
          <w:sz w:val="22"/>
          <w:szCs w:val="22"/>
          <w:lang w:val="sr-Latn-ME" w:eastAsia="en-GB"/>
        </w:rPr>
        <w:t>vidjeti</w:t>
      </w:r>
      <w:r w:rsidRPr="002041DF">
        <w:rPr>
          <w:sz w:val="22"/>
          <w:szCs w:val="22"/>
          <w:lang w:val="sr-Latn-ME" w:eastAsia="en-GB"/>
        </w:rPr>
        <w:t xml:space="preserve"> </w:t>
      </w:r>
      <w:r w:rsidR="00292E06" w:rsidRPr="002041DF">
        <w:rPr>
          <w:sz w:val="22"/>
          <w:szCs w:val="22"/>
          <w:lang w:val="sr-Latn-ME" w:eastAsia="en-GB"/>
        </w:rPr>
        <w:t>dio</w:t>
      </w:r>
      <w:r w:rsidRPr="002041DF">
        <w:rPr>
          <w:sz w:val="22"/>
          <w:szCs w:val="22"/>
          <w:lang w:val="sr-Latn-ME" w:eastAsia="en-GB"/>
        </w:rPr>
        <w:t xml:space="preserve"> 4.8). Pacijenti sa psorijazom tipa plaka mogu razviti </w:t>
      </w:r>
      <w:r w:rsidR="005F1D5F" w:rsidRPr="002041DF">
        <w:rPr>
          <w:sz w:val="22"/>
          <w:szCs w:val="22"/>
          <w:lang w:val="sr-Latn-ME" w:eastAsia="en-GB"/>
        </w:rPr>
        <w:t>eritrodermijsku</w:t>
      </w:r>
      <w:r w:rsidRPr="002041DF">
        <w:rPr>
          <w:sz w:val="22"/>
          <w:szCs w:val="22"/>
          <w:lang w:val="sr-Latn-ME" w:eastAsia="en-GB"/>
        </w:rPr>
        <w:t xml:space="preserve"> psorijazu, sa simptomima koji se možda ne mogu klinički razlikovati od eksfolijativnog dermatitisa, kao d</w:t>
      </w:r>
      <w:r w:rsidR="00891C9B" w:rsidRPr="002041DF">
        <w:rPr>
          <w:sz w:val="22"/>
          <w:szCs w:val="22"/>
          <w:lang w:val="sr-Latn-ME" w:eastAsia="en-GB"/>
        </w:rPr>
        <w:t>ij</w:t>
      </w:r>
      <w:r w:rsidRPr="002041DF">
        <w:rPr>
          <w:sz w:val="22"/>
          <w:szCs w:val="22"/>
          <w:lang w:val="sr-Latn-ME" w:eastAsia="en-GB"/>
        </w:rPr>
        <w:t xml:space="preserve">ela prirodnog procesa nijhove bolesti. Kao </w:t>
      </w:r>
      <w:r w:rsidR="00891C9B" w:rsidRPr="002041DF">
        <w:rPr>
          <w:sz w:val="22"/>
          <w:szCs w:val="22"/>
          <w:lang w:val="sr-Latn-ME" w:eastAsia="en-GB"/>
        </w:rPr>
        <w:t xml:space="preserve">dio </w:t>
      </w:r>
      <w:r w:rsidRPr="002041DF">
        <w:rPr>
          <w:sz w:val="22"/>
          <w:szCs w:val="22"/>
          <w:lang w:val="sr-Latn-ME" w:eastAsia="en-GB"/>
        </w:rPr>
        <w:t>praćenja psorijaze pacijenata, zdravstvene radnike treba upozoriti na simptome eritroder</w:t>
      </w:r>
      <w:r w:rsidR="005544C1" w:rsidRPr="002041DF">
        <w:rPr>
          <w:sz w:val="22"/>
          <w:szCs w:val="22"/>
          <w:lang w:val="sr-Latn-ME" w:eastAsia="en-GB"/>
        </w:rPr>
        <w:t>mijske</w:t>
      </w:r>
      <w:r w:rsidRPr="002041DF">
        <w:rPr>
          <w:sz w:val="22"/>
          <w:szCs w:val="22"/>
          <w:lang w:val="sr-Latn-ME" w:eastAsia="en-GB"/>
        </w:rPr>
        <w:t xml:space="preserve"> psorijaze ili eksfolijativnog dermatitisa. Ako se ovi simptomi jave, treba uspostaviti odgovarajuću terapiju. </w:t>
      </w:r>
      <w:r w:rsidR="00C23E53" w:rsidRPr="002041DF">
        <w:rPr>
          <w:sz w:val="22"/>
          <w:szCs w:val="22"/>
          <w:lang w:val="sr-Latn-ME" w:eastAsia="en-GB"/>
        </w:rPr>
        <w:t xml:space="preserve">Lijek Stelara </w:t>
      </w:r>
      <w:r w:rsidRPr="002041DF">
        <w:rPr>
          <w:sz w:val="22"/>
          <w:szCs w:val="22"/>
          <w:lang w:val="sr-Latn-ME" w:eastAsia="en-GB"/>
        </w:rPr>
        <w:t xml:space="preserve">treba obustaviti ako se sumnja na </w:t>
      </w:r>
      <w:r w:rsidR="005E100C" w:rsidRPr="002041DF">
        <w:rPr>
          <w:sz w:val="22"/>
          <w:szCs w:val="22"/>
          <w:lang w:val="sr-Latn-ME" w:eastAsia="en-GB"/>
        </w:rPr>
        <w:t xml:space="preserve">neželjeno dejstvo </w:t>
      </w:r>
      <w:r w:rsidR="00E50471" w:rsidRPr="002041DF">
        <w:rPr>
          <w:sz w:val="22"/>
          <w:szCs w:val="22"/>
          <w:lang w:val="sr-Latn-ME" w:eastAsia="en-GB"/>
        </w:rPr>
        <w:t>lijek</w:t>
      </w:r>
      <w:r w:rsidR="005E100C" w:rsidRPr="002041DF">
        <w:rPr>
          <w:sz w:val="22"/>
          <w:szCs w:val="22"/>
          <w:lang w:val="sr-Latn-ME" w:eastAsia="en-GB"/>
        </w:rPr>
        <w:t>a</w:t>
      </w:r>
      <w:r w:rsidR="00E50471" w:rsidRPr="002041DF">
        <w:rPr>
          <w:sz w:val="22"/>
          <w:szCs w:val="22"/>
          <w:lang w:val="sr-Latn-ME" w:eastAsia="en-GB"/>
        </w:rPr>
        <w:t>.</w:t>
      </w:r>
    </w:p>
    <w:p w14:paraId="02AE29C8" w14:textId="4498C973" w:rsidR="00623D38" w:rsidRPr="002041DF" w:rsidRDefault="00623D38" w:rsidP="002041DF">
      <w:pPr>
        <w:pStyle w:val="Header"/>
        <w:widowControl w:val="0"/>
        <w:tabs>
          <w:tab w:val="left" w:pos="284"/>
        </w:tabs>
        <w:jc w:val="both"/>
        <w:rPr>
          <w:sz w:val="22"/>
          <w:szCs w:val="22"/>
          <w:lang w:val="sr-Latn-ME"/>
        </w:rPr>
      </w:pPr>
    </w:p>
    <w:p w14:paraId="0121D335" w14:textId="77777777" w:rsidR="006A25CA" w:rsidRPr="002041DF" w:rsidRDefault="006A25CA" w:rsidP="002041DF">
      <w:pPr>
        <w:pStyle w:val="Header"/>
        <w:widowControl w:val="0"/>
        <w:tabs>
          <w:tab w:val="left" w:pos="284"/>
        </w:tabs>
        <w:jc w:val="both"/>
        <w:rPr>
          <w:sz w:val="22"/>
          <w:szCs w:val="22"/>
          <w:u w:val="single"/>
          <w:lang w:val="sr-Latn-ME"/>
        </w:rPr>
      </w:pPr>
      <w:r w:rsidRPr="002041DF">
        <w:rPr>
          <w:sz w:val="22"/>
          <w:szCs w:val="22"/>
          <w:u w:val="single"/>
          <w:lang w:val="sr-Latn-ME"/>
        </w:rPr>
        <w:t>Stanja povezana sa lupusom</w:t>
      </w:r>
    </w:p>
    <w:p w14:paraId="09B0528D" w14:textId="380E0441" w:rsidR="006A25CA" w:rsidRPr="002041DF" w:rsidRDefault="00723AC5" w:rsidP="002041DF">
      <w:pPr>
        <w:pStyle w:val="Header"/>
        <w:widowControl w:val="0"/>
        <w:tabs>
          <w:tab w:val="left" w:pos="284"/>
        </w:tabs>
        <w:jc w:val="both"/>
        <w:rPr>
          <w:sz w:val="22"/>
          <w:szCs w:val="22"/>
          <w:lang w:val="sr-Latn-ME"/>
        </w:rPr>
      </w:pPr>
      <w:r w:rsidRPr="002041DF">
        <w:rPr>
          <w:sz w:val="22"/>
          <w:szCs w:val="22"/>
          <w:lang w:val="sr-Latn-ME"/>
        </w:rPr>
        <w:t xml:space="preserve">Kod pacijenata </w:t>
      </w:r>
      <w:r w:rsidR="00891C9B" w:rsidRPr="002041DF">
        <w:rPr>
          <w:sz w:val="22"/>
          <w:szCs w:val="22"/>
          <w:lang w:val="sr-Latn-ME"/>
        </w:rPr>
        <w:t>liječen</w:t>
      </w:r>
      <w:r w:rsidRPr="002041DF">
        <w:rPr>
          <w:sz w:val="22"/>
          <w:szCs w:val="22"/>
          <w:lang w:val="sr-Latn-ME"/>
        </w:rPr>
        <w:t>ih ustekinumabom, bili su prijavljeni slučajevi stanja povezanih sa lupusom, uključujući kožni eritematozni lupus i sindrom sličan lupusu.</w:t>
      </w:r>
      <w:r w:rsidR="00891C9B" w:rsidRPr="002041DF">
        <w:rPr>
          <w:sz w:val="22"/>
          <w:szCs w:val="22"/>
          <w:lang w:val="sr-Latn-ME"/>
        </w:rPr>
        <w:t xml:space="preserve"> </w:t>
      </w:r>
      <w:r w:rsidR="006A25CA" w:rsidRPr="002041DF">
        <w:rPr>
          <w:sz w:val="22"/>
          <w:szCs w:val="22"/>
          <w:lang w:val="sr-Latn-ME"/>
        </w:rPr>
        <w:t xml:space="preserve">Ukoliko se pojave lezije, posebno na područjima kože izloženim suncu ili ako su praćene artralgijom, pacijent treba odmah da zatraži medicinsku pomoć. </w:t>
      </w:r>
      <w:r w:rsidR="002D266A" w:rsidRPr="002041DF">
        <w:rPr>
          <w:sz w:val="22"/>
          <w:szCs w:val="22"/>
          <w:lang w:val="sr-Latn-ME"/>
        </w:rPr>
        <w:t xml:space="preserve">Ukoliko se potvrdi dijagnoza </w:t>
      </w:r>
      <w:r w:rsidR="006A25CA" w:rsidRPr="002041DF">
        <w:rPr>
          <w:sz w:val="22"/>
          <w:szCs w:val="22"/>
          <w:lang w:val="sr-Latn-ME"/>
        </w:rPr>
        <w:t>stanja povezanog sa lupusom, ustekinumab treba obustaviti i započeti odgovarajuću terapiju.</w:t>
      </w:r>
    </w:p>
    <w:p w14:paraId="43F88101" w14:textId="77777777" w:rsidR="0047575E" w:rsidRPr="002041DF" w:rsidRDefault="0047575E" w:rsidP="002041DF">
      <w:pPr>
        <w:pStyle w:val="Header"/>
        <w:widowControl w:val="0"/>
        <w:tabs>
          <w:tab w:val="left" w:pos="284"/>
        </w:tabs>
        <w:jc w:val="both"/>
        <w:rPr>
          <w:sz w:val="22"/>
          <w:szCs w:val="22"/>
          <w:u w:val="single"/>
          <w:lang w:val="sr-Latn-ME"/>
        </w:rPr>
      </w:pPr>
    </w:p>
    <w:p w14:paraId="2BEDF89F" w14:textId="4D4A8019" w:rsidR="0047575E" w:rsidRPr="002041DF" w:rsidRDefault="00623D38" w:rsidP="002041DF">
      <w:pPr>
        <w:pStyle w:val="Header"/>
        <w:widowControl w:val="0"/>
        <w:tabs>
          <w:tab w:val="left" w:pos="284"/>
        </w:tabs>
        <w:jc w:val="both"/>
        <w:rPr>
          <w:sz w:val="22"/>
          <w:szCs w:val="22"/>
          <w:u w:val="single"/>
          <w:lang w:val="sr-Latn-ME"/>
        </w:rPr>
      </w:pPr>
      <w:r w:rsidRPr="002041DF">
        <w:rPr>
          <w:sz w:val="22"/>
          <w:szCs w:val="22"/>
          <w:u w:val="single"/>
          <w:lang w:val="sr-Latn-ME"/>
        </w:rPr>
        <w:t>Posebne grupe pacijenata</w:t>
      </w:r>
    </w:p>
    <w:p w14:paraId="16796761" w14:textId="77777777" w:rsidR="00623D38" w:rsidRPr="002041DF" w:rsidRDefault="00A06F8C" w:rsidP="002041DF">
      <w:pPr>
        <w:pStyle w:val="Header"/>
        <w:widowControl w:val="0"/>
        <w:tabs>
          <w:tab w:val="left" w:pos="284"/>
        </w:tabs>
        <w:jc w:val="both"/>
        <w:rPr>
          <w:sz w:val="22"/>
          <w:szCs w:val="22"/>
          <w:lang w:val="sr-Latn-ME"/>
        </w:rPr>
      </w:pPr>
      <w:r w:rsidRPr="002041DF">
        <w:rPr>
          <w:i/>
          <w:sz w:val="22"/>
          <w:szCs w:val="22"/>
          <w:lang w:val="sr-Latn-ME"/>
        </w:rPr>
        <w:t>Stariji</w:t>
      </w:r>
      <w:r w:rsidR="00623D38" w:rsidRPr="002041DF">
        <w:rPr>
          <w:i/>
          <w:sz w:val="22"/>
          <w:szCs w:val="22"/>
          <w:lang w:val="sr-Latn-ME"/>
        </w:rPr>
        <w:t xml:space="preserve"> </w:t>
      </w:r>
      <w:r w:rsidR="00FA0CFC" w:rsidRPr="002041DF">
        <w:rPr>
          <w:i/>
          <w:sz w:val="22"/>
          <w:szCs w:val="22"/>
          <w:lang w:val="sr-Latn-ME"/>
        </w:rPr>
        <w:t xml:space="preserve">pacijenti </w:t>
      </w:r>
      <w:r w:rsidR="00623D38" w:rsidRPr="002041DF">
        <w:rPr>
          <w:i/>
          <w:sz w:val="22"/>
          <w:szCs w:val="22"/>
          <w:lang w:val="sr-Latn-ME"/>
        </w:rPr>
        <w:t>(≥ 65 godina)</w:t>
      </w:r>
    </w:p>
    <w:p w14:paraId="4A7FBE58" w14:textId="59D9EF98" w:rsidR="00623D38" w:rsidRPr="002041DF" w:rsidRDefault="00623D38" w:rsidP="002041DF">
      <w:pPr>
        <w:pStyle w:val="Header"/>
        <w:widowControl w:val="0"/>
        <w:tabs>
          <w:tab w:val="left" w:pos="284"/>
        </w:tabs>
        <w:jc w:val="both"/>
        <w:rPr>
          <w:sz w:val="22"/>
          <w:szCs w:val="22"/>
          <w:lang w:val="sr-Latn-ME"/>
        </w:rPr>
      </w:pPr>
      <w:r w:rsidRPr="002041DF">
        <w:rPr>
          <w:sz w:val="22"/>
          <w:szCs w:val="22"/>
          <w:lang w:val="sr-Latn-ME"/>
        </w:rPr>
        <w:t>Nema razlika u efikasnosti i bezb</w:t>
      </w:r>
      <w:r w:rsidR="00612866" w:rsidRPr="002041DF">
        <w:rPr>
          <w:sz w:val="22"/>
          <w:szCs w:val="22"/>
          <w:lang w:val="sr-Latn-ME"/>
        </w:rPr>
        <w:t>j</w:t>
      </w:r>
      <w:r w:rsidRPr="002041DF">
        <w:rPr>
          <w:sz w:val="22"/>
          <w:szCs w:val="22"/>
          <w:lang w:val="sr-Latn-ME"/>
        </w:rPr>
        <w:t>e</w:t>
      </w:r>
      <w:r w:rsidR="00612866" w:rsidRPr="002041DF">
        <w:rPr>
          <w:sz w:val="22"/>
          <w:szCs w:val="22"/>
          <w:lang w:val="sr-Latn-ME"/>
        </w:rPr>
        <w:t>d</w:t>
      </w:r>
      <w:r w:rsidRPr="002041DF">
        <w:rPr>
          <w:sz w:val="22"/>
          <w:szCs w:val="22"/>
          <w:lang w:val="sr-Latn-ME"/>
        </w:rPr>
        <w:t>nosti prim</w:t>
      </w:r>
      <w:r w:rsidR="00612866" w:rsidRPr="002041DF">
        <w:rPr>
          <w:sz w:val="22"/>
          <w:szCs w:val="22"/>
          <w:lang w:val="sr-Latn-ME"/>
        </w:rPr>
        <w:t>j</w:t>
      </w:r>
      <w:r w:rsidRPr="002041DF">
        <w:rPr>
          <w:sz w:val="22"/>
          <w:szCs w:val="22"/>
          <w:lang w:val="sr-Latn-ME"/>
        </w:rPr>
        <w:t>ene</w:t>
      </w:r>
      <w:r w:rsidR="00A35D07" w:rsidRPr="002041DF">
        <w:rPr>
          <w:sz w:val="22"/>
          <w:szCs w:val="22"/>
          <w:lang w:val="sr-Latn-ME"/>
        </w:rPr>
        <w:t xml:space="preserve"> lijeka </w:t>
      </w:r>
      <w:r w:rsidRPr="002041DF">
        <w:rPr>
          <w:sz w:val="22"/>
          <w:szCs w:val="22"/>
          <w:lang w:val="sr-Latn-ME"/>
        </w:rPr>
        <w:t xml:space="preserve">Stelara kod pacijenata starosti </w:t>
      </w:r>
      <w:r w:rsidR="004D6F53" w:rsidRPr="002041DF">
        <w:rPr>
          <w:sz w:val="22"/>
          <w:szCs w:val="22"/>
          <w:lang w:val="sr-Latn-ME"/>
        </w:rPr>
        <w:t xml:space="preserve">od </w:t>
      </w:r>
      <w:r w:rsidRPr="002041DF">
        <w:rPr>
          <w:sz w:val="22"/>
          <w:szCs w:val="22"/>
          <w:lang w:val="sr-Latn-ME"/>
        </w:rPr>
        <w:t xml:space="preserve">65 godina i </w:t>
      </w:r>
      <w:r w:rsidR="004D6F53" w:rsidRPr="002041DF">
        <w:rPr>
          <w:sz w:val="22"/>
          <w:szCs w:val="22"/>
          <w:lang w:val="sr-Latn-ME"/>
        </w:rPr>
        <w:t>starijih</w:t>
      </w:r>
      <w:r w:rsidRPr="002041DF">
        <w:rPr>
          <w:sz w:val="22"/>
          <w:szCs w:val="22"/>
          <w:lang w:val="sr-Latn-ME"/>
        </w:rPr>
        <w:t xml:space="preserve"> u odnosu na mlađe pacijent</w:t>
      </w:r>
      <w:r w:rsidR="00603716" w:rsidRPr="002041DF">
        <w:rPr>
          <w:sz w:val="22"/>
          <w:szCs w:val="22"/>
          <w:lang w:val="sr-Latn-ME"/>
        </w:rPr>
        <w:t>e</w:t>
      </w:r>
      <w:r w:rsidR="003917C1" w:rsidRPr="002041DF">
        <w:rPr>
          <w:sz w:val="22"/>
          <w:szCs w:val="22"/>
          <w:lang w:val="sr-Latn-ME"/>
        </w:rPr>
        <w:t xml:space="preserve"> u kliničkim studijama sa odobrenim indikacijama. </w:t>
      </w:r>
      <w:r w:rsidR="00612866" w:rsidRPr="002041DF">
        <w:rPr>
          <w:sz w:val="22"/>
          <w:szCs w:val="22"/>
          <w:lang w:val="sr-Latn-ME"/>
        </w:rPr>
        <w:t>I</w:t>
      </w:r>
      <w:r w:rsidR="00D66231" w:rsidRPr="002041DF">
        <w:rPr>
          <w:sz w:val="22"/>
          <w:szCs w:val="22"/>
          <w:lang w:val="sr-Latn-ME"/>
        </w:rPr>
        <w:t>pak</w:t>
      </w:r>
      <w:r w:rsidR="00612866" w:rsidRPr="002041DF">
        <w:rPr>
          <w:sz w:val="22"/>
          <w:szCs w:val="22"/>
          <w:lang w:val="sr-Latn-ME"/>
        </w:rPr>
        <w:t>,</w:t>
      </w:r>
      <w:r w:rsidR="00D66231" w:rsidRPr="002041DF">
        <w:rPr>
          <w:sz w:val="22"/>
          <w:szCs w:val="22"/>
          <w:lang w:val="sr-Latn-ME"/>
        </w:rPr>
        <w:t xml:space="preserve"> broj pacijenata od 65 godina i </w:t>
      </w:r>
      <w:r w:rsidR="00603716" w:rsidRPr="002041DF">
        <w:rPr>
          <w:sz w:val="22"/>
          <w:szCs w:val="22"/>
          <w:lang w:val="sr-Latn-ME"/>
        </w:rPr>
        <w:t>starijih</w:t>
      </w:r>
      <w:r w:rsidR="00D66231" w:rsidRPr="002041DF">
        <w:rPr>
          <w:sz w:val="22"/>
          <w:szCs w:val="22"/>
          <w:lang w:val="sr-Latn-ME"/>
        </w:rPr>
        <w:t xml:space="preserve"> nije bio dovoljan da bi se zaključilo da li oni različito reaguju u odnosu na mlađe pacijente</w:t>
      </w:r>
      <w:r w:rsidRPr="002041DF">
        <w:rPr>
          <w:sz w:val="22"/>
          <w:szCs w:val="22"/>
          <w:lang w:val="sr-Latn-ME"/>
        </w:rPr>
        <w:t xml:space="preserve">. S obzirom </w:t>
      </w:r>
      <w:r w:rsidR="00603716" w:rsidRPr="002041DF">
        <w:rPr>
          <w:sz w:val="22"/>
          <w:szCs w:val="22"/>
          <w:lang w:val="sr-Latn-ME"/>
        </w:rPr>
        <w:t xml:space="preserve">na to </w:t>
      </w:r>
      <w:r w:rsidRPr="002041DF">
        <w:rPr>
          <w:sz w:val="22"/>
          <w:szCs w:val="22"/>
          <w:lang w:val="sr-Latn-ME"/>
        </w:rPr>
        <w:t xml:space="preserve">da je pojava infekcija češća u populaciji starijih pacijenata, potreban je oprez pri </w:t>
      </w:r>
      <w:r w:rsidR="00891C9B" w:rsidRPr="002041DF">
        <w:rPr>
          <w:sz w:val="22"/>
          <w:szCs w:val="22"/>
          <w:lang w:val="sr-Latn-ME"/>
        </w:rPr>
        <w:t>liječen</w:t>
      </w:r>
      <w:r w:rsidRPr="002041DF">
        <w:rPr>
          <w:sz w:val="22"/>
          <w:szCs w:val="22"/>
          <w:lang w:val="sr-Latn-ME"/>
        </w:rPr>
        <w:t>ju starijih.</w:t>
      </w:r>
    </w:p>
    <w:p w14:paraId="21B60219" w14:textId="77777777" w:rsidR="00623D38" w:rsidRPr="002041DF" w:rsidRDefault="00623D38" w:rsidP="002041DF">
      <w:pPr>
        <w:widowControl w:val="0"/>
        <w:jc w:val="both"/>
        <w:rPr>
          <w:sz w:val="22"/>
          <w:szCs w:val="22"/>
          <w:lang w:val="sr-Latn-ME"/>
        </w:rPr>
      </w:pPr>
    </w:p>
    <w:p w14:paraId="1284CC33" w14:textId="77777777" w:rsidR="00593C52" w:rsidRPr="002041DF" w:rsidRDefault="00593C52" w:rsidP="002041DF">
      <w:pPr>
        <w:widowControl w:val="0"/>
        <w:jc w:val="both"/>
        <w:rPr>
          <w:sz w:val="22"/>
          <w:szCs w:val="22"/>
          <w:u w:val="single"/>
          <w:lang w:val="sr-Latn-ME"/>
        </w:rPr>
      </w:pPr>
      <w:r w:rsidRPr="002041DF">
        <w:rPr>
          <w:sz w:val="22"/>
          <w:szCs w:val="22"/>
          <w:u w:val="single"/>
          <w:lang w:val="sr-Latn-ME"/>
        </w:rPr>
        <w:t>Polisorbat 80</w:t>
      </w:r>
    </w:p>
    <w:p w14:paraId="0B9A6EB0" w14:textId="3BDE24D0" w:rsidR="00593C52" w:rsidRPr="002041DF" w:rsidRDefault="00593C52" w:rsidP="002041DF">
      <w:pPr>
        <w:widowControl w:val="0"/>
        <w:jc w:val="both"/>
        <w:rPr>
          <w:sz w:val="22"/>
          <w:szCs w:val="22"/>
          <w:lang w:val="sr-Latn-ME"/>
        </w:rPr>
      </w:pPr>
      <w:r w:rsidRPr="002041DF">
        <w:rPr>
          <w:sz w:val="22"/>
          <w:szCs w:val="22"/>
          <w:lang w:val="sr-Latn-ME"/>
        </w:rPr>
        <w:t>L</w:t>
      </w:r>
      <w:r w:rsidR="00810168" w:rsidRPr="002041DF">
        <w:rPr>
          <w:sz w:val="22"/>
          <w:szCs w:val="22"/>
          <w:lang w:val="sr-Latn-ME"/>
        </w:rPr>
        <w:t>ij</w:t>
      </w:r>
      <w:r w:rsidRPr="002041DF">
        <w:rPr>
          <w:sz w:val="22"/>
          <w:szCs w:val="22"/>
          <w:lang w:val="sr-Latn-ME"/>
        </w:rPr>
        <w:t>ek Stelara sadrži 0,04 mg polisorbata 80 (E433) u svakoj jedinici doze što je ekvivalentno 0,04 mg/mL. Polisorbati mogu izazvati alergijske reakcije.</w:t>
      </w:r>
    </w:p>
    <w:p w14:paraId="618D45EA" w14:textId="77777777" w:rsidR="00593C52" w:rsidRPr="002041DF" w:rsidRDefault="00593C52" w:rsidP="002041DF">
      <w:pPr>
        <w:widowControl w:val="0"/>
        <w:jc w:val="both"/>
        <w:rPr>
          <w:sz w:val="22"/>
          <w:szCs w:val="22"/>
          <w:lang w:val="sr-Latn-ME"/>
        </w:rPr>
      </w:pPr>
    </w:p>
    <w:p w14:paraId="7F4DF9D3" w14:textId="77777777" w:rsidR="00921FA2" w:rsidRPr="002041DF" w:rsidRDefault="00921FA2" w:rsidP="002041DF">
      <w:pPr>
        <w:widowControl w:val="0"/>
        <w:tabs>
          <w:tab w:val="left" w:pos="540"/>
          <w:tab w:val="left" w:pos="569"/>
        </w:tabs>
        <w:jc w:val="both"/>
        <w:rPr>
          <w:b/>
          <w:bCs/>
          <w:sz w:val="22"/>
          <w:szCs w:val="22"/>
          <w:lang w:val="sr-Latn-ME"/>
        </w:rPr>
      </w:pPr>
      <w:bookmarkStart w:id="13" w:name="_Hlk131771875"/>
      <w:r w:rsidRPr="002041DF">
        <w:rPr>
          <w:b/>
          <w:bCs/>
          <w:sz w:val="22"/>
          <w:szCs w:val="22"/>
          <w:lang w:val="sr-Latn-ME"/>
        </w:rPr>
        <w:t>4.5.</w:t>
      </w:r>
      <w:r w:rsidRPr="002041DF">
        <w:rPr>
          <w:b/>
          <w:bCs/>
          <w:sz w:val="22"/>
          <w:szCs w:val="22"/>
          <w:lang w:val="sr-Latn-ME"/>
        </w:rPr>
        <w:tab/>
        <w:t>Interakcije sa drugim ljekovima i druge vrste interakcija</w:t>
      </w:r>
    </w:p>
    <w:bookmarkEnd w:id="13"/>
    <w:p w14:paraId="398E1769" w14:textId="77777777" w:rsidR="00623D38" w:rsidRPr="002041DF" w:rsidRDefault="00623D38" w:rsidP="002041DF">
      <w:pPr>
        <w:widowControl w:val="0"/>
        <w:jc w:val="both"/>
        <w:rPr>
          <w:b/>
          <w:sz w:val="22"/>
          <w:szCs w:val="22"/>
          <w:lang w:val="sr-Latn-ME"/>
        </w:rPr>
      </w:pPr>
    </w:p>
    <w:p w14:paraId="5C877F16" w14:textId="18C974CF" w:rsidR="00D73A0F" w:rsidRPr="002041DF" w:rsidRDefault="00623D38" w:rsidP="002041DF">
      <w:pPr>
        <w:pStyle w:val="Header"/>
        <w:widowControl w:val="0"/>
        <w:tabs>
          <w:tab w:val="left" w:pos="284"/>
        </w:tabs>
        <w:jc w:val="both"/>
        <w:rPr>
          <w:sz w:val="22"/>
          <w:szCs w:val="22"/>
          <w:lang w:val="sr-Latn-ME"/>
        </w:rPr>
      </w:pPr>
      <w:r w:rsidRPr="002041DF">
        <w:rPr>
          <w:sz w:val="22"/>
          <w:szCs w:val="22"/>
          <w:lang w:val="sr-Latn-ME"/>
        </w:rPr>
        <w:t>Žive vakcine ne treba prim</w:t>
      </w:r>
      <w:r w:rsidR="00612866" w:rsidRPr="002041DF">
        <w:rPr>
          <w:sz w:val="22"/>
          <w:szCs w:val="22"/>
          <w:lang w:val="sr-Latn-ME"/>
        </w:rPr>
        <w:t>j</w:t>
      </w:r>
      <w:r w:rsidRPr="002041DF">
        <w:rPr>
          <w:sz w:val="22"/>
          <w:szCs w:val="22"/>
          <w:lang w:val="sr-Latn-ME"/>
        </w:rPr>
        <w:t>enjivati istovremeno sa</w:t>
      </w:r>
      <w:r w:rsidR="00891C9B" w:rsidRPr="002041DF">
        <w:rPr>
          <w:sz w:val="22"/>
          <w:szCs w:val="22"/>
          <w:lang w:val="sr-Latn-ME"/>
        </w:rPr>
        <w:t xml:space="preserve"> lijekom </w:t>
      </w:r>
      <w:r w:rsidRPr="002041DF">
        <w:rPr>
          <w:sz w:val="22"/>
          <w:szCs w:val="22"/>
          <w:lang w:val="sr-Latn-ME"/>
        </w:rPr>
        <w:t>Stelara</w:t>
      </w:r>
      <w:r w:rsidR="00D73A0F" w:rsidRPr="002041DF">
        <w:rPr>
          <w:sz w:val="22"/>
          <w:szCs w:val="22"/>
          <w:lang w:val="sr-Latn-ME"/>
        </w:rPr>
        <w:t>.</w:t>
      </w:r>
      <w:r w:rsidRPr="002041DF">
        <w:rPr>
          <w:sz w:val="22"/>
          <w:szCs w:val="22"/>
          <w:lang w:val="sr-Latn-ME"/>
        </w:rPr>
        <w:t xml:space="preserve"> </w:t>
      </w:r>
    </w:p>
    <w:p w14:paraId="367A2578" w14:textId="77777777" w:rsidR="00D73A0F" w:rsidRPr="002041DF" w:rsidRDefault="00D73A0F" w:rsidP="002041DF">
      <w:pPr>
        <w:pStyle w:val="Header"/>
        <w:widowControl w:val="0"/>
        <w:tabs>
          <w:tab w:val="left" w:pos="284"/>
        </w:tabs>
        <w:jc w:val="both"/>
        <w:rPr>
          <w:sz w:val="22"/>
          <w:szCs w:val="22"/>
          <w:lang w:val="sr-Latn-ME"/>
        </w:rPr>
      </w:pPr>
    </w:p>
    <w:p w14:paraId="1B24ED8A" w14:textId="008EE9F2" w:rsidR="00623D38" w:rsidRPr="002041DF" w:rsidRDefault="00D73A0F" w:rsidP="002041DF">
      <w:pPr>
        <w:pStyle w:val="Header"/>
        <w:widowControl w:val="0"/>
        <w:tabs>
          <w:tab w:val="left" w:pos="284"/>
        </w:tabs>
        <w:jc w:val="both"/>
        <w:rPr>
          <w:sz w:val="22"/>
          <w:szCs w:val="22"/>
          <w:lang w:val="sr-Latn-ME"/>
        </w:rPr>
      </w:pPr>
      <w:r w:rsidRPr="002041DF">
        <w:rPr>
          <w:sz w:val="22"/>
          <w:szCs w:val="22"/>
          <w:lang w:val="sr-Latn-ME"/>
        </w:rPr>
        <w:t>Prim</w:t>
      </w:r>
      <w:r w:rsidR="00612866" w:rsidRPr="002041DF">
        <w:rPr>
          <w:sz w:val="22"/>
          <w:szCs w:val="22"/>
          <w:lang w:val="sr-Latn-ME"/>
        </w:rPr>
        <w:t>j</w:t>
      </w:r>
      <w:r w:rsidRPr="002041DF">
        <w:rPr>
          <w:sz w:val="22"/>
          <w:szCs w:val="22"/>
          <w:lang w:val="sr-Latn-ME"/>
        </w:rPr>
        <w:t xml:space="preserve">ena živih vakcina (kao što je BCG vakcina) kod odojčadi koja su bila izložena ustekinumabu </w:t>
      </w:r>
      <w:r w:rsidRPr="002041DF">
        <w:rPr>
          <w:i/>
          <w:iCs/>
          <w:sz w:val="22"/>
          <w:szCs w:val="22"/>
          <w:lang w:val="sr-Latn-ME"/>
        </w:rPr>
        <w:t>in utero</w:t>
      </w:r>
      <w:r w:rsidRPr="002041DF">
        <w:rPr>
          <w:sz w:val="22"/>
          <w:szCs w:val="22"/>
          <w:lang w:val="sr-Latn-ME"/>
        </w:rPr>
        <w:t xml:space="preserve">, se ne preporučuje </w:t>
      </w:r>
      <w:r w:rsidR="00B858EA" w:rsidRPr="002041DF">
        <w:rPr>
          <w:sz w:val="22"/>
          <w:lang w:val="sr-Latn-ME"/>
        </w:rPr>
        <w:t>dvanaest</w:t>
      </w:r>
      <w:r w:rsidR="00612866" w:rsidRPr="002041DF">
        <w:rPr>
          <w:sz w:val="22"/>
          <w:szCs w:val="22"/>
          <w:lang w:val="sr-Latn-ME"/>
        </w:rPr>
        <w:t xml:space="preserve"> mjeseci </w:t>
      </w:r>
      <w:r w:rsidRPr="002041DF">
        <w:rPr>
          <w:sz w:val="22"/>
          <w:szCs w:val="22"/>
          <w:lang w:val="sr-Latn-ME"/>
        </w:rPr>
        <w:t xml:space="preserve">nakon rođenja ili dok se nivoi ustekinumaba u serumu odojčadi ne mogu detektovati </w:t>
      </w:r>
      <w:r w:rsidR="00623D38" w:rsidRPr="002041DF">
        <w:rPr>
          <w:sz w:val="22"/>
          <w:szCs w:val="22"/>
          <w:lang w:val="sr-Latn-ME"/>
        </w:rPr>
        <w:t>(</w:t>
      </w:r>
      <w:r w:rsidR="006779EA" w:rsidRPr="002041DF">
        <w:rPr>
          <w:sz w:val="22"/>
          <w:szCs w:val="22"/>
          <w:lang w:val="sr-Latn-ME"/>
        </w:rPr>
        <w:t>vidjeti</w:t>
      </w:r>
      <w:r w:rsidR="00623D38" w:rsidRPr="002041DF">
        <w:rPr>
          <w:sz w:val="22"/>
          <w:szCs w:val="22"/>
          <w:lang w:val="sr-Latn-ME"/>
        </w:rPr>
        <w:t xml:space="preserve"> </w:t>
      </w:r>
      <w:r w:rsidR="00905218" w:rsidRPr="002041DF">
        <w:rPr>
          <w:sz w:val="22"/>
          <w:szCs w:val="22"/>
          <w:lang w:val="sr-Latn-ME"/>
        </w:rPr>
        <w:t xml:space="preserve">djelove </w:t>
      </w:r>
      <w:r w:rsidR="00623D38" w:rsidRPr="002041DF">
        <w:rPr>
          <w:sz w:val="22"/>
          <w:szCs w:val="22"/>
          <w:lang w:val="sr-Latn-ME"/>
        </w:rPr>
        <w:t>4.4.</w:t>
      </w:r>
      <w:r w:rsidRPr="002041DF">
        <w:rPr>
          <w:sz w:val="22"/>
          <w:szCs w:val="22"/>
          <w:lang w:val="sr-Latn-ME"/>
        </w:rPr>
        <w:t xml:space="preserve"> i 4.6</w:t>
      </w:r>
      <w:r w:rsidR="00623D38" w:rsidRPr="002041DF">
        <w:rPr>
          <w:sz w:val="22"/>
          <w:szCs w:val="22"/>
          <w:lang w:val="sr-Latn-ME"/>
        </w:rPr>
        <w:t>).</w:t>
      </w:r>
      <w:r w:rsidRPr="002041DF">
        <w:rPr>
          <w:sz w:val="22"/>
          <w:szCs w:val="22"/>
          <w:lang w:val="sr-Latn-ME"/>
        </w:rPr>
        <w:t xml:space="preserve"> Ako postoji jasna klinička korist za pojedinačno odojče, može se razmotriti</w:t>
      </w:r>
      <w:r w:rsidR="00A35D07" w:rsidRPr="002041DF">
        <w:rPr>
          <w:sz w:val="22"/>
          <w:szCs w:val="22"/>
          <w:lang w:val="sr-Latn-ME"/>
        </w:rPr>
        <w:t xml:space="preserve"> prim</w:t>
      </w:r>
      <w:r w:rsidR="00612866" w:rsidRPr="002041DF">
        <w:rPr>
          <w:sz w:val="22"/>
          <w:szCs w:val="22"/>
          <w:lang w:val="sr-Latn-ME"/>
        </w:rPr>
        <w:t>j</w:t>
      </w:r>
      <w:r w:rsidR="00A35D07" w:rsidRPr="002041DF">
        <w:rPr>
          <w:sz w:val="22"/>
          <w:szCs w:val="22"/>
          <w:lang w:val="sr-Latn-ME"/>
        </w:rPr>
        <w:t xml:space="preserve">ena </w:t>
      </w:r>
      <w:r w:rsidRPr="002041DF">
        <w:rPr>
          <w:sz w:val="22"/>
          <w:szCs w:val="22"/>
          <w:lang w:val="sr-Latn-ME"/>
        </w:rPr>
        <w:t>žive vakcine u ranijem trenutku, ako se nivoi ustekinumaba u serumu odojčadi ne mogu detektovati.</w:t>
      </w:r>
    </w:p>
    <w:p w14:paraId="72B98B2A" w14:textId="77777777" w:rsidR="00623D38" w:rsidRPr="002041DF" w:rsidRDefault="00623D38" w:rsidP="002041DF">
      <w:pPr>
        <w:widowControl w:val="0"/>
        <w:jc w:val="both"/>
        <w:rPr>
          <w:sz w:val="22"/>
          <w:szCs w:val="22"/>
          <w:lang w:val="sr-Latn-ME"/>
        </w:rPr>
      </w:pPr>
    </w:p>
    <w:p w14:paraId="531CC7C3" w14:textId="19979DEC" w:rsidR="00660BE9" w:rsidRPr="002041DF" w:rsidRDefault="00660BE9" w:rsidP="002041DF">
      <w:pPr>
        <w:pStyle w:val="Header"/>
        <w:widowControl w:val="0"/>
        <w:tabs>
          <w:tab w:val="left" w:pos="284"/>
        </w:tabs>
        <w:jc w:val="both"/>
        <w:rPr>
          <w:sz w:val="22"/>
          <w:szCs w:val="22"/>
          <w:lang w:val="sr-Latn-ME"/>
        </w:rPr>
      </w:pPr>
      <w:r w:rsidRPr="002041DF">
        <w:rPr>
          <w:sz w:val="22"/>
          <w:szCs w:val="22"/>
          <w:lang w:val="sr-Latn-ME"/>
        </w:rPr>
        <w:t>U populacionim farmakokinetičkim analizama</w:t>
      </w:r>
      <w:r w:rsidRPr="002041DF" w:rsidDel="00660BE9">
        <w:rPr>
          <w:sz w:val="22"/>
          <w:szCs w:val="22"/>
          <w:lang w:val="sr-Latn-ME"/>
        </w:rPr>
        <w:t xml:space="preserve"> </w:t>
      </w:r>
      <w:r w:rsidR="00623D38" w:rsidRPr="002041DF">
        <w:rPr>
          <w:sz w:val="22"/>
          <w:szCs w:val="22"/>
          <w:lang w:val="sr-Latn-ME"/>
        </w:rPr>
        <w:t xml:space="preserve">faze </w:t>
      </w:r>
      <w:r w:rsidR="000C412E" w:rsidRPr="002041DF">
        <w:rPr>
          <w:sz w:val="22"/>
          <w:szCs w:val="22"/>
          <w:lang w:val="sr-Latn-ME"/>
        </w:rPr>
        <w:t>3</w:t>
      </w:r>
      <w:r w:rsidR="00623D38" w:rsidRPr="002041DF">
        <w:rPr>
          <w:sz w:val="22"/>
          <w:szCs w:val="22"/>
          <w:lang w:val="sr-Latn-ME"/>
        </w:rPr>
        <w:t xml:space="preserve"> kliničkih ispitivanja, ispitivan je efekat najčešće prim</w:t>
      </w:r>
      <w:r w:rsidR="00612866" w:rsidRPr="002041DF">
        <w:rPr>
          <w:sz w:val="22"/>
          <w:szCs w:val="22"/>
          <w:lang w:val="sr-Latn-ME"/>
        </w:rPr>
        <w:t>j</w:t>
      </w:r>
      <w:r w:rsidR="00623D38" w:rsidRPr="002041DF">
        <w:rPr>
          <w:sz w:val="22"/>
          <w:szCs w:val="22"/>
          <w:lang w:val="sr-Latn-ME"/>
        </w:rPr>
        <w:t>enjivanih l</w:t>
      </w:r>
      <w:r w:rsidR="00612866" w:rsidRPr="002041DF">
        <w:rPr>
          <w:sz w:val="22"/>
          <w:szCs w:val="22"/>
          <w:lang w:val="sr-Latn-ME"/>
        </w:rPr>
        <w:t>j</w:t>
      </w:r>
      <w:r w:rsidR="00623D38" w:rsidRPr="002041DF">
        <w:rPr>
          <w:sz w:val="22"/>
          <w:szCs w:val="22"/>
          <w:lang w:val="sr-Latn-ME"/>
        </w:rPr>
        <w:t>ekova kod pacijenata sa psorijazom (uključujući paracetamol, ibuprofen, acetilsalicilnu kiselinu, metformin, atorvastatin, levotiroksin) na farmakokinetiku ustekinumaba. Nije bilo indicija o interakcijama sa ovim istovremeno prim</w:t>
      </w:r>
      <w:r w:rsidR="00612866" w:rsidRPr="002041DF">
        <w:rPr>
          <w:sz w:val="22"/>
          <w:szCs w:val="22"/>
          <w:lang w:val="sr-Latn-ME"/>
        </w:rPr>
        <w:t>ij</w:t>
      </w:r>
      <w:r w:rsidR="00623D38" w:rsidRPr="002041DF">
        <w:rPr>
          <w:sz w:val="22"/>
          <w:szCs w:val="22"/>
          <w:lang w:val="sr-Latn-ME"/>
        </w:rPr>
        <w:t>enjenim l</w:t>
      </w:r>
      <w:r w:rsidR="00612866" w:rsidRPr="002041DF">
        <w:rPr>
          <w:sz w:val="22"/>
          <w:szCs w:val="22"/>
          <w:lang w:val="sr-Latn-ME"/>
        </w:rPr>
        <w:t>j</w:t>
      </w:r>
      <w:r w:rsidR="00623D38" w:rsidRPr="002041DF">
        <w:rPr>
          <w:sz w:val="22"/>
          <w:szCs w:val="22"/>
          <w:lang w:val="sr-Latn-ME"/>
        </w:rPr>
        <w:t xml:space="preserve">ekovima. Osnov za ovu analizu je bio da najmanje 100 pacijenata (&gt; 5% ispitivane populacije) bude istovremeno </w:t>
      </w:r>
      <w:r w:rsidR="00891C9B" w:rsidRPr="002041DF">
        <w:rPr>
          <w:sz w:val="22"/>
          <w:szCs w:val="22"/>
          <w:lang w:val="sr-Latn-ME"/>
        </w:rPr>
        <w:t>liječen</w:t>
      </w:r>
      <w:r w:rsidR="00623D38" w:rsidRPr="002041DF">
        <w:rPr>
          <w:sz w:val="22"/>
          <w:szCs w:val="22"/>
          <w:lang w:val="sr-Latn-ME"/>
        </w:rPr>
        <w:t>o pomenutim l</w:t>
      </w:r>
      <w:r w:rsidR="00612866" w:rsidRPr="002041DF">
        <w:rPr>
          <w:sz w:val="22"/>
          <w:szCs w:val="22"/>
          <w:lang w:val="sr-Latn-ME"/>
        </w:rPr>
        <w:t>j</w:t>
      </w:r>
      <w:r w:rsidR="00623D38" w:rsidRPr="002041DF">
        <w:rPr>
          <w:sz w:val="22"/>
          <w:szCs w:val="22"/>
          <w:lang w:val="sr-Latn-ME"/>
        </w:rPr>
        <w:t>ekovima najmanje 90% vremena trajanja ispitivanja.</w:t>
      </w:r>
      <w:r w:rsidR="00D66231" w:rsidRPr="002041DF">
        <w:rPr>
          <w:sz w:val="22"/>
          <w:szCs w:val="22"/>
          <w:lang w:val="sr-Latn-ME"/>
        </w:rPr>
        <w:t xml:space="preserve"> </w:t>
      </w:r>
      <w:r w:rsidRPr="002041DF">
        <w:rPr>
          <w:sz w:val="22"/>
          <w:szCs w:val="22"/>
          <w:lang w:val="sr-Latn-ME"/>
        </w:rPr>
        <w:t>Farmakokinetika ustekinumaba se nije izm</w:t>
      </w:r>
      <w:r w:rsidR="00612866" w:rsidRPr="002041DF">
        <w:rPr>
          <w:sz w:val="22"/>
          <w:szCs w:val="22"/>
          <w:lang w:val="sr-Latn-ME"/>
        </w:rPr>
        <w:t>ij</w:t>
      </w:r>
      <w:r w:rsidRPr="002041DF">
        <w:rPr>
          <w:sz w:val="22"/>
          <w:szCs w:val="22"/>
          <w:lang w:val="sr-Latn-ME"/>
        </w:rPr>
        <w:t>enila pri zajedničkoj upotrebi ustekinumaba i MTX, NSAIDs</w:t>
      </w:r>
      <w:r w:rsidR="00BA23C6" w:rsidRPr="002041DF">
        <w:rPr>
          <w:sz w:val="22"/>
          <w:szCs w:val="22"/>
          <w:lang w:val="sr-Latn-ME"/>
        </w:rPr>
        <w:t>, 6- merkaptopurina, azatioprin</w:t>
      </w:r>
      <w:r w:rsidRPr="002041DF">
        <w:rPr>
          <w:sz w:val="22"/>
          <w:szCs w:val="22"/>
          <w:lang w:val="sr-Latn-ME"/>
        </w:rPr>
        <w:t xml:space="preserve"> i oralnih korikosteroida</w:t>
      </w:r>
      <w:r w:rsidR="003917C1" w:rsidRPr="002041DF">
        <w:rPr>
          <w:sz w:val="22"/>
          <w:szCs w:val="22"/>
          <w:lang w:val="sr-Latn-ME"/>
        </w:rPr>
        <w:t xml:space="preserve"> kod pacijanata sa psorijatičnim artritisom, Kronovom bolešću ili ulceroznim kolitisom</w:t>
      </w:r>
      <w:r w:rsidRPr="002041DF">
        <w:rPr>
          <w:sz w:val="22"/>
          <w:szCs w:val="22"/>
          <w:lang w:val="sr-Latn-ME"/>
        </w:rPr>
        <w:t>, ili pri prethodnom izlaganju anti-TNFα agensima, kod pacijenata sa psorijatičnim artritisom</w:t>
      </w:r>
      <w:r w:rsidR="008F159D" w:rsidRPr="002041DF">
        <w:rPr>
          <w:sz w:val="22"/>
          <w:szCs w:val="22"/>
          <w:lang w:val="sr-Latn-ME"/>
        </w:rPr>
        <w:t xml:space="preserve"> ili Kronovom </w:t>
      </w:r>
      <w:r w:rsidR="00603716" w:rsidRPr="002041DF">
        <w:rPr>
          <w:sz w:val="22"/>
          <w:szCs w:val="22"/>
          <w:lang w:val="sr-Latn-ME" w:eastAsia="x-none"/>
        </w:rPr>
        <w:t>bolešću</w:t>
      </w:r>
      <w:r w:rsidR="003917C1" w:rsidRPr="002041DF">
        <w:rPr>
          <w:sz w:val="22"/>
          <w:szCs w:val="22"/>
          <w:lang w:val="sr-Latn-ME" w:eastAsia="x-none"/>
        </w:rPr>
        <w:t xml:space="preserve"> </w:t>
      </w:r>
      <w:r w:rsidR="003917C1" w:rsidRPr="002041DF">
        <w:rPr>
          <w:sz w:val="22"/>
          <w:szCs w:val="22"/>
          <w:lang w:val="sr-Latn-ME"/>
        </w:rPr>
        <w:t>ili prethodnom izlaganju biološkim l</w:t>
      </w:r>
      <w:r w:rsidR="00612866" w:rsidRPr="002041DF">
        <w:rPr>
          <w:sz w:val="22"/>
          <w:szCs w:val="22"/>
          <w:lang w:val="sr-Latn-ME"/>
        </w:rPr>
        <w:t>j</w:t>
      </w:r>
      <w:r w:rsidR="003917C1" w:rsidRPr="002041DF">
        <w:rPr>
          <w:sz w:val="22"/>
          <w:szCs w:val="22"/>
          <w:lang w:val="sr-Latn-ME"/>
        </w:rPr>
        <w:t>ekovima (t.j. anti-TNFα agensima i/ili vedolizumabu) kod pacijenata sa ulceroznim kolitisom</w:t>
      </w:r>
      <w:r w:rsidRPr="002041DF">
        <w:rPr>
          <w:sz w:val="22"/>
          <w:szCs w:val="22"/>
          <w:lang w:val="sr-Latn-ME"/>
        </w:rPr>
        <w:t>.</w:t>
      </w:r>
    </w:p>
    <w:p w14:paraId="12286746" w14:textId="77777777" w:rsidR="00623D38" w:rsidRPr="002041DF" w:rsidRDefault="00623D38" w:rsidP="002041DF">
      <w:pPr>
        <w:pStyle w:val="Header"/>
        <w:widowControl w:val="0"/>
        <w:tabs>
          <w:tab w:val="left" w:pos="284"/>
        </w:tabs>
        <w:jc w:val="both"/>
        <w:rPr>
          <w:sz w:val="22"/>
          <w:szCs w:val="22"/>
          <w:lang w:val="sr-Latn-ME"/>
        </w:rPr>
      </w:pPr>
    </w:p>
    <w:p w14:paraId="330E9D55" w14:textId="2F9059B2" w:rsidR="00623D38" w:rsidRPr="002041DF" w:rsidRDefault="00623D38" w:rsidP="002041DF">
      <w:pPr>
        <w:pStyle w:val="Header"/>
        <w:widowControl w:val="0"/>
        <w:tabs>
          <w:tab w:val="left" w:pos="284"/>
        </w:tabs>
        <w:jc w:val="both"/>
        <w:rPr>
          <w:sz w:val="22"/>
          <w:szCs w:val="22"/>
          <w:lang w:val="sr-Latn-ME"/>
        </w:rPr>
      </w:pPr>
      <w:r w:rsidRPr="002041DF">
        <w:rPr>
          <w:sz w:val="22"/>
          <w:szCs w:val="22"/>
          <w:lang w:val="sr-Latn-ME"/>
        </w:rPr>
        <w:lastRenderedPageBreak/>
        <w:t xml:space="preserve">Rezultati </w:t>
      </w:r>
      <w:r w:rsidRPr="002041DF">
        <w:rPr>
          <w:i/>
          <w:sz w:val="22"/>
          <w:szCs w:val="22"/>
          <w:lang w:val="sr-Latn-ME"/>
        </w:rPr>
        <w:t>in vitro</w:t>
      </w:r>
      <w:r w:rsidRPr="002041DF">
        <w:rPr>
          <w:sz w:val="22"/>
          <w:szCs w:val="22"/>
          <w:lang w:val="sr-Latn-ME"/>
        </w:rPr>
        <w:t xml:space="preserve"> studija</w:t>
      </w:r>
      <w:r w:rsidR="00593C52" w:rsidRPr="002041DF">
        <w:rPr>
          <w:lang w:val="sr-Latn-ME"/>
        </w:rPr>
        <w:t xml:space="preserve"> </w:t>
      </w:r>
      <w:r w:rsidR="00593C52" w:rsidRPr="002041DF">
        <w:rPr>
          <w:sz w:val="22"/>
          <w:szCs w:val="22"/>
          <w:lang w:val="sr-Latn-ME"/>
        </w:rPr>
        <w:t>i kliničkog ispitivanja faze 1 kod ispitanika sa aktivnom Kronovom bolešću,</w:t>
      </w:r>
      <w:r w:rsidRPr="002041DF">
        <w:rPr>
          <w:sz w:val="22"/>
          <w:szCs w:val="22"/>
          <w:lang w:val="sr-Latn-ME"/>
        </w:rPr>
        <w:t xml:space="preserve"> ne upućuju na potrebu prilagođavanja doze kod pacijenata koji istovremeno primaju supstrate za enz</w:t>
      </w:r>
      <w:r w:rsidR="00603716" w:rsidRPr="002041DF">
        <w:rPr>
          <w:sz w:val="22"/>
          <w:szCs w:val="22"/>
          <w:lang w:val="sr-Latn-ME"/>
        </w:rPr>
        <w:t>i</w:t>
      </w:r>
      <w:r w:rsidRPr="002041DF">
        <w:rPr>
          <w:sz w:val="22"/>
          <w:szCs w:val="22"/>
          <w:lang w:val="sr-Latn-ME"/>
        </w:rPr>
        <w:t>me CYP450 (</w:t>
      </w:r>
      <w:r w:rsidR="006779EA" w:rsidRPr="002041DF">
        <w:rPr>
          <w:sz w:val="22"/>
          <w:szCs w:val="22"/>
          <w:lang w:val="sr-Latn-ME"/>
        </w:rPr>
        <w:t>vidjeti</w:t>
      </w:r>
      <w:r w:rsidRPr="002041DF">
        <w:rPr>
          <w:sz w:val="22"/>
          <w:szCs w:val="22"/>
          <w:lang w:val="sr-Latn-ME"/>
        </w:rPr>
        <w:t xml:space="preserve"> </w:t>
      </w:r>
      <w:r w:rsidR="00292E06" w:rsidRPr="002041DF">
        <w:rPr>
          <w:sz w:val="22"/>
          <w:szCs w:val="22"/>
          <w:lang w:val="sr-Latn-ME"/>
        </w:rPr>
        <w:t>dio</w:t>
      </w:r>
      <w:r w:rsidRPr="002041DF">
        <w:rPr>
          <w:sz w:val="22"/>
          <w:szCs w:val="22"/>
          <w:lang w:val="sr-Latn-ME"/>
        </w:rPr>
        <w:t xml:space="preserve"> 5.2.).</w:t>
      </w:r>
    </w:p>
    <w:p w14:paraId="52B6827F" w14:textId="77777777" w:rsidR="00623D38" w:rsidRPr="002041DF" w:rsidRDefault="00623D38" w:rsidP="002041DF">
      <w:pPr>
        <w:pStyle w:val="Header"/>
        <w:widowControl w:val="0"/>
        <w:tabs>
          <w:tab w:val="left" w:pos="284"/>
        </w:tabs>
        <w:jc w:val="both"/>
        <w:rPr>
          <w:sz w:val="22"/>
          <w:szCs w:val="22"/>
          <w:lang w:val="sr-Latn-ME"/>
        </w:rPr>
      </w:pPr>
    </w:p>
    <w:p w14:paraId="3EB919F4" w14:textId="198A2386" w:rsidR="00660BE9" w:rsidRPr="002041DF" w:rsidRDefault="00660BE9" w:rsidP="002041DF">
      <w:pPr>
        <w:widowControl w:val="0"/>
        <w:jc w:val="both"/>
        <w:rPr>
          <w:sz w:val="22"/>
          <w:szCs w:val="22"/>
          <w:lang w:val="sr-Latn-ME"/>
        </w:rPr>
      </w:pPr>
      <w:r w:rsidRPr="002041DF">
        <w:rPr>
          <w:sz w:val="22"/>
          <w:szCs w:val="22"/>
          <w:lang w:val="sr-Latn-ME"/>
        </w:rPr>
        <w:t>U kliničkim ispitivanjima pacijenata sa psorijazom, bezb</w:t>
      </w:r>
      <w:r w:rsidR="00612866" w:rsidRPr="002041DF">
        <w:rPr>
          <w:sz w:val="22"/>
          <w:szCs w:val="22"/>
          <w:lang w:val="sr-Latn-ME"/>
        </w:rPr>
        <w:t>j</w:t>
      </w:r>
      <w:r w:rsidRPr="002041DF">
        <w:rPr>
          <w:sz w:val="22"/>
          <w:szCs w:val="22"/>
          <w:lang w:val="sr-Latn-ME"/>
        </w:rPr>
        <w:t>ednost i efikasnost prim</w:t>
      </w:r>
      <w:r w:rsidR="00612866" w:rsidRPr="002041DF">
        <w:rPr>
          <w:sz w:val="22"/>
          <w:szCs w:val="22"/>
          <w:lang w:val="sr-Latn-ME"/>
        </w:rPr>
        <w:t>j</w:t>
      </w:r>
      <w:r w:rsidRPr="002041DF">
        <w:rPr>
          <w:sz w:val="22"/>
          <w:szCs w:val="22"/>
          <w:lang w:val="sr-Latn-ME"/>
        </w:rPr>
        <w:t>ene</w:t>
      </w:r>
      <w:r w:rsidR="00A35D07" w:rsidRPr="002041DF">
        <w:rPr>
          <w:sz w:val="22"/>
          <w:szCs w:val="22"/>
          <w:lang w:val="sr-Latn-ME"/>
        </w:rPr>
        <w:t xml:space="preserve"> lijeka </w:t>
      </w:r>
      <w:r w:rsidRPr="002041DF">
        <w:rPr>
          <w:sz w:val="22"/>
          <w:szCs w:val="22"/>
          <w:lang w:val="sr-Latn-ME"/>
        </w:rPr>
        <w:t>S</w:t>
      </w:r>
      <w:r w:rsidR="008F159D" w:rsidRPr="002041DF">
        <w:rPr>
          <w:sz w:val="22"/>
          <w:szCs w:val="22"/>
          <w:lang w:val="sr-Latn-ME"/>
        </w:rPr>
        <w:t>telara</w:t>
      </w:r>
      <w:r w:rsidRPr="002041DF">
        <w:rPr>
          <w:sz w:val="22"/>
          <w:szCs w:val="22"/>
          <w:lang w:val="sr-Latn-ME"/>
        </w:rPr>
        <w:t xml:space="preserve"> u kombinaciji sa imunosupresivnim l</w:t>
      </w:r>
      <w:r w:rsidR="00612866" w:rsidRPr="002041DF">
        <w:rPr>
          <w:sz w:val="22"/>
          <w:szCs w:val="22"/>
          <w:lang w:val="sr-Latn-ME"/>
        </w:rPr>
        <w:t>j</w:t>
      </w:r>
      <w:r w:rsidRPr="002041DF">
        <w:rPr>
          <w:sz w:val="22"/>
          <w:szCs w:val="22"/>
          <w:lang w:val="sr-Latn-ME"/>
        </w:rPr>
        <w:t>ekovima, uključujući biološke l</w:t>
      </w:r>
      <w:r w:rsidR="00612866" w:rsidRPr="002041DF">
        <w:rPr>
          <w:sz w:val="22"/>
          <w:szCs w:val="22"/>
          <w:lang w:val="sr-Latn-ME"/>
        </w:rPr>
        <w:t>j</w:t>
      </w:r>
      <w:r w:rsidRPr="002041DF">
        <w:rPr>
          <w:sz w:val="22"/>
          <w:szCs w:val="22"/>
          <w:lang w:val="sr-Latn-ME"/>
        </w:rPr>
        <w:t>ekove ili fototerapiju,</w:t>
      </w:r>
      <w:r w:rsidR="00E50471" w:rsidRPr="002041DF">
        <w:rPr>
          <w:sz w:val="22"/>
          <w:szCs w:val="22"/>
          <w:lang w:val="sr-Latn-ME"/>
        </w:rPr>
        <w:t xml:space="preserve"> nijesu </w:t>
      </w:r>
      <w:r w:rsidRPr="002041DF">
        <w:rPr>
          <w:sz w:val="22"/>
          <w:szCs w:val="22"/>
          <w:lang w:val="sr-Latn-ME"/>
        </w:rPr>
        <w:t>ispitivani. U kliničkim ispitivanjima pacijenata sa psorijatičnim artritisom, zajednička upotreba ustekinumaba sa MTX-om nije pokazala uticaj na bezb</w:t>
      </w:r>
      <w:r w:rsidR="00612866" w:rsidRPr="002041DF">
        <w:rPr>
          <w:sz w:val="22"/>
          <w:szCs w:val="22"/>
          <w:lang w:val="sr-Latn-ME"/>
        </w:rPr>
        <w:t>j</w:t>
      </w:r>
      <w:r w:rsidRPr="002041DF">
        <w:rPr>
          <w:sz w:val="22"/>
          <w:szCs w:val="22"/>
          <w:lang w:val="sr-Latn-ME"/>
        </w:rPr>
        <w:t>ednost ili efikasnost</w:t>
      </w:r>
      <w:r w:rsidR="00A35D07" w:rsidRPr="002041DF">
        <w:rPr>
          <w:sz w:val="22"/>
          <w:szCs w:val="22"/>
          <w:lang w:val="sr-Latn-ME"/>
        </w:rPr>
        <w:t xml:space="preserve"> lijeka </w:t>
      </w:r>
      <w:r w:rsidRPr="002041DF">
        <w:rPr>
          <w:sz w:val="22"/>
          <w:szCs w:val="22"/>
          <w:lang w:val="sr-Latn-ME"/>
        </w:rPr>
        <w:t>S</w:t>
      </w:r>
      <w:r w:rsidR="008F159D" w:rsidRPr="002041DF">
        <w:rPr>
          <w:sz w:val="22"/>
          <w:szCs w:val="22"/>
          <w:lang w:val="sr-Latn-ME"/>
        </w:rPr>
        <w:t>telara</w:t>
      </w:r>
      <w:r w:rsidRPr="002041DF">
        <w:rPr>
          <w:sz w:val="22"/>
          <w:szCs w:val="22"/>
          <w:lang w:val="sr-Latn-ME"/>
        </w:rPr>
        <w:t>.</w:t>
      </w:r>
      <w:r w:rsidR="008F159D" w:rsidRPr="002041DF">
        <w:rPr>
          <w:sz w:val="22"/>
          <w:szCs w:val="22"/>
          <w:lang w:val="sr-Latn-ME"/>
        </w:rPr>
        <w:t xml:space="preserve"> U ispitivanjima Kronove bolesti</w:t>
      </w:r>
      <w:r w:rsidR="003917C1" w:rsidRPr="002041DF">
        <w:rPr>
          <w:sz w:val="22"/>
          <w:szCs w:val="22"/>
          <w:lang w:val="sr-Latn-ME"/>
        </w:rPr>
        <w:t xml:space="preserve"> i ulceroznog kolitisa</w:t>
      </w:r>
      <w:r w:rsidR="008F159D" w:rsidRPr="002041DF">
        <w:rPr>
          <w:sz w:val="22"/>
          <w:szCs w:val="22"/>
          <w:lang w:val="sr-Latn-ME"/>
        </w:rPr>
        <w:t xml:space="preserve">, nije </w:t>
      </w:r>
      <w:r w:rsidR="00891C9B" w:rsidRPr="002041DF">
        <w:rPr>
          <w:sz w:val="22"/>
          <w:szCs w:val="22"/>
          <w:lang w:val="sr-Latn-ME"/>
        </w:rPr>
        <w:t>zabilježen</w:t>
      </w:r>
      <w:r w:rsidR="008F159D" w:rsidRPr="002041DF">
        <w:rPr>
          <w:sz w:val="22"/>
          <w:szCs w:val="22"/>
          <w:lang w:val="sr-Latn-ME"/>
        </w:rPr>
        <w:t>o da istovremena</w:t>
      </w:r>
      <w:r w:rsidR="00A35D07" w:rsidRPr="002041DF">
        <w:rPr>
          <w:sz w:val="22"/>
          <w:szCs w:val="22"/>
          <w:lang w:val="sr-Latn-ME"/>
        </w:rPr>
        <w:t xml:space="preserve"> prim</w:t>
      </w:r>
      <w:r w:rsidR="00612866" w:rsidRPr="002041DF">
        <w:rPr>
          <w:sz w:val="22"/>
          <w:szCs w:val="22"/>
          <w:lang w:val="sr-Latn-ME"/>
        </w:rPr>
        <w:t>j</w:t>
      </w:r>
      <w:r w:rsidR="00A35D07" w:rsidRPr="002041DF">
        <w:rPr>
          <w:sz w:val="22"/>
          <w:szCs w:val="22"/>
          <w:lang w:val="sr-Latn-ME"/>
        </w:rPr>
        <w:t xml:space="preserve">ena </w:t>
      </w:r>
      <w:r w:rsidR="008F159D" w:rsidRPr="002041DF">
        <w:rPr>
          <w:sz w:val="22"/>
          <w:szCs w:val="22"/>
          <w:lang w:val="sr-Latn-ME"/>
        </w:rPr>
        <w:t>imunosupresiva ili kortikosteroida utiče na bezb</w:t>
      </w:r>
      <w:r w:rsidR="00612866" w:rsidRPr="002041DF">
        <w:rPr>
          <w:sz w:val="22"/>
          <w:szCs w:val="22"/>
          <w:lang w:val="sr-Latn-ME"/>
        </w:rPr>
        <w:t>j</w:t>
      </w:r>
      <w:r w:rsidR="008F159D" w:rsidRPr="002041DF">
        <w:rPr>
          <w:sz w:val="22"/>
          <w:szCs w:val="22"/>
          <w:lang w:val="sr-Latn-ME"/>
        </w:rPr>
        <w:t>ednost ili efikasnost</w:t>
      </w:r>
      <w:r w:rsidR="00A35D07" w:rsidRPr="002041DF">
        <w:rPr>
          <w:sz w:val="22"/>
          <w:szCs w:val="22"/>
          <w:lang w:val="sr-Latn-ME"/>
        </w:rPr>
        <w:t xml:space="preserve"> lijeka </w:t>
      </w:r>
      <w:r w:rsidR="008F159D" w:rsidRPr="002041DF">
        <w:rPr>
          <w:sz w:val="22"/>
          <w:szCs w:val="22"/>
          <w:lang w:val="sr-Latn-ME"/>
        </w:rPr>
        <w:t xml:space="preserve">Stelara </w:t>
      </w:r>
      <w:r w:rsidRPr="002041DF">
        <w:rPr>
          <w:sz w:val="22"/>
          <w:szCs w:val="22"/>
          <w:lang w:val="sr-Latn-ME"/>
        </w:rPr>
        <w:t>(</w:t>
      </w:r>
      <w:r w:rsidR="006779EA" w:rsidRPr="002041DF">
        <w:rPr>
          <w:sz w:val="22"/>
          <w:szCs w:val="22"/>
          <w:lang w:val="sr-Latn-ME"/>
        </w:rPr>
        <w:t>vidjeti</w:t>
      </w:r>
      <w:r w:rsidRPr="002041DF">
        <w:rPr>
          <w:sz w:val="22"/>
          <w:szCs w:val="22"/>
          <w:lang w:val="sr-Latn-ME"/>
        </w:rPr>
        <w:t xml:space="preserve"> </w:t>
      </w:r>
      <w:r w:rsidR="00292E06" w:rsidRPr="002041DF">
        <w:rPr>
          <w:sz w:val="22"/>
          <w:szCs w:val="22"/>
          <w:lang w:val="sr-Latn-ME"/>
        </w:rPr>
        <w:t>dio</w:t>
      </w:r>
      <w:r w:rsidRPr="002041DF">
        <w:rPr>
          <w:sz w:val="22"/>
          <w:szCs w:val="22"/>
          <w:lang w:val="sr-Latn-ME"/>
        </w:rPr>
        <w:t xml:space="preserve"> 4.4.).</w:t>
      </w:r>
    </w:p>
    <w:p w14:paraId="5E257AFC" w14:textId="77777777" w:rsidR="00623D38" w:rsidRPr="002041DF" w:rsidRDefault="00623D38" w:rsidP="002041DF">
      <w:pPr>
        <w:widowControl w:val="0"/>
        <w:jc w:val="both"/>
        <w:rPr>
          <w:sz w:val="22"/>
          <w:szCs w:val="22"/>
          <w:lang w:val="sr-Latn-ME"/>
        </w:rPr>
      </w:pPr>
    </w:p>
    <w:p w14:paraId="5C6B2BB3" w14:textId="77777777" w:rsidR="00921FA2" w:rsidRPr="002041DF" w:rsidRDefault="00921FA2" w:rsidP="002041DF">
      <w:pPr>
        <w:widowControl w:val="0"/>
        <w:tabs>
          <w:tab w:val="left" w:pos="540"/>
          <w:tab w:val="left" w:pos="569"/>
        </w:tabs>
        <w:jc w:val="both"/>
        <w:rPr>
          <w:b/>
          <w:sz w:val="22"/>
          <w:szCs w:val="22"/>
          <w:lang w:val="sr-Latn-ME"/>
        </w:rPr>
      </w:pPr>
      <w:bookmarkStart w:id="14" w:name="_Hlk131771897"/>
      <w:r w:rsidRPr="002041DF">
        <w:rPr>
          <w:b/>
          <w:bCs/>
          <w:sz w:val="22"/>
          <w:szCs w:val="22"/>
          <w:lang w:val="sr-Latn-ME"/>
        </w:rPr>
        <w:t xml:space="preserve">4.6. </w:t>
      </w:r>
      <w:r w:rsidRPr="002041DF">
        <w:rPr>
          <w:b/>
          <w:bCs/>
          <w:sz w:val="22"/>
          <w:szCs w:val="22"/>
          <w:lang w:val="sr-Latn-ME"/>
        </w:rPr>
        <w:tab/>
      </w:r>
      <w:r w:rsidRPr="002041DF">
        <w:rPr>
          <w:b/>
          <w:sz w:val="22"/>
          <w:szCs w:val="22"/>
          <w:lang w:val="sr-Latn-ME"/>
        </w:rPr>
        <w:t>Plodnost, trudnoća i dojenje</w:t>
      </w:r>
    </w:p>
    <w:bookmarkEnd w:id="14"/>
    <w:p w14:paraId="1BA7A203" w14:textId="77777777" w:rsidR="00623D38" w:rsidRPr="002041DF" w:rsidRDefault="00623D38" w:rsidP="002041DF">
      <w:pPr>
        <w:widowControl w:val="0"/>
        <w:jc w:val="both"/>
        <w:rPr>
          <w:sz w:val="22"/>
          <w:szCs w:val="22"/>
          <w:u w:val="single"/>
          <w:lang w:val="sr-Latn-ME"/>
        </w:rPr>
      </w:pPr>
    </w:p>
    <w:p w14:paraId="08FF04D7" w14:textId="46496921" w:rsidR="00623D38" w:rsidRPr="002041DF" w:rsidRDefault="00623D38" w:rsidP="002041DF">
      <w:pPr>
        <w:widowControl w:val="0"/>
        <w:jc w:val="both"/>
        <w:rPr>
          <w:sz w:val="22"/>
          <w:szCs w:val="22"/>
          <w:u w:val="single"/>
          <w:lang w:val="sr-Latn-ME"/>
        </w:rPr>
      </w:pPr>
      <w:r w:rsidRPr="002041DF">
        <w:rPr>
          <w:sz w:val="22"/>
          <w:szCs w:val="22"/>
          <w:u w:val="single"/>
          <w:lang w:val="sr-Latn-ME"/>
        </w:rPr>
        <w:t xml:space="preserve">Žene u </w:t>
      </w:r>
      <w:r w:rsidR="00C75C1F" w:rsidRPr="002041DF">
        <w:rPr>
          <w:sz w:val="22"/>
          <w:szCs w:val="22"/>
          <w:u w:val="single"/>
          <w:lang w:val="sr-Latn-ME"/>
        </w:rPr>
        <w:t>reproduktivnom</w:t>
      </w:r>
      <w:r w:rsidRPr="002041DF">
        <w:rPr>
          <w:sz w:val="22"/>
          <w:szCs w:val="22"/>
          <w:u w:val="single"/>
          <w:lang w:val="sr-Latn-ME"/>
        </w:rPr>
        <w:t xml:space="preserve"> periodu</w:t>
      </w:r>
    </w:p>
    <w:p w14:paraId="78539F7C" w14:textId="311EF9FC" w:rsidR="00623D38" w:rsidRPr="002041DF" w:rsidRDefault="00623D38" w:rsidP="002041DF">
      <w:pPr>
        <w:pStyle w:val="Header"/>
        <w:widowControl w:val="0"/>
        <w:tabs>
          <w:tab w:val="left" w:pos="284"/>
        </w:tabs>
        <w:jc w:val="both"/>
        <w:rPr>
          <w:sz w:val="22"/>
          <w:szCs w:val="22"/>
          <w:lang w:val="sr-Latn-ME"/>
        </w:rPr>
      </w:pPr>
      <w:r w:rsidRPr="002041DF">
        <w:rPr>
          <w:sz w:val="22"/>
          <w:szCs w:val="22"/>
          <w:lang w:val="sr-Latn-ME"/>
        </w:rPr>
        <w:t xml:space="preserve">Žene koje su u </w:t>
      </w:r>
      <w:r w:rsidR="00C75C1F" w:rsidRPr="002041DF">
        <w:rPr>
          <w:sz w:val="22"/>
          <w:szCs w:val="22"/>
          <w:lang w:val="sr-Latn-ME"/>
        </w:rPr>
        <w:t>reproduktivnom</w:t>
      </w:r>
      <w:r w:rsidRPr="002041DF">
        <w:rPr>
          <w:sz w:val="22"/>
          <w:szCs w:val="22"/>
          <w:lang w:val="sr-Latn-ME"/>
        </w:rPr>
        <w:t xml:space="preserve"> periodu treba da koriste efikasne metode kontracepcije tokom terapije i najmanje još 15 </w:t>
      </w:r>
      <w:r w:rsidR="004372C4" w:rsidRPr="002041DF">
        <w:rPr>
          <w:sz w:val="22"/>
          <w:szCs w:val="22"/>
          <w:lang w:val="sr-Latn-ME"/>
        </w:rPr>
        <w:t>nedjelja</w:t>
      </w:r>
      <w:r w:rsidRPr="002041DF">
        <w:rPr>
          <w:sz w:val="22"/>
          <w:szCs w:val="22"/>
          <w:lang w:val="sr-Latn-ME"/>
        </w:rPr>
        <w:t xml:space="preserve"> po prestanku terapije.</w:t>
      </w:r>
    </w:p>
    <w:p w14:paraId="66B6EFE2" w14:textId="77777777" w:rsidR="00905218" w:rsidRPr="002041DF" w:rsidRDefault="00905218" w:rsidP="002041DF">
      <w:pPr>
        <w:pStyle w:val="Header"/>
        <w:widowControl w:val="0"/>
        <w:tabs>
          <w:tab w:val="left" w:pos="284"/>
        </w:tabs>
        <w:jc w:val="both"/>
        <w:rPr>
          <w:sz w:val="22"/>
          <w:szCs w:val="22"/>
          <w:u w:val="single"/>
          <w:lang w:val="sr-Latn-ME"/>
        </w:rPr>
      </w:pPr>
    </w:p>
    <w:p w14:paraId="3B1A61FE" w14:textId="03B8E1B1" w:rsidR="00623D38" w:rsidRPr="002041DF" w:rsidRDefault="00623D38" w:rsidP="002041DF">
      <w:pPr>
        <w:pStyle w:val="Header"/>
        <w:widowControl w:val="0"/>
        <w:tabs>
          <w:tab w:val="left" w:pos="284"/>
        </w:tabs>
        <w:jc w:val="both"/>
        <w:rPr>
          <w:sz w:val="22"/>
          <w:szCs w:val="22"/>
          <w:lang w:val="sr-Latn-ME"/>
        </w:rPr>
      </w:pPr>
      <w:r w:rsidRPr="002041DF">
        <w:rPr>
          <w:sz w:val="22"/>
          <w:szCs w:val="22"/>
          <w:u w:val="single"/>
          <w:lang w:val="sr-Latn-ME"/>
        </w:rPr>
        <w:t>Trudnoća</w:t>
      </w:r>
    </w:p>
    <w:p w14:paraId="3E7E185B" w14:textId="03F3309C" w:rsidR="006D2C31" w:rsidRPr="002041DF" w:rsidRDefault="006D2C31" w:rsidP="002041DF">
      <w:pPr>
        <w:pStyle w:val="Header"/>
        <w:widowControl w:val="0"/>
        <w:tabs>
          <w:tab w:val="left" w:pos="284"/>
        </w:tabs>
        <w:jc w:val="both"/>
        <w:rPr>
          <w:sz w:val="22"/>
          <w:szCs w:val="22"/>
          <w:lang w:val="sr-Latn-ME"/>
        </w:rPr>
      </w:pPr>
      <w:r w:rsidRPr="002041DF">
        <w:rPr>
          <w:sz w:val="22"/>
          <w:szCs w:val="22"/>
          <w:lang w:val="sr-Latn-ME"/>
        </w:rPr>
        <w:t>Podaci prikupljeni iz um</w:t>
      </w:r>
      <w:r w:rsidR="000E161B" w:rsidRPr="002041DF">
        <w:rPr>
          <w:sz w:val="22"/>
          <w:szCs w:val="22"/>
          <w:lang w:val="sr-Latn-ME"/>
        </w:rPr>
        <w:t>j</w:t>
      </w:r>
      <w:r w:rsidRPr="002041DF">
        <w:rPr>
          <w:sz w:val="22"/>
          <w:szCs w:val="22"/>
          <w:lang w:val="sr-Latn-ME"/>
        </w:rPr>
        <w:t>erenog broja trudnoća nakon izlaganja l</w:t>
      </w:r>
      <w:r w:rsidR="000E161B" w:rsidRPr="002041DF">
        <w:rPr>
          <w:sz w:val="22"/>
          <w:szCs w:val="22"/>
          <w:lang w:val="sr-Latn-ME"/>
        </w:rPr>
        <w:t>ij</w:t>
      </w:r>
      <w:r w:rsidRPr="002041DF">
        <w:rPr>
          <w:sz w:val="22"/>
          <w:szCs w:val="22"/>
          <w:lang w:val="sr-Latn-ME"/>
        </w:rPr>
        <w:t xml:space="preserve">eku Stelara sa poznatim ishodima, uključujući više od 450 trudnoća sa izloženošću tokom prvog trimestra, ne ukazuju na povećan rizik od velikih kongenitalnih malformacija kod novorođenčeta. </w:t>
      </w:r>
    </w:p>
    <w:p w14:paraId="0F52DEE6" w14:textId="77777777" w:rsidR="006D2C31" w:rsidRPr="002041DF" w:rsidRDefault="00623D38" w:rsidP="002041DF">
      <w:pPr>
        <w:pStyle w:val="Header"/>
        <w:widowControl w:val="0"/>
        <w:tabs>
          <w:tab w:val="left" w:pos="284"/>
        </w:tabs>
        <w:jc w:val="both"/>
        <w:rPr>
          <w:sz w:val="22"/>
          <w:szCs w:val="22"/>
          <w:lang w:val="sr-Latn-ME"/>
        </w:rPr>
      </w:pPr>
      <w:r w:rsidRPr="002041DF">
        <w:rPr>
          <w:sz w:val="22"/>
          <w:szCs w:val="22"/>
          <w:lang w:val="sr-Latn-ME"/>
        </w:rPr>
        <w:t>Ispitivanja na životinjama</w:t>
      </w:r>
      <w:r w:rsidR="00E50471" w:rsidRPr="002041DF">
        <w:rPr>
          <w:sz w:val="22"/>
          <w:szCs w:val="22"/>
          <w:lang w:val="sr-Latn-ME"/>
        </w:rPr>
        <w:t xml:space="preserve"> nijesu </w:t>
      </w:r>
      <w:r w:rsidRPr="002041DF">
        <w:rPr>
          <w:sz w:val="22"/>
          <w:szCs w:val="22"/>
          <w:lang w:val="sr-Latn-ME"/>
        </w:rPr>
        <w:t xml:space="preserve">ukazala na direktna ili indirektna štetna dejstva na trudnoću, razvoj embriona/fetusa, </w:t>
      </w:r>
      <w:r w:rsidR="00057787" w:rsidRPr="002041DF">
        <w:rPr>
          <w:sz w:val="22"/>
          <w:szCs w:val="22"/>
          <w:lang w:val="sr-Latn-ME"/>
        </w:rPr>
        <w:t>rađanje</w:t>
      </w:r>
      <w:r w:rsidRPr="002041DF">
        <w:rPr>
          <w:sz w:val="22"/>
          <w:szCs w:val="22"/>
          <w:lang w:val="sr-Latn-ME"/>
        </w:rPr>
        <w:t xml:space="preserve"> ili postnatalni razvoj (</w:t>
      </w:r>
      <w:r w:rsidR="006779EA" w:rsidRPr="002041DF">
        <w:rPr>
          <w:sz w:val="22"/>
          <w:szCs w:val="22"/>
          <w:lang w:val="sr-Latn-ME"/>
        </w:rPr>
        <w:t>vidjeti</w:t>
      </w:r>
      <w:r w:rsidRPr="002041DF">
        <w:rPr>
          <w:sz w:val="22"/>
          <w:szCs w:val="22"/>
          <w:lang w:val="sr-Latn-ME"/>
        </w:rPr>
        <w:t xml:space="preserve"> </w:t>
      </w:r>
      <w:r w:rsidR="00292E06" w:rsidRPr="002041DF">
        <w:rPr>
          <w:sz w:val="22"/>
          <w:szCs w:val="22"/>
          <w:lang w:val="sr-Latn-ME"/>
        </w:rPr>
        <w:t>dio</w:t>
      </w:r>
      <w:r w:rsidRPr="002041DF">
        <w:rPr>
          <w:sz w:val="22"/>
          <w:szCs w:val="22"/>
          <w:lang w:val="sr-Latn-ME"/>
        </w:rPr>
        <w:t xml:space="preserve"> 5.3.). </w:t>
      </w:r>
    </w:p>
    <w:p w14:paraId="2ECA894A" w14:textId="77777777" w:rsidR="006D2C31" w:rsidRPr="002041DF" w:rsidRDefault="006D2C31" w:rsidP="002041DF">
      <w:pPr>
        <w:pStyle w:val="Header"/>
        <w:widowControl w:val="0"/>
        <w:tabs>
          <w:tab w:val="left" w:pos="284"/>
        </w:tabs>
        <w:jc w:val="both"/>
        <w:rPr>
          <w:sz w:val="22"/>
          <w:szCs w:val="22"/>
          <w:lang w:val="sr-Latn-ME"/>
        </w:rPr>
      </w:pPr>
    </w:p>
    <w:p w14:paraId="7E2E102E" w14:textId="2CFDE7A9" w:rsidR="00623D38" w:rsidRPr="002041DF" w:rsidRDefault="006D2C31" w:rsidP="002041DF">
      <w:pPr>
        <w:pStyle w:val="Header"/>
        <w:widowControl w:val="0"/>
        <w:tabs>
          <w:tab w:val="left" w:pos="284"/>
        </w:tabs>
        <w:jc w:val="both"/>
        <w:rPr>
          <w:sz w:val="22"/>
          <w:szCs w:val="22"/>
          <w:lang w:val="sr-Latn-ME"/>
        </w:rPr>
      </w:pPr>
      <w:r w:rsidRPr="002041DF">
        <w:rPr>
          <w:sz w:val="22"/>
          <w:szCs w:val="22"/>
          <w:lang w:val="sr-Latn-ME"/>
        </w:rPr>
        <w:t xml:space="preserve">Međutim, dostupno kliničko iskustvo je ograničeno. </w:t>
      </w:r>
      <w:r w:rsidR="00623D38" w:rsidRPr="002041DF">
        <w:rPr>
          <w:sz w:val="22"/>
          <w:szCs w:val="22"/>
          <w:lang w:val="sr-Latn-ME"/>
        </w:rPr>
        <w:t>Kao m</w:t>
      </w:r>
      <w:r w:rsidR="00612866" w:rsidRPr="002041DF">
        <w:rPr>
          <w:sz w:val="22"/>
          <w:szCs w:val="22"/>
          <w:lang w:val="sr-Latn-ME"/>
        </w:rPr>
        <w:t>j</w:t>
      </w:r>
      <w:r w:rsidR="00623D38" w:rsidRPr="002041DF">
        <w:rPr>
          <w:sz w:val="22"/>
          <w:szCs w:val="22"/>
          <w:lang w:val="sr-Latn-ME"/>
        </w:rPr>
        <w:t>era predostrožnosti, sav</w:t>
      </w:r>
      <w:r w:rsidR="00612866" w:rsidRPr="002041DF">
        <w:rPr>
          <w:sz w:val="22"/>
          <w:szCs w:val="22"/>
          <w:lang w:val="sr-Latn-ME"/>
        </w:rPr>
        <w:t>j</w:t>
      </w:r>
      <w:r w:rsidR="00623D38" w:rsidRPr="002041DF">
        <w:rPr>
          <w:sz w:val="22"/>
          <w:szCs w:val="22"/>
          <w:lang w:val="sr-Latn-ME"/>
        </w:rPr>
        <w:t>etuje se izb</w:t>
      </w:r>
      <w:r w:rsidR="00612866" w:rsidRPr="002041DF">
        <w:rPr>
          <w:sz w:val="22"/>
          <w:szCs w:val="22"/>
          <w:lang w:val="sr-Latn-ME"/>
        </w:rPr>
        <w:t>j</w:t>
      </w:r>
      <w:r w:rsidR="00623D38" w:rsidRPr="002041DF">
        <w:rPr>
          <w:sz w:val="22"/>
          <w:szCs w:val="22"/>
          <w:lang w:val="sr-Latn-ME"/>
        </w:rPr>
        <w:t>egavanje prim</w:t>
      </w:r>
      <w:r w:rsidR="00612866" w:rsidRPr="002041DF">
        <w:rPr>
          <w:sz w:val="22"/>
          <w:szCs w:val="22"/>
          <w:lang w:val="sr-Latn-ME"/>
        </w:rPr>
        <w:t>j</w:t>
      </w:r>
      <w:r w:rsidR="00623D38" w:rsidRPr="002041DF">
        <w:rPr>
          <w:sz w:val="22"/>
          <w:szCs w:val="22"/>
          <w:lang w:val="sr-Latn-ME"/>
        </w:rPr>
        <w:t>ene</w:t>
      </w:r>
      <w:r w:rsidR="00A35D07" w:rsidRPr="002041DF">
        <w:rPr>
          <w:sz w:val="22"/>
          <w:szCs w:val="22"/>
          <w:lang w:val="sr-Latn-ME"/>
        </w:rPr>
        <w:t xml:space="preserve"> lijeka </w:t>
      </w:r>
      <w:r w:rsidR="00623D38" w:rsidRPr="002041DF">
        <w:rPr>
          <w:sz w:val="22"/>
          <w:szCs w:val="22"/>
          <w:lang w:val="sr-Latn-ME"/>
        </w:rPr>
        <w:t xml:space="preserve">Stelara tokom perioda trudnoće. </w:t>
      </w:r>
    </w:p>
    <w:p w14:paraId="482FBCC8" w14:textId="1E946304" w:rsidR="00623D38" w:rsidRPr="002041DF" w:rsidRDefault="00623D38" w:rsidP="002041DF">
      <w:pPr>
        <w:pStyle w:val="Header"/>
        <w:widowControl w:val="0"/>
        <w:tabs>
          <w:tab w:val="left" w:pos="284"/>
        </w:tabs>
        <w:jc w:val="both"/>
        <w:rPr>
          <w:sz w:val="22"/>
          <w:szCs w:val="22"/>
          <w:u w:val="single"/>
          <w:lang w:val="sr-Latn-ME"/>
        </w:rPr>
      </w:pPr>
    </w:p>
    <w:p w14:paraId="1FEA33E0" w14:textId="553DFA00" w:rsidR="00D73A0F" w:rsidRPr="002041DF" w:rsidRDefault="00D73A0F" w:rsidP="002041DF">
      <w:pPr>
        <w:pStyle w:val="Header"/>
        <w:widowControl w:val="0"/>
        <w:tabs>
          <w:tab w:val="left" w:pos="284"/>
        </w:tabs>
        <w:jc w:val="both"/>
        <w:rPr>
          <w:sz w:val="22"/>
          <w:szCs w:val="22"/>
          <w:lang w:val="sr-Latn-ME"/>
        </w:rPr>
      </w:pPr>
      <w:r w:rsidRPr="002041DF">
        <w:rPr>
          <w:sz w:val="22"/>
          <w:szCs w:val="22"/>
          <w:lang w:val="sr-Latn-ME"/>
        </w:rPr>
        <w:t xml:space="preserve">Ustekinumab prolazi kroz placentu i otkriven je u serumu odojčadi pacijentkinja </w:t>
      </w:r>
      <w:r w:rsidR="00891C9B" w:rsidRPr="002041DF">
        <w:rPr>
          <w:sz w:val="22"/>
          <w:szCs w:val="22"/>
          <w:lang w:val="sr-Latn-ME"/>
        </w:rPr>
        <w:t>liječen</w:t>
      </w:r>
      <w:r w:rsidRPr="002041DF">
        <w:rPr>
          <w:sz w:val="22"/>
          <w:szCs w:val="22"/>
          <w:lang w:val="sr-Latn-ME"/>
        </w:rPr>
        <w:t xml:space="preserve">ih ustekinumabom tokom trudnoće. Klinički uticaj ovoga nije poznat, međutim, rizik od infekcije kod odojčadi izloženih ustekinumabu </w:t>
      </w:r>
      <w:r w:rsidRPr="002041DF">
        <w:rPr>
          <w:i/>
          <w:iCs/>
          <w:sz w:val="22"/>
          <w:szCs w:val="22"/>
          <w:lang w:val="sr-Latn-ME"/>
        </w:rPr>
        <w:t>in utero</w:t>
      </w:r>
      <w:r w:rsidRPr="002041DF">
        <w:rPr>
          <w:sz w:val="22"/>
          <w:szCs w:val="22"/>
          <w:lang w:val="sr-Latn-ME"/>
        </w:rPr>
        <w:t xml:space="preserve"> može biti povećan nakon rođenja. </w:t>
      </w:r>
    </w:p>
    <w:p w14:paraId="76D4ED7E" w14:textId="05B1A995" w:rsidR="00D73A0F" w:rsidRPr="002041DF" w:rsidRDefault="00D73A0F" w:rsidP="002041DF">
      <w:pPr>
        <w:pStyle w:val="Header"/>
        <w:widowControl w:val="0"/>
        <w:tabs>
          <w:tab w:val="left" w:pos="284"/>
        </w:tabs>
        <w:jc w:val="both"/>
        <w:rPr>
          <w:sz w:val="22"/>
          <w:szCs w:val="22"/>
          <w:lang w:val="sr-Latn-ME"/>
        </w:rPr>
      </w:pPr>
      <w:r w:rsidRPr="002041DF">
        <w:rPr>
          <w:sz w:val="22"/>
          <w:szCs w:val="22"/>
          <w:lang w:val="sr-Latn-ME"/>
        </w:rPr>
        <w:t>Prim</w:t>
      </w:r>
      <w:r w:rsidR="00612866" w:rsidRPr="002041DF">
        <w:rPr>
          <w:sz w:val="22"/>
          <w:szCs w:val="22"/>
          <w:lang w:val="sr-Latn-ME"/>
        </w:rPr>
        <w:t>j</w:t>
      </w:r>
      <w:r w:rsidRPr="002041DF">
        <w:rPr>
          <w:sz w:val="22"/>
          <w:szCs w:val="22"/>
          <w:lang w:val="sr-Latn-ME"/>
        </w:rPr>
        <w:t xml:space="preserve">ena živih vakcina (kao što je BCG vakcina) kod odojčadi koja su bila izložena ustekinumabu </w:t>
      </w:r>
      <w:r w:rsidRPr="002041DF">
        <w:rPr>
          <w:i/>
          <w:iCs/>
          <w:sz w:val="22"/>
          <w:szCs w:val="22"/>
          <w:lang w:val="sr-Latn-ME"/>
        </w:rPr>
        <w:t>in utero</w:t>
      </w:r>
      <w:r w:rsidRPr="002041DF">
        <w:rPr>
          <w:sz w:val="22"/>
          <w:szCs w:val="22"/>
          <w:lang w:val="sr-Latn-ME"/>
        </w:rPr>
        <w:t xml:space="preserve">, se ne preporučuje </w:t>
      </w:r>
      <w:r w:rsidR="00B858EA" w:rsidRPr="002041DF">
        <w:rPr>
          <w:sz w:val="22"/>
          <w:lang w:val="sr-Latn-ME"/>
        </w:rPr>
        <w:t>dvanaest</w:t>
      </w:r>
      <w:r w:rsidR="00612866" w:rsidRPr="002041DF">
        <w:rPr>
          <w:sz w:val="22"/>
          <w:szCs w:val="22"/>
          <w:lang w:val="sr-Latn-ME"/>
        </w:rPr>
        <w:t xml:space="preserve"> mjeseci </w:t>
      </w:r>
      <w:r w:rsidRPr="002041DF">
        <w:rPr>
          <w:sz w:val="22"/>
          <w:szCs w:val="22"/>
          <w:lang w:val="sr-Latn-ME"/>
        </w:rPr>
        <w:t>nakon rođenja ili dok se nivoi ustekinumaba u serumu odojčadi ne mogu detektovati (</w:t>
      </w:r>
      <w:r w:rsidR="006779EA" w:rsidRPr="002041DF">
        <w:rPr>
          <w:sz w:val="22"/>
          <w:szCs w:val="22"/>
          <w:lang w:val="sr-Latn-ME"/>
        </w:rPr>
        <w:t>vidjeti</w:t>
      </w:r>
      <w:r w:rsidRPr="002041DF">
        <w:rPr>
          <w:sz w:val="22"/>
          <w:szCs w:val="22"/>
          <w:lang w:val="sr-Latn-ME"/>
        </w:rPr>
        <w:t xml:space="preserve"> </w:t>
      </w:r>
      <w:r w:rsidR="00905218" w:rsidRPr="002041DF">
        <w:rPr>
          <w:sz w:val="22"/>
          <w:szCs w:val="22"/>
          <w:lang w:val="sr-Latn-ME"/>
        </w:rPr>
        <w:t xml:space="preserve">djelove </w:t>
      </w:r>
      <w:r w:rsidRPr="002041DF">
        <w:rPr>
          <w:sz w:val="22"/>
          <w:szCs w:val="22"/>
          <w:lang w:val="sr-Latn-ME"/>
        </w:rPr>
        <w:t>4.4 i 4.5). Ako postoji jasna klinička korist za pojedinačno odojče, može se razmotriti</w:t>
      </w:r>
      <w:r w:rsidR="00A35D07" w:rsidRPr="002041DF">
        <w:rPr>
          <w:sz w:val="22"/>
          <w:szCs w:val="22"/>
          <w:lang w:val="sr-Latn-ME"/>
        </w:rPr>
        <w:t xml:space="preserve"> prim</w:t>
      </w:r>
      <w:r w:rsidR="00612866" w:rsidRPr="002041DF">
        <w:rPr>
          <w:sz w:val="22"/>
          <w:szCs w:val="22"/>
          <w:lang w:val="sr-Latn-ME"/>
        </w:rPr>
        <w:t>j</w:t>
      </w:r>
      <w:r w:rsidR="00A35D07" w:rsidRPr="002041DF">
        <w:rPr>
          <w:sz w:val="22"/>
          <w:szCs w:val="22"/>
          <w:lang w:val="sr-Latn-ME"/>
        </w:rPr>
        <w:t xml:space="preserve">ena </w:t>
      </w:r>
      <w:r w:rsidRPr="002041DF">
        <w:rPr>
          <w:sz w:val="22"/>
          <w:szCs w:val="22"/>
          <w:lang w:val="sr-Latn-ME"/>
        </w:rPr>
        <w:t>žive vakcine u ranijem trenutku, ako se nivoi ustekinumaba u serumu odojčadi ne mogu detektovati.</w:t>
      </w:r>
    </w:p>
    <w:p w14:paraId="3DA7608D" w14:textId="77777777" w:rsidR="00D73A0F" w:rsidRPr="002041DF" w:rsidRDefault="00D73A0F" w:rsidP="002041DF">
      <w:pPr>
        <w:pStyle w:val="Header"/>
        <w:widowControl w:val="0"/>
        <w:tabs>
          <w:tab w:val="left" w:pos="284"/>
        </w:tabs>
        <w:jc w:val="both"/>
        <w:rPr>
          <w:sz w:val="22"/>
          <w:szCs w:val="22"/>
          <w:u w:val="single"/>
          <w:lang w:val="sr-Latn-ME"/>
        </w:rPr>
      </w:pPr>
    </w:p>
    <w:p w14:paraId="6A6A1919" w14:textId="77777777" w:rsidR="00623D38" w:rsidRPr="002041DF" w:rsidRDefault="00623D38" w:rsidP="002041DF">
      <w:pPr>
        <w:pStyle w:val="Header"/>
        <w:widowControl w:val="0"/>
        <w:tabs>
          <w:tab w:val="left" w:pos="284"/>
        </w:tabs>
        <w:jc w:val="both"/>
        <w:rPr>
          <w:sz w:val="22"/>
          <w:szCs w:val="22"/>
          <w:lang w:val="sr-Latn-ME"/>
        </w:rPr>
      </w:pPr>
      <w:r w:rsidRPr="002041DF">
        <w:rPr>
          <w:sz w:val="22"/>
          <w:szCs w:val="22"/>
          <w:u w:val="single"/>
          <w:lang w:val="sr-Latn-ME"/>
        </w:rPr>
        <w:t>Dojenje</w:t>
      </w:r>
    </w:p>
    <w:p w14:paraId="0351C920" w14:textId="5282DC97" w:rsidR="00623D38" w:rsidRPr="002041DF" w:rsidRDefault="00452B4D" w:rsidP="002041DF">
      <w:pPr>
        <w:pStyle w:val="Header"/>
        <w:widowControl w:val="0"/>
        <w:tabs>
          <w:tab w:val="left" w:pos="284"/>
        </w:tabs>
        <w:jc w:val="both"/>
        <w:rPr>
          <w:sz w:val="22"/>
          <w:szCs w:val="22"/>
          <w:lang w:val="sr-Latn-ME"/>
        </w:rPr>
      </w:pPr>
      <w:r w:rsidRPr="002041DF">
        <w:rPr>
          <w:sz w:val="22"/>
          <w:szCs w:val="22"/>
          <w:lang w:val="sr-Latn-ME"/>
        </w:rPr>
        <w:t>Ograničeni podaci iz objavljene literature ukazuju da se ustekinumab izlučuje u humano ml</w:t>
      </w:r>
      <w:r w:rsidR="00612866" w:rsidRPr="002041DF">
        <w:rPr>
          <w:sz w:val="22"/>
          <w:szCs w:val="22"/>
          <w:lang w:val="sr-Latn-ME"/>
        </w:rPr>
        <w:t>ij</w:t>
      </w:r>
      <w:r w:rsidRPr="002041DF">
        <w:rPr>
          <w:sz w:val="22"/>
          <w:szCs w:val="22"/>
          <w:lang w:val="sr-Latn-ME"/>
        </w:rPr>
        <w:t xml:space="preserve">eko u veoma malim količinama. </w:t>
      </w:r>
      <w:r w:rsidR="00623D38" w:rsidRPr="002041DF">
        <w:rPr>
          <w:sz w:val="22"/>
          <w:szCs w:val="22"/>
          <w:lang w:val="sr-Latn-ME"/>
        </w:rPr>
        <w:t xml:space="preserve">Nije poznato da li se ustekinumab sistemski resorbuje nakon ingestije. Zbog mogućih neželjenih dejstava ustekinumaba koja se mogu javiti kod odojčeta, odluka o prestanku dojenja tokom </w:t>
      </w:r>
      <w:r w:rsidR="00891C9B" w:rsidRPr="002041DF">
        <w:rPr>
          <w:sz w:val="22"/>
          <w:szCs w:val="22"/>
          <w:lang w:val="sr-Latn-ME"/>
        </w:rPr>
        <w:t>liječen</w:t>
      </w:r>
      <w:r w:rsidR="00623D38" w:rsidRPr="002041DF">
        <w:rPr>
          <w:sz w:val="22"/>
          <w:szCs w:val="22"/>
          <w:lang w:val="sr-Latn-ME"/>
        </w:rPr>
        <w:t xml:space="preserve">ja i nakon 15 </w:t>
      </w:r>
      <w:r w:rsidR="004372C4" w:rsidRPr="002041DF">
        <w:rPr>
          <w:sz w:val="22"/>
          <w:szCs w:val="22"/>
          <w:lang w:val="sr-Latn-ME"/>
        </w:rPr>
        <w:t>nedjelja</w:t>
      </w:r>
      <w:r w:rsidR="00623D38" w:rsidRPr="002041DF">
        <w:rPr>
          <w:sz w:val="22"/>
          <w:szCs w:val="22"/>
          <w:lang w:val="sr-Latn-ME"/>
        </w:rPr>
        <w:t xml:space="preserve"> od prestanka terapije ovim l</w:t>
      </w:r>
      <w:r w:rsidR="00612866" w:rsidRPr="002041DF">
        <w:rPr>
          <w:sz w:val="22"/>
          <w:szCs w:val="22"/>
          <w:lang w:val="sr-Latn-ME"/>
        </w:rPr>
        <w:t>ij</w:t>
      </w:r>
      <w:r w:rsidR="00623D38" w:rsidRPr="002041DF">
        <w:rPr>
          <w:sz w:val="22"/>
          <w:szCs w:val="22"/>
          <w:lang w:val="sr-Latn-ME"/>
        </w:rPr>
        <w:t>ekom, odnosno prestanka prim</w:t>
      </w:r>
      <w:r w:rsidR="00612866" w:rsidRPr="002041DF">
        <w:rPr>
          <w:sz w:val="22"/>
          <w:szCs w:val="22"/>
          <w:lang w:val="sr-Latn-ME"/>
        </w:rPr>
        <w:t>j</w:t>
      </w:r>
      <w:r w:rsidR="00623D38" w:rsidRPr="002041DF">
        <w:rPr>
          <w:sz w:val="22"/>
          <w:szCs w:val="22"/>
          <w:lang w:val="sr-Latn-ME"/>
        </w:rPr>
        <w:t>ene</w:t>
      </w:r>
      <w:r w:rsidR="00A35D07" w:rsidRPr="002041DF">
        <w:rPr>
          <w:sz w:val="22"/>
          <w:szCs w:val="22"/>
          <w:lang w:val="sr-Latn-ME"/>
        </w:rPr>
        <w:t xml:space="preserve"> lijeka </w:t>
      </w:r>
      <w:r w:rsidR="00623D38" w:rsidRPr="002041DF">
        <w:rPr>
          <w:sz w:val="22"/>
          <w:szCs w:val="22"/>
          <w:lang w:val="sr-Latn-ME"/>
        </w:rPr>
        <w:t>Stelara tokom dojenja, se mora don</w:t>
      </w:r>
      <w:r w:rsidR="00612866" w:rsidRPr="002041DF">
        <w:rPr>
          <w:sz w:val="22"/>
          <w:szCs w:val="22"/>
          <w:lang w:val="sr-Latn-ME"/>
        </w:rPr>
        <w:t>ij</w:t>
      </w:r>
      <w:r w:rsidR="00623D38" w:rsidRPr="002041DF">
        <w:rPr>
          <w:sz w:val="22"/>
          <w:szCs w:val="22"/>
          <w:lang w:val="sr-Latn-ME"/>
        </w:rPr>
        <w:t>eti nakon proc</w:t>
      </w:r>
      <w:r w:rsidR="00612866" w:rsidRPr="002041DF">
        <w:rPr>
          <w:sz w:val="22"/>
          <w:szCs w:val="22"/>
          <w:lang w:val="sr-Latn-ME"/>
        </w:rPr>
        <w:t>j</w:t>
      </w:r>
      <w:r w:rsidR="00623D38" w:rsidRPr="002041DF">
        <w:rPr>
          <w:sz w:val="22"/>
          <w:szCs w:val="22"/>
          <w:lang w:val="sr-Latn-ME"/>
        </w:rPr>
        <w:t>ene koristi dojenja za novorođenče i koristi od terapije</w:t>
      </w:r>
      <w:r w:rsidR="00891C9B" w:rsidRPr="002041DF">
        <w:rPr>
          <w:sz w:val="22"/>
          <w:szCs w:val="22"/>
          <w:lang w:val="sr-Latn-ME"/>
        </w:rPr>
        <w:t xml:space="preserve"> lijekom </w:t>
      </w:r>
      <w:r w:rsidR="00623D38" w:rsidRPr="002041DF">
        <w:rPr>
          <w:sz w:val="22"/>
          <w:szCs w:val="22"/>
          <w:lang w:val="sr-Latn-ME"/>
        </w:rPr>
        <w:t xml:space="preserve">Stelara za </w:t>
      </w:r>
      <w:r w:rsidR="00057787" w:rsidRPr="002041DF">
        <w:rPr>
          <w:sz w:val="22"/>
          <w:szCs w:val="22"/>
          <w:lang w:val="sr-Latn-ME"/>
        </w:rPr>
        <w:t>ženu koja doji</w:t>
      </w:r>
      <w:r w:rsidR="00623D38" w:rsidRPr="002041DF">
        <w:rPr>
          <w:sz w:val="22"/>
          <w:szCs w:val="22"/>
          <w:lang w:val="sr-Latn-ME"/>
        </w:rPr>
        <w:t>.</w:t>
      </w:r>
    </w:p>
    <w:p w14:paraId="739D7975" w14:textId="77777777" w:rsidR="00623D38" w:rsidRPr="002041DF" w:rsidRDefault="00623D38" w:rsidP="002041DF">
      <w:pPr>
        <w:pStyle w:val="Header"/>
        <w:widowControl w:val="0"/>
        <w:tabs>
          <w:tab w:val="left" w:pos="284"/>
        </w:tabs>
        <w:jc w:val="both"/>
        <w:rPr>
          <w:sz w:val="22"/>
          <w:szCs w:val="22"/>
          <w:lang w:val="sr-Latn-ME"/>
        </w:rPr>
      </w:pPr>
    </w:p>
    <w:p w14:paraId="7B497D7B" w14:textId="77777777" w:rsidR="00623D38" w:rsidRPr="002041DF" w:rsidRDefault="00057787" w:rsidP="002041DF">
      <w:pPr>
        <w:pStyle w:val="Header"/>
        <w:widowControl w:val="0"/>
        <w:tabs>
          <w:tab w:val="left" w:pos="284"/>
        </w:tabs>
        <w:jc w:val="both"/>
        <w:rPr>
          <w:sz w:val="22"/>
          <w:szCs w:val="22"/>
          <w:u w:val="single"/>
          <w:lang w:val="sr-Latn-ME"/>
        </w:rPr>
      </w:pPr>
      <w:r w:rsidRPr="002041DF">
        <w:rPr>
          <w:sz w:val="22"/>
          <w:szCs w:val="22"/>
          <w:u w:val="single"/>
          <w:lang w:val="sr-Latn-ME"/>
        </w:rPr>
        <w:t>Plodnost</w:t>
      </w:r>
    </w:p>
    <w:p w14:paraId="4D5FD1E4" w14:textId="2C619B42" w:rsidR="00623D38" w:rsidRPr="002041DF" w:rsidRDefault="00623D38" w:rsidP="002041DF">
      <w:pPr>
        <w:pStyle w:val="Header"/>
        <w:widowControl w:val="0"/>
        <w:tabs>
          <w:tab w:val="left" w:pos="284"/>
        </w:tabs>
        <w:jc w:val="both"/>
        <w:rPr>
          <w:sz w:val="22"/>
          <w:szCs w:val="22"/>
          <w:lang w:val="sr-Latn-ME"/>
        </w:rPr>
      </w:pPr>
      <w:r w:rsidRPr="002041DF">
        <w:rPr>
          <w:sz w:val="22"/>
          <w:szCs w:val="22"/>
          <w:lang w:val="sr-Latn-ME"/>
        </w:rPr>
        <w:t>Efekat ustekinumaba na fertilitet kod ljudi nije ispitivan. (</w:t>
      </w:r>
      <w:r w:rsidR="006779EA" w:rsidRPr="002041DF">
        <w:rPr>
          <w:sz w:val="22"/>
          <w:szCs w:val="22"/>
          <w:lang w:val="sr-Latn-ME"/>
        </w:rPr>
        <w:t>vidjeti</w:t>
      </w:r>
      <w:r w:rsidRPr="002041DF">
        <w:rPr>
          <w:sz w:val="22"/>
          <w:szCs w:val="22"/>
          <w:lang w:val="sr-Latn-ME"/>
        </w:rPr>
        <w:t xml:space="preserve"> </w:t>
      </w:r>
      <w:r w:rsidR="00292E06" w:rsidRPr="002041DF">
        <w:rPr>
          <w:sz w:val="22"/>
          <w:szCs w:val="22"/>
          <w:lang w:val="sr-Latn-ME"/>
        </w:rPr>
        <w:t>dio</w:t>
      </w:r>
      <w:r w:rsidRPr="002041DF">
        <w:rPr>
          <w:sz w:val="22"/>
          <w:szCs w:val="22"/>
          <w:lang w:val="sr-Latn-ME"/>
        </w:rPr>
        <w:t xml:space="preserve"> 5.3).</w:t>
      </w:r>
    </w:p>
    <w:p w14:paraId="7003FB8E" w14:textId="77777777" w:rsidR="00623D38" w:rsidRPr="002041DF" w:rsidRDefault="00623D38" w:rsidP="002041DF">
      <w:pPr>
        <w:widowControl w:val="0"/>
        <w:jc w:val="both"/>
        <w:rPr>
          <w:sz w:val="22"/>
          <w:szCs w:val="22"/>
          <w:lang w:val="sr-Latn-ME"/>
        </w:rPr>
      </w:pPr>
    </w:p>
    <w:p w14:paraId="750018F1" w14:textId="77777777" w:rsidR="00921FA2" w:rsidRPr="002041DF" w:rsidRDefault="00921FA2" w:rsidP="002041DF">
      <w:pPr>
        <w:widowControl w:val="0"/>
        <w:tabs>
          <w:tab w:val="left" w:pos="540"/>
          <w:tab w:val="left" w:pos="569"/>
        </w:tabs>
        <w:jc w:val="both"/>
        <w:rPr>
          <w:b/>
          <w:bCs/>
          <w:sz w:val="22"/>
          <w:szCs w:val="22"/>
          <w:lang w:val="sr-Latn-ME"/>
        </w:rPr>
      </w:pPr>
      <w:r w:rsidRPr="002041DF">
        <w:rPr>
          <w:b/>
          <w:bCs/>
          <w:sz w:val="22"/>
          <w:szCs w:val="22"/>
          <w:lang w:val="sr-Latn-ME"/>
        </w:rPr>
        <w:t xml:space="preserve">4.7. </w:t>
      </w:r>
      <w:r w:rsidRPr="002041DF">
        <w:rPr>
          <w:b/>
          <w:bCs/>
          <w:sz w:val="22"/>
          <w:szCs w:val="22"/>
          <w:lang w:val="sr-Latn-ME"/>
        </w:rPr>
        <w:tab/>
        <w:t>Uticaj na sposobnost upravljanja vozilima i rukovanje mašinama</w:t>
      </w:r>
    </w:p>
    <w:p w14:paraId="025EA673" w14:textId="77777777" w:rsidR="00623D38" w:rsidRPr="002041DF" w:rsidRDefault="00623D38" w:rsidP="002041DF">
      <w:pPr>
        <w:widowControl w:val="0"/>
        <w:jc w:val="both"/>
        <w:rPr>
          <w:sz w:val="22"/>
          <w:szCs w:val="22"/>
          <w:lang w:val="sr-Latn-ME"/>
        </w:rPr>
      </w:pPr>
    </w:p>
    <w:p w14:paraId="042448CC" w14:textId="46CC60D1" w:rsidR="00623D38" w:rsidRPr="002041DF" w:rsidRDefault="00C23E53" w:rsidP="002041DF">
      <w:pPr>
        <w:widowControl w:val="0"/>
        <w:jc w:val="both"/>
        <w:rPr>
          <w:sz w:val="22"/>
          <w:szCs w:val="22"/>
          <w:lang w:val="sr-Latn-ME"/>
        </w:rPr>
      </w:pPr>
      <w:r w:rsidRPr="002041DF">
        <w:rPr>
          <w:sz w:val="22"/>
          <w:szCs w:val="22"/>
          <w:lang w:val="sr-Latn-ME"/>
        </w:rPr>
        <w:t xml:space="preserve">Lijek Stelara </w:t>
      </w:r>
      <w:r w:rsidR="008F159D" w:rsidRPr="002041DF">
        <w:rPr>
          <w:sz w:val="22"/>
          <w:szCs w:val="22"/>
          <w:lang w:val="sr-Latn-ME"/>
        </w:rPr>
        <w:t>ne utiče ili zanemarljivo utiče na sposobnost upravljanja motornim vozilima i rukovanja mašinama.</w:t>
      </w:r>
    </w:p>
    <w:p w14:paraId="7F09645E" w14:textId="77777777" w:rsidR="00407AAC" w:rsidRPr="002041DF" w:rsidRDefault="00407AAC" w:rsidP="002041DF">
      <w:pPr>
        <w:widowControl w:val="0"/>
        <w:jc w:val="both"/>
        <w:rPr>
          <w:b/>
          <w:sz w:val="22"/>
          <w:szCs w:val="22"/>
          <w:lang w:val="sr-Latn-ME"/>
        </w:rPr>
      </w:pPr>
    </w:p>
    <w:p w14:paraId="39F90614" w14:textId="77777777" w:rsidR="00921FA2" w:rsidRPr="002041DF" w:rsidRDefault="00921FA2" w:rsidP="002041DF">
      <w:pPr>
        <w:widowControl w:val="0"/>
        <w:tabs>
          <w:tab w:val="left" w:pos="540"/>
          <w:tab w:val="left" w:pos="569"/>
        </w:tabs>
        <w:jc w:val="both"/>
        <w:rPr>
          <w:b/>
          <w:bCs/>
          <w:sz w:val="22"/>
          <w:szCs w:val="22"/>
          <w:lang w:val="sr-Latn-ME"/>
        </w:rPr>
      </w:pPr>
      <w:r w:rsidRPr="002041DF">
        <w:rPr>
          <w:b/>
          <w:bCs/>
          <w:sz w:val="22"/>
          <w:szCs w:val="22"/>
          <w:lang w:val="sr-Latn-ME"/>
        </w:rPr>
        <w:t xml:space="preserve">4.8. </w:t>
      </w:r>
      <w:r w:rsidRPr="002041DF">
        <w:rPr>
          <w:b/>
          <w:bCs/>
          <w:sz w:val="22"/>
          <w:szCs w:val="22"/>
          <w:lang w:val="sr-Latn-ME"/>
        </w:rPr>
        <w:tab/>
        <w:t>Neželjena dejstva</w:t>
      </w:r>
    </w:p>
    <w:p w14:paraId="42AA9188" w14:textId="77777777" w:rsidR="00623D38" w:rsidRPr="002041DF" w:rsidRDefault="00623D38" w:rsidP="002041DF">
      <w:pPr>
        <w:widowControl w:val="0"/>
        <w:jc w:val="both"/>
        <w:rPr>
          <w:sz w:val="22"/>
          <w:szCs w:val="22"/>
          <w:lang w:val="sr-Latn-ME"/>
        </w:rPr>
      </w:pPr>
      <w:bookmarkStart w:id="15" w:name="OLE_LINK3"/>
    </w:p>
    <w:p w14:paraId="249DE194" w14:textId="25859652" w:rsidR="00F9201E" w:rsidRPr="002041DF" w:rsidRDefault="00F9201E" w:rsidP="002041DF">
      <w:pPr>
        <w:pStyle w:val="Header"/>
        <w:widowControl w:val="0"/>
        <w:tabs>
          <w:tab w:val="left" w:pos="284"/>
        </w:tabs>
        <w:jc w:val="both"/>
        <w:rPr>
          <w:sz w:val="22"/>
          <w:szCs w:val="22"/>
          <w:u w:val="single"/>
          <w:lang w:val="sr-Latn-ME"/>
        </w:rPr>
      </w:pPr>
      <w:r w:rsidRPr="002041DF">
        <w:rPr>
          <w:sz w:val="22"/>
          <w:szCs w:val="22"/>
          <w:u w:val="single"/>
          <w:lang w:val="sr-Latn-ME"/>
        </w:rPr>
        <w:lastRenderedPageBreak/>
        <w:t>Sažetak bezb</w:t>
      </w:r>
      <w:r w:rsidR="00612866" w:rsidRPr="002041DF">
        <w:rPr>
          <w:sz w:val="22"/>
          <w:szCs w:val="22"/>
          <w:u w:val="single"/>
          <w:lang w:val="sr-Latn-ME"/>
        </w:rPr>
        <w:t>j</w:t>
      </w:r>
      <w:r w:rsidRPr="002041DF">
        <w:rPr>
          <w:sz w:val="22"/>
          <w:szCs w:val="22"/>
          <w:u w:val="single"/>
          <w:lang w:val="sr-Latn-ME"/>
        </w:rPr>
        <w:t>ednosnog profila</w:t>
      </w:r>
    </w:p>
    <w:p w14:paraId="57E3B611" w14:textId="77777777" w:rsidR="00F9201E" w:rsidRPr="002041DF" w:rsidRDefault="00F9201E" w:rsidP="002041DF">
      <w:pPr>
        <w:pStyle w:val="Header"/>
        <w:widowControl w:val="0"/>
        <w:tabs>
          <w:tab w:val="left" w:pos="284"/>
        </w:tabs>
        <w:jc w:val="both"/>
        <w:rPr>
          <w:sz w:val="22"/>
          <w:szCs w:val="22"/>
          <w:lang w:val="sr-Latn-ME"/>
        </w:rPr>
      </w:pPr>
    </w:p>
    <w:p w14:paraId="55CC9912" w14:textId="0FE909D5" w:rsidR="00F9201E" w:rsidRPr="002041DF" w:rsidRDefault="00F9201E" w:rsidP="002041DF">
      <w:pPr>
        <w:pStyle w:val="Header"/>
        <w:widowControl w:val="0"/>
        <w:tabs>
          <w:tab w:val="left" w:pos="284"/>
        </w:tabs>
        <w:jc w:val="both"/>
        <w:rPr>
          <w:sz w:val="22"/>
          <w:szCs w:val="22"/>
          <w:lang w:val="sr-Latn-ME"/>
        </w:rPr>
      </w:pPr>
      <w:r w:rsidRPr="002041DF">
        <w:rPr>
          <w:sz w:val="22"/>
          <w:szCs w:val="22"/>
          <w:lang w:val="sr-Latn-ME"/>
        </w:rPr>
        <w:t xml:space="preserve">Najčešće </w:t>
      </w:r>
      <w:r w:rsidR="005E100C" w:rsidRPr="002041DF">
        <w:rPr>
          <w:sz w:val="22"/>
          <w:szCs w:val="22"/>
          <w:lang w:val="sr-Latn-ME"/>
        </w:rPr>
        <w:t xml:space="preserve">neželjena dejstva </w:t>
      </w:r>
      <w:r w:rsidRPr="002041DF">
        <w:rPr>
          <w:sz w:val="22"/>
          <w:szCs w:val="22"/>
          <w:lang w:val="sr-Latn-ME"/>
        </w:rPr>
        <w:t>(&gt;5%) u kontrolisanim periodima kliničkih ispitivanja kod odraslih pacijenata sa psorijazom</w:t>
      </w:r>
      <w:r w:rsidR="008F159D" w:rsidRPr="002041DF">
        <w:rPr>
          <w:sz w:val="22"/>
          <w:szCs w:val="22"/>
          <w:lang w:val="sr-Latn-ME"/>
        </w:rPr>
        <w:t xml:space="preserve">, </w:t>
      </w:r>
      <w:r w:rsidRPr="002041DF">
        <w:rPr>
          <w:sz w:val="22"/>
          <w:szCs w:val="22"/>
          <w:lang w:val="sr-Latn-ME"/>
        </w:rPr>
        <w:t>psorijatičnim artritisom</w:t>
      </w:r>
      <w:r w:rsidR="003917C1" w:rsidRPr="002041DF">
        <w:rPr>
          <w:sz w:val="22"/>
          <w:szCs w:val="22"/>
          <w:lang w:val="sr-Latn-ME"/>
        </w:rPr>
        <w:t xml:space="preserve">, </w:t>
      </w:r>
      <w:r w:rsidR="008F159D" w:rsidRPr="002041DF">
        <w:rPr>
          <w:sz w:val="22"/>
          <w:szCs w:val="22"/>
          <w:lang w:val="sr-Latn-ME"/>
        </w:rPr>
        <w:t xml:space="preserve">Kronovom </w:t>
      </w:r>
      <w:r w:rsidR="00C75C1F" w:rsidRPr="002041DF">
        <w:rPr>
          <w:sz w:val="22"/>
          <w:szCs w:val="22"/>
          <w:lang w:val="sr-Latn-ME" w:eastAsia="x-none"/>
        </w:rPr>
        <w:t>bolešću</w:t>
      </w:r>
      <w:r w:rsidR="003917C1" w:rsidRPr="002041DF">
        <w:rPr>
          <w:sz w:val="22"/>
          <w:szCs w:val="22"/>
          <w:lang w:val="sr-Latn-ME"/>
        </w:rPr>
        <w:t xml:space="preserve"> i ulceroznim kolitisom</w:t>
      </w:r>
      <w:r w:rsidRPr="002041DF">
        <w:rPr>
          <w:sz w:val="22"/>
          <w:szCs w:val="22"/>
          <w:lang w:val="sr-Latn-ME"/>
        </w:rPr>
        <w:t xml:space="preserve"> koji su primali ustekinumab su bile nazofaringitis</w:t>
      </w:r>
      <w:r w:rsidR="008F159D" w:rsidRPr="002041DF">
        <w:rPr>
          <w:sz w:val="22"/>
          <w:szCs w:val="22"/>
          <w:lang w:val="sr-Latn-ME"/>
        </w:rPr>
        <w:t xml:space="preserve"> i</w:t>
      </w:r>
      <w:r w:rsidRPr="002041DF">
        <w:rPr>
          <w:sz w:val="22"/>
          <w:szCs w:val="22"/>
          <w:lang w:val="sr-Latn-ME"/>
        </w:rPr>
        <w:t xml:space="preserve"> glavobolja. Većina njih je smatrana za blago neželjeno dejstvo i</w:t>
      </w:r>
      <w:r w:rsidR="00E50471" w:rsidRPr="002041DF">
        <w:rPr>
          <w:sz w:val="22"/>
          <w:szCs w:val="22"/>
          <w:lang w:val="sr-Latn-ME"/>
        </w:rPr>
        <w:t xml:space="preserve"> nijesu </w:t>
      </w:r>
      <w:r w:rsidRPr="002041DF">
        <w:rPr>
          <w:sz w:val="22"/>
          <w:szCs w:val="22"/>
          <w:lang w:val="sr-Latn-ME"/>
        </w:rPr>
        <w:t xml:space="preserve">nužno vodile ka prekidanju terapije u kliničkom ispitivanju. </w:t>
      </w:r>
      <w:r w:rsidR="005E100C" w:rsidRPr="002041DF">
        <w:rPr>
          <w:sz w:val="22"/>
          <w:szCs w:val="22"/>
          <w:lang w:val="sr-Latn-ME"/>
        </w:rPr>
        <w:t>Najozbiljije neželjeno dejstvo</w:t>
      </w:r>
      <w:r w:rsidRPr="002041DF">
        <w:rPr>
          <w:sz w:val="22"/>
          <w:szCs w:val="22"/>
          <w:lang w:val="sr-Latn-ME"/>
        </w:rPr>
        <w:t xml:space="preserve">, </w:t>
      </w:r>
      <w:r w:rsidR="005E100C" w:rsidRPr="002041DF">
        <w:rPr>
          <w:sz w:val="22"/>
          <w:szCs w:val="22"/>
          <w:lang w:val="sr-Latn-ME"/>
        </w:rPr>
        <w:t xml:space="preserve">prijavljeno </w:t>
      </w:r>
      <w:r w:rsidRPr="002041DF">
        <w:rPr>
          <w:sz w:val="22"/>
          <w:szCs w:val="22"/>
          <w:lang w:val="sr-Latn-ME"/>
        </w:rPr>
        <w:t>sa</w:t>
      </w:r>
      <w:r w:rsidR="00891C9B" w:rsidRPr="002041DF">
        <w:rPr>
          <w:sz w:val="22"/>
          <w:szCs w:val="22"/>
          <w:lang w:val="sr-Latn-ME"/>
        </w:rPr>
        <w:t xml:space="preserve"> lijekom </w:t>
      </w:r>
      <w:r w:rsidRPr="002041DF">
        <w:rPr>
          <w:sz w:val="22"/>
          <w:szCs w:val="22"/>
          <w:lang w:val="sr-Latn-ME"/>
        </w:rPr>
        <w:t>Stelara, je bila ozbiljna reakcija pre</w:t>
      </w:r>
      <w:r w:rsidR="00891C9B" w:rsidRPr="002041DF">
        <w:rPr>
          <w:sz w:val="22"/>
          <w:szCs w:val="22"/>
          <w:lang w:val="sr-Latn-ME"/>
        </w:rPr>
        <w:t>osjetljiv</w:t>
      </w:r>
      <w:r w:rsidRPr="002041DF">
        <w:rPr>
          <w:sz w:val="22"/>
          <w:szCs w:val="22"/>
          <w:lang w:val="sr-Latn-ME"/>
        </w:rPr>
        <w:t>osti uključujući anafilaksu (</w:t>
      </w:r>
      <w:r w:rsidR="006779EA" w:rsidRPr="002041DF">
        <w:rPr>
          <w:sz w:val="22"/>
          <w:szCs w:val="22"/>
          <w:lang w:val="sr-Latn-ME"/>
        </w:rPr>
        <w:t>vidjeti</w:t>
      </w:r>
      <w:r w:rsidRPr="002041DF">
        <w:rPr>
          <w:sz w:val="22"/>
          <w:szCs w:val="22"/>
          <w:lang w:val="sr-Latn-ME"/>
        </w:rPr>
        <w:t xml:space="preserve"> </w:t>
      </w:r>
      <w:r w:rsidR="00292E06" w:rsidRPr="002041DF">
        <w:rPr>
          <w:sz w:val="22"/>
          <w:szCs w:val="22"/>
          <w:lang w:val="sr-Latn-ME"/>
        </w:rPr>
        <w:t>dio</w:t>
      </w:r>
      <w:r w:rsidRPr="002041DF">
        <w:rPr>
          <w:sz w:val="22"/>
          <w:szCs w:val="22"/>
          <w:lang w:val="sr-Latn-ME"/>
        </w:rPr>
        <w:t xml:space="preserve"> 4.4).</w:t>
      </w:r>
      <w:r w:rsidR="008F159D" w:rsidRPr="002041DF">
        <w:rPr>
          <w:sz w:val="22"/>
          <w:szCs w:val="22"/>
          <w:lang w:val="sr-Latn-ME"/>
        </w:rPr>
        <w:t xml:space="preserve"> Ukupni bezb</w:t>
      </w:r>
      <w:r w:rsidR="00612866" w:rsidRPr="002041DF">
        <w:rPr>
          <w:sz w:val="22"/>
          <w:szCs w:val="22"/>
          <w:lang w:val="sr-Latn-ME"/>
        </w:rPr>
        <w:t>j</w:t>
      </w:r>
      <w:r w:rsidR="008F159D" w:rsidRPr="002041DF">
        <w:rPr>
          <w:sz w:val="22"/>
          <w:szCs w:val="22"/>
          <w:lang w:val="sr-Latn-ME"/>
        </w:rPr>
        <w:t xml:space="preserve">ednosni profil bio je sličan kod pacijenata sa psorijazom, psorijatičnim artritisom i Kronovom </w:t>
      </w:r>
      <w:r w:rsidR="00207A9A" w:rsidRPr="002041DF">
        <w:rPr>
          <w:sz w:val="22"/>
          <w:szCs w:val="22"/>
          <w:lang w:val="sr-Latn-ME" w:eastAsia="x-none"/>
        </w:rPr>
        <w:t>bolešću</w:t>
      </w:r>
      <w:r w:rsidR="003917C1" w:rsidRPr="002041DF">
        <w:rPr>
          <w:sz w:val="22"/>
          <w:szCs w:val="22"/>
          <w:lang w:val="sr-Latn-ME" w:eastAsia="x-none"/>
        </w:rPr>
        <w:t xml:space="preserve"> i ulceroznim kolitisom</w:t>
      </w:r>
      <w:r w:rsidR="008F159D" w:rsidRPr="002041DF">
        <w:rPr>
          <w:sz w:val="22"/>
          <w:szCs w:val="22"/>
          <w:lang w:val="sr-Latn-ME"/>
        </w:rPr>
        <w:t xml:space="preserve">. </w:t>
      </w:r>
    </w:p>
    <w:p w14:paraId="25191AC9" w14:textId="77777777" w:rsidR="007C3AAF" w:rsidRPr="002041DF" w:rsidRDefault="007C3AAF" w:rsidP="002041DF">
      <w:pPr>
        <w:pStyle w:val="Header"/>
        <w:widowControl w:val="0"/>
        <w:tabs>
          <w:tab w:val="left" w:pos="284"/>
        </w:tabs>
        <w:jc w:val="both"/>
        <w:rPr>
          <w:sz w:val="22"/>
          <w:szCs w:val="22"/>
          <w:u w:val="single"/>
          <w:lang w:val="sr-Latn-ME"/>
        </w:rPr>
      </w:pPr>
    </w:p>
    <w:p w14:paraId="4F25634A" w14:textId="77777777" w:rsidR="00F9201E" w:rsidRPr="002041DF" w:rsidRDefault="00F9201E" w:rsidP="002041DF">
      <w:pPr>
        <w:pStyle w:val="Header"/>
        <w:widowControl w:val="0"/>
        <w:tabs>
          <w:tab w:val="left" w:pos="284"/>
        </w:tabs>
        <w:jc w:val="both"/>
        <w:rPr>
          <w:sz w:val="22"/>
          <w:szCs w:val="22"/>
          <w:u w:val="single"/>
          <w:lang w:val="sr-Latn-ME"/>
        </w:rPr>
      </w:pPr>
      <w:r w:rsidRPr="002041DF">
        <w:rPr>
          <w:sz w:val="22"/>
          <w:szCs w:val="22"/>
          <w:u w:val="single"/>
          <w:lang w:val="sr-Latn-ME"/>
        </w:rPr>
        <w:t>Tabelarni prikaz neželjenih dejstava</w:t>
      </w:r>
    </w:p>
    <w:p w14:paraId="685EF8A7" w14:textId="77777777" w:rsidR="00F9201E" w:rsidRPr="002041DF" w:rsidRDefault="00F9201E" w:rsidP="002041DF">
      <w:pPr>
        <w:pStyle w:val="Header"/>
        <w:widowControl w:val="0"/>
        <w:tabs>
          <w:tab w:val="left" w:pos="284"/>
        </w:tabs>
        <w:jc w:val="both"/>
        <w:rPr>
          <w:sz w:val="22"/>
          <w:szCs w:val="22"/>
          <w:lang w:val="sr-Latn-ME"/>
        </w:rPr>
      </w:pPr>
    </w:p>
    <w:p w14:paraId="1E7618A7" w14:textId="04AEE840" w:rsidR="00F9201E" w:rsidRPr="002041DF" w:rsidRDefault="00F9201E" w:rsidP="002041DF">
      <w:pPr>
        <w:pStyle w:val="Header"/>
        <w:widowControl w:val="0"/>
        <w:tabs>
          <w:tab w:val="clear" w:pos="9406"/>
          <w:tab w:val="left" w:pos="284"/>
          <w:tab w:val="right" w:pos="9360"/>
        </w:tabs>
        <w:jc w:val="both"/>
        <w:rPr>
          <w:sz w:val="22"/>
          <w:szCs w:val="22"/>
          <w:lang w:val="sr-Latn-ME"/>
        </w:rPr>
      </w:pPr>
      <w:r w:rsidRPr="002041DF">
        <w:rPr>
          <w:sz w:val="22"/>
          <w:szCs w:val="22"/>
          <w:lang w:val="sr-Latn-ME"/>
        </w:rPr>
        <w:t>Dol</w:t>
      </w:r>
      <w:r w:rsidR="00612866" w:rsidRPr="002041DF">
        <w:rPr>
          <w:sz w:val="22"/>
          <w:szCs w:val="22"/>
          <w:lang w:val="sr-Latn-ME"/>
        </w:rPr>
        <w:t>j</w:t>
      </w:r>
      <w:r w:rsidRPr="002041DF">
        <w:rPr>
          <w:sz w:val="22"/>
          <w:szCs w:val="22"/>
          <w:lang w:val="sr-Latn-ME"/>
        </w:rPr>
        <w:t>e</w:t>
      </w:r>
      <w:r w:rsidR="008F159D" w:rsidRPr="002041DF">
        <w:rPr>
          <w:sz w:val="22"/>
          <w:szCs w:val="22"/>
          <w:lang w:val="sr-Latn-ME"/>
        </w:rPr>
        <w:t xml:space="preserve"> </w:t>
      </w:r>
      <w:r w:rsidRPr="002041DF">
        <w:rPr>
          <w:sz w:val="22"/>
          <w:szCs w:val="22"/>
          <w:lang w:val="sr-Latn-ME"/>
        </w:rPr>
        <w:t>navedene bezb</w:t>
      </w:r>
      <w:r w:rsidR="00612866" w:rsidRPr="002041DF">
        <w:rPr>
          <w:sz w:val="22"/>
          <w:szCs w:val="22"/>
          <w:lang w:val="sr-Latn-ME"/>
        </w:rPr>
        <w:t>j</w:t>
      </w:r>
      <w:r w:rsidRPr="002041DF">
        <w:rPr>
          <w:sz w:val="22"/>
          <w:szCs w:val="22"/>
          <w:lang w:val="sr-Latn-ME"/>
        </w:rPr>
        <w:t xml:space="preserve">ednosne informacije prikazuju izloženost ustekinumabu u </w:t>
      </w:r>
      <w:r w:rsidR="003917C1" w:rsidRPr="002041DF">
        <w:rPr>
          <w:sz w:val="22"/>
          <w:szCs w:val="22"/>
          <w:lang w:val="sr-Latn-ME"/>
        </w:rPr>
        <w:t xml:space="preserve">14 </w:t>
      </w:r>
      <w:r w:rsidRPr="002041DF">
        <w:rPr>
          <w:sz w:val="22"/>
          <w:szCs w:val="22"/>
          <w:lang w:val="sr-Latn-ME"/>
        </w:rPr>
        <w:t xml:space="preserve">kliničkih ispitivanja </w:t>
      </w:r>
      <w:r w:rsidR="0066297A" w:rsidRPr="002041DF">
        <w:rPr>
          <w:sz w:val="22"/>
          <w:szCs w:val="22"/>
          <w:lang w:val="sr-Latn-ME"/>
        </w:rPr>
        <w:t>F</w:t>
      </w:r>
      <w:r w:rsidRPr="002041DF">
        <w:rPr>
          <w:sz w:val="22"/>
          <w:szCs w:val="22"/>
          <w:lang w:val="sr-Latn-ME"/>
        </w:rPr>
        <w:t xml:space="preserve">aze 2 i </w:t>
      </w:r>
      <w:r w:rsidR="0066297A" w:rsidRPr="002041DF">
        <w:rPr>
          <w:sz w:val="22"/>
          <w:szCs w:val="22"/>
          <w:lang w:val="sr-Latn-ME"/>
        </w:rPr>
        <w:t>Faze 3</w:t>
      </w:r>
      <w:r w:rsidRPr="002041DF">
        <w:rPr>
          <w:sz w:val="22"/>
          <w:szCs w:val="22"/>
          <w:lang w:val="sr-Latn-ME"/>
        </w:rPr>
        <w:t xml:space="preserve"> u kojima je učestvovalo </w:t>
      </w:r>
      <w:r w:rsidR="00593C52" w:rsidRPr="002041DF">
        <w:rPr>
          <w:sz w:val="22"/>
          <w:szCs w:val="22"/>
          <w:lang w:val="sr-Latn-ME"/>
        </w:rPr>
        <w:t>6710</w:t>
      </w:r>
      <w:r w:rsidR="003917C1" w:rsidRPr="002041DF">
        <w:rPr>
          <w:sz w:val="22"/>
          <w:szCs w:val="22"/>
          <w:lang w:val="sr-Latn-ME"/>
        </w:rPr>
        <w:t xml:space="preserve"> </w:t>
      </w:r>
      <w:r w:rsidR="005D0367" w:rsidRPr="002041DF">
        <w:rPr>
          <w:sz w:val="22"/>
          <w:szCs w:val="22"/>
          <w:lang w:val="sr-Latn-ME"/>
        </w:rPr>
        <w:t>pacijen</w:t>
      </w:r>
      <w:r w:rsidR="00745993" w:rsidRPr="002041DF">
        <w:rPr>
          <w:sz w:val="22"/>
          <w:szCs w:val="22"/>
          <w:lang w:val="sr-Latn-ME"/>
        </w:rPr>
        <w:t>a</w:t>
      </w:r>
      <w:r w:rsidR="005D0367" w:rsidRPr="002041DF">
        <w:rPr>
          <w:sz w:val="22"/>
          <w:szCs w:val="22"/>
          <w:lang w:val="sr-Latn-ME"/>
        </w:rPr>
        <w:t>ta (4135 pacijenata sa psorijazom i/ili psorijatičnim artritisom</w:t>
      </w:r>
      <w:r w:rsidR="003917C1" w:rsidRPr="002041DF">
        <w:rPr>
          <w:sz w:val="22"/>
          <w:szCs w:val="22"/>
          <w:lang w:val="sr-Latn-ME"/>
        </w:rPr>
        <w:t xml:space="preserve">, </w:t>
      </w:r>
      <w:r w:rsidR="005D0367" w:rsidRPr="002041DF">
        <w:rPr>
          <w:sz w:val="22"/>
          <w:szCs w:val="22"/>
          <w:lang w:val="sr-Latn-ME"/>
        </w:rPr>
        <w:t xml:space="preserve">1749 pacijenata sa Kronovom </w:t>
      </w:r>
      <w:r w:rsidR="00207A9A" w:rsidRPr="002041DF">
        <w:rPr>
          <w:sz w:val="22"/>
          <w:szCs w:val="22"/>
          <w:lang w:val="sr-Latn-ME" w:eastAsia="x-none"/>
        </w:rPr>
        <w:t>bolešću</w:t>
      </w:r>
      <w:r w:rsidR="003917C1" w:rsidRPr="002041DF">
        <w:rPr>
          <w:sz w:val="22"/>
          <w:szCs w:val="22"/>
          <w:lang w:val="sr-Latn-ME" w:eastAsia="x-none"/>
        </w:rPr>
        <w:t xml:space="preserve"> </w:t>
      </w:r>
      <w:r w:rsidR="003917C1" w:rsidRPr="002041DF">
        <w:rPr>
          <w:sz w:val="22"/>
          <w:szCs w:val="22"/>
          <w:lang w:val="sr-Latn-ME"/>
        </w:rPr>
        <w:t xml:space="preserve">i </w:t>
      </w:r>
      <w:r w:rsidR="00593C52" w:rsidRPr="002041DF">
        <w:rPr>
          <w:sz w:val="22"/>
          <w:szCs w:val="22"/>
          <w:lang w:val="sr-Latn-ME"/>
        </w:rPr>
        <w:t xml:space="preserve">826 </w:t>
      </w:r>
      <w:r w:rsidR="003917C1" w:rsidRPr="002041DF">
        <w:rPr>
          <w:sz w:val="22"/>
          <w:szCs w:val="22"/>
          <w:lang w:val="sr-Latn-ME"/>
        </w:rPr>
        <w:t>sa ulceroznim kolitisom</w:t>
      </w:r>
      <w:r w:rsidR="005D0367" w:rsidRPr="002041DF">
        <w:rPr>
          <w:sz w:val="22"/>
          <w:szCs w:val="22"/>
          <w:lang w:val="sr-Latn-ME"/>
        </w:rPr>
        <w:t>). Ovo uključuje izloženost l</w:t>
      </w:r>
      <w:r w:rsidR="00612866" w:rsidRPr="002041DF">
        <w:rPr>
          <w:sz w:val="22"/>
          <w:szCs w:val="22"/>
          <w:lang w:val="sr-Latn-ME"/>
        </w:rPr>
        <w:t>ij</w:t>
      </w:r>
      <w:r w:rsidR="005D0367" w:rsidRPr="002041DF">
        <w:rPr>
          <w:sz w:val="22"/>
          <w:szCs w:val="22"/>
          <w:lang w:val="sr-Latn-ME"/>
        </w:rPr>
        <w:t>eku Stelara u kontrolisanim i nekontrolisanim periodima kliničkih ispitivanja</w:t>
      </w:r>
      <w:r w:rsidR="00593C52" w:rsidRPr="002041DF">
        <w:rPr>
          <w:lang w:val="sr-Latn-ME"/>
        </w:rPr>
        <w:t xml:space="preserve"> </w:t>
      </w:r>
      <w:r w:rsidR="00593C52" w:rsidRPr="002041DF">
        <w:rPr>
          <w:sz w:val="22"/>
          <w:szCs w:val="22"/>
          <w:lang w:val="sr-Latn-ME"/>
        </w:rPr>
        <w:t>kod pacijenata sa psorijazom, psorijaznim artritisom, Kronovom bolešću ili ulceroznim kolitisom</w:t>
      </w:r>
      <w:r w:rsidR="005D0367" w:rsidRPr="002041DF">
        <w:rPr>
          <w:sz w:val="22"/>
          <w:szCs w:val="22"/>
          <w:lang w:val="sr-Latn-ME"/>
        </w:rPr>
        <w:t xml:space="preserve"> od najmanje 6</w:t>
      </w:r>
      <w:r w:rsidR="00612866" w:rsidRPr="002041DF">
        <w:rPr>
          <w:sz w:val="22"/>
          <w:szCs w:val="22"/>
          <w:lang w:val="sr-Latn-ME"/>
        </w:rPr>
        <w:t xml:space="preserve"> mjeseci </w:t>
      </w:r>
      <w:r w:rsidR="005D0367" w:rsidRPr="002041DF">
        <w:rPr>
          <w:sz w:val="22"/>
          <w:szCs w:val="22"/>
          <w:lang w:val="sr-Latn-ME"/>
        </w:rPr>
        <w:t>(</w:t>
      </w:r>
      <w:r w:rsidR="003917C1" w:rsidRPr="002041DF">
        <w:rPr>
          <w:sz w:val="22"/>
          <w:szCs w:val="22"/>
          <w:lang w:val="sr-Latn-ME"/>
        </w:rPr>
        <w:t>4577</w:t>
      </w:r>
      <w:r w:rsidR="00CA348C" w:rsidRPr="002041DF">
        <w:rPr>
          <w:lang w:val="sr-Latn-ME"/>
        </w:rPr>
        <w:t xml:space="preserve"> </w:t>
      </w:r>
      <w:r w:rsidR="00CA348C" w:rsidRPr="002041DF">
        <w:rPr>
          <w:sz w:val="22"/>
          <w:szCs w:val="22"/>
          <w:lang w:val="sr-Latn-ME"/>
        </w:rPr>
        <w:t>pacijenata) ili najmanje 1 godine (3648</w:t>
      </w:r>
      <w:r w:rsidR="003917C1" w:rsidRPr="002041DF">
        <w:rPr>
          <w:sz w:val="22"/>
          <w:szCs w:val="22"/>
          <w:lang w:val="sr-Latn-ME"/>
        </w:rPr>
        <w:t xml:space="preserve"> </w:t>
      </w:r>
      <w:r w:rsidR="005D0367" w:rsidRPr="002041DF">
        <w:rPr>
          <w:sz w:val="22"/>
          <w:szCs w:val="22"/>
          <w:lang w:val="sr-Latn-ME"/>
        </w:rPr>
        <w:t>pacijenata</w:t>
      </w:r>
      <w:r w:rsidR="00CA348C" w:rsidRPr="002041DF">
        <w:rPr>
          <w:sz w:val="22"/>
          <w:szCs w:val="22"/>
          <w:lang w:val="sr-Latn-ME"/>
        </w:rPr>
        <w:t>).</w:t>
      </w:r>
      <w:r w:rsidR="005D0367" w:rsidRPr="002041DF">
        <w:rPr>
          <w:sz w:val="22"/>
          <w:szCs w:val="22"/>
          <w:lang w:val="sr-Latn-ME"/>
        </w:rPr>
        <w:t xml:space="preserve"> </w:t>
      </w:r>
      <w:r w:rsidR="00CA348C" w:rsidRPr="002041DF">
        <w:rPr>
          <w:sz w:val="22"/>
          <w:szCs w:val="22"/>
          <w:lang w:val="sr-Latn-ME"/>
        </w:rPr>
        <w:t xml:space="preserve">2194 pacijenata sa psorijazom, Kronovom bolešću ili ulceroznim kolitisom bili su izloženi najmanje </w:t>
      </w:r>
      <w:r w:rsidR="005D0367" w:rsidRPr="002041DF">
        <w:rPr>
          <w:sz w:val="22"/>
          <w:szCs w:val="22"/>
          <w:lang w:val="sr-Latn-ME"/>
        </w:rPr>
        <w:t>4</w:t>
      </w:r>
      <w:r w:rsidR="00CA348C" w:rsidRPr="002041DF">
        <w:rPr>
          <w:lang w:val="sr-Latn-ME"/>
        </w:rPr>
        <w:t xml:space="preserve"> </w:t>
      </w:r>
      <w:r w:rsidR="00CA348C" w:rsidRPr="002041DF">
        <w:rPr>
          <w:sz w:val="22"/>
          <w:szCs w:val="22"/>
          <w:lang w:val="sr-Latn-ME"/>
        </w:rPr>
        <w:t>godine dok je</w:t>
      </w:r>
      <w:r w:rsidR="005D0367" w:rsidRPr="002041DF">
        <w:rPr>
          <w:sz w:val="22"/>
          <w:szCs w:val="22"/>
          <w:lang w:val="sr-Latn-ME"/>
        </w:rPr>
        <w:t xml:space="preserve"> </w:t>
      </w:r>
      <w:r w:rsidR="00CA348C" w:rsidRPr="002041DF">
        <w:rPr>
          <w:sz w:val="22"/>
          <w:szCs w:val="22"/>
          <w:lang w:val="sr-Latn-ME"/>
        </w:rPr>
        <w:t>1148</w:t>
      </w:r>
      <w:r w:rsidR="005D0367" w:rsidRPr="002041DF">
        <w:rPr>
          <w:sz w:val="22"/>
          <w:szCs w:val="22"/>
          <w:lang w:val="sr-Latn-ME"/>
        </w:rPr>
        <w:t xml:space="preserve"> pacijenata sa psorijazom</w:t>
      </w:r>
      <w:r w:rsidR="00CA348C" w:rsidRPr="002041DF">
        <w:rPr>
          <w:lang w:val="sr-Latn-ME"/>
        </w:rPr>
        <w:t xml:space="preserve"> </w:t>
      </w:r>
      <w:r w:rsidR="00CA348C" w:rsidRPr="002041DF">
        <w:rPr>
          <w:sz w:val="22"/>
          <w:szCs w:val="22"/>
          <w:lang w:val="sr-Latn-ME"/>
        </w:rPr>
        <w:t>ili Kronovom bolešću bilo izloženo najmanje 5 godina</w:t>
      </w:r>
      <w:r w:rsidR="005D0367" w:rsidRPr="002041DF">
        <w:rPr>
          <w:sz w:val="22"/>
          <w:szCs w:val="22"/>
          <w:lang w:val="sr-Latn-ME"/>
        </w:rPr>
        <w:t>.</w:t>
      </w:r>
    </w:p>
    <w:p w14:paraId="339C8D6B" w14:textId="77777777" w:rsidR="00F9201E" w:rsidRPr="002041DF" w:rsidRDefault="00F9201E" w:rsidP="002041DF">
      <w:pPr>
        <w:pStyle w:val="Header"/>
        <w:widowControl w:val="0"/>
        <w:tabs>
          <w:tab w:val="clear" w:pos="9406"/>
          <w:tab w:val="left" w:pos="284"/>
          <w:tab w:val="right" w:pos="9360"/>
        </w:tabs>
        <w:jc w:val="both"/>
        <w:rPr>
          <w:sz w:val="22"/>
          <w:szCs w:val="22"/>
          <w:lang w:val="sr-Latn-ME"/>
        </w:rPr>
      </w:pPr>
    </w:p>
    <w:p w14:paraId="17EA180B" w14:textId="69F802CA" w:rsidR="00F9201E" w:rsidRPr="002041DF" w:rsidRDefault="00F9201E" w:rsidP="002041DF">
      <w:pPr>
        <w:pStyle w:val="Header"/>
        <w:widowControl w:val="0"/>
        <w:tabs>
          <w:tab w:val="clear" w:pos="9406"/>
          <w:tab w:val="left" w:pos="284"/>
          <w:tab w:val="right" w:pos="9360"/>
        </w:tabs>
        <w:jc w:val="both"/>
        <w:rPr>
          <w:sz w:val="22"/>
          <w:szCs w:val="22"/>
          <w:lang w:val="sr-Latn-ME"/>
        </w:rPr>
      </w:pPr>
      <w:r w:rsidRPr="002041DF">
        <w:rPr>
          <w:sz w:val="22"/>
          <w:szCs w:val="22"/>
          <w:lang w:val="sr-Latn-ME"/>
        </w:rPr>
        <w:t xml:space="preserve">Tabela 3 prikazuje pregled neželjenih </w:t>
      </w:r>
      <w:r w:rsidR="00905218" w:rsidRPr="002041DF">
        <w:rPr>
          <w:sz w:val="22"/>
          <w:szCs w:val="22"/>
          <w:lang w:val="sr-Latn-ME"/>
        </w:rPr>
        <w:t xml:space="preserve">dejstava </w:t>
      </w:r>
      <w:r w:rsidR="009E5C01" w:rsidRPr="002041DF">
        <w:rPr>
          <w:sz w:val="22"/>
          <w:szCs w:val="22"/>
          <w:lang w:val="sr-Latn-ME"/>
        </w:rPr>
        <w:t>dobijenih tokom</w:t>
      </w:r>
      <w:r w:rsidRPr="002041DF">
        <w:rPr>
          <w:sz w:val="22"/>
          <w:szCs w:val="22"/>
          <w:lang w:val="sr-Latn-ME"/>
        </w:rPr>
        <w:t xml:space="preserve"> kliničkih ispitivanja psorijaz</w:t>
      </w:r>
      <w:r w:rsidR="009E5C01" w:rsidRPr="002041DF">
        <w:rPr>
          <w:sz w:val="22"/>
          <w:szCs w:val="22"/>
          <w:lang w:val="sr-Latn-ME"/>
        </w:rPr>
        <w:t>e</w:t>
      </w:r>
      <w:r w:rsidR="005D0367" w:rsidRPr="002041DF">
        <w:rPr>
          <w:sz w:val="22"/>
          <w:szCs w:val="22"/>
          <w:lang w:val="sr-Latn-ME"/>
        </w:rPr>
        <w:t xml:space="preserve">, </w:t>
      </w:r>
      <w:r w:rsidRPr="002041DF">
        <w:rPr>
          <w:sz w:val="22"/>
          <w:szCs w:val="22"/>
          <w:lang w:val="sr-Latn-ME"/>
        </w:rPr>
        <w:t>psorijatično</w:t>
      </w:r>
      <w:r w:rsidR="009E5C01" w:rsidRPr="002041DF">
        <w:rPr>
          <w:sz w:val="22"/>
          <w:szCs w:val="22"/>
          <w:lang w:val="sr-Latn-ME"/>
        </w:rPr>
        <w:t>g</w:t>
      </w:r>
      <w:r w:rsidRPr="002041DF">
        <w:rPr>
          <w:sz w:val="22"/>
          <w:szCs w:val="22"/>
          <w:lang w:val="sr-Latn-ME"/>
        </w:rPr>
        <w:t xml:space="preserve"> artritis</w:t>
      </w:r>
      <w:r w:rsidR="009E5C01" w:rsidRPr="002041DF">
        <w:rPr>
          <w:sz w:val="22"/>
          <w:szCs w:val="22"/>
          <w:lang w:val="sr-Latn-ME"/>
        </w:rPr>
        <w:t>a</w:t>
      </w:r>
      <w:r w:rsidR="003917C1" w:rsidRPr="002041DF">
        <w:rPr>
          <w:sz w:val="22"/>
          <w:szCs w:val="22"/>
          <w:lang w:val="sr-Latn-ME"/>
        </w:rPr>
        <w:t>,</w:t>
      </w:r>
      <w:r w:rsidRPr="002041DF">
        <w:rPr>
          <w:sz w:val="22"/>
          <w:szCs w:val="22"/>
          <w:lang w:val="sr-Latn-ME"/>
        </w:rPr>
        <w:t xml:space="preserve"> </w:t>
      </w:r>
      <w:r w:rsidR="005D0367" w:rsidRPr="002041DF">
        <w:rPr>
          <w:sz w:val="22"/>
          <w:szCs w:val="22"/>
          <w:lang w:val="sr-Latn-ME"/>
        </w:rPr>
        <w:t>Kronov</w:t>
      </w:r>
      <w:r w:rsidR="009E5C01" w:rsidRPr="002041DF">
        <w:rPr>
          <w:sz w:val="22"/>
          <w:szCs w:val="22"/>
          <w:lang w:val="sr-Latn-ME"/>
        </w:rPr>
        <w:t>e</w:t>
      </w:r>
      <w:r w:rsidR="005D0367" w:rsidRPr="002041DF">
        <w:rPr>
          <w:sz w:val="22"/>
          <w:szCs w:val="22"/>
          <w:lang w:val="sr-Latn-ME"/>
        </w:rPr>
        <w:t xml:space="preserve"> bolesti </w:t>
      </w:r>
      <w:r w:rsidR="003917C1" w:rsidRPr="002041DF">
        <w:rPr>
          <w:sz w:val="22"/>
          <w:szCs w:val="22"/>
          <w:lang w:val="sr-Latn-ME"/>
        </w:rPr>
        <w:t xml:space="preserve">i ulceroznom kolitisu </w:t>
      </w:r>
      <w:r w:rsidRPr="002041DF">
        <w:rPr>
          <w:sz w:val="22"/>
          <w:szCs w:val="22"/>
          <w:lang w:val="sr-Latn-ME"/>
        </w:rPr>
        <w:t xml:space="preserve">kod odraslih pacijenata, kao i </w:t>
      </w:r>
      <w:r w:rsidR="00087DE1" w:rsidRPr="002041DF">
        <w:rPr>
          <w:sz w:val="22"/>
          <w:szCs w:val="22"/>
          <w:lang w:val="sr-Latn-ME"/>
        </w:rPr>
        <w:t xml:space="preserve">neželjena dejstva prijavljena </w:t>
      </w:r>
      <w:r w:rsidRPr="002041DF">
        <w:rPr>
          <w:sz w:val="22"/>
          <w:szCs w:val="22"/>
          <w:lang w:val="sr-Latn-ME"/>
        </w:rPr>
        <w:t xml:space="preserve">tokom postmarketinškog perioda. </w:t>
      </w:r>
      <w:r w:rsidR="00905218" w:rsidRPr="002041DF">
        <w:rPr>
          <w:sz w:val="22"/>
          <w:szCs w:val="22"/>
          <w:lang w:val="sr-Latn-ME"/>
        </w:rPr>
        <w:t xml:space="preserve">Neželjena dejstva </w:t>
      </w:r>
      <w:r w:rsidRPr="002041DF">
        <w:rPr>
          <w:sz w:val="22"/>
          <w:szCs w:val="22"/>
          <w:lang w:val="sr-Latn-ME"/>
        </w:rPr>
        <w:t xml:space="preserve">su </w:t>
      </w:r>
      <w:r w:rsidR="00905218" w:rsidRPr="002041DF">
        <w:rPr>
          <w:sz w:val="22"/>
          <w:szCs w:val="22"/>
          <w:lang w:val="sr-Latn-ME"/>
        </w:rPr>
        <w:t xml:space="preserve">klasifikovana </w:t>
      </w:r>
      <w:r w:rsidRPr="002041DF">
        <w:rPr>
          <w:sz w:val="22"/>
          <w:szCs w:val="22"/>
          <w:lang w:val="sr-Latn-ME"/>
        </w:rPr>
        <w:t>prema klasi sistema organa (</w:t>
      </w:r>
      <w:r w:rsidRPr="002041DF">
        <w:rPr>
          <w:i/>
          <w:sz w:val="22"/>
          <w:szCs w:val="22"/>
          <w:lang w:val="sr-Latn-ME"/>
        </w:rPr>
        <w:t>System Organ Class</w:t>
      </w:r>
      <w:r w:rsidRPr="002041DF">
        <w:rPr>
          <w:sz w:val="22"/>
          <w:szCs w:val="22"/>
          <w:lang w:val="sr-Latn-ME"/>
        </w:rPr>
        <w:t>) i učestalosti, po principu: veoma čest</w:t>
      </w:r>
      <w:r w:rsidR="009E5C01" w:rsidRPr="002041DF">
        <w:rPr>
          <w:sz w:val="22"/>
          <w:szCs w:val="22"/>
          <w:lang w:val="sr-Latn-ME"/>
        </w:rPr>
        <w:t>o</w:t>
      </w:r>
      <w:r w:rsidRPr="002041DF">
        <w:rPr>
          <w:sz w:val="22"/>
          <w:szCs w:val="22"/>
          <w:lang w:val="sr-Latn-ME"/>
        </w:rPr>
        <w:t xml:space="preserve"> (≥ 1/10), čest</w:t>
      </w:r>
      <w:r w:rsidR="009E5C01" w:rsidRPr="002041DF">
        <w:rPr>
          <w:sz w:val="22"/>
          <w:szCs w:val="22"/>
          <w:lang w:val="sr-Latn-ME"/>
        </w:rPr>
        <w:t>o</w:t>
      </w:r>
      <w:r w:rsidRPr="002041DF">
        <w:rPr>
          <w:sz w:val="22"/>
          <w:szCs w:val="22"/>
          <w:lang w:val="sr-Latn-ME"/>
        </w:rPr>
        <w:t xml:space="preserve"> (≥ 1/100 do &lt; 1/10), povremen</w:t>
      </w:r>
      <w:r w:rsidR="009E5C01" w:rsidRPr="002041DF">
        <w:rPr>
          <w:sz w:val="22"/>
          <w:szCs w:val="22"/>
          <w:lang w:val="sr-Latn-ME"/>
        </w:rPr>
        <w:t>o</w:t>
      </w:r>
      <w:r w:rsidRPr="002041DF">
        <w:rPr>
          <w:sz w:val="22"/>
          <w:szCs w:val="22"/>
          <w:lang w:val="sr-Latn-ME"/>
        </w:rPr>
        <w:t xml:space="preserve"> (</w:t>
      </w:r>
      <w:r w:rsidRPr="002041DF">
        <w:rPr>
          <w:sz w:val="22"/>
          <w:szCs w:val="22"/>
          <w:lang w:val="sr-Latn-ME"/>
        </w:rPr>
        <w:sym w:font="Symbol" w:char="F0B3"/>
      </w:r>
      <w:r w:rsidRPr="002041DF">
        <w:rPr>
          <w:sz w:val="22"/>
          <w:szCs w:val="22"/>
          <w:lang w:val="sr-Latn-ME"/>
        </w:rPr>
        <w:t xml:space="preserve"> 1/1000 do &lt;1/100), </w:t>
      </w:r>
      <w:r w:rsidR="00612866" w:rsidRPr="002041DF">
        <w:rPr>
          <w:sz w:val="22"/>
          <w:szCs w:val="22"/>
          <w:lang w:val="sr-Latn-ME"/>
        </w:rPr>
        <w:t>rijetko</w:t>
      </w:r>
      <w:r w:rsidRPr="002041DF">
        <w:rPr>
          <w:sz w:val="22"/>
          <w:szCs w:val="22"/>
          <w:lang w:val="sr-Latn-ME"/>
        </w:rPr>
        <w:t xml:space="preserve"> (</w:t>
      </w:r>
      <w:r w:rsidRPr="002041DF">
        <w:rPr>
          <w:sz w:val="22"/>
          <w:szCs w:val="22"/>
          <w:lang w:val="sr-Latn-ME"/>
        </w:rPr>
        <w:sym w:font="Symbol" w:char="F0B3"/>
      </w:r>
      <w:r w:rsidRPr="002041DF">
        <w:rPr>
          <w:sz w:val="22"/>
          <w:szCs w:val="22"/>
          <w:lang w:val="sr-Latn-ME"/>
        </w:rPr>
        <w:t xml:space="preserve"> 1/10000 do &lt; 1/1000), veoma </w:t>
      </w:r>
      <w:r w:rsidR="00612866" w:rsidRPr="002041DF">
        <w:rPr>
          <w:sz w:val="22"/>
          <w:szCs w:val="22"/>
          <w:lang w:val="sr-Latn-ME"/>
        </w:rPr>
        <w:t>rijetko</w:t>
      </w:r>
      <w:r w:rsidRPr="002041DF">
        <w:rPr>
          <w:sz w:val="22"/>
          <w:szCs w:val="22"/>
          <w:lang w:val="sr-Latn-ME"/>
        </w:rPr>
        <w:t xml:space="preserve"> (&lt; 1/10000), n</w:t>
      </w:r>
      <w:r w:rsidR="009E5C01" w:rsidRPr="002041DF">
        <w:rPr>
          <w:sz w:val="22"/>
          <w:szCs w:val="22"/>
          <w:lang w:val="sr-Latn-ME"/>
        </w:rPr>
        <w:t>epoznato</w:t>
      </w:r>
      <w:r w:rsidRPr="002041DF">
        <w:rPr>
          <w:sz w:val="22"/>
          <w:szCs w:val="22"/>
          <w:lang w:val="sr-Latn-ME"/>
        </w:rPr>
        <w:t xml:space="preserve"> (ne može se proc</w:t>
      </w:r>
      <w:r w:rsidR="00612866" w:rsidRPr="002041DF">
        <w:rPr>
          <w:sz w:val="22"/>
          <w:szCs w:val="22"/>
          <w:lang w:val="sr-Latn-ME"/>
        </w:rPr>
        <w:t>ij</w:t>
      </w:r>
      <w:r w:rsidRPr="002041DF">
        <w:rPr>
          <w:sz w:val="22"/>
          <w:szCs w:val="22"/>
          <w:lang w:val="sr-Latn-ME"/>
        </w:rPr>
        <w:t>eni</w:t>
      </w:r>
      <w:r w:rsidR="00612866" w:rsidRPr="002041DF">
        <w:rPr>
          <w:sz w:val="22"/>
          <w:szCs w:val="22"/>
          <w:lang w:val="sr-Latn-ME"/>
        </w:rPr>
        <w:t>t</w:t>
      </w:r>
      <w:r w:rsidRPr="002041DF">
        <w:rPr>
          <w:sz w:val="22"/>
          <w:szCs w:val="22"/>
          <w:lang w:val="sr-Latn-ME"/>
        </w:rPr>
        <w:t xml:space="preserve">i na osnovu </w:t>
      </w:r>
      <w:r w:rsidR="00C24CEA" w:rsidRPr="002041DF">
        <w:rPr>
          <w:sz w:val="22"/>
          <w:szCs w:val="22"/>
          <w:lang w:val="sr-Latn-ME"/>
        </w:rPr>
        <w:t xml:space="preserve">dostupnih </w:t>
      </w:r>
      <w:r w:rsidRPr="002041DF">
        <w:rPr>
          <w:sz w:val="22"/>
          <w:szCs w:val="22"/>
          <w:lang w:val="sr-Latn-ME"/>
        </w:rPr>
        <w:t xml:space="preserve">podataka). U okviru svake grupe učestalosti, </w:t>
      </w:r>
      <w:r w:rsidR="00087DE1" w:rsidRPr="002041DF">
        <w:rPr>
          <w:sz w:val="22"/>
          <w:szCs w:val="22"/>
          <w:lang w:val="sr-Latn-ME"/>
        </w:rPr>
        <w:t xml:space="preserve">neželjena dejstva </w:t>
      </w:r>
      <w:r w:rsidRPr="002041DF">
        <w:rPr>
          <w:sz w:val="22"/>
          <w:szCs w:val="22"/>
          <w:lang w:val="sr-Latn-ME"/>
        </w:rPr>
        <w:t xml:space="preserve">su </w:t>
      </w:r>
      <w:r w:rsidR="00087DE1" w:rsidRPr="002041DF">
        <w:rPr>
          <w:sz w:val="22"/>
          <w:szCs w:val="22"/>
          <w:lang w:val="sr-Latn-ME"/>
        </w:rPr>
        <w:t xml:space="preserve">poređana </w:t>
      </w:r>
      <w:r w:rsidRPr="002041DF">
        <w:rPr>
          <w:sz w:val="22"/>
          <w:szCs w:val="22"/>
          <w:lang w:val="sr-Latn-ME"/>
        </w:rPr>
        <w:t>u opadajućem sm</w:t>
      </w:r>
      <w:r w:rsidR="00612866" w:rsidRPr="002041DF">
        <w:rPr>
          <w:sz w:val="22"/>
          <w:szCs w:val="22"/>
          <w:lang w:val="sr-Latn-ME"/>
        </w:rPr>
        <w:t>j</w:t>
      </w:r>
      <w:r w:rsidRPr="002041DF">
        <w:rPr>
          <w:sz w:val="22"/>
          <w:szCs w:val="22"/>
          <w:lang w:val="sr-Latn-ME"/>
        </w:rPr>
        <w:t>eru u odnosu na ozbiljnost neželjen</w:t>
      </w:r>
      <w:r w:rsidR="00087DE1" w:rsidRPr="002041DF">
        <w:rPr>
          <w:sz w:val="22"/>
          <w:szCs w:val="22"/>
          <w:lang w:val="sr-Latn-ME"/>
        </w:rPr>
        <w:t>og dejstva</w:t>
      </w:r>
      <w:r w:rsidRPr="002041DF">
        <w:rPr>
          <w:sz w:val="22"/>
          <w:szCs w:val="22"/>
          <w:lang w:val="sr-Latn-ME"/>
        </w:rPr>
        <w:t>.</w:t>
      </w:r>
    </w:p>
    <w:p w14:paraId="0AA90D21" w14:textId="77777777" w:rsidR="00660BE9" w:rsidRPr="002041DF" w:rsidRDefault="00660BE9" w:rsidP="002041DF">
      <w:pPr>
        <w:pStyle w:val="Header"/>
        <w:widowControl w:val="0"/>
        <w:tabs>
          <w:tab w:val="left" w:pos="284"/>
        </w:tabs>
        <w:jc w:val="both"/>
        <w:rPr>
          <w:sz w:val="22"/>
          <w:szCs w:val="22"/>
          <w:lang w:val="sr-Latn-ME"/>
        </w:rPr>
      </w:pPr>
    </w:p>
    <w:p w14:paraId="12696822" w14:textId="6A9001AE" w:rsidR="00660BE9" w:rsidRPr="002041DF" w:rsidRDefault="00660BE9" w:rsidP="002041DF">
      <w:pPr>
        <w:pStyle w:val="Header"/>
        <w:widowControl w:val="0"/>
        <w:tabs>
          <w:tab w:val="left" w:pos="284"/>
        </w:tabs>
        <w:jc w:val="both"/>
        <w:rPr>
          <w:i/>
          <w:sz w:val="22"/>
          <w:szCs w:val="22"/>
          <w:lang w:val="sr-Latn-ME"/>
        </w:rPr>
      </w:pPr>
      <w:r w:rsidRPr="002041DF">
        <w:rPr>
          <w:i/>
          <w:sz w:val="22"/>
          <w:szCs w:val="22"/>
          <w:lang w:val="sr-Latn-ME"/>
        </w:rPr>
        <w:t xml:space="preserve">Tabela </w:t>
      </w:r>
      <w:r w:rsidR="00641C7D" w:rsidRPr="002041DF">
        <w:rPr>
          <w:i/>
          <w:sz w:val="22"/>
          <w:szCs w:val="22"/>
          <w:lang w:val="sr-Latn-ME"/>
        </w:rPr>
        <w:t>3</w:t>
      </w:r>
      <w:r w:rsidRPr="002041DF">
        <w:rPr>
          <w:i/>
          <w:sz w:val="22"/>
          <w:szCs w:val="22"/>
          <w:lang w:val="sr-Latn-ME"/>
        </w:rPr>
        <w:t xml:space="preserve">    </w:t>
      </w:r>
      <w:r w:rsidR="00F9201E" w:rsidRPr="002041DF">
        <w:rPr>
          <w:i/>
          <w:sz w:val="22"/>
          <w:szCs w:val="22"/>
          <w:lang w:val="sr-Latn-ME"/>
        </w:rPr>
        <w:t xml:space="preserve">Pregled neželjenih </w:t>
      </w:r>
      <w:r w:rsidR="00892454" w:rsidRPr="002041DF">
        <w:rPr>
          <w:i/>
          <w:sz w:val="22"/>
          <w:szCs w:val="22"/>
          <w:lang w:val="sr-Latn-ME"/>
        </w:rPr>
        <w:t>dejstava</w:t>
      </w:r>
    </w:p>
    <w:tbl>
      <w:tblPr>
        <w:tblW w:w="9558"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000" w:firstRow="0" w:lastRow="0" w:firstColumn="0" w:lastColumn="0" w:noHBand="0" w:noVBand="0"/>
      </w:tblPr>
      <w:tblGrid>
        <w:gridCol w:w="3105"/>
        <w:gridCol w:w="6453"/>
      </w:tblGrid>
      <w:tr w:rsidR="00660BE9" w:rsidRPr="002041DF" w14:paraId="1D92763C" w14:textId="77777777" w:rsidTr="00312713">
        <w:trPr>
          <w:cantSplit/>
        </w:trPr>
        <w:tc>
          <w:tcPr>
            <w:tcW w:w="3105" w:type="dxa"/>
          </w:tcPr>
          <w:p w14:paraId="70CC9C37" w14:textId="77777777" w:rsidR="00660BE9" w:rsidRPr="002041DF" w:rsidRDefault="00660BE9" w:rsidP="002041DF">
            <w:pPr>
              <w:pStyle w:val="Header"/>
              <w:widowControl w:val="0"/>
              <w:jc w:val="both"/>
              <w:rPr>
                <w:b/>
                <w:sz w:val="22"/>
                <w:szCs w:val="22"/>
                <w:lang w:val="sr-Latn-ME"/>
              </w:rPr>
            </w:pPr>
            <w:r w:rsidRPr="002041DF">
              <w:rPr>
                <w:b/>
                <w:sz w:val="22"/>
                <w:szCs w:val="22"/>
                <w:lang w:val="sr-Latn-ME"/>
              </w:rPr>
              <w:t>Klasa sistema organa</w:t>
            </w:r>
          </w:p>
        </w:tc>
        <w:tc>
          <w:tcPr>
            <w:tcW w:w="6453" w:type="dxa"/>
          </w:tcPr>
          <w:p w14:paraId="7491EF33" w14:textId="319D6B8B" w:rsidR="00660BE9" w:rsidRPr="002041DF" w:rsidRDefault="00660BE9" w:rsidP="002041DF">
            <w:pPr>
              <w:pStyle w:val="Header"/>
              <w:widowControl w:val="0"/>
              <w:jc w:val="both"/>
              <w:rPr>
                <w:b/>
                <w:sz w:val="22"/>
                <w:szCs w:val="22"/>
                <w:lang w:val="sr-Latn-ME"/>
              </w:rPr>
            </w:pPr>
            <w:r w:rsidRPr="002041DF">
              <w:rPr>
                <w:b/>
                <w:sz w:val="22"/>
                <w:szCs w:val="22"/>
                <w:lang w:val="sr-Latn-ME"/>
              </w:rPr>
              <w:t xml:space="preserve">Učestalost: Neželjena </w:t>
            </w:r>
            <w:r w:rsidR="00087DE1" w:rsidRPr="002041DF">
              <w:rPr>
                <w:b/>
                <w:sz w:val="22"/>
                <w:szCs w:val="22"/>
                <w:lang w:val="sr-Latn-ME"/>
              </w:rPr>
              <w:t>dejstva</w:t>
            </w:r>
          </w:p>
        </w:tc>
      </w:tr>
      <w:tr w:rsidR="00660BE9" w:rsidRPr="002041DF" w14:paraId="0EAFC831" w14:textId="77777777" w:rsidTr="00312713">
        <w:trPr>
          <w:cantSplit/>
        </w:trPr>
        <w:tc>
          <w:tcPr>
            <w:tcW w:w="3105" w:type="dxa"/>
          </w:tcPr>
          <w:p w14:paraId="16CE9545" w14:textId="77777777" w:rsidR="00660BE9" w:rsidRPr="002041DF" w:rsidRDefault="00660BE9" w:rsidP="002041DF">
            <w:pPr>
              <w:pStyle w:val="Header"/>
              <w:widowControl w:val="0"/>
              <w:jc w:val="both"/>
              <w:rPr>
                <w:sz w:val="22"/>
                <w:szCs w:val="22"/>
                <w:lang w:val="sr-Latn-ME"/>
              </w:rPr>
            </w:pPr>
            <w:r w:rsidRPr="002041DF">
              <w:rPr>
                <w:sz w:val="22"/>
                <w:szCs w:val="22"/>
                <w:lang w:val="sr-Latn-ME"/>
              </w:rPr>
              <w:t>Infekcije i infestacije</w:t>
            </w:r>
          </w:p>
        </w:tc>
        <w:tc>
          <w:tcPr>
            <w:tcW w:w="6453" w:type="dxa"/>
          </w:tcPr>
          <w:p w14:paraId="0E4137C2" w14:textId="4F45F712" w:rsidR="00660BE9" w:rsidRPr="002041DF" w:rsidRDefault="00660BE9" w:rsidP="002041DF">
            <w:pPr>
              <w:pStyle w:val="Header"/>
              <w:widowControl w:val="0"/>
              <w:jc w:val="both"/>
              <w:rPr>
                <w:sz w:val="22"/>
                <w:szCs w:val="22"/>
                <w:lang w:val="sr-Latn-ME"/>
              </w:rPr>
            </w:pPr>
            <w:r w:rsidRPr="002041DF">
              <w:rPr>
                <w:sz w:val="22"/>
                <w:szCs w:val="22"/>
                <w:lang w:val="sr-Latn-ME"/>
              </w:rPr>
              <w:t>često:</w:t>
            </w:r>
            <w:r w:rsidR="005D0367" w:rsidRPr="002041DF">
              <w:rPr>
                <w:sz w:val="22"/>
                <w:szCs w:val="22"/>
                <w:lang w:val="sr-Latn-ME"/>
              </w:rPr>
              <w:t xml:space="preserve"> </w:t>
            </w:r>
            <w:r w:rsidRPr="002041DF">
              <w:rPr>
                <w:sz w:val="22"/>
                <w:szCs w:val="22"/>
                <w:lang w:val="sr-Latn-ME"/>
              </w:rPr>
              <w:t xml:space="preserve">infekcija gornjeg respiratornog trakta, nazofaringitis </w:t>
            </w:r>
            <w:r w:rsidR="003917C1" w:rsidRPr="002041DF">
              <w:rPr>
                <w:sz w:val="22"/>
                <w:szCs w:val="22"/>
                <w:lang w:val="sr-Latn-ME"/>
              </w:rPr>
              <w:t>, sinu</w:t>
            </w:r>
            <w:r w:rsidR="005B2A04" w:rsidRPr="002041DF">
              <w:rPr>
                <w:sz w:val="22"/>
                <w:szCs w:val="22"/>
                <w:lang w:val="sr-Latn-ME"/>
              </w:rPr>
              <w:t>z</w:t>
            </w:r>
            <w:r w:rsidR="003917C1" w:rsidRPr="002041DF">
              <w:rPr>
                <w:sz w:val="22"/>
                <w:szCs w:val="22"/>
                <w:lang w:val="sr-Latn-ME"/>
              </w:rPr>
              <w:t>itis</w:t>
            </w:r>
          </w:p>
          <w:p w14:paraId="7704D016" w14:textId="50164104" w:rsidR="00660BE9" w:rsidRPr="002041DF" w:rsidRDefault="00660BE9" w:rsidP="002041DF">
            <w:pPr>
              <w:pStyle w:val="Header"/>
              <w:widowControl w:val="0"/>
              <w:jc w:val="both"/>
              <w:rPr>
                <w:sz w:val="22"/>
                <w:szCs w:val="22"/>
                <w:lang w:val="sr-Latn-ME"/>
              </w:rPr>
            </w:pPr>
            <w:r w:rsidRPr="002041DF">
              <w:rPr>
                <w:sz w:val="22"/>
                <w:szCs w:val="22"/>
                <w:lang w:val="sr-Latn-ME"/>
              </w:rPr>
              <w:t xml:space="preserve">povremeno: celulitis, </w:t>
            </w:r>
            <w:r w:rsidR="005D0367" w:rsidRPr="002041DF">
              <w:rPr>
                <w:sz w:val="22"/>
                <w:szCs w:val="22"/>
                <w:lang w:val="sr-Latn-ME"/>
              </w:rPr>
              <w:t>infekcija zuba</w:t>
            </w:r>
            <w:r w:rsidR="005544C1" w:rsidRPr="002041DF">
              <w:rPr>
                <w:sz w:val="22"/>
                <w:szCs w:val="22"/>
                <w:lang w:val="sr-Latn-ME"/>
              </w:rPr>
              <w:t>,</w:t>
            </w:r>
            <w:r w:rsidR="005D0367" w:rsidRPr="002041DF">
              <w:rPr>
                <w:sz w:val="22"/>
                <w:szCs w:val="22"/>
                <w:lang w:val="sr-Latn-ME"/>
              </w:rPr>
              <w:t xml:space="preserve"> </w:t>
            </w:r>
            <w:r w:rsidRPr="002041DF">
              <w:rPr>
                <w:sz w:val="22"/>
                <w:szCs w:val="22"/>
                <w:lang w:val="sr-Latn-ME"/>
              </w:rPr>
              <w:t xml:space="preserve">herpes zoster, </w:t>
            </w:r>
            <w:r w:rsidR="005544C1" w:rsidRPr="002041DF">
              <w:rPr>
                <w:sz w:val="22"/>
                <w:szCs w:val="22"/>
                <w:lang w:val="sr-Latn-ME"/>
              </w:rPr>
              <w:t>infekcija donjeg d</w:t>
            </w:r>
            <w:r w:rsidR="00612866" w:rsidRPr="002041DF">
              <w:rPr>
                <w:sz w:val="22"/>
                <w:szCs w:val="22"/>
                <w:lang w:val="sr-Latn-ME"/>
              </w:rPr>
              <w:t>ij</w:t>
            </w:r>
            <w:r w:rsidR="005544C1" w:rsidRPr="002041DF">
              <w:rPr>
                <w:sz w:val="22"/>
                <w:szCs w:val="22"/>
                <w:lang w:val="sr-Latn-ME"/>
              </w:rPr>
              <w:t xml:space="preserve">ela respiratornog trakta, </w:t>
            </w:r>
            <w:r w:rsidRPr="002041DF">
              <w:rPr>
                <w:sz w:val="22"/>
                <w:szCs w:val="22"/>
                <w:lang w:val="sr-Latn-ME"/>
              </w:rPr>
              <w:t>virusna infekcija gornjeg d</w:t>
            </w:r>
            <w:r w:rsidR="00612866" w:rsidRPr="002041DF">
              <w:rPr>
                <w:sz w:val="22"/>
                <w:szCs w:val="22"/>
                <w:lang w:val="sr-Latn-ME"/>
              </w:rPr>
              <w:t>ij</w:t>
            </w:r>
            <w:r w:rsidRPr="002041DF">
              <w:rPr>
                <w:sz w:val="22"/>
                <w:szCs w:val="22"/>
                <w:lang w:val="sr-Latn-ME"/>
              </w:rPr>
              <w:t>ela respiratornog trakta</w:t>
            </w:r>
            <w:r w:rsidR="005D0367" w:rsidRPr="002041DF">
              <w:rPr>
                <w:sz w:val="22"/>
                <w:szCs w:val="22"/>
                <w:lang w:val="sr-Latn-ME"/>
              </w:rPr>
              <w:t>, vulvovaginalna gljivična infekcija</w:t>
            </w:r>
          </w:p>
        </w:tc>
      </w:tr>
      <w:tr w:rsidR="00660BE9" w:rsidRPr="002041DF" w14:paraId="44FE9212" w14:textId="77777777" w:rsidTr="00312713">
        <w:trPr>
          <w:cantSplit/>
        </w:trPr>
        <w:tc>
          <w:tcPr>
            <w:tcW w:w="3105" w:type="dxa"/>
          </w:tcPr>
          <w:p w14:paraId="089FBE5F" w14:textId="77777777" w:rsidR="00660BE9" w:rsidRPr="002041DF" w:rsidRDefault="00660BE9" w:rsidP="002041DF">
            <w:pPr>
              <w:pStyle w:val="Header"/>
              <w:widowControl w:val="0"/>
              <w:jc w:val="both"/>
              <w:rPr>
                <w:sz w:val="22"/>
                <w:szCs w:val="22"/>
                <w:lang w:val="sr-Latn-ME"/>
              </w:rPr>
            </w:pPr>
            <w:r w:rsidRPr="002041DF">
              <w:rPr>
                <w:sz w:val="22"/>
                <w:szCs w:val="22"/>
                <w:lang w:val="sr-Latn-ME"/>
              </w:rPr>
              <w:t>Poremećaji imu</w:t>
            </w:r>
            <w:r w:rsidR="008D1022" w:rsidRPr="002041DF">
              <w:rPr>
                <w:sz w:val="22"/>
                <w:szCs w:val="22"/>
                <w:lang w:val="sr-Latn-ME"/>
              </w:rPr>
              <w:t>nskog</w:t>
            </w:r>
            <w:r w:rsidRPr="002041DF">
              <w:rPr>
                <w:sz w:val="22"/>
                <w:szCs w:val="22"/>
                <w:lang w:val="sr-Latn-ME"/>
              </w:rPr>
              <w:t xml:space="preserve"> sistema</w:t>
            </w:r>
          </w:p>
        </w:tc>
        <w:tc>
          <w:tcPr>
            <w:tcW w:w="6453" w:type="dxa"/>
          </w:tcPr>
          <w:p w14:paraId="7356E952" w14:textId="77777777" w:rsidR="00660BE9" w:rsidRPr="002041DF" w:rsidRDefault="005544C1" w:rsidP="002041DF">
            <w:pPr>
              <w:pStyle w:val="Header"/>
              <w:widowControl w:val="0"/>
              <w:jc w:val="both"/>
              <w:rPr>
                <w:sz w:val="22"/>
                <w:szCs w:val="22"/>
                <w:lang w:val="sr-Latn-ME"/>
              </w:rPr>
            </w:pPr>
            <w:r w:rsidRPr="002041DF">
              <w:rPr>
                <w:sz w:val="22"/>
                <w:szCs w:val="22"/>
                <w:lang w:val="sr-Latn-ME"/>
              </w:rPr>
              <w:t>povremeno</w:t>
            </w:r>
            <w:r w:rsidR="00660BE9" w:rsidRPr="002041DF">
              <w:rPr>
                <w:sz w:val="22"/>
                <w:szCs w:val="22"/>
                <w:lang w:val="sr-Latn-ME"/>
              </w:rPr>
              <w:t>: reakcije hipersenzitivnosti (uključujući osip, urtikariju)</w:t>
            </w:r>
          </w:p>
          <w:p w14:paraId="6841F270" w14:textId="6426E41C" w:rsidR="00660BE9" w:rsidRPr="002041DF" w:rsidRDefault="00612866" w:rsidP="002041DF">
            <w:pPr>
              <w:pStyle w:val="Header"/>
              <w:widowControl w:val="0"/>
              <w:jc w:val="both"/>
              <w:rPr>
                <w:sz w:val="22"/>
                <w:szCs w:val="22"/>
                <w:lang w:val="sr-Latn-ME"/>
              </w:rPr>
            </w:pPr>
            <w:r w:rsidRPr="002041DF">
              <w:rPr>
                <w:sz w:val="22"/>
                <w:szCs w:val="22"/>
                <w:lang w:val="sr-Latn-ME"/>
              </w:rPr>
              <w:t>rijetko</w:t>
            </w:r>
            <w:r w:rsidR="00660BE9" w:rsidRPr="002041DF">
              <w:rPr>
                <w:sz w:val="22"/>
                <w:szCs w:val="22"/>
                <w:lang w:val="sr-Latn-ME"/>
              </w:rPr>
              <w:t xml:space="preserve">: </w:t>
            </w:r>
            <w:r w:rsidR="00C24CEA" w:rsidRPr="002041DF">
              <w:rPr>
                <w:sz w:val="22"/>
                <w:szCs w:val="22"/>
                <w:lang w:val="sr-Latn-ME"/>
              </w:rPr>
              <w:t>ozbiljne</w:t>
            </w:r>
            <w:r w:rsidR="00660BE9" w:rsidRPr="002041DF">
              <w:rPr>
                <w:sz w:val="22"/>
                <w:szCs w:val="22"/>
                <w:lang w:val="sr-Latn-ME"/>
              </w:rPr>
              <w:t xml:space="preserve"> reakcije hipersenzitivnosti (uključujući anafilaksu i angioedem)</w:t>
            </w:r>
          </w:p>
        </w:tc>
      </w:tr>
      <w:tr w:rsidR="00660BE9" w:rsidRPr="002041DF" w14:paraId="2843A151" w14:textId="77777777" w:rsidTr="00312713">
        <w:trPr>
          <w:cantSplit/>
        </w:trPr>
        <w:tc>
          <w:tcPr>
            <w:tcW w:w="3105" w:type="dxa"/>
          </w:tcPr>
          <w:p w14:paraId="75369F24" w14:textId="77777777" w:rsidR="00660BE9" w:rsidRPr="002041DF" w:rsidRDefault="00660BE9" w:rsidP="002041DF">
            <w:pPr>
              <w:pStyle w:val="Header"/>
              <w:widowControl w:val="0"/>
              <w:jc w:val="both"/>
              <w:rPr>
                <w:sz w:val="22"/>
                <w:szCs w:val="22"/>
                <w:lang w:val="sr-Latn-ME"/>
              </w:rPr>
            </w:pPr>
            <w:r w:rsidRPr="002041DF">
              <w:rPr>
                <w:sz w:val="22"/>
                <w:szCs w:val="22"/>
                <w:lang w:val="sr-Latn-ME"/>
              </w:rPr>
              <w:t>Psihijatriski poremećaji</w:t>
            </w:r>
          </w:p>
        </w:tc>
        <w:tc>
          <w:tcPr>
            <w:tcW w:w="6453" w:type="dxa"/>
          </w:tcPr>
          <w:p w14:paraId="4B8429C7" w14:textId="77777777" w:rsidR="00660BE9" w:rsidRPr="002041DF" w:rsidRDefault="00660BE9" w:rsidP="002041DF">
            <w:pPr>
              <w:pStyle w:val="Header"/>
              <w:widowControl w:val="0"/>
              <w:jc w:val="both"/>
              <w:rPr>
                <w:sz w:val="22"/>
                <w:szCs w:val="22"/>
                <w:lang w:val="sr-Latn-ME"/>
              </w:rPr>
            </w:pPr>
            <w:r w:rsidRPr="002041DF">
              <w:rPr>
                <w:sz w:val="22"/>
                <w:szCs w:val="22"/>
                <w:lang w:val="sr-Latn-ME"/>
              </w:rPr>
              <w:t>povremeno: depresija</w:t>
            </w:r>
          </w:p>
        </w:tc>
      </w:tr>
      <w:tr w:rsidR="00660BE9" w:rsidRPr="002041DF" w14:paraId="2BD83129" w14:textId="77777777" w:rsidTr="00312713">
        <w:trPr>
          <w:cantSplit/>
        </w:trPr>
        <w:tc>
          <w:tcPr>
            <w:tcW w:w="3105" w:type="dxa"/>
          </w:tcPr>
          <w:p w14:paraId="45907B17" w14:textId="77777777" w:rsidR="00660BE9" w:rsidRPr="002041DF" w:rsidRDefault="00660BE9" w:rsidP="002041DF">
            <w:pPr>
              <w:pStyle w:val="Header"/>
              <w:widowControl w:val="0"/>
              <w:jc w:val="both"/>
              <w:rPr>
                <w:sz w:val="22"/>
                <w:szCs w:val="22"/>
                <w:lang w:val="sr-Latn-ME"/>
              </w:rPr>
            </w:pPr>
            <w:r w:rsidRPr="002041DF">
              <w:rPr>
                <w:sz w:val="22"/>
                <w:szCs w:val="22"/>
                <w:lang w:val="sr-Latn-ME"/>
              </w:rPr>
              <w:t>Poremećaji nervnog sistema</w:t>
            </w:r>
          </w:p>
        </w:tc>
        <w:tc>
          <w:tcPr>
            <w:tcW w:w="6453" w:type="dxa"/>
          </w:tcPr>
          <w:p w14:paraId="52CEF2F4" w14:textId="77777777" w:rsidR="00660BE9" w:rsidRPr="002041DF" w:rsidRDefault="00660BE9" w:rsidP="002041DF">
            <w:pPr>
              <w:pStyle w:val="Header"/>
              <w:widowControl w:val="0"/>
              <w:jc w:val="both"/>
              <w:rPr>
                <w:sz w:val="22"/>
                <w:szCs w:val="22"/>
                <w:lang w:val="sr-Latn-ME"/>
              </w:rPr>
            </w:pPr>
            <w:r w:rsidRPr="002041DF">
              <w:rPr>
                <w:sz w:val="22"/>
                <w:szCs w:val="22"/>
                <w:lang w:val="sr-Latn-ME"/>
              </w:rPr>
              <w:t>često: vrtoglavica, glavobolja</w:t>
            </w:r>
          </w:p>
          <w:p w14:paraId="684B4D0F" w14:textId="25F1AC07" w:rsidR="00660BE9" w:rsidRPr="002041DF" w:rsidRDefault="00660BE9" w:rsidP="002041DF">
            <w:pPr>
              <w:pStyle w:val="Header"/>
              <w:widowControl w:val="0"/>
              <w:jc w:val="both"/>
              <w:rPr>
                <w:sz w:val="22"/>
                <w:szCs w:val="22"/>
                <w:lang w:val="sr-Latn-ME"/>
              </w:rPr>
            </w:pPr>
            <w:r w:rsidRPr="002041DF">
              <w:rPr>
                <w:sz w:val="22"/>
                <w:szCs w:val="22"/>
                <w:lang w:val="sr-Latn-ME"/>
              </w:rPr>
              <w:t>povremeno: facijalna paraliza</w:t>
            </w:r>
          </w:p>
        </w:tc>
      </w:tr>
      <w:tr w:rsidR="00660BE9" w:rsidRPr="002041DF" w14:paraId="5EB2E8F7" w14:textId="77777777" w:rsidTr="00312713">
        <w:trPr>
          <w:cantSplit/>
        </w:trPr>
        <w:tc>
          <w:tcPr>
            <w:tcW w:w="3105" w:type="dxa"/>
          </w:tcPr>
          <w:p w14:paraId="1FE2BD46" w14:textId="436150D9" w:rsidR="00660BE9" w:rsidRPr="002041DF" w:rsidRDefault="00660BE9" w:rsidP="002041DF">
            <w:pPr>
              <w:pStyle w:val="Header"/>
              <w:widowControl w:val="0"/>
              <w:jc w:val="both"/>
              <w:rPr>
                <w:sz w:val="22"/>
                <w:szCs w:val="22"/>
                <w:lang w:val="sr-Latn-ME"/>
              </w:rPr>
            </w:pPr>
            <w:r w:rsidRPr="002041DF">
              <w:rPr>
                <w:sz w:val="22"/>
                <w:szCs w:val="22"/>
                <w:lang w:val="sr-Latn-ME"/>
              </w:rPr>
              <w:t>Respiratorni</w:t>
            </w:r>
            <w:r w:rsidR="00C24CEA" w:rsidRPr="002041DF">
              <w:rPr>
                <w:sz w:val="22"/>
                <w:szCs w:val="22"/>
                <w:lang w:val="sr-Latn-ME"/>
              </w:rPr>
              <w:t>,</w:t>
            </w:r>
            <w:r w:rsidRPr="002041DF">
              <w:rPr>
                <w:sz w:val="22"/>
                <w:szCs w:val="22"/>
                <w:lang w:val="sr-Latn-ME"/>
              </w:rPr>
              <w:t xml:space="preserve"> </w:t>
            </w:r>
            <w:r w:rsidR="008D1022" w:rsidRPr="002041DF">
              <w:rPr>
                <w:sz w:val="22"/>
                <w:szCs w:val="22"/>
                <w:lang w:val="sr-Latn-ME"/>
              </w:rPr>
              <w:t>torakalni i medijastinalni poremećaji</w:t>
            </w:r>
          </w:p>
        </w:tc>
        <w:tc>
          <w:tcPr>
            <w:tcW w:w="6453" w:type="dxa"/>
          </w:tcPr>
          <w:p w14:paraId="5883F5ED" w14:textId="77777777" w:rsidR="00660BE9" w:rsidRPr="002041DF" w:rsidRDefault="00660BE9" w:rsidP="002041DF">
            <w:pPr>
              <w:pStyle w:val="Header"/>
              <w:widowControl w:val="0"/>
              <w:jc w:val="both"/>
              <w:rPr>
                <w:sz w:val="22"/>
                <w:szCs w:val="22"/>
                <w:lang w:val="sr-Latn-ME"/>
              </w:rPr>
            </w:pPr>
            <w:r w:rsidRPr="002041DF">
              <w:rPr>
                <w:sz w:val="22"/>
                <w:szCs w:val="22"/>
                <w:lang w:val="sr-Latn-ME"/>
              </w:rPr>
              <w:t xml:space="preserve">često: orofaringealni bol </w:t>
            </w:r>
          </w:p>
          <w:p w14:paraId="597E7A96" w14:textId="77777777" w:rsidR="00660BE9" w:rsidRPr="002041DF" w:rsidRDefault="00660BE9" w:rsidP="002041DF">
            <w:pPr>
              <w:pStyle w:val="Header"/>
              <w:widowControl w:val="0"/>
              <w:jc w:val="both"/>
              <w:rPr>
                <w:sz w:val="22"/>
                <w:szCs w:val="22"/>
                <w:lang w:val="sr-Latn-ME"/>
              </w:rPr>
            </w:pPr>
            <w:r w:rsidRPr="002041DF">
              <w:rPr>
                <w:sz w:val="22"/>
                <w:szCs w:val="22"/>
                <w:lang w:val="sr-Latn-ME"/>
              </w:rPr>
              <w:t>povremeno: nazalna kongestija</w:t>
            </w:r>
          </w:p>
          <w:p w14:paraId="39CB66DA" w14:textId="71A66DED" w:rsidR="005C16B9" w:rsidRPr="002041DF" w:rsidRDefault="00612866" w:rsidP="002041DF">
            <w:pPr>
              <w:pStyle w:val="Header"/>
              <w:widowControl w:val="0"/>
              <w:jc w:val="both"/>
              <w:rPr>
                <w:sz w:val="22"/>
                <w:szCs w:val="22"/>
                <w:lang w:val="sr-Latn-ME"/>
              </w:rPr>
            </w:pPr>
            <w:r w:rsidRPr="002041DF">
              <w:rPr>
                <w:sz w:val="22"/>
                <w:szCs w:val="22"/>
                <w:lang w:val="sr-Latn-ME"/>
              </w:rPr>
              <w:t>rijetko</w:t>
            </w:r>
            <w:r w:rsidR="005C16B9" w:rsidRPr="002041DF">
              <w:rPr>
                <w:sz w:val="22"/>
                <w:szCs w:val="22"/>
                <w:lang w:val="sr-Latn-ME"/>
              </w:rPr>
              <w:t>: alergi</w:t>
            </w:r>
            <w:r w:rsidRPr="002041DF">
              <w:rPr>
                <w:sz w:val="22"/>
                <w:szCs w:val="22"/>
                <w:lang w:val="sr-Latn-ME"/>
              </w:rPr>
              <w:t>j</w:t>
            </w:r>
            <w:r w:rsidR="005C16B9" w:rsidRPr="002041DF">
              <w:rPr>
                <w:sz w:val="22"/>
                <w:szCs w:val="22"/>
                <w:lang w:val="sr-Latn-ME"/>
              </w:rPr>
              <w:t>ski alveolitis, eozinofilna pneumonija</w:t>
            </w:r>
          </w:p>
          <w:p w14:paraId="64319F23" w14:textId="18D407E0" w:rsidR="003917C1" w:rsidRPr="002041DF" w:rsidRDefault="003917C1" w:rsidP="002041DF">
            <w:pPr>
              <w:pStyle w:val="Header"/>
              <w:widowControl w:val="0"/>
              <w:jc w:val="both"/>
              <w:rPr>
                <w:sz w:val="22"/>
                <w:szCs w:val="22"/>
                <w:lang w:val="sr-Latn-ME"/>
              </w:rPr>
            </w:pPr>
            <w:r w:rsidRPr="002041DF">
              <w:rPr>
                <w:sz w:val="22"/>
                <w:szCs w:val="22"/>
                <w:lang w:val="sr-Latn-ME"/>
              </w:rPr>
              <w:t xml:space="preserve">veoma </w:t>
            </w:r>
            <w:r w:rsidR="00612866" w:rsidRPr="002041DF">
              <w:rPr>
                <w:sz w:val="22"/>
                <w:szCs w:val="22"/>
                <w:lang w:val="sr-Latn-ME"/>
              </w:rPr>
              <w:t>rijetko</w:t>
            </w:r>
            <w:r w:rsidRPr="002041DF">
              <w:rPr>
                <w:sz w:val="22"/>
                <w:szCs w:val="22"/>
                <w:lang w:val="sr-Latn-ME"/>
              </w:rPr>
              <w:t>: organizujuća pneumonija*</w:t>
            </w:r>
          </w:p>
        </w:tc>
      </w:tr>
      <w:tr w:rsidR="00660BE9" w:rsidRPr="002041DF" w14:paraId="579889AB" w14:textId="77777777" w:rsidTr="00312713">
        <w:trPr>
          <w:cantSplit/>
        </w:trPr>
        <w:tc>
          <w:tcPr>
            <w:tcW w:w="3105" w:type="dxa"/>
          </w:tcPr>
          <w:p w14:paraId="10A0311D" w14:textId="77777777" w:rsidR="00660BE9" w:rsidRPr="002041DF" w:rsidRDefault="00660BE9" w:rsidP="002041DF">
            <w:pPr>
              <w:pStyle w:val="Header"/>
              <w:widowControl w:val="0"/>
              <w:jc w:val="both"/>
              <w:rPr>
                <w:sz w:val="22"/>
                <w:szCs w:val="22"/>
                <w:lang w:val="sr-Latn-ME"/>
              </w:rPr>
            </w:pPr>
            <w:r w:rsidRPr="002041DF">
              <w:rPr>
                <w:sz w:val="22"/>
                <w:szCs w:val="22"/>
                <w:lang w:val="sr-Latn-ME"/>
              </w:rPr>
              <w:t>Gastrointestinalni poremećaji</w:t>
            </w:r>
          </w:p>
        </w:tc>
        <w:tc>
          <w:tcPr>
            <w:tcW w:w="6453" w:type="dxa"/>
          </w:tcPr>
          <w:p w14:paraId="6C88CFCB" w14:textId="77777777" w:rsidR="00660BE9" w:rsidRPr="002041DF" w:rsidRDefault="00660BE9" w:rsidP="002041DF">
            <w:pPr>
              <w:pStyle w:val="Header"/>
              <w:widowControl w:val="0"/>
              <w:jc w:val="both"/>
              <w:rPr>
                <w:sz w:val="22"/>
                <w:szCs w:val="22"/>
                <w:lang w:val="sr-Latn-ME"/>
              </w:rPr>
            </w:pPr>
            <w:r w:rsidRPr="002041DF">
              <w:rPr>
                <w:sz w:val="22"/>
                <w:szCs w:val="22"/>
                <w:lang w:val="sr-Latn-ME"/>
              </w:rPr>
              <w:t>često: dijareja, mučnina</w:t>
            </w:r>
            <w:r w:rsidR="005D0367" w:rsidRPr="002041DF">
              <w:rPr>
                <w:sz w:val="22"/>
                <w:szCs w:val="22"/>
                <w:lang w:val="sr-Latn-ME"/>
              </w:rPr>
              <w:t>, povraćanje</w:t>
            </w:r>
          </w:p>
        </w:tc>
      </w:tr>
      <w:tr w:rsidR="00660BE9" w:rsidRPr="002041DF" w14:paraId="7BBA2DE8" w14:textId="77777777" w:rsidTr="00312713">
        <w:trPr>
          <w:cantSplit/>
        </w:trPr>
        <w:tc>
          <w:tcPr>
            <w:tcW w:w="3105" w:type="dxa"/>
          </w:tcPr>
          <w:p w14:paraId="11E646C1" w14:textId="77777777" w:rsidR="00660BE9" w:rsidRPr="002041DF" w:rsidRDefault="00660BE9" w:rsidP="002041DF">
            <w:pPr>
              <w:pStyle w:val="Header"/>
              <w:widowControl w:val="0"/>
              <w:jc w:val="both"/>
              <w:rPr>
                <w:sz w:val="22"/>
                <w:szCs w:val="22"/>
                <w:lang w:val="sr-Latn-ME"/>
              </w:rPr>
            </w:pPr>
            <w:r w:rsidRPr="002041DF">
              <w:rPr>
                <w:sz w:val="22"/>
                <w:szCs w:val="22"/>
                <w:lang w:val="sr-Latn-ME"/>
              </w:rPr>
              <w:t>Poremećaji kože i potkožnog tkiva</w:t>
            </w:r>
          </w:p>
        </w:tc>
        <w:tc>
          <w:tcPr>
            <w:tcW w:w="6453" w:type="dxa"/>
          </w:tcPr>
          <w:p w14:paraId="4A352797" w14:textId="77777777" w:rsidR="00660BE9" w:rsidRPr="002041DF" w:rsidRDefault="00660BE9" w:rsidP="002041DF">
            <w:pPr>
              <w:pStyle w:val="Header"/>
              <w:widowControl w:val="0"/>
              <w:jc w:val="both"/>
              <w:rPr>
                <w:sz w:val="22"/>
                <w:szCs w:val="22"/>
                <w:lang w:val="sr-Latn-ME"/>
              </w:rPr>
            </w:pPr>
            <w:r w:rsidRPr="002041DF">
              <w:rPr>
                <w:sz w:val="22"/>
                <w:szCs w:val="22"/>
                <w:lang w:val="sr-Latn-ME"/>
              </w:rPr>
              <w:t>često: pruritus</w:t>
            </w:r>
          </w:p>
          <w:p w14:paraId="743C9EA6" w14:textId="77777777" w:rsidR="00660BE9" w:rsidRPr="002041DF" w:rsidRDefault="00660BE9" w:rsidP="002041DF">
            <w:pPr>
              <w:pStyle w:val="Header"/>
              <w:widowControl w:val="0"/>
              <w:jc w:val="both"/>
              <w:rPr>
                <w:sz w:val="22"/>
                <w:szCs w:val="22"/>
                <w:lang w:val="sr-Latn-ME"/>
              </w:rPr>
            </w:pPr>
            <w:r w:rsidRPr="002041DF">
              <w:rPr>
                <w:sz w:val="22"/>
                <w:szCs w:val="22"/>
                <w:lang w:val="sr-Latn-ME"/>
              </w:rPr>
              <w:t>povremeno: pustularna psorijaza</w:t>
            </w:r>
            <w:r w:rsidR="00EE6F2C" w:rsidRPr="002041DF">
              <w:rPr>
                <w:sz w:val="22"/>
                <w:szCs w:val="22"/>
                <w:lang w:val="sr-Latn-ME"/>
              </w:rPr>
              <w:t>, eksfolijacija kože</w:t>
            </w:r>
            <w:r w:rsidR="005D0367" w:rsidRPr="002041DF">
              <w:rPr>
                <w:sz w:val="22"/>
                <w:szCs w:val="22"/>
                <w:lang w:val="sr-Latn-ME"/>
              </w:rPr>
              <w:t>, akne</w:t>
            </w:r>
          </w:p>
          <w:p w14:paraId="75901BD3" w14:textId="193EC9B6" w:rsidR="00452B4D" w:rsidRPr="002041DF" w:rsidRDefault="00612866" w:rsidP="002041DF">
            <w:pPr>
              <w:pStyle w:val="Header"/>
              <w:widowControl w:val="0"/>
              <w:jc w:val="both"/>
              <w:rPr>
                <w:sz w:val="22"/>
                <w:szCs w:val="22"/>
                <w:lang w:val="sr-Latn-ME"/>
              </w:rPr>
            </w:pPr>
            <w:r w:rsidRPr="002041DF">
              <w:rPr>
                <w:sz w:val="22"/>
                <w:szCs w:val="22"/>
                <w:lang w:val="sr-Latn-ME"/>
              </w:rPr>
              <w:t>rijetko</w:t>
            </w:r>
            <w:r w:rsidR="00EE6F2C" w:rsidRPr="002041DF">
              <w:rPr>
                <w:sz w:val="22"/>
                <w:szCs w:val="22"/>
                <w:lang w:val="sr-Latn-ME"/>
              </w:rPr>
              <w:t>: eksfolijativni dermatitis</w:t>
            </w:r>
            <w:r w:rsidR="00681287" w:rsidRPr="002041DF">
              <w:rPr>
                <w:sz w:val="22"/>
                <w:szCs w:val="22"/>
                <w:lang w:val="sr-Latn-ME"/>
              </w:rPr>
              <w:t xml:space="preserve">, </w:t>
            </w:r>
            <w:r w:rsidR="00FB4022" w:rsidRPr="002041DF">
              <w:rPr>
                <w:sz w:val="22"/>
                <w:szCs w:val="22"/>
                <w:lang w:val="sr-Latn-ME"/>
              </w:rPr>
              <w:t xml:space="preserve">hipersenzitivni </w:t>
            </w:r>
            <w:r w:rsidR="00681287" w:rsidRPr="002041DF">
              <w:rPr>
                <w:sz w:val="22"/>
                <w:szCs w:val="22"/>
                <w:lang w:val="sr-Latn-ME"/>
              </w:rPr>
              <w:t>vaskulitis</w:t>
            </w:r>
          </w:p>
          <w:p w14:paraId="549F3B7E" w14:textId="18CCFA79" w:rsidR="00EE6F2C" w:rsidRPr="002041DF" w:rsidRDefault="00452B4D" w:rsidP="002041DF">
            <w:pPr>
              <w:pStyle w:val="Header"/>
              <w:widowControl w:val="0"/>
              <w:jc w:val="both"/>
              <w:rPr>
                <w:sz w:val="22"/>
                <w:szCs w:val="22"/>
                <w:lang w:val="sr-Latn-ME"/>
              </w:rPr>
            </w:pPr>
            <w:r w:rsidRPr="002041DF">
              <w:rPr>
                <w:sz w:val="22"/>
                <w:szCs w:val="22"/>
                <w:lang w:val="sr-Latn-ME"/>
              </w:rPr>
              <w:t xml:space="preserve">veoma </w:t>
            </w:r>
            <w:r w:rsidR="00612866" w:rsidRPr="002041DF">
              <w:rPr>
                <w:sz w:val="22"/>
                <w:szCs w:val="22"/>
                <w:lang w:val="sr-Latn-ME"/>
              </w:rPr>
              <w:t>rijetko</w:t>
            </w:r>
            <w:r w:rsidRPr="002041DF">
              <w:rPr>
                <w:sz w:val="22"/>
                <w:szCs w:val="22"/>
                <w:lang w:val="sr-Latn-ME"/>
              </w:rPr>
              <w:t>: bulozni pemfigoid</w:t>
            </w:r>
            <w:r w:rsidR="006A25CA" w:rsidRPr="002041DF">
              <w:rPr>
                <w:sz w:val="22"/>
                <w:szCs w:val="22"/>
                <w:lang w:val="sr-Latn-ME"/>
              </w:rPr>
              <w:t xml:space="preserve">, kožni eritematozni lupus  </w:t>
            </w:r>
            <w:r w:rsidRPr="002041DF">
              <w:rPr>
                <w:sz w:val="22"/>
                <w:szCs w:val="22"/>
                <w:lang w:val="sr-Latn-ME"/>
              </w:rPr>
              <w:t xml:space="preserve">  </w:t>
            </w:r>
          </w:p>
        </w:tc>
      </w:tr>
      <w:tr w:rsidR="00660BE9" w:rsidRPr="002041DF" w14:paraId="3EA54154" w14:textId="77777777" w:rsidTr="00312713">
        <w:trPr>
          <w:cantSplit/>
        </w:trPr>
        <w:tc>
          <w:tcPr>
            <w:tcW w:w="3105" w:type="dxa"/>
          </w:tcPr>
          <w:p w14:paraId="30801505" w14:textId="77777777" w:rsidR="00660BE9" w:rsidRPr="002041DF" w:rsidRDefault="008D1022" w:rsidP="002041DF">
            <w:pPr>
              <w:pStyle w:val="Header"/>
              <w:widowControl w:val="0"/>
              <w:jc w:val="both"/>
              <w:rPr>
                <w:sz w:val="22"/>
                <w:szCs w:val="22"/>
                <w:lang w:val="sr-Latn-ME"/>
              </w:rPr>
            </w:pPr>
            <w:r w:rsidRPr="002041DF">
              <w:rPr>
                <w:sz w:val="22"/>
                <w:szCs w:val="22"/>
                <w:lang w:val="sr-Latn-ME"/>
              </w:rPr>
              <w:t>Poremećaji mišićno-koštanog sistema i vezivnog tkiva</w:t>
            </w:r>
          </w:p>
        </w:tc>
        <w:tc>
          <w:tcPr>
            <w:tcW w:w="6453" w:type="dxa"/>
          </w:tcPr>
          <w:p w14:paraId="1D9D2082" w14:textId="77777777" w:rsidR="00660BE9" w:rsidRPr="002041DF" w:rsidRDefault="00660BE9" w:rsidP="002041DF">
            <w:pPr>
              <w:pStyle w:val="Header"/>
              <w:widowControl w:val="0"/>
              <w:jc w:val="both"/>
              <w:rPr>
                <w:sz w:val="22"/>
                <w:szCs w:val="22"/>
                <w:lang w:val="sr-Latn-ME"/>
              </w:rPr>
            </w:pPr>
            <w:r w:rsidRPr="002041DF">
              <w:rPr>
                <w:sz w:val="22"/>
                <w:szCs w:val="22"/>
                <w:lang w:val="sr-Latn-ME"/>
              </w:rPr>
              <w:t>često: bol u leđima, mialgija, artralgija</w:t>
            </w:r>
          </w:p>
          <w:p w14:paraId="3CB31E7C" w14:textId="0AB1C602" w:rsidR="006A25CA" w:rsidRPr="002041DF" w:rsidRDefault="006A25CA" w:rsidP="002041DF">
            <w:pPr>
              <w:pStyle w:val="Header"/>
              <w:widowControl w:val="0"/>
              <w:jc w:val="both"/>
              <w:rPr>
                <w:sz w:val="22"/>
                <w:szCs w:val="22"/>
                <w:lang w:val="sr-Latn-ME"/>
              </w:rPr>
            </w:pPr>
            <w:r w:rsidRPr="002041DF">
              <w:rPr>
                <w:sz w:val="22"/>
                <w:szCs w:val="22"/>
                <w:lang w:val="sr-Latn-ME"/>
              </w:rPr>
              <w:t xml:space="preserve">veoma </w:t>
            </w:r>
            <w:r w:rsidR="00612866" w:rsidRPr="002041DF">
              <w:rPr>
                <w:sz w:val="22"/>
                <w:szCs w:val="22"/>
                <w:lang w:val="sr-Latn-ME"/>
              </w:rPr>
              <w:t>rijetko</w:t>
            </w:r>
            <w:r w:rsidRPr="002041DF">
              <w:rPr>
                <w:sz w:val="22"/>
                <w:szCs w:val="22"/>
                <w:lang w:val="sr-Latn-ME"/>
              </w:rPr>
              <w:t>: sindrom sličan lupusu</w:t>
            </w:r>
          </w:p>
        </w:tc>
      </w:tr>
      <w:tr w:rsidR="00660BE9" w:rsidRPr="002041DF" w14:paraId="5E5A5DCA" w14:textId="77777777" w:rsidTr="00312713">
        <w:trPr>
          <w:cantSplit/>
        </w:trPr>
        <w:tc>
          <w:tcPr>
            <w:tcW w:w="3105" w:type="dxa"/>
          </w:tcPr>
          <w:p w14:paraId="64C81BE4" w14:textId="048D7721" w:rsidR="00660BE9" w:rsidRPr="002041DF" w:rsidRDefault="00660BE9" w:rsidP="002041DF">
            <w:pPr>
              <w:pStyle w:val="Header"/>
              <w:widowControl w:val="0"/>
              <w:jc w:val="both"/>
              <w:rPr>
                <w:sz w:val="22"/>
                <w:szCs w:val="22"/>
                <w:lang w:val="sr-Latn-ME"/>
              </w:rPr>
            </w:pPr>
            <w:r w:rsidRPr="002041DF">
              <w:rPr>
                <w:sz w:val="22"/>
                <w:szCs w:val="22"/>
                <w:lang w:val="sr-Latn-ME"/>
              </w:rPr>
              <w:lastRenderedPageBreak/>
              <w:t xml:space="preserve">Opšti poremećaji </w:t>
            </w:r>
            <w:r w:rsidR="008D1022" w:rsidRPr="002041DF">
              <w:rPr>
                <w:sz w:val="22"/>
                <w:szCs w:val="22"/>
                <w:lang w:val="sr-Latn-ME"/>
              </w:rPr>
              <w:t xml:space="preserve">i reakcije </w:t>
            </w:r>
            <w:r w:rsidRPr="002041DF">
              <w:rPr>
                <w:sz w:val="22"/>
                <w:szCs w:val="22"/>
                <w:lang w:val="sr-Latn-ME"/>
              </w:rPr>
              <w:t>na m</w:t>
            </w:r>
            <w:r w:rsidR="00612866" w:rsidRPr="002041DF">
              <w:rPr>
                <w:sz w:val="22"/>
                <w:szCs w:val="22"/>
                <w:lang w:val="sr-Latn-ME"/>
              </w:rPr>
              <w:t>j</w:t>
            </w:r>
            <w:r w:rsidRPr="002041DF">
              <w:rPr>
                <w:sz w:val="22"/>
                <w:szCs w:val="22"/>
                <w:lang w:val="sr-Latn-ME"/>
              </w:rPr>
              <w:t>estu prim</w:t>
            </w:r>
            <w:r w:rsidR="00612866" w:rsidRPr="002041DF">
              <w:rPr>
                <w:sz w:val="22"/>
                <w:szCs w:val="22"/>
                <w:lang w:val="sr-Latn-ME"/>
              </w:rPr>
              <w:t>j</w:t>
            </w:r>
            <w:r w:rsidRPr="002041DF">
              <w:rPr>
                <w:sz w:val="22"/>
                <w:szCs w:val="22"/>
                <w:lang w:val="sr-Latn-ME"/>
              </w:rPr>
              <w:t>ene</w:t>
            </w:r>
          </w:p>
        </w:tc>
        <w:tc>
          <w:tcPr>
            <w:tcW w:w="6453" w:type="dxa"/>
          </w:tcPr>
          <w:p w14:paraId="6BE2D4A4" w14:textId="3AF7B96B" w:rsidR="00660BE9" w:rsidRPr="002041DF" w:rsidRDefault="00660BE9" w:rsidP="002041DF">
            <w:pPr>
              <w:pStyle w:val="Header"/>
              <w:widowControl w:val="0"/>
              <w:jc w:val="both"/>
              <w:rPr>
                <w:sz w:val="22"/>
                <w:szCs w:val="22"/>
                <w:lang w:val="sr-Latn-ME"/>
              </w:rPr>
            </w:pPr>
            <w:r w:rsidRPr="002041DF">
              <w:rPr>
                <w:sz w:val="22"/>
                <w:szCs w:val="22"/>
                <w:lang w:val="sr-Latn-ME"/>
              </w:rPr>
              <w:t>često: zamor, eritem na m</w:t>
            </w:r>
            <w:r w:rsidR="00612866" w:rsidRPr="002041DF">
              <w:rPr>
                <w:sz w:val="22"/>
                <w:szCs w:val="22"/>
                <w:lang w:val="sr-Latn-ME"/>
              </w:rPr>
              <w:t>j</w:t>
            </w:r>
            <w:r w:rsidRPr="002041DF">
              <w:rPr>
                <w:sz w:val="22"/>
                <w:szCs w:val="22"/>
                <w:lang w:val="sr-Latn-ME"/>
              </w:rPr>
              <w:t>estu</w:t>
            </w:r>
            <w:r w:rsidR="00891C9B" w:rsidRPr="002041DF">
              <w:rPr>
                <w:sz w:val="22"/>
                <w:szCs w:val="22"/>
                <w:lang w:val="sr-Latn-ME"/>
              </w:rPr>
              <w:t xml:space="preserve"> primjene </w:t>
            </w:r>
            <w:r w:rsidRPr="002041DF">
              <w:rPr>
                <w:sz w:val="22"/>
                <w:szCs w:val="22"/>
                <w:lang w:val="sr-Latn-ME"/>
              </w:rPr>
              <w:t>injekcije, bol na m</w:t>
            </w:r>
            <w:r w:rsidR="00612866" w:rsidRPr="002041DF">
              <w:rPr>
                <w:sz w:val="22"/>
                <w:szCs w:val="22"/>
                <w:lang w:val="sr-Latn-ME"/>
              </w:rPr>
              <w:t>j</w:t>
            </w:r>
            <w:r w:rsidRPr="002041DF">
              <w:rPr>
                <w:sz w:val="22"/>
                <w:szCs w:val="22"/>
                <w:lang w:val="sr-Latn-ME"/>
              </w:rPr>
              <w:t>estu</w:t>
            </w:r>
            <w:r w:rsidR="00891C9B" w:rsidRPr="002041DF">
              <w:rPr>
                <w:sz w:val="22"/>
                <w:szCs w:val="22"/>
                <w:lang w:val="sr-Latn-ME"/>
              </w:rPr>
              <w:t xml:space="preserve"> primjene </w:t>
            </w:r>
            <w:r w:rsidRPr="002041DF">
              <w:rPr>
                <w:sz w:val="22"/>
                <w:szCs w:val="22"/>
                <w:lang w:val="sr-Latn-ME"/>
              </w:rPr>
              <w:t>injekcije</w:t>
            </w:r>
          </w:p>
          <w:p w14:paraId="7804771C" w14:textId="4C910B7F" w:rsidR="00660BE9" w:rsidRPr="002041DF" w:rsidRDefault="00660BE9" w:rsidP="002041DF">
            <w:pPr>
              <w:pStyle w:val="Header"/>
              <w:widowControl w:val="0"/>
              <w:jc w:val="both"/>
              <w:rPr>
                <w:sz w:val="22"/>
                <w:szCs w:val="22"/>
                <w:lang w:val="sr-Latn-ME"/>
              </w:rPr>
            </w:pPr>
            <w:r w:rsidRPr="002041DF">
              <w:rPr>
                <w:sz w:val="22"/>
                <w:szCs w:val="22"/>
                <w:lang w:val="sr-Latn-ME"/>
              </w:rPr>
              <w:t>povremeno: reakcije na m</w:t>
            </w:r>
            <w:r w:rsidR="00612866" w:rsidRPr="002041DF">
              <w:rPr>
                <w:sz w:val="22"/>
                <w:szCs w:val="22"/>
                <w:lang w:val="sr-Latn-ME"/>
              </w:rPr>
              <w:t>j</w:t>
            </w:r>
            <w:r w:rsidRPr="002041DF">
              <w:rPr>
                <w:sz w:val="22"/>
                <w:szCs w:val="22"/>
                <w:lang w:val="sr-Latn-ME"/>
              </w:rPr>
              <w:t>estu</w:t>
            </w:r>
            <w:r w:rsidR="00891C9B" w:rsidRPr="002041DF">
              <w:rPr>
                <w:sz w:val="22"/>
                <w:szCs w:val="22"/>
                <w:lang w:val="sr-Latn-ME"/>
              </w:rPr>
              <w:t xml:space="preserve"> primjene </w:t>
            </w:r>
            <w:r w:rsidRPr="002041DF">
              <w:rPr>
                <w:sz w:val="22"/>
                <w:szCs w:val="22"/>
                <w:lang w:val="sr-Latn-ME"/>
              </w:rPr>
              <w:t>injekcije (uključujući krvarenje, hematom, induraciju, otok i svrab)</w:t>
            </w:r>
            <w:r w:rsidR="005D0367" w:rsidRPr="002041DF">
              <w:rPr>
                <w:sz w:val="22"/>
                <w:szCs w:val="22"/>
                <w:lang w:val="sr-Latn-ME"/>
              </w:rPr>
              <w:t>, astenija</w:t>
            </w:r>
          </w:p>
        </w:tc>
      </w:tr>
    </w:tbl>
    <w:p w14:paraId="798A48DC" w14:textId="7F338C95" w:rsidR="001B4890" w:rsidRPr="007C6E24" w:rsidRDefault="001B4890" w:rsidP="002041DF">
      <w:pPr>
        <w:pStyle w:val="Header"/>
        <w:widowControl w:val="0"/>
        <w:tabs>
          <w:tab w:val="left" w:pos="284"/>
          <w:tab w:val="left" w:pos="8931"/>
        </w:tabs>
        <w:jc w:val="both"/>
        <w:rPr>
          <w:sz w:val="20"/>
          <w:szCs w:val="22"/>
          <w:lang w:val="sr-Latn-ME"/>
        </w:rPr>
      </w:pPr>
      <w:r w:rsidRPr="007C6E24">
        <w:rPr>
          <w:sz w:val="20"/>
          <w:szCs w:val="22"/>
          <w:lang w:val="sr-Latn-ME"/>
        </w:rPr>
        <w:t>*</w:t>
      </w:r>
      <w:r w:rsidRPr="007C6E24">
        <w:rPr>
          <w:sz w:val="20"/>
          <w:szCs w:val="22"/>
          <w:lang w:val="sr-Latn-ME"/>
        </w:rPr>
        <w:tab/>
      </w:r>
      <w:r w:rsidR="006779EA" w:rsidRPr="007C6E24">
        <w:rPr>
          <w:sz w:val="20"/>
          <w:szCs w:val="22"/>
          <w:lang w:val="sr-Latn-ME"/>
        </w:rPr>
        <w:t>Vidjeti</w:t>
      </w:r>
      <w:r w:rsidRPr="007C6E24">
        <w:rPr>
          <w:sz w:val="20"/>
          <w:szCs w:val="22"/>
          <w:lang w:val="sr-Latn-ME"/>
        </w:rPr>
        <w:t xml:space="preserve"> </w:t>
      </w:r>
      <w:r w:rsidR="00292E06" w:rsidRPr="007C6E24">
        <w:rPr>
          <w:sz w:val="20"/>
          <w:szCs w:val="22"/>
          <w:lang w:val="sr-Latn-ME"/>
        </w:rPr>
        <w:t>dio</w:t>
      </w:r>
      <w:r w:rsidRPr="007C6E24">
        <w:rPr>
          <w:sz w:val="20"/>
          <w:szCs w:val="22"/>
          <w:lang w:val="sr-Latn-ME"/>
        </w:rPr>
        <w:t xml:space="preserve"> 4.4. Sistemske i respiratorne reakije pre</w:t>
      </w:r>
      <w:r w:rsidR="00891C9B" w:rsidRPr="007C6E24">
        <w:rPr>
          <w:sz w:val="20"/>
          <w:szCs w:val="22"/>
          <w:lang w:val="sr-Latn-ME"/>
        </w:rPr>
        <w:t>osjetljiv</w:t>
      </w:r>
      <w:r w:rsidRPr="007C6E24">
        <w:rPr>
          <w:sz w:val="20"/>
          <w:szCs w:val="22"/>
          <w:lang w:val="sr-Latn-ME"/>
        </w:rPr>
        <w:t>osti</w:t>
      </w:r>
    </w:p>
    <w:p w14:paraId="4BCCE885" w14:textId="77777777" w:rsidR="00660BE9" w:rsidRPr="002041DF" w:rsidRDefault="00660BE9" w:rsidP="002041DF">
      <w:pPr>
        <w:pStyle w:val="Header"/>
        <w:widowControl w:val="0"/>
        <w:tabs>
          <w:tab w:val="left" w:pos="284"/>
        </w:tabs>
        <w:jc w:val="both"/>
        <w:rPr>
          <w:sz w:val="22"/>
          <w:szCs w:val="22"/>
          <w:lang w:val="sr-Latn-ME"/>
        </w:rPr>
      </w:pPr>
    </w:p>
    <w:p w14:paraId="0F0123DD" w14:textId="77A52F34" w:rsidR="002E5829" w:rsidRPr="002041DF" w:rsidRDefault="002E5829" w:rsidP="002041DF">
      <w:pPr>
        <w:pStyle w:val="Header"/>
        <w:widowControl w:val="0"/>
        <w:tabs>
          <w:tab w:val="left" w:pos="284"/>
        </w:tabs>
        <w:jc w:val="both"/>
        <w:rPr>
          <w:sz w:val="22"/>
          <w:szCs w:val="22"/>
          <w:u w:val="single"/>
          <w:lang w:val="sr-Latn-ME"/>
        </w:rPr>
      </w:pPr>
      <w:r w:rsidRPr="002041DF">
        <w:rPr>
          <w:sz w:val="22"/>
          <w:szCs w:val="22"/>
          <w:u w:val="single"/>
          <w:lang w:val="sr-Latn-ME"/>
        </w:rPr>
        <w:t xml:space="preserve">Opis </w:t>
      </w:r>
      <w:r w:rsidR="00057787" w:rsidRPr="002041DF">
        <w:rPr>
          <w:sz w:val="22"/>
          <w:szCs w:val="22"/>
          <w:u w:val="single"/>
          <w:lang w:val="sr-Latn-ME"/>
        </w:rPr>
        <w:t xml:space="preserve">odabranih neželjenih </w:t>
      </w:r>
      <w:r w:rsidR="00892454" w:rsidRPr="002041DF">
        <w:rPr>
          <w:sz w:val="22"/>
          <w:szCs w:val="22"/>
          <w:u w:val="single"/>
          <w:lang w:val="sr-Latn-ME"/>
        </w:rPr>
        <w:t>dejstava</w:t>
      </w:r>
    </w:p>
    <w:p w14:paraId="39C99E31" w14:textId="77777777" w:rsidR="002E5829" w:rsidRPr="002041DF" w:rsidRDefault="002E5829" w:rsidP="002041DF">
      <w:pPr>
        <w:pStyle w:val="Header"/>
        <w:widowControl w:val="0"/>
        <w:tabs>
          <w:tab w:val="left" w:pos="284"/>
        </w:tabs>
        <w:jc w:val="both"/>
        <w:rPr>
          <w:sz w:val="22"/>
          <w:szCs w:val="22"/>
          <w:u w:val="single"/>
          <w:lang w:val="sr-Latn-ME"/>
        </w:rPr>
      </w:pPr>
    </w:p>
    <w:p w14:paraId="06C68D87" w14:textId="77777777" w:rsidR="00660BE9" w:rsidRPr="002041DF" w:rsidRDefault="00660BE9" w:rsidP="002041DF">
      <w:pPr>
        <w:pStyle w:val="Header"/>
        <w:widowControl w:val="0"/>
        <w:tabs>
          <w:tab w:val="left" w:pos="284"/>
        </w:tabs>
        <w:jc w:val="both"/>
        <w:rPr>
          <w:sz w:val="22"/>
          <w:szCs w:val="22"/>
          <w:lang w:val="sr-Latn-ME"/>
        </w:rPr>
      </w:pPr>
      <w:r w:rsidRPr="002041DF">
        <w:rPr>
          <w:sz w:val="22"/>
          <w:szCs w:val="22"/>
          <w:u w:val="single"/>
          <w:lang w:val="sr-Latn-ME"/>
        </w:rPr>
        <w:t>Infekcije</w:t>
      </w:r>
    </w:p>
    <w:p w14:paraId="0A3031B6" w14:textId="2D0EF91E" w:rsidR="00660BE9" w:rsidRPr="002041DF" w:rsidRDefault="00660BE9" w:rsidP="002041DF">
      <w:pPr>
        <w:pStyle w:val="Header"/>
        <w:widowControl w:val="0"/>
        <w:tabs>
          <w:tab w:val="left" w:pos="284"/>
        </w:tabs>
        <w:jc w:val="both"/>
        <w:rPr>
          <w:sz w:val="22"/>
          <w:szCs w:val="22"/>
          <w:lang w:val="sr-Latn-ME"/>
        </w:rPr>
      </w:pPr>
      <w:r w:rsidRPr="002041DF">
        <w:rPr>
          <w:sz w:val="22"/>
          <w:szCs w:val="22"/>
          <w:lang w:val="sr-Latn-ME"/>
        </w:rPr>
        <w:t>U placebo kontrolisanim kliničkim ispitivanjima kod pacijenata sa psorijazom</w:t>
      </w:r>
      <w:r w:rsidR="005D0367" w:rsidRPr="002041DF">
        <w:rPr>
          <w:sz w:val="22"/>
          <w:szCs w:val="22"/>
          <w:lang w:val="sr-Latn-ME"/>
        </w:rPr>
        <w:t xml:space="preserve">, </w:t>
      </w:r>
      <w:r w:rsidRPr="002041DF">
        <w:rPr>
          <w:sz w:val="22"/>
          <w:szCs w:val="22"/>
          <w:lang w:val="sr-Latn-ME"/>
        </w:rPr>
        <w:t>psorijatičnim artritisom</w:t>
      </w:r>
      <w:r w:rsidR="001B4890" w:rsidRPr="002041DF">
        <w:rPr>
          <w:sz w:val="22"/>
          <w:szCs w:val="22"/>
          <w:lang w:val="sr-Latn-ME"/>
        </w:rPr>
        <w:t>,</w:t>
      </w:r>
      <w:r w:rsidR="005D0367" w:rsidRPr="002041DF">
        <w:rPr>
          <w:sz w:val="22"/>
          <w:szCs w:val="22"/>
          <w:lang w:val="sr-Latn-ME"/>
        </w:rPr>
        <w:t xml:space="preserve"> Kronovom </w:t>
      </w:r>
      <w:r w:rsidR="00C24CEA" w:rsidRPr="002041DF">
        <w:rPr>
          <w:sz w:val="22"/>
          <w:szCs w:val="22"/>
          <w:lang w:val="sr-Latn-ME" w:eastAsia="x-none"/>
        </w:rPr>
        <w:t>bolešću</w:t>
      </w:r>
      <w:r w:rsidR="001B4890" w:rsidRPr="002041DF">
        <w:rPr>
          <w:sz w:val="22"/>
          <w:szCs w:val="22"/>
          <w:lang w:val="sr-Latn-ME" w:eastAsia="x-none"/>
        </w:rPr>
        <w:t xml:space="preserve"> </w:t>
      </w:r>
      <w:r w:rsidR="001B4890" w:rsidRPr="002041DF">
        <w:rPr>
          <w:sz w:val="22"/>
          <w:szCs w:val="22"/>
          <w:lang w:val="sr-Latn-ME"/>
        </w:rPr>
        <w:t>i ulceroznim kolitisom</w:t>
      </w:r>
      <w:r w:rsidRPr="002041DF">
        <w:rPr>
          <w:sz w:val="22"/>
          <w:szCs w:val="22"/>
          <w:lang w:val="sr-Latn-ME"/>
        </w:rPr>
        <w:t>, stepen infekcija ili ozbiljnih infekcija je bio sličan kod pacijenata koji su primali</w:t>
      </w:r>
      <w:r w:rsidR="005D0367" w:rsidRPr="002041DF">
        <w:rPr>
          <w:sz w:val="22"/>
          <w:szCs w:val="22"/>
          <w:lang w:val="sr-Latn-ME"/>
        </w:rPr>
        <w:t xml:space="preserve"> </w:t>
      </w:r>
      <w:r w:rsidRPr="002041DF">
        <w:rPr>
          <w:sz w:val="22"/>
          <w:szCs w:val="22"/>
          <w:lang w:val="sr-Latn-ME"/>
        </w:rPr>
        <w:t xml:space="preserve">ustekinumab i kod pacijenata koji su primali placebo. U </w:t>
      </w:r>
      <w:r w:rsidR="00C24CEA" w:rsidRPr="002041DF">
        <w:rPr>
          <w:sz w:val="22"/>
          <w:szCs w:val="22"/>
          <w:lang w:val="sr-Latn-ME" w:eastAsia="x-none"/>
        </w:rPr>
        <w:t>periodu</w:t>
      </w:r>
      <w:r w:rsidR="001B4890" w:rsidRPr="002041DF">
        <w:rPr>
          <w:sz w:val="22"/>
          <w:szCs w:val="22"/>
          <w:lang w:val="sr-Latn-ME" w:eastAsia="x-none"/>
        </w:rPr>
        <w:t xml:space="preserve"> tih</w:t>
      </w:r>
      <w:r w:rsidR="00C24CEA" w:rsidRPr="002041DF">
        <w:rPr>
          <w:sz w:val="22"/>
          <w:szCs w:val="22"/>
          <w:lang w:val="sr-Latn-ME" w:eastAsia="x-none"/>
        </w:rPr>
        <w:t xml:space="preserve"> placebo kontrolisanih </w:t>
      </w:r>
      <w:r w:rsidRPr="002041DF">
        <w:rPr>
          <w:sz w:val="22"/>
          <w:szCs w:val="22"/>
          <w:lang w:val="sr-Latn-ME"/>
        </w:rPr>
        <w:t xml:space="preserve">kliničkih ispitivanja, stepen infekcija u grupi pacijenata </w:t>
      </w:r>
      <w:r w:rsidR="00891C9B" w:rsidRPr="002041DF">
        <w:rPr>
          <w:sz w:val="22"/>
          <w:szCs w:val="22"/>
          <w:lang w:val="sr-Latn-ME"/>
        </w:rPr>
        <w:t>liječen</w:t>
      </w:r>
      <w:r w:rsidRPr="002041DF">
        <w:rPr>
          <w:sz w:val="22"/>
          <w:szCs w:val="22"/>
          <w:lang w:val="sr-Latn-ME"/>
        </w:rPr>
        <w:t>ih ustekinumabom je bio 1,</w:t>
      </w:r>
      <w:r w:rsidR="001B4890" w:rsidRPr="002041DF">
        <w:rPr>
          <w:sz w:val="22"/>
          <w:szCs w:val="22"/>
          <w:lang w:val="sr-Latn-ME"/>
        </w:rPr>
        <w:t>36</w:t>
      </w:r>
      <w:r w:rsidRPr="002041DF">
        <w:rPr>
          <w:sz w:val="22"/>
          <w:szCs w:val="22"/>
          <w:lang w:val="sr-Latn-ME"/>
        </w:rPr>
        <w:t xml:space="preserve"> po pacijent</w:t>
      </w:r>
      <w:r w:rsidR="00057787" w:rsidRPr="002041DF">
        <w:rPr>
          <w:sz w:val="22"/>
          <w:szCs w:val="22"/>
          <w:lang w:val="sr-Latn-ME"/>
        </w:rPr>
        <w:t>-godin</w:t>
      </w:r>
      <w:r w:rsidR="00F408A0" w:rsidRPr="002041DF">
        <w:rPr>
          <w:sz w:val="22"/>
          <w:szCs w:val="22"/>
          <w:lang w:val="sr-Latn-ME"/>
        </w:rPr>
        <w:t>a</w:t>
      </w:r>
      <w:r w:rsidR="00057787" w:rsidRPr="002041DF">
        <w:rPr>
          <w:sz w:val="22"/>
          <w:szCs w:val="22"/>
          <w:lang w:val="sr-Latn-ME"/>
        </w:rPr>
        <w:t xml:space="preserve"> </w:t>
      </w:r>
      <w:r w:rsidRPr="002041DF">
        <w:rPr>
          <w:sz w:val="22"/>
          <w:szCs w:val="22"/>
          <w:lang w:val="sr-Latn-ME"/>
        </w:rPr>
        <w:t>praćenja, u odnosu na 1,</w:t>
      </w:r>
      <w:r w:rsidR="005D0367" w:rsidRPr="002041DF">
        <w:rPr>
          <w:sz w:val="22"/>
          <w:szCs w:val="22"/>
          <w:lang w:val="sr-Latn-ME"/>
        </w:rPr>
        <w:t>3</w:t>
      </w:r>
      <w:r w:rsidR="001B4890" w:rsidRPr="002041DF">
        <w:rPr>
          <w:sz w:val="22"/>
          <w:szCs w:val="22"/>
          <w:lang w:val="sr-Latn-ME"/>
        </w:rPr>
        <w:t>4</w:t>
      </w:r>
      <w:r w:rsidRPr="002041DF">
        <w:rPr>
          <w:sz w:val="22"/>
          <w:szCs w:val="22"/>
          <w:lang w:val="sr-Latn-ME"/>
        </w:rPr>
        <w:t xml:space="preserve"> </w:t>
      </w:r>
      <w:r w:rsidR="00C24CEA" w:rsidRPr="002041DF">
        <w:rPr>
          <w:sz w:val="22"/>
          <w:szCs w:val="22"/>
          <w:lang w:val="sr-Latn-ME"/>
        </w:rPr>
        <w:t xml:space="preserve">kod </w:t>
      </w:r>
      <w:r w:rsidRPr="002041DF">
        <w:rPr>
          <w:sz w:val="22"/>
          <w:szCs w:val="22"/>
          <w:lang w:val="sr-Latn-ME"/>
        </w:rPr>
        <w:t>pacijenata</w:t>
      </w:r>
      <w:r w:rsidR="007C3AAF" w:rsidRPr="002041DF">
        <w:rPr>
          <w:sz w:val="22"/>
          <w:szCs w:val="22"/>
          <w:lang w:val="sr-Latn-ME"/>
        </w:rPr>
        <w:t xml:space="preserve"> </w:t>
      </w:r>
      <w:r w:rsidRPr="002041DF">
        <w:rPr>
          <w:sz w:val="22"/>
          <w:szCs w:val="22"/>
          <w:lang w:val="sr-Latn-ME"/>
        </w:rPr>
        <w:t xml:space="preserve">koji su primali placebo. </w:t>
      </w:r>
      <w:r w:rsidR="004753F6" w:rsidRPr="002041DF">
        <w:rPr>
          <w:sz w:val="22"/>
          <w:szCs w:val="22"/>
          <w:lang w:val="sr-Latn-ME"/>
        </w:rPr>
        <w:t>Ozbiljne</w:t>
      </w:r>
      <w:r w:rsidRPr="002041DF">
        <w:rPr>
          <w:sz w:val="22"/>
          <w:szCs w:val="22"/>
          <w:lang w:val="sr-Latn-ME"/>
        </w:rPr>
        <w:t xml:space="preserve"> infekcije su se javljale </w:t>
      </w:r>
      <w:r w:rsidR="00C24CEA" w:rsidRPr="002041DF">
        <w:rPr>
          <w:sz w:val="22"/>
          <w:szCs w:val="22"/>
          <w:lang w:val="sr-Latn-ME"/>
        </w:rPr>
        <w:t xml:space="preserve">u stopi od </w:t>
      </w:r>
      <w:r w:rsidRPr="002041DF">
        <w:rPr>
          <w:sz w:val="22"/>
          <w:szCs w:val="22"/>
          <w:lang w:val="sr-Latn-ME"/>
        </w:rPr>
        <w:t>0,</w:t>
      </w:r>
      <w:r w:rsidR="005D0367" w:rsidRPr="002041DF">
        <w:rPr>
          <w:sz w:val="22"/>
          <w:szCs w:val="22"/>
          <w:lang w:val="sr-Latn-ME"/>
        </w:rPr>
        <w:t>03</w:t>
      </w:r>
      <w:r w:rsidRPr="002041DF">
        <w:rPr>
          <w:sz w:val="22"/>
          <w:szCs w:val="22"/>
          <w:lang w:val="sr-Latn-ME"/>
        </w:rPr>
        <w:t xml:space="preserve"> po pacijent</w:t>
      </w:r>
      <w:r w:rsidR="00057787" w:rsidRPr="002041DF">
        <w:rPr>
          <w:sz w:val="22"/>
          <w:szCs w:val="22"/>
          <w:lang w:val="sr-Latn-ME"/>
        </w:rPr>
        <w:t>-godin</w:t>
      </w:r>
      <w:r w:rsidR="00F408A0" w:rsidRPr="002041DF">
        <w:rPr>
          <w:sz w:val="22"/>
          <w:szCs w:val="22"/>
          <w:lang w:val="sr-Latn-ME"/>
        </w:rPr>
        <w:t>a</w:t>
      </w:r>
      <w:r w:rsidRPr="002041DF">
        <w:rPr>
          <w:sz w:val="22"/>
          <w:szCs w:val="22"/>
          <w:lang w:val="sr-Latn-ME"/>
        </w:rPr>
        <w:t xml:space="preserve"> praćenja </w:t>
      </w:r>
      <w:r w:rsidR="00C24CEA" w:rsidRPr="002041DF">
        <w:rPr>
          <w:sz w:val="22"/>
          <w:szCs w:val="22"/>
          <w:lang w:val="sr-Latn-ME" w:eastAsia="x-none"/>
        </w:rPr>
        <w:t xml:space="preserve">pacijenata </w:t>
      </w:r>
      <w:r w:rsidR="00891C9B" w:rsidRPr="002041DF">
        <w:rPr>
          <w:sz w:val="22"/>
          <w:szCs w:val="22"/>
          <w:lang w:val="sr-Latn-ME" w:eastAsia="x-none"/>
        </w:rPr>
        <w:t>liječen</w:t>
      </w:r>
      <w:r w:rsidR="00C24CEA" w:rsidRPr="002041DF">
        <w:rPr>
          <w:sz w:val="22"/>
          <w:szCs w:val="22"/>
          <w:lang w:val="sr-Latn-ME" w:eastAsia="x-none"/>
        </w:rPr>
        <w:t xml:space="preserve">ih ustekinumabom </w:t>
      </w:r>
      <w:r w:rsidRPr="002041DF">
        <w:rPr>
          <w:sz w:val="22"/>
          <w:szCs w:val="22"/>
          <w:lang w:val="sr-Latn-ME"/>
        </w:rPr>
        <w:t>(</w:t>
      </w:r>
      <w:r w:rsidR="001B4890" w:rsidRPr="002041DF">
        <w:rPr>
          <w:sz w:val="22"/>
          <w:szCs w:val="22"/>
          <w:lang w:val="sr-Latn-ME"/>
        </w:rPr>
        <w:t xml:space="preserve">30 </w:t>
      </w:r>
      <w:r w:rsidR="00057787" w:rsidRPr="002041DF">
        <w:rPr>
          <w:sz w:val="22"/>
          <w:szCs w:val="22"/>
          <w:lang w:val="sr-Latn-ME"/>
        </w:rPr>
        <w:t>teških</w:t>
      </w:r>
      <w:r w:rsidRPr="002041DF">
        <w:rPr>
          <w:sz w:val="22"/>
          <w:szCs w:val="22"/>
          <w:lang w:val="sr-Latn-ME"/>
        </w:rPr>
        <w:t xml:space="preserve"> infekcija od </w:t>
      </w:r>
      <w:r w:rsidR="001B4890" w:rsidRPr="002041DF">
        <w:rPr>
          <w:sz w:val="22"/>
          <w:szCs w:val="22"/>
          <w:lang w:val="sr-Latn-ME"/>
        </w:rPr>
        <w:t xml:space="preserve">930 </w:t>
      </w:r>
      <w:r w:rsidRPr="002041DF">
        <w:rPr>
          <w:sz w:val="22"/>
          <w:szCs w:val="22"/>
          <w:lang w:val="sr-Latn-ME"/>
        </w:rPr>
        <w:t>pacijen</w:t>
      </w:r>
      <w:r w:rsidR="00A92785" w:rsidRPr="002041DF">
        <w:rPr>
          <w:sz w:val="22"/>
          <w:szCs w:val="22"/>
          <w:lang w:val="sr-Latn-ME"/>
        </w:rPr>
        <w:t>t</w:t>
      </w:r>
      <w:r w:rsidR="00057787" w:rsidRPr="002041DF">
        <w:rPr>
          <w:sz w:val="22"/>
          <w:szCs w:val="22"/>
          <w:lang w:val="sr-Latn-ME"/>
        </w:rPr>
        <w:t>-godin</w:t>
      </w:r>
      <w:r w:rsidR="00C24CEA" w:rsidRPr="002041DF">
        <w:rPr>
          <w:sz w:val="22"/>
          <w:szCs w:val="22"/>
          <w:lang w:val="sr-Latn-ME"/>
        </w:rPr>
        <w:t>a</w:t>
      </w:r>
      <w:r w:rsidR="00057787" w:rsidRPr="002041DF">
        <w:rPr>
          <w:sz w:val="22"/>
          <w:szCs w:val="22"/>
          <w:lang w:val="sr-Latn-ME"/>
        </w:rPr>
        <w:t xml:space="preserve"> </w:t>
      </w:r>
      <w:r w:rsidRPr="002041DF">
        <w:rPr>
          <w:sz w:val="22"/>
          <w:szCs w:val="22"/>
          <w:lang w:val="sr-Latn-ME"/>
        </w:rPr>
        <w:t>praćenja) u odnosu na 0,0</w:t>
      </w:r>
      <w:r w:rsidR="005D0367" w:rsidRPr="002041DF">
        <w:rPr>
          <w:sz w:val="22"/>
          <w:szCs w:val="22"/>
          <w:lang w:val="sr-Latn-ME"/>
        </w:rPr>
        <w:t>3</w:t>
      </w:r>
      <w:r w:rsidRPr="002041DF">
        <w:rPr>
          <w:sz w:val="22"/>
          <w:szCs w:val="22"/>
          <w:lang w:val="sr-Latn-ME"/>
        </w:rPr>
        <w:t xml:space="preserve"> </w:t>
      </w:r>
      <w:r w:rsidR="00C24CEA" w:rsidRPr="002041DF">
        <w:rPr>
          <w:sz w:val="22"/>
          <w:szCs w:val="22"/>
          <w:lang w:val="sr-Latn-ME"/>
        </w:rPr>
        <w:t xml:space="preserve">kod </w:t>
      </w:r>
      <w:r w:rsidRPr="002041DF">
        <w:rPr>
          <w:sz w:val="22"/>
          <w:szCs w:val="22"/>
          <w:lang w:val="sr-Latn-ME"/>
        </w:rPr>
        <w:t>pacijenata koji su primali placebo (</w:t>
      </w:r>
      <w:r w:rsidR="001B4890" w:rsidRPr="002041DF">
        <w:rPr>
          <w:sz w:val="22"/>
          <w:szCs w:val="22"/>
          <w:lang w:val="sr-Latn-ME"/>
        </w:rPr>
        <w:t xml:space="preserve">15 </w:t>
      </w:r>
      <w:r w:rsidR="00057787" w:rsidRPr="002041DF">
        <w:rPr>
          <w:sz w:val="22"/>
          <w:szCs w:val="22"/>
          <w:lang w:val="sr-Latn-ME"/>
        </w:rPr>
        <w:t>teških</w:t>
      </w:r>
      <w:r w:rsidR="005D0367" w:rsidRPr="002041DF">
        <w:rPr>
          <w:sz w:val="22"/>
          <w:szCs w:val="22"/>
          <w:lang w:val="sr-Latn-ME"/>
        </w:rPr>
        <w:t xml:space="preserve"> </w:t>
      </w:r>
      <w:r w:rsidRPr="002041DF">
        <w:rPr>
          <w:sz w:val="22"/>
          <w:szCs w:val="22"/>
          <w:lang w:val="sr-Latn-ME"/>
        </w:rPr>
        <w:t>infekci</w:t>
      </w:r>
      <w:r w:rsidR="005D0367" w:rsidRPr="002041DF">
        <w:rPr>
          <w:sz w:val="22"/>
          <w:szCs w:val="22"/>
          <w:lang w:val="sr-Latn-ME"/>
        </w:rPr>
        <w:t>ja</w:t>
      </w:r>
      <w:r w:rsidRPr="002041DF">
        <w:rPr>
          <w:sz w:val="22"/>
          <w:szCs w:val="22"/>
          <w:lang w:val="sr-Latn-ME"/>
        </w:rPr>
        <w:t xml:space="preserve"> od </w:t>
      </w:r>
      <w:r w:rsidR="001B4890" w:rsidRPr="002041DF">
        <w:rPr>
          <w:sz w:val="22"/>
          <w:szCs w:val="22"/>
          <w:lang w:val="sr-Latn-ME"/>
        </w:rPr>
        <w:t xml:space="preserve">434 </w:t>
      </w:r>
      <w:r w:rsidRPr="002041DF">
        <w:rPr>
          <w:sz w:val="22"/>
          <w:szCs w:val="22"/>
          <w:lang w:val="sr-Latn-ME"/>
        </w:rPr>
        <w:t>pacijent</w:t>
      </w:r>
      <w:r w:rsidR="00057787" w:rsidRPr="002041DF">
        <w:rPr>
          <w:sz w:val="22"/>
          <w:szCs w:val="22"/>
          <w:lang w:val="sr-Latn-ME"/>
        </w:rPr>
        <w:t>-godin</w:t>
      </w:r>
      <w:r w:rsidR="00C24CEA" w:rsidRPr="002041DF">
        <w:rPr>
          <w:sz w:val="22"/>
          <w:szCs w:val="22"/>
          <w:lang w:val="sr-Latn-ME"/>
        </w:rPr>
        <w:t>a</w:t>
      </w:r>
      <w:r w:rsidRPr="002041DF">
        <w:rPr>
          <w:sz w:val="22"/>
          <w:szCs w:val="22"/>
          <w:lang w:val="sr-Latn-ME"/>
        </w:rPr>
        <w:t xml:space="preserve"> praćenja) (</w:t>
      </w:r>
      <w:r w:rsidR="006779EA" w:rsidRPr="002041DF">
        <w:rPr>
          <w:sz w:val="22"/>
          <w:szCs w:val="22"/>
          <w:lang w:val="sr-Latn-ME"/>
        </w:rPr>
        <w:t>vidjeti</w:t>
      </w:r>
      <w:r w:rsidRPr="002041DF">
        <w:rPr>
          <w:sz w:val="22"/>
          <w:szCs w:val="22"/>
          <w:lang w:val="sr-Latn-ME"/>
        </w:rPr>
        <w:t xml:space="preserve"> </w:t>
      </w:r>
      <w:r w:rsidR="00292E06" w:rsidRPr="002041DF">
        <w:rPr>
          <w:sz w:val="22"/>
          <w:szCs w:val="22"/>
          <w:lang w:val="sr-Latn-ME"/>
        </w:rPr>
        <w:t>dio</w:t>
      </w:r>
      <w:r w:rsidRPr="002041DF">
        <w:rPr>
          <w:sz w:val="22"/>
          <w:szCs w:val="22"/>
          <w:lang w:val="sr-Latn-ME"/>
        </w:rPr>
        <w:t xml:space="preserve"> 4.4.).</w:t>
      </w:r>
    </w:p>
    <w:p w14:paraId="75EFD966" w14:textId="77777777" w:rsidR="00660BE9" w:rsidRPr="002041DF" w:rsidRDefault="00660BE9" w:rsidP="002041DF">
      <w:pPr>
        <w:pStyle w:val="Header"/>
        <w:widowControl w:val="0"/>
        <w:tabs>
          <w:tab w:val="left" w:pos="284"/>
        </w:tabs>
        <w:jc w:val="both"/>
        <w:rPr>
          <w:sz w:val="22"/>
          <w:szCs w:val="22"/>
          <w:lang w:val="sr-Latn-ME"/>
        </w:rPr>
      </w:pPr>
    </w:p>
    <w:p w14:paraId="0D74066F" w14:textId="20D9C84F" w:rsidR="00660BE9" w:rsidRPr="002041DF" w:rsidRDefault="00660BE9" w:rsidP="002041DF">
      <w:pPr>
        <w:pStyle w:val="Header"/>
        <w:widowControl w:val="0"/>
        <w:tabs>
          <w:tab w:val="left" w:pos="284"/>
        </w:tabs>
        <w:jc w:val="both"/>
        <w:rPr>
          <w:sz w:val="22"/>
          <w:szCs w:val="22"/>
          <w:lang w:val="sr-Latn-ME"/>
        </w:rPr>
      </w:pPr>
      <w:r w:rsidRPr="002041DF">
        <w:rPr>
          <w:sz w:val="22"/>
          <w:szCs w:val="22"/>
          <w:lang w:val="sr-Latn-ME"/>
        </w:rPr>
        <w:t>U kontrolisanim i nekontrolisanim periodima kliničkih ispitivanja kod pacijenata sa psorijazom</w:t>
      </w:r>
      <w:r w:rsidR="00C13D8C" w:rsidRPr="002041DF">
        <w:rPr>
          <w:sz w:val="22"/>
          <w:szCs w:val="22"/>
          <w:lang w:val="sr-Latn-ME"/>
        </w:rPr>
        <w:t xml:space="preserve">, </w:t>
      </w:r>
      <w:r w:rsidRPr="002041DF">
        <w:rPr>
          <w:sz w:val="22"/>
          <w:szCs w:val="22"/>
          <w:lang w:val="sr-Latn-ME"/>
        </w:rPr>
        <w:t>psorijatičnim artritisom</w:t>
      </w:r>
      <w:r w:rsidR="001B4890" w:rsidRPr="002041DF">
        <w:rPr>
          <w:sz w:val="22"/>
          <w:szCs w:val="22"/>
          <w:lang w:val="sr-Latn-ME"/>
        </w:rPr>
        <w:t xml:space="preserve">, </w:t>
      </w:r>
      <w:r w:rsidR="00AB13A2" w:rsidRPr="002041DF">
        <w:rPr>
          <w:sz w:val="22"/>
          <w:szCs w:val="22"/>
          <w:lang w:val="sr-Latn-ME"/>
        </w:rPr>
        <w:t xml:space="preserve">Kronovom </w:t>
      </w:r>
      <w:r w:rsidR="00F408A0" w:rsidRPr="002041DF">
        <w:rPr>
          <w:sz w:val="22"/>
          <w:szCs w:val="22"/>
          <w:lang w:val="sr-Latn-ME" w:eastAsia="x-none"/>
        </w:rPr>
        <w:t>bolešću</w:t>
      </w:r>
      <w:r w:rsidR="001B4890" w:rsidRPr="002041DF">
        <w:rPr>
          <w:sz w:val="22"/>
          <w:szCs w:val="22"/>
          <w:lang w:val="sr-Latn-ME" w:eastAsia="x-none"/>
        </w:rPr>
        <w:t xml:space="preserve"> i ulceroznim kolitisom</w:t>
      </w:r>
      <w:r w:rsidR="00AB13A2" w:rsidRPr="002041DF">
        <w:rPr>
          <w:sz w:val="22"/>
          <w:szCs w:val="22"/>
          <w:lang w:val="sr-Latn-ME"/>
        </w:rPr>
        <w:t xml:space="preserve">, </w:t>
      </w:r>
      <w:r w:rsidRPr="002041DF">
        <w:rPr>
          <w:sz w:val="22"/>
          <w:szCs w:val="22"/>
          <w:lang w:val="sr-Latn-ME"/>
        </w:rPr>
        <w:t>izloženost</w:t>
      </w:r>
      <w:r w:rsidR="00CA348C" w:rsidRPr="002041DF">
        <w:rPr>
          <w:lang w:val="sr-Latn-ME"/>
        </w:rPr>
        <w:t xml:space="preserve"> </w:t>
      </w:r>
      <w:r w:rsidR="00CA348C" w:rsidRPr="002041DF">
        <w:rPr>
          <w:sz w:val="22"/>
          <w:szCs w:val="22"/>
          <w:lang w:val="sr-Latn-ME"/>
        </w:rPr>
        <w:t>ustekinumabu</w:t>
      </w:r>
      <w:r w:rsidRPr="002041DF">
        <w:rPr>
          <w:sz w:val="22"/>
          <w:szCs w:val="22"/>
          <w:lang w:val="sr-Latn-ME"/>
        </w:rPr>
        <w:t xml:space="preserve"> je bila </w:t>
      </w:r>
      <w:r w:rsidR="00CA348C" w:rsidRPr="002041DF">
        <w:rPr>
          <w:sz w:val="22"/>
          <w:szCs w:val="22"/>
          <w:lang w:val="sr-Latn-ME"/>
        </w:rPr>
        <w:t>15227</w:t>
      </w:r>
      <w:r w:rsidR="001B4890" w:rsidRPr="002041DF">
        <w:rPr>
          <w:sz w:val="22"/>
          <w:szCs w:val="22"/>
          <w:lang w:val="sr-Latn-ME"/>
        </w:rPr>
        <w:t xml:space="preserve"> </w:t>
      </w:r>
      <w:r w:rsidRPr="002041DF">
        <w:rPr>
          <w:sz w:val="22"/>
          <w:szCs w:val="22"/>
          <w:lang w:val="sr-Latn-ME"/>
        </w:rPr>
        <w:t>pacijent</w:t>
      </w:r>
      <w:r w:rsidR="007A4B48" w:rsidRPr="002041DF">
        <w:rPr>
          <w:sz w:val="22"/>
          <w:szCs w:val="22"/>
          <w:lang w:val="sr-Latn-ME"/>
        </w:rPr>
        <w:t>-</w:t>
      </w:r>
      <w:r w:rsidRPr="002041DF">
        <w:rPr>
          <w:sz w:val="22"/>
          <w:szCs w:val="22"/>
          <w:lang w:val="sr-Latn-ME"/>
        </w:rPr>
        <w:t>godin</w:t>
      </w:r>
      <w:r w:rsidR="007A4B48" w:rsidRPr="002041DF">
        <w:rPr>
          <w:sz w:val="22"/>
          <w:szCs w:val="22"/>
          <w:lang w:val="sr-Latn-ME"/>
        </w:rPr>
        <w:t>a</w:t>
      </w:r>
      <w:r w:rsidRPr="002041DF">
        <w:rPr>
          <w:sz w:val="22"/>
          <w:szCs w:val="22"/>
          <w:lang w:val="sr-Latn-ME"/>
        </w:rPr>
        <w:t xml:space="preserve"> kod </w:t>
      </w:r>
      <w:r w:rsidR="00CA348C" w:rsidRPr="002041DF">
        <w:rPr>
          <w:sz w:val="22"/>
          <w:szCs w:val="22"/>
          <w:lang w:val="sr-Latn-ME"/>
        </w:rPr>
        <w:t>6710</w:t>
      </w:r>
      <w:r w:rsidR="001B4890" w:rsidRPr="002041DF">
        <w:rPr>
          <w:sz w:val="22"/>
          <w:szCs w:val="22"/>
          <w:lang w:val="sr-Latn-ME"/>
        </w:rPr>
        <w:t xml:space="preserve"> </w:t>
      </w:r>
      <w:r w:rsidRPr="002041DF">
        <w:rPr>
          <w:sz w:val="22"/>
          <w:szCs w:val="22"/>
          <w:lang w:val="sr-Latn-ME"/>
        </w:rPr>
        <w:t>pacijen</w:t>
      </w:r>
      <w:r w:rsidR="00884938" w:rsidRPr="002041DF">
        <w:rPr>
          <w:sz w:val="22"/>
          <w:szCs w:val="22"/>
          <w:lang w:val="sr-Latn-ME"/>
        </w:rPr>
        <w:t>a</w:t>
      </w:r>
      <w:r w:rsidRPr="002041DF">
        <w:rPr>
          <w:sz w:val="22"/>
          <w:szCs w:val="22"/>
          <w:lang w:val="sr-Latn-ME"/>
        </w:rPr>
        <w:t xml:space="preserve">ta, </w:t>
      </w:r>
      <w:r w:rsidR="007A4B48" w:rsidRPr="002041DF">
        <w:rPr>
          <w:sz w:val="22"/>
          <w:szCs w:val="22"/>
          <w:lang w:val="sr-Latn-ME"/>
        </w:rPr>
        <w:t>medijana vremena</w:t>
      </w:r>
      <w:r w:rsidRPr="002041DF">
        <w:rPr>
          <w:sz w:val="22"/>
          <w:szCs w:val="22"/>
          <w:lang w:val="sr-Latn-ME"/>
        </w:rPr>
        <w:t xml:space="preserve"> praćenja je bil</w:t>
      </w:r>
      <w:r w:rsidR="007A4B48" w:rsidRPr="002041DF">
        <w:rPr>
          <w:sz w:val="22"/>
          <w:szCs w:val="22"/>
          <w:lang w:val="sr-Latn-ME"/>
        </w:rPr>
        <w:t>a</w:t>
      </w:r>
      <w:r w:rsidRPr="002041DF">
        <w:rPr>
          <w:sz w:val="22"/>
          <w:szCs w:val="22"/>
          <w:lang w:val="sr-Latn-ME"/>
        </w:rPr>
        <w:t xml:space="preserve"> </w:t>
      </w:r>
      <w:r w:rsidR="00CA348C" w:rsidRPr="002041DF">
        <w:rPr>
          <w:sz w:val="22"/>
          <w:szCs w:val="22"/>
          <w:lang w:val="sr-Latn-ME"/>
        </w:rPr>
        <w:t>1,2</w:t>
      </w:r>
      <w:r w:rsidR="001B4890" w:rsidRPr="002041DF">
        <w:rPr>
          <w:sz w:val="22"/>
          <w:szCs w:val="22"/>
          <w:lang w:val="sr-Latn-ME"/>
        </w:rPr>
        <w:t xml:space="preserve"> </w:t>
      </w:r>
      <w:r w:rsidRPr="002041DF">
        <w:rPr>
          <w:sz w:val="22"/>
          <w:szCs w:val="22"/>
          <w:lang w:val="sr-Latn-ME"/>
        </w:rPr>
        <w:t>godin</w:t>
      </w:r>
      <w:r w:rsidR="00CA348C" w:rsidRPr="002041DF">
        <w:rPr>
          <w:sz w:val="22"/>
          <w:szCs w:val="22"/>
          <w:lang w:val="sr-Latn-ME"/>
        </w:rPr>
        <w:t>e</w:t>
      </w:r>
      <w:r w:rsidRPr="002041DF">
        <w:rPr>
          <w:sz w:val="22"/>
          <w:szCs w:val="22"/>
          <w:lang w:val="sr-Latn-ME"/>
        </w:rPr>
        <w:t xml:space="preserve">; </w:t>
      </w:r>
      <w:r w:rsidR="00CA348C" w:rsidRPr="002041DF">
        <w:rPr>
          <w:sz w:val="22"/>
          <w:szCs w:val="22"/>
          <w:lang w:val="sr-Latn-ME"/>
        </w:rPr>
        <w:t>1,7</w:t>
      </w:r>
      <w:r w:rsidR="001B4890" w:rsidRPr="002041DF">
        <w:rPr>
          <w:sz w:val="22"/>
          <w:szCs w:val="22"/>
          <w:lang w:val="sr-Latn-ME"/>
        </w:rPr>
        <w:t xml:space="preserve"> </w:t>
      </w:r>
      <w:r w:rsidRPr="002041DF">
        <w:rPr>
          <w:sz w:val="22"/>
          <w:szCs w:val="22"/>
          <w:lang w:val="sr-Latn-ME"/>
        </w:rPr>
        <w:t>godin</w:t>
      </w:r>
      <w:r w:rsidR="00CA348C" w:rsidRPr="002041DF">
        <w:rPr>
          <w:sz w:val="22"/>
          <w:szCs w:val="22"/>
          <w:lang w:val="sr-Latn-ME"/>
        </w:rPr>
        <w:t>a</w:t>
      </w:r>
      <w:r w:rsidRPr="002041DF">
        <w:rPr>
          <w:sz w:val="22"/>
          <w:szCs w:val="22"/>
          <w:lang w:val="sr-Latn-ME"/>
        </w:rPr>
        <w:t xml:space="preserve"> </w:t>
      </w:r>
      <w:r w:rsidR="007A4B48" w:rsidRPr="002041DF">
        <w:rPr>
          <w:sz w:val="22"/>
          <w:szCs w:val="22"/>
          <w:lang w:val="sr-Latn-ME"/>
        </w:rPr>
        <w:t xml:space="preserve">u </w:t>
      </w:r>
      <w:r w:rsidRPr="002041DF">
        <w:rPr>
          <w:sz w:val="22"/>
          <w:szCs w:val="22"/>
          <w:lang w:val="sr-Latn-ME"/>
        </w:rPr>
        <w:t>is</w:t>
      </w:r>
      <w:r w:rsidR="007A4B48" w:rsidRPr="002041DF">
        <w:rPr>
          <w:sz w:val="22"/>
          <w:szCs w:val="22"/>
          <w:lang w:val="sr-Latn-ME"/>
        </w:rPr>
        <w:t>p</w:t>
      </w:r>
      <w:r w:rsidRPr="002041DF">
        <w:rPr>
          <w:sz w:val="22"/>
          <w:szCs w:val="22"/>
          <w:lang w:val="sr-Latn-ME"/>
        </w:rPr>
        <w:t>itivanj</w:t>
      </w:r>
      <w:r w:rsidR="007A4B48" w:rsidRPr="002041DF">
        <w:rPr>
          <w:sz w:val="22"/>
          <w:szCs w:val="22"/>
          <w:lang w:val="sr-Latn-ME"/>
        </w:rPr>
        <w:t>ima</w:t>
      </w:r>
      <w:r w:rsidRPr="002041DF">
        <w:rPr>
          <w:sz w:val="22"/>
          <w:szCs w:val="22"/>
          <w:lang w:val="sr-Latn-ME"/>
        </w:rPr>
        <w:t xml:space="preserve"> sa psorijazom</w:t>
      </w:r>
      <w:r w:rsidR="00C13D8C" w:rsidRPr="002041DF">
        <w:rPr>
          <w:sz w:val="22"/>
          <w:szCs w:val="22"/>
          <w:lang w:val="sr-Latn-ME"/>
        </w:rPr>
        <w:t>,</w:t>
      </w:r>
      <w:r w:rsidR="00521B55" w:rsidRPr="002041DF">
        <w:rPr>
          <w:sz w:val="22"/>
          <w:szCs w:val="22"/>
          <w:lang w:val="sr-Latn-ME"/>
        </w:rPr>
        <w:t xml:space="preserve">  0,6 godina u ispitivanjima sa Kronovom bolešću</w:t>
      </w:r>
      <w:r w:rsidR="001B4890" w:rsidRPr="002041DF">
        <w:rPr>
          <w:sz w:val="22"/>
          <w:szCs w:val="22"/>
          <w:lang w:val="sr-Latn-ME"/>
        </w:rPr>
        <w:t xml:space="preserve"> i </w:t>
      </w:r>
      <w:r w:rsidR="00CA348C" w:rsidRPr="002041DF">
        <w:rPr>
          <w:sz w:val="22"/>
          <w:szCs w:val="22"/>
          <w:lang w:val="sr-Latn-ME"/>
        </w:rPr>
        <w:t>2,3</w:t>
      </w:r>
      <w:r w:rsidR="001B4890" w:rsidRPr="002041DF">
        <w:rPr>
          <w:sz w:val="22"/>
          <w:szCs w:val="22"/>
          <w:lang w:val="sr-Latn-ME"/>
        </w:rPr>
        <w:t xml:space="preserve"> godin</w:t>
      </w:r>
      <w:r w:rsidR="00CA348C" w:rsidRPr="002041DF">
        <w:rPr>
          <w:sz w:val="22"/>
          <w:szCs w:val="22"/>
          <w:lang w:val="sr-Latn-ME"/>
        </w:rPr>
        <w:t>e</w:t>
      </w:r>
      <w:r w:rsidR="001B4890" w:rsidRPr="002041DF">
        <w:rPr>
          <w:sz w:val="22"/>
          <w:szCs w:val="22"/>
          <w:lang w:val="sr-Latn-ME"/>
        </w:rPr>
        <w:t xml:space="preserve"> u ispitivanjima sa ulceroznim kolitisom</w:t>
      </w:r>
      <w:r w:rsidRPr="002041DF">
        <w:rPr>
          <w:sz w:val="22"/>
          <w:szCs w:val="22"/>
          <w:lang w:val="sr-Latn-ME"/>
        </w:rPr>
        <w:t xml:space="preserve">. Učestalost infekcija u grupi pacijenata </w:t>
      </w:r>
      <w:r w:rsidR="00891C9B" w:rsidRPr="002041DF">
        <w:rPr>
          <w:sz w:val="22"/>
          <w:szCs w:val="22"/>
          <w:lang w:val="sr-Latn-ME"/>
        </w:rPr>
        <w:t>liječen</w:t>
      </w:r>
      <w:r w:rsidRPr="002041DF">
        <w:rPr>
          <w:sz w:val="22"/>
          <w:szCs w:val="22"/>
          <w:lang w:val="sr-Latn-ME"/>
        </w:rPr>
        <w:t>ih ustekinumabom je bi</w:t>
      </w:r>
      <w:r w:rsidR="007A4B48" w:rsidRPr="002041DF">
        <w:rPr>
          <w:sz w:val="22"/>
          <w:szCs w:val="22"/>
          <w:lang w:val="sr-Latn-ME"/>
        </w:rPr>
        <w:t>la</w:t>
      </w:r>
      <w:r w:rsidRPr="002041DF">
        <w:rPr>
          <w:sz w:val="22"/>
          <w:szCs w:val="22"/>
          <w:lang w:val="sr-Latn-ME"/>
        </w:rPr>
        <w:t xml:space="preserve"> </w:t>
      </w:r>
      <w:r w:rsidR="00CA348C" w:rsidRPr="002041DF">
        <w:rPr>
          <w:sz w:val="22"/>
          <w:szCs w:val="22"/>
          <w:lang w:val="sr-Latn-ME"/>
        </w:rPr>
        <w:t>0,85</w:t>
      </w:r>
      <w:r w:rsidRPr="002041DF">
        <w:rPr>
          <w:sz w:val="22"/>
          <w:szCs w:val="22"/>
          <w:lang w:val="sr-Latn-ME"/>
        </w:rPr>
        <w:t xml:space="preserve"> po pacijent</w:t>
      </w:r>
      <w:r w:rsidR="007A4B48" w:rsidRPr="002041DF">
        <w:rPr>
          <w:sz w:val="22"/>
          <w:szCs w:val="22"/>
          <w:lang w:val="sr-Latn-ME"/>
        </w:rPr>
        <w:t>-</w:t>
      </w:r>
      <w:r w:rsidRPr="002041DF">
        <w:rPr>
          <w:sz w:val="22"/>
          <w:szCs w:val="22"/>
          <w:lang w:val="sr-Latn-ME"/>
        </w:rPr>
        <w:t>godin</w:t>
      </w:r>
      <w:r w:rsidR="00F408A0" w:rsidRPr="002041DF">
        <w:rPr>
          <w:sz w:val="22"/>
          <w:szCs w:val="22"/>
          <w:lang w:val="sr-Latn-ME"/>
        </w:rPr>
        <w:t>a</w:t>
      </w:r>
      <w:r w:rsidRPr="002041DF">
        <w:rPr>
          <w:sz w:val="22"/>
          <w:szCs w:val="22"/>
          <w:lang w:val="sr-Latn-ME"/>
        </w:rPr>
        <w:t xml:space="preserve"> praćenja dok je učestalost ozbiljnih infekcija kod pacijenata koji su primali ustekinumab bila 0,</w:t>
      </w:r>
      <w:r w:rsidR="00C13D8C" w:rsidRPr="002041DF">
        <w:rPr>
          <w:sz w:val="22"/>
          <w:szCs w:val="22"/>
          <w:lang w:val="sr-Latn-ME"/>
        </w:rPr>
        <w:t>02</w:t>
      </w:r>
      <w:r w:rsidR="007A4B48" w:rsidRPr="002041DF">
        <w:rPr>
          <w:sz w:val="22"/>
          <w:szCs w:val="22"/>
          <w:lang w:val="sr-Latn-ME"/>
        </w:rPr>
        <w:t xml:space="preserve"> po</w:t>
      </w:r>
      <w:r w:rsidRPr="002041DF">
        <w:rPr>
          <w:sz w:val="22"/>
          <w:szCs w:val="22"/>
          <w:lang w:val="sr-Latn-ME"/>
        </w:rPr>
        <w:t xml:space="preserve"> pacijent</w:t>
      </w:r>
      <w:r w:rsidR="007A4B48" w:rsidRPr="002041DF">
        <w:rPr>
          <w:sz w:val="22"/>
          <w:szCs w:val="22"/>
          <w:lang w:val="sr-Latn-ME"/>
        </w:rPr>
        <w:t>-</w:t>
      </w:r>
      <w:r w:rsidRPr="002041DF">
        <w:rPr>
          <w:sz w:val="22"/>
          <w:szCs w:val="22"/>
          <w:lang w:val="sr-Latn-ME"/>
        </w:rPr>
        <w:t>godin</w:t>
      </w:r>
      <w:r w:rsidR="00F408A0" w:rsidRPr="002041DF">
        <w:rPr>
          <w:sz w:val="22"/>
          <w:szCs w:val="22"/>
          <w:lang w:val="sr-Latn-ME"/>
        </w:rPr>
        <w:t>a</w:t>
      </w:r>
      <w:r w:rsidRPr="002041DF">
        <w:rPr>
          <w:sz w:val="22"/>
          <w:szCs w:val="22"/>
          <w:lang w:val="sr-Latn-ME"/>
        </w:rPr>
        <w:t xml:space="preserve"> praćenja (</w:t>
      </w:r>
      <w:r w:rsidR="00CA348C" w:rsidRPr="002041DF">
        <w:rPr>
          <w:sz w:val="22"/>
          <w:szCs w:val="22"/>
          <w:lang w:val="sr-Latn-ME"/>
        </w:rPr>
        <w:t>289</w:t>
      </w:r>
      <w:r w:rsidR="001B4890" w:rsidRPr="002041DF">
        <w:rPr>
          <w:sz w:val="22"/>
          <w:szCs w:val="22"/>
          <w:lang w:val="sr-Latn-ME"/>
        </w:rPr>
        <w:t xml:space="preserve"> </w:t>
      </w:r>
      <w:r w:rsidRPr="002041DF">
        <w:rPr>
          <w:sz w:val="22"/>
          <w:szCs w:val="22"/>
          <w:lang w:val="sr-Latn-ME"/>
        </w:rPr>
        <w:t>ozbiljn</w:t>
      </w:r>
      <w:r w:rsidR="007A4B48" w:rsidRPr="002041DF">
        <w:rPr>
          <w:sz w:val="22"/>
          <w:szCs w:val="22"/>
          <w:lang w:val="sr-Latn-ME"/>
        </w:rPr>
        <w:t>ih</w:t>
      </w:r>
      <w:r w:rsidRPr="002041DF">
        <w:rPr>
          <w:sz w:val="22"/>
          <w:szCs w:val="22"/>
          <w:lang w:val="sr-Latn-ME"/>
        </w:rPr>
        <w:t xml:space="preserve"> infekcij</w:t>
      </w:r>
      <w:r w:rsidR="007A4B48" w:rsidRPr="002041DF">
        <w:rPr>
          <w:sz w:val="22"/>
          <w:szCs w:val="22"/>
          <w:lang w:val="sr-Latn-ME"/>
        </w:rPr>
        <w:t>a</w:t>
      </w:r>
      <w:r w:rsidRPr="002041DF">
        <w:rPr>
          <w:sz w:val="22"/>
          <w:szCs w:val="22"/>
          <w:lang w:val="sr-Latn-ME"/>
        </w:rPr>
        <w:t xml:space="preserve"> </w:t>
      </w:r>
      <w:r w:rsidR="007A4B48" w:rsidRPr="002041DF">
        <w:rPr>
          <w:sz w:val="22"/>
          <w:szCs w:val="22"/>
          <w:lang w:val="sr-Latn-ME"/>
        </w:rPr>
        <w:t>tokom</w:t>
      </w:r>
      <w:r w:rsidRPr="002041DF">
        <w:rPr>
          <w:sz w:val="22"/>
          <w:szCs w:val="22"/>
          <w:lang w:val="sr-Latn-ME"/>
        </w:rPr>
        <w:t xml:space="preserve"> </w:t>
      </w:r>
      <w:r w:rsidR="00CA348C" w:rsidRPr="002041DF">
        <w:rPr>
          <w:sz w:val="22"/>
          <w:szCs w:val="22"/>
          <w:lang w:val="sr-Latn-ME"/>
        </w:rPr>
        <w:t>15227</w:t>
      </w:r>
      <w:r w:rsidR="00892454" w:rsidRPr="002041DF">
        <w:rPr>
          <w:sz w:val="22"/>
          <w:szCs w:val="22"/>
          <w:lang w:val="sr-Latn-ME"/>
        </w:rPr>
        <w:t xml:space="preserve"> </w:t>
      </w:r>
      <w:r w:rsidRPr="002041DF">
        <w:rPr>
          <w:sz w:val="22"/>
          <w:szCs w:val="22"/>
          <w:lang w:val="sr-Latn-ME"/>
        </w:rPr>
        <w:t>pacijent</w:t>
      </w:r>
      <w:r w:rsidR="007A4B48" w:rsidRPr="002041DF">
        <w:rPr>
          <w:sz w:val="22"/>
          <w:szCs w:val="22"/>
          <w:lang w:val="sr-Latn-ME"/>
        </w:rPr>
        <w:t>-</w:t>
      </w:r>
      <w:r w:rsidRPr="002041DF">
        <w:rPr>
          <w:sz w:val="22"/>
          <w:szCs w:val="22"/>
          <w:lang w:val="sr-Latn-ME"/>
        </w:rPr>
        <w:t>godin</w:t>
      </w:r>
      <w:r w:rsidR="00B638D4" w:rsidRPr="002041DF">
        <w:rPr>
          <w:sz w:val="22"/>
          <w:szCs w:val="22"/>
          <w:lang w:val="sr-Latn-ME"/>
        </w:rPr>
        <w:t>a</w:t>
      </w:r>
      <w:r w:rsidRPr="002041DF">
        <w:rPr>
          <w:sz w:val="22"/>
          <w:szCs w:val="22"/>
          <w:lang w:val="sr-Latn-ME"/>
        </w:rPr>
        <w:t xml:space="preserve"> praćenja), a </w:t>
      </w:r>
      <w:r w:rsidR="007C22FA" w:rsidRPr="002041DF">
        <w:rPr>
          <w:sz w:val="22"/>
          <w:szCs w:val="22"/>
          <w:lang w:val="sr-Latn-ME"/>
        </w:rPr>
        <w:t>ozbiljne</w:t>
      </w:r>
      <w:r w:rsidRPr="002041DF">
        <w:rPr>
          <w:sz w:val="22"/>
          <w:szCs w:val="22"/>
          <w:lang w:val="sr-Latn-ME"/>
        </w:rPr>
        <w:t xml:space="preserve"> infekcije koje su prijavljivane uključivale su </w:t>
      </w:r>
      <w:r w:rsidR="001B4890" w:rsidRPr="002041DF">
        <w:rPr>
          <w:sz w:val="22"/>
          <w:szCs w:val="22"/>
          <w:lang w:val="sr-Latn-ME"/>
        </w:rPr>
        <w:t xml:space="preserve">pneumoniju, </w:t>
      </w:r>
      <w:r w:rsidR="00C13D8C" w:rsidRPr="002041DF">
        <w:rPr>
          <w:sz w:val="22"/>
          <w:szCs w:val="22"/>
          <w:lang w:val="sr-Latn-ME"/>
        </w:rPr>
        <w:t>analni absces, celulitis, divertikulitis, gastroenteritis i virusne infekcije</w:t>
      </w:r>
      <w:r w:rsidR="00521B55" w:rsidRPr="002041DF">
        <w:rPr>
          <w:sz w:val="22"/>
          <w:szCs w:val="22"/>
          <w:lang w:val="sr-Latn-ME"/>
        </w:rPr>
        <w:t>.</w:t>
      </w:r>
    </w:p>
    <w:p w14:paraId="372784DA" w14:textId="77777777" w:rsidR="00660BE9" w:rsidRPr="002041DF" w:rsidRDefault="00660BE9" w:rsidP="002041DF">
      <w:pPr>
        <w:pStyle w:val="Header"/>
        <w:widowControl w:val="0"/>
        <w:tabs>
          <w:tab w:val="left" w:pos="284"/>
        </w:tabs>
        <w:jc w:val="both"/>
        <w:rPr>
          <w:sz w:val="22"/>
          <w:szCs w:val="22"/>
          <w:lang w:val="sr-Latn-ME"/>
        </w:rPr>
      </w:pPr>
    </w:p>
    <w:p w14:paraId="02205F57" w14:textId="0A94F407" w:rsidR="00660BE9" w:rsidRPr="002041DF" w:rsidRDefault="00660BE9" w:rsidP="002041DF">
      <w:pPr>
        <w:pStyle w:val="Header"/>
        <w:widowControl w:val="0"/>
        <w:tabs>
          <w:tab w:val="left" w:pos="284"/>
        </w:tabs>
        <w:jc w:val="both"/>
        <w:rPr>
          <w:sz w:val="22"/>
          <w:szCs w:val="22"/>
          <w:lang w:val="sr-Latn-ME"/>
        </w:rPr>
      </w:pPr>
      <w:r w:rsidRPr="002041DF">
        <w:rPr>
          <w:sz w:val="22"/>
          <w:szCs w:val="22"/>
          <w:lang w:val="sr-Latn-ME"/>
        </w:rPr>
        <w:t>U kliničkim ispitivanjima</w:t>
      </w:r>
      <w:r w:rsidR="00521B55" w:rsidRPr="002041DF">
        <w:rPr>
          <w:sz w:val="22"/>
          <w:szCs w:val="22"/>
          <w:lang w:val="sr-Latn-ME"/>
        </w:rPr>
        <w:t xml:space="preserve"> kod </w:t>
      </w:r>
      <w:r w:rsidRPr="002041DF">
        <w:rPr>
          <w:sz w:val="22"/>
          <w:szCs w:val="22"/>
          <w:lang w:val="sr-Latn-ME"/>
        </w:rPr>
        <w:t>pacijen</w:t>
      </w:r>
      <w:r w:rsidR="00521B55" w:rsidRPr="002041DF">
        <w:rPr>
          <w:sz w:val="22"/>
          <w:szCs w:val="22"/>
          <w:lang w:val="sr-Latn-ME"/>
        </w:rPr>
        <w:t>ata</w:t>
      </w:r>
      <w:r w:rsidRPr="002041DF">
        <w:rPr>
          <w:sz w:val="22"/>
          <w:szCs w:val="22"/>
          <w:lang w:val="sr-Latn-ME"/>
        </w:rPr>
        <w:t xml:space="preserve"> sa latentnom tuberkulozom, a koji su bil</w:t>
      </w:r>
      <w:r w:rsidR="00F408A0" w:rsidRPr="002041DF">
        <w:rPr>
          <w:sz w:val="22"/>
          <w:szCs w:val="22"/>
          <w:lang w:val="sr-Latn-ME"/>
        </w:rPr>
        <w:t>i</w:t>
      </w:r>
      <w:r w:rsidRPr="002041DF">
        <w:rPr>
          <w:sz w:val="22"/>
          <w:szCs w:val="22"/>
          <w:lang w:val="sr-Latn-ME"/>
        </w:rPr>
        <w:t xml:space="preserve"> na terapiji izonijazidom, ni</w:t>
      </w:r>
      <w:r w:rsidR="00A92785" w:rsidRPr="002041DF">
        <w:rPr>
          <w:sz w:val="22"/>
          <w:szCs w:val="22"/>
          <w:lang w:val="sr-Latn-ME"/>
        </w:rPr>
        <w:t xml:space="preserve">je došlo do razvoja </w:t>
      </w:r>
      <w:r w:rsidRPr="002041DF">
        <w:rPr>
          <w:sz w:val="22"/>
          <w:szCs w:val="22"/>
          <w:lang w:val="sr-Latn-ME"/>
        </w:rPr>
        <w:t>tuberkuloz</w:t>
      </w:r>
      <w:r w:rsidR="00A92785" w:rsidRPr="002041DF">
        <w:rPr>
          <w:sz w:val="22"/>
          <w:szCs w:val="22"/>
          <w:lang w:val="sr-Latn-ME"/>
        </w:rPr>
        <w:t>e</w:t>
      </w:r>
      <w:r w:rsidRPr="002041DF">
        <w:rPr>
          <w:sz w:val="22"/>
          <w:szCs w:val="22"/>
          <w:lang w:val="sr-Latn-ME"/>
        </w:rPr>
        <w:t>.</w:t>
      </w:r>
    </w:p>
    <w:p w14:paraId="2EF62C4D" w14:textId="77777777" w:rsidR="00660BE9" w:rsidRPr="002041DF" w:rsidRDefault="00660BE9" w:rsidP="002041DF">
      <w:pPr>
        <w:pStyle w:val="Header"/>
        <w:widowControl w:val="0"/>
        <w:tabs>
          <w:tab w:val="left" w:pos="284"/>
        </w:tabs>
        <w:jc w:val="both"/>
        <w:rPr>
          <w:sz w:val="22"/>
          <w:szCs w:val="22"/>
          <w:lang w:val="sr-Latn-ME"/>
        </w:rPr>
      </w:pPr>
    </w:p>
    <w:p w14:paraId="350E5972" w14:textId="77777777" w:rsidR="00660BE9" w:rsidRPr="002041DF" w:rsidRDefault="00660BE9" w:rsidP="002041DF">
      <w:pPr>
        <w:pStyle w:val="Header"/>
        <w:widowControl w:val="0"/>
        <w:tabs>
          <w:tab w:val="left" w:pos="284"/>
        </w:tabs>
        <w:jc w:val="both"/>
        <w:rPr>
          <w:sz w:val="22"/>
          <w:szCs w:val="22"/>
          <w:lang w:val="sr-Latn-ME"/>
        </w:rPr>
      </w:pPr>
      <w:r w:rsidRPr="002041DF">
        <w:rPr>
          <w:sz w:val="22"/>
          <w:szCs w:val="22"/>
          <w:u w:val="single"/>
          <w:lang w:val="sr-Latn-ME"/>
        </w:rPr>
        <w:t>Maligna oboljenja</w:t>
      </w:r>
    </w:p>
    <w:p w14:paraId="028A423C" w14:textId="7B202408" w:rsidR="00660BE9" w:rsidRPr="002041DF" w:rsidRDefault="00660BE9" w:rsidP="002041DF">
      <w:pPr>
        <w:pStyle w:val="Header"/>
        <w:widowControl w:val="0"/>
        <w:tabs>
          <w:tab w:val="left" w:pos="284"/>
        </w:tabs>
        <w:jc w:val="both"/>
        <w:rPr>
          <w:sz w:val="22"/>
          <w:szCs w:val="22"/>
          <w:lang w:val="sr-Latn-ME"/>
        </w:rPr>
      </w:pPr>
      <w:r w:rsidRPr="002041DF">
        <w:rPr>
          <w:sz w:val="22"/>
          <w:szCs w:val="22"/>
          <w:lang w:val="sr-Latn-ME"/>
        </w:rPr>
        <w:t>U placebo-kontrolisanim periodima kliničkih ispitivanja kod pacijenata sa psorijazom</w:t>
      </w:r>
      <w:r w:rsidR="006C329D" w:rsidRPr="002041DF">
        <w:rPr>
          <w:sz w:val="22"/>
          <w:szCs w:val="22"/>
          <w:lang w:val="sr-Latn-ME"/>
        </w:rPr>
        <w:t xml:space="preserve">, </w:t>
      </w:r>
      <w:r w:rsidRPr="002041DF">
        <w:rPr>
          <w:sz w:val="22"/>
          <w:szCs w:val="22"/>
          <w:lang w:val="sr-Latn-ME"/>
        </w:rPr>
        <w:t>psorijatičnim artritisom</w:t>
      </w:r>
      <w:r w:rsidR="001B4890" w:rsidRPr="002041DF">
        <w:rPr>
          <w:sz w:val="22"/>
          <w:szCs w:val="22"/>
          <w:lang w:val="sr-Latn-ME"/>
        </w:rPr>
        <w:t xml:space="preserve">, </w:t>
      </w:r>
      <w:r w:rsidR="006C329D" w:rsidRPr="002041DF">
        <w:rPr>
          <w:sz w:val="22"/>
          <w:szCs w:val="22"/>
          <w:lang w:val="sr-Latn-ME"/>
        </w:rPr>
        <w:t xml:space="preserve">Kronovom </w:t>
      </w:r>
      <w:r w:rsidR="00F408A0" w:rsidRPr="002041DF">
        <w:rPr>
          <w:sz w:val="22"/>
          <w:szCs w:val="22"/>
          <w:lang w:val="sr-Latn-ME" w:eastAsia="x-none"/>
        </w:rPr>
        <w:t>bolešću</w:t>
      </w:r>
      <w:r w:rsidR="001B4890" w:rsidRPr="002041DF">
        <w:rPr>
          <w:sz w:val="22"/>
          <w:szCs w:val="22"/>
          <w:lang w:val="sr-Latn-ME"/>
        </w:rPr>
        <w:t xml:space="preserve"> i ulceroznim kolitisom</w:t>
      </w:r>
      <w:r w:rsidRPr="002041DF">
        <w:rPr>
          <w:sz w:val="22"/>
          <w:szCs w:val="22"/>
          <w:lang w:val="sr-Latn-ME"/>
        </w:rPr>
        <w:t xml:space="preserve"> incidenca malignih oboljenja</w:t>
      </w:r>
      <w:r w:rsidR="00A92785" w:rsidRPr="002041DF">
        <w:rPr>
          <w:sz w:val="22"/>
          <w:szCs w:val="22"/>
          <w:lang w:val="sr-Latn-ME"/>
        </w:rPr>
        <w:t>,</w:t>
      </w:r>
      <w:r w:rsidRPr="002041DF">
        <w:rPr>
          <w:sz w:val="22"/>
          <w:szCs w:val="22"/>
          <w:lang w:val="sr-Latn-ME"/>
        </w:rPr>
        <w:t xml:space="preserve"> isključujući nemelanomski karcinom kože</w:t>
      </w:r>
      <w:r w:rsidR="00A92785" w:rsidRPr="002041DF">
        <w:rPr>
          <w:sz w:val="22"/>
          <w:szCs w:val="22"/>
          <w:lang w:val="sr-Latn-ME"/>
        </w:rPr>
        <w:t>,</w:t>
      </w:r>
      <w:r w:rsidRPr="002041DF">
        <w:rPr>
          <w:sz w:val="22"/>
          <w:szCs w:val="22"/>
          <w:lang w:val="sr-Latn-ME"/>
        </w:rPr>
        <w:t xml:space="preserve"> bila je 0,</w:t>
      </w:r>
      <w:r w:rsidR="004A396C" w:rsidRPr="002041DF">
        <w:rPr>
          <w:sz w:val="22"/>
          <w:szCs w:val="22"/>
          <w:lang w:val="sr-Latn-ME"/>
        </w:rPr>
        <w:t>11</w:t>
      </w:r>
      <w:r w:rsidRPr="002041DF">
        <w:rPr>
          <w:sz w:val="22"/>
          <w:szCs w:val="22"/>
          <w:lang w:val="sr-Latn-ME"/>
        </w:rPr>
        <w:t xml:space="preserve"> na 100 pacijent</w:t>
      </w:r>
      <w:r w:rsidR="00A92785" w:rsidRPr="002041DF">
        <w:rPr>
          <w:sz w:val="22"/>
          <w:szCs w:val="22"/>
          <w:lang w:val="sr-Latn-ME"/>
        </w:rPr>
        <w:t>-godina praćenja</w:t>
      </w:r>
      <w:r w:rsidRPr="002041DF">
        <w:rPr>
          <w:sz w:val="22"/>
          <w:szCs w:val="22"/>
          <w:lang w:val="sr-Latn-ME"/>
        </w:rPr>
        <w:t xml:space="preserve"> kod pacijenata koji su primali ustekinumab (1 pacijent </w:t>
      </w:r>
      <w:r w:rsidR="00A92785" w:rsidRPr="002041DF">
        <w:rPr>
          <w:sz w:val="22"/>
          <w:szCs w:val="22"/>
          <w:lang w:val="sr-Latn-ME"/>
        </w:rPr>
        <w:t>na</w:t>
      </w:r>
      <w:r w:rsidRPr="002041DF">
        <w:rPr>
          <w:sz w:val="22"/>
          <w:szCs w:val="22"/>
          <w:lang w:val="sr-Latn-ME"/>
        </w:rPr>
        <w:t xml:space="preserve"> </w:t>
      </w:r>
      <w:r w:rsidR="004A396C" w:rsidRPr="002041DF">
        <w:rPr>
          <w:sz w:val="22"/>
          <w:szCs w:val="22"/>
          <w:lang w:val="sr-Latn-ME"/>
        </w:rPr>
        <w:t xml:space="preserve">929 </w:t>
      </w:r>
      <w:r w:rsidRPr="002041DF">
        <w:rPr>
          <w:sz w:val="22"/>
          <w:szCs w:val="22"/>
          <w:lang w:val="sr-Latn-ME"/>
        </w:rPr>
        <w:t>pacijent</w:t>
      </w:r>
      <w:r w:rsidR="00A92785" w:rsidRPr="002041DF">
        <w:rPr>
          <w:sz w:val="22"/>
          <w:szCs w:val="22"/>
          <w:lang w:val="sr-Latn-ME"/>
        </w:rPr>
        <w:t>-godina</w:t>
      </w:r>
      <w:r w:rsidRPr="002041DF">
        <w:rPr>
          <w:sz w:val="22"/>
          <w:szCs w:val="22"/>
          <w:lang w:val="sr-Latn-ME"/>
        </w:rPr>
        <w:t xml:space="preserve"> praćenja) u odnosu na 0,</w:t>
      </w:r>
      <w:r w:rsidR="004A396C" w:rsidRPr="002041DF">
        <w:rPr>
          <w:sz w:val="22"/>
          <w:szCs w:val="22"/>
          <w:lang w:val="sr-Latn-ME"/>
        </w:rPr>
        <w:t>23</w:t>
      </w:r>
      <w:r w:rsidRPr="002041DF">
        <w:rPr>
          <w:sz w:val="22"/>
          <w:szCs w:val="22"/>
          <w:lang w:val="sr-Latn-ME"/>
        </w:rPr>
        <w:t xml:space="preserve"> pacijenata koji su primali placebo (1 pacijent </w:t>
      </w:r>
      <w:r w:rsidR="00A92785" w:rsidRPr="002041DF">
        <w:rPr>
          <w:sz w:val="22"/>
          <w:szCs w:val="22"/>
          <w:lang w:val="sr-Latn-ME"/>
        </w:rPr>
        <w:t>na</w:t>
      </w:r>
      <w:r w:rsidRPr="002041DF">
        <w:rPr>
          <w:sz w:val="22"/>
          <w:szCs w:val="22"/>
          <w:lang w:val="sr-Latn-ME"/>
        </w:rPr>
        <w:t xml:space="preserve"> </w:t>
      </w:r>
      <w:r w:rsidR="004A396C" w:rsidRPr="002041DF">
        <w:rPr>
          <w:sz w:val="22"/>
          <w:szCs w:val="22"/>
          <w:lang w:val="sr-Latn-ME"/>
        </w:rPr>
        <w:t xml:space="preserve">434 </w:t>
      </w:r>
      <w:r w:rsidRPr="002041DF">
        <w:rPr>
          <w:sz w:val="22"/>
          <w:szCs w:val="22"/>
          <w:lang w:val="sr-Latn-ME"/>
        </w:rPr>
        <w:t>pacijent</w:t>
      </w:r>
      <w:r w:rsidR="00A92785" w:rsidRPr="002041DF">
        <w:rPr>
          <w:sz w:val="22"/>
          <w:szCs w:val="22"/>
          <w:lang w:val="sr-Latn-ME"/>
        </w:rPr>
        <w:t>-</w:t>
      </w:r>
      <w:r w:rsidRPr="002041DF">
        <w:rPr>
          <w:sz w:val="22"/>
          <w:szCs w:val="22"/>
          <w:lang w:val="sr-Latn-ME"/>
        </w:rPr>
        <w:t>godini</w:t>
      </w:r>
      <w:r w:rsidR="00A92785" w:rsidRPr="002041DF">
        <w:rPr>
          <w:sz w:val="22"/>
          <w:szCs w:val="22"/>
          <w:lang w:val="sr-Latn-ME"/>
        </w:rPr>
        <w:t xml:space="preserve"> </w:t>
      </w:r>
      <w:r w:rsidRPr="002041DF">
        <w:rPr>
          <w:sz w:val="22"/>
          <w:szCs w:val="22"/>
          <w:lang w:val="sr-Latn-ME"/>
        </w:rPr>
        <w:t>praćenja). Incidenca nemelanomskog karcinoma kože kod pacijenata koji su primali ustekinumab je bila 0,</w:t>
      </w:r>
      <w:r w:rsidR="004A396C" w:rsidRPr="002041DF">
        <w:rPr>
          <w:sz w:val="22"/>
          <w:szCs w:val="22"/>
          <w:lang w:val="sr-Latn-ME"/>
        </w:rPr>
        <w:t xml:space="preserve">43 </w:t>
      </w:r>
      <w:r w:rsidRPr="002041DF">
        <w:rPr>
          <w:sz w:val="22"/>
          <w:szCs w:val="22"/>
          <w:lang w:val="sr-Latn-ME"/>
        </w:rPr>
        <w:t xml:space="preserve">na 100 </w:t>
      </w:r>
      <w:r w:rsidR="00A92785" w:rsidRPr="002041DF">
        <w:rPr>
          <w:sz w:val="22"/>
          <w:szCs w:val="22"/>
          <w:lang w:val="sr-Latn-ME"/>
        </w:rPr>
        <w:t>paci</w:t>
      </w:r>
      <w:r w:rsidR="007C3AAF" w:rsidRPr="002041DF">
        <w:rPr>
          <w:sz w:val="22"/>
          <w:szCs w:val="22"/>
          <w:lang w:val="sr-Latn-ME"/>
        </w:rPr>
        <w:t>je</w:t>
      </w:r>
      <w:r w:rsidR="00A92785" w:rsidRPr="002041DF">
        <w:rPr>
          <w:sz w:val="22"/>
          <w:szCs w:val="22"/>
          <w:lang w:val="sr-Latn-ME"/>
        </w:rPr>
        <w:t>nt-godini</w:t>
      </w:r>
      <w:r w:rsidRPr="002041DF">
        <w:rPr>
          <w:sz w:val="22"/>
          <w:szCs w:val="22"/>
          <w:lang w:val="sr-Latn-ME"/>
        </w:rPr>
        <w:t xml:space="preserve"> praćenja (4 pacijenta </w:t>
      </w:r>
      <w:r w:rsidR="00A92785" w:rsidRPr="002041DF">
        <w:rPr>
          <w:sz w:val="22"/>
          <w:szCs w:val="22"/>
          <w:lang w:val="sr-Latn-ME"/>
        </w:rPr>
        <w:t>u</w:t>
      </w:r>
      <w:r w:rsidRPr="002041DF">
        <w:rPr>
          <w:sz w:val="22"/>
          <w:szCs w:val="22"/>
          <w:lang w:val="sr-Latn-ME"/>
        </w:rPr>
        <w:t xml:space="preserve"> </w:t>
      </w:r>
      <w:r w:rsidR="004A396C" w:rsidRPr="002041DF">
        <w:rPr>
          <w:sz w:val="22"/>
          <w:szCs w:val="22"/>
          <w:lang w:val="sr-Latn-ME"/>
        </w:rPr>
        <w:t xml:space="preserve">929 </w:t>
      </w:r>
      <w:r w:rsidRPr="002041DF">
        <w:rPr>
          <w:sz w:val="22"/>
          <w:szCs w:val="22"/>
          <w:lang w:val="sr-Latn-ME"/>
        </w:rPr>
        <w:t>pacijent</w:t>
      </w:r>
      <w:r w:rsidR="00A92785" w:rsidRPr="002041DF">
        <w:rPr>
          <w:sz w:val="22"/>
          <w:szCs w:val="22"/>
          <w:lang w:val="sr-Latn-ME"/>
        </w:rPr>
        <w:t>-godina</w:t>
      </w:r>
      <w:r w:rsidR="00884938" w:rsidRPr="002041DF">
        <w:rPr>
          <w:sz w:val="22"/>
          <w:szCs w:val="22"/>
          <w:lang w:val="sr-Latn-ME"/>
        </w:rPr>
        <w:t xml:space="preserve"> </w:t>
      </w:r>
      <w:r w:rsidRPr="002041DF">
        <w:rPr>
          <w:sz w:val="22"/>
          <w:szCs w:val="22"/>
          <w:lang w:val="sr-Latn-ME"/>
        </w:rPr>
        <w:t>praćenja) u poređenju sa 0,</w:t>
      </w:r>
      <w:r w:rsidR="004A396C" w:rsidRPr="002041DF">
        <w:rPr>
          <w:sz w:val="22"/>
          <w:szCs w:val="22"/>
          <w:lang w:val="sr-Latn-ME"/>
        </w:rPr>
        <w:t xml:space="preserve">46 </w:t>
      </w:r>
      <w:r w:rsidRPr="002041DF">
        <w:rPr>
          <w:sz w:val="22"/>
          <w:szCs w:val="22"/>
          <w:lang w:val="sr-Latn-ME"/>
        </w:rPr>
        <w:t xml:space="preserve">pacijenata koji su primali placebo (2 pacijenta </w:t>
      </w:r>
      <w:r w:rsidR="00781B13" w:rsidRPr="002041DF">
        <w:rPr>
          <w:sz w:val="22"/>
          <w:szCs w:val="22"/>
          <w:lang w:val="sr-Latn-ME"/>
        </w:rPr>
        <w:t>u</w:t>
      </w:r>
      <w:r w:rsidRPr="002041DF">
        <w:rPr>
          <w:sz w:val="22"/>
          <w:szCs w:val="22"/>
          <w:lang w:val="sr-Latn-ME"/>
        </w:rPr>
        <w:t xml:space="preserve"> </w:t>
      </w:r>
      <w:r w:rsidR="004A396C" w:rsidRPr="002041DF">
        <w:rPr>
          <w:sz w:val="22"/>
          <w:szCs w:val="22"/>
          <w:lang w:val="sr-Latn-ME"/>
        </w:rPr>
        <w:t xml:space="preserve">433 </w:t>
      </w:r>
      <w:r w:rsidRPr="002041DF">
        <w:rPr>
          <w:sz w:val="22"/>
          <w:szCs w:val="22"/>
          <w:lang w:val="sr-Latn-ME"/>
        </w:rPr>
        <w:t>pacijen</w:t>
      </w:r>
      <w:r w:rsidR="00781B13" w:rsidRPr="002041DF">
        <w:rPr>
          <w:sz w:val="22"/>
          <w:szCs w:val="22"/>
          <w:lang w:val="sr-Latn-ME"/>
        </w:rPr>
        <w:t>t-</w:t>
      </w:r>
      <w:r w:rsidRPr="002041DF">
        <w:rPr>
          <w:sz w:val="22"/>
          <w:szCs w:val="22"/>
          <w:lang w:val="sr-Latn-ME"/>
        </w:rPr>
        <w:t>godin</w:t>
      </w:r>
      <w:r w:rsidR="00781B13" w:rsidRPr="002041DF">
        <w:rPr>
          <w:sz w:val="22"/>
          <w:szCs w:val="22"/>
          <w:lang w:val="sr-Latn-ME"/>
        </w:rPr>
        <w:t>a</w:t>
      </w:r>
      <w:r w:rsidRPr="002041DF">
        <w:rPr>
          <w:sz w:val="22"/>
          <w:szCs w:val="22"/>
          <w:lang w:val="sr-Latn-ME"/>
        </w:rPr>
        <w:t xml:space="preserve"> praćenja).</w:t>
      </w:r>
      <w:r w:rsidR="007D54F9" w:rsidRPr="002041DF">
        <w:rPr>
          <w:sz w:val="22"/>
          <w:szCs w:val="22"/>
          <w:lang w:val="sr-Latn-ME"/>
        </w:rPr>
        <w:t xml:space="preserve"> </w:t>
      </w:r>
      <w:r w:rsidR="004A396C" w:rsidRPr="002041DF">
        <w:rPr>
          <w:sz w:val="22"/>
          <w:szCs w:val="22"/>
          <w:lang w:val="sr-Latn-ME"/>
        </w:rPr>
        <w:t xml:space="preserve"> </w:t>
      </w:r>
    </w:p>
    <w:p w14:paraId="0D1BA6C8" w14:textId="77777777" w:rsidR="00660BE9" w:rsidRPr="002041DF" w:rsidRDefault="00660BE9" w:rsidP="002041DF">
      <w:pPr>
        <w:pStyle w:val="Header"/>
        <w:widowControl w:val="0"/>
        <w:tabs>
          <w:tab w:val="left" w:pos="284"/>
        </w:tabs>
        <w:jc w:val="both"/>
        <w:rPr>
          <w:sz w:val="22"/>
          <w:szCs w:val="22"/>
          <w:lang w:val="sr-Latn-ME"/>
        </w:rPr>
      </w:pPr>
    </w:p>
    <w:p w14:paraId="78D9F5DC" w14:textId="08CDB066" w:rsidR="00660BE9" w:rsidRPr="002041DF" w:rsidRDefault="00660BE9" w:rsidP="002041DF">
      <w:pPr>
        <w:pStyle w:val="Header"/>
        <w:widowControl w:val="0"/>
        <w:tabs>
          <w:tab w:val="left" w:pos="284"/>
        </w:tabs>
        <w:jc w:val="both"/>
        <w:rPr>
          <w:sz w:val="22"/>
          <w:szCs w:val="22"/>
          <w:lang w:val="sr-Latn-ME"/>
        </w:rPr>
      </w:pPr>
      <w:r w:rsidRPr="002041DF">
        <w:rPr>
          <w:sz w:val="22"/>
          <w:szCs w:val="22"/>
          <w:lang w:val="sr-Latn-ME"/>
        </w:rPr>
        <w:t>U kontrolisanim i nekontrolisanim periodima kliničkih ispitivanja kod pacijenata sa psorijazom</w:t>
      </w:r>
      <w:r w:rsidR="006C329D" w:rsidRPr="002041DF">
        <w:rPr>
          <w:sz w:val="22"/>
          <w:szCs w:val="22"/>
          <w:lang w:val="sr-Latn-ME"/>
        </w:rPr>
        <w:t xml:space="preserve">, </w:t>
      </w:r>
      <w:r w:rsidRPr="002041DF">
        <w:rPr>
          <w:sz w:val="22"/>
          <w:szCs w:val="22"/>
          <w:lang w:val="sr-Latn-ME"/>
        </w:rPr>
        <w:t>psorijatičnim artritisom</w:t>
      </w:r>
      <w:r w:rsidR="004A396C" w:rsidRPr="002041DF">
        <w:rPr>
          <w:sz w:val="22"/>
          <w:szCs w:val="22"/>
          <w:lang w:val="sr-Latn-ME"/>
        </w:rPr>
        <w:t>,</w:t>
      </w:r>
      <w:r w:rsidR="006C329D" w:rsidRPr="002041DF">
        <w:rPr>
          <w:sz w:val="22"/>
          <w:szCs w:val="22"/>
          <w:lang w:val="sr-Latn-ME"/>
        </w:rPr>
        <w:t xml:space="preserve"> Kronovom </w:t>
      </w:r>
      <w:r w:rsidR="00F408A0" w:rsidRPr="002041DF">
        <w:rPr>
          <w:sz w:val="22"/>
          <w:szCs w:val="22"/>
          <w:lang w:val="sr-Latn-ME" w:eastAsia="x-none"/>
        </w:rPr>
        <w:t>bolešću</w:t>
      </w:r>
      <w:r w:rsidR="004A396C" w:rsidRPr="002041DF">
        <w:rPr>
          <w:sz w:val="22"/>
          <w:szCs w:val="22"/>
          <w:lang w:val="sr-Latn-ME"/>
        </w:rPr>
        <w:t xml:space="preserve"> i ulceroznim kolitisom</w:t>
      </w:r>
      <w:r w:rsidR="006C329D" w:rsidRPr="002041DF">
        <w:rPr>
          <w:sz w:val="22"/>
          <w:szCs w:val="22"/>
          <w:lang w:val="sr-Latn-ME"/>
        </w:rPr>
        <w:t xml:space="preserve"> </w:t>
      </w:r>
      <w:r w:rsidRPr="002041DF">
        <w:rPr>
          <w:sz w:val="22"/>
          <w:szCs w:val="22"/>
          <w:lang w:val="sr-Latn-ME"/>
        </w:rPr>
        <w:t>izloženost</w:t>
      </w:r>
      <w:r w:rsidR="00CA348C" w:rsidRPr="002041DF">
        <w:rPr>
          <w:lang w:val="sr-Latn-ME"/>
        </w:rPr>
        <w:t xml:space="preserve"> </w:t>
      </w:r>
      <w:r w:rsidR="00CA348C" w:rsidRPr="002041DF">
        <w:rPr>
          <w:sz w:val="22"/>
          <w:szCs w:val="22"/>
          <w:lang w:val="sr-Latn-ME"/>
        </w:rPr>
        <w:t>ustekinumabu</w:t>
      </w:r>
      <w:r w:rsidRPr="002041DF">
        <w:rPr>
          <w:sz w:val="22"/>
          <w:szCs w:val="22"/>
          <w:lang w:val="sr-Latn-ME"/>
        </w:rPr>
        <w:t xml:space="preserve"> je bila </w:t>
      </w:r>
      <w:r w:rsidR="00CA348C" w:rsidRPr="002041DF">
        <w:rPr>
          <w:sz w:val="22"/>
          <w:szCs w:val="22"/>
          <w:lang w:val="sr-Latn-ME"/>
        </w:rPr>
        <w:t>15205</w:t>
      </w:r>
      <w:r w:rsidR="000A4618" w:rsidRPr="002041DF">
        <w:rPr>
          <w:sz w:val="22"/>
          <w:szCs w:val="22"/>
          <w:lang w:val="sr-Latn-ME"/>
        </w:rPr>
        <w:t xml:space="preserve"> </w:t>
      </w:r>
      <w:r w:rsidRPr="002041DF">
        <w:rPr>
          <w:sz w:val="22"/>
          <w:szCs w:val="22"/>
          <w:lang w:val="sr-Latn-ME"/>
        </w:rPr>
        <w:t>pacijen</w:t>
      </w:r>
      <w:r w:rsidR="00B638D4" w:rsidRPr="002041DF">
        <w:rPr>
          <w:sz w:val="22"/>
          <w:szCs w:val="22"/>
          <w:lang w:val="sr-Latn-ME"/>
        </w:rPr>
        <w:t>t-</w:t>
      </w:r>
      <w:r w:rsidRPr="002041DF">
        <w:rPr>
          <w:sz w:val="22"/>
          <w:szCs w:val="22"/>
          <w:lang w:val="sr-Latn-ME"/>
        </w:rPr>
        <w:t>godin</w:t>
      </w:r>
      <w:r w:rsidR="00B638D4" w:rsidRPr="002041DF">
        <w:rPr>
          <w:sz w:val="22"/>
          <w:szCs w:val="22"/>
          <w:lang w:val="sr-Latn-ME"/>
        </w:rPr>
        <w:t>a</w:t>
      </w:r>
      <w:r w:rsidRPr="002041DF">
        <w:rPr>
          <w:sz w:val="22"/>
          <w:szCs w:val="22"/>
          <w:lang w:val="sr-Latn-ME"/>
        </w:rPr>
        <w:t xml:space="preserve"> praćenja kod </w:t>
      </w:r>
      <w:r w:rsidR="00CA348C" w:rsidRPr="002041DF">
        <w:rPr>
          <w:sz w:val="22"/>
          <w:szCs w:val="22"/>
          <w:lang w:val="sr-Latn-ME"/>
        </w:rPr>
        <w:t>6710</w:t>
      </w:r>
      <w:r w:rsidR="004A396C" w:rsidRPr="002041DF">
        <w:rPr>
          <w:sz w:val="22"/>
          <w:szCs w:val="22"/>
          <w:lang w:val="sr-Latn-ME"/>
        </w:rPr>
        <w:t xml:space="preserve"> </w:t>
      </w:r>
      <w:r w:rsidRPr="002041DF">
        <w:rPr>
          <w:sz w:val="22"/>
          <w:szCs w:val="22"/>
          <w:lang w:val="sr-Latn-ME"/>
        </w:rPr>
        <w:t>pacijen</w:t>
      </w:r>
      <w:r w:rsidR="00872D3E" w:rsidRPr="002041DF">
        <w:rPr>
          <w:sz w:val="22"/>
          <w:szCs w:val="22"/>
          <w:lang w:val="sr-Latn-ME"/>
        </w:rPr>
        <w:t>a</w:t>
      </w:r>
      <w:r w:rsidRPr="002041DF">
        <w:rPr>
          <w:sz w:val="22"/>
          <w:szCs w:val="22"/>
          <w:lang w:val="sr-Latn-ME"/>
        </w:rPr>
        <w:t xml:space="preserve">ta, </w:t>
      </w:r>
      <w:r w:rsidR="00B638D4" w:rsidRPr="002041DF">
        <w:rPr>
          <w:sz w:val="22"/>
          <w:szCs w:val="22"/>
          <w:lang w:val="sr-Latn-ME"/>
        </w:rPr>
        <w:t>medijana</w:t>
      </w:r>
      <w:r w:rsidRPr="002041DF">
        <w:rPr>
          <w:sz w:val="22"/>
          <w:szCs w:val="22"/>
          <w:lang w:val="sr-Latn-ME"/>
        </w:rPr>
        <w:t xml:space="preserve"> vreme</w:t>
      </w:r>
      <w:r w:rsidR="00B638D4" w:rsidRPr="002041DF">
        <w:rPr>
          <w:sz w:val="22"/>
          <w:szCs w:val="22"/>
          <w:lang w:val="sr-Latn-ME"/>
        </w:rPr>
        <w:t>na</w:t>
      </w:r>
      <w:r w:rsidRPr="002041DF">
        <w:rPr>
          <w:sz w:val="22"/>
          <w:szCs w:val="22"/>
          <w:lang w:val="sr-Latn-ME"/>
        </w:rPr>
        <w:t xml:space="preserve"> praćenja je bil</w:t>
      </w:r>
      <w:r w:rsidR="00B638D4" w:rsidRPr="002041DF">
        <w:rPr>
          <w:sz w:val="22"/>
          <w:szCs w:val="22"/>
          <w:lang w:val="sr-Latn-ME"/>
        </w:rPr>
        <w:t>a</w:t>
      </w:r>
      <w:r w:rsidRPr="002041DF">
        <w:rPr>
          <w:sz w:val="22"/>
          <w:szCs w:val="22"/>
          <w:lang w:val="sr-Latn-ME"/>
        </w:rPr>
        <w:t xml:space="preserve"> </w:t>
      </w:r>
      <w:r w:rsidR="00872D3E" w:rsidRPr="002041DF">
        <w:rPr>
          <w:sz w:val="22"/>
          <w:szCs w:val="22"/>
          <w:lang w:val="sr-Latn-ME"/>
        </w:rPr>
        <w:t>1,2</w:t>
      </w:r>
      <w:r w:rsidRPr="002041DF">
        <w:rPr>
          <w:sz w:val="22"/>
          <w:szCs w:val="22"/>
          <w:lang w:val="sr-Latn-ME"/>
        </w:rPr>
        <w:t xml:space="preserve"> godin</w:t>
      </w:r>
      <w:r w:rsidR="00872D3E" w:rsidRPr="002041DF">
        <w:rPr>
          <w:sz w:val="22"/>
          <w:szCs w:val="22"/>
          <w:lang w:val="sr-Latn-ME"/>
        </w:rPr>
        <w:t>e</w:t>
      </w:r>
      <w:r w:rsidRPr="002041DF">
        <w:rPr>
          <w:sz w:val="22"/>
          <w:szCs w:val="22"/>
          <w:lang w:val="sr-Latn-ME"/>
        </w:rPr>
        <w:t xml:space="preserve">; </w:t>
      </w:r>
      <w:r w:rsidR="00872D3E" w:rsidRPr="002041DF">
        <w:rPr>
          <w:sz w:val="22"/>
          <w:szCs w:val="22"/>
          <w:lang w:val="sr-Latn-ME"/>
        </w:rPr>
        <w:t>1,7</w:t>
      </w:r>
      <w:r w:rsidR="004A396C" w:rsidRPr="002041DF">
        <w:rPr>
          <w:sz w:val="22"/>
          <w:szCs w:val="22"/>
          <w:lang w:val="sr-Latn-ME"/>
        </w:rPr>
        <w:t xml:space="preserve"> </w:t>
      </w:r>
      <w:r w:rsidRPr="002041DF">
        <w:rPr>
          <w:sz w:val="22"/>
          <w:szCs w:val="22"/>
          <w:lang w:val="sr-Latn-ME"/>
        </w:rPr>
        <w:t>godin</w:t>
      </w:r>
      <w:r w:rsidR="00872D3E" w:rsidRPr="002041DF">
        <w:rPr>
          <w:sz w:val="22"/>
          <w:szCs w:val="22"/>
          <w:lang w:val="sr-Latn-ME"/>
        </w:rPr>
        <w:t>a</w:t>
      </w:r>
      <w:r w:rsidRPr="002041DF">
        <w:rPr>
          <w:sz w:val="22"/>
          <w:szCs w:val="22"/>
          <w:lang w:val="sr-Latn-ME"/>
        </w:rPr>
        <w:t xml:space="preserve"> is</w:t>
      </w:r>
      <w:r w:rsidR="00B638D4" w:rsidRPr="002041DF">
        <w:rPr>
          <w:sz w:val="22"/>
          <w:szCs w:val="22"/>
          <w:lang w:val="sr-Latn-ME"/>
        </w:rPr>
        <w:t>p</w:t>
      </w:r>
      <w:r w:rsidRPr="002041DF">
        <w:rPr>
          <w:sz w:val="22"/>
          <w:szCs w:val="22"/>
          <w:lang w:val="sr-Latn-ME"/>
        </w:rPr>
        <w:t xml:space="preserve">itivanja sa </w:t>
      </w:r>
      <w:r w:rsidR="004A396C" w:rsidRPr="002041DF">
        <w:rPr>
          <w:sz w:val="22"/>
          <w:szCs w:val="22"/>
          <w:lang w:val="sr-Latn-ME"/>
        </w:rPr>
        <w:t xml:space="preserve">psorijatičnim bolestima, </w:t>
      </w:r>
      <w:r w:rsidR="006C329D" w:rsidRPr="002041DF">
        <w:rPr>
          <w:sz w:val="22"/>
          <w:szCs w:val="22"/>
          <w:lang w:val="sr-Latn-ME"/>
        </w:rPr>
        <w:t xml:space="preserve">0,6 godina u ispitivanjima sa Kronovom </w:t>
      </w:r>
      <w:r w:rsidR="00F408A0" w:rsidRPr="002041DF">
        <w:rPr>
          <w:sz w:val="22"/>
          <w:szCs w:val="22"/>
          <w:lang w:val="sr-Latn-ME" w:eastAsia="x-none"/>
        </w:rPr>
        <w:t>bolešću</w:t>
      </w:r>
      <w:r w:rsidR="004A396C" w:rsidRPr="002041DF">
        <w:rPr>
          <w:sz w:val="22"/>
          <w:szCs w:val="22"/>
          <w:lang w:val="sr-Latn-ME" w:eastAsia="x-none"/>
        </w:rPr>
        <w:t xml:space="preserve"> </w:t>
      </w:r>
      <w:r w:rsidR="004A396C" w:rsidRPr="002041DF">
        <w:rPr>
          <w:sz w:val="22"/>
          <w:szCs w:val="22"/>
          <w:lang w:val="sr-Latn-ME"/>
        </w:rPr>
        <w:t xml:space="preserve">i </w:t>
      </w:r>
      <w:r w:rsidR="00872D3E" w:rsidRPr="002041DF">
        <w:rPr>
          <w:sz w:val="22"/>
          <w:szCs w:val="22"/>
          <w:lang w:val="sr-Latn-ME"/>
        </w:rPr>
        <w:t>2,3</w:t>
      </w:r>
      <w:r w:rsidR="004A396C" w:rsidRPr="002041DF">
        <w:rPr>
          <w:sz w:val="22"/>
          <w:szCs w:val="22"/>
          <w:lang w:val="sr-Latn-ME"/>
        </w:rPr>
        <w:t xml:space="preserve"> godin</w:t>
      </w:r>
      <w:r w:rsidR="00872D3E" w:rsidRPr="002041DF">
        <w:rPr>
          <w:sz w:val="22"/>
          <w:szCs w:val="22"/>
          <w:lang w:val="sr-Latn-ME"/>
        </w:rPr>
        <w:t>e</w:t>
      </w:r>
      <w:r w:rsidR="004A396C" w:rsidRPr="002041DF">
        <w:rPr>
          <w:sz w:val="22"/>
          <w:szCs w:val="22"/>
          <w:lang w:val="sr-Latn-ME"/>
        </w:rPr>
        <w:t xml:space="preserve"> u ispitivanjima sa ulceroznim kolitisom.</w:t>
      </w:r>
      <w:r w:rsidR="00892454" w:rsidRPr="002041DF">
        <w:rPr>
          <w:sz w:val="22"/>
          <w:szCs w:val="22"/>
          <w:lang w:val="sr-Latn-ME"/>
        </w:rPr>
        <w:t xml:space="preserve"> </w:t>
      </w:r>
      <w:r w:rsidRPr="002041DF">
        <w:rPr>
          <w:sz w:val="22"/>
          <w:szCs w:val="22"/>
          <w:lang w:val="sr-Latn-ME"/>
        </w:rPr>
        <w:t xml:space="preserve">Maligna oboljenja (isključujući nemelanomske karcinome kože) su prijavljena kod </w:t>
      </w:r>
      <w:r w:rsidR="00872D3E" w:rsidRPr="002041DF">
        <w:rPr>
          <w:sz w:val="22"/>
          <w:szCs w:val="22"/>
          <w:lang w:val="sr-Latn-ME"/>
        </w:rPr>
        <w:t>76</w:t>
      </w:r>
      <w:r w:rsidR="00583ED5" w:rsidRPr="002041DF">
        <w:rPr>
          <w:sz w:val="22"/>
          <w:szCs w:val="22"/>
          <w:lang w:val="sr-Latn-ME"/>
        </w:rPr>
        <w:t xml:space="preserve"> </w:t>
      </w:r>
      <w:r w:rsidRPr="002041DF">
        <w:rPr>
          <w:sz w:val="22"/>
          <w:szCs w:val="22"/>
          <w:lang w:val="sr-Latn-ME"/>
        </w:rPr>
        <w:t xml:space="preserve">pacijenata </w:t>
      </w:r>
      <w:r w:rsidR="00B638D4" w:rsidRPr="002041DF">
        <w:rPr>
          <w:sz w:val="22"/>
          <w:szCs w:val="22"/>
          <w:lang w:val="sr-Latn-ME"/>
        </w:rPr>
        <w:t>tokom</w:t>
      </w:r>
      <w:r w:rsidRPr="002041DF">
        <w:rPr>
          <w:sz w:val="22"/>
          <w:szCs w:val="22"/>
          <w:lang w:val="sr-Latn-ME"/>
        </w:rPr>
        <w:t xml:space="preserve"> </w:t>
      </w:r>
      <w:r w:rsidR="00872D3E" w:rsidRPr="002041DF">
        <w:rPr>
          <w:sz w:val="22"/>
          <w:szCs w:val="22"/>
          <w:lang w:val="sr-Latn-ME"/>
        </w:rPr>
        <w:t>15205</w:t>
      </w:r>
      <w:r w:rsidR="00583ED5" w:rsidRPr="002041DF">
        <w:rPr>
          <w:sz w:val="22"/>
          <w:szCs w:val="22"/>
          <w:lang w:val="sr-Latn-ME"/>
        </w:rPr>
        <w:t xml:space="preserve"> </w:t>
      </w:r>
      <w:r w:rsidRPr="002041DF">
        <w:rPr>
          <w:sz w:val="22"/>
          <w:szCs w:val="22"/>
          <w:lang w:val="sr-Latn-ME"/>
        </w:rPr>
        <w:t>pacijent</w:t>
      </w:r>
      <w:r w:rsidR="00B638D4" w:rsidRPr="002041DF">
        <w:rPr>
          <w:sz w:val="22"/>
          <w:szCs w:val="22"/>
          <w:lang w:val="sr-Latn-ME"/>
        </w:rPr>
        <w:t>-</w:t>
      </w:r>
      <w:r w:rsidRPr="002041DF">
        <w:rPr>
          <w:sz w:val="22"/>
          <w:szCs w:val="22"/>
          <w:lang w:val="sr-Latn-ME"/>
        </w:rPr>
        <w:t>godin</w:t>
      </w:r>
      <w:r w:rsidR="00B638D4" w:rsidRPr="002041DF">
        <w:rPr>
          <w:sz w:val="22"/>
          <w:szCs w:val="22"/>
          <w:lang w:val="sr-Latn-ME"/>
        </w:rPr>
        <w:t>a</w:t>
      </w:r>
      <w:r w:rsidRPr="002041DF">
        <w:rPr>
          <w:sz w:val="22"/>
          <w:szCs w:val="22"/>
          <w:lang w:val="sr-Latn-ME"/>
        </w:rPr>
        <w:t xml:space="preserve"> praćenja (incidenca od </w:t>
      </w:r>
      <w:r w:rsidR="00872D3E" w:rsidRPr="002041DF">
        <w:rPr>
          <w:sz w:val="22"/>
          <w:szCs w:val="22"/>
          <w:lang w:val="sr-Latn-ME"/>
        </w:rPr>
        <w:t>0,50</w:t>
      </w:r>
      <w:r w:rsidRPr="002041DF">
        <w:rPr>
          <w:sz w:val="22"/>
          <w:szCs w:val="22"/>
          <w:lang w:val="sr-Latn-ME"/>
        </w:rPr>
        <w:t xml:space="preserve"> na 100 pacijent</w:t>
      </w:r>
      <w:r w:rsidR="00B638D4" w:rsidRPr="002041DF">
        <w:rPr>
          <w:sz w:val="22"/>
          <w:szCs w:val="22"/>
          <w:lang w:val="sr-Latn-ME"/>
        </w:rPr>
        <w:t>-</w:t>
      </w:r>
      <w:r w:rsidRPr="002041DF">
        <w:rPr>
          <w:sz w:val="22"/>
          <w:szCs w:val="22"/>
          <w:lang w:val="sr-Latn-ME"/>
        </w:rPr>
        <w:t>godin</w:t>
      </w:r>
      <w:r w:rsidR="00B638D4" w:rsidRPr="002041DF">
        <w:rPr>
          <w:sz w:val="22"/>
          <w:szCs w:val="22"/>
          <w:lang w:val="sr-Latn-ME"/>
        </w:rPr>
        <w:t>a</w:t>
      </w:r>
      <w:r w:rsidRPr="002041DF">
        <w:rPr>
          <w:sz w:val="22"/>
          <w:szCs w:val="22"/>
          <w:lang w:val="sr-Latn-ME"/>
        </w:rPr>
        <w:t xml:space="preserve"> praćenja za pacijente koji su </w:t>
      </w:r>
      <w:r w:rsidR="00891C9B" w:rsidRPr="002041DF">
        <w:rPr>
          <w:sz w:val="22"/>
          <w:szCs w:val="22"/>
          <w:lang w:val="sr-Latn-ME"/>
        </w:rPr>
        <w:t>liječen</w:t>
      </w:r>
      <w:r w:rsidRPr="002041DF">
        <w:rPr>
          <w:sz w:val="22"/>
          <w:szCs w:val="22"/>
          <w:lang w:val="sr-Latn-ME"/>
        </w:rPr>
        <w:t xml:space="preserve">i ustekinumabom). </w:t>
      </w:r>
      <w:r w:rsidR="006C329D" w:rsidRPr="002041DF">
        <w:rPr>
          <w:sz w:val="22"/>
          <w:szCs w:val="22"/>
          <w:lang w:val="sr-Latn-ME"/>
        </w:rPr>
        <w:t>I</w:t>
      </w:r>
      <w:r w:rsidRPr="002041DF">
        <w:rPr>
          <w:sz w:val="22"/>
          <w:szCs w:val="22"/>
          <w:lang w:val="sr-Latn-ME"/>
        </w:rPr>
        <w:t xml:space="preserve">ncidenca javljanja malignih oboljenja koja su prijavljena kod pacijenata koji su </w:t>
      </w:r>
      <w:r w:rsidR="00891C9B" w:rsidRPr="002041DF">
        <w:rPr>
          <w:sz w:val="22"/>
          <w:szCs w:val="22"/>
          <w:lang w:val="sr-Latn-ME"/>
        </w:rPr>
        <w:t>liječen</w:t>
      </w:r>
      <w:r w:rsidRPr="002041DF">
        <w:rPr>
          <w:sz w:val="22"/>
          <w:szCs w:val="22"/>
          <w:lang w:val="sr-Latn-ME"/>
        </w:rPr>
        <w:t>i ustekinumabom je bila komparabilna sa očekivanom incidencom javljanja u opštoj populaciji (standardizovan stepen incidence=</w:t>
      </w:r>
      <w:r w:rsidR="00872D3E" w:rsidRPr="002041DF">
        <w:rPr>
          <w:sz w:val="22"/>
          <w:szCs w:val="22"/>
          <w:lang w:val="sr-Latn-ME"/>
        </w:rPr>
        <w:t>0,94</w:t>
      </w:r>
      <w:r w:rsidR="004A396C" w:rsidRPr="002041DF">
        <w:rPr>
          <w:sz w:val="22"/>
          <w:szCs w:val="22"/>
          <w:lang w:val="sr-Latn-ME"/>
        </w:rPr>
        <w:t xml:space="preserve"> </w:t>
      </w:r>
      <w:r w:rsidRPr="002041DF">
        <w:rPr>
          <w:sz w:val="22"/>
          <w:szCs w:val="22"/>
          <w:lang w:val="sr-Latn-ME"/>
        </w:rPr>
        <w:t xml:space="preserve">(95% </w:t>
      </w:r>
      <w:r w:rsidR="00F408A0" w:rsidRPr="002041DF">
        <w:rPr>
          <w:sz w:val="22"/>
          <w:szCs w:val="22"/>
          <w:lang w:val="sr-Latn-ME" w:eastAsia="x-none"/>
        </w:rPr>
        <w:t>interval pouzdanosti</w:t>
      </w:r>
      <w:r w:rsidRPr="002041DF">
        <w:rPr>
          <w:sz w:val="22"/>
          <w:szCs w:val="22"/>
          <w:lang w:val="sr-Latn-ME"/>
        </w:rPr>
        <w:t xml:space="preserve">: </w:t>
      </w:r>
      <w:r w:rsidR="00872D3E" w:rsidRPr="002041DF">
        <w:rPr>
          <w:sz w:val="22"/>
          <w:szCs w:val="22"/>
          <w:lang w:val="sr-Latn-ME"/>
        </w:rPr>
        <w:t>0,73</w:t>
      </w:r>
      <w:r w:rsidR="004A396C" w:rsidRPr="002041DF">
        <w:rPr>
          <w:sz w:val="22"/>
          <w:szCs w:val="22"/>
          <w:lang w:val="sr-Latn-ME"/>
        </w:rPr>
        <w:t xml:space="preserve">, </w:t>
      </w:r>
      <w:r w:rsidR="00872D3E" w:rsidRPr="002041DF">
        <w:rPr>
          <w:sz w:val="22"/>
          <w:szCs w:val="22"/>
          <w:lang w:val="sr-Latn-ME"/>
        </w:rPr>
        <w:t>1,18</w:t>
      </w:r>
      <w:r w:rsidRPr="002041DF">
        <w:rPr>
          <w:sz w:val="22"/>
          <w:szCs w:val="22"/>
          <w:lang w:val="sr-Latn-ME"/>
        </w:rPr>
        <w:t>) prilagođen u odnosu na starost, pol i rasu). Najčešće su se javljala (izuzev nemelanomskih karcinom</w:t>
      </w:r>
      <w:r w:rsidR="000A4618" w:rsidRPr="002041DF">
        <w:rPr>
          <w:sz w:val="22"/>
          <w:szCs w:val="22"/>
          <w:lang w:val="sr-Latn-ME"/>
        </w:rPr>
        <w:t>a</w:t>
      </w:r>
      <w:r w:rsidRPr="002041DF">
        <w:rPr>
          <w:sz w:val="22"/>
          <w:szCs w:val="22"/>
          <w:lang w:val="sr-Latn-ME"/>
        </w:rPr>
        <w:t xml:space="preserve"> kože) maligna oboljenja prostate,</w:t>
      </w:r>
      <w:r w:rsidR="00872D3E" w:rsidRPr="002041DF">
        <w:rPr>
          <w:lang w:val="sr-Latn-ME"/>
        </w:rPr>
        <w:t xml:space="preserve"> </w:t>
      </w:r>
      <w:r w:rsidR="00872D3E" w:rsidRPr="002041DF">
        <w:rPr>
          <w:sz w:val="22"/>
          <w:szCs w:val="22"/>
          <w:lang w:val="sr-Latn-ME"/>
        </w:rPr>
        <w:t>melanom,</w:t>
      </w:r>
      <w:r w:rsidRPr="002041DF">
        <w:rPr>
          <w:sz w:val="22"/>
          <w:szCs w:val="22"/>
          <w:lang w:val="sr-Latn-ME"/>
        </w:rPr>
        <w:t xml:space="preserve"> kolorektalna maligna oboljenja</w:t>
      </w:r>
      <w:r w:rsidR="00B638D4" w:rsidRPr="002041DF">
        <w:rPr>
          <w:sz w:val="22"/>
          <w:szCs w:val="22"/>
          <w:lang w:val="sr-Latn-ME"/>
        </w:rPr>
        <w:t xml:space="preserve"> i</w:t>
      </w:r>
      <w:r w:rsidRPr="002041DF">
        <w:rPr>
          <w:sz w:val="22"/>
          <w:szCs w:val="22"/>
          <w:lang w:val="sr-Latn-ME"/>
        </w:rPr>
        <w:t xml:space="preserve"> karcinomi dojki</w:t>
      </w:r>
      <w:r w:rsidRPr="002041DF">
        <w:rPr>
          <w:i/>
          <w:sz w:val="22"/>
          <w:szCs w:val="22"/>
          <w:lang w:val="sr-Latn-ME"/>
        </w:rPr>
        <w:t>.</w:t>
      </w:r>
      <w:r w:rsidRPr="002041DF">
        <w:rPr>
          <w:sz w:val="22"/>
          <w:szCs w:val="22"/>
          <w:lang w:val="sr-Latn-ME"/>
        </w:rPr>
        <w:t xml:space="preserve"> Incidenca javljanja nemelanomskih karcinoma kože je bila </w:t>
      </w:r>
      <w:r w:rsidR="00872D3E" w:rsidRPr="002041DF">
        <w:rPr>
          <w:sz w:val="22"/>
          <w:szCs w:val="22"/>
          <w:lang w:val="sr-Latn-ME"/>
        </w:rPr>
        <w:t>0,46</w:t>
      </w:r>
      <w:r w:rsidRPr="002041DF">
        <w:rPr>
          <w:sz w:val="22"/>
          <w:szCs w:val="22"/>
          <w:lang w:val="sr-Latn-ME"/>
        </w:rPr>
        <w:t xml:space="preserve"> na 100 pacijent</w:t>
      </w:r>
      <w:r w:rsidR="0068124A" w:rsidRPr="002041DF">
        <w:rPr>
          <w:sz w:val="22"/>
          <w:szCs w:val="22"/>
          <w:lang w:val="sr-Latn-ME"/>
        </w:rPr>
        <w:t>-</w:t>
      </w:r>
      <w:r w:rsidRPr="002041DF">
        <w:rPr>
          <w:sz w:val="22"/>
          <w:szCs w:val="22"/>
          <w:lang w:val="sr-Latn-ME"/>
        </w:rPr>
        <w:t>godin</w:t>
      </w:r>
      <w:r w:rsidR="0068124A" w:rsidRPr="002041DF">
        <w:rPr>
          <w:sz w:val="22"/>
          <w:szCs w:val="22"/>
          <w:lang w:val="sr-Latn-ME"/>
        </w:rPr>
        <w:t>a</w:t>
      </w:r>
      <w:r w:rsidRPr="002041DF">
        <w:rPr>
          <w:sz w:val="22"/>
          <w:szCs w:val="22"/>
          <w:lang w:val="sr-Latn-ME"/>
        </w:rPr>
        <w:t xml:space="preserve"> praćenja kod pacijenata koji su </w:t>
      </w:r>
      <w:r w:rsidR="00891C9B" w:rsidRPr="002041DF">
        <w:rPr>
          <w:sz w:val="22"/>
          <w:szCs w:val="22"/>
          <w:lang w:val="sr-Latn-ME"/>
        </w:rPr>
        <w:t>liječen</w:t>
      </w:r>
      <w:r w:rsidRPr="002041DF">
        <w:rPr>
          <w:sz w:val="22"/>
          <w:szCs w:val="22"/>
          <w:lang w:val="sr-Latn-ME"/>
        </w:rPr>
        <w:t>i ustekinumabom (</w:t>
      </w:r>
      <w:r w:rsidR="00872D3E" w:rsidRPr="002041DF">
        <w:rPr>
          <w:sz w:val="22"/>
          <w:szCs w:val="22"/>
          <w:lang w:val="sr-Latn-ME"/>
        </w:rPr>
        <w:t>69</w:t>
      </w:r>
      <w:r w:rsidR="004A396C" w:rsidRPr="002041DF">
        <w:rPr>
          <w:sz w:val="22"/>
          <w:szCs w:val="22"/>
          <w:lang w:val="sr-Latn-ME"/>
        </w:rPr>
        <w:t xml:space="preserve"> </w:t>
      </w:r>
      <w:r w:rsidRPr="002041DF">
        <w:rPr>
          <w:sz w:val="22"/>
          <w:szCs w:val="22"/>
          <w:lang w:val="sr-Latn-ME"/>
        </w:rPr>
        <w:t>pacijen</w:t>
      </w:r>
      <w:r w:rsidR="0068124A" w:rsidRPr="002041DF">
        <w:rPr>
          <w:sz w:val="22"/>
          <w:szCs w:val="22"/>
          <w:lang w:val="sr-Latn-ME"/>
        </w:rPr>
        <w:t>a</w:t>
      </w:r>
      <w:r w:rsidRPr="002041DF">
        <w:rPr>
          <w:sz w:val="22"/>
          <w:szCs w:val="22"/>
          <w:lang w:val="sr-Latn-ME"/>
        </w:rPr>
        <w:t>t</w:t>
      </w:r>
      <w:r w:rsidR="0068124A" w:rsidRPr="002041DF">
        <w:rPr>
          <w:sz w:val="22"/>
          <w:szCs w:val="22"/>
          <w:lang w:val="sr-Latn-ME"/>
        </w:rPr>
        <w:t>a</w:t>
      </w:r>
      <w:r w:rsidRPr="002041DF">
        <w:rPr>
          <w:sz w:val="22"/>
          <w:szCs w:val="22"/>
          <w:lang w:val="sr-Latn-ME"/>
        </w:rPr>
        <w:t xml:space="preserve"> </w:t>
      </w:r>
      <w:r w:rsidR="0068124A" w:rsidRPr="002041DF">
        <w:rPr>
          <w:sz w:val="22"/>
          <w:szCs w:val="22"/>
          <w:lang w:val="sr-Latn-ME"/>
        </w:rPr>
        <w:t>tokom</w:t>
      </w:r>
      <w:r w:rsidRPr="002041DF">
        <w:rPr>
          <w:sz w:val="22"/>
          <w:szCs w:val="22"/>
          <w:lang w:val="sr-Latn-ME"/>
        </w:rPr>
        <w:t xml:space="preserve"> </w:t>
      </w:r>
      <w:r w:rsidR="00872D3E" w:rsidRPr="002041DF">
        <w:rPr>
          <w:sz w:val="22"/>
          <w:szCs w:val="22"/>
          <w:lang w:val="sr-Latn-ME"/>
        </w:rPr>
        <w:t>15165</w:t>
      </w:r>
      <w:r w:rsidR="004A396C" w:rsidRPr="002041DF">
        <w:rPr>
          <w:sz w:val="22"/>
          <w:szCs w:val="22"/>
          <w:lang w:val="sr-Latn-ME"/>
        </w:rPr>
        <w:t xml:space="preserve"> </w:t>
      </w:r>
      <w:r w:rsidRPr="002041DF">
        <w:rPr>
          <w:sz w:val="22"/>
          <w:szCs w:val="22"/>
          <w:lang w:val="sr-Latn-ME"/>
        </w:rPr>
        <w:t>pacijent</w:t>
      </w:r>
      <w:r w:rsidR="0068124A" w:rsidRPr="002041DF">
        <w:rPr>
          <w:sz w:val="22"/>
          <w:szCs w:val="22"/>
          <w:lang w:val="sr-Latn-ME"/>
        </w:rPr>
        <w:t>-</w:t>
      </w:r>
      <w:r w:rsidRPr="002041DF">
        <w:rPr>
          <w:sz w:val="22"/>
          <w:szCs w:val="22"/>
          <w:lang w:val="sr-Latn-ME"/>
        </w:rPr>
        <w:t>godin</w:t>
      </w:r>
      <w:r w:rsidR="0068124A" w:rsidRPr="002041DF">
        <w:rPr>
          <w:sz w:val="22"/>
          <w:szCs w:val="22"/>
          <w:lang w:val="sr-Latn-ME"/>
        </w:rPr>
        <w:t>a</w:t>
      </w:r>
      <w:r w:rsidRPr="002041DF">
        <w:rPr>
          <w:sz w:val="22"/>
          <w:szCs w:val="22"/>
          <w:lang w:val="sr-Latn-ME"/>
        </w:rPr>
        <w:t xml:space="preserve"> praćenja)</w:t>
      </w:r>
      <w:r w:rsidR="0068124A" w:rsidRPr="002041DF">
        <w:rPr>
          <w:sz w:val="22"/>
          <w:szCs w:val="22"/>
          <w:lang w:val="sr-Latn-ME"/>
        </w:rPr>
        <w:t>.</w:t>
      </w:r>
      <w:r w:rsidRPr="002041DF">
        <w:rPr>
          <w:sz w:val="22"/>
          <w:szCs w:val="22"/>
          <w:lang w:val="sr-Latn-ME"/>
        </w:rPr>
        <w:t xml:space="preserve"> Odnos </w:t>
      </w:r>
      <w:r w:rsidRPr="002041DF">
        <w:rPr>
          <w:sz w:val="22"/>
          <w:szCs w:val="22"/>
          <w:lang w:val="sr-Latn-ME"/>
        </w:rPr>
        <w:lastRenderedPageBreak/>
        <w:t>javljanja karcinoma bazalnih ćelija kože i karcinoma skvamoznih ćelija kože (</w:t>
      </w:r>
      <w:r w:rsidR="004A396C" w:rsidRPr="002041DF">
        <w:rPr>
          <w:sz w:val="22"/>
          <w:szCs w:val="22"/>
          <w:lang w:val="sr-Latn-ME"/>
        </w:rPr>
        <w:t>3</w:t>
      </w:r>
      <w:r w:rsidRPr="002041DF">
        <w:rPr>
          <w:sz w:val="22"/>
          <w:szCs w:val="22"/>
          <w:lang w:val="sr-Latn-ME"/>
        </w:rPr>
        <w:t>:1) je bio komparabilan sa očekivanom učestalošću javljanja u opštoj populaciji (</w:t>
      </w:r>
      <w:r w:rsidR="006779EA" w:rsidRPr="002041DF">
        <w:rPr>
          <w:sz w:val="22"/>
          <w:szCs w:val="22"/>
          <w:lang w:val="sr-Latn-ME"/>
        </w:rPr>
        <w:t>vidjeti</w:t>
      </w:r>
      <w:r w:rsidRPr="002041DF">
        <w:rPr>
          <w:sz w:val="22"/>
          <w:szCs w:val="22"/>
          <w:lang w:val="sr-Latn-ME"/>
        </w:rPr>
        <w:t xml:space="preserve"> </w:t>
      </w:r>
      <w:r w:rsidR="00292E06" w:rsidRPr="002041DF">
        <w:rPr>
          <w:sz w:val="22"/>
          <w:szCs w:val="22"/>
          <w:lang w:val="sr-Latn-ME"/>
        </w:rPr>
        <w:t>dio</w:t>
      </w:r>
      <w:r w:rsidR="0068124A" w:rsidRPr="002041DF">
        <w:rPr>
          <w:sz w:val="22"/>
          <w:szCs w:val="22"/>
          <w:lang w:val="sr-Latn-ME"/>
        </w:rPr>
        <w:t xml:space="preserve"> </w:t>
      </w:r>
      <w:r w:rsidRPr="002041DF">
        <w:rPr>
          <w:sz w:val="22"/>
          <w:szCs w:val="22"/>
          <w:lang w:val="sr-Latn-ME"/>
        </w:rPr>
        <w:t>4.4).</w:t>
      </w:r>
    </w:p>
    <w:p w14:paraId="5CB9FA63" w14:textId="77777777" w:rsidR="00660BE9" w:rsidRPr="002041DF" w:rsidRDefault="00660BE9" w:rsidP="002041DF">
      <w:pPr>
        <w:pStyle w:val="Header"/>
        <w:widowControl w:val="0"/>
        <w:tabs>
          <w:tab w:val="left" w:pos="284"/>
        </w:tabs>
        <w:jc w:val="both"/>
        <w:rPr>
          <w:sz w:val="22"/>
          <w:szCs w:val="22"/>
          <w:lang w:val="sr-Latn-ME"/>
        </w:rPr>
      </w:pPr>
    </w:p>
    <w:p w14:paraId="65C7943C" w14:textId="77777777" w:rsidR="00660BE9" w:rsidRPr="002041DF" w:rsidRDefault="00660BE9" w:rsidP="002041DF">
      <w:pPr>
        <w:pStyle w:val="Header"/>
        <w:widowControl w:val="0"/>
        <w:tabs>
          <w:tab w:val="left" w:pos="284"/>
        </w:tabs>
        <w:jc w:val="both"/>
        <w:rPr>
          <w:sz w:val="22"/>
          <w:szCs w:val="22"/>
          <w:lang w:val="sr-Latn-ME"/>
        </w:rPr>
      </w:pPr>
      <w:r w:rsidRPr="002041DF">
        <w:rPr>
          <w:sz w:val="22"/>
          <w:szCs w:val="22"/>
          <w:u w:val="single"/>
          <w:lang w:val="sr-Latn-ME"/>
        </w:rPr>
        <w:t>Reakcije hipersenzitivnosti</w:t>
      </w:r>
    </w:p>
    <w:p w14:paraId="348EADB2" w14:textId="6DFE03E2" w:rsidR="00660BE9" w:rsidRPr="002041DF" w:rsidRDefault="00660BE9" w:rsidP="002041DF">
      <w:pPr>
        <w:pStyle w:val="Header"/>
        <w:widowControl w:val="0"/>
        <w:tabs>
          <w:tab w:val="left" w:pos="284"/>
        </w:tabs>
        <w:jc w:val="both"/>
        <w:rPr>
          <w:sz w:val="22"/>
          <w:szCs w:val="22"/>
          <w:lang w:val="sr-Latn-ME"/>
        </w:rPr>
      </w:pPr>
      <w:r w:rsidRPr="002041DF">
        <w:rPr>
          <w:sz w:val="22"/>
          <w:szCs w:val="22"/>
          <w:lang w:val="sr-Latn-ME"/>
        </w:rPr>
        <w:t>Tokom kontrolisanih perioda kliničkih ispitivanja ustekinumaba kod pacijenata sa psorijazom i psorijatičnim artritisom, osip i urtikarija su prim</w:t>
      </w:r>
      <w:r w:rsidR="00802A66" w:rsidRPr="002041DF">
        <w:rPr>
          <w:sz w:val="22"/>
          <w:szCs w:val="22"/>
          <w:lang w:val="sr-Latn-ME"/>
        </w:rPr>
        <w:t>ij</w:t>
      </w:r>
      <w:r w:rsidRPr="002041DF">
        <w:rPr>
          <w:sz w:val="22"/>
          <w:szCs w:val="22"/>
          <w:lang w:val="sr-Latn-ME"/>
        </w:rPr>
        <w:t>ećeni kod &lt; 1% pacijenata (</w:t>
      </w:r>
      <w:r w:rsidR="006779EA" w:rsidRPr="002041DF">
        <w:rPr>
          <w:sz w:val="22"/>
          <w:szCs w:val="22"/>
          <w:lang w:val="sr-Latn-ME"/>
        </w:rPr>
        <w:t>vidjeti</w:t>
      </w:r>
      <w:r w:rsidRPr="002041DF">
        <w:rPr>
          <w:sz w:val="22"/>
          <w:szCs w:val="22"/>
          <w:lang w:val="sr-Latn-ME"/>
        </w:rPr>
        <w:t xml:space="preserve"> </w:t>
      </w:r>
      <w:r w:rsidR="00292E06" w:rsidRPr="002041DF">
        <w:rPr>
          <w:sz w:val="22"/>
          <w:szCs w:val="22"/>
          <w:lang w:val="sr-Latn-ME"/>
        </w:rPr>
        <w:t>dio</w:t>
      </w:r>
      <w:r w:rsidRPr="002041DF">
        <w:rPr>
          <w:sz w:val="22"/>
          <w:szCs w:val="22"/>
          <w:lang w:val="sr-Latn-ME"/>
        </w:rPr>
        <w:t xml:space="preserve"> 4.4).</w:t>
      </w:r>
    </w:p>
    <w:p w14:paraId="60AA4EB8" w14:textId="77777777" w:rsidR="00660BE9" w:rsidRPr="002041DF" w:rsidRDefault="00660BE9" w:rsidP="002041DF">
      <w:pPr>
        <w:pStyle w:val="Header"/>
        <w:widowControl w:val="0"/>
        <w:tabs>
          <w:tab w:val="left" w:pos="284"/>
        </w:tabs>
        <w:jc w:val="both"/>
        <w:rPr>
          <w:sz w:val="22"/>
          <w:szCs w:val="22"/>
          <w:lang w:val="sr-Latn-ME"/>
        </w:rPr>
      </w:pPr>
    </w:p>
    <w:p w14:paraId="4CBE1EA6" w14:textId="77777777" w:rsidR="00641C7D" w:rsidRPr="002041DF" w:rsidRDefault="00641C7D" w:rsidP="002041DF">
      <w:pPr>
        <w:pStyle w:val="Header"/>
        <w:widowControl w:val="0"/>
        <w:tabs>
          <w:tab w:val="left" w:pos="284"/>
        </w:tabs>
        <w:jc w:val="both"/>
        <w:rPr>
          <w:iCs/>
          <w:sz w:val="22"/>
          <w:szCs w:val="22"/>
          <w:u w:val="single"/>
          <w:lang w:val="sr-Latn-ME"/>
        </w:rPr>
      </w:pPr>
      <w:r w:rsidRPr="002041DF">
        <w:rPr>
          <w:iCs/>
          <w:sz w:val="22"/>
          <w:szCs w:val="22"/>
          <w:u w:val="single"/>
          <w:lang w:val="sr-Latn-ME"/>
        </w:rPr>
        <w:t>Pedijatrijska populacija</w:t>
      </w:r>
    </w:p>
    <w:p w14:paraId="62DA98A1" w14:textId="0229418B" w:rsidR="00161D3B" w:rsidRPr="002041DF" w:rsidRDefault="00161D3B" w:rsidP="002041DF">
      <w:pPr>
        <w:pStyle w:val="Header"/>
        <w:widowControl w:val="0"/>
        <w:tabs>
          <w:tab w:val="left" w:pos="284"/>
          <w:tab w:val="left" w:pos="8931"/>
        </w:tabs>
        <w:jc w:val="both"/>
        <w:rPr>
          <w:i/>
          <w:sz w:val="22"/>
          <w:szCs w:val="22"/>
          <w:lang w:val="sr-Latn-ME"/>
        </w:rPr>
      </w:pPr>
      <w:r w:rsidRPr="002041DF">
        <w:rPr>
          <w:i/>
          <w:sz w:val="22"/>
          <w:szCs w:val="22"/>
          <w:lang w:val="sr-Latn-ME"/>
        </w:rPr>
        <w:t>Pedijatrijski pacijenti uzrasta 6 godina i stariji sa psorijazom tipa plaka</w:t>
      </w:r>
    </w:p>
    <w:p w14:paraId="771E4AD3" w14:textId="2DCA7734" w:rsidR="00161D3B" w:rsidRPr="002041DF" w:rsidRDefault="00161D3B" w:rsidP="002041DF">
      <w:pPr>
        <w:pStyle w:val="Header"/>
        <w:widowControl w:val="0"/>
        <w:tabs>
          <w:tab w:val="left" w:pos="284"/>
          <w:tab w:val="left" w:pos="8931"/>
        </w:tabs>
        <w:jc w:val="both"/>
        <w:rPr>
          <w:sz w:val="22"/>
          <w:szCs w:val="22"/>
          <w:lang w:val="sr-Latn-ME"/>
        </w:rPr>
      </w:pPr>
      <w:r w:rsidRPr="002041DF">
        <w:rPr>
          <w:sz w:val="22"/>
          <w:szCs w:val="22"/>
          <w:lang w:val="sr-Latn-ME"/>
        </w:rPr>
        <w:t>Bezb</w:t>
      </w:r>
      <w:r w:rsidR="00802A66" w:rsidRPr="002041DF">
        <w:rPr>
          <w:sz w:val="22"/>
          <w:szCs w:val="22"/>
          <w:lang w:val="sr-Latn-ME"/>
        </w:rPr>
        <w:t>j</w:t>
      </w:r>
      <w:r w:rsidRPr="002041DF">
        <w:rPr>
          <w:sz w:val="22"/>
          <w:szCs w:val="22"/>
          <w:lang w:val="sr-Latn-ME"/>
        </w:rPr>
        <w:t xml:space="preserve">ednost ustekinumaba je ispitivana u dva ispitivanja faze 3 sa pedijatrijskim pacijentima sa </w:t>
      </w:r>
      <w:r w:rsidR="00E50471" w:rsidRPr="002041DF">
        <w:rPr>
          <w:sz w:val="22"/>
          <w:szCs w:val="22"/>
          <w:lang w:val="sr-Latn-ME"/>
        </w:rPr>
        <w:t>umjeren</w:t>
      </w:r>
      <w:r w:rsidRPr="002041DF">
        <w:rPr>
          <w:sz w:val="22"/>
          <w:szCs w:val="22"/>
          <w:lang w:val="sr-Latn-ME"/>
        </w:rPr>
        <w:t xml:space="preserve">om do teškom psorijazom tipa plaka. Prvo ispitivanje je uključivalo 110 pacijenata uzrasta 12 do 17 godina koji su bili na terapiji do 60 </w:t>
      </w:r>
      <w:r w:rsidR="004372C4" w:rsidRPr="002041DF">
        <w:rPr>
          <w:sz w:val="22"/>
          <w:szCs w:val="22"/>
          <w:lang w:val="sr-Latn-ME"/>
        </w:rPr>
        <w:t>nedjelja</w:t>
      </w:r>
      <w:r w:rsidRPr="002041DF">
        <w:rPr>
          <w:sz w:val="22"/>
          <w:szCs w:val="22"/>
          <w:lang w:val="sr-Latn-ME"/>
        </w:rPr>
        <w:t xml:space="preserve">, a drugo ispitivanje je uključivalo 44 pacijenta uzrasta od 6 do 11 godina koji su bili na terapiji do 56 </w:t>
      </w:r>
      <w:r w:rsidR="004372C4" w:rsidRPr="002041DF">
        <w:rPr>
          <w:sz w:val="22"/>
          <w:szCs w:val="22"/>
          <w:lang w:val="sr-Latn-ME"/>
        </w:rPr>
        <w:t>nedjelja</w:t>
      </w:r>
      <w:r w:rsidRPr="002041DF">
        <w:rPr>
          <w:sz w:val="22"/>
          <w:szCs w:val="22"/>
          <w:lang w:val="sr-Latn-ME"/>
        </w:rPr>
        <w:t>. Uopšteno, prijavljeni neželjeni događaji iz ova dva ispitivanja sa podacima o bezb</w:t>
      </w:r>
      <w:r w:rsidR="00802A66" w:rsidRPr="002041DF">
        <w:rPr>
          <w:sz w:val="22"/>
          <w:szCs w:val="22"/>
          <w:lang w:val="sr-Latn-ME"/>
        </w:rPr>
        <w:t>j</w:t>
      </w:r>
      <w:r w:rsidRPr="002041DF">
        <w:rPr>
          <w:sz w:val="22"/>
          <w:szCs w:val="22"/>
          <w:lang w:val="sr-Latn-ME"/>
        </w:rPr>
        <w:t xml:space="preserve">ednosti do 1 godine su bili slični onima koji su </w:t>
      </w:r>
      <w:r w:rsidR="00891C9B" w:rsidRPr="002041DF">
        <w:rPr>
          <w:sz w:val="22"/>
          <w:szCs w:val="22"/>
          <w:lang w:val="sr-Latn-ME"/>
        </w:rPr>
        <w:t>zabilježen</w:t>
      </w:r>
      <w:r w:rsidRPr="002041DF">
        <w:rPr>
          <w:sz w:val="22"/>
          <w:szCs w:val="22"/>
          <w:lang w:val="sr-Latn-ME"/>
        </w:rPr>
        <w:t>i u prethodnim ispitivanjima kod odraslih pacijenata sa psorijazom tipa plaka.</w:t>
      </w:r>
    </w:p>
    <w:p w14:paraId="0FC7723D" w14:textId="77777777" w:rsidR="00641C7D" w:rsidRPr="002041DF" w:rsidRDefault="00641C7D" w:rsidP="002041DF">
      <w:pPr>
        <w:widowControl w:val="0"/>
        <w:jc w:val="both"/>
        <w:rPr>
          <w:sz w:val="22"/>
          <w:szCs w:val="22"/>
          <w:lang w:val="sr-Latn-ME"/>
        </w:rPr>
      </w:pPr>
    </w:p>
    <w:p w14:paraId="27D3E745" w14:textId="77777777" w:rsidR="00921FA2" w:rsidRPr="002041DF" w:rsidRDefault="00921FA2" w:rsidP="002041DF">
      <w:pPr>
        <w:widowControl w:val="0"/>
        <w:jc w:val="both"/>
        <w:rPr>
          <w:rFonts w:eastAsia="Calibri"/>
          <w:sz w:val="22"/>
          <w:szCs w:val="22"/>
          <w:u w:val="single"/>
          <w:lang w:val="sr-Latn-ME"/>
        </w:rPr>
      </w:pPr>
      <w:bookmarkStart w:id="16" w:name="_Hlk131772246"/>
      <w:r w:rsidRPr="002041DF">
        <w:rPr>
          <w:rFonts w:eastAsia="Calibri"/>
          <w:sz w:val="22"/>
          <w:szCs w:val="22"/>
          <w:u w:val="single"/>
          <w:lang w:val="sr-Latn-ME"/>
        </w:rPr>
        <w:t>Prijavljivanje sumnji na neželjena dejstva</w:t>
      </w:r>
    </w:p>
    <w:p w14:paraId="075BFBD7" w14:textId="77777777" w:rsidR="00921FA2" w:rsidRPr="002041DF" w:rsidRDefault="00921FA2" w:rsidP="002041DF">
      <w:pPr>
        <w:widowControl w:val="0"/>
        <w:jc w:val="both"/>
        <w:rPr>
          <w:rFonts w:eastAsia="Calibri"/>
          <w:sz w:val="22"/>
          <w:szCs w:val="22"/>
          <w:lang w:val="sr-Latn-ME"/>
        </w:rPr>
      </w:pPr>
      <w:r w:rsidRPr="002041DF">
        <w:rPr>
          <w:rFonts w:eastAsia="Calibri"/>
          <w:sz w:val="22"/>
          <w:szCs w:val="22"/>
          <w:lang w:val="sr-Latn-ME"/>
        </w:rPr>
        <w:t>Prijavljivanje neželjenih dejstava nakon dobijanja dozvole je od velikog značaja jer obezbjeđuje kontinuirano praćenje odnosa korist/rizik primjene lijeka. Zdravstveni radnici treba da prijave svaku sumnju na neželjeno dejstvo ovog lijeka Institutu za ljekove i medicinska sredstva (CInMED):</w:t>
      </w:r>
    </w:p>
    <w:bookmarkEnd w:id="16"/>
    <w:p w14:paraId="6ED91C4D" w14:textId="77777777" w:rsidR="00921FA2" w:rsidRPr="002041DF" w:rsidRDefault="00921FA2" w:rsidP="002041DF">
      <w:pPr>
        <w:pStyle w:val="NoSpacing"/>
        <w:widowControl w:val="0"/>
        <w:jc w:val="both"/>
        <w:rPr>
          <w:rFonts w:eastAsia="Calibri"/>
          <w:sz w:val="22"/>
          <w:szCs w:val="22"/>
          <w:lang w:val="sr-Latn-ME"/>
        </w:rPr>
      </w:pPr>
      <w:r w:rsidRPr="002041DF">
        <w:rPr>
          <w:rFonts w:eastAsia="Calibri"/>
          <w:sz w:val="22"/>
          <w:szCs w:val="22"/>
          <w:lang w:val="sr-Latn-ME"/>
        </w:rPr>
        <w:t xml:space="preserve">Institut za ljekove i medicinska sredstva </w:t>
      </w:r>
    </w:p>
    <w:p w14:paraId="1A1FB4D4" w14:textId="77777777" w:rsidR="00921FA2" w:rsidRPr="002041DF" w:rsidRDefault="00921FA2" w:rsidP="002041DF">
      <w:pPr>
        <w:pStyle w:val="NoSpacing"/>
        <w:widowControl w:val="0"/>
        <w:jc w:val="both"/>
        <w:rPr>
          <w:rFonts w:eastAsia="Calibri"/>
          <w:sz w:val="22"/>
          <w:szCs w:val="22"/>
          <w:lang w:val="sr-Latn-ME"/>
        </w:rPr>
      </w:pPr>
      <w:r w:rsidRPr="002041DF">
        <w:rPr>
          <w:rFonts w:eastAsia="Calibri"/>
          <w:sz w:val="22"/>
          <w:szCs w:val="22"/>
          <w:lang w:val="sr-Latn-ME"/>
        </w:rPr>
        <w:t>Odjeljenje za farmakovigilancu</w:t>
      </w:r>
    </w:p>
    <w:p w14:paraId="4D68F06C" w14:textId="77777777" w:rsidR="00921FA2" w:rsidRPr="002041DF" w:rsidRDefault="00921FA2" w:rsidP="002041DF">
      <w:pPr>
        <w:pStyle w:val="NoSpacing"/>
        <w:widowControl w:val="0"/>
        <w:jc w:val="both"/>
        <w:rPr>
          <w:rFonts w:eastAsia="Calibri"/>
          <w:sz w:val="22"/>
          <w:szCs w:val="22"/>
          <w:lang w:val="sr-Latn-ME"/>
        </w:rPr>
      </w:pPr>
      <w:r w:rsidRPr="002041DF">
        <w:rPr>
          <w:rFonts w:eastAsia="Calibri"/>
          <w:sz w:val="22"/>
          <w:szCs w:val="22"/>
          <w:lang w:val="sr-Latn-ME"/>
        </w:rPr>
        <w:t>Bulevar Ivana Crnojevića 64a, 81000 Podgorica</w:t>
      </w:r>
    </w:p>
    <w:p w14:paraId="4DDC3D0B" w14:textId="77777777" w:rsidR="00921FA2" w:rsidRPr="002041DF" w:rsidRDefault="00921FA2" w:rsidP="002041DF">
      <w:pPr>
        <w:pStyle w:val="NoSpacing"/>
        <w:widowControl w:val="0"/>
        <w:jc w:val="both"/>
        <w:rPr>
          <w:rFonts w:eastAsia="Calibri"/>
          <w:sz w:val="22"/>
          <w:szCs w:val="22"/>
          <w:lang w:val="sr-Latn-ME"/>
        </w:rPr>
      </w:pPr>
    </w:p>
    <w:p w14:paraId="151EB8B9" w14:textId="77777777" w:rsidR="00921FA2" w:rsidRPr="002041DF" w:rsidRDefault="00921FA2" w:rsidP="002041DF">
      <w:pPr>
        <w:pStyle w:val="NoSpacing"/>
        <w:widowControl w:val="0"/>
        <w:jc w:val="both"/>
        <w:rPr>
          <w:rFonts w:eastAsia="Calibri"/>
          <w:sz w:val="22"/>
          <w:szCs w:val="22"/>
          <w:lang w:val="sr-Latn-ME"/>
        </w:rPr>
      </w:pPr>
      <w:r w:rsidRPr="002041DF">
        <w:rPr>
          <w:rFonts w:eastAsia="Calibri"/>
          <w:sz w:val="22"/>
          <w:szCs w:val="22"/>
          <w:lang w:val="sr-Latn-ME"/>
        </w:rPr>
        <w:t>tel: +382 (0) 20 310 280</w:t>
      </w:r>
    </w:p>
    <w:p w14:paraId="56A14FFF" w14:textId="77777777" w:rsidR="00921FA2" w:rsidRPr="002041DF" w:rsidRDefault="00921FA2" w:rsidP="002041DF">
      <w:pPr>
        <w:pStyle w:val="NoSpacing"/>
        <w:widowControl w:val="0"/>
        <w:tabs>
          <w:tab w:val="left" w:pos="6720"/>
        </w:tabs>
        <w:jc w:val="both"/>
        <w:rPr>
          <w:rFonts w:eastAsia="Calibri"/>
          <w:sz w:val="22"/>
          <w:szCs w:val="22"/>
          <w:lang w:val="sr-Latn-ME"/>
        </w:rPr>
      </w:pPr>
      <w:r w:rsidRPr="002041DF">
        <w:rPr>
          <w:rFonts w:eastAsia="Calibri"/>
          <w:sz w:val="22"/>
          <w:szCs w:val="22"/>
          <w:lang w:val="sr-Latn-ME"/>
        </w:rPr>
        <w:t>fax: +382 (0) 20 310 581</w:t>
      </w:r>
      <w:r w:rsidRPr="002041DF">
        <w:rPr>
          <w:rFonts w:eastAsia="Calibri"/>
          <w:sz w:val="22"/>
          <w:szCs w:val="22"/>
          <w:lang w:val="sr-Latn-ME"/>
        </w:rPr>
        <w:tab/>
      </w:r>
    </w:p>
    <w:p w14:paraId="0586CBB9" w14:textId="77777777" w:rsidR="00921FA2" w:rsidRPr="002041DF" w:rsidRDefault="00F32033" w:rsidP="002041DF">
      <w:pPr>
        <w:pStyle w:val="NoSpacing"/>
        <w:widowControl w:val="0"/>
        <w:jc w:val="both"/>
        <w:rPr>
          <w:rFonts w:eastAsia="Calibri"/>
          <w:sz w:val="22"/>
          <w:szCs w:val="22"/>
          <w:lang w:val="sr-Latn-ME"/>
        </w:rPr>
      </w:pPr>
      <w:hyperlink r:id="rId8" w:history="1">
        <w:r w:rsidR="00921FA2" w:rsidRPr="002041DF">
          <w:rPr>
            <w:rStyle w:val="Hyperlink"/>
            <w:rFonts w:eastAsia="Calibri"/>
            <w:sz w:val="22"/>
            <w:szCs w:val="22"/>
            <w:lang w:val="sr-Latn-ME"/>
          </w:rPr>
          <w:t>www.cinmed.me</w:t>
        </w:r>
      </w:hyperlink>
    </w:p>
    <w:p w14:paraId="1F4222C5" w14:textId="77777777" w:rsidR="00921FA2" w:rsidRPr="002041DF" w:rsidRDefault="00F32033" w:rsidP="002041DF">
      <w:pPr>
        <w:pStyle w:val="NoSpacing"/>
        <w:widowControl w:val="0"/>
        <w:jc w:val="both"/>
        <w:rPr>
          <w:rFonts w:eastAsia="Calibri"/>
          <w:color w:val="0000FF"/>
          <w:sz w:val="22"/>
          <w:szCs w:val="22"/>
          <w:u w:val="single"/>
          <w:lang w:val="sr-Latn-ME"/>
        </w:rPr>
      </w:pPr>
      <w:hyperlink r:id="rId9" w:history="1">
        <w:r w:rsidR="00921FA2" w:rsidRPr="002041DF">
          <w:rPr>
            <w:rStyle w:val="Hyperlink"/>
            <w:rFonts w:eastAsia="Calibri"/>
            <w:sz w:val="22"/>
            <w:szCs w:val="22"/>
            <w:lang w:val="sr-Latn-ME"/>
          </w:rPr>
          <w:t>nezeljenadejstva@cinmed.me</w:t>
        </w:r>
      </w:hyperlink>
    </w:p>
    <w:p w14:paraId="473C99A3" w14:textId="77777777" w:rsidR="00921FA2" w:rsidRPr="002041DF" w:rsidRDefault="00921FA2" w:rsidP="002041DF">
      <w:pPr>
        <w:pStyle w:val="NoSpacing"/>
        <w:widowControl w:val="0"/>
        <w:jc w:val="both"/>
        <w:rPr>
          <w:rFonts w:eastAsia="Calibri"/>
          <w:sz w:val="22"/>
          <w:szCs w:val="22"/>
          <w:lang w:val="sr-Latn-ME"/>
        </w:rPr>
      </w:pPr>
      <w:r w:rsidRPr="002041DF">
        <w:rPr>
          <w:rFonts w:eastAsia="Calibri"/>
          <w:sz w:val="22"/>
          <w:szCs w:val="22"/>
          <w:lang w:val="sr-Latn-ME"/>
        </w:rPr>
        <w:t>putem IS zdravstvene zaštite</w:t>
      </w:r>
    </w:p>
    <w:p w14:paraId="7ADED349" w14:textId="77777777" w:rsidR="00921FA2" w:rsidRPr="002041DF" w:rsidRDefault="00921FA2" w:rsidP="002041DF">
      <w:pPr>
        <w:pStyle w:val="NoSpacing"/>
        <w:widowControl w:val="0"/>
        <w:jc w:val="both"/>
        <w:rPr>
          <w:rFonts w:eastAsia="Calibri"/>
          <w:sz w:val="22"/>
          <w:szCs w:val="22"/>
          <w:lang w:val="sr-Latn-ME"/>
        </w:rPr>
      </w:pPr>
      <w:r w:rsidRPr="002041DF">
        <w:rPr>
          <w:rFonts w:eastAsia="Calibri"/>
          <w:sz w:val="22"/>
          <w:szCs w:val="22"/>
          <w:lang w:val="sr-Latn-ME"/>
        </w:rPr>
        <w:t>QR kod za online prijavu sumnje na neželjeno dejstvo lijeka:</w:t>
      </w:r>
    </w:p>
    <w:p w14:paraId="515C85E3" w14:textId="77777777" w:rsidR="00921FA2" w:rsidRPr="002041DF" w:rsidRDefault="00921FA2" w:rsidP="002041DF">
      <w:pPr>
        <w:pStyle w:val="NoSpacing"/>
        <w:widowControl w:val="0"/>
        <w:jc w:val="both"/>
        <w:rPr>
          <w:rFonts w:eastAsia="Calibri"/>
          <w:sz w:val="22"/>
          <w:szCs w:val="22"/>
          <w:lang w:val="sr-Latn-ME"/>
        </w:rPr>
      </w:pPr>
    </w:p>
    <w:p w14:paraId="658944BB" w14:textId="302BD932" w:rsidR="00921FA2" w:rsidRPr="002041DF" w:rsidRDefault="006E7E81" w:rsidP="002041DF">
      <w:pPr>
        <w:pStyle w:val="NoSpacing"/>
        <w:widowControl w:val="0"/>
        <w:jc w:val="both"/>
        <w:rPr>
          <w:rFonts w:eastAsia="Calibri"/>
          <w:sz w:val="22"/>
          <w:szCs w:val="22"/>
          <w:lang w:val="sr-Latn-ME"/>
        </w:rPr>
      </w:pPr>
      <w:r w:rsidRPr="002041DF">
        <w:rPr>
          <w:b/>
          <w:bCs/>
          <w:noProof/>
          <w:sz w:val="22"/>
          <w:szCs w:val="22"/>
          <w:lang w:val="sr-Latn-ME" w:eastAsia="sr-Latn-ME"/>
        </w:rPr>
        <w:drawing>
          <wp:inline distT="0" distB="0" distL="0" distR="0" wp14:anchorId="30BBFE5E" wp14:editId="1535E259">
            <wp:extent cx="980796" cy="972000"/>
            <wp:effectExtent l="0" t="0" r="0" b="0"/>
            <wp:docPr id="10" name="Picture 9">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a:hlinkClick r:id="rId10"/>
                    </pic:cNvPr>
                    <pic:cNvPicPr>
                      <a:picLocks noChangeAspect="1"/>
                    </pic:cNvPicPr>
                  </pic:nvPicPr>
                  <pic:blipFill rotWithShape="1">
                    <a:blip r:embed="rId11" cstate="print">
                      <a:extLst>
                        <a:ext uri="{28A0092B-C50C-407E-A947-70E740481C1C}">
                          <a14:useLocalDpi xmlns:a14="http://schemas.microsoft.com/office/drawing/2010/main" val="0"/>
                        </a:ext>
                      </a:extLst>
                    </a:blip>
                    <a:srcRect l="10118" t="9757" r="9299" b="10383"/>
                    <a:stretch/>
                  </pic:blipFill>
                  <pic:spPr bwMode="auto">
                    <a:xfrm>
                      <a:off x="0" y="0"/>
                      <a:ext cx="980796" cy="972000"/>
                    </a:xfrm>
                    <a:prstGeom prst="rect">
                      <a:avLst/>
                    </a:prstGeom>
                    <a:ln>
                      <a:noFill/>
                    </a:ln>
                    <a:extLst>
                      <a:ext uri="{53640926-AAD7-44D8-BBD7-CCE9431645EC}">
                        <a14:shadowObscured xmlns:a14="http://schemas.microsoft.com/office/drawing/2010/main"/>
                      </a:ext>
                    </a:extLst>
                  </pic:spPr>
                </pic:pic>
              </a:graphicData>
            </a:graphic>
          </wp:inline>
        </w:drawing>
      </w:r>
    </w:p>
    <w:p w14:paraId="526CA8B1" w14:textId="77777777" w:rsidR="00623D38" w:rsidRPr="002041DF" w:rsidRDefault="00623D38" w:rsidP="002041DF">
      <w:pPr>
        <w:widowControl w:val="0"/>
        <w:jc w:val="both"/>
        <w:rPr>
          <w:sz w:val="22"/>
          <w:szCs w:val="22"/>
          <w:lang w:val="sr-Latn-ME"/>
        </w:rPr>
      </w:pPr>
    </w:p>
    <w:bookmarkEnd w:id="15"/>
    <w:p w14:paraId="4983D17E" w14:textId="4094315E" w:rsidR="00921FA2" w:rsidRPr="002041DF" w:rsidRDefault="00921FA2" w:rsidP="002041DF">
      <w:pPr>
        <w:widowControl w:val="0"/>
        <w:tabs>
          <w:tab w:val="left" w:pos="540"/>
          <w:tab w:val="left" w:pos="569"/>
        </w:tabs>
        <w:jc w:val="both"/>
        <w:rPr>
          <w:b/>
          <w:bCs/>
          <w:sz w:val="22"/>
          <w:szCs w:val="22"/>
          <w:lang w:val="sr-Latn-ME"/>
        </w:rPr>
      </w:pPr>
      <w:r w:rsidRPr="002041DF">
        <w:rPr>
          <w:b/>
          <w:bCs/>
          <w:sz w:val="22"/>
          <w:szCs w:val="22"/>
          <w:lang w:val="sr-Latn-ME"/>
        </w:rPr>
        <w:t xml:space="preserve">4.9. </w:t>
      </w:r>
      <w:r w:rsidRPr="002041DF">
        <w:rPr>
          <w:b/>
          <w:bCs/>
          <w:sz w:val="22"/>
          <w:szCs w:val="22"/>
          <w:lang w:val="sr-Latn-ME"/>
        </w:rPr>
        <w:tab/>
        <w:t xml:space="preserve">Predoziranje </w:t>
      </w:r>
    </w:p>
    <w:p w14:paraId="1B7316A9" w14:textId="77777777" w:rsidR="00623D38" w:rsidRPr="002041DF" w:rsidRDefault="00623D38" w:rsidP="002041DF">
      <w:pPr>
        <w:widowControl w:val="0"/>
        <w:jc w:val="both"/>
        <w:rPr>
          <w:sz w:val="22"/>
          <w:szCs w:val="22"/>
          <w:lang w:val="sr-Latn-ME"/>
        </w:rPr>
      </w:pPr>
    </w:p>
    <w:p w14:paraId="0F70832A" w14:textId="44E7D99E" w:rsidR="00623D38" w:rsidRPr="002041DF" w:rsidRDefault="00623D38" w:rsidP="002041DF">
      <w:pPr>
        <w:pStyle w:val="Header"/>
        <w:widowControl w:val="0"/>
        <w:tabs>
          <w:tab w:val="left" w:pos="284"/>
        </w:tabs>
        <w:jc w:val="both"/>
        <w:rPr>
          <w:sz w:val="22"/>
          <w:szCs w:val="22"/>
          <w:lang w:val="sr-Latn-ME"/>
        </w:rPr>
      </w:pPr>
      <w:r w:rsidRPr="002041DF">
        <w:rPr>
          <w:sz w:val="22"/>
          <w:szCs w:val="22"/>
          <w:lang w:val="sr-Latn-ME"/>
        </w:rPr>
        <w:t xml:space="preserve">U kliničkim ispitivanjima, pojedinačne doze do </w:t>
      </w:r>
      <w:r w:rsidR="003F243A" w:rsidRPr="002041DF">
        <w:rPr>
          <w:sz w:val="22"/>
          <w:szCs w:val="22"/>
          <w:lang w:val="sr-Latn-ME"/>
        </w:rPr>
        <w:t>6</w:t>
      </w:r>
      <w:r w:rsidRPr="002041DF">
        <w:rPr>
          <w:sz w:val="22"/>
          <w:szCs w:val="22"/>
          <w:lang w:val="sr-Latn-ME"/>
        </w:rPr>
        <w:t xml:space="preserve"> mg/kg prim</w:t>
      </w:r>
      <w:r w:rsidR="00802A66" w:rsidRPr="002041DF">
        <w:rPr>
          <w:sz w:val="22"/>
          <w:szCs w:val="22"/>
          <w:lang w:val="sr-Latn-ME"/>
        </w:rPr>
        <w:t>ij</w:t>
      </w:r>
      <w:r w:rsidRPr="002041DF">
        <w:rPr>
          <w:sz w:val="22"/>
          <w:szCs w:val="22"/>
          <w:lang w:val="sr-Latn-ME"/>
        </w:rPr>
        <w:t xml:space="preserve">enjene intravenski bile su bez dozno-zavisne toksičnosti. U slučaju predoziranja, preporučuje se pažljivo praćenje pacijenta na pojavu znakova ili simptoma neželjenih </w:t>
      </w:r>
      <w:r w:rsidR="005E100C" w:rsidRPr="002041DF">
        <w:rPr>
          <w:sz w:val="22"/>
          <w:szCs w:val="22"/>
          <w:lang w:val="sr-Latn-ME"/>
        </w:rPr>
        <w:t xml:space="preserve">dejstava </w:t>
      </w:r>
      <w:r w:rsidRPr="002041DF">
        <w:rPr>
          <w:sz w:val="22"/>
          <w:szCs w:val="22"/>
          <w:lang w:val="sr-Latn-ME"/>
        </w:rPr>
        <w:t>kako bi se odmah prim</w:t>
      </w:r>
      <w:r w:rsidR="00802A66" w:rsidRPr="002041DF">
        <w:rPr>
          <w:sz w:val="22"/>
          <w:szCs w:val="22"/>
          <w:lang w:val="sr-Latn-ME"/>
        </w:rPr>
        <w:t>ij</w:t>
      </w:r>
      <w:r w:rsidRPr="002041DF">
        <w:rPr>
          <w:sz w:val="22"/>
          <w:szCs w:val="22"/>
          <w:lang w:val="sr-Latn-ME"/>
        </w:rPr>
        <w:t>enila odgovarajuća simptomatska terapija.</w:t>
      </w:r>
    </w:p>
    <w:p w14:paraId="6B85A367" w14:textId="77777777" w:rsidR="00892454" w:rsidRPr="002041DF" w:rsidRDefault="00892454" w:rsidP="002041DF">
      <w:pPr>
        <w:pStyle w:val="Header"/>
        <w:widowControl w:val="0"/>
        <w:tabs>
          <w:tab w:val="left" w:pos="284"/>
        </w:tabs>
        <w:jc w:val="both"/>
        <w:rPr>
          <w:sz w:val="22"/>
          <w:szCs w:val="22"/>
          <w:lang w:val="sr-Latn-ME"/>
        </w:rPr>
      </w:pPr>
    </w:p>
    <w:bookmarkEnd w:id="6"/>
    <w:p w14:paraId="6A649C7A" w14:textId="77777777" w:rsidR="00623D38" w:rsidRPr="002041DF" w:rsidRDefault="00623D38" w:rsidP="002041DF">
      <w:pPr>
        <w:widowControl w:val="0"/>
        <w:jc w:val="both"/>
        <w:rPr>
          <w:sz w:val="22"/>
          <w:szCs w:val="22"/>
          <w:lang w:val="sr-Latn-ME"/>
        </w:rPr>
      </w:pPr>
    </w:p>
    <w:p w14:paraId="3B24D7A9" w14:textId="77777777" w:rsidR="00921FA2" w:rsidRPr="002041DF" w:rsidRDefault="00921FA2" w:rsidP="002041DF">
      <w:pPr>
        <w:widowControl w:val="0"/>
        <w:tabs>
          <w:tab w:val="left" w:pos="540"/>
          <w:tab w:val="left" w:pos="569"/>
        </w:tabs>
        <w:jc w:val="both"/>
        <w:rPr>
          <w:b/>
          <w:bCs/>
          <w:sz w:val="22"/>
          <w:szCs w:val="22"/>
          <w:lang w:val="sr-Latn-ME"/>
        </w:rPr>
      </w:pPr>
      <w:r w:rsidRPr="002041DF">
        <w:rPr>
          <w:b/>
          <w:bCs/>
          <w:sz w:val="22"/>
          <w:szCs w:val="22"/>
          <w:lang w:val="sr-Latn-ME"/>
        </w:rPr>
        <w:t xml:space="preserve">5. </w:t>
      </w:r>
      <w:r w:rsidRPr="002041DF">
        <w:rPr>
          <w:b/>
          <w:bCs/>
          <w:sz w:val="22"/>
          <w:szCs w:val="22"/>
          <w:lang w:val="sr-Latn-ME"/>
        </w:rPr>
        <w:tab/>
        <w:t>FARMAKOLOŠKI PODACI</w:t>
      </w:r>
    </w:p>
    <w:p w14:paraId="495F23A5" w14:textId="77777777" w:rsidR="00623D38" w:rsidRPr="002041DF" w:rsidRDefault="00623D38" w:rsidP="002041DF">
      <w:pPr>
        <w:widowControl w:val="0"/>
        <w:jc w:val="both"/>
        <w:rPr>
          <w:bCs/>
          <w:sz w:val="22"/>
          <w:szCs w:val="22"/>
          <w:lang w:val="sr-Latn-ME"/>
        </w:rPr>
      </w:pPr>
    </w:p>
    <w:p w14:paraId="1E2D915B" w14:textId="77777777" w:rsidR="00921FA2" w:rsidRPr="002041DF" w:rsidRDefault="00921FA2" w:rsidP="002041DF">
      <w:pPr>
        <w:widowControl w:val="0"/>
        <w:tabs>
          <w:tab w:val="left" w:pos="540"/>
          <w:tab w:val="left" w:pos="569"/>
        </w:tabs>
        <w:jc w:val="both"/>
        <w:rPr>
          <w:b/>
          <w:bCs/>
          <w:sz w:val="22"/>
          <w:szCs w:val="22"/>
          <w:lang w:val="sr-Latn-ME"/>
        </w:rPr>
      </w:pPr>
      <w:r w:rsidRPr="002041DF">
        <w:rPr>
          <w:b/>
          <w:bCs/>
          <w:sz w:val="22"/>
          <w:szCs w:val="22"/>
          <w:lang w:val="sr-Latn-ME"/>
        </w:rPr>
        <w:t xml:space="preserve">5.1. </w:t>
      </w:r>
      <w:r w:rsidRPr="002041DF">
        <w:rPr>
          <w:b/>
          <w:bCs/>
          <w:sz w:val="22"/>
          <w:szCs w:val="22"/>
          <w:lang w:val="sr-Latn-ME"/>
        </w:rPr>
        <w:tab/>
        <w:t xml:space="preserve">Farmakodinamski podaci </w:t>
      </w:r>
    </w:p>
    <w:p w14:paraId="7EBCE863" w14:textId="77777777" w:rsidR="00E173B0" w:rsidRPr="002041DF" w:rsidRDefault="00E173B0" w:rsidP="002041DF">
      <w:pPr>
        <w:pStyle w:val="Header"/>
        <w:widowControl w:val="0"/>
        <w:tabs>
          <w:tab w:val="clear" w:pos="4703"/>
          <w:tab w:val="clear" w:pos="9406"/>
          <w:tab w:val="left" w:pos="2808"/>
        </w:tabs>
        <w:jc w:val="both"/>
        <w:rPr>
          <w:b/>
          <w:bCs/>
          <w:sz w:val="22"/>
          <w:szCs w:val="22"/>
          <w:lang w:val="sr-Latn-ME"/>
        </w:rPr>
      </w:pPr>
    </w:p>
    <w:p w14:paraId="302C29A2" w14:textId="7E4801FE" w:rsidR="00E173B0" w:rsidRPr="002041DF" w:rsidRDefault="00921FA2" w:rsidP="002041DF">
      <w:pPr>
        <w:pStyle w:val="Header"/>
        <w:widowControl w:val="0"/>
        <w:tabs>
          <w:tab w:val="clear" w:pos="4703"/>
          <w:tab w:val="clear" w:pos="9406"/>
          <w:tab w:val="left" w:pos="2808"/>
        </w:tabs>
        <w:jc w:val="both"/>
        <w:rPr>
          <w:sz w:val="22"/>
          <w:szCs w:val="22"/>
          <w:lang w:val="sr-Latn-ME"/>
        </w:rPr>
      </w:pPr>
      <w:r w:rsidRPr="002041DF">
        <w:rPr>
          <w:sz w:val="22"/>
          <w:szCs w:val="22"/>
          <w:lang w:val="sr-Latn-ME"/>
        </w:rPr>
        <w:t>Farmakoterapijska grupa:</w:t>
      </w:r>
      <w:r w:rsidR="00E173B0" w:rsidRPr="002041DF">
        <w:rPr>
          <w:b/>
          <w:bCs/>
          <w:sz w:val="22"/>
          <w:szCs w:val="22"/>
          <w:lang w:val="sr-Latn-ME"/>
        </w:rPr>
        <w:tab/>
      </w:r>
      <w:r w:rsidR="00E173B0" w:rsidRPr="002041DF">
        <w:rPr>
          <w:sz w:val="22"/>
          <w:szCs w:val="22"/>
          <w:lang w:val="sr-Latn-ME"/>
        </w:rPr>
        <w:t>Imunosupresivi, inhibitori interleukina</w:t>
      </w:r>
    </w:p>
    <w:p w14:paraId="2945F582" w14:textId="77777777" w:rsidR="00E173B0" w:rsidRPr="002041DF" w:rsidRDefault="00E173B0" w:rsidP="002041DF">
      <w:pPr>
        <w:pStyle w:val="Header"/>
        <w:widowControl w:val="0"/>
        <w:tabs>
          <w:tab w:val="clear" w:pos="4703"/>
          <w:tab w:val="clear" w:pos="9406"/>
          <w:tab w:val="left" w:pos="1188"/>
        </w:tabs>
        <w:jc w:val="both"/>
        <w:rPr>
          <w:sz w:val="22"/>
          <w:szCs w:val="22"/>
          <w:lang w:val="sr-Latn-ME"/>
        </w:rPr>
      </w:pPr>
      <w:r w:rsidRPr="002041DF">
        <w:rPr>
          <w:sz w:val="22"/>
          <w:szCs w:val="22"/>
          <w:lang w:val="sr-Latn-ME"/>
        </w:rPr>
        <w:t>ATC kod:</w:t>
      </w:r>
      <w:r w:rsidRPr="002041DF">
        <w:rPr>
          <w:b/>
          <w:bCs/>
          <w:sz w:val="22"/>
          <w:szCs w:val="22"/>
          <w:lang w:val="sr-Latn-ME"/>
        </w:rPr>
        <w:tab/>
      </w:r>
      <w:r w:rsidRPr="002041DF">
        <w:rPr>
          <w:sz w:val="22"/>
          <w:szCs w:val="22"/>
          <w:lang w:val="sr-Latn-ME"/>
        </w:rPr>
        <w:t>L04AC05</w:t>
      </w:r>
    </w:p>
    <w:p w14:paraId="0E1D8812" w14:textId="77777777" w:rsidR="00C36D57" w:rsidRPr="002041DF" w:rsidRDefault="00C36D57" w:rsidP="002041DF">
      <w:pPr>
        <w:pStyle w:val="Header"/>
        <w:widowControl w:val="0"/>
        <w:tabs>
          <w:tab w:val="left" w:pos="284"/>
        </w:tabs>
        <w:jc w:val="both"/>
        <w:rPr>
          <w:sz w:val="22"/>
          <w:szCs w:val="22"/>
          <w:u w:val="single"/>
          <w:lang w:val="sr-Latn-ME"/>
        </w:rPr>
      </w:pPr>
    </w:p>
    <w:p w14:paraId="1DF9D8BB" w14:textId="77777777" w:rsidR="00C36D57" w:rsidRPr="002041DF" w:rsidRDefault="00C36D57" w:rsidP="002041DF">
      <w:pPr>
        <w:pStyle w:val="Header"/>
        <w:widowControl w:val="0"/>
        <w:tabs>
          <w:tab w:val="left" w:pos="284"/>
        </w:tabs>
        <w:jc w:val="both"/>
        <w:rPr>
          <w:sz w:val="22"/>
          <w:szCs w:val="22"/>
          <w:lang w:val="sr-Latn-ME"/>
        </w:rPr>
      </w:pPr>
      <w:r w:rsidRPr="002041DF">
        <w:rPr>
          <w:sz w:val="22"/>
          <w:szCs w:val="22"/>
          <w:u w:val="single"/>
          <w:lang w:val="sr-Latn-ME"/>
        </w:rPr>
        <w:t>Mehanizam dejstva</w:t>
      </w:r>
    </w:p>
    <w:p w14:paraId="14FC4EA2" w14:textId="13A903FE" w:rsidR="00C36D57" w:rsidRPr="002041DF" w:rsidRDefault="00C36D57" w:rsidP="002041DF">
      <w:pPr>
        <w:pStyle w:val="Header"/>
        <w:widowControl w:val="0"/>
        <w:tabs>
          <w:tab w:val="left" w:pos="284"/>
        </w:tabs>
        <w:jc w:val="both"/>
        <w:rPr>
          <w:sz w:val="22"/>
          <w:szCs w:val="22"/>
          <w:lang w:val="sr-Latn-ME"/>
        </w:rPr>
      </w:pPr>
      <w:r w:rsidRPr="002041DF">
        <w:rPr>
          <w:sz w:val="22"/>
          <w:szCs w:val="22"/>
          <w:lang w:val="sr-Latn-ME"/>
        </w:rPr>
        <w:t xml:space="preserve">Ustekinumab je kompletno humano IgG1κ monoklonsko </w:t>
      </w:r>
      <w:r w:rsidR="00C23E53" w:rsidRPr="002041DF">
        <w:rPr>
          <w:sz w:val="22"/>
          <w:szCs w:val="22"/>
          <w:lang w:val="sr-Latn-ME"/>
        </w:rPr>
        <w:t>antitijelo</w:t>
      </w:r>
      <w:r w:rsidRPr="002041DF">
        <w:rPr>
          <w:sz w:val="22"/>
          <w:szCs w:val="22"/>
          <w:lang w:val="sr-Latn-ME"/>
        </w:rPr>
        <w:t xml:space="preserve"> koje se specifično vezuje za zajedničku </w:t>
      </w:r>
      <w:r w:rsidRPr="002041DF">
        <w:rPr>
          <w:sz w:val="22"/>
          <w:szCs w:val="22"/>
          <w:lang w:val="sr-Latn-ME"/>
        </w:rPr>
        <w:lastRenderedPageBreak/>
        <w:t>proteinsku subjedinicu p40 humanih citokina interleukina IL-12 i IL-23. Ustekinumab inhibira bioaktivnost humanih IL-12 i IL-23 spr</w:t>
      </w:r>
      <w:r w:rsidR="00802A66" w:rsidRPr="002041DF">
        <w:rPr>
          <w:sz w:val="22"/>
          <w:szCs w:val="22"/>
          <w:lang w:val="sr-Latn-ME"/>
        </w:rPr>
        <w:t>j</w:t>
      </w:r>
      <w:r w:rsidRPr="002041DF">
        <w:rPr>
          <w:sz w:val="22"/>
          <w:szCs w:val="22"/>
          <w:lang w:val="sr-Latn-ME"/>
        </w:rPr>
        <w:t>ečavajući da se p40 veže za IL-12Rβ1 receptorski protein koji je ispoljen na površini imunskih ćelija. Ustekinumab se ne može vezati za IL-12 i IL-23 koji su već vezani za IL-12Rβ1 površinske receptore. Usl</w:t>
      </w:r>
      <w:r w:rsidR="00802A66" w:rsidRPr="002041DF">
        <w:rPr>
          <w:sz w:val="22"/>
          <w:szCs w:val="22"/>
          <w:lang w:val="sr-Latn-ME"/>
        </w:rPr>
        <w:t>j</w:t>
      </w:r>
      <w:r w:rsidRPr="002041DF">
        <w:rPr>
          <w:sz w:val="22"/>
          <w:szCs w:val="22"/>
          <w:lang w:val="sr-Latn-ME"/>
        </w:rPr>
        <w:t xml:space="preserve">ed ovoga, ustekinumab ne učestvuje u komplement- ili </w:t>
      </w:r>
      <w:r w:rsidR="00C23E53" w:rsidRPr="002041DF">
        <w:rPr>
          <w:sz w:val="22"/>
          <w:szCs w:val="22"/>
          <w:lang w:val="sr-Latn-ME"/>
        </w:rPr>
        <w:t>antitijelo</w:t>
      </w:r>
      <w:r w:rsidRPr="002041DF">
        <w:rPr>
          <w:sz w:val="22"/>
          <w:szCs w:val="22"/>
          <w:lang w:val="sr-Latn-ME"/>
        </w:rPr>
        <w:t xml:space="preserve">- posredovanoj citotoksičnosti ćelija sa IL-12 i/ili IL-23 receptorima. IL-12 i IL-23 su heterodimerski citokini koji se izlučuju aktivacijom antigen prezentujućih ćelija, kao što su makrofagi i dendritske ćelije i oba citokina učestvuju u imunim funkcijama: IL-12 stimuliše prirodne ćelije ubice (engl. </w:t>
      </w:r>
      <w:r w:rsidRPr="002041DF">
        <w:rPr>
          <w:i/>
          <w:sz w:val="22"/>
          <w:szCs w:val="22"/>
          <w:lang w:val="sr-Latn-ME"/>
        </w:rPr>
        <w:t>natural killer</w:t>
      </w:r>
      <w:r w:rsidRPr="002041DF">
        <w:rPr>
          <w:sz w:val="22"/>
          <w:szCs w:val="22"/>
          <w:lang w:val="sr-Latn-ME"/>
        </w:rPr>
        <w:t>, NK) i dovodi do diferencijacije CD4+ T ćelija u fenotip T helper 1 (Th1) ćelija, IL-23 indukuje put T helper 17. Ipak, abnormalna regulacija IL-12 i IL- 23 je bila udružena sa imuno posredovanim bolestima, kao što su psorijaza, psorijatični artritis, Kronova bolest i ulcerozni kolitis.</w:t>
      </w:r>
    </w:p>
    <w:p w14:paraId="2E616861" w14:textId="77777777" w:rsidR="00C36D57" w:rsidRPr="002041DF" w:rsidRDefault="00C36D57" w:rsidP="002041DF">
      <w:pPr>
        <w:pStyle w:val="Header"/>
        <w:widowControl w:val="0"/>
        <w:tabs>
          <w:tab w:val="left" w:pos="284"/>
        </w:tabs>
        <w:jc w:val="both"/>
        <w:rPr>
          <w:sz w:val="22"/>
          <w:szCs w:val="22"/>
          <w:lang w:val="sr-Latn-ME"/>
        </w:rPr>
      </w:pPr>
    </w:p>
    <w:p w14:paraId="69EE2EAC" w14:textId="77777777" w:rsidR="00C36D57" w:rsidRPr="002041DF" w:rsidRDefault="00C36D57" w:rsidP="002041DF">
      <w:pPr>
        <w:pStyle w:val="Header"/>
        <w:widowControl w:val="0"/>
        <w:tabs>
          <w:tab w:val="left" w:pos="284"/>
        </w:tabs>
        <w:jc w:val="both"/>
        <w:rPr>
          <w:sz w:val="22"/>
          <w:szCs w:val="22"/>
          <w:lang w:val="sr-Latn-ME"/>
        </w:rPr>
      </w:pPr>
      <w:r w:rsidRPr="002041DF">
        <w:rPr>
          <w:sz w:val="22"/>
          <w:szCs w:val="22"/>
          <w:lang w:val="sr-Latn-ME"/>
        </w:rPr>
        <w:t>Vezivanjem za zajedničku p40 subjedinicu IL-12 i IL-23, ustekinumab može da ispoljava svoj klinički efekat na psorijazu, psorijatični artiris, Kronovu bolest i ulcerozni kolitis preko prekida puta Th1 i Th17 citokina, koji predstavljaju srž patologije ove bolesti.</w:t>
      </w:r>
    </w:p>
    <w:p w14:paraId="718169BA" w14:textId="77777777" w:rsidR="00C36D57" w:rsidRPr="002041DF" w:rsidRDefault="00C36D57" w:rsidP="002041DF">
      <w:pPr>
        <w:pStyle w:val="Header"/>
        <w:widowControl w:val="0"/>
        <w:tabs>
          <w:tab w:val="left" w:pos="284"/>
        </w:tabs>
        <w:jc w:val="both"/>
        <w:rPr>
          <w:sz w:val="22"/>
          <w:szCs w:val="22"/>
          <w:u w:val="single"/>
          <w:lang w:val="sr-Latn-ME"/>
        </w:rPr>
      </w:pPr>
    </w:p>
    <w:p w14:paraId="0CC1FE55" w14:textId="1516384B" w:rsidR="00C36D57" w:rsidRPr="002041DF" w:rsidRDefault="00C36D57" w:rsidP="002041DF">
      <w:pPr>
        <w:pStyle w:val="Header"/>
        <w:widowControl w:val="0"/>
        <w:tabs>
          <w:tab w:val="left" w:pos="8931"/>
        </w:tabs>
        <w:jc w:val="both"/>
        <w:rPr>
          <w:sz w:val="22"/>
          <w:szCs w:val="22"/>
          <w:lang w:val="sr-Latn-ME"/>
        </w:rPr>
      </w:pPr>
      <w:r w:rsidRPr="002041DF">
        <w:rPr>
          <w:sz w:val="22"/>
          <w:szCs w:val="22"/>
          <w:lang w:val="sr-Latn-ME"/>
        </w:rPr>
        <w:t xml:space="preserve">Kod pacijenata sa Kronovom bolešću, </w:t>
      </w:r>
      <w:r w:rsidR="00C23E53" w:rsidRPr="002041DF">
        <w:rPr>
          <w:sz w:val="22"/>
          <w:szCs w:val="22"/>
          <w:lang w:val="sr-Latn-ME"/>
        </w:rPr>
        <w:t>liječenje</w:t>
      </w:r>
      <w:r w:rsidRPr="002041DF">
        <w:rPr>
          <w:sz w:val="22"/>
          <w:szCs w:val="22"/>
          <w:lang w:val="sr-Latn-ME"/>
        </w:rPr>
        <w:t xml:space="preserve"> ustekinumabom dovelo je do smanjenja markera inflamacije uključujući C-Reaktivni Protein (CRP) i fekalni kalprotektin tokom faze uvođenja terapije, što se zatim održalo tokom faze održavanja terapije. CRP je prov</w:t>
      </w:r>
      <w:r w:rsidR="00802A66" w:rsidRPr="002041DF">
        <w:rPr>
          <w:sz w:val="22"/>
          <w:szCs w:val="22"/>
          <w:lang w:val="sr-Latn-ME"/>
        </w:rPr>
        <w:t>j</w:t>
      </w:r>
      <w:r w:rsidRPr="002041DF">
        <w:rPr>
          <w:sz w:val="22"/>
          <w:szCs w:val="22"/>
          <w:lang w:val="sr-Latn-ME"/>
        </w:rPr>
        <w:t>eravan tokom produžetka ispitivanja i smanjenja koja su uočena tokom održavanja su se generalno održala tokom 252</w:t>
      </w:r>
      <w:r w:rsidR="00795C7E" w:rsidRPr="002041DF">
        <w:rPr>
          <w:sz w:val="22"/>
          <w:szCs w:val="22"/>
          <w:lang w:val="sr-Latn-ME"/>
        </w:rPr>
        <w:t>.</w:t>
      </w:r>
      <w:r w:rsidRPr="002041DF">
        <w:rPr>
          <w:sz w:val="22"/>
          <w:szCs w:val="22"/>
          <w:lang w:val="sr-Latn-ME"/>
        </w:rPr>
        <w:t xml:space="preserve"> </w:t>
      </w:r>
      <w:r w:rsidR="004372C4" w:rsidRPr="002041DF">
        <w:rPr>
          <w:sz w:val="22"/>
          <w:szCs w:val="22"/>
          <w:lang w:val="sr-Latn-ME"/>
        </w:rPr>
        <w:t>nedjelje</w:t>
      </w:r>
      <w:r w:rsidRPr="002041DF">
        <w:rPr>
          <w:sz w:val="22"/>
          <w:szCs w:val="22"/>
          <w:lang w:val="sr-Latn-ME"/>
        </w:rPr>
        <w:t>.</w:t>
      </w:r>
    </w:p>
    <w:p w14:paraId="0946BCCD" w14:textId="77777777" w:rsidR="00C36D57" w:rsidRPr="002041DF" w:rsidRDefault="00C36D57" w:rsidP="002041DF">
      <w:pPr>
        <w:pStyle w:val="Header"/>
        <w:widowControl w:val="0"/>
        <w:tabs>
          <w:tab w:val="left" w:pos="8931"/>
        </w:tabs>
        <w:jc w:val="both"/>
        <w:rPr>
          <w:sz w:val="22"/>
          <w:szCs w:val="22"/>
          <w:u w:val="single"/>
          <w:lang w:val="sr-Latn-ME"/>
        </w:rPr>
      </w:pPr>
    </w:p>
    <w:p w14:paraId="79C5C79B" w14:textId="25CA5F05" w:rsidR="00C36D57" w:rsidRPr="002041DF" w:rsidRDefault="00C36D57" w:rsidP="002041DF">
      <w:pPr>
        <w:pStyle w:val="Header"/>
        <w:widowControl w:val="0"/>
        <w:tabs>
          <w:tab w:val="left" w:pos="8931"/>
        </w:tabs>
        <w:jc w:val="both"/>
        <w:rPr>
          <w:sz w:val="22"/>
          <w:szCs w:val="22"/>
          <w:lang w:val="sr-Latn-ME"/>
        </w:rPr>
      </w:pPr>
      <w:r w:rsidRPr="002041DF">
        <w:rPr>
          <w:sz w:val="22"/>
          <w:szCs w:val="22"/>
          <w:lang w:val="sr-Latn-ME"/>
        </w:rPr>
        <w:t xml:space="preserve">Kod pacijenata sa ulceroznim kolitisom, </w:t>
      </w:r>
      <w:r w:rsidR="00C23E53" w:rsidRPr="002041DF">
        <w:rPr>
          <w:sz w:val="22"/>
          <w:szCs w:val="22"/>
          <w:lang w:val="sr-Latn-ME"/>
        </w:rPr>
        <w:t>liječenje</w:t>
      </w:r>
      <w:r w:rsidRPr="002041DF">
        <w:rPr>
          <w:sz w:val="22"/>
          <w:szCs w:val="22"/>
          <w:lang w:val="sr-Latn-ME"/>
        </w:rPr>
        <w:t xml:space="preserve"> ustekinumabom dovelo je do smanjenja markera inflamacije uključujući C-Reaktivni Protein (CRP) i fekalni kalprotektin tokom faze uvođenja terapije, koji su se održavali tokom faze održavanja terapije i produžetka ispitivanja tokom </w:t>
      </w:r>
      <w:r w:rsidR="00522829" w:rsidRPr="002041DF">
        <w:rPr>
          <w:sz w:val="22"/>
          <w:szCs w:val="22"/>
          <w:lang w:val="sr-Latn-ME"/>
        </w:rPr>
        <w:t>200</w:t>
      </w:r>
      <w:r w:rsidR="00795C7E" w:rsidRPr="002041DF">
        <w:rPr>
          <w:sz w:val="22"/>
          <w:szCs w:val="22"/>
          <w:lang w:val="sr-Latn-ME"/>
        </w:rPr>
        <w:t>.</w:t>
      </w:r>
      <w:r w:rsidRPr="002041DF">
        <w:rPr>
          <w:sz w:val="22"/>
          <w:szCs w:val="22"/>
          <w:lang w:val="sr-Latn-ME"/>
        </w:rPr>
        <w:t xml:space="preserve"> </w:t>
      </w:r>
      <w:r w:rsidR="009148F3" w:rsidRPr="002041DF">
        <w:rPr>
          <w:sz w:val="22"/>
          <w:szCs w:val="22"/>
          <w:lang w:val="sr-Latn-ME"/>
        </w:rPr>
        <w:t>nedjelj</w:t>
      </w:r>
      <w:r w:rsidR="00795C7E" w:rsidRPr="002041DF">
        <w:rPr>
          <w:sz w:val="22"/>
          <w:szCs w:val="22"/>
          <w:lang w:val="sr-Latn-ME"/>
        </w:rPr>
        <w:t>e</w:t>
      </w:r>
      <w:r w:rsidRPr="002041DF">
        <w:rPr>
          <w:sz w:val="22"/>
          <w:szCs w:val="22"/>
          <w:lang w:val="sr-Latn-ME"/>
        </w:rPr>
        <w:t>.</w:t>
      </w:r>
    </w:p>
    <w:p w14:paraId="6FA9D4E3" w14:textId="77777777" w:rsidR="00C36D57" w:rsidRPr="002041DF" w:rsidRDefault="00C36D57" w:rsidP="002041DF">
      <w:pPr>
        <w:pStyle w:val="Header"/>
        <w:widowControl w:val="0"/>
        <w:tabs>
          <w:tab w:val="left" w:pos="284"/>
          <w:tab w:val="left" w:pos="9501"/>
        </w:tabs>
        <w:jc w:val="both"/>
        <w:rPr>
          <w:sz w:val="22"/>
          <w:szCs w:val="22"/>
          <w:lang w:val="sr-Latn-ME"/>
        </w:rPr>
      </w:pPr>
    </w:p>
    <w:p w14:paraId="61590598" w14:textId="77777777" w:rsidR="00C36D57" w:rsidRPr="002041DF" w:rsidRDefault="00C36D57" w:rsidP="002041DF">
      <w:pPr>
        <w:pStyle w:val="Header"/>
        <w:widowControl w:val="0"/>
        <w:tabs>
          <w:tab w:val="left" w:pos="284"/>
        </w:tabs>
        <w:jc w:val="both"/>
        <w:rPr>
          <w:sz w:val="22"/>
          <w:szCs w:val="22"/>
          <w:u w:val="single"/>
          <w:lang w:val="sr-Latn-ME"/>
        </w:rPr>
      </w:pPr>
      <w:r w:rsidRPr="002041DF">
        <w:rPr>
          <w:sz w:val="22"/>
          <w:szCs w:val="22"/>
          <w:u w:val="single"/>
          <w:lang w:val="sr-Latn-ME"/>
        </w:rPr>
        <w:t>Imunizacija</w:t>
      </w:r>
    </w:p>
    <w:p w14:paraId="2F387F3F" w14:textId="77777777" w:rsidR="00C36D57" w:rsidRPr="002041DF" w:rsidRDefault="00C36D57" w:rsidP="002041DF">
      <w:pPr>
        <w:pStyle w:val="Header"/>
        <w:widowControl w:val="0"/>
        <w:tabs>
          <w:tab w:val="left" w:pos="284"/>
        </w:tabs>
        <w:jc w:val="both"/>
        <w:rPr>
          <w:sz w:val="22"/>
          <w:szCs w:val="22"/>
          <w:u w:val="single"/>
          <w:lang w:val="sr-Latn-ME"/>
        </w:rPr>
      </w:pPr>
    </w:p>
    <w:p w14:paraId="2576645D" w14:textId="55B28871" w:rsidR="00C36D57" w:rsidRPr="002041DF" w:rsidRDefault="00C36D57" w:rsidP="002041DF">
      <w:pPr>
        <w:pStyle w:val="Header"/>
        <w:widowControl w:val="0"/>
        <w:tabs>
          <w:tab w:val="left" w:pos="284"/>
        </w:tabs>
        <w:jc w:val="both"/>
        <w:rPr>
          <w:sz w:val="22"/>
          <w:szCs w:val="22"/>
          <w:lang w:val="sr-Latn-ME"/>
        </w:rPr>
      </w:pPr>
      <w:r w:rsidRPr="002041DF">
        <w:rPr>
          <w:sz w:val="22"/>
          <w:szCs w:val="22"/>
          <w:lang w:val="sr-Latn-ME"/>
        </w:rPr>
        <w:t xml:space="preserve">Tokom dugotrajnog produženja studije Psorijaze 2 (PHOENIX 2), odrasli pacijenti koji su </w:t>
      </w:r>
      <w:r w:rsidR="00891C9B" w:rsidRPr="002041DF">
        <w:rPr>
          <w:sz w:val="22"/>
          <w:szCs w:val="22"/>
          <w:lang w:val="sr-Latn-ME"/>
        </w:rPr>
        <w:t>liječen</w:t>
      </w:r>
      <w:r w:rsidRPr="002041DF">
        <w:rPr>
          <w:sz w:val="22"/>
          <w:szCs w:val="22"/>
          <w:lang w:val="sr-Latn-ME"/>
        </w:rPr>
        <w:t>i</w:t>
      </w:r>
      <w:r w:rsidR="00891C9B" w:rsidRPr="002041DF">
        <w:rPr>
          <w:sz w:val="22"/>
          <w:szCs w:val="22"/>
          <w:lang w:val="sr-Latn-ME"/>
        </w:rPr>
        <w:t xml:space="preserve"> lijekom </w:t>
      </w:r>
      <w:r w:rsidRPr="002041DF">
        <w:rPr>
          <w:sz w:val="22"/>
          <w:szCs w:val="22"/>
          <w:lang w:val="sr-Latn-ME"/>
        </w:rPr>
        <w:t>Stelara najmanje 3,5 godine imali su sličan imunski odgovor (</w:t>
      </w:r>
      <w:r w:rsidR="00C23E53" w:rsidRPr="002041DF">
        <w:rPr>
          <w:sz w:val="22"/>
          <w:szCs w:val="22"/>
          <w:lang w:val="sr-Latn-ME"/>
        </w:rPr>
        <w:t>antitijela</w:t>
      </w:r>
      <w:r w:rsidRPr="002041DF">
        <w:rPr>
          <w:sz w:val="22"/>
          <w:szCs w:val="22"/>
          <w:lang w:val="sr-Latn-ME"/>
        </w:rPr>
        <w:t xml:space="preserve">) i na pneumokokne polisaharide i na tetanusne vakcine u odnosu na kontrolnu grupu pacijenata kod koje nije vršena sistemska terapija psorijaze. Sličan procenat pacijenata je razvio zaštitne koncentracije antipneumokoknih i antitetanusnih </w:t>
      </w:r>
      <w:r w:rsidR="00C23E53" w:rsidRPr="002041DF">
        <w:rPr>
          <w:sz w:val="22"/>
          <w:szCs w:val="22"/>
          <w:lang w:val="sr-Latn-ME"/>
        </w:rPr>
        <w:t>antitijela</w:t>
      </w:r>
      <w:r w:rsidRPr="002041DF">
        <w:rPr>
          <w:sz w:val="22"/>
          <w:szCs w:val="22"/>
          <w:lang w:val="sr-Latn-ME"/>
        </w:rPr>
        <w:t xml:space="preserve">, a titar </w:t>
      </w:r>
      <w:r w:rsidR="00C23E53" w:rsidRPr="002041DF">
        <w:rPr>
          <w:sz w:val="22"/>
          <w:szCs w:val="22"/>
          <w:lang w:val="sr-Latn-ME"/>
        </w:rPr>
        <w:t>antitijela</w:t>
      </w:r>
      <w:r w:rsidRPr="002041DF">
        <w:rPr>
          <w:sz w:val="22"/>
          <w:szCs w:val="22"/>
          <w:lang w:val="sr-Latn-ME"/>
        </w:rPr>
        <w:t xml:space="preserve"> je bio sličan kod odraslih pacijenata </w:t>
      </w:r>
      <w:r w:rsidR="00891C9B" w:rsidRPr="002041DF">
        <w:rPr>
          <w:sz w:val="22"/>
          <w:szCs w:val="22"/>
          <w:lang w:val="sr-Latn-ME"/>
        </w:rPr>
        <w:t>liječen</w:t>
      </w:r>
      <w:r w:rsidRPr="002041DF">
        <w:rPr>
          <w:sz w:val="22"/>
          <w:szCs w:val="22"/>
          <w:lang w:val="sr-Latn-ME"/>
        </w:rPr>
        <w:t>ih</w:t>
      </w:r>
      <w:r w:rsidR="00891C9B" w:rsidRPr="002041DF">
        <w:rPr>
          <w:sz w:val="22"/>
          <w:szCs w:val="22"/>
          <w:lang w:val="sr-Latn-ME"/>
        </w:rPr>
        <w:t xml:space="preserve"> lijekom </w:t>
      </w:r>
      <w:r w:rsidRPr="002041DF">
        <w:rPr>
          <w:sz w:val="22"/>
          <w:szCs w:val="22"/>
          <w:lang w:val="sr-Latn-ME"/>
        </w:rPr>
        <w:t>Stelara i kontrolne grupe pacijenata.</w:t>
      </w:r>
    </w:p>
    <w:p w14:paraId="49F4FA68" w14:textId="77777777" w:rsidR="00C36D57" w:rsidRPr="002041DF" w:rsidRDefault="00C36D57" w:rsidP="002041DF">
      <w:pPr>
        <w:pStyle w:val="Header"/>
        <w:widowControl w:val="0"/>
        <w:tabs>
          <w:tab w:val="left" w:pos="284"/>
        </w:tabs>
        <w:jc w:val="both"/>
        <w:rPr>
          <w:sz w:val="22"/>
          <w:szCs w:val="22"/>
          <w:lang w:val="sr-Latn-ME"/>
        </w:rPr>
      </w:pPr>
    </w:p>
    <w:p w14:paraId="56375194" w14:textId="77777777" w:rsidR="00C36D57" w:rsidRPr="002041DF" w:rsidRDefault="00C36D57" w:rsidP="002041DF">
      <w:pPr>
        <w:pStyle w:val="Header"/>
        <w:widowControl w:val="0"/>
        <w:tabs>
          <w:tab w:val="left" w:pos="284"/>
        </w:tabs>
        <w:jc w:val="both"/>
        <w:rPr>
          <w:sz w:val="22"/>
          <w:szCs w:val="22"/>
          <w:u w:val="single"/>
          <w:lang w:val="sr-Latn-ME"/>
        </w:rPr>
      </w:pPr>
      <w:r w:rsidRPr="002041DF">
        <w:rPr>
          <w:sz w:val="22"/>
          <w:szCs w:val="22"/>
          <w:u w:val="single"/>
          <w:lang w:val="sr-Latn-ME"/>
        </w:rPr>
        <w:t xml:space="preserve">Klinička efikasnost </w:t>
      </w:r>
    </w:p>
    <w:p w14:paraId="234186E4" w14:textId="77777777" w:rsidR="00C36D57" w:rsidRPr="002041DF" w:rsidRDefault="00C36D57" w:rsidP="002041DF">
      <w:pPr>
        <w:pStyle w:val="Header"/>
        <w:widowControl w:val="0"/>
        <w:tabs>
          <w:tab w:val="left" w:pos="284"/>
        </w:tabs>
        <w:jc w:val="both"/>
        <w:rPr>
          <w:sz w:val="22"/>
          <w:szCs w:val="22"/>
          <w:u w:val="single"/>
          <w:lang w:val="sr-Latn-ME"/>
        </w:rPr>
      </w:pPr>
    </w:p>
    <w:p w14:paraId="23E0906D" w14:textId="77777777" w:rsidR="00C36D57" w:rsidRPr="002041DF" w:rsidRDefault="00C36D57" w:rsidP="002041DF">
      <w:pPr>
        <w:pStyle w:val="Header"/>
        <w:widowControl w:val="0"/>
        <w:tabs>
          <w:tab w:val="left" w:pos="284"/>
        </w:tabs>
        <w:jc w:val="both"/>
        <w:rPr>
          <w:sz w:val="22"/>
          <w:szCs w:val="22"/>
          <w:lang w:val="sr-Latn-ME"/>
        </w:rPr>
      </w:pPr>
      <w:r w:rsidRPr="002041DF">
        <w:rPr>
          <w:sz w:val="22"/>
          <w:szCs w:val="22"/>
          <w:u w:val="single"/>
          <w:lang w:val="sr-Latn-ME"/>
        </w:rPr>
        <w:t>Psorijaza Tipa plaka (odrasli)</w:t>
      </w:r>
    </w:p>
    <w:p w14:paraId="791176E4" w14:textId="77777777" w:rsidR="00C36D57" w:rsidRPr="002041DF" w:rsidRDefault="00C36D57" w:rsidP="002041DF">
      <w:pPr>
        <w:pStyle w:val="Header"/>
        <w:widowControl w:val="0"/>
        <w:tabs>
          <w:tab w:val="left" w:pos="284"/>
        </w:tabs>
        <w:jc w:val="both"/>
        <w:rPr>
          <w:sz w:val="22"/>
          <w:szCs w:val="22"/>
          <w:lang w:val="sr-Latn-ME"/>
        </w:rPr>
      </w:pPr>
    </w:p>
    <w:p w14:paraId="2E0B0C1B" w14:textId="6114A7CB" w:rsidR="00C36D57" w:rsidRPr="002041DF" w:rsidRDefault="00C36D57" w:rsidP="002041DF">
      <w:pPr>
        <w:pStyle w:val="Header"/>
        <w:widowControl w:val="0"/>
        <w:tabs>
          <w:tab w:val="left" w:pos="284"/>
        </w:tabs>
        <w:jc w:val="both"/>
        <w:rPr>
          <w:sz w:val="22"/>
          <w:szCs w:val="22"/>
          <w:lang w:val="sr-Latn-ME"/>
        </w:rPr>
      </w:pPr>
      <w:r w:rsidRPr="002041DF">
        <w:rPr>
          <w:sz w:val="22"/>
          <w:szCs w:val="22"/>
          <w:lang w:val="sr-Latn-ME"/>
        </w:rPr>
        <w:t>Bezb</w:t>
      </w:r>
      <w:r w:rsidR="00802A66" w:rsidRPr="002041DF">
        <w:rPr>
          <w:sz w:val="22"/>
          <w:szCs w:val="22"/>
          <w:lang w:val="sr-Latn-ME"/>
        </w:rPr>
        <w:t>j</w:t>
      </w:r>
      <w:r w:rsidRPr="002041DF">
        <w:rPr>
          <w:sz w:val="22"/>
          <w:szCs w:val="22"/>
          <w:lang w:val="sr-Latn-ME"/>
        </w:rPr>
        <w:t>ednost i efikasnost</w:t>
      </w:r>
      <w:r w:rsidR="00891C9B" w:rsidRPr="002041DF">
        <w:rPr>
          <w:sz w:val="22"/>
          <w:szCs w:val="22"/>
          <w:lang w:val="sr-Latn-ME"/>
        </w:rPr>
        <w:t xml:space="preserve"> primjene </w:t>
      </w:r>
      <w:r w:rsidRPr="002041DF">
        <w:rPr>
          <w:sz w:val="22"/>
          <w:szCs w:val="22"/>
          <w:lang w:val="sr-Latn-ME"/>
        </w:rPr>
        <w:t xml:space="preserve">ustekinumaba ispitivana je u dva </w:t>
      </w:r>
      <w:r w:rsidR="00147656" w:rsidRPr="002041DF">
        <w:rPr>
          <w:sz w:val="22"/>
          <w:szCs w:val="22"/>
          <w:lang w:val="sr-Latn-ME"/>
        </w:rPr>
        <w:t>randomizovan</w:t>
      </w:r>
      <w:r w:rsidRPr="002041DF">
        <w:rPr>
          <w:sz w:val="22"/>
          <w:szCs w:val="22"/>
          <w:lang w:val="sr-Latn-ME"/>
        </w:rPr>
        <w:t>a dvostruko sl</w:t>
      </w:r>
      <w:r w:rsidR="00802A66" w:rsidRPr="002041DF">
        <w:rPr>
          <w:sz w:val="22"/>
          <w:szCs w:val="22"/>
          <w:lang w:val="sr-Latn-ME"/>
        </w:rPr>
        <w:t>ij</w:t>
      </w:r>
      <w:r w:rsidRPr="002041DF">
        <w:rPr>
          <w:sz w:val="22"/>
          <w:szCs w:val="22"/>
          <w:lang w:val="sr-Latn-ME"/>
        </w:rPr>
        <w:t xml:space="preserve">epa placebom kontrolisana klinička ispitivanja kod 1996 pacijenata sa </w:t>
      </w:r>
      <w:r w:rsidR="00E50471" w:rsidRPr="002041DF">
        <w:rPr>
          <w:sz w:val="22"/>
          <w:szCs w:val="22"/>
          <w:lang w:val="sr-Latn-ME"/>
        </w:rPr>
        <w:t>umjeren</w:t>
      </w:r>
      <w:r w:rsidRPr="002041DF">
        <w:rPr>
          <w:sz w:val="22"/>
          <w:szCs w:val="22"/>
          <w:lang w:val="sr-Latn-ME"/>
        </w:rPr>
        <w:t xml:space="preserve">om do teškom psorijazom tipa plaka i koji su bili kandidati za fototerapiju ili sistemsku terapiju. Takođe, sprovedeno je i jedno </w:t>
      </w:r>
      <w:r w:rsidR="00147656" w:rsidRPr="002041DF">
        <w:rPr>
          <w:sz w:val="22"/>
          <w:szCs w:val="22"/>
          <w:lang w:val="sr-Latn-ME"/>
        </w:rPr>
        <w:t>randomizovan</w:t>
      </w:r>
      <w:r w:rsidRPr="002041DF">
        <w:rPr>
          <w:sz w:val="22"/>
          <w:szCs w:val="22"/>
          <w:lang w:val="sr-Latn-ME"/>
        </w:rPr>
        <w:t>o, sl</w:t>
      </w:r>
      <w:r w:rsidR="00802A66" w:rsidRPr="002041DF">
        <w:rPr>
          <w:sz w:val="22"/>
          <w:szCs w:val="22"/>
          <w:lang w:val="sr-Latn-ME"/>
        </w:rPr>
        <w:t>ij</w:t>
      </w:r>
      <w:r w:rsidRPr="002041DF">
        <w:rPr>
          <w:sz w:val="22"/>
          <w:szCs w:val="22"/>
          <w:lang w:val="sr-Latn-ME"/>
        </w:rPr>
        <w:t xml:space="preserve">epo, aktivno-kontrolisano kliničko ispitivanje u kojem su upoređivani ustekinumab i etanercept kod pacijenata sa </w:t>
      </w:r>
      <w:r w:rsidR="00E50471" w:rsidRPr="002041DF">
        <w:rPr>
          <w:sz w:val="22"/>
          <w:szCs w:val="22"/>
          <w:lang w:val="sr-Latn-ME"/>
        </w:rPr>
        <w:t>umjeren</w:t>
      </w:r>
      <w:r w:rsidRPr="002041DF">
        <w:rPr>
          <w:sz w:val="22"/>
          <w:szCs w:val="22"/>
          <w:lang w:val="sr-Latn-ME"/>
        </w:rPr>
        <w:t>om do teškom prorijazom tipa plaka kod kojih nije bilo adekvatnog odgovora na ciklosporin, MTX ili PUVA terapiju, koji</w:t>
      </w:r>
      <w:r w:rsidR="00E50471" w:rsidRPr="002041DF">
        <w:rPr>
          <w:sz w:val="22"/>
          <w:szCs w:val="22"/>
          <w:lang w:val="sr-Latn-ME"/>
        </w:rPr>
        <w:t xml:space="preserve"> nijesu </w:t>
      </w:r>
      <w:r w:rsidRPr="002041DF">
        <w:rPr>
          <w:sz w:val="22"/>
          <w:szCs w:val="22"/>
          <w:lang w:val="sr-Latn-ME"/>
        </w:rPr>
        <w:t>podnosili ove terapije ili je</w:t>
      </w:r>
      <w:r w:rsidR="00A35D07" w:rsidRPr="002041DF">
        <w:rPr>
          <w:sz w:val="22"/>
          <w:szCs w:val="22"/>
          <w:lang w:val="sr-Latn-ME"/>
        </w:rPr>
        <w:t xml:space="preserve"> prim</w:t>
      </w:r>
      <w:r w:rsidR="00802A66" w:rsidRPr="002041DF">
        <w:rPr>
          <w:sz w:val="22"/>
          <w:szCs w:val="22"/>
          <w:lang w:val="sr-Latn-ME"/>
        </w:rPr>
        <w:t>j</w:t>
      </w:r>
      <w:r w:rsidR="00A35D07" w:rsidRPr="002041DF">
        <w:rPr>
          <w:sz w:val="22"/>
          <w:szCs w:val="22"/>
          <w:lang w:val="sr-Latn-ME"/>
        </w:rPr>
        <w:t xml:space="preserve">ena </w:t>
      </w:r>
      <w:r w:rsidRPr="002041DF">
        <w:rPr>
          <w:sz w:val="22"/>
          <w:szCs w:val="22"/>
          <w:lang w:val="sr-Latn-ME"/>
        </w:rPr>
        <w:t>ovih terapija bila kontraindikovana.</w:t>
      </w:r>
    </w:p>
    <w:p w14:paraId="78DC2446" w14:textId="77777777" w:rsidR="00C36D57" w:rsidRPr="002041DF" w:rsidRDefault="00C36D57" w:rsidP="002041DF">
      <w:pPr>
        <w:pStyle w:val="Header"/>
        <w:widowControl w:val="0"/>
        <w:tabs>
          <w:tab w:val="left" w:pos="284"/>
        </w:tabs>
        <w:jc w:val="both"/>
        <w:rPr>
          <w:sz w:val="22"/>
          <w:szCs w:val="22"/>
          <w:lang w:val="sr-Latn-ME"/>
        </w:rPr>
      </w:pPr>
    </w:p>
    <w:p w14:paraId="306881AC" w14:textId="454D8278" w:rsidR="00C36D57" w:rsidRPr="002041DF" w:rsidRDefault="00C36D57" w:rsidP="002041DF">
      <w:pPr>
        <w:pStyle w:val="Header"/>
        <w:widowControl w:val="0"/>
        <w:tabs>
          <w:tab w:val="left" w:pos="284"/>
        </w:tabs>
        <w:jc w:val="both"/>
        <w:rPr>
          <w:sz w:val="22"/>
          <w:szCs w:val="22"/>
          <w:lang w:val="sr-Latn-ME"/>
        </w:rPr>
      </w:pPr>
      <w:r w:rsidRPr="002041DF">
        <w:rPr>
          <w:sz w:val="22"/>
          <w:szCs w:val="22"/>
          <w:lang w:val="sr-Latn-ME"/>
        </w:rPr>
        <w:t>U kliničkom ispitivanju Psorijaza 1 (PHOENIX 1) proc</w:t>
      </w:r>
      <w:r w:rsidR="00802A66" w:rsidRPr="002041DF">
        <w:rPr>
          <w:sz w:val="22"/>
          <w:szCs w:val="22"/>
          <w:lang w:val="sr-Latn-ME"/>
        </w:rPr>
        <w:t>ij</w:t>
      </w:r>
      <w:r w:rsidRPr="002041DF">
        <w:rPr>
          <w:sz w:val="22"/>
          <w:szCs w:val="22"/>
          <w:lang w:val="sr-Latn-ME"/>
        </w:rPr>
        <w:t>enjeno je 766 pacijenata. Od ukupnog broja, njih 53% ili</w:t>
      </w:r>
      <w:r w:rsidR="00E50471" w:rsidRPr="002041DF">
        <w:rPr>
          <w:sz w:val="22"/>
          <w:szCs w:val="22"/>
          <w:lang w:val="sr-Latn-ME"/>
        </w:rPr>
        <w:t xml:space="preserve"> nijesu </w:t>
      </w:r>
      <w:r w:rsidRPr="002041DF">
        <w:rPr>
          <w:sz w:val="22"/>
          <w:szCs w:val="22"/>
          <w:lang w:val="sr-Latn-ME"/>
        </w:rPr>
        <w:t>postigli klinički odgovor na prethodnu sistemsku terapiju, ili je</w:t>
      </w:r>
      <w:r w:rsidR="00E50471" w:rsidRPr="002041DF">
        <w:rPr>
          <w:sz w:val="22"/>
          <w:szCs w:val="22"/>
          <w:lang w:val="sr-Latn-ME"/>
        </w:rPr>
        <w:t xml:space="preserve"> nijesu </w:t>
      </w:r>
      <w:r w:rsidRPr="002041DF">
        <w:rPr>
          <w:sz w:val="22"/>
          <w:szCs w:val="22"/>
          <w:lang w:val="sr-Latn-ME"/>
        </w:rPr>
        <w:t>tolerisali, ili je ta sistemska terapija bila kontraindikovana. Grupa pacijenata kod kojih je prim</w:t>
      </w:r>
      <w:r w:rsidR="00802A66" w:rsidRPr="002041DF">
        <w:rPr>
          <w:sz w:val="22"/>
          <w:szCs w:val="22"/>
          <w:lang w:val="sr-Latn-ME"/>
        </w:rPr>
        <w:t>ij</w:t>
      </w:r>
      <w:r w:rsidRPr="002041DF">
        <w:rPr>
          <w:sz w:val="22"/>
          <w:szCs w:val="22"/>
          <w:lang w:val="sr-Latn-ME"/>
        </w:rPr>
        <w:t xml:space="preserve">enjen ustekinumab je </w:t>
      </w:r>
      <w:r w:rsidR="00147656" w:rsidRPr="002041DF">
        <w:rPr>
          <w:sz w:val="22"/>
          <w:szCs w:val="22"/>
          <w:lang w:val="sr-Latn-ME"/>
        </w:rPr>
        <w:t>randomizovan</w:t>
      </w:r>
      <w:r w:rsidRPr="002041DF">
        <w:rPr>
          <w:sz w:val="22"/>
          <w:szCs w:val="22"/>
          <w:lang w:val="sr-Latn-ME"/>
        </w:rPr>
        <w:t>a u dv</w:t>
      </w:r>
      <w:r w:rsidR="00802A66" w:rsidRPr="002041DF">
        <w:rPr>
          <w:sz w:val="22"/>
          <w:szCs w:val="22"/>
          <w:lang w:val="sr-Latn-ME"/>
        </w:rPr>
        <w:t>ij</w:t>
      </w:r>
      <w:r w:rsidRPr="002041DF">
        <w:rPr>
          <w:sz w:val="22"/>
          <w:szCs w:val="22"/>
          <w:lang w:val="sr-Latn-ME"/>
        </w:rPr>
        <w:t xml:space="preserve">e podgrupe, jednoj je data doza od 45 mg, a drugoj 90 mg u nultoj i 4. </w:t>
      </w:r>
      <w:r w:rsidR="004372C4" w:rsidRPr="002041DF">
        <w:rPr>
          <w:sz w:val="22"/>
          <w:szCs w:val="22"/>
          <w:lang w:val="sr-Latn-ME"/>
        </w:rPr>
        <w:t>nedjelji</w:t>
      </w:r>
      <w:r w:rsidRPr="002041DF">
        <w:rPr>
          <w:sz w:val="22"/>
          <w:szCs w:val="22"/>
          <w:lang w:val="sr-Latn-ME"/>
        </w:rPr>
        <w:t>, a dalje je prim</w:t>
      </w:r>
      <w:r w:rsidR="00802A66" w:rsidRPr="002041DF">
        <w:rPr>
          <w:sz w:val="22"/>
          <w:szCs w:val="22"/>
          <w:lang w:val="sr-Latn-ME"/>
        </w:rPr>
        <w:t>j</w:t>
      </w:r>
      <w:r w:rsidRPr="002041DF">
        <w:rPr>
          <w:sz w:val="22"/>
          <w:szCs w:val="22"/>
          <w:lang w:val="sr-Latn-ME"/>
        </w:rPr>
        <w:t xml:space="preserve">enjivana ista doza svakih 12 </w:t>
      </w:r>
      <w:r w:rsidR="004372C4" w:rsidRPr="002041DF">
        <w:rPr>
          <w:sz w:val="22"/>
          <w:szCs w:val="22"/>
          <w:lang w:val="sr-Latn-ME"/>
        </w:rPr>
        <w:t>nedjelja</w:t>
      </w:r>
      <w:r w:rsidRPr="002041DF">
        <w:rPr>
          <w:sz w:val="22"/>
          <w:szCs w:val="22"/>
          <w:lang w:val="sr-Latn-ME"/>
        </w:rPr>
        <w:t xml:space="preserve">. Pacijenti koji su </w:t>
      </w:r>
      <w:r w:rsidR="002E0611" w:rsidRPr="002041DF">
        <w:rPr>
          <w:sz w:val="22"/>
          <w:szCs w:val="22"/>
          <w:lang w:val="sr-Latn-ME"/>
        </w:rPr>
        <w:t>randomizovani</w:t>
      </w:r>
      <w:r w:rsidRPr="002041DF">
        <w:rPr>
          <w:sz w:val="22"/>
          <w:szCs w:val="22"/>
          <w:lang w:val="sr-Latn-ME"/>
        </w:rPr>
        <w:t xml:space="preserve"> da primaju placebo u nultoj i 4. </w:t>
      </w:r>
      <w:r w:rsidR="004372C4" w:rsidRPr="002041DF">
        <w:rPr>
          <w:sz w:val="22"/>
          <w:szCs w:val="22"/>
          <w:lang w:val="sr-Latn-ME"/>
        </w:rPr>
        <w:t>nedjelji</w:t>
      </w:r>
      <w:r w:rsidRPr="002041DF">
        <w:rPr>
          <w:sz w:val="22"/>
          <w:szCs w:val="22"/>
          <w:lang w:val="sr-Latn-ME"/>
        </w:rPr>
        <w:t>, su prebačeni (</w:t>
      </w:r>
      <w:r w:rsidRPr="002041DF">
        <w:rPr>
          <w:i/>
          <w:sz w:val="22"/>
          <w:szCs w:val="22"/>
          <w:lang w:val="sr-Latn-ME"/>
        </w:rPr>
        <w:t>ukršteni</w:t>
      </w:r>
      <w:r w:rsidRPr="002041DF">
        <w:rPr>
          <w:sz w:val="22"/>
          <w:szCs w:val="22"/>
          <w:lang w:val="sr-Latn-ME"/>
        </w:rPr>
        <w:t xml:space="preserve">) da primaju ustekinumab (45 ili 90 mg) u 12. i 16. </w:t>
      </w:r>
      <w:r w:rsidR="004372C4" w:rsidRPr="002041DF">
        <w:rPr>
          <w:sz w:val="22"/>
          <w:szCs w:val="22"/>
          <w:lang w:val="sr-Latn-ME"/>
        </w:rPr>
        <w:t>nedjelji</w:t>
      </w:r>
      <w:r w:rsidRPr="002041DF">
        <w:rPr>
          <w:sz w:val="22"/>
          <w:szCs w:val="22"/>
          <w:lang w:val="sr-Latn-ME"/>
        </w:rPr>
        <w:t xml:space="preserve">, a nakon toga svakih 12 </w:t>
      </w:r>
      <w:r w:rsidR="004372C4" w:rsidRPr="002041DF">
        <w:rPr>
          <w:sz w:val="22"/>
          <w:szCs w:val="22"/>
          <w:lang w:val="sr-Latn-ME"/>
        </w:rPr>
        <w:t>nedjelja</w:t>
      </w:r>
      <w:r w:rsidRPr="002041DF">
        <w:rPr>
          <w:sz w:val="22"/>
          <w:szCs w:val="22"/>
          <w:lang w:val="sr-Latn-ME"/>
        </w:rPr>
        <w:t xml:space="preserve">. Pacijenti koji su na početku </w:t>
      </w:r>
      <w:r w:rsidR="002E0611" w:rsidRPr="002041DF">
        <w:rPr>
          <w:sz w:val="22"/>
          <w:szCs w:val="22"/>
          <w:lang w:val="sr-Latn-ME"/>
        </w:rPr>
        <w:t>randomizovani</w:t>
      </w:r>
      <w:r w:rsidRPr="002041DF">
        <w:rPr>
          <w:sz w:val="22"/>
          <w:szCs w:val="22"/>
          <w:lang w:val="sr-Latn-ME"/>
        </w:rPr>
        <w:t xml:space="preserve"> u grupu koja je primala ustekinumab, a koji su postigli odgovor od PASI 75 (engl. </w:t>
      </w:r>
      <w:r w:rsidRPr="002041DF">
        <w:rPr>
          <w:i/>
          <w:sz w:val="22"/>
          <w:szCs w:val="22"/>
          <w:lang w:val="sr-Latn-ME"/>
        </w:rPr>
        <w:t>Psoriasis Area and Severity Index,</w:t>
      </w:r>
      <w:r w:rsidR="009148F3" w:rsidRPr="002041DF">
        <w:rPr>
          <w:i/>
          <w:sz w:val="22"/>
          <w:szCs w:val="22"/>
          <w:lang w:val="sr-Latn-ME"/>
        </w:rPr>
        <w:t xml:space="preserve"> </w:t>
      </w:r>
      <w:r w:rsidRPr="002041DF">
        <w:rPr>
          <w:sz w:val="22"/>
          <w:szCs w:val="22"/>
          <w:lang w:val="sr-Latn-ME"/>
        </w:rPr>
        <w:t>PASI), a to je poboljšanje od 75% u odnosu na polaznu tačku</w:t>
      </w:r>
      <w:r w:rsidR="00FF0E5B" w:rsidRPr="002041DF">
        <w:rPr>
          <w:sz w:val="22"/>
          <w:szCs w:val="22"/>
          <w:lang w:val="sr-Latn-ME"/>
        </w:rPr>
        <w:t>,</w:t>
      </w:r>
      <w:r w:rsidRPr="002041DF">
        <w:rPr>
          <w:sz w:val="22"/>
          <w:szCs w:val="22"/>
          <w:lang w:val="sr-Latn-ME"/>
        </w:rPr>
        <w:t xml:space="preserve"> i u 28. i 40. </w:t>
      </w:r>
      <w:r w:rsidR="004372C4" w:rsidRPr="002041DF">
        <w:rPr>
          <w:sz w:val="22"/>
          <w:szCs w:val="22"/>
          <w:lang w:val="sr-Latn-ME"/>
        </w:rPr>
        <w:t>nedjelji</w:t>
      </w:r>
      <w:r w:rsidRPr="002041DF">
        <w:rPr>
          <w:sz w:val="22"/>
          <w:szCs w:val="22"/>
          <w:lang w:val="sr-Latn-ME"/>
        </w:rPr>
        <w:t xml:space="preserve"> </w:t>
      </w:r>
      <w:r w:rsidR="00891C9B" w:rsidRPr="002041DF">
        <w:rPr>
          <w:sz w:val="22"/>
          <w:szCs w:val="22"/>
          <w:lang w:val="sr-Latn-ME"/>
        </w:rPr>
        <w:t>liječen</w:t>
      </w:r>
      <w:r w:rsidRPr="002041DF">
        <w:rPr>
          <w:sz w:val="22"/>
          <w:szCs w:val="22"/>
          <w:lang w:val="sr-Latn-ME"/>
        </w:rPr>
        <w:t xml:space="preserve">ja </w:t>
      </w:r>
      <w:r w:rsidR="00106B50" w:rsidRPr="002041DF">
        <w:rPr>
          <w:sz w:val="22"/>
          <w:szCs w:val="22"/>
          <w:lang w:val="sr-Latn-ME"/>
        </w:rPr>
        <w:t xml:space="preserve">nanovo su randomizovani </w:t>
      </w:r>
      <w:r w:rsidRPr="002041DF">
        <w:rPr>
          <w:sz w:val="22"/>
          <w:szCs w:val="22"/>
          <w:lang w:val="sr-Latn-ME"/>
        </w:rPr>
        <w:t xml:space="preserve">kako bi primali ustekinumab svakih 12 </w:t>
      </w:r>
      <w:r w:rsidR="004372C4" w:rsidRPr="002041DF">
        <w:rPr>
          <w:sz w:val="22"/>
          <w:szCs w:val="22"/>
          <w:lang w:val="sr-Latn-ME"/>
        </w:rPr>
        <w:t>nedjelja</w:t>
      </w:r>
      <w:r w:rsidRPr="002041DF">
        <w:rPr>
          <w:sz w:val="22"/>
          <w:szCs w:val="22"/>
          <w:lang w:val="sr-Latn-ME"/>
        </w:rPr>
        <w:t xml:space="preserve"> ili placebo (odnosno ukidanje terapije). Pacijenti koji su u 40. </w:t>
      </w:r>
      <w:r w:rsidR="004372C4" w:rsidRPr="002041DF">
        <w:rPr>
          <w:sz w:val="22"/>
          <w:szCs w:val="22"/>
          <w:lang w:val="sr-Latn-ME"/>
        </w:rPr>
        <w:t>nedjelji</w:t>
      </w:r>
      <w:r w:rsidRPr="002041DF">
        <w:rPr>
          <w:sz w:val="22"/>
          <w:szCs w:val="22"/>
          <w:lang w:val="sr-Latn-ME"/>
        </w:rPr>
        <w:t xml:space="preserve"> </w:t>
      </w:r>
      <w:r w:rsidR="00106B50" w:rsidRPr="002041DF">
        <w:rPr>
          <w:sz w:val="22"/>
          <w:szCs w:val="22"/>
          <w:lang w:val="sr-Latn-ME"/>
        </w:rPr>
        <w:lastRenderedPageBreak/>
        <w:t xml:space="preserve">nanovo randomizovani </w:t>
      </w:r>
      <w:r w:rsidRPr="002041DF">
        <w:rPr>
          <w:sz w:val="22"/>
          <w:szCs w:val="22"/>
          <w:lang w:val="sr-Latn-ME"/>
        </w:rPr>
        <w:t>da primaju placebo, ponovo su započeli</w:t>
      </w:r>
      <w:r w:rsidR="00A35D07" w:rsidRPr="002041DF">
        <w:rPr>
          <w:sz w:val="22"/>
          <w:szCs w:val="22"/>
          <w:lang w:val="sr-Latn-ME"/>
        </w:rPr>
        <w:t xml:space="preserve"> primjenu </w:t>
      </w:r>
      <w:r w:rsidRPr="002041DF">
        <w:rPr>
          <w:sz w:val="22"/>
          <w:szCs w:val="22"/>
          <w:lang w:val="sr-Latn-ME"/>
        </w:rPr>
        <w:t xml:space="preserve">ustekinumaba prema njihovom originalnom doznom režimu, u trenutku kada je došlo do najmanje 50% gubitka PASI poboljšanja dostignutog u 40. </w:t>
      </w:r>
      <w:r w:rsidR="004372C4" w:rsidRPr="002041DF">
        <w:rPr>
          <w:sz w:val="22"/>
          <w:szCs w:val="22"/>
          <w:lang w:val="sr-Latn-ME"/>
        </w:rPr>
        <w:t>nedjelji</w:t>
      </w:r>
      <w:r w:rsidRPr="002041DF">
        <w:rPr>
          <w:sz w:val="22"/>
          <w:szCs w:val="22"/>
          <w:lang w:val="sr-Latn-ME"/>
        </w:rPr>
        <w:t xml:space="preserve">. Svi pacijenti su praćeni do 76. </w:t>
      </w:r>
      <w:r w:rsidR="004372C4" w:rsidRPr="002041DF">
        <w:rPr>
          <w:sz w:val="22"/>
          <w:szCs w:val="22"/>
          <w:lang w:val="sr-Latn-ME"/>
        </w:rPr>
        <w:t>nedjelje</w:t>
      </w:r>
      <w:r w:rsidRPr="002041DF">
        <w:rPr>
          <w:sz w:val="22"/>
          <w:szCs w:val="22"/>
          <w:lang w:val="sr-Latn-ME"/>
        </w:rPr>
        <w:t xml:space="preserve"> nakon prve</w:t>
      </w:r>
      <w:r w:rsidR="00891C9B" w:rsidRPr="002041DF">
        <w:rPr>
          <w:sz w:val="22"/>
          <w:szCs w:val="22"/>
          <w:lang w:val="sr-Latn-ME"/>
        </w:rPr>
        <w:t xml:space="preserve"> primjene </w:t>
      </w:r>
      <w:r w:rsidRPr="002041DF">
        <w:rPr>
          <w:sz w:val="22"/>
          <w:szCs w:val="22"/>
          <w:lang w:val="sr-Latn-ME"/>
        </w:rPr>
        <w:t>studijskog l</w:t>
      </w:r>
      <w:r w:rsidR="00802A66" w:rsidRPr="002041DF">
        <w:rPr>
          <w:sz w:val="22"/>
          <w:szCs w:val="22"/>
          <w:lang w:val="sr-Latn-ME"/>
        </w:rPr>
        <w:t>ij</w:t>
      </w:r>
      <w:r w:rsidRPr="002041DF">
        <w:rPr>
          <w:sz w:val="22"/>
          <w:szCs w:val="22"/>
          <w:lang w:val="sr-Latn-ME"/>
        </w:rPr>
        <w:t>eka.</w:t>
      </w:r>
    </w:p>
    <w:p w14:paraId="34438139" w14:textId="77777777" w:rsidR="00C36D57" w:rsidRPr="002041DF" w:rsidRDefault="00C36D57" w:rsidP="002041DF">
      <w:pPr>
        <w:pStyle w:val="Header"/>
        <w:widowControl w:val="0"/>
        <w:tabs>
          <w:tab w:val="left" w:pos="284"/>
        </w:tabs>
        <w:jc w:val="both"/>
        <w:rPr>
          <w:sz w:val="22"/>
          <w:szCs w:val="22"/>
          <w:lang w:val="sr-Latn-ME"/>
        </w:rPr>
      </w:pPr>
    </w:p>
    <w:p w14:paraId="1CC1241A" w14:textId="2C5BE920" w:rsidR="00C36D57" w:rsidRPr="002041DF" w:rsidRDefault="00C36D57" w:rsidP="002041DF">
      <w:pPr>
        <w:pStyle w:val="Header"/>
        <w:widowControl w:val="0"/>
        <w:tabs>
          <w:tab w:val="left" w:pos="284"/>
        </w:tabs>
        <w:jc w:val="both"/>
        <w:rPr>
          <w:sz w:val="22"/>
          <w:szCs w:val="22"/>
          <w:lang w:val="sr-Latn-ME"/>
        </w:rPr>
      </w:pPr>
      <w:r w:rsidRPr="002041DF">
        <w:rPr>
          <w:sz w:val="22"/>
          <w:szCs w:val="22"/>
          <w:lang w:val="sr-Latn-ME"/>
        </w:rPr>
        <w:t>U kliničkom ispitivanju Psorijaza 2 (PHOENIX 2) proc</w:t>
      </w:r>
      <w:r w:rsidR="00802A66" w:rsidRPr="002041DF">
        <w:rPr>
          <w:sz w:val="22"/>
          <w:szCs w:val="22"/>
          <w:lang w:val="sr-Latn-ME"/>
        </w:rPr>
        <w:t>ij</w:t>
      </w:r>
      <w:r w:rsidRPr="002041DF">
        <w:rPr>
          <w:sz w:val="22"/>
          <w:szCs w:val="22"/>
          <w:lang w:val="sr-Latn-ME"/>
        </w:rPr>
        <w:t>enjeno je 1230 pacijenata. Od ukupnog broja, njih 61% ili</w:t>
      </w:r>
      <w:r w:rsidR="00E50471" w:rsidRPr="002041DF">
        <w:rPr>
          <w:sz w:val="22"/>
          <w:szCs w:val="22"/>
          <w:lang w:val="sr-Latn-ME"/>
        </w:rPr>
        <w:t xml:space="preserve"> nijesu </w:t>
      </w:r>
      <w:r w:rsidRPr="002041DF">
        <w:rPr>
          <w:sz w:val="22"/>
          <w:szCs w:val="22"/>
          <w:lang w:val="sr-Latn-ME"/>
        </w:rPr>
        <w:t>postigli klinički odgovor na prethodnu sistemsku terapiju, ili je</w:t>
      </w:r>
      <w:r w:rsidR="00E50471" w:rsidRPr="002041DF">
        <w:rPr>
          <w:sz w:val="22"/>
          <w:szCs w:val="22"/>
          <w:lang w:val="sr-Latn-ME"/>
        </w:rPr>
        <w:t xml:space="preserve"> nijesu </w:t>
      </w:r>
      <w:r w:rsidRPr="002041DF">
        <w:rPr>
          <w:sz w:val="22"/>
          <w:szCs w:val="22"/>
          <w:lang w:val="sr-Latn-ME"/>
        </w:rPr>
        <w:t>tolerisali, ili je ta sistemska terapija bila kontraindikovana. Grupa pacijenata kod kojih je prim</w:t>
      </w:r>
      <w:r w:rsidR="00802A66" w:rsidRPr="002041DF">
        <w:rPr>
          <w:sz w:val="22"/>
          <w:szCs w:val="22"/>
          <w:lang w:val="sr-Latn-ME"/>
        </w:rPr>
        <w:t>ij</w:t>
      </w:r>
      <w:r w:rsidRPr="002041DF">
        <w:rPr>
          <w:sz w:val="22"/>
          <w:szCs w:val="22"/>
          <w:lang w:val="sr-Latn-ME"/>
        </w:rPr>
        <w:t xml:space="preserve">enjen ustekinumab je </w:t>
      </w:r>
      <w:r w:rsidR="00147656" w:rsidRPr="002041DF">
        <w:rPr>
          <w:sz w:val="22"/>
          <w:szCs w:val="22"/>
          <w:lang w:val="sr-Latn-ME"/>
        </w:rPr>
        <w:t>randomizovan</w:t>
      </w:r>
      <w:r w:rsidRPr="002041DF">
        <w:rPr>
          <w:sz w:val="22"/>
          <w:szCs w:val="22"/>
          <w:lang w:val="sr-Latn-ME"/>
        </w:rPr>
        <w:t>a u dv</w:t>
      </w:r>
      <w:r w:rsidR="00802A66" w:rsidRPr="002041DF">
        <w:rPr>
          <w:sz w:val="22"/>
          <w:szCs w:val="22"/>
          <w:lang w:val="sr-Latn-ME"/>
        </w:rPr>
        <w:t>ij</w:t>
      </w:r>
      <w:r w:rsidRPr="002041DF">
        <w:rPr>
          <w:sz w:val="22"/>
          <w:szCs w:val="22"/>
          <w:lang w:val="sr-Latn-ME"/>
        </w:rPr>
        <w:t>e podgrupe, jednoj je prim</w:t>
      </w:r>
      <w:r w:rsidR="00802A66" w:rsidRPr="002041DF">
        <w:rPr>
          <w:sz w:val="22"/>
          <w:szCs w:val="22"/>
          <w:lang w:val="sr-Latn-ME"/>
        </w:rPr>
        <w:t>ij</w:t>
      </w:r>
      <w:r w:rsidRPr="002041DF">
        <w:rPr>
          <w:sz w:val="22"/>
          <w:szCs w:val="22"/>
          <w:lang w:val="sr-Latn-ME"/>
        </w:rPr>
        <w:t xml:space="preserve">enjena doza od 45 mg, a drugoj 90 mg u nultoj i 4. </w:t>
      </w:r>
      <w:r w:rsidR="004372C4" w:rsidRPr="002041DF">
        <w:rPr>
          <w:sz w:val="22"/>
          <w:szCs w:val="22"/>
          <w:lang w:val="sr-Latn-ME"/>
        </w:rPr>
        <w:t>nedjelji</w:t>
      </w:r>
      <w:r w:rsidRPr="002041DF">
        <w:rPr>
          <w:sz w:val="22"/>
          <w:szCs w:val="22"/>
          <w:lang w:val="sr-Latn-ME"/>
        </w:rPr>
        <w:t>, a dalje je prim</w:t>
      </w:r>
      <w:r w:rsidR="00802A66" w:rsidRPr="002041DF">
        <w:rPr>
          <w:sz w:val="22"/>
          <w:szCs w:val="22"/>
          <w:lang w:val="sr-Latn-ME"/>
        </w:rPr>
        <w:t>j</w:t>
      </w:r>
      <w:r w:rsidRPr="002041DF">
        <w:rPr>
          <w:sz w:val="22"/>
          <w:szCs w:val="22"/>
          <w:lang w:val="sr-Latn-ME"/>
        </w:rPr>
        <w:t xml:space="preserve">enjivana ista doza svakih 16 </w:t>
      </w:r>
      <w:r w:rsidR="004372C4" w:rsidRPr="002041DF">
        <w:rPr>
          <w:sz w:val="22"/>
          <w:szCs w:val="22"/>
          <w:lang w:val="sr-Latn-ME"/>
        </w:rPr>
        <w:t>nedjelja</w:t>
      </w:r>
      <w:r w:rsidRPr="002041DF">
        <w:rPr>
          <w:sz w:val="22"/>
          <w:szCs w:val="22"/>
          <w:lang w:val="sr-Latn-ME"/>
        </w:rPr>
        <w:t xml:space="preserve">. Pacijenti koji su </w:t>
      </w:r>
      <w:r w:rsidR="002E0611" w:rsidRPr="002041DF">
        <w:rPr>
          <w:sz w:val="22"/>
          <w:szCs w:val="22"/>
          <w:lang w:val="sr-Latn-ME"/>
        </w:rPr>
        <w:t>randomizovani</w:t>
      </w:r>
      <w:r w:rsidRPr="002041DF">
        <w:rPr>
          <w:sz w:val="22"/>
          <w:szCs w:val="22"/>
          <w:lang w:val="sr-Latn-ME"/>
        </w:rPr>
        <w:t xml:space="preserve"> da primaju placebo terapiju u nultoj i 4. </w:t>
      </w:r>
      <w:r w:rsidR="004372C4" w:rsidRPr="002041DF">
        <w:rPr>
          <w:sz w:val="22"/>
          <w:szCs w:val="22"/>
          <w:lang w:val="sr-Latn-ME"/>
        </w:rPr>
        <w:t>nedjelji</w:t>
      </w:r>
      <w:r w:rsidRPr="002041DF">
        <w:rPr>
          <w:sz w:val="22"/>
          <w:szCs w:val="22"/>
          <w:lang w:val="sr-Latn-ME"/>
        </w:rPr>
        <w:t>, su prebačeni (</w:t>
      </w:r>
      <w:r w:rsidRPr="002041DF">
        <w:rPr>
          <w:i/>
          <w:sz w:val="22"/>
          <w:szCs w:val="22"/>
          <w:lang w:val="sr-Latn-ME"/>
        </w:rPr>
        <w:t>ukršteni</w:t>
      </w:r>
      <w:r w:rsidRPr="002041DF">
        <w:rPr>
          <w:sz w:val="22"/>
          <w:szCs w:val="22"/>
          <w:lang w:val="sr-Latn-ME"/>
        </w:rPr>
        <w:t xml:space="preserve">) da primaju ustekinumab (45 ili 90 mg) u 12. i 16. </w:t>
      </w:r>
      <w:r w:rsidR="004372C4" w:rsidRPr="002041DF">
        <w:rPr>
          <w:sz w:val="22"/>
          <w:szCs w:val="22"/>
          <w:lang w:val="sr-Latn-ME"/>
        </w:rPr>
        <w:t>nedjelji</w:t>
      </w:r>
      <w:r w:rsidRPr="002041DF">
        <w:rPr>
          <w:sz w:val="22"/>
          <w:szCs w:val="22"/>
          <w:lang w:val="sr-Latn-ME"/>
        </w:rPr>
        <w:t xml:space="preserve">. Svi pacijenti su praćeni do 52. </w:t>
      </w:r>
      <w:r w:rsidR="004372C4" w:rsidRPr="002041DF">
        <w:rPr>
          <w:sz w:val="22"/>
          <w:szCs w:val="22"/>
          <w:lang w:val="sr-Latn-ME"/>
        </w:rPr>
        <w:t>nedjelje</w:t>
      </w:r>
      <w:r w:rsidRPr="002041DF">
        <w:rPr>
          <w:sz w:val="22"/>
          <w:szCs w:val="22"/>
          <w:lang w:val="sr-Latn-ME"/>
        </w:rPr>
        <w:t xml:space="preserve"> nakon prve</w:t>
      </w:r>
      <w:r w:rsidR="00891C9B" w:rsidRPr="002041DF">
        <w:rPr>
          <w:sz w:val="22"/>
          <w:szCs w:val="22"/>
          <w:lang w:val="sr-Latn-ME"/>
        </w:rPr>
        <w:t xml:space="preserve"> primjene </w:t>
      </w:r>
      <w:r w:rsidRPr="002041DF">
        <w:rPr>
          <w:sz w:val="22"/>
          <w:szCs w:val="22"/>
          <w:lang w:val="sr-Latn-ME"/>
        </w:rPr>
        <w:t>studijskog l</w:t>
      </w:r>
      <w:r w:rsidR="00802A66" w:rsidRPr="002041DF">
        <w:rPr>
          <w:sz w:val="22"/>
          <w:szCs w:val="22"/>
          <w:lang w:val="sr-Latn-ME"/>
        </w:rPr>
        <w:t>ij</w:t>
      </w:r>
      <w:r w:rsidRPr="002041DF">
        <w:rPr>
          <w:sz w:val="22"/>
          <w:szCs w:val="22"/>
          <w:lang w:val="sr-Latn-ME"/>
        </w:rPr>
        <w:t>eka.</w:t>
      </w:r>
    </w:p>
    <w:p w14:paraId="3892BC5B" w14:textId="77777777" w:rsidR="00C36D57" w:rsidRPr="002041DF" w:rsidRDefault="00C36D57" w:rsidP="002041DF">
      <w:pPr>
        <w:pStyle w:val="Header"/>
        <w:widowControl w:val="0"/>
        <w:tabs>
          <w:tab w:val="left" w:pos="284"/>
        </w:tabs>
        <w:jc w:val="both"/>
        <w:rPr>
          <w:sz w:val="22"/>
          <w:szCs w:val="22"/>
          <w:lang w:val="sr-Latn-ME"/>
        </w:rPr>
      </w:pPr>
    </w:p>
    <w:p w14:paraId="08C58873" w14:textId="5D0B2AC5" w:rsidR="003A1BC7" w:rsidRPr="002041DF" w:rsidRDefault="00C36D57" w:rsidP="002041DF">
      <w:pPr>
        <w:pStyle w:val="Header"/>
        <w:widowControl w:val="0"/>
        <w:tabs>
          <w:tab w:val="left" w:pos="284"/>
        </w:tabs>
        <w:jc w:val="both"/>
        <w:rPr>
          <w:sz w:val="22"/>
          <w:szCs w:val="22"/>
          <w:lang w:val="sr-Latn-ME"/>
        </w:rPr>
      </w:pPr>
      <w:r w:rsidRPr="002041DF">
        <w:rPr>
          <w:sz w:val="22"/>
          <w:szCs w:val="22"/>
          <w:lang w:val="sr-Latn-ME"/>
        </w:rPr>
        <w:t>U kliničkom ispitivanju Psorijaza 3 (ACCEPT) poređena je efikasnost ustekinumaba u odnosu na etanercept i evoluirana je bezb</w:t>
      </w:r>
      <w:r w:rsidR="00802A66" w:rsidRPr="002041DF">
        <w:rPr>
          <w:sz w:val="22"/>
          <w:szCs w:val="22"/>
          <w:lang w:val="sr-Latn-ME"/>
        </w:rPr>
        <w:t>j</w:t>
      </w:r>
      <w:r w:rsidRPr="002041DF">
        <w:rPr>
          <w:sz w:val="22"/>
          <w:szCs w:val="22"/>
          <w:lang w:val="sr-Latn-ME"/>
        </w:rPr>
        <w:t xml:space="preserve">ednost ustekinumaba i etanercepta kod 903 pacijenata sa </w:t>
      </w:r>
      <w:r w:rsidR="00E50471" w:rsidRPr="002041DF">
        <w:rPr>
          <w:sz w:val="22"/>
          <w:szCs w:val="22"/>
          <w:lang w:val="sr-Latn-ME"/>
        </w:rPr>
        <w:t>umjeren</w:t>
      </w:r>
      <w:r w:rsidRPr="002041DF">
        <w:rPr>
          <w:sz w:val="22"/>
          <w:szCs w:val="22"/>
          <w:lang w:val="sr-Latn-ME"/>
        </w:rPr>
        <w:t>om do teškom psorijazom tipa plaka kod kojih nije bilo adekvatnog odgovora na drugu sistemsku terapiju, koji</w:t>
      </w:r>
      <w:r w:rsidR="00E50471" w:rsidRPr="002041DF">
        <w:rPr>
          <w:sz w:val="22"/>
          <w:szCs w:val="22"/>
          <w:lang w:val="sr-Latn-ME"/>
        </w:rPr>
        <w:t xml:space="preserve"> nijesu </w:t>
      </w:r>
      <w:r w:rsidRPr="002041DF">
        <w:rPr>
          <w:sz w:val="22"/>
          <w:szCs w:val="22"/>
          <w:lang w:val="sr-Latn-ME"/>
        </w:rPr>
        <w:t>podnosili drugu sistemsku terapiju ili je</w:t>
      </w:r>
      <w:r w:rsidR="00A35D07" w:rsidRPr="002041DF">
        <w:rPr>
          <w:sz w:val="22"/>
          <w:szCs w:val="22"/>
          <w:lang w:val="sr-Latn-ME"/>
        </w:rPr>
        <w:t xml:space="preserve"> prim</w:t>
      </w:r>
      <w:r w:rsidR="00802A66" w:rsidRPr="002041DF">
        <w:rPr>
          <w:sz w:val="22"/>
          <w:szCs w:val="22"/>
          <w:lang w:val="sr-Latn-ME"/>
        </w:rPr>
        <w:t>j</w:t>
      </w:r>
      <w:r w:rsidR="00A35D07" w:rsidRPr="002041DF">
        <w:rPr>
          <w:sz w:val="22"/>
          <w:szCs w:val="22"/>
          <w:lang w:val="sr-Latn-ME"/>
        </w:rPr>
        <w:t xml:space="preserve">ena </w:t>
      </w:r>
      <w:r w:rsidRPr="002041DF">
        <w:rPr>
          <w:sz w:val="22"/>
          <w:szCs w:val="22"/>
          <w:lang w:val="sr-Latn-ME"/>
        </w:rPr>
        <w:t>druge sistemske terapije bila kontraindikovana</w:t>
      </w:r>
      <w:r w:rsidR="00106B50" w:rsidRPr="002041DF">
        <w:rPr>
          <w:sz w:val="22"/>
          <w:szCs w:val="22"/>
          <w:lang w:val="sr-Latn-ME"/>
        </w:rPr>
        <w:t>.</w:t>
      </w:r>
      <w:r w:rsidRPr="002041DF" w:rsidDel="002E281D">
        <w:rPr>
          <w:sz w:val="22"/>
          <w:szCs w:val="22"/>
          <w:lang w:val="sr-Latn-ME"/>
        </w:rPr>
        <w:t xml:space="preserve"> </w:t>
      </w:r>
      <w:r w:rsidRPr="002041DF">
        <w:rPr>
          <w:sz w:val="22"/>
          <w:szCs w:val="22"/>
          <w:lang w:val="sr-Latn-ME"/>
        </w:rPr>
        <w:t>Tokom aktivno-kontrolisanog d</w:t>
      </w:r>
      <w:r w:rsidR="00106B50" w:rsidRPr="002041DF">
        <w:rPr>
          <w:sz w:val="22"/>
          <w:szCs w:val="22"/>
          <w:lang w:val="sr-Latn-ME"/>
        </w:rPr>
        <w:t>ij</w:t>
      </w:r>
      <w:r w:rsidRPr="002041DF">
        <w:rPr>
          <w:sz w:val="22"/>
          <w:szCs w:val="22"/>
          <w:lang w:val="sr-Latn-ME"/>
        </w:rPr>
        <w:t xml:space="preserve">ela studije u trajanju od 12 </w:t>
      </w:r>
      <w:r w:rsidR="004372C4" w:rsidRPr="002041DF">
        <w:rPr>
          <w:sz w:val="22"/>
          <w:szCs w:val="22"/>
          <w:lang w:val="sr-Latn-ME"/>
        </w:rPr>
        <w:t>nedjelja</w:t>
      </w:r>
      <w:r w:rsidRPr="002041DF">
        <w:rPr>
          <w:sz w:val="22"/>
          <w:szCs w:val="22"/>
          <w:lang w:val="sr-Latn-ME"/>
        </w:rPr>
        <w:t xml:space="preserve">, pacijenti su </w:t>
      </w:r>
      <w:r w:rsidR="00106B50" w:rsidRPr="002041DF">
        <w:rPr>
          <w:sz w:val="22"/>
          <w:szCs w:val="22"/>
          <w:lang w:val="sr-Latn-ME"/>
        </w:rPr>
        <w:t xml:space="preserve">randomizovani </w:t>
      </w:r>
      <w:r w:rsidRPr="002041DF">
        <w:rPr>
          <w:sz w:val="22"/>
          <w:szCs w:val="22"/>
          <w:lang w:val="sr-Latn-ME"/>
        </w:rPr>
        <w:t>tako da je jedna grupa primala etanercept (50 mg dva puta ned</w:t>
      </w:r>
      <w:r w:rsidR="00802A66" w:rsidRPr="002041DF">
        <w:rPr>
          <w:sz w:val="22"/>
          <w:szCs w:val="22"/>
          <w:lang w:val="sr-Latn-ME"/>
        </w:rPr>
        <w:t>j</w:t>
      </w:r>
      <w:r w:rsidRPr="002041DF">
        <w:rPr>
          <w:sz w:val="22"/>
          <w:szCs w:val="22"/>
          <w:lang w:val="sr-Latn-ME"/>
        </w:rPr>
        <w:t>eljno), druga ustekinumab 45 mg u nultoj i 4</w:t>
      </w:r>
      <w:r w:rsidR="003A1BC7" w:rsidRPr="002041DF">
        <w:rPr>
          <w:sz w:val="22"/>
          <w:szCs w:val="22"/>
          <w:lang w:val="sr-Latn-ME"/>
        </w:rPr>
        <w:t>.</w:t>
      </w:r>
      <w:r w:rsidRPr="002041DF">
        <w:rPr>
          <w:sz w:val="22"/>
          <w:szCs w:val="22"/>
          <w:lang w:val="sr-Latn-ME"/>
        </w:rPr>
        <w:t xml:space="preserve"> </w:t>
      </w:r>
      <w:r w:rsidR="004372C4" w:rsidRPr="002041DF">
        <w:rPr>
          <w:sz w:val="22"/>
          <w:szCs w:val="22"/>
          <w:lang w:val="sr-Latn-ME"/>
        </w:rPr>
        <w:t>nedjelji</w:t>
      </w:r>
      <w:r w:rsidRPr="002041DF">
        <w:rPr>
          <w:sz w:val="22"/>
          <w:szCs w:val="22"/>
          <w:lang w:val="sr-Latn-ME"/>
        </w:rPr>
        <w:t>, a treća ustekinumab 90 mg nultoj i 4</w:t>
      </w:r>
      <w:r w:rsidR="003A1BC7" w:rsidRPr="002041DF">
        <w:rPr>
          <w:sz w:val="22"/>
          <w:szCs w:val="22"/>
          <w:lang w:val="sr-Latn-ME"/>
        </w:rPr>
        <w:t>.</w:t>
      </w:r>
      <w:r w:rsidRPr="002041DF">
        <w:rPr>
          <w:sz w:val="22"/>
          <w:szCs w:val="22"/>
          <w:lang w:val="sr-Latn-ME"/>
        </w:rPr>
        <w:t xml:space="preserve"> </w:t>
      </w:r>
      <w:r w:rsidR="004372C4" w:rsidRPr="002041DF">
        <w:rPr>
          <w:sz w:val="22"/>
          <w:szCs w:val="22"/>
          <w:lang w:val="sr-Latn-ME"/>
        </w:rPr>
        <w:t>nedjelji</w:t>
      </w:r>
      <w:r w:rsidRPr="002041DF">
        <w:rPr>
          <w:sz w:val="22"/>
          <w:szCs w:val="22"/>
          <w:lang w:val="sr-Latn-ME"/>
        </w:rPr>
        <w:t xml:space="preserve">. </w:t>
      </w:r>
    </w:p>
    <w:p w14:paraId="5B7997AE" w14:textId="77777777" w:rsidR="003A1BC7" w:rsidRPr="002041DF" w:rsidRDefault="003A1BC7" w:rsidP="002041DF">
      <w:pPr>
        <w:pStyle w:val="Header"/>
        <w:widowControl w:val="0"/>
        <w:tabs>
          <w:tab w:val="left" w:pos="284"/>
        </w:tabs>
        <w:jc w:val="both"/>
        <w:rPr>
          <w:sz w:val="22"/>
          <w:szCs w:val="22"/>
          <w:lang w:val="sr-Latn-ME"/>
        </w:rPr>
      </w:pPr>
    </w:p>
    <w:p w14:paraId="7050D0C3" w14:textId="651BE78E" w:rsidR="00C36D57" w:rsidRPr="002041DF" w:rsidRDefault="00C36D57" w:rsidP="002041DF">
      <w:pPr>
        <w:pStyle w:val="Header"/>
        <w:widowControl w:val="0"/>
        <w:tabs>
          <w:tab w:val="left" w:pos="284"/>
        </w:tabs>
        <w:jc w:val="both"/>
        <w:rPr>
          <w:sz w:val="22"/>
          <w:szCs w:val="22"/>
          <w:lang w:val="sr-Latn-ME"/>
        </w:rPr>
      </w:pPr>
      <w:r w:rsidRPr="002041DF">
        <w:rPr>
          <w:sz w:val="22"/>
          <w:szCs w:val="22"/>
          <w:lang w:val="sr-Latn-ME"/>
        </w:rPr>
        <w:t>U klini</w:t>
      </w:r>
      <w:r w:rsidR="003A1BC7" w:rsidRPr="002041DF">
        <w:rPr>
          <w:sz w:val="22"/>
          <w:szCs w:val="22"/>
          <w:lang w:val="sr-Latn-ME"/>
        </w:rPr>
        <w:t>č</w:t>
      </w:r>
      <w:r w:rsidRPr="002041DF">
        <w:rPr>
          <w:sz w:val="22"/>
          <w:szCs w:val="22"/>
          <w:lang w:val="sr-Latn-ME"/>
        </w:rPr>
        <w:t>kim ispitivanjima psorijaze 1 i 2, na početku ispitivanja karakteristike bolesti su bile konzistentne u svim grupama pacijenata sa srednjom vr</w:t>
      </w:r>
      <w:r w:rsidR="00802A66" w:rsidRPr="002041DF">
        <w:rPr>
          <w:sz w:val="22"/>
          <w:szCs w:val="22"/>
          <w:lang w:val="sr-Latn-ME"/>
        </w:rPr>
        <w:t>ij</w:t>
      </w:r>
      <w:r w:rsidRPr="002041DF">
        <w:rPr>
          <w:sz w:val="22"/>
          <w:szCs w:val="22"/>
          <w:lang w:val="sr-Latn-ME"/>
        </w:rPr>
        <w:t>ednošću PASI skora od 17 do 18, srednjom vr</w:t>
      </w:r>
      <w:r w:rsidR="00802A66" w:rsidRPr="002041DF">
        <w:rPr>
          <w:sz w:val="22"/>
          <w:szCs w:val="22"/>
          <w:lang w:val="sr-Latn-ME"/>
        </w:rPr>
        <w:t>ij</w:t>
      </w:r>
      <w:r w:rsidRPr="002041DF">
        <w:rPr>
          <w:sz w:val="22"/>
          <w:szCs w:val="22"/>
          <w:lang w:val="sr-Latn-ME"/>
        </w:rPr>
        <w:t>ednošću površine t</w:t>
      </w:r>
      <w:r w:rsidR="00802A66" w:rsidRPr="002041DF">
        <w:rPr>
          <w:sz w:val="22"/>
          <w:szCs w:val="22"/>
          <w:lang w:val="sr-Latn-ME"/>
        </w:rPr>
        <w:t>ij</w:t>
      </w:r>
      <w:r w:rsidRPr="002041DF">
        <w:rPr>
          <w:sz w:val="22"/>
          <w:szCs w:val="22"/>
          <w:lang w:val="sr-Latn-ME"/>
        </w:rPr>
        <w:t xml:space="preserve">ela (engl. </w:t>
      </w:r>
      <w:r w:rsidRPr="002041DF">
        <w:rPr>
          <w:i/>
          <w:sz w:val="22"/>
          <w:szCs w:val="22"/>
          <w:lang w:val="sr-Latn-ME"/>
        </w:rPr>
        <w:t>Body Surface Area</w:t>
      </w:r>
      <w:r w:rsidRPr="002041DF">
        <w:rPr>
          <w:sz w:val="22"/>
          <w:szCs w:val="22"/>
          <w:lang w:val="sr-Latn-ME"/>
        </w:rPr>
        <w:t>, BSA) ≥ 20 i srednjom vr</w:t>
      </w:r>
      <w:r w:rsidR="00802A66" w:rsidRPr="002041DF">
        <w:rPr>
          <w:sz w:val="22"/>
          <w:szCs w:val="22"/>
          <w:lang w:val="sr-Latn-ME"/>
        </w:rPr>
        <w:t>ij</w:t>
      </w:r>
      <w:r w:rsidRPr="002041DF">
        <w:rPr>
          <w:sz w:val="22"/>
          <w:szCs w:val="22"/>
          <w:lang w:val="sr-Latn-ME"/>
        </w:rPr>
        <w:t xml:space="preserve">ednošću indeksa dermatološkog kvaliteta života (engl. </w:t>
      </w:r>
      <w:r w:rsidRPr="002041DF">
        <w:rPr>
          <w:i/>
          <w:sz w:val="22"/>
          <w:szCs w:val="22"/>
          <w:lang w:val="sr-Latn-ME"/>
        </w:rPr>
        <w:t>Dermatology Life Quality Index</w:t>
      </w:r>
      <w:r w:rsidRPr="002041DF">
        <w:rPr>
          <w:sz w:val="22"/>
          <w:szCs w:val="22"/>
          <w:lang w:val="sr-Latn-ME"/>
        </w:rPr>
        <w:t xml:space="preserve">, DLQI) u opsegu od 10 do 12. Približno 1/3 pacijenata iz studije (PHOENIX 1) i 1/4 pacijenata iz studije (PHOENIX 2) imala je psorijatični artritis (PsA). </w:t>
      </w:r>
      <w:r w:rsidR="00CE7BF9" w:rsidRPr="002041DF">
        <w:rPr>
          <w:sz w:val="22"/>
          <w:szCs w:val="22"/>
          <w:lang w:val="sr-Latn-ME"/>
        </w:rPr>
        <w:t xml:space="preserve">Slične karakteristike bolesti javile su se i u </w:t>
      </w:r>
      <w:r w:rsidRPr="002041DF">
        <w:rPr>
          <w:sz w:val="22"/>
          <w:szCs w:val="22"/>
          <w:lang w:val="sr-Latn-ME"/>
        </w:rPr>
        <w:t>kliničkom ispitivanju psorijaze 3.</w:t>
      </w:r>
    </w:p>
    <w:p w14:paraId="6765C3A5" w14:textId="77777777" w:rsidR="00C36D57" w:rsidRPr="002041DF" w:rsidRDefault="00C36D57" w:rsidP="002041DF">
      <w:pPr>
        <w:pStyle w:val="Header"/>
        <w:widowControl w:val="0"/>
        <w:tabs>
          <w:tab w:val="left" w:pos="284"/>
        </w:tabs>
        <w:jc w:val="both"/>
        <w:rPr>
          <w:sz w:val="22"/>
          <w:szCs w:val="22"/>
          <w:lang w:val="sr-Latn-ME"/>
        </w:rPr>
      </w:pPr>
    </w:p>
    <w:p w14:paraId="460F860E" w14:textId="03C989EE" w:rsidR="00C36D57" w:rsidRPr="002041DF" w:rsidRDefault="00C36D57" w:rsidP="002041DF">
      <w:pPr>
        <w:pStyle w:val="Header"/>
        <w:widowControl w:val="0"/>
        <w:tabs>
          <w:tab w:val="left" w:pos="284"/>
        </w:tabs>
        <w:jc w:val="both"/>
        <w:rPr>
          <w:sz w:val="22"/>
          <w:szCs w:val="22"/>
          <w:lang w:val="sr-Latn-ME"/>
        </w:rPr>
      </w:pPr>
      <w:r w:rsidRPr="002041DF">
        <w:rPr>
          <w:sz w:val="22"/>
          <w:szCs w:val="22"/>
          <w:lang w:val="sr-Latn-ME"/>
        </w:rPr>
        <w:t>Primarni parametar praćenja efikasnosti</w:t>
      </w:r>
      <w:r w:rsidRPr="002041DF" w:rsidDel="00062625">
        <w:rPr>
          <w:sz w:val="22"/>
          <w:szCs w:val="22"/>
          <w:lang w:val="sr-Latn-ME"/>
        </w:rPr>
        <w:t xml:space="preserve"> </w:t>
      </w:r>
      <w:r w:rsidRPr="002041DF">
        <w:rPr>
          <w:sz w:val="22"/>
          <w:szCs w:val="22"/>
          <w:lang w:val="sr-Latn-ME"/>
        </w:rPr>
        <w:t xml:space="preserve">ovih kliničkih ispitivanja je bio procenat pacijenata koji su postigli PASI 75 odgovor od početka ispitivanja do 12. </w:t>
      </w:r>
      <w:r w:rsidR="004372C4" w:rsidRPr="002041DF">
        <w:rPr>
          <w:sz w:val="22"/>
          <w:szCs w:val="22"/>
          <w:lang w:val="sr-Latn-ME"/>
        </w:rPr>
        <w:t>nedjelje</w:t>
      </w:r>
      <w:r w:rsidRPr="002041DF">
        <w:rPr>
          <w:sz w:val="22"/>
          <w:szCs w:val="22"/>
          <w:lang w:val="sr-Latn-ME"/>
        </w:rPr>
        <w:t xml:space="preserve"> (</w:t>
      </w:r>
      <w:r w:rsidR="006779EA" w:rsidRPr="002041DF">
        <w:rPr>
          <w:sz w:val="22"/>
          <w:szCs w:val="22"/>
          <w:lang w:val="sr-Latn-ME"/>
        </w:rPr>
        <w:t>vidjeti</w:t>
      </w:r>
      <w:r w:rsidRPr="002041DF">
        <w:rPr>
          <w:sz w:val="22"/>
          <w:szCs w:val="22"/>
          <w:lang w:val="sr-Latn-ME"/>
        </w:rPr>
        <w:t xml:space="preserve"> tabele 4 i 5).</w:t>
      </w:r>
    </w:p>
    <w:p w14:paraId="5C969D41" w14:textId="77777777" w:rsidR="00C36D57" w:rsidRPr="002041DF" w:rsidRDefault="00C36D57" w:rsidP="002041DF">
      <w:pPr>
        <w:pStyle w:val="Header"/>
        <w:widowControl w:val="0"/>
        <w:tabs>
          <w:tab w:val="left" w:pos="284"/>
        </w:tabs>
        <w:jc w:val="both"/>
        <w:rPr>
          <w:sz w:val="22"/>
          <w:szCs w:val="22"/>
          <w:lang w:val="sr-Latn-ME"/>
        </w:rPr>
      </w:pPr>
    </w:p>
    <w:p w14:paraId="191B9C1C" w14:textId="01EAB0F4" w:rsidR="00C36D57" w:rsidRPr="002041DF" w:rsidRDefault="00C36D57" w:rsidP="002041DF">
      <w:pPr>
        <w:pStyle w:val="Header"/>
        <w:widowControl w:val="0"/>
        <w:jc w:val="both"/>
        <w:rPr>
          <w:i/>
          <w:sz w:val="22"/>
          <w:szCs w:val="22"/>
          <w:lang w:val="sr-Latn-ME"/>
        </w:rPr>
      </w:pPr>
      <w:r w:rsidRPr="002041DF">
        <w:rPr>
          <w:i/>
          <w:sz w:val="22"/>
          <w:szCs w:val="22"/>
          <w:lang w:val="sr-Latn-ME"/>
        </w:rPr>
        <w:t>Tabela 4: Pregled kliničkog odgovora u kliničkom ispitivanju Psorijaza</w:t>
      </w:r>
      <w:r w:rsidRPr="002041DF">
        <w:rPr>
          <w:sz w:val="22"/>
          <w:szCs w:val="22"/>
          <w:lang w:val="sr-Latn-ME"/>
        </w:rPr>
        <w:t xml:space="preserve"> </w:t>
      </w:r>
      <w:r w:rsidRPr="002041DF">
        <w:rPr>
          <w:i/>
          <w:sz w:val="22"/>
          <w:szCs w:val="22"/>
          <w:lang w:val="sr-Latn-ME"/>
        </w:rPr>
        <w:t>1 (PHOENIX 1) i kliničkom ispitivanju Psorijaza 2 (PHOENIX 2)</w:t>
      </w: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256"/>
        <w:gridCol w:w="1275"/>
        <w:gridCol w:w="1276"/>
        <w:gridCol w:w="1276"/>
        <w:gridCol w:w="1276"/>
        <w:gridCol w:w="1335"/>
      </w:tblGrid>
      <w:tr w:rsidR="00C36D57" w:rsidRPr="002041DF" w14:paraId="3735A1E6" w14:textId="77777777" w:rsidTr="007C6E24">
        <w:tc>
          <w:tcPr>
            <w:tcW w:w="3256" w:type="dxa"/>
            <w:tcBorders>
              <w:top w:val="single" w:sz="4" w:space="0" w:color="auto"/>
              <w:left w:val="single" w:sz="4" w:space="0" w:color="auto"/>
              <w:bottom w:val="single" w:sz="4" w:space="0" w:color="auto"/>
              <w:right w:val="single" w:sz="4" w:space="0" w:color="auto"/>
            </w:tcBorders>
          </w:tcPr>
          <w:p w14:paraId="00BE2B58" w14:textId="77777777" w:rsidR="00C36D57" w:rsidRPr="002041DF" w:rsidRDefault="00C36D57" w:rsidP="002041DF">
            <w:pPr>
              <w:pStyle w:val="Header"/>
              <w:widowControl w:val="0"/>
              <w:ind w:right="474"/>
              <w:rPr>
                <w:sz w:val="22"/>
                <w:szCs w:val="22"/>
                <w:lang w:val="sr-Latn-ME"/>
              </w:rPr>
            </w:pPr>
          </w:p>
        </w:tc>
        <w:tc>
          <w:tcPr>
            <w:tcW w:w="3827" w:type="dxa"/>
            <w:gridSpan w:val="3"/>
            <w:tcBorders>
              <w:top w:val="single" w:sz="4" w:space="0" w:color="auto"/>
              <w:left w:val="single" w:sz="4" w:space="0" w:color="auto"/>
              <w:bottom w:val="single" w:sz="4" w:space="0" w:color="auto"/>
              <w:right w:val="single" w:sz="4" w:space="0" w:color="auto"/>
            </w:tcBorders>
          </w:tcPr>
          <w:p w14:paraId="1A917F9A" w14:textId="65BD2EB3" w:rsidR="00C36D57" w:rsidRPr="002041DF" w:rsidRDefault="00C36D57" w:rsidP="002041DF">
            <w:pPr>
              <w:pStyle w:val="Header"/>
              <w:widowControl w:val="0"/>
              <w:ind w:right="474"/>
              <w:rPr>
                <w:sz w:val="22"/>
                <w:szCs w:val="22"/>
                <w:lang w:val="sr-Latn-ME"/>
              </w:rPr>
            </w:pPr>
            <w:r w:rsidRPr="002041DF">
              <w:rPr>
                <w:sz w:val="22"/>
                <w:szCs w:val="22"/>
                <w:lang w:val="sr-Latn-ME"/>
              </w:rPr>
              <w:t xml:space="preserve">12. </w:t>
            </w:r>
            <w:r w:rsidR="004372C4" w:rsidRPr="002041DF">
              <w:rPr>
                <w:sz w:val="22"/>
                <w:szCs w:val="22"/>
                <w:lang w:val="sr-Latn-ME"/>
              </w:rPr>
              <w:t>nedjelja</w:t>
            </w:r>
            <w:r w:rsidRPr="002041DF">
              <w:rPr>
                <w:sz w:val="22"/>
                <w:szCs w:val="22"/>
                <w:lang w:val="sr-Latn-ME"/>
              </w:rPr>
              <w:t xml:space="preserve"> </w:t>
            </w:r>
          </w:p>
          <w:p w14:paraId="5AD8E600" w14:textId="3C5F1C25" w:rsidR="00C36D57" w:rsidRPr="002041DF" w:rsidRDefault="00C36D57" w:rsidP="002041DF">
            <w:pPr>
              <w:pStyle w:val="Header"/>
              <w:widowControl w:val="0"/>
              <w:ind w:right="474"/>
              <w:rPr>
                <w:sz w:val="22"/>
                <w:szCs w:val="22"/>
                <w:lang w:val="sr-Latn-ME"/>
              </w:rPr>
            </w:pPr>
            <w:r w:rsidRPr="002041DF">
              <w:rPr>
                <w:sz w:val="22"/>
                <w:szCs w:val="22"/>
                <w:lang w:val="sr-Latn-ME"/>
              </w:rPr>
              <w:t>2 doze (</w:t>
            </w:r>
            <w:r w:rsidR="004372C4" w:rsidRPr="002041DF">
              <w:rPr>
                <w:sz w:val="22"/>
                <w:szCs w:val="22"/>
                <w:lang w:val="sr-Latn-ME"/>
              </w:rPr>
              <w:t>nedjelja</w:t>
            </w:r>
            <w:r w:rsidRPr="002041DF">
              <w:rPr>
                <w:sz w:val="22"/>
                <w:szCs w:val="22"/>
                <w:lang w:val="sr-Latn-ME"/>
              </w:rPr>
              <w:t xml:space="preserve"> 0 i </w:t>
            </w:r>
            <w:r w:rsidR="004372C4" w:rsidRPr="002041DF">
              <w:rPr>
                <w:sz w:val="22"/>
                <w:szCs w:val="22"/>
                <w:lang w:val="sr-Latn-ME"/>
              </w:rPr>
              <w:t>nedjelja</w:t>
            </w:r>
            <w:r w:rsidRPr="002041DF">
              <w:rPr>
                <w:sz w:val="22"/>
                <w:szCs w:val="22"/>
                <w:lang w:val="sr-Latn-ME"/>
              </w:rPr>
              <w:t xml:space="preserve"> 4)</w:t>
            </w:r>
          </w:p>
        </w:tc>
        <w:tc>
          <w:tcPr>
            <w:tcW w:w="2611" w:type="dxa"/>
            <w:gridSpan w:val="2"/>
            <w:tcBorders>
              <w:top w:val="single" w:sz="4" w:space="0" w:color="auto"/>
              <w:left w:val="single" w:sz="4" w:space="0" w:color="auto"/>
              <w:bottom w:val="single" w:sz="4" w:space="0" w:color="auto"/>
              <w:right w:val="single" w:sz="4" w:space="0" w:color="auto"/>
            </w:tcBorders>
          </w:tcPr>
          <w:p w14:paraId="4DFC760A" w14:textId="27C79A20" w:rsidR="00C36D57" w:rsidRPr="002041DF" w:rsidRDefault="00C36D57" w:rsidP="002041DF">
            <w:pPr>
              <w:pStyle w:val="Header"/>
              <w:widowControl w:val="0"/>
              <w:ind w:right="474"/>
              <w:rPr>
                <w:sz w:val="22"/>
                <w:szCs w:val="22"/>
                <w:lang w:val="sr-Latn-ME"/>
              </w:rPr>
            </w:pPr>
            <w:r w:rsidRPr="002041DF">
              <w:rPr>
                <w:sz w:val="22"/>
                <w:szCs w:val="22"/>
                <w:lang w:val="sr-Latn-ME"/>
              </w:rPr>
              <w:t xml:space="preserve">28. </w:t>
            </w:r>
            <w:r w:rsidR="004372C4" w:rsidRPr="002041DF">
              <w:rPr>
                <w:sz w:val="22"/>
                <w:szCs w:val="22"/>
                <w:lang w:val="sr-Latn-ME"/>
              </w:rPr>
              <w:t>nedjelja</w:t>
            </w:r>
            <w:r w:rsidRPr="002041DF">
              <w:rPr>
                <w:sz w:val="22"/>
                <w:szCs w:val="22"/>
                <w:lang w:val="sr-Latn-ME"/>
              </w:rPr>
              <w:t xml:space="preserve"> </w:t>
            </w:r>
          </w:p>
          <w:p w14:paraId="69492C4E" w14:textId="6910D4CF" w:rsidR="00C36D57" w:rsidRPr="002041DF" w:rsidRDefault="00C36D57" w:rsidP="007A6AEB">
            <w:pPr>
              <w:pStyle w:val="Header"/>
              <w:widowControl w:val="0"/>
              <w:ind w:right="88"/>
              <w:rPr>
                <w:sz w:val="22"/>
                <w:szCs w:val="22"/>
                <w:lang w:val="sr-Latn-ME"/>
              </w:rPr>
            </w:pPr>
            <w:r w:rsidRPr="002041DF">
              <w:rPr>
                <w:sz w:val="22"/>
                <w:szCs w:val="22"/>
                <w:lang w:val="sr-Latn-ME"/>
              </w:rPr>
              <w:t>3 doze (</w:t>
            </w:r>
            <w:r w:rsidR="004372C4" w:rsidRPr="002041DF">
              <w:rPr>
                <w:sz w:val="22"/>
                <w:szCs w:val="22"/>
                <w:lang w:val="sr-Latn-ME"/>
              </w:rPr>
              <w:t>nedjelja</w:t>
            </w:r>
            <w:r w:rsidRPr="002041DF">
              <w:rPr>
                <w:sz w:val="22"/>
                <w:szCs w:val="22"/>
                <w:lang w:val="sr-Latn-ME"/>
              </w:rPr>
              <w:t xml:space="preserve"> 0, </w:t>
            </w:r>
            <w:r w:rsidR="004372C4" w:rsidRPr="002041DF">
              <w:rPr>
                <w:sz w:val="22"/>
                <w:szCs w:val="22"/>
                <w:lang w:val="sr-Latn-ME"/>
              </w:rPr>
              <w:t>nedjelja</w:t>
            </w:r>
            <w:r w:rsidRPr="002041DF">
              <w:rPr>
                <w:sz w:val="22"/>
                <w:szCs w:val="22"/>
                <w:lang w:val="sr-Latn-ME"/>
              </w:rPr>
              <w:t xml:space="preserve"> 4 i </w:t>
            </w:r>
            <w:r w:rsidR="004372C4" w:rsidRPr="002041DF">
              <w:rPr>
                <w:sz w:val="22"/>
                <w:szCs w:val="22"/>
                <w:lang w:val="sr-Latn-ME"/>
              </w:rPr>
              <w:t>nedjelja</w:t>
            </w:r>
            <w:r w:rsidRPr="002041DF">
              <w:rPr>
                <w:sz w:val="22"/>
                <w:szCs w:val="22"/>
                <w:lang w:val="sr-Latn-ME"/>
              </w:rPr>
              <w:t xml:space="preserve"> 16)</w:t>
            </w:r>
          </w:p>
        </w:tc>
      </w:tr>
      <w:tr w:rsidR="00C36D57" w:rsidRPr="002041DF" w14:paraId="2DE3FFA6" w14:textId="77777777" w:rsidTr="007C6E24">
        <w:tc>
          <w:tcPr>
            <w:tcW w:w="3256" w:type="dxa"/>
            <w:tcBorders>
              <w:top w:val="single" w:sz="4" w:space="0" w:color="auto"/>
              <w:left w:val="single" w:sz="4" w:space="0" w:color="auto"/>
              <w:bottom w:val="single" w:sz="4" w:space="0" w:color="auto"/>
              <w:right w:val="single" w:sz="4" w:space="0" w:color="auto"/>
            </w:tcBorders>
          </w:tcPr>
          <w:p w14:paraId="1F90CE2C" w14:textId="77777777" w:rsidR="00C36D57" w:rsidRPr="002041DF" w:rsidRDefault="00C36D57" w:rsidP="002041DF">
            <w:pPr>
              <w:pStyle w:val="Header"/>
              <w:widowControl w:val="0"/>
              <w:ind w:right="474"/>
              <w:rPr>
                <w:sz w:val="22"/>
                <w:szCs w:val="22"/>
                <w:lang w:val="sr-Latn-ME"/>
              </w:rPr>
            </w:pPr>
          </w:p>
        </w:tc>
        <w:tc>
          <w:tcPr>
            <w:tcW w:w="1275" w:type="dxa"/>
            <w:tcBorders>
              <w:top w:val="single" w:sz="4" w:space="0" w:color="auto"/>
              <w:left w:val="single" w:sz="4" w:space="0" w:color="auto"/>
              <w:bottom w:val="single" w:sz="4" w:space="0" w:color="auto"/>
              <w:right w:val="single" w:sz="4" w:space="0" w:color="auto"/>
            </w:tcBorders>
          </w:tcPr>
          <w:p w14:paraId="11422AC1" w14:textId="77777777" w:rsidR="00C36D57" w:rsidRPr="002041DF" w:rsidRDefault="00C36D57" w:rsidP="002041DF">
            <w:pPr>
              <w:pStyle w:val="Header"/>
              <w:widowControl w:val="0"/>
              <w:rPr>
                <w:sz w:val="22"/>
                <w:szCs w:val="22"/>
                <w:lang w:val="sr-Latn-ME"/>
              </w:rPr>
            </w:pPr>
            <w:r w:rsidRPr="002041DF">
              <w:rPr>
                <w:sz w:val="22"/>
                <w:szCs w:val="22"/>
                <w:lang w:val="sr-Latn-ME"/>
              </w:rPr>
              <w:t>PBO</w:t>
            </w:r>
          </w:p>
        </w:tc>
        <w:tc>
          <w:tcPr>
            <w:tcW w:w="1276" w:type="dxa"/>
            <w:tcBorders>
              <w:top w:val="single" w:sz="4" w:space="0" w:color="auto"/>
              <w:left w:val="single" w:sz="4" w:space="0" w:color="auto"/>
              <w:bottom w:val="single" w:sz="4" w:space="0" w:color="auto"/>
              <w:right w:val="single" w:sz="4" w:space="0" w:color="auto"/>
            </w:tcBorders>
          </w:tcPr>
          <w:p w14:paraId="326EED81" w14:textId="77777777" w:rsidR="00C36D57" w:rsidRPr="002041DF" w:rsidRDefault="00C36D57" w:rsidP="002041DF">
            <w:pPr>
              <w:pStyle w:val="Header"/>
              <w:widowControl w:val="0"/>
              <w:rPr>
                <w:sz w:val="22"/>
                <w:szCs w:val="22"/>
                <w:lang w:val="sr-Latn-ME"/>
              </w:rPr>
            </w:pPr>
            <w:r w:rsidRPr="002041DF">
              <w:rPr>
                <w:sz w:val="22"/>
                <w:szCs w:val="22"/>
                <w:lang w:val="sr-Latn-ME"/>
              </w:rPr>
              <w:t>45 mg</w:t>
            </w:r>
          </w:p>
        </w:tc>
        <w:tc>
          <w:tcPr>
            <w:tcW w:w="1276" w:type="dxa"/>
            <w:tcBorders>
              <w:top w:val="single" w:sz="4" w:space="0" w:color="auto"/>
              <w:left w:val="single" w:sz="4" w:space="0" w:color="auto"/>
              <w:bottom w:val="single" w:sz="4" w:space="0" w:color="auto"/>
              <w:right w:val="single" w:sz="4" w:space="0" w:color="auto"/>
            </w:tcBorders>
          </w:tcPr>
          <w:p w14:paraId="649A3AF6" w14:textId="77777777" w:rsidR="00C36D57" w:rsidRPr="002041DF" w:rsidRDefault="00C36D57" w:rsidP="002041DF">
            <w:pPr>
              <w:pStyle w:val="Header"/>
              <w:widowControl w:val="0"/>
              <w:rPr>
                <w:sz w:val="22"/>
                <w:szCs w:val="22"/>
                <w:lang w:val="sr-Latn-ME"/>
              </w:rPr>
            </w:pPr>
            <w:r w:rsidRPr="002041DF">
              <w:rPr>
                <w:sz w:val="22"/>
                <w:szCs w:val="22"/>
                <w:lang w:val="sr-Latn-ME"/>
              </w:rPr>
              <w:t>90 mg</w:t>
            </w:r>
          </w:p>
        </w:tc>
        <w:tc>
          <w:tcPr>
            <w:tcW w:w="1276" w:type="dxa"/>
            <w:tcBorders>
              <w:top w:val="single" w:sz="4" w:space="0" w:color="auto"/>
              <w:left w:val="single" w:sz="4" w:space="0" w:color="auto"/>
              <w:bottom w:val="single" w:sz="4" w:space="0" w:color="auto"/>
              <w:right w:val="single" w:sz="4" w:space="0" w:color="auto"/>
            </w:tcBorders>
          </w:tcPr>
          <w:p w14:paraId="0BD4EC0D" w14:textId="77777777" w:rsidR="00C36D57" w:rsidRPr="002041DF" w:rsidRDefault="00C36D57" w:rsidP="002041DF">
            <w:pPr>
              <w:pStyle w:val="Header"/>
              <w:widowControl w:val="0"/>
              <w:rPr>
                <w:sz w:val="22"/>
                <w:szCs w:val="22"/>
                <w:lang w:val="sr-Latn-ME"/>
              </w:rPr>
            </w:pPr>
            <w:r w:rsidRPr="002041DF">
              <w:rPr>
                <w:sz w:val="22"/>
                <w:szCs w:val="22"/>
                <w:lang w:val="sr-Latn-ME"/>
              </w:rPr>
              <w:t>45 mg</w:t>
            </w:r>
          </w:p>
        </w:tc>
        <w:tc>
          <w:tcPr>
            <w:tcW w:w="1335" w:type="dxa"/>
            <w:tcBorders>
              <w:top w:val="single" w:sz="4" w:space="0" w:color="auto"/>
              <w:left w:val="single" w:sz="4" w:space="0" w:color="auto"/>
              <w:bottom w:val="single" w:sz="4" w:space="0" w:color="auto"/>
              <w:right w:val="single" w:sz="4" w:space="0" w:color="auto"/>
            </w:tcBorders>
          </w:tcPr>
          <w:p w14:paraId="02706BCB" w14:textId="77777777" w:rsidR="00C36D57" w:rsidRPr="002041DF" w:rsidRDefault="00C36D57" w:rsidP="002041DF">
            <w:pPr>
              <w:pStyle w:val="Header"/>
              <w:widowControl w:val="0"/>
              <w:rPr>
                <w:sz w:val="22"/>
                <w:szCs w:val="22"/>
                <w:lang w:val="sr-Latn-ME"/>
              </w:rPr>
            </w:pPr>
            <w:r w:rsidRPr="002041DF">
              <w:rPr>
                <w:sz w:val="22"/>
                <w:szCs w:val="22"/>
                <w:lang w:val="sr-Latn-ME"/>
              </w:rPr>
              <w:t>90 mg</w:t>
            </w:r>
          </w:p>
        </w:tc>
      </w:tr>
      <w:tr w:rsidR="00C36D57" w:rsidRPr="002041DF" w14:paraId="1B63B0E7" w14:textId="77777777" w:rsidTr="007C6E24">
        <w:tc>
          <w:tcPr>
            <w:tcW w:w="3256" w:type="dxa"/>
            <w:tcBorders>
              <w:top w:val="single" w:sz="4" w:space="0" w:color="auto"/>
              <w:left w:val="single" w:sz="4" w:space="0" w:color="auto"/>
              <w:bottom w:val="single" w:sz="4" w:space="0" w:color="auto"/>
              <w:right w:val="single" w:sz="4" w:space="0" w:color="auto"/>
            </w:tcBorders>
          </w:tcPr>
          <w:p w14:paraId="1ED33FED" w14:textId="77777777" w:rsidR="00C36D57" w:rsidRPr="002041DF" w:rsidRDefault="00C36D57" w:rsidP="007A6AEB">
            <w:pPr>
              <w:pStyle w:val="Header"/>
              <w:widowControl w:val="0"/>
              <w:ind w:right="31"/>
              <w:rPr>
                <w:b/>
                <w:sz w:val="22"/>
                <w:szCs w:val="22"/>
                <w:lang w:val="sr-Latn-ME"/>
              </w:rPr>
            </w:pPr>
            <w:r w:rsidRPr="002041DF">
              <w:rPr>
                <w:b/>
                <w:sz w:val="22"/>
                <w:szCs w:val="22"/>
                <w:lang w:val="sr-Latn-ME"/>
              </w:rPr>
              <w:t>Kliničko ispitivanje  Psorijaza 1</w:t>
            </w:r>
          </w:p>
        </w:tc>
        <w:tc>
          <w:tcPr>
            <w:tcW w:w="1275" w:type="dxa"/>
            <w:tcBorders>
              <w:top w:val="single" w:sz="4" w:space="0" w:color="auto"/>
              <w:left w:val="single" w:sz="4" w:space="0" w:color="auto"/>
              <w:bottom w:val="single" w:sz="4" w:space="0" w:color="auto"/>
              <w:right w:val="single" w:sz="4" w:space="0" w:color="auto"/>
            </w:tcBorders>
          </w:tcPr>
          <w:p w14:paraId="29482F8E" w14:textId="77777777" w:rsidR="00C36D57" w:rsidRPr="002041DF" w:rsidRDefault="00C36D57" w:rsidP="002041DF">
            <w:pPr>
              <w:pStyle w:val="Header"/>
              <w:widowControl w:val="0"/>
              <w:rPr>
                <w:sz w:val="22"/>
                <w:szCs w:val="22"/>
                <w:lang w:val="sr-Latn-ME"/>
              </w:rPr>
            </w:pPr>
          </w:p>
        </w:tc>
        <w:tc>
          <w:tcPr>
            <w:tcW w:w="1276" w:type="dxa"/>
            <w:tcBorders>
              <w:top w:val="single" w:sz="4" w:space="0" w:color="auto"/>
              <w:left w:val="single" w:sz="4" w:space="0" w:color="auto"/>
              <w:bottom w:val="single" w:sz="4" w:space="0" w:color="auto"/>
              <w:right w:val="single" w:sz="4" w:space="0" w:color="auto"/>
            </w:tcBorders>
          </w:tcPr>
          <w:p w14:paraId="515526DD" w14:textId="77777777" w:rsidR="00C36D57" w:rsidRPr="002041DF" w:rsidRDefault="00C36D57" w:rsidP="002041DF">
            <w:pPr>
              <w:pStyle w:val="Header"/>
              <w:widowControl w:val="0"/>
              <w:rPr>
                <w:sz w:val="22"/>
                <w:szCs w:val="22"/>
                <w:lang w:val="sr-Latn-ME"/>
              </w:rPr>
            </w:pPr>
          </w:p>
        </w:tc>
        <w:tc>
          <w:tcPr>
            <w:tcW w:w="1276" w:type="dxa"/>
            <w:tcBorders>
              <w:top w:val="single" w:sz="4" w:space="0" w:color="auto"/>
              <w:left w:val="single" w:sz="4" w:space="0" w:color="auto"/>
              <w:bottom w:val="single" w:sz="4" w:space="0" w:color="auto"/>
              <w:right w:val="single" w:sz="4" w:space="0" w:color="auto"/>
            </w:tcBorders>
          </w:tcPr>
          <w:p w14:paraId="4AC0C2AD" w14:textId="77777777" w:rsidR="00C36D57" w:rsidRPr="002041DF" w:rsidRDefault="00C36D57" w:rsidP="002041DF">
            <w:pPr>
              <w:pStyle w:val="Header"/>
              <w:widowControl w:val="0"/>
              <w:rPr>
                <w:sz w:val="22"/>
                <w:szCs w:val="22"/>
                <w:lang w:val="sr-Latn-ME"/>
              </w:rPr>
            </w:pPr>
          </w:p>
        </w:tc>
        <w:tc>
          <w:tcPr>
            <w:tcW w:w="1276" w:type="dxa"/>
            <w:tcBorders>
              <w:top w:val="single" w:sz="4" w:space="0" w:color="auto"/>
              <w:left w:val="single" w:sz="4" w:space="0" w:color="auto"/>
              <w:bottom w:val="single" w:sz="4" w:space="0" w:color="auto"/>
              <w:right w:val="single" w:sz="4" w:space="0" w:color="auto"/>
            </w:tcBorders>
          </w:tcPr>
          <w:p w14:paraId="5FF9513F" w14:textId="77777777" w:rsidR="00C36D57" w:rsidRPr="002041DF" w:rsidRDefault="00C36D57" w:rsidP="002041DF">
            <w:pPr>
              <w:pStyle w:val="Header"/>
              <w:widowControl w:val="0"/>
              <w:rPr>
                <w:sz w:val="22"/>
                <w:szCs w:val="22"/>
                <w:lang w:val="sr-Latn-ME"/>
              </w:rPr>
            </w:pPr>
          </w:p>
        </w:tc>
        <w:tc>
          <w:tcPr>
            <w:tcW w:w="1335" w:type="dxa"/>
            <w:tcBorders>
              <w:top w:val="single" w:sz="4" w:space="0" w:color="auto"/>
              <w:left w:val="single" w:sz="4" w:space="0" w:color="auto"/>
              <w:bottom w:val="single" w:sz="4" w:space="0" w:color="auto"/>
              <w:right w:val="single" w:sz="4" w:space="0" w:color="auto"/>
            </w:tcBorders>
          </w:tcPr>
          <w:p w14:paraId="7AAEB506" w14:textId="77777777" w:rsidR="00C36D57" w:rsidRPr="002041DF" w:rsidRDefault="00C36D57" w:rsidP="002041DF">
            <w:pPr>
              <w:pStyle w:val="Header"/>
              <w:widowControl w:val="0"/>
              <w:rPr>
                <w:sz w:val="22"/>
                <w:szCs w:val="22"/>
                <w:lang w:val="sr-Latn-ME"/>
              </w:rPr>
            </w:pPr>
          </w:p>
        </w:tc>
      </w:tr>
      <w:tr w:rsidR="00C36D57" w:rsidRPr="002041DF" w14:paraId="6FB46FFC" w14:textId="77777777" w:rsidTr="007C6E24">
        <w:tc>
          <w:tcPr>
            <w:tcW w:w="3256" w:type="dxa"/>
            <w:tcBorders>
              <w:top w:val="single" w:sz="4" w:space="0" w:color="auto"/>
              <w:left w:val="single" w:sz="4" w:space="0" w:color="auto"/>
              <w:bottom w:val="single" w:sz="4" w:space="0" w:color="auto"/>
              <w:right w:val="single" w:sz="4" w:space="0" w:color="auto"/>
            </w:tcBorders>
          </w:tcPr>
          <w:p w14:paraId="5A863BFF" w14:textId="7A8F2227" w:rsidR="00C36D57" w:rsidRPr="002041DF" w:rsidRDefault="00C36D57" w:rsidP="007A6AEB">
            <w:pPr>
              <w:pStyle w:val="Header"/>
              <w:widowControl w:val="0"/>
              <w:ind w:right="31"/>
              <w:rPr>
                <w:sz w:val="22"/>
                <w:szCs w:val="22"/>
                <w:lang w:val="sr-Latn-ME"/>
              </w:rPr>
            </w:pPr>
            <w:r w:rsidRPr="002041DF">
              <w:rPr>
                <w:sz w:val="22"/>
                <w:szCs w:val="22"/>
                <w:lang w:val="sr-Latn-ME"/>
              </w:rPr>
              <w:t xml:space="preserve">Broj pacijenata koji je </w:t>
            </w:r>
            <w:r w:rsidR="00147656" w:rsidRPr="002041DF">
              <w:rPr>
                <w:sz w:val="22"/>
                <w:szCs w:val="22"/>
                <w:lang w:val="sr-Latn-ME"/>
              </w:rPr>
              <w:t>randomizovan</w:t>
            </w:r>
          </w:p>
        </w:tc>
        <w:tc>
          <w:tcPr>
            <w:tcW w:w="1275" w:type="dxa"/>
            <w:tcBorders>
              <w:top w:val="single" w:sz="4" w:space="0" w:color="auto"/>
              <w:left w:val="single" w:sz="4" w:space="0" w:color="auto"/>
              <w:bottom w:val="single" w:sz="4" w:space="0" w:color="auto"/>
              <w:right w:val="single" w:sz="4" w:space="0" w:color="auto"/>
            </w:tcBorders>
          </w:tcPr>
          <w:p w14:paraId="6AB89AAC" w14:textId="77777777" w:rsidR="00C36D57" w:rsidRPr="002041DF" w:rsidRDefault="00C36D57" w:rsidP="002041DF">
            <w:pPr>
              <w:pStyle w:val="Header"/>
              <w:widowControl w:val="0"/>
              <w:rPr>
                <w:sz w:val="22"/>
                <w:szCs w:val="22"/>
                <w:lang w:val="sr-Latn-ME"/>
              </w:rPr>
            </w:pPr>
            <w:r w:rsidRPr="002041DF">
              <w:rPr>
                <w:sz w:val="22"/>
                <w:szCs w:val="22"/>
                <w:lang w:val="sr-Latn-ME"/>
              </w:rPr>
              <w:t>255</w:t>
            </w:r>
          </w:p>
        </w:tc>
        <w:tc>
          <w:tcPr>
            <w:tcW w:w="1276" w:type="dxa"/>
            <w:tcBorders>
              <w:top w:val="single" w:sz="4" w:space="0" w:color="auto"/>
              <w:left w:val="single" w:sz="4" w:space="0" w:color="auto"/>
              <w:bottom w:val="single" w:sz="4" w:space="0" w:color="auto"/>
              <w:right w:val="single" w:sz="4" w:space="0" w:color="auto"/>
            </w:tcBorders>
          </w:tcPr>
          <w:p w14:paraId="4712AE0C" w14:textId="77777777" w:rsidR="00C36D57" w:rsidRPr="002041DF" w:rsidRDefault="00C36D57" w:rsidP="002041DF">
            <w:pPr>
              <w:pStyle w:val="Header"/>
              <w:widowControl w:val="0"/>
              <w:rPr>
                <w:sz w:val="22"/>
                <w:szCs w:val="22"/>
                <w:lang w:val="sr-Latn-ME"/>
              </w:rPr>
            </w:pPr>
            <w:r w:rsidRPr="002041DF">
              <w:rPr>
                <w:sz w:val="22"/>
                <w:szCs w:val="22"/>
                <w:lang w:val="sr-Latn-ME"/>
              </w:rPr>
              <w:t>255</w:t>
            </w:r>
          </w:p>
        </w:tc>
        <w:tc>
          <w:tcPr>
            <w:tcW w:w="1276" w:type="dxa"/>
            <w:tcBorders>
              <w:top w:val="single" w:sz="4" w:space="0" w:color="auto"/>
              <w:left w:val="single" w:sz="4" w:space="0" w:color="auto"/>
              <w:bottom w:val="single" w:sz="4" w:space="0" w:color="auto"/>
              <w:right w:val="single" w:sz="4" w:space="0" w:color="auto"/>
            </w:tcBorders>
          </w:tcPr>
          <w:p w14:paraId="32ABDBFA" w14:textId="77777777" w:rsidR="00C36D57" w:rsidRPr="002041DF" w:rsidRDefault="00C36D57" w:rsidP="002041DF">
            <w:pPr>
              <w:pStyle w:val="Header"/>
              <w:widowControl w:val="0"/>
              <w:rPr>
                <w:sz w:val="22"/>
                <w:szCs w:val="22"/>
                <w:lang w:val="sr-Latn-ME"/>
              </w:rPr>
            </w:pPr>
            <w:r w:rsidRPr="002041DF">
              <w:rPr>
                <w:sz w:val="22"/>
                <w:szCs w:val="22"/>
                <w:lang w:val="sr-Latn-ME"/>
              </w:rPr>
              <w:t>256</w:t>
            </w:r>
          </w:p>
        </w:tc>
        <w:tc>
          <w:tcPr>
            <w:tcW w:w="1276" w:type="dxa"/>
            <w:tcBorders>
              <w:top w:val="single" w:sz="4" w:space="0" w:color="auto"/>
              <w:left w:val="single" w:sz="4" w:space="0" w:color="auto"/>
              <w:bottom w:val="single" w:sz="4" w:space="0" w:color="auto"/>
              <w:right w:val="single" w:sz="4" w:space="0" w:color="auto"/>
            </w:tcBorders>
          </w:tcPr>
          <w:p w14:paraId="0622C297" w14:textId="77777777" w:rsidR="00C36D57" w:rsidRPr="002041DF" w:rsidRDefault="00C36D57" w:rsidP="002041DF">
            <w:pPr>
              <w:pStyle w:val="Header"/>
              <w:widowControl w:val="0"/>
              <w:rPr>
                <w:sz w:val="22"/>
                <w:szCs w:val="22"/>
                <w:lang w:val="sr-Latn-ME"/>
              </w:rPr>
            </w:pPr>
            <w:r w:rsidRPr="002041DF">
              <w:rPr>
                <w:sz w:val="22"/>
                <w:szCs w:val="22"/>
                <w:lang w:val="sr-Latn-ME"/>
              </w:rPr>
              <w:t>250</w:t>
            </w:r>
          </w:p>
        </w:tc>
        <w:tc>
          <w:tcPr>
            <w:tcW w:w="1335" w:type="dxa"/>
            <w:tcBorders>
              <w:top w:val="single" w:sz="4" w:space="0" w:color="auto"/>
              <w:left w:val="single" w:sz="4" w:space="0" w:color="auto"/>
              <w:bottom w:val="single" w:sz="4" w:space="0" w:color="auto"/>
              <w:right w:val="single" w:sz="4" w:space="0" w:color="auto"/>
            </w:tcBorders>
          </w:tcPr>
          <w:p w14:paraId="7E8FDA3E" w14:textId="77777777" w:rsidR="00C36D57" w:rsidRPr="002041DF" w:rsidRDefault="00C36D57" w:rsidP="002041DF">
            <w:pPr>
              <w:pStyle w:val="Header"/>
              <w:widowControl w:val="0"/>
              <w:rPr>
                <w:sz w:val="22"/>
                <w:szCs w:val="22"/>
                <w:lang w:val="sr-Latn-ME"/>
              </w:rPr>
            </w:pPr>
            <w:r w:rsidRPr="002041DF">
              <w:rPr>
                <w:sz w:val="22"/>
                <w:szCs w:val="22"/>
                <w:lang w:val="sr-Latn-ME"/>
              </w:rPr>
              <w:t>243</w:t>
            </w:r>
          </w:p>
        </w:tc>
      </w:tr>
      <w:tr w:rsidR="00C36D57" w:rsidRPr="002041DF" w14:paraId="4EEED42A" w14:textId="77777777" w:rsidTr="007C6E24">
        <w:tc>
          <w:tcPr>
            <w:tcW w:w="3256" w:type="dxa"/>
            <w:tcBorders>
              <w:top w:val="single" w:sz="4" w:space="0" w:color="auto"/>
              <w:left w:val="single" w:sz="4" w:space="0" w:color="auto"/>
              <w:bottom w:val="single" w:sz="4" w:space="0" w:color="auto"/>
              <w:right w:val="single" w:sz="4" w:space="0" w:color="auto"/>
            </w:tcBorders>
            <w:vAlign w:val="bottom"/>
          </w:tcPr>
          <w:p w14:paraId="7839134D" w14:textId="77777777" w:rsidR="00C36D57" w:rsidRPr="002041DF" w:rsidRDefault="00C36D57" w:rsidP="002041DF">
            <w:pPr>
              <w:pStyle w:val="Header"/>
              <w:widowControl w:val="0"/>
              <w:ind w:right="474"/>
              <w:rPr>
                <w:sz w:val="22"/>
                <w:szCs w:val="22"/>
                <w:lang w:val="sr-Latn-ME"/>
              </w:rPr>
            </w:pPr>
            <w:r w:rsidRPr="002041DF">
              <w:rPr>
                <w:snapToGrid w:val="0"/>
                <w:sz w:val="22"/>
                <w:szCs w:val="22"/>
                <w:lang w:val="sr-Latn-ME"/>
              </w:rPr>
              <w:t>PASI 50 odgovor N (%)</w:t>
            </w:r>
          </w:p>
        </w:tc>
        <w:tc>
          <w:tcPr>
            <w:tcW w:w="1275" w:type="dxa"/>
            <w:tcBorders>
              <w:top w:val="single" w:sz="4" w:space="0" w:color="auto"/>
              <w:left w:val="single" w:sz="4" w:space="0" w:color="auto"/>
              <w:bottom w:val="single" w:sz="4" w:space="0" w:color="auto"/>
              <w:right w:val="single" w:sz="4" w:space="0" w:color="auto"/>
            </w:tcBorders>
          </w:tcPr>
          <w:p w14:paraId="40A65B72" w14:textId="77777777" w:rsidR="00C36D57" w:rsidRPr="002041DF" w:rsidRDefault="00C36D57" w:rsidP="002041DF">
            <w:pPr>
              <w:pStyle w:val="Header"/>
              <w:widowControl w:val="0"/>
              <w:rPr>
                <w:sz w:val="22"/>
                <w:szCs w:val="22"/>
                <w:lang w:val="sr-Latn-ME"/>
              </w:rPr>
            </w:pPr>
            <w:r w:rsidRPr="002041DF">
              <w:rPr>
                <w:sz w:val="22"/>
                <w:szCs w:val="22"/>
                <w:lang w:val="sr-Latn-ME"/>
              </w:rPr>
              <w:t>26 (10%)</w:t>
            </w:r>
          </w:p>
        </w:tc>
        <w:tc>
          <w:tcPr>
            <w:tcW w:w="1276" w:type="dxa"/>
            <w:tcBorders>
              <w:top w:val="single" w:sz="4" w:space="0" w:color="auto"/>
              <w:left w:val="single" w:sz="4" w:space="0" w:color="auto"/>
              <w:bottom w:val="single" w:sz="4" w:space="0" w:color="auto"/>
              <w:right w:val="single" w:sz="4" w:space="0" w:color="auto"/>
            </w:tcBorders>
          </w:tcPr>
          <w:p w14:paraId="490F0299" w14:textId="77777777" w:rsidR="00C36D57" w:rsidRPr="002041DF" w:rsidRDefault="00C36D57" w:rsidP="002041DF">
            <w:pPr>
              <w:pStyle w:val="Header"/>
              <w:widowControl w:val="0"/>
              <w:rPr>
                <w:sz w:val="22"/>
                <w:szCs w:val="22"/>
                <w:lang w:val="sr-Latn-ME"/>
              </w:rPr>
            </w:pPr>
            <w:r w:rsidRPr="002041DF">
              <w:rPr>
                <w:sz w:val="22"/>
                <w:szCs w:val="22"/>
                <w:lang w:val="sr-Latn-ME"/>
              </w:rPr>
              <w:t>213 (84%)</w:t>
            </w:r>
            <w:r w:rsidRPr="002041DF">
              <w:rPr>
                <w:snapToGrid w:val="0"/>
                <w:sz w:val="22"/>
                <w:szCs w:val="22"/>
                <w:vertAlign w:val="superscript"/>
                <w:lang w:val="sr-Latn-ME"/>
              </w:rPr>
              <w:t>a</w:t>
            </w:r>
          </w:p>
        </w:tc>
        <w:tc>
          <w:tcPr>
            <w:tcW w:w="1276" w:type="dxa"/>
            <w:tcBorders>
              <w:top w:val="single" w:sz="4" w:space="0" w:color="auto"/>
              <w:left w:val="single" w:sz="4" w:space="0" w:color="auto"/>
              <w:bottom w:val="single" w:sz="4" w:space="0" w:color="auto"/>
              <w:right w:val="single" w:sz="4" w:space="0" w:color="auto"/>
            </w:tcBorders>
          </w:tcPr>
          <w:p w14:paraId="5FE38DC8" w14:textId="77777777" w:rsidR="00C36D57" w:rsidRPr="002041DF" w:rsidRDefault="00C36D57" w:rsidP="002041DF">
            <w:pPr>
              <w:pStyle w:val="Header"/>
              <w:widowControl w:val="0"/>
              <w:rPr>
                <w:sz w:val="22"/>
                <w:szCs w:val="22"/>
                <w:lang w:val="sr-Latn-ME"/>
              </w:rPr>
            </w:pPr>
            <w:r w:rsidRPr="002041DF">
              <w:rPr>
                <w:sz w:val="22"/>
                <w:szCs w:val="22"/>
                <w:lang w:val="sr-Latn-ME"/>
              </w:rPr>
              <w:t>220 (86%)</w:t>
            </w:r>
            <w:r w:rsidRPr="002041DF">
              <w:rPr>
                <w:snapToGrid w:val="0"/>
                <w:sz w:val="22"/>
                <w:szCs w:val="22"/>
                <w:vertAlign w:val="superscript"/>
                <w:lang w:val="sr-Latn-ME"/>
              </w:rPr>
              <w:t>a</w:t>
            </w:r>
          </w:p>
        </w:tc>
        <w:tc>
          <w:tcPr>
            <w:tcW w:w="1276" w:type="dxa"/>
            <w:tcBorders>
              <w:top w:val="single" w:sz="4" w:space="0" w:color="auto"/>
              <w:left w:val="single" w:sz="4" w:space="0" w:color="auto"/>
              <w:bottom w:val="single" w:sz="4" w:space="0" w:color="auto"/>
              <w:right w:val="single" w:sz="4" w:space="0" w:color="auto"/>
            </w:tcBorders>
          </w:tcPr>
          <w:p w14:paraId="37C32891" w14:textId="77777777" w:rsidR="00C36D57" w:rsidRPr="002041DF" w:rsidRDefault="00C36D57" w:rsidP="002041DF">
            <w:pPr>
              <w:pStyle w:val="Header"/>
              <w:widowControl w:val="0"/>
              <w:rPr>
                <w:sz w:val="22"/>
                <w:szCs w:val="22"/>
                <w:lang w:val="sr-Latn-ME"/>
              </w:rPr>
            </w:pPr>
            <w:r w:rsidRPr="002041DF">
              <w:rPr>
                <w:sz w:val="22"/>
                <w:szCs w:val="22"/>
                <w:lang w:val="sr-Latn-ME"/>
              </w:rPr>
              <w:t>228 (91%)</w:t>
            </w:r>
          </w:p>
        </w:tc>
        <w:tc>
          <w:tcPr>
            <w:tcW w:w="1335" w:type="dxa"/>
            <w:tcBorders>
              <w:top w:val="single" w:sz="4" w:space="0" w:color="auto"/>
              <w:left w:val="single" w:sz="4" w:space="0" w:color="auto"/>
              <w:bottom w:val="single" w:sz="4" w:space="0" w:color="auto"/>
              <w:right w:val="single" w:sz="4" w:space="0" w:color="auto"/>
            </w:tcBorders>
          </w:tcPr>
          <w:p w14:paraId="54F826A1" w14:textId="77777777" w:rsidR="00C36D57" w:rsidRPr="002041DF" w:rsidRDefault="00C36D57" w:rsidP="002041DF">
            <w:pPr>
              <w:pStyle w:val="Header"/>
              <w:widowControl w:val="0"/>
              <w:rPr>
                <w:sz w:val="22"/>
                <w:szCs w:val="22"/>
                <w:lang w:val="sr-Latn-ME"/>
              </w:rPr>
            </w:pPr>
            <w:r w:rsidRPr="002041DF">
              <w:rPr>
                <w:sz w:val="22"/>
                <w:szCs w:val="22"/>
                <w:lang w:val="sr-Latn-ME"/>
              </w:rPr>
              <w:t>234 (96%)</w:t>
            </w:r>
          </w:p>
        </w:tc>
      </w:tr>
      <w:tr w:rsidR="00C36D57" w:rsidRPr="002041DF" w14:paraId="75054238" w14:textId="77777777" w:rsidTr="007C6E24">
        <w:tc>
          <w:tcPr>
            <w:tcW w:w="3256" w:type="dxa"/>
            <w:tcBorders>
              <w:top w:val="single" w:sz="4" w:space="0" w:color="auto"/>
              <w:left w:val="single" w:sz="4" w:space="0" w:color="auto"/>
              <w:bottom w:val="single" w:sz="4" w:space="0" w:color="auto"/>
              <w:right w:val="single" w:sz="4" w:space="0" w:color="auto"/>
            </w:tcBorders>
            <w:vAlign w:val="bottom"/>
          </w:tcPr>
          <w:p w14:paraId="3B4E3BC1" w14:textId="77777777" w:rsidR="00C36D57" w:rsidRPr="002041DF" w:rsidRDefault="00C36D57" w:rsidP="002041DF">
            <w:pPr>
              <w:pStyle w:val="Header"/>
              <w:widowControl w:val="0"/>
              <w:ind w:right="474"/>
              <w:rPr>
                <w:sz w:val="22"/>
                <w:szCs w:val="22"/>
                <w:lang w:val="sr-Latn-ME"/>
              </w:rPr>
            </w:pPr>
            <w:r w:rsidRPr="002041DF">
              <w:rPr>
                <w:snapToGrid w:val="0"/>
                <w:sz w:val="22"/>
                <w:szCs w:val="22"/>
                <w:lang w:val="sr-Latn-ME"/>
              </w:rPr>
              <w:t>PASI 75 odgovor N (%)</w:t>
            </w:r>
          </w:p>
        </w:tc>
        <w:tc>
          <w:tcPr>
            <w:tcW w:w="1275" w:type="dxa"/>
            <w:tcBorders>
              <w:top w:val="single" w:sz="4" w:space="0" w:color="auto"/>
              <w:left w:val="single" w:sz="4" w:space="0" w:color="auto"/>
              <w:bottom w:val="single" w:sz="4" w:space="0" w:color="auto"/>
              <w:right w:val="single" w:sz="4" w:space="0" w:color="auto"/>
            </w:tcBorders>
          </w:tcPr>
          <w:p w14:paraId="4357358D" w14:textId="77777777" w:rsidR="00C36D57" w:rsidRPr="002041DF" w:rsidRDefault="00C36D57" w:rsidP="002041DF">
            <w:pPr>
              <w:pStyle w:val="Header"/>
              <w:widowControl w:val="0"/>
              <w:rPr>
                <w:sz w:val="22"/>
                <w:szCs w:val="22"/>
                <w:lang w:val="sr-Latn-ME"/>
              </w:rPr>
            </w:pPr>
            <w:r w:rsidRPr="002041DF">
              <w:rPr>
                <w:sz w:val="22"/>
                <w:szCs w:val="22"/>
                <w:lang w:val="sr-Latn-ME"/>
              </w:rPr>
              <w:t>8 (3%)</w:t>
            </w:r>
          </w:p>
        </w:tc>
        <w:tc>
          <w:tcPr>
            <w:tcW w:w="1276" w:type="dxa"/>
            <w:tcBorders>
              <w:top w:val="single" w:sz="4" w:space="0" w:color="auto"/>
              <w:left w:val="single" w:sz="4" w:space="0" w:color="auto"/>
              <w:bottom w:val="single" w:sz="4" w:space="0" w:color="auto"/>
              <w:right w:val="single" w:sz="4" w:space="0" w:color="auto"/>
            </w:tcBorders>
          </w:tcPr>
          <w:p w14:paraId="03AE4548" w14:textId="77777777" w:rsidR="00C36D57" w:rsidRPr="002041DF" w:rsidRDefault="00C36D57" w:rsidP="002041DF">
            <w:pPr>
              <w:pStyle w:val="Header"/>
              <w:widowControl w:val="0"/>
              <w:rPr>
                <w:sz w:val="22"/>
                <w:szCs w:val="22"/>
                <w:lang w:val="sr-Latn-ME"/>
              </w:rPr>
            </w:pPr>
            <w:r w:rsidRPr="002041DF">
              <w:rPr>
                <w:sz w:val="22"/>
                <w:szCs w:val="22"/>
                <w:lang w:val="sr-Latn-ME"/>
              </w:rPr>
              <w:t>171 (67%)</w:t>
            </w:r>
            <w:r w:rsidRPr="002041DF">
              <w:rPr>
                <w:snapToGrid w:val="0"/>
                <w:sz w:val="22"/>
                <w:szCs w:val="22"/>
                <w:vertAlign w:val="superscript"/>
                <w:lang w:val="sr-Latn-ME"/>
              </w:rPr>
              <w:t>a</w:t>
            </w:r>
          </w:p>
        </w:tc>
        <w:tc>
          <w:tcPr>
            <w:tcW w:w="1276" w:type="dxa"/>
            <w:tcBorders>
              <w:top w:val="single" w:sz="4" w:space="0" w:color="auto"/>
              <w:left w:val="single" w:sz="4" w:space="0" w:color="auto"/>
              <w:bottom w:val="single" w:sz="4" w:space="0" w:color="auto"/>
              <w:right w:val="single" w:sz="4" w:space="0" w:color="auto"/>
            </w:tcBorders>
          </w:tcPr>
          <w:p w14:paraId="4FA49394" w14:textId="77777777" w:rsidR="00C36D57" w:rsidRPr="002041DF" w:rsidRDefault="00C36D57" w:rsidP="002041DF">
            <w:pPr>
              <w:pStyle w:val="Header"/>
              <w:widowControl w:val="0"/>
              <w:rPr>
                <w:sz w:val="22"/>
                <w:szCs w:val="22"/>
                <w:lang w:val="sr-Latn-ME"/>
              </w:rPr>
            </w:pPr>
            <w:r w:rsidRPr="002041DF">
              <w:rPr>
                <w:sz w:val="22"/>
                <w:szCs w:val="22"/>
                <w:lang w:val="sr-Latn-ME"/>
              </w:rPr>
              <w:t>170 (66%)</w:t>
            </w:r>
            <w:r w:rsidRPr="002041DF">
              <w:rPr>
                <w:snapToGrid w:val="0"/>
                <w:sz w:val="22"/>
                <w:szCs w:val="22"/>
                <w:vertAlign w:val="superscript"/>
                <w:lang w:val="sr-Latn-ME"/>
              </w:rPr>
              <w:t>a</w:t>
            </w:r>
          </w:p>
        </w:tc>
        <w:tc>
          <w:tcPr>
            <w:tcW w:w="1276" w:type="dxa"/>
            <w:tcBorders>
              <w:top w:val="single" w:sz="4" w:space="0" w:color="auto"/>
              <w:left w:val="single" w:sz="4" w:space="0" w:color="auto"/>
              <w:bottom w:val="single" w:sz="4" w:space="0" w:color="auto"/>
              <w:right w:val="single" w:sz="4" w:space="0" w:color="auto"/>
            </w:tcBorders>
          </w:tcPr>
          <w:p w14:paraId="77BE65FC" w14:textId="77777777" w:rsidR="00C36D57" w:rsidRPr="002041DF" w:rsidRDefault="00C36D57" w:rsidP="002041DF">
            <w:pPr>
              <w:pStyle w:val="Header"/>
              <w:widowControl w:val="0"/>
              <w:rPr>
                <w:sz w:val="22"/>
                <w:szCs w:val="22"/>
                <w:lang w:val="sr-Latn-ME"/>
              </w:rPr>
            </w:pPr>
            <w:r w:rsidRPr="002041DF">
              <w:rPr>
                <w:sz w:val="22"/>
                <w:szCs w:val="22"/>
                <w:lang w:val="sr-Latn-ME"/>
              </w:rPr>
              <w:t>178 (71%)</w:t>
            </w:r>
          </w:p>
        </w:tc>
        <w:tc>
          <w:tcPr>
            <w:tcW w:w="1335" w:type="dxa"/>
            <w:tcBorders>
              <w:top w:val="single" w:sz="4" w:space="0" w:color="auto"/>
              <w:left w:val="single" w:sz="4" w:space="0" w:color="auto"/>
              <w:bottom w:val="single" w:sz="4" w:space="0" w:color="auto"/>
              <w:right w:val="single" w:sz="4" w:space="0" w:color="auto"/>
            </w:tcBorders>
          </w:tcPr>
          <w:p w14:paraId="5E5B70DA" w14:textId="77777777" w:rsidR="00C36D57" w:rsidRPr="002041DF" w:rsidRDefault="00C36D57" w:rsidP="002041DF">
            <w:pPr>
              <w:pStyle w:val="Header"/>
              <w:widowControl w:val="0"/>
              <w:rPr>
                <w:sz w:val="22"/>
                <w:szCs w:val="22"/>
                <w:lang w:val="sr-Latn-ME"/>
              </w:rPr>
            </w:pPr>
            <w:r w:rsidRPr="002041DF">
              <w:rPr>
                <w:sz w:val="22"/>
                <w:szCs w:val="22"/>
                <w:lang w:val="sr-Latn-ME"/>
              </w:rPr>
              <w:t>191 (79%)</w:t>
            </w:r>
          </w:p>
        </w:tc>
      </w:tr>
      <w:tr w:rsidR="00C36D57" w:rsidRPr="002041DF" w14:paraId="2FCEB66D" w14:textId="77777777" w:rsidTr="007C6E24">
        <w:tc>
          <w:tcPr>
            <w:tcW w:w="3256" w:type="dxa"/>
            <w:tcBorders>
              <w:top w:val="single" w:sz="4" w:space="0" w:color="auto"/>
              <w:left w:val="single" w:sz="4" w:space="0" w:color="auto"/>
              <w:bottom w:val="single" w:sz="4" w:space="0" w:color="auto"/>
              <w:right w:val="single" w:sz="4" w:space="0" w:color="auto"/>
            </w:tcBorders>
          </w:tcPr>
          <w:p w14:paraId="65CA552E" w14:textId="77777777" w:rsidR="00C36D57" w:rsidRPr="002041DF" w:rsidRDefault="00C36D57" w:rsidP="002041DF">
            <w:pPr>
              <w:pStyle w:val="Header"/>
              <w:widowControl w:val="0"/>
              <w:ind w:right="474"/>
              <w:rPr>
                <w:sz w:val="22"/>
                <w:szCs w:val="22"/>
                <w:lang w:val="sr-Latn-ME"/>
              </w:rPr>
            </w:pPr>
            <w:r w:rsidRPr="002041DF">
              <w:rPr>
                <w:sz w:val="22"/>
                <w:szCs w:val="22"/>
                <w:lang w:val="sr-Latn-ME"/>
              </w:rPr>
              <w:t xml:space="preserve">PASI 90 </w:t>
            </w:r>
            <w:r w:rsidRPr="002041DF">
              <w:rPr>
                <w:snapToGrid w:val="0"/>
                <w:sz w:val="22"/>
                <w:szCs w:val="22"/>
                <w:lang w:val="sr-Latn-ME"/>
              </w:rPr>
              <w:t>odgovor</w:t>
            </w:r>
            <w:r w:rsidRPr="002041DF">
              <w:rPr>
                <w:sz w:val="22"/>
                <w:szCs w:val="22"/>
                <w:lang w:val="sr-Latn-ME"/>
              </w:rPr>
              <w:t xml:space="preserve"> N (%)</w:t>
            </w:r>
          </w:p>
        </w:tc>
        <w:tc>
          <w:tcPr>
            <w:tcW w:w="1275" w:type="dxa"/>
            <w:tcBorders>
              <w:top w:val="single" w:sz="4" w:space="0" w:color="auto"/>
              <w:left w:val="single" w:sz="4" w:space="0" w:color="auto"/>
              <w:bottom w:val="single" w:sz="4" w:space="0" w:color="auto"/>
              <w:right w:val="single" w:sz="4" w:space="0" w:color="auto"/>
            </w:tcBorders>
          </w:tcPr>
          <w:p w14:paraId="1E32A2D9" w14:textId="77777777" w:rsidR="00C36D57" w:rsidRPr="002041DF" w:rsidRDefault="00C36D57" w:rsidP="002041DF">
            <w:pPr>
              <w:pStyle w:val="Header"/>
              <w:widowControl w:val="0"/>
              <w:rPr>
                <w:sz w:val="22"/>
                <w:szCs w:val="22"/>
                <w:lang w:val="sr-Latn-ME"/>
              </w:rPr>
            </w:pPr>
            <w:r w:rsidRPr="002041DF">
              <w:rPr>
                <w:sz w:val="22"/>
                <w:szCs w:val="22"/>
                <w:lang w:val="sr-Latn-ME"/>
              </w:rPr>
              <w:t>5 (2%)</w:t>
            </w:r>
          </w:p>
        </w:tc>
        <w:tc>
          <w:tcPr>
            <w:tcW w:w="1276" w:type="dxa"/>
            <w:tcBorders>
              <w:top w:val="single" w:sz="4" w:space="0" w:color="auto"/>
              <w:left w:val="single" w:sz="4" w:space="0" w:color="auto"/>
              <w:bottom w:val="single" w:sz="4" w:space="0" w:color="auto"/>
              <w:right w:val="single" w:sz="4" w:space="0" w:color="auto"/>
            </w:tcBorders>
          </w:tcPr>
          <w:p w14:paraId="179E3035" w14:textId="77777777" w:rsidR="00C36D57" w:rsidRPr="002041DF" w:rsidRDefault="00C36D57" w:rsidP="002041DF">
            <w:pPr>
              <w:pStyle w:val="Header"/>
              <w:widowControl w:val="0"/>
              <w:rPr>
                <w:sz w:val="22"/>
                <w:szCs w:val="22"/>
                <w:lang w:val="sr-Latn-ME"/>
              </w:rPr>
            </w:pPr>
            <w:r w:rsidRPr="002041DF">
              <w:rPr>
                <w:sz w:val="22"/>
                <w:szCs w:val="22"/>
                <w:lang w:val="sr-Latn-ME"/>
              </w:rPr>
              <w:t>106 (42%)</w:t>
            </w:r>
            <w:r w:rsidRPr="002041DF">
              <w:rPr>
                <w:snapToGrid w:val="0"/>
                <w:sz w:val="22"/>
                <w:szCs w:val="22"/>
                <w:vertAlign w:val="superscript"/>
                <w:lang w:val="sr-Latn-ME"/>
              </w:rPr>
              <w:t xml:space="preserve"> a</w:t>
            </w:r>
          </w:p>
        </w:tc>
        <w:tc>
          <w:tcPr>
            <w:tcW w:w="1276" w:type="dxa"/>
            <w:tcBorders>
              <w:top w:val="single" w:sz="4" w:space="0" w:color="auto"/>
              <w:left w:val="single" w:sz="4" w:space="0" w:color="auto"/>
              <w:bottom w:val="single" w:sz="4" w:space="0" w:color="auto"/>
              <w:right w:val="single" w:sz="4" w:space="0" w:color="auto"/>
            </w:tcBorders>
          </w:tcPr>
          <w:p w14:paraId="2AAC1EC6" w14:textId="77777777" w:rsidR="00C36D57" w:rsidRPr="002041DF" w:rsidRDefault="00C36D57" w:rsidP="002041DF">
            <w:pPr>
              <w:pStyle w:val="Header"/>
              <w:widowControl w:val="0"/>
              <w:rPr>
                <w:sz w:val="22"/>
                <w:szCs w:val="22"/>
                <w:lang w:val="sr-Latn-ME"/>
              </w:rPr>
            </w:pPr>
            <w:r w:rsidRPr="002041DF">
              <w:rPr>
                <w:sz w:val="22"/>
                <w:szCs w:val="22"/>
                <w:lang w:val="sr-Latn-ME"/>
              </w:rPr>
              <w:t>94 (37%)</w:t>
            </w:r>
            <w:r w:rsidRPr="002041DF">
              <w:rPr>
                <w:snapToGrid w:val="0"/>
                <w:sz w:val="22"/>
                <w:szCs w:val="22"/>
                <w:vertAlign w:val="superscript"/>
                <w:lang w:val="sr-Latn-ME"/>
              </w:rPr>
              <w:t xml:space="preserve"> a</w:t>
            </w:r>
          </w:p>
        </w:tc>
        <w:tc>
          <w:tcPr>
            <w:tcW w:w="1276" w:type="dxa"/>
            <w:tcBorders>
              <w:top w:val="single" w:sz="4" w:space="0" w:color="auto"/>
              <w:left w:val="single" w:sz="4" w:space="0" w:color="auto"/>
              <w:bottom w:val="single" w:sz="4" w:space="0" w:color="auto"/>
              <w:right w:val="single" w:sz="4" w:space="0" w:color="auto"/>
            </w:tcBorders>
          </w:tcPr>
          <w:p w14:paraId="28254A47" w14:textId="77777777" w:rsidR="00C36D57" w:rsidRPr="002041DF" w:rsidRDefault="00C36D57" w:rsidP="002041DF">
            <w:pPr>
              <w:pStyle w:val="Header"/>
              <w:widowControl w:val="0"/>
              <w:rPr>
                <w:sz w:val="22"/>
                <w:szCs w:val="22"/>
                <w:lang w:val="sr-Latn-ME"/>
              </w:rPr>
            </w:pPr>
            <w:r w:rsidRPr="002041DF">
              <w:rPr>
                <w:sz w:val="22"/>
                <w:szCs w:val="22"/>
                <w:lang w:val="sr-Latn-ME"/>
              </w:rPr>
              <w:t>123 (49%)</w:t>
            </w:r>
          </w:p>
        </w:tc>
        <w:tc>
          <w:tcPr>
            <w:tcW w:w="1335" w:type="dxa"/>
            <w:tcBorders>
              <w:top w:val="single" w:sz="4" w:space="0" w:color="auto"/>
              <w:left w:val="single" w:sz="4" w:space="0" w:color="auto"/>
              <w:bottom w:val="single" w:sz="4" w:space="0" w:color="auto"/>
              <w:right w:val="single" w:sz="4" w:space="0" w:color="auto"/>
            </w:tcBorders>
          </w:tcPr>
          <w:p w14:paraId="399F500C" w14:textId="77777777" w:rsidR="00C36D57" w:rsidRPr="002041DF" w:rsidRDefault="00C36D57" w:rsidP="002041DF">
            <w:pPr>
              <w:pStyle w:val="Header"/>
              <w:widowControl w:val="0"/>
              <w:rPr>
                <w:sz w:val="22"/>
                <w:szCs w:val="22"/>
                <w:lang w:val="sr-Latn-ME"/>
              </w:rPr>
            </w:pPr>
            <w:r w:rsidRPr="002041DF">
              <w:rPr>
                <w:sz w:val="22"/>
                <w:szCs w:val="22"/>
                <w:lang w:val="sr-Latn-ME"/>
              </w:rPr>
              <w:t>135 (56%)</w:t>
            </w:r>
          </w:p>
        </w:tc>
      </w:tr>
      <w:tr w:rsidR="00C36D57" w:rsidRPr="002041DF" w14:paraId="35CDE35C" w14:textId="77777777" w:rsidTr="007C6E24">
        <w:tc>
          <w:tcPr>
            <w:tcW w:w="3256" w:type="dxa"/>
            <w:tcBorders>
              <w:top w:val="single" w:sz="4" w:space="0" w:color="auto"/>
              <w:left w:val="single" w:sz="4" w:space="0" w:color="auto"/>
              <w:bottom w:val="single" w:sz="4" w:space="0" w:color="auto"/>
              <w:right w:val="single" w:sz="4" w:space="0" w:color="auto"/>
            </w:tcBorders>
          </w:tcPr>
          <w:p w14:paraId="283933D0" w14:textId="77777777" w:rsidR="00C36D57" w:rsidRPr="002041DF" w:rsidRDefault="00C36D57" w:rsidP="007A6AEB">
            <w:pPr>
              <w:pStyle w:val="Header"/>
              <w:widowControl w:val="0"/>
              <w:rPr>
                <w:sz w:val="22"/>
                <w:szCs w:val="22"/>
                <w:lang w:val="sr-Latn-ME"/>
              </w:rPr>
            </w:pPr>
            <w:r w:rsidRPr="002041DF">
              <w:rPr>
                <w:sz w:val="22"/>
                <w:szCs w:val="22"/>
                <w:lang w:val="sr-Latn-ME"/>
              </w:rPr>
              <w:t>PGA</w:t>
            </w:r>
            <w:r w:rsidRPr="002041DF">
              <w:rPr>
                <w:sz w:val="22"/>
                <w:szCs w:val="22"/>
                <w:vertAlign w:val="superscript"/>
                <w:lang w:val="sr-Latn-ME"/>
              </w:rPr>
              <w:t>b</w:t>
            </w:r>
            <w:r w:rsidRPr="002041DF">
              <w:rPr>
                <w:sz w:val="22"/>
                <w:szCs w:val="22"/>
                <w:lang w:val="sr-Latn-ME"/>
              </w:rPr>
              <w:t xml:space="preserve"> jasnog ili minimalnog odgovora N (%)</w:t>
            </w:r>
          </w:p>
        </w:tc>
        <w:tc>
          <w:tcPr>
            <w:tcW w:w="1275" w:type="dxa"/>
            <w:tcBorders>
              <w:top w:val="single" w:sz="4" w:space="0" w:color="auto"/>
              <w:left w:val="single" w:sz="4" w:space="0" w:color="auto"/>
              <w:bottom w:val="single" w:sz="4" w:space="0" w:color="auto"/>
              <w:right w:val="single" w:sz="4" w:space="0" w:color="auto"/>
            </w:tcBorders>
          </w:tcPr>
          <w:p w14:paraId="35857F97" w14:textId="77777777" w:rsidR="00C36D57" w:rsidRPr="002041DF" w:rsidRDefault="00C36D57" w:rsidP="002041DF">
            <w:pPr>
              <w:pStyle w:val="Header"/>
              <w:widowControl w:val="0"/>
              <w:rPr>
                <w:sz w:val="22"/>
                <w:szCs w:val="22"/>
                <w:lang w:val="sr-Latn-ME"/>
              </w:rPr>
            </w:pPr>
            <w:r w:rsidRPr="002041DF">
              <w:rPr>
                <w:sz w:val="22"/>
                <w:szCs w:val="22"/>
                <w:lang w:val="sr-Latn-ME"/>
              </w:rPr>
              <w:t>10 (4%)</w:t>
            </w:r>
          </w:p>
        </w:tc>
        <w:tc>
          <w:tcPr>
            <w:tcW w:w="1276" w:type="dxa"/>
            <w:tcBorders>
              <w:top w:val="single" w:sz="4" w:space="0" w:color="auto"/>
              <w:left w:val="single" w:sz="4" w:space="0" w:color="auto"/>
              <w:bottom w:val="single" w:sz="4" w:space="0" w:color="auto"/>
              <w:right w:val="single" w:sz="4" w:space="0" w:color="auto"/>
            </w:tcBorders>
          </w:tcPr>
          <w:p w14:paraId="5D7C9334" w14:textId="77777777" w:rsidR="00C36D57" w:rsidRPr="002041DF" w:rsidRDefault="00C36D57" w:rsidP="002041DF">
            <w:pPr>
              <w:pStyle w:val="Header"/>
              <w:widowControl w:val="0"/>
              <w:rPr>
                <w:sz w:val="22"/>
                <w:szCs w:val="22"/>
                <w:lang w:val="sr-Latn-ME"/>
              </w:rPr>
            </w:pPr>
            <w:r w:rsidRPr="002041DF">
              <w:rPr>
                <w:sz w:val="22"/>
                <w:szCs w:val="22"/>
                <w:lang w:val="sr-Latn-ME"/>
              </w:rPr>
              <w:t>151 (59%)</w:t>
            </w:r>
            <w:r w:rsidRPr="002041DF">
              <w:rPr>
                <w:snapToGrid w:val="0"/>
                <w:sz w:val="22"/>
                <w:szCs w:val="22"/>
                <w:vertAlign w:val="superscript"/>
                <w:lang w:val="sr-Latn-ME"/>
              </w:rPr>
              <w:t xml:space="preserve"> a</w:t>
            </w:r>
          </w:p>
        </w:tc>
        <w:tc>
          <w:tcPr>
            <w:tcW w:w="1276" w:type="dxa"/>
            <w:tcBorders>
              <w:top w:val="single" w:sz="4" w:space="0" w:color="auto"/>
              <w:left w:val="single" w:sz="4" w:space="0" w:color="auto"/>
              <w:bottom w:val="single" w:sz="4" w:space="0" w:color="auto"/>
              <w:right w:val="single" w:sz="4" w:space="0" w:color="auto"/>
            </w:tcBorders>
          </w:tcPr>
          <w:p w14:paraId="0F281972" w14:textId="77777777" w:rsidR="00C36D57" w:rsidRPr="002041DF" w:rsidRDefault="00C36D57" w:rsidP="002041DF">
            <w:pPr>
              <w:pStyle w:val="Header"/>
              <w:widowControl w:val="0"/>
              <w:rPr>
                <w:sz w:val="22"/>
                <w:szCs w:val="22"/>
                <w:lang w:val="sr-Latn-ME"/>
              </w:rPr>
            </w:pPr>
            <w:r w:rsidRPr="002041DF">
              <w:rPr>
                <w:sz w:val="22"/>
                <w:szCs w:val="22"/>
                <w:lang w:val="sr-Latn-ME"/>
              </w:rPr>
              <w:t>156 (61%)</w:t>
            </w:r>
            <w:r w:rsidRPr="002041DF">
              <w:rPr>
                <w:snapToGrid w:val="0"/>
                <w:sz w:val="22"/>
                <w:szCs w:val="22"/>
                <w:vertAlign w:val="superscript"/>
                <w:lang w:val="sr-Latn-ME"/>
              </w:rPr>
              <w:t xml:space="preserve"> a</w:t>
            </w:r>
          </w:p>
        </w:tc>
        <w:tc>
          <w:tcPr>
            <w:tcW w:w="1276" w:type="dxa"/>
            <w:tcBorders>
              <w:top w:val="single" w:sz="4" w:space="0" w:color="auto"/>
              <w:left w:val="single" w:sz="4" w:space="0" w:color="auto"/>
              <w:bottom w:val="single" w:sz="4" w:space="0" w:color="auto"/>
              <w:right w:val="single" w:sz="4" w:space="0" w:color="auto"/>
            </w:tcBorders>
          </w:tcPr>
          <w:p w14:paraId="1064DEF1" w14:textId="77777777" w:rsidR="00C36D57" w:rsidRPr="002041DF" w:rsidRDefault="00C36D57" w:rsidP="002041DF">
            <w:pPr>
              <w:pStyle w:val="Header"/>
              <w:widowControl w:val="0"/>
              <w:rPr>
                <w:sz w:val="22"/>
                <w:szCs w:val="22"/>
                <w:lang w:val="sr-Latn-ME"/>
              </w:rPr>
            </w:pPr>
            <w:r w:rsidRPr="002041DF">
              <w:rPr>
                <w:sz w:val="22"/>
                <w:szCs w:val="22"/>
                <w:lang w:val="sr-Latn-ME"/>
              </w:rPr>
              <w:t>146 (58%)</w:t>
            </w:r>
          </w:p>
        </w:tc>
        <w:tc>
          <w:tcPr>
            <w:tcW w:w="1335" w:type="dxa"/>
            <w:tcBorders>
              <w:top w:val="single" w:sz="4" w:space="0" w:color="auto"/>
              <w:left w:val="single" w:sz="4" w:space="0" w:color="auto"/>
              <w:bottom w:val="single" w:sz="4" w:space="0" w:color="auto"/>
              <w:right w:val="single" w:sz="4" w:space="0" w:color="auto"/>
            </w:tcBorders>
          </w:tcPr>
          <w:p w14:paraId="08C983B1" w14:textId="77777777" w:rsidR="00C36D57" w:rsidRPr="002041DF" w:rsidRDefault="00C36D57" w:rsidP="002041DF">
            <w:pPr>
              <w:pStyle w:val="Header"/>
              <w:widowControl w:val="0"/>
              <w:rPr>
                <w:sz w:val="22"/>
                <w:szCs w:val="22"/>
                <w:lang w:val="sr-Latn-ME"/>
              </w:rPr>
            </w:pPr>
            <w:r w:rsidRPr="002041DF">
              <w:rPr>
                <w:sz w:val="22"/>
                <w:szCs w:val="22"/>
                <w:lang w:val="sr-Latn-ME"/>
              </w:rPr>
              <w:t>160 (66%)</w:t>
            </w:r>
          </w:p>
        </w:tc>
      </w:tr>
      <w:tr w:rsidR="00C36D57" w:rsidRPr="002041DF" w14:paraId="7F6317F6" w14:textId="77777777" w:rsidTr="007C6E24">
        <w:tc>
          <w:tcPr>
            <w:tcW w:w="3256" w:type="dxa"/>
            <w:tcBorders>
              <w:top w:val="single" w:sz="4" w:space="0" w:color="auto"/>
              <w:left w:val="single" w:sz="4" w:space="0" w:color="auto"/>
              <w:bottom w:val="single" w:sz="4" w:space="0" w:color="auto"/>
              <w:right w:val="single" w:sz="4" w:space="0" w:color="auto"/>
            </w:tcBorders>
          </w:tcPr>
          <w:p w14:paraId="369813E5" w14:textId="77777777" w:rsidR="00C36D57" w:rsidRPr="002041DF" w:rsidRDefault="00C36D57" w:rsidP="002041DF">
            <w:pPr>
              <w:pStyle w:val="Header"/>
              <w:widowControl w:val="0"/>
              <w:ind w:right="474"/>
              <w:rPr>
                <w:sz w:val="22"/>
                <w:szCs w:val="22"/>
                <w:lang w:val="sr-Latn-ME"/>
              </w:rPr>
            </w:pPr>
            <w:r w:rsidRPr="002041DF">
              <w:rPr>
                <w:sz w:val="22"/>
                <w:szCs w:val="22"/>
                <w:lang w:val="sr-Latn-ME"/>
              </w:rPr>
              <w:t xml:space="preserve">Broj pacijenata </w:t>
            </w:r>
            <w:r w:rsidRPr="002041DF">
              <w:rPr>
                <w:sz w:val="22"/>
                <w:szCs w:val="22"/>
                <w:u w:val="single"/>
                <w:lang w:val="sr-Latn-ME"/>
              </w:rPr>
              <w:t xml:space="preserve">≤ </w:t>
            </w:r>
            <w:r w:rsidRPr="002041DF">
              <w:rPr>
                <w:sz w:val="22"/>
                <w:szCs w:val="22"/>
                <w:lang w:val="sr-Latn-ME"/>
              </w:rPr>
              <w:t>100 kg</w:t>
            </w:r>
          </w:p>
        </w:tc>
        <w:tc>
          <w:tcPr>
            <w:tcW w:w="1275" w:type="dxa"/>
            <w:tcBorders>
              <w:top w:val="single" w:sz="4" w:space="0" w:color="auto"/>
              <w:left w:val="single" w:sz="4" w:space="0" w:color="auto"/>
              <w:bottom w:val="single" w:sz="4" w:space="0" w:color="auto"/>
              <w:right w:val="single" w:sz="4" w:space="0" w:color="auto"/>
            </w:tcBorders>
          </w:tcPr>
          <w:p w14:paraId="033FF902" w14:textId="77777777" w:rsidR="00C36D57" w:rsidRPr="002041DF" w:rsidRDefault="00C36D57" w:rsidP="002041DF">
            <w:pPr>
              <w:pStyle w:val="Header"/>
              <w:widowControl w:val="0"/>
              <w:rPr>
                <w:sz w:val="22"/>
                <w:szCs w:val="22"/>
                <w:lang w:val="sr-Latn-ME"/>
              </w:rPr>
            </w:pPr>
            <w:r w:rsidRPr="002041DF">
              <w:rPr>
                <w:sz w:val="22"/>
                <w:szCs w:val="22"/>
                <w:lang w:val="sr-Latn-ME"/>
              </w:rPr>
              <w:t>166</w:t>
            </w:r>
          </w:p>
        </w:tc>
        <w:tc>
          <w:tcPr>
            <w:tcW w:w="1276" w:type="dxa"/>
            <w:tcBorders>
              <w:top w:val="single" w:sz="4" w:space="0" w:color="auto"/>
              <w:left w:val="single" w:sz="4" w:space="0" w:color="auto"/>
              <w:bottom w:val="single" w:sz="4" w:space="0" w:color="auto"/>
              <w:right w:val="single" w:sz="4" w:space="0" w:color="auto"/>
            </w:tcBorders>
          </w:tcPr>
          <w:p w14:paraId="484079C6" w14:textId="77777777" w:rsidR="00C36D57" w:rsidRPr="002041DF" w:rsidRDefault="00C36D57" w:rsidP="002041DF">
            <w:pPr>
              <w:pStyle w:val="Header"/>
              <w:widowControl w:val="0"/>
              <w:rPr>
                <w:sz w:val="22"/>
                <w:szCs w:val="22"/>
                <w:lang w:val="sr-Latn-ME"/>
              </w:rPr>
            </w:pPr>
            <w:r w:rsidRPr="002041DF">
              <w:rPr>
                <w:sz w:val="22"/>
                <w:szCs w:val="22"/>
                <w:lang w:val="sr-Latn-ME"/>
              </w:rPr>
              <w:t>168</w:t>
            </w:r>
          </w:p>
        </w:tc>
        <w:tc>
          <w:tcPr>
            <w:tcW w:w="1276" w:type="dxa"/>
            <w:tcBorders>
              <w:top w:val="single" w:sz="4" w:space="0" w:color="auto"/>
              <w:left w:val="single" w:sz="4" w:space="0" w:color="auto"/>
              <w:bottom w:val="single" w:sz="4" w:space="0" w:color="auto"/>
              <w:right w:val="single" w:sz="4" w:space="0" w:color="auto"/>
            </w:tcBorders>
          </w:tcPr>
          <w:p w14:paraId="6C8C75AC" w14:textId="77777777" w:rsidR="00C36D57" w:rsidRPr="002041DF" w:rsidRDefault="00C36D57" w:rsidP="002041DF">
            <w:pPr>
              <w:pStyle w:val="Header"/>
              <w:widowControl w:val="0"/>
              <w:rPr>
                <w:sz w:val="22"/>
                <w:szCs w:val="22"/>
                <w:lang w:val="sr-Latn-ME"/>
              </w:rPr>
            </w:pPr>
            <w:r w:rsidRPr="002041DF">
              <w:rPr>
                <w:sz w:val="22"/>
                <w:szCs w:val="22"/>
                <w:lang w:val="sr-Latn-ME"/>
              </w:rPr>
              <w:t>164</w:t>
            </w:r>
          </w:p>
        </w:tc>
        <w:tc>
          <w:tcPr>
            <w:tcW w:w="1276" w:type="dxa"/>
            <w:tcBorders>
              <w:top w:val="single" w:sz="4" w:space="0" w:color="auto"/>
              <w:left w:val="single" w:sz="4" w:space="0" w:color="auto"/>
              <w:bottom w:val="single" w:sz="4" w:space="0" w:color="auto"/>
              <w:right w:val="single" w:sz="4" w:space="0" w:color="auto"/>
            </w:tcBorders>
          </w:tcPr>
          <w:p w14:paraId="638B4909" w14:textId="77777777" w:rsidR="00C36D57" w:rsidRPr="002041DF" w:rsidRDefault="00C36D57" w:rsidP="002041DF">
            <w:pPr>
              <w:pStyle w:val="Header"/>
              <w:widowControl w:val="0"/>
              <w:rPr>
                <w:sz w:val="22"/>
                <w:szCs w:val="22"/>
                <w:lang w:val="sr-Latn-ME"/>
              </w:rPr>
            </w:pPr>
            <w:r w:rsidRPr="002041DF">
              <w:rPr>
                <w:sz w:val="22"/>
                <w:szCs w:val="22"/>
                <w:lang w:val="sr-Latn-ME"/>
              </w:rPr>
              <w:t>164</w:t>
            </w:r>
          </w:p>
        </w:tc>
        <w:tc>
          <w:tcPr>
            <w:tcW w:w="1335" w:type="dxa"/>
            <w:tcBorders>
              <w:top w:val="single" w:sz="4" w:space="0" w:color="auto"/>
              <w:left w:val="single" w:sz="4" w:space="0" w:color="auto"/>
              <w:bottom w:val="single" w:sz="4" w:space="0" w:color="auto"/>
              <w:right w:val="single" w:sz="4" w:space="0" w:color="auto"/>
            </w:tcBorders>
          </w:tcPr>
          <w:p w14:paraId="717DBA5B" w14:textId="77777777" w:rsidR="00C36D57" w:rsidRPr="002041DF" w:rsidRDefault="00C36D57" w:rsidP="002041DF">
            <w:pPr>
              <w:pStyle w:val="Header"/>
              <w:widowControl w:val="0"/>
              <w:rPr>
                <w:sz w:val="22"/>
                <w:szCs w:val="22"/>
                <w:lang w:val="sr-Latn-ME"/>
              </w:rPr>
            </w:pPr>
            <w:r w:rsidRPr="002041DF">
              <w:rPr>
                <w:sz w:val="22"/>
                <w:szCs w:val="22"/>
                <w:lang w:val="sr-Latn-ME"/>
              </w:rPr>
              <w:t>153</w:t>
            </w:r>
          </w:p>
        </w:tc>
      </w:tr>
      <w:tr w:rsidR="00C36D57" w:rsidRPr="002041DF" w14:paraId="6A785EDF" w14:textId="77777777" w:rsidTr="007C6E24">
        <w:tc>
          <w:tcPr>
            <w:tcW w:w="3256" w:type="dxa"/>
            <w:tcBorders>
              <w:top w:val="single" w:sz="4" w:space="0" w:color="auto"/>
              <w:left w:val="single" w:sz="4" w:space="0" w:color="auto"/>
              <w:bottom w:val="single" w:sz="4" w:space="0" w:color="auto"/>
              <w:right w:val="single" w:sz="4" w:space="0" w:color="auto"/>
            </w:tcBorders>
          </w:tcPr>
          <w:p w14:paraId="179B2F95" w14:textId="77777777" w:rsidR="00C36D57" w:rsidRPr="002041DF" w:rsidRDefault="00C36D57" w:rsidP="002041DF">
            <w:pPr>
              <w:pStyle w:val="Header"/>
              <w:widowControl w:val="0"/>
              <w:ind w:right="474"/>
              <w:rPr>
                <w:sz w:val="22"/>
                <w:szCs w:val="22"/>
                <w:lang w:val="sr-Latn-ME"/>
              </w:rPr>
            </w:pPr>
            <w:r w:rsidRPr="002041DF">
              <w:rPr>
                <w:sz w:val="22"/>
                <w:szCs w:val="22"/>
                <w:lang w:val="sr-Latn-ME"/>
              </w:rPr>
              <w:t>PASI 75 odgovor N (%)</w:t>
            </w:r>
          </w:p>
        </w:tc>
        <w:tc>
          <w:tcPr>
            <w:tcW w:w="1275" w:type="dxa"/>
            <w:tcBorders>
              <w:top w:val="single" w:sz="4" w:space="0" w:color="auto"/>
              <w:left w:val="single" w:sz="4" w:space="0" w:color="auto"/>
              <w:bottom w:val="single" w:sz="4" w:space="0" w:color="auto"/>
              <w:right w:val="single" w:sz="4" w:space="0" w:color="auto"/>
            </w:tcBorders>
          </w:tcPr>
          <w:p w14:paraId="377D1A4E" w14:textId="77777777" w:rsidR="00C36D57" w:rsidRPr="002041DF" w:rsidRDefault="00C36D57" w:rsidP="002041DF">
            <w:pPr>
              <w:pStyle w:val="Header"/>
              <w:widowControl w:val="0"/>
              <w:rPr>
                <w:sz w:val="22"/>
                <w:szCs w:val="22"/>
                <w:lang w:val="sr-Latn-ME"/>
              </w:rPr>
            </w:pPr>
            <w:r w:rsidRPr="002041DF">
              <w:rPr>
                <w:sz w:val="22"/>
                <w:szCs w:val="22"/>
                <w:lang w:val="sr-Latn-ME"/>
              </w:rPr>
              <w:t>6 (4%)</w:t>
            </w:r>
          </w:p>
        </w:tc>
        <w:tc>
          <w:tcPr>
            <w:tcW w:w="1276" w:type="dxa"/>
            <w:tcBorders>
              <w:top w:val="single" w:sz="4" w:space="0" w:color="auto"/>
              <w:left w:val="single" w:sz="4" w:space="0" w:color="auto"/>
              <w:bottom w:val="single" w:sz="4" w:space="0" w:color="auto"/>
              <w:right w:val="single" w:sz="4" w:space="0" w:color="auto"/>
            </w:tcBorders>
          </w:tcPr>
          <w:p w14:paraId="5566FE7F" w14:textId="77777777" w:rsidR="00C36D57" w:rsidRPr="002041DF" w:rsidRDefault="00C36D57" w:rsidP="002041DF">
            <w:pPr>
              <w:pStyle w:val="Header"/>
              <w:widowControl w:val="0"/>
              <w:rPr>
                <w:sz w:val="22"/>
                <w:szCs w:val="22"/>
                <w:lang w:val="sr-Latn-ME"/>
              </w:rPr>
            </w:pPr>
            <w:r w:rsidRPr="002041DF">
              <w:rPr>
                <w:sz w:val="22"/>
                <w:szCs w:val="22"/>
                <w:lang w:val="sr-Latn-ME"/>
              </w:rPr>
              <w:t>124 (74%)</w:t>
            </w:r>
          </w:p>
        </w:tc>
        <w:tc>
          <w:tcPr>
            <w:tcW w:w="1276" w:type="dxa"/>
            <w:tcBorders>
              <w:top w:val="single" w:sz="4" w:space="0" w:color="auto"/>
              <w:left w:val="single" w:sz="4" w:space="0" w:color="auto"/>
              <w:bottom w:val="single" w:sz="4" w:space="0" w:color="auto"/>
              <w:right w:val="single" w:sz="4" w:space="0" w:color="auto"/>
            </w:tcBorders>
          </w:tcPr>
          <w:p w14:paraId="6B3E3802" w14:textId="77777777" w:rsidR="00C36D57" w:rsidRPr="002041DF" w:rsidRDefault="00C36D57" w:rsidP="002041DF">
            <w:pPr>
              <w:pStyle w:val="Header"/>
              <w:widowControl w:val="0"/>
              <w:rPr>
                <w:sz w:val="22"/>
                <w:szCs w:val="22"/>
                <w:lang w:val="sr-Latn-ME"/>
              </w:rPr>
            </w:pPr>
            <w:r w:rsidRPr="002041DF">
              <w:rPr>
                <w:sz w:val="22"/>
                <w:szCs w:val="22"/>
                <w:lang w:val="sr-Latn-ME"/>
              </w:rPr>
              <w:t>107 (65%)</w:t>
            </w:r>
          </w:p>
        </w:tc>
        <w:tc>
          <w:tcPr>
            <w:tcW w:w="1276" w:type="dxa"/>
            <w:tcBorders>
              <w:top w:val="single" w:sz="4" w:space="0" w:color="auto"/>
              <w:left w:val="single" w:sz="4" w:space="0" w:color="auto"/>
              <w:bottom w:val="single" w:sz="4" w:space="0" w:color="auto"/>
              <w:right w:val="single" w:sz="4" w:space="0" w:color="auto"/>
            </w:tcBorders>
          </w:tcPr>
          <w:p w14:paraId="4CF797D1" w14:textId="77777777" w:rsidR="00C36D57" w:rsidRPr="002041DF" w:rsidRDefault="00C36D57" w:rsidP="002041DF">
            <w:pPr>
              <w:pStyle w:val="Header"/>
              <w:widowControl w:val="0"/>
              <w:rPr>
                <w:sz w:val="22"/>
                <w:szCs w:val="22"/>
                <w:lang w:val="sr-Latn-ME"/>
              </w:rPr>
            </w:pPr>
            <w:r w:rsidRPr="002041DF">
              <w:rPr>
                <w:sz w:val="22"/>
                <w:szCs w:val="22"/>
                <w:lang w:val="sr-Latn-ME"/>
              </w:rPr>
              <w:t>130 (79%)</w:t>
            </w:r>
          </w:p>
        </w:tc>
        <w:tc>
          <w:tcPr>
            <w:tcW w:w="1335" w:type="dxa"/>
            <w:tcBorders>
              <w:top w:val="single" w:sz="4" w:space="0" w:color="auto"/>
              <w:left w:val="single" w:sz="4" w:space="0" w:color="auto"/>
              <w:bottom w:val="single" w:sz="4" w:space="0" w:color="auto"/>
              <w:right w:val="single" w:sz="4" w:space="0" w:color="auto"/>
            </w:tcBorders>
          </w:tcPr>
          <w:p w14:paraId="518806C4" w14:textId="77777777" w:rsidR="00C36D57" w:rsidRPr="002041DF" w:rsidRDefault="00C36D57" w:rsidP="002041DF">
            <w:pPr>
              <w:pStyle w:val="Header"/>
              <w:widowControl w:val="0"/>
              <w:rPr>
                <w:sz w:val="22"/>
                <w:szCs w:val="22"/>
                <w:lang w:val="sr-Latn-ME"/>
              </w:rPr>
            </w:pPr>
            <w:r w:rsidRPr="002041DF">
              <w:rPr>
                <w:sz w:val="22"/>
                <w:szCs w:val="22"/>
                <w:lang w:val="sr-Latn-ME"/>
              </w:rPr>
              <w:t>124 (81%)</w:t>
            </w:r>
          </w:p>
        </w:tc>
      </w:tr>
      <w:tr w:rsidR="00C36D57" w:rsidRPr="002041DF" w14:paraId="13BCB5E5" w14:textId="77777777" w:rsidTr="007C6E24">
        <w:tc>
          <w:tcPr>
            <w:tcW w:w="3256" w:type="dxa"/>
            <w:tcBorders>
              <w:top w:val="single" w:sz="4" w:space="0" w:color="auto"/>
              <w:left w:val="single" w:sz="4" w:space="0" w:color="auto"/>
              <w:bottom w:val="single" w:sz="4" w:space="0" w:color="auto"/>
              <w:right w:val="single" w:sz="4" w:space="0" w:color="auto"/>
            </w:tcBorders>
          </w:tcPr>
          <w:p w14:paraId="26DC90C4" w14:textId="77777777" w:rsidR="00C36D57" w:rsidRPr="002041DF" w:rsidRDefault="00C36D57" w:rsidP="002041DF">
            <w:pPr>
              <w:pStyle w:val="Header"/>
              <w:widowControl w:val="0"/>
              <w:ind w:right="474"/>
              <w:rPr>
                <w:sz w:val="22"/>
                <w:szCs w:val="22"/>
                <w:lang w:val="sr-Latn-ME"/>
              </w:rPr>
            </w:pPr>
            <w:r w:rsidRPr="002041DF">
              <w:rPr>
                <w:sz w:val="22"/>
                <w:szCs w:val="22"/>
                <w:lang w:val="sr-Latn-ME"/>
              </w:rPr>
              <w:t>Broj pacijenata &gt; 100 kg</w:t>
            </w:r>
          </w:p>
        </w:tc>
        <w:tc>
          <w:tcPr>
            <w:tcW w:w="1275" w:type="dxa"/>
            <w:tcBorders>
              <w:top w:val="single" w:sz="4" w:space="0" w:color="auto"/>
              <w:left w:val="single" w:sz="4" w:space="0" w:color="auto"/>
              <w:bottom w:val="single" w:sz="4" w:space="0" w:color="auto"/>
              <w:right w:val="single" w:sz="4" w:space="0" w:color="auto"/>
            </w:tcBorders>
          </w:tcPr>
          <w:p w14:paraId="76AA7D6D" w14:textId="77777777" w:rsidR="00C36D57" w:rsidRPr="002041DF" w:rsidRDefault="00C36D57" w:rsidP="002041DF">
            <w:pPr>
              <w:pStyle w:val="Header"/>
              <w:widowControl w:val="0"/>
              <w:rPr>
                <w:sz w:val="22"/>
                <w:szCs w:val="22"/>
                <w:lang w:val="sr-Latn-ME"/>
              </w:rPr>
            </w:pPr>
            <w:r w:rsidRPr="002041DF">
              <w:rPr>
                <w:sz w:val="22"/>
                <w:szCs w:val="22"/>
                <w:lang w:val="sr-Latn-ME"/>
              </w:rPr>
              <w:t>89</w:t>
            </w:r>
          </w:p>
        </w:tc>
        <w:tc>
          <w:tcPr>
            <w:tcW w:w="1276" w:type="dxa"/>
            <w:tcBorders>
              <w:top w:val="single" w:sz="4" w:space="0" w:color="auto"/>
              <w:left w:val="single" w:sz="4" w:space="0" w:color="auto"/>
              <w:bottom w:val="single" w:sz="4" w:space="0" w:color="auto"/>
              <w:right w:val="single" w:sz="4" w:space="0" w:color="auto"/>
            </w:tcBorders>
          </w:tcPr>
          <w:p w14:paraId="059AB0B8" w14:textId="77777777" w:rsidR="00C36D57" w:rsidRPr="002041DF" w:rsidRDefault="00C36D57" w:rsidP="002041DF">
            <w:pPr>
              <w:pStyle w:val="Header"/>
              <w:widowControl w:val="0"/>
              <w:rPr>
                <w:sz w:val="22"/>
                <w:szCs w:val="22"/>
                <w:lang w:val="sr-Latn-ME"/>
              </w:rPr>
            </w:pPr>
            <w:r w:rsidRPr="002041DF">
              <w:rPr>
                <w:sz w:val="22"/>
                <w:szCs w:val="22"/>
                <w:lang w:val="sr-Latn-ME"/>
              </w:rPr>
              <w:t>87</w:t>
            </w:r>
          </w:p>
        </w:tc>
        <w:tc>
          <w:tcPr>
            <w:tcW w:w="1276" w:type="dxa"/>
            <w:tcBorders>
              <w:top w:val="single" w:sz="4" w:space="0" w:color="auto"/>
              <w:left w:val="single" w:sz="4" w:space="0" w:color="auto"/>
              <w:bottom w:val="single" w:sz="4" w:space="0" w:color="auto"/>
              <w:right w:val="single" w:sz="4" w:space="0" w:color="auto"/>
            </w:tcBorders>
          </w:tcPr>
          <w:p w14:paraId="1A7A2889" w14:textId="77777777" w:rsidR="00C36D57" w:rsidRPr="002041DF" w:rsidRDefault="00C36D57" w:rsidP="002041DF">
            <w:pPr>
              <w:pStyle w:val="Header"/>
              <w:widowControl w:val="0"/>
              <w:rPr>
                <w:sz w:val="22"/>
                <w:szCs w:val="22"/>
                <w:lang w:val="sr-Latn-ME"/>
              </w:rPr>
            </w:pPr>
            <w:r w:rsidRPr="002041DF">
              <w:rPr>
                <w:sz w:val="22"/>
                <w:szCs w:val="22"/>
                <w:lang w:val="sr-Latn-ME"/>
              </w:rPr>
              <w:t>92</w:t>
            </w:r>
          </w:p>
        </w:tc>
        <w:tc>
          <w:tcPr>
            <w:tcW w:w="1276" w:type="dxa"/>
            <w:tcBorders>
              <w:top w:val="single" w:sz="4" w:space="0" w:color="auto"/>
              <w:left w:val="single" w:sz="4" w:space="0" w:color="auto"/>
              <w:bottom w:val="single" w:sz="4" w:space="0" w:color="auto"/>
              <w:right w:val="single" w:sz="4" w:space="0" w:color="auto"/>
            </w:tcBorders>
          </w:tcPr>
          <w:p w14:paraId="5B71D141" w14:textId="77777777" w:rsidR="00C36D57" w:rsidRPr="002041DF" w:rsidRDefault="00C36D57" w:rsidP="002041DF">
            <w:pPr>
              <w:pStyle w:val="Header"/>
              <w:widowControl w:val="0"/>
              <w:rPr>
                <w:sz w:val="22"/>
                <w:szCs w:val="22"/>
                <w:lang w:val="sr-Latn-ME"/>
              </w:rPr>
            </w:pPr>
            <w:r w:rsidRPr="002041DF">
              <w:rPr>
                <w:sz w:val="22"/>
                <w:szCs w:val="22"/>
                <w:lang w:val="sr-Latn-ME"/>
              </w:rPr>
              <w:t>86</w:t>
            </w:r>
          </w:p>
        </w:tc>
        <w:tc>
          <w:tcPr>
            <w:tcW w:w="1335" w:type="dxa"/>
            <w:tcBorders>
              <w:top w:val="single" w:sz="4" w:space="0" w:color="auto"/>
              <w:left w:val="single" w:sz="4" w:space="0" w:color="auto"/>
              <w:bottom w:val="single" w:sz="4" w:space="0" w:color="auto"/>
              <w:right w:val="single" w:sz="4" w:space="0" w:color="auto"/>
            </w:tcBorders>
          </w:tcPr>
          <w:p w14:paraId="3875A160" w14:textId="77777777" w:rsidR="00C36D57" w:rsidRPr="002041DF" w:rsidRDefault="00C36D57" w:rsidP="002041DF">
            <w:pPr>
              <w:pStyle w:val="Header"/>
              <w:widowControl w:val="0"/>
              <w:rPr>
                <w:sz w:val="22"/>
                <w:szCs w:val="22"/>
                <w:lang w:val="sr-Latn-ME"/>
              </w:rPr>
            </w:pPr>
            <w:r w:rsidRPr="002041DF">
              <w:rPr>
                <w:sz w:val="22"/>
                <w:szCs w:val="22"/>
                <w:lang w:val="sr-Latn-ME"/>
              </w:rPr>
              <w:t>90</w:t>
            </w:r>
          </w:p>
        </w:tc>
      </w:tr>
      <w:tr w:rsidR="00C36D57" w:rsidRPr="002041DF" w14:paraId="6C1B6F57" w14:textId="77777777" w:rsidTr="007C6E24">
        <w:tc>
          <w:tcPr>
            <w:tcW w:w="3256" w:type="dxa"/>
            <w:tcBorders>
              <w:top w:val="single" w:sz="4" w:space="0" w:color="auto"/>
              <w:left w:val="single" w:sz="4" w:space="0" w:color="auto"/>
              <w:bottom w:val="single" w:sz="4" w:space="0" w:color="auto"/>
              <w:right w:val="single" w:sz="4" w:space="0" w:color="auto"/>
            </w:tcBorders>
          </w:tcPr>
          <w:p w14:paraId="499AD9BF" w14:textId="77777777" w:rsidR="00C36D57" w:rsidRPr="002041DF" w:rsidRDefault="00C36D57" w:rsidP="002041DF">
            <w:pPr>
              <w:pStyle w:val="Header"/>
              <w:widowControl w:val="0"/>
              <w:ind w:right="474"/>
              <w:rPr>
                <w:sz w:val="22"/>
                <w:szCs w:val="22"/>
                <w:lang w:val="sr-Latn-ME"/>
              </w:rPr>
            </w:pPr>
            <w:r w:rsidRPr="002041DF">
              <w:rPr>
                <w:sz w:val="22"/>
                <w:szCs w:val="22"/>
                <w:lang w:val="sr-Latn-ME"/>
              </w:rPr>
              <w:t>PASI 75 odgovor N (%)</w:t>
            </w:r>
          </w:p>
        </w:tc>
        <w:tc>
          <w:tcPr>
            <w:tcW w:w="1275" w:type="dxa"/>
            <w:tcBorders>
              <w:top w:val="single" w:sz="4" w:space="0" w:color="auto"/>
              <w:left w:val="single" w:sz="4" w:space="0" w:color="auto"/>
              <w:bottom w:val="single" w:sz="4" w:space="0" w:color="auto"/>
              <w:right w:val="single" w:sz="4" w:space="0" w:color="auto"/>
            </w:tcBorders>
          </w:tcPr>
          <w:p w14:paraId="54A06022" w14:textId="77777777" w:rsidR="00C36D57" w:rsidRPr="002041DF" w:rsidRDefault="00C36D57" w:rsidP="002041DF">
            <w:pPr>
              <w:pStyle w:val="Header"/>
              <w:widowControl w:val="0"/>
              <w:rPr>
                <w:sz w:val="22"/>
                <w:szCs w:val="22"/>
                <w:lang w:val="sr-Latn-ME"/>
              </w:rPr>
            </w:pPr>
            <w:r w:rsidRPr="002041DF">
              <w:rPr>
                <w:sz w:val="22"/>
                <w:szCs w:val="22"/>
                <w:lang w:val="sr-Latn-ME"/>
              </w:rPr>
              <w:t>2 (2%)</w:t>
            </w:r>
          </w:p>
        </w:tc>
        <w:tc>
          <w:tcPr>
            <w:tcW w:w="1276" w:type="dxa"/>
            <w:tcBorders>
              <w:top w:val="single" w:sz="4" w:space="0" w:color="auto"/>
              <w:left w:val="single" w:sz="4" w:space="0" w:color="auto"/>
              <w:bottom w:val="single" w:sz="4" w:space="0" w:color="auto"/>
              <w:right w:val="single" w:sz="4" w:space="0" w:color="auto"/>
            </w:tcBorders>
          </w:tcPr>
          <w:p w14:paraId="2794D9D6" w14:textId="77777777" w:rsidR="00C36D57" w:rsidRPr="002041DF" w:rsidRDefault="00C36D57" w:rsidP="002041DF">
            <w:pPr>
              <w:pStyle w:val="Header"/>
              <w:widowControl w:val="0"/>
              <w:rPr>
                <w:sz w:val="22"/>
                <w:szCs w:val="22"/>
                <w:lang w:val="sr-Latn-ME"/>
              </w:rPr>
            </w:pPr>
            <w:r w:rsidRPr="002041DF">
              <w:rPr>
                <w:sz w:val="22"/>
                <w:szCs w:val="22"/>
                <w:lang w:val="sr-Latn-ME"/>
              </w:rPr>
              <w:t>47 (54%)</w:t>
            </w:r>
          </w:p>
        </w:tc>
        <w:tc>
          <w:tcPr>
            <w:tcW w:w="1276" w:type="dxa"/>
            <w:tcBorders>
              <w:top w:val="single" w:sz="4" w:space="0" w:color="auto"/>
              <w:left w:val="single" w:sz="4" w:space="0" w:color="auto"/>
              <w:bottom w:val="single" w:sz="4" w:space="0" w:color="auto"/>
              <w:right w:val="single" w:sz="4" w:space="0" w:color="auto"/>
            </w:tcBorders>
          </w:tcPr>
          <w:p w14:paraId="1475A649" w14:textId="77777777" w:rsidR="00C36D57" w:rsidRPr="002041DF" w:rsidRDefault="00C36D57" w:rsidP="002041DF">
            <w:pPr>
              <w:pStyle w:val="Header"/>
              <w:widowControl w:val="0"/>
              <w:rPr>
                <w:sz w:val="22"/>
                <w:szCs w:val="22"/>
                <w:lang w:val="sr-Latn-ME"/>
              </w:rPr>
            </w:pPr>
            <w:r w:rsidRPr="002041DF">
              <w:rPr>
                <w:sz w:val="22"/>
                <w:szCs w:val="22"/>
                <w:lang w:val="sr-Latn-ME"/>
              </w:rPr>
              <w:t>63 (68%)</w:t>
            </w:r>
          </w:p>
        </w:tc>
        <w:tc>
          <w:tcPr>
            <w:tcW w:w="1276" w:type="dxa"/>
            <w:tcBorders>
              <w:top w:val="single" w:sz="4" w:space="0" w:color="auto"/>
              <w:left w:val="single" w:sz="4" w:space="0" w:color="auto"/>
              <w:bottom w:val="single" w:sz="4" w:space="0" w:color="auto"/>
              <w:right w:val="single" w:sz="4" w:space="0" w:color="auto"/>
            </w:tcBorders>
          </w:tcPr>
          <w:p w14:paraId="0078F333" w14:textId="77777777" w:rsidR="00C36D57" w:rsidRPr="002041DF" w:rsidRDefault="00C36D57" w:rsidP="002041DF">
            <w:pPr>
              <w:pStyle w:val="Header"/>
              <w:widowControl w:val="0"/>
              <w:rPr>
                <w:sz w:val="22"/>
                <w:szCs w:val="22"/>
                <w:lang w:val="sr-Latn-ME"/>
              </w:rPr>
            </w:pPr>
            <w:r w:rsidRPr="002041DF">
              <w:rPr>
                <w:sz w:val="22"/>
                <w:szCs w:val="22"/>
                <w:lang w:val="sr-Latn-ME"/>
              </w:rPr>
              <w:t>48 (56%)</w:t>
            </w:r>
          </w:p>
        </w:tc>
        <w:tc>
          <w:tcPr>
            <w:tcW w:w="1335" w:type="dxa"/>
            <w:tcBorders>
              <w:top w:val="single" w:sz="4" w:space="0" w:color="auto"/>
              <w:left w:val="single" w:sz="4" w:space="0" w:color="auto"/>
              <w:bottom w:val="single" w:sz="4" w:space="0" w:color="auto"/>
              <w:right w:val="single" w:sz="4" w:space="0" w:color="auto"/>
            </w:tcBorders>
          </w:tcPr>
          <w:p w14:paraId="3B16933D" w14:textId="77777777" w:rsidR="00C36D57" w:rsidRPr="002041DF" w:rsidRDefault="00C36D57" w:rsidP="002041DF">
            <w:pPr>
              <w:pStyle w:val="Header"/>
              <w:widowControl w:val="0"/>
              <w:rPr>
                <w:sz w:val="22"/>
                <w:szCs w:val="22"/>
                <w:lang w:val="sr-Latn-ME"/>
              </w:rPr>
            </w:pPr>
            <w:r w:rsidRPr="002041DF">
              <w:rPr>
                <w:sz w:val="22"/>
                <w:szCs w:val="22"/>
                <w:lang w:val="sr-Latn-ME"/>
              </w:rPr>
              <w:t>67 (74%)</w:t>
            </w:r>
          </w:p>
        </w:tc>
      </w:tr>
      <w:tr w:rsidR="00C36D57" w:rsidRPr="002041DF" w14:paraId="013BB6B5" w14:textId="77777777" w:rsidTr="007C6E24">
        <w:tc>
          <w:tcPr>
            <w:tcW w:w="3256" w:type="dxa"/>
            <w:tcBorders>
              <w:top w:val="single" w:sz="4" w:space="0" w:color="auto"/>
              <w:left w:val="single" w:sz="4" w:space="0" w:color="auto"/>
              <w:bottom w:val="single" w:sz="4" w:space="0" w:color="auto"/>
              <w:right w:val="single" w:sz="4" w:space="0" w:color="auto"/>
            </w:tcBorders>
          </w:tcPr>
          <w:p w14:paraId="738B3C49" w14:textId="77777777" w:rsidR="00C36D57" w:rsidRPr="002041DF" w:rsidRDefault="00C36D57" w:rsidP="007A6AEB">
            <w:pPr>
              <w:pStyle w:val="Header"/>
              <w:widowControl w:val="0"/>
              <w:ind w:right="31"/>
              <w:rPr>
                <w:b/>
                <w:sz w:val="22"/>
                <w:szCs w:val="22"/>
                <w:lang w:val="sr-Latn-ME"/>
              </w:rPr>
            </w:pPr>
            <w:r w:rsidRPr="002041DF">
              <w:rPr>
                <w:b/>
                <w:sz w:val="22"/>
                <w:szCs w:val="22"/>
                <w:lang w:val="sr-Latn-ME"/>
              </w:rPr>
              <w:t>Kliničko ispitivanje Psorijaza 2</w:t>
            </w:r>
          </w:p>
        </w:tc>
        <w:tc>
          <w:tcPr>
            <w:tcW w:w="1275" w:type="dxa"/>
            <w:tcBorders>
              <w:top w:val="single" w:sz="4" w:space="0" w:color="auto"/>
              <w:left w:val="single" w:sz="4" w:space="0" w:color="auto"/>
              <w:bottom w:val="single" w:sz="4" w:space="0" w:color="auto"/>
              <w:right w:val="single" w:sz="4" w:space="0" w:color="auto"/>
            </w:tcBorders>
          </w:tcPr>
          <w:p w14:paraId="3F94BB13" w14:textId="77777777" w:rsidR="00C36D57" w:rsidRPr="002041DF" w:rsidRDefault="00C36D57" w:rsidP="002041DF">
            <w:pPr>
              <w:pStyle w:val="Header"/>
              <w:widowControl w:val="0"/>
              <w:rPr>
                <w:sz w:val="22"/>
                <w:szCs w:val="22"/>
                <w:lang w:val="sr-Latn-ME"/>
              </w:rPr>
            </w:pPr>
          </w:p>
        </w:tc>
        <w:tc>
          <w:tcPr>
            <w:tcW w:w="1276" w:type="dxa"/>
            <w:tcBorders>
              <w:top w:val="single" w:sz="4" w:space="0" w:color="auto"/>
              <w:left w:val="single" w:sz="4" w:space="0" w:color="auto"/>
              <w:bottom w:val="single" w:sz="4" w:space="0" w:color="auto"/>
              <w:right w:val="single" w:sz="4" w:space="0" w:color="auto"/>
            </w:tcBorders>
          </w:tcPr>
          <w:p w14:paraId="47D999CC" w14:textId="77777777" w:rsidR="00C36D57" w:rsidRPr="002041DF" w:rsidRDefault="00C36D57" w:rsidP="002041DF">
            <w:pPr>
              <w:pStyle w:val="Header"/>
              <w:widowControl w:val="0"/>
              <w:rPr>
                <w:sz w:val="22"/>
                <w:szCs w:val="22"/>
                <w:lang w:val="sr-Latn-ME"/>
              </w:rPr>
            </w:pPr>
          </w:p>
        </w:tc>
        <w:tc>
          <w:tcPr>
            <w:tcW w:w="1276" w:type="dxa"/>
            <w:tcBorders>
              <w:top w:val="single" w:sz="4" w:space="0" w:color="auto"/>
              <w:left w:val="single" w:sz="4" w:space="0" w:color="auto"/>
              <w:bottom w:val="single" w:sz="4" w:space="0" w:color="auto"/>
              <w:right w:val="single" w:sz="4" w:space="0" w:color="auto"/>
            </w:tcBorders>
          </w:tcPr>
          <w:p w14:paraId="01EE1568" w14:textId="77777777" w:rsidR="00C36D57" w:rsidRPr="002041DF" w:rsidRDefault="00C36D57" w:rsidP="002041DF">
            <w:pPr>
              <w:pStyle w:val="Header"/>
              <w:widowControl w:val="0"/>
              <w:rPr>
                <w:sz w:val="22"/>
                <w:szCs w:val="22"/>
                <w:lang w:val="sr-Latn-ME"/>
              </w:rPr>
            </w:pPr>
          </w:p>
        </w:tc>
        <w:tc>
          <w:tcPr>
            <w:tcW w:w="1276" w:type="dxa"/>
            <w:tcBorders>
              <w:top w:val="single" w:sz="4" w:space="0" w:color="auto"/>
              <w:left w:val="single" w:sz="4" w:space="0" w:color="auto"/>
              <w:bottom w:val="single" w:sz="4" w:space="0" w:color="auto"/>
              <w:right w:val="single" w:sz="4" w:space="0" w:color="auto"/>
            </w:tcBorders>
          </w:tcPr>
          <w:p w14:paraId="25B7F8A5" w14:textId="77777777" w:rsidR="00C36D57" w:rsidRPr="002041DF" w:rsidRDefault="00C36D57" w:rsidP="002041DF">
            <w:pPr>
              <w:pStyle w:val="Header"/>
              <w:widowControl w:val="0"/>
              <w:rPr>
                <w:sz w:val="22"/>
                <w:szCs w:val="22"/>
                <w:lang w:val="sr-Latn-ME"/>
              </w:rPr>
            </w:pPr>
          </w:p>
        </w:tc>
        <w:tc>
          <w:tcPr>
            <w:tcW w:w="1335" w:type="dxa"/>
            <w:tcBorders>
              <w:top w:val="single" w:sz="4" w:space="0" w:color="auto"/>
              <w:left w:val="single" w:sz="4" w:space="0" w:color="auto"/>
              <w:bottom w:val="single" w:sz="4" w:space="0" w:color="auto"/>
              <w:right w:val="single" w:sz="4" w:space="0" w:color="auto"/>
            </w:tcBorders>
          </w:tcPr>
          <w:p w14:paraId="1DCA9ED3" w14:textId="77777777" w:rsidR="00C36D57" w:rsidRPr="002041DF" w:rsidRDefault="00C36D57" w:rsidP="002041DF">
            <w:pPr>
              <w:pStyle w:val="Header"/>
              <w:widowControl w:val="0"/>
              <w:rPr>
                <w:sz w:val="22"/>
                <w:szCs w:val="22"/>
                <w:lang w:val="sr-Latn-ME"/>
              </w:rPr>
            </w:pPr>
          </w:p>
        </w:tc>
      </w:tr>
      <w:tr w:rsidR="00C36D57" w:rsidRPr="002041DF" w14:paraId="25C03067" w14:textId="77777777" w:rsidTr="007C6E24">
        <w:tc>
          <w:tcPr>
            <w:tcW w:w="3256" w:type="dxa"/>
            <w:tcBorders>
              <w:top w:val="single" w:sz="4" w:space="0" w:color="auto"/>
              <w:left w:val="single" w:sz="4" w:space="0" w:color="auto"/>
              <w:bottom w:val="single" w:sz="4" w:space="0" w:color="auto"/>
              <w:right w:val="single" w:sz="4" w:space="0" w:color="auto"/>
            </w:tcBorders>
          </w:tcPr>
          <w:p w14:paraId="6ADCFE1D" w14:textId="601E1DC3" w:rsidR="00C36D57" w:rsidRPr="002041DF" w:rsidRDefault="00C36D57" w:rsidP="007A6AEB">
            <w:pPr>
              <w:pStyle w:val="Header"/>
              <w:widowControl w:val="0"/>
              <w:ind w:right="31"/>
              <w:rPr>
                <w:sz w:val="22"/>
                <w:szCs w:val="22"/>
                <w:lang w:val="sr-Latn-ME"/>
              </w:rPr>
            </w:pPr>
            <w:r w:rsidRPr="002041DF">
              <w:rPr>
                <w:sz w:val="22"/>
                <w:szCs w:val="22"/>
                <w:lang w:val="sr-Latn-ME"/>
              </w:rPr>
              <w:t xml:space="preserve">Broj pacijenata koji je </w:t>
            </w:r>
            <w:r w:rsidR="00147656" w:rsidRPr="002041DF">
              <w:rPr>
                <w:sz w:val="22"/>
                <w:szCs w:val="22"/>
                <w:lang w:val="sr-Latn-ME"/>
              </w:rPr>
              <w:t>randomizovan</w:t>
            </w:r>
          </w:p>
        </w:tc>
        <w:tc>
          <w:tcPr>
            <w:tcW w:w="1275" w:type="dxa"/>
            <w:tcBorders>
              <w:top w:val="single" w:sz="4" w:space="0" w:color="auto"/>
              <w:left w:val="single" w:sz="4" w:space="0" w:color="auto"/>
              <w:bottom w:val="single" w:sz="4" w:space="0" w:color="auto"/>
              <w:right w:val="single" w:sz="4" w:space="0" w:color="auto"/>
            </w:tcBorders>
          </w:tcPr>
          <w:p w14:paraId="3B0D9FDD" w14:textId="77777777" w:rsidR="00C36D57" w:rsidRPr="002041DF" w:rsidRDefault="00C36D57" w:rsidP="002041DF">
            <w:pPr>
              <w:pStyle w:val="Header"/>
              <w:widowControl w:val="0"/>
              <w:rPr>
                <w:sz w:val="22"/>
                <w:szCs w:val="22"/>
                <w:lang w:val="sr-Latn-ME"/>
              </w:rPr>
            </w:pPr>
            <w:r w:rsidRPr="002041DF">
              <w:rPr>
                <w:sz w:val="22"/>
                <w:szCs w:val="22"/>
                <w:lang w:val="sr-Latn-ME"/>
              </w:rPr>
              <w:t>410</w:t>
            </w:r>
          </w:p>
        </w:tc>
        <w:tc>
          <w:tcPr>
            <w:tcW w:w="1276" w:type="dxa"/>
            <w:tcBorders>
              <w:top w:val="single" w:sz="4" w:space="0" w:color="auto"/>
              <w:left w:val="single" w:sz="4" w:space="0" w:color="auto"/>
              <w:bottom w:val="single" w:sz="4" w:space="0" w:color="auto"/>
              <w:right w:val="single" w:sz="4" w:space="0" w:color="auto"/>
            </w:tcBorders>
          </w:tcPr>
          <w:p w14:paraId="14BAB3EF" w14:textId="77777777" w:rsidR="00C36D57" w:rsidRPr="002041DF" w:rsidRDefault="00C36D57" w:rsidP="002041DF">
            <w:pPr>
              <w:pStyle w:val="Header"/>
              <w:widowControl w:val="0"/>
              <w:rPr>
                <w:sz w:val="22"/>
                <w:szCs w:val="22"/>
                <w:lang w:val="sr-Latn-ME"/>
              </w:rPr>
            </w:pPr>
            <w:r w:rsidRPr="002041DF">
              <w:rPr>
                <w:sz w:val="22"/>
                <w:szCs w:val="22"/>
                <w:lang w:val="sr-Latn-ME"/>
              </w:rPr>
              <w:t>409</w:t>
            </w:r>
          </w:p>
        </w:tc>
        <w:tc>
          <w:tcPr>
            <w:tcW w:w="1276" w:type="dxa"/>
            <w:tcBorders>
              <w:top w:val="single" w:sz="4" w:space="0" w:color="auto"/>
              <w:left w:val="single" w:sz="4" w:space="0" w:color="auto"/>
              <w:bottom w:val="single" w:sz="4" w:space="0" w:color="auto"/>
              <w:right w:val="single" w:sz="4" w:space="0" w:color="auto"/>
            </w:tcBorders>
          </w:tcPr>
          <w:p w14:paraId="599598B6" w14:textId="77777777" w:rsidR="00C36D57" w:rsidRPr="002041DF" w:rsidRDefault="00C36D57" w:rsidP="002041DF">
            <w:pPr>
              <w:pStyle w:val="Header"/>
              <w:widowControl w:val="0"/>
              <w:rPr>
                <w:sz w:val="22"/>
                <w:szCs w:val="22"/>
                <w:lang w:val="sr-Latn-ME"/>
              </w:rPr>
            </w:pPr>
            <w:r w:rsidRPr="002041DF">
              <w:rPr>
                <w:sz w:val="22"/>
                <w:szCs w:val="22"/>
                <w:lang w:val="sr-Latn-ME"/>
              </w:rPr>
              <w:t>411</w:t>
            </w:r>
          </w:p>
        </w:tc>
        <w:tc>
          <w:tcPr>
            <w:tcW w:w="1276" w:type="dxa"/>
            <w:tcBorders>
              <w:top w:val="single" w:sz="4" w:space="0" w:color="auto"/>
              <w:left w:val="single" w:sz="4" w:space="0" w:color="auto"/>
              <w:bottom w:val="single" w:sz="4" w:space="0" w:color="auto"/>
              <w:right w:val="single" w:sz="4" w:space="0" w:color="auto"/>
            </w:tcBorders>
          </w:tcPr>
          <w:p w14:paraId="5B10637E" w14:textId="77777777" w:rsidR="00C36D57" w:rsidRPr="002041DF" w:rsidRDefault="00C36D57" w:rsidP="002041DF">
            <w:pPr>
              <w:pStyle w:val="Header"/>
              <w:widowControl w:val="0"/>
              <w:rPr>
                <w:sz w:val="22"/>
                <w:szCs w:val="22"/>
                <w:lang w:val="sr-Latn-ME"/>
              </w:rPr>
            </w:pPr>
            <w:r w:rsidRPr="002041DF">
              <w:rPr>
                <w:sz w:val="22"/>
                <w:szCs w:val="22"/>
                <w:lang w:val="sr-Latn-ME"/>
              </w:rPr>
              <w:t>397</w:t>
            </w:r>
          </w:p>
        </w:tc>
        <w:tc>
          <w:tcPr>
            <w:tcW w:w="1335" w:type="dxa"/>
            <w:tcBorders>
              <w:top w:val="single" w:sz="4" w:space="0" w:color="auto"/>
              <w:left w:val="single" w:sz="4" w:space="0" w:color="auto"/>
              <w:bottom w:val="single" w:sz="4" w:space="0" w:color="auto"/>
              <w:right w:val="single" w:sz="4" w:space="0" w:color="auto"/>
            </w:tcBorders>
          </w:tcPr>
          <w:p w14:paraId="1EC5CFC3" w14:textId="77777777" w:rsidR="00C36D57" w:rsidRPr="002041DF" w:rsidRDefault="00C36D57" w:rsidP="002041DF">
            <w:pPr>
              <w:pStyle w:val="Header"/>
              <w:widowControl w:val="0"/>
              <w:rPr>
                <w:sz w:val="22"/>
                <w:szCs w:val="22"/>
                <w:lang w:val="sr-Latn-ME"/>
              </w:rPr>
            </w:pPr>
            <w:r w:rsidRPr="002041DF">
              <w:rPr>
                <w:sz w:val="22"/>
                <w:szCs w:val="22"/>
                <w:lang w:val="sr-Latn-ME"/>
              </w:rPr>
              <w:t>400</w:t>
            </w:r>
          </w:p>
        </w:tc>
      </w:tr>
      <w:tr w:rsidR="00C36D57" w:rsidRPr="002041DF" w14:paraId="37D2C085" w14:textId="77777777" w:rsidTr="007C6E24">
        <w:tc>
          <w:tcPr>
            <w:tcW w:w="3256" w:type="dxa"/>
            <w:tcBorders>
              <w:top w:val="single" w:sz="4" w:space="0" w:color="auto"/>
              <w:left w:val="single" w:sz="4" w:space="0" w:color="auto"/>
              <w:bottom w:val="single" w:sz="4" w:space="0" w:color="auto"/>
              <w:right w:val="single" w:sz="4" w:space="0" w:color="auto"/>
            </w:tcBorders>
            <w:vAlign w:val="bottom"/>
          </w:tcPr>
          <w:p w14:paraId="590D9A9C" w14:textId="77777777" w:rsidR="00C36D57" w:rsidRPr="002041DF" w:rsidRDefault="00C36D57" w:rsidP="002041DF">
            <w:pPr>
              <w:pStyle w:val="Header"/>
              <w:widowControl w:val="0"/>
              <w:ind w:right="474"/>
              <w:rPr>
                <w:sz w:val="22"/>
                <w:szCs w:val="22"/>
                <w:lang w:val="sr-Latn-ME"/>
              </w:rPr>
            </w:pPr>
            <w:r w:rsidRPr="002041DF">
              <w:rPr>
                <w:snapToGrid w:val="0"/>
                <w:sz w:val="22"/>
                <w:szCs w:val="22"/>
                <w:lang w:val="sr-Latn-ME"/>
              </w:rPr>
              <w:t>PASI 50 odgovor N (%)</w:t>
            </w:r>
          </w:p>
        </w:tc>
        <w:tc>
          <w:tcPr>
            <w:tcW w:w="1275" w:type="dxa"/>
            <w:tcBorders>
              <w:top w:val="single" w:sz="4" w:space="0" w:color="auto"/>
              <w:left w:val="single" w:sz="4" w:space="0" w:color="auto"/>
              <w:bottom w:val="single" w:sz="4" w:space="0" w:color="auto"/>
              <w:right w:val="single" w:sz="4" w:space="0" w:color="auto"/>
            </w:tcBorders>
          </w:tcPr>
          <w:p w14:paraId="79F13F8A" w14:textId="77777777" w:rsidR="00C36D57" w:rsidRPr="002041DF" w:rsidRDefault="00C36D57" w:rsidP="002041DF">
            <w:pPr>
              <w:pStyle w:val="Header"/>
              <w:widowControl w:val="0"/>
              <w:rPr>
                <w:sz w:val="22"/>
                <w:szCs w:val="22"/>
                <w:lang w:val="sr-Latn-ME"/>
              </w:rPr>
            </w:pPr>
            <w:r w:rsidRPr="002041DF">
              <w:rPr>
                <w:sz w:val="22"/>
                <w:szCs w:val="22"/>
                <w:lang w:val="sr-Latn-ME"/>
              </w:rPr>
              <w:t>41 (10%)</w:t>
            </w:r>
          </w:p>
        </w:tc>
        <w:tc>
          <w:tcPr>
            <w:tcW w:w="1276" w:type="dxa"/>
            <w:tcBorders>
              <w:top w:val="single" w:sz="4" w:space="0" w:color="auto"/>
              <w:left w:val="single" w:sz="4" w:space="0" w:color="auto"/>
              <w:bottom w:val="single" w:sz="4" w:space="0" w:color="auto"/>
              <w:right w:val="single" w:sz="4" w:space="0" w:color="auto"/>
            </w:tcBorders>
          </w:tcPr>
          <w:p w14:paraId="371F8E6A" w14:textId="77777777" w:rsidR="00C36D57" w:rsidRPr="002041DF" w:rsidRDefault="00C36D57" w:rsidP="002041DF">
            <w:pPr>
              <w:pStyle w:val="Header"/>
              <w:widowControl w:val="0"/>
              <w:rPr>
                <w:sz w:val="22"/>
                <w:szCs w:val="22"/>
                <w:lang w:val="sr-Latn-ME"/>
              </w:rPr>
            </w:pPr>
            <w:r w:rsidRPr="002041DF">
              <w:rPr>
                <w:sz w:val="22"/>
                <w:szCs w:val="22"/>
                <w:lang w:val="sr-Latn-ME"/>
              </w:rPr>
              <w:t>342 (84%)</w:t>
            </w:r>
            <w:r w:rsidRPr="002041DF">
              <w:rPr>
                <w:snapToGrid w:val="0"/>
                <w:sz w:val="22"/>
                <w:szCs w:val="22"/>
                <w:vertAlign w:val="superscript"/>
                <w:lang w:val="sr-Latn-ME"/>
              </w:rPr>
              <w:t xml:space="preserve"> a</w:t>
            </w:r>
          </w:p>
        </w:tc>
        <w:tc>
          <w:tcPr>
            <w:tcW w:w="1276" w:type="dxa"/>
            <w:tcBorders>
              <w:top w:val="single" w:sz="4" w:space="0" w:color="auto"/>
              <w:left w:val="single" w:sz="4" w:space="0" w:color="auto"/>
              <w:bottom w:val="single" w:sz="4" w:space="0" w:color="auto"/>
              <w:right w:val="single" w:sz="4" w:space="0" w:color="auto"/>
            </w:tcBorders>
          </w:tcPr>
          <w:p w14:paraId="50A746F5" w14:textId="77777777" w:rsidR="00C36D57" w:rsidRPr="002041DF" w:rsidRDefault="00C36D57" w:rsidP="002041DF">
            <w:pPr>
              <w:pStyle w:val="Header"/>
              <w:widowControl w:val="0"/>
              <w:rPr>
                <w:sz w:val="22"/>
                <w:szCs w:val="22"/>
                <w:lang w:val="sr-Latn-ME"/>
              </w:rPr>
            </w:pPr>
            <w:r w:rsidRPr="002041DF">
              <w:rPr>
                <w:sz w:val="22"/>
                <w:szCs w:val="22"/>
                <w:lang w:val="sr-Latn-ME"/>
              </w:rPr>
              <w:t>367 (89%)</w:t>
            </w:r>
            <w:r w:rsidRPr="002041DF">
              <w:rPr>
                <w:snapToGrid w:val="0"/>
                <w:sz w:val="22"/>
                <w:szCs w:val="22"/>
                <w:vertAlign w:val="superscript"/>
                <w:lang w:val="sr-Latn-ME"/>
              </w:rPr>
              <w:t xml:space="preserve"> a</w:t>
            </w:r>
          </w:p>
        </w:tc>
        <w:tc>
          <w:tcPr>
            <w:tcW w:w="1276" w:type="dxa"/>
            <w:tcBorders>
              <w:top w:val="single" w:sz="4" w:space="0" w:color="auto"/>
              <w:left w:val="single" w:sz="4" w:space="0" w:color="auto"/>
              <w:bottom w:val="single" w:sz="4" w:space="0" w:color="auto"/>
              <w:right w:val="single" w:sz="4" w:space="0" w:color="auto"/>
            </w:tcBorders>
          </w:tcPr>
          <w:p w14:paraId="3C5A05A9" w14:textId="77777777" w:rsidR="00C36D57" w:rsidRPr="002041DF" w:rsidRDefault="00C36D57" w:rsidP="002041DF">
            <w:pPr>
              <w:pStyle w:val="Header"/>
              <w:widowControl w:val="0"/>
              <w:rPr>
                <w:sz w:val="22"/>
                <w:szCs w:val="22"/>
                <w:lang w:val="sr-Latn-ME"/>
              </w:rPr>
            </w:pPr>
            <w:r w:rsidRPr="002041DF">
              <w:rPr>
                <w:sz w:val="22"/>
                <w:szCs w:val="22"/>
                <w:lang w:val="sr-Latn-ME"/>
              </w:rPr>
              <w:t>369 (93%)</w:t>
            </w:r>
          </w:p>
        </w:tc>
        <w:tc>
          <w:tcPr>
            <w:tcW w:w="1335" w:type="dxa"/>
            <w:tcBorders>
              <w:top w:val="single" w:sz="4" w:space="0" w:color="auto"/>
              <w:left w:val="single" w:sz="4" w:space="0" w:color="auto"/>
              <w:bottom w:val="single" w:sz="4" w:space="0" w:color="auto"/>
              <w:right w:val="single" w:sz="4" w:space="0" w:color="auto"/>
            </w:tcBorders>
          </w:tcPr>
          <w:p w14:paraId="64980A5F" w14:textId="77777777" w:rsidR="00C36D57" w:rsidRPr="002041DF" w:rsidRDefault="00C36D57" w:rsidP="002041DF">
            <w:pPr>
              <w:pStyle w:val="Header"/>
              <w:widowControl w:val="0"/>
              <w:rPr>
                <w:sz w:val="22"/>
                <w:szCs w:val="22"/>
                <w:lang w:val="sr-Latn-ME"/>
              </w:rPr>
            </w:pPr>
            <w:r w:rsidRPr="002041DF">
              <w:rPr>
                <w:sz w:val="22"/>
                <w:szCs w:val="22"/>
                <w:lang w:val="sr-Latn-ME"/>
              </w:rPr>
              <w:t>380 (95%)</w:t>
            </w:r>
          </w:p>
        </w:tc>
      </w:tr>
      <w:tr w:rsidR="00C36D57" w:rsidRPr="002041DF" w14:paraId="0516039D" w14:textId="77777777" w:rsidTr="007C6E24">
        <w:tc>
          <w:tcPr>
            <w:tcW w:w="3256" w:type="dxa"/>
            <w:tcBorders>
              <w:top w:val="single" w:sz="4" w:space="0" w:color="auto"/>
              <w:left w:val="single" w:sz="4" w:space="0" w:color="auto"/>
              <w:bottom w:val="single" w:sz="4" w:space="0" w:color="auto"/>
              <w:right w:val="single" w:sz="4" w:space="0" w:color="auto"/>
            </w:tcBorders>
            <w:vAlign w:val="bottom"/>
          </w:tcPr>
          <w:p w14:paraId="2B307846" w14:textId="77777777" w:rsidR="00C36D57" w:rsidRPr="002041DF" w:rsidRDefault="00C36D57" w:rsidP="002041DF">
            <w:pPr>
              <w:pStyle w:val="Header"/>
              <w:widowControl w:val="0"/>
              <w:ind w:right="474"/>
              <w:rPr>
                <w:sz w:val="22"/>
                <w:szCs w:val="22"/>
                <w:lang w:val="sr-Latn-ME"/>
              </w:rPr>
            </w:pPr>
            <w:r w:rsidRPr="002041DF">
              <w:rPr>
                <w:snapToGrid w:val="0"/>
                <w:sz w:val="22"/>
                <w:szCs w:val="22"/>
                <w:lang w:val="sr-Latn-ME"/>
              </w:rPr>
              <w:t>PASI 75 odgovor N (%)</w:t>
            </w:r>
          </w:p>
        </w:tc>
        <w:tc>
          <w:tcPr>
            <w:tcW w:w="1275" w:type="dxa"/>
            <w:tcBorders>
              <w:top w:val="single" w:sz="4" w:space="0" w:color="auto"/>
              <w:left w:val="single" w:sz="4" w:space="0" w:color="auto"/>
              <w:bottom w:val="single" w:sz="4" w:space="0" w:color="auto"/>
              <w:right w:val="single" w:sz="4" w:space="0" w:color="auto"/>
            </w:tcBorders>
          </w:tcPr>
          <w:p w14:paraId="7D82D39E" w14:textId="77777777" w:rsidR="00C36D57" w:rsidRPr="002041DF" w:rsidRDefault="00C36D57" w:rsidP="002041DF">
            <w:pPr>
              <w:pStyle w:val="Header"/>
              <w:widowControl w:val="0"/>
              <w:rPr>
                <w:sz w:val="22"/>
                <w:szCs w:val="22"/>
                <w:lang w:val="sr-Latn-ME"/>
              </w:rPr>
            </w:pPr>
            <w:r w:rsidRPr="002041DF">
              <w:rPr>
                <w:sz w:val="22"/>
                <w:szCs w:val="22"/>
                <w:lang w:val="sr-Latn-ME"/>
              </w:rPr>
              <w:t>15 (4%)</w:t>
            </w:r>
          </w:p>
        </w:tc>
        <w:tc>
          <w:tcPr>
            <w:tcW w:w="1276" w:type="dxa"/>
            <w:tcBorders>
              <w:top w:val="single" w:sz="4" w:space="0" w:color="auto"/>
              <w:left w:val="single" w:sz="4" w:space="0" w:color="auto"/>
              <w:bottom w:val="single" w:sz="4" w:space="0" w:color="auto"/>
              <w:right w:val="single" w:sz="4" w:space="0" w:color="auto"/>
            </w:tcBorders>
          </w:tcPr>
          <w:p w14:paraId="1EFD4B76" w14:textId="77777777" w:rsidR="00C36D57" w:rsidRPr="002041DF" w:rsidRDefault="00C36D57" w:rsidP="002041DF">
            <w:pPr>
              <w:pStyle w:val="Header"/>
              <w:widowControl w:val="0"/>
              <w:rPr>
                <w:sz w:val="22"/>
                <w:szCs w:val="22"/>
                <w:lang w:val="sr-Latn-ME"/>
              </w:rPr>
            </w:pPr>
            <w:r w:rsidRPr="002041DF">
              <w:rPr>
                <w:sz w:val="22"/>
                <w:szCs w:val="22"/>
                <w:lang w:val="sr-Latn-ME"/>
              </w:rPr>
              <w:t>273 (67%)</w:t>
            </w:r>
            <w:r w:rsidRPr="002041DF">
              <w:rPr>
                <w:snapToGrid w:val="0"/>
                <w:sz w:val="22"/>
                <w:szCs w:val="22"/>
                <w:vertAlign w:val="superscript"/>
                <w:lang w:val="sr-Latn-ME"/>
              </w:rPr>
              <w:t xml:space="preserve"> a</w:t>
            </w:r>
          </w:p>
        </w:tc>
        <w:tc>
          <w:tcPr>
            <w:tcW w:w="1276" w:type="dxa"/>
            <w:tcBorders>
              <w:top w:val="single" w:sz="4" w:space="0" w:color="auto"/>
              <w:left w:val="single" w:sz="4" w:space="0" w:color="auto"/>
              <w:bottom w:val="single" w:sz="4" w:space="0" w:color="auto"/>
              <w:right w:val="single" w:sz="4" w:space="0" w:color="auto"/>
            </w:tcBorders>
          </w:tcPr>
          <w:p w14:paraId="7644B978" w14:textId="77777777" w:rsidR="00C36D57" w:rsidRPr="002041DF" w:rsidRDefault="00C36D57" w:rsidP="002041DF">
            <w:pPr>
              <w:pStyle w:val="Header"/>
              <w:widowControl w:val="0"/>
              <w:rPr>
                <w:sz w:val="22"/>
                <w:szCs w:val="22"/>
                <w:lang w:val="sr-Latn-ME"/>
              </w:rPr>
            </w:pPr>
            <w:r w:rsidRPr="002041DF">
              <w:rPr>
                <w:sz w:val="22"/>
                <w:szCs w:val="22"/>
                <w:lang w:val="sr-Latn-ME"/>
              </w:rPr>
              <w:t>311 (76%)</w:t>
            </w:r>
            <w:r w:rsidRPr="002041DF">
              <w:rPr>
                <w:snapToGrid w:val="0"/>
                <w:sz w:val="22"/>
                <w:szCs w:val="22"/>
                <w:vertAlign w:val="superscript"/>
                <w:lang w:val="sr-Latn-ME"/>
              </w:rPr>
              <w:t xml:space="preserve"> a</w:t>
            </w:r>
          </w:p>
        </w:tc>
        <w:tc>
          <w:tcPr>
            <w:tcW w:w="1276" w:type="dxa"/>
            <w:tcBorders>
              <w:top w:val="single" w:sz="4" w:space="0" w:color="auto"/>
              <w:left w:val="single" w:sz="4" w:space="0" w:color="auto"/>
              <w:bottom w:val="single" w:sz="4" w:space="0" w:color="auto"/>
              <w:right w:val="single" w:sz="4" w:space="0" w:color="auto"/>
            </w:tcBorders>
          </w:tcPr>
          <w:p w14:paraId="458C14FF" w14:textId="77777777" w:rsidR="00C36D57" w:rsidRPr="002041DF" w:rsidRDefault="00C36D57" w:rsidP="002041DF">
            <w:pPr>
              <w:pStyle w:val="Header"/>
              <w:widowControl w:val="0"/>
              <w:rPr>
                <w:sz w:val="22"/>
                <w:szCs w:val="22"/>
                <w:lang w:val="sr-Latn-ME"/>
              </w:rPr>
            </w:pPr>
            <w:r w:rsidRPr="002041DF">
              <w:rPr>
                <w:sz w:val="22"/>
                <w:szCs w:val="22"/>
                <w:lang w:val="sr-Latn-ME"/>
              </w:rPr>
              <w:t>276 (70%)</w:t>
            </w:r>
          </w:p>
        </w:tc>
        <w:tc>
          <w:tcPr>
            <w:tcW w:w="1335" w:type="dxa"/>
            <w:tcBorders>
              <w:top w:val="single" w:sz="4" w:space="0" w:color="auto"/>
              <w:left w:val="single" w:sz="4" w:space="0" w:color="auto"/>
              <w:bottom w:val="single" w:sz="4" w:space="0" w:color="auto"/>
              <w:right w:val="single" w:sz="4" w:space="0" w:color="auto"/>
            </w:tcBorders>
          </w:tcPr>
          <w:p w14:paraId="2A0E63C3" w14:textId="77777777" w:rsidR="00C36D57" w:rsidRPr="002041DF" w:rsidRDefault="00C36D57" w:rsidP="002041DF">
            <w:pPr>
              <w:pStyle w:val="Header"/>
              <w:widowControl w:val="0"/>
              <w:rPr>
                <w:sz w:val="22"/>
                <w:szCs w:val="22"/>
                <w:lang w:val="sr-Latn-ME"/>
              </w:rPr>
            </w:pPr>
            <w:r w:rsidRPr="002041DF">
              <w:rPr>
                <w:sz w:val="22"/>
                <w:szCs w:val="22"/>
                <w:lang w:val="sr-Latn-ME"/>
              </w:rPr>
              <w:t>314 (79%)</w:t>
            </w:r>
          </w:p>
        </w:tc>
      </w:tr>
      <w:tr w:rsidR="00C36D57" w:rsidRPr="002041DF" w14:paraId="06C5F3E9" w14:textId="77777777" w:rsidTr="007C6E24">
        <w:tc>
          <w:tcPr>
            <w:tcW w:w="3256" w:type="dxa"/>
            <w:tcBorders>
              <w:top w:val="single" w:sz="4" w:space="0" w:color="auto"/>
              <w:left w:val="single" w:sz="4" w:space="0" w:color="auto"/>
              <w:bottom w:val="single" w:sz="4" w:space="0" w:color="auto"/>
              <w:right w:val="single" w:sz="4" w:space="0" w:color="auto"/>
            </w:tcBorders>
          </w:tcPr>
          <w:p w14:paraId="3895545C" w14:textId="77777777" w:rsidR="00C36D57" w:rsidRPr="002041DF" w:rsidRDefault="00C36D57" w:rsidP="002041DF">
            <w:pPr>
              <w:pStyle w:val="Header"/>
              <w:widowControl w:val="0"/>
              <w:ind w:right="474"/>
              <w:rPr>
                <w:sz w:val="22"/>
                <w:szCs w:val="22"/>
                <w:lang w:val="sr-Latn-ME"/>
              </w:rPr>
            </w:pPr>
            <w:r w:rsidRPr="002041DF">
              <w:rPr>
                <w:sz w:val="22"/>
                <w:szCs w:val="22"/>
                <w:lang w:val="sr-Latn-ME"/>
              </w:rPr>
              <w:lastRenderedPageBreak/>
              <w:t xml:space="preserve">PASI 90 </w:t>
            </w:r>
            <w:r w:rsidRPr="002041DF">
              <w:rPr>
                <w:snapToGrid w:val="0"/>
                <w:sz w:val="22"/>
                <w:szCs w:val="22"/>
                <w:lang w:val="sr-Latn-ME"/>
              </w:rPr>
              <w:t>odgovor</w:t>
            </w:r>
            <w:r w:rsidRPr="002041DF">
              <w:rPr>
                <w:sz w:val="22"/>
                <w:szCs w:val="22"/>
                <w:lang w:val="sr-Latn-ME"/>
              </w:rPr>
              <w:t xml:space="preserve"> N (%)</w:t>
            </w:r>
          </w:p>
        </w:tc>
        <w:tc>
          <w:tcPr>
            <w:tcW w:w="1275" w:type="dxa"/>
            <w:tcBorders>
              <w:top w:val="single" w:sz="4" w:space="0" w:color="auto"/>
              <w:left w:val="single" w:sz="4" w:space="0" w:color="auto"/>
              <w:bottom w:val="single" w:sz="4" w:space="0" w:color="auto"/>
              <w:right w:val="single" w:sz="4" w:space="0" w:color="auto"/>
            </w:tcBorders>
          </w:tcPr>
          <w:p w14:paraId="53D21B59" w14:textId="77777777" w:rsidR="00C36D57" w:rsidRPr="002041DF" w:rsidRDefault="00C36D57" w:rsidP="002041DF">
            <w:pPr>
              <w:pStyle w:val="Header"/>
              <w:widowControl w:val="0"/>
              <w:rPr>
                <w:sz w:val="22"/>
                <w:szCs w:val="22"/>
                <w:lang w:val="sr-Latn-ME"/>
              </w:rPr>
            </w:pPr>
            <w:r w:rsidRPr="002041DF">
              <w:rPr>
                <w:sz w:val="22"/>
                <w:szCs w:val="22"/>
                <w:lang w:val="sr-Latn-ME"/>
              </w:rPr>
              <w:t>3 (1%)</w:t>
            </w:r>
          </w:p>
        </w:tc>
        <w:tc>
          <w:tcPr>
            <w:tcW w:w="1276" w:type="dxa"/>
            <w:tcBorders>
              <w:top w:val="single" w:sz="4" w:space="0" w:color="auto"/>
              <w:left w:val="single" w:sz="4" w:space="0" w:color="auto"/>
              <w:bottom w:val="single" w:sz="4" w:space="0" w:color="auto"/>
              <w:right w:val="single" w:sz="4" w:space="0" w:color="auto"/>
            </w:tcBorders>
          </w:tcPr>
          <w:p w14:paraId="3E6FFB93" w14:textId="77777777" w:rsidR="00C36D57" w:rsidRPr="002041DF" w:rsidRDefault="00C36D57" w:rsidP="002041DF">
            <w:pPr>
              <w:pStyle w:val="Header"/>
              <w:widowControl w:val="0"/>
              <w:rPr>
                <w:sz w:val="22"/>
                <w:szCs w:val="22"/>
                <w:lang w:val="sr-Latn-ME"/>
              </w:rPr>
            </w:pPr>
            <w:r w:rsidRPr="002041DF">
              <w:rPr>
                <w:sz w:val="22"/>
                <w:szCs w:val="22"/>
                <w:lang w:val="sr-Latn-ME"/>
              </w:rPr>
              <w:t>173 (42%)</w:t>
            </w:r>
            <w:r w:rsidRPr="002041DF">
              <w:rPr>
                <w:snapToGrid w:val="0"/>
                <w:sz w:val="22"/>
                <w:szCs w:val="22"/>
                <w:vertAlign w:val="superscript"/>
                <w:lang w:val="sr-Latn-ME"/>
              </w:rPr>
              <w:t xml:space="preserve"> a</w:t>
            </w:r>
          </w:p>
        </w:tc>
        <w:tc>
          <w:tcPr>
            <w:tcW w:w="1276" w:type="dxa"/>
            <w:tcBorders>
              <w:top w:val="single" w:sz="4" w:space="0" w:color="auto"/>
              <w:left w:val="single" w:sz="4" w:space="0" w:color="auto"/>
              <w:bottom w:val="single" w:sz="4" w:space="0" w:color="auto"/>
              <w:right w:val="single" w:sz="4" w:space="0" w:color="auto"/>
            </w:tcBorders>
          </w:tcPr>
          <w:p w14:paraId="691312DD" w14:textId="77777777" w:rsidR="00C36D57" w:rsidRPr="002041DF" w:rsidRDefault="00C36D57" w:rsidP="002041DF">
            <w:pPr>
              <w:pStyle w:val="Header"/>
              <w:widowControl w:val="0"/>
              <w:rPr>
                <w:sz w:val="22"/>
                <w:szCs w:val="22"/>
                <w:lang w:val="sr-Latn-ME"/>
              </w:rPr>
            </w:pPr>
            <w:r w:rsidRPr="002041DF">
              <w:rPr>
                <w:sz w:val="22"/>
                <w:szCs w:val="22"/>
                <w:lang w:val="sr-Latn-ME"/>
              </w:rPr>
              <w:t>209 (51%)</w:t>
            </w:r>
            <w:r w:rsidRPr="002041DF">
              <w:rPr>
                <w:snapToGrid w:val="0"/>
                <w:sz w:val="22"/>
                <w:szCs w:val="22"/>
                <w:vertAlign w:val="superscript"/>
                <w:lang w:val="sr-Latn-ME"/>
              </w:rPr>
              <w:t xml:space="preserve"> a</w:t>
            </w:r>
          </w:p>
        </w:tc>
        <w:tc>
          <w:tcPr>
            <w:tcW w:w="1276" w:type="dxa"/>
            <w:tcBorders>
              <w:top w:val="single" w:sz="4" w:space="0" w:color="auto"/>
              <w:left w:val="single" w:sz="4" w:space="0" w:color="auto"/>
              <w:bottom w:val="single" w:sz="4" w:space="0" w:color="auto"/>
              <w:right w:val="single" w:sz="4" w:space="0" w:color="auto"/>
            </w:tcBorders>
          </w:tcPr>
          <w:p w14:paraId="1BC787AC" w14:textId="77777777" w:rsidR="00C36D57" w:rsidRPr="002041DF" w:rsidRDefault="00C36D57" w:rsidP="002041DF">
            <w:pPr>
              <w:pStyle w:val="Header"/>
              <w:widowControl w:val="0"/>
              <w:rPr>
                <w:sz w:val="22"/>
                <w:szCs w:val="22"/>
                <w:lang w:val="sr-Latn-ME"/>
              </w:rPr>
            </w:pPr>
            <w:r w:rsidRPr="002041DF">
              <w:rPr>
                <w:sz w:val="22"/>
                <w:szCs w:val="22"/>
                <w:lang w:val="sr-Latn-ME"/>
              </w:rPr>
              <w:t>178 (45%)</w:t>
            </w:r>
          </w:p>
        </w:tc>
        <w:tc>
          <w:tcPr>
            <w:tcW w:w="1335" w:type="dxa"/>
            <w:tcBorders>
              <w:top w:val="single" w:sz="4" w:space="0" w:color="auto"/>
              <w:left w:val="single" w:sz="4" w:space="0" w:color="auto"/>
              <w:bottom w:val="single" w:sz="4" w:space="0" w:color="auto"/>
              <w:right w:val="single" w:sz="4" w:space="0" w:color="auto"/>
            </w:tcBorders>
          </w:tcPr>
          <w:p w14:paraId="50AC8DBA" w14:textId="77777777" w:rsidR="00C36D57" w:rsidRPr="002041DF" w:rsidRDefault="00C36D57" w:rsidP="002041DF">
            <w:pPr>
              <w:pStyle w:val="Header"/>
              <w:widowControl w:val="0"/>
              <w:rPr>
                <w:sz w:val="22"/>
                <w:szCs w:val="22"/>
                <w:lang w:val="sr-Latn-ME"/>
              </w:rPr>
            </w:pPr>
            <w:r w:rsidRPr="002041DF">
              <w:rPr>
                <w:sz w:val="22"/>
                <w:szCs w:val="22"/>
                <w:lang w:val="sr-Latn-ME"/>
              </w:rPr>
              <w:t>217 (54%)</w:t>
            </w:r>
          </w:p>
        </w:tc>
      </w:tr>
      <w:tr w:rsidR="00C36D57" w:rsidRPr="002041DF" w14:paraId="6755D0DA" w14:textId="77777777" w:rsidTr="007C6E24">
        <w:tc>
          <w:tcPr>
            <w:tcW w:w="3256" w:type="dxa"/>
            <w:tcBorders>
              <w:top w:val="single" w:sz="4" w:space="0" w:color="auto"/>
              <w:left w:val="single" w:sz="4" w:space="0" w:color="auto"/>
              <w:bottom w:val="single" w:sz="4" w:space="0" w:color="auto"/>
              <w:right w:val="single" w:sz="4" w:space="0" w:color="auto"/>
            </w:tcBorders>
          </w:tcPr>
          <w:p w14:paraId="732AF53A" w14:textId="77777777" w:rsidR="00C36D57" w:rsidRPr="002041DF" w:rsidRDefault="00C36D57" w:rsidP="002041DF">
            <w:pPr>
              <w:pStyle w:val="Header"/>
              <w:widowControl w:val="0"/>
              <w:ind w:right="474"/>
              <w:rPr>
                <w:sz w:val="22"/>
                <w:szCs w:val="22"/>
                <w:lang w:val="sr-Latn-ME"/>
              </w:rPr>
            </w:pPr>
            <w:r w:rsidRPr="002041DF">
              <w:rPr>
                <w:sz w:val="22"/>
                <w:szCs w:val="22"/>
                <w:lang w:val="sr-Latn-ME"/>
              </w:rPr>
              <w:t>PGA</w:t>
            </w:r>
            <w:r w:rsidRPr="002041DF">
              <w:rPr>
                <w:sz w:val="22"/>
                <w:szCs w:val="22"/>
                <w:vertAlign w:val="superscript"/>
                <w:lang w:val="sr-Latn-ME"/>
              </w:rPr>
              <w:t>b</w:t>
            </w:r>
            <w:r w:rsidRPr="002041DF">
              <w:rPr>
                <w:sz w:val="22"/>
                <w:szCs w:val="22"/>
                <w:lang w:val="sr-Latn-ME"/>
              </w:rPr>
              <w:t xml:space="preserve"> jasnog ili minimalnog odgovora N (%)</w:t>
            </w:r>
          </w:p>
        </w:tc>
        <w:tc>
          <w:tcPr>
            <w:tcW w:w="1275" w:type="dxa"/>
            <w:tcBorders>
              <w:top w:val="single" w:sz="4" w:space="0" w:color="auto"/>
              <w:left w:val="single" w:sz="4" w:space="0" w:color="auto"/>
              <w:bottom w:val="single" w:sz="4" w:space="0" w:color="auto"/>
              <w:right w:val="single" w:sz="4" w:space="0" w:color="auto"/>
            </w:tcBorders>
          </w:tcPr>
          <w:p w14:paraId="520EAC21" w14:textId="77777777" w:rsidR="00C36D57" w:rsidRPr="002041DF" w:rsidRDefault="00C36D57" w:rsidP="002041DF">
            <w:pPr>
              <w:pStyle w:val="Header"/>
              <w:widowControl w:val="0"/>
              <w:rPr>
                <w:sz w:val="22"/>
                <w:szCs w:val="22"/>
                <w:lang w:val="sr-Latn-ME"/>
              </w:rPr>
            </w:pPr>
            <w:r w:rsidRPr="002041DF">
              <w:rPr>
                <w:sz w:val="22"/>
                <w:szCs w:val="22"/>
                <w:lang w:val="sr-Latn-ME"/>
              </w:rPr>
              <w:t>18 (4%)</w:t>
            </w:r>
          </w:p>
        </w:tc>
        <w:tc>
          <w:tcPr>
            <w:tcW w:w="1276" w:type="dxa"/>
            <w:tcBorders>
              <w:top w:val="single" w:sz="4" w:space="0" w:color="auto"/>
              <w:left w:val="single" w:sz="4" w:space="0" w:color="auto"/>
              <w:bottom w:val="single" w:sz="4" w:space="0" w:color="auto"/>
              <w:right w:val="single" w:sz="4" w:space="0" w:color="auto"/>
            </w:tcBorders>
          </w:tcPr>
          <w:p w14:paraId="17EE43C9" w14:textId="77777777" w:rsidR="00C36D57" w:rsidRPr="002041DF" w:rsidRDefault="00C36D57" w:rsidP="002041DF">
            <w:pPr>
              <w:pStyle w:val="Header"/>
              <w:widowControl w:val="0"/>
              <w:rPr>
                <w:sz w:val="22"/>
                <w:szCs w:val="22"/>
                <w:lang w:val="sr-Latn-ME"/>
              </w:rPr>
            </w:pPr>
            <w:r w:rsidRPr="002041DF">
              <w:rPr>
                <w:sz w:val="22"/>
                <w:szCs w:val="22"/>
                <w:lang w:val="sr-Latn-ME"/>
              </w:rPr>
              <w:t>277 (68%)</w:t>
            </w:r>
            <w:r w:rsidRPr="002041DF">
              <w:rPr>
                <w:snapToGrid w:val="0"/>
                <w:sz w:val="22"/>
                <w:szCs w:val="22"/>
                <w:vertAlign w:val="superscript"/>
                <w:lang w:val="sr-Latn-ME"/>
              </w:rPr>
              <w:t xml:space="preserve"> a</w:t>
            </w:r>
          </w:p>
        </w:tc>
        <w:tc>
          <w:tcPr>
            <w:tcW w:w="1276" w:type="dxa"/>
            <w:tcBorders>
              <w:top w:val="single" w:sz="4" w:space="0" w:color="auto"/>
              <w:left w:val="single" w:sz="4" w:space="0" w:color="auto"/>
              <w:bottom w:val="single" w:sz="4" w:space="0" w:color="auto"/>
              <w:right w:val="single" w:sz="4" w:space="0" w:color="auto"/>
            </w:tcBorders>
          </w:tcPr>
          <w:p w14:paraId="2AAB28AC" w14:textId="77777777" w:rsidR="00C36D57" w:rsidRPr="002041DF" w:rsidRDefault="00C36D57" w:rsidP="002041DF">
            <w:pPr>
              <w:pStyle w:val="Header"/>
              <w:widowControl w:val="0"/>
              <w:rPr>
                <w:sz w:val="22"/>
                <w:szCs w:val="22"/>
                <w:lang w:val="sr-Latn-ME"/>
              </w:rPr>
            </w:pPr>
            <w:r w:rsidRPr="002041DF">
              <w:rPr>
                <w:sz w:val="22"/>
                <w:szCs w:val="22"/>
                <w:lang w:val="sr-Latn-ME"/>
              </w:rPr>
              <w:t>300 (73%)</w:t>
            </w:r>
            <w:r w:rsidRPr="002041DF">
              <w:rPr>
                <w:snapToGrid w:val="0"/>
                <w:sz w:val="22"/>
                <w:szCs w:val="22"/>
                <w:vertAlign w:val="superscript"/>
                <w:lang w:val="sr-Latn-ME"/>
              </w:rPr>
              <w:t xml:space="preserve"> a</w:t>
            </w:r>
          </w:p>
        </w:tc>
        <w:tc>
          <w:tcPr>
            <w:tcW w:w="1276" w:type="dxa"/>
            <w:tcBorders>
              <w:top w:val="single" w:sz="4" w:space="0" w:color="auto"/>
              <w:left w:val="single" w:sz="4" w:space="0" w:color="auto"/>
              <w:bottom w:val="single" w:sz="4" w:space="0" w:color="auto"/>
              <w:right w:val="single" w:sz="4" w:space="0" w:color="auto"/>
            </w:tcBorders>
          </w:tcPr>
          <w:p w14:paraId="0344203C" w14:textId="77777777" w:rsidR="00C36D57" w:rsidRPr="002041DF" w:rsidRDefault="00C36D57" w:rsidP="002041DF">
            <w:pPr>
              <w:pStyle w:val="Header"/>
              <w:widowControl w:val="0"/>
              <w:rPr>
                <w:sz w:val="22"/>
                <w:szCs w:val="22"/>
                <w:lang w:val="sr-Latn-ME"/>
              </w:rPr>
            </w:pPr>
            <w:r w:rsidRPr="002041DF">
              <w:rPr>
                <w:sz w:val="22"/>
                <w:szCs w:val="22"/>
                <w:lang w:val="sr-Latn-ME"/>
              </w:rPr>
              <w:t>241 (61%)</w:t>
            </w:r>
          </w:p>
        </w:tc>
        <w:tc>
          <w:tcPr>
            <w:tcW w:w="1335" w:type="dxa"/>
            <w:tcBorders>
              <w:top w:val="single" w:sz="4" w:space="0" w:color="auto"/>
              <w:left w:val="single" w:sz="4" w:space="0" w:color="auto"/>
              <w:bottom w:val="single" w:sz="4" w:space="0" w:color="auto"/>
              <w:right w:val="single" w:sz="4" w:space="0" w:color="auto"/>
            </w:tcBorders>
          </w:tcPr>
          <w:p w14:paraId="679557CA" w14:textId="77777777" w:rsidR="00C36D57" w:rsidRPr="002041DF" w:rsidRDefault="00C36D57" w:rsidP="002041DF">
            <w:pPr>
              <w:pStyle w:val="Header"/>
              <w:widowControl w:val="0"/>
              <w:rPr>
                <w:sz w:val="22"/>
                <w:szCs w:val="22"/>
                <w:lang w:val="sr-Latn-ME"/>
              </w:rPr>
            </w:pPr>
            <w:r w:rsidRPr="002041DF">
              <w:rPr>
                <w:sz w:val="22"/>
                <w:szCs w:val="22"/>
                <w:lang w:val="sr-Latn-ME"/>
              </w:rPr>
              <w:t>279 (70%)</w:t>
            </w:r>
          </w:p>
        </w:tc>
      </w:tr>
      <w:tr w:rsidR="00C36D57" w:rsidRPr="002041DF" w14:paraId="2C535926" w14:textId="77777777" w:rsidTr="007C6E24">
        <w:tc>
          <w:tcPr>
            <w:tcW w:w="3256" w:type="dxa"/>
            <w:tcBorders>
              <w:top w:val="single" w:sz="4" w:space="0" w:color="auto"/>
              <w:left w:val="single" w:sz="4" w:space="0" w:color="auto"/>
              <w:bottom w:val="single" w:sz="4" w:space="0" w:color="auto"/>
              <w:right w:val="single" w:sz="4" w:space="0" w:color="auto"/>
            </w:tcBorders>
          </w:tcPr>
          <w:p w14:paraId="623A1E53" w14:textId="77777777" w:rsidR="00C36D57" w:rsidRPr="002041DF" w:rsidRDefault="00C36D57" w:rsidP="002041DF">
            <w:pPr>
              <w:pStyle w:val="Header"/>
              <w:widowControl w:val="0"/>
              <w:ind w:right="476"/>
              <w:rPr>
                <w:sz w:val="22"/>
                <w:szCs w:val="22"/>
                <w:lang w:val="sr-Latn-ME"/>
              </w:rPr>
            </w:pPr>
            <w:r w:rsidRPr="002041DF">
              <w:rPr>
                <w:sz w:val="22"/>
                <w:szCs w:val="22"/>
                <w:lang w:val="sr-Latn-ME"/>
              </w:rPr>
              <w:t xml:space="preserve">Broj pacijenata </w:t>
            </w:r>
            <w:r w:rsidRPr="002041DF">
              <w:rPr>
                <w:sz w:val="22"/>
                <w:szCs w:val="22"/>
                <w:u w:val="single"/>
                <w:lang w:val="sr-Latn-ME"/>
              </w:rPr>
              <w:t xml:space="preserve">≤ </w:t>
            </w:r>
            <w:r w:rsidRPr="002041DF">
              <w:rPr>
                <w:sz w:val="22"/>
                <w:szCs w:val="22"/>
                <w:lang w:val="sr-Latn-ME"/>
              </w:rPr>
              <w:t>100 kg</w:t>
            </w:r>
          </w:p>
        </w:tc>
        <w:tc>
          <w:tcPr>
            <w:tcW w:w="1275" w:type="dxa"/>
            <w:tcBorders>
              <w:top w:val="single" w:sz="4" w:space="0" w:color="auto"/>
              <w:left w:val="single" w:sz="4" w:space="0" w:color="auto"/>
              <w:bottom w:val="single" w:sz="4" w:space="0" w:color="auto"/>
              <w:right w:val="single" w:sz="4" w:space="0" w:color="auto"/>
            </w:tcBorders>
          </w:tcPr>
          <w:p w14:paraId="6AAA3BE7" w14:textId="77777777" w:rsidR="00C36D57" w:rsidRPr="002041DF" w:rsidRDefault="00C36D57" w:rsidP="002041DF">
            <w:pPr>
              <w:pStyle w:val="Header"/>
              <w:widowControl w:val="0"/>
              <w:rPr>
                <w:sz w:val="22"/>
                <w:szCs w:val="22"/>
                <w:lang w:val="sr-Latn-ME"/>
              </w:rPr>
            </w:pPr>
            <w:r w:rsidRPr="002041DF">
              <w:rPr>
                <w:sz w:val="22"/>
                <w:szCs w:val="22"/>
                <w:lang w:val="sr-Latn-ME"/>
              </w:rPr>
              <w:t>290</w:t>
            </w:r>
          </w:p>
        </w:tc>
        <w:tc>
          <w:tcPr>
            <w:tcW w:w="1276" w:type="dxa"/>
            <w:tcBorders>
              <w:top w:val="single" w:sz="4" w:space="0" w:color="auto"/>
              <w:left w:val="single" w:sz="4" w:space="0" w:color="auto"/>
              <w:bottom w:val="single" w:sz="4" w:space="0" w:color="auto"/>
              <w:right w:val="single" w:sz="4" w:space="0" w:color="auto"/>
            </w:tcBorders>
          </w:tcPr>
          <w:p w14:paraId="1FC90062" w14:textId="77777777" w:rsidR="00C36D57" w:rsidRPr="002041DF" w:rsidRDefault="00C36D57" w:rsidP="002041DF">
            <w:pPr>
              <w:pStyle w:val="Header"/>
              <w:widowControl w:val="0"/>
              <w:rPr>
                <w:sz w:val="22"/>
                <w:szCs w:val="22"/>
                <w:lang w:val="sr-Latn-ME"/>
              </w:rPr>
            </w:pPr>
            <w:r w:rsidRPr="002041DF">
              <w:rPr>
                <w:sz w:val="22"/>
                <w:szCs w:val="22"/>
                <w:lang w:val="sr-Latn-ME"/>
              </w:rPr>
              <w:t>297</w:t>
            </w:r>
          </w:p>
        </w:tc>
        <w:tc>
          <w:tcPr>
            <w:tcW w:w="1276" w:type="dxa"/>
            <w:tcBorders>
              <w:top w:val="single" w:sz="4" w:space="0" w:color="auto"/>
              <w:left w:val="single" w:sz="4" w:space="0" w:color="auto"/>
              <w:bottom w:val="single" w:sz="4" w:space="0" w:color="auto"/>
              <w:right w:val="single" w:sz="4" w:space="0" w:color="auto"/>
            </w:tcBorders>
          </w:tcPr>
          <w:p w14:paraId="7D2085EA" w14:textId="77777777" w:rsidR="00C36D57" w:rsidRPr="002041DF" w:rsidRDefault="00C36D57" w:rsidP="002041DF">
            <w:pPr>
              <w:pStyle w:val="Header"/>
              <w:widowControl w:val="0"/>
              <w:rPr>
                <w:sz w:val="22"/>
                <w:szCs w:val="22"/>
                <w:lang w:val="sr-Latn-ME"/>
              </w:rPr>
            </w:pPr>
            <w:r w:rsidRPr="002041DF">
              <w:rPr>
                <w:sz w:val="22"/>
                <w:szCs w:val="22"/>
                <w:lang w:val="sr-Latn-ME"/>
              </w:rPr>
              <w:t>289</w:t>
            </w:r>
          </w:p>
        </w:tc>
        <w:tc>
          <w:tcPr>
            <w:tcW w:w="1276" w:type="dxa"/>
            <w:tcBorders>
              <w:top w:val="single" w:sz="4" w:space="0" w:color="auto"/>
              <w:left w:val="single" w:sz="4" w:space="0" w:color="auto"/>
              <w:bottom w:val="single" w:sz="4" w:space="0" w:color="auto"/>
              <w:right w:val="single" w:sz="4" w:space="0" w:color="auto"/>
            </w:tcBorders>
          </w:tcPr>
          <w:p w14:paraId="63BE6BCD" w14:textId="77777777" w:rsidR="00C36D57" w:rsidRPr="002041DF" w:rsidRDefault="00C36D57" w:rsidP="002041DF">
            <w:pPr>
              <w:pStyle w:val="Header"/>
              <w:widowControl w:val="0"/>
              <w:rPr>
                <w:sz w:val="22"/>
                <w:szCs w:val="22"/>
                <w:lang w:val="sr-Latn-ME"/>
              </w:rPr>
            </w:pPr>
            <w:r w:rsidRPr="002041DF">
              <w:rPr>
                <w:sz w:val="22"/>
                <w:szCs w:val="22"/>
                <w:lang w:val="sr-Latn-ME"/>
              </w:rPr>
              <w:t>287</w:t>
            </w:r>
          </w:p>
        </w:tc>
        <w:tc>
          <w:tcPr>
            <w:tcW w:w="1335" w:type="dxa"/>
            <w:tcBorders>
              <w:top w:val="single" w:sz="4" w:space="0" w:color="auto"/>
              <w:left w:val="single" w:sz="4" w:space="0" w:color="auto"/>
              <w:bottom w:val="single" w:sz="4" w:space="0" w:color="auto"/>
              <w:right w:val="single" w:sz="4" w:space="0" w:color="auto"/>
            </w:tcBorders>
          </w:tcPr>
          <w:p w14:paraId="1B3A72D0" w14:textId="77777777" w:rsidR="00C36D57" w:rsidRPr="002041DF" w:rsidRDefault="00C36D57" w:rsidP="002041DF">
            <w:pPr>
              <w:pStyle w:val="Header"/>
              <w:widowControl w:val="0"/>
              <w:rPr>
                <w:sz w:val="22"/>
                <w:szCs w:val="22"/>
                <w:lang w:val="sr-Latn-ME"/>
              </w:rPr>
            </w:pPr>
            <w:r w:rsidRPr="002041DF">
              <w:rPr>
                <w:sz w:val="22"/>
                <w:szCs w:val="22"/>
                <w:lang w:val="sr-Latn-ME"/>
              </w:rPr>
              <w:t>280</w:t>
            </w:r>
          </w:p>
        </w:tc>
      </w:tr>
      <w:tr w:rsidR="00C36D57" w:rsidRPr="002041DF" w14:paraId="5CCB8BA3" w14:textId="77777777" w:rsidTr="007C6E24">
        <w:tc>
          <w:tcPr>
            <w:tcW w:w="3256" w:type="dxa"/>
            <w:tcBorders>
              <w:top w:val="single" w:sz="4" w:space="0" w:color="auto"/>
              <w:left w:val="single" w:sz="4" w:space="0" w:color="auto"/>
              <w:bottom w:val="single" w:sz="4" w:space="0" w:color="auto"/>
              <w:right w:val="single" w:sz="4" w:space="0" w:color="auto"/>
            </w:tcBorders>
          </w:tcPr>
          <w:p w14:paraId="148FDA81" w14:textId="77777777" w:rsidR="00C36D57" w:rsidRPr="002041DF" w:rsidRDefault="00C36D57" w:rsidP="002041DF">
            <w:pPr>
              <w:pStyle w:val="Header"/>
              <w:widowControl w:val="0"/>
              <w:ind w:right="474"/>
              <w:rPr>
                <w:sz w:val="22"/>
                <w:szCs w:val="22"/>
                <w:lang w:val="sr-Latn-ME"/>
              </w:rPr>
            </w:pPr>
            <w:r w:rsidRPr="002041DF">
              <w:rPr>
                <w:sz w:val="22"/>
                <w:szCs w:val="22"/>
                <w:lang w:val="sr-Latn-ME"/>
              </w:rPr>
              <w:t>PASI 75 odgovor N (%)</w:t>
            </w:r>
          </w:p>
        </w:tc>
        <w:tc>
          <w:tcPr>
            <w:tcW w:w="1275" w:type="dxa"/>
            <w:tcBorders>
              <w:top w:val="single" w:sz="4" w:space="0" w:color="auto"/>
              <w:left w:val="single" w:sz="4" w:space="0" w:color="auto"/>
              <w:bottom w:val="single" w:sz="4" w:space="0" w:color="auto"/>
              <w:right w:val="single" w:sz="4" w:space="0" w:color="auto"/>
            </w:tcBorders>
          </w:tcPr>
          <w:p w14:paraId="6DBE3637" w14:textId="77777777" w:rsidR="00C36D57" w:rsidRPr="002041DF" w:rsidRDefault="00C36D57" w:rsidP="002041DF">
            <w:pPr>
              <w:pStyle w:val="Header"/>
              <w:widowControl w:val="0"/>
              <w:rPr>
                <w:sz w:val="22"/>
                <w:szCs w:val="22"/>
                <w:lang w:val="sr-Latn-ME"/>
              </w:rPr>
            </w:pPr>
            <w:r w:rsidRPr="002041DF">
              <w:rPr>
                <w:sz w:val="22"/>
                <w:szCs w:val="22"/>
                <w:lang w:val="sr-Latn-ME"/>
              </w:rPr>
              <w:t>12 (4%)</w:t>
            </w:r>
          </w:p>
        </w:tc>
        <w:tc>
          <w:tcPr>
            <w:tcW w:w="1276" w:type="dxa"/>
            <w:tcBorders>
              <w:top w:val="single" w:sz="4" w:space="0" w:color="auto"/>
              <w:left w:val="single" w:sz="4" w:space="0" w:color="auto"/>
              <w:bottom w:val="single" w:sz="4" w:space="0" w:color="auto"/>
              <w:right w:val="single" w:sz="4" w:space="0" w:color="auto"/>
            </w:tcBorders>
          </w:tcPr>
          <w:p w14:paraId="3532D464" w14:textId="77777777" w:rsidR="00C36D57" w:rsidRPr="002041DF" w:rsidRDefault="00C36D57" w:rsidP="002041DF">
            <w:pPr>
              <w:pStyle w:val="Header"/>
              <w:widowControl w:val="0"/>
              <w:rPr>
                <w:sz w:val="22"/>
                <w:szCs w:val="22"/>
                <w:lang w:val="sr-Latn-ME"/>
              </w:rPr>
            </w:pPr>
            <w:r w:rsidRPr="002041DF">
              <w:rPr>
                <w:sz w:val="22"/>
                <w:szCs w:val="22"/>
                <w:lang w:val="sr-Latn-ME"/>
              </w:rPr>
              <w:t>218 (73%)</w:t>
            </w:r>
          </w:p>
        </w:tc>
        <w:tc>
          <w:tcPr>
            <w:tcW w:w="1276" w:type="dxa"/>
            <w:tcBorders>
              <w:top w:val="single" w:sz="4" w:space="0" w:color="auto"/>
              <w:left w:val="single" w:sz="4" w:space="0" w:color="auto"/>
              <w:bottom w:val="single" w:sz="4" w:space="0" w:color="auto"/>
              <w:right w:val="single" w:sz="4" w:space="0" w:color="auto"/>
            </w:tcBorders>
          </w:tcPr>
          <w:p w14:paraId="7A0AD645" w14:textId="77777777" w:rsidR="00C36D57" w:rsidRPr="002041DF" w:rsidRDefault="00C36D57" w:rsidP="002041DF">
            <w:pPr>
              <w:pStyle w:val="Header"/>
              <w:widowControl w:val="0"/>
              <w:rPr>
                <w:sz w:val="22"/>
                <w:szCs w:val="22"/>
                <w:lang w:val="sr-Latn-ME"/>
              </w:rPr>
            </w:pPr>
            <w:r w:rsidRPr="002041DF">
              <w:rPr>
                <w:sz w:val="22"/>
                <w:szCs w:val="22"/>
                <w:lang w:val="sr-Latn-ME"/>
              </w:rPr>
              <w:t>225 (78%)</w:t>
            </w:r>
          </w:p>
        </w:tc>
        <w:tc>
          <w:tcPr>
            <w:tcW w:w="1276" w:type="dxa"/>
            <w:tcBorders>
              <w:top w:val="single" w:sz="4" w:space="0" w:color="auto"/>
              <w:left w:val="single" w:sz="4" w:space="0" w:color="auto"/>
              <w:bottom w:val="single" w:sz="4" w:space="0" w:color="auto"/>
              <w:right w:val="single" w:sz="4" w:space="0" w:color="auto"/>
            </w:tcBorders>
          </w:tcPr>
          <w:p w14:paraId="0CCAFC05" w14:textId="77777777" w:rsidR="00C36D57" w:rsidRPr="002041DF" w:rsidRDefault="00C36D57" w:rsidP="002041DF">
            <w:pPr>
              <w:pStyle w:val="Header"/>
              <w:widowControl w:val="0"/>
              <w:rPr>
                <w:sz w:val="22"/>
                <w:szCs w:val="22"/>
                <w:lang w:val="sr-Latn-ME"/>
              </w:rPr>
            </w:pPr>
            <w:r w:rsidRPr="002041DF">
              <w:rPr>
                <w:sz w:val="22"/>
                <w:szCs w:val="22"/>
                <w:lang w:val="sr-Latn-ME"/>
              </w:rPr>
              <w:t>217 (76%)</w:t>
            </w:r>
          </w:p>
        </w:tc>
        <w:tc>
          <w:tcPr>
            <w:tcW w:w="1335" w:type="dxa"/>
            <w:tcBorders>
              <w:top w:val="single" w:sz="4" w:space="0" w:color="auto"/>
              <w:left w:val="single" w:sz="4" w:space="0" w:color="auto"/>
              <w:bottom w:val="single" w:sz="4" w:space="0" w:color="auto"/>
              <w:right w:val="single" w:sz="4" w:space="0" w:color="auto"/>
            </w:tcBorders>
          </w:tcPr>
          <w:p w14:paraId="62331578" w14:textId="77777777" w:rsidR="00C36D57" w:rsidRPr="002041DF" w:rsidRDefault="00C36D57" w:rsidP="002041DF">
            <w:pPr>
              <w:pStyle w:val="Header"/>
              <w:widowControl w:val="0"/>
              <w:rPr>
                <w:sz w:val="22"/>
                <w:szCs w:val="22"/>
                <w:lang w:val="sr-Latn-ME"/>
              </w:rPr>
            </w:pPr>
            <w:r w:rsidRPr="002041DF">
              <w:rPr>
                <w:sz w:val="22"/>
                <w:szCs w:val="22"/>
                <w:lang w:val="sr-Latn-ME"/>
              </w:rPr>
              <w:t>226 (81%)</w:t>
            </w:r>
          </w:p>
        </w:tc>
      </w:tr>
      <w:tr w:rsidR="00C36D57" w:rsidRPr="002041DF" w14:paraId="39015D23" w14:textId="77777777" w:rsidTr="007C6E24">
        <w:tc>
          <w:tcPr>
            <w:tcW w:w="3256" w:type="dxa"/>
            <w:tcBorders>
              <w:top w:val="single" w:sz="4" w:space="0" w:color="auto"/>
              <w:left w:val="single" w:sz="4" w:space="0" w:color="auto"/>
              <w:bottom w:val="single" w:sz="4" w:space="0" w:color="auto"/>
              <w:right w:val="single" w:sz="4" w:space="0" w:color="auto"/>
            </w:tcBorders>
          </w:tcPr>
          <w:p w14:paraId="07B8CD67" w14:textId="77777777" w:rsidR="00C36D57" w:rsidRPr="002041DF" w:rsidRDefault="00C36D57" w:rsidP="002041DF">
            <w:pPr>
              <w:pStyle w:val="Header"/>
              <w:widowControl w:val="0"/>
              <w:ind w:right="474"/>
              <w:rPr>
                <w:sz w:val="22"/>
                <w:szCs w:val="22"/>
                <w:lang w:val="sr-Latn-ME"/>
              </w:rPr>
            </w:pPr>
            <w:r w:rsidRPr="002041DF">
              <w:rPr>
                <w:sz w:val="22"/>
                <w:szCs w:val="22"/>
                <w:lang w:val="sr-Latn-ME"/>
              </w:rPr>
              <w:t>Broj pacijenata &gt; 100 kg</w:t>
            </w:r>
          </w:p>
        </w:tc>
        <w:tc>
          <w:tcPr>
            <w:tcW w:w="1275" w:type="dxa"/>
            <w:tcBorders>
              <w:top w:val="single" w:sz="4" w:space="0" w:color="auto"/>
              <w:left w:val="single" w:sz="4" w:space="0" w:color="auto"/>
              <w:bottom w:val="single" w:sz="4" w:space="0" w:color="auto"/>
              <w:right w:val="single" w:sz="4" w:space="0" w:color="auto"/>
            </w:tcBorders>
          </w:tcPr>
          <w:p w14:paraId="57AC8C15" w14:textId="77777777" w:rsidR="00C36D57" w:rsidRPr="002041DF" w:rsidRDefault="00C36D57" w:rsidP="002041DF">
            <w:pPr>
              <w:pStyle w:val="Header"/>
              <w:widowControl w:val="0"/>
              <w:rPr>
                <w:sz w:val="22"/>
                <w:szCs w:val="22"/>
                <w:lang w:val="sr-Latn-ME"/>
              </w:rPr>
            </w:pPr>
            <w:r w:rsidRPr="002041DF">
              <w:rPr>
                <w:sz w:val="22"/>
                <w:szCs w:val="22"/>
                <w:lang w:val="sr-Latn-ME"/>
              </w:rPr>
              <w:t>120</w:t>
            </w:r>
          </w:p>
        </w:tc>
        <w:tc>
          <w:tcPr>
            <w:tcW w:w="1276" w:type="dxa"/>
            <w:tcBorders>
              <w:top w:val="single" w:sz="4" w:space="0" w:color="auto"/>
              <w:left w:val="single" w:sz="4" w:space="0" w:color="auto"/>
              <w:bottom w:val="single" w:sz="4" w:space="0" w:color="auto"/>
              <w:right w:val="single" w:sz="4" w:space="0" w:color="auto"/>
            </w:tcBorders>
          </w:tcPr>
          <w:p w14:paraId="1186ED27" w14:textId="77777777" w:rsidR="00C36D57" w:rsidRPr="002041DF" w:rsidRDefault="00C36D57" w:rsidP="002041DF">
            <w:pPr>
              <w:pStyle w:val="Header"/>
              <w:widowControl w:val="0"/>
              <w:rPr>
                <w:sz w:val="22"/>
                <w:szCs w:val="22"/>
                <w:lang w:val="sr-Latn-ME"/>
              </w:rPr>
            </w:pPr>
            <w:r w:rsidRPr="002041DF">
              <w:rPr>
                <w:sz w:val="22"/>
                <w:szCs w:val="22"/>
                <w:lang w:val="sr-Latn-ME"/>
              </w:rPr>
              <w:t>112</w:t>
            </w:r>
          </w:p>
        </w:tc>
        <w:tc>
          <w:tcPr>
            <w:tcW w:w="1276" w:type="dxa"/>
            <w:tcBorders>
              <w:top w:val="single" w:sz="4" w:space="0" w:color="auto"/>
              <w:left w:val="single" w:sz="4" w:space="0" w:color="auto"/>
              <w:bottom w:val="single" w:sz="4" w:space="0" w:color="auto"/>
              <w:right w:val="single" w:sz="4" w:space="0" w:color="auto"/>
            </w:tcBorders>
          </w:tcPr>
          <w:p w14:paraId="0044BDC0" w14:textId="77777777" w:rsidR="00C36D57" w:rsidRPr="002041DF" w:rsidRDefault="00C36D57" w:rsidP="002041DF">
            <w:pPr>
              <w:pStyle w:val="Header"/>
              <w:widowControl w:val="0"/>
              <w:rPr>
                <w:sz w:val="22"/>
                <w:szCs w:val="22"/>
                <w:lang w:val="sr-Latn-ME"/>
              </w:rPr>
            </w:pPr>
            <w:r w:rsidRPr="002041DF">
              <w:rPr>
                <w:sz w:val="22"/>
                <w:szCs w:val="22"/>
                <w:lang w:val="sr-Latn-ME"/>
              </w:rPr>
              <w:t>121</w:t>
            </w:r>
          </w:p>
        </w:tc>
        <w:tc>
          <w:tcPr>
            <w:tcW w:w="1276" w:type="dxa"/>
            <w:tcBorders>
              <w:top w:val="single" w:sz="4" w:space="0" w:color="auto"/>
              <w:left w:val="single" w:sz="4" w:space="0" w:color="auto"/>
              <w:bottom w:val="single" w:sz="4" w:space="0" w:color="auto"/>
              <w:right w:val="single" w:sz="4" w:space="0" w:color="auto"/>
            </w:tcBorders>
          </w:tcPr>
          <w:p w14:paraId="68301449" w14:textId="77777777" w:rsidR="00C36D57" w:rsidRPr="002041DF" w:rsidRDefault="00C36D57" w:rsidP="002041DF">
            <w:pPr>
              <w:pStyle w:val="Header"/>
              <w:widowControl w:val="0"/>
              <w:rPr>
                <w:sz w:val="22"/>
                <w:szCs w:val="22"/>
                <w:lang w:val="sr-Latn-ME"/>
              </w:rPr>
            </w:pPr>
            <w:r w:rsidRPr="002041DF">
              <w:rPr>
                <w:sz w:val="22"/>
                <w:szCs w:val="22"/>
                <w:lang w:val="sr-Latn-ME"/>
              </w:rPr>
              <w:t>110</w:t>
            </w:r>
          </w:p>
        </w:tc>
        <w:tc>
          <w:tcPr>
            <w:tcW w:w="1335" w:type="dxa"/>
            <w:tcBorders>
              <w:top w:val="single" w:sz="4" w:space="0" w:color="auto"/>
              <w:left w:val="single" w:sz="4" w:space="0" w:color="auto"/>
              <w:bottom w:val="single" w:sz="4" w:space="0" w:color="auto"/>
              <w:right w:val="single" w:sz="4" w:space="0" w:color="auto"/>
            </w:tcBorders>
          </w:tcPr>
          <w:p w14:paraId="178734CD" w14:textId="77777777" w:rsidR="00C36D57" w:rsidRPr="002041DF" w:rsidRDefault="00C36D57" w:rsidP="002041DF">
            <w:pPr>
              <w:pStyle w:val="Header"/>
              <w:widowControl w:val="0"/>
              <w:rPr>
                <w:sz w:val="22"/>
                <w:szCs w:val="22"/>
                <w:lang w:val="sr-Latn-ME"/>
              </w:rPr>
            </w:pPr>
            <w:r w:rsidRPr="002041DF">
              <w:rPr>
                <w:sz w:val="22"/>
                <w:szCs w:val="22"/>
                <w:lang w:val="sr-Latn-ME"/>
              </w:rPr>
              <w:t>119</w:t>
            </w:r>
          </w:p>
        </w:tc>
      </w:tr>
      <w:tr w:rsidR="00C36D57" w:rsidRPr="002041DF" w14:paraId="6DFEA9AA" w14:textId="77777777" w:rsidTr="007C6E24">
        <w:tc>
          <w:tcPr>
            <w:tcW w:w="3256" w:type="dxa"/>
            <w:tcBorders>
              <w:top w:val="single" w:sz="4" w:space="0" w:color="auto"/>
              <w:left w:val="single" w:sz="4" w:space="0" w:color="auto"/>
              <w:bottom w:val="single" w:sz="4" w:space="0" w:color="auto"/>
              <w:right w:val="single" w:sz="4" w:space="0" w:color="auto"/>
            </w:tcBorders>
          </w:tcPr>
          <w:p w14:paraId="045ED831" w14:textId="77777777" w:rsidR="00C36D57" w:rsidRPr="002041DF" w:rsidRDefault="00C36D57" w:rsidP="002041DF">
            <w:pPr>
              <w:pStyle w:val="Header"/>
              <w:widowControl w:val="0"/>
              <w:ind w:right="474"/>
              <w:rPr>
                <w:sz w:val="22"/>
                <w:szCs w:val="22"/>
                <w:lang w:val="sr-Latn-ME"/>
              </w:rPr>
            </w:pPr>
            <w:r w:rsidRPr="002041DF">
              <w:rPr>
                <w:sz w:val="22"/>
                <w:szCs w:val="22"/>
                <w:lang w:val="sr-Latn-ME"/>
              </w:rPr>
              <w:t>PASI 75 odgovor N (%)</w:t>
            </w:r>
          </w:p>
        </w:tc>
        <w:tc>
          <w:tcPr>
            <w:tcW w:w="1275" w:type="dxa"/>
            <w:tcBorders>
              <w:top w:val="single" w:sz="4" w:space="0" w:color="auto"/>
              <w:left w:val="single" w:sz="4" w:space="0" w:color="auto"/>
              <w:bottom w:val="single" w:sz="4" w:space="0" w:color="auto"/>
              <w:right w:val="single" w:sz="4" w:space="0" w:color="auto"/>
            </w:tcBorders>
          </w:tcPr>
          <w:p w14:paraId="4598866C" w14:textId="77777777" w:rsidR="00C36D57" w:rsidRPr="002041DF" w:rsidRDefault="00C36D57" w:rsidP="002041DF">
            <w:pPr>
              <w:pStyle w:val="Header"/>
              <w:widowControl w:val="0"/>
              <w:rPr>
                <w:sz w:val="22"/>
                <w:szCs w:val="22"/>
                <w:lang w:val="sr-Latn-ME"/>
              </w:rPr>
            </w:pPr>
            <w:r w:rsidRPr="002041DF">
              <w:rPr>
                <w:sz w:val="22"/>
                <w:szCs w:val="22"/>
                <w:lang w:val="sr-Latn-ME"/>
              </w:rPr>
              <w:t>3 (3%)</w:t>
            </w:r>
          </w:p>
        </w:tc>
        <w:tc>
          <w:tcPr>
            <w:tcW w:w="1276" w:type="dxa"/>
            <w:tcBorders>
              <w:top w:val="single" w:sz="4" w:space="0" w:color="auto"/>
              <w:left w:val="single" w:sz="4" w:space="0" w:color="auto"/>
              <w:bottom w:val="single" w:sz="4" w:space="0" w:color="auto"/>
              <w:right w:val="single" w:sz="4" w:space="0" w:color="auto"/>
            </w:tcBorders>
          </w:tcPr>
          <w:p w14:paraId="0769C709" w14:textId="77777777" w:rsidR="00C36D57" w:rsidRPr="002041DF" w:rsidRDefault="00C36D57" w:rsidP="002041DF">
            <w:pPr>
              <w:pStyle w:val="Header"/>
              <w:widowControl w:val="0"/>
              <w:rPr>
                <w:sz w:val="22"/>
                <w:szCs w:val="22"/>
                <w:lang w:val="sr-Latn-ME"/>
              </w:rPr>
            </w:pPr>
            <w:r w:rsidRPr="002041DF">
              <w:rPr>
                <w:sz w:val="22"/>
                <w:szCs w:val="22"/>
                <w:lang w:val="sr-Latn-ME"/>
              </w:rPr>
              <w:t>55 (49%)</w:t>
            </w:r>
          </w:p>
        </w:tc>
        <w:tc>
          <w:tcPr>
            <w:tcW w:w="1276" w:type="dxa"/>
            <w:tcBorders>
              <w:top w:val="single" w:sz="4" w:space="0" w:color="auto"/>
              <w:left w:val="single" w:sz="4" w:space="0" w:color="auto"/>
              <w:bottom w:val="single" w:sz="4" w:space="0" w:color="auto"/>
              <w:right w:val="single" w:sz="4" w:space="0" w:color="auto"/>
            </w:tcBorders>
          </w:tcPr>
          <w:p w14:paraId="00056A08" w14:textId="77777777" w:rsidR="00C36D57" w:rsidRPr="002041DF" w:rsidRDefault="00C36D57" w:rsidP="002041DF">
            <w:pPr>
              <w:pStyle w:val="Header"/>
              <w:widowControl w:val="0"/>
              <w:rPr>
                <w:sz w:val="22"/>
                <w:szCs w:val="22"/>
                <w:lang w:val="sr-Latn-ME"/>
              </w:rPr>
            </w:pPr>
            <w:r w:rsidRPr="002041DF">
              <w:rPr>
                <w:sz w:val="22"/>
                <w:szCs w:val="22"/>
                <w:lang w:val="sr-Latn-ME"/>
              </w:rPr>
              <w:t>86 (71%)</w:t>
            </w:r>
          </w:p>
        </w:tc>
        <w:tc>
          <w:tcPr>
            <w:tcW w:w="1276" w:type="dxa"/>
            <w:tcBorders>
              <w:top w:val="single" w:sz="4" w:space="0" w:color="auto"/>
              <w:left w:val="single" w:sz="4" w:space="0" w:color="auto"/>
              <w:bottom w:val="single" w:sz="4" w:space="0" w:color="auto"/>
              <w:right w:val="single" w:sz="4" w:space="0" w:color="auto"/>
            </w:tcBorders>
          </w:tcPr>
          <w:p w14:paraId="6AC16C80" w14:textId="77777777" w:rsidR="00C36D57" w:rsidRPr="002041DF" w:rsidRDefault="00C36D57" w:rsidP="002041DF">
            <w:pPr>
              <w:pStyle w:val="Header"/>
              <w:widowControl w:val="0"/>
              <w:rPr>
                <w:sz w:val="22"/>
                <w:szCs w:val="22"/>
                <w:lang w:val="sr-Latn-ME"/>
              </w:rPr>
            </w:pPr>
            <w:r w:rsidRPr="002041DF">
              <w:rPr>
                <w:sz w:val="22"/>
                <w:szCs w:val="22"/>
                <w:lang w:val="sr-Latn-ME"/>
              </w:rPr>
              <w:t>59 (54%)</w:t>
            </w:r>
          </w:p>
        </w:tc>
        <w:tc>
          <w:tcPr>
            <w:tcW w:w="1335" w:type="dxa"/>
            <w:tcBorders>
              <w:top w:val="single" w:sz="4" w:space="0" w:color="auto"/>
              <w:left w:val="single" w:sz="4" w:space="0" w:color="auto"/>
              <w:bottom w:val="single" w:sz="4" w:space="0" w:color="auto"/>
              <w:right w:val="single" w:sz="4" w:space="0" w:color="auto"/>
            </w:tcBorders>
          </w:tcPr>
          <w:p w14:paraId="196C622A" w14:textId="77777777" w:rsidR="00C36D57" w:rsidRPr="002041DF" w:rsidRDefault="00C36D57" w:rsidP="002041DF">
            <w:pPr>
              <w:pStyle w:val="Header"/>
              <w:widowControl w:val="0"/>
              <w:rPr>
                <w:sz w:val="22"/>
                <w:szCs w:val="22"/>
                <w:lang w:val="sr-Latn-ME"/>
              </w:rPr>
            </w:pPr>
            <w:r w:rsidRPr="002041DF">
              <w:rPr>
                <w:sz w:val="22"/>
                <w:szCs w:val="22"/>
                <w:lang w:val="sr-Latn-ME"/>
              </w:rPr>
              <w:t>88 (74%)</w:t>
            </w:r>
          </w:p>
        </w:tc>
      </w:tr>
    </w:tbl>
    <w:p w14:paraId="70932E4A" w14:textId="77777777" w:rsidR="00C36D57" w:rsidRPr="007C6E24" w:rsidRDefault="00C36D57" w:rsidP="002041DF">
      <w:pPr>
        <w:pStyle w:val="Header"/>
        <w:widowControl w:val="0"/>
        <w:tabs>
          <w:tab w:val="left" w:pos="284"/>
        </w:tabs>
        <w:jc w:val="both"/>
        <w:rPr>
          <w:sz w:val="20"/>
          <w:szCs w:val="22"/>
          <w:lang w:val="sr-Latn-ME"/>
        </w:rPr>
      </w:pPr>
      <w:r w:rsidRPr="007C6E24">
        <w:rPr>
          <w:sz w:val="20"/>
          <w:szCs w:val="22"/>
          <w:vertAlign w:val="superscript"/>
          <w:lang w:val="sr-Latn-ME"/>
        </w:rPr>
        <w:t>a</w:t>
      </w:r>
      <w:r w:rsidRPr="007C6E24">
        <w:rPr>
          <w:sz w:val="20"/>
          <w:szCs w:val="22"/>
          <w:lang w:val="sr-Latn-ME"/>
        </w:rPr>
        <w:t xml:space="preserve"> p &lt; 0,001 za 45 mg ili 90 mg u poređenju sa placebom (PBO).</w:t>
      </w:r>
    </w:p>
    <w:p w14:paraId="5963D21B" w14:textId="00D92806" w:rsidR="00C36D57" w:rsidRPr="007C6E24" w:rsidRDefault="00C36D57" w:rsidP="002041DF">
      <w:pPr>
        <w:pStyle w:val="Header"/>
        <w:widowControl w:val="0"/>
        <w:tabs>
          <w:tab w:val="left" w:pos="284"/>
        </w:tabs>
        <w:jc w:val="both"/>
        <w:rPr>
          <w:sz w:val="20"/>
          <w:szCs w:val="22"/>
          <w:lang w:val="sr-Latn-ME"/>
        </w:rPr>
      </w:pPr>
      <w:r w:rsidRPr="007C6E24">
        <w:rPr>
          <w:sz w:val="20"/>
          <w:szCs w:val="22"/>
          <w:vertAlign w:val="superscript"/>
          <w:lang w:val="sr-Latn-ME"/>
        </w:rPr>
        <w:t xml:space="preserve">b </w:t>
      </w:r>
      <w:r w:rsidRPr="007C6E24">
        <w:rPr>
          <w:sz w:val="20"/>
          <w:szCs w:val="22"/>
          <w:lang w:val="sr-Latn-ME"/>
        </w:rPr>
        <w:t>PGA = sveobuhvatna proc</w:t>
      </w:r>
      <w:r w:rsidR="00802A66" w:rsidRPr="007C6E24">
        <w:rPr>
          <w:sz w:val="20"/>
          <w:szCs w:val="22"/>
          <w:lang w:val="sr-Latn-ME"/>
        </w:rPr>
        <w:t>j</w:t>
      </w:r>
      <w:r w:rsidRPr="007C6E24">
        <w:rPr>
          <w:sz w:val="20"/>
          <w:szCs w:val="22"/>
          <w:lang w:val="sr-Latn-ME"/>
        </w:rPr>
        <w:t xml:space="preserve">ena </w:t>
      </w:r>
      <w:r w:rsidR="00C23E53" w:rsidRPr="007C6E24">
        <w:rPr>
          <w:sz w:val="20"/>
          <w:szCs w:val="22"/>
          <w:lang w:val="sr-Latn-ME"/>
        </w:rPr>
        <w:t>ljekar</w:t>
      </w:r>
      <w:r w:rsidRPr="007C6E24">
        <w:rPr>
          <w:sz w:val="20"/>
          <w:szCs w:val="22"/>
          <w:lang w:val="sr-Latn-ME"/>
        </w:rPr>
        <w:t xml:space="preserve">a (engl. </w:t>
      </w:r>
      <w:r w:rsidRPr="007C6E24">
        <w:rPr>
          <w:i/>
          <w:sz w:val="20"/>
          <w:szCs w:val="22"/>
          <w:lang w:val="sr-Latn-ME"/>
        </w:rPr>
        <w:t>Physician Global Assessment, PGA</w:t>
      </w:r>
      <w:r w:rsidRPr="007C6E24">
        <w:rPr>
          <w:sz w:val="20"/>
          <w:szCs w:val="22"/>
          <w:lang w:val="sr-Latn-ME"/>
        </w:rPr>
        <w:t>)</w:t>
      </w:r>
    </w:p>
    <w:p w14:paraId="01774791" w14:textId="77777777" w:rsidR="00C36D57" w:rsidRPr="002041DF" w:rsidRDefault="00C36D57" w:rsidP="002041DF">
      <w:pPr>
        <w:pStyle w:val="Header"/>
        <w:widowControl w:val="0"/>
        <w:tabs>
          <w:tab w:val="left" w:pos="284"/>
        </w:tabs>
        <w:jc w:val="both"/>
        <w:rPr>
          <w:sz w:val="22"/>
          <w:szCs w:val="22"/>
          <w:lang w:val="sr-Latn-ME"/>
        </w:rPr>
      </w:pPr>
    </w:p>
    <w:p w14:paraId="58013E65" w14:textId="25E12B9F" w:rsidR="00C36D57" w:rsidRPr="002041DF" w:rsidRDefault="00C36D57" w:rsidP="002041DF">
      <w:pPr>
        <w:pStyle w:val="Header"/>
        <w:widowControl w:val="0"/>
        <w:tabs>
          <w:tab w:val="left" w:pos="284"/>
        </w:tabs>
        <w:jc w:val="both"/>
        <w:rPr>
          <w:i/>
          <w:sz w:val="22"/>
          <w:szCs w:val="22"/>
          <w:lang w:val="sr-Latn-ME"/>
        </w:rPr>
      </w:pPr>
      <w:r w:rsidRPr="002041DF">
        <w:rPr>
          <w:i/>
          <w:sz w:val="22"/>
          <w:szCs w:val="22"/>
          <w:lang w:val="sr-Latn-ME"/>
        </w:rPr>
        <w:t>Tabela 5: Pregled kliničkog odgovora u kliničkom ispitivanju Psorijaza</w:t>
      </w:r>
      <w:r w:rsidRPr="002041DF">
        <w:rPr>
          <w:b/>
          <w:i/>
          <w:sz w:val="22"/>
          <w:szCs w:val="22"/>
          <w:lang w:val="sr-Latn-ME"/>
        </w:rPr>
        <w:t xml:space="preserve"> </w:t>
      </w:r>
      <w:r w:rsidRPr="002041DF">
        <w:rPr>
          <w:i/>
          <w:sz w:val="22"/>
          <w:szCs w:val="22"/>
          <w:lang w:val="sr-Latn-ME"/>
        </w:rPr>
        <w:t xml:space="preserve">3 u 12 </w:t>
      </w:r>
      <w:r w:rsidR="004372C4" w:rsidRPr="002041DF">
        <w:rPr>
          <w:i/>
          <w:sz w:val="22"/>
          <w:szCs w:val="22"/>
          <w:lang w:val="sr-Latn-ME"/>
        </w:rPr>
        <w:t>nedjelji</w:t>
      </w:r>
      <w:r w:rsidRPr="002041DF">
        <w:rPr>
          <w:i/>
          <w:sz w:val="22"/>
          <w:szCs w:val="22"/>
          <w:lang w:val="sr-Latn-ME"/>
        </w:rPr>
        <w:t xml:space="preserve"> ispitivanja (ACCEPT)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972"/>
        <w:gridCol w:w="2693"/>
        <w:gridCol w:w="2268"/>
        <w:gridCol w:w="1692"/>
      </w:tblGrid>
      <w:tr w:rsidR="00C36D57" w:rsidRPr="002041DF" w14:paraId="7EE2745D" w14:textId="77777777" w:rsidTr="00494EF4">
        <w:tc>
          <w:tcPr>
            <w:tcW w:w="2972" w:type="dxa"/>
            <w:vMerge w:val="restart"/>
          </w:tcPr>
          <w:p w14:paraId="697FEBF7" w14:textId="77777777" w:rsidR="00C36D57" w:rsidRPr="002041DF" w:rsidRDefault="00C36D57" w:rsidP="002041DF">
            <w:pPr>
              <w:pStyle w:val="Header"/>
              <w:widowControl w:val="0"/>
              <w:tabs>
                <w:tab w:val="left" w:pos="284"/>
              </w:tabs>
              <w:ind w:right="474"/>
              <w:rPr>
                <w:sz w:val="22"/>
                <w:szCs w:val="22"/>
                <w:lang w:val="sr-Latn-ME"/>
              </w:rPr>
            </w:pPr>
          </w:p>
        </w:tc>
        <w:tc>
          <w:tcPr>
            <w:tcW w:w="6653" w:type="dxa"/>
            <w:gridSpan w:val="3"/>
          </w:tcPr>
          <w:p w14:paraId="6B8C4290" w14:textId="77777777" w:rsidR="00C36D57" w:rsidRPr="002041DF" w:rsidRDefault="00C36D57" w:rsidP="002041DF">
            <w:pPr>
              <w:pStyle w:val="Header"/>
              <w:widowControl w:val="0"/>
              <w:tabs>
                <w:tab w:val="left" w:pos="284"/>
              </w:tabs>
              <w:ind w:right="474"/>
              <w:rPr>
                <w:sz w:val="22"/>
                <w:szCs w:val="22"/>
                <w:lang w:val="sr-Latn-ME"/>
              </w:rPr>
            </w:pPr>
            <w:r w:rsidRPr="002041DF">
              <w:rPr>
                <w:sz w:val="22"/>
                <w:szCs w:val="22"/>
                <w:lang w:val="sr-Latn-ME"/>
              </w:rPr>
              <w:t>Kiničko ispitivanja psorijaze 3</w:t>
            </w:r>
          </w:p>
        </w:tc>
      </w:tr>
      <w:tr w:rsidR="00C36D57" w:rsidRPr="002041DF" w14:paraId="7CB19F5C" w14:textId="77777777" w:rsidTr="00494EF4">
        <w:trPr>
          <w:trHeight w:val="516"/>
        </w:trPr>
        <w:tc>
          <w:tcPr>
            <w:tcW w:w="2972" w:type="dxa"/>
            <w:vMerge/>
          </w:tcPr>
          <w:p w14:paraId="5096FCE9" w14:textId="77777777" w:rsidR="00C36D57" w:rsidRPr="002041DF" w:rsidRDefault="00C36D57" w:rsidP="002041DF">
            <w:pPr>
              <w:pStyle w:val="Header"/>
              <w:widowControl w:val="0"/>
              <w:tabs>
                <w:tab w:val="left" w:pos="284"/>
              </w:tabs>
              <w:ind w:right="474"/>
              <w:rPr>
                <w:sz w:val="22"/>
                <w:szCs w:val="22"/>
                <w:lang w:val="sr-Latn-ME"/>
              </w:rPr>
            </w:pPr>
          </w:p>
        </w:tc>
        <w:tc>
          <w:tcPr>
            <w:tcW w:w="2693" w:type="dxa"/>
            <w:vMerge w:val="restart"/>
          </w:tcPr>
          <w:p w14:paraId="4B714A7D" w14:textId="77777777" w:rsidR="00C36D57" w:rsidRPr="002041DF" w:rsidRDefault="00C36D57" w:rsidP="002041DF">
            <w:pPr>
              <w:pStyle w:val="Header"/>
              <w:widowControl w:val="0"/>
              <w:tabs>
                <w:tab w:val="left" w:pos="284"/>
              </w:tabs>
              <w:ind w:right="474"/>
              <w:rPr>
                <w:sz w:val="22"/>
                <w:szCs w:val="22"/>
                <w:lang w:val="sr-Latn-ME"/>
              </w:rPr>
            </w:pPr>
            <w:r w:rsidRPr="002041DF">
              <w:rPr>
                <w:sz w:val="22"/>
                <w:szCs w:val="22"/>
                <w:lang w:val="sr-Latn-ME"/>
              </w:rPr>
              <w:t>Etanercept</w:t>
            </w:r>
          </w:p>
          <w:p w14:paraId="54438110" w14:textId="77777777" w:rsidR="00C36D57" w:rsidRPr="002041DF" w:rsidRDefault="00C36D57" w:rsidP="002041DF">
            <w:pPr>
              <w:pStyle w:val="Header"/>
              <w:widowControl w:val="0"/>
              <w:tabs>
                <w:tab w:val="left" w:pos="284"/>
              </w:tabs>
              <w:ind w:right="474"/>
              <w:rPr>
                <w:sz w:val="22"/>
                <w:szCs w:val="22"/>
                <w:lang w:val="sr-Latn-ME"/>
              </w:rPr>
            </w:pPr>
            <w:r w:rsidRPr="002041DF">
              <w:rPr>
                <w:sz w:val="22"/>
                <w:szCs w:val="22"/>
                <w:lang w:val="sr-Latn-ME"/>
              </w:rPr>
              <w:t>24 doza</w:t>
            </w:r>
          </w:p>
          <w:p w14:paraId="3CBB32FB" w14:textId="4A534A81" w:rsidR="00C36D57" w:rsidRPr="002041DF" w:rsidRDefault="00C36D57" w:rsidP="002041DF">
            <w:pPr>
              <w:pStyle w:val="Header"/>
              <w:widowControl w:val="0"/>
              <w:tabs>
                <w:tab w:val="left" w:pos="284"/>
              </w:tabs>
              <w:ind w:right="474"/>
              <w:rPr>
                <w:sz w:val="22"/>
                <w:szCs w:val="22"/>
                <w:lang w:val="sr-Latn-ME"/>
              </w:rPr>
            </w:pPr>
            <w:r w:rsidRPr="002041DF">
              <w:rPr>
                <w:sz w:val="22"/>
                <w:szCs w:val="22"/>
                <w:lang w:val="sr-Latn-ME"/>
              </w:rPr>
              <w:t xml:space="preserve">(50 mg dva puta u toku jedne </w:t>
            </w:r>
            <w:r w:rsidR="004372C4" w:rsidRPr="002041DF">
              <w:rPr>
                <w:sz w:val="22"/>
                <w:szCs w:val="22"/>
                <w:lang w:val="sr-Latn-ME"/>
              </w:rPr>
              <w:t>nedjelje</w:t>
            </w:r>
            <w:r w:rsidRPr="002041DF">
              <w:rPr>
                <w:sz w:val="22"/>
                <w:szCs w:val="22"/>
                <w:lang w:val="sr-Latn-ME"/>
              </w:rPr>
              <w:t>)</w:t>
            </w:r>
          </w:p>
        </w:tc>
        <w:tc>
          <w:tcPr>
            <w:tcW w:w="3960" w:type="dxa"/>
            <w:gridSpan w:val="2"/>
          </w:tcPr>
          <w:p w14:paraId="749F9DCC" w14:textId="77777777" w:rsidR="00C36D57" w:rsidRPr="002041DF" w:rsidRDefault="00C36D57" w:rsidP="002041DF">
            <w:pPr>
              <w:pStyle w:val="Header"/>
              <w:widowControl w:val="0"/>
              <w:tabs>
                <w:tab w:val="left" w:pos="284"/>
              </w:tabs>
              <w:ind w:right="474"/>
              <w:rPr>
                <w:sz w:val="22"/>
                <w:szCs w:val="22"/>
                <w:lang w:val="sr-Latn-ME"/>
              </w:rPr>
            </w:pPr>
            <w:r w:rsidRPr="002041DF">
              <w:rPr>
                <w:sz w:val="22"/>
                <w:szCs w:val="22"/>
                <w:lang w:val="sr-Latn-ME"/>
              </w:rPr>
              <w:t>Ustekinumab</w:t>
            </w:r>
          </w:p>
          <w:p w14:paraId="2A759A6A" w14:textId="4BB50AF6" w:rsidR="00C36D57" w:rsidRPr="002041DF" w:rsidRDefault="00C36D57" w:rsidP="002041DF">
            <w:pPr>
              <w:pStyle w:val="Header"/>
              <w:widowControl w:val="0"/>
              <w:tabs>
                <w:tab w:val="left" w:pos="284"/>
              </w:tabs>
              <w:ind w:right="474"/>
              <w:rPr>
                <w:sz w:val="22"/>
                <w:szCs w:val="22"/>
                <w:lang w:val="sr-Latn-ME"/>
              </w:rPr>
            </w:pPr>
            <w:r w:rsidRPr="002041DF">
              <w:rPr>
                <w:sz w:val="22"/>
                <w:szCs w:val="22"/>
                <w:lang w:val="sr-Latn-ME"/>
              </w:rPr>
              <w:t>2 doze (</w:t>
            </w:r>
            <w:r w:rsidR="004372C4" w:rsidRPr="002041DF">
              <w:rPr>
                <w:sz w:val="22"/>
                <w:szCs w:val="22"/>
                <w:lang w:val="sr-Latn-ME"/>
              </w:rPr>
              <w:t>Nedjelja</w:t>
            </w:r>
            <w:r w:rsidRPr="002041DF">
              <w:rPr>
                <w:sz w:val="22"/>
                <w:szCs w:val="22"/>
                <w:lang w:val="sr-Latn-ME"/>
              </w:rPr>
              <w:t xml:space="preserve"> 0 i </w:t>
            </w:r>
            <w:r w:rsidR="004372C4" w:rsidRPr="002041DF">
              <w:rPr>
                <w:sz w:val="22"/>
                <w:szCs w:val="22"/>
                <w:lang w:val="sr-Latn-ME"/>
              </w:rPr>
              <w:t>nedjelja</w:t>
            </w:r>
            <w:r w:rsidRPr="002041DF">
              <w:rPr>
                <w:sz w:val="22"/>
                <w:szCs w:val="22"/>
                <w:lang w:val="sr-Latn-ME"/>
              </w:rPr>
              <w:t xml:space="preserve"> 4)</w:t>
            </w:r>
          </w:p>
        </w:tc>
      </w:tr>
      <w:tr w:rsidR="00C36D57" w:rsidRPr="002041DF" w14:paraId="5A161484" w14:textId="77777777" w:rsidTr="00494EF4">
        <w:tc>
          <w:tcPr>
            <w:tcW w:w="2972" w:type="dxa"/>
            <w:vMerge/>
          </w:tcPr>
          <w:p w14:paraId="453B77DE" w14:textId="77777777" w:rsidR="00C36D57" w:rsidRPr="002041DF" w:rsidRDefault="00C36D57" w:rsidP="002041DF">
            <w:pPr>
              <w:pStyle w:val="Header"/>
              <w:widowControl w:val="0"/>
              <w:tabs>
                <w:tab w:val="left" w:pos="284"/>
              </w:tabs>
              <w:ind w:right="474"/>
              <w:rPr>
                <w:sz w:val="22"/>
                <w:szCs w:val="22"/>
                <w:lang w:val="sr-Latn-ME"/>
              </w:rPr>
            </w:pPr>
          </w:p>
        </w:tc>
        <w:tc>
          <w:tcPr>
            <w:tcW w:w="2693" w:type="dxa"/>
            <w:vMerge/>
          </w:tcPr>
          <w:p w14:paraId="15726BC6" w14:textId="77777777" w:rsidR="00C36D57" w:rsidRPr="002041DF" w:rsidRDefault="00C36D57" w:rsidP="002041DF">
            <w:pPr>
              <w:pStyle w:val="Header"/>
              <w:widowControl w:val="0"/>
              <w:tabs>
                <w:tab w:val="left" w:pos="284"/>
              </w:tabs>
              <w:ind w:right="474"/>
              <w:rPr>
                <w:sz w:val="22"/>
                <w:szCs w:val="22"/>
                <w:lang w:val="sr-Latn-ME"/>
              </w:rPr>
            </w:pPr>
          </w:p>
        </w:tc>
        <w:tc>
          <w:tcPr>
            <w:tcW w:w="2268" w:type="dxa"/>
          </w:tcPr>
          <w:p w14:paraId="619D4286" w14:textId="77777777" w:rsidR="00C36D57" w:rsidRPr="002041DF" w:rsidRDefault="00C36D57" w:rsidP="002041DF">
            <w:pPr>
              <w:pStyle w:val="Header"/>
              <w:widowControl w:val="0"/>
              <w:tabs>
                <w:tab w:val="left" w:pos="284"/>
              </w:tabs>
              <w:ind w:right="474"/>
              <w:rPr>
                <w:sz w:val="22"/>
                <w:szCs w:val="22"/>
                <w:lang w:val="sr-Latn-ME"/>
              </w:rPr>
            </w:pPr>
            <w:r w:rsidRPr="002041DF">
              <w:rPr>
                <w:sz w:val="22"/>
                <w:szCs w:val="22"/>
                <w:lang w:val="sr-Latn-ME"/>
              </w:rPr>
              <w:t>45 mg</w:t>
            </w:r>
          </w:p>
        </w:tc>
        <w:tc>
          <w:tcPr>
            <w:tcW w:w="1692" w:type="dxa"/>
          </w:tcPr>
          <w:p w14:paraId="690E0657" w14:textId="77777777" w:rsidR="00C36D57" w:rsidRPr="002041DF" w:rsidRDefault="00C36D57" w:rsidP="002041DF">
            <w:pPr>
              <w:pStyle w:val="Header"/>
              <w:widowControl w:val="0"/>
              <w:tabs>
                <w:tab w:val="left" w:pos="284"/>
              </w:tabs>
              <w:ind w:right="474"/>
              <w:rPr>
                <w:sz w:val="22"/>
                <w:szCs w:val="22"/>
                <w:lang w:val="sr-Latn-ME"/>
              </w:rPr>
            </w:pPr>
            <w:r w:rsidRPr="002041DF">
              <w:rPr>
                <w:sz w:val="22"/>
                <w:szCs w:val="22"/>
                <w:lang w:val="sr-Latn-ME"/>
              </w:rPr>
              <w:t>90 mg</w:t>
            </w:r>
          </w:p>
        </w:tc>
      </w:tr>
      <w:tr w:rsidR="00C36D57" w:rsidRPr="002041DF" w14:paraId="5E768AB5" w14:textId="77777777" w:rsidTr="00494EF4">
        <w:tc>
          <w:tcPr>
            <w:tcW w:w="2972" w:type="dxa"/>
          </w:tcPr>
          <w:p w14:paraId="1C1DEEC9" w14:textId="7E68BBBF" w:rsidR="00C36D57" w:rsidRPr="002041DF" w:rsidRDefault="00C36D57" w:rsidP="002041DF">
            <w:pPr>
              <w:pStyle w:val="Header"/>
              <w:widowControl w:val="0"/>
              <w:tabs>
                <w:tab w:val="left" w:pos="284"/>
              </w:tabs>
              <w:ind w:right="474"/>
              <w:rPr>
                <w:sz w:val="22"/>
                <w:szCs w:val="22"/>
                <w:lang w:val="sr-Latn-ME"/>
              </w:rPr>
            </w:pPr>
            <w:r w:rsidRPr="002041DF">
              <w:rPr>
                <w:sz w:val="22"/>
                <w:szCs w:val="22"/>
                <w:lang w:val="sr-Latn-ME"/>
              </w:rPr>
              <w:t xml:space="preserve">Broj pacijenata koji je </w:t>
            </w:r>
            <w:r w:rsidR="00147656" w:rsidRPr="002041DF">
              <w:rPr>
                <w:sz w:val="22"/>
                <w:szCs w:val="22"/>
                <w:lang w:val="sr-Latn-ME"/>
              </w:rPr>
              <w:t>randomizovan</w:t>
            </w:r>
          </w:p>
        </w:tc>
        <w:tc>
          <w:tcPr>
            <w:tcW w:w="2693" w:type="dxa"/>
          </w:tcPr>
          <w:p w14:paraId="435E5EE6" w14:textId="77777777" w:rsidR="00C36D57" w:rsidRPr="002041DF" w:rsidRDefault="00C36D57" w:rsidP="002041DF">
            <w:pPr>
              <w:pStyle w:val="Header"/>
              <w:widowControl w:val="0"/>
              <w:tabs>
                <w:tab w:val="left" w:pos="284"/>
              </w:tabs>
              <w:ind w:right="474"/>
              <w:rPr>
                <w:sz w:val="22"/>
                <w:szCs w:val="22"/>
                <w:lang w:val="sr-Latn-ME"/>
              </w:rPr>
            </w:pPr>
            <w:r w:rsidRPr="002041DF">
              <w:rPr>
                <w:sz w:val="22"/>
                <w:szCs w:val="22"/>
                <w:lang w:val="sr-Latn-ME"/>
              </w:rPr>
              <w:t>347</w:t>
            </w:r>
          </w:p>
        </w:tc>
        <w:tc>
          <w:tcPr>
            <w:tcW w:w="2268" w:type="dxa"/>
          </w:tcPr>
          <w:p w14:paraId="166B7B25" w14:textId="77777777" w:rsidR="00C36D57" w:rsidRPr="002041DF" w:rsidRDefault="00C36D57" w:rsidP="002041DF">
            <w:pPr>
              <w:pStyle w:val="Header"/>
              <w:widowControl w:val="0"/>
              <w:tabs>
                <w:tab w:val="left" w:pos="284"/>
              </w:tabs>
              <w:ind w:right="474"/>
              <w:rPr>
                <w:sz w:val="22"/>
                <w:szCs w:val="22"/>
                <w:lang w:val="sr-Latn-ME"/>
              </w:rPr>
            </w:pPr>
            <w:r w:rsidRPr="002041DF">
              <w:rPr>
                <w:sz w:val="22"/>
                <w:szCs w:val="22"/>
                <w:lang w:val="sr-Latn-ME"/>
              </w:rPr>
              <w:t>209</w:t>
            </w:r>
          </w:p>
        </w:tc>
        <w:tc>
          <w:tcPr>
            <w:tcW w:w="1692" w:type="dxa"/>
          </w:tcPr>
          <w:p w14:paraId="345FE8E6" w14:textId="77777777" w:rsidR="00C36D57" w:rsidRPr="002041DF" w:rsidRDefault="00C36D57" w:rsidP="002041DF">
            <w:pPr>
              <w:pStyle w:val="Header"/>
              <w:widowControl w:val="0"/>
              <w:tabs>
                <w:tab w:val="left" w:pos="284"/>
              </w:tabs>
              <w:ind w:right="474"/>
              <w:rPr>
                <w:sz w:val="22"/>
                <w:szCs w:val="22"/>
                <w:lang w:val="sr-Latn-ME"/>
              </w:rPr>
            </w:pPr>
            <w:r w:rsidRPr="002041DF">
              <w:rPr>
                <w:sz w:val="22"/>
                <w:szCs w:val="22"/>
                <w:lang w:val="sr-Latn-ME"/>
              </w:rPr>
              <w:t>347</w:t>
            </w:r>
          </w:p>
        </w:tc>
      </w:tr>
      <w:tr w:rsidR="00C36D57" w:rsidRPr="002041DF" w14:paraId="6328E9EB" w14:textId="77777777" w:rsidTr="00494EF4">
        <w:tc>
          <w:tcPr>
            <w:tcW w:w="2972" w:type="dxa"/>
            <w:vAlign w:val="bottom"/>
          </w:tcPr>
          <w:p w14:paraId="04B422B7" w14:textId="77777777" w:rsidR="00C36D57" w:rsidRPr="002041DF" w:rsidRDefault="00C36D57" w:rsidP="002041DF">
            <w:pPr>
              <w:pStyle w:val="Header"/>
              <w:widowControl w:val="0"/>
              <w:ind w:right="474"/>
              <w:rPr>
                <w:sz w:val="22"/>
                <w:szCs w:val="22"/>
                <w:lang w:val="sr-Latn-ME"/>
              </w:rPr>
            </w:pPr>
            <w:r w:rsidRPr="002041DF">
              <w:rPr>
                <w:snapToGrid w:val="0"/>
                <w:sz w:val="22"/>
                <w:szCs w:val="22"/>
                <w:lang w:val="sr-Latn-ME"/>
              </w:rPr>
              <w:t>PASI 50 odgovor N (%)</w:t>
            </w:r>
          </w:p>
        </w:tc>
        <w:tc>
          <w:tcPr>
            <w:tcW w:w="2693" w:type="dxa"/>
          </w:tcPr>
          <w:p w14:paraId="0DA47B9C" w14:textId="77777777" w:rsidR="00C36D57" w:rsidRPr="002041DF" w:rsidRDefault="00C36D57" w:rsidP="002041DF">
            <w:pPr>
              <w:pStyle w:val="Header"/>
              <w:widowControl w:val="0"/>
              <w:tabs>
                <w:tab w:val="left" w:pos="284"/>
              </w:tabs>
              <w:ind w:right="474"/>
              <w:rPr>
                <w:sz w:val="22"/>
                <w:szCs w:val="22"/>
                <w:lang w:val="sr-Latn-ME"/>
              </w:rPr>
            </w:pPr>
            <w:r w:rsidRPr="002041DF">
              <w:rPr>
                <w:sz w:val="22"/>
                <w:szCs w:val="22"/>
                <w:lang w:val="sr-Latn-ME"/>
              </w:rPr>
              <w:t>286 (82%)</w:t>
            </w:r>
          </w:p>
        </w:tc>
        <w:tc>
          <w:tcPr>
            <w:tcW w:w="2268" w:type="dxa"/>
          </w:tcPr>
          <w:p w14:paraId="7A26BAD4" w14:textId="77777777" w:rsidR="00C36D57" w:rsidRPr="002041DF" w:rsidRDefault="00C36D57" w:rsidP="002041DF">
            <w:pPr>
              <w:pStyle w:val="Header"/>
              <w:widowControl w:val="0"/>
              <w:tabs>
                <w:tab w:val="left" w:pos="284"/>
              </w:tabs>
              <w:ind w:right="474"/>
              <w:rPr>
                <w:sz w:val="22"/>
                <w:szCs w:val="22"/>
                <w:lang w:val="sr-Latn-ME"/>
              </w:rPr>
            </w:pPr>
            <w:r w:rsidRPr="002041DF">
              <w:rPr>
                <w:sz w:val="22"/>
                <w:szCs w:val="22"/>
                <w:lang w:val="sr-Latn-ME"/>
              </w:rPr>
              <w:t>181 (87%)</w:t>
            </w:r>
            <w:r w:rsidRPr="002041DF">
              <w:rPr>
                <w:sz w:val="22"/>
                <w:szCs w:val="22"/>
                <w:vertAlign w:val="superscript"/>
                <w:lang w:val="sr-Latn-ME"/>
              </w:rPr>
              <w:t xml:space="preserve"> </w:t>
            </w:r>
          </w:p>
        </w:tc>
        <w:tc>
          <w:tcPr>
            <w:tcW w:w="1692" w:type="dxa"/>
          </w:tcPr>
          <w:p w14:paraId="3ADA48D5" w14:textId="77777777" w:rsidR="00C36D57" w:rsidRPr="002041DF" w:rsidRDefault="00C36D57" w:rsidP="002041DF">
            <w:pPr>
              <w:pStyle w:val="Header"/>
              <w:widowControl w:val="0"/>
              <w:tabs>
                <w:tab w:val="left" w:pos="284"/>
              </w:tabs>
              <w:ind w:right="474"/>
              <w:rPr>
                <w:sz w:val="22"/>
                <w:szCs w:val="22"/>
                <w:lang w:val="sr-Latn-ME"/>
              </w:rPr>
            </w:pPr>
            <w:r w:rsidRPr="002041DF">
              <w:rPr>
                <w:sz w:val="22"/>
                <w:szCs w:val="22"/>
                <w:lang w:val="sr-Latn-ME"/>
              </w:rPr>
              <w:t>320 (92%)</w:t>
            </w:r>
            <w:r w:rsidRPr="002041DF">
              <w:rPr>
                <w:sz w:val="22"/>
                <w:szCs w:val="22"/>
                <w:vertAlign w:val="superscript"/>
                <w:lang w:val="sr-Latn-ME"/>
              </w:rPr>
              <w:t>a</w:t>
            </w:r>
          </w:p>
        </w:tc>
      </w:tr>
      <w:tr w:rsidR="00C36D57" w:rsidRPr="002041DF" w14:paraId="3AF131F7" w14:textId="77777777" w:rsidTr="00494EF4">
        <w:tc>
          <w:tcPr>
            <w:tcW w:w="2972" w:type="dxa"/>
            <w:vAlign w:val="bottom"/>
          </w:tcPr>
          <w:p w14:paraId="33A2D4B5" w14:textId="77777777" w:rsidR="00C36D57" w:rsidRPr="002041DF" w:rsidRDefault="00C36D57" w:rsidP="002041DF">
            <w:pPr>
              <w:pStyle w:val="Header"/>
              <w:widowControl w:val="0"/>
              <w:ind w:right="474"/>
              <w:rPr>
                <w:sz w:val="22"/>
                <w:szCs w:val="22"/>
                <w:lang w:val="sr-Latn-ME"/>
              </w:rPr>
            </w:pPr>
            <w:r w:rsidRPr="002041DF">
              <w:rPr>
                <w:snapToGrid w:val="0"/>
                <w:sz w:val="22"/>
                <w:szCs w:val="22"/>
                <w:lang w:val="sr-Latn-ME"/>
              </w:rPr>
              <w:t>PASI 75 odgovor N (%)</w:t>
            </w:r>
          </w:p>
        </w:tc>
        <w:tc>
          <w:tcPr>
            <w:tcW w:w="2693" w:type="dxa"/>
          </w:tcPr>
          <w:p w14:paraId="08C6F2A8" w14:textId="77777777" w:rsidR="00C36D57" w:rsidRPr="002041DF" w:rsidRDefault="00C36D57" w:rsidP="002041DF">
            <w:pPr>
              <w:pStyle w:val="Header"/>
              <w:widowControl w:val="0"/>
              <w:tabs>
                <w:tab w:val="left" w:pos="284"/>
              </w:tabs>
              <w:ind w:right="474"/>
              <w:rPr>
                <w:sz w:val="22"/>
                <w:szCs w:val="22"/>
                <w:lang w:val="sr-Latn-ME"/>
              </w:rPr>
            </w:pPr>
            <w:r w:rsidRPr="002041DF">
              <w:rPr>
                <w:sz w:val="22"/>
                <w:szCs w:val="22"/>
                <w:lang w:val="sr-Latn-ME"/>
              </w:rPr>
              <w:t>197 (57%)</w:t>
            </w:r>
          </w:p>
        </w:tc>
        <w:tc>
          <w:tcPr>
            <w:tcW w:w="2268" w:type="dxa"/>
          </w:tcPr>
          <w:p w14:paraId="5357D4C5" w14:textId="77777777" w:rsidR="00C36D57" w:rsidRPr="002041DF" w:rsidRDefault="00C36D57" w:rsidP="002041DF">
            <w:pPr>
              <w:pStyle w:val="Header"/>
              <w:widowControl w:val="0"/>
              <w:tabs>
                <w:tab w:val="left" w:pos="284"/>
              </w:tabs>
              <w:ind w:right="474"/>
              <w:rPr>
                <w:sz w:val="22"/>
                <w:szCs w:val="22"/>
                <w:lang w:val="sr-Latn-ME"/>
              </w:rPr>
            </w:pPr>
            <w:r w:rsidRPr="002041DF">
              <w:rPr>
                <w:sz w:val="22"/>
                <w:szCs w:val="22"/>
                <w:lang w:val="sr-Latn-ME"/>
              </w:rPr>
              <w:t>141 (67%)</w:t>
            </w:r>
            <w:r w:rsidRPr="002041DF">
              <w:rPr>
                <w:sz w:val="22"/>
                <w:szCs w:val="22"/>
                <w:vertAlign w:val="superscript"/>
                <w:lang w:val="sr-Latn-ME"/>
              </w:rPr>
              <w:t xml:space="preserve"> b</w:t>
            </w:r>
          </w:p>
        </w:tc>
        <w:tc>
          <w:tcPr>
            <w:tcW w:w="1692" w:type="dxa"/>
          </w:tcPr>
          <w:p w14:paraId="6B8A7D2E" w14:textId="12F77C89" w:rsidR="00C36D57" w:rsidRPr="002041DF" w:rsidRDefault="00C36D57" w:rsidP="002041DF">
            <w:pPr>
              <w:pStyle w:val="Header"/>
              <w:widowControl w:val="0"/>
              <w:tabs>
                <w:tab w:val="left" w:pos="284"/>
              </w:tabs>
              <w:ind w:right="474"/>
              <w:rPr>
                <w:sz w:val="22"/>
                <w:szCs w:val="22"/>
                <w:lang w:val="sr-Latn-ME"/>
              </w:rPr>
            </w:pPr>
            <w:r w:rsidRPr="002041DF">
              <w:rPr>
                <w:sz w:val="22"/>
                <w:szCs w:val="22"/>
                <w:lang w:val="sr-Latn-ME"/>
              </w:rPr>
              <w:t>256 (74%)</w:t>
            </w:r>
            <w:r w:rsidRPr="002041DF">
              <w:rPr>
                <w:sz w:val="22"/>
                <w:szCs w:val="22"/>
                <w:vertAlign w:val="superscript"/>
                <w:lang w:val="sr-Latn-ME"/>
              </w:rPr>
              <w:t>a</w:t>
            </w:r>
          </w:p>
        </w:tc>
      </w:tr>
      <w:tr w:rsidR="00C36D57" w:rsidRPr="002041DF" w14:paraId="13472147" w14:textId="77777777" w:rsidTr="00494EF4">
        <w:tc>
          <w:tcPr>
            <w:tcW w:w="2972" w:type="dxa"/>
          </w:tcPr>
          <w:p w14:paraId="5216AC11" w14:textId="77777777" w:rsidR="00C36D57" w:rsidRPr="002041DF" w:rsidRDefault="00C36D57" w:rsidP="002041DF">
            <w:pPr>
              <w:pStyle w:val="Header"/>
              <w:widowControl w:val="0"/>
              <w:ind w:right="474"/>
              <w:rPr>
                <w:sz w:val="22"/>
                <w:szCs w:val="22"/>
                <w:lang w:val="sr-Latn-ME"/>
              </w:rPr>
            </w:pPr>
            <w:r w:rsidRPr="002041DF">
              <w:rPr>
                <w:sz w:val="22"/>
                <w:szCs w:val="22"/>
                <w:lang w:val="sr-Latn-ME"/>
              </w:rPr>
              <w:t xml:space="preserve">PASI 90 </w:t>
            </w:r>
            <w:r w:rsidRPr="002041DF">
              <w:rPr>
                <w:snapToGrid w:val="0"/>
                <w:sz w:val="22"/>
                <w:szCs w:val="22"/>
                <w:lang w:val="sr-Latn-ME"/>
              </w:rPr>
              <w:t>odgovor</w:t>
            </w:r>
            <w:r w:rsidRPr="002041DF">
              <w:rPr>
                <w:sz w:val="22"/>
                <w:szCs w:val="22"/>
                <w:lang w:val="sr-Latn-ME"/>
              </w:rPr>
              <w:t xml:space="preserve"> N (%)</w:t>
            </w:r>
          </w:p>
        </w:tc>
        <w:tc>
          <w:tcPr>
            <w:tcW w:w="2693" w:type="dxa"/>
          </w:tcPr>
          <w:p w14:paraId="4AD3F220" w14:textId="77777777" w:rsidR="00C36D57" w:rsidRPr="002041DF" w:rsidRDefault="00C36D57" w:rsidP="002041DF">
            <w:pPr>
              <w:pStyle w:val="Header"/>
              <w:widowControl w:val="0"/>
              <w:tabs>
                <w:tab w:val="left" w:pos="284"/>
              </w:tabs>
              <w:ind w:right="474"/>
              <w:rPr>
                <w:sz w:val="22"/>
                <w:szCs w:val="22"/>
                <w:lang w:val="sr-Latn-ME"/>
              </w:rPr>
            </w:pPr>
            <w:r w:rsidRPr="002041DF">
              <w:rPr>
                <w:sz w:val="22"/>
                <w:szCs w:val="22"/>
                <w:lang w:val="sr-Latn-ME"/>
              </w:rPr>
              <w:t>80 (23%)</w:t>
            </w:r>
          </w:p>
        </w:tc>
        <w:tc>
          <w:tcPr>
            <w:tcW w:w="2268" w:type="dxa"/>
          </w:tcPr>
          <w:p w14:paraId="3FFC8952" w14:textId="77777777" w:rsidR="00C36D57" w:rsidRPr="002041DF" w:rsidRDefault="00C36D57" w:rsidP="002041DF">
            <w:pPr>
              <w:pStyle w:val="Header"/>
              <w:widowControl w:val="0"/>
              <w:tabs>
                <w:tab w:val="left" w:pos="284"/>
              </w:tabs>
              <w:ind w:right="474"/>
              <w:rPr>
                <w:sz w:val="22"/>
                <w:szCs w:val="22"/>
                <w:lang w:val="sr-Latn-ME"/>
              </w:rPr>
            </w:pPr>
            <w:r w:rsidRPr="002041DF">
              <w:rPr>
                <w:sz w:val="22"/>
                <w:szCs w:val="22"/>
                <w:lang w:val="sr-Latn-ME"/>
              </w:rPr>
              <w:t>76 (36%)</w:t>
            </w:r>
            <w:r w:rsidRPr="002041DF">
              <w:rPr>
                <w:sz w:val="22"/>
                <w:szCs w:val="22"/>
                <w:vertAlign w:val="superscript"/>
                <w:lang w:val="sr-Latn-ME"/>
              </w:rPr>
              <w:t xml:space="preserve"> a</w:t>
            </w:r>
          </w:p>
        </w:tc>
        <w:tc>
          <w:tcPr>
            <w:tcW w:w="1692" w:type="dxa"/>
          </w:tcPr>
          <w:p w14:paraId="562CE482" w14:textId="3B7147D8" w:rsidR="00C36D57" w:rsidRPr="002041DF" w:rsidRDefault="00C36D57" w:rsidP="002041DF">
            <w:pPr>
              <w:pStyle w:val="Header"/>
              <w:widowControl w:val="0"/>
              <w:tabs>
                <w:tab w:val="left" w:pos="284"/>
              </w:tabs>
              <w:ind w:right="474"/>
              <w:rPr>
                <w:sz w:val="22"/>
                <w:szCs w:val="22"/>
                <w:lang w:val="sr-Latn-ME"/>
              </w:rPr>
            </w:pPr>
            <w:r w:rsidRPr="002041DF">
              <w:rPr>
                <w:sz w:val="22"/>
                <w:szCs w:val="22"/>
                <w:lang w:val="sr-Latn-ME"/>
              </w:rPr>
              <w:t>155 (45%)</w:t>
            </w:r>
            <w:r w:rsidRPr="002041DF">
              <w:rPr>
                <w:sz w:val="22"/>
                <w:szCs w:val="22"/>
                <w:vertAlign w:val="superscript"/>
                <w:lang w:val="sr-Latn-ME"/>
              </w:rPr>
              <w:t>a</w:t>
            </w:r>
          </w:p>
        </w:tc>
      </w:tr>
      <w:tr w:rsidR="00C36D57" w:rsidRPr="002041DF" w14:paraId="49684779" w14:textId="77777777" w:rsidTr="00494EF4">
        <w:tc>
          <w:tcPr>
            <w:tcW w:w="2972" w:type="dxa"/>
          </w:tcPr>
          <w:p w14:paraId="2AD4504D" w14:textId="77777777" w:rsidR="00C36D57" w:rsidRPr="002041DF" w:rsidRDefault="00C36D57" w:rsidP="002041DF">
            <w:pPr>
              <w:pStyle w:val="Header"/>
              <w:widowControl w:val="0"/>
              <w:tabs>
                <w:tab w:val="left" w:pos="284"/>
              </w:tabs>
              <w:ind w:right="474"/>
              <w:rPr>
                <w:sz w:val="22"/>
                <w:szCs w:val="22"/>
                <w:lang w:val="sr-Latn-ME"/>
              </w:rPr>
            </w:pPr>
            <w:r w:rsidRPr="002041DF">
              <w:rPr>
                <w:sz w:val="22"/>
                <w:szCs w:val="22"/>
                <w:lang w:val="sr-Latn-ME"/>
              </w:rPr>
              <w:t>PGA</w:t>
            </w:r>
            <w:r w:rsidRPr="002041DF">
              <w:rPr>
                <w:sz w:val="22"/>
                <w:szCs w:val="22"/>
                <w:vertAlign w:val="superscript"/>
                <w:lang w:val="sr-Latn-ME"/>
              </w:rPr>
              <w:t>b</w:t>
            </w:r>
            <w:r w:rsidRPr="002041DF">
              <w:rPr>
                <w:sz w:val="22"/>
                <w:szCs w:val="22"/>
                <w:lang w:val="sr-Latn-ME"/>
              </w:rPr>
              <w:t xml:space="preserve"> jasnog ili mini-malnog odgovora N (%)</w:t>
            </w:r>
          </w:p>
        </w:tc>
        <w:tc>
          <w:tcPr>
            <w:tcW w:w="2693" w:type="dxa"/>
          </w:tcPr>
          <w:p w14:paraId="2E195398" w14:textId="77777777" w:rsidR="00C36D57" w:rsidRPr="002041DF" w:rsidRDefault="00C36D57" w:rsidP="002041DF">
            <w:pPr>
              <w:pStyle w:val="Header"/>
              <w:widowControl w:val="0"/>
              <w:tabs>
                <w:tab w:val="left" w:pos="284"/>
              </w:tabs>
              <w:ind w:right="474"/>
              <w:rPr>
                <w:sz w:val="22"/>
                <w:szCs w:val="22"/>
                <w:lang w:val="sr-Latn-ME"/>
              </w:rPr>
            </w:pPr>
            <w:r w:rsidRPr="002041DF">
              <w:rPr>
                <w:sz w:val="22"/>
                <w:szCs w:val="22"/>
                <w:lang w:val="sr-Latn-ME"/>
              </w:rPr>
              <w:t>170 (49%)</w:t>
            </w:r>
          </w:p>
        </w:tc>
        <w:tc>
          <w:tcPr>
            <w:tcW w:w="2268" w:type="dxa"/>
          </w:tcPr>
          <w:p w14:paraId="1CA8BBD9" w14:textId="77777777" w:rsidR="00C36D57" w:rsidRPr="002041DF" w:rsidRDefault="00C36D57" w:rsidP="002041DF">
            <w:pPr>
              <w:pStyle w:val="Header"/>
              <w:widowControl w:val="0"/>
              <w:tabs>
                <w:tab w:val="left" w:pos="284"/>
              </w:tabs>
              <w:ind w:right="474"/>
              <w:rPr>
                <w:sz w:val="22"/>
                <w:szCs w:val="22"/>
                <w:lang w:val="sr-Latn-ME"/>
              </w:rPr>
            </w:pPr>
            <w:r w:rsidRPr="002041DF">
              <w:rPr>
                <w:sz w:val="22"/>
                <w:szCs w:val="22"/>
                <w:lang w:val="sr-Latn-ME"/>
              </w:rPr>
              <w:t>136 (65%)</w:t>
            </w:r>
            <w:r w:rsidRPr="002041DF">
              <w:rPr>
                <w:sz w:val="22"/>
                <w:szCs w:val="22"/>
                <w:vertAlign w:val="superscript"/>
                <w:lang w:val="sr-Latn-ME"/>
              </w:rPr>
              <w:t xml:space="preserve"> a</w:t>
            </w:r>
          </w:p>
        </w:tc>
        <w:tc>
          <w:tcPr>
            <w:tcW w:w="1692" w:type="dxa"/>
          </w:tcPr>
          <w:p w14:paraId="103B2E34" w14:textId="03DE0C87" w:rsidR="00C36D57" w:rsidRPr="002041DF" w:rsidRDefault="00C36D57" w:rsidP="002041DF">
            <w:pPr>
              <w:pStyle w:val="Header"/>
              <w:widowControl w:val="0"/>
              <w:tabs>
                <w:tab w:val="left" w:pos="284"/>
              </w:tabs>
              <w:ind w:right="474"/>
              <w:rPr>
                <w:sz w:val="22"/>
                <w:szCs w:val="22"/>
                <w:lang w:val="sr-Latn-ME"/>
              </w:rPr>
            </w:pPr>
            <w:r w:rsidRPr="002041DF">
              <w:rPr>
                <w:sz w:val="22"/>
                <w:szCs w:val="22"/>
                <w:lang w:val="sr-Latn-ME"/>
              </w:rPr>
              <w:t>245 (71%)</w:t>
            </w:r>
            <w:r w:rsidRPr="002041DF">
              <w:rPr>
                <w:sz w:val="22"/>
                <w:szCs w:val="22"/>
                <w:vertAlign w:val="superscript"/>
                <w:lang w:val="sr-Latn-ME"/>
              </w:rPr>
              <w:t>a</w:t>
            </w:r>
          </w:p>
        </w:tc>
      </w:tr>
      <w:tr w:rsidR="00C36D57" w:rsidRPr="002041DF" w14:paraId="6D0A1D2B" w14:textId="77777777" w:rsidTr="00494EF4">
        <w:tc>
          <w:tcPr>
            <w:tcW w:w="2972" w:type="dxa"/>
          </w:tcPr>
          <w:p w14:paraId="408ACAD8" w14:textId="77777777" w:rsidR="00C36D57" w:rsidRPr="002041DF" w:rsidRDefault="00C36D57" w:rsidP="002041DF">
            <w:pPr>
              <w:pStyle w:val="Header"/>
              <w:widowControl w:val="0"/>
              <w:tabs>
                <w:tab w:val="left" w:pos="284"/>
              </w:tabs>
              <w:ind w:right="474"/>
              <w:rPr>
                <w:sz w:val="22"/>
                <w:szCs w:val="22"/>
                <w:lang w:val="sr-Latn-ME"/>
              </w:rPr>
            </w:pPr>
            <w:r w:rsidRPr="002041DF">
              <w:rPr>
                <w:sz w:val="22"/>
                <w:szCs w:val="22"/>
                <w:lang w:val="sr-Latn-ME"/>
              </w:rPr>
              <w:t xml:space="preserve">Broj pacijenata </w:t>
            </w:r>
            <w:r w:rsidRPr="002041DF">
              <w:rPr>
                <w:sz w:val="22"/>
                <w:szCs w:val="22"/>
                <w:u w:val="single"/>
                <w:lang w:val="sr-Latn-ME"/>
              </w:rPr>
              <w:t xml:space="preserve">≤ </w:t>
            </w:r>
            <w:r w:rsidRPr="002041DF">
              <w:rPr>
                <w:sz w:val="22"/>
                <w:szCs w:val="22"/>
                <w:lang w:val="sr-Latn-ME"/>
              </w:rPr>
              <w:t>100 kg</w:t>
            </w:r>
          </w:p>
        </w:tc>
        <w:tc>
          <w:tcPr>
            <w:tcW w:w="2693" w:type="dxa"/>
          </w:tcPr>
          <w:p w14:paraId="27948ACD" w14:textId="77777777" w:rsidR="00C36D57" w:rsidRPr="002041DF" w:rsidRDefault="00C36D57" w:rsidP="002041DF">
            <w:pPr>
              <w:pStyle w:val="Header"/>
              <w:widowControl w:val="0"/>
              <w:tabs>
                <w:tab w:val="left" w:pos="284"/>
              </w:tabs>
              <w:ind w:right="474"/>
              <w:rPr>
                <w:sz w:val="22"/>
                <w:szCs w:val="22"/>
                <w:lang w:val="sr-Latn-ME"/>
              </w:rPr>
            </w:pPr>
            <w:r w:rsidRPr="002041DF">
              <w:rPr>
                <w:sz w:val="22"/>
                <w:szCs w:val="22"/>
                <w:lang w:val="sr-Latn-ME"/>
              </w:rPr>
              <w:t>251</w:t>
            </w:r>
          </w:p>
        </w:tc>
        <w:tc>
          <w:tcPr>
            <w:tcW w:w="2268" w:type="dxa"/>
          </w:tcPr>
          <w:p w14:paraId="089D9525" w14:textId="77777777" w:rsidR="00C36D57" w:rsidRPr="002041DF" w:rsidRDefault="00C36D57" w:rsidP="002041DF">
            <w:pPr>
              <w:pStyle w:val="Header"/>
              <w:widowControl w:val="0"/>
              <w:tabs>
                <w:tab w:val="left" w:pos="284"/>
              </w:tabs>
              <w:ind w:right="474"/>
              <w:rPr>
                <w:sz w:val="22"/>
                <w:szCs w:val="22"/>
                <w:lang w:val="sr-Latn-ME"/>
              </w:rPr>
            </w:pPr>
            <w:r w:rsidRPr="002041DF">
              <w:rPr>
                <w:sz w:val="22"/>
                <w:szCs w:val="22"/>
                <w:lang w:val="sr-Latn-ME"/>
              </w:rPr>
              <w:t>151</w:t>
            </w:r>
          </w:p>
        </w:tc>
        <w:tc>
          <w:tcPr>
            <w:tcW w:w="1692" w:type="dxa"/>
          </w:tcPr>
          <w:p w14:paraId="206F6889" w14:textId="77777777" w:rsidR="00C36D57" w:rsidRPr="002041DF" w:rsidRDefault="00C36D57" w:rsidP="002041DF">
            <w:pPr>
              <w:pStyle w:val="Header"/>
              <w:widowControl w:val="0"/>
              <w:tabs>
                <w:tab w:val="left" w:pos="284"/>
              </w:tabs>
              <w:ind w:right="474"/>
              <w:rPr>
                <w:sz w:val="22"/>
                <w:szCs w:val="22"/>
                <w:lang w:val="sr-Latn-ME"/>
              </w:rPr>
            </w:pPr>
            <w:r w:rsidRPr="002041DF">
              <w:rPr>
                <w:sz w:val="22"/>
                <w:szCs w:val="22"/>
                <w:lang w:val="sr-Latn-ME"/>
              </w:rPr>
              <w:t>244</w:t>
            </w:r>
          </w:p>
        </w:tc>
      </w:tr>
      <w:tr w:rsidR="00C36D57" w:rsidRPr="002041DF" w14:paraId="380BA7F5" w14:textId="77777777" w:rsidTr="00494EF4">
        <w:tc>
          <w:tcPr>
            <w:tcW w:w="2972" w:type="dxa"/>
          </w:tcPr>
          <w:p w14:paraId="380DECD0" w14:textId="77777777" w:rsidR="00C36D57" w:rsidRPr="002041DF" w:rsidRDefault="00C36D57" w:rsidP="002041DF">
            <w:pPr>
              <w:pStyle w:val="Header"/>
              <w:widowControl w:val="0"/>
              <w:tabs>
                <w:tab w:val="left" w:pos="284"/>
              </w:tabs>
              <w:ind w:right="474"/>
              <w:rPr>
                <w:sz w:val="22"/>
                <w:szCs w:val="22"/>
                <w:lang w:val="sr-Latn-ME"/>
              </w:rPr>
            </w:pPr>
            <w:r w:rsidRPr="002041DF">
              <w:rPr>
                <w:sz w:val="22"/>
                <w:szCs w:val="22"/>
                <w:lang w:val="sr-Latn-ME"/>
              </w:rPr>
              <w:t>PASI 75 odgovor N (%)</w:t>
            </w:r>
          </w:p>
        </w:tc>
        <w:tc>
          <w:tcPr>
            <w:tcW w:w="2693" w:type="dxa"/>
          </w:tcPr>
          <w:p w14:paraId="0942BA83" w14:textId="77777777" w:rsidR="00C36D57" w:rsidRPr="002041DF" w:rsidRDefault="00C36D57" w:rsidP="002041DF">
            <w:pPr>
              <w:pStyle w:val="Header"/>
              <w:widowControl w:val="0"/>
              <w:tabs>
                <w:tab w:val="left" w:pos="284"/>
              </w:tabs>
              <w:ind w:right="474"/>
              <w:rPr>
                <w:sz w:val="22"/>
                <w:szCs w:val="22"/>
                <w:lang w:val="sr-Latn-ME"/>
              </w:rPr>
            </w:pPr>
            <w:r w:rsidRPr="002041DF">
              <w:rPr>
                <w:sz w:val="22"/>
                <w:szCs w:val="22"/>
                <w:lang w:val="sr-Latn-ME"/>
              </w:rPr>
              <w:t>154 (61%)</w:t>
            </w:r>
          </w:p>
        </w:tc>
        <w:tc>
          <w:tcPr>
            <w:tcW w:w="2268" w:type="dxa"/>
          </w:tcPr>
          <w:p w14:paraId="5FF9E9FC" w14:textId="77777777" w:rsidR="00C36D57" w:rsidRPr="002041DF" w:rsidRDefault="00C36D57" w:rsidP="002041DF">
            <w:pPr>
              <w:pStyle w:val="Header"/>
              <w:widowControl w:val="0"/>
              <w:tabs>
                <w:tab w:val="left" w:pos="284"/>
              </w:tabs>
              <w:ind w:right="474"/>
              <w:rPr>
                <w:sz w:val="22"/>
                <w:szCs w:val="22"/>
                <w:lang w:val="sr-Latn-ME"/>
              </w:rPr>
            </w:pPr>
            <w:r w:rsidRPr="002041DF">
              <w:rPr>
                <w:sz w:val="22"/>
                <w:szCs w:val="22"/>
                <w:lang w:val="sr-Latn-ME"/>
              </w:rPr>
              <w:t>109 (72%)</w:t>
            </w:r>
          </w:p>
        </w:tc>
        <w:tc>
          <w:tcPr>
            <w:tcW w:w="1692" w:type="dxa"/>
          </w:tcPr>
          <w:p w14:paraId="119263CF" w14:textId="77777777" w:rsidR="00C36D57" w:rsidRPr="002041DF" w:rsidRDefault="00C36D57" w:rsidP="002041DF">
            <w:pPr>
              <w:pStyle w:val="Header"/>
              <w:widowControl w:val="0"/>
              <w:tabs>
                <w:tab w:val="left" w:pos="284"/>
              </w:tabs>
              <w:ind w:right="474"/>
              <w:rPr>
                <w:sz w:val="22"/>
                <w:szCs w:val="22"/>
                <w:lang w:val="sr-Latn-ME"/>
              </w:rPr>
            </w:pPr>
            <w:r w:rsidRPr="002041DF">
              <w:rPr>
                <w:sz w:val="22"/>
                <w:szCs w:val="22"/>
                <w:lang w:val="sr-Latn-ME"/>
              </w:rPr>
              <w:t>189 (77%)</w:t>
            </w:r>
          </w:p>
        </w:tc>
      </w:tr>
      <w:tr w:rsidR="00C36D57" w:rsidRPr="002041DF" w14:paraId="08A1B8CE" w14:textId="77777777" w:rsidTr="00494EF4">
        <w:tc>
          <w:tcPr>
            <w:tcW w:w="2972" w:type="dxa"/>
          </w:tcPr>
          <w:p w14:paraId="32373ED7" w14:textId="77777777" w:rsidR="00C36D57" w:rsidRPr="002041DF" w:rsidRDefault="00C36D57" w:rsidP="002041DF">
            <w:pPr>
              <w:pStyle w:val="Header"/>
              <w:widowControl w:val="0"/>
              <w:tabs>
                <w:tab w:val="left" w:pos="284"/>
              </w:tabs>
              <w:ind w:right="474"/>
              <w:rPr>
                <w:sz w:val="22"/>
                <w:szCs w:val="22"/>
                <w:lang w:val="sr-Latn-ME"/>
              </w:rPr>
            </w:pPr>
            <w:r w:rsidRPr="002041DF">
              <w:rPr>
                <w:sz w:val="22"/>
                <w:szCs w:val="22"/>
                <w:lang w:val="sr-Latn-ME"/>
              </w:rPr>
              <w:t>Broj pacijenata &gt; 100 kg</w:t>
            </w:r>
          </w:p>
        </w:tc>
        <w:tc>
          <w:tcPr>
            <w:tcW w:w="2693" w:type="dxa"/>
          </w:tcPr>
          <w:p w14:paraId="0C7299F9" w14:textId="77777777" w:rsidR="00C36D57" w:rsidRPr="002041DF" w:rsidRDefault="00C36D57" w:rsidP="002041DF">
            <w:pPr>
              <w:pStyle w:val="Header"/>
              <w:widowControl w:val="0"/>
              <w:tabs>
                <w:tab w:val="left" w:pos="284"/>
              </w:tabs>
              <w:ind w:right="474"/>
              <w:rPr>
                <w:sz w:val="22"/>
                <w:szCs w:val="22"/>
                <w:lang w:val="sr-Latn-ME"/>
              </w:rPr>
            </w:pPr>
            <w:r w:rsidRPr="002041DF">
              <w:rPr>
                <w:sz w:val="22"/>
                <w:szCs w:val="22"/>
                <w:lang w:val="sr-Latn-ME"/>
              </w:rPr>
              <w:t>96</w:t>
            </w:r>
          </w:p>
        </w:tc>
        <w:tc>
          <w:tcPr>
            <w:tcW w:w="2268" w:type="dxa"/>
          </w:tcPr>
          <w:p w14:paraId="23898D19" w14:textId="77777777" w:rsidR="00C36D57" w:rsidRPr="002041DF" w:rsidRDefault="00C36D57" w:rsidP="002041DF">
            <w:pPr>
              <w:pStyle w:val="Header"/>
              <w:widowControl w:val="0"/>
              <w:tabs>
                <w:tab w:val="left" w:pos="284"/>
              </w:tabs>
              <w:ind w:right="474"/>
              <w:rPr>
                <w:sz w:val="22"/>
                <w:szCs w:val="22"/>
                <w:lang w:val="sr-Latn-ME"/>
              </w:rPr>
            </w:pPr>
            <w:r w:rsidRPr="002041DF">
              <w:rPr>
                <w:sz w:val="22"/>
                <w:szCs w:val="22"/>
                <w:lang w:val="sr-Latn-ME"/>
              </w:rPr>
              <w:t>58</w:t>
            </w:r>
          </w:p>
        </w:tc>
        <w:tc>
          <w:tcPr>
            <w:tcW w:w="1692" w:type="dxa"/>
          </w:tcPr>
          <w:p w14:paraId="6EF6AEED" w14:textId="77777777" w:rsidR="00C36D57" w:rsidRPr="002041DF" w:rsidRDefault="00C36D57" w:rsidP="002041DF">
            <w:pPr>
              <w:pStyle w:val="Header"/>
              <w:widowControl w:val="0"/>
              <w:tabs>
                <w:tab w:val="left" w:pos="284"/>
              </w:tabs>
              <w:ind w:right="474"/>
              <w:rPr>
                <w:sz w:val="22"/>
                <w:szCs w:val="22"/>
                <w:lang w:val="sr-Latn-ME"/>
              </w:rPr>
            </w:pPr>
            <w:r w:rsidRPr="002041DF">
              <w:rPr>
                <w:sz w:val="22"/>
                <w:szCs w:val="22"/>
                <w:lang w:val="sr-Latn-ME"/>
              </w:rPr>
              <w:t>103</w:t>
            </w:r>
          </w:p>
        </w:tc>
      </w:tr>
      <w:tr w:rsidR="00C36D57" w:rsidRPr="002041DF" w14:paraId="2BDF9788" w14:textId="77777777" w:rsidTr="00494EF4">
        <w:tc>
          <w:tcPr>
            <w:tcW w:w="2972" w:type="dxa"/>
          </w:tcPr>
          <w:p w14:paraId="3F3B704E" w14:textId="77777777" w:rsidR="00C36D57" w:rsidRPr="002041DF" w:rsidRDefault="00C36D57" w:rsidP="002041DF">
            <w:pPr>
              <w:pStyle w:val="Header"/>
              <w:widowControl w:val="0"/>
              <w:tabs>
                <w:tab w:val="left" w:pos="284"/>
              </w:tabs>
              <w:ind w:right="474"/>
              <w:rPr>
                <w:sz w:val="22"/>
                <w:szCs w:val="22"/>
                <w:lang w:val="sr-Latn-ME"/>
              </w:rPr>
            </w:pPr>
            <w:r w:rsidRPr="002041DF">
              <w:rPr>
                <w:sz w:val="22"/>
                <w:szCs w:val="22"/>
                <w:lang w:val="sr-Latn-ME"/>
              </w:rPr>
              <w:t>PASI 75 odgovor N (%)</w:t>
            </w:r>
          </w:p>
        </w:tc>
        <w:tc>
          <w:tcPr>
            <w:tcW w:w="2693" w:type="dxa"/>
          </w:tcPr>
          <w:p w14:paraId="66504663" w14:textId="77777777" w:rsidR="00C36D57" w:rsidRPr="002041DF" w:rsidRDefault="00C36D57" w:rsidP="002041DF">
            <w:pPr>
              <w:pStyle w:val="Header"/>
              <w:widowControl w:val="0"/>
              <w:tabs>
                <w:tab w:val="left" w:pos="284"/>
              </w:tabs>
              <w:ind w:right="474"/>
              <w:rPr>
                <w:sz w:val="22"/>
                <w:szCs w:val="22"/>
                <w:lang w:val="sr-Latn-ME"/>
              </w:rPr>
            </w:pPr>
            <w:r w:rsidRPr="002041DF">
              <w:rPr>
                <w:sz w:val="22"/>
                <w:szCs w:val="22"/>
                <w:lang w:val="sr-Latn-ME"/>
              </w:rPr>
              <w:t>43 (45%)</w:t>
            </w:r>
          </w:p>
        </w:tc>
        <w:tc>
          <w:tcPr>
            <w:tcW w:w="2268" w:type="dxa"/>
          </w:tcPr>
          <w:p w14:paraId="30A92CF1" w14:textId="77777777" w:rsidR="00C36D57" w:rsidRPr="002041DF" w:rsidRDefault="00C36D57" w:rsidP="002041DF">
            <w:pPr>
              <w:pStyle w:val="Header"/>
              <w:widowControl w:val="0"/>
              <w:tabs>
                <w:tab w:val="left" w:pos="284"/>
              </w:tabs>
              <w:ind w:right="474"/>
              <w:rPr>
                <w:sz w:val="22"/>
                <w:szCs w:val="22"/>
                <w:lang w:val="sr-Latn-ME"/>
              </w:rPr>
            </w:pPr>
            <w:r w:rsidRPr="002041DF">
              <w:rPr>
                <w:sz w:val="22"/>
                <w:szCs w:val="22"/>
                <w:lang w:val="sr-Latn-ME"/>
              </w:rPr>
              <w:t>32 (55%)</w:t>
            </w:r>
          </w:p>
        </w:tc>
        <w:tc>
          <w:tcPr>
            <w:tcW w:w="1692" w:type="dxa"/>
          </w:tcPr>
          <w:p w14:paraId="652DDF62" w14:textId="77777777" w:rsidR="00C36D57" w:rsidRPr="002041DF" w:rsidRDefault="00C36D57" w:rsidP="002041DF">
            <w:pPr>
              <w:pStyle w:val="Header"/>
              <w:widowControl w:val="0"/>
              <w:tabs>
                <w:tab w:val="left" w:pos="284"/>
              </w:tabs>
              <w:ind w:right="474"/>
              <w:rPr>
                <w:sz w:val="22"/>
                <w:szCs w:val="22"/>
                <w:lang w:val="sr-Latn-ME"/>
              </w:rPr>
            </w:pPr>
            <w:r w:rsidRPr="002041DF">
              <w:rPr>
                <w:sz w:val="22"/>
                <w:szCs w:val="22"/>
                <w:lang w:val="sr-Latn-ME"/>
              </w:rPr>
              <w:t>67 (65%)</w:t>
            </w:r>
          </w:p>
        </w:tc>
      </w:tr>
    </w:tbl>
    <w:p w14:paraId="6456374E" w14:textId="77777777" w:rsidR="00C36D57" w:rsidRPr="007C6E24" w:rsidRDefault="00C36D57" w:rsidP="002041DF">
      <w:pPr>
        <w:pStyle w:val="Header"/>
        <w:widowControl w:val="0"/>
        <w:tabs>
          <w:tab w:val="left" w:pos="284"/>
        </w:tabs>
        <w:jc w:val="both"/>
        <w:rPr>
          <w:sz w:val="20"/>
          <w:szCs w:val="22"/>
          <w:lang w:val="sr-Latn-ME"/>
        </w:rPr>
      </w:pPr>
      <w:r w:rsidRPr="007C6E24">
        <w:rPr>
          <w:sz w:val="20"/>
          <w:szCs w:val="22"/>
          <w:vertAlign w:val="superscript"/>
          <w:lang w:val="sr-Latn-ME"/>
        </w:rPr>
        <w:t xml:space="preserve">a   </w:t>
      </w:r>
      <w:r w:rsidRPr="007C6E24">
        <w:rPr>
          <w:sz w:val="20"/>
          <w:szCs w:val="22"/>
          <w:lang w:val="sr-Latn-ME"/>
        </w:rPr>
        <w:t>p &lt; 0,001 za ustekinumab 45 mg ili 90 mg u odnosu na etanercept</w:t>
      </w:r>
    </w:p>
    <w:p w14:paraId="5A948BC4" w14:textId="049E524F" w:rsidR="00C36D57" w:rsidRPr="007C6E24" w:rsidRDefault="00C36D57" w:rsidP="002041DF">
      <w:pPr>
        <w:pStyle w:val="Header"/>
        <w:widowControl w:val="0"/>
        <w:tabs>
          <w:tab w:val="left" w:pos="284"/>
        </w:tabs>
        <w:jc w:val="both"/>
        <w:rPr>
          <w:sz w:val="20"/>
          <w:szCs w:val="22"/>
          <w:lang w:val="sr-Latn-ME"/>
        </w:rPr>
      </w:pPr>
      <w:r w:rsidRPr="007C6E24">
        <w:rPr>
          <w:sz w:val="20"/>
          <w:szCs w:val="22"/>
          <w:vertAlign w:val="superscript"/>
          <w:lang w:val="sr-Latn-ME"/>
        </w:rPr>
        <w:t xml:space="preserve">b  </w:t>
      </w:r>
      <w:r w:rsidRPr="007C6E24">
        <w:rPr>
          <w:sz w:val="20"/>
          <w:szCs w:val="22"/>
          <w:lang w:val="sr-Latn-ME"/>
        </w:rPr>
        <w:t>p = 0,012 za ustekinumab 45 mg u odnosu na etanercept</w:t>
      </w:r>
    </w:p>
    <w:p w14:paraId="0FC2D5A4" w14:textId="77777777" w:rsidR="00C36D57" w:rsidRPr="002041DF" w:rsidRDefault="00C36D57" w:rsidP="002041DF">
      <w:pPr>
        <w:pStyle w:val="Header"/>
        <w:widowControl w:val="0"/>
        <w:tabs>
          <w:tab w:val="left" w:pos="284"/>
        </w:tabs>
        <w:jc w:val="both"/>
        <w:rPr>
          <w:sz w:val="22"/>
          <w:szCs w:val="22"/>
          <w:lang w:val="sr-Latn-ME"/>
        </w:rPr>
      </w:pPr>
    </w:p>
    <w:p w14:paraId="408ABC96" w14:textId="1B8EEA3E" w:rsidR="00C36D57" w:rsidRPr="002041DF" w:rsidRDefault="00C36D57" w:rsidP="002041DF">
      <w:pPr>
        <w:pStyle w:val="Header"/>
        <w:widowControl w:val="0"/>
        <w:tabs>
          <w:tab w:val="left" w:pos="284"/>
        </w:tabs>
        <w:jc w:val="both"/>
        <w:rPr>
          <w:sz w:val="22"/>
          <w:szCs w:val="22"/>
          <w:lang w:val="sr-Latn-ME"/>
        </w:rPr>
      </w:pPr>
      <w:r w:rsidRPr="002041DF">
        <w:rPr>
          <w:sz w:val="22"/>
          <w:szCs w:val="22"/>
          <w:lang w:val="sr-Latn-ME"/>
        </w:rPr>
        <w:t>U kliničkom ispitivanju Psorijaza 1 održavanje PASI 75 je bilo značajno superiornije pri kontinuiranoj terapiji u odnosu na prekid terapije (p &lt; 0,001). Slični rezultati su prim</w:t>
      </w:r>
      <w:r w:rsidR="00802A66" w:rsidRPr="002041DF">
        <w:rPr>
          <w:sz w:val="22"/>
          <w:szCs w:val="22"/>
          <w:lang w:val="sr-Latn-ME"/>
        </w:rPr>
        <w:t>ij</w:t>
      </w:r>
      <w:r w:rsidRPr="002041DF">
        <w:rPr>
          <w:sz w:val="22"/>
          <w:szCs w:val="22"/>
          <w:lang w:val="sr-Latn-ME"/>
        </w:rPr>
        <w:t>ećeni prim</w:t>
      </w:r>
      <w:r w:rsidR="00802A66" w:rsidRPr="002041DF">
        <w:rPr>
          <w:sz w:val="22"/>
          <w:szCs w:val="22"/>
          <w:lang w:val="sr-Latn-ME"/>
        </w:rPr>
        <w:t>j</w:t>
      </w:r>
      <w:r w:rsidRPr="002041DF">
        <w:rPr>
          <w:sz w:val="22"/>
          <w:szCs w:val="22"/>
          <w:lang w:val="sr-Latn-ME"/>
        </w:rPr>
        <w:t>enom bilo koje doze ustekinumaba. U prvoj godini (52</w:t>
      </w:r>
      <w:r w:rsidR="004754F0" w:rsidRPr="002041DF">
        <w:rPr>
          <w:sz w:val="22"/>
          <w:szCs w:val="22"/>
          <w:lang w:val="sr-Latn-ME"/>
        </w:rPr>
        <w:t>.</w:t>
      </w:r>
      <w:r w:rsidRPr="002041DF">
        <w:rPr>
          <w:sz w:val="22"/>
          <w:szCs w:val="22"/>
          <w:lang w:val="sr-Latn-ME"/>
        </w:rPr>
        <w:t xml:space="preserve"> </w:t>
      </w:r>
      <w:r w:rsidR="004372C4" w:rsidRPr="002041DF">
        <w:rPr>
          <w:sz w:val="22"/>
          <w:szCs w:val="22"/>
          <w:lang w:val="sr-Latn-ME"/>
        </w:rPr>
        <w:t>nedjelja</w:t>
      </w:r>
      <w:r w:rsidRPr="002041DF">
        <w:rPr>
          <w:sz w:val="22"/>
          <w:szCs w:val="22"/>
          <w:lang w:val="sr-Latn-ME"/>
        </w:rPr>
        <w:t xml:space="preserve">), 89% pacijenata koji su </w:t>
      </w:r>
      <w:r w:rsidR="004754F0" w:rsidRPr="002041DF">
        <w:rPr>
          <w:sz w:val="22"/>
          <w:szCs w:val="22"/>
          <w:lang w:val="sr-Latn-ME"/>
        </w:rPr>
        <w:t xml:space="preserve">nanovo randomizovani </w:t>
      </w:r>
      <w:r w:rsidRPr="002041DF">
        <w:rPr>
          <w:sz w:val="22"/>
          <w:szCs w:val="22"/>
          <w:lang w:val="sr-Latn-ME"/>
        </w:rPr>
        <w:t xml:space="preserve">na terapiju održavanja imali su PASI 75 odgovor, u poređenju sa 63% pacijenata </w:t>
      </w:r>
      <w:r w:rsidR="00E97071" w:rsidRPr="002041DF">
        <w:rPr>
          <w:sz w:val="22"/>
          <w:szCs w:val="22"/>
          <w:lang w:val="sr-Latn-ME"/>
        </w:rPr>
        <w:t xml:space="preserve">ponovo </w:t>
      </w:r>
      <w:r w:rsidR="00C8321C" w:rsidRPr="002041DF">
        <w:rPr>
          <w:sz w:val="22"/>
          <w:szCs w:val="22"/>
          <w:lang w:val="sr-Latn-ME"/>
        </w:rPr>
        <w:t xml:space="preserve">randomizovanih </w:t>
      </w:r>
      <w:r w:rsidRPr="002041DF">
        <w:rPr>
          <w:sz w:val="22"/>
          <w:szCs w:val="22"/>
          <w:lang w:val="sr-Latn-ME"/>
        </w:rPr>
        <w:t>u grupu koja je primala placebo (prekid terapije) (p&lt;0,001). U 18. m</w:t>
      </w:r>
      <w:r w:rsidR="00802A66" w:rsidRPr="002041DF">
        <w:rPr>
          <w:sz w:val="22"/>
          <w:szCs w:val="22"/>
          <w:lang w:val="sr-Latn-ME"/>
        </w:rPr>
        <w:t>j</w:t>
      </w:r>
      <w:r w:rsidRPr="002041DF">
        <w:rPr>
          <w:sz w:val="22"/>
          <w:szCs w:val="22"/>
          <w:lang w:val="sr-Latn-ME"/>
        </w:rPr>
        <w:t xml:space="preserve">esecu (76. </w:t>
      </w:r>
      <w:r w:rsidR="004372C4" w:rsidRPr="002041DF">
        <w:rPr>
          <w:sz w:val="22"/>
          <w:szCs w:val="22"/>
          <w:lang w:val="sr-Latn-ME"/>
        </w:rPr>
        <w:t>nedjelja</w:t>
      </w:r>
      <w:r w:rsidRPr="002041DF">
        <w:rPr>
          <w:sz w:val="22"/>
          <w:szCs w:val="22"/>
          <w:lang w:val="sr-Latn-ME"/>
        </w:rPr>
        <w:t xml:space="preserve">), 84% pacijenata koji su </w:t>
      </w:r>
      <w:r w:rsidR="00E97071" w:rsidRPr="002041DF">
        <w:rPr>
          <w:sz w:val="22"/>
          <w:szCs w:val="22"/>
          <w:lang w:val="sr-Latn-ME"/>
        </w:rPr>
        <w:t xml:space="preserve">ponovo </w:t>
      </w:r>
      <w:r w:rsidR="002E0611" w:rsidRPr="002041DF">
        <w:rPr>
          <w:sz w:val="22"/>
          <w:szCs w:val="22"/>
          <w:lang w:val="sr-Latn-ME"/>
        </w:rPr>
        <w:t>randomizovani</w:t>
      </w:r>
      <w:r w:rsidRPr="002041DF">
        <w:rPr>
          <w:sz w:val="22"/>
          <w:szCs w:val="22"/>
          <w:lang w:val="sr-Latn-ME"/>
        </w:rPr>
        <w:t xml:space="preserve"> na terapiju održavanja imali su PASI 75 odgovor, u poređenju sa 19% pacijenata </w:t>
      </w:r>
      <w:r w:rsidR="00E97071" w:rsidRPr="002041DF">
        <w:rPr>
          <w:sz w:val="22"/>
          <w:szCs w:val="22"/>
          <w:lang w:val="sr-Latn-ME"/>
        </w:rPr>
        <w:t xml:space="preserve">ponovo </w:t>
      </w:r>
      <w:r w:rsidR="002E0611" w:rsidRPr="002041DF">
        <w:rPr>
          <w:sz w:val="22"/>
          <w:szCs w:val="22"/>
          <w:lang w:val="sr-Latn-ME"/>
        </w:rPr>
        <w:t xml:space="preserve">randomizovanih </w:t>
      </w:r>
      <w:r w:rsidRPr="002041DF">
        <w:rPr>
          <w:sz w:val="22"/>
          <w:szCs w:val="22"/>
          <w:lang w:val="sr-Latn-ME"/>
        </w:rPr>
        <w:t>u grupu koja je primala placebo (prekid terapije).</w:t>
      </w:r>
    </w:p>
    <w:p w14:paraId="25718F53" w14:textId="663D9E96" w:rsidR="00C36D57" w:rsidRPr="002041DF" w:rsidRDefault="00C36D57" w:rsidP="002041DF">
      <w:pPr>
        <w:pStyle w:val="Header"/>
        <w:widowControl w:val="0"/>
        <w:tabs>
          <w:tab w:val="left" w:pos="284"/>
        </w:tabs>
        <w:jc w:val="both"/>
        <w:rPr>
          <w:sz w:val="22"/>
          <w:szCs w:val="22"/>
          <w:lang w:val="sr-Latn-ME"/>
        </w:rPr>
      </w:pPr>
      <w:r w:rsidRPr="002041DF">
        <w:rPr>
          <w:sz w:val="22"/>
          <w:szCs w:val="22"/>
          <w:lang w:val="sr-Latn-ME"/>
        </w:rPr>
        <w:t xml:space="preserve">U trećoj godini (148. </w:t>
      </w:r>
      <w:r w:rsidR="004372C4" w:rsidRPr="002041DF">
        <w:rPr>
          <w:sz w:val="22"/>
          <w:szCs w:val="22"/>
          <w:lang w:val="sr-Latn-ME"/>
        </w:rPr>
        <w:t>nedjelja</w:t>
      </w:r>
      <w:r w:rsidRPr="002041DF">
        <w:rPr>
          <w:sz w:val="22"/>
          <w:szCs w:val="22"/>
          <w:lang w:val="sr-Latn-ME"/>
        </w:rPr>
        <w:t xml:space="preserve">), 82% pacijenata koji su </w:t>
      </w:r>
      <w:r w:rsidR="00E97071" w:rsidRPr="002041DF">
        <w:rPr>
          <w:sz w:val="22"/>
          <w:szCs w:val="22"/>
          <w:lang w:val="sr-Latn-ME"/>
        </w:rPr>
        <w:t xml:space="preserve">nanovo </w:t>
      </w:r>
      <w:r w:rsidR="002E0611" w:rsidRPr="002041DF">
        <w:rPr>
          <w:sz w:val="22"/>
          <w:szCs w:val="22"/>
          <w:lang w:val="sr-Latn-ME"/>
        </w:rPr>
        <w:t xml:space="preserve">randomizovani </w:t>
      </w:r>
      <w:r w:rsidRPr="002041DF">
        <w:rPr>
          <w:sz w:val="22"/>
          <w:szCs w:val="22"/>
          <w:lang w:val="sr-Latn-ME"/>
        </w:rPr>
        <w:t xml:space="preserve">na terapiju održavanja imali su PASI 75 odgovor. U petoj godini (244. </w:t>
      </w:r>
      <w:r w:rsidR="004372C4" w:rsidRPr="002041DF">
        <w:rPr>
          <w:sz w:val="22"/>
          <w:szCs w:val="22"/>
          <w:lang w:val="sr-Latn-ME"/>
        </w:rPr>
        <w:t>nedjelja</w:t>
      </w:r>
      <w:r w:rsidRPr="002041DF">
        <w:rPr>
          <w:sz w:val="22"/>
          <w:szCs w:val="22"/>
          <w:lang w:val="sr-Latn-ME"/>
        </w:rPr>
        <w:t xml:space="preserve">), 80% pacijenata koji su </w:t>
      </w:r>
      <w:r w:rsidR="00147656" w:rsidRPr="002041DF">
        <w:rPr>
          <w:sz w:val="22"/>
          <w:szCs w:val="22"/>
          <w:lang w:val="sr-Latn-ME"/>
        </w:rPr>
        <w:t xml:space="preserve">nanovo </w:t>
      </w:r>
      <w:r w:rsidR="002E0611" w:rsidRPr="002041DF">
        <w:rPr>
          <w:sz w:val="22"/>
          <w:szCs w:val="22"/>
          <w:lang w:val="sr-Latn-ME"/>
        </w:rPr>
        <w:t>randomizovani</w:t>
      </w:r>
      <w:r w:rsidRPr="002041DF">
        <w:rPr>
          <w:sz w:val="22"/>
          <w:szCs w:val="22"/>
          <w:lang w:val="sr-Latn-ME"/>
        </w:rPr>
        <w:t xml:space="preserve"> na terapiju održavanja imali su PASI 75 odgovor.</w:t>
      </w:r>
    </w:p>
    <w:p w14:paraId="10942BE9" w14:textId="77777777" w:rsidR="00C36D57" w:rsidRPr="002041DF" w:rsidRDefault="00C36D57" w:rsidP="002041DF">
      <w:pPr>
        <w:pStyle w:val="Header"/>
        <w:widowControl w:val="0"/>
        <w:tabs>
          <w:tab w:val="left" w:pos="284"/>
        </w:tabs>
        <w:jc w:val="both"/>
        <w:rPr>
          <w:sz w:val="22"/>
          <w:szCs w:val="22"/>
          <w:lang w:val="sr-Latn-ME"/>
        </w:rPr>
      </w:pPr>
    </w:p>
    <w:p w14:paraId="1F654B6F" w14:textId="5868B3C9" w:rsidR="00C36D57" w:rsidRPr="002041DF" w:rsidRDefault="00C36D57" w:rsidP="002041DF">
      <w:pPr>
        <w:pStyle w:val="Header"/>
        <w:widowControl w:val="0"/>
        <w:tabs>
          <w:tab w:val="left" w:pos="284"/>
        </w:tabs>
        <w:jc w:val="both"/>
        <w:rPr>
          <w:sz w:val="22"/>
          <w:szCs w:val="22"/>
          <w:lang w:val="sr-Latn-ME"/>
        </w:rPr>
      </w:pPr>
      <w:r w:rsidRPr="002041DF">
        <w:rPr>
          <w:sz w:val="22"/>
          <w:szCs w:val="22"/>
          <w:lang w:val="sr-Latn-ME"/>
        </w:rPr>
        <w:t xml:space="preserve">Kod 85% pacijenata </w:t>
      </w:r>
      <w:r w:rsidR="00147656" w:rsidRPr="002041DF">
        <w:rPr>
          <w:sz w:val="22"/>
          <w:szCs w:val="22"/>
          <w:lang w:val="sr-Latn-ME"/>
        </w:rPr>
        <w:t xml:space="preserve">koji su prilikom ponovne </w:t>
      </w:r>
      <w:r w:rsidR="002E0611" w:rsidRPr="002041DF">
        <w:rPr>
          <w:sz w:val="22"/>
          <w:szCs w:val="22"/>
          <w:lang w:val="sr-Latn-ME"/>
        </w:rPr>
        <w:t>randomiz</w:t>
      </w:r>
      <w:r w:rsidR="00147656" w:rsidRPr="002041DF">
        <w:rPr>
          <w:sz w:val="22"/>
          <w:szCs w:val="22"/>
          <w:lang w:val="sr-Latn-ME"/>
        </w:rPr>
        <w:t>acije</w:t>
      </w:r>
      <w:r w:rsidRPr="002041DF">
        <w:rPr>
          <w:sz w:val="22"/>
          <w:szCs w:val="22"/>
          <w:lang w:val="sr-Latn-ME"/>
        </w:rPr>
        <w:t xml:space="preserve"> </w:t>
      </w:r>
      <w:r w:rsidR="00147656" w:rsidRPr="002041DF">
        <w:rPr>
          <w:sz w:val="22"/>
          <w:szCs w:val="22"/>
          <w:lang w:val="sr-Latn-ME"/>
        </w:rPr>
        <w:t xml:space="preserve">pripali grupi </w:t>
      </w:r>
      <w:r w:rsidRPr="002041DF">
        <w:rPr>
          <w:sz w:val="22"/>
          <w:szCs w:val="22"/>
          <w:lang w:val="sr-Latn-ME"/>
        </w:rPr>
        <w:t xml:space="preserve">koja je primala placebo, a koji su nakon gubitka ≥ 50% PASI poboljšanja ponovo započeli osnovno </w:t>
      </w:r>
      <w:r w:rsidR="00C23E53" w:rsidRPr="002041DF">
        <w:rPr>
          <w:sz w:val="22"/>
          <w:szCs w:val="22"/>
          <w:lang w:val="sr-Latn-ME"/>
        </w:rPr>
        <w:t>liječenje</w:t>
      </w:r>
      <w:r w:rsidRPr="002041DF">
        <w:rPr>
          <w:sz w:val="22"/>
          <w:szCs w:val="22"/>
          <w:lang w:val="sr-Latn-ME"/>
        </w:rPr>
        <w:t xml:space="preserve"> ustekinumabom, postignut </w:t>
      </w:r>
      <w:r w:rsidR="00147656" w:rsidRPr="002041DF">
        <w:rPr>
          <w:sz w:val="22"/>
          <w:szCs w:val="22"/>
          <w:lang w:val="sr-Latn-ME"/>
        </w:rPr>
        <w:t xml:space="preserve">je </w:t>
      </w:r>
      <w:r w:rsidRPr="002041DF">
        <w:rPr>
          <w:sz w:val="22"/>
          <w:szCs w:val="22"/>
          <w:lang w:val="sr-Latn-ME"/>
        </w:rPr>
        <w:t xml:space="preserve">PASI 75 odgovor tokom 12 </w:t>
      </w:r>
      <w:r w:rsidR="004372C4" w:rsidRPr="002041DF">
        <w:rPr>
          <w:sz w:val="22"/>
          <w:szCs w:val="22"/>
          <w:lang w:val="sr-Latn-ME"/>
        </w:rPr>
        <w:t>nedjelja</w:t>
      </w:r>
      <w:r w:rsidRPr="002041DF">
        <w:rPr>
          <w:sz w:val="22"/>
          <w:szCs w:val="22"/>
          <w:lang w:val="sr-Latn-ME"/>
        </w:rPr>
        <w:t xml:space="preserve"> od ponovnog započinjanja terapije.</w:t>
      </w:r>
    </w:p>
    <w:p w14:paraId="0C0BA73C" w14:textId="77777777" w:rsidR="00C36D57" w:rsidRPr="002041DF" w:rsidRDefault="00C36D57" w:rsidP="002041DF">
      <w:pPr>
        <w:pStyle w:val="Header"/>
        <w:widowControl w:val="0"/>
        <w:tabs>
          <w:tab w:val="left" w:pos="284"/>
        </w:tabs>
        <w:jc w:val="both"/>
        <w:rPr>
          <w:sz w:val="22"/>
          <w:szCs w:val="22"/>
          <w:lang w:val="sr-Latn-ME"/>
        </w:rPr>
      </w:pPr>
    </w:p>
    <w:p w14:paraId="361B6E55" w14:textId="48C8596B" w:rsidR="00C36D57" w:rsidRPr="002041DF" w:rsidRDefault="00C36D57" w:rsidP="002041DF">
      <w:pPr>
        <w:pStyle w:val="Header"/>
        <w:widowControl w:val="0"/>
        <w:tabs>
          <w:tab w:val="left" w:pos="284"/>
        </w:tabs>
        <w:jc w:val="both"/>
        <w:rPr>
          <w:sz w:val="22"/>
          <w:szCs w:val="22"/>
          <w:lang w:val="sr-Latn-ME"/>
        </w:rPr>
      </w:pPr>
      <w:r w:rsidRPr="002041DF">
        <w:rPr>
          <w:sz w:val="22"/>
          <w:szCs w:val="22"/>
          <w:lang w:val="sr-Latn-ME"/>
        </w:rPr>
        <w:t xml:space="preserve">U kliničkom ispitivanju Psorijaza 1, u 2. i 12. </w:t>
      </w:r>
      <w:r w:rsidR="004372C4" w:rsidRPr="002041DF">
        <w:rPr>
          <w:sz w:val="22"/>
          <w:szCs w:val="22"/>
          <w:lang w:val="sr-Latn-ME"/>
        </w:rPr>
        <w:t>nedjelji</w:t>
      </w:r>
      <w:r w:rsidRPr="002041DF">
        <w:rPr>
          <w:sz w:val="22"/>
          <w:szCs w:val="22"/>
          <w:lang w:val="sr-Latn-ME"/>
        </w:rPr>
        <w:t>, ispoljilo se značajno poboljšanje od početka</w:t>
      </w:r>
      <w:r w:rsidR="00891C9B" w:rsidRPr="002041DF">
        <w:rPr>
          <w:sz w:val="22"/>
          <w:szCs w:val="22"/>
          <w:lang w:val="sr-Latn-ME"/>
        </w:rPr>
        <w:t xml:space="preserve"> primjene </w:t>
      </w:r>
      <w:r w:rsidRPr="002041DF">
        <w:rPr>
          <w:sz w:val="22"/>
          <w:szCs w:val="22"/>
          <w:lang w:val="sr-Latn-ME"/>
        </w:rPr>
        <w:t>ispitivanog</w:t>
      </w:r>
      <w:r w:rsidR="00A35D07" w:rsidRPr="002041DF">
        <w:rPr>
          <w:sz w:val="22"/>
          <w:szCs w:val="22"/>
          <w:lang w:val="sr-Latn-ME"/>
        </w:rPr>
        <w:t xml:space="preserve"> lijeka </w:t>
      </w:r>
      <w:r w:rsidRPr="002041DF">
        <w:rPr>
          <w:sz w:val="22"/>
          <w:szCs w:val="22"/>
          <w:lang w:val="sr-Latn-ME"/>
        </w:rPr>
        <w:t xml:space="preserve">prema DLQI u svakoj grupi pacijenata </w:t>
      </w:r>
      <w:r w:rsidR="00891C9B" w:rsidRPr="002041DF">
        <w:rPr>
          <w:sz w:val="22"/>
          <w:szCs w:val="22"/>
          <w:lang w:val="sr-Latn-ME"/>
        </w:rPr>
        <w:t>liječen</w:t>
      </w:r>
      <w:r w:rsidRPr="002041DF">
        <w:rPr>
          <w:sz w:val="22"/>
          <w:szCs w:val="22"/>
          <w:lang w:val="sr-Latn-ME"/>
        </w:rPr>
        <w:t xml:space="preserve">ih ustekinumabom u poređenju sa onima koji su primali placebo. Poboljšanje se održavalo i tokom 28. </w:t>
      </w:r>
      <w:r w:rsidR="004372C4" w:rsidRPr="002041DF">
        <w:rPr>
          <w:sz w:val="22"/>
          <w:szCs w:val="22"/>
          <w:lang w:val="sr-Latn-ME"/>
        </w:rPr>
        <w:t>nedjelje</w:t>
      </w:r>
      <w:r w:rsidRPr="002041DF">
        <w:rPr>
          <w:sz w:val="22"/>
          <w:szCs w:val="22"/>
          <w:lang w:val="sr-Latn-ME"/>
        </w:rPr>
        <w:t xml:space="preserve">. Slično tome, značajno poboljšanje uočeno je i u kliničkom ispitivanju Psorijaza 2 u 4. i 12. </w:t>
      </w:r>
      <w:r w:rsidR="004372C4" w:rsidRPr="002041DF">
        <w:rPr>
          <w:sz w:val="22"/>
          <w:szCs w:val="22"/>
          <w:lang w:val="sr-Latn-ME"/>
        </w:rPr>
        <w:t>nedjelji</w:t>
      </w:r>
      <w:r w:rsidRPr="002041DF">
        <w:rPr>
          <w:sz w:val="22"/>
          <w:szCs w:val="22"/>
          <w:lang w:val="sr-Latn-ME"/>
        </w:rPr>
        <w:t xml:space="preserve">, a koje se održalo i tokom 24. </w:t>
      </w:r>
      <w:r w:rsidR="004372C4" w:rsidRPr="002041DF">
        <w:rPr>
          <w:sz w:val="22"/>
          <w:szCs w:val="22"/>
          <w:lang w:val="sr-Latn-ME"/>
        </w:rPr>
        <w:t>nedjelje</w:t>
      </w:r>
      <w:r w:rsidRPr="002041DF">
        <w:rPr>
          <w:sz w:val="22"/>
          <w:szCs w:val="22"/>
          <w:lang w:val="sr-Latn-ME"/>
        </w:rPr>
        <w:t xml:space="preserve">. U kliničkom ispitivanju Psorijaza 1, poboljšanje psorijaze noktiju (engl. </w:t>
      </w:r>
      <w:r w:rsidRPr="002041DF">
        <w:rPr>
          <w:i/>
          <w:sz w:val="22"/>
          <w:szCs w:val="22"/>
          <w:lang w:val="sr-Latn-ME"/>
        </w:rPr>
        <w:t>Nail Psoriasis Severity Index</w:t>
      </w:r>
      <w:r w:rsidRPr="002041DF">
        <w:rPr>
          <w:sz w:val="22"/>
          <w:szCs w:val="22"/>
          <w:lang w:val="sr-Latn-ME"/>
        </w:rPr>
        <w:t xml:space="preserve">), poboljšanje fizičke i mentalne komponente ukupnog skora SF-36, kao i poboljšanje na Vizuelnoj analognoj skali (engl. </w:t>
      </w:r>
      <w:r w:rsidR="00B33131" w:rsidRPr="002041DF">
        <w:rPr>
          <w:i/>
          <w:sz w:val="22"/>
          <w:szCs w:val="22"/>
          <w:lang w:val="sr-Latn-ME"/>
        </w:rPr>
        <w:t xml:space="preserve">Itch </w:t>
      </w:r>
      <w:r w:rsidRPr="002041DF">
        <w:rPr>
          <w:i/>
          <w:sz w:val="22"/>
          <w:szCs w:val="22"/>
          <w:lang w:val="sr-Latn-ME"/>
        </w:rPr>
        <w:t>Visual Analogue Scale</w:t>
      </w:r>
      <w:r w:rsidRPr="002041DF">
        <w:rPr>
          <w:sz w:val="22"/>
          <w:szCs w:val="22"/>
          <w:lang w:val="sr-Latn-ME"/>
        </w:rPr>
        <w:t xml:space="preserve">,VAS) bilo je značajno kod svake grupe pacijenata </w:t>
      </w:r>
      <w:r w:rsidR="00891C9B" w:rsidRPr="002041DF">
        <w:rPr>
          <w:sz w:val="22"/>
          <w:szCs w:val="22"/>
          <w:lang w:val="sr-Latn-ME"/>
        </w:rPr>
        <w:t>liječen</w:t>
      </w:r>
      <w:r w:rsidRPr="002041DF">
        <w:rPr>
          <w:sz w:val="22"/>
          <w:szCs w:val="22"/>
          <w:lang w:val="sr-Latn-ME"/>
        </w:rPr>
        <w:t xml:space="preserve">ih ustekinumabom u poređenju sa pacijentima koji su primali placebo. U kliničkom ispitivanju Psorijaza 2, </w:t>
      </w:r>
      <w:r w:rsidRPr="002041DF">
        <w:rPr>
          <w:sz w:val="22"/>
          <w:szCs w:val="22"/>
          <w:lang w:val="sr-Latn-ME"/>
        </w:rPr>
        <w:lastRenderedPageBreak/>
        <w:t xml:space="preserve">prema Skali bolničke anksioznosti i depresije (engl. </w:t>
      </w:r>
      <w:r w:rsidRPr="002041DF">
        <w:rPr>
          <w:i/>
          <w:sz w:val="22"/>
          <w:szCs w:val="22"/>
          <w:lang w:val="sr-Latn-ME"/>
        </w:rPr>
        <w:t>Hospital Anxiety and Depression Scale</w:t>
      </w:r>
      <w:r w:rsidRPr="002041DF">
        <w:rPr>
          <w:sz w:val="22"/>
          <w:szCs w:val="22"/>
          <w:lang w:val="sr-Latn-ME"/>
        </w:rPr>
        <w:t xml:space="preserve">, HADS), kao i Upitniku o radnoj sposobnosti (engl. </w:t>
      </w:r>
      <w:r w:rsidRPr="002041DF">
        <w:rPr>
          <w:i/>
          <w:sz w:val="22"/>
          <w:szCs w:val="22"/>
          <w:lang w:val="sr-Latn-ME"/>
        </w:rPr>
        <w:t>Work Limitations Questionnaire</w:t>
      </w:r>
      <w:r w:rsidRPr="002041DF">
        <w:rPr>
          <w:sz w:val="22"/>
          <w:szCs w:val="22"/>
          <w:lang w:val="sr-Latn-ME"/>
        </w:rPr>
        <w:t xml:space="preserve">, WLQ) </w:t>
      </w:r>
      <w:r w:rsidR="00891C9B" w:rsidRPr="002041DF">
        <w:rPr>
          <w:sz w:val="22"/>
          <w:szCs w:val="22"/>
          <w:lang w:val="sr-Latn-ME"/>
        </w:rPr>
        <w:t>zabilježen</w:t>
      </w:r>
      <w:r w:rsidRPr="002041DF">
        <w:rPr>
          <w:sz w:val="22"/>
          <w:szCs w:val="22"/>
          <w:lang w:val="sr-Latn-ME"/>
        </w:rPr>
        <w:t xml:space="preserve">o je značajno poboljšanje kod svih grupa pacijenata </w:t>
      </w:r>
      <w:r w:rsidR="00891C9B" w:rsidRPr="002041DF">
        <w:rPr>
          <w:sz w:val="22"/>
          <w:szCs w:val="22"/>
          <w:lang w:val="sr-Latn-ME"/>
        </w:rPr>
        <w:t>liječen</w:t>
      </w:r>
      <w:r w:rsidRPr="002041DF">
        <w:rPr>
          <w:sz w:val="22"/>
          <w:szCs w:val="22"/>
          <w:lang w:val="sr-Latn-ME"/>
        </w:rPr>
        <w:t>ih ustekinumabom u poređenju sa pacijentima koji su primali placebo.</w:t>
      </w:r>
    </w:p>
    <w:p w14:paraId="55647BEF" w14:textId="77777777" w:rsidR="00C36D57" w:rsidRPr="002041DF" w:rsidRDefault="00C36D57" w:rsidP="002041DF">
      <w:pPr>
        <w:pStyle w:val="Header"/>
        <w:widowControl w:val="0"/>
        <w:tabs>
          <w:tab w:val="left" w:pos="284"/>
        </w:tabs>
        <w:jc w:val="both"/>
        <w:rPr>
          <w:sz w:val="22"/>
          <w:szCs w:val="22"/>
          <w:lang w:val="sr-Latn-ME"/>
        </w:rPr>
      </w:pPr>
    </w:p>
    <w:p w14:paraId="0AF35D7D" w14:textId="77777777" w:rsidR="00C36D57" w:rsidRPr="002041DF" w:rsidRDefault="00C36D57" w:rsidP="002041DF">
      <w:pPr>
        <w:pStyle w:val="Header"/>
        <w:widowControl w:val="0"/>
        <w:tabs>
          <w:tab w:val="left" w:pos="284"/>
        </w:tabs>
        <w:jc w:val="both"/>
        <w:rPr>
          <w:sz w:val="22"/>
          <w:szCs w:val="22"/>
          <w:u w:val="single"/>
          <w:lang w:val="sr-Latn-ME"/>
        </w:rPr>
      </w:pPr>
      <w:r w:rsidRPr="002041DF">
        <w:rPr>
          <w:sz w:val="22"/>
          <w:szCs w:val="22"/>
          <w:u w:val="single"/>
          <w:lang w:val="sr-Latn-ME"/>
        </w:rPr>
        <w:t>Psorijatični artritis (PsA) (odrasli)</w:t>
      </w:r>
    </w:p>
    <w:p w14:paraId="355639D6" w14:textId="77777777" w:rsidR="00C36D57" w:rsidRPr="002041DF" w:rsidRDefault="00C36D57" w:rsidP="002041DF">
      <w:pPr>
        <w:pStyle w:val="Header"/>
        <w:widowControl w:val="0"/>
        <w:tabs>
          <w:tab w:val="left" w:pos="284"/>
        </w:tabs>
        <w:jc w:val="both"/>
        <w:rPr>
          <w:sz w:val="22"/>
          <w:szCs w:val="22"/>
          <w:lang w:val="sr-Latn-ME"/>
        </w:rPr>
      </w:pPr>
    </w:p>
    <w:p w14:paraId="47F58DC6" w14:textId="15EB043A" w:rsidR="00C36D57" w:rsidRPr="002041DF" w:rsidRDefault="00C36D57" w:rsidP="002041DF">
      <w:pPr>
        <w:pStyle w:val="Header"/>
        <w:widowControl w:val="0"/>
        <w:tabs>
          <w:tab w:val="left" w:pos="284"/>
        </w:tabs>
        <w:jc w:val="both"/>
        <w:rPr>
          <w:sz w:val="22"/>
          <w:szCs w:val="22"/>
          <w:lang w:val="sr-Latn-ME"/>
        </w:rPr>
      </w:pPr>
      <w:r w:rsidRPr="002041DF">
        <w:rPr>
          <w:sz w:val="22"/>
          <w:szCs w:val="22"/>
          <w:lang w:val="sr-Latn-ME"/>
        </w:rPr>
        <w:t>Pokazano je da ustekinumab poboljšava znake i simptome, fizičku funkcionalnost i kvalitet života koji je u vezi sa zdravljem, a smanjuje brzinu progresije oštećenja perifernih zglobova kod odraslih pacijenata sa aktivnim psorijatičnim artritisom.</w:t>
      </w:r>
    </w:p>
    <w:p w14:paraId="740DDB8A" w14:textId="77777777" w:rsidR="00B33131" w:rsidRPr="002041DF" w:rsidRDefault="00B33131" w:rsidP="002041DF">
      <w:pPr>
        <w:pStyle w:val="Header"/>
        <w:widowControl w:val="0"/>
        <w:tabs>
          <w:tab w:val="left" w:pos="284"/>
        </w:tabs>
        <w:jc w:val="both"/>
        <w:rPr>
          <w:sz w:val="22"/>
          <w:szCs w:val="22"/>
          <w:lang w:val="sr-Latn-ME"/>
        </w:rPr>
      </w:pPr>
    </w:p>
    <w:p w14:paraId="324CC643" w14:textId="491B4AF7" w:rsidR="00C36D57" w:rsidRPr="002041DF" w:rsidRDefault="00C36D57" w:rsidP="002041DF">
      <w:pPr>
        <w:pStyle w:val="Header"/>
        <w:widowControl w:val="0"/>
        <w:tabs>
          <w:tab w:val="left" w:pos="284"/>
        </w:tabs>
        <w:jc w:val="both"/>
        <w:rPr>
          <w:sz w:val="22"/>
          <w:szCs w:val="22"/>
          <w:lang w:val="sr-Latn-ME"/>
        </w:rPr>
      </w:pPr>
      <w:r w:rsidRPr="002041DF">
        <w:rPr>
          <w:sz w:val="22"/>
          <w:szCs w:val="22"/>
          <w:lang w:val="sr-Latn-ME"/>
        </w:rPr>
        <w:t>Bezb</w:t>
      </w:r>
      <w:r w:rsidR="00802A66" w:rsidRPr="002041DF">
        <w:rPr>
          <w:sz w:val="22"/>
          <w:szCs w:val="22"/>
          <w:lang w:val="sr-Latn-ME"/>
        </w:rPr>
        <w:t>j</w:t>
      </w:r>
      <w:r w:rsidRPr="002041DF">
        <w:rPr>
          <w:sz w:val="22"/>
          <w:szCs w:val="22"/>
          <w:lang w:val="sr-Latn-ME"/>
        </w:rPr>
        <w:t>ed</w:t>
      </w:r>
      <w:r w:rsidR="00802A66" w:rsidRPr="002041DF">
        <w:rPr>
          <w:sz w:val="22"/>
          <w:szCs w:val="22"/>
          <w:lang w:val="sr-Latn-ME"/>
        </w:rPr>
        <w:t>n</w:t>
      </w:r>
      <w:r w:rsidRPr="002041DF">
        <w:rPr>
          <w:sz w:val="22"/>
          <w:szCs w:val="22"/>
          <w:lang w:val="sr-Latn-ME"/>
        </w:rPr>
        <w:t>ost i efikasnost ustekinumaba je proc</w:t>
      </w:r>
      <w:r w:rsidR="00802A66" w:rsidRPr="002041DF">
        <w:rPr>
          <w:sz w:val="22"/>
          <w:szCs w:val="22"/>
          <w:lang w:val="sr-Latn-ME"/>
        </w:rPr>
        <w:t>j</w:t>
      </w:r>
      <w:r w:rsidRPr="002041DF">
        <w:rPr>
          <w:sz w:val="22"/>
          <w:szCs w:val="22"/>
          <w:lang w:val="sr-Latn-ME"/>
        </w:rPr>
        <w:t>enjivana kod 927 pacijenata u dva randomizovana dvostuko sl</w:t>
      </w:r>
      <w:r w:rsidR="00802A66" w:rsidRPr="002041DF">
        <w:rPr>
          <w:sz w:val="22"/>
          <w:szCs w:val="22"/>
          <w:lang w:val="sr-Latn-ME"/>
        </w:rPr>
        <w:t>ij</w:t>
      </w:r>
      <w:r w:rsidRPr="002041DF">
        <w:rPr>
          <w:sz w:val="22"/>
          <w:szCs w:val="22"/>
          <w:lang w:val="sr-Latn-ME"/>
        </w:rPr>
        <w:t xml:space="preserve">epa placebo kontolisana klinička ispitivanja kod pacijenata sa aktivnim PsA ( ≥5 otečenih zglobova i </w:t>
      </w:r>
      <w:r w:rsidRPr="002041DF">
        <w:rPr>
          <w:sz w:val="22"/>
          <w:szCs w:val="22"/>
          <w:u w:val="single"/>
          <w:lang w:val="sr-Latn-ME"/>
        </w:rPr>
        <w:t>≥</w:t>
      </w:r>
      <w:r w:rsidRPr="002041DF">
        <w:rPr>
          <w:sz w:val="22"/>
          <w:szCs w:val="22"/>
          <w:lang w:val="sr-Latn-ME"/>
        </w:rPr>
        <w:t xml:space="preserve"> 5 bolnih (ukočenih) zglobova) uprkos uzimanju nesteroidnih anti</w:t>
      </w:r>
      <w:r w:rsidR="009F752F" w:rsidRPr="002041DF">
        <w:rPr>
          <w:sz w:val="22"/>
          <w:szCs w:val="22"/>
          <w:lang w:val="sr-Latn-ME"/>
        </w:rPr>
        <w:t>i</w:t>
      </w:r>
      <w:r w:rsidRPr="002041DF">
        <w:rPr>
          <w:sz w:val="22"/>
          <w:szCs w:val="22"/>
          <w:lang w:val="sr-Latn-ME"/>
        </w:rPr>
        <w:t xml:space="preserve">nflamatornih </w:t>
      </w:r>
      <w:r w:rsidR="00802A66" w:rsidRPr="002041DF">
        <w:rPr>
          <w:sz w:val="22"/>
          <w:szCs w:val="22"/>
          <w:lang w:val="sr-Latn-ME"/>
        </w:rPr>
        <w:t>ljekova</w:t>
      </w:r>
      <w:r w:rsidRPr="002041DF">
        <w:rPr>
          <w:sz w:val="22"/>
          <w:szCs w:val="22"/>
          <w:lang w:val="sr-Latn-ME"/>
        </w:rPr>
        <w:t xml:space="preserve"> (NSAIL) ili </w:t>
      </w:r>
      <w:r w:rsidR="00802A66" w:rsidRPr="002041DF">
        <w:rPr>
          <w:sz w:val="22"/>
          <w:szCs w:val="22"/>
          <w:lang w:val="sr-Latn-ME"/>
        </w:rPr>
        <w:t>ljekova</w:t>
      </w:r>
      <w:r w:rsidRPr="002041DF">
        <w:rPr>
          <w:sz w:val="22"/>
          <w:szCs w:val="22"/>
          <w:lang w:val="sr-Latn-ME"/>
        </w:rPr>
        <w:t xml:space="preserve"> koji modifikuju bolest (DMARD).</w:t>
      </w:r>
    </w:p>
    <w:p w14:paraId="465ED04E" w14:textId="60511797" w:rsidR="00C36D57" w:rsidRPr="002041DF" w:rsidRDefault="00C36D57" w:rsidP="002041DF">
      <w:pPr>
        <w:pStyle w:val="Header"/>
        <w:widowControl w:val="0"/>
        <w:tabs>
          <w:tab w:val="left" w:pos="284"/>
        </w:tabs>
        <w:jc w:val="both"/>
        <w:rPr>
          <w:sz w:val="22"/>
          <w:szCs w:val="22"/>
          <w:lang w:val="sr-Latn-ME"/>
        </w:rPr>
      </w:pPr>
      <w:r w:rsidRPr="002041DF">
        <w:rPr>
          <w:sz w:val="22"/>
          <w:szCs w:val="22"/>
          <w:lang w:val="sr-Latn-ME"/>
        </w:rPr>
        <w:t>Pacijenti u ovim ispitivanjima su imali dijagnozu PsA najmanje 6 m</w:t>
      </w:r>
      <w:r w:rsidR="000916E2" w:rsidRPr="002041DF">
        <w:rPr>
          <w:sz w:val="22"/>
          <w:szCs w:val="22"/>
          <w:lang w:val="sr-Latn-ME"/>
        </w:rPr>
        <w:t>j</w:t>
      </w:r>
      <w:r w:rsidRPr="002041DF">
        <w:rPr>
          <w:sz w:val="22"/>
          <w:szCs w:val="22"/>
          <w:lang w:val="sr-Latn-ME"/>
        </w:rPr>
        <w:t>eseci. Uključeni su pacijenti svih subtipova PsA, uključujući poriartikularni artritis bez dokaza o postojanju reumatoidnih nodula (39%), spondilitis sa perifernim artritisom (28%), asimetrični periferni artritis (21%), distalni interfalangealni artritis (12%) i artritis mutilans (0,5%). Preko 70% i 40% pacijenata u</w:t>
      </w:r>
      <w:r w:rsidR="00FF5892" w:rsidRPr="002041DF">
        <w:rPr>
          <w:sz w:val="22"/>
          <w:szCs w:val="22"/>
          <w:lang w:val="sr-Latn-ME"/>
        </w:rPr>
        <w:t xml:space="preserve"> obje </w:t>
      </w:r>
      <w:r w:rsidRPr="002041DF">
        <w:rPr>
          <w:sz w:val="22"/>
          <w:szCs w:val="22"/>
          <w:lang w:val="sr-Latn-ME"/>
        </w:rPr>
        <w:t>studije su imali entezitis (upala mesta pripoja tetiva ili ligamenata za kost) i daktilitis na početku terapije, respektivno. Pacijenti su randomizovani da primaju terapiju</w:t>
      </w:r>
      <w:r w:rsidR="00891C9B" w:rsidRPr="002041DF">
        <w:rPr>
          <w:sz w:val="22"/>
          <w:szCs w:val="22"/>
          <w:lang w:val="sr-Latn-ME"/>
        </w:rPr>
        <w:t xml:space="preserve"> lijekom </w:t>
      </w:r>
      <w:r w:rsidRPr="002041DF">
        <w:rPr>
          <w:sz w:val="22"/>
          <w:szCs w:val="22"/>
          <w:lang w:val="sr-Latn-ME"/>
        </w:rPr>
        <w:t xml:space="preserve">ustekinumab 45 mg, 90 mg ili placebo supkutano u </w:t>
      </w:r>
      <w:r w:rsidR="004372C4" w:rsidRPr="002041DF">
        <w:rPr>
          <w:sz w:val="22"/>
          <w:szCs w:val="22"/>
          <w:lang w:val="sr-Latn-ME"/>
        </w:rPr>
        <w:t>nedjelja</w:t>
      </w:r>
      <w:r w:rsidRPr="002041DF">
        <w:rPr>
          <w:sz w:val="22"/>
          <w:szCs w:val="22"/>
          <w:lang w:val="sr-Latn-ME"/>
        </w:rPr>
        <w:t xml:space="preserve">ma 0 i 4 a nakon toga na svakih 12 </w:t>
      </w:r>
      <w:r w:rsidR="004372C4" w:rsidRPr="002041DF">
        <w:rPr>
          <w:sz w:val="22"/>
          <w:szCs w:val="22"/>
          <w:lang w:val="sr-Latn-ME"/>
        </w:rPr>
        <w:t>nedjelja</w:t>
      </w:r>
      <w:r w:rsidRPr="002041DF">
        <w:rPr>
          <w:sz w:val="22"/>
          <w:szCs w:val="22"/>
          <w:lang w:val="sr-Latn-ME"/>
        </w:rPr>
        <w:t xml:space="preserve"> (q12w). Aproksimativno 50% pacijenata je nastavilo sa uzimanjem stabilnih doza MTX (≤ 25 mg/ned</w:t>
      </w:r>
      <w:r w:rsidR="000916E2" w:rsidRPr="002041DF">
        <w:rPr>
          <w:sz w:val="22"/>
          <w:szCs w:val="22"/>
          <w:lang w:val="sr-Latn-ME"/>
        </w:rPr>
        <w:t>j</w:t>
      </w:r>
      <w:r w:rsidRPr="002041DF">
        <w:rPr>
          <w:sz w:val="22"/>
          <w:szCs w:val="22"/>
          <w:lang w:val="sr-Latn-ME"/>
        </w:rPr>
        <w:t>eljno).</w:t>
      </w:r>
    </w:p>
    <w:p w14:paraId="3E6A239E" w14:textId="77777777" w:rsidR="00C36D57" w:rsidRPr="002041DF" w:rsidRDefault="00C36D57" w:rsidP="002041DF">
      <w:pPr>
        <w:pStyle w:val="Header"/>
        <w:widowControl w:val="0"/>
        <w:tabs>
          <w:tab w:val="left" w:pos="284"/>
        </w:tabs>
        <w:jc w:val="both"/>
        <w:rPr>
          <w:sz w:val="22"/>
          <w:szCs w:val="22"/>
          <w:lang w:val="sr-Latn-ME"/>
        </w:rPr>
      </w:pPr>
    </w:p>
    <w:p w14:paraId="08E531BA" w14:textId="5DFA7445" w:rsidR="00C36D57" w:rsidRPr="002041DF" w:rsidRDefault="00C36D57" w:rsidP="002041DF">
      <w:pPr>
        <w:pStyle w:val="Header"/>
        <w:widowControl w:val="0"/>
        <w:tabs>
          <w:tab w:val="left" w:pos="284"/>
        </w:tabs>
        <w:jc w:val="both"/>
        <w:rPr>
          <w:sz w:val="22"/>
          <w:szCs w:val="22"/>
          <w:lang w:val="sr-Latn-ME"/>
        </w:rPr>
      </w:pPr>
      <w:r w:rsidRPr="002041DF">
        <w:rPr>
          <w:sz w:val="22"/>
          <w:szCs w:val="22"/>
          <w:lang w:val="sr-Latn-ME"/>
        </w:rPr>
        <w:t xml:space="preserve">U PsA kliničkom ispitivanju 1 (PSUMMIT I) i PsA kliničkom ispitivanju 2 (PSUMMIT II), 80%, odnosno 86% pacijenata, prethodno je </w:t>
      </w:r>
      <w:r w:rsidR="00891C9B" w:rsidRPr="002041DF">
        <w:rPr>
          <w:sz w:val="22"/>
          <w:szCs w:val="22"/>
          <w:lang w:val="sr-Latn-ME"/>
        </w:rPr>
        <w:t>liječen</w:t>
      </w:r>
      <w:r w:rsidRPr="002041DF">
        <w:rPr>
          <w:sz w:val="22"/>
          <w:szCs w:val="22"/>
          <w:lang w:val="sr-Latn-ME"/>
        </w:rPr>
        <w:t xml:space="preserve">o sa DMARDs. U kliničkom ispitivanju 1 nije bilo dozvoljeno da prethodna terapija pacijenata bude sa anti-tumor nekrozis faktor agensima (TNF)α. U kliničkom ispitivanju 2, većina pacijenata (58%, n=180) je prethodno </w:t>
      </w:r>
      <w:r w:rsidR="00891C9B" w:rsidRPr="002041DF">
        <w:rPr>
          <w:sz w:val="22"/>
          <w:szCs w:val="22"/>
          <w:lang w:val="sr-Latn-ME"/>
        </w:rPr>
        <w:t>liječen</w:t>
      </w:r>
      <w:r w:rsidRPr="002041DF">
        <w:rPr>
          <w:sz w:val="22"/>
          <w:szCs w:val="22"/>
          <w:lang w:val="sr-Latn-ME"/>
        </w:rPr>
        <w:t xml:space="preserve">a jednim ili više anti- TNFα </w:t>
      </w:r>
      <w:r w:rsidR="00802A66" w:rsidRPr="002041DF">
        <w:rPr>
          <w:sz w:val="22"/>
          <w:szCs w:val="22"/>
          <w:lang w:val="sr-Latn-ME"/>
        </w:rPr>
        <w:t>ljekova</w:t>
      </w:r>
      <w:r w:rsidRPr="002041DF">
        <w:rPr>
          <w:sz w:val="22"/>
          <w:szCs w:val="22"/>
          <w:lang w:val="sr-Latn-ME"/>
        </w:rPr>
        <w:t>, od kojih je preko 70% prekinulo sa terapijom anti-TNFα zbog nedostatka efikasnosti ili intolerancije u bilo kom trenutku.</w:t>
      </w:r>
    </w:p>
    <w:p w14:paraId="44FE0EE1" w14:textId="610D7EC2" w:rsidR="00081C40" w:rsidRPr="002041DF" w:rsidRDefault="00081C40" w:rsidP="002041DF">
      <w:pPr>
        <w:pStyle w:val="Header"/>
        <w:widowControl w:val="0"/>
        <w:tabs>
          <w:tab w:val="left" w:pos="284"/>
        </w:tabs>
        <w:jc w:val="both"/>
        <w:rPr>
          <w:sz w:val="22"/>
          <w:szCs w:val="22"/>
          <w:lang w:val="sr-Latn-ME"/>
        </w:rPr>
      </w:pPr>
    </w:p>
    <w:p w14:paraId="41596007" w14:textId="7310D112" w:rsidR="00C36D57" w:rsidRPr="002041DF" w:rsidRDefault="00C36D57" w:rsidP="002041DF">
      <w:pPr>
        <w:pStyle w:val="Header"/>
        <w:widowControl w:val="0"/>
        <w:tabs>
          <w:tab w:val="left" w:pos="284"/>
        </w:tabs>
        <w:jc w:val="both"/>
        <w:rPr>
          <w:i/>
          <w:sz w:val="22"/>
          <w:szCs w:val="22"/>
          <w:lang w:val="sr-Latn-ME"/>
        </w:rPr>
      </w:pPr>
      <w:r w:rsidRPr="002041DF">
        <w:rPr>
          <w:i/>
          <w:sz w:val="22"/>
          <w:szCs w:val="22"/>
          <w:lang w:val="sr-Latn-ME"/>
        </w:rPr>
        <w:t>Znaci i simptomi</w:t>
      </w:r>
    </w:p>
    <w:p w14:paraId="6ABA2AE0" w14:textId="57560B1D" w:rsidR="00C36D57" w:rsidRPr="002041DF" w:rsidRDefault="00C36D57" w:rsidP="002041DF">
      <w:pPr>
        <w:pStyle w:val="Header"/>
        <w:widowControl w:val="0"/>
        <w:tabs>
          <w:tab w:val="left" w:pos="284"/>
        </w:tabs>
        <w:jc w:val="both"/>
        <w:rPr>
          <w:sz w:val="22"/>
          <w:szCs w:val="22"/>
          <w:lang w:val="sr-Latn-ME"/>
        </w:rPr>
      </w:pPr>
      <w:r w:rsidRPr="002041DF">
        <w:rPr>
          <w:sz w:val="22"/>
          <w:szCs w:val="22"/>
          <w:lang w:val="sr-Latn-ME"/>
        </w:rPr>
        <w:t>Terapija ustekinumabom je dovela do značajnog poboljšanja u m</w:t>
      </w:r>
      <w:r w:rsidR="000916E2" w:rsidRPr="002041DF">
        <w:rPr>
          <w:sz w:val="22"/>
          <w:szCs w:val="22"/>
          <w:lang w:val="sr-Latn-ME"/>
        </w:rPr>
        <w:t>j</w:t>
      </w:r>
      <w:r w:rsidRPr="002041DF">
        <w:rPr>
          <w:sz w:val="22"/>
          <w:szCs w:val="22"/>
          <w:lang w:val="sr-Latn-ME"/>
        </w:rPr>
        <w:t>erilima aktivnosti bolesti u odnosu na placebo u 24</w:t>
      </w:r>
      <w:r w:rsidR="00081C40" w:rsidRPr="002041DF">
        <w:rPr>
          <w:sz w:val="22"/>
          <w:szCs w:val="22"/>
          <w:lang w:val="sr-Latn-ME"/>
        </w:rPr>
        <w:t>.</w:t>
      </w:r>
      <w:r w:rsidRPr="002041DF">
        <w:rPr>
          <w:sz w:val="22"/>
          <w:szCs w:val="22"/>
          <w:lang w:val="sr-Latn-ME"/>
        </w:rPr>
        <w:t xml:space="preserve"> </w:t>
      </w:r>
      <w:r w:rsidR="004372C4" w:rsidRPr="002041DF">
        <w:rPr>
          <w:sz w:val="22"/>
          <w:szCs w:val="22"/>
          <w:lang w:val="sr-Latn-ME"/>
        </w:rPr>
        <w:t>nedjelji</w:t>
      </w:r>
      <w:r w:rsidRPr="002041DF">
        <w:rPr>
          <w:sz w:val="22"/>
          <w:szCs w:val="22"/>
          <w:lang w:val="sr-Latn-ME"/>
        </w:rPr>
        <w:t xml:space="preserve">. Primarni parametar efikasnosti je bio procenat pacijenata koji su dostigli ACR (engl. </w:t>
      </w:r>
      <w:r w:rsidRPr="002041DF">
        <w:rPr>
          <w:i/>
          <w:sz w:val="22"/>
          <w:szCs w:val="22"/>
          <w:lang w:val="sr-Latn-ME"/>
        </w:rPr>
        <w:t>American College of Rheumatology,</w:t>
      </w:r>
      <w:r w:rsidRPr="002041DF">
        <w:rPr>
          <w:sz w:val="22"/>
          <w:szCs w:val="22"/>
          <w:lang w:val="sr-Latn-ME"/>
        </w:rPr>
        <w:t xml:space="preserve"> ACR) odgovor 20 u 24</w:t>
      </w:r>
      <w:r w:rsidR="00081C40" w:rsidRPr="002041DF">
        <w:rPr>
          <w:sz w:val="22"/>
          <w:szCs w:val="22"/>
          <w:lang w:val="sr-Latn-ME"/>
        </w:rPr>
        <w:t>.</w:t>
      </w:r>
      <w:r w:rsidRPr="002041DF">
        <w:rPr>
          <w:sz w:val="22"/>
          <w:szCs w:val="22"/>
          <w:lang w:val="sr-Latn-ME"/>
        </w:rPr>
        <w:t xml:space="preserve"> </w:t>
      </w:r>
      <w:r w:rsidR="004372C4" w:rsidRPr="002041DF">
        <w:rPr>
          <w:sz w:val="22"/>
          <w:szCs w:val="22"/>
          <w:lang w:val="sr-Latn-ME"/>
        </w:rPr>
        <w:t>nedjelji</w:t>
      </w:r>
      <w:r w:rsidRPr="002041DF">
        <w:rPr>
          <w:sz w:val="22"/>
          <w:szCs w:val="22"/>
          <w:lang w:val="sr-Latn-ME"/>
        </w:rPr>
        <w:t>. Ključn</w:t>
      </w:r>
      <w:r w:rsidR="00081C40" w:rsidRPr="002041DF">
        <w:rPr>
          <w:sz w:val="22"/>
          <w:szCs w:val="22"/>
          <w:lang w:val="sr-Latn-ME"/>
        </w:rPr>
        <w:t>i</w:t>
      </w:r>
      <w:r w:rsidRPr="002041DF">
        <w:rPr>
          <w:sz w:val="22"/>
          <w:szCs w:val="22"/>
          <w:lang w:val="sr-Latn-ME"/>
        </w:rPr>
        <w:t xml:space="preserve"> rezultati efikasnosti su prikazani niže u Tabeli 6</w:t>
      </w:r>
      <w:r w:rsidR="00081C40" w:rsidRPr="002041DF">
        <w:rPr>
          <w:sz w:val="22"/>
          <w:szCs w:val="22"/>
          <w:lang w:val="sr-Latn-ME"/>
        </w:rPr>
        <w:t>.</w:t>
      </w:r>
    </w:p>
    <w:p w14:paraId="762240B6" w14:textId="3FB48BC2" w:rsidR="009F752F" w:rsidRPr="002041DF" w:rsidRDefault="009F752F" w:rsidP="002041DF">
      <w:pPr>
        <w:widowControl w:val="0"/>
        <w:jc w:val="both"/>
        <w:rPr>
          <w:i/>
          <w:sz w:val="22"/>
          <w:szCs w:val="22"/>
          <w:lang w:val="sr-Latn-ME"/>
        </w:rPr>
      </w:pPr>
    </w:p>
    <w:p w14:paraId="73EF5268" w14:textId="3C79BE98" w:rsidR="00C36D57" w:rsidRPr="002041DF" w:rsidRDefault="00C36D57" w:rsidP="002041DF">
      <w:pPr>
        <w:widowControl w:val="0"/>
        <w:jc w:val="both"/>
        <w:rPr>
          <w:i/>
          <w:sz w:val="22"/>
          <w:szCs w:val="22"/>
          <w:lang w:val="sr-Latn-ME"/>
        </w:rPr>
      </w:pPr>
      <w:r w:rsidRPr="002041DF">
        <w:rPr>
          <w:i/>
          <w:sz w:val="22"/>
          <w:szCs w:val="22"/>
          <w:lang w:val="sr-Latn-ME"/>
        </w:rPr>
        <w:t>Tabela 6: Broj pacijenata koji su dostigli klinički odgovor u kliničkom ispitivanju 1</w:t>
      </w:r>
      <w:r w:rsidRPr="002041DF" w:rsidDel="00F22A58">
        <w:rPr>
          <w:i/>
          <w:sz w:val="22"/>
          <w:szCs w:val="22"/>
          <w:lang w:val="sr-Latn-ME"/>
        </w:rPr>
        <w:t xml:space="preserve"> </w:t>
      </w:r>
      <w:r w:rsidRPr="002041DF">
        <w:rPr>
          <w:i/>
          <w:sz w:val="22"/>
          <w:szCs w:val="22"/>
          <w:lang w:val="sr-Latn-ME"/>
        </w:rPr>
        <w:t>(PSUMMIT I)</w:t>
      </w:r>
      <w:r w:rsidR="009F752F" w:rsidRPr="002041DF">
        <w:rPr>
          <w:i/>
          <w:sz w:val="22"/>
          <w:szCs w:val="22"/>
          <w:lang w:val="sr-Latn-ME"/>
        </w:rPr>
        <w:t xml:space="preserve"> i </w:t>
      </w:r>
      <w:r w:rsidRPr="002041DF">
        <w:rPr>
          <w:i/>
          <w:sz w:val="22"/>
          <w:szCs w:val="22"/>
          <w:lang w:val="sr-Latn-ME"/>
        </w:rPr>
        <w:t xml:space="preserve"> kliničkom ispitivanju 2</w:t>
      </w:r>
      <w:r w:rsidRPr="002041DF" w:rsidDel="005453FC">
        <w:rPr>
          <w:i/>
          <w:sz w:val="22"/>
          <w:szCs w:val="22"/>
          <w:lang w:val="sr-Latn-ME"/>
        </w:rPr>
        <w:t xml:space="preserve"> </w:t>
      </w:r>
      <w:r w:rsidRPr="002041DF">
        <w:rPr>
          <w:i/>
          <w:sz w:val="22"/>
          <w:szCs w:val="22"/>
          <w:lang w:val="sr-Latn-ME"/>
        </w:rPr>
        <w:t xml:space="preserve">(PSUMMIT II) kod pacijenata sa psorijatičnim artritisom u 24. </w:t>
      </w:r>
      <w:r w:rsidR="004372C4" w:rsidRPr="002041DF">
        <w:rPr>
          <w:i/>
          <w:sz w:val="22"/>
          <w:szCs w:val="22"/>
          <w:lang w:val="sr-Latn-ME"/>
        </w:rPr>
        <w:t>nedjelji</w:t>
      </w:r>
    </w:p>
    <w:tbl>
      <w:tblPr>
        <w:tblW w:w="9388" w:type="dxa"/>
        <w:jc w:val="center"/>
        <w:tblBorders>
          <w:top w:val="nil"/>
          <w:left w:val="nil"/>
          <w:bottom w:val="nil"/>
          <w:right w:val="nil"/>
        </w:tblBorders>
        <w:tblLayout w:type="fixed"/>
        <w:tblLook w:val="0000" w:firstRow="0" w:lastRow="0" w:firstColumn="0" w:lastColumn="0" w:noHBand="0" w:noVBand="0"/>
      </w:tblPr>
      <w:tblGrid>
        <w:gridCol w:w="2117"/>
        <w:gridCol w:w="1134"/>
        <w:gridCol w:w="1123"/>
        <w:gridCol w:w="11"/>
        <w:gridCol w:w="1277"/>
        <w:gridCol w:w="1134"/>
        <w:gridCol w:w="13"/>
        <w:gridCol w:w="1277"/>
        <w:gridCol w:w="13"/>
        <w:gridCol w:w="1266"/>
        <w:gridCol w:w="23"/>
      </w:tblGrid>
      <w:tr w:rsidR="00C36D57" w:rsidRPr="002041DF" w14:paraId="726F82C7" w14:textId="77777777" w:rsidTr="00494EF4">
        <w:trPr>
          <w:cantSplit/>
          <w:trHeight w:val="422"/>
          <w:jc w:val="center"/>
        </w:trPr>
        <w:tc>
          <w:tcPr>
            <w:tcW w:w="1128" w:type="pct"/>
            <w:tcBorders>
              <w:top w:val="single" w:sz="4" w:space="0" w:color="auto"/>
              <w:left w:val="single" w:sz="4" w:space="0" w:color="auto"/>
              <w:bottom w:val="single" w:sz="4" w:space="0" w:color="auto"/>
              <w:right w:val="single" w:sz="4" w:space="0" w:color="auto"/>
            </w:tcBorders>
            <w:vAlign w:val="center"/>
          </w:tcPr>
          <w:p w14:paraId="039D77E9" w14:textId="77777777" w:rsidR="00C36D57" w:rsidRPr="002041DF" w:rsidRDefault="00C36D57" w:rsidP="002041DF">
            <w:pPr>
              <w:widowControl w:val="0"/>
              <w:jc w:val="both"/>
              <w:rPr>
                <w:b/>
                <w:sz w:val="22"/>
                <w:szCs w:val="22"/>
                <w:lang w:val="sr-Latn-ME"/>
              </w:rPr>
            </w:pPr>
          </w:p>
        </w:tc>
        <w:tc>
          <w:tcPr>
            <w:tcW w:w="1888" w:type="pct"/>
            <w:gridSpan w:val="4"/>
            <w:tcBorders>
              <w:top w:val="single" w:sz="4" w:space="0" w:color="auto"/>
              <w:left w:val="single" w:sz="4" w:space="0" w:color="auto"/>
              <w:bottom w:val="single" w:sz="4" w:space="0" w:color="auto"/>
              <w:right w:val="single" w:sz="4" w:space="0" w:color="auto"/>
            </w:tcBorders>
            <w:vAlign w:val="center"/>
          </w:tcPr>
          <w:p w14:paraId="4B0DE303" w14:textId="77777777" w:rsidR="00C36D57" w:rsidRPr="002041DF" w:rsidRDefault="00C36D57" w:rsidP="002041DF">
            <w:pPr>
              <w:widowControl w:val="0"/>
              <w:jc w:val="both"/>
              <w:rPr>
                <w:b/>
                <w:sz w:val="22"/>
                <w:szCs w:val="22"/>
                <w:lang w:val="sr-Latn-ME"/>
              </w:rPr>
            </w:pPr>
            <w:r w:rsidRPr="002041DF">
              <w:rPr>
                <w:b/>
                <w:sz w:val="22"/>
                <w:szCs w:val="22"/>
                <w:lang w:val="sr-Latn-ME"/>
              </w:rPr>
              <w:t>Kliničko ispitivanje psorijatičnog artritisa 1</w:t>
            </w:r>
          </w:p>
        </w:tc>
        <w:tc>
          <w:tcPr>
            <w:tcW w:w="1984" w:type="pct"/>
            <w:gridSpan w:val="6"/>
            <w:tcBorders>
              <w:top w:val="single" w:sz="4" w:space="0" w:color="auto"/>
              <w:left w:val="single" w:sz="4" w:space="0" w:color="auto"/>
              <w:bottom w:val="single" w:sz="4" w:space="0" w:color="auto"/>
              <w:right w:val="single" w:sz="4" w:space="0" w:color="auto"/>
            </w:tcBorders>
            <w:vAlign w:val="center"/>
          </w:tcPr>
          <w:p w14:paraId="6ECABADC" w14:textId="77777777" w:rsidR="00C36D57" w:rsidRPr="002041DF" w:rsidRDefault="00C36D57" w:rsidP="002041DF">
            <w:pPr>
              <w:widowControl w:val="0"/>
              <w:jc w:val="both"/>
              <w:rPr>
                <w:b/>
                <w:sz w:val="22"/>
                <w:szCs w:val="22"/>
                <w:lang w:val="sr-Latn-ME"/>
              </w:rPr>
            </w:pPr>
            <w:r w:rsidRPr="002041DF">
              <w:rPr>
                <w:b/>
                <w:sz w:val="22"/>
                <w:szCs w:val="22"/>
                <w:lang w:val="sr-Latn-ME"/>
              </w:rPr>
              <w:t>Kliničko ispitivanje psorijatičnog artritisa 2</w:t>
            </w:r>
          </w:p>
        </w:tc>
      </w:tr>
      <w:tr w:rsidR="00C36D57" w:rsidRPr="002041DF" w14:paraId="5A701770" w14:textId="77777777" w:rsidTr="00494EF4">
        <w:trPr>
          <w:cantSplit/>
          <w:trHeight w:val="276"/>
          <w:jc w:val="center"/>
        </w:trPr>
        <w:tc>
          <w:tcPr>
            <w:tcW w:w="1128" w:type="pct"/>
            <w:tcBorders>
              <w:top w:val="single" w:sz="4" w:space="0" w:color="auto"/>
              <w:left w:val="single" w:sz="4" w:space="0" w:color="auto"/>
              <w:bottom w:val="single" w:sz="4" w:space="0" w:color="auto"/>
              <w:right w:val="single" w:sz="4" w:space="0" w:color="auto"/>
            </w:tcBorders>
            <w:vAlign w:val="center"/>
          </w:tcPr>
          <w:p w14:paraId="3AF90C0C" w14:textId="77777777" w:rsidR="00C36D57" w:rsidRPr="002041DF" w:rsidRDefault="00C36D57" w:rsidP="002041DF">
            <w:pPr>
              <w:widowControl w:val="0"/>
              <w:jc w:val="both"/>
              <w:rPr>
                <w:sz w:val="22"/>
                <w:szCs w:val="22"/>
                <w:lang w:val="sr-Latn-ME"/>
              </w:rPr>
            </w:pPr>
          </w:p>
        </w:tc>
        <w:tc>
          <w:tcPr>
            <w:tcW w:w="604" w:type="pct"/>
            <w:tcBorders>
              <w:top w:val="single" w:sz="4" w:space="0" w:color="auto"/>
              <w:left w:val="single" w:sz="4" w:space="0" w:color="auto"/>
              <w:bottom w:val="single" w:sz="4" w:space="0" w:color="auto"/>
              <w:right w:val="single" w:sz="4" w:space="0" w:color="auto"/>
            </w:tcBorders>
            <w:vAlign w:val="center"/>
          </w:tcPr>
          <w:p w14:paraId="7F4FF6A8" w14:textId="77777777" w:rsidR="00C36D57" w:rsidRPr="002041DF" w:rsidRDefault="00C36D57" w:rsidP="002041DF">
            <w:pPr>
              <w:widowControl w:val="0"/>
              <w:jc w:val="both"/>
              <w:rPr>
                <w:b/>
                <w:sz w:val="22"/>
                <w:szCs w:val="22"/>
                <w:lang w:val="sr-Latn-ME"/>
              </w:rPr>
            </w:pPr>
            <w:r w:rsidRPr="002041DF">
              <w:rPr>
                <w:b/>
                <w:sz w:val="22"/>
                <w:szCs w:val="22"/>
                <w:lang w:val="sr-Latn-ME"/>
              </w:rPr>
              <w:t>PBO</w:t>
            </w:r>
          </w:p>
        </w:tc>
        <w:tc>
          <w:tcPr>
            <w:tcW w:w="604" w:type="pct"/>
            <w:gridSpan w:val="2"/>
            <w:tcBorders>
              <w:top w:val="single" w:sz="4" w:space="0" w:color="auto"/>
              <w:left w:val="single" w:sz="4" w:space="0" w:color="auto"/>
              <w:bottom w:val="single" w:sz="4" w:space="0" w:color="auto"/>
              <w:right w:val="single" w:sz="4" w:space="0" w:color="auto"/>
            </w:tcBorders>
            <w:vAlign w:val="center"/>
          </w:tcPr>
          <w:p w14:paraId="39B6841E" w14:textId="77777777" w:rsidR="00C36D57" w:rsidRPr="002041DF" w:rsidRDefault="00C36D57" w:rsidP="002041DF">
            <w:pPr>
              <w:widowControl w:val="0"/>
              <w:jc w:val="both"/>
              <w:rPr>
                <w:b/>
                <w:sz w:val="22"/>
                <w:szCs w:val="22"/>
                <w:lang w:val="sr-Latn-ME"/>
              </w:rPr>
            </w:pPr>
            <w:r w:rsidRPr="002041DF">
              <w:rPr>
                <w:b/>
                <w:sz w:val="22"/>
                <w:szCs w:val="22"/>
                <w:lang w:val="sr-Latn-ME"/>
              </w:rPr>
              <w:t>45 mg</w:t>
            </w:r>
          </w:p>
        </w:tc>
        <w:tc>
          <w:tcPr>
            <w:tcW w:w="680" w:type="pct"/>
            <w:tcBorders>
              <w:top w:val="single" w:sz="4" w:space="0" w:color="auto"/>
              <w:left w:val="single" w:sz="4" w:space="0" w:color="auto"/>
              <w:bottom w:val="single" w:sz="4" w:space="0" w:color="auto"/>
              <w:right w:val="single" w:sz="4" w:space="0" w:color="auto"/>
            </w:tcBorders>
            <w:vAlign w:val="center"/>
          </w:tcPr>
          <w:p w14:paraId="29F73AC2" w14:textId="77777777" w:rsidR="00C36D57" w:rsidRPr="002041DF" w:rsidRDefault="00C36D57" w:rsidP="002041DF">
            <w:pPr>
              <w:widowControl w:val="0"/>
              <w:jc w:val="both"/>
              <w:rPr>
                <w:b/>
                <w:sz w:val="22"/>
                <w:szCs w:val="22"/>
                <w:lang w:val="sr-Latn-ME"/>
              </w:rPr>
            </w:pPr>
            <w:r w:rsidRPr="002041DF">
              <w:rPr>
                <w:b/>
                <w:sz w:val="22"/>
                <w:szCs w:val="22"/>
                <w:lang w:val="sr-Latn-ME"/>
              </w:rPr>
              <w:t>90 mg</w:t>
            </w:r>
          </w:p>
        </w:tc>
        <w:tc>
          <w:tcPr>
            <w:tcW w:w="604" w:type="pct"/>
            <w:tcBorders>
              <w:top w:val="single" w:sz="4" w:space="0" w:color="auto"/>
              <w:left w:val="single" w:sz="4" w:space="0" w:color="auto"/>
              <w:bottom w:val="single" w:sz="4" w:space="0" w:color="auto"/>
              <w:right w:val="single" w:sz="4" w:space="0" w:color="auto"/>
            </w:tcBorders>
            <w:vAlign w:val="center"/>
          </w:tcPr>
          <w:p w14:paraId="0C95DF60" w14:textId="77777777" w:rsidR="00C36D57" w:rsidRPr="002041DF" w:rsidRDefault="00C36D57" w:rsidP="002041DF">
            <w:pPr>
              <w:widowControl w:val="0"/>
              <w:jc w:val="both"/>
              <w:rPr>
                <w:b/>
                <w:sz w:val="22"/>
                <w:szCs w:val="22"/>
                <w:lang w:val="sr-Latn-ME"/>
              </w:rPr>
            </w:pPr>
            <w:r w:rsidRPr="002041DF">
              <w:rPr>
                <w:b/>
                <w:sz w:val="22"/>
                <w:szCs w:val="22"/>
                <w:lang w:val="sr-Latn-ME"/>
              </w:rPr>
              <w:t>PBO</w:t>
            </w:r>
          </w:p>
        </w:tc>
        <w:tc>
          <w:tcPr>
            <w:tcW w:w="694" w:type="pct"/>
            <w:gridSpan w:val="3"/>
            <w:tcBorders>
              <w:top w:val="single" w:sz="4" w:space="0" w:color="auto"/>
              <w:left w:val="single" w:sz="4" w:space="0" w:color="auto"/>
              <w:bottom w:val="single" w:sz="4" w:space="0" w:color="auto"/>
              <w:right w:val="single" w:sz="4" w:space="0" w:color="auto"/>
            </w:tcBorders>
            <w:vAlign w:val="center"/>
          </w:tcPr>
          <w:p w14:paraId="6CA71082" w14:textId="77777777" w:rsidR="00C36D57" w:rsidRPr="002041DF" w:rsidRDefault="00C36D57" w:rsidP="002041DF">
            <w:pPr>
              <w:widowControl w:val="0"/>
              <w:jc w:val="both"/>
              <w:rPr>
                <w:b/>
                <w:sz w:val="22"/>
                <w:szCs w:val="22"/>
                <w:lang w:val="sr-Latn-ME"/>
              </w:rPr>
            </w:pPr>
            <w:r w:rsidRPr="002041DF">
              <w:rPr>
                <w:b/>
                <w:sz w:val="22"/>
                <w:szCs w:val="22"/>
                <w:lang w:val="sr-Latn-ME"/>
              </w:rPr>
              <w:t>45 mg</w:t>
            </w:r>
          </w:p>
        </w:tc>
        <w:tc>
          <w:tcPr>
            <w:tcW w:w="687" w:type="pct"/>
            <w:gridSpan w:val="2"/>
            <w:tcBorders>
              <w:top w:val="single" w:sz="4" w:space="0" w:color="auto"/>
              <w:left w:val="single" w:sz="4" w:space="0" w:color="auto"/>
              <w:bottom w:val="single" w:sz="4" w:space="0" w:color="auto"/>
              <w:right w:val="single" w:sz="4" w:space="0" w:color="auto"/>
            </w:tcBorders>
            <w:vAlign w:val="center"/>
          </w:tcPr>
          <w:p w14:paraId="603132A0" w14:textId="77777777" w:rsidR="00C36D57" w:rsidRPr="002041DF" w:rsidRDefault="00C36D57" w:rsidP="002041DF">
            <w:pPr>
              <w:widowControl w:val="0"/>
              <w:jc w:val="both"/>
              <w:rPr>
                <w:b/>
                <w:sz w:val="22"/>
                <w:szCs w:val="22"/>
                <w:lang w:val="sr-Latn-ME"/>
              </w:rPr>
            </w:pPr>
            <w:r w:rsidRPr="002041DF">
              <w:rPr>
                <w:b/>
                <w:sz w:val="22"/>
                <w:szCs w:val="22"/>
                <w:lang w:val="sr-Latn-ME"/>
              </w:rPr>
              <w:t>90 mg</w:t>
            </w:r>
          </w:p>
        </w:tc>
      </w:tr>
      <w:tr w:rsidR="00C36D57" w:rsidRPr="002041DF" w14:paraId="5C021806" w14:textId="77777777" w:rsidTr="00494EF4">
        <w:trPr>
          <w:cantSplit/>
          <w:trHeight w:val="276"/>
          <w:jc w:val="center"/>
        </w:trPr>
        <w:tc>
          <w:tcPr>
            <w:tcW w:w="1128" w:type="pct"/>
            <w:tcBorders>
              <w:top w:val="single" w:sz="4" w:space="0" w:color="auto"/>
              <w:left w:val="single" w:sz="4" w:space="0" w:color="auto"/>
              <w:bottom w:val="single" w:sz="4" w:space="0" w:color="auto"/>
              <w:right w:val="single" w:sz="4" w:space="0" w:color="auto"/>
            </w:tcBorders>
            <w:vAlign w:val="center"/>
          </w:tcPr>
          <w:p w14:paraId="1940126F" w14:textId="77777777" w:rsidR="00C36D57" w:rsidRPr="002041DF" w:rsidRDefault="00C36D57" w:rsidP="002041DF">
            <w:pPr>
              <w:widowControl w:val="0"/>
              <w:jc w:val="both"/>
              <w:rPr>
                <w:b/>
                <w:sz w:val="22"/>
                <w:szCs w:val="22"/>
                <w:lang w:val="sr-Latn-ME"/>
              </w:rPr>
            </w:pPr>
            <w:r w:rsidRPr="002041DF">
              <w:rPr>
                <w:b/>
                <w:sz w:val="22"/>
                <w:szCs w:val="22"/>
                <w:lang w:val="sr-Latn-ME"/>
              </w:rPr>
              <w:t>Broj randomizovanih pacijenata</w:t>
            </w:r>
          </w:p>
        </w:tc>
        <w:tc>
          <w:tcPr>
            <w:tcW w:w="604" w:type="pct"/>
            <w:tcBorders>
              <w:top w:val="single" w:sz="4" w:space="0" w:color="auto"/>
              <w:left w:val="single" w:sz="4" w:space="0" w:color="auto"/>
              <w:bottom w:val="single" w:sz="4" w:space="0" w:color="auto"/>
              <w:right w:val="single" w:sz="4" w:space="0" w:color="auto"/>
            </w:tcBorders>
            <w:vAlign w:val="center"/>
          </w:tcPr>
          <w:p w14:paraId="4A0FF1A2" w14:textId="77777777" w:rsidR="00C36D57" w:rsidRPr="002041DF" w:rsidRDefault="00C36D57" w:rsidP="002041DF">
            <w:pPr>
              <w:widowControl w:val="0"/>
              <w:jc w:val="both"/>
              <w:rPr>
                <w:b/>
                <w:sz w:val="22"/>
                <w:szCs w:val="22"/>
                <w:lang w:val="sr-Latn-ME"/>
              </w:rPr>
            </w:pPr>
            <w:r w:rsidRPr="002041DF">
              <w:rPr>
                <w:b/>
                <w:sz w:val="22"/>
                <w:szCs w:val="22"/>
                <w:lang w:val="sr-Latn-ME"/>
              </w:rPr>
              <w:t>206</w:t>
            </w:r>
          </w:p>
        </w:tc>
        <w:tc>
          <w:tcPr>
            <w:tcW w:w="604" w:type="pct"/>
            <w:gridSpan w:val="2"/>
            <w:tcBorders>
              <w:top w:val="single" w:sz="4" w:space="0" w:color="auto"/>
              <w:left w:val="single" w:sz="4" w:space="0" w:color="auto"/>
              <w:bottom w:val="single" w:sz="4" w:space="0" w:color="auto"/>
              <w:right w:val="single" w:sz="4" w:space="0" w:color="auto"/>
            </w:tcBorders>
            <w:vAlign w:val="center"/>
          </w:tcPr>
          <w:p w14:paraId="60B5AE5D" w14:textId="77777777" w:rsidR="00C36D57" w:rsidRPr="002041DF" w:rsidRDefault="00C36D57" w:rsidP="002041DF">
            <w:pPr>
              <w:widowControl w:val="0"/>
              <w:jc w:val="both"/>
              <w:rPr>
                <w:b/>
                <w:sz w:val="22"/>
                <w:szCs w:val="22"/>
                <w:lang w:val="sr-Latn-ME"/>
              </w:rPr>
            </w:pPr>
            <w:r w:rsidRPr="002041DF">
              <w:rPr>
                <w:b/>
                <w:sz w:val="22"/>
                <w:szCs w:val="22"/>
                <w:lang w:val="sr-Latn-ME"/>
              </w:rPr>
              <w:t>205</w:t>
            </w:r>
          </w:p>
        </w:tc>
        <w:tc>
          <w:tcPr>
            <w:tcW w:w="680" w:type="pct"/>
            <w:tcBorders>
              <w:top w:val="single" w:sz="4" w:space="0" w:color="auto"/>
              <w:left w:val="single" w:sz="4" w:space="0" w:color="auto"/>
              <w:bottom w:val="single" w:sz="4" w:space="0" w:color="auto"/>
              <w:right w:val="single" w:sz="4" w:space="0" w:color="auto"/>
            </w:tcBorders>
            <w:vAlign w:val="center"/>
          </w:tcPr>
          <w:p w14:paraId="34EF0FCF" w14:textId="77777777" w:rsidR="00C36D57" w:rsidRPr="002041DF" w:rsidRDefault="00C36D57" w:rsidP="002041DF">
            <w:pPr>
              <w:widowControl w:val="0"/>
              <w:jc w:val="both"/>
              <w:rPr>
                <w:b/>
                <w:sz w:val="22"/>
                <w:szCs w:val="22"/>
                <w:lang w:val="sr-Latn-ME"/>
              </w:rPr>
            </w:pPr>
            <w:r w:rsidRPr="002041DF">
              <w:rPr>
                <w:b/>
                <w:sz w:val="22"/>
                <w:szCs w:val="22"/>
                <w:lang w:val="sr-Latn-ME"/>
              </w:rPr>
              <w:t>204</w:t>
            </w:r>
          </w:p>
        </w:tc>
        <w:tc>
          <w:tcPr>
            <w:tcW w:w="604" w:type="pct"/>
            <w:tcBorders>
              <w:top w:val="single" w:sz="4" w:space="0" w:color="auto"/>
              <w:left w:val="single" w:sz="4" w:space="0" w:color="auto"/>
              <w:bottom w:val="single" w:sz="4" w:space="0" w:color="auto"/>
              <w:right w:val="single" w:sz="4" w:space="0" w:color="auto"/>
            </w:tcBorders>
            <w:vAlign w:val="center"/>
          </w:tcPr>
          <w:p w14:paraId="523E52DD" w14:textId="77777777" w:rsidR="00C36D57" w:rsidRPr="002041DF" w:rsidRDefault="00C36D57" w:rsidP="002041DF">
            <w:pPr>
              <w:widowControl w:val="0"/>
              <w:tabs>
                <w:tab w:val="center" w:pos="852"/>
                <w:tab w:val="right" w:pos="1704"/>
              </w:tabs>
              <w:jc w:val="both"/>
              <w:rPr>
                <w:b/>
                <w:sz w:val="22"/>
                <w:szCs w:val="22"/>
                <w:lang w:val="sr-Latn-ME"/>
              </w:rPr>
            </w:pPr>
            <w:r w:rsidRPr="002041DF">
              <w:rPr>
                <w:b/>
                <w:sz w:val="22"/>
                <w:szCs w:val="22"/>
                <w:lang w:val="sr-Latn-ME"/>
              </w:rPr>
              <w:t>104</w:t>
            </w:r>
          </w:p>
        </w:tc>
        <w:tc>
          <w:tcPr>
            <w:tcW w:w="694" w:type="pct"/>
            <w:gridSpan w:val="3"/>
            <w:tcBorders>
              <w:top w:val="single" w:sz="4" w:space="0" w:color="auto"/>
              <w:left w:val="single" w:sz="4" w:space="0" w:color="auto"/>
              <w:bottom w:val="single" w:sz="4" w:space="0" w:color="auto"/>
              <w:right w:val="single" w:sz="4" w:space="0" w:color="auto"/>
            </w:tcBorders>
            <w:vAlign w:val="center"/>
          </w:tcPr>
          <w:p w14:paraId="3BFDB9E2" w14:textId="77777777" w:rsidR="00C36D57" w:rsidRPr="002041DF" w:rsidRDefault="00C36D57" w:rsidP="002041DF">
            <w:pPr>
              <w:widowControl w:val="0"/>
              <w:jc w:val="both"/>
              <w:rPr>
                <w:b/>
                <w:sz w:val="22"/>
                <w:szCs w:val="22"/>
                <w:lang w:val="sr-Latn-ME"/>
              </w:rPr>
            </w:pPr>
            <w:r w:rsidRPr="002041DF">
              <w:rPr>
                <w:b/>
                <w:sz w:val="22"/>
                <w:szCs w:val="22"/>
                <w:lang w:val="sr-Latn-ME"/>
              </w:rPr>
              <w:t>103</w:t>
            </w:r>
          </w:p>
        </w:tc>
        <w:tc>
          <w:tcPr>
            <w:tcW w:w="687" w:type="pct"/>
            <w:gridSpan w:val="2"/>
            <w:tcBorders>
              <w:top w:val="single" w:sz="4" w:space="0" w:color="auto"/>
              <w:left w:val="single" w:sz="4" w:space="0" w:color="auto"/>
              <w:bottom w:val="single" w:sz="4" w:space="0" w:color="auto"/>
              <w:right w:val="single" w:sz="4" w:space="0" w:color="auto"/>
            </w:tcBorders>
            <w:vAlign w:val="center"/>
          </w:tcPr>
          <w:p w14:paraId="0FD0E587" w14:textId="77777777" w:rsidR="00C36D57" w:rsidRPr="002041DF" w:rsidRDefault="00C36D57" w:rsidP="002041DF">
            <w:pPr>
              <w:widowControl w:val="0"/>
              <w:jc w:val="both"/>
              <w:rPr>
                <w:b/>
                <w:sz w:val="22"/>
                <w:szCs w:val="22"/>
                <w:lang w:val="sr-Latn-ME"/>
              </w:rPr>
            </w:pPr>
            <w:r w:rsidRPr="002041DF">
              <w:rPr>
                <w:b/>
                <w:sz w:val="22"/>
                <w:szCs w:val="22"/>
                <w:lang w:val="sr-Latn-ME"/>
              </w:rPr>
              <w:t>105</w:t>
            </w:r>
          </w:p>
        </w:tc>
      </w:tr>
      <w:tr w:rsidR="00C36D57" w:rsidRPr="002041DF" w14:paraId="21EC0B4A" w14:textId="77777777" w:rsidTr="00494EF4">
        <w:trPr>
          <w:cantSplit/>
          <w:trHeight w:val="349"/>
          <w:jc w:val="center"/>
        </w:trPr>
        <w:tc>
          <w:tcPr>
            <w:tcW w:w="1128" w:type="pct"/>
            <w:tcBorders>
              <w:top w:val="single" w:sz="4" w:space="0" w:color="auto"/>
              <w:left w:val="single" w:sz="4" w:space="0" w:color="auto"/>
              <w:bottom w:val="single" w:sz="4" w:space="0" w:color="auto"/>
              <w:right w:val="single" w:sz="4" w:space="0" w:color="auto"/>
            </w:tcBorders>
            <w:vAlign w:val="center"/>
          </w:tcPr>
          <w:p w14:paraId="57608FEB" w14:textId="77777777" w:rsidR="00C36D57" w:rsidRPr="002041DF" w:rsidRDefault="00C36D57" w:rsidP="002041DF">
            <w:pPr>
              <w:widowControl w:val="0"/>
              <w:ind w:left="284"/>
              <w:jc w:val="both"/>
              <w:rPr>
                <w:sz w:val="22"/>
                <w:szCs w:val="22"/>
                <w:lang w:val="sr-Latn-ME"/>
              </w:rPr>
            </w:pPr>
            <w:r w:rsidRPr="002041DF">
              <w:rPr>
                <w:sz w:val="22"/>
                <w:szCs w:val="22"/>
                <w:lang w:val="sr-Latn-ME"/>
              </w:rPr>
              <w:t>ACR 20 odgovor, N (%)</w:t>
            </w:r>
          </w:p>
        </w:tc>
        <w:tc>
          <w:tcPr>
            <w:tcW w:w="604" w:type="pct"/>
            <w:tcBorders>
              <w:top w:val="single" w:sz="4" w:space="0" w:color="auto"/>
              <w:left w:val="single" w:sz="4" w:space="0" w:color="auto"/>
              <w:bottom w:val="single" w:sz="4" w:space="0" w:color="auto"/>
              <w:right w:val="single" w:sz="4" w:space="0" w:color="auto"/>
            </w:tcBorders>
            <w:vAlign w:val="center"/>
          </w:tcPr>
          <w:p w14:paraId="2E7E203C" w14:textId="77777777" w:rsidR="00C36D57" w:rsidRPr="002041DF" w:rsidRDefault="00C36D57" w:rsidP="002041DF">
            <w:pPr>
              <w:widowControl w:val="0"/>
              <w:adjustRightInd w:val="0"/>
              <w:jc w:val="both"/>
              <w:rPr>
                <w:sz w:val="22"/>
                <w:szCs w:val="22"/>
                <w:lang w:val="sr-Latn-ME"/>
              </w:rPr>
            </w:pPr>
            <w:r w:rsidRPr="002041DF">
              <w:rPr>
                <w:sz w:val="22"/>
                <w:szCs w:val="22"/>
                <w:lang w:val="sr-Latn-ME"/>
              </w:rPr>
              <w:t>47 (23%)</w:t>
            </w:r>
          </w:p>
        </w:tc>
        <w:tc>
          <w:tcPr>
            <w:tcW w:w="604" w:type="pct"/>
            <w:gridSpan w:val="2"/>
            <w:tcBorders>
              <w:top w:val="single" w:sz="4" w:space="0" w:color="auto"/>
              <w:left w:val="single" w:sz="4" w:space="0" w:color="auto"/>
              <w:bottom w:val="single" w:sz="4" w:space="0" w:color="auto"/>
              <w:right w:val="single" w:sz="4" w:space="0" w:color="auto"/>
            </w:tcBorders>
            <w:vAlign w:val="center"/>
          </w:tcPr>
          <w:p w14:paraId="37A76CEC" w14:textId="77777777" w:rsidR="00C36D57" w:rsidRPr="002041DF" w:rsidRDefault="00C36D57" w:rsidP="002041DF">
            <w:pPr>
              <w:widowControl w:val="0"/>
              <w:adjustRightInd w:val="0"/>
              <w:jc w:val="both"/>
              <w:rPr>
                <w:sz w:val="22"/>
                <w:szCs w:val="22"/>
                <w:lang w:val="sr-Latn-ME"/>
              </w:rPr>
            </w:pPr>
            <w:r w:rsidRPr="002041DF">
              <w:rPr>
                <w:sz w:val="22"/>
                <w:szCs w:val="22"/>
                <w:lang w:val="sr-Latn-ME"/>
              </w:rPr>
              <w:t>87 (42%)</w:t>
            </w:r>
            <w:r w:rsidRPr="002041DF">
              <w:rPr>
                <w:sz w:val="22"/>
                <w:szCs w:val="22"/>
                <w:vertAlign w:val="superscript"/>
                <w:lang w:val="sr-Latn-ME"/>
              </w:rPr>
              <w:t>a</w:t>
            </w:r>
          </w:p>
        </w:tc>
        <w:tc>
          <w:tcPr>
            <w:tcW w:w="680" w:type="pct"/>
            <w:tcBorders>
              <w:top w:val="single" w:sz="4" w:space="0" w:color="auto"/>
              <w:left w:val="single" w:sz="4" w:space="0" w:color="auto"/>
              <w:bottom w:val="single" w:sz="4" w:space="0" w:color="auto"/>
              <w:right w:val="single" w:sz="4" w:space="0" w:color="auto"/>
            </w:tcBorders>
            <w:vAlign w:val="center"/>
          </w:tcPr>
          <w:p w14:paraId="2D0A6C62" w14:textId="77777777" w:rsidR="00C36D57" w:rsidRPr="002041DF" w:rsidRDefault="00C36D57" w:rsidP="002041DF">
            <w:pPr>
              <w:widowControl w:val="0"/>
              <w:adjustRightInd w:val="0"/>
              <w:jc w:val="both"/>
              <w:rPr>
                <w:sz w:val="22"/>
                <w:szCs w:val="22"/>
                <w:lang w:val="sr-Latn-ME"/>
              </w:rPr>
            </w:pPr>
            <w:r w:rsidRPr="002041DF">
              <w:rPr>
                <w:sz w:val="22"/>
                <w:szCs w:val="22"/>
                <w:lang w:val="sr-Latn-ME"/>
              </w:rPr>
              <w:t>101 (50%)</w:t>
            </w:r>
            <w:r w:rsidRPr="002041DF">
              <w:rPr>
                <w:sz w:val="22"/>
                <w:szCs w:val="22"/>
                <w:vertAlign w:val="superscript"/>
                <w:lang w:val="sr-Latn-ME"/>
              </w:rPr>
              <w:t>a</w:t>
            </w:r>
          </w:p>
        </w:tc>
        <w:tc>
          <w:tcPr>
            <w:tcW w:w="604" w:type="pct"/>
            <w:tcBorders>
              <w:top w:val="single" w:sz="4" w:space="0" w:color="auto"/>
              <w:left w:val="single" w:sz="4" w:space="0" w:color="auto"/>
              <w:bottom w:val="single" w:sz="4" w:space="0" w:color="auto"/>
              <w:right w:val="single" w:sz="4" w:space="0" w:color="auto"/>
            </w:tcBorders>
            <w:vAlign w:val="center"/>
          </w:tcPr>
          <w:p w14:paraId="03ECAC7E" w14:textId="77777777" w:rsidR="00C36D57" w:rsidRPr="002041DF" w:rsidRDefault="00C36D57" w:rsidP="002041DF">
            <w:pPr>
              <w:widowControl w:val="0"/>
              <w:adjustRightInd w:val="0"/>
              <w:jc w:val="both"/>
              <w:rPr>
                <w:sz w:val="22"/>
                <w:szCs w:val="22"/>
                <w:lang w:val="sr-Latn-ME"/>
              </w:rPr>
            </w:pPr>
            <w:r w:rsidRPr="002041DF">
              <w:rPr>
                <w:sz w:val="22"/>
                <w:szCs w:val="22"/>
                <w:lang w:val="sr-Latn-ME"/>
              </w:rPr>
              <w:t>21 (20%)</w:t>
            </w:r>
          </w:p>
        </w:tc>
        <w:tc>
          <w:tcPr>
            <w:tcW w:w="694" w:type="pct"/>
            <w:gridSpan w:val="3"/>
            <w:tcBorders>
              <w:top w:val="single" w:sz="4" w:space="0" w:color="auto"/>
              <w:left w:val="single" w:sz="4" w:space="0" w:color="auto"/>
              <w:bottom w:val="single" w:sz="4" w:space="0" w:color="auto"/>
              <w:right w:val="single" w:sz="4" w:space="0" w:color="auto"/>
            </w:tcBorders>
            <w:vAlign w:val="center"/>
          </w:tcPr>
          <w:p w14:paraId="29A21CCA" w14:textId="77777777" w:rsidR="00C36D57" w:rsidRPr="002041DF" w:rsidRDefault="00C36D57" w:rsidP="002041DF">
            <w:pPr>
              <w:widowControl w:val="0"/>
              <w:adjustRightInd w:val="0"/>
              <w:jc w:val="both"/>
              <w:rPr>
                <w:sz w:val="22"/>
                <w:szCs w:val="22"/>
                <w:lang w:val="sr-Latn-ME"/>
              </w:rPr>
            </w:pPr>
            <w:r w:rsidRPr="002041DF">
              <w:rPr>
                <w:sz w:val="22"/>
                <w:szCs w:val="22"/>
                <w:lang w:val="sr-Latn-ME"/>
              </w:rPr>
              <w:t>45 (44%)</w:t>
            </w:r>
            <w:r w:rsidRPr="002041DF">
              <w:rPr>
                <w:sz w:val="22"/>
                <w:szCs w:val="22"/>
                <w:vertAlign w:val="superscript"/>
                <w:lang w:val="sr-Latn-ME"/>
              </w:rPr>
              <w:t>a</w:t>
            </w:r>
          </w:p>
        </w:tc>
        <w:tc>
          <w:tcPr>
            <w:tcW w:w="687" w:type="pct"/>
            <w:gridSpan w:val="2"/>
            <w:tcBorders>
              <w:top w:val="single" w:sz="4" w:space="0" w:color="auto"/>
              <w:left w:val="single" w:sz="4" w:space="0" w:color="auto"/>
              <w:bottom w:val="single" w:sz="4" w:space="0" w:color="auto"/>
              <w:right w:val="single" w:sz="4" w:space="0" w:color="auto"/>
            </w:tcBorders>
            <w:vAlign w:val="center"/>
          </w:tcPr>
          <w:p w14:paraId="4B374201" w14:textId="77777777" w:rsidR="00C36D57" w:rsidRPr="002041DF" w:rsidRDefault="00C36D57" w:rsidP="002041DF">
            <w:pPr>
              <w:widowControl w:val="0"/>
              <w:adjustRightInd w:val="0"/>
              <w:jc w:val="both"/>
              <w:rPr>
                <w:sz w:val="22"/>
                <w:szCs w:val="22"/>
                <w:lang w:val="sr-Latn-ME"/>
              </w:rPr>
            </w:pPr>
            <w:r w:rsidRPr="002041DF">
              <w:rPr>
                <w:sz w:val="22"/>
                <w:szCs w:val="22"/>
                <w:lang w:val="sr-Latn-ME"/>
              </w:rPr>
              <w:t>46 (44%)</w:t>
            </w:r>
            <w:r w:rsidRPr="002041DF">
              <w:rPr>
                <w:sz w:val="22"/>
                <w:szCs w:val="22"/>
                <w:vertAlign w:val="superscript"/>
                <w:lang w:val="sr-Latn-ME"/>
              </w:rPr>
              <w:t>a</w:t>
            </w:r>
          </w:p>
        </w:tc>
      </w:tr>
      <w:tr w:rsidR="00C36D57" w:rsidRPr="002041DF" w14:paraId="100C55D5" w14:textId="77777777" w:rsidTr="00494EF4">
        <w:trPr>
          <w:cantSplit/>
          <w:trHeight w:val="348"/>
          <w:jc w:val="center"/>
        </w:trPr>
        <w:tc>
          <w:tcPr>
            <w:tcW w:w="1128" w:type="pct"/>
            <w:tcBorders>
              <w:top w:val="single" w:sz="4" w:space="0" w:color="auto"/>
              <w:left w:val="single" w:sz="4" w:space="0" w:color="auto"/>
              <w:bottom w:val="single" w:sz="4" w:space="0" w:color="auto"/>
              <w:right w:val="single" w:sz="4" w:space="0" w:color="auto"/>
            </w:tcBorders>
            <w:vAlign w:val="center"/>
          </w:tcPr>
          <w:p w14:paraId="7779D113" w14:textId="77777777" w:rsidR="00C36D57" w:rsidRPr="002041DF" w:rsidRDefault="00C36D57" w:rsidP="002041DF">
            <w:pPr>
              <w:widowControl w:val="0"/>
              <w:ind w:left="284"/>
              <w:jc w:val="both"/>
              <w:rPr>
                <w:sz w:val="22"/>
                <w:szCs w:val="22"/>
                <w:lang w:val="sr-Latn-ME"/>
              </w:rPr>
            </w:pPr>
            <w:r w:rsidRPr="002041DF">
              <w:rPr>
                <w:sz w:val="22"/>
                <w:szCs w:val="22"/>
                <w:lang w:val="sr-Latn-ME"/>
              </w:rPr>
              <w:t>ACR 50 odgovor, N (%)</w:t>
            </w:r>
          </w:p>
        </w:tc>
        <w:tc>
          <w:tcPr>
            <w:tcW w:w="604" w:type="pct"/>
            <w:tcBorders>
              <w:top w:val="single" w:sz="4" w:space="0" w:color="auto"/>
              <w:left w:val="single" w:sz="4" w:space="0" w:color="auto"/>
              <w:bottom w:val="single" w:sz="4" w:space="0" w:color="auto"/>
              <w:right w:val="single" w:sz="4" w:space="0" w:color="auto"/>
            </w:tcBorders>
            <w:vAlign w:val="center"/>
          </w:tcPr>
          <w:p w14:paraId="1756B2C7" w14:textId="77777777" w:rsidR="00C36D57" w:rsidRPr="002041DF" w:rsidRDefault="00C36D57" w:rsidP="002041DF">
            <w:pPr>
              <w:widowControl w:val="0"/>
              <w:adjustRightInd w:val="0"/>
              <w:jc w:val="both"/>
              <w:rPr>
                <w:sz w:val="22"/>
                <w:szCs w:val="22"/>
                <w:lang w:val="sr-Latn-ME"/>
              </w:rPr>
            </w:pPr>
            <w:r w:rsidRPr="002041DF">
              <w:rPr>
                <w:sz w:val="22"/>
                <w:szCs w:val="22"/>
                <w:lang w:val="sr-Latn-ME"/>
              </w:rPr>
              <w:t>18 (9%)</w:t>
            </w:r>
          </w:p>
        </w:tc>
        <w:tc>
          <w:tcPr>
            <w:tcW w:w="604" w:type="pct"/>
            <w:gridSpan w:val="2"/>
            <w:tcBorders>
              <w:top w:val="single" w:sz="4" w:space="0" w:color="auto"/>
              <w:left w:val="single" w:sz="4" w:space="0" w:color="auto"/>
              <w:bottom w:val="single" w:sz="4" w:space="0" w:color="auto"/>
              <w:right w:val="single" w:sz="4" w:space="0" w:color="auto"/>
            </w:tcBorders>
            <w:vAlign w:val="center"/>
          </w:tcPr>
          <w:p w14:paraId="74152CEB" w14:textId="77777777" w:rsidR="00C36D57" w:rsidRPr="002041DF" w:rsidRDefault="00C36D57" w:rsidP="002041DF">
            <w:pPr>
              <w:widowControl w:val="0"/>
              <w:adjustRightInd w:val="0"/>
              <w:jc w:val="both"/>
              <w:rPr>
                <w:sz w:val="22"/>
                <w:szCs w:val="22"/>
                <w:lang w:val="sr-Latn-ME"/>
              </w:rPr>
            </w:pPr>
            <w:r w:rsidRPr="002041DF">
              <w:rPr>
                <w:sz w:val="22"/>
                <w:szCs w:val="22"/>
                <w:lang w:val="sr-Latn-ME"/>
              </w:rPr>
              <w:t>51 (25%)</w:t>
            </w:r>
            <w:r w:rsidRPr="002041DF">
              <w:rPr>
                <w:sz w:val="22"/>
                <w:szCs w:val="22"/>
                <w:vertAlign w:val="superscript"/>
                <w:lang w:val="sr-Latn-ME"/>
              </w:rPr>
              <w:t>a</w:t>
            </w:r>
          </w:p>
        </w:tc>
        <w:tc>
          <w:tcPr>
            <w:tcW w:w="680" w:type="pct"/>
            <w:tcBorders>
              <w:top w:val="single" w:sz="4" w:space="0" w:color="auto"/>
              <w:left w:val="single" w:sz="4" w:space="0" w:color="auto"/>
              <w:bottom w:val="single" w:sz="4" w:space="0" w:color="auto"/>
              <w:right w:val="single" w:sz="4" w:space="0" w:color="auto"/>
            </w:tcBorders>
            <w:vAlign w:val="center"/>
          </w:tcPr>
          <w:p w14:paraId="6B692F26" w14:textId="77777777" w:rsidR="00C36D57" w:rsidRPr="002041DF" w:rsidRDefault="00C36D57" w:rsidP="002041DF">
            <w:pPr>
              <w:widowControl w:val="0"/>
              <w:adjustRightInd w:val="0"/>
              <w:jc w:val="both"/>
              <w:rPr>
                <w:sz w:val="22"/>
                <w:szCs w:val="22"/>
                <w:lang w:val="sr-Latn-ME"/>
              </w:rPr>
            </w:pPr>
            <w:r w:rsidRPr="002041DF">
              <w:rPr>
                <w:sz w:val="22"/>
                <w:szCs w:val="22"/>
                <w:lang w:val="sr-Latn-ME"/>
              </w:rPr>
              <w:t>57 (28%)</w:t>
            </w:r>
            <w:r w:rsidRPr="002041DF">
              <w:rPr>
                <w:sz w:val="22"/>
                <w:szCs w:val="22"/>
                <w:vertAlign w:val="superscript"/>
                <w:lang w:val="sr-Latn-ME"/>
              </w:rPr>
              <w:t>a</w:t>
            </w:r>
          </w:p>
        </w:tc>
        <w:tc>
          <w:tcPr>
            <w:tcW w:w="604" w:type="pct"/>
            <w:tcBorders>
              <w:top w:val="single" w:sz="4" w:space="0" w:color="auto"/>
              <w:left w:val="single" w:sz="4" w:space="0" w:color="auto"/>
              <w:bottom w:val="single" w:sz="4" w:space="0" w:color="auto"/>
              <w:right w:val="single" w:sz="4" w:space="0" w:color="auto"/>
            </w:tcBorders>
            <w:vAlign w:val="center"/>
          </w:tcPr>
          <w:p w14:paraId="3D42C7B4" w14:textId="77777777" w:rsidR="00C36D57" w:rsidRPr="002041DF" w:rsidRDefault="00C36D57" w:rsidP="002041DF">
            <w:pPr>
              <w:widowControl w:val="0"/>
              <w:adjustRightInd w:val="0"/>
              <w:jc w:val="both"/>
              <w:rPr>
                <w:sz w:val="22"/>
                <w:szCs w:val="22"/>
                <w:lang w:val="sr-Latn-ME"/>
              </w:rPr>
            </w:pPr>
            <w:r w:rsidRPr="002041DF">
              <w:rPr>
                <w:sz w:val="22"/>
                <w:szCs w:val="22"/>
                <w:lang w:val="sr-Latn-ME"/>
              </w:rPr>
              <w:t>7 (7%)</w:t>
            </w:r>
          </w:p>
        </w:tc>
        <w:tc>
          <w:tcPr>
            <w:tcW w:w="694" w:type="pct"/>
            <w:gridSpan w:val="3"/>
            <w:tcBorders>
              <w:top w:val="single" w:sz="4" w:space="0" w:color="auto"/>
              <w:left w:val="single" w:sz="4" w:space="0" w:color="auto"/>
              <w:bottom w:val="single" w:sz="4" w:space="0" w:color="auto"/>
              <w:right w:val="single" w:sz="4" w:space="0" w:color="auto"/>
            </w:tcBorders>
            <w:vAlign w:val="center"/>
          </w:tcPr>
          <w:p w14:paraId="45F42AD1" w14:textId="77777777" w:rsidR="00C36D57" w:rsidRPr="002041DF" w:rsidRDefault="00C36D57" w:rsidP="002041DF">
            <w:pPr>
              <w:widowControl w:val="0"/>
              <w:adjustRightInd w:val="0"/>
              <w:jc w:val="both"/>
              <w:rPr>
                <w:sz w:val="22"/>
                <w:szCs w:val="22"/>
                <w:lang w:val="sr-Latn-ME"/>
              </w:rPr>
            </w:pPr>
            <w:r w:rsidRPr="002041DF">
              <w:rPr>
                <w:sz w:val="22"/>
                <w:szCs w:val="22"/>
                <w:lang w:val="sr-Latn-ME"/>
              </w:rPr>
              <w:t>18 (17%)</w:t>
            </w:r>
            <w:r w:rsidRPr="002041DF">
              <w:rPr>
                <w:sz w:val="22"/>
                <w:szCs w:val="22"/>
                <w:vertAlign w:val="superscript"/>
                <w:lang w:val="sr-Latn-ME"/>
              </w:rPr>
              <w:t>b</w:t>
            </w:r>
          </w:p>
        </w:tc>
        <w:tc>
          <w:tcPr>
            <w:tcW w:w="687" w:type="pct"/>
            <w:gridSpan w:val="2"/>
            <w:tcBorders>
              <w:top w:val="single" w:sz="4" w:space="0" w:color="auto"/>
              <w:left w:val="single" w:sz="4" w:space="0" w:color="auto"/>
              <w:bottom w:val="single" w:sz="4" w:space="0" w:color="auto"/>
              <w:right w:val="single" w:sz="4" w:space="0" w:color="auto"/>
            </w:tcBorders>
            <w:vAlign w:val="center"/>
          </w:tcPr>
          <w:p w14:paraId="431B7961" w14:textId="77777777" w:rsidR="00C36D57" w:rsidRPr="002041DF" w:rsidRDefault="00C36D57" w:rsidP="002041DF">
            <w:pPr>
              <w:widowControl w:val="0"/>
              <w:adjustRightInd w:val="0"/>
              <w:jc w:val="both"/>
              <w:rPr>
                <w:sz w:val="22"/>
                <w:szCs w:val="22"/>
                <w:lang w:val="sr-Latn-ME"/>
              </w:rPr>
            </w:pPr>
            <w:r w:rsidRPr="002041DF">
              <w:rPr>
                <w:sz w:val="22"/>
                <w:szCs w:val="22"/>
                <w:lang w:val="sr-Latn-ME"/>
              </w:rPr>
              <w:t>24 (23%)</w:t>
            </w:r>
            <w:r w:rsidRPr="002041DF">
              <w:rPr>
                <w:sz w:val="22"/>
                <w:szCs w:val="22"/>
                <w:vertAlign w:val="superscript"/>
                <w:lang w:val="sr-Latn-ME"/>
              </w:rPr>
              <w:t>a</w:t>
            </w:r>
          </w:p>
        </w:tc>
      </w:tr>
      <w:tr w:rsidR="00C36D57" w:rsidRPr="002041DF" w14:paraId="237C6B46" w14:textId="77777777" w:rsidTr="00494EF4">
        <w:trPr>
          <w:cantSplit/>
          <w:trHeight w:val="348"/>
          <w:jc w:val="center"/>
        </w:trPr>
        <w:tc>
          <w:tcPr>
            <w:tcW w:w="1128" w:type="pct"/>
            <w:tcBorders>
              <w:top w:val="single" w:sz="4" w:space="0" w:color="auto"/>
              <w:left w:val="single" w:sz="4" w:space="0" w:color="auto"/>
              <w:bottom w:val="single" w:sz="4" w:space="0" w:color="auto"/>
              <w:right w:val="single" w:sz="4" w:space="0" w:color="auto"/>
            </w:tcBorders>
            <w:vAlign w:val="center"/>
          </w:tcPr>
          <w:p w14:paraId="44458CD1" w14:textId="77777777" w:rsidR="00C36D57" w:rsidRPr="002041DF" w:rsidRDefault="00C36D57" w:rsidP="002041DF">
            <w:pPr>
              <w:widowControl w:val="0"/>
              <w:ind w:left="284"/>
              <w:jc w:val="both"/>
              <w:rPr>
                <w:sz w:val="22"/>
                <w:szCs w:val="22"/>
                <w:lang w:val="sr-Latn-ME"/>
              </w:rPr>
            </w:pPr>
            <w:r w:rsidRPr="002041DF">
              <w:rPr>
                <w:sz w:val="22"/>
                <w:szCs w:val="22"/>
                <w:lang w:val="sr-Latn-ME"/>
              </w:rPr>
              <w:t>ACR 70 odgovor, N (%)</w:t>
            </w:r>
          </w:p>
        </w:tc>
        <w:tc>
          <w:tcPr>
            <w:tcW w:w="604" w:type="pct"/>
            <w:tcBorders>
              <w:top w:val="single" w:sz="4" w:space="0" w:color="auto"/>
              <w:left w:val="single" w:sz="4" w:space="0" w:color="auto"/>
              <w:bottom w:val="single" w:sz="4" w:space="0" w:color="auto"/>
              <w:right w:val="single" w:sz="4" w:space="0" w:color="auto"/>
            </w:tcBorders>
            <w:vAlign w:val="center"/>
          </w:tcPr>
          <w:p w14:paraId="3B380FDC" w14:textId="77777777" w:rsidR="00C36D57" w:rsidRPr="002041DF" w:rsidRDefault="00C36D57" w:rsidP="002041DF">
            <w:pPr>
              <w:widowControl w:val="0"/>
              <w:adjustRightInd w:val="0"/>
              <w:jc w:val="both"/>
              <w:rPr>
                <w:sz w:val="22"/>
                <w:szCs w:val="22"/>
                <w:lang w:val="sr-Latn-ME"/>
              </w:rPr>
            </w:pPr>
            <w:r w:rsidRPr="002041DF">
              <w:rPr>
                <w:sz w:val="22"/>
                <w:szCs w:val="22"/>
                <w:lang w:val="sr-Latn-ME"/>
              </w:rPr>
              <w:t>5 (2%)</w:t>
            </w:r>
          </w:p>
        </w:tc>
        <w:tc>
          <w:tcPr>
            <w:tcW w:w="604" w:type="pct"/>
            <w:gridSpan w:val="2"/>
            <w:tcBorders>
              <w:top w:val="single" w:sz="4" w:space="0" w:color="auto"/>
              <w:left w:val="single" w:sz="4" w:space="0" w:color="auto"/>
              <w:bottom w:val="single" w:sz="4" w:space="0" w:color="auto"/>
              <w:right w:val="single" w:sz="4" w:space="0" w:color="auto"/>
            </w:tcBorders>
            <w:vAlign w:val="center"/>
          </w:tcPr>
          <w:p w14:paraId="70C52DE8" w14:textId="77777777" w:rsidR="00C36D57" w:rsidRPr="002041DF" w:rsidRDefault="00C36D57" w:rsidP="002041DF">
            <w:pPr>
              <w:widowControl w:val="0"/>
              <w:adjustRightInd w:val="0"/>
              <w:jc w:val="both"/>
              <w:rPr>
                <w:sz w:val="22"/>
                <w:szCs w:val="22"/>
                <w:lang w:val="sr-Latn-ME"/>
              </w:rPr>
            </w:pPr>
            <w:r w:rsidRPr="002041DF">
              <w:rPr>
                <w:sz w:val="22"/>
                <w:szCs w:val="22"/>
                <w:lang w:val="sr-Latn-ME"/>
              </w:rPr>
              <w:t>25 (12%)</w:t>
            </w:r>
            <w:r w:rsidRPr="002041DF">
              <w:rPr>
                <w:sz w:val="22"/>
                <w:szCs w:val="22"/>
                <w:vertAlign w:val="superscript"/>
                <w:lang w:val="sr-Latn-ME"/>
              </w:rPr>
              <w:t>a</w:t>
            </w:r>
          </w:p>
        </w:tc>
        <w:tc>
          <w:tcPr>
            <w:tcW w:w="680" w:type="pct"/>
            <w:tcBorders>
              <w:top w:val="single" w:sz="4" w:space="0" w:color="auto"/>
              <w:left w:val="single" w:sz="4" w:space="0" w:color="auto"/>
              <w:bottom w:val="single" w:sz="4" w:space="0" w:color="auto"/>
              <w:right w:val="single" w:sz="4" w:space="0" w:color="auto"/>
            </w:tcBorders>
            <w:vAlign w:val="center"/>
          </w:tcPr>
          <w:p w14:paraId="577F05F4" w14:textId="77777777" w:rsidR="00C36D57" w:rsidRPr="002041DF" w:rsidRDefault="00C36D57" w:rsidP="002041DF">
            <w:pPr>
              <w:widowControl w:val="0"/>
              <w:adjustRightInd w:val="0"/>
              <w:jc w:val="both"/>
              <w:rPr>
                <w:sz w:val="22"/>
                <w:szCs w:val="22"/>
                <w:lang w:val="sr-Latn-ME"/>
              </w:rPr>
            </w:pPr>
            <w:r w:rsidRPr="002041DF">
              <w:rPr>
                <w:sz w:val="22"/>
                <w:szCs w:val="22"/>
                <w:lang w:val="sr-Latn-ME"/>
              </w:rPr>
              <w:t>29 (14%)</w:t>
            </w:r>
            <w:r w:rsidRPr="002041DF">
              <w:rPr>
                <w:sz w:val="22"/>
                <w:szCs w:val="22"/>
                <w:vertAlign w:val="superscript"/>
                <w:lang w:val="sr-Latn-ME"/>
              </w:rPr>
              <w:t>a</w:t>
            </w:r>
          </w:p>
        </w:tc>
        <w:tc>
          <w:tcPr>
            <w:tcW w:w="604" w:type="pct"/>
            <w:tcBorders>
              <w:top w:val="single" w:sz="4" w:space="0" w:color="auto"/>
              <w:left w:val="single" w:sz="4" w:space="0" w:color="auto"/>
              <w:bottom w:val="single" w:sz="4" w:space="0" w:color="auto"/>
              <w:right w:val="single" w:sz="4" w:space="0" w:color="auto"/>
            </w:tcBorders>
            <w:vAlign w:val="center"/>
          </w:tcPr>
          <w:p w14:paraId="3F145867" w14:textId="77777777" w:rsidR="00C36D57" w:rsidRPr="002041DF" w:rsidRDefault="00C36D57" w:rsidP="002041DF">
            <w:pPr>
              <w:widowControl w:val="0"/>
              <w:adjustRightInd w:val="0"/>
              <w:jc w:val="both"/>
              <w:rPr>
                <w:sz w:val="22"/>
                <w:szCs w:val="22"/>
                <w:lang w:val="sr-Latn-ME"/>
              </w:rPr>
            </w:pPr>
            <w:r w:rsidRPr="002041DF">
              <w:rPr>
                <w:sz w:val="22"/>
                <w:szCs w:val="22"/>
                <w:lang w:val="sr-Latn-ME"/>
              </w:rPr>
              <w:t>3 (3%)</w:t>
            </w:r>
          </w:p>
        </w:tc>
        <w:tc>
          <w:tcPr>
            <w:tcW w:w="694" w:type="pct"/>
            <w:gridSpan w:val="3"/>
            <w:tcBorders>
              <w:top w:val="single" w:sz="4" w:space="0" w:color="auto"/>
              <w:left w:val="single" w:sz="4" w:space="0" w:color="auto"/>
              <w:bottom w:val="single" w:sz="4" w:space="0" w:color="auto"/>
              <w:right w:val="single" w:sz="4" w:space="0" w:color="auto"/>
            </w:tcBorders>
            <w:vAlign w:val="center"/>
          </w:tcPr>
          <w:p w14:paraId="0A903D70" w14:textId="77777777" w:rsidR="00C36D57" w:rsidRPr="002041DF" w:rsidRDefault="00C36D57" w:rsidP="002041DF">
            <w:pPr>
              <w:widowControl w:val="0"/>
              <w:adjustRightInd w:val="0"/>
              <w:jc w:val="both"/>
              <w:rPr>
                <w:sz w:val="22"/>
                <w:szCs w:val="22"/>
                <w:lang w:val="sr-Latn-ME"/>
              </w:rPr>
            </w:pPr>
            <w:r w:rsidRPr="002041DF">
              <w:rPr>
                <w:sz w:val="22"/>
                <w:szCs w:val="22"/>
                <w:lang w:val="sr-Latn-ME"/>
              </w:rPr>
              <w:t>7 (7%)</w:t>
            </w:r>
            <w:r w:rsidRPr="002041DF">
              <w:rPr>
                <w:sz w:val="22"/>
                <w:szCs w:val="22"/>
                <w:vertAlign w:val="superscript"/>
                <w:lang w:val="sr-Latn-ME"/>
              </w:rPr>
              <w:t>c</w:t>
            </w:r>
          </w:p>
        </w:tc>
        <w:tc>
          <w:tcPr>
            <w:tcW w:w="687" w:type="pct"/>
            <w:gridSpan w:val="2"/>
            <w:tcBorders>
              <w:top w:val="single" w:sz="4" w:space="0" w:color="auto"/>
              <w:left w:val="single" w:sz="4" w:space="0" w:color="auto"/>
              <w:bottom w:val="single" w:sz="4" w:space="0" w:color="auto"/>
              <w:right w:val="single" w:sz="4" w:space="0" w:color="auto"/>
            </w:tcBorders>
            <w:vAlign w:val="center"/>
          </w:tcPr>
          <w:p w14:paraId="5A91B93E" w14:textId="77777777" w:rsidR="00C36D57" w:rsidRPr="002041DF" w:rsidRDefault="00C36D57" w:rsidP="002041DF">
            <w:pPr>
              <w:widowControl w:val="0"/>
              <w:adjustRightInd w:val="0"/>
              <w:jc w:val="both"/>
              <w:rPr>
                <w:sz w:val="22"/>
                <w:szCs w:val="22"/>
                <w:lang w:val="sr-Latn-ME"/>
              </w:rPr>
            </w:pPr>
            <w:r w:rsidRPr="002041DF">
              <w:rPr>
                <w:sz w:val="22"/>
                <w:szCs w:val="22"/>
                <w:lang w:val="sr-Latn-ME"/>
              </w:rPr>
              <w:t>9 (9%)</w:t>
            </w:r>
            <w:r w:rsidRPr="002041DF">
              <w:rPr>
                <w:sz w:val="22"/>
                <w:szCs w:val="22"/>
                <w:vertAlign w:val="superscript"/>
                <w:lang w:val="sr-Latn-ME"/>
              </w:rPr>
              <w:t>c</w:t>
            </w:r>
          </w:p>
        </w:tc>
      </w:tr>
      <w:tr w:rsidR="00C36D57" w:rsidRPr="002041DF" w14:paraId="4458B0D5" w14:textId="77777777" w:rsidTr="00494EF4">
        <w:trPr>
          <w:cantSplit/>
          <w:trHeight w:val="348"/>
          <w:jc w:val="center"/>
        </w:trPr>
        <w:tc>
          <w:tcPr>
            <w:tcW w:w="1128" w:type="pct"/>
            <w:tcBorders>
              <w:top w:val="single" w:sz="4" w:space="0" w:color="auto"/>
              <w:left w:val="single" w:sz="4" w:space="0" w:color="auto"/>
              <w:bottom w:val="single" w:sz="4" w:space="0" w:color="auto"/>
              <w:right w:val="single" w:sz="4" w:space="0" w:color="auto"/>
            </w:tcBorders>
            <w:vAlign w:val="center"/>
          </w:tcPr>
          <w:p w14:paraId="772C178C" w14:textId="77777777" w:rsidR="00C36D57" w:rsidRPr="002041DF" w:rsidRDefault="00C36D57" w:rsidP="002041DF">
            <w:pPr>
              <w:widowControl w:val="0"/>
              <w:jc w:val="both"/>
              <w:rPr>
                <w:i/>
                <w:sz w:val="22"/>
                <w:szCs w:val="22"/>
                <w:lang w:val="sr-Latn-ME"/>
              </w:rPr>
            </w:pPr>
            <w:r w:rsidRPr="002041DF">
              <w:rPr>
                <w:i/>
                <w:sz w:val="22"/>
                <w:szCs w:val="22"/>
                <w:lang w:val="sr-Latn-ME"/>
              </w:rPr>
              <w:t>Broj pacijenata sa ≥ 3% BSA</w:t>
            </w:r>
            <w:r w:rsidRPr="002041DF">
              <w:rPr>
                <w:i/>
                <w:sz w:val="22"/>
                <w:szCs w:val="22"/>
                <w:vertAlign w:val="superscript"/>
                <w:lang w:val="sr-Latn-ME"/>
              </w:rPr>
              <w:t>d</w:t>
            </w:r>
          </w:p>
        </w:tc>
        <w:tc>
          <w:tcPr>
            <w:tcW w:w="604" w:type="pct"/>
            <w:tcBorders>
              <w:top w:val="single" w:sz="4" w:space="0" w:color="auto"/>
              <w:left w:val="single" w:sz="4" w:space="0" w:color="auto"/>
              <w:bottom w:val="single" w:sz="4" w:space="0" w:color="auto"/>
              <w:right w:val="single" w:sz="4" w:space="0" w:color="auto"/>
            </w:tcBorders>
            <w:vAlign w:val="center"/>
          </w:tcPr>
          <w:p w14:paraId="71903BC2" w14:textId="77777777" w:rsidR="00C36D57" w:rsidRPr="002041DF" w:rsidRDefault="00C36D57" w:rsidP="002041DF">
            <w:pPr>
              <w:widowControl w:val="0"/>
              <w:adjustRightInd w:val="0"/>
              <w:jc w:val="both"/>
              <w:rPr>
                <w:sz w:val="22"/>
                <w:szCs w:val="22"/>
                <w:lang w:val="sr-Latn-ME"/>
              </w:rPr>
            </w:pPr>
            <w:r w:rsidRPr="002041DF">
              <w:rPr>
                <w:sz w:val="22"/>
                <w:szCs w:val="22"/>
                <w:lang w:val="sr-Latn-ME"/>
              </w:rPr>
              <w:t>146</w:t>
            </w:r>
          </w:p>
        </w:tc>
        <w:tc>
          <w:tcPr>
            <w:tcW w:w="604" w:type="pct"/>
            <w:gridSpan w:val="2"/>
            <w:tcBorders>
              <w:top w:val="single" w:sz="4" w:space="0" w:color="auto"/>
              <w:left w:val="single" w:sz="4" w:space="0" w:color="auto"/>
              <w:bottom w:val="single" w:sz="4" w:space="0" w:color="auto"/>
              <w:right w:val="single" w:sz="4" w:space="0" w:color="auto"/>
            </w:tcBorders>
            <w:vAlign w:val="center"/>
          </w:tcPr>
          <w:p w14:paraId="455182E1" w14:textId="77777777" w:rsidR="00C36D57" w:rsidRPr="002041DF" w:rsidRDefault="00C36D57" w:rsidP="002041DF">
            <w:pPr>
              <w:widowControl w:val="0"/>
              <w:adjustRightInd w:val="0"/>
              <w:jc w:val="both"/>
              <w:rPr>
                <w:sz w:val="22"/>
                <w:szCs w:val="22"/>
                <w:lang w:val="sr-Latn-ME"/>
              </w:rPr>
            </w:pPr>
            <w:r w:rsidRPr="002041DF">
              <w:rPr>
                <w:sz w:val="22"/>
                <w:szCs w:val="22"/>
                <w:lang w:val="sr-Latn-ME"/>
              </w:rPr>
              <w:t>145</w:t>
            </w:r>
          </w:p>
        </w:tc>
        <w:tc>
          <w:tcPr>
            <w:tcW w:w="680" w:type="pct"/>
            <w:tcBorders>
              <w:top w:val="single" w:sz="4" w:space="0" w:color="auto"/>
              <w:left w:val="single" w:sz="4" w:space="0" w:color="auto"/>
              <w:bottom w:val="single" w:sz="4" w:space="0" w:color="auto"/>
              <w:right w:val="single" w:sz="4" w:space="0" w:color="auto"/>
            </w:tcBorders>
            <w:vAlign w:val="center"/>
          </w:tcPr>
          <w:p w14:paraId="6316BFE3" w14:textId="77777777" w:rsidR="00C36D57" w:rsidRPr="002041DF" w:rsidRDefault="00C36D57" w:rsidP="002041DF">
            <w:pPr>
              <w:widowControl w:val="0"/>
              <w:adjustRightInd w:val="0"/>
              <w:jc w:val="both"/>
              <w:rPr>
                <w:sz w:val="22"/>
                <w:szCs w:val="22"/>
                <w:lang w:val="sr-Latn-ME"/>
              </w:rPr>
            </w:pPr>
            <w:r w:rsidRPr="002041DF">
              <w:rPr>
                <w:sz w:val="22"/>
                <w:szCs w:val="22"/>
                <w:lang w:val="sr-Latn-ME"/>
              </w:rPr>
              <w:t>149</w:t>
            </w:r>
          </w:p>
        </w:tc>
        <w:tc>
          <w:tcPr>
            <w:tcW w:w="604" w:type="pct"/>
            <w:tcBorders>
              <w:top w:val="single" w:sz="4" w:space="0" w:color="auto"/>
              <w:left w:val="single" w:sz="4" w:space="0" w:color="auto"/>
              <w:bottom w:val="single" w:sz="4" w:space="0" w:color="auto"/>
              <w:right w:val="single" w:sz="4" w:space="0" w:color="auto"/>
            </w:tcBorders>
            <w:vAlign w:val="center"/>
          </w:tcPr>
          <w:p w14:paraId="7ACC529C" w14:textId="77777777" w:rsidR="00C36D57" w:rsidRPr="002041DF" w:rsidRDefault="00C36D57" w:rsidP="002041DF">
            <w:pPr>
              <w:widowControl w:val="0"/>
              <w:adjustRightInd w:val="0"/>
              <w:jc w:val="both"/>
              <w:rPr>
                <w:sz w:val="22"/>
                <w:szCs w:val="22"/>
                <w:lang w:val="sr-Latn-ME"/>
              </w:rPr>
            </w:pPr>
            <w:r w:rsidRPr="002041DF">
              <w:rPr>
                <w:sz w:val="22"/>
                <w:szCs w:val="22"/>
                <w:lang w:val="sr-Latn-ME"/>
              </w:rPr>
              <w:t>80</w:t>
            </w:r>
          </w:p>
        </w:tc>
        <w:tc>
          <w:tcPr>
            <w:tcW w:w="694" w:type="pct"/>
            <w:gridSpan w:val="3"/>
            <w:tcBorders>
              <w:top w:val="single" w:sz="4" w:space="0" w:color="auto"/>
              <w:left w:val="single" w:sz="4" w:space="0" w:color="auto"/>
              <w:bottom w:val="single" w:sz="4" w:space="0" w:color="auto"/>
              <w:right w:val="single" w:sz="4" w:space="0" w:color="auto"/>
            </w:tcBorders>
            <w:vAlign w:val="center"/>
          </w:tcPr>
          <w:p w14:paraId="0B8A2123" w14:textId="77777777" w:rsidR="00C36D57" w:rsidRPr="002041DF" w:rsidRDefault="00C36D57" w:rsidP="002041DF">
            <w:pPr>
              <w:widowControl w:val="0"/>
              <w:adjustRightInd w:val="0"/>
              <w:jc w:val="both"/>
              <w:rPr>
                <w:sz w:val="22"/>
                <w:szCs w:val="22"/>
                <w:lang w:val="sr-Latn-ME"/>
              </w:rPr>
            </w:pPr>
            <w:r w:rsidRPr="002041DF">
              <w:rPr>
                <w:sz w:val="22"/>
                <w:szCs w:val="22"/>
                <w:lang w:val="sr-Latn-ME"/>
              </w:rPr>
              <w:t>80</w:t>
            </w:r>
          </w:p>
        </w:tc>
        <w:tc>
          <w:tcPr>
            <w:tcW w:w="687" w:type="pct"/>
            <w:gridSpan w:val="2"/>
            <w:tcBorders>
              <w:top w:val="single" w:sz="4" w:space="0" w:color="auto"/>
              <w:left w:val="single" w:sz="4" w:space="0" w:color="auto"/>
              <w:bottom w:val="single" w:sz="4" w:space="0" w:color="auto"/>
              <w:right w:val="single" w:sz="4" w:space="0" w:color="auto"/>
            </w:tcBorders>
            <w:vAlign w:val="center"/>
          </w:tcPr>
          <w:p w14:paraId="4D25F5EF" w14:textId="77777777" w:rsidR="00C36D57" w:rsidRPr="002041DF" w:rsidRDefault="00C36D57" w:rsidP="002041DF">
            <w:pPr>
              <w:widowControl w:val="0"/>
              <w:adjustRightInd w:val="0"/>
              <w:jc w:val="both"/>
              <w:rPr>
                <w:sz w:val="22"/>
                <w:szCs w:val="22"/>
                <w:lang w:val="sr-Latn-ME"/>
              </w:rPr>
            </w:pPr>
            <w:r w:rsidRPr="002041DF">
              <w:rPr>
                <w:sz w:val="22"/>
                <w:szCs w:val="22"/>
                <w:lang w:val="sr-Latn-ME"/>
              </w:rPr>
              <w:t>81</w:t>
            </w:r>
          </w:p>
        </w:tc>
      </w:tr>
      <w:tr w:rsidR="00C36D57" w:rsidRPr="002041DF" w14:paraId="0FCA1A64" w14:textId="77777777" w:rsidTr="00494EF4">
        <w:trPr>
          <w:cantSplit/>
          <w:trHeight w:val="348"/>
          <w:jc w:val="center"/>
        </w:trPr>
        <w:tc>
          <w:tcPr>
            <w:tcW w:w="1128" w:type="pct"/>
            <w:tcBorders>
              <w:top w:val="single" w:sz="4" w:space="0" w:color="auto"/>
              <w:left w:val="single" w:sz="4" w:space="0" w:color="auto"/>
              <w:bottom w:val="single" w:sz="4" w:space="0" w:color="auto"/>
              <w:right w:val="single" w:sz="4" w:space="0" w:color="auto"/>
            </w:tcBorders>
            <w:vAlign w:val="center"/>
          </w:tcPr>
          <w:p w14:paraId="1984C182" w14:textId="77777777" w:rsidR="00C36D57" w:rsidRPr="002041DF" w:rsidRDefault="00C36D57" w:rsidP="002041DF">
            <w:pPr>
              <w:widowControl w:val="0"/>
              <w:ind w:left="284"/>
              <w:jc w:val="both"/>
              <w:rPr>
                <w:sz w:val="22"/>
                <w:szCs w:val="22"/>
                <w:lang w:val="sr-Latn-ME"/>
              </w:rPr>
            </w:pPr>
            <w:r w:rsidRPr="002041DF">
              <w:rPr>
                <w:sz w:val="22"/>
                <w:szCs w:val="22"/>
                <w:lang w:val="sr-Latn-ME"/>
              </w:rPr>
              <w:t>PASI 75 odgovor, N (%)</w:t>
            </w:r>
          </w:p>
        </w:tc>
        <w:tc>
          <w:tcPr>
            <w:tcW w:w="604" w:type="pct"/>
            <w:tcBorders>
              <w:top w:val="single" w:sz="4" w:space="0" w:color="auto"/>
              <w:left w:val="single" w:sz="4" w:space="0" w:color="auto"/>
              <w:bottom w:val="single" w:sz="4" w:space="0" w:color="auto"/>
              <w:right w:val="single" w:sz="4" w:space="0" w:color="auto"/>
            </w:tcBorders>
            <w:vAlign w:val="center"/>
          </w:tcPr>
          <w:p w14:paraId="150061CF" w14:textId="77777777" w:rsidR="00C36D57" w:rsidRPr="002041DF" w:rsidRDefault="00C36D57" w:rsidP="002041DF">
            <w:pPr>
              <w:widowControl w:val="0"/>
              <w:adjustRightInd w:val="0"/>
              <w:jc w:val="both"/>
              <w:rPr>
                <w:sz w:val="22"/>
                <w:szCs w:val="22"/>
                <w:lang w:val="sr-Latn-ME"/>
              </w:rPr>
            </w:pPr>
            <w:r w:rsidRPr="002041DF">
              <w:rPr>
                <w:sz w:val="22"/>
                <w:szCs w:val="22"/>
                <w:lang w:val="sr-Latn-ME"/>
              </w:rPr>
              <w:t>16 (11%)</w:t>
            </w:r>
          </w:p>
        </w:tc>
        <w:tc>
          <w:tcPr>
            <w:tcW w:w="604" w:type="pct"/>
            <w:gridSpan w:val="2"/>
            <w:tcBorders>
              <w:top w:val="single" w:sz="4" w:space="0" w:color="auto"/>
              <w:left w:val="single" w:sz="4" w:space="0" w:color="auto"/>
              <w:bottom w:val="single" w:sz="4" w:space="0" w:color="auto"/>
              <w:right w:val="single" w:sz="4" w:space="0" w:color="auto"/>
            </w:tcBorders>
            <w:vAlign w:val="center"/>
          </w:tcPr>
          <w:p w14:paraId="4AB503E9" w14:textId="77777777" w:rsidR="00C36D57" w:rsidRPr="002041DF" w:rsidRDefault="00C36D57" w:rsidP="002041DF">
            <w:pPr>
              <w:widowControl w:val="0"/>
              <w:adjustRightInd w:val="0"/>
              <w:jc w:val="both"/>
              <w:rPr>
                <w:sz w:val="22"/>
                <w:szCs w:val="22"/>
                <w:lang w:val="sr-Latn-ME"/>
              </w:rPr>
            </w:pPr>
            <w:r w:rsidRPr="002041DF">
              <w:rPr>
                <w:sz w:val="22"/>
                <w:szCs w:val="22"/>
                <w:lang w:val="sr-Latn-ME"/>
              </w:rPr>
              <w:t>83 (57%)</w:t>
            </w:r>
            <w:r w:rsidRPr="002041DF">
              <w:rPr>
                <w:sz w:val="22"/>
                <w:szCs w:val="22"/>
                <w:vertAlign w:val="superscript"/>
                <w:lang w:val="sr-Latn-ME"/>
              </w:rPr>
              <w:t>a</w:t>
            </w:r>
          </w:p>
        </w:tc>
        <w:tc>
          <w:tcPr>
            <w:tcW w:w="680" w:type="pct"/>
            <w:tcBorders>
              <w:top w:val="single" w:sz="4" w:space="0" w:color="auto"/>
              <w:left w:val="single" w:sz="4" w:space="0" w:color="auto"/>
              <w:bottom w:val="single" w:sz="4" w:space="0" w:color="auto"/>
              <w:right w:val="single" w:sz="4" w:space="0" w:color="auto"/>
            </w:tcBorders>
            <w:vAlign w:val="center"/>
          </w:tcPr>
          <w:p w14:paraId="1D63E6F3" w14:textId="77777777" w:rsidR="00C36D57" w:rsidRPr="002041DF" w:rsidRDefault="00C36D57" w:rsidP="002041DF">
            <w:pPr>
              <w:widowControl w:val="0"/>
              <w:adjustRightInd w:val="0"/>
              <w:jc w:val="both"/>
              <w:rPr>
                <w:sz w:val="22"/>
                <w:szCs w:val="22"/>
                <w:lang w:val="sr-Latn-ME"/>
              </w:rPr>
            </w:pPr>
            <w:r w:rsidRPr="002041DF">
              <w:rPr>
                <w:sz w:val="22"/>
                <w:szCs w:val="22"/>
                <w:lang w:val="sr-Latn-ME"/>
              </w:rPr>
              <w:t>93 (62%)</w:t>
            </w:r>
            <w:r w:rsidRPr="002041DF">
              <w:rPr>
                <w:sz w:val="22"/>
                <w:szCs w:val="22"/>
                <w:vertAlign w:val="superscript"/>
                <w:lang w:val="sr-Latn-ME"/>
              </w:rPr>
              <w:t>a</w:t>
            </w:r>
          </w:p>
        </w:tc>
        <w:tc>
          <w:tcPr>
            <w:tcW w:w="604" w:type="pct"/>
            <w:tcBorders>
              <w:top w:val="single" w:sz="4" w:space="0" w:color="auto"/>
              <w:left w:val="single" w:sz="4" w:space="0" w:color="auto"/>
              <w:bottom w:val="single" w:sz="4" w:space="0" w:color="auto"/>
              <w:right w:val="single" w:sz="4" w:space="0" w:color="auto"/>
            </w:tcBorders>
            <w:vAlign w:val="center"/>
          </w:tcPr>
          <w:p w14:paraId="1C9FC1EF" w14:textId="77777777" w:rsidR="00C36D57" w:rsidRPr="002041DF" w:rsidRDefault="00C36D57" w:rsidP="002041DF">
            <w:pPr>
              <w:widowControl w:val="0"/>
              <w:adjustRightInd w:val="0"/>
              <w:jc w:val="both"/>
              <w:rPr>
                <w:sz w:val="22"/>
                <w:szCs w:val="22"/>
                <w:lang w:val="sr-Latn-ME"/>
              </w:rPr>
            </w:pPr>
            <w:r w:rsidRPr="002041DF">
              <w:rPr>
                <w:sz w:val="22"/>
                <w:szCs w:val="22"/>
                <w:lang w:val="sr-Latn-ME"/>
              </w:rPr>
              <w:t>4 (5%)</w:t>
            </w:r>
          </w:p>
        </w:tc>
        <w:tc>
          <w:tcPr>
            <w:tcW w:w="694" w:type="pct"/>
            <w:gridSpan w:val="3"/>
            <w:tcBorders>
              <w:top w:val="single" w:sz="4" w:space="0" w:color="auto"/>
              <w:left w:val="single" w:sz="4" w:space="0" w:color="auto"/>
              <w:bottom w:val="single" w:sz="4" w:space="0" w:color="auto"/>
              <w:right w:val="single" w:sz="4" w:space="0" w:color="auto"/>
            </w:tcBorders>
            <w:vAlign w:val="center"/>
          </w:tcPr>
          <w:p w14:paraId="37DFB681" w14:textId="77777777" w:rsidR="00C36D57" w:rsidRPr="002041DF" w:rsidRDefault="00C36D57" w:rsidP="002041DF">
            <w:pPr>
              <w:widowControl w:val="0"/>
              <w:adjustRightInd w:val="0"/>
              <w:jc w:val="both"/>
              <w:rPr>
                <w:sz w:val="22"/>
                <w:szCs w:val="22"/>
                <w:lang w:val="sr-Latn-ME"/>
              </w:rPr>
            </w:pPr>
            <w:r w:rsidRPr="002041DF">
              <w:rPr>
                <w:sz w:val="22"/>
                <w:szCs w:val="22"/>
                <w:lang w:val="sr-Latn-ME"/>
              </w:rPr>
              <w:t>41 (51%)</w:t>
            </w:r>
            <w:r w:rsidRPr="002041DF">
              <w:rPr>
                <w:sz w:val="22"/>
                <w:szCs w:val="22"/>
                <w:vertAlign w:val="superscript"/>
                <w:lang w:val="sr-Latn-ME"/>
              </w:rPr>
              <w:t>a</w:t>
            </w:r>
          </w:p>
        </w:tc>
        <w:tc>
          <w:tcPr>
            <w:tcW w:w="687" w:type="pct"/>
            <w:gridSpan w:val="2"/>
            <w:tcBorders>
              <w:top w:val="single" w:sz="4" w:space="0" w:color="auto"/>
              <w:left w:val="single" w:sz="4" w:space="0" w:color="auto"/>
              <w:bottom w:val="single" w:sz="4" w:space="0" w:color="auto"/>
              <w:right w:val="single" w:sz="4" w:space="0" w:color="auto"/>
            </w:tcBorders>
            <w:vAlign w:val="center"/>
          </w:tcPr>
          <w:p w14:paraId="1C69540C" w14:textId="77777777" w:rsidR="00C36D57" w:rsidRPr="002041DF" w:rsidRDefault="00C36D57" w:rsidP="002041DF">
            <w:pPr>
              <w:widowControl w:val="0"/>
              <w:adjustRightInd w:val="0"/>
              <w:jc w:val="both"/>
              <w:rPr>
                <w:sz w:val="22"/>
                <w:szCs w:val="22"/>
                <w:lang w:val="sr-Latn-ME"/>
              </w:rPr>
            </w:pPr>
            <w:r w:rsidRPr="002041DF">
              <w:rPr>
                <w:sz w:val="22"/>
                <w:szCs w:val="22"/>
                <w:lang w:val="sr-Latn-ME"/>
              </w:rPr>
              <w:t>45 (56%)</w:t>
            </w:r>
            <w:r w:rsidRPr="002041DF">
              <w:rPr>
                <w:sz w:val="22"/>
                <w:szCs w:val="22"/>
                <w:vertAlign w:val="superscript"/>
                <w:lang w:val="sr-Latn-ME"/>
              </w:rPr>
              <w:t>a</w:t>
            </w:r>
          </w:p>
        </w:tc>
      </w:tr>
      <w:tr w:rsidR="00C36D57" w:rsidRPr="002041DF" w14:paraId="33F3EF28" w14:textId="77777777" w:rsidTr="00494EF4">
        <w:trPr>
          <w:cantSplit/>
          <w:trHeight w:val="348"/>
          <w:jc w:val="center"/>
        </w:trPr>
        <w:tc>
          <w:tcPr>
            <w:tcW w:w="1128" w:type="pct"/>
            <w:tcBorders>
              <w:top w:val="single" w:sz="4" w:space="0" w:color="auto"/>
              <w:left w:val="single" w:sz="4" w:space="0" w:color="auto"/>
              <w:bottom w:val="single" w:sz="4" w:space="0" w:color="auto"/>
              <w:right w:val="single" w:sz="4" w:space="0" w:color="auto"/>
            </w:tcBorders>
            <w:vAlign w:val="center"/>
          </w:tcPr>
          <w:p w14:paraId="5763337C" w14:textId="77777777" w:rsidR="00C36D57" w:rsidRPr="002041DF" w:rsidRDefault="00C36D57" w:rsidP="002041DF">
            <w:pPr>
              <w:widowControl w:val="0"/>
              <w:ind w:left="284"/>
              <w:jc w:val="both"/>
              <w:rPr>
                <w:sz w:val="22"/>
                <w:szCs w:val="22"/>
                <w:lang w:val="sr-Latn-ME"/>
              </w:rPr>
            </w:pPr>
            <w:r w:rsidRPr="002041DF">
              <w:rPr>
                <w:sz w:val="22"/>
                <w:szCs w:val="22"/>
                <w:lang w:val="sr-Latn-ME"/>
              </w:rPr>
              <w:lastRenderedPageBreak/>
              <w:t>PASI 90 odgovor, N (%)</w:t>
            </w:r>
          </w:p>
        </w:tc>
        <w:tc>
          <w:tcPr>
            <w:tcW w:w="604" w:type="pct"/>
            <w:tcBorders>
              <w:top w:val="single" w:sz="4" w:space="0" w:color="auto"/>
              <w:left w:val="single" w:sz="4" w:space="0" w:color="auto"/>
              <w:bottom w:val="single" w:sz="4" w:space="0" w:color="auto"/>
              <w:right w:val="single" w:sz="4" w:space="0" w:color="auto"/>
            </w:tcBorders>
            <w:vAlign w:val="bottom"/>
          </w:tcPr>
          <w:p w14:paraId="13BB0EFD" w14:textId="77777777" w:rsidR="00C36D57" w:rsidRPr="002041DF" w:rsidRDefault="00C36D57" w:rsidP="002041DF">
            <w:pPr>
              <w:widowControl w:val="0"/>
              <w:adjustRightInd w:val="0"/>
              <w:jc w:val="both"/>
              <w:rPr>
                <w:sz w:val="22"/>
                <w:szCs w:val="22"/>
                <w:lang w:val="sr-Latn-ME"/>
              </w:rPr>
            </w:pPr>
            <w:r w:rsidRPr="002041DF">
              <w:rPr>
                <w:sz w:val="22"/>
                <w:szCs w:val="22"/>
                <w:lang w:val="sr-Latn-ME"/>
              </w:rPr>
              <w:t>4 (3%)</w:t>
            </w:r>
          </w:p>
        </w:tc>
        <w:tc>
          <w:tcPr>
            <w:tcW w:w="604" w:type="pct"/>
            <w:gridSpan w:val="2"/>
            <w:tcBorders>
              <w:top w:val="single" w:sz="4" w:space="0" w:color="auto"/>
              <w:left w:val="single" w:sz="4" w:space="0" w:color="auto"/>
              <w:bottom w:val="single" w:sz="4" w:space="0" w:color="auto"/>
              <w:right w:val="single" w:sz="4" w:space="0" w:color="auto"/>
            </w:tcBorders>
            <w:vAlign w:val="bottom"/>
          </w:tcPr>
          <w:p w14:paraId="0A3ACBD1" w14:textId="77777777" w:rsidR="00C36D57" w:rsidRPr="002041DF" w:rsidRDefault="00C36D57" w:rsidP="002041DF">
            <w:pPr>
              <w:widowControl w:val="0"/>
              <w:adjustRightInd w:val="0"/>
              <w:jc w:val="both"/>
              <w:rPr>
                <w:sz w:val="22"/>
                <w:szCs w:val="22"/>
                <w:lang w:val="sr-Latn-ME"/>
              </w:rPr>
            </w:pPr>
            <w:r w:rsidRPr="002041DF">
              <w:rPr>
                <w:sz w:val="22"/>
                <w:szCs w:val="22"/>
                <w:lang w:val="sr-Latn-ME"/>
              </w:rPr>
              <w:t>60 (41%)</w:t>
            </w:r>
            <w:r w:rsidRPr="002041DF">
              <w:rPr>
                <w:sz w:val="22"/>
                <w:szCs w:val="22"/>
                <w:vertAlign w:val="superscript"/>
                <w:lang w:val="sr-Latn-ME"/>
              </w:rPr>
              <w:t>a</w:t>
            </w:r>
          </w:p>
        </w:tc>
        <w:tc>
          <w:tcPr>
            <w:tcW w:w="680" w:type="pct"/>
            <w:tcBorders>
              <w:top w:val="single" w:sz="4" w:space="0" w:color="auto"/>
              <w:left w:val="single" w:sz="4" w:space="0" w:color="auto"/>
              <w:bottom w:val="single" w:sz="4" w:space="0" w:color="auto"/>
              <w:right w:val="single" w:sz="4" w:space="0" w:color="auto"/>
            </w:tcBorders>
            <w:vAlign w:val="bottom"/>
          </w:tcPr>
          <w:p w14:paraId="0CA9C47B" w14:textId="77777777" w:rsidR="00C36D57" w:rsidRPr="002041DF" w:rsidRDefault="00C36D57" w:rsidP="002041DF">
            <w:pPr>
              <w:widowControl w:val="0"/>
              <w:adjustRightInd w:val="0"/>
              <w:jc w:val="both"/>
              <w:rPr>
                <w:sz w:val="22"/>
                <w:szCs w:val="22"/>
                <w:lang w:val="sr-Latn-ME"/>
              </w:rPr>
            </w:pPr>
            <w:r w:rsidRPr="002041DF">
              <w:rPr>
                <w:sz w:val="22"/>
                <w:szCs w:val="22"/>
                <w:lang w:val="sr-Latn-ME"/>
              </w:rPr>
              <w:t>65 (44%)</w:t>
            </w:r>
            <w:r w:rsidRPr="002041DF">
              <w:rPr>
                <w:sz w:val="22"/>
                <w:szCs w:val="22"/>
                <w:vertAlign w:val="superscript"/>
                <w:lang w:val="sr-Latn-ME"/>
              </w:rPr>
              <w:t>a</w:t>
            </w:r>
          </w:p>
        </w:tc>
        <w:tc>
          <w:tcPr>
            <w:tcW w:w="604" w:type="pct"/>
            <w:tcBorders>
              <w:top w:val="single" w:sz="4" w:space="0" w:color="auto"/>
              <w:left w:val="single" w:sz="4" w:space="0" w:color="auto"/>
              <w:bottom w:val="single" w:sz="4" w:space="0" w:color="auto"/>
              <w:right w:val="single" w:sz="4" w:space="0" w:color="auto"/>
            </w:tcBorders>
            <w:vAlign w:val="bottom"/>
          </w:tcPr>
          <w:p w14:paraId="67E354F5" w14:textId="77777777" w:rsidR="00C36D57" w:rsidRPr="002041DF" w:rsidRDefault="00C36D57" w:rsidP="002041DF">
            <w:pPr>
              <w:widowControl w:val="0"/>
              <w:adjustRightInd w:val="0"/>
              <w:jc w:val="both"/>
              <w:rPr>
                <w:sz w:val="22"/>
                <w:szCs w:val="22"/>
                <w:lang w:val="sr-Latn-ME"/>
              </w:rPr>
            </w:pPr>
            <w:r w:rsidRPr="002041DF">
              <w:rPr>
                <w:sz w:val="22"/>
                <w:szCs w:val="22"/>
                <w:lang w:val="sr-Latn-ME"/>
              </w:rPr>
              <w:t>3 (4%)</w:t>
            </w:r>
          </w:p>
        </w:tc>
        <w:tc>
          <w:tcPr>
            <w:tcW w:w="694" w:type="pct"/>
            <w:gridSpan w:val="3"/>
            <w:tcBorders>
              <w:top w:val="single" w:sz="4" w:space="0" w:color="auto"/>
              <w:left w:val="single" w:sz="4" w:space="0" w:color="auto"/>
              <w:bottom w:val="single" w:sz="4" w:space="0" w:color="auto"/>
              <w:right w:val="single" w:sz="4" w:space="0" w:color="auto"/>
            </w:tcBorders>
            <w:vAlign w:val="bottom"/>
          </w:tcPr>
          <w:p w14:paraId="173F36A3" w14:textId="77777777" w:rsidR="00C36D57" w:rsidRPr="002041DF" w:rsidRDefault="00C36D57" w:rsidP="002041DF">
            <w:pPr>
              <w:widowControl w:val="0"/>
              <w:adjustRightInd w:val="0"/>
              <w:jc w:val="both"/>
              <w:rPr>
                <w:sz w:val="22"/>
                <w:szCs w:val="22"/>
                <w:lang w:val="sr-Latn-ME"/>
              </w:rPr>
            </w:pPr>
            <w:r w:rsidRPr="002041DF">
              <w:rPr>
                <w:sz w:val="22"/>
                <w:szCs w:val="22"/>
                <w:lang w:val="sr-Latn-ME"/>
              </w:rPr>
              <w:t>24 (30%)</w:t>
            </w:r>
            <w:r w:rsidRPr="002041DF">
              <w:rPr>
                <w:sz w:val="22"/>
                <w:szCs w:val="22"/>
                <w:vertAlign w:val="superscript"/>
                <w:lang w:val="sr-Latn-ME"/>
              </w:rPr>
              <w:t>a</w:t>
            </w:r>
          </w:p>
        </w:tc>
        <w:tc>
          <w:tcPr>
            <w:tcW w:w="687" w:type="pct"/>
            <w:gridSpan w:val="2"/>
            <w:tcBorders>
              <w:top w:val="single" w:sz="4" w:space="0" w:color="auto"/>
              <w:left w:val="single" w:sz="4" w:space="0" w:color="auto"/>
              <w:bottom w:val="single" w:sz="4" w:space="0" w:color="auto"/>
              <w:right w:val="single" w:sz="4" w:space="0" w:color="auto"/>
            </w:tcBorders>
            <w:vAlign w:val="bottom"/>
          </w:tcPr>
          <w:p w14:paraId="6F1FD9D0" w14:textId="77777777" w:rsidR="00C36D57" w:rsidRPr="002041DF" w:rsidRDefault="00C36D57" w:rsidP="002041DF">
            <w:pPr>
              <w:widowControl w:val="0"/>
              <w:adjustRightInd w:val="0"/>
              <w:jc w:val="both"/>
              <w:rPr>
                <w:sz w:val="22"/>
                <w:szCs w:val="22"/>
                <w:lang w:val="sr-Latn-ME"/>
              </w:rPr>
            </w:pPr>
            <w:r w:rsidRPr="002041DF">
              <w:rPr>
                <w:sz w:val="22"/>
                <w:szCs w:val="22"/>
                <w:lang w:val="sr-Latn-ME"/>
              </w:rPr>
              <w:t>36 (44%)</w:t>
            </w:r>
            <w:r w:rsidRPr="002041DF">
              <w:rPr>
                <w:sz w:val="22"/>
                <w:szCs w:val="22"/>
                <w:vertAlign w:val="superscript"/>
                <w:lang w:val="sr-Latn-ME"/>
              </w:rPr>
              <w:t>a</w:t>
            </w:r>
          </w:p>
        </w:tc>
      </w:tr>
      <w:tr w:rsidR="00C36D57" w:rsidRPr="002041DF" w14:paraId="24A56471" w14:textId="77777777" w:rsidTr="00494EF4">
        <w:trPr>
          <w:cantSplit/>
          <w:trHeight w:val="348"/>
          <w:jc w:val="center"/>
        </w:trPr>
        <w:tc>
          <w:tcPr>
            <w:tcW w:w="1128" w:type="pct"/>
            <w:tcBorders>
              <w:top w:val="single" w:sz="4" w:space="0" w:color="auto"/>
              <w:left w:val="single" w:sz="4" w:space="0" w:color="auto"/>
              <w:bottom w:val="single" w:sz="4" w:space="0" w:color="auto"/>
              <w:right w:val="single" w:sz="4" w:space="0" w:color="auto"/>
            </w:tcBorders>
            <w:vAlign w:val="center"/>
          </w:tcPr>
          <w:p w14:paraId="302AAF45" w14:textId="77777777" w:rsidR="00C36D57" w:rsidRPr="002041DF" w:rsidRDefault="00C36D57" w:rsidP="002041DF">
            <w:pPr>
              <w:widowControl w:val="0"/>
              <w:ind w:left="284"/>
              <w:jc w:val="both"/>
              <w:rPr>
                <w:sz w:val="22"/>
                <w:szCs w:val="22"/>
                <w:lang w:val="sr-Latn-ME"/>
              </w:rPr>
            </w:pPr>
            <w:r w:rsidRPr="002041DF">
              <w:rPr>
                <w:sz w:val="22"/>
                <w:szCs w:val="22"/>
                <w:lang w:val="sr-Latn-ME"/>
              </w:rPr>
              <w:t>Kombinovani PASI 75 i ACR 20 odgovor, N (%)</w:t>
            </w:r>
          </w:p>
        </w:tc>
        <w:tc>
          <w:tcPr>
            <w:tcW w:w="604" w:type="pct"/>
            <w:tcBorders>
              <w:top w:val="single" w:sz="4" w:space="0" w:color="auto"/>
              <w:left w:val="single" w:sz="4" w:space="0" w:color="auto"/>
              <w:bottom w:val="single" w:sz="4" w:space="0" w:color="auto"/>
              <w:right w:val="single" w:sz="4" w:space="0" w:color="auto"/>
            </w:tcBorders>
            <w:vAlign w:val="center"/>
          </w:tcPr>
          <w:p w14:paraId="7092A675" w14:textId="77777777" w:rsidR="00C36D57" w:rsidRPr="002041DF" w:rsidRDefault="00C36D57" w:rsidP="002041DF">
            <w:pPr>
              <w:widowControl w:val="0"/>
              <w:adjustRightInd w:val="0"/>
              <w:jc w:val="both"/>
              <w:rPr>
                <w:sz w:val="22"/>
                <w:szCs w:val="22"/>
                <w:lang w:val="sr-Latn-ME"/>
              </w:rPr>
            </w:pPr>
            <w:r w:rsidRPr="002041DF">
              <w:rPr>
                <w:sz w:val="22"/>
                <w:szCs w:val="22"/>
                <w:lang w:val="sr-Latn-ME"/>
              </w:rPr>
              <w:t>8 (5%)</w:t>
            </w:r>
          </w:p>
        </w:tc>
        <w:tc>
          <w:tcPr>
            <w:tcW w:w="604" w:type="pct"/>
            <w:gridSpan w:val="2"/>
            <w:tcBorders>
              <w:top w:val="single" w:sz="4" w:space="0" w:color="auto"/>
              <w:left w:val="single" w:sz="4" w:space="0" w:color="auto"/>
              <w:bottom w:val="single" w:sz="4" w:space="0" w:color="auto"/>
              <w:right w:val="single" w:sz="4" w:space="0" w:color="auto"/>
            </w:tcBorders>
            <w:vAlign w:val="center"/>
          </w:tcPr>
          <w:p w14:paraId="4508BFC7" w14:textId="77777777" w:rsidR="00C36D57" w:rsidRPr="002041DF" w:rsidRDefault="00C36D57" w:rsidP="002041DF">
            <w:pPr>
              <w:widowControl w:val="0"/>
              <w:adjustRightInd w:val="0"/>
              <w:jc w:val="both"/>
              <w:rPr>
                <w:sz w:val="22"/>
                <w:szCs w:val="22"/>
                <w:lang w:val="sr-Latn-ME"/>
              </w:rPr>
            </w:pPr>
            <w:r w:rsidRPr="002041DF">
              <w:rPr>
                <w:sz w:val="22"/>
                <w:szCs w:val="22"/>
                <w:lang w:val="sr-Latn-ME"/>
              </w:rPr>
              <w:t>40 (28%)</w:t>
            </w:r>
            <w:r w:rsidRPr="002041DF">
              <w:rPr>
                <w:sz w:val="22"/>
                <w:szCs w:val="22"/>
                <w:vertAlign w:val="superscript"/>
                <w:lang w:val="sr-Latn-ME"/>
              </w:rPr>
              <w:t>a</w:t>
            </w:r>
          </w:p>
        </w:tc>
        <w:tc>
          <w:tcPr>
            <w:tcW w:w="680" w:type="pct"/>
            <w:tcBorders>
              <w:top w:val="single" w:sz="4" w:space="0" w:color="auto"/>
              <w:left w:val="single" w:sz="4" w:space="0" w:color="auto"/>
              <w:bottom w:val="single" w:sz="4" w:space="0" w:color="auto"/>
              <w:right w:val="single" w:sz="4" w:space="0" w:color="auto"/>
            </w:tcBorders>
            <w:vAlign w:val="center"/>
          </w:tcPr>
          <w:p w14:paraId="7BB21712" w14:textId="77777777" w:rsidR="00C36D57" w:rsidRPr="002041DF" w:rsidRDefault="00C36D57" w:rsidP="002041DF">
            <w:pPr>
              <w:widowControl w:val="0"/>
              <w:adjustRightInd w:val="0"/>
              <w:jc w:val="both"/>
              <w:rPr>
                <w:sz w:val="22"/>
                <w:szCs w:val="22"/>
                <w:lang w:val="sr-Latn-ME"/>
              </w:rPr>
            </w:pPr>
            <w:r w:rsidRPr="002041DF">
              <w:rPr>
                <w:sz w:val="22"/>
                <w:szCs w:val="22"/>
                <w:lang w:val="sr-Latn-ME"/>
              </w:rPr>
              <w:t>62 (42%)</w:t>
            </w:r>
            <w:r w:rsidRPr="002041DF">
              <w:rPr>
                <w:sz w:val="22"/>
                <w:szCs w:val="22"/>
                <w:vertAlign w:val="superscript"/>
                <w:lang w:val="sr-Latn-ME"/>
              </w:rPr>
              <w:t>a</w:t>
            </w:r>
          </w:p>
        </w:tc>
        <w:tc>
          <w:tcPr>
            <w:tcW w:w="604" w:type="pct"/>
            <w:tcBorders>
              <w:top w:val="single" w:sz="4" w:space="0" w:color="auto"/>
              <w:left w:val="single" w:sz="4" w:space="0" w:color="auto"/>
              <w:bottom w:val="single" w:sz="4" w:space="0" w:color="auto"/>
              <w:right w:val="single" w:sz="4" w:space="0" w:color="auto"/>
            </w:tcBorders>
            <w:vAlign w:val="center"/>
          </w:tcPr>
          <w:p w14:paraId="7A2C0F50" w14:textId="77777777" w:rsidR="00C36D57" w:rsidRPr="002041DF" w:rsidRDefault="00C36D57" w:rsidP="002041DF">
            <w:pPr>
              <w:widowControl w:val="0"/>
              <w:adjustRightInd w:val="0"/>
              <w:jc w:val="both"/>
              <w:rPr>
                <w:sz w:val="22"/>
                <w:szCs w:val="22"/>
                <w:lang w:val="sr-Latn-ME"/>
              </w:rPr>
            </w:pPr>
            <w:r w:rsidRPr="002041DF">
              <w:rPr>
                <w:sz w:val="22"/>
                <w:szCs w:val="22"/>
                <w:lang w:val="sr-Latn-ME"/>
              </w:rPr>
              <w:t>2 (3%)</w:t>
            </w:r>
          </w:p>
        </w:tc>
        <w:tc>
          <w:tcPr>
            <w:tcW w:w="694" w:type="pct"/>
            <w:gridSpan w:val="3"/>
            <w:tcBorders>
              <w:top w:val="single" w:sz="4" w:space="0" w:color="auto"/>
              <w:left w:val="single" w:sz="4" w:space="0" w:color="auto"/>
              <w:bottom w:val="single" w:sz="4" w:space="0" w:color="auto"/>
              <w:right w:val="single" w:sz="4" w:space="0" w:color="auto"/>
            </w:tcBorders>
            <w:vAlign w:val="center"/>
          </w:tcPr>
          <w:p w14:paraId="075460FC" w14:textId="77777777" w:rsidR="00C36D57" w:rsidRPr="002041DF" w:rsidRDefault="00C36D57" w:rsidP="002041DF">
            <w:pPr>
              <w:widowControl w:val="0"/>
              <w:adjustRightInd w:val="0"/>
              <w:jc w:val="both"/>
              <w:rPr>
                <w:sz w:val="22"/>
                <w:szCs w:val="22"/>
                <w:lang w:val="sr-Latn-ME"/>
              </w:rPr>
            </w:pPr>
            <w:r w:rsidRPr="002041DF">
              <w:rPr>
                <w:sz w:val="22"/>
                <w:szCs w:val="22"/>
                <w:lang w:val="sr-Latn-ME"/>
              </w:rPr>
              <w:t>24 (30%)</w:t>
            </w:r>
            <w:r w:rsidRPr="002041DF">
              <w:rPr>
                <w:sz w:val="22"/>
                <w:szCs w:val="22"/>
                <w:vertAlign w:val="superscript"/>
                <w:lang w:val="sr-Latn-ME"/>
              </w:rPr>
              <w:t>a</w:t>
            </w:r>
          </w:p>
        </w:tc>
        <w:tc>
          <w:tcPr>
            <w:tcW w:w="687" w:type="pct"/>
            <w:gridSpan w:val="2"/>
            <w:tcBorders>
              <w:top w:val="single" w:sz="4" w:space="0" w:color="auto"/>
              <w:left w:val="single" w:sz="4" w:space="0" w:color="auto"/>
              <w:bottom w:val="single" w:sz="4" w:space="0" w:color="auto"/>
              <w:right w:val="single" w:sz="4" w:space="0" w:color="auto"/>
            </w:tcBorders>
            <w:vAlign w:val="center"/>
          </w:tcPr>
          <w:p w14:paraId="4B194CD5" w14:textId="77777777" w:rsidR="00C36D57" w:rsidRPr="002041DF" w:rsidRDefault="00C36D57" w:rsidP="002041DF">
            <w:pPr>
              <w:widowControl w:val="0"/>
              <w:adjustRightInd w:val="0"/>
              <w:jc w:val="both"/>
              <w:rPr>
                <w:sz w:val="22"/>
                <w:szCs w:val="22"/>
                <w:lang w:val="sr-Latn-ME"/>
              </w:rPr>
            </w:pPr>
            <w:r w:rsidRPr="002041DF">
              <w:rPr>
                <w:sz w:val="22"/>
                <w:szCs w:val="22"/>
                <w:lang w:val="sr-Latn-ME"/>
              </w:rPr>
              <w:t>31 (38%)</w:t>
            </w:r>
            <w:r w:rsidRPr="002041DF">
              <w:rPr>
                <w:sz w:val="22"/>
                <w:szCs w:val="22"/>
                <w:vertAlign w:val="superscript"/>
                <w:lang w:val="sr-Latn-ME"/>
              </w:rPr>
              <w:t>a</w:t>
            </w:r>
          </w:p>
        </w:tc>
      </w:tr>
      <w:tr w:rsidR="00C36D57" w:rsidRPr="002041DF" w14:paraId="3026C207" w14:textId="77777777" w:rsidTr="00494EF4">
        <w:trPr>
          <w:gridAfter w:val="1"/>
          <w:wAfter w:w="12" w:type="pct"/>
          <w:cantSplit/>
          <w:trHeight w:val="348"/>
          <w:jc w:val="center"/>
        </w:trPr>
        <w:tc>
          <w:tcPr>
            <w:tcW w:w="1128" w:type="pct"/>
            <w:tcBorders>
              <w:top w:val="single" w:sz="4" w:space="0" w:color="auto"/>
              <w:left w:val="single" w:sz="4" w:space="0" w:color="auto"/>
              <w:bottom w:val="single" w:sz="4" w:space="0" w:color="auto"/>
              <w:right w:val="single" w:sz="4" w:space="0" w:color="auto"/>
            </w:tcBorders>
            <w:vAlign w:val="center"/>
          </w:tcPr>
          <w:p w14:paraId="780B0D74" w14:textId="77777777" w:rsidR="00C36D57" w:rsidRPr="002041DF" w:rsidRDefault="00C36D57" w:rsidP="002041DF">
            <w:pPr>
              <w:widowControl w:val="0"/>
              <w:jc w:val="both"/>
              <w:rPr>
                <w:b/>
                <w:sz w:val="22"/>
                <w:szCs w:val="22"/>
                <w:lang w:val="sr-Latn-ME"/>
              </w:rPr>
            </w:pPr>
            <w:r w:rsidRPr="002041DF">
              <w:rPr>
                <w:b/>
                <w:sz w:val="22"/>
                <w:szCs w:val="22"/>
                <w:lang w:val="sr-Latn-ME"/>
              </w:rPr>
              <w:t>Broj pacijenata sa ≤ 100 kg</w:t>
            </w:r>
          </w:p>
        </w:tc>
        <w:tc>
          <w:tcPr>
            <w:tcW w:w="604" w:type="pct"/>
            <w:tcBorders>
              <w:top w:val="single" w:sz="4" w:space="0" w:color="auto"/>
              <w:left w:val="single" w:sz="4" w:space="0" w:color="auto"/>
              <w:bottom w:val="single" w:sz="4" w:space="0" w:color="auto"/>
              <w:right w:val="single" w:sz="4" w:space="0" w:color="auto"/>
            </w:tcBorders>
            <w:vAlign w:val="center"/>
          </w:tcPr>
          <w:p w14:paraId="5B100324" w14:textId="77777777" w:rsidR="00C36D57" w:rsidRPr="002041DF" w:rsidRDefault="00C36D57" w:rsidP="002041DF">
            <w:pPr>
              <w:widowControl w:val="0"/>
              <w:adjustRightInd w:val="0"/>
              <w:jc w:val="both"/>
              <w:rPr>
                <w:sz w:val="22"/>
                <w:szCs w:val="22"/>
                <w:lang w:val="sr-Latn-ME"/>
              </w:rPr>
            </w:pPr>
            <w:r w:rsidRPr="002041DF">
              <w:rPr>
                <w:sz w:val="22"/>
                <w:szCs w:val="22"/>
                <w:lang w:val="sr-Latn-ME"/>
              </w:rPr>
              <w:t>154</w:t>
            </w:r>
          </w:p>
        </w:tc>
        <w:tc>
          <w:tcPr>
            <w:tcW w:w="598" w:type="pct"/>
            <w:tcBorders>
              <w:top w:val="single" w:sz="4" w:space="0" w:color="auto"/>
              <w:left w:val="single" w:sz="4" w:space="0" w:color="auto"/>
              <w:bottom w:val="single" w:sz="4" w:space="0" w:color="auto"/>
              <w:right w:val="single" w:sz="4" w:space="0" w:color="auto"/>
            </w:tcBorders>
            <w:vAlign w:val="center"/>
          </w:tcPr>
          <w:p w14:paraId="10555A6B" w14:textId="77777777" w:rsidR="00C36D57" w:rsidRPr="002041DF" w:rsidRDefault="00C36D57" w:rsidP="002041DF">
            <w:pPr>
              <w:widowControl w:val="0"/>
              <w:adjustRightInd w:val="0"/>
              <w:jc w:val="both"/>
              <w:rPr>
                <w:sz w:val="22"/>
                <w:szCs w:val="22"/>
                <w:lang w:val="sr-Latn-ME"/>
              </w:rPr>
            </w:pPr>
            <w:r w:rsidRPr="002041DF">
              <w:rPr>
                <w:sz w:val="22"/>
                <w:szCs w:val="22"/>
                <w:lang w:val="sr-Latn-ME"/>
              </w:rPr>
              <w:t>153</w:t>
            </w:r>
          </w:p>
        </w:tc>
        <w:tc>
          <w:tcPr>
            <w:tcW w:w="686" w:type="pct"/>
            <w:gridSpan w:val="2"/>
            <w:tcBorders>
              <w:top w:val="single" w:sz="4" w:space="0" w:color="auto"/>
              <w:left w:val="single" w:sz="4" w:space="0" w:color="auto"/>
              <w:bottom w:val="single" w:sz="4" w:space="0" w:color="auto"/>
              <w:right w:val="single" w:sz="4" w:space="0" w:color="auto"/>
            </w:tcBorders>
            <w:vAlign w:val="center"/>
          </w:tcPr>
          <w:p w14:paraId="357A6249" w14:textId="77777777" w:rsidR="00C36D57" w:rsidRPr="002041DF" w:rsidRDefault="00C36D57" w:rsidP="002041DF">
            <w:pPr>
              <w:widowControl w:val="0"/>
              <w:adjustRightInd w:val="0"/>
              <w:jc w:val="both"/>
              <w:rPr>
                <w:sz w:val="22"/>
                <w:szCs w:val="22"/>
                <w:lang w:val="sr-Latn-ME"/>
              </w:rPr>
            </w:pPr>
            <w:r w:rsidRPr="002041DF">
              <w:rPr>
                <w:sz w:val="22"/>
                <w:szCs w:val="22"/>
                <w:lang w:val="sr-Latn-ME"/>
              </w:rPr>
              <w:t>154</w:t>
            </w:r>
          </w:p>
        </w:tc>
        <w:tc>
          <w:tcPr>
            <w:tcW w:w="611" w:type="pct"/>
            <w:gridSpan w:val="2"/>
            <w:tcBorders>
              <w:top w:val="single" w:sz="4" w:space="0" w:color="auto"/>
              <w:left w:val="single" w:sz="4" w:space="0" w:color="auto"/>
              <w:bottom w:val="single" w:sz="4" w:space="0" w:color="auto"/>
              <w:right w:val="single" w:sz="4" w:space="0" w:color="auto"/>
            </w:tcBorders>
            <w:vAlign w:val="center"/>
          </w:tcPr>
          <w:p w14:paraId="331952D4" w14:textId="77777777" w:rsidR="00C36D57" w:rsidRPr="002041DF" w:rsidRDefault="00C36D57" w:rsidP="002041DF">
            <w:pPr>
              <w:widowControl w:val="0"/>
              <w:adjustRightInd w:val="0"/>
              <w:jc w:val="both"/>
              <w:rPr>
                <w:sz w:val="22"/>
                <w:szCs w:val="22"/>
                <w:lang w:val="sr-Latn-ME"/>
              </w:rPr>
            </w:pPr>
            <w:r w:rsidRPr="002041DF">
              <w:rPr>
                <w:sz w:val="22"/>
                <w:szCs w:val="22"/>
                <w:lang w:val="sr-Latn-ME"/>
              </w:rPr>
              <w:t>74</w:t>
            </w:r>
          </w:p>
        </w:tc>
        <w:tc>
          <w:tcPr>
            <w:tcW w:w="680" w:type="pct"/>
            <w:tcBorders>
              <w:top w:val="single" w:sz="4" w:space="0" w:color="auto"/>
              <w:left w:val="single" w:sz="4" w:space="0" w:color="auto"/>
              <w:bottom w:val="single" w:sz="4" w:space="0" w:color="auto"/>
              <w:right w:val="single" w:sz="4" w:space="0" w:color="auto"/>
            </w:tcBorders>
            <w:vAlign w:val="center"/>
          </w:tcPr>
          <w:p w14:paraId="6D8B4D5A" w14:textId="77777777" w:rsidR="00C36D57" w:rsidRPr="002041DF" w:rsidRDefault="00C36D57" w:rsidP="002041DF">
            <w:pPr>
              <w:widowControl w:val="0"/>
              <w:adjustRightInd w:val="0"/>
              <w:jc w:val="both"/>
              <w:rPr>
                <w:sz w:val="22"/>
                <w:szCs w:val="22"/>
                <w:lang w:val="sr-Latn-ME"/>
              </w:rPr>
            </w:pPr>
            <w:r w:rsidRPr="002041DF">
              <w:rPr>
                <w:sz w:val="22"/>
                <w:szCs w:val="22"/>
                <w:lang w:val="sr-Latn-ME"/>
              </w:rPr>
              <w:t>74</w:t>
            </w:r>
          </w:p>
        </w:tc>
        <w:tc>
          <w:tcPr>
            <w:tcW w:w="681" w:type="pct"/>
            <w:gridSpan w:val="2"/>
            <w:tcBorders>
              <w:top w:val="single" w:sz="4" w:space="0" w:color="auto"/>
              <w:left w:val="single" w:sz="4" w:space="0" w:color="auto"/>
              <w:bottom w:val="single" w:sz="4" w:space="0" w:color="auto"/>
              <w:right w:val="single" w:sz="4" w:space="0" w:color="auto"/>
            </w:tcBorders>
            <w:vAlign w:val="center"/>
          </w:tcPr>
          <w:p w14:paraId="14237AB2" w14:textId="77777777" w:rsidR="00C36D57" w:rsidRPr="002041DF" w:rsidRDefault="00C36D57" w:rsidP="002041DF">
            <w:pPr>
              <w:widowControl w:val="0"/>
              <w:adjustRightInd w:val="0"/>
              <w:jc w:val="both"/>
              <w:rPr>
                <w:sz w:val="22"/>
                <w:szCs w:val="22"/>
                <w:lang w:val="sr-Latn-ME"/>
              </w:rPr>
            </w:pPr>
            <w:r w:rsidRPr="002041DF">
              <w:rPr>
                <w:sz w:val="22"/>
                <w:szCs w:val="22"/>
                <w:lang w:val="sr-Latn-ME"/>
              </w:rPr>
              <w:t>73</w:t>
            </w:r>
          </w:p>
        </w:tc>
      </w:tr>
      <w:tr w:rsidR="00C36D57" w:rsidRPr="002041DF" w14:paraId="54217A34" w14:textId="77777777" w:rsidTr="00494EF4">
        <w:trPr>
          <w:gridAfter w:val="1"/>
          <w:wAfter w:w="12" w:type="pct"/>
          <w:cantSplit/>
          <w:trHeight w:val="348"/>
          <w:jc w:val="center"/>
        </w:trPr>
        <w:tc>
          <w:tcPr>
            <w:tcW w:w="1128" w:type="pct"/>
            <w:tcBorders>
              <w:top w:val="single" w:sz="4" w:space="0" w:color="auto"/>
              <w:left w:val="single" w:sz="4" w:space="0" w:color="auto"/>
              <w:bottom w:val="single" w:sz="4" w:space="0" w:color="auto"/>
              <w:right w:val="single" w:sz="4" w:space="0" w:color="auto"/>
            </w:tcBorders>
            <w:vAlign w:val="center"/>
          </w:tcPr>
          <w:p w14:paraId="59EE4555" w14:textId="77777777" w:rsidR="00C36D57" w:rsidRPr="002041DF" w:rsidRDefault="00C36D57" w:rsidP="002041DF">
            <w:pPr>
              <w:widowControl w:val="0"/>
              <w:ind w:left="284"/>
              <w:jc w:val="both"/>
              <w:rPr>
                <w:sz w:val="22"/>
                <w:szCs w:val="22"/>
                <w:lang w:val="sr-Latn-ME"/>
              </w:rPr>
            </w:pPr>
            <w:r w:rsidRPr="002041DF">
              <w:rPr>
                <w:sz w:val="22"/>
                <w:szCs w:val="22"/>
                <w:lang w:val="sr-Latn-ME"/>
              </w:rPr>
              <w:t>ACR 20 odgovor, N (%)</w:t>
            </w:r>
          </w:p>
        </w:tc>
        <w:tc>
          <w:tcPr>
            <w:tcW w:w="604" w:type="pct"/>
            <w:tcBorders>
              <w:top w:val="single" w:sz="4" w:space="0" w:color="auto"/>
              <w:left w:val="single" w:sz="4" w:space="0" w:color="auto"/>
              <w:bottom w:val="single" w:sz="4" w:space="0" w:color="auto"/>
              <w:right w:val="single" w:sz="4" w:space="0" w:color="auto"/>
            </w:tcBorders>
            <w:vAlign w:val="center"/>
          </w:tcPr>
          <w:p w14:paraId="24E6AFF6" w14:textId="77777777" w:rsidR="00C36D57" w:rsidRPr="002041DF" w:rsidRDefault="00C36D57" w:rsidP="002041DF">
            <w:pPr>
              <w:widowControl w:val="0"/>
              <w:adjustRightInd w:val="0"/>
              <w:jc w:val="both"/>
              <w:rPr>
                <w:sz w:val="22"/>
                <w:szCs w:val="22"/>
                <w:lang w:val="sr-Latn-ME"/>
              </w:rPr>
            </w:pPr>
            <w:r w:rsidRPr="002041DF">
              <w:rPr>
                <w:sz w:val="22"/>
                <w:szCs w:val="22"/>
                <w:lang w:val="sr-Latn-ME"/>
              </w:rPr>
              <w:t>39 (25%)</w:t>
            </w:r>
          </w:p>
        </w:tc>
        <w:tc>
          <w:tcPr>
            <w:tcW w:w="598" w:type="pct"/>
            <w:tcBorders>
              <w:top w:val="single" w:sz="4" w:space="0" w:color="auto"/>
              <w:left w:val="single" w:sz="4" w:space="0" w:color="auto"/>
              <w:bottom w:val="single" w:sz="4" w:space="0" w:color="auto"/>
              <w:right w:val="single" w:sz="4" w:space="0" w:color="auto"/>
            </w:tcBorders>
            <w:vAlign w:val="center"/>
          </w:tcPr>
          <w:p w14:paraId="40F9414A" w14:textId="77777777" w:rsidR="00C36D57" w:rsidRPr="002041DF" w:rsidRDefault="00C36D57" w:rsidP="002041DF">
            <w:pPr>
              <w:widowControl w:val="0"/>
              <w:adjustRightInd w:val="0"/>
              <w:jc w:val="both"/>
              <w:rPr>
                <w:sz w:val="22"/>
                <w:szCs w:val="22"/>
                <w:lang w:val="sr-Latn-ME"/>
              </w:rPr>
            </w:pPr>
            <w:r w:rsidRPr="002041DF">
              <w:rPr>
                <w:sz w:val="22"/>
                <w:szCs w:val="22"/>
                <w:lang w:val="sr-Latn-ME"/>
              </w:rPr>
              <w:t>67 (44%)</w:t>
            </w:r>
          </w:p>
        </w:tc>
        <w:tc>
          <w:tcPr>
            <w:tcW w:w="686" w:type="pct"/>
            <w:gridSpan w:val="2"/>
            <w:tcBorders>
              <w:top w:val="single" w:sz="4" w:space="0" w:color="auto"/>
              <w:left w:val="single" w:sz="4" w:space="0" w:color="auto"/>
              <w:bottom w:val="single" w:sz="4" w:space="0" w:color="auto"/>
              <w:right w:val="single" w:sz="4" w:space="0" w:color="auto"/>
            </w:tcBorders>
            <w:vAlign w:val="center"/>
          </w:tcPr>
          <w:p w14:paraId="354A9451" w14:textId="77777777" w:rsidR="00C36D57" w:rsidRPr="002041DF" w:rsidRDefault="00C36D57" w:rsidP="002041DF">
            <w:pPr>
              <w:widowControl w:val="0"/>
              <w:adjustRightInd w:val="0"/>
              <w:jc w:val="both"/>
              <w:rPr>
                <w:sz w:val="22"/>
                <w:szCs w:val="22"/>
                <w:lang w:val="sr-Latn-ME"/>
              </w:rPr>
            </w:pPr>
            <w:r w:rsidRPr="002041DF">
              <w:rPr>
                <w:sz w:val="22"/>
                <w:szCs w:val="22"/>
                <w:lang w:val="sr-Latn-ME"/>
              </w:rPr>
              <w:t>78 (51%)</w:t>
            </w:r>
          </w:p>
        </w:tc>
        <w:tc>
          <w:tcPr>
            <w:tcW w:w="611" w:type="pct"/>
            <w:gridSpan w:val="2"/>
            <w:tcBorders>
              <w:top w:val="single" w:sz="4" w:space="0" w:color="auto"/>
              <w:left w:val="single" w:sz="4" w:space="0" w:color="auto"/>
              <w:bottom w:val="single" w:sz="4" w:space="0" w:color="auto"/>
              <w:right w:val="single" w:sz="4" w:space="0" w:color="auto"/>
            </w:tcBorders>
            <w:vAlign w:val="center"/>
          </w:tcPr>
          <w:p w14:paraId="0928B880" w14:textId="77777777" w:rsidR="00C36D57" w:rsidRPr="002041DF" w:rsidRDefault="00C36D57" w:rsidP="002041DF">
            <w:pPr>
              <w:widowControl w:val="0"/>
              <w:adjustRightInd w:val="0"/>
              <w:jc w:val="both"/>
              <w:rPr>
                <w:sz w:val="22"/>
                <w:szCs w:val="22"/>
                <w:lang w:val="sr-Latn-ME"/>
              </w:rPr>
            </w:pPr>
            <w:r w:rsidRPr="002041DF">
              <w:rPr>
                <w:sz w:val="22"/>
                <w:szCs w:val="22"/>
                <w:lang w:val="sr-Latn-ME"/>
              </w:rPr>
              <w:t>17 (23%)</w:t>
            </w:r>
          </w:p>
        </w:tc>
        <w:tc>
          <w:tcPr>
            <w:tcW w:w="680" w:type="pct"/>
            <w:tcBorders>
              <w:top w:val="single" w:sz="4" w:space="0" w:color="auto"/>
              <w:left w:val="single" w:sz="4" w:space="0" w:color="auto"/>
              <w:bottom w:val="single" w:sz="4" w:space="0" w:color="auto"/>
              <w:right w:val="single" w:sz="4" w:space="0" w:color="auto"/>
            </w:tcBorders>
            <w:vAlign w:val="center"/>
          </w:tcPr>
          <w:p w14:paraId="7A3ACE81" w14:textId="77777777" w:rsidR="00C36D57" w:rsidRPr="002041DF" w:rsidRDefault="00C36D57" w:rsidP="002041DF">
            <w:pPr>
              <w:widowControl w:val="0"/>
              <w:adjustRightInd w:val="0"/>
              <w:jc w:val="both"/>
              <w:rPr>
                <w:sz w:val="22"/>
                <w:szCs w:val="22"/>
                <w:lang w:val="sr-Latn-ME"/>
              </w:rPr>
            </w:pPr>
            <w:r w:rsidRPr="002041DF">
              <w:rPr>
                <w:sz w:val="22"/>
                <w:szCs w:val="22"/>
                <w:lang w:val="sr-Latn-ME"/>
              </w:rPr>
              <w:t>32 (43%)</w:t>
            </w:r>
          </w:p>
        </w:tc>
        <w:tc>
          <w:tcPr>
            <w:tcW w:w="681" w:type="pct"/>
            <w:gridSpan w:val="2"/>
            <w:tcBorders>
              <w:top w:val="single" w:sz="4" w:space="0" w:color="auto"/>
              <w:left w:val="single" w:sz="4" w:space="0" w:color="auto"/>
              <w:bottom w:val="single" w:sz="4" w:space="0" w:color="auto"/>
              <w:right w:val="single" w:sz="4" w:space="0" w:color="auto"/>
            </w:tcBorders>
            <w:vAlign w:val="center"/>
          </w:tcPr>
          <w:p w14:paraId="3D111A0F" w14:textId="77777777" w:rsidR="00C36D57" w:rsidRPr="002041DF" w:rsidRDefault="00C36D57" w:rsidP="002041DF">
            <w:pPr>
              <w:widowControl w:val="0"/>
              <w:adjustRightInd w:val="0"/>
              <w:jc w:val="both"/>
              <w:rPr>
                <w:sz w:val="22"/>
                <w:szCs w:val="22"/>
                <w:lang w:val="sr-Latn-ME"/>
              </w:rPr>
            </w:pPr>
            <w:r w:rsidRPr="002041DF">
              <w:rPr>
                <w:sz w:val="22"/>
                <w:szCs w:val="22"/>
                <w:lang w:val="sr-Latn-ME"/>
              </w:rPr>
              <w:t>34 (47%)</w:t>
            </w:r>
          </w:p>
        </w:tc>
      </w:tr>
      <w:tr w:rsidR="00C36D57" w:rsidRPr="002041DF" w14:paraId="54A7240F" w14:textId="77777777" w:rsidTr="00494EF4">
        <w:trPr>
          <w:gridAfter w:val="1"/>
          <w:wAfter w:w="12" w:type="pct"/>
          <w:cantSplit/>
          <w:trHeight w:val="348"/>
          <w:jc w:val="center"/>
        </w:trPr>
        <w:tc>
          <w:tcPr>
            <w:tcW w:w="1128" w:type="pct"/>
            <w:tcBorders>
              <w:top w:val="single" w:sz="4" w:space="0" w:color="auto"/>
              <w:left w:val="single" w:sz="4" w:space="0" w:color="auto"/>
              <w:bottom w:val="single" w:sz="4" w:space="0" w:color="auto"/>
              <w:right w:val="single" w:sz="4" w:space="0" w:color="auto"/>
            </w:tcBorders>
            <w:vAlign w:val="center"/>
          </w:tcPr>
          <w:p w14:paraId="235A050B" w14:textId="77777777" w:rsidR="00C36D57" w:rsidRPr="002041DF" w:rsidRDefault="00C36D57" w:rsidP="002041DF">
            <w:pPr>
              <w:widowControl w:val="0"/>
              <w:jc w:val="both"/>
              <w:rPr>
                <w:i/>
                <w:sz w:val="22"/>
                <w:szCs w:val="22"/>
                <w:lang w:val="sr-Latn-ME"/>
              </w:rPr>
            </w:pPr>
            <w:r w:rsidRPr="002041DF">
              <w:rPr>
                <w:i/>
                <w:sz w:val="22"/>
                <w:szCs w:val="22"/>
                <w:lang w:val="sr-Latn-ME"/>
              </w:rPr>
              <w:t>Broj pacijenata sa ≥ 3% BSA</w:t>
            </w:r>
            <w:r w:rsidRPr="002041DF">
              <w:rPr>
                <w:i/>
                <w:sz w:val="22"/>
                <w:szCs w:val="22"/>
                <w:vertAlign w:val="superscript"/>
                <w:lang w:val="sr-Latn-ME"/>
              </w:rPr>
              <w:t>d</w:t>
            </w:r>
          </w:p>
        </w:tc>
        <w:tc>
          <w:tcPr>
            <w:tcW w:w="604" w:type="pct"/>
            <w:tcBorders>
              <w:top w:val="single" w:sz="4" w:space="0" w:color="auto"/>
              <w:left w:val="single" w:sz="4" w:space="0" w:color="auto"/>
              <w:bottom w:val="single" w:sz="4" w:space="0" w:color="auto"/>
              <w:right w:val="single" w:sz="4" w:space="0" w:color="auto"/>
            </w:tcBorders>
            <w:vAlign w:val="center"/>
          </w:tcPr>
          <w:p w14:paraId="4F803CE7" w14:textId="77777777" w:rsidR="00C36D57" w:rsidRPr="002041DF" w:rsidRDefault="00C36D57" w:rsidP="002041DF">
            <w:pPr>
              <w:widowControl w:val="0"/>
              <w:adjustRightInd w:val="0"/>
              <w:jc w:val="both"/>
              <w:rPr>
                <w:sz w:val="22"/>
                <w:szCs w:val="22"/>
                <w:lang w:val="sr-Latn-ME"/>
              </w:rPr>
            </w:pPr>
            <w:r w:rsidRPr="002041DF">
              <w:rPr>
                <w:sz w:val="22"/>
                <w:szCs w:val="22"/>
                <w:lang w:val="sr-Latn-ME"/>
              </w:rPr>
              <w:t>105</w:t>
            </w:r>
          </w:p>
        </w:tc>
        <w:tc>
          <w:tcPr>
            <w:tcW w:w="598" w:type="pct"/>
            <w:tcBorders>
              <w:top w:val="single" w:sz="4" w:space="0" w:color="auto"/>
              <w:left w:val="single" w:sz="4" w:space="0" w:color="auto"/>
              <w:bottom w:val="single" w:sz="4" w:space="0" w:color="auto"/>
              <w:right w:val="single" w:sz="4" w:space="0" w:color="auto"/>
            </w:tcBorders>
            <w:vAlign w:val="center"/>
          </w:tcPr>
          <w:p w14:paraId="05AD55D2" w14:textId="77777777" w:rsidR="00C36D57" w:rsidRPr="002041DF" w:rsidRDefault="00C36D57" w:rsidP="002041DF">
            <w:pPr>
              <w:widowControl w:val="0"/>
              <w:adjustRightInd w:val="0"/>
              <w:jc w:val="both"/>
              <w:rPr>
                <w:sz w:val="22"/>
                <w:szCs w:val="22"/>
                <w:lang w:val="sr-Latn-ME"/>
              </w:rPr>
            </w:pPr>
            <w:r w:rsidRPr="002041DF">
              <w:rPr>
                <w:sz w:val="22"/>
                <w:szCs w:val="22"/>
                <w:lang w:val="sr-Latn-ME"/>
              </w:rPr>
              <w:t>105</w:t>
            </w:r>
          </w:p>
        </w:tc>
        <w:tc>
          <w:tcPr>
            <w:tcW w:w="686" w:type="pct"/>
            <w:gridSpan w:val="2"/>
            <w:tcBorders>
              <w:top w:val="single" w:sz="4" w:space="0" w:color="auto"/>
              <w:left w:val="single" w:sz="4" w:space="0" w:color="auto"/>
              <w:bottom w:val="single" w:sz="4" w:space="0" w:color="auto"/>
              <w:right w:val="single" w:sz="4" w:space="0" w:color="auto"/>
            </w:tcBorders>
            <w:vAlign w:val="center"/>
          </w:tcPr>
          <w:p w14:paraId="65C1FBFB" w14:textId="77777777" w:rsidR="00C36D57" w:rsidRPr="002041DF" w:rsidRDefault="00C36D57" w:rsidP="002041DF">
            <w:pPr>
              <w:widowControl w:val="0"/>
              <w:adjustRightInd w:val="0"/>
              <w:jc w:val="both"/>
              <w:rPr>
                <w:sz w:val="22"/>
                <w:szCs w:val="22"/>
                <w:lang w:val="sr-Latn-ME"/>
              </w:rPr>
            </w:pPr>
            <w:r w:rsidRPr="002041DF">
              <w:rPr>
                <w:sz w:val="22"/>
                <w:szCs w:val="22"/>
                <w:lang w:val="sr-Latn-ME"/>
              </w:rPr>
              <w:t>111</w:t>
            </w:r>
          </w:p>
        </w:tc>
        <w:tc>
          <w:tcPr>
            <w:tcW w:w="611" w:type="pct"/>
            <w:gridSpan w:val="2"/>
            <w:tcBorders>
              <w:top w:val="single" w:sz="4" w:space="0" w:color="auto"/>
              <w:left w:val="single" w:sz="4" w:space="0" w:color="auto"/>
              <w:bottom w:val="single" w:sz="4" w:space="0" w:color="auto"/>
              <w:right w:val="single" w:sz="4" w:space="0" w:color="auto"/>
            </w:tcBorders>
            <w:vAlign w:val="center"/>
          </w:tcPr>
          <w:p w14:paraId="5DECA9D8" w14:textId="77777777" w:rsidR="00C36D57" w:rsidRPr="002041DF" w:rsidRDefault="00C36D57" w:rsidP="002041DF">
            <w:pPr>
              <w:widowControl w:val="0"/>
              <w:adjustRightInd w:val="0"/>
              <w:jc w:val="both"/>
              <w:rPr>
                <w:sz w:val="22"/>
                <w:szCs w:val="22"/>
                <w:lang w:val="sr-Latn-ME"/>
              </w:rPr>
            </w:pPr>
            <w:r w:rsidRPr="002041DF">
              <w:rPr>
                <w:sz w:val="22"/>
                <w:szCs w:val="22"/>
                <w:lang w:val="sr-Latn-ME"/>
              </w:rPr>
              <w:t>54</w:t>
            </w:r>
          </w:p>
        </w:tc>
        <w:tc>
          <w:tcPr>
            <w:tcW w:w="680" w:type="pct"/>
            <w:tcBorders>
              <w:top w:val="single" w:sz="4" w:space="0" w:color="auto"/>
              <w:left w:val="single" w:sz="4" w:space="0" w:color="auto"/>
              <w:bottom w:val="single" w:sz="4" w:space="0" w:color="auto"/>
              <w:right w:val="single" w:sz="4" w:space="0" w:color="auto"/>
            </w:tcBorders>
            <w:vAlign w:val="center"/>
          </w:tcPr>
          <w:p w14:paraId="5B3C9F41" w14:textId="77777777" w:rsidR="00C36D57" w:rsidRPr="002041DF" w:rsidRDefault="00C36D57" w:rsidP="002041DF">
            <w:pPr>
              <w:widowControl w:val="0"/>
              <w:adjustRightInd w:val="0"/>
              <w:jc w:val="both"/>
              <w:rPr>
                <w:sz w:val="22"/>
                <w:szCs w:val="22"/>
                <w:lang w:val="sr-Latn-ME"/>
              </w:rPr>
            </w:pPr>
            <w:r w:rsidRPr="002041DF">
              <w:rPr>
                <w:sz w:val="22"/>
                <w:szCs w:val="22"/>
                <w:lang w:val="sr-Latn-ME"/>
              </w:rPr>
              <w:t>58</w:t>
            </w:r>
          </w:p>
        </w:tc>
        <w:tc>
          <w:tcPr>
            <w:tcW w:w="681" w:type="pct"/>
            <w:gridSpan w:val="2"/>
            <w:tcBorders>
              <w:top w:val="single" w:sz="4" w:space="0" w:color="auto"/>
              <w:left w:val="single" w:sz="4" w:space="0" w:color="auto"/>
              <w:bottom w:val="single" w:sz="4" w:space="0" w:color="auto"/>
              <w:right w:val="single" w:sz="4" w:space="0" w:color="auto"/>
            </w:tcBorders>
            <w:vAlign w:val="center"/>
          </w:tcPr>
          <w:p w14:paraId="3FB66E02" w14:textId="77777777" w:rsidR="00C36D57" w:rsidRPr="002041DF" w:rsidRDefault="00C36D57" w:rsidP="002041DF">
            <w:pPr>
              <w:widowControl w:val="0"/>
              <w:adjustRightInd w:val="0"/>
              <w:jc w:val="both"/>
              <w:rPr>
                <w:sz w:val="22"/>
                <w:szCs w:val="22"/>
                <w:lang w:val="sr-Latn-ME"/>
              </w:rPr>
            </w:pPr>
            <w:r w:rsidRPr="002041DF">
              <w:rPr>
                <w:sz w:val="22"/>
                <w:szCs w:val="22"/>
                <w:lang w:val="sr-Latn-ME"/>
              </w:rPr>
              <w:t>57</w:t>
            </w:r>
          </w:p>
        </w:tc>
      </w:tr>
      <w:tr w:rsidR="00C36D57" w:rsidRPr="002041DF" w14:paraId="30634FB2" w14:textId="77777777" w:rsidTr="00494EF4">
        <w:trPr>
          <w:gridAfter w:val="1"/>
          <w:wAfter w:w="12" w:type="pct"/>
          <w:cantSplit/>
          <w:trHeight w:val="348"/>
          <w:jc w:val="center"/>
        </w:trPr>
        <w:tc>
          <w:tcPr>
            <w:tcW w:w="1128" w:type="pct"/>
            <w:tcBorders>
              <w:top w:val="single" w:sz="4" w:space="0" w:color="auto"/>
              <w:left w:val="single" w:sz="4" w:space="0" w:color="auto"/>
              <w:bottom w:val="single" w:sz="4" w:space="0" w:color="auto"/>
              <w:right w:val="single" w:sz="4" w:space="0" w:color="auto"/>
            </w:tcBorders>
            <w:vAlign w:val="center"/>
          </w:tcPr>
          <w:p w14:paraId="2B1F2B6B" w14:textId="77777777" w:rsidR="00C36D57" w:rsidRPr="002041DF" w:rsidRDefault="00C36D57" w:rsidP="002041DF">
            <w:pPr>
              <w:widowControl w:val="0"/>
              <w:ind w:left="284"/>
              <w:jc w:val="both"/>
              <w:rPr>
                <w:sz w:val="22"/>
                <w:szCs w:val="22"/>
                <w:lang w:val="sr-Latn-ME"/>
              </w:rPr>
            </w:pPr>
            <w:r w:rsidRPr="002041DF">
              <w:rPr>
                <w:sz w:val="22"/>
                <w:szCs w:val="22"/>
                <w:lang w:val="sr-Latn-ME"/>
              </w:rPr>
              <w:t>PASI 75 odgovor, N (%)</w:t>
            </w:r>
          </w:p>
        </w:tc>
        <w:tc>
          <w:tcPr>
            <w:tcW w:w="604" w:type="pct"/>
            <w:tcBorders>
              <w:top w:val="single" w:sz="4" w:space="0" w:color="auto"/>
              <w:left w:val="single" w:sz="4" w:space="0" w:color="auto"/>
              <w:bottom w:val="single" w:sz="4" w:space="0" w:color="auto"/>
              <w:right w:val="single" w:sz="4" w:space="0" w:color="auto"/>
            </w:tcBorders>
            <w:vAlign w:val="center"/>
          </w:tcPr>
          <w:p w14:paraId="65D164C9" w14:textId="77777777" w:rsidR="00C36D57" w:rsidRPr="002041DF" w:rsidRDefault="00C36D57" w:rsidP="002041DF">
            <w:pPr>
              <w:widowControl w:val="0"/>
              <w:adjustRightInd w:val="0"/>
              <w:jc w:val="both"/>
              <w:rPr>
                <w:sz w:val="22"/>
                <w:szCs w:val="22"/>
                <w:lang w:val="sr-Latn-ME"/>
              </w:rPr>
            </w:pPr>
            <w:r w:rsidRPr="002041DF">
              <w:rPr>
                <w:sz w:val="22"/>
                <w:szCs w:val="22"/>
                <w:lang w:val="sr-Latn-ME"/>
              </w:rPr>
              <w:t>14 (13%)</w:t>
            </w:r>
          </w:p>
        </w:tc>
        <w:tc>
          <w:tcPr>
            <w:tcW w:w="598" w:type="pct"/>
            <w:tcBorders>
              <w:top w:val="single" w:sz="4" w:space="0" w:color="auto"/>
              <w:left w:val="single" w:sz="4" w:space="0" w:color="auto"/>
              <w:bottom w:val="single" w:sz="4" w:space="0" w:color="auto"/>
              <w:right w:val="single" w:sz="4" w:space="0" w:color="auto"/>
            </w:tcBorders>
            <w:vAlign w:val="center"/>
          </w:tcPr>
          <w:p w14:paraId="2D1466B6" w14:textId="77777777" w:rsidR="00C36D57" w:rsidRPr="002041DF" w:rsidRDefault="00C36D57" w:rsidP="002041DF">
            <w:pPr>
              <w:widowControl w:val="0"/>
              <w:adjustRightInd w:val="0"/>
              <w:jc w:val="both"/>
              <w:rPr>
                <w:sz w:val="22"/>
                <w:szCs w:val="22"/>
                <w:lang w:val="sr-Latn-ME"/>
              </w:rPr>
            </w:pPr>
            <w:r w:rsidRPr="002041DF">
              <w:rPr>
                <w:sz w:val="22"/>
                <w:szCs w:val="22"/>
                <w:lang w:val="sr-Latn-ME"/>
              </w:rPr>
              <w:t>64 (61%)</w:t>
            </w:r>
          </w:p>
        </w:tc>
        <w:tc>
          <w:tcPr>
            <w:tcW w:w="686" w:type="pct"/>
            <w:gridSpan w:val="2"/>
            <w:tcBorders>
              <w:top w:val="single" w:sz="4" w:space="0" w:color="auto"/>
              <w:left w:val="single" w:sz="4" w:space="0" w:color="auto"/>
              <w:bottom w:val="single" w:sz="4" w:space="0" w:color="auto"/>
              <w:right w:val="single" w:sz="4" w:space="0" w:color="auto"/>
            </w:tcBorders>
            <w:vAlign w:val="center"/>
          </w:tcPr>
          <w:p w14:paraId="02B518FB" w14:textId="77777777" w:rsidR="00C36D57" w:rsidRPr="002041DF" w:rsidRDefault="00C36D57" w:rsidP="002041DF">
            <w:pPr>
              <w:widowControl w:val="0"/>
              <w:adjustRightInd w:val="0"/>
              <w:jc w:val="both"/>
              <w:rPr>
                <w:sz w:val="22"/>
                <w:szCs w:val="22"/>
                <w:lang w:val="sr-Latn-ME"/>
              </w:rPr>
            </w:pPr>
            <w:r w:rsidRPr="002041DF">
              <w:rPr>
                <w:sz w:val="22"/>
                <w:szCs w:val="22"/>
                <w:lang w:val="sr-Latn-ME"/>
              </w:rPr>
              <w:t>73 (66%)</w:t>
            </w:r>
          </w:p>
        </w:tc>
        <w:tc>
          <w:tcPr>
            <w:tcW w:w="611" w:type="pct"/>
            <w:gridSpan w:val="2"/>
            <w:tcBorders>
              <w:top w:val="single" w:sz="4" w:space="0" w:color="auto"/>
              <w:left w:val="single" w:sz="4" w:space="0" w:color="auto"/>
              <w:bottom w:val="single" w:sz="4" w:space="0" w:color="auto"/>
              <w:right w:val="single" w:sz="4" w:space="0" w:color="auto"/>
            </w:tcBorders>
            <w:vAlign w:val="center"/>
          </w:tcPr>
          <w:p w14:paraId="788C05E2" w14:textId="77777777" w:rsidR="00C36D57" w:rsidRPr="002041DF" w:rsidRDefault="00C36D57" w:rsidP="002041DF">
            <w:pPr>
              <w:widowControl w:val="0"/>
              <w:adjustRightInd w:val="0"/>
              <w:jc w:val="both"/>
              <w:rPr>
                <w:sz w:val="22"/>
                <w:szCs w:val="22"/>
                <w:lang w:val="sr-Latn-ME"/>
              </w:rPr>
            </w:pPr>
            <w:r w:rsidRPr="002041DF">
              <w:rPr>
                <w:sz w:val="22"/>
                <w:szCs w:val="22"/>
                <w:lang w:val="sr-Latn-ME"/>
              </w:rPr>
              <w:t>4 (7%)</w:t>
            </w:r>
          </w:p>
        </w:tc>
        <w:tc>
          <w:tcPr>
            <w:tcW w:w="680" w:type="pct"/>
            <w:tcBorders>
              <w:top w:val="single" w:sz="4" w:space="0" w:color="auto"/>
              <w:left w:val="single" w:sz="4" w:space="0" w:color="auto"/>
              <w:bottom w:val="single" w:sz="4" w:space="0" w:color="auto"/>
              <w:right w:val="single" w:sz="4" w:space="0" w:color="auto"/>
            </w:tcBorders>
            <w:vAlign w:val="center"/>
          </w:tcPr>
          <w:p w14:paraId="2ECAB1DB" w14:textId="77777777" w:rsidR="00C36D57" w:rsidRPr="002041DF" w:rsidRDefault="00C36D57" w:rsidP="002041DF">
            <w:pPr>
              <w:widowControl w:val="0"/>
              <w:adjustRightInd w:val="0"/>
              <w:jc w:val="both"/>
              <w:rPr>
                <w:sz w:val="22"/>
                <w:szCs w:val="22"/>
                <w:lang w:val="sr-Latn-ME"/>
              </w:rPr>
            </w:pPr>
            <w:r w:rsidRPr="002041DF">
              <w:rPr>
                <w:sz w:val="22"/>
                <w:szCs w:val="22"/>
                <w:lang w:val="sr-Latn-ME"/>
              </w:rPr>
              <w:t>31 (53%)</w:t>
            </w:r>
          </w:p>
        </w:tc>
        <w:tc>
          <w:tcPr>
            <w:tcW w:w="681" w:type="pct"/>
            <w:gridSpan w:val="2"/>
            <w:tcBorders>
              <w:top w:val="single" w:sz="4" w:space="0" w:color="auto"/>
              <w:left w:val="single" w:sz="4" w:space="0" w:color="auto"/>
              <w:bottom w:val="single" w:sz="4" w:space="0" w:color="auto"/>
              <w:right w:val="single" w:sz="4" w:space="0" w:color="auto"/>
            </w:tcBorders>
            <w:vAlign w:val="center"/>
          </w:tcPr>
          <w:p w14:paraId="3115E79D" w14:textId="77777777" w:rsidR="00C36D57" w:rsidRPr="002041DF" w:rsidRDefault="00C36D57" w:rsidP="002041DF">
            <w:pPr>
              <w:widowControl w:val="0"/>
              <w:adjustRightInd w:val="0"/>
              <w:jc w:val="both"/>
              <w:rPr>
                <w:sz w:val="22"/>
                <w:szCs w:val="22"/>
                <w:lang w:val="sr-Latn-ME"/>
              </w:rPr>
            </w:pPr>
            <w:r w:rsidRPr="002041DF">
              <w:rPr>
                <w:sz w:val="22"/>
                <w:szCs w:val="22"/>
                <w:lang w:val="sr-Latn-ME"/>
              </w:rPr>
              <w:t>32 (56%)</w:t>
            </w:r>
          </w:p>
        </w:tc>
      </w:tr>
      <w:tr w:rsidR="00C36D57" w:rsidRPr="002041DF" w14:paraId="7FE443FC" w14:textId="77777777" w:rsidTr="00494EF4">
        <w:trPr>
          <w:gridAfter w:val="1"/>
          <w:wAfter w:w="12" w:type="pct"/>
          <w:cantSplit/>
          <w:trHeight w:val="348"/>
          <w:jc w:val="center"/>
        </w:trPr>
        <w:tc>
          <w:tcPr>
            <w:tcW w:w="1128" w:type="pct"/>
            <w:tcBorders>
              <w:top w:val="single" w:sz="4" w:space="0" w:color="auto"/>
              <w:left w:val="single" w:sz="4" w:space="0" w:color="auto"/>
              <w:bottom w:val="single" w:sz="4" w:space="0" w:color="auto"/>
              <w:right w:val="single" w:sz="4" w:space="0" w:color="auto"/>
            </w:tcBorders>
            <w:vAlign w:val="center"/>
          </w:tcPr>
          <w:p w14:paraId="6CF53B73" w14:textId="77777777" w:rsidR="00C36D57" w:rsidRPr="002041DF" w:rsidRDefault="00C36D57" w:rsidP="002041DF">
            <w:pPr>
              <w:widowControl w:val="0"/>
              <w:jc w:val="both"/>
              <w:rPr>
                <w:b/>
                <w:sz w:val="22"/>
                <w:szCs w:val="22"/>
                <w:lang w:val="sr-Latn-ME"/>
              </w:rPr>
            </w:pPr>
            <w:r w:rsidRPr="002041DF">
              <w:rPr>
                <w:b/>
                <w:sz w:val="22"/>
                <w:szCs w:val="22"/>
                <w:lang w:val="sr-Latn-ME"/>
              </w:rPr>
              <w:t>Broj pacijenata sa &gt; 100 kg</w:t>
            </w:r>
          </w:p>
        </w:tc>
        <w:tc>
          <w:tcPr>
            <w:tcW w:w="604" w:type="pct"/>
            <w:tcBorders>
              <w:top w:val="single" w:sz="4" w:space="0" w:color="auto"/>
              <w:left w:val="single" w:sz="4" w:space="0" w:color="auto"/>
              <w:bottom w:val="single" w:sz="4" w:space="0" w:color="auto"/>
              <w:right w:val="single" w:sz="4" w:space="0" w:color="auto"/>
            </w:tcBorders>
            <w:vAlign w:val="center"/>
          </w:tcPr>
          <w:p w14:paraId="16F6982D" w14:textId="77777777" w:rsidR="00C36D57" w:rsidRPr="002041DF" w:rsidRDefault="00C36D57" w:rsidP="002041DF">
            <w:pPr>
              <w:widowControl w:val="0"/>
              <w:adjustRightInd w:val="0"/>
              <w:jc w:val="both"/>
              <w:rPr>
                <w:sz w:val="22"/>
                <w:szCs w:val="22"/>
                <w:lang w:val="sr-Latn-ME"/>
              </w:rPr>
            </w:pPr>
            <w:r w:rsidRPr="002041DF">
              <w:rPr>
                <w:sz w:val="22"/>
                <w:szCs w:val="22"/>
                <w:lang w:val="sr-Latn-ME"/>
              </w:rPr>
              <w:t>52</w:t>
            </w:r>
          </w:p>
        </w:tc>
        <w:tc>
          <w:tcPr>
            <w:tcW w:w="598" w:type="pct"/>
            <w:tcBorders>
              <w:top w:val="single" w:sz="4" w:space="0" w:color="auto"/>
              <w:left w:val="single" w:sz="4" w:space="0" w:color="auto"/>
              <w:bottom w:val="single" w:sz="4" w:space="0" w:color="auto"/>
              <w:right w:val="single" w:sz="4" w:space="0" w:color="auto"/>
            </w:tcBorders>
            <w:vAlign w:val="center"/>
          </w:tcPr>
          <w:p w14:paraId="0D38B152" w14:textId="77777777" w:rsidR="00C36D57" w:rsidRPr="002041DF" w:rsidRDefault="00C36D57" w:rsidP="002041DF">
            <w:pPr>
              <w:widowControl w:val="0"/>
              <w:adjustRightInd w:val="0"/>
              <w:jc w:val="both"/>
              <w:rPr>
                <w:sz w:val="22"/>
                <w:szCs w:val="22"/>
                <w:lang w:val="sr-Latn-ME"/>
              </w:rPr>
            </w:pPr>
            <w:r w:rsidRPr="002041DF">
              <w:rPr>
                <w:sz w:val="22"/>
                <w:szCs w:val="22"/>
                <w:lang w:val="sr-Latn-ME"/>
              </w:rPr>
              <w:t>52</w:t>
            </w:r>
          </w:p>
        </w:tc>
        <w:tc>
          <w:tcPr>
            <w:tcW w:w="686" w:type="pct"/>
            <w:gridSpan w:val="2"/>
            <w:tcBorders>
              <w:top w:val="single" w:sz="4" w:space="0" w:color="auto"/>
              <w:left w:val="single" w:sz="4" w:space="0" w:color="auto"/>
              <w:bottom w:val="single" w:sz="4" w:space="0" w:color="auto"/>
              <w:right w:val="single" w:sz="4" w:space="0" w:color="auto"/>
            </w:tcBorders>
            <w:vAlign w:val="center"/>
          </w:tcPr>
          <w:p w14:paraId="52F74864" w14:textId="77777777" w:rsidR="00C36D57" w:rsidRPr="002041DF" w:rsidRDefault="00C36D57" w:rsidP="002041DF">
            <w:pPr>
              <w:widowControl w:val="0"/>
              <w:adjustRightInd w:val="0"/>
              <w:jc w:val="both"/>
              <w:rPr>
                <w:sz w:val="22"/>
                <w:szCs w:val="22"/>
                <w:lang w:val="sr-Latn-ME"/>
              </w:rPr>
            </w:pPr>
            <w:r w:rsidRPr="002041DF">
              <w:rPr>
                <w:sz w:val="22"/>
                <w:szCs w:val="22"/>
                <w:lang w:val="sr-Latn-ME"/>
              </w:rPr>
              <w:t>50</w:t>
            </w:r>
          </w:p>
        </w:tc>
        <w:tc>
          <w:tcPr>
            <w:tcW w:w="611" w:type="pct"/>
            <w:gridSpan w:val="2"/>
            <w:tcBorders>
              <w:top w:val="single" w:sz="4" w:space="0" w:color="auto"/>
              <w:left w:val="single" w:sz="4" w:space="0" w:color="auto"/>
              <w:bottom w:val="single" w:sz="4" w:space="0" w:color="auto"/>
              <w:right w:val="single" w:sz="4" w:space="0" w:color="auto"/>
            </w:tcBorders>
            <w:vAlign w:val="center"/>
          </w:tcPr>
          <w:p w14:paraId="73A1079B" w14:textId="77777777" w:rsidR="00C36D57" w:rsidRPr="002041DF" w:rsidRDefault="00C36D57" w:rsidP="002041DF">
            <w:pPr>
              <w:widowControl w:val="0"/>
              <w:adjustRightInd w:val="0"/>
              <w:jc w:val="both"/>
              <w:rPr>
                <w:sz w:val="22"/>
                <w:szCs w:val="22"/>
                <w:lang w:val="sr-Latn-ME"/>
              </w:rPr>
            </w:pPr>
            <w:r w:rsidRPr="002041DF">
              <w:rPr>
                <w:sz w:val="22"/>
                <w:szCs w:val="22"/>
                <w:lang w:val="sr-Latn-ME"/>
              </w:rPr>
              <w:t>30</w:t>
            </w:r>
          </w:p>
        </w:tc>
        <w:tc>
          <w:tcPr>
            <w:tcW w:w="680" w:type="pct"/>
            <w:tcBorders>
              <w:top w:val="single" w:sz="4" w:space="0" w:color="auto"/>
              <w:left w:val="single" w:sz="4" w:space="0" w:color="auto"/>
              <w:bottom w:val="single" w:sz="4" w:space="0" w:color="auto"/>
              <w:right w:val="single" w:sz="4" w:space="0" w:color="auto"/>
            </w:tcBorders>
            <w:vAlign w:val="center"/>
          </w:tcPr>
          <w:p w14:paraId="03ADB900" w14:textId="77777777" w:rsidR="00C36D57" w:rsidRPr="002041DF" w:rsidRDefault="00C36D57" w:rsidP="002041DF">
            <w:pPr>
              <w:widowControl w:val="0"/>
              <w:adjustRightInd w:val="0"/>
              <w:jc w:val="both"/>
              <w:rPr>
                <w:sz w:val="22"/>
                <w:szCs w:val="22"/>
                <w:lang w:val="sr-Latn-ME"/>
              </w:rPr>
            </w:pPr>
            <w:r w:rsidRPr="002041DF">
              <w:rPr>
                <w:sz w:val="22"/>
                <w:szCs w:val="22"/>
                <w:lang w:val="sr-Latn-ME"/>
              </w:rPr>
              <w:t>29</w:t>
            </w:r>
          </w:p>
        </w:tc>
        <w:tc>
          <w:tcPr>
            <w:tcW w:w="681" w:type="pct"/>
            <w:gridSpan w:val="2"/>
            <w:tcBorders>
              <w:top w:val="single" w:sz="4" w:space="0" w:color="auto"/>
              <w:left w:val="single" w:sz="4" w:space="0" w:color="auto"/>
              <w:bottom w:val="single" w:sz="4" w:space="0" w:color="auto"/>
              <w:right w:val="single" w:sz="4" w:space="0" w:color="auto"/>
            </w:tcBorders>
            <w:vAlign w:val="center"/>
          </w:tcPr>
          <w:p w14:paraId="3A9EF9DC" w14:textId="77777777" w:rsidR="00C36D57" w:rsidRPr="002041DF" w:rsidRDefault="00C36D57" w:rsidP="002041DF">
            <w:pPr>
              <w:widowControl w:val="0"/>
              <w:adjustRightInd w:val="0"/>
              <w:jc w:val="both"/>
              <w:rPr>
                <w:sz w:val="22"/>
                <w:szCs w:val="22"/>
                <w:lang w:val="sr-Latn-ME"/>
              </w:rPr>
            </w:pPr>
            <w:r w:rsidRPr="002041DF">
              <w:rPr>
                <w:sz w:val="22"/>
                <w:szCs w:val="22"/>
                <w:lang w:val="sr-Latn-ME"/>
              </w:rPr>
              <w:t>31</w:t>
            </w:r>
          </w:p>
        </w:tc>
      </w:tr>
      <w:tr w:rsidR="00C36D57" w:rsidRPr="002041DF" w14:paraId="73CC50EA" w14:textId="77777777" w:rsidTr="00494EF4">
        <w:trPr>
          <w:gridAfter w:val="1"/>
          <w:wAfter w:w="12" w:type="pct"/>
          <w:cantSplit/>
          <w:trHeight w:val="348"/>
          <w:jc w:val="center"/>
        </w:trPr>
        <w:tc>
          <w:tcPr>
            <w:tcW w:w="1128" w:type="pct"/>
            <w:tcBorders>
              <w:top w:val="single" w:sz="4" w:space="0" w:color="auto"/>
              <w:left w:val="single" w:sz="4" w:space="0" w:color="auto"/>
              <w:bottom w:val="single" w:sz="4" w:space="0" w:color="auto"/>
              <w:right w:val="single" w:sz="4" w:space="0" w:color="auto"/>
            </w:tcBorders>
            <w:vAlign w:val="center"/>
          </w:tcPr>
          <w:p w14:paraId="73111D4B" w14:textId="77777777" w:rsidR="00C36D57" w:rsidRPr="002041DF" w:rsidRDefault="00C36D57" w:rsidP="002041DF">
            <w:pPr>
              <w:widowControl w:val="0"/>
              <w:ind w:left="284"/>
              <w:jc w:val="both"/>
              <w:rPr>
                <w:sz w:val="22"/>
                <w:szCs w:val="22"/>
                <w:lang w:val="sr-Latn-ME"/>
              </w:rPr>
            </w:pPr>
            <w:r w:rsidRPr="002041DF">
              <w:rPr>
                <w:sz w:val="22"/>
                <w:szCs w:val="22"/>
                <w:lang w:val="sr-Latn-ME"/>
              </w:rPr>
              <w:t>ACR 20 odgovor, N (%)</w:t>
            </w:r>
          </w:p>
        </w:tc>
        <w:tc>
          <w:tcPr>
            <w:tcW w:w="604" w:type="pct"/>
            <w:tcBorders>
              <w:top w:val="single" w:sz="4" w:space="0" w:color="auto"/>
              <w:left w:val="single" w:sz="4" w:space="0" w:color="auto"/>
              <w:bottom w:val="single" w:sz="4" w:space="0" w:color="auto"/>
              <w:right w:val="single" w:sz="4" w:space="0" w:color="auto"/>
            </w:tcBorders>
            <w:vAlign w:val="center"/>
          </w:tcPr>
          <w:p w14:paraId="729DC519" w14:textId="77777777" w:rsidR="00C36D57" w:rsidRPr="002041DF" w:rsidRDefault="00C36D57" w:rsidP="002041DF">
            <w:pPr>
              <w:widowControl w:val="0"/>
              <w:adjustRightInd w:val="0"/>
              <w:jc w:val="both"/>
              <w:rPr>
                <w:sz w:val="22"/>
                <w:szCs w:val="22"/>
                <w:lang w:val="sr-Latn-ME"/>
              </w:rPr>
            </w:pPr>
            <w:r w:rsidRPr="002041DF">
              <w:rPr>
                <w:sz w:val="22"/>
                <w:szCs w:val="22"/>
                <w:lang w:val="sr-Latn-ME"/>
              </w:rPr>
              <w:t>8 (15%)</w:t>
            </w:r>
          </w:p>
        </w:tc>
        <w:tc>
          <w:tcPr>
            <w:tcW w:w="598" w:type="pct"/>
            <w:tcBorders>
              <w:top w:val="single" w:sz="4" w:space="0" w:color="auto"/>
              <w:left w:val="single" w:sz="4" w:space="0" w:color="auto"/>
              <w:bottom w:val="single" w:sz="4" w:space="0" w:color="auto"/>
              <w:right w:val="single" w:sz="4" w:space="0" w:color="auto"/>
            </w:tcBorders>
            <w:vAlign w:val="center"/>
          </w:tcPr>
          <w:p w14:paraId="299F3DDB" w14:textId="77777777" w:rsidR="00C36D57" w:rsidRPr="002041DF" w:rsidRDefault="00C36D57" w:rsidP="002041DF">
            <w:pPr>
              <w:widowControl w:val="0"/>
              <w:adjustRightInd w:val="0"/>
              <w:jc w:val="both"/>
              <w:rPr>
                <w:sz w:val="22"/>
                <w:szCs w:val="22"/>
                <w:lang w:val="sr-Latn-ME"/>
              </w:rPr>
            </w:pPr>
            <w:r w:rsidRPr="002041DF">
              <w:rPr>
                <w:sz w:val="22"/>
                <w:szCs w:val="22"/>
                <w:lang w:val="sr-Latn-ME"/>
              </w:rPr>
              <w:t>20 (38%)</w:t>
            </w:r>
          </w:p>
        </w:tc>
        <w:tc>
          <w:tcPr>
            <w:tcW w:w="686" w:type="pct"/>
            <w:gridSpan w:val="2"/>
            <w:tcBorders>
              <w:top w:val="single" w:sz="4" w:space="0" w:color="auto"/>
              <w:left w:val="single" w:sz="4" w:space="0" w:color="auto"/>
              <w:bottom w:val="single" w:sz="4" w:space="0" w:color="auto"/>
              <w:right w:val="single" w:sz="4" w:space="0" w:color="auto"/>
            </w:tcBorders>
            <w:vAlign w:val="center"/>
          </w:tcPr>
          <w:p w14:paraId="5D14B214" w14:textId="77777777" w:rsidR="00C36D57" w:rsidRPr="002041DF" w:rsidRDefault="00C36D57" w:rsidP="002041DF">
            <w:pPr>
              <w:widowControl w:val="0"/>
              <w:adjustRightInd w:val="0"/>
              <w:jc w:val="both"/>
              <w:rPr>
                <w:sz w:val="22"/>
                <w:szCs w:val="22"/>
                <w:lang w:val="sr-Latn-ME"/>
              </w:rPr>
            </w:pPr>
            <w:r w:rsidRPr="002041DF">
              <w:rPr>
                <w:sz w:val="22"/>
                <w:szCs w:val="22"/>
                <w:lang w:val="sr-Latn-ME"/>
              </w:rPr>
              <w:t>23 (46%)</w:t>
            </w:r>
          </w:p>
        </w:tc>
        <w:tc>
          <w:tcPr>
            <w:tcW w:w="611" w:type="pct"/>
            <w:gridSpan w:val="2"/>
            <w:tcBorders>
              <w:top w:val="single" w:sz="4" w:space="0" w:color="auto"/>
              <w:left w:val="single" w:sz="4" w:space="0" w:color="auto"/>
              <w:bottom w:val="single" w:sz="4" w:space="0" w:color="auto"/>
              <w:right w:val="single" w:sz="4" w:space="0" w:color="auto"/>
            </w:tcBorders>
            <w:vAlign w:val="center"/>
          </w:tcPr>
          <w:p w14:paraId="7E0099F4" w14:textId="77777777" w:rsidR="00C36D57" w:rsidRPr="002041DF" w:rsidRDefault="00C36D57" w:rsidP="002041DF">
            <w:pPr>
              <w:widowControl w:val="0"/>
              <w:adjustRightInd w:val="0"/>
              <w:jc w:val="both"/>
              <w:rPr>
                <w:sz w:val="22"/>
                <w:szCs w:val="22"/>
                <w:lang w:val="sr-Latn-ME"/>
              </w:rPr>
            </w:pPr>
            <w:r w:rsidRPr="002041DF">
              <w:rPr>
                <w:sz w:val="22"/>
                <w:szCs w:val="22"/>
                <w:lang w:val="sr-Latn-ME"/>
              </w:rPr>
              <w:t>4 (13%)</w:t>
            </w:r>
          </w:p>
        </w:tc>
        <w:tc>
          <w:tcPr>
            <w:tcW w:w="680" w:type="pct"/>
            <w:tcBorders>
              <w:top w:val="single" w:sz="4" w:space="0" w:color="auto"/>
              <w:left w:val="single" w:sz="4" w:space="0" w:color="auto"/>
              <w:bottom w:val="single" w:sz="4" w:space="0" w:color="auto"/>
              <w:right w:val="single" w:sz="4" w:space="0" w:color="auto"/>
            </w:tcBorders>
            <w:vAlign w:val="center"/>
          </w:tcPr>
          <w:p w14:paraId="781F2D08" w14:textId="77777777" w:rsidR="00C36D57" w:rsidRPr="002041DF" w:rsidRDefault="00C36D57" w:rsidP="002041DF">
            <w:pPr>
              <w:widowControl w:val="0"/>
              <w:adjustRightInd w:val="0"/>
              <w:jc w:val="both"/>
              <w:rPr>
                <w:sz w:val="22"/>
                <w:szCs w:val="22"/>
                <w:lang w:val="sr-Latn-ME"/>
              </w:rPr>
            </w:pPr>
            <w:r w:rsidRPr="002041DF">
              <w:rPr>
                <w:sz w:val="22"/>
                <w:szCs w:val="22"/>
                <w:lang w:val="sr-Latn-ME"/>
              </w:rPr>
              <w:t>13 (45%)</w:t>
            </w:r>
          </w:p>
        </w:tc>
        <w:tc>
          <w:tcPr>
            <w:tcW w:w="681" w:type="pct"/>
            <w:gridSpan w:val="2"/>
            <w:tcBorders>
              <w:top w:val="single" w:sz="4" w:space="0" w:color="auto"/>
              <w:left w:val="single" w:sz="4" w:space="0" w:color="auto"/>
              <w:bottom w:val="single" w:sz="4" w:space="0" w:color="auto"/>
              <w:right w:val="single" w:sz="4" w:space="0" w:color="auto"/>
            </w:tcBorders>
            <w:vAlign w:val="center"/>
          </w:tcPr>
          <w:p w14:paraId="5F0F94CC" w14:textId="77777777" w:rsidR="00C36D57" w:rsidRPr="002041DF" w:rsidRDefault="00C36D57" w:rsidP="002041DF">
            <w:pPr>
              <w:widowControl w:val="0"/>
              <w:adjustRightInd w:val="0"/>
              <w:jc w:val="both"/>
              <w:rPr>
                <w:sz w:val="22"/>
                <w:szCs w:val="22"/>
                <w:lang w:val="sr-Latn-ME"/>
              </w:rPr>
            </w:pPr>
            <w:r w:rsidRPr="002041DF">
              <w:rPr>
                <w:sz w:val="22"/>
                <w:szCs w:val="22"/>
                <w:lang w:val="sr-Latn-ME"/>
              </w:rPr>
              <w:t>12 (39%)</w:t>
            </w:r>
          </w:p>
        </w:tc>
      </w:tr>
      <w:tr w:rsidR="00C36D57" w:rsidRPr="002041DF" w14:paraId="5005D0A8" w14:textId="77777777" w:rsidTr="00494EF4">
        <w:trPr>
          <w:gridAfter w:val="1"/>
          <w:wAfter w:w="12" w:type="pct"/>
          <w:cantSplit/>
          <w:trHeight w:val="348"/>
          <w:jc w:val="center"/>
        </w:trPr>
        <w:tc>
          <w:tcPr>
            <w:tcW w:w="1128" w:type="pct"/>
            <w:tcBorders>
              <w:top w:val="single" w:sz="4" w:space="0" w:color="auto"/>
              <w:left w:val="single" w:sz="4" w:space="0" w:color="auto"/>
              <w:bottom w:val="single" w:sz="4" w:space="0" w:color="auto"/>
              <w:right w:val="single" w:sz="4" w:space="0" w:color="auto"/>
            </w:tcBorders>
            <w:vAlign w:val="center"/>
          </w:tcPr>
          <w:p w14:paraId="0049160D" w14:textId="77777777" w:rsidR="00C36D57" w:rsidRPr="002041DF" w:rsidRDefault="00C36D57" w:rsidP="002041DF">
            <w:pPr>
              <w:widowControl w:val="0"/>
              <w:jc w:val="both"/>
              <w:rPr>
                <w:i/>
                <w:sz w:val="22"/>
                <w:szCs w:val="22"/>
                <w:lang w:val="sr-Latn-ME"/>
              </w:rPr>
            </w:pPr>
            <w:r w:rsidRPr="002041DF">
              <w:rPr>
                <w:i/>
                <w:sz w:val="22"/>
                <w:szCs w:val="22"/>
                <w:lang w:val="sr-Latn-ME"/>
              </w:rPr>
              <w:t>Broj pacijenata sa ≥ 3% BSA</w:t>
            </w:r>
            <w:r w:rsidRPr="002041DF">
              <w:rPr>
                <w:i/>
                <w:sz w:val="22"/>
                <w:szCs w:val="22"/>
                <w:vertAlign w:val="superscript"/>
                <w:lang w:val="sr-Latn-ME"/>
              </w:rPr>
              <w:t>d</w:t>
            </w:r>
          </w:p>
        </w:tc>
        <w:tc>
          <w:tcPr>
            <w:tcW w:w="604" w:type="pct"/>
            <w:tcBorders>
              <w:top w:val="single" w:sz="4" w:space="0" w:color="auto"/>
              <w:left w:val="single" w:sz="4" w:space="0" w:color="auto"/>
              <w:bottom w:val="single" w:sz="4" w:space="0" w:color="auto"/>
              <w:right w:val="single" w:sz="4" w:space="0" w:color="auto"/>
            </w:tcBorders>
            <w:vAlign w:val="center"/>
          </w:tcPr>
          <w:p w14:paraId="0EDF99B6" w14:textId="77777777" w:rsidR="00C36D57" w:rsidRPr="002041DF" w:rsidRDefault="00C36D57" w:rsidP="002041DF">
            <w:pPr>
              <w:widowControl w:val="0"/>
              <w:adjustRightInd w:val="0"/>
              <w:jc w:val="both"/>
              <w:rPr>
                <w:sz w:val="22"/>
                <w:szCs w:val="22"/>
                <w:lang w:val="sr-Latn-ME"/>
              </w:rPr>
            </w:pPr>
            <w:r w:rsidRPr="002041DF">
              <w:rPr>
                <w:sz w:val="22"/>
                <w:szCs w:val="22"/>
                <w:lang w:val="sr-Latn-ME"/>
              </w:rPr>
              <w:t>41</w:t>
            </w:r>
          </w:p>
        </w:tc>
        <w:tc>
          <w:tcPr>
            <w:tcW w:w="598" w:type="pct"/>
            <w:tcBorders>
              <w:top w:val="single" w:sz="4" w:space="0" w:color="auto"/>
              <w:left w:val="single" w:sz="4" w:space="0" w:color="auto"/>
              <w:bottom w:val="single" w:sz="4" w:space="0" w:color="auto"/>
              <w:right w:val="single" w:sz="4" w:space="0" w:color="auto"/>
            </w:tcBorders>
            <w:vAlign w:val="center"/>
          </w:tcPr>
          <w:p w14:paraId="33189C4F" w14:textId="77777777" w:rsidR="00C36D57" w:rsidRPr="002041DF" w:rsidRDefault="00C36D57" w:rsidP="002041DF">
            <w:pPr>
              <w:widowControl w:val="0"/>
              <w:adjustRightInd w:val="0"/>
              <w:jc w:val="both"/>
              <w:rPr>
                <w:sz w:val="22"/>
                <w:szCs w:val="22"/>
                <w:lang w:val="sr-Latn-ME"/>
              </w:rPr>
            </w:pPr>
            <w:r w:rsidRPr="002041DF">
              <w:rPr>
                <w:sz w:val="22"/>
                <w:szCs w:val="22"/>
                <w:lang w:val="sr-Latn-ME"/>
              </w:rPr>
              <w:t>40</w:t>
            </w:r>
          </w:p>
        </w:tc>
        <w:tc>
          <w:tcPr>
            <w:tcW w:w="686" w:type="pct"/>
            <w:gridSpan w:val="2"/>
            <w:tcBorders>
              <w:top w:val="single" w:sz="4" w:space="0" w:color="auto"/>
              <w:left w:val="single" w:sz="4" w:space="0" w:color="auto"/>
              <w:bottom w:val="single" w:sz="4" w:space="0" w:color="auto"/>
              <w:right w:val="single" w:sz="4" w:space="0" w:color="auto"/>
            </w:tcBorders>
            <w:vAlign w:val="center"/>
          </w:tcPr>
          <w:p w14:paraId="52314597" w14:textId="77777777" w:rsidR="00C36D57" w:rsidRPr="002041DF" w:rsidRDefault="00C36D57" w:rsidP="002041DF">
            <w:pPr>
              <w:widowControl w:val="0"/>
              <w:adjustRightInd w:val="0"/>
              <w:jc w:val="both"/>
              <w:rPr>
                <w:sz w:val="22"/>
                <w:szCs w:val="22"/>
                <w:lang w:val="sr-Latn-ME"/>
              </w:rPr>
            </w:pPr>
            <w:r w:rsidRPr="002041DF">
              <w:rPr>
                <w:sz w:val="22"/>
                <w:szCs w:val="22"/>
                <w:lang w:val="sr-Latn-ME"/>
              </w:rPr>
              <w:t>38</w:t>
            </w:r>
          </w:p>
        </w:tc>
        <w:tc>
          <w:tcPr>
            <w:tcW w:w="611" w:type="pct"/>
            <w:gridSpan w:val="2"/>
            <w:tcBorders>
              <w:top w:val="single" w:sz="4" w:space="0" w:color="auto"/>
              <w:left w:val="single" w:sz="4" w:space="0" w:color="auto"/>
              <w:bottom w:val="single" w:sz="4" w:space="0" w:color="auto"/>
              <w:right w:val="single" w:sz="4" w:space="0" w:color="auto"/>
            </w:tcBorders>
            <w:vAlign w:val="center"/>
          </w:tcPr>
          <w:p w14:paraId="47479B6E" w14:textId="77777777" w:rsidR="00C36D57" w:rsidRPr="002041DF" w:rsidRDefault="00C36D57" w:rsidP="002041DF">
            <w:pPr>
              <w:widowControl w:val="0"/>
              <w:adjustRightInd w:val="0"/>
              <w:jc w:val="both"/>
              <w:rPr>
                <w:sz w:val="22"/>
                <w:szCs w:val="22"/>
                <w:lang w:val="sr-Latn-ME"/>
              </w:rPr>
            </w:pPr>
            <w:r w:rsidRPr="002041DF">
              <w:rPr>
                <w:sz w:val="22"/>
                <w:szCs w:val="22"/>
                <w:lang w:val="sr-Latn-ME"/>
              </w:rPr>
              <w:t>26</w:t>
            </w:r>
          </w:p>
        </w:tc>
        <w:tc>
          <w:tcPr>
            <w:tcW w:w="680" w:type="pct"/>
            <w:tcBorders>
              <w:top w:val="single" w:sz="4" w:space="0" w:color="auto"/>
              <w:left w:val="single" w:sz="4" w:space="0" w:color="auto"/>
              <w:bottom w:val="single" w:sz="4" w:space="0" w:color="auto"/>
              <w:right w:val="single" w:sz="4" w:space="0" w:color="auto"/>
            </w:tcBorders>
            <w:vAlign w:val="center"/>
          </w:tcPr>
          <w:p w14:paraId="2122A22E" w14:textId="77777777" w:rsidR="00C36D57" w:rsidRPr="002041DF" w:rsidRDefault="00C36D57" w:rsidP="002041DF">
            <w:pPr>
              <w:widowControl w:val="0"/>
              <w:adjustRightInd w:val="0"/>
              <w:jc w:val="both"/>
              <w:rPr>
                <w:sz w:val="22"/>
                <w:szCs w:val="22"/>
                <w:lang w:val="sr-Latn-ME"/>
              </w:rPr>
            </w:pPr>
            <w:r w:rsidRPr="002041DF">
              <w:rPr>
                <w:sz w:val="22"/>
                <w:szCs w:val="22"/>
                <w:lang w:val="sr-Latn-ME"/>
              </w:rPr>
              <w:t>22</w:t>
            </w:r>
          </w:p>
        </w:tc>
        <w:tc>
          <w:tcPr>
            <w:tcW w:w="681" w:type="pct"/>
            <w:gridSpan w:val="2"/>
            <w:tcBorders>
              <w:top w:val="single" w:sz="4" w:space="0" w:color="auto"/>
              <w:left w:val="single" w:sz="4" w:space="0" w:color="auto"/>
              <w:bottom w:val="single" w:sz="4" w:space="0" w:color="auto"/>
              <w:right w:val="single" w:sz="4" w:space="0" w:color="auto"/>
            </w:tcBorders>
            <w:vAlign w:val="center"/>
          </w:tcPr>
          <w:p w14:paraId="48B482AC" w14:textId="77777777" w:rsidR="00C36D57" w:rsidRPr="002041DF" w:rsidRDefault="00C36D57" w:rsidP="002041DF">
            <w:pPr>
              <w:widowControl w:val="0"/>
              <w:adjustRightInd w:val="0"/>
              <w:jc w:val="both"/>
              <w:rPr>
                <w:sz w:val="22"/>
                <w:szCs w:val="22"/>
                <w:lang w:val="sr-Latn-ME"/>
              </w:rPr>
            </w:pPr>
            <w:r w:rsidRPr="002041DF">
              <w:rPr>
                <w:sz w:val="22"/>
                <w:szCs w:val="22"/>
                <w:lang w:val="sr-Latn-ME"/>
              </w:rPr>
              <w:t>24</w:t>
            </w:r>
          </w:p>
        </w:tc>
      </w:tr>
      <w:tr w:rsidR="00C36D57" w:rsidRPr="002041DF" w14:paraId="659B2612" w14:textId="77777777" w:rsidTr="00494EF4">
        <w:trPr>
          <w:gridAfter w:val="1"/>
          <w:wAfter w:w="12" w:type="pct"/>
          <w:cantSplit/>
          <w:trHeight w:val="348"/>
          <w:jc w:val="center"/>
        </w:trPr>
        <w:tc>
          <w:tcPr>
            <w:tcW w:w="1128" w:type="pct"/>
            <w:tcBorders>
              <w:top w:val="single" w:sz="4" w:space="0" w:color="auto"/>
              <w:left w:val="single" w:sz="4" w:space="0" w:color="auto"/>
              <w:bottom w:val="single" w:sz="4" w:space="0" w:color="auto"/>
              <w:right w:val="single" w:sz="4" w:space="0" w:color="auto"/>
            </w:tcBorders>
            <w:vAlign w:val="center"/>
          </w:tcPr>
          <w:p w14:paraId="0A22A483" w14:textId="77777777" w:rsidR="00C36D57" w:rsidRPr="002041DF" w:rsidRDefault="00C36D57" w:rsidP="002041DF">
            <w:pPr>
              <w:widowControl w:val="0"/>
              <w:ind w:left="284"/>
              <w:jc w:val="both"/>
              <w:rPr>
                <w:sz w:val="22"/>
                <w:szCs w:val="22"/>
                <w:lang w:val="sr-Latn-ME"/>
              </w:rPr>
            </w:pPr>
            <w:r w:rsidRPr="002041DF">
              <w:rPr>
                <w:sz w:val="22"/>
                <w:szCs w:val="22"/>
                <w:lang w:val="sr-Latn-ME"/>
              </w:rPr>
              <w:t>PASI 75 odgovor, N (%)</w:t>
            </w:r>
          </w:p>
        </w:tc>
        <w:tc>
          <w:tcPr>
            <w:tcW w:w="604" w:type="pct"/>
            <w:tcBorders>
              <w:top w:val="single" w:sz="4" w:space="0" w:color="auto"/>
              <w:left w:val="single" w:sz="4" w:space="0" w:color="auto"/>
              <w:bottom w:val="single" w:sz="4" w:space="0" w:color="auto"/>
              <w:right w:val="single" w:sz="4" w:space="0" w:color="auto"/>
            </w:tcBorders>
            <w:vAlign w:val="center"/>
          </w:tcPr>
          <w:p w14:paraId="6E0DE325" w14:textId="77777777" w:rsidR="00C36D57" w:rsidRPr="002041DF" w:rsidRDefault="00C36D57" w:rsidP="002041DF">
            <w:pPr>
              <w:widowControl w:val="0"/>
              <w:adjustRightInd w:val="0"/>
              <w:jc w:val="both"/>
              <w:rPr>
                <w:sz w:val="22"/>
                <w:szCs w:val="22"/>
                <w:lang w:val="sr-Latn-ME"/>
              </w:rPr>
            </w:pPr>
            <w:r w:rsidRPr="002041DF">
              <w:rPr>
                <w:sz w:val="22"/>
                <w:szCs w:val="22"/>
                <w:lang w:val="sr-Latn-ME"/>
              </w:rPr>
              <w:t>2 (5%)</w:t>
            </w:r>
          </w:p>
        </w:tc>
        <w:tc>
          <w:tcPr>
            <w:tcW w:w="598" w:type="pct"/>
            <w:tcBorders>
              <w:top w:val="single" w:sz="4" w:space="0" w:color="auto"/>
              <w:left w:val="single" w:sz="4" w:space="0" w:color="auto"/>
              <w:bottom w:val="single" w:sz="4" w:space="0" w:color="auto"/>
              <w:right w:val="single" w:sz="4" w:space="0" w:color="auto"/>
            </w:tcBorders>
            <w:vAlign w:val="center"/>
          </w:tcPr>
          <w:p w14:paraId="25CFED11" w14:textId="77777777" w:rsidR="00C36D57" w:rsidRPr="002041DF" w:rsidRDefault="00C36D57" w:rsidP="002041DF">
            <w:pPr>
              <w:widowControl w:val="0"/>
              <w:adjustRightInd w:val="0"/>
              <w:jc w:val="both"/>
              <w:rPr>
                <w:sz w:val="22"/>
                <w:szCs w:val="22"/>
                <w:lang w:val="sr-Latn-ME"/>
              </w:rPr>
            </w:pPr>
            <w:r w:rsidRPr="002041DF">
              <w:rPr>
                <w:sz w:val="22"/>
                <w:szCs w:val="22"/>
                <w:lang w:val="sr-Latn-ME"/>
              </w:rPr>
              <w:t>19 (48%)</w:t>
            </w:r>
          </w:p>
        </w:tc>
        <w:tc>
          <w:tcPr>
            <w:tcW w:w="686" w:type="pct"/>
            <w:gridSpan w:val="2"/>
            <w:tcBorders>
              <w:top w:val="single" w:sz="4" w:space="0" w:color="auto"/>
              <w:left w:val="single" w:sz="4" w:space="0" w:color="auto"/>
              <w:bottom w:val="single" w:sz="4" w:space="0" w:color="auto"/>
              <w:right w:val="single" w:sz="4" w:space="0" w:color="auto"/>
            </w:tcBorders>
            <w:vAlign w:val="center"/>
          </w:tcPr>
          <w:p w14:paraId="34C66AEF" w14:textId="77777777" w:rsidR="00C36D57" w:rsidRPr="002041DF" w:rsidRDefault="00C36D57" w:rsidP="002041DF">
            <w:pPr>
              <w:widowControl w:val="0"/>
              <w:adjustRightInd w:val="0"/>
              <w:jc w:val="both"/>
              <w:rPr>
                <w:sz w:val="22"/>
                <w:szCs w:val="22"/>
                <w:lang w:val="sr-Latn-ME"/>
              </w:rPr>
            </w:pPr>
            <w:r w:rsidRPr="002041DF">
              <w:rPr>
                <w:sz w:val="22"/>
                <w:szCs w:val="22"/>
                <w:lang w:val="sr-Latn-ME"/>
              </w:rPr>
              <w:t>20 (53%)</w:t>
            </w:r>
          </w:p>
        </w:tc>
        <w:tc>
          <w:tcPr>
            <w:tcW w:w="611" w:type="pct"/>
            <w:gridSpan w:val="2"/>
            <w:tcBorders>
              <w:top w:val="single" w:sz="4" w:space="0" w:color="auto"/>
              <w:left w:val="single" w:sz="4" w:space="0" w:color="auto"/>
              <w:bottom w:val="single" w:sz="4" w:space="0" w:color="auto"/>
              <w:right w:val="single" w:sz="4" w:space="0" w:color="auto"/>
            </w:tcBorders>
            <w:vAlign w:val="center"/>
          </w:tcPr>
          <w:p w14:paraId="3B0130C9" w14:textId="77777777" w:rsidR="00C36D57" w:rsidRPr="002041DF" w:rsidRDefault="00C36D57" w:rsidP="002041DF">
            <w:pPr>
              <w:widowControl w:val="0"/>
              <w:adjustRightInd w:val="0"/>
              <w:jc w:val="both"/>
              <w:rPr>
                <w:sz w:val="22"/>
                <w:szCs w:val="22"/>
                <w:lang w:val="sr-Latn-ME"/>
              </w:rPr>
            </w:pPr>
            <w:r w:rsidRPr="002041DF">
              <w:rPr>
                <w:sz w:val="22"/>
                <w:szCs w:val="22"/>
                <w:lang w:val="sr-Latn-ME"/>
              </w:rPr>
              <w:t>0</w:t>
            </w:r>
          </w:p>
        </w:tc>
        <w:tc>
          <w:tcPr>
            <w:tcW w:w="680" w:type="pct"/>
            <w:tcBorders>
              <w:top w:val="single" w:sz="4" w:space="0" w:color="auto"/>
              <w:left w:val="single" w:sz="4" w:space="0" w:color="auto"/>
              <w:bottom w:val="single" w:sz="4" w:space="0" w:color="auto"/>
              <w:right w:val="single" w:sz="4" w:space="0" w:color="auto"/>
            </w:tcBorders>
            <w:vAlign w:val="center"/>
          </w:tcPr>
          <w:p w14:paraId="37B96051" w14:textId="77777777" w:rsidR="00C36D57" w:rsidRPr="002041DF" w:rsidRDefault="00C36D57" w:rsidP="002041DF">
            <w:pPr>
              <w:widowControl w:val="0"/>
              <w:adjustRightInd w:val="0"/>
              <w:jc w:val="both"/>
              <w:rPr>
                <w:sz w:val="22"/>
                <w:szCs w:val="22"/>
                <w:lang w:val="sr-Latn-ME"/>
              </w:rPr>
            </w:pPr>
            <w:r w:rsidRPr="002041DF">
              <w:rPr>
                <w:sz w:val="22"/>
                <w:szCs w:val="22"/>
                <w:lang w:val="sr-Latn-ME"/>
              </w:rPr>
              <w:t>10 (45%)</w:t>
            </w:r>
          </w:p>
        </w:tc>
        <w:tc>
          <w:tcPr>
            <w:tcW w:w="681" w:type="pct"/>
            <w:gridSpan w:val="2"/>
            <w:tcBorders>
              <w:top w:val="single" w:sz="4" w:space="0" w:color="auto"/>
              <w:left w:val="single" w:sz="4" w:space="0" w:color="auto"/>
              <w:bottom w:val="single" w:sz="4" w:space="0" w:color="auto"/>
              <w:right w:val="single" w:sz="4" w:space="0" w:color="auto"/>
            </w:tcBorders>
            <w:vAlign w:val="center"/>
          </w:tcPr>
          <w:p w14:paraId="5DB0E056" w14:textId="77777777" w:rsidR="00C36D57" w:rsidRPr="002041DF" w:rsidRDefault="00C36D57" w:rsidP="002041DF">
            <w:pPr>
              <w:widowControl w:val="0"/>
              <w:adjustRightInd w:val="0"/>
              <w:jc w:val="both"/>
              <w:rPr>
                <w:sz w:val="22"/>
                <w:szCs w:val="22"/>
                <w:lang w:val="sr-Latn-ME"/>
              </w:rPr>
            </w:pPr>
            <w:r w:rsidRPr="002041DF">
              <w:rPr>
                <w:sz w:val="22"/>
                <w:szCs w:val="22"/>
                <w:lang w:val="sr-Latn-ME"/>
              </w:rPr>
              <w:t>13 (54%)</w:t>
            </w:r>
          </w:p>
        </w:tc>
      </w:tr>
      <w:tr w:rsidR="00C36D57" w:rsidRPr="002041DF" w14:paraId="6086AA38" w14:textId="77777777" w:rsidTr="00494EF4">
        <w:trPr>
          <w:gridAfter w:val="1"/>
          <w:wAfter w:w="12" w:type="pct"/>
          <w:cantSplit/>
          <w:trHeight w:val="348"/>
          <w:jc w:val="center"/>
        </w:trPr>
        <w:tc>
          <w:tcPr>
            <w:tcW w:w="4988" w:type="pct"/>
            <w:gridSpan w:val="10"/>
            <w:tcBorders>
              <w:top w:val="single" w:sz="4" w:space="0" w:color="auto"/>
              <w:left w:val="nil"/>
              <w:bottom w:val="nil"/>
              <w:right w:val="nil"/>
            </w:tcBorders>
            <w:vAlign w:val="center"/>
          </w:tcPr>
          <w:p w14:paraId="0C1070C9" w14:textId="77777777" w:rsidR="00C36D57" w:rsidRPr="007C6E24" w:rsidRDefault="00C36D57" w:rsidP="002041DF">
            <w:pPr>
              <w:widowControl w:val="0"/>
              <w:ind w:left="284" w:hanging="284"/>
              <w:jc w:val="both"/>
              <w:rPr>
                <w:sz w:val="20"/>
                <w:szCs w:val="22"/>
                <w:lang w:val="sr-Latn-ME"/>
              </w:rPr>
            </w:pPr>
            <w:r w:rsidRPr="007C6E24">
              <w:rPr>
                <w:sz w:val="20"/>
                <w:szCs w:val="22"/>
                <w:vertAlign w:val="superscript"/>
                <w:lang w:val="sr-Latn-ME"/>
              </w:rPr>
              <w:t>a</w:t>
            </w:r>
            <w:r w:rsidRPr="007C6E24">
              <w:rPr>
                <w:sz w:val="20"/>
                <w:szCs w:val="22"/>
                <w:vertAlign w:val="superscript"/>
                <w:lang w:val="sr-Latn-ME"/>
              </w:rPr>
              <w:tab/>
            </w:r>
            <w:r w:rsidRPr="007C6E24">
              <w:rPr>
                <w:sz w:val="20"/>
                <w:szCs w:val="22"/>
                <w:lang w:val="sr-Latn-ME"/>
              </w:rPr>
              <w:t>p &lt; 0,001</w:t>
            </w:r>
          </w:p>
          <w:p w14:paraId="6DC3863D" w14:textId="77777777" w:rsidR="00C36D57" w:rsidRPr="007C6E24" w:rsidRDefault="00C36D57" w:rsidP="002041DF">
            <w:pPr>
              <w:widowControl w:val="0"/>
              <w:ind w:left="284" w:hanging="284"/>
              <w:jc w:val="both"/>
              <w:rPr>
                <w:sz w:val="20"/>
                <w:szCs w:val="22"/>
                <w:lang w:val="sr-Latn-ME"/>
              </w:rPr>
            </w:pPr>
            <w:r w:rsidRPr="007C6E24">
              <w:rPr>
                <w:sz w:val="20"/>
                <w:szCs w:val="22"/>
                <w:vertAlign w:val="superscript"/>
                <w:lang w:val="sr-Latn-ME"/>
              </w:rPr>
              <w:t>b</w:t>
            </w:r>
            <w:r w:rsidRPr="007C6E24">
              <w:rPr>
                <w:sz w:val="20"/>
                <w:szCs w:val="22"/>
                <w:vertAlign w:val="superscript"/>
                <w:lang w:val="sr-Latn-ME"/>
              </w:rPr>
              <w:tab/>
            </w:r>
            <w:r w:rsidRPr="007C6E24">
              <w:rPr>
                <w:sz w:val="20"/>
                <w:szCs w:val="22"/>
                <w:lang w:val="sr-Latn-ME"/>
              </w:rPr>
              <w:t>p &lt; 0,05</w:t>
            </w:r>
          </w:p>
          <w:p w14:paraId="0101CD59" w14:textId="77777777" w:rsidR="00C36D57" w:rsidRPr="007C6E24" w:rsidRDefault="00C36D57" w:rsidP="002041DF">
            <w:pPr>
              <w:widowControl w:val="0"/>
              <w:ind w:left="284" w:hanging="284"/>
              <w:jc w:val="both"/>
              <w:rPr>
                <w:sz w:val="20"/>
                <w:szCs w:val="22"/>
                <w:lang w:val="sr-Latn-ME"/>
              </w:rPr>
            </w:pPr>
            <w:r w:rsidRPr="007C6E24">
              <w:rPr>
                <w:sz w:val="20"/>
                <w:szCs w:val="22"/>
                <w:vertAlign w:val="superscript"/>
                <w:lang w:val="sr-Latn-ME"/>
              </w:rPr>
              <w:t>c</w:t>
            </w:r>
            <w:r w:rsidRPr="007C6E24">
              <w:rPr>
                <w:sz w:val="20"/>
                <w:szCs w:val="22"/>
                <w:vertAlign w:val="superscript"/>
                <w:lang w:val="sr-Latn-ME"/>
              </w:rPr>
              <w:tab/>
            </w:r>
            <w:r w:rsidRPr="007C6E24">
              <w:rPr>
                <w:sz w:val="20"/>
                <w:szCs w:val="22"/>
                <w:lang w:val="sr-Latn-ME"/>
              </w:rPr>
              <w:t>p = NS</w:t>
            </w:r>
          </w:p>
          <w:p w14:paraId="3D2F741F" w14:textId="77777777" w:rsidR="00C36D57" w:rsidRPr="002041DF" w:rsidRDefault="00C36D57" w:rsidP="002041DF">
            <w:pPr>
              <w:widowControl w:val="0"/>
              <w:ind w:left="284" w:hanging="284"/>
              <w:jc w:val="both"/>
              <w:rPr>
                <w:color w:val="000000"/>
                <w:sz w:val="22"/>
                <w:szCs w:val="22"/>
                <w:lang w:val="sr-Latn-ME"/>
              </w:rPr>
            </w:pPr>
            <w:r w:rsidRPr="007C6E24">
              <w:rPr>
                <w:sz w:val="20"/>
                <w:szCs w:val="22"/>
                <w:vertAlign w:val="superscript"/>
                <w:lang w:val="sr-Latn-ME"/>
              </w:rPr>
              <w:t>d</w:t>
            </w:r>
            <w:r w:rsidRPr="007C6E24">
              <w:rPr>
                <w:sz w:val="20"/>
                <w:szCs w:val="22"/>
                <w:vertAlign w:val="superscript"/>
                <w:lang w:val="sr-Latn-ME"/>
              </w:rPr>
              <w:tab/>
            </w:r>
            <w:r w:rsidRPr="007C6E24">
              <w:rPr>
                <w:sz w:val="20"/>
                <w:szCs w:val="22"/>
                <w:lang w:val="sr-Latn-ME"/>
              </w:rPr>
              <w:t>Broj pacijenata sa ≥ 3% BSA zahvaćene kože psorijazom na početku</w:t>
            </w:r>
          </w:p>
        </w:tc>
      </w:tr>
    </w:tbl>
    <w:p w14:paraId="56F15455" w14:textId="77777777" w:rsidR="0047575E" w:rsidRPr="002041DF" w:rsidRDefault="0047575E" w:rsidP="002041DF">
      <w:pPr>
        <w:pStyle w:val="Header"/>
        <w:widowControl w:val="0"/>
        <w:tabs>
          <w:tab w:val="left" w:pos="284"/>
        </w:tabs>
        <w:jc w:val="both"/>
        <w:rPr>
          <w:sz w:val="22"/>
          <w:szCs w:val="22"/>
          <w:lang w:val="sr-Latn-ME"/>
        </w:rPr>
      </w:pPr>
    </w:p>
    <w:p w14:paraId="3171055E" w14:textId="5FAC14DC" w:rsidR="00C36D57" w:rsidRPr="002041DF" w:rsidRDefault="00C36D57" w:rsidP="002041DF">
      <w:pPr>
        <w:pStyle w:val="Header"/>
        <w:widowControl w:val="0"/>
        <w:tabs>
          <w:tab w:val="left" w:pos="284"/>
        </w:tabs>
        <w:jc w:val="both"/>
        <w:rPr>
          <w:sz w:val="22"/>
          <w:szCs w:val="22"/>
          <w:lang w:val="sr-Latn-ME"/>
        </w:rPr>
      </w:pPr>
      <w:r w:rsidRPr="002041DF">
        <w:rPr>
          <w:sz w:val="22"/>
          <w:szCs w:val="22"/>
          <w:lang w:val="sr-Latn-ME"/>
        </w:rPr>
        <w:t xml:space="preserve">ACR odgovori 20, 50, 70 su nastavili sa poboljšanjem ili su bili održani tokom 52 </w:t>
      </w:r>
      <w:r w:rsidR="004372C4" w:rsidRPr="002041DF">
        <w:rPr>
          <w:sz w:val="22"/>
          <w:szCs w:val="22"/>
          <w:lang w:val="sr-Latn-ME"/>
        </w:rPr>
        <w:t>nedjelje</w:t>
      </w:r>
      <w:r w:rsidRPr="002041DF">
        <w:rPr>
          <w:sz w:val="22"/>
          <w:szCs w:val="22"/>
          <w:lang w:val="sr-Latn-ME"/>
        </w:rPr>
        <w:t xml:space="preserve"> (PsA kliničko  ispitivanje 1 i 2) i 100 </w:t>
      </w:r>
      <w:r w:rsidR="004372C4" w:rsidRPr="002041DF">
        <w:rPr>
          <w:sz w:val="22"/>
          <w:szCs w:val="22"/>
          <w:lang w:val="sr-Latn-ME"/>
        </w:rPr>
        <w:t>nedjelja</w:t>
      </w:r>
      <w:r w:rsidRPr="002041DF">
        <w:rPr>
          <w:sz w:val="22"/>
          <w:szCs w:val="22"/>
          <w:lang w:val="sr-Latn-ME"/>
        </w:rPr>
        <w:t xml:space="preserve"> (PsA kliničko ispitivanje 1). U PsA kliničkom ispitivanju 1, ACR 20 odgovori u 100. </w:t>
      </w:r>
      <w:r w:rsidR="004372C4" w:rsidRPr="002041DF">
        <w:rPr>
          <w:sz w:val="22"/>
          <w:szCs w:val="22"/>
          <w:lang w:val="sr-Latn-ME"/>
        </w:rPr>
        <w:t>nedjelji</w:t>
      </w:r>
      <w:r w:rsidRPr="002041DF">
        <w:rPr>
          <w:sz w:val="22"/>
          <w:szCs w:val="22"/>
          <w:lang w:val="sr-Latn-ME"/>
        </w:rPr>
        <w:t xml:space="preserve"> su bili dostignuti kod 57% sa 45 mg i kod 64% sa 90 mg. U PsA kliničkom ispitivanju 2, ACR 20 odgovori u 52. </w:t>
      </w:r>
      <w:r w:rsidR="004372C4" w:rsidRPr="002041DF">
        <w:rPr>
          <w:sz w:val="22"/>
          <w:szCs w:val="22"/>
          <w:lang w:val="sr-Latn-ME"/>
        </w:rPr>
        <w:t>nedjelji</w:t>
      </w:r>
      <w:r w:rsidRPr="002041DF">
        <w:rPr>
          <w:sz w:val="22"/>
          <w:szCs w:val="22"/>
          <w:lang w:val="sr-Latn-ME"/>
        </w:rPr>
        <w:t xml:space="preserve"> su bili dostignuti kod 47% sa 45 mg i kod 48% sa 90 mg.</w:t>
      </w:r>
    </w:p>
    <w:p w14:paraId="57E7A543" w14:textId="77777777" w:rsidR="00C36D57" w:rsidRPr="002041DF" w:rsidRDefault="00C36D57" w:rsidP="002041DF">
      <w:pPr>
        <w:pStyle w:val="Header"/>
        <w:widowControl w:val="0"/>
        <w:tabs>
          <w:tab w:val="left" w:pos="284"/>
        </w:tabs>
        <w:jc w:val="both"/>
        <w:rPr>
          <w:sz w:val="22"/>
          <w:szCs w:val="22"/>
          <w:lang w:val="sr-Latn-ME"/>
        </w:rPr>
      </w:pPr>
    </w:p>
    <w:p w14:paraId="6CBBEB6E" w14:textId="67A93827" w:rsidR="00C36D57" w:rsidRPr="002041DF" w:rsidRDefault="00C36D57" w:rsidP="002041DF">
      <w:pPr>
        <w:pStyle w:val="Header"/>
        <w:widowControl w:val="0"/>
        <w:tabs>
          <w:tab w:val="left" w:pos="284"/>
        </w:tabs>
        <w:jc w:val="both"/>
        <w:rPr>
          <w:i/>
          <w:sz w:val="22"/>
          <w:szCs w:val="22"/>
          <w:lang w:val="sr-Latn-ME"/>
        </w:rPr>
      </w:pPr>
      <w:r w:rsidRPr="002041DF">
        <w:rPr>
          <w:sz w:val="22"/>
          <w:szCs w:val="22"/>
          <w:lang w:val="sr-Latn-ME"/>
        </w:rPr>
        <w:t>Procenat pacijenata koji je dostigao kriterijum odgovora da modifikuje PsA (</w:t>
      </w:r>
      <w:r w:rsidR="00F42108" w:rsidRPr="002041DF">
        <w:rPr>
          <w:sz w:val="22"/>
          <w:szCs w:val="22"/>
          <w:lang w:val="sr-Latn-ME"/>
        </w:rPr>
        <w:t xml:space="preserve">engl. </w:t>
      </w:r>
      <w:r w:rsidR="00F42108" w:rsidRPr="002041DF">
        <w:rPr>
          <w:i/>
          <w:sz w:val="22"/>
          <w:szCs w:val="22"/>
          <w:lang w:val="sr-Latn-ME"/>
        </w:rPr>
        <w:t>PsA response criteria,</w:t>
      </w:r>
      <w:r w:rsidR="00F42108" w:rsidRPr="002041DF">
        <w:rPr>
          <w:sz w:val="22"/>
          <w:szCs w:val="22"/>
          <w:lang w:val="sr-Latn-ME"/>
        </w:rPr>
        <w:t xml:space="preserve"> </w:t>
      </w:r>
      <w:r w:rsidRPr="002041DF">
        <w:rPr>
          <w:sz w:val="22"/>
          <w:szCs w:val="22"/>
          <w:lang w:val="sr-Latn-ME"/>
        </w:rPr>
        <w:t xml:space="preserve">PsARC) je takođe bio značajno veći u grupi sa ustekinumabom u odnosu na placebo u 24 </w:t>
      </w:r>
      <w:r w:rsidR="004372C4" w:rsidRPr="002041DF">
        <w:rPr>
          <w:sz w:val="22"/>
          <w:szCs w:val="22"/>
          <w:lang w:val="sr-Latn-ME"/>
        </w:rPr>
        <w:t>nedjelji</w:t>
      </w:r>
      <w:r w:rsidRPr="002041DF">
        <w:rPr>
          <w:sz w:val="22"/>
          <w:szCs w:val="22"/>
          <w:lang w:val="sr-Latn-ME"/>
        </w:rPr>
        <w:t xml:space="preserve">. PsARC odgovori su bili održani tokom 52. i 100. </w:t>
      </w:r>
      <w:r w:rsidR="004372C4" w:rsidRPr="002041DF">
        <w:rPr>
          <w:sz w:val="22"/>
          <w:szCs w:val="22"/>
          <w:lang w:val="sr-Latn-ME"/>
        </w:rPr>
        <w:t>nedjelje</w:t>
      </w:r>
      <w:r w:rsidRPr="002041DF">
        <w:rPr>
          <w:sz w:val="22"/>
          <w:szCs w:val="22"/>
          <w:lang w:val="sr-Latn-ME"/>
        </w:rPr>
        <w:t xml:space="preserve">. Veći procenat pacijenata koji su </w:t>
      </w:r>
      <w:r w:rsidR="00891C9B" w:rsidRPr="002041DF">
        <w:rPr>
          <w:sz w:val="22"/>
          <w:szCs w:val="22"/>
          <w:lang w:val="sr-Latn-ME"/>
        </w:rPr>
        <w:t>liječen</w:t>
      </w:r>
      <w:r w:rsidRPr="002041DF">
        <w:rPr>
          <w:sz w:val="22"/>
          <w:szCs w:val="22"/>
          <w:lang w:val="sr-Latn-ME"/>
        </w:rPr>
        <w:t>i ustekinumabom  a koji su imali spondilitis sa perifernim artritisom dostigli su 50 i 70 procenata poboljšanja u BASDAI skoru</w:t>
      </w:r>
      <w:r w:rsidRPr="002041DF">
        <w:rPr>
          <w:rFonts w:eastAsia="TimesNewRoman"/>
          <w:sz w:val="22"/>
          <w:szCs w:val="22"/>
          <w:lang w:val="sr-Latn-ME"/>
        </w:rPr>
        <w:t xml:space="preserve"> (engl. </w:t>
      </w:r>
      <w:r w:rsidRPr="002041DF">
        <w:rPr>
          <w:rFonts w:eastAsia="TimesNewRoman,Italic"/>
          <w:i/>
          <w:iCs/>
          <w:sz w:val="22"/>
          <w:szCs w:val="22"/>
          <w:lang w:val="sr-Latn-ME"/>
        </w:rPr>
        <w:t>Bath Ankylosing Spondylitis Disease Activity Indeks,</w:t>
      </w:r>
      <w:r w:rsidRPr="002041DF">
        <w:rPr>
          <w:sz w:val="22"/>
          <w:szCs w:val="22"/>
          <w:lang w:val="sr-Latn-ME"/>
        </w:rPr>
        <w:t xml:space="preserve"> BASDAI</w:t>
      </w:r>
      <w:r w:rsidRPr="002041DF">
        <w:rPr>
          <w:rFonts w:eastAsia="TimesNewRoman"/>
          <w:sz w:val="22"/>
          <w:szCs w:val="22"/>
          <w:lang w:val="sr-Latn-ME"/>
        </w:rPr>
        <w:t>)</w:t>
      </w:r>
      <w:r w:rsidRPr="002041DF">
        <w:rPr>
          <w:sz w:val="22"/>
          <w:szCs w:val="22"/>
          <w:lang w:val="sr-Latn-ME"/>
        </w:rPr>
        <w:t xml:space="preserve"> u odnosu na placebo u 24. </w:t>
      </w:r>
      <w:r w:rsidR="004372C4" w:rsidRPr="002041DF">
        <w:rPr>
          <w:sz w:val="22"/>
          <w:szCs w:val="22"/>
          <w:lang w:val="sr-Latn-ME"/>
        </w:rPr>
        <w:t>nedjelji</w:t>
      </w:r>
      <w:r w:rsidRPr="002041DF">
        <w:rPr>
          <w:sz w:val="22"/>
          <w:szCs w:val="22"/>
          <w:lang w:val="sr-Latn-ME"/>
        </w:rPr>
        <w:t>.</w:t>
      </w:r>
    </w:p>
    <w:p w14:paraId="0043D0FA" w14:textId="77777777" w:rsidR="00C36D57" w:rsidRPr="002041DF" w:rsidRDefault="00C36D57" w:rsidP="002041DF">
      <w:pPr>
        <w:pStyle w:val="Header"/>
        <w:widowControl w:val="0"/>
        <w:tabs>
          <w:tab w:val="left" w:pos="284"/>
        </w:tabs>
        <w:jc w:val="both"/>
        <w:rPr>
          <w:sz w:val="22"/>
          <w:szCs w:val="22"/>
          <w:lang w:val="sr-Latn-ME"/>
        </w:rPr>
      </w:pPr>
    </w:p>
    <w:p w14:paraId="44B4BD98" w14:textId="6A7125D9" w:rsidR="00C36D57" w:rsidRPr="002041DF" w:rsidRDefault="00C36D57" w:rsidP="002041DF">
      <w:pPr>
        <w:pStyle w:val="Header"/>
        <w:widowControl w:val="0"/>
        <w:tabs>
          <w:tab w:val="left" w:pos="284"/>
        </w:tabs>
        <w:jc w:val="both"/>
        <w:rPr>
          <w:sz w:val="22"/>
          <w:szCs w:val="22"/>
          <w:lang w:val="sr-Latn-ME"/>
        </w:rPr>
      </w:pPr>
      <w:r w:rsidRPr="002041DF">
        <w:rPr>
          <w:sz w:val="22"/>
          <w:szCs w:val="22"/>
          <w:lang w:val="sr-Latn-ME"/>
        </w:rPr>
        <w:t>Odgovori posmatrani u grupi pacijenata koja je primala ustekinumab su bili slični odgovorima kod pacijenata koji su primali MTX zajedno ustekinumabom ili</w:t>
      </w:r>
      <w:r w:rsidR="00E50471" w:rsidRPr="002041DF">
        <w:rPr>
          <w:sz w:val="22"/>
          <w:szCs w:val="22"/>
          <w:lang w:val="sr-Latn-ME"/>
        </w:rPr>
        <w:t xml:space="preserve"> nijesu </w:t>
      </w:r>
      <w:r w:rsidRPr="002041DF">
        <w:rPr>
          <w:sz w:val="22"/>
          <w:szCs w:val="22"/>
          <w:lang w:val="sr-Latn-ME"/>
        </w:rPr>
        <w:t xml:space="preserve">primali MTX zajedno sa ustekinumabom i bili su održani tokom 52. i 100. </w:t>
      </w:r>
      <w:r w:rsidR="004372C4" w:rsidRPr="002041DF">
        <w:rPr>
          <w:sz w:val="22"/>
          <w:szCs w:val="22"/>
          <w:lang w:val="sr-Latn-ME"/>
        </w:rPr>
        <w:t>nedjelje</w:t>
      </w:r>
      <w:r w:rsidRPr="002041DF">
        <w:rPr>
          <w:sz w:val="22"/>
          <w:szCs w:val="22"/>
          <w:lang w:val="sr-Latn-ME"/>
        </w:rPr>
        <w:t xml:space="preserve">. Pacijenti koji su prethodno </w:t>
      </w:r>
      <w:r w:rsidR="00891C9B" w:rsidRPr="002041DF">
        <w:rPr>
          <w:sz w:val="22"/>
          <w:szCs w:val="22"/>
          <w:lang w:val="sr-Latn-ME"/>
        </w:rPr>
        <w:t>liječen</w:t>
      </w:r>
      <w:r w:rsidRPr="002041DF">
        <w:rPr>
          <w:sz w:val="22"/>
          <w:szCs w:val="22"/>
          <w:lang w:val="sr-Latn-ME"/>
        </w:rPr>
        <w:t xml:space="preserve">i anti-TNFα i primali su ustekinumab su dostigli bolje odgovore u 24. </w:t>
      </w:r>
      <w:r w:rsidR="004372C4" w:rsidRPr="002041DF">
        <w:rPr>
          <w:sz w:val="22"/>
          <w:szCs w:val="22"/>
          <w:lang w:val="sr-Latn-ME"/>
        </w:rPr>
        <w:t>nedjelji</w:t>
      </w:r>
      <w:r w:rsidRPr="002041DF">
        <w:rPr>
          <w:sz w:val="22"/>
          <w:szCs w:val="22"/>
          <w:lang w:val="sr-Latn-ME"/>
        </w:rPr>
        <w:t xml:space="preserve"> nego pacijenti koji su primali placebo (ACR 20 odgovor u 24. </w:t>
      </w:r>
      <w:r w:rsidR="004372C4" w:rsidRPr="002041DF">
        <w:rPr>
          <w:sz w:val="22"/>
          <w:szCs w:val="22"/>
          <w:lang w:val="sr-Latn-ME"/>
        </w:rPr>
        <w:t>nedjelji</w:t>
      </w:r>
      <w:r w:rsidRPr="002041DF">
        <w:rPr>
          <w:sz w:val="22"/>
          <w:szCs w:val="22"/>
          <w:lang w:val="sr-Latn-ME"/>
        </w:rPr>
        <w:t xml:space="preserve"> za 45 mg je bio 37%, a za 90 mg 34%, u odnosu 15% postignuto sa placebom; p&lt; 0,05) i odgovori su bili održani tokom 52. </w:t>
      </w:r>
      <w:r w:rsidR="004372C4" w:rsidRPr="002041DF">
        <w:rPr>
          <w:sz w:val="22"/>
          <w:szCs w:val="22"/>
          <w:lang w:val="sr-Latn-ME"/>
        </w:rPr>
        <w:t>nedjelje</w:t>
      </w:r>
      <w:r w:rsidRPr="002041DF">
        <w:rPr>
          <w:sz w:val="22"/>
          <w:szCs w:val="22"/>
          <w:lang w:val="sr-Latn-ME"/>
        </w:rPr>
        <w:t>.</w:t>
      </w:r>
    </w:p>
    <w:p w14:paraId="64DA4197" w14:textId="77777777" w:rsidR="00C36D57" w:rsidRPr="002041DF" w:rsidRDefault="00C36D57" w:rsidP="002041DF">
      <w:pPr>
        <w:pStyle w:val="Header"/>
        <w:widowControl w:val="0"/>
        <w:tabs>
          <w:tab w:val="left" w:pos="284"/>
        </w:tabs>
        <w:jc w:val="both"/>
        <w:rPr>
          <w:sz w:val="22"/>
          <w:szCs w:val="22"/>
          <w:lang w:val="sr-Latn-ME"/>
        </w:rPr>
      </w:pPr>
    </w:p>
    <w:p w14:paraId="24133020" w14:textId="7D660C86" w:rsidR="00C36D57" w:rsidRPr="002041DF" w:rsidRDefault="00C36D57" w:rsidP="002041DF">
      <w:pPr>
        <w:pStyle w:val="Header"/>
        <w:widowControl w:val="0"/>
        <w:tabs>
          <w:tab w:val="left" w:pos="284"/>
        </w:tabs>
        <w:jc w:val="both"/>
        <w:rPr>
          <w:sz w:val="22"/>
          <w:szCs w:val="22"/>
          <w:lang w:val="sr-Latn-ME"/>
        </w:rPr>
      </w:pPr>
      <w:r w:rsidRPr="002041DF">
        <w:rPr>
          <w:sz w:val="22"/>
          <w:szCs w:val="22"/>
          <w:lang w:val="sr-Latn-ME"/>
        </w:rPr>
        <w:t xml:space="preserve">Za pacijente sa entezitisom i/ili daktilitisom na početku, u kliničkom ispitivanju PsA 1 pokazano je značajno poboljšanje u skoru za entezitis i daktilitis, u grupi koja je dobijala ustekinumab u odnosu na grupu koja je dobijala placebo u 24 </w:t>
      </w:r>
      <w:r w:rsidR="004372C4" w:rsidRPr="002041DF">
        <w:rPr>
          <w:sz w:val="22"/>
          <w:szCs w:val="22"/>
          <w:lang w:val="sr-Latn-ME"/>
        </w:rPr>
        <w:t>nedjelji</w:t>
      </w:r>
      <w:r w:rsidRPr="002041DF">
        <w:rPr>
          <w:sz w:val="22"/>
          <w:szCs w:val="22"/>
          <w:lang w:val="sr-Latn-ME"/>
        </w:rPr>
        <w:t xml:space="preserve">. U kliničkom ispitivanju PsA 2, značajno poboljšanje u skoru za entezitis kao i numeričko poboljšanje (nije statistički značajno) u daktilitis skoru je pokazano u grupi koja je primala 90 mg ustekinumaba u odnosu na placebo u 24 </w:t>
      </w:r>
      <w:r w:rsidR="004372C4" w:rsidRPr="002041DF">
        <w:rPr>
          <w:sz w:val="22"/>
          <w:szCs w:val="22"/>
          <w:lang w:val="sr-Latn-ME"/>
        </w:rPr>
        <w:t>nedjelji</w:t>
      </w:r>
      <w:r w:rsidRPr="002041DF">
        <w:rPr>
          <w:sz w:val="22"/>
          <w:szCs w:val="22"/>
          <w:lang w:val="sr-Latn-ME"/>
        </w:rPr>
        <w:t xml:space="preserve">. Poboljšanje u entezitis skoru i daktilitis skoru je bilo održano tokom 52 i 100 </w:t>
      </w:r>
      <w:r w:rsidR="004372C4" w:rsidRPr="002041DF">
        <w:rPr>
          <w:sz w:val="22"/>
          <w:szCs w:val="22"/>
          <w:lang w:val="sr-Latn-ME"/>
        </w:rPr>
        <w:t>nedjelja</w:t>
      </w:r>
      <w:r w:rsidRPr="002041DF">
        <w:rPr>
          <w:sz w:val="22"/>
          <w:szCs w:val="22"/>
          <w:lang w:val="sr-Latn-ME"/>
        </w:rPr>
        <w:t>.</w:t>
      </w:r>
    </w:p>
    <w:p w14:paraId="0F29EF2E" w14:textId="77777777" w:rsidR="00C36D57" w:rsidRPr="002041DF" w:rsidRDefault="00C36D57" w:rsidP="002041DF">
      <w:pPr>
        <w:pStyle w:val="Header"/>
        <w:widowControl w:val="0"/>
        <w:tabs>
          <w:tab w:val="left" w:pos="284"/>
        </w:tabs>
        <w:jc w:val="both"/>
        <w:rPr>
          <w:sz w:val="22"/>
          <w:szCs w:val="22"/>
          <w:lang w:val="sr-Latn-ME"/>
        </w:rPr>
      </w:pPr>
    </w:p>
    <w:p w14:paraId="56C969FD" w14:textId="77777777" w:rsidR="00C36D57" w:rsidRPr="002041DF" w:rsidRDefault="00C36D57" w:rsidP="002041DF">
      <w:pPr>
        <w:pStyle w:val="Header"/>
        <w:widowControl w:val="0"/>
        <w:tabs>
          <w:tab w:val="left" w:pos="284"/>
        </w:tabs>
        <w:jc w:val="both"/>
        <w:rPr>
          <w:i/>
          <w:sz w:val="22"/>
          <w:szCs w:val="22"/>
          <w:lang w:val="sr-Latn-ME"/>
        </w:rPr>
      </w:pPr>
      <w:r w:rsidRPr="002041DF">
        <w:rPr>
          <w:i/>
          <w:sz w:val="22"/>
          <w:szCs w:val="22"/>
          <w:lang w:val="sr-Latn-ME"/>
        </w:rPr>
        <w:t>Radiografski odgovor</w:t>
      </w:r>
    </w:p>
    <w:p w14:paraId="07F3E42F" w14:textId="319AB17F" w:rsidR="00C36D57" w:rsidRPr="002041DF" w:rsidRDefault="00C36D57" w:rsidP="002041DF">
      <w:pPr>
        <w:pStyle w:val="Header"/>
        <w:widowControl w:val="0"/>
        <w:tabs>
          <w:tab w:val="left" w:pos="284"/>
        </w:tabs>
        <w:jc w:val="both"/>
        <w:rPr>
          <w:sz w:val="22"/>
          <w:szCs w:val="22"/>
          <w:lang w:val="sr-Latn-ME"/>
        </w:rPr>
      </w:pPr>
      <w:r w:rsidRPr="002041DF">
        <w:rPr>
          <w:sz w:val="22"/>
          <w:szCs w:val="22"/>
          <w:lang w:val="sr-Latn-ME"/>
        </w:rPr>
        <w:t>Strukturno oštećenje na ob</w:t>
      </w:r>
      <w:r w:rsidR="0038273D" w:rsidRPr="002041DF">
        <w:rPr>
          <w:sz w:val="22"/>
          <w:szCs w:val="22"/>
          <w:lang w:val="sr-Latn-ME"/>
        </w:rPr>
        <w:t>j</w:t>
      </w:r>
      <w:r w:rsidRPr="002041DF">
        <w:rPr>
          <w:sz w:val="22"/>
          <w:szCs w:val="22"/>
          <w:lang w:val="sr-Latn-ME"/>
        </w:rPr>
        <w:t>e šake i oba stopala je bilo izraženo kao prom</w:t>
      </w:r>
      <w:r w:rsidR="0038273D" w:rsidRPr="002041DF">
        <w:rPr>
          <w:sz w:val="22"/>
          <w:szCs w:val="22"/>
          <w:lang w:val="sr-Latn-ME"/>
        </w:rPr>
        <w:t>j</w:t>
      </w:r>
      <w:r w:rsidRPr="002041DF">
        <w:rPr>
          <w:sz w:val="22"/>
          <w:szCs w:val="22"/>
          <w:lang w:val="sr-Latn-ME"/>
        </w:rPr>
        <w:t xml:space="preserve">ena u ukupnom </w:t>
      </w:r>
      <w:r w:rsidRPr="002041DF">
        <w:rPr>
          <w:i/>
          <w:sz w:val="22"/>
          <w:szCs w:val="22"/>
          <w:lang w:val="sr-Latn-ME"/>
        </w:rPr>
        <w:t>van der Heijde-</w:t>
      </w:r>
      <w:r w:rsidRPr="002041DF">
        <w:rPr>
          <w:i/>
          <w:sz w:val="22"/>
          <w:szCs w:val="22"/>
          <w:lang w:val="sr-Latn-ME"/>
        </w:rPr>
        <w:lastRenderedPageBreak/>
        <w:t>Sharp</w:t>
      </w:r>
      <w:r w:rsidRPr="002041DF">
        <w:rPr>
          <w:sz w:val="22"/>
          <w:szCs w:val="22"/>
          <w:lang w:val="sr-Latn-ME"/>
        </w:rPr>
        <w:t xml:space="preserve"> skoru (VdH-S skor), modifikovanom za PsA dodavanjem distalnih interfalangealnih zglobova šake, u odnosu na početne vrednosti. Sprovedena je unapred integrisana analiza sa kombinovanim podacima za 927 ispitanika iz oba PsA ispitivanja, 1 i 2. Ustekinumab je pokazao statistički značajan pad brzine progresije strukturnih oštećenja u odnosu na placebo, m</w:t>
      </w:r>
      <w:r w:rsidR="00F42108" w:rsidRPr="002041DF">
        <w:rPr>
          <w:sz w:val="22"/>
          <w:szCs w:val="22"/>
          <w:lang w:val="sr-Latn-ME"/>
        </w:rPr>
        <w:t>j</w:t>
      </w:r>
      <w:r w:rsidRPr="002041DF">
        <w:rPr>
          <w:sz w:val="22"/>
          <w:szCs w:val="22"/>
          <w:lang w:val="sr-Latn-ME"/>
        </w:rPr>
        <w:t>ereno prom</w:t>
      </w:r>
      <w:r w:rsidR="00F42108" w:rsidRPr="002041DF">
        <w:rPr>
          <w:sz w:val="22"/>
          <w:szCs w:val="22"/>
          <w:lang w:val="sr-Latn-ME"/>
        </w:rPr>
        <w:t>j</w:t>
      </w:r>
      <w:r w:rsidRPr="002041DF">
        <w:rPr>
          <w:sz w:val="22"/>
          <w:szCs w:val="22"/>
          <w:lang w:val="sr-Latn-ME"/>
        </w:rPr>
        <w:t>enom u odnosu na početnu</w:t>
      </w:r>
      <w:r w:rsidR="0038273D" w:rsidRPr="002041DF">
        <w:rPr>
          <w:sz w:val="22"/>
          <w:szCs w:val="22"/>
          <w:lang w:val="sr-Latn-ME"/>
        </w:rPr>
        <w:t xml:space="preserve"> vrijednost </w:t>
      </w:r>
      <w:r w:rsidRPr="002041DF">
        <w:rPr>
          <w:sz w:val="22"/>
          <w:szCs w:val="22"/>
          <w:lang w:val="sr-Latn-ME"/>
        </w:rPr>
        <w:t xml:space="preserve">do 24. </w:t>
      </w:r>
      <w:r w:rsidR="004372C4" w:rsidRPr="002041DF">
        <w:rPr>
          <w:sz w:val="22"/>
          <w:szCs w:val="22"/>
          <w:lang w:val="sr-Latn-ME"/>
        </w:rPr>
        <w:t>nedjelje</w:t>
      </w:r>
      <w:r w:rsidRPr="002041DF">
        <w:rPr>
          <w:sz w:val="22"/>
          <w:szCs w:val="22"/>
          <w:lang w:val="sr-Latn-ME"/>
        </w:rPr>
        <w:t xml:space="preserve"> u ukupnom modifikovanom vdH-S skoru (srednja</w:t>
      </w:r>
      <w:r w:rsidR="0038273D" w:rsidRPr="002041DF">
        <w:rPr>
          <w:sz w:val="22"/>
          <w:szCs w:val="22"/>
          <w:lang w:val="sr-Latn-ME"/>
        </w:rPr>
        <w:t xml:space="preserve"> vrijednost </w:t>
      </w:r>
      <w:r w:rsidRPr="002041DF">
        <w:rPr>
          <w:sz w:val="22"/>
          <w:szCs w:val="22"/>
          <w:lang w:val="sr-Latn-ME"/>
        </w:rPr>
        <w:t xml:space="preserve">± SD skor je bio 0,97±3,85 u placebo grupi u odnosu na 0,40±2,11 u grupi na 45 mg (p&lt;0,05) ustekinumaba, odnosno 0,39 ± 2,40 u grupi na 90 mg (p&lt; 0,01) ustekinumaba. Ovaj efekat je vođen PsA kliničkim ispitivanjem 1. Smatra se da se efekat pokazao nezavisno od zajedničke upotrebe sa MTX, i bilo je održan tokom 52. </w:t>
      </w:r>
      <w:r w:rsidR="004372C4" w:rsidRPr="002041DF">
        <w:rPr>
          <w:sz w:val="22"/>
          <w:szCs w:val="22"/>
          <w:lang w:val="sr-Latn-ME"/>
        </w:rPr>
        <w:t>nedjelje</w:t>
      </w:r>
      <w:r w:rsidRPr="002041DF">
        <w:rPr>
          <w:sz w:val="22"/>
          <w:szCs w:val="22"/>
          <w:lang w:val="sr-Latn-ME"/>
        </w:rPr>
        <w:t xml:space="preserve"> (integrisane analize) i 100. </w:t>
      </w:r>
      <w:r w:rsidR="004372C4" w:rsidRPr="002041DF">
        <w:rPr>
          <w:sz w:val="22"/>
          <w:szCs w:val="22"/>
          <w:lang w:val="sr-Latn-ME"/>
        </w:rPr>
        <w:t>nedjelje</w:t>
      </w:r>
      <w:r w:rsidRPr="002041DF">
        <w:rPr>
          <w:sz w:val="22"/>
          <w:szCs w:val="22"/>
          <w:lang w:val="sr-Latn-ME"/>
        </w:rPr>
        <w:t xml:space="preserve"> (PsA kliničko ispitivanje 1).</w:t>
      </w:r>
    </w:p>
    <w:p w14:paraId="32858750" w14:textId="77777777" w:rsidR="00C36D57" w:rsidRPr="002041DF" w:rsidRDefault="00C36D57" w:rsidP="002041DF">
      <w:pPr>
        <w:pStyle w:val="Header"/>
        <w:widowControl w:val="0"/>
        <w:tabs>
          <w:tab w:val="left" w:pos="284"/>
        </w:tabs>
        <w:jc w:val="both"/>
        <w:rPr>
          <w:sz w:val="22"/>
          <w:szCs w:val="22"/>
          <w:lang w:val="sr-Latn-ME"/>
        </w:rPr>
      </w:pPr>
    </w:p>
    <w:p w14:paraId="47A4D04B" w14:textId="77777777" w:rsidR="00C36D57" w:rsidRPr="002041DF" w:rsidRDefault="00C36D57" w:rsidP="002041DF">
      <w:pPr>
        <w:pStyle w:val="Header"/>
        <w:widowControl w:val="0"/>
        <w:tabs>
          <w:tab w:val="left" w:pos="284"/>
        </w:tabs>
        <w:jc w:val="both"/>
        <w:rPr>
          <w:i/>
          <w:sz w:val="22"/>
          <w:szCs w:val="22"/>
          <w:lang w:val="sr-Latn-ME"/>
        </w:rPr>
      </w:pPr>
      <w:r w:rsidRPr="002041DF">
        <w:rPr>
          <w:i/>
          <w:sz w:val="22"/>
          <w:szCs w:val="22"/>
          <w:lang w:val="sr-Latn-ME"/>
        </w:rPr>
        <w:t>Fizička funkcija i kvalitet života</w:t>
      </w:r>
    </w:p>
    <w:p w14:paraId="18D7AAFC" w14:textId="0EE1A200" w:rsidR="00C36D57" w:rsidRPr="002041DF" w:rsidRDefault="00C36D57" w:rsidP="002041DF">
      <w:pPr>
        <w:pStyle w:val="Header"/>
        <w:widowControl w:val="0"/>
        <w:tabs>
          <w:tab w:val="left" w:pos="284"/>
        </w:tabs>
        <w:jc w:val="both"/>
        <w:rPr>
          <w:sz w:val="22"/>
          <w:szCs w:val="22"/>
          <w:lang w:val="sr-Latn-ME"/>
        </w:rPr>
      </w:pPr>
      <w:r w:rsidRPr="002041DF">
        <w:rPr>
          <w:sz w:val="22"/>
          <w:szCs w:val="22"/>
          <w:lang w:val="sr-Latn-ME"/>
        </w:rPr>
        <w:t xml:space="preserve">Pacijenti </w:t>
      </w:r>
      <w:r w:rsidR="00891C9B" w:rsidRPr="002041DF">
        <w:rPr>
          <w:sz w:val="22"/>
          <w:szCs w:val="22"/>
          <w:lang w:val="sr-Latn-ME"/>
        </w:rPr>
        <w:t>liječen</w:t>
      </w:r>
      <w:r w:rsidRPr="002041DF">
        <w:rPr>
          <w:sz w:val="22"/>
          <w:szCs w:val="22"/>
          <w:lang w:val="sr-Latn-ME"/>
        </w:rPr>
        <w:t>i ustekinumabom su pokazali značajno poboljšanje fizičke funkcije na osnovu proc</w:t>
      </w:r>
      <w:r w:rsidR="0038273D" w:rsidRPr="002041DF">
        <w:rPr>
          <w:sz w:val="22"/>
          <w:szCs w:val="22"/>
          <w:lang w:val="sr-Latn-ME"/>
        </w:rPr>
        <w:t>j</w:t>
      </w:r>
      <w:r w:rsidRPr="002041DF">
        <w:rPr>
          <w:sz w:val="22"/>
          <w:szCs w:val="22"/>
          <w:lang w:val="sr-Latn-ME"/>
        </w:rPr>
        <w:t xml:space="preserve">ene upitnika indeksa invalidnosti (engl. </w:t>
      </w:r>
      <w:r w:rsidRPr="002041DF">
        <w:rPr>
          <w:i/>
          <w:sz w:val="22"/>
          <w:szCs w:val="22"/>
          <w:lang w:val="sr-Latn-ME"/>
        </w:rPr>
        <w:t>Disability Index of the Health Assessment Questionnaire</w:t>
      </w:r>
      <w:r w:rsidRPr="002041DF">
        <w:rPr>
          <w:sz w:val="22"/>
          <w:szCs w:val="22"/>
          <w:lang w:val="sr-Latn-ME"/>
        </w:rPr>
        <w:t>, HAQ-DI) u 24</w:t>
      </w:r>
      <w:r w:rsidR="00F42108" w:rsidRPr="002041DF">
        <w:rPr>
          <w:sz w:val="22"/>
          <w:szCs w:val="22"/>
          <w:lang w:val="sr-Latn-ME"/>
        </w:rPr>
        <w:t>.</w:t>
      </w:r>
      <w:r w:rsidRPr="002041DF">
        <w:rPr>
          <w:sz w:val="22"/>
          <w:szCs w:val="22"/>
          <w:lang w:val="sr-Latn-ME"/>
        </w:rPr>
        <w:t xml:space="preserve"> </w:t>
      </w:r>
      <w:r w:rsidR="004372C4" w:rsidRPr="002041DF">
        <w:rPr>
          <w:sz w:val="22"/>
          <w:szCs w:val="22"/>
          <w:lang w:val="sr-Latn-ME"/>
        </w:rPr>
        <w:t>nedjelji</w:t>
      </w:r>
      <w:r w:rsidRPr="002041DF">
        <w:rPr>
          <w:sz w:val="22"/>
          <w:szCs w:val="22"/>
          <w:lang w:val="sr-Latn-ME"/>
        </w:rPr>
        <w:t>. Proporcija pacijenata koji su dostigli klinički značajno ≥ 0.3 poboljšanje u HAQ-DI skoru u odnosu na početnu</w:t>
      </w:r>
      <w:r w:rsidR="0038273D" w:rsidRPr="002041DF">
        <w:rPr>
          <w:sz w:val="22"/>
          <w:szCs w:val="22"/>
          <w:lang w:val="sr-Latn-ME"/>
        </w:rPr>
        <w:t xml:space="preserve"> vrijednost </w:t>
      </w:r>
      <w:r w:rsidRPr="002041DF">
        <w:rPr>
          <w:sz w:val="22"/>
          <w:szCs w:val="22"/>
          <w:lang w:val="sr-Latn-ME"/>
        </w:rPr>
        <w:t>je takođe bio značajno bolji u grupi koja je primala ustekinumab u odnosu na placebo. Poboljšanje HAQ-DI skora od početne vr</w:t>
      </w:r>
      <w:r w:rsidR="0038273D" w:rsidRPr="002041DF">
        <w:rPr>
          <w:sz w:val="22"/>
          <w:szCs w:val="22"/>
          <w:lang w:val="sr-Latn-ME"/>
        </w:rPr>
        <w:t>ij</w:t>
      </w:r>
      <w:r w:rsidRPr="002041DF">
        <w:rPr>
          <w:sz w:val="22"/>
          <w:szCs w:val="22"/>
          <w:lang w:val="sr-Latn-ME"/>
        </w:rPr>
        <w:t xml:space="preserve">ednosti je bilo održano tokom 52. i 100. </w:t>
      </w:r>
      <w:r w:rsidR="004372C4" w:rsidRPr="002041DF">
        <w:rPr>
          <w:sz w:val="22"/>
          <w:szCs w:val="22"/>
          <w:lang w:val="sr-Latn-ME"/>
        </w:rPr>
        <w:t>nedjelje</w:t>
      </w:r>
      <w:r w:rsidRPr="002041DF">
        <w:rPr>
          <w:sz w:val="22"/>
          <w:szCs w:val="22"/>
          <w:lang w:val="sr-Latn-ME"/>
        </w:rPr>
        <w:t>.</w:t>
      </w:r>
    </w:p>
    <w:p w14:paraId="24C741F1" w14:textId="567864E2" w:rsidR="00C36D57" w:rsidRPr="002041DF" w:rsidRDefault="00C36D57" w:rsidP="002041DF">
      <w:pPr>
        <w:pStyle w:val="Header"/>
        <w:widowControl w:val="0"/>
        <w:tabs>
          <w:tab w:val="left" w:pos="284"/>
        </w:tabs>
        <w:jc w:val="both"/>
        <w:rPr>
          <w:sz w:val="22"/>
          <w:szCs w:val="22"/>
          <w:lang w:val="sr-Latn-ME"/>
        </w:rPr>
      </w:pPr>
      <w:r w:rsidRPr="002041DF">
        <w:rPr>
          <w:sz w:val="22"/>
          <w:szCs w:val="22"/>
          <w:lang w:val="sr-Latn-ME"/>
        </w:rPr>
        <w:t xml:space="preserve">Postojalo je značajno poboljšanje u DLQI skoru u grupi koja je primala ustekinumab u odnosu na grupu koja je primala placebo u 24 </w:t>
      </w:r>
      <w:r w:rsidR="004372C4" w:rsidRPr="002041DF">
        <w:rPr>
          <w:sz w:val="22"/>
          <w:szCs w:val="22"/>
          <w:lang w:val="sr-Latn-ME"/>
        </w:rPr>
        <w:t>nedjelji</w:t>
      </w:r>
      <w:r w:rsidRPr="002041DF">
        <w:rPr>
          <w:sz w:val="22"/>
          <w:szCs w:val="22"/>
          <w:lang w:val="sr-Latn-ME"/>
        </w:rPr>
        <w:t xml:space="preserve">, koje je održano tokom 52. i 100. </w:t>
      </w:r>
      <w:r w:rsidR="004372C4" w:rsidRPr="002041DF">
        <w:rPr>
          <w:sz w:val="22"/>
          <w:szCs w:val="22"/>
          <w:lang w:val="sr-Latn-ME"/>
        </w:rPr>
        <w:t>nedjelje</w:t>
      </w:r>
      <w:r w:rsidRPr="002041DF">
        <w:rPr>
          <w:sz w:val="22"/>
          <w:szCs w:val="22"/>
          <w:lang w:val="sr-Latn-ME"/>
        </w:rPr>
        <w:t>. U PsA kliničkom ispitivanju 2, postoji značajno poboljšanje u skoru Funkcionalne proc</w:t>
      </w:r>
      <w:r w:rsidR="00F42108" w:rsidRPr="002041DF">
        <w:rPr>
          <w:sz w:val="22"/>
          <w:szCs w:val="22"/>
          <w:lang w:val="sr-Latn-ME"/>
        </w:rPr>
        <w:t>j</w:t>
      </w:r>
      <w:r w:rsidRPr="002041DF">
        <w:rPr>
          <w:sz w:val="22"/>
          <w:szCs w:val="22"/>
          <w:lang w:val="sr-Latn-ME"/>
        </w:rPr>
        <w:t xml:space="preserve">ene terapije hroničnih bolesti-umor (engl. </w:t>
      </w:r>
      <w:r w:rsidRPr="002041DF">
        <w:rPr>
          <w:i/>
          <w:sz w:val="22"/>
          <w:szCs w:val="22"/>
          <w:lang w:val="sr-Latn-ME"/>
        </w:rPr>
        <w:t>Functional Assessment of Chronic Illness Therapy – Fatigue,</w:t>
      </w:r>
      <w:r w:rsidRPr="002041DF">
        <w:rPr>
          <w:sz w:val="22"/>
          <w:szCs w:val="22"/>
          <w:lang w:val="sr-Latn-ME"/>
        </w:rPr>
        <w:t xml:space="preserve"> FACIT-F, </w:t>
      </w:r>
      <w:r w:rsidRPr="002041DF">
        <w:rPr>
          <w:i/>
          <w:sz w:val="22"/>
          <w:szCs w:val="22"/>
          <w:lang w:val="sr-Latn-ME"/>
        </w:rPr>
        <w:t>scores</w:t>
      </w:r>
      <w:r w:rsidRPr="002041DF">
        <w:rPr>
          <w:sz w:val="22"/>
          <w:szCs w:val="22"/>
          <w:lang w:val="sr-Latn-ME"/>
        </w:rPr>
        <w:t xml:space="preserve">) u grupi koja je primala ustekinimab u odnosu na grupu koja je primala placebo u 24 </w:t>
      </w:r>
      <w:r w:rsidR="004372C4" w:rsidRPr="002041DF">
        <w:rPr>
          <w:sz w:val="22"/>
          <w:szCs w:val="22"/>
          <w:lang w:val="sr-Latn-ME"/>
        </w:rPr>
        <w:t>nedjelji</w:t>
      </w:r>
      <w:r w:rsidRPr="002041DF">
        <w:rPr>
          <w:sz w:val="22"/>
          <w:szCs w:val="22"/>
          <w:lang w:val="sr-Latn-ME"/>
        </w:rPr>
        <w:t xml:space="preserve">. Procenat pacijenata koji su dostigli klinički značajno poboljšanje za umor (4 poena u FACIT.F-u) je takođe bio značajano bolji u grupi sa ustekinumabom u odnosu na placebo. Poboljšanje u FACIT skorovima je bilo održano tokom 52. </w:t>
      </w:r>
      <w:r w:rsidR="004372C4" w:rsidRPr="002041DF">
        <w:rPr>
          <w:sz w:val="22"/>
          <w:szCs w:val="22"/>
          <w:lang w:val="sr-Latn-ME"/>
        </w:rPr>
        <w:t>nedjelje</w:t>
      </w:r>
      <w:r w:rsidRPr="002041DF">
        <w:rPr>
          <w:sz w:val="22"/>
          <w:szCs w:val="22"/>
          <w:lang w:val="sr-Latn-ME"/>
        </w:rPr>
        <w:t>.</w:t>
      </w:r>
    </w:p>
    <w:p w14:paraId="378EF993" w14:textId="77777777" w:rsidR="00C36D57" w:rsidRPr="002041DF" w:rsidRDefault="00C36D57" w:rsidP="002041DF">
      <w:pPr>
        <w:pStyle w:val="Header"/>
        <w:widowControl w:val="0"/>
        <w:tabs>
          <w:tab w:val="left" w:pos="284"/>
        </w:tabs>
        <w:jc w:val="both"/>
        <w:rPr>
          <w:sz w:val="22"/>
          <w:szCs w:val="22"/>
          <w:lang w:val="sr-Latn-ME"/>
        </w:rPr>
      </w:pPr>
    </w:p>
    <w:p w14:paraId="030950DA" w14:textId="77777777" w:rsidR="00C36D57" w:rsidRPr="002041DF" w:rsidRDefault="00C36D57" w:rsidP="002041DF">
      <w:pPr>
        <w:pStyle w:val="Header"/>
        <w:widowControl w:val="0"/>
        <w:tabs>
          <w:tab w:val="left" w:pos="284"/>
        </w:tabs>
        <w:jc w:val="both"/>
        <w:rPr>
          <w:sz w:val="22"/>
          <w:szCs w:val="22"/>
          <w:u w:val="single"/>
          <w:lang w:val="sr-Latn-ME"/>
        </w:rPr>
      </w:pPr>
      <w:r w:rsidRPr="002041DF">
        <w:rPr>
          <w:sz w:val="22"/>
          <w:szCs w:val="22"/>
          <w:u w:val="single"/>
          <w:lang w:val="sr-Latn-ME"/>
        </w:rPr>
        <w:t>Pedijatrijska populacija</w:t>
      </w:r>
    </w:p>
    <w:p w14:paraId="176F6382" w14:textId="77777777" w:rsidR="00C36D57" w:rsidRPr="002041DF" w:rsidRDefault="00C36D57" w:rsidP="002041DF">
      <w:pPr>
        <w:pStyle w:val="Header"/>
        <w:widowControl w:val="0"/>
        <w:tabs>
          <w:tab w:val="left" w:pos="284"/>
        </w:tabs>
        <w:jc w:val="both"/>
        <w:rPr>
          <w:sz w:val="22"/>
          <w:szCs w:val="22"/>
          <w:lang w:val="sr-Latn-ME"/>
        </w:rPr>
      </w:pPr>
    </w:p>
    <w:p w14:paraId="2749416E" w14:textId="1AF53B58" w:rsidR="00C36D57" w:rsidRPr="002041DF" w:rsidRDefault="00C36D57" w:rsidP="002041DF">
      <w:pPr>
        <w:widowControl w:val="0"/>
        <w:jc w:val="both"/>
        <w:rPr>
          <w:sz w:val="22"/>
          <w:szCs w:val="22"/>
          <w:lang w:val="sr-Latn-ME"/>
        </w:rPr>
      </w:pPr>
      <w:r w:rsidRPr="002041DF">
        <w:rPr>
          <w:sz w:val="22"/>
          <w:szCs w:val="22"/>
          <w:lang w:val="sr-Latn-ME"/>
        </w:rPr>
        <w:t>Evropska Agencija za l</w:t>
      </w:r>
      <w:r w:rsidR="00C90C0F" w:rsidRPr="002041DF">
        <w:rPr>
          <w:sz w:val="22"/>
          <w:szCs w:val="22"/>
          <w:lang w:val="sr-Latn-ME"/>
        </w:rPr>
        <w:t>j</w:t>
      </w:r>
      <w:r w:rsidRPr="002041DF">
        <w:rPr>
          <w:sz w:val="22"/>
          <w:szCs w:val="22"/>
          <w:lang w:val="sr-Latn-ME"/>
        </w:rPr>
        <w:t>ekove je privremeno oslobodila nosioca dozvole od obaveze podnošenja rezultata ispitivanja juvenilnog idiopatskog artritisa kod jednog ili više podgrupa u pedijatrijskoj populaciji (</w:t>
      </w:r>
      <w:r w:rsidR="006779EA" w:rsidRPr="002041DF">
        <w:rPr>
          <w:sz w:val="22"/>
          <w:szCs w:val="22"/>
          <w:lang w:val="sr-Latn-ME"/>
        </w:rPr>
        <w:t>vidjeti</w:t>
      </w:r>
      <w:r w:rsidRPr="002041DF">
        <w:rPr>
          <w:sz w:val="22"/>
          <w:szCs w:val="22"/>
          <w:lang w:val="sr-Latn-ME"/>
        </w:rPr>
        <w:t xml:space="preserve"> </w:t>
      </w:r>
      <w:r w:rsidR="00292E06" w:rsidRPr="002041DF">
        <w:rPr>
          <w:sz w:val="22"/>
          <w:szCs w:val="22"/>
          <w:lang w:val="sr-Latn-ME"/>
        </w:rPr>
        <w:t>dio</w:t>
      </w:r>
      <w:r w:rsidRPr="002041DF">
        <w:rPr>
          <w:sz w:val="22"/>
          <w:szCs w:val="22"/>
          <w:lang w:val="sr-Latn-ME"/>
        </w:rPr>
        <w:t xml:space="preserve"> 4.2 za informacije o pedijatrijskoj upotrebi).</w:t>
      </w:r>
    </w:p>
    <w:p w14:paraId="405FE337" w14:textId="77777777" w:rsidR="00C36D57" w:rsidRPr="002041DF" w:rsidRDefault="00C36D57" w:rsidP="002041DF">
      <w:pPr>
        <w:widowControl w:val="0"/>
        <w:jc w:val="both"/>
        <w:rPr>
          <w:sz w:val="22"/>
          <w:szCs w:val="22"/>
          <w:lang w:val="sr-Latn-ME"/>
        </w:rPr>
      </w:pPr>
    </w:p>
    <w:p w14:paraId="399C8F0C" w14:textId="77777777" w:rsidR="00C36D57" w:rsidRPr="002041DF" w:rsidRDefault="00C36D57" w:rsidP="002041DF">
      <w:pPr>
        <w:widowControl w:val="0"/>
        <w:jc w:val="both"/>
        <w:rPr>
          <w:i/>
          <w:iCs/>
          <w:sz w:val="22"/>
          <w:szCs w:val="22"/>
          <w:lang w:val="sr-Latn-ME"/>
        </w:rPr>
      </w:pPr>
      <w:r w:rsidRPr="002041DF">
        <w:rPr>
          <w:i/>
          <w:iCs/>
          <w:sz w:val="22"/>
          <w:szCs w:val="22"/>
          <w:lang w:val="sr-Latn-ME"/>
        </w:rPr>
        <w:t>Psorijaza tipa plaka kod pedijatrijskih pacijenata</w:t>
      </w:r>
    </w:p>
    <w:p w14:paraId="46287F93" w14:textId="4CF25059" w:rsidR="00C36D57" w:rsidRPr="002041DF" w:rsidRDefault="00C36D57" w:rsidP="002041DF">
      <w:pPr>
        <w:widowControl w:val="0"/>
        <w:jc w:val="both"/>
        <w:rPr>
          <w:sz w:val="22"/>
          <w:szCs w:val="22"/>
          <w:lang w:val="sr-Latn-ME"/>
        </w:rPr>
      </w:pPr>
      <w:r w:rsidRPr="002041DF">
        <w:rPr>
          <w:sz w:val="22"/>
          <w:szCs w:val="22"/>
          <w:lang w:val="sr-Latn-ME"/>
        </w:rPr>
        <w:t>Ustekinumab je pokazao poboljšanje znakova i simptoma, i kvalitet života povezan sa zdravljem kod pedijatrijskih pacijenata sa psorijazom tipa plaka uzrasta od 6 godina i starijih.</w:t>
      </w:r>
    </w:p>
    <w:p w14:paraId="1AB2F76E" w14:textId="77777777" w:rsidR="00C36D57" w:rsidRPr="002041DF" w:rsidRDefault="00C36D57" w:rsidP="002041DF">
      <w:pPr>
        <w:widowControl w:val="0"/>
        <w:jc w:val="both"/>
        <w:rPr>
          <w:i/>
          <w:iCs/>
          <w:sz w:val="22"/>
          <w:szCs w:val="22"/>
          <w:lang w:val="sr-Latn-ME"/>
        </w:rPr>
      </w:pPr>
    </w:p>
    <w:p w14:paraId="5ECB064F" w14:textId="77777777" w:rsidR="00C36D57" w:rsidRPr="002041DF" w:rsidRDefault="00C36D57" w:rsidP="002041DF">
      <w:pPr>
        <w:widowControl w:val="0"/>
        <w:jc w:val="both"/>
        <w:rPr>
          <w:i/>
          <w:iCs/>
          <w:sz w:val="22"/>
          <w:szCs w:val="22"/>
          <w:lang w:val="sr-Latn-ME"/>
        </w:rPr>
      </w:pPr>
      <w:r w:rsidRPr="002041DF">
        <w:rPr>
          <w:i/>
          <w:iCs/>
          <w:sz w:val="22"/>
          <w:szCs w:val="22"/>
          <w:lang w:val="sr-Latn-ME"/>
        </w:rPr>
        <w:t>Adolescenti (uzrasta 12-17 godina)</w:t>
      </w:r>
    </w:p>
    <w:p w14:paraId="2DBDEC40" w14:textId="070134B6" w:rsidR="00C36D57" w:rsidRPr="002041DF" w:rsidRDefault="00C36D57" w:rsidP="002041DF">
      <w:pPr>
        <w:widowControl w:val="0"/>
        <w:jc w:val="both"/>
        <w:rPr>
          <w:sz w:val="22"/>
          <w:szCs w:val="22"/>
          <w:lang w:val="sr-Latn-ME"/>
        </w:rPr>
      </w:pPr>
      <w:r w:rsidRPr="002041DF">
        <w:rPr>
          <w:sz w:val="22"/>
          <w:szCs w:val="22"/>
          <w:lang w:val="sr-Latn-ME"/>
        </w:rPr>
        <w:t xml:space="preserve">Efikasnost ustekinumaba je ispitivana kod 110 pedijatrijskih pacijenata sa </w:t>
      </w:r>
      <w:r w:rsidR="00E50471" w:rsidRPr="002041DF">
        <w:rPr>
          <w:sz w:val="22"/>
          <w:szCs w:val="22"/>
          <w:lang w:val="sr-Latn-ME"/>
        </w:rPr>
        <w:t>umjeren</w:t>
      </w:r>
      <w:r w:rsidRPr="002041DF">
        <w:rPr>
          <w:sz w:val="22"/>
          <w:szCs w:val="22"/>
          <w:lang w:val="sr-Latn-ME"/>
        </w:rPr>
        <w:t xml:space="preserve">om do teškom psorijazom tipa plaka uzrasta 12 do 17 godina u multicentričnom, randomizovanom, dvostruko </w:t>
      </w:r>
      <w:r w:rsidR="006A5AC5" w:rsidRPr="002041DF">
        <w:rPr>
          <w:sz w:val="22"/>
          <w:szCs w:val="22"/>
          <w:lang w:val="sr-Latn-ME"/>
        </w:rPr>
        <w:t>slijepom</w:t>
      </w:r>
      <w:r w:rsidRPr="002041DF">
        <w:rPr>
          <w:sz w:val="22"/>
          <w:szCs w:val="22"/>
          <w:lang w:val="sr-Latn-ME"/>
        </w:rPr>
        <w:t>, placebo kontrolisanom ispitivanju faze 3 (CADMUS). Pacijenti su bili randomizovani kako bi primili ili placebo (n = 37), ili preporučenu dozu ustekinumaba (</w:t>
      </w:r>
      <w:r w:rsidR="006779EA" w:rsidRPr="002041DF">
        <w:rPr>
          <w:sz w:val="22"/>
          <w:szCs w:val="22"/>
          <w:lang w:val="sr-Latn-ME"/>
        </w:rPr>
        <w:t>vidjeti</w:t>
      </w:r>
      <w:r w:rsidRPr="002041DF">
        <w:rPr>
          <w:sz w:val="22"/>
          <w:szCs w:val="22"/>
          <w:lang w:val="sr-Latn-ME"/>
        </w:rPr>
        <w:t xml:space="preserve"> </w:t>
      </w:r>
      <w:r w:rsidR="00292E06" w:rsidRPr="002041DF">
        <w:rPr>
          <w:sz w:val="22"/>
          <w:szCs w:val="22"/>
          <w:lang w:val="sr-Latn-ME"/>
        </w:rPr>
        <w:t>dio</w:t>
      </w:r>
      <w:r w:rsidRPr="002041DF">
        <w:rPr>
          <w:sz w:val="22"/>
          <w:szCs w:val="22"/>
          <w:lang w:val="sr-Latn-ME"/>
        </w:rPr>
        <w:t> 4.2; n = 36) ili polovinu preporučene doze ustekinumaba (n = 37) u obliku supkutane injekcije 0. i 4. </w:t>
      </w:r>
      <w:r w:rsidR="004372C4" w:rsidRPr="002041DF">
        <w:rPr>
          <w:sz w:val="22"/>
          <w:szCs w:val="22"/>
          <w:lang w:val="sr-Latn-ME"/>
        </w:rPr>
        <w:t>nedjelje</w:t>
      </w:r>
      <w:r w:rsidRPr="002041DF">
        <w:rPr>
          <w:sz w:val="22"/>
          <w:szCs w:val="22"/>
          <w:lang w:val="sr-Latn-ME"/>
        </w:rPr>
        <w:t>, a zatim je sl</w:t>
      </w:r>
      <w:r w:rsidR="006A5AC5" w:rsidRPr="002041DF">
        <w:rPr>
          <w:sz w:val="22"/>
          <w:szCs w:val="22"/>
          <w:lang w:val="sr-Latn-ME"/>
        </w:rPr>
        <w:t>ij</w:t>
      </w:r>
      <w:r w:rsidRPr="002041DF">
        <w:rPr>
          <w:sz w:val="22"/>
          <w:szCs w:val="22"/>
          <w:lang w:val="sr-Latn-ME"/>
        </w:rPr>
        <w:t>edilo doziranje na  svakih 12 </w:t>
      </w:r>
      <w:r w:rsidR="004372C4" w:rsidRPr="002041DF">
        <w:rPr>
          <w:sz w:val="22"/>
          <w:szCs w:val="22"/>
          <w:lang w:val="sr-Latn-ME"/>
        </w:rPr>
        <w:t>nedjelja</w:t>
      </w:r>
      <w:r w:rsidRPr="002041DF">
        <w:rPr>
          <w:sz w:val="22"/>
          <w:szCs w:val="22"/>
          <w:lang w:val="sr-Latn-ME"/>
        </w:rPr>
        <w:t xml:space="preserve"> (q12w). U 12. </w:t>
      </w:r>
      <w:r w:rsidR="004372C4" w:rsidRPr="002041DF">
        <w:rPr>
          <w:sz w:val="22"/>
          <w:szCs w:val="22"/>
          <w:lang w:val="sr-Latn-ME"/>
        </w:rPr>
        <w:t>nedjelji</w:t>
      </w:r>
      <w:r w:rsidRPr="002041DF">
        <w:rPr>
          <w:sz w:val="22"/>
          <w:szCs w:val="22"/>
          <w:lang w:val="sr-Latn-ME"/>
        </w:rPr>
        <w:t xml:space="preserve">, pacijenti </w:t>
      </w:r>
      <w:r w:rsidR="00891C9B" w:rsidRPr="002041DF">
        <w:rPr>
          <w:sz w:val="22"/>
          <w:szCs w:val="22"/>
          <w:lang w:val="sr-Latn-ME"/>
        </w:rPr>
        <w:t>liječen</w:t>
      </w:r>
      <w:r w:rsidRPr="002041DF">
        <w:rPr>
          <w:sz w:val="22"/>
          <w:szCs w:val="22"/>
          <w:lang w:val="sr-Latn-ME"/>
        </w:rPr>
        <w:t>i placebom su prebačeni na primanje ustekinumaba.</w:t>
      </w:r>
    </w:p>
    <w:p w14:paraId="6A1D2E23" w14:textId="77777777" w:rsidR="00C36D57" w:rsidRPr="002041DF" w:rsidRDefault="00C36D57" w:rsidP="002041DF">
      <w:pPr>
        <w:widowControl w:val="0"/>
        <w:autoSpaceDE w:val="0"/>
        <w:autoSpaceDN w:val="0"/>
        <w:adjustRightInd w:val="0"/>
        <w:jc w:val="both"/>
        <w:rPr>
          <w:sz w:val="22"/>
          <w:szCs w:val="22"/>
          <w:lang w:val="sr-Latn-ME"/>
        </w:rPr>
      </w:pPr>
    </w:p>
    <w:p w14:paraId="7C7FDB37" w14:textId="62C50B07" w:rsidR="00C36D57" w:rsidRPr="002041DF" w:rsidRDefault="00C36D57" w:rsidP="002041DF">
      <w:pPr>
        <w:widowControl w:val="0"/>
        <w:jc w:val="both"/>
        <w:rPr>
          <w:sz w:val="22"/>
          <w:szCs w:val="22"/>
          <w:lang w:val="sr-Latn-ME"/>
        </w:rPr>
      </w:pPr>
      <w:r w:rsidRPr="002041DF">
        <w:rPr>
          <w:sz w:val="22"/>
          <w:szCs w:val="22"/>
          <w:lang w:val="sr-Latn-ME"/>
        </w:rPr>
        <w:t>Pacijenti sa PASI ≥ 12, PGA ≥ 3 i BSA zahvaćenošću od najmanje 10%, koji su bili kandidati za sistemsku terapiju ili fototerapiju, su bili prikladni za ispitivanje. Približno 60% pacijenata je bilo  prethodno izloženo konvencionalnoj sistemskoj terapiji ili fototerapiji. Približno 11% pacijenata je bilo prethodno izloženo biološkim l</w:t>
      </w:r>
      <w:r w:rsidR="006A5AC5" w:rsidRPr="002041DF">
        <w:rPr>
          <w:sz w:val="22"/>
          <w:szCs w:val="22"/>
          <w:lang w:val="sr-Latn-ME"/>
        </w:rPr>
        <w:t>j</w:t>
      </w:r>
      <w:r w:rsidRPr="002041DF">
        <w:rPr>
          <w:sz w:val="22"/>
          <w:szCs w:val="22"/>
          <w:lang w:val="sr-Latn-ME"/>
        </w:rPr>
        <w:t>ekovima.</w:t>
      </w:r>
    </w:p>
    <w:p w14:paraId="5009B967" w14:textId="77777777" w:rsidR="00C36D57" w:rsidRPr="002041DF" w:rsidRDefault="00C36D57" w:rsidP="002041DF">
      <w:pPr>
        <w:widowControl w:val="0"/>
        <w:jc w:val="both"/>
        <w:rPr>
          <w:sz w:val="22"/>
          <w:szCs w:val="22"/>
          <w:lang w:val="sr-Latn-ME"/>
        </w:rPr>
      </w:pPr>
    </w:p>
    <w:p w14:paraId="201A77F7" w14:textId="2D23378D" w:rsidR="00C36D57" w:rsidRPr="002041DF" w:rsidRDefault="00C36D57" w:rsidP="002041DF">
      <w:pPr>
        <w:widowControl w:val="0"/>
        <w:autoSpaceDE w:val="0"/>
        <w:autoSpaceDN w:val="0"/>
        <w:adjustRightInd w:val="0"/>
        <w:jc w:val="both"/>
        <w:rPr>
          <w:sz w:val="22"/>
          <w:szCs w:val="22"/>
          <w:lang w:val="sr-Latn-ME"/>
        </w:rPr>
      </w:pPr>
      <w:r w:rsidRPr="002041DF">
        <w:rPr>
          <w:sz w:val="22"/>
          <w:szCs w:val="22"/>
          <w:lang w:val="sr-Latn-ME"/>
        </w:rPr>
        <w:t>Primarni parametar praćenja efikasnosti</w:t>
      </w:r>
      <w:r w:rsidRPr="002041DF" w:rsidDel="00062625">
        <w:rPr>
          <w:sz w:val="22"/>
          <w:szCs w:val="22"/>
          <w:lang w:val="sr-Latn-ME"/>
        </w:rPr>
        <w:t xml:space="preserve"> </w:t>
      </w:r>
      <w:r w:rsidRPr="002041DF">
        <w:rPr>
          <w:sz w:val="22"/>
          <w:szCs w:val="22"/>
          <w:lang w:val="sr-Latn-ME"/>
        </w:rPr>
        <w:t>je bio procenat pacijenata koji su u 12. </w:t>
      </w:r>
      <w:r w:rsidR="004372C4" w:rsidRPr="002041DF">
        <w:rPr>
          <w:sz w:val="22"/>
          <w:szCs w:val="22"/>
          <w:lang w:val="sr-Latn-ME"/>
        </w:rPr>
        <w:t>nedjelji</w:t>
      </w:r>
      <w:r w:rsidRPr="002041DF">
        <w:rPr>
          <w:sz w:val="22"/>
          <w:szCs w:val="22"/>
          <w:lang w:val="sr-Latn-ME"/>
        </w:rPr>
        <w:t xml:space="preserve"> postigli PGA skor čist (0) ili minimalan (1). Sekundarni parametar praćenja efikasnosti je uključivao PASI 75, PASI 90, prom</w:t>
      </w:r>
      <w:r w:rsidR="006A5AC5" w:rsidRPr="002041DF">
        <w:rPr>
          <w:sz w:val="22"/>
          <w:szCs w:val="22"/>
          <w:lang w:val="sr-Latn-ME"/>
        </w:rPr>
        <w:t>j</w:t>
      </w:r>
      <w:r w:rsidRPr="002041DF">
        <w:rPr>
          <w:sz w:val="22"/>
          <w:szCs w:val="22"/>
          <w:lang w:val="sr-Latn-ME"/>
        </w:rPr>
        <w:t>enu u odnosu na početnu</w:t>
      </w:r>
      <w:r w:rsidR="0038273D" w:rsidRPr="002041DF">
        <w:rPr>
          <w:sz w:val="22"/>
          <w:szCs w:val="22"/>
          <w:lang w:val="sr-Latn-ME"/>
        </w:rPr>
        <w:t xml:space="preserve"> vrijednost </w:t>
      </w:r>
      <w:r w:rsidRPr="002041DF">
        <w:rPr>
          <w:sz w:val="22"/>
          <w:szCs w:val="22"/>
          <w:lang w:val="sr-Latn-ME"/>
        </w:rPr>
        <w:t>d</w:t>
      </w:r>
      <w:r w:rsidR="006A5AC5" w:rsidRPr="002041DF">
        <w:rPr>
          <w:sz w:val="22"/>
          <w:szCs w:val="22"/>
          <w:lang w:val="sr-Latn-ME"/>
        </w:rPr>
        <w:t>j</w:t>
      </w:r>
      <w:r w:rsidRPr="002041DF">
        <w:rPr>
          <w:sz w:val="22"/>
          <w:szCs w:val="22"/>
          <w:lang w:val="sr-Latn-ME"/>
        </w:rPr>
        <w:t xml:space="preserve">ečijeg dermatološkog indeksa kvaliteta života (engl. </w:t>
      </w:r>
      <w:r w:rsidRPr="002041DF">
        <w:rPr>
          <w:i/>
          <w:sz w:val="22"/>
          <w:szCs w:val="22"/>
          <w:lang w:val="sr-Latn-ME"/>
        </w:rPr>
        <w:t>Children’s Dermatology Life Quality Index,</w:t>
      </w:r>
      <w:r w:rsidRPr="002041DF">
        <w:rPr>
          <w:sz w:val="22"/>
          <w:szCs w:val="22"/>
          <w:lang w:val="sr-Latn-ME"/>
        </w:rPr>
        <w:t xml:space="preserve"> CDLQI), prom</w:t>
      </w:r>
      <w:r w:rsidR="006A5AC5" w:rsidRPr="002041DF">
        <w:rPr>
          <w:sz w:val="22"/>
          <w:szCs w:val="22"/>
          <w:lang w:val="sr-Latn-ME"/>
        </w:rPr>
        <w:t>j</w:t>
      </w:r>
      <w:r w:rsidRPr="002041DF">
        <w:rPr>
          <w:sz w:val="22"/>
          <w:szCs w:val="22"/>
          <w:lang w:val="sr-Latn-ME"/>
        </w:rPr>
        <w:t>enu u odnosu na početnu</w:t>
      </w:r>
      <w:r w:rsidR="0038273D" w:rsidRPr="002041DF">
        <w:rPr>
          <w:sz w:val="22"/>
          <w:szCs w:val="22"/>
          <w:lang w:val="sr-Latn-ME"/>
        </w:rPr>
        <w:t xml:space="preserve"> vrijednost </w:t>
      </w:r>
      <w:r w:rsidRPr="002041DF">
        <w:rPr>
          <w:sz w:val="22"/>
          <w:szCs w:val="22"/>
          <w:lang w:val="sr-Latn-ME"/>
        </w:rPr>
        <w:t xml:space="preserve">skale ukupnog rezultata PedsQL (engl. </w:t>
      </w:r>
      <w:r w:rsidRPr="002041DF">
        <w:rPr>
          <w:i/>
          <w:sz w:val="22"/>
          <w:szCs w:val="22"/>
          <w:lang w:val="sr-Latn-ME"/>
        </w:rPr>
        <w:t>Paediatric Quality of Life Inventory,</w:t>
      </w:r>
      <w:r w:rsidRPr="002041DF">
        <w:rPr>
          <w:sz w:val="22"/>
          <w:szCs w:val="22"/>
          <w:lang w:val="sr-Latn-ME"/>
        </w:rPr>
        <w:t xml:space="preserve"> PedsQL) u 12. </w:t>
      </w:r>
      <w:r w:rsidR="004372C4" w:rsidRPr="002041DF">
        <w:rPr>
          <w:sz w:val="22"/>
          <w:szCs w:val="22"/>
          <w:lang w:val="sr-Latn-ME"/>
        </w:rPr>
        <w:t>nedjelji</w:t>
      </w:r>
      <w:r w:rsidRPr="002041DF">
        <w:rPr>
          <w:sz w:val="22"/>
          <w:szCs w:val="22"/>
          <w:lang w:val="sr-Latn-ME"/>
        </w:rPr>
        <w:t>.  U 12. </w:t>
      </w:r>
      <w:r w:rsidR="004372C4" w:rsidRPr="002041DF">
        <w:rPr>
          <w:sz w:val="22"/>
          <w:szCs w:val="22"/>
          <w:lang w:val="sr-Latn-ME"/>
        </w:rPr>
        <w:t>nedjelji</w:t>
      </w:r>
      <w:r w:rsidRPr="002041DF">
        <w:rPr>
          <w:sz w:val="22"/>
          <w:szCs w:val="22"/>
          <w:lang w:val="sr-Latn-ME"/>
        </w:rPr>
        <w:t xml:space="preserve"> ispitanici </w:t>
      </w:r>
      <w:r w:rsidR="00891C9B" w:rsidRPr="002041DF">
        <w:rPr>
          <w:sz w:val="22"/>
          <w:szCs w:val="22"/>
          <w:lang w:val="sr-Latn-ME"/>
        </w:rPr>
        <w:t>liječen</w:t>
      </w:r>
      <w:r w:rsidRPr="002041DF">
        <w:rPr>
          <w:sz w:val="22"/>
          <w:szCs w:val="22"/>
          <w:lang w:val="sr-Latn-ME"/>
        </w:rPr>
        <w:t>i ustekinumabom pokazali su značajno veće poboljšanje psorijaze i kvaliteta života povezane sa zdravstvenim stanjem, u odnosu na placebo (Tabela 7).</w:t>
      </w:r>
    </w:p>
    <w:p w14:paraId="32790683" w14:textId="77777777" w:rsidR="00C36D57" w:rsidRPr="002041DF" w:rsidRDefault="00C36D57" w:rsidP="002041DF">
      <w:pPr>
        <w:widowControl w:val="0"/>
        <w:jc w:val="both"/>
        <w:rPr>
          <w:sz w:val="22"/>
          <w:szCs w:val="22"/>
          <w:lang w:val="sr-Latn-ME"/>
        </w:rPr>
      </w:pPr>
    </w:p>
    <w:p w14:paraId="67FBA9E0" w14:textId="6ABA3689" w:rsidR="00C36D57" w:rsidRPr="002041DF" w:rsidRDefault="00C36D57" w:rsidP="002041DF">
      <w:pPr>
        <w:widowControl w:val="0"/>
        <w:jc w:val="both"/>
        <w:rPr>
          <w:sz w:val="22"/>
          <w:szCs w:val="22"/>
          <w:lang w:val="sr-Latn-ME"/>
        </w:rPr>
      </w:pPr>
      <w:r w:rsidRPr="002041DF">
        <w:rPr>
          <w:sz w:val="22"/>
          <w:szCs w:val="22"/>
          <w:lang w:val="sr-Latn-ME"/>
        </w:rPr>
        <w:t>Nakon prve</w:t>
      </w:r>
      <w:r w:rsidR="00891C9B" w:rsidRPr="002041DF">
        <w:rPr>
          <w:sz w:val="22"/>
          <w:szCs w:val="22"/>
          <w:lang w:val="sr-Latn-ME"/>
        </w:rPr>
        <w:t xml:space="preserve"> primjene </w:t>
      </w:r>
      <w:r w:rsidRPr="002041DF">
        <w:rPr>
          <w:sz w:val="22"/>
          <w:szCs w:val="22"/>
          <w:lang w:val="sr-Latn-ME"/>
        </w:rPr>
        <w:t>ispitivanog l</w:t>
      </w:r>
      <w:r w:rsidR="006A5AC5" w:rsidRPr="002041DF">
        <w:rPr>
          <w:sz w:val="22"/>
          <w:szCs w:val="22"/>
          <w:lang w:val="sr-Latn-ME"/>
        </w:rPr>
        <w:t>ij</w:t>
      </w:r>
      <w:r w:rsidRPr="002041DF">
        <w:rPr>
          <w:sz w:val="22"/>
          <w:szCs w:val="22"/>
          <w:lang w:val="sr-Latn-ME"/>
        </w:rPr>
        <w:t>eka, svim pacijentima je</w:t>
      </w:r>
      <w:r w:rsidRPr="002041DF" w:rsidDel="00CF7362">
        <w:rPr>
          <w:sz w:val="22"/>
          <w:szCs w:val="22"/>
          <w:lang w:val="sr-Latn-ME"/>
        </w:rPr>
        <w:t xml:space="preserve"> </w:t>
      </w:r>
      <w:r w:rsidRPr="002041DF">
        <w:rPr>
          <w:sz w:val="22"/>
          <w:szCs w:val="22"/>
          <w:lang w:val="sr-Latn-ME"/>
        </w:rPr>
        <w:t xml:space="preserve">praćena efikasnost terapije do 52. </w:t>
      </w:r>
      <w:r w:rsidR="004372C4" w:rsidRPr="002041DF">
        <w:rPr>
          <w:sz w:val="22"/>
          <w:szCs w:val="22"/>
          <w:lang w:val="sr-Latn-ME"/>
        </w:rPr>
        <w:t>nedjelje</w:t>
      </w:r>
      <w:r w:rsidRPr="002041DF">
        <w:rPr>
          <w:sz w:val="22"/>
          <w:szCs w:val="22"/>
          <w:lang w:val="sr-Latn-ME"/>
        </w:rPr>
        <w:t xml:space="preserve">. </w:t>
      </w:r>
      <w:r w:rsidR="006A5AC5" w:rsidRPr="002041DF">
        <w:rPr>
          <w:sz w:val="22"/>
          <w:szCs w:val="22"/>
          <w:lang w:val="sr-Latn-ME"/>
        </w:rPr>
        <w:t xml:space="preserve">Udio </w:t>
      </w:r>
      <w:r w:rsidRPr="002041DF">
        <w:rPr>
          <w:sz w:val="22"/>
          <w:szCs w:val="22"/>
          <w:lang w:val="sr-Latn-ME"/>
        </w:rPr>
        <w:t xml:space="preserve">pacijenata sa PGA skorom čist (0) ili minimalan (1) i procentom postignutog PASI 75 pokazao je odvajanje grupa </w:t>
      </w:r>
      <w:r w:rsidR="00891C9B" w:rsidRPr="002041DF">
        <w:rPr>
          <w:sz w:val="22"/>
          <w:szCs w:val="22"/>
          <w:lang w:val="sr-Latn-ME"/>
        </w:rPr>
        <w:t>liječen</w:t>
      </w:r>
      <w:r w:rsidRPr="002041DF">
        <w:rPr>
          <w:sz w:val="22"/>
          <w:szCs w:val="22"/>
          <w:lang w:val="sr-Latn-ME"/>
        </w:rPr>
        <w:t xml:space="preserve">ih ustekinumabom i placebom prilikom prve vizite nakon početka </w:t>
      </w:r>
      <w:r w:rsidR="00891C9B" w:rsidRPr="002041DF">
        <w:rPr>
          <w:sz w:val="22"/>
          <w:szCs w:val="22"/>
          <w:lang w:val="sr-Latn-ME"/>
        </w:rPr>
        <w:t>liječen</w:t>
      </w:r>
      <w:r w:rsidRPr="002041DF">
        <w:rPr>
          <w:sz w:val="22"/>
          <w:szCs w:val="22"/>
          <w:lang w:val="sr-Latn-ME"/>
        </w:rPr>
        <w:t>ja u 4. </w:t>
      </w:r>
      <w:r w:rsidR="004372C4" w:rsidRPr="002041DF">
        <w:rPr>
          <w:sz w:val="22"/>
          <w:szCs w:val="22"/>
          <w:lang w:val="sr-Latn-ME"/>
        </w:rPr>
        <w:t>nedjelji</w:t>
      </w:r>
      <w:r w:rsidRPr="002041DF">
        <w:rPr>
          <w:sz w:val="22"/>
          <w:szCs w:val="22"/>
          <w:lang w:val="sr-Latn-ME"/>
        </w:rPr>
        <w:t>, postižući maksimum u 12. </w:t>
      </w:r>
      <w:r w:rsidR="004372C4" w:rsidRPr="002041DF">
        <w:rPr>
          <w:sz w:val="22"/>
          <w:szCs w:val="22"/>
          <w:lang w:val="sr-Latn-ME"/>
        </w:rPr>
        <w:t>nedjelji</w:t>
      </w:r>
      <w:r w:rsidRPr="002041DF">
        <w:rPr>
          <w:sz w:val="22"/>
          <w:szCs w:val="22"/>
          <w:lang w:val="sr-Latn-ME"/>
        </w:rPr>
        <w:t>. Poboljšanja u PGA, PASI, CDLQI i PedsQL održana su kroz 52 </w:t>
      </w:r>
      <w:r w:rsidR="004372C4" w:rsidRPr="002041DF">
        <w:rPr>
          <w:sz w:val="22"/>
          <w:szCs w:val="22"/>
          <w:lang w:val="sr-Latn-ME"/>
        </w:rPr>
        <w:t>nedjelje</w:t>
      </w:r>
      <w:r w:rsidRPr="002041DF">
        <w:rPr>
          <w:sz w:val="22"/>
          <w:szCs w:val="22"/>
          <w:lang w:val="sr-Latn-ME"/>
        </w:rPr>
        <w:t xml:space="preserve"> (Tabela 7).</w:t>
      </w:r>
    </w:p>
    <w:p w14:paraId="3CB0F1DB" w14:textId="77777777" w:rsidR="00C36D57" w:rsidRPr="002041DF" w:rsidRDefault="00C36D57" w:rsidP="002041DF">
      <w:pPr>
        <w:widowControl w:val="0"/>
        <w:autoSpaceDE w:val="0"/>
        <w:autoSpaceDN w:val="0"/>
        <w:adjustRightInd w:val="0"/>
        <w:jc w:val="both"/>
        <w:rPr>
          <w:sz w:val="22"/>
          <w:szCs w:val="22"/>
          <w:lang w:val="sr-Latn-ME"/>
        </w:rPr>
      </w:pPr>
    </w:p>
    <w:p w14:paraId="6B3B4595" w14:textId="04CB2633" w:rsidR="00C36D57" w:rsidRPr="002041DF" w:rsidRDefault="00C36D57" w:rsidP="002041DF">
      <w:pPr>
        <w:widowControl w:val="0"/>
        <w:jc w:val="both"/>
        <w:rPr>
          <w:i/>
          <w:sz w:val="22"/>
          <w:szCs w:val="22"/>
          <w:lang w:val="sr-Latn-ME"/>
        </w:rPr>
      </w:pPr>
      <w:r w:rsidRPr="002041DF">
        <w:rPr>
          <w:i/>
          <w:sz w:val="22"/>
          <w:szCs w:val="22"/>
          <w:lang w:val="sr-Latn-ME"/>
        </w:rPr>
        <w:t>Tabela 7: Sažetak primarnih i sekundarnih parametar praćenja efikasnosti</w:t>
      </w:r>
      <w:r w:rsidRPr="002041DF" w:rsidDel="00062625">
        <w:rPr>
          <w:i/>
          <w:sz w:val="22"/>
          <w:szCs w:val="22"/>
          <w:lang w:val="sr-Latn-ME"/>
        </w:rPr>
        <w:t xml:space="preserve"> </w:t>
      </w:r>
      <w:r w:rsidRPr="002041DF">
        <w:rPr>
          <w:i/>
          <w:iCs/>
          <w:sz w:val="22"/>
          <w:szCs w:val="22"/>
          <w:lang w:val="sr-Latn-ME"/>
        </w:rPr>
        <w:t>u</w:t>
      </w:r>
      <w:r w:rsidRPr="002041DF">
        <w:rPr>
          <w:i/>
          <w:sz w:val="22"/>
          <w:szCs w:val="22"/>
          <w:lang w:val="sr-Latn-ME"/>
        </w:rPr>
        <w:t xml:space="preserve"> 12. i 52. </w:t>
      </w:r>
      <w:r w:rsidR="004372C4" w:rsidRPr="002041DF">
        <w:rPr>
          <w:i/>
          <w:sz w:val="22"/>
          <w:szCs w:val="22"/>
          <w:lang w:val="sr-Latn-ME"/>
        </w:rPr>
        <w:t>nedjelji</w:t>
      </w:r>
    </w:p>
    <w:tbl>
      <w:tblPr>
        <w:tblW w:w="5000" w:type="pct"/>
        <w:jc w:val="center"/>
        <w:tblBorders>
          <w:top w:val="single" w:sz="4" w:space="0" w:color="auto"/>
          <w:bottom w:val="single" w:sz="4" w:space="0" w:color="auto"/>
        </w:tblBorders>
        <w:tblLayout w:type="fixed"/>
        <w:tblLook w:val="0000" w:firstRow="0" w:lastRow="0" w:firstColumn="0" w:lastColumn="0" w:noHBand="0" w:noVBand="0"/>
      </w:tblPr>
      <w:tblGrid>
        <w:gridCol w:w="3396"/>
        <w:gridCol w:w="1661"/>
        <w:gridCol w:w="2161"/>
        <w:gridCol w:w="8"/>
        <w:gridCol w:w="2168"/>
      </w:tblGrid>
      <w:tr w:rsidR="00C36D57" w:rsidRPr="002041DF" w14:paraId="1C64FAD2" w14:textId="77777777" w:rsidTr="007C6E24">
        <w:trPr>
          <w:cantSplit/>
          <w:jc w:val="center"/>
        </w:trPr>
        <w:tc>
          <w:tcPr>
            <w:tcW w:w="5000" w:type="pct"/>
            <w:gridSpan w:val="5"/>
            <w:tcBorders>
              <w:top w:val="single" w:sz="4" w:space="0" w:color="auto"/>
              <w:left w:val="single" w:sz="4" w:space="0" w:color="auto"/>
              <w:bottom w:val="single" w:sz="4" w:space="0" w:color="auto"/>
              <w:right w:val="single" w:sz="4" w:space="0" w:color="auto"/>
            </w:tcBorders>
            <w:vAlign w:val="bottom"/>
          </w:tcPr>
          <w:p w14:paraId="6A10AA5F" w14:textId="77777777" w:rsidR="00C36D57" w:rsidRPr="002041DF" w:rsidRDefault="00C36D57" w:rsidP="002041DF">
            <w:pPr>
              <w:widowControl w:val="0"/>
              <w:rPr>
                <w:b/>
                <w:bCs/>
                <w:snapToGrid w:val="0"/>
                <w:sz w:val="22"/>
                <w:szCs w:val="22"/>
                <w:lang w:val="sr-Latn-ME"/>
              </w:rPr>
            </w:pPr>
            <w:r w:rsidRPr="002041DF">
              <w:rPr>
                <w:b/>
                <w:bCs/>
                <w:snapToGrid w:val="0"/>
                <w:sz w:val="22"/>
                <w:szCs w:val="22"/>
                <w:lang w:val="sr-Latn-ME"/>
              </w:rPr>
              <w:t xml:space="preserve">Ispitivanje psorijaze tipa plaka kod pedijatrijskih pacijenata </w:t>
            </w:r>
            <w:r w:rsidRPr="002041DF">
              <w:rPr>
                <w:b/>
                <w:snapToGrid w:val="0"/>
                <w:sz w:val="22"/>
                <w:szCs w:val="22"/>
                <w:u w:val="single"/>
                <w:lang w:val="sr-Latn-ME"/>
              </w:rPr>
              <w:t>(CADMUS) (uzrasta 12-17 godina)</w:t>
            </w:r>
          </w:p>
        </w:tc>
      </w:tr>
      <w:tr w:rsidR="00C36D57" w:rsidRPr="002041DF" w14:paraId="72F823E9" w14:textId="77777777" w:rsidTr="007C6E24">
        <w:trPr>
          <w:cantSplit/>
          <w:jc w:val="center"/>
        </w:trPr>
        <w:tc>
          <w:tcPr>
            <w:tcW w:w="1808" w:type="pct"/>
            <w:vMerge w:val="restart"/>
            <w:tcBorders>
              <w:top w:val="single" w:sz="4" w:space="0" w:color="auto"/>
              <w:left w:val="single" w:sz="4" w:space="0" w:color="auto"/>
              <w:right w:val="single" w:sz="4" w:space="0" w:color="auto"/>
            </w:tcBorders>
            <w:vAlign w:val="bottom"/>
          </w:tcPr>
          <w:p w14:paraId="68F70AE0" w14:textId="77777777" w:rsidR="00C36D57" w:rsidRPr="002041DF" w:rsidRDefault="00C36D57" w:rsidP="002041DF">
            <w:pPr>
              <w:widowControl w:val="0"/>
              <w:rPr>
                <w:snapToGrid w:val="0"/>
                <w:sz w:val="22"/>
                <w:szCs w:val="22"/>
                <w:lang w:val="sr-Latn-ME"/>
              </w:rPr>
            </w:pPr>
          </w:p>
        </w:tc>
        <w:tc>
          <w:tcPr>
            <w:tcW w:w="2034" w:type="pct"/>
            <w:gridSpan w:val="2"/>
            <w:tcBorders>
              <w:top w:val="single" w:sz="4" w:space="0" w:color="auto"/>
              <w:left w:val="single" w:sz="4" w:space="0" w:color="auto"/>
              <w:bottom w:val="single" w:sz="4" w:space="0" w:color="auto"/>
              <w:right w:val="single" w:sz="4" w:space="0" w:color="auto"/>
            </w:tcBorders>
            <w:vAlign w:val="center"/>
          </w:tcPr>
          <w:p w14:paraId="6869233E" w14:textId="008532BF" w:rsidR="00C36D57" w:rsidRPr="002041DF" w:rsidRDefault="00C36D57" w:rsidP="002041DF">
            <w:pPr>
              <w:widowControl w:val="0"/>
              <w:rPr>
                <w:b/>
                <w:snapToGrid w:val="0"/>
                <w:sz w:val="22"/>
                <w:szCs w:val="22"/>
                <w:lang w:val="sr-Latn-ME"/>
              </w:rPr>
            </w:pPr>
            <w:r w:rsidRPr="002041DF">
              <w:rPr>
                <w:b/>
                <w:snapToGrid w:val="0"/>
                <w:sz w:val="22"/>
                <w:szCs w:val="22"/>
                <w:lang w:val="sr-Latn-ME"/>
              </w:rPr>
              <w:t>12. </w:t>
            </w:r>
            <w:r w:rsidR="004372C4" w:rsidRPr="002041DF">
              <w:rPr>
                <w:b/>
                <w:snapToGrid w:val="0"/>
                <w:sz w:val="22"/>
                <w:szCs w:val="22"/>
                <w:lang w:val="sr-Latn-ME"/>
              </w:rPr>
              <w:t>nedjelja</w:t>
            </w:r>
          </w:p>
        </w:tc>
        <w:tc>
          <w:tcPr>
            <w:tcW w:w="1158" w:type="pct"/>
            <w:gridSpan w:val="2"/>
            <w:tcBorders>
              <w:top w:val="single" w:sz="4" w:space="0" w:color="auto"/>
              <w:left w:val="single" w:sz="4" w:space="0" w:color="auto"/>
              <w:bottom w:val="single" w:sz="4" w:space="0" w:color="auto"/>
              <w:right w:val="single" w:sz="4" w:space="0" w:color="auto"/>
            </w:tcBorders>
            <w:vAlign w:val="center"/>
          </w:tcPr>
          <w:p w14:paraId="2479E2A2" w14:textId="10F8700E" w:rsidR="00C36D57" w:rsidRPr="002041DF" w:rsidRDefault="00C36D57" w:rsidP="002041DF">
            <w:pPr>
              <w:widowControl w:val="0"/>
              <w:rPr>
                <w:b/>
                <w:snapToGrid w:val="0"/>
                <w:sz w:val="22"/>
                <w:szCs w:val="22"/>
                <w:lang w:val="sr-Latn-ME"/>
              </w:rPr>
            </w:pPr>
            <w:r w:rsidRPr="002041DF">
              <w:rPr>
                <w:b/>
                <w:snapToGrid w:val="0"/>
                <w:sz w:val="22"/>
                <w:szCs w:val="22"/>
                <w:lang w:val="sr-Latn-ME"/>
              </w:rPr>
              <w:t>52. </w:t>
            </w:r>
            <w:r w:rsidR="004372C4" w:rsidRPr="002041DF">
              <w:rPr>
                <w:b/>
                <w:snapToGrid w:val="0"/>
                <w:sz w:val="22"/>
                <w:szCs w:val="22"/>
                <w:lang w:val="sr-Latn-ME"/>
              </w:rPr>
              <w:t>nedjelja</w:t>
            </w:r>
          </w:p>
        </w:tc>
      </w:tr>
      <w:tr w:rsidR="00C36D57" w:rsidRPr="002041DF" w14:paraId="7ABB73B6" w14:textId="77777777" w:rsidTr="007C6E24">
        <w:trPr>
          <w:cantSplit/>
          <w:jc w:val="center"/>
        </w:trPr>
        <w:tc>
          <w:tcPr>
            <w:tcW w:w="1808" w:type="pct"/>
            <w:vMerge/>
            <w:tcBorders>
              <w:left w:val="single" w:sz="4" w:space="0" w:color="auto"/>
              <w:right w:val="single" w:sz="4" w:space="0" w:color="auto"/>
            </w:tcBorders>
            <w:vAlign w:val="bottom"/>
          </w:tcPr>
          <w:p w14:paraId="3486914A" w14:textId="77777777" w:rsidR="00C36D57" w:rsidRPr="002041DF" w:rsidRDefault="00C36D57" w:rsidP="002041DF">
            <w:pPr>
              <w:widowControl w:val="0"/>
              <w:rPr>
                <w:snapToGrid w:val="0"/>
                <w:sz w:val="22"/>
                <w:szCs w:val="22"/>
                <w:lang w:val="sr-Latn-ME"/>
              </w:rPr>
            </w:pPr>
          </w:p>
        </w:tc>
        <w:tc>
          <w:tcPr>
            <w:tcW w:w="884" w:type="pct"/>
            <w:tcBorders>
              <w:top w:val="single" w:sz="4" w:space="0" w:color="auto"/>
              <w:left w:val="single" w:sz="4" w:space="0" w:color="auto"/>
              <w:bottom w:val="single" w:sz="4" w:space="0" w:color="auto"/>
              <w:right w:val="single" w:sz="4" w:space="0" w:color="auto"/>
            </w:tcBorders>
            <w:vAlign w:val="center"/>
          </w:tcPr>
          <w:p w14:paraId="2980903D" w14:textId="77777777" w:rsidR="00C36D57" w:rsidRPr="002041DF" w:rsidRDefault="00C36D57" w:rsidP="002041DF">
            <w:pPr>
              <w:widowControl w:val="0"/>
              <w:rPr>
                <w:sz w:val="22"/>
                <w:szCs w:val="22"/>
                <w:lang w:val="sr-Latn-ME"/>
              </w:rPr>
            </w:pPr>
            <w:r w:rsidRPr="002041DF">
              <w:rPr>
                <w:sz w:val="22"/>
                <w:szCs w:val="22"/>
                <w:lang w:val="sr-Latn-ME"/>
              </w:rPr>
              <w:t>Placebo</w:t>
            </w:r>
          </w:p>
        </w:tc>
        <w:tc>
          <w:tcPr>
            <w:tcW w:w="1154" w:type="pct"/>
            <w:gridSpan w:val="2"/>
            <w:tcBorders>
              <w:top w:val="single" w:sz="4" w:space="0" w:color="auto"/>
              <w:left w:val="single" w:sz="4" w:space="0" w:color="auto"/>
              <w:bottom w:val="single" w:sz="4" w:space="0" w:color="auto"/>
              <w:right w:val="single" w:sz="4" w:space="0" w:color="auto"/>
            </w:tcBorders>
            <w:vAlign w:val="center"/>
          </w:tcPr>
          <w:p w14:paraId="442A2B28" w14:textId="77777777" w:rsidR="00C36D57" w:rsidRPr="002041DF" w:rsidRDefault="00C36D57" w:rsidP="002041DF">
            <w:pPr>
              <w:widowControl w:val="0"/>
              <w:rPr>
                <w:snapToGrid w:val="0"/>
                <w:sz w:val="22"/>
                <w:szCs w:val="22"/>
                <w:lang w:val="sr-Latn-ME"/>
              </w:rPr>
            </w:pPr>
            <w:r w:rsidRPr="002041DF">
              <w:rPr>
                <w:snapToGrid w:val="0"/>
                <w:sz w:val="22"/>
                <w:szCs w:val="22"/>
                <w:lang w:val="sr-Latn-ME"/>
              </w:rPr>
              <w:t>Preporučena doza ustekinumaba</w:t>
            </w:r>
          </w:p>
        </w:tc>
        <w:tc>
          <w:tcPr>
            <w:tcW w:w="1154" w:type="pct"/>
            <w:tcBorders>
              <w:top w:val="single" w:sz="4" w:space="0" w:color="auto"/>
              <w:left w:val="single" w:sz="4" w:space="0" w:color="auto"/>
              <w:bottom w:val="single" w:sz="4" w:space="0" w:color="auto"/>
              <w:right w:val="single" w:sz="4" w:space="0" w:color="auto"/>
            </w:tcBorders>
            <w:vAlign w:val="center"/>
          </w:tcPr>
          <w:p w14:paraId="20C683D0" w14:textId="77777777" w:rsidR="00C36D57" w:rsidRPr="002041DF" w:rsidRDefault="00C36D57" w:rsidP="002041DF">
            <w:pPr>
              <w:widowControl w:val="0"/>
              <w:rPr>
                <w:snapToGrid w:val="0"/>
                <w:sz w:val="22"/>
                <w:szCs w:val="22"/>
                <w:lang w:val="sr-Latn-ME"/>
              </w:rPr>
            </w:pPr>
            <w:r w:rsidRPr="002041DF">
              <w:rPr>
                <w:snapToGrid w:val="0"/>
                <w:sz w:val="22"/>
                <w:szCs w:val="22"/>
                <w:lang w:val="sr-Latn-ME"/>
              </w:rPr>
              <w:t>Preporučena doza ustekinumaba</w:t>
            </w:r>
          </w:p>
        </w:tc>
      </w:tr>
      <w:tr w:rsidR="00C36D57" w:rsidRPr="002041DF" w14:paraId="2B4DE15C" w14:textId="77777777" w:rsidTr="007C6E24">
        <w:trPr>
          <w:cantSplit/>
          <w:jc w:val="center"/>
        </w:trPr>
        <w:tc>
          <w:tcPr>
            <w:tcW w:w="1808" w:type="pct"/>
            <w:vMerge/>
            <w:tcBorders>
              <w:left w:val="single" w:sz="4" w:space="0" w:color="auto"/>
              <w:bottom w:val="single" w:sz="4" w:space="0" w:color="auto"/>
              <w:right w:val="single" w:sz="4" w:space="0" w:color="auto"/>
            </w:tcBorders>
            <w:vAlign w:val="bottom"/>
          </w:tcPr>
          <w:p w14:paraId="04531351" w14:textId="77777777" w:rsidR="00C36D57" w:rsidRPr="002041DF" w:rsidRDefault="00C36D57" w:rsidP="002041DF">
            <w:pPr>
              <w:widowControl w:val="0"/>
              <w:rPr>
                <w:snapToGrid w:val="0"/>
                <w:sz w:val="22"/>
                <w:szCs w:val="22"/>
                <w:lang w:val="sr-Latn-ME"/>
              </w:rPr>
            </w:pPr>
          </w:p>
        </w:tc>
        <w:tc>
          <w:tcPr>
            <w:tcW w:w="884" w:type="pct"/>
            <w:tcBorders>
              <w:top w:val="single" w:sz="4" w:space="0" w:color="auto"/>
              <w:left w:val="single" w:sz="4" w:space="0" w:color="auto"/>
              <w:bottom w:val="single" w:sz="4" w:space="0" w:color="auto"/>
              <w:right w:val="single" w:sz="4" w:space="0" w:color="auto"/>
            </w:tcBorders>
            <w:vAlign w:val="center"/>
          </w:tcPr>
          <w:p w14:paraId="0218CA32" w14:textId="77777777" w:rsidR="00C36D57" w:rsidRPr="002041DF" w:rsidRDefault="00C36D57" w:rsidP="002041DF">
            <w:pPr>
              <w:widowControl w:val="0"/>
              <w:rPr>
                <w:sz w:val="22"/>
                <w:szCs w:val="22"/>
                <w:lang w:val="sr-Latn-ME"/>
              </w:rPr>
            </w:pPr>
            <w:r w:rsidRPr="002041DF">
              <w:rPr>
                <w:sz w:val="22"/>
                <w:szCs w:val="22"/>
                <w:lang w:val="sr-Latn-ME"/>
              </w:rPr>
              <w:t>N (%)</w:t>
            </w:r>
          </w:p>
        </w:tc>
        <w:tc>
          <w:tcPr>
            <w:tcW w:w="1154" w:type="pct"/>
            <w:gridSpan w:val="2"/>
            <w:tcBorders>
              <w:top w:val="single" w:sz="4" w:space="0" w:color="auto"/>
              <w:left w:val="single" w:sz="4" w:space="0" w:color="auto"/>
              <w:bottom w:val="single" w:sz="4" w:space="0" w:color="auto"/>
              <w:right w:val="single" w:sz="4" w:space="0" w:color="auto"/>
            </w:tcBorders>
            <w:vAlign w:val="center"/>
          </w:tcPr>
          <w:p w14:paraId="0C118362" w14:textId="77777777" w:rsidR="00C36D57" w:rsidRPr="002041DF" w:rsidRDefault="00C36D57" w:rsidP="002041DF">
            <w:pPr>
              <w:widowControl w:val="0"/>
              <w:rPr>
                <w:sz w:val="22"/>
                <w:szCs w:val="22"/>
                <w:lang w:val="sr-Latn-ME"/>
              </w:rPr>
            </w:pPr>
            <w:r w:rsidRPr="002041DF">
              <w:rPr>
                <w:sz w:val="22"/>
                <w:szCs w:val="22"/>
                <w:lang w:val="sr-Latn-ME"/>
              </w:rPr>
              <w:t>N (%)</w:t>
            </w:r>
          </w:p>
        </w:tc>
        <w:tc>
          <w:tcPr>
            <w:tcW w:w="1154" w:type="pct"/>
            <w:tcBorders>
              <w:top w:val="single" w:sz="4" w:space="0" w:color="auto"/>
              <w:left w:val="single" w:sz="4" w:space="0" w:color="auto"/>
              <w:bottom w:val="single" w:sz="4" w:space="0" w:color="auto"/>
              <w:right w:val="single" w:sz="4" w:space="0" w:color="auto"/>
            </w:tcBorders>
            <w:vAlign w:val="center"/>
          </w:tcPr>
          <w:p w14:paraId="16EA0852" w14:textId="77777777" w:rsidR="00C36D57" w:rsidRPr="002041DF" w:rsidRDefault="00C36D57" w:rsidP="002041DF">
            <w:pPr>
              <w:widowControl w:val="0"/>
              <w:rPr>
                <w:sz w:val="22"/>
                <w:szCs w:val="22"/>
                <w:lang w:val="sr-Latn-ME"/>
              </w:rPr>
            </w:pPr>
            <w:r w:rsidRPr="002041DF">
              <w:rPr>
                <w:sz w:val="22"/>
                <w:szCs w:val="22"/>
                <w:lang w:val="sr-Latn-ME"/>
              </w:rPr>
              <w:t>N (%)</w:t>
            </w:r>
          </w:p>
        </w:tc>
      </w:tr>
      <w:tr w:rsidR="00C36D57" w:rsidRPr="002041DF" w14:paraId="0CEDAB70" w14:textId="77777777" w:rsidTr="007C6E24">
        <w:trPr>
          <w:cantSplit/>
          <w:jc w:val="center"/>
        </w:trPr>
        <w:tc>
          <w:tcPr>
            <w:tcW w:w="1808" w:type="pct"/>
            <w:tcBorders>
              <w:top w:val="single" w:sz="4" w:space="0" w:color="auto"/>
              <w:left w:val="single" w:sz="4" w:space="0" w:color="auto"/>
              <w:bottom w:val="single" w:sz="4" w:space="0" w:color="auto"/>
              <w:right w:val="single" w:sz="4" w:space="0" w:color="auto"/>
            </w:tcBorders>
            <w:vAlign w:val="bottom"/>
          </w:tcPr>
          <w:p w14:paraId="65CB5E20" w14:textId="77777777" w:rsidR="00C36D57" w:rsidRPr="002041DF" w:rsidRDefault="00C36D57" w:rsidP="002041DF">
            <w:pPr>
              <w:widowControl w:val="0"/>
              <w:rPr>
                <w:snapToGrid w:val="0"/>
                <w:sz w:val="22"/>
                <w:szCs w:val="22"/>
                <w:lang w:val="sr-Latn-ME"/>
              </w:rPr>
            </w:pPr>
            <w:r w:rsidRPr="002041DF">
              <w:rPr>
                <w:snapToGrid w:val="0"/>
                <w:sz w:val="22"/>
                <w:szCs w:val="22"/>
                <w:lang w:val="sr-Latn-ME"/>
              </w:rPr>
              <w:t>Broj randomizovanih pacijenata</w:t>
            </w:r>
          </w:p>
        </w:tc>
        <w:tc>
          <w:tcPr>
            <w:tcW w:w="884" w:type="pct"/>
            <w:tcBorders>
              <w:top w:val="single" w:sz="4" w:space="0" w:color="auto"/>
              <w:left w:val="single" w:sz="4" w:space="0" w:color="auto"/>
              <w:bottom w:val="single" w:sz="4" w:space="0" w:color="auto"/>
              <w:right w:val="single" w:sz="4" w:space="0" w:color="auto"/>
            </w:tcBorders>
            <w:vAlign w:val="center"/>
          </w:tcPr>
          <w:p w14:paraId="45E6CFB3" w14:textId="77777777" w:rsidR="00C36D57" w:rsidRPr="002041DF" w:rsidRDefault="00C36D57" w:rsidP="002041DF">
            <w:pPr>
              <w:widowControl w:val="0"/>
              <w:rPr>
                <w:snapToGrid w:val="0"/>
                <w:sz w:val="22"/>
                <w:szCs w:val="22"/>
                <w:lang w:val="sr-Latn-ME"/>
              </w:rPr>
            </w:pPr>
            <w:r w:rsidRPr="002041DF">
              <w:rPr>
                <w:sz w:val="22"/>
                <w:szCs w:val="22"/>
                <w:lang w:val="sr-Latn-ME"/>
              </w:rPr>
              <w:t>37</w:t>
            </w:r>
          </w:p>
        </w:tc>
        <w:tc>
          <w:tcPr>
            <w:tcW w:w="1154" w:type="pct"/>
            <w:gridSpan w:val="2"/>
            <w:tcBorders>
              <w:top w:val="single" w:sz="4" w:space="0" w:color="auto"/>
              <w:left w:val="single" w:sz="4" w:space="0" w:color="auto"/>
              <w:bottom w:val="single" w:sz="4" w:space="0" w:color="auto"/>
              <w:right w:val="single" w:sz="4" w:space="0" w:color="auto"/>
            </w:tcBorders>
            <w:vAlign w:val="center"/>
          </w:tcPr>
          <w:p w14:paraId="42BACE8F" w14:textId="77777777" w:rsidR="00C36D57" w:rsidRPr="002041DF" w:rsidRDefault="00C36D57" w:rsidP="002041DF">
            <w:pPr>
              <w:widowControl w:val="0"/>
              <w:rPr>
                <w:sz w:val="22"/>
                <w:szCs w:val="22"/>
                <w:lang w:val="sr-Latn-ME"/>
              </w:rPr>
            </w:pPr>
            <w:r w:rsidRPr="002041DF">
              <w:rPr>
                <w:sz w:val="22"/>
                <w:szCs w:val="22"/>
                <w:lang w:val="sr-Latn-ME"/>
              </w:rPr>
              <w:t>36</w:t>
            </w:r>
          </w:p>
        </w:tc>
        <w:tc>
          <w:tcPr>
            <w:tcW w:w="1154" w:type="pct"/>
            <w:tcBorders>
              <w:top w:val="single" w:sz="4" w:space="0" w:color="auto"/>
              <w:left w:val="single" w:sz="4" w:space="0" w:color="auto"/>
              <w:bottom w:val="single" w:sz="4" w:space="0" w:color="auto"/>
              <w:right w:val="single" w:sz="4" w:space="0" w:color="auto"/>
            </w:tcBorders>
            <w:vAlign w:val="center"/>
          </w:tcPr>
          <w:p w14:paraId="13931733" w14:textId="77777777" w:rsidR="00C36D57" w:rsidRPr="002041DF" w:rsidRDefault="00C36D57" w:rsidP="002041DF">
            <w:pPr>
              <w:widowControl w:val="0"/>
              <w:rPr>
                <w:snapToGrid w:val="0"/>
                <w:sz w:val="22"/>
                <w:szCs w:val="22"/>
                <w:lang w:val="sr-Latn-ME"/>
              </w:rPr>
            </w:pPr>
            <w:r w:rsidRPr="002041DF">
              <w:rPr>
                <w:sz w:val="22"/>
                <w:szCs w:val="22"/>
                <w:lang w:val="sr-Latn-ME"/>
              </w:rPr>
              <w:t>35</w:t>
            </w:r>
          </w:p>
        </w:tc>
      </w:tr>
      <w:tr w:rsidR="00C36D57" w:rsidRPr="002041DF" w14:paraId="0A950EB5" w14:textId="77777777" w:rsidTr="007C6E24">
        <w:trPr>
          <w:cantSplit/>
          <w:jc w:val="center"/>
        </w:trPr>
        <w:tc>
          <w:tcPr>
            <w:tcW w:w="5000" w:type="pct"/>
            <w:gridSpan w:val="5"/>
            <w:tcBorders>
              <w:top w:val="single" w:sz="4" w:space="0" w:color="auto"/>
              <w:left w:val="single" w:sz="4" w:space="0" w:color="auto"/>
              <w:bottom w:val="single" w:sz="4" w:space="0" w:color="auto"/>
              <w:right w:val="single" w:sz="4" w:space="0" w:color="auto"/>
            </w:tcBorders>
            <w:vAlign w:val="bottom"/>
          </w:tcPr>
          <w:p w14:paraId="14D6AC1A" w14:textId="77777777" w:rsidR="00C36D57" w:rsidRPr="002041DF" w:rsidRDefault="00C36D57" w:rsidP="002041DF">
            <w:pPr>
              <w:widowControl w:val="0"/>
              <w:adjustRightInd w:val="0"/>
              <w:rPr>
                <w:b/>
                <w:sz w:val="22"/>
                <w:szCs w:val="22"/>
                <w:lang w:val="sr-Latn-ME"/>
              </w:rPr>
            </w:pPr>
            <w:r w:rsidRPr="002041DF">
              <w:rPr>
                <w:b/>
                <w:sz w:val="22"/>
                <w:szCs w:val="22"/>
                <w:lang w:val="sr-Latn-ME"/>
              </w:rPr>
              <w:t>PGA</w:t>
            </w:r>
          </w:p>
        </w:tc>
      </w:tr>
      <w:tr w:rsidR="00C36D57" w:rsidRPr="002041DF" w14:paraId="4FFDF241" w14:textId="77777777" w:rsidTr="007C6E24">
        <w:trPr>
          <w:cantSplit/>
          <w:jc w:val="center"/>
        </w:trPr>
        <w:tc>
          <w:tcPr>
            <w:tcW w:w="1808" w:type="pct"/>
            <w:tcBorders>
              <w:top w:val="single" w:sz="4" w:space="0" w:color="auto"/>
              <w:left w:val="single" w:sz="4" w:space="0" w:color="auto"/>
              <w:bottom w:val="single" w:sz="4" w:space="0" w:color="auto"/>
              <w:right w:val="single" w:sz="4" w:space="0" w:color="auto"/>
            </w:tcBorders>
            <w:vAlign w:val="bottom"/>
          </w:tcPr>
          <w:p w14:paraId="1361DE25" w14:textId="77777777" w:rsidR="00C36D57" w:rsidRPr="002041DF" w:rsidRDefault="00C36D57" w:rsidP="002041DF">
            <w:pPr>
              <w:widowControl w:val="0"/>
              <w:rPr>
                <w:b/>
                <w:snapToGrid w:val="0"/>
                <w:sz w:val="22"/>
                <w:szCs w:val="22"/>
                <w:lang w:val="sr-Latn-ME"/>
              </w:rPr>
            </w:pPr>
            <w:r w:rsidRPr="002041DF">
              <w:rPr>
                <w:snapToGrid w:val="0"/>
                <w:sz w:val="22"/>
                <w:szCs w:val="22"/>
                <w:lang w:val="sr-Latn-ME"/>
              </w:rPr>
              <w:t>PGA čist (0) ili minimalan (1)</w:t>
            </w:r>
          </w:p>
        </w:tc>
        <w:tc>
          <w:tcPr>
            <w:tcW w:w="884" w:type="pct"/>
            <w:tcBorders>
              <w:top w:val="single" w:sz="4" w:space="0" w:color="auto"/>
              <w:left w:val="single" w:sz="4" w:space="0" w:color="auto"/>
              <w:bottom w:val="single" w:sz="4" w:space="0" w:color="auto"/>
              <w:right w:val="single" w:sz="4" w:space="0" w:color="auto"/>
            </w:tcBorders>
            <w:vAlign w:val="center"/>
          </w:tcPr>
          <w:p w14:paraId="2C93E13F" w14:textId="77777777" w:rsidR="00C36D57" w:rsidRPr="002041DF" w:rsidRDefault="00C36D57" w:rsidP="002041DF">
            <w:pPr>
              <w:widowControl w:val="0"/>
              <w:adjustRightInd w:val="0"/>
              <w:rPr>
                <w:sz w:val="22"/>
                <w:szCs w:val="22"/>
                <w:lang w:val="sr-Latn-ME"/>
              </w:rPr>
            </w:pPr>
            <w:r w:rsidRPr="002041DF">
              <w:rPr>
                <w:sz w:val="22"/>
                <w:szCs w:val="22"/>
                <w:lang w:val="sr-Latn-ME"/>
              </w:rPr>
              <w:t>2 (5,4%)</w:t>
            </w:r>
          </w:p>
        </w:tc>
        <w:tc>
          <w:tcPr>
            <w:tcW w:w="1154" w:type="pct"/>
            <w:gridSpan w:val="2"/>
            <w:tcBorders>
              <w:top w:val="single" w:sz="4" w:space="0" w:color="auto"/>
              <w:left w:val="single" w:sz="4" w:space="0" w:color="auto"/>
              <w:bottom w:val="single" w:sz="4" w:space="0" w:color="auto"/>
              <w:right w:val="single" w:sz="4" w:space="0" w:color="auto"/>
            </w:tcBorders>
            <w:vAlign w:val="center"/>
          </w:tcPr>
          <w:p w14:paraId="40350361" w14:textId="77777777" w:rsidR="00C36D57" w:rsidRPr="002041DF" w:rsidRDefault="00C36D57" w:rsidP="002041DF">
            <w:pPr>
              <w:widowControl w:val="0"/>
              <w:adjustRightInd w:val="0"/>
              <w:rPr>
                <w:sz w:val="22"/>
                <w:szCs w:val="22"/>
                <w:lang w:val="sr-Latn-ME"/>
              </w:rPr>
            </w:pPr>
            <w:r w:rsidRPr="002041DF">
              <w:rPr>
                <w:sz w:val="22"/>
                <w:szCs w:val="22"/>
                <w:lang w:val="sr-Latn-ME"/>
              </w:rPr>
              <w:t>25 (69,4%)</w:t>
            </w:r>
            <w:r w:rsidRPr="002041DF">
              <w:rPr>
                <w:snapToGrid w:val="0"/>
                <w:sz w:val="22"/>
                <w:szCs w:val="22"/>
                <w:vertAlign w:val="superscript"/>
                <w:lang w:val="sr-Latn-ME"/>
              </w:rPr>
              <w:t>a</w:t>
            </w:r>
          </w:p>
        </w:tc>
        <w:tc>
          <w:tcPr>
            <w:tcW w:w="1154" w:type="pct"/>
            <w:tcBorders>
              <w:top w:val="single" w:sz="4" w:space="0" w:color="auto"/>
              <w:left w:val="single" w:sz="4" w:space="0" w:color="auto"/>
              <w:bottom w:val="single" w:sz="4" w:space="0" w:color="auto"/>
              <w:right w:val="single" w:sz="4" w:space="0" w:color="auto"/>
            </w:tcBorders>
            <w:vAlign w:val="center"/>
          </w:tcPr>
          <w:p w14:paraId="4CCF83BE" w14:textId="77777777" w:rsidR="00C36D57" w:rsidRPr="002041DF" w:rsidRDefault="00C36D57" w:rsidP="002041DF">
            <w:pPr>
              <w:widowControl w:val="0"/>
              <w:adjustRightInd w:val="0"/>
              <w:rPr>
                <w:sz w:val="22"/>
                <w:szCs w:val="22"/>
                <w:lang w:val="sr-Latn-ME"/>
              </w:rPr>
            </w:pPr>
            <w:r w:rsidRPr="002041DF">
              <w:rPr>
                <w:sz w:val="22"/>
                <w:szCs w:val="22"/>
                <w:lang w:val="sr-Latn-ME"/>
              </w:rPr>
              <w:t>20 (57,1%)</w:t>
            </w:r>
          </w:p>
        </w:tc>
      </w:tr>
      <w:tr w:rsidR="00C36D57" w:rsidRPr="002041DF" w14:paraId="211F0820" w14:textId="77777777" w:rsidTr="007C6E24">
        <w:trPr>
          <w:cantSplit/>
          <w:jc w:val="center"/>
        </w:trPr>
        <w:tc>
          <w:tcPr>
            <w:tcW w:w="1808" w:type="pct"/>
            <w:tcBorders>
              <w:top w:val="single" w:sz="4" w:space="0" w:color="auto"/>
              <w:left w:val="single" w:sz="4" w:space="0" w:color="auto"/>
              <w:bottom w:val="single" w:sz="4" w:space="0" w:color="auto"/>
              <w:right w:val="single" w:sz="4" w:space="0" w:color="auto"/>
            </w:tcBorders>
            <w:vAlign w:val="bottom"/>
          </w:tcPr>
          <w:p w14:paraId="5C438679" w14:textId="77777777" w:rsidR="00C36D57" w:rsidRPr="002041DF" w:rsidRDefault="00C36D57" w:rsidP="002041DF">
            <w:pPr>
              <w:widowControl w:val="0"/>
              <w:rPr>
                <w:snapToGrid w:val="0"/>
                <w:sz w:val="22"/>
                <w:szCs w:val="22"/>
                <w:lang w:val="sr-Latn-ME"/>
              </w:rPr>
            </w:pPr>
            <w:r w:rsidRPr="002041DF">
              <w:rPr>
                <w:snapToGrid w:val="0"/>
                <w:sz w:val="22"/>
                <w:szCs w:val="22"/>
                <w:lang w:val="sr-Latn-ME"/>
              </w:rPr>
              <w:t>PGA čist (0)</w:t>
            </w:r>
          </w:p>
        </w:tc>
        <w:tc>
          <w:tcPr>
            <w:tcW w:w="884" w:type="pct"/>
            <w:tcBorders>
              <w:top w:val="single" w:sz="4" w:space="0" w:color="auto"/>
              <w:left w:val="single" w:sz="4" w:space="0" w:color="auto"/>
              <w:bottom w:val="single" w:sz="4" w:space="0" w:color="auto"/>
              <w:right w:val="single" w:sz="4" w:space="0" w:color="auto"/>
            </w:tcBorders>
            <w:vAlign w:val="center"/>
          </w:tcPr>
          <w:p w14:paraId="258AA826" w14:textId="77777777" w:rsidR="00C36D57" w:rsidRPr="002041DF" w:rsidRDefault="00C36D57" w:rsidP="002041DF">
            <w:pPr>
              <w:widowControl w:val="0"/>
              <w:adjustRightInd w:val="0"/>
              <w:rPr>
                <w:sz w:val="22"/>
                <w:szCs w:val="22"/>
                <w:lang w:val="sr-Latn-ME"/>
              </w:rPr>
            </w:pPr>
            <w:r w:rsidRPr="002041DF">
              <w:rPr>
                <w:sz w:val="22"/>
                <w:szCs w:val="22"/>
                <w:lang w:val="sr-Latn-ME"/>
              </w:rPr>
              <w:t>1 (2,7%)</w:t>
            </w:r>
          </w:p>
        </w:tc>
        <w:tc>
          <w:tcPr>
            <w:tcW w:w="1154" w:type="pct"/>
            <w:gridSpan w:val="2"/>
            <w:tcBorders>
              <w:top w:val="single" w:sz="4" w:space="0" w:color="auto"/>
              <w:left w:val="single" w:sz="4" w:space="0" w:color="auto"/>
              <w:bottom w:val="single" w:sz="4" w:space="0" w:color="auto"/>
              <w:right w:val="single" w:sz="4" w:space="0" w:color="auto"/>
            </w:tcBorders>
            <w:vAlign w:val="center"/>
          </w:tcPr>
          <w:p w14:paraId="53618BA0" w14:textId="77777777" w:rsidR="00C36D57" w:rsidRPr="002041DF" w:rsidRDefault="00C36D57" w:rsidP="002041DF">
            <w:pPr>
              <w:widowControl w:val="0"/>
              <w:adjustRightInd w:val="0"/>
              <w:rPr>
                <w:sz w:val="22"/>
                <w:szCs w:val="22"/>
                <w:lang w:val="sr-Latn-ME"/>
              </w:rPr>
            </w:pPr>
            <w:r w:rsidRPr="002041DF">
              <w:rPr>
                <w:sz w:val="22"/>
                <w:szCs w:val="22"/>
                <w:lang w:val="sr-Latn-ME"/>
              </w:rPr>
              <w:t>17 (47,2%)</w:t>
            </w:r>
            <w:r w:rsidRPr="002041DF">
              <w:rPr>
                <w:snapToGrid w:val="0"/>
                <w:sz w:val="22"/>
                <w:szCs w:val="22"/>
                <w:vertAlign w:val="superscript"/>
                <w:lang w:val="sr-Latn-ME"/>
              </w:rPr>
              <w:t>a</w:t>
            </w:r>
          </w:p>
        </w:tc>
        <w:tc>
          <w:tcPr>
            <w:tcW w:w="1154" w:type="pct"/>
            <w:tcBorders>
              <w:top w:val="single" w:sz="4" w:space="0" w:color="auto"/>
              <w:left w:val="single" w:sz="4" w:space="0" w:color="auto"/>
              <w:bottom w:val="single" w:sz="4" w:space="0" w:color="auto"/>
              <w:right w:val="single" w:sz="4" w:space="0" w:color="auto"/>
            </w:tcBorders>
            <w:vAlign w:val="center"/>
          </w:tcPr>
          <w:p w14:paraId="60366073" w14:textId="77777777" w:rsidR="00C36D57" w:rsidRPr="002041DF" w:rsidRDefault="00C36D57" w:rsidP="002041DF">
            <w:pPr>
              <w:widowControl w:val="0"/>
              <w:adjustRightInd w:val="0"/>
              <w:rPr>
                <w:sz w:val="22"/>
                <w:szCs w:val="22"/>
                <w:lang w:val="sr-Latn-ME"/>
              </w:rPr>
            </w:pPr>
            <w:r w:rsidRPr="002041DF">
              <w:rPr>
                <w:sz w:val="22"/>
                <w:szCs w:val="22"/>
                <w:lang w:val="sr-Latn-ME"/>
              </w:rPr>
              <w:t>13 (37,1%)</w:t>
            </w:r>
          </w:p>
        </w:tc>
      </w:tr>
      <w:tr w:rsidR="00C36D57" w:rsidRPr="002041DF" w14:paraId="6F4B36EB" w14:textId="77777777" w:rsidTr="007C6E24">
        <w:trPr>
          <w:cantSplit/>
          <w:jc w:val="center"/>
        </w:trPr>
        <w:tc>
          <w:tcPr>
            <w:tcW w:w="5000" w:type="pct"/>
            <w:gridSpan w:val="5"/>
            <w:tcBorders>
              <w:top w:val="single" w:sz="4" w:space="0" w:color="auto"/>
              <w:left w:val="single" w:sz="4" w:space="0" w:color="auto"/>
              <w:bottom w:val="single" w:sz="4" w:space="0" w:color="auto"/>
              <w:right w:val="single" w:sz="4" w:space="0" w:color="auto"/>
            </w:tcBorders>
            <w:vAlign w:val="center"/>
          </w:tcPr>
          <w:p w14:paraId="3E878021" w14:textId="77777777" w:rsidR="00C36D57" w:rsidRPr="002041DF" w:rsidRDefault="00C36D57" w:rsidP="002041DF">
            <w:pPr>
              <w:widowControl w:val="0"/>
              <w:adjustRightInd w:val="0"/>
              <w:rPr>
                <w:sz w:val="22"/>
                <w:szCs w:val="22"/>
                <w:lang w:val="sr-Latn-ME"/>
              </w:rPr>
            </w:pPr>
            <w:r w:rsidRPr="002041DF">
              <w:rPr>
                <w:b/>
                <w:snapToGrid w:val="0"/>
                <w:sz w:val="22"/>
                <w:szCs w:val="22"/>
                <w:lang w:val="sr-Latn-ME"/>
              </w:rPr>
              <w:t>PASI</w:t>
            </w:r>
          </w:p>
        </w:tc>
      </w:tr>
      <w:tr w:rsidR="00C36D57" w:rsidRPr="002041DF" w14:paraId="2BB23D94" w14:textId="77777777" w:rsidTr="007C6E24">
        <w:trPr>
          <w:cantSplit/>
          <w:jc w:val="center"/>
        </w:trPr>
        <w:tc>
          <w:tcPr>
            <w:tcW w:w="1808" w:type="pct"/>
            <w:tcBorders>
              <w:top w:val="single" w:sz="4" w:space="0" w:color="auto"/>
              <w:left w:val="single" w:sz="4" w:space="0" w:color="auto"/>
              <w:bottom w:val="single" w:sz="4" w:space="0" w:color="auto"/>
              <w:right w:val="single" w:sz="4" w:space="0" w:color="auto"/>
            </w:tcBorders>
            <w:vAlign w:val="bottom"/>
          </w:tcPr>
          <w:p w14:paraId="3386D9C5" w14:textId="77777777" w:rsidR="00C36D57" w:rsidRPr="002041DF" w:rsidRDefault="00C36D57" w:rsidP="002041DF">
            <w:pPr>
              <w:widowControl w:val="0"/>
              <w:rPr>
                <w:b/>
                <w:snapToGrid w:val="0"/>
                <w:sz w:val="22"/>
                <w:szCs w:val="22"/>
                <w:lang w:val="sr-Latn-ME"/>
              </w:rPr>
            </w:pPr>
            <w:r w:rsidRPr="002041DF">
              <w:rPr>
                <w:snapToGrid w:val="0"/>
                <w:sz w:val="22"/>
                <w:szCs w:val="22"/>
                <w:lang w:val="sr-Latn-ME"/>
              </w:rPr>
              <w:t>PASI</w:t>
            </w:r>
            <w:r w:rsidRPr="002041DF">
              <w:rPr>
                <w:sz w:val="22"/>
                <w:szCs w:val="22"/>
                <w:lang w:val="sr-Latn-ME"/>
              </w:rPr>
              <w:t> </w:t>
            </w:r>
            <w:r w:rsidRPr="002041DF">
              <w:rPr>
                <w:snapToGrid w:val="0"/>
                <w:sz w:val="22"/>
                <w:szCs w:val="22"/>
                <w:lang w:val="sr-Latn-ME"/>
              </w:rPr>
              <w:t>75 odgovor</w:t>
            </w:r>
          </w:p>
        </w:tc>
        <w:tc>
          <w:tcPr>
            <w:tcW w:w="884" w:type="pct"/>
            <w:tcBorders>
              <w:top w:val="single" w:sz="4" w:space="0" w:color="auto"/>
              <w:left w:val="single" w:sz="4" w:space="0" w:color="auto"/>
              <w:bottom w:val="single" w:sz="4" w:space="0" w:color="auto"/>
              <w:right w:val="single" w:sz="4" w:space="0" w:color="auto"/>
            </w:tcBorders>
            <w:vAlign w:val="center"/>
          </w:tcPr>
          <w:p w14:paraId="575D32E8" w14:textId="77777777" w:rsidR="00C36D57" w:rsidRPr="002041DF" w:rsidRDefault="00C36D57" w:rsidP="002041DF">
            <w:pPr>
              <w:widowControl w:val="0"/>
              <w:adjustRightInd w:val="0"/>
              <w:rPr>
                <w:sz w:val="22"/>
                <w:szCs w:val="22"/>
                <w:lang w:val="sr-Latn-ME"/>
              </w:rPr>
            </w:pPr>
            <w:r w:rsidRPr="002041DF">
              <w:rPr>
                <w:sz w:val="22"/>
                <w:szCs w:val="22"/>
                <w:lang w:val="sr-Latn-ME"/>
              </w:rPr>
              <w:t>4 (10,8%)</w:t>
            </w:r>
          </w:p>
        </w:tc>
        <w:tc>
          <w:tcPr>
            <w:tcW w:w="1154" w:type="pct"/>
            <w:gridSpan w:val="2"/>
            <w:tcBorders>
              <w:top w:val="single" w:sz="4" w:space="0" w:color="auto"/>
              <w:left w:val="single" w:sz="4" w:space="0" w:color="auto"/>
              <w:bottom w:val="single" w:sz="4" w:space="0" w:color="auto"/>
              <w:right w:val="single" w:sz="4" w:space="0" w:color="auto"/>
            </w:tcBorders>
            <w:vAlign w:val="center"/>
          </w:tcPr>
          <w:p w14:paraId="2D76CE0B" w14:textId="77777777" w:rsidR="00C36D57" w:rsidRPr="002041DF" w:rsidRDefault="00C36D57" w:rsidP="002041DF">
            <w:pPr>
              <w:widowControl w:val="0"/>
              <w:adjustRightInd w:val="0"/>
              <w:rPr>
                <w:sz w:val="22"/>
                <w:szCs w:val="22"/>
                <w:lang w:val="sr-Latn-ME"/>
              </w:rPr>
            </w:pPr>
            <w:r w:rsidRPr="002041DF">
              <w:rPr>
                <w:sz w:val="22"/>
                <w:szCs w:val="22"/>
                <w:lang w:val="sr-Latn-ME"/>
              </w:rPr>
              <w:t>29 (80,6%)</w:t>
            </w:r>
            <w:r w:rsidRPr="002041DF">
              <w:rPr>
                <w:snapToGrid w:val="0"/>
                <w:sz w:val="22"/>
                <w:szCs w:val="22"/>
                <w:vertAlign w:val="superscript"/>
                <w:lang w:val="sr-Latn-ME"/>
              </w:rPr>
              <w:t>a</w:t>
            </w:r>
          </w:p>
        </w:tc>
        <w:tc>
          <w:tcPr>
            <w:tcW w:w="1154" w:type="pct"/>
            <w:tcBorders>
              <w:top w:val="single" w:sz="4" w:space="0" w:color="auto"/>
              <w:left w:val="single" w:sz="4" w:space="0" w:color="auto"/>
              <w:bottom w:val="single" w:sz="4" w:space="0" w:color="auto"/>
              <w:right w:val="single" w:sz="4" w:space="0" w:color="auto"/>
            </w:tcBorders>
            <w:vAlign w:val="center"/>
          </w:tcPr>
          <w:p w14:paraId="41CB34B8" w14:textId="77777777" w:rsidR="00C36D57" w:rsidRPr="002041DF" w:rsidRDefault="00C36D57" w:rsidP="002041DF">
            <w:pPr>
              <w:widowControl w:val="0"/>
              <w:adjustRightInd w:val="0"/>
              <w:rPr>
                <w:sz w:val="22"/>
                <w:szCs w:val="22"/>
                <w:lang w:val="sr-Latn-ME"/>
              </w:rPr>
            </w:pPr>
            <w:r w:rsidRPr="002041DF">
              <w:rPr>
                <w:sz w:val="22"/>
                <w:szCs w:val="22"/>
                <w:lang w:val="sr-Latn-ME"/>
              </w:rPr>
              <w:t>28 (80,0%)</w:t>
            </w:r>
          </w:p>
        </w:tc>
      </w:tr>
      <w:tr w:rsidR="00C36D57" w:rsidRPr="002041DF" w14:paraId="495359CE" w14:textId="77777777" w:rsidTr="007C6E24">
        <w:trPr>
          <w:cantSplit/>
          <w:jc w:val="center"/>
        </w:trPr>
        <w:tc>
          <w:tcPr>
            <w:tcW w:w="1808" w:type="pct"/>
            <w:tcBorders>
              <w:top w:val="single" w:sz="4" w:space="0" w:color="auto"/>
              <w:left w:val="single" w:sz="4" w:space="0" w:color="auto"/>
              <w:bottom w:val="single" w:sz="4" w:space="0" w:color="auto"/>
              <w:right w:val="single" w:sz="4" w:space="0" w:color="auto"/>
            </w:tcBorders>
            <w:vAlign w:val="bottom"/>
          </w:tcPr>
          <w:p w14:paraId="6FF11C39" w14:textId="77777777" w:rsidR="00C36D57" w:rsidRPr="002041DF" w:rsidRDefault="00C36D57" w:rsidP="002041DF">
            <w:pPr>
              <w:widowControl w:val="0"/>
              <w:rPr>
                <w:snapToGrid w:val="0"/>
                <w:sz w:val="22"/>
                <w:szCs w:val="22"/>
                <w:lang w:val="sr-Latn-ME"/>
              </w:rPr>
            </w:pPr>
            <w:r w:rsidRPr="002041DF">
              <w:rPr>
                <w:snapToGrid w:val="0"/>
                <w:sz w:val="22"/>
                <w:szCs w:val="22"/>
                <w:lang w:val="sr-Latn-ME"/>
              </w:rPr>
              <w:t>PASI</w:t>
            </w:r>
            <w:r w:rsidRPr="002041DF">
              <w:rPr>
                <w:sz w:val="22"/>
                <w:szCs w:val="22"/>
                <w:lang w:val="sr-Latn-ME"/>
              </w:rPr>
              <w:t> </w:t>
            </w:r>
            <w:r w:rsidRPr="002041DF">
              <w:rPr>
                <w:snapToGrid w:val="0"/>
                <w:sz w:val="22"/>
                <w:szCs w:val="22"/>
                <w:lang w:val="sr-Latn-ME"/>
              </w:rPr>
              <w:t>90 odgovor</w:t>
            </w:r>
          </w:p>
        </w:tc>
        <w:tc>
          <w:tcPr>
            <w:tcW w:w="884" w:type="pct"/>
            <w:tcBorders>
              <w:top w:val="single" w:sz="4" w:space="0" w:color="auto"/>
              <w:left w:val="single" w:sz="4" w:space="0" w:color="auto"/>
              <w:bottom w:val="single" w:sz="4" w:space="0" w:color="auto"/>
              <w:right w:val="single" w:sz="4" w:space="0" w:color="auto"/>
            </w:tcBorders>
            <w:vAlign w:val="center"/>
          </w:tcPr>
          <w:p w14:paraId="0FD49F29" w14:textId="77777777" w:rsidR="00C36D57" w:rsidRPr="002041DF" w:rsidRDefault="00C36D57" w:rsidP="002041DF">
            <w:pPr>
              <w:widowControl w:val="0"/>
              <w:adjustRightInd w:val="0"/>
              <w:rPr>
                <w:sz w:val="22"/>
                <w:szCs w:val="22"/>
                <w:lang w:val="sr-Latn-ME"/>
              </w:rPr>
            </w:pPr>
            <w:r w:rsidRPr="002041DF">
              <w:rPr>
                <w:sz w:val="22"/>
                <w:szCs w:val="22"/>
                <w:lang w:val="sr-Latn-ME"/>
              </w:rPr>
              <w:t>2 (5,4%)</w:t>
            </w:r>
          </w:p>
        </w:tc>
        <w:tc>
          <w:tcPr>
            <w:tcW w:w="1154" w:type="pct"/>
            <w:gridSpan w:val="2"/>
            <w:tcBorders>
              <w:top w:val="single" w:sz="4" w:space="0" w:color="auto"/>
              <w:left w:val="single" w:sz="4" w:space="0" w:color="auto"/>
              <w:bottom w:val="single" w:sz="4" w:space="0" w:color="auto"/>
              <w:right w:val="single" w:sz="4" w:space="0" w:color="auto"/>
            </w:tcBorders>
            <w:vAlign w:val="center"/>
          </w:tcPr>
          <w:p w14:paraId="6AEAA376" w14:textId="77777777" w:rsidR="00C36D57" w:rsidRPr="002041DF" w:rsidRDefault="00C36D57" w:rsidP="002041DF">
            <w:pPr>
              <w:widowControl w:val="0"/>
              <w:adjustRightInd w:val="0"/>
              <w:rPr>
                <w:sz w:val="22"/>
                <w:szCs w:val="22"/>
                <w:lang w:val="sr-Latn-ME"/>
              </w:rPr>
            </w:pPr>
            <w:r w:rsidRPr="002041DF">
              <w:rPr>
                <w:sz w:val="22"/>
                <w:szCs w:val="22"/>
                <w:lang w:val="sr-Latn-ME"/>
              </w:rPr>
              <w:t>22 (61,1%)</w:t>
            </w:r>
            <w:r w:rsidRPr="002041DF">
              <w:rPr>
                <w:snapToGrid w:val="0"/>
                <w:sz w:val="22"/>
                <w:szCs w:val="22"/>
                <w:vertAlign w:val="superscript"/>
                <w:lang w:val="sr-Latn-ME"/>
              </w:rPr>
              <w:t>a</w:t>
            </w:r>
          </w:p>
        </w:tc>
        <w:tc>
          <w:tcPr>
            <w:tcW w:w="1154" w:type="pct"/>
            <w:tcBorders>
              <w:top w:val="single" w:sz="4" w:space="0" w:color="auto"/>
              <w:left w:val="single" w:sz="4" w:space="0" w:color="auto"/>
              <w:bottom w:val="single" w:sz="4" w:space="0" w:color="auto"/>
              <w:right w:val="single" w:sz="4" w:space="0" w:color="auto"/>
            </w:tcBorders>
            <w:vAlign w:val="center"/>
          </w:tcPr>
          <w:p w14:paraId="468DCF37" w14:textId="77777777" w:rsidR="00C36D57" w:rsidRPr="002041DF" w:rsidRDefault="00C36D57" w:rsidP="002041DF">
            <w:pPr>
              <w:widowControl w:val="0"/>
              <w:adjustRightInd w:val="0"/>
              <w:rPr>
                <w:sz w:val="22"/>
                <w:szCs w:val="22"/>
                <w:lang w:val="sr-Latn-ME"/>
              </w:rPr>
            </w:pPr>
            <w:r w:rsidRPr="002041DF">
              <w:rPr>
                <w:sz w:val="22"/>
                <w:szCs w:val="22"/>
                <w:lang w:val="sr-Latn-ME"/>
              </w:rPr>
              <w:t>23 (65,7%)</w:t>
            </w:r>
          </w:p>
        </w:tc>
      </w:tr>
      <w:tr w:rsidR="00C36D57" w:rsidRPr="002041DF" w14:paraId="270AB6C9" w14:textId="77777777" w:rsidTr="007C6E24">
        <w:trPr>
          <w:cantSplit/>
          <w:jc w:val="center"/>
        </w:trPr>
        <w:tc>
          <w:tcPr>
            <w:tcW w:w="1808" w:type="pct"/>
            <w:tcBorders>
              <w:top w:val="single" w:sz="4" w:space="0" w:color="auto"/>
              <w:left w:val="single" w:sz="4" w:space="0" w:color="auto"/>
              <w:bottom w:val="single" w:sz="4" w:space="0" w:color="auto"/>
              <w:right w:val="single" w:sz="4" w:space="0" w:color="auto"/>
            </w:tcBorders>
            <w:vAlign w:val="bottom"/>
          </w:tcPr>
          <w:p w14:paraId="1DA91219" w14:textId="77777777" w:rsidR="00C36D57" w:rsidRPr="002041DF" w:rsidRDefault="00C36D57" w:rsidP="002041DF">
            <w:pPr>
              <w:widowControl w:val="0"/>
              <w:rPr>
                <w:snapToGrid w:val="0"/>
                <w:sz w:val="22"/>
                <w:szCs w:val="22"/>
                <w:lang w:val="sr-Latn-ME"/>
              </w:rPr>
            </w:pPr>
            <w:r w:rsidRPr="002041DF">
              <w:rPr>
                <w:snapToGrid w:val="0"/>
                <w:sz w:val="22"/>
                <w:szCs w:val="22"/>
                <w:lang w:val="sr-Latn-ME"/>
              </w:rPr>
              <w:t>PASI</w:t>
            </w:r>
            <w:r w:rsidRPr="002041DF">
              <w:rPr>
                <w:sz w:val="22"/>
                <w:szCs w:val="22"/>
                <w:lang w:val="sr-Latn-ME"/>
              </w:rPr>
              <w:t> </w:t>
            </w:r>
            <w:r w:rsidRPr="002041DF">
              <w:rPr>
                <w:snapToGrid w:val="0"/>
                <w:sz w:val="22"/>
                <w:szCs w:val="22"/>
                <w:lang w:val="sr-Latn-ME"/>
              </w:rPr>
              <w:t>100 odgovor</w:t>
            </w:r>
            <w:r w:rsidRPr="002041DF">
              <w:rPr>
                <w:snapToGrid w:val="0"/>
                <w:sz w:val="22"/>
                <w:szCs w:val="22"/>
                <w:vertAlign w:val="superscript"/>
                <w:lang w:val="sr-Latn-ME"/>
              </w:rPr>
              <w:t xml:space="preserve"> </w:t>
            </w:r>
          </w:p>
        </w:tc>
        <w:tc>
          <w:tcPr>
            <w:tcW w:w="884" w:type="pct"/>
            <w:tcBorders>
              <w:top w:val="single" w:sz="4" w:space="0" w:color="auto"/>
              <w:left w:val="single" w:sz="4" w:space="0" w:color="auto"/>
              <w:bottom w:val="single" w:sz="4" w:space="0" w:color="auto"/>
              <w:right w:val="single" w:sz="4" w:space="0" w:color="auto"/>
            </w:tcBorders>
            <w:vAlign w:val="center"/>
          </w:tcPr>
          <w:p w14:paraId="7A280FE3" w14:textId="77777777" w:rsidR="00C36D57" w:rsidRPr="002041DF" w:rsidRDefault="00C36D57" w:rsidP="002041DF">
            <w:pPr>
              <w:widowControl w:val="0"/>
              <w:adjustRightInd w:val="0"/>
              <w:rPr>
                <w:sz w:val="22"/>
                <w:szCs w:val="22"/>
                <w:lang w:val="sr-Latn-ME"/>
              </w:rPr>
            </w:pPr>
            <w:r w:rsidRPr="002041DF">
              <w:rPr>
                <w:sz w:val="22"/>
                <w:szCs w:val="22"/>
                <w:lang w:val="sr-Latn-ME"/>
              </w:rPr>
              <w:t>1 (2,7%)</w:t>
            </w:r>
          </w:p>
        </w:tc>
        <w:tc>
          <w:tcPr>
            <w:tcW w:w="1154" w:type="pct"/>
            <w:gridSpan w:val="2"/>
            <w:tcBorders>
              <w:top w:val="single" w:sz="4" w:space="0" w:color="auto"/>
              <w:left w:val="single" w:sz="4" w:space="0" w:color="auto"/>
              <w:bottom w:val="single" w:sz="4" w:space="0" w:color="auto"/>
              <w:right w:val="single" w:sz="4" w:space="0" w:color="auto"/>
            </w:tcBorders>
            <w:vAlign w:val="center"/>
          </w:tcPr>
          <w:p w14:paraId="6DF66A41" w14:textId="77777777" w:rsidR="00C36D57" w:rsidRPr="002041DF" w:rsidRDefault="00C36D57" w:rsidP="002041DF">
            <w:pPr>
              <w:widowControl w:val="0"/>
              <w:adjustRightInd w:val="0"/>
              <w:rPr>
                <w:sz w:val="22"/>
                <w:szCs w:val="22"/>
                <w:lang w:val="sr-Latn-ME"/>
              </w:rPr>
            </w:pPr>
            <w:r w:rsidRPr="002041DF">
              <w:rPr>
                <w:sz w:val="22"/>
                <w:szCs w:val="22"/>
                <w:lang w:val="sr-Latn-ME"/>
              </w:rPr>
              <w:t>14 (38,9%)</w:t>
            </w:r>
            <w:r w:rsidRPr="002041DF">
              <w:rPr>
                <w:snapToGrid w:val="0"/>
                <w:sz w:val="22"/>
                <w:szCs w:val="22"/>
                <w:vertAlign w:val="superscript"/>
                <w:lang w:val="sr-Latn-ME"/>
              </w:rPr>
              <w:t>a</w:t>
            </w:r>
          </w:p>
        </w:tc>
        <w:tc>
          <w:tcPr>
            <w:tcW w:w="1154" w:type="pct"/>
            <w:tcBorders>
              <w:top w:val="single" w:sz="4" w:space="0" w:color="auto"/>
              <w:left w:val="single" w:sz="4" w:space="0" w:color="auto"/>
              <w:bottom w:val="single" w:sz="4" w:space="0" w:color="auto"/>
              <w:right w:val="single" w:sz="4" w:space="0" w:color="auto"/>
            </w:tcBorders>
            <w:vAlign w:val="center"/>
          </w:tcPr>
          <w:p w14:paraId="215723F2" w14:textId="77777777" w:rsidR="00C36D57" w:rsidRPr="002041DF" w:rsidRDefault="00C36D57" w:rsidP="002041DF">
            <w:pPr>
              <w:widowControl w:val="0"/>
              <w:adjustRightInd w:val="0"/>
              <w:rPr>
                <w:sz w:val="22"/>
                <w:szCs w:val="22"/>
                <w:lang w:val="sr-Latn-ME"/>
              </w:rPr>
            </w:pPr>
            <w:r w:rsidRPr="002041DF">
              <w:rPr>
                <w:sz w:val="22"/>
                <w:szCs w:val="22"/>
                <w:lang w:val="sr-Latn-ME"/>
              </w:rPr>
              <w:t>13 (37,1%)</w:t>
            </w:r>
          </w:p>
        </w:tc>
      </w:tr>
      <w:tr w:rsidR="00C36D57" w:rsidRPr="002041DF" w14:paraId="2F61A125" w14:textId="77777777" w:rsidTr="007C6E24">
        <w:trPr>
          <w:cantSplit/>
          <w:jc w:val="center"/>
        </w:trPr>
        <w:tc>
          <w:tcPr>
            <w:tcW w:w="5000" w:type="pct"/>
            <w:gridSpan w:val="5"/>
            <w:tcBorders>
              <w:top w:val="single" w:sz="4" w:space="0" w:color="auto"/>
              <w:left w:val="single" w:sz="4" w:space="0" w:color="auto"/>
              <w:bottom w:val="single" w:sz="4" w:space="0" w:color="auto"/>
              <w:right w:val="single" w:sz="4" w:space="0" w:color="auto"/>
            </w:tcBorders>
          </w:tcPr>
          <w:p w14:paraId="6112F584" w14:textId="77777777" w:rsidR="00C36D57" w:rsidRPr="002041DF" w:rsidRDefault="00C36D57" w:rsidP="002041DF">
            <w:pPr>
              <w:widowControl w:val="0"/>
              <w:adjustRightInd w:val="0"/>
              <w:rPr>
                <w:b/>
                <w:sz w:val="22"/>
                <w:szCs w:val="22"/>
                <w:lang w:val="sr-Latn-ME"/>
              </w:rPr>
            </w:pPr>
            <w:r w:rsidRPr="002041DF">
              <w:rPr>
                <w:b/>
                <w:sz w:val="22"/>
                <w:szCs w:val="22"/>
                <w:lang w:val="sr-Latn-ME"/>
              </w:rPr>
              <w:t>CDLQI</w:t>
            </w:r>
          </w:p>
        </w:tc>
      </w:tr>
      <w:tr w:rsidR="00C36D57" w:rsidRPr="002041DF" w14:paraId="667CFF12" w14:textId="77777777" w:rsidTr="007C6E24">
        <w:trPr>
          <w:cantSplit/>
          <w:jc w:val="center"/>
        </w:trPr>
        <w:tc>
          <w:tcPr>
            <w:tcW w:w="1808" w:type="pct"/>
            <w:tcBorders>
              <w:top w:val="single" w:sz="4" w:space="0" w:color="auto"/>
              <w:left w:val="single" w:sz="4" w:space="0" w:color="auto"/>
              <w:bottom w:val="single" w:sz="4" w:space="0" w:color="auto"/>
              <w:right w:val="single" w:sz="4" w:space="0" w:color="auto"/>
            </w:tcBorders>
            <w:vAlign w:val="bottom"/>
          </w:tcPr>
          <w:p w14:paraId="4F6FDA43" w14:textId="77777777" w:rsidR="00C36D57" w:rsidRPr="002041DF" w:rsidRDefault="00C36D57" w:rsidP="002041DF">
            <w:pPr>
              <w:widowControl w:val="0"/>
              <w:rPr>
                <w:snapToGrid w:val="0"/>
                <w:sz w:val="22"/>
                <w:szCs w:val="22"/>
                <w:lang w:val="sr-Latn-ME"/>
              </w:rPr>
            </w:pPr>
            <w:r w:rsidRPr="002041DF">
              <w:rPr>
                <w:snapToGrid w:val="0"/>
                <w:sz w:val="22"/>
                <w:szCs w:val="22"/>
                <w:lang w:val="sr-Latn-ME"/>
              </w:rPr>
              <w:t>CDLQI 0 ili 1</w:t>
            </w:r>
            <w:r w:rsidRPr="002041DF">
              <w:rPr>
                <w:snapToGrid w:val="0"/>
                <w:sz w:val="22"/>
                <w:szCs w:val="22"/>
                <w:vertAlign w:val="superscript"/>
                <w:lang w:val="sr-Latn-ME"/>
              </w:rPr>
              <w:t>b</w:t>
            </w:r>
          </w:p>
        </w:tc>
        <w:tc>
          <w:tcPr>
            <w:tcW w:w="884" w:type="pct"/>
            <w:tcBorders>
              <w:top w:val="single" w:sz="4" w:space="0" w:color="auto"/>
              <w:left w:val="single" w:sz="4" w:space="0" w:color="auto"/>
              <w:bottom w:val="single" w:sz="4" w:space="0" w:color="auto"/>
              <w:right w:val="single" w:sz="4" w:space="0" w:color="auto"/>
            </w:tcBorders>
            <w:vAlign w:val="center"/>
          </w:tcPr>
          <w:p w14:paraId="111523AB" w14:textId="77777777" w:rsidR="00C36D57" w:rsidRPr="002041DF" w:rsidRDefault="00C36D57" w:rsidP="002041DF">
            <w:pPr>
              <w:widowControl w:val="0"/>
              <w:adjustRightInd w:val="0"/>
              <w:rPr>
                <w:sz w:val="22"/>
                <w:szCs w:val="22"/>
                <w:lang w:val="sr-Latn-ME"/>
              </w:rPr>
            </w:pPr>
            <w:r w:rsidRPr="002041DF">
              <w:rPr>
                <w:snapToGrid w:val="0"/>
                <w:sz w:val="22"/>
                <w:szCs w:val="22"/>
                <w:lang w:val="sr-Latn-ME"/>
              </w:rPr>
              <w:t>6 (16,2%)</w:t>
            </w:r>
          </w:p>
        </w:tc>
        <w:tc>
          <w:tcPr>
            <w:tcW w:w="1154" w:type="pct"/>
            <w:gridSpan w:val="2"/>
            <w:tcBorders>
              <w:top w:val="single" w:sz="4" w:space="0" w:color="auto"/>
              <w:left w:val="single" w:sz="4" w:space="0" w:color="auto"/>
              <w:bottom w:val="single" w:sz="4" w:space="0" w:color="auto"/>
              <w:right w:val="single" w:sz="4" w:space="0" w:color="auto"/>
            </w:tcBorders>
            <w:vAlign w:val="center"/>
          </w:tcPr>
          <w:p w14:paraId="73061D1A" w14:textId="77777777" w:rsidR="00C36D57" w:rsidRPr="002041DF" w:rsidRDefault="00C36D57" w:rsidP="002041DF">
            <w:pPr>
              <w:widowControl w:val="0"/>
              <w:adjustRightInd w:val="0"/>
              <w:rPr>
                <w:sz w:val="22"/>
                <w:szCs w:val="22"/>
                <w:lang w:val="sr-Latn-ME"/>
              </w:rPr>
            </w:pPr>
            <w:r w:rsidRPr="002041DF">
              <w:rPr>
                <w:snapToGrid w:val="0"/>
                <w:sz w:val="22"/>
                <w:szCs w:val="22"/>
                <w:lang w:val="sr-Latn-ME"/>
              </w:rPr>
              <w:t>18 (50,0%)</w:t>
            </w:r>
            <w:r w:rsidRPr="002041DF">
              <w:rPr>
                <w:snapToGrid w:val="0"/>
                <w:sz w:val="22"/>
                <w:szCs w:val="22"/>
                <w:vertAlign w:val="superscript"/>
                <w:lang w:val="sr-Latn-ME"/>
              </w:rPr>
              <w:t>c</w:t>
            </w:r>
          </w:p>
        </w:tc>
        <w:tc>
          <w:tcPr>
            <w:tcW w:w="1154" w:type="pct"/>
            <w:tcBorders>
              <w:top w:val="single" w:sz="4" w:space="0" w:color="auto"/>
              <w:left w:val="single" w:sz="4" w:space="0" w:color="auto"/>
              <w:bottom w:val="single" w:sz="4" w:space="0" w:color="auto"/>
              <w:right w:val="single" w:sz="4" w:space="0" w:color="auto"/>
            </w:tcBorders>
            <w:vAlign w:val="center"/>
          </w:tcPr>
          <w:p w14:paraId="4C97614F" w14:textId="77777777" w:rsidR="00C36D57" w:rsidRPr="002041DF" w:rsidRDefault="00C36D57" w:rsidP="002041DF">
            <w:pPr>
              <w:widowControl w:val="0"/>
              <w:adjustRightInd w:val="0"/>
              <w:rPr>
                <w:sz w:val="22"/>
                <w:szCs w:val="22"/>
                <w:lang w:val="sr-Latn-ME"/>
              </w:rPr>
            </w:pPr>
            <w:r w:rsidRPr="002041DF">
              <w:rPr>
                <w:snapToGrid w:val="0"/>
                <w:sz w:val="22"/>
                <w:szCs w:val="22"/>
                <w:lang w:val="sr-Latn-ME"/>
              </w:rPr>
              <w:t>20 (57,1%)</w:t>
            </w:r>
          </w:p>
        </w:tc>
      </w:tr>
      <w:tr w:rsidR="00C36D57" w:rsidRPr="002041DF" w14:paraId="419CBAA4" w14:textId="77777777" w:rsidTr="007C6E24">
        <w:trPr>
          <w:cantSplit/>
          <w:jc w:val="center"/>
        </w:trPr>
        <w:tc>
          <w:tcPr>
            <w:tcW w:w="5000" w:type="pct"/>
            <w:gridSpan w:val="5"/>
            <w:tcBorders>
              <w:top w:val="single" w:sz="4" w:space="0" w:color="auto"/>
              <w:left w:val="single" w:sz="4" w:space="0" w:color="auto"/>
              <w:bottom w:val="single" w:sz="4" w:space="0" w:color="auto"/>
              <w:right w:val="single" w:sz="4" w:space="0" w:color="auto"/>
            </w:tcBorders>
            <w:vAlign w:val="bottom"/>
          </w:tcPr>
          <w:p w14:paraId="64523A8A" w14:textId="77777777" w:rsidR="00C36D57" w:rsidRPr="002041DF" w:rsidRDefault="00C36D57" w:rsidP="002041DF">
            <w:pPr>
              <w:widowControl w:val="0"/>
              <w:adjustRightInd w:val="0"/>
              <w:rPr>
                <w:b/>
                <w:sz w:val="22"/>
                <w:szCs w:val="22"/>
                <w:lang w:val="sr-Latn-ME"/>
              </w:rPr>
            </w:pPr>
            <w:r w:rsidRPr="002041DF">
              <w:rPr>
                <w:b/>
                <w:sz w:val="22"/>
                <w:szCs w:val="22"/>
                <w:lang w:val="sr-Latn-ME"/>
              </w:rPr>
              <w:t>PedsQL</w:t>
            </w:r>
          </w:p>
        </w:tc>
      </w:tr>
      <w:tr w:rsidR="00C36D57" w:rsidRPr="002041DF" w14:paraId="437F284E" w14:textId="77777777" w:rsidTr="007C6E24">
        <w:trPr>
          <w:cantSplit/>
          <w:jc w:val="center"/>
        </w:trPr>
        <w:tc>
          <w:tcPr>
            <w:tcW w:w="1808" w:type="pct"/>
            <w:tcBorders>
              <w:top w:val="single" w:sz="4" w:space="0" w:color="auto"/>
              <w:left w:val="single" w:sz="4" w:space="0" w:color="auto"/>
              <w:right w:val="single" w:sz="4" w:space="0" w:color="auto"/>
            </w:tcBorders>
            <w:vAlign w:val="bottom"/>
          </w:tcPr>
          <w:p w14:paraId="34B0FEBE" w14:textId="25EF7213" w:rsidR="00C36D57" w:rsidRPr="002041DF" w:rsidRDefault="00C36D57" w:rsidP="002041DF">
            <w:pPr>
              <w:widowControl w:val="0"/>
              <w:rPr>
                <w:snapToGrid w:val="0"/>
                <w:sz w:val="22"/>
                <w:szCs w:val="22"/>
                <w:vertAlign w:val="superscript"/>
                <w:lang w:val="sr-Latn-ME"/>
              </w:rPr>
            </w:pPr>
            <w:r w:rsidRPr="002041DF">
              <w:rPr>
                <w:snapToGrid w:val="0"/>
                <w:sz w:val="22"/>
                <w:szCs w:val="22"/>
                <w:lang w:val="sr-Latn-ME"/>
              </w:rPr>
              <w:t>Prom</w:t>
            </w:r>
            <w:r w:rsidR="006A5AC5" w:rsidRPr="002041DF">
              <w:rPr>
                <w:snapToGrid w:val="0"/>
                <w:sz w:val="22"/>
                <w:szCs w:val="22"/>
                <w:lang w:val="sr-Latn-ME"/>
              </w:rPr>
              <w:t>j</w:t>
            </w:r>
            <w:r w:rsidRPr="002041DF">
              <w:rPr>
                <w:snapToGrid w:val="0"/>
                <w:sz w:val="22"/>
                <w:szCs w:val="22"/>
                <w:lang w:val="sr-Latn-ME"/>
              </w:rPr>
              <w:t>ena u odnosu na početnu</w:t>
            </w:r>
            <w:r w:rsidR="0038273D" w:rsidRPr="002041DF">
              <w:rPr>
                <w:snapToGrid w:val="0"/>
                <w:sz w:val="22"/>
                <w:szCs w:val="22"/>
                <w:lang w:val="sr-Latn-ME"/>
              </w:rPr>
              <w:t xml:space="preserve"> vrijednost </w:t>
            </w:r>
          </w:p>
          <w:p w14:paraId="05299EB6" w14:textId="6DF80F97" w:rsidR="00C36D57" w:rsidRPr="002041DF" w:rsidRDefault="00C36D57" w:rsidP="002041DF">
            <w:pPr>
              <w:widowControl w:val="0"/>
              <w:rPr>
                <w:snapToGrid w:val="0"/>
                <w:sz w:val="22"/>
                <w:szCs w:val="22"/>
                <w:vertAlign w:val="superscript"/>
                <w:lang w:val="sr-Latn-ME"/>
              </w:rPr>
            </w:pPr>
            <w:r w:rsidRPr="002041DF">
              <w:rPr>
                <w:snapToGrid w:val="0"/>
                <w:sz w:val="22"/>
                <w:szCs w:val="22"/>
                <w:lang w:val="sr-Latn-ME"/>
              </w:rPr>
              <w:t>Srednja</w:t>
            </w:r>
            <w:r w:rsidR="0038273D" w:rsidRPr="002041DF">
              <w:rPr>
                <w:snapToGrid w:val="0"/>
                <w:sz w:val="22"/>
                <w:szCs w:val="22"/>
                <w:lang w:val="sr-Latn-ME"/>
              </w:rPr>
              <w:t xml:space="preserve"> vrijednost </w:t>
            </w:r>
            <w:r w:rsidRPr="002041DF">
              <w:rPr>
                <w:snapToGrid w:val="0"/>
                <w:sz w:val="22"/>
                <w:szCs w:val="22"/>
                <w:lang w:val="sr-Latn-ME"/>
              </w:rPr>
              <w:t>(SD)</w:t>
            </w:r>
            <w:r w:rsidRPr="002041DF">
              <w:rPr>
                <w:snapToGrid w:val="0"/>
                <w:sz w:val="22"/>
                <w:szCs w:val="22"/>
                <w:vertAlign w:val="superscript"/>
                <w:lang w:val="sr-Latn-ME"/>
              </w:rPr>
              <w:t xml:space="preserve"> d</w:t>
            </w:r>
          </w:p>
          <w:p w14:paraId="28BA5DDF" w14:textId="77777777" w:rsidR="00C36D57" w:rsidRPr="002041DF" w:rsidRDefault="00C36D57" w:rsidP="002041DF">
            <w:pPr>
              <w:widowControl w:val="0"/>
              <w:rPr>
                <w:snapToGrid w:val="0"/>
                <w:sz w:val="22"/>
                <w:szCs w:val="22"/>
                <w:vertAlign w:val="superscript"/>
                <w:lang w:val="sr-Latn-ME"/>
              </w:rPr>
            </w:pPr>
          </w:p>
        </w:tc>
        <w:tc>
          <w:tcPr>
            <w:tcW w:w="884" w:type="pct"/>
            <w:tcBorders>
              <w:top w:val="single" w:sz="4" w:space="0" w:color="auto"/>
              <w:left w:val="single" w:sz="4" w:space="0" w:color="auto"/>
              <w:right w:val="single" w:sz="4" w:space="0" w:color="auto"/>
            </w:tcBorders>
            <w:vAlign w:val="center"/>
          </w:tcPr>
          <w:p w14:paraId="10AFFEDE" w14:textId="77777777" w:rsidR="00C36D57" w:rsidRPr="002041DF" w:rsidRDefault="00C36D57" w:rsidP="002041DF">
            <w:pPr>
              <w:widowControl w:val="0"/>
              <w:adjustRightInd w:val="0"/>
              <w:rPr>
                <w:sz w:val="22"/>
                <w:szCs w:val="22"/>
                <w:lang w:val="sr-Latn-ME"/>
              </w:rPr>
            </w:pPr>
            <w:r w:rsidRPr="002041DF">
              <w:rPr>
                <w:sz w:val="22"/>
                <w:szCs w:val="22"/>
                <w:lang w:val="sr-Latn-ME"/>
              </w:rPr>
              <w:t>3,35 (10,04)</w:t>
            </w:r>
          </w:p>
        </w:tc>
        <w:tc>
          <w:tcPr>
            <w:tcW w:w="1154" w:type="pct"/>
            <w:gridSpan w:val="2"/>
            <w:tcBorders>
              <w:top w:val="single" w:sz="4" w:space="0" w:color="auto"/>
              <w:left w:val="single" w:sz="4" w:space="0" w:color="auto"/>
              <w:right w:val="single" w:sz="4" w:space="0" w:color="auto"/>
            </w:tcBorders>
            <w:vAlign w:val="center"/>
          </w:tcPr>
          <w:p w14:paraId="4AD14FBB" w14:textId="77777777" w:rsidR="00C36D57" w:rsidRPr="002041DF" w:rsidRDefault="00C36D57" w:rsidP="002041DF">
            <w:pPr>
              <w:widowControl w:val="0"/>
              <w:adjustRightInd w:val="0"/>
              <w:rPr>
                <w:sz w:val="22"/>
                <w:szCs w:val="22"/>
                <w:lang w:val="sr-Latn-ME"/>
              </w:rPr>
            </w:pPr>
            <w:r w:rsidRPr="002041DF">
              <w:rPr>
                <w:sz w:val="22"/>
                <w:szCs w:val="22"/>
                <w:lang w:val="sr-Latn-ME"/>
              </w:rPr>
              <w:t>8,03 (10,44)</w:t>
            </w:r>
            <w:r w:rsidRPr="002041DF">
              <w:rPr>
                <w:sz w:val="22"/>
                <w:szCs w:val="22"/>
                <w:vertAlign w:val="superscript"/>
                <w:lang w:val="sr-Latn-ME"/>
              </w:rPr>
              <w:t>e</w:t>
            </w:r>
          </w:p>
        </w:tc>
        <w:tc>
          <w:tcPr>
            <w:tcW w:w="1154" w:type="pct"/>
            <w:tcBorders>
              <w:top w:val="single" w:sz="4" w:space="0" w:color="auto"/>
              <w:left w:val="single" w:sz="4" w:space="0" w:color="auto"/>
              <w:right w:val="single" w:sz="4" w:space="0" w:color="auto"/>
            </w:tcBorders>
            <w:vAlign w:val="center"/>
          </w:tcPr>
          <w:p w14:paraId="5AECA4E7" w14:textId="77777777" w:rsidR="00C36D57" w:rsidRPr="002041DF" w:rsidRDefault="00C36D57" w:rsidP="002041DF">
            <w:pPr>
              <w:widowControl w:val="0"/>
              <w:adjustRightInd w:val="0"/>
              <w:rPr>
                <w:sz w:val="22"/>
                <w:szCs w:val="22"/>
                <w:lang w:val="sr-Latn-ME"/>
              </w:rPr>
            </w:pPr>
            <w:r w:rsidRPr="002041DF">
              <w:rPr>
                <w:sz w:val="22"/>
                <w:szCs w:val="22"/>
                <w:lang w:val="sr-Latn-ME"/>
              </w:rPr>
              <w:t>7,26 (10,92)</w:t>
            </w:r>
          </w:p>
        </w:tc>
      </w:tr>
      <w:tr w:rsidR="00C36D57" w:rsidRPr="002041DF" w14:paraId="1344340D" w14:textId="77777777" w:rsidTr="007C6E24">
        <w:trPr>
          <w:cantSplit/>
          <w:jc w:val="center"/>
        </w:trPr>
        <w:tc>
          <w:tcPr>
            <w:tcW w:w="5000" w:type="pct"/>
            <w:gridSpan w:val="5"/>
            <w:tcBorders>
              <w:top w:val="single" w:sz="4" w:space="0" w:color="auto"/>
              <w:left w:val="nil"/>
              <w:bottom w:val="nil"/>
              <w:right w:val="nil"/>
            </w:tcBorders>
          </w:tcPr>
          <w:p w14:paraId="003A11E1" w14:textId="77777777" w:rsidR="00C36D57" w:rsidRPr="007C6E24" w:rsidRDefault="00C36D57" w:rsidP="002041DF">
            <w:pPr>
              <w:widowControl w:val="0"/>
              <w:tabs>
                <w:tab w:val="left" w:pos="284"/>
              </w:tabs>
              <w:ind w:left="284" w:hanging="284"/>
              <w:rPr>
                <w:sz w:val="20"/>
                <w:szCs w:val="22"/>
                <w:lang w:val="sr-Latn-ME"/>
              </w:rPr>
            </w:pPr>
            <w:r w:rsidRPr="007C6E24">
              <w:rPr>
                <w:sz w:val="20"/>
                <w:szCs w:val="22"/>
                <w:vertAlign w:val="superscript"/>
                <w:lang w:val="sr-Latn-ME"/>
              </w:rPr>
              <w:t>a</w:t>
            </w:r>
            <w:r w:rsidRPr="007C6E24">
              <w:rPr>
                <w:sz w:val="20"/>
                <w:szCs w:val="22"/>
                <w:lang w:val="sr-Latn-ME"/>
              </w:rPr>
              <w:tab/>
              <w:t>p &lt; 0,001</w:t>
            </w:r>
          </w:p>
          <w:p w14:paraId="4ECC9A89" w14:textId="272D7A7A" w:rsidR="00C36D57" w:rsidRPr="007C6E24" w:rsidRDefault="00C36D57" w:rsidP="002041DF">
            <w:pPr>
              <w:widowControl w:val="0"/>
              <w:tabs>
                <w:tab w:val="left" w:pos="284"/>
              </w:tabs>
              <w:ind w:left="284" w:hanging="284"/>
              <w:rPr>
                <w:sz w:val="20"/>
                <w:szCs w:val="22"/>
                <w:lang w:val="sr-Latn-ME"/>
              </w:rPr>
            </w:pPr>
            <w:r w:rsidRPr="007C6E24">
              <w:rPr>
                <w:sz w:val="20"/>
                <w:szCs w:val="22"/>
                <w:vertAlign w:val="superscript"/>
                <w:lang w:val="sr-Latn-ME"/>
              </w:rPr>
              <w:t>b</w:t>
            </w:r>
            <w:r w:rsidRPr="007C6E24">
              <w:rPr>
                <w:sz w:val="20"/>
                <w:szCs w:val="22"/>
                <w:vertAlign w:val="superscript"/>
                <w:lang w:val="sr-Latn-ME"/>
              </w:rPr>
              <w:tab/>
            </w:r>
            <w:r w:rsidRPr="007C6E24">
              <w:rPr>
                <w:sz w:val="20"/>
                <w:szCs w:val="22"/>
                <w:lang w:val="sr-Latn-ME"/>
              </w:rPr>
              <w:t>CDLQI: CDLQI je dermatološki instrument za proc</w:t>
            </w:r>
            <w:r w:rsidR="006A5AC5" w:rsidRPr="007C6E24">
              <w:rPr>
                <w:sz w:val="20"/>
                <w:szCs w:val="22"/>
                <w:lang w:val="sr-Latn-ME"/>
              </w:rPr>
              <w:t>j</w:t>
            </w:r>
            <w:r w:rsidRPr="007C6E24">
              <w:rPr>
                <w:sz w:val="20"/>
                <w:szCs w:val="22"/>
                <w:lang w:val="sr-Latn-ME"/>
              </w:rPr>
              <w:t>enu uticaja problema sa kožom na kvalitet života povezan sa zdravljem u pedijatrijskoj populaciji. CDLQI 0 ili 1 ukazije da nema uticaja na kvalitet života d</w:t>
            </w:r>
            <w:r w:rsidR="006A5AC5" w:rsidRPr="007C6E24">
              <w:rPr>
                <w:sz w:val="20"/>
                <w:szCs w:val="22"/>
                <w:lang w:val="sr-Latn-ME"/>
              </w:rPr>
              <w:t>j</w:t>
            </w:r>
            <w:r w:rsidRPr="007C6E24">
              <w:rPr>
                <w:sz w:val="20"/>
                <w:szCs w:val="22"/>
                <w:lang w:val="sr-Latn-ME"/>
              </w:rPr>
              <w:t>eteta.</w:t>
            </w:r>
          </w:p>
          <w:p w14:paraId="1A5163A6" w14:textId="77777777" w:rsidR="00C36D57" w:rsidRPr="007C6E24" w:rsidRDefault="00C36D57" w:rsidP="002041DF">
            <w:pPr>
              <w:widowControl w:val="0"/>
              <w:tabs>
                <w:tab w:val="left" w:pos="284"/>
              </w:tabs>
              <w:ind w:left="284" w:hanging="284"/>
              <w:rPr>
                <w:sz w:val="20"/>
                <w:szCs w:val="22"/>
                <w:lang w:val="sr-Latn-ME"/>
              </w:rPr>
            </w:pPr>
            <w:r w:rsidRPr="007C6E24">
              <w:rPr>
                <w:sz w:val="20"/>
                <w:szCs w:val="22"/>
                <w:vertAlign w:val="superscript"/>
                <w:lang w:val="sr-Latn-ME"/>
              </w:rPr>
              <w:t>c</w:t>
            </w:r>
            <w:r w:rsidRPr="007C6E24">
              <w:rPr>
                <w:sz w:val="20"/>
                <w:szCs w:val="22"/>
                <w:lang w:val="sr-Latn-ME"/>
              </w:rPr>
              <w:tab/>
              <w:t>p = 0,002</w:t>
            </w:r>
          </w:p>
          <w:p w14:paraId="3F688C0E" w14:textId="6957CC5A" w:rsidR="00C36D57" w:rsidRPr="007C6E24" w:rsidRDefault="00C36D57" w:rsidP="002041DF">
            <w:pPr>
              <w:widowControl w:val="0"/>
              <w:ind w:left="284" w:hanging="284"/>
              <w:rPr>
                <w:sz w:val="20"/>
                <w:szCs w:val="22"/>
                <w:lang w:val="sr-Latn-ME"/>
              </w:rPr>
            </w:pPr>
            <w:r w:rsidRPr="007C6E24">
              <w:rPr>
                <w:sz w:val="20"/>
                <w:szCs w:val="22"/>
                <w:vertAlign w:val="superscript"/>
                <w:lang w:val="sr-Latn-ME"/>
              </w:rPr>
              <w:t>d</w:t>
            </w:r>
            <w:r w:rsidRPr="007C6E24">
              <w:rPr>
                <w:sz w:val="20"/>
                <w:szCs w:val="22"/>
                <w:lang w:val="sr-Latn-ME"/>
              </w:rPr>
              <w:tab/>
              <w:t>PedsQL: PedsQL Zbir ukupne skale je opšta m</w:t>
            </w:r>
            <w:r w:rsidR="006A5AC5" w:rsidRPr="007C6E24">
              <w:rPr>
                <w:sz w:val="20"/>
                <w:szCs w:val="22"/>
                <w:lang w:val="sr-Latn-ME"/>
              </w:rPr>
              <w:t>j</w:t>
            </w:r>
            <w:r w:rsidRPr="007C6E24">
              <w:rPr>
                <w:sz w:val="20"/>
                <w:szCs w:val="22"/>
                <w:lang w:val="sr-Latn-ME"/>
              </w:rPr>
              <w:t>era kvaliteta života povezana sa zdravljem, razvijena za</w:t>
            </w:r>
            <w:r w:rsidR="00A35D07" w:rsidRPr="007C6E24">
              <w:rPr>
                <w:sz w:val="20"/>
                <w:szCs w:val="22"/>
                <w:lang w:val="sr-Latn-ME"/>
              </w:rPr>
              <w:t xml:space="preserve"> primjenu </w:t>
            </w:r>
            <w:r w:rsidRPr="007C6E24">
              <w:rPr>
                <w:sz w:val="20"/>
                <w:szCs w:val="22"/>
                <w:lang w:val="sr-Latn-ME"/>
              </w:rPr>
              <w:t>kod d</w:t>
            </w:r>
            <w:r w:rsidR="006A5AC5" w:rsidRPr="007C6E24">
              <w:rPr>
                <w:sz w:val="20"/>
                <w:szCs w:val="22"/>
                <w:lang w:val="sr-Latn-ME"/>
              </w:rPr>
              <w:t>j</w:t>
            </w:r>
            <w:r w:rsidRPr="007C6E24">
              <w:rPr>
                <w:sz w:val="20"/>
                <w:szCs w:val="22"/>
                <w:lang w:val="sr-Latn-ME"/>
              </w:rPr>
              <w:t>ece i adolescenata. Za placebo grupu u 12. </w:t>
            </w:r>
            <w:r w:rsidR="004372C4" w:rsidRPr="007C6E24">
              <w:rPr>
                <w:sz w:val="20"/>
                <w:szCs w:val="22"/>
                <w:lang w:val="sr-Latn-ME"/>
              </w:rPr>
              <w:t>nedjelji</w:t>
            </w:r>
            <w:r w:rsidRPr="007C6E24">
              <w:rPr>
                <w:sz w:val="20"/>
                <w:szCs w:val="22"/>
                <w:lang w:val="sr-Latn-ME"/>
              </w:rPr>
              <w:t>, N = 36</w:t>
            </w:r>
          </w:p>
          <w:p w14:paraId="28D1CA22" w14:textId="77777777" w:rsidR="00C36D57" w:rsidRPr="007C6E24" w:rsidRDefault="00C36D57" w:rsidP="002041DF">
            <w:pPr>
              <w:widowControl w:val="0"/>
              <w:ind w:left="284" w:hanging="284"/>
              <w:rPr>
                <w:sz w:val="20"/>
                <w:szCs w:val="22"/>
                <w:lang w:val="sr-Latn-ME"/>
              </w:rPr>
            </w:pPr>
            <w:r w:rsidRPr="007C6E24">
              <w:rPr>
                <w:sz w:val="20"/>
                <w:szCs w:val="22"/>
                <w:vertAlign w:val="superscript"/>
                <w:lang w:val="sr-Latn-ME"/>
              </w:rPr>
              <w:t>e</w:t>
            </w:r>
            <w:r w:rsidRPr="007C6E24">
              <w:rPr>
                <w:sz w:val="20"/>
                <w:szCs w:val="22"/>
                <w:lang w:val="sr-Latn-ME"/>
              </w:rPr>
              <w:tab/>
              <w:t>p = 0,028</w:t>
            </w:r>
          </w:p>
        </w:tc>
      </w:tr>
    </w:tbl>
    <w:p w14:paraId="5BE95BF7" w14:textId="77777777" w:rsidR="00C36D57" w:rsidRPr="002041DF" w:rsidRDefault="00C36D57" w:rsidP="002041DF">
      <w:pPr>
        <w:widowControl w:val="0"/>
        <w:jc w:val="both"/>
        <w:rPr>
          <w:sz w:val="22"/>
          <w:szCs w:val="22"/>
          <w:lang w:val="sr-Latn-ME"/>
        </w:rPr>
      </w:pPr>
    </w:p>
    <w:p w14:paraId="2279EFDE" w14:textId="6C942D7E" w:rsidR="00C36D57" w:rsidRPr="002041DF" w:rsidRDefault="00C36D57" w:rsidP="002041DF">
      <w:pPr>
        <w:widowControl w:val="0"/>
        <w:jc w:val="both"/>
        <w:rPr>
          <w:sz w:val="22"/>
          <w:szCs w:val="22"/>
          <w:lang w:val="sr-Latn-ME"/>
        </w:rPr>
      </w:pPr>
      <w:r w:rsidRPr="002041DF">
        <w:rPr>
          <w:sz w:val="22"/>
          <w:szCs w:val="22"/>
          <w:lang w:val="sr-Latn-ME"/>
        </w:rPr>
        <w:t>Tokom dvanaestoned</w:t>
      </w:r>
      <w:r w:rsidR="006A5AC5" w:rsidRPr="002041DF">
        <w:rPr>
          <w:sz w:val="22"/>
          <w:szCs w:val="22"/>
          <w:lang w:val="sr-Latn-ME"/>
        </w:rPr>
        <w:t>j</w:t>
      </w:r>
      <w:r w:rsidRPr="002041DF">
        <w:rPr>
          <w:sz w:val="22"/>
          <w:szCs w:val="22"/>
          <w:lang w:val="sr-Latn-ME"/>
        </w:rPr>
        <w:t>eljnog placebo kontrolisanog perioda, efikasnost u ob</w:t>
      </w:r>
      <w:r w:rsidR="006A5AC5" w:rsidRPr="002041DF">
        <w:rPr>
          <w:sz w:val="22"/>
          <w:szCs w:val="22"/>
          <w:lang w:val="sr-Latn-ME"/>
        </w:rPr>
        <w:t>j</w:t>
      </w:r>
      <w:r w:rsidRPr="002041DF">
        <w:rPr>
          <w:sz w:val="22"/>
          <w:szCs w:val="22"/>
          <w:lang w:val="sr-Latn-ME"/>
        </w:rPr>
        <w:t>e grupe, sa preporučenom dozom i polovinom preporučene doze, je bila generalno komparabilna u odnosu na primarni parametar praćenja efikasnosti (69,4% odnosno 67,6%) mada je postojao dokaz o odgovoru na dozu za viši stepen kriterijuma efikasnosti (npr. PGA čisti (0), PASI 90). Posl</w:t>
      </w:r>
      <w:r w:rsidR="00E36E6B" w:rsidRPr="002041DF">
        <w:rPr>
          <w:sz w:val="22"/>
          <w:szCs w:val="22"/>
          <w:lang w:val="sr-Latn-ME"/>
        </w:rPr>
        <w:t>ij</w:t>
      </w:r>
      <w:r w:rsidRPr="002041DF">
        <w:rPr>
          <w:sz w:val="22"/>
          <w:szCs w:val="22"/>
          <w:lang w:val="sr-Latn-ME"/>
        </w:rPr>
        <w:t>e 12 </w:t>
      </w:r>
      <w:r w:rsidR="004372C4" w:rsidRPr="002041DF">
        <w:rPr>
          <w:sz w:val="22"/>
          <w:szCs w:val="22"/>
          <w:lang w:val="sr-Latn-ME"/>
        </w:rPr>
        <w:t>nedjelja</w:t>
      </w:r>
      <w:r w:rsidRPr="002041DF">
        <w:rPr>
          <w:sz w:val="22"/>
          <w:szCs w:val="22"/>
          <w:lang w:val="sr-Latn-ME"/>
        </w:rPr>
        <w:t xml:space="preserve">, efikasnost je uopšteno bila veća i bolje održana u grupi koja je primala preporučenu dozu u odnosu na grupu koja je primala polovinu preporučene doze u kojoj je češće </w:t>
      </w:r>
      <w:r w:rsidR="00891C9B" w:rsidRPr="002041DF">
        <w:rPr>
          <w:sz w:val="22"/>
          <w:szCs w:val="22"/>
          <w:lang w:val="sr-Latn-ME"/>
        </w:rPr>
        <w:t>zabilježen</w:t>
      </w:r>
      <w:r w:rsidRPr="002041DF">
        <w:rPr>
          <w:sz w:val="22"/>
          <w:szCs w:val="22"/>
          <w:lang w:val="sr-Latn-ME"/>
        </w:rPr>
        <w:t xml:space="preserve"> </w:t>
      </w:r>
      <w:r w:rsidR="00E50471" w:rsidRPr="002041DF">
        <w:rPr>
          <w:sz w:val="22"/>
          <w:szCs w:val="22"/>
          <w:lang w:val="sr-Latn-ME"/>
        </w:rPr>
        <w:t>umjeren</w:t>
      </w:r>
      <w:r w:rsidRPr="002041DF">
        <w:rPr>
          <w:sz w:val="22"/>
          <w:szCs w:val="22"/>
          <w:lang w:val="sr-Latn-ME"/>
        </w:rPr>
        <w:t xml:space="preserve"> gubitak efikasnosti pri kraju svakog dvanaesto ned</w:t>
      </w:r>
      <w:r w:rsidR="006A5AC5" w:rsidRPr="002041DF">
        <w:rPr>
          <w:sz w:val="22"/>
          <w:szCs w:val="22"/>
          <w:lang w:val="sr-Latn-ME"/>
        </w:rPr>
        <w:t>j</w:t>
      </w:r>
      <w:r w:rsidRPr="002041DF">
        <w:rPr>
          <w:sz w:val="22"/>
          <w:szCs w:val="22"/>
          <w:lang w:val="sr-Latn-ME"/>
        </w:rPr>
        <w:t>eljnog intervala prim</w:t>
      </w:r>
      <w:r w:rsidR="006A5AC5" w:rsidRPr="002041DF">
        <w:rPr>
          <w:sz w:val="22"/>
          <w:szCs w:val="22"/>
          <w:lang w:val="sr-Latn-ME"/>
        </w:rPr>
        <w:t>j</w:t>
      </w:r>
      <w:r w:rsidRPr="002041DF">
        <w:rPr>
          <w:sz w:val="22"/>
          <w:szCs w:val="22"/>
          <w:lang w:val="sr-Latn-ME"/>
        </w:rPr>
        <w:t>ene. Bezb</w:t>
      </w:r>
      <w:r w:rsidR="006A5AC5" w:rsidRPr="002041DF">
        <w:rPr>
          <w:sz w:val="22"/>
          <w:szCs w:val="22"/>
          <w:lang w:val="sr-Latn-ME"/>
        </w:rPr>
        <w:t>j</w:t>
      </w:r>
      <w:r w:rsidRPr="002041DF">
        <w:rPr>
          <w:sz w:val="22"/>
          <w:szCs w:val="22"/>
          <w:lang w:val="sr-Latn-ME"/>
        </w:rPr>
        <w:t>ednosni profil preporučene doze i polovine preporučene doze su bili komparabilni.</w:t>
      </w:r>
    </w:p>
    <w:p w14:paraId="3AF3E905" w14:textId="77777777" w:rsidR="00C36D57" w:rsidRPr="002041DF" w:rsidRDefault="00C36D57" w:rsidP="002041DF">
      <w:pPr>
        <w:widowControl w:val="0"/>
        <w:tabs>
          <w:tab w:val="left" w:pos="2808"/>
          <w:tab w:val="left" w:pos="9000"/>
        </w:tabs>
        <w:jc w:val="both"/>
        <w:rPr>
          <w:sz w:val="22"/>
          <w:szCs w:val="22"/>
          <w:lang w:val="sr-Latn-ME"/>
        </w:rPr>
      </w:pPr>
    </w:p>
    <w:p w14:paraId="3A3F48B2" w14:textId="49C171F1" w:rsidR="00C36D57" w:rsidRPr="002041DF" w:rsidRDefault="00C36D57" w:rsidP="002041DF">
      <w:pPr>
        <w:widowControl w:val="0"/>
        <w:jc w:val="both"/>
        <w:rPr>
          <w:bCs/>
          <w:i/>
          <w:iCs/>
          <w:sz w:val="22"/>
          <w:szCs w:val="22"/>
          <w:lang w:val="sr-Latn-ME"/>
        </w:rPr>
      </w:pPr>
      <w:r w:rsidRPr="002041DF">
        <w:rPr>
          <w:bCs/>
          <w:i/>
          <w:iCs/>
          <w:sz w:val="22"/>
          <w:szCs w:val="22"/>
          <w:lang w:val="sr-Latn-ME"/>
        </w:rPr>
        <w:t>D</w:t>
      </w:r>
      <w:r w:rsidR="006A5AC5" w:rsidRPr="002041DF">
        <w:rPr>
          <w:bCs/>
          <w:i/>
          <w:iCs/>
          <w:sz w:val="22"/>
          <w:szCs w:val="22"/>
          <w:lang w:val="sr-Latn-ME"/>
        </w:rPr>
        <w:t>j</w:t>
      </w:r>
      <w:r w:rsidRPr="002041DF">
        <w:rPr>
          <w:bCs/>
          <w:i/>
          <w:iCs/>
          <w:sz w:val="22"/>
          <w:szCs w:val="22"/>
          <w:lang w:val="sr-Latn-ME"/>
        </w:rPr>
        <w:t>eca (uzrasta 6-11 godina)</w:t>
      </w:r>
    </w:p>
    <w:p w14:paraId="2870BE1B" w14:textId="77777777" w:rsidR="003F0934" w:rsidRPr="002041DF" w:rsidRDefault="003F0934" w:rsidP="002041DF">
      <w:pPr>
        <w:widowControl w:val="0"/>
        <w:jc w:val="both"/>
        <w:rPr>
          <w:bCs/>
          <w:i/>
          <w:iCs/>
          <w:sz w:val="22"/>
          <w:szCs w:val="22"/>
          <w:lang w:val="sr-Latn-ME"/>
        </w:rPr>
      </w:pPr>
    </w:p>
    <w:p w14:paraId="28D4B360" w14:textId="16EF2227" w:rsidR="00C36D57" w:rsidRPr="002041DF" w:rsidRDefault="00C36D57" w:rsidP="002041DF">
      <w:pPr>
        <w:widowControl w:val="0"/>
        <w:jc w:val="both"/>
        <w:rPr>
          <w:sz w:val="22"/>
          <w:szCs w:val="22"/>
          <w:lang w:val="sr-Latn-ME"/>
        </w:rPr>
      </w:pPr>
      <w:r w:rsidRPr="002041DF">
        <w:rPr>
          <w:sz w:val="22"/>
          <w:szCs w:val="22"/>
          <w:lang w:val="sr-Latn-ME"/>
        </w:rPr>
        <w:t xml:space="preserve">Efikasnost ustekinumaba je ispitivana kod 44 pedijatrijska pacijenta uzrasta 6 do 11 godina sa </w:t>
      </w:r>
      <w:r w:rsidR="00E50471" w:rsidRPr="002041DF">
        <w:rPr>
          <w:sz w:val="22"/>
          <w:szCs w:val="22"/>
          <w:lang w:val="sr-Latn-ME"/>
        </w:rPr>
        <w:t>umjeren</w:t>
      </w:r>
      <w:r w:rsidRPr="002041DF">
        <w:rPr>
          <w:sz w:val="22"/>
          <w:szCs w:val="22"/>
          <w:lang w:val="sr-Latn-ME"/>
        </w:rPr>
        <w:t xml:space="preserve">om do teškom psorijazom tipa plaka u otvorenom, multicentričnom ispitivanju faze 3 u kome su pacijenti bili u jednoj grupi (CADMUS Jr.). Pacijenti su </w:t>
      </w:r>
      <w:r w:rsidR="00891C9B" w:rsidRPr="002041DF">
        <w:rPr>
          <w:sz w:val="22"/>
          <w:szCs w:val="22"/>
          <w:lang w:val="sr-Latn-ME"/>
        </w:rPr>
        <w:t>liječen</w:t>
      </w:r>
      <w:r w:rsidRPr="002041DF">
        <w:rPr>
          <w:sz w:val="22"/>
          <w:szCs w:val="22"/>
          <w:lang w:val="sr-Latn-ME"/>
        </w:rPr>
        <w:t>i preporučenom dozom ustekinumaba (</w:t>
      </w:r>
      <w:r w:rsidR="006779EA" w:rsidRPr="002041DF">
        <w:rPr>
          <w:sz w:val="22"/>
          <w:szCs w:val="22"/>
          <w:lang w:val="sr-Latn-ME"/>
        </w:rPr>
        <w:t>vidjeti</w:t>
      </w:r>
      <w:r w:rsidRPr="002041DF">
        <w:rPr>
          <w:sz w:val="22"/>
          <w:szCs w:val="22"/>
          <w:lang w:val="sr-Latn-ME"/>
        </w:rPr>
        <w:t xml:space="preserve"> </w:t>
      </w:r>
      <w:r w:rsidR="00292E06" w:rsidRPr="002041DF">
        <w:rPr>
          <w:sz w:val="22"/>
          <w:szCs w:val="22"/>
          <w:lang w:val="sr-Latn-ME"/>
        </w:rPr>
        <w:t>dio</w:t>
      </w:r>
      <w:r w:rsidRPr="002041DF">
        <w:rPr>
          <w:sz w:val="22"/>
          <w:szCs w:val="22"/>
          <w:lang w:val="sr-Latn-ME"/>
        </w:rPr>
        <w:t xml:space="preserve"> 4.2; n = 44) koji je prim</w:t>
      </w:r>
      <w:r w:rsidR="008B2B13" w:rsidRPr="002041DF">
        <w:rPr>
          <w:sz w:val="22"/>
          <w:szCs w:val="22"/>
          <w:lang w:val="sr-Latn-ME"/>
        </w:rPr>
        <w:t>ij</w:t>
      </w:r>
      <w:r w:rsidRPr="002041DF">
        <w:rPr>
          <w:sz w:val="22"/>
          <w:szCs w:val="22"/>
          <w:lang w:val="sr-Latn-ME"/>
        </w:rPr>
        <w:t>enjen u obliku su</w:t>
      </w:r>
      <w:r w:rsidR="00CA4519" w:rsidRPr="002041DF">
        <w:rPr>
          <w:sz w:val="22"/>
          <w:szCs w:val="22"/>
          <w:lang w:val="sr-Latn-ME"/>
        </w:rPr>
        <w:t>p</w:t>
      </w:r>
      <w:r w:rsidRPr="002041DF">
        <w:rPr>
          <w:sz w:val="22"/>
          <w:szCs w:val="22"/>
          <w:lang w:val="sr-Latn-ME"/>
        </w:rPr>
        <w:t xml:space="preserve">kutane injekcije u </w:t>
      </w:r>
      <w:r w:rsidR="004372C4" w:rsidRPr="002041DF">
        <w:rPr>
          <w:sz w:val="22"/>
          <w:szCs w:val="22"/>
          <w:lang w:val="sr-Latn-ME"/>
        </w:rPr>
        <w:t>nedjelja</w:t>
      </w:r>
      <w:r w:rsidRPr="002041DF">
        <w:rPr>
          <w:sz w:val="22"/>
          <w:szCs w:val="22"/>
          <w:lang w:val="sr-Latn-ME"/>
        </w:rPr>
        <w:t xml:space="preserve">ma 0 i 4 a nakon toga na svakih 12 </w:t>
      </w:r>
      <w:r w:rsidR="004372C4" w:rsidRPr="002041DF">
        <w:rPr>
          <w:sz w:val="22"/>
          <w:szCs w:val="22"/>
          <w:lang w:val="sr-Latn-ME"/>
        </w:rPr>
        <w:t>nedjelja</w:t>
      </w:r>
      <w:r w:rsidRPr="002041DF">
        <w:rPr>
          <w:sz w:val="22"/>
          <w:szCs w:val="22"/>
          <w:lang w:val="sr-Latn-ME"/>
        </w:rPr>
        <w:t xml:space="preserve"> (q12w).</w:t>
      </w:r>
    </w:p>
    <w:p w14:paraId="02F23422" w14:textId="77777777" w:rsidR="00C36D57" w:rsidRPr="002041DF" w:rsidRDefault="00C36D57" w:rsidP="002041DF">
      <w:pPr>
        <w:widowControl w:val="0"/>
        <w:jc w:val="both"/>
        <w:rPr>
          <w:sz w:val="22"/>
          <w:szCs w:val="22"/>
          <w:lang w:val="sr-Latn-ME"/>
        </w:rPr>
      </w:pPr>
    </w:p>
    <w:p w14:paraId="20C6B00E" w14:textId="78BA9693" w:rsidR="00C36D57" w:rsidRPr="002041DF" w:rsidRDefault="00C36D57" w:rsidP="002041DF">
      <w:pPr>
        <w:widowControl w:val="0"/>
        <w:jc w:val="both"/>
        <w:rPr>
          <w:sz w:val="22"/>
          <w:szCs w:val="22"/>
          <w:lang w:val="sr-Latn-ME"/>
        </w:rPr>
      </w:pPr>
      <w:r w:rsidRPr="002041DF">
        <w:rPr>
          <w:sz w:val="22"/>
          <w:szCs w:val="22"/>
          <w:lang w:val="sr-Latn-ME"/>
        </w:rPr>
        <w:t xml:space="preserve">Pacijenti sa PASI ≥ 12, PGA ≥ 3 i BSA zahvaćenošću najmanje 10% koji su bili kandidati za sistemsku </w:t>
      </w:r>
      <w:r w:rsidRPr="002041DF">
        <w:rPr>
          <w:sz w:val="22"/>
          <w:szCs w:val="22"/>
          <w:lang w:val="sr-Latn-ME"/>
        </w:rPr>
        <w:lastRenderedPageBreak/>
        <w:t xml:space="preserve">terapiju ili fototerapiju, su bili podobni za ispitivanje. Približno 43% pacijenata je prethodno primalo konvencionalnu sistemsku terapiju ili fototerapiju. Približno 5% pacijenata je prethodno bilo izloženo biloškim </w:t>
      </w:r>
      <w:r w:rsidR="008B2B13" w:rsidRPr="002041DF">
        <w:rPr>
          <w:sz w:val="22"/>
          <w:szCs w:val="22"/>
          <w:lang w:val="sr-Latn-ME"/>
        </w:rPr>
        <w:t>ljekovi</w:t>
      </w:r>
      <w:r w:rsidRPr="002041DF">
        <w:rPr>
          <w:sz w:val="22"/>
          <w:szCs w:val="22"/>
          <w:lang w:val="sr-Latn-ME"/>
        </w:rPr>
        <w:t>ma.</w:t>
      </w:r>
    </w:p>
    <w:p w14:paraId="015CC94E" w14:textId="77777777" w:rsidR="00C36D57" w:rsidRPr="002041DF" w:rsidRDefault="00C36D57" w:rsidP="002041DF">
      <w:pPr>
        <w:widowControl w:val="0"/>
        <w:jc w:val="both"/>
        <w:rPr>
          <w:sz w:val="22"/>
          <w:szCs w:val="22"/>
          <w:lang w:val="sr-Latn-ME"/>
        </w:rPr>
      </w:pPr>
    </w:p>
    <w:p w14:paraId="5FA37300" w14:textId="0839D134" w:rsidR="00C36D57" w:rsidRPr="002041DF" w:rsidRDefault="00C36D57" w:rsidP="002041DF">
      <w:pPr>
        <w:widowControl w:val="0"/>
        <w:autoSpaceDE w:val="0"/>
        <w:autoSpaceDN w:val="0"/>
        <w:adjustRightInd w:val="0"/>
        <w:jc w:val="both"/>
        <w:rPr>
          <w:sz w:val="22"/>
          <w:szCs w:val="22"/>
          <w:lang w:val="sr-Latn-ME"/>
        </w:rPr>
      </w:pPr>
      <w:r w:rsidRPr="002041DF">
        <w:rPr>
          <w:sz w:val="22"/>
          <w:szCs w:val="22"/>
          <w:lang w:val="sr-Latn-ME"/>
        </w:rPr>
        <w:t>Primarni parametar praćenja je bio procenat pacijenata koji su u 12. </w:t>
      </w:r>
      <w:r w:rsidR="004372C4" w:rsidRPr="002041DF">
        <w:rPr>
          <w:sz w:val="22"/>
          <w:szCs w:val="22"/>
          <w:lang w:val="sr-Latn-ME"/>
        </w:rPr>
        <w:t>nedjelji</w:t>
      </w:r>
      <w:r w:rsidRPr="002041DF">
        <w:rPr>
          <w:sz w:val="22"/>
          <w:szCs w:val="22"/>
          <w:lang w:val="sr-Latn-ME"/>
        </w:rPr>
        <w:t xml:space="preserve"> postigli PGA skor čist (0) ili minimalan (1). Sekundarni parametar praćenja je uključivao PASI 75, PASI 90 i prom</w:t>
      </w:r>
      <w:r w:rsidR="008B2B13" w:rsidRPr="002041DF">
        <w:rPr>
          <w:sz w:val="22"/>
          <w:szCs w:val="22"/>
          <w:lang w:val="sr-Latn-ME"/>
        </w:rPr>
        <w:t>j</w:t>
      </w:r>
      <w:r w:rsidRPr="002041DF">
        <w:rPr>
          <w:sz w:val="22"/>
          <w:szCs w:val="22"/>
          <w:lang w:val="sr-Latn-ME"/>
        </w:rPr>
        <w:t>enu u odnosu na početnu</w:t>
      </w:r>
      <w:r w:rsidR="0038273D" w:rsidRPr="002041DF">
        <w:rPr>
          <w:sz w:val="22"/>
          <w:szCs w:val="22"/>
          <w:lang w:val="sr-Latn-ME"/>
        </w:rPr>
        <w:t xml:space="preserve"> vrijednost </w:t>
      </w:r>
      <w:r w:rsidRPr="002041DF">
        <w:rPr>
          <w:sz w:val="22"/>
          <w:szCs w:val="22"/>
          <w:lang w:val="sr-Latn-ME"/>
        </w:rPr>
        <w:t>d</w:t>
      </w:r>
      <w:r w:rsidR="008B2B13" w:rsidRPr="002041DF">
        <w:rPr>
          <w:sz w:val="22"/>
          <w:szCs w:val="22"/>
          <w:lang w:val="sr-Latn-ME"/>
        </w:rPr>
        <w:t>j</w:t>
      </w:r>
      <w:r w:rsidRPr="002041DF">
        <w:rPr>
          <w:sz w:val="22"/>
          <w:szCs w:val="22"/>
          <w:lang w:val="sr-Latn-ME"/>
        </w:rPr>
        <w:t xml:space="preserve">ečijeg dermatološkog indeksa kvaliteta života (engl. </w:t>
      </w:r>
      <w:r w:rsidRPr="002041DF">
        <w:rPr>
          <w:i/>
          <w:sz w:val="22"/>
          <w:szCs w:val="22"/>
          <w:lang w:val="sr-Latn-ME"/>
        </w:rPr>
        <w:t>Children’s Dermatology Life Quality Index</w:t>
      </w:r>
      <w:r w:rsidRPr="002041DF">
        <w:rPr>
          <w:sz w:val="22"/>
          <w:szCs w:val="22"/>
          <w:lang w:val="sr-Latn-ME"/>
        </w:rPr>
        <w:t xml:space="preserve"> (CDLQI)) u 12. </w:t>
      </w:r>
      <w:r w:rsidR="004372C4" w:rsidRPr="002041DF">
        <w:rPr>
          <w:sz w:val="22"/>
          <w:szCs w:val="22"/>
          <w:lang w:val="sr-Latn-ME"/>
        </w:rPr>
        <w:t>nedjelji</w:t>
      </w:r>
      <w:r w:rsidRPr="002041DF">
        <w:rPr>
          <w:sz w:val="22"/>
          <w:szCs w:val="22"/>
          <w:lang w:val="sr-Latn-ME"/>
        </w:rPr>
        <w:t>. U 12. </w:t>
      </w:r>
      <w:r w:rsidR="004372C4" w:rsidRPr="002041DF">
        <w:rPr>
          <w:sz w:val="22"/>
          <w:szCs w:val="22"/>
          <w:lang w:val="sr-Latn-ME"/>
        </w:rPr>
        <w:t>nedjelji</w:t>
      </w:r>
      <w:r w:rsidRPr="002041DF">
        <w:rPr>
          <w:sz w:val="22"/>
          <w:szCs w:val="22"/>
          <w:lang w:val="sr-Latn-ME"/>
        </w:rPr>
        <w:t xml:space="preserve"> ispitanici </w:t>
      </w:r>
      <w:r w:rsidR="00891C9B" w:rsidRPr="002041DF">
        <w:rPr>
          <w:sz w:val="22"/>
          <w:szCs w:val="22"/>
          <w:lang w:val="sr-Latn-ME"/>
        </w:rPr>
        <w:t>liječen</w:t>
      </w:r>
      <w:r w:rsidRPr="002041DF">
        <w:rPr>
          <w:sz w:val="22"/>
          <w:szCs w:val="22"/>
          <w:lang w:val="sr-Latn-ME"/>
        </w:rPr>
        <w:t>i ustekinumabom pokazali su značajno veće poboljšanje psorijaze i kvaliteta života povezane sa zdravstvenim stanjem (Tabela 8).</w:t>
      </w:r>
    </w:p>
    <w:p w14:paraId="1C7FB3A6" w14:textId="77777777" w:rsidR="00C36D57" w:rsidRPr="002041DF" w:rsidRDefault="00C36D57" w:rsidP="002041DF">
      <w:pPr>
        <w:widowControl w:val="0"/>
        <w:jc w:val="both"/>
        <w:rPr>
          <w:sz w:val="22"/>
          <w:szCs w:val="22"/>
          <w:lang w:val="sr-Latn-ME"/>
        </w:rPr>
      </w:pPr>
    </w:p>
    <w:p w14:paraId="6A1BB4C7" w14:textId="560232A1" w:rsidR="00C36D57" w:rsidRPr="002041DF" w:rsidRDefault="00C36D57" w:rsidP="002041DF">
      <w:pPr>
        <w:widowControl w:val="0"/>
        <w:jc w:val="both"/>
        <w:rPr>
          <w:sz w:val="22"/>
          <w:szCs w:val="22"/>
          <w:lang w:val="sr-Latn-ME"/>
        </w:rPr>
      </w:pPr>
      <w:r w:rsidRPr="002041DF">
        <w:rPr>
          <w:sz w:val="22"/>
          <w:szCs w:val="22"/>
          <w:lang w:val="sr-Latn-ME"/>
        </w:rPr>
        <w:t>Nakon prve</w:t>
      </w:r>
      <w:r w:rsidR="00891C9B" w:rsidRPr="002041DF">
        <w:rPr>
          <w:sz w:val="22"/>
          <w:szCs w:val="22"/>
          <w:lang w:val="sr-Latn-ME"/>
        </w:rPr>
        <w:t xml:space="preserve"> primjene </w:t>
      </w:r>
      <w:r w:rsidRPr="002041DF">
        <w:rPr>
          <w:sz w:val="22"/>
          <w:szCs w:val="22"/>
          <w:lang w:val="sr-Latn-ME"/>
        </w:rPr>
        <w:t>ispitivanog l</w:t>
      </w:r>
      <w:r w:rsidR="008B2B13" w:rsidRPr="002041DF">
        <w:rPr>
          <w:sz w:val="22"/>
          <w:szCs w:val="22"/>
          <w:lang w:val="sr-Latn-ME"/>
        </w:rPr>
        <w:t>ij</w:t>
      </w:r>
      <w:r w:rsidRPr="002041DF">
        <w:rPr>
          <w:sz w:val="22"/>
          <w:szCs w:val="22"/>
          <w:lang w:val="sr-Latn-ME"/>
        </w:rPr>
        <w:t>eka, svim pacijentima je</w:t>
      </w:r>
      <w:r w:rsidRPr="002041DF" w:rsidDel="00CF7362">
        <w:rPr>
          <w:sz w:val="22"/>
          <w:szCs w:val="22"/>
          <w:lang w:val="sr-Latn-ME"/>
        </w:rPr>
        <w:t xml:space="preserve"> </w:t>
      </w:r>
      <w:r w:rsidRPr="002041DF">
        <w:rPr>
          <w:sz w:val="22"/>
          <w:szCs w:val="22"/>
          <w:lang w:val="sr-Latn-ME"/>
        </w:rPr>
        <w:t xml:space="preserve">praćena efikasnost terapije do 52. </w:t>
      </w:r>
      <w:r w:rsidR="004372C4" w:rsidRPr="002041DF">
        <w:rPr>
          <w:sz w:val="22"/>
          <w:szCs w:val="22"/>
          <w:lang w:val="sr-Latn-ME"/>
        </w:rPr>
        <w:t>nedjelje</w:t>
      </w:r>
      <w:r w:rsidRPr="002041DF">
        <w:rPr>
          <w:sz w:val="22"/>
          <w:szCs w:val="22"/>
          <w:lang w:val="sr-Latn-ME"/>
        </w:rPr>
        <w:t xml:space="preserve">. </w:t>
      </w:r>
      <w:r w:rsidR="008B2B13" w:rsidRPr="002041DF">
        <w:rPr>
          <w:sz w:val="22"/>
          <w:szCs w:val="22"/>
          <w:lang w:val="sr-Latn-ME"/>
        </w:rPr>
        <w:t xml:space="preserve">Udio </w:t>
      </w:r>
      <w:r w:rsidRPr="002041DF">
        <w:rPr>
          <w:sz w:val="22"/>
          <w:szCs w:val="22"/>
          <w:lang w:val="sr-Latn-ME"/>
        </w:rPr>
        <w:t xml:space="preserve">pacijenata sa PGA skorom čist (0) ili minimalan (1) u 12. </w:t>
      </w:r>
      <w:r w:rsidR="004372C4" w:rsidRPr="002041DF">
        <w:rPr>
          <w:sz w:val="22"/>
          <w:szCs w:val="22"/>
          <w:lang w:val="sr-Latn-ME"/>
        </w:rPr>
        <w:t>nedjelji</w:t>
      </w:r>
      <w:r w:rsidRPr="002041DF">
        <w:rPr>
          <w:sz w:val="22"/>
          <w:szCs w:val="22"/>
          <w:lang w:val="sr-Latn-ME"/>
        </w:rPr>
        <w:t xml:space="preserve"> je iznosio 77,3%. Efikasnost (definisana kao PGA 0 ili 1) je uočena već prilikom prve vizite nakon početka </w:t>
      </w:r>
      <w:r w:rsidR="00891C9B" w:rsidRPr="002041DF">
        <w:rPr>
          <w:sz w:val="22"/>
          <w:szCs w:val="22"/>
          <w:lang w:val="sr-Latn-ME"/>
        </w:rPr>
        <w:t>liječen</w:t>
      </w:r>
      <w:r w:rsidRPr="002041DF">
        <w:rPr>
          <w:sz w:val="22"/>
          <w:szCs w:val="22"/>
          <w:lang w:val="sr-Latn-ME"/>
        </w:rPr>
        <w:t>ja u 4. </w:t>
      </w:r>
      <w:r w:rsidR="004372C4" w:rsidRPr="002041DF">
        <w:rPr>
          <w:sz w:val="22"/>
          <w:szCs w:val="22"/>
          <w:lang w:val="sr-Latn-ME"/>
        </w:rPr>
        <w:t>nedjelji</w:t>
      </w:r>
      <w:r w:rsidRPr="002041DF">
        <w:rPr>
          <w:sz w:val="22"/>
          <w:szCs w:val="22"/>
          <w:lang w:val="sr-Latn-ME"/>
        </w:rPr>
        <w:t xml:space="preserve">, a procenat ispitanika koji su postigli PGA skor 0 i 1 je rastao tokom 16 </w:t>
      </w:r>
      <w:r w:rsidR="004372C4" w:rsidRPr="002041DF">
        <w:rPr>
          <w:sz w:val="22"/>
          <w:szCs w:val="22"/>
          <w:lang w:val="sr-Latn-ME"/>
        </w:rPr>
        <w:t>nedjelje</w:t>
      </w:r>
      <w:r w:rsidRPr="002041DF">
        <w:rPr>
          <w:sz w:val="22"/>
          <w:szCs w:val="22"/>
          <w:lang w:val="sr-Latn-ME"/>
        </w:rPr>
        <w:t xml:space="preserve">, a potom ostao relativno stabilan tokom 52 </w:t>
      </w:r>
      <w:r w:rsidR="004372C4" w:rsidRPr="002041DF">
        <w:rPr>
          <w:sz w:val="22"/>
          <w:szCs w:val="22"/>
          <w:lang w:val="sr-Latn-ME"/>
        </w:rPr>
        <w:t>nedjelje</w:t>
      </w:r>
      <w:r w:rsidRPr="002041DF">
        <w:rPr>
          <w:sz w:val="22"/>
          <w:szCs w:val="22"/>
          <w:lang w:val="sr-Latn-ME"/>
        </w:rPr>
        <w:t>. Poboljšanja u PGA, PASI i CDLQI su održana kroz 52 ned</w:t>
      </w:r>
      <w:r w:rsidR="008B2B13" w:rsidRPr="002041DF">
        <w:rPr>
          <w:sz w:val="22"/>
          <w:szCs w:val="22"/>
          <w:lang w:val="sr-Latn-ME"/>
        </w:rPr>
        <w:t>j</w:t>
      </w:r>
      <w:r w:rsidRPr="002041DF">
        <w:rPr>
          <w:sz w:val="22"/>
          <w:szCs w:val="22"/>
          <w:lang w:val="sr-Latn-ME"/>
        </w:rPr>
        <w:t>elju (Tabela 8).</w:t>
      </w:r>
    </w:p>
    <w:p w14:paraId="43F32F74" w14:textId="77777777" w:rsidR="00C36D57" w:rsidRPr="002041DF" w:rsidRDefault="00C36D57" w:rsidP="002041DF">
      <w:pPr>
        <w:widowControl w:val="0"/>
        <w:jc w:val="both"/>
        <w:rPr>
          <w:sz w:val="22"/>
          <w:szCs w:val="22"/>
          <w:lang w:val="sr-Latn-ME"/>
        </w:rPr>
      </w:pPr>
    </w:p>
    <w:p w14:paraId="637043F7" w14:textId="689B03F2" w:rsidR="00C36D57" w:rsidRPr="002041DF" w:rsidRDefault="00C36D57" w:rsidP="002041DF">
      <w:pPr>
        <w:widowControl w:val="0"/>
        <w:jc w:val="both"/>
        <w:rPr>
          <w:i/>
          <w:iCs/>
          <w:sz w:val="22"/>
          <w:szCs w:val="22"/>
          <w:lang w:val="sr-Latn-ME"/>
        </w:rPr>
      </w:pPr>
      <w:r w:rsidRPr="002041DF">
        <w:rPr>
          <w:i/>
          <w:iCs/>
          <w:sz w:val="22"/>
          <w:szCs w:val="22"/>
          <w:lang w:val="sr-Latn-ME"/>
        </w:rPr>
        <w:t xml:space="preserve">Tabela 8: Rezime primarnih i sekundarnih ishoda u 12. </w:t>
      </w:r>
      <w:r w:rsidR="004372C4" w:rsidRPr="002041DF">
        <w:rPr>
          <w:i/>
          <w:iCs/>
          <w:sz w:val="22"/>
          <w:szCs w:val="22"/>
          <w:lang w:val="sr-Latn-ME"/>
        </w:rPr>
        <w:t>nedjelji</w:t>
      </w:r>
      <w:r w:rsidRPr="002041DF">
        <w:rPr>
          <w:i/>
          <w:iCs/>
          <w:sz w:val="22"/>
          <w:szCs w:val="22"/>
          <w:lang w:val="sr-Latn-ME"/>
        </w:rPr>
        <w:t xml:space="preserve"> i 52. </w:t>
      </w:r>
      <w:r w:rsidR="004372C4" w:rsidRPr="002041DF">
        <w:rPr>
          <w:i/>
          <w:iCs/>
          <w:sz w:val="22"/>
          <w:szCs w:val="22"/>
          <w:lang w:val="sr-Latn-ME"/>
        </w:rPr>
        <w:t>nedjelji</w:t>
      </w:r>
      <w:r w:rsidRPr="002041DF">
        <w:rPr>
          <w:i/>
          <w:iCs/>
          <w:sz w:val="22"/>
          <w:szCs w:val="22"/>
          <w:lang w:val="sr-Latn-ME"/>
        </w:rPr>
        <w:t xml:space="preserve"> </w:t>
      </w:r>
    </w:p>
    <w:tbl>
      <w:tblPr>
        <w:tblW w:w="5000" w:type="pct"/>
        <w:jc w:val="center"/>
        <w:tblBorders>
          <w:top w:val="single" w:sz="4" w:space="0" w:color="auto"/>
          <w:bottom w:val="single" w:sz="4" w:space="0" w:color="auto"/>
        </w:tblBorders>
        <w:tblLayout w:type="fixed"/>
        <w:tblLook w:val="0000" w:firstRow="0" w:lastRow="0" w:firstColumn="0" w:lastColumn="0" w:noHBand="0" w:noVBand="0"/>
      </w:tblPr>
      <w:tblGrid>
        <w:gridCol w:w="3626"/>
        <w:gridCol w:w="2796"/>
        <w:gridCol w:w="2972"/>
      </w:tblGrid>
      <w:tr w:rsidR="00C36D57" w:rsidRPr="002041DF" w14:paraId="2FFFB4AA" w14:textId="77777777" w:rsidTr="007C6E24">
        <w:trPr>
          <w:cantSplit/>
          <w:jc w:val="center"/>
        </w:trPr>
        <w:tc>
          <w:tcPr>
            <w:tcW w:w="5000" w:type="pct"/>
            <w:gridSpan w:val="3"/>
            <w:tcBorders>
              <w:top w:val="single" w:sz="4" w:space="0" w:color="auto"/>
              <w:left w:val="single" w:sz="4" w:space="0" w:color="auto"/>
              <w:bottom w:val="single" w:sz="4" w:space="0" w:color="auto"/>
              <w:right w:val="single" w:sz="4" w:space="0" w:color="auto"/>
            </w:tcBorders>
            <w:vAlign w:val="bottom"/>
          </w:tcPr>
          <w:p w14:paraId="5C6F2C34" w14:textId="2D1B5EA1" w:rsidR="00C36D57" w:rsidRPr="002041DF" w:rsidRDefault="00C36D57" w:rsidP="002041DF">
            <w:pPr>
              <w:widowControl w:val="0"/>
              <w:jc w:val="center"/>
              <w:rPr>
                <w:b/>
                <w:bCs/>
                <w:snapToGrid w:val="0"/>
                <w:sz w:val="22"/>
                <w:szCs w:val="22"/>
                <w:lang w:val="sr-Latn-ME"/>
              </w:rPr>
            </w:pPr>
            <w:r w:rsidRPr="002041DF">
              <w:rPr>
                <w:b/>
                <w:bCs/>
                <w:snapToGrid w:val="0"/>
                <w:sz w:val="22"/>
                <w:szCs w:val="22"/>
                <w:lang w:val="sr-Latn-ME"/>
              </w:rPr>
              <w:t>Ispitivanje pedijatrijske psorijaze (CADMUS Jr.) (</w:t>
            </w:r>
            <w:r w:rsidRPr="002041DF">
              <w:rPr>
                <w:b/>
                <w:bCs/>
                <w:sz w:val="22"/>
                <w:szCs w:val="22"/>
                <w:lang w:val="sr-Latn-ME"/>
              </w:rPr>
              <w:t>Uzrasta 6-11 godina</w:t>
            </w:r>
            <w:r w:rsidRPr="002041DF">
              <w:rPr>
                <w:b/>
                <w:bCs/>
                <w:snapToGrid w:val="0"/>
                <w:sz w:val="22"/>
                <w:szCs w:val="22"/>
                <w:lang w:val="sr-Latn-ME"/>
              </w:rPr>
              <w:t>)</w:t>
            </w:r>
          </w:p>
        </w:tc>
      </w:tr>
      <w:tr w:rsidR="00C36D57" w:rsidRPr="002041DF" w14:paraId="024D7B8C" w14:textId="77777777" w:rsidTr="007C6E24">
        <w:trPr>
          <w:cantSplit/>
          <w:trHeight w:val="413"/>
          <w:jc w:val="center"/>
        </w:trPr>
        <w:tc>
          <w:tcPr>
            <w:tcW w:w="1930" w:type="pct"/>
            <w:vMerge w:val="restart"/>
            <w:tcBorders>
              <w:top w:val="single" w:sz="4" w:space="0" w:color="auto"/>
              <w:left w:val="single" w:sz="4" w:space="0" w:color="auto"/>
              <w:right w:val="single" w:sz="4" w:space="0" w:color="auto"/>
            </w:tcBorders>
            <w:vAlign w:val="bottom"/>
          </w:tcPr>
          <w:p w14:paraId="7FC2A0AA" w14:textId="77777777" w:rsidR="00C36D57" w:rsidRPr="002041DF" w:rsidRDefault="00C36D57" w:rsidP="002041DF">
            <w:pPr>
              <w:widowControl w:val="0"/>
              <w:rPr>
                <w:snapToGrid w:val="0"/>
                <w:sz w:val="22"/>
                <w:szCs w:val="22"/>
                <w:lang w:val="sr-Latn-ME"/>
              </w:rPr>
            </w:pPr>
          </w:p>
        </w:tc>
        <w:tc>
          <w:tcPr>
            <w:tcW w:w="1488" w:type="pct"/>
            <w:tcBorders>
              <w:top w:val="single" w:sz="4" w:space="0" w:color="auto"/>
              <w:left w:val="single" w:sz="4" w:space="0" w:color="auto"/>
              <w:bottom w:val="single" w:sz="4" w:space="0" w:color="auto"/>
              <w:right w:val="single" w:sz="4" w:space="0" w:color="auto"/>
            </w:tcBorders>
            <w:vAlign w:val="center"/>
          </w:tcPr>
          <w:p w14:paraId="689AA1D3" w14:textId="1DF34564" w:rsidR="00C36D57" w:rsidRPr="002041DF" w:rsidRDefault="00C36D57" w:rsidP="002041DF">
            <w:pPr>
              <w:widowControl w:val="0"/>
              <w:jc w:val="center"/>
              <w:rPr>
                <w:b/>
                <w:snapToGrid w:val="0"/>
                <w:sz w:val="22"/>
                <w:szCs w:val="22"/>
                <w:lang w:val="sr-Latn-ME"/>
              </w:rPr>
            </w:pPr>
            <w:r w:rsidRPr="002041DF">
              <w:rPr>
                <w:b/>
                <w:snapToGrid w:val="0"/>
                <w:sz w:val="22"/>
                <w:szCs w:val="22"/>
                <w:lang w:val="sr-Latn-ME"/>
              </w:rPr>
              <w:t xml:space="preserve">12. </w:t>
            </w:r>
            <w:r w:rsidR="004372C4" w:rsidRPr="002041DF">
              <w:rPr>
                <w:b/>
                <w:snapToGrid w:val="0"/>
                <w:sz w:val="22"/>
                <w:szCs w:val="22"/>
                <w:lang w:val="sr-Latn-ME"/>
              </w:rPr>
              <w:t>nedjelja</w:t>
            </w:r>
          </w:p>
        </w:tc>
        <w:tc>
          <w:tcPr>
            <w:tcW w:w="1582" w:type="pct"/>
            <w:tcBorders>
              <w:top w:val="single" w:sz="4" w:space="0" w:color="auto"/>
              <w:left w:val="single" w:sz="4" w:space="0" w:color="auto"/>
              <w:bottom w:val="single" w:sz="4" w:space="0" w:color="auto"/>
              <w:right w:val="single" w:sz="4" w:space="0" w:color="auto"/>
            </w:tcBorders>
            <w:vAlign w:val="center"/>
          </w:tcPr>
          <w:p w14:paraId="0F3F1677" w14:textId="18B9C514" w:rsidR="00C36D57" w:rsidRPr="002041DF" w:rsidRDefault="00C36D57" w:rsidP="002041DF">
            <w:pPr>
              <w:widowControl w:val="0"/>
              <w:jc w:val="center"/>
              <w:rPr>
                <w:b/>
                <w:snapToGrid w:val="0"/>
                <w:sz w:val="22"/>
                <w:szCs w:val="22"/>
                <w:lang w:val="sr-Latn-ME"/>
              </w:rPr>
            </w:pPr>
            <w:r w:rsidRPr="002041DF">
              <w:rPr>
                <w:b/>
                <w:snapToGrid w:val="0"/>
                <w:sz w:val="22"/>
                <w:szCs w:val="22"/>
                <w:lang w:val="sr-Latn-ME"/>
              </w:rPr>
              <w:t xml:space="preserve">52. </w:t>
            </w:r>
            <w:r w:rsidR="004372C4" w:rsidRPr="002041DF">
              <w:rPr>
                <w:b/>
                <w:snapToGrid w:val="0"/>
                <w:sz w:val="22"/>
                <w:szCs w:val="22"/>
                <w:lang w:val="sr-Latn-ME"/>
              </w:rPr>
              <w:t>nedjelja</w:t>
            </w:r>
          </w:p>
        </w:tc>
      </w:tr>
      <w:tr w:rsidR="00C36D57" w:rsidRPr="002041DF" w14:paraId="03CA19A9" w14:textId="77777777" w:rsidTr="007C6E24">
        <w:trPr>
          <w:cantSplit/>
          <w:trHeight w:val="170"/>
          <w:jc w:val="center"/>
        </w:trPr>
        <w:tc>
          <w:tcPr>
            <w:tcW w:w="1930" w:type="pct"/>
            <w:vMerge/>
            <w:tcBorders>
              <w:left w:val="single" w:sz="4" w:space="0" w:color="auto"/>
              <w:right w:val="single" w:sz="4" w:space="0" w:color="auto"/>
            </w:tcBorders>
            <w:vAlign w:val="bottom"/>
          </w:tcPr>
          <w:p w14:paraId="718952B1" w14:textId="77777777" w:rsidR="00C36D57" w:rsidRPr="002041DF" w:rsidRDefault="00C36D57" w:rsidP="002041DF">
            <w:pPr>
              <w:widowControl w:val="0"/>
              <w:rPr>
                <w:snapToGrid w:val="0"/>
                <w:sz w:val="22"/>
                <w:szCs w:val="22"/>
                <w:lang w:val="sr-Latn-ME"/>
              </w:rPr>
            </w:pPr>
          </w:p>
        </w:tc>
        <w:tc>
          <w:tcPr>
            <w:tcW w:w="1488" w:type="pct"/>
            <w:tcBorders>
              <w:top w:val="single" w:sz="4" w:space="0" w:color="auto"/>
              <w:left w:val="single" w:sz="4" w:space="0" w:color="auto"/>
              <w:bottom w:val="single" w:sz="4" w:space="0" w:color="auto"/>
              <w:right w:val="single" w:sz="4" w:space="0" w:color="auto"/>
            </w:tcBorders>
            <w:vAlign w:val="center"/>
          </w:tcPr>
          <w:p w14:paraId="3C365048" w14:textId="77777777" w:rsidR="00C36D57" w:rsidRPr="002041DF" w:rsidRDefault="00C36D57" w:rsidP="002041DF">
            <w:pPr>
              <w:widowControl w:val="0"/>
              <w:jc w:val="center"/>
              <w:rPr>
                <w:snapToGrid w:val="0"/>
                <w:sz w:val="22"/>
                <w:szCs w:val="22"/>
                <w:lang w:val="sr-Latn-ME"/>
              </w:rPr>
            </w:pPr>
            <w:r w:rsidRPr="002041DF">
              <w:rPr>
                <w:snapToGrid w:val="0"/>
                <w:sz w:val="22"/>
                <w:szCs w:val="22"/>
                <w:lang w:val="sr-Latn-ME"/>
              </w:rPr>
              <w:t>Preporučena doza ustekinumaba</w:t>
            </w:r>
          </w:p>
        </w:tc>
        <w:tc>
          <w:tcPr>
            <w:tcW w:w="1582" w:type="pct"/>
            <w:tcBorders>
              <w:top w:val="single" w:sz="4" w:space="0" w:color="auto"/>
              <w:left w:val="single" w:sz="4" w:space="0" w:color="auto"/>
              <w:bottom w:val="single" w:sz="4" w:space="0" w:color="auto"/>
              <w:right w:val="single" w:sz="4" w:space="0" w:color="auto"/>
            </w:tcBorders>
          </w:tcPr>
          <w:p w14:paraId="0AB2AE01" w14:textId="77777777" w:rsidR="00C36D57" w:rsidRPr="002041DF" w:rsidRDefault="00C36D57" w:rsidP="002041DF">
            <w:pPr>
              <w:widowControl w:val="0"/>
              <w:jc w:val="center"/>
              <w:rPr>
                <w:snapToGrid w:val="0"/>
                <w:sz w:val="22"/>
                <w:szCs w:val="22"/>
                <w:lang w:val="sr-Latn-ME"/>
              </w:rPr>
            </w:pPr>
            <w:r w:rsidRPr="002041DF">
              <w:rPr>
                <w:snapToGrid w:val="0"/>
                <w:sz w:val="22"/>
                <w:szCs w:val="22"/>
                <w:lang w:val="sr-Latn-ME"/>
              </w:rPr>
              <w:t>Preporučena doza ustekinumaba</w:t>
            </w:r>
          </w:p>
        </w:tc>
      </w:tr>
      <w:tr w:rsidR="00C36D57" w:rsidRPr="002041DF" w14:paraId="7758F3A3" w14:textId="77777777" w:rsidTr="007C6E24">
        <w:trPr>
          <w:cantSplit/>
          <w:jc w:val="center"/>
        </w:trPr>
        <w:tc>
          <w:tcPr>
            <w:tcW w:w="1930" w:type="pct"/>
            <w:vMerge/>
            <w:tcBorders>
              <w:left w:val="single" w:sz="4" w:space="0" w:color="auto"/>
              <w:bottom w:val="single" w:sz="4" w:space="0" w:color="auto"/>
              <w:right w:val="single" w:sz="4" w:space="0" w:color="auto"/>
            </w:tcBorders>
            <w:vAlign w:val="bottom"/>
          </w:tcPr>
          <w:p w14:paraId="7B470BD5" w14:textId="77777777" w:rsidR="00C36D57" w:rsidRPr="002041DF" w:rsidRDefault="00C36D57" w:rsidP="002041DF">
            <w:pPr>
              <w:widowControl w:val="0"/>
              <w:rPr>
                <w:snapToGrid w:val="0"/>
                <w:sz w:val="22"/>
                <w:szCs w:val="22"/>
                <w:lang w:val="sr-Latn-ME"/>
              </w:rPr>
            </w:pPr>
          </w:p>
        </w:tc>
        <w:tc>
          <w:tcPr>
            <w:tcW w:w="1488" w:type="pct"/>
            <w:tcBorders>
              <w:top w:val="single" w:sz="4" w:space="0" w:color="auto"/>
              <w:left w:val="single" w:sz="4" w:space="0" w:color="auto"/>
              <w:bottom w:val="single" w:sz="4" w:space="0" w:color="auto"/>
              <w:right w:val="single" w:sz="4" w:space="0" w:color="auto"/>
            </w:tcBorders>
            <w:vAlign w:val="center"/>
          </w:tcPr>
          <w:p w14:paraId="6F9DE75B" w14:textId="77777777" w:rsidR="00C36D57" w:rsidRPr="002041DF" w:rsidRDefault="00C36D57" w:rsidP="002041DF">
            <w:pPr>
              <w:widowControl w:val="0"/>
              <w:jc w:val="center"/>
              <w:rPr>
                <w:sz w:val="22"/>
                <w:szCs w:val="22"/>
                <w:lang w:val="sr-Latn-ME"/>
              </w:rPr>
            </w:pPr>
            <w:r w:rsidRPr="002041DF">
              <w:rPr>
                <w:sz w:val="22"/>
                <w:szCs w:val="22"/>
                <w:lang w:val="sr-Latn-ME"/>
              </w:rPr>
              <w:t>N (%)</w:t>
            </w:r>
          </w:p>
        </w:tc>
        <w:tc>
          <w:tcPr>
            <w:tcW w:w="1582" w:type="pct"/>
            <w:tcBorders>
              <w:top w:val="single" w:sz="4" w:space="0" w:color="auto"/>
              <w:left w:val="single" w:sz="4" w:space="0" w:color="auto"/>
              <w:bottom w:val="single" w:sz="4" w:space="0" w:color="auto"/>
              <w:right w:val="single" w:sz="4" w:space="0" w:color="auto"/>
            </w:tcBorders>
          </w:tcPr>
          <w:p w14:paraId="17C18D5D" w14:textId="77777777" w:rsidR="00C36D57" w:rsidRPr="002041DF" w:rsidRDefault="00C36D57" w:rsidP="002041DF">
            <w:pPr>
              <w:widowControl w:val="0"/>
              <w:jc w:val="center"/>
              <w:rPr>
                <w:sz w:val="22"/>
                <w:szCs w:val="22"/>
                <w:lang w:val="sr-Latn-ME"/>
              </w:rPr>
            </w:pPr>
            <w:r w:rsidRPr="002041DF">
              <w:rPr>
                <w:sz w:val="22"/>
                <w:szCs w:val="22"/>
                <w:lang w:val="sr-Latn-ME"/>
              </w:rPr>
              <w:t>N (%)</w:t>
            </w:r>
          </w:p>
        </w:tc>
      </w:tr>
      <w:tr w:rsidR="00C36D57" w:rsidRPr="002041DF" w14:paraId="32F2654E" w14:textId="77777777" w:rsidTr="007C6E24">
        <w:trPr>
          <w:cantSplit/>
          <w:jc w:val="center"/>
        </w:trPr>
        <w:tc>
          <w:tcPr>
            <w:tcW w:w="1930" w:type="pct"/>
            <w:tcBorders>
              <w:top w:val="single" w:sz="4" w:space="0" w:color="auto"/>
              <w:left w:val="single" w:sz="4" w:space="0" w:color="auto"/>
              <w:bottom w:val="single" w:sz="4" w:space="0" w:color="auto"/>
              <w:right w:val="single" w:sz="4" w:space="0" w:color="auto"/>
            </w:tcBorders>
            <w:vAlign w:val="bottom"/>
          </w:tcPr>
          <w:p w14:paraId="2A879FAA" w14:textId="77777777" w:rsidR="00C36D57" w:rsidRPr="002041DF" w:rsidRDefault="00C36D57" w:rsidP="002041DF">
            <w:pPr>
              <w:widowControl w:val="0"/>
              <w:rPr>
                <w:snapToGrid w:val="0"/>
                <w:sz w:val="22"/>
                <w:szCs w:val="22"/>
                <w:lang w:val="sr-Latn-ME"/>
              </w:rPr>
            </w:pPr>
            <w:r w:rsidRPr="002041DF">
              <w:rPr>
                <w:snapToGrid w:val="0"/>
                <w:sz w:val="22"/>
                <w:szCs w:val="22"/>
                <w:lang w:val="sr-Latn-ME"/>
              </w:rPr>
              <w:t xml:space="preserve">Uključeni pacijenti </w:t>
            </w:r>
          </w:p>
        </w:tc>
        <w:tc>
          <w:tcPr>
            <w:tcW w:w="1488" w:type="pct"/>
            <w:tcBorders>
              <w:top w:val="single" w:sz="4" w:space="0" w:color="auto"/>
              <w:left w:val="single" w:sz="4" w:space="0" w:color="auto"/>
              <w:bottom w:val="single" w:sz="4" w:space="0" w:color="auto"/>
              <w:right w:val="single" w:sz="4" w:space="0" w:color="auto"/>
            </w:tcBorders>
            <w:vAlign w:val="center"/>
          </w:tcPr>
          <w:p w14:paraId="30050284" w14:textId="77777777" w:rsidR="00C36D57" w:rsidRPr="002041DF" w:rsidRDefault="00C36D57" w:rsidP="002041DF">
            <w:pPr>
              <w:widowControl w:val="0"/>
              <w:jc w:val="center"/>
              <w:rPr>
                <w:sz w:val="22"/>
                <w:szCs w:val="22"/>
                <w:lang w:val="sr-Latn-ME"/>
              </w:rPr>
            </w:pPr>
            <w:r w:rsidRPr="002041DF">
              <w:rPr>
                <w:sz w:val="22"/>
                <w:szCs w:val="22"/>
                <w:lang w:val="sr-Latn-ME"/>
              </w:rPr>
              <w:t>44</w:t>
            </w:r>
          </w:p>
        </w:tc>
        <w:tc>
          <w:tcPr>
            <w:tcW w:w="1582" w:type="pct"/>
            <w:tcBorders>
              <w:top w:val="single" w:sz="4" w:space="0" w:color="auto"/>
              <w:left w:val="single" w:sz="4" w:space="0" w:color="auto"/>
              <w:bottom w:val="single" w:sz="4" w:space="0" w:color="auto"/>
              <w:right w:val="single" w:sz="4" w:space="0" w:color="auto"/>
            </w:tcBorders>
            <w:vAlign w:val="center"/>
          </w:tcPr>
          <w:p w14:paraId="4B3E5FEA" w14:textId="77777777" w:rsidR="00C36D57" w:rsidRPr="002041DF" w:rsidRDefault="00C36D57" w:rsidP="002041DF">
            <w:pPr>
              <w:widowControl w:val="0"/>
              <w:jc w:val="center"/>
              <w:rPr>
                <w:sz w:val="22"/>
                <w:szCs w:val="22"/>
                <w:lang w:val="sr-Latn-ME"/>
              </w:rPr>
            </w:pPr>
            <w:r w:rsidRPr="002041DF">
              <w:rPr>
                <w:sz w:val="22"/>
                <w:szCs w:val="22"/>
                <w:lang w:val="sr-Latn-ME"/>
              </w:rPr>
              <w:t>41</w:t>
            </w:r>
          </w:p>
        </w:tc>
      </w:tr>
      <w:tr w:rsidR="00C36D57" w:rsidRPr="002041DF" w14:paraId="67D1D9B7" w14:textId="77777777" w:rsidTr="007C6E24">
        <w:trPr>
          <w:cantSplit/>
          <w:jc w:val="center"/>
        </w:trPr>
        <w:tc>
          <w:tcPr>
            <w:tcW w:w="5000" w:type="pct"/>
            <w:gridSpan w:val="3"/>
            <w:tcBorders>
              <w:top w:val="single" w:sz="4" w:space="0" w:color="auto"/>
              <w:left w:val="single" w:sz="4" w:space="0" w:color="auto"/>
              <w:bottom w:val="single" w:sz="4" w:space="0" w:color="auto"/>
              <w:right w:val="single" w:sz="4" w:space="0" w:color="auto"/>
            </w:tcBorders>
            <w:vAlign w:val="bottom"/>
          </w:tcPr>
          <w:p w14:paraId="18253E40" w14:textId="77777777" w:rsidR="00C36D57" w:rsidRPr="002041DF" w:rsidRDefault="00C36D57" w:rsidP="002041DF">
            <w:pPr>
              <w:widowControl w:val="0"/>
              <w:adjustRightInd w:val="0"/>
              <w:rPr>
                <w:b/>
                <w:sz w:val="22"/>
                <w:szCs w:val="22"/>
                <w:lang w:val="sr-Latn-ME"/>
              </w:rPr>
            </w:pPr>
            <w:r w:rsidRPr="002041DF">
              <w:rPr>
                <w:b/>
                <w:sz w:val="22"/>
                <w:szCs w:val="22"/>
                <w:lang w:val="sr-Latn-ME"/>
              </w:rPr>
              <w:t>PGA</w:t>
            </w:r>
          </w:p>
        </w:tc>
      </w:tr>
      <w:tr w:rsidR="00C36D57" w:rsidRPr="002041DF" w14:paraId="4D4260B3" w14:textId="77777777" w:rsidTr="007C6E24">
        <w:trPr>
          <w:cantSplit/>
          <w:jc w:val="center"/>
        </w:trPr>
        <w:tc>
          <w:tcPr>
            <w:tcW w:w="1930" w:type="pct"/>
            <w:tcBorders>
              <w:top w:val="single" w:sz="4" w:space="0" w:color="auto"/>
              <w:left w:val="single" w:sz="4" w:space="0" w:color="auto"/>
              <w:bottom w:val="single" w:sz="4" w:space="0" w:color="auto"/>
              <w:right w:val="single" w:sz="4" w:space="0" w:color="auto"/>
            </w:tcBorders>
            <w:vAlign w:val="bottom"/>
          </w:tcPr>
          <w:p w14:paraId="789A31B8" w14:textId="77777777" w:rsidR="00C36D57" w:rsidRPr="002041DF" w:rsidRDefault="00C36D57" w:rsidP="002041DF">
            <w:pPr>
              <w:widowControl w:val="0"/>
              <w:rPr>
                <w:b/>
                <w:snapToGrid w:val="0"/>
                <w:sz w:val="22"/>
                <w:szCs w:val="22"/>
                <w:lang w:val="sr-Latn-ME"/>
              </w:rPr>
            </w:pPr>
            <w:r w:rsidRPr="002041DF">
              <w:rPr>
                <w:snapToGrid w:val="0"/>
                <w:sz w:val="22"/>
                <w:szCs w:val="22"/>
                <w:lang w:val="sr-Latn-ME"/>
              </w:rPr>
              <w:t>PGA čist (0) ili minimalan (1)</w:t>
            </w:r>
          </w:p>
        </w:tc>
        <w:tc>
          <w:tcPr>
            <w:tcW w:w="1488" w:type="pct"/>
            <w:tcBorders>
              <w:top w:val="single" w:sz="4" w:space="0" w:color="auto"/>
              <w:left w:val="single" w:sz="4" w:space="0" w:color="auto"/>
              <w:bottom w:val="single" w:sz="4" w:space="0" w:color="auto"/>
              <w:right w:val="single" w:sz="4" w:space="0" w:color="auto"/>
            </w:tcBorders>
            <w:vAlign w:val="center"/>
          </w:tcPr>
          <w:p w14:paraId="4E7263CB" w14:textId="77777777" w:rsidR="00C36D57" w:rsidRPr="002041DF" w:rsidRDefault="00C36D57" w:rsidP="002041DF">
            <w:pPr>
              <w:widowControl w:val="0"/>
              <w:adjustRightInd w:val="0"/>
              <w:jc w:val="center"/>
              <w:rPr>
                <w:sz w:val="22"/>
                <w:szCs w:val="22"/>
                <w:lang w:val="sr-Latn-ME"/>
              </w:rPr>
            </w:pPr>
            <w:r w:rsidRPr="002041DF">
              <w:rPr>
                <w:sz w:val="22"/>
                <w:szCs w:val="22"/>
                <w:lang w:val="sr-Latn-ME"/>
              </w:rPr>
              <w:t>34 (77,3%)</w:t>
            </w:r>
          </w:p>
        </w:tc>
        <w:tc>
          <w:tcPr>
            <w:tcW w:w="1582" w:type="pct"/>
            <w:tcBorders>
              <w:top w:val="single" w:sz="4" w:space="0" w:color="auto"/>
              <w:left w:val="single" w:sz="4" w:space="0" w:color="auto"/>
              <w:bottom w:val="single" w:sz="4" w:space="0" w:color="auto"/>
              <w:right w:val="single" w:sz="4" w:space="0" w:color="auto"/>
            </w:tcBorders>
            <w:vAlign w:val="center"/>
          </w:tcPr>
          <w:p w14:paraId="156B37A5" w14:textId="77777777" w:rsidR="00C36D57" w:rsidRPr="002041DF" w:rsidRDefault="00C36D57" w:rsidP="002041DF">
            <w:pPr>
              <w:widowControl w:val="0"/>
              <w:adjustRightInd w:val="0"/>
              <w:jc w:val="center"/>
              <w:rPr>
                <w:sz w:val="22"/>
                <w:szCs w:val="22"/>
                <w:lang w:val="sr-Latn-ME"/>
              </w:rPr>
            </w:pPr>
            <w:r w:rsidRPr="002041DF">
              <w:rPr>
                <w:sz w:val="22"/>
                <w:szCs w:val="22"/>
                <w:lang w:val="sr-Latn-ME"/>
              </w:rPr>
              <w:t>31 (75,6%)</w:t>
            </w:r>
          </w:p>
        </w:tc>
      </w:tr>
      <w:tr w:rsidR="00C36D57" w:rsidRPr="002041DF" w14:paraId="0BB7F40D" w14:textId="77777777" w:rsidTr="007C6E24">
        <w:trPr>
          <w:cantSplit/>
          <w:jc w:val="center"/>
        </w:trPr>
        <w:tc>
          <w:tcPr>
            <w:tcW w:w="1930" w:type="pct"/>
            <w:tcBorders>
              <w:top w:val="single" w:sz="4" w:space="0" w:color="auto"/>
              <w:left w:val="single" w:sz="4" w:space="0" w:color="auto"/>
              <w:bottom w:val="single" w:sz="4" w:space="0" w:color="auto"/>
              <w:right w:val="single" w:sz="4" w:space="0" w:color="auto"/>
            </w:tcBorders>
            <w:vAlign w:val="bottom"/>
          </w:tcPr>
          <w:p w14:paraId="06848FDE" w14:textId="77777777" w:rsidR="00C36D57" w:rsidRPr="002041DF" w:rsidRDefault="00C36D57" w:rsidP="002041DF">
            <w:pPr>
              <w:widowControl w:val="0"/>
              <w:rPr>
                <w:snapToGrid w:val="0"/>
                <w:sz w:val="22"/>
                <w:szCs w:val="22"/>
                <w:lang w:val="sr-Latn-ME"/>
              </w:rPr>
            </w:pPr>
            <w:r w:rsidRPr="002041DF">
              <w:rPr>
                <w:snapToGrid w:val="0"/>
                <w:sz w:val="22"/>
                <w:szCs w:val="22"/>
                <w:lang w:val="sr-Latn-ME"/>
              </w:rPr>
              <w:t>PGA čist (0)</w:t>
            </w:r>
          </w:p>
        </w:tc>
        <w:tc>
          <w:tcPr>
            <w:tcW w:w="1488" w:type="pct"/>
            <w:tcBorders>
              <w:top w:val="single" w:sz="4" w:space="0" w:color="auto"/>
              <w:left w:val="single" w:sz="4" w:space="0" w:color="auto"/>
              <w:bottom w:val="single" w:sz="4" w:space="0" w:color="auto"/>
              <w:right w:val="single" w:sz="4" w:space="0" w:color="auto"/>
            </w:tcBorders>
            <w:vAlign w:val="center"/>
          </w:tcPr>
          <w:p w14:paraId="268FED26" w14:textId="77777777" w:rsidR="00C36D57" w:rsidRPr="002041DF" w:rsidRDefault="00C36D57" w:rsidP="002041DF">
            <w:pPr>
              <w:widowControl w:val="0"/>
              <w:adjustRightInd w:val="0"/>
              <w:jc w:val="center"/>
              <w:rPr>
                <w:strike/>
                <w:sz w:val="22"/>
                <w:szCs w:val="22"/>
                <w:lang w:val="sr-Latn-ME"/>
              </w:rPr>
            </w:pPr>
            <w:r w:rsidRPr="002041DF">
              <w:rPr>
                <w:sz w:val="22"/>
                <w:szCs w:val="22"/>
                <w:lang w:val="sr-Latn-ME"/>
              </w:rPr>
              <w:t>17 (38,6%)</w:t>
            </w:r>
          </w:p>
        </w:tc>
        <w:tc>
          <w:tcPr>
            <w:tcW w:w="1582" w:type="pct"/>
            <w:tcBorders>
              <w:top w:val="single" w:sz="4" w:space="0" w:color="auto"/>
              <w:left w:val="single" w:sz="4" w:space="0" w:color="auto"/>
              <w:bottom w:val="single" w:sz="4" w:space="0" w:color="auto"/>
              <w:right w:val="single" w:sz="4" w:space="0" w:color="auto"/>
            </w:tcBorders>
          </w:tcPr>
          <w:p w14:paraId="7A8998CD" w14:textId="77777777" w:rsidR="00C36D57" w:rsidRPr="002041DF" w:rsidRDefault="00C36D57" w:rsidP="002041DF">
            <w:pPr>
              <w:widowControl w:val="0"/>
              <w:adjustRightInd w:val="0"/>
              <w:jc w:val="center"/>
              <w:rPr>
                <w:strike/>
                <w:sz w:val="22"/>
                <w:szCs w:val="22"/>
                <w:lang w:val="sr-Latn-ME"/>
              </w:rPr>
            </w:pPr>
            <w:r w:rsidRPr="002041DF">
              <w:rPr>
                <w:sz w:val="22"/>
                <w:szCs w:val="22"/>
                <w:lang w:val="sr-Latn-ME"/>
              </w:rPr>
              <w:t>23 (56,1%)</w:t>
            </w:r>
          </w:p>
        </w:tc>
      </w:tr>
      <w:tr w:rsidR="00C36D57" w:rsidRPr="002041DF" w14:paraId="2A63DACA" w14:textId="77777777" w:rsidTr="007C6E24">
        <w:trPr>
          <w:cantSplit/>
          <w:jc w:val="center"/>
        </w:trPr>
        <w:tc>
          <w:tcPr>
            <w:tcW w:w="5000" w:type="pct"/>
            <w:gridSpan w:val="3"/>
            <w:tcBorders>
              <w:top w:val="single" w:sz="4" w:space="0" w:color="auto"/>
              <w:left w:val="single" w:sz="4" w:space="0" w:color="auto"/>
              <w:bottom w:val="single" w:sz="4" w:space="0" w:color="auto"/>
              <w:right w:val="single" w:sz="4" w:space="0" w:color="auto"/>
            </w:tcBorders>
            <w:vAlign w:val="center"/>
          </w:tcPr>
          <w:p w14:paraId="2B1A48B4" w14:textId="77777777" w:rsidR="00C36D57" w:rsidRPr="002041DF" w:rsidRDefault="00C36D57" w:rsidP="002041DF">
            <w:pPr>
              <w:widowControl w:val="0"/>
              <w:adjustRightInd w:val="0"/>
              <w:rPr>
                <w:b/>
                <w:snapToGrid w:val="0"/>
                <w:sz w:val="22"/>
                <w:szCs w:val="22"/>
                <w:lang w:val="sr-Latn-ME"/>
              </w:rPr>
            </w:pPr>
            <w:r w:rsidRPr="002041DF">
              <w:rPr>
                <w:b/>
                <w:snapToGrid w:val="0"/>
                <w:sz w:val="22"/>
                <w:szCs w:val="22"/>
                <w:lang w:val="sr-Latn-ME"/>
              </w:rPr>
              <w:t>PASI</w:t>
            </w:r>
          </w:p>
        </w:tc>
      </w:tr>
      <w:tr w:rsidR="00C36D57" w:rsidRPr="002041DF" w14:paraId="4CDCE018" w14:textId="77777777" w:rsidTr="007C6E24">
        <w:trPr>
          <w:cantSplit/>
          <w:jc w:val="center"/>
        </w:trPr>
        <w:tc>
          <w:tcPr>
            <w:tcW w:w="1930" w:type="pct"/>
            <w:tcBorders>
              <w:top w:val="single" w:sz="4" w:space="0" w:color="auto"/>
              <w:left w:val="single" w:sz="4" w:space="0" w:color="auto"/>
              <w:bottom w:val="single" w:sz="4" w:space="0" w:color="auto"/>
              <w:right w:val="single" w:sz="4" w:space="0" w:color="auto"/>
            </w:tcBorders>
            <w:vAlign w:val="bottom"/>
          </w:tcPr>
          <w:p w14:paraId="53CD301A" w14:textId="77777777" w:rsidR="00C36D57" w:rsidRPr="002041DF" w:rsidRDefault="00C36D57" w:rsidP="002041DF">
            <w:pPr>
              <w:widowControl w:val="0"/>
              <w:rPr>
                <w:b/>
                <w:snapToGrid w:val="0"/>
                <w:sz w:val="22"/>
                <w:szCs w:val="22"/>
                <w:lang w:val="sr-Latn-ME"/>
              </w:rPr>
            </w:pPr>
            <w:r w:rsidRPr="002041DF">
              <w:rPr>
                <w:snapToGrid w:val="0"/>
                <w:sz w:val="22"/>
                <w:szCs w:val="22"/>
                <w:lang w:val="sr-Latn-ME"/>
              </w:rPr>
              <w:t>PASI</w:t>
            </w:r>
            <w:r w:rsidRPr="002041DF">
              <w:rPr>
                <w:sz w:val="22"/>
                <w:szCs w:val="22"/>
                <w:lang w:val="sr-Latn-ME"/>
              </w:rPr>
              <w:t> </w:t>
            </w:r>
            <w:r w:rsidRPr="002041DF">
              <w:rPr>
                <w:snapToGrid w:val="0"/>
                <w:sz w:val="22"/>
                <w:szCs w:val="22"/>
                <w:lang w:val="sr-Latn-ME"/>
              </w:rPr>
              <w:t>75 odgovor</w:t>
            </w:r>
          </w:p>
        </w:tc>
        <w:tc>
          <w:tcPr>
            <w:tcW w:w="1488" w:type="pct"/>
            <w:tcBorders>
              <w:top w:val="single" w:sz="4" w:space="0" w:color="auto"/>
              <w:left w:val="single" w:sz="4" w:space="0" w:color="auto"/>
              <w:bottom w:val="single" w:sz="4" w:space="0" w:color="auto"/>
              <w:right w:val="single" w:sz="4" w:space="0" w:color="auto"/>
            </w:tcBorders>
            <w:vAlign w:val="center"/>
          </w:tcPr>
          <w:p w14:paraId="01BB428C" w14:textId="77777777" w:rsidR="00C36D57" w:rsidRPr="002041DF" w:rsidRDefault="00C36D57" w:rsidP="002041DF">
            <w:pPr>
              <w:widowControl w:val="0"/>
              <w:adjustRightInd w:val="0"/>
              <w:jc w:val="center"/>
              <w:rPr>
                <w:sz w:val="22"/>
                <w:szCs w:val="22"/>
                <w:lang w:val="sr-Latn-ME"/>
              </w:rPr>
            </w:pPr>
            <w:r w:rsidRPr="002041DF">
              <w:rPr>
                <w:sz w:val="22"/>
                <w:szCs w:val="22"/>
                <w:lang w:val="sr-Latn-ME"/>
              </w:rPr>
              <w:t>37 (84,1%)</w:t>
            </w:r>
          </w:p>
        </w:tc>
        <w:tc>
          <w:tcPr>
            <w:tcW w:w="1582" w:type="pct"/>
            <w:tcBorders>
              <w:top w:val="single" w:sz="4" w:space="0" w:color="auto"/>
              <w:left w:val="single" w:sz="4" w:space="0" w:color="auto"/>
              <w:bottom w:val="single" w:sz="4" w:space="0" w:color="auto"/>
              <w:right w:val="single" w:sz="4" w:space="0" w:color="auto"/>
            </w:tcBorders>
            <w:vAlign w:val="center"/>
          </w:tcPr>
          <w:p w14:paraId="07F493F5" w14:textId="77777777" w:rsidR="00C36D57" w:rsidRPr="002041DF" w:rsidRDefault="00C36D57" w:rsidP="002041DF">
            <w:pPr>
              <w:widowControl w:val="0"/>
              <w:adjustRightInd w:val="0"/>
              <w:jc w:val="center"/>
              <w:rPr>
                <w:sz w:val="22"/>
                <w:szCs w:val="22"/>
                <w:lang w:val="sr-Latn-ME"/>
              </w:rPr>
            </w:pPr>
            <w:r w:rsidRPr="002041DF">
              <w:rPr>
                <w:sz w:val="22"/>
                <w:szCs w:val="22"/>
                <w:lang w:val="sr-Latn-ME"/>
              </w:rPr>
              <w:t>36 (87,8%)</w:t>
            </w:r>
          </w:p>
        </w:tc>
      </w:tr>
      <w:tr w:rsidR="00C36D57" w:rsidRPr="002041DF" w14:paraId="35081A96" w14:textId="77777777" w:rsidTr="007C6E24">
        <w:trPr>
          <w:cantSplit/>
          <w:jc w:val="center"/>
        </w:trPr>
        <w:tc>
          <w:tcPr>
            <w:tcW w:w="1930" w:type="pct"/>
            <w:tcBorders>
              <w:top w:val="single" w:sz="4" w:space="0" w:color="auto"/>
              <w:left w:val="single" w:sz="4" w:space="0" w:color="auto"/>
              <w:bottom w:val="single" w:sz="4" w:space="0" w:color="auto"/>
              <w:right w:val="single" w:sz="4" w:space="0" w:color="auto"/>
            </w:tcBorders>
            <w:vAlign w:val="bottom"/>
          </w:tcPr>
          <w:p w14:paraId="508DCB21" w14:textId="77777777" w:rsidR="00C36D57" w:rsidRPr="002041DF" w:rsidRDefault="00C36D57" w:rsidP="002041DF">
            <w:pPr>
              <w:widowControl w:val="0"/>
              <w:rPr>
                <w:snapToGrid w:val="0"/>
                <w:sz w:val="22"/>
                <w:szCs w:val="22"/>
                <w:lang w:val="sr-Latn-ME"/>
              </w:rPr>
            </w:pPr>
            <w:r w:rsidRPr="002041DF">
              <w:rPr>
                <w:snapToGrid w:val="0"/>
                <w:sz w:val="22"/>
                <w:szCs w:val="22"/>
                <w:lang w:val="sr-Latn-ME"/>
              </w:rPr>
              <w:t>PASI</w:t>
            </w:r>
            <w:r w:rsidRPr="002041DF">
              <w:rPr>
                <w:sz w:val="22"/>
                <w:szCs w:val="22"/>
                <w:lang w:val="sr-Latn-ME"/>
              </w:rPr>
              <w:t> </w:t>
            </w:r>
            <w:r w:rsidRPr="002041DF">
              <w:rPr>
                <w:snapToGrid w:val="0"/>
                <w:sz w:val="22"/>
                <w:szCs w:val="22"/>
                <w:lang w:val="sr-Latn-ME"/>
              </w:rPr>
              <w:t>90 odgovor</w:t>
            </w:r>
          </w:p>
        </w:tc>
        <w:tc>
          <w:tcPr>
            <w:tcW w:w="1488" w:type="pct"/>
            <w:tcBorders>
              <w:top w:val="single" w:sz="4" w:space="0" w:color="auto"/>
              <w:left w:val="single" w:sz="4" w:space="0" w:color="auto"/>
              <w:bottom w:val="single" w:sz="4" w:space="0" w:color="auto"/>
              <w:right w:val="single" w:sz="4" w:space="0" w:color="auto"/>
            </w:tcBorders>
            <w:vAlign w:val="center"/>
          </w:tcPr>
          <w:p w14:paraId="6AB69A69" w14:textId="77777777" w:rsidR="00C36D57" w:rsidRPr="002041DF" w:rsidRDefault="00C36D57" w:rsidP="002041DF">
            <w:pPr>
              <w:widowControl w:val="0"/>
              <w:adjustRightInd w:val="0"/>
              <w:jc w:val="center"/>
              <w:rPr>
                <w:sz w:val="22"/>
                <w:szCs w:val="22"/>
                <w:lang w:val="sr-Latn-ME"/>
              </w:rPr>
            </w:pPr>
            <w:r w:rsidRPr="002041DF">
              <w:rPr>
                <w:sz w:val="22"/>
                <w:szCs w:val="22"/>
                <w:lang w:val="sr-Latn-ME"/>
              </w:rPr>
              <w:t>28 (63,6%)</w:t>
            </w:r>
          </w:p>
        </w:tc>
        <w:tc>
          <w:tcPr>
            <w:tcW w:w="1582" w:type="pct"/>
            <w:tcBorders>
              <w:top w:val="single" w:sz="4" w:space="0" w:color="auto"/>
              <w:left w:val="single" w:sz="4" w:space="0" w:color="auto"/>
              <w:bottom w:val="single" w:sz="4" w:space="0" w:color="auto"/>
              <w:right w:val="single" w:sz="4" w:space="0" w:color="auto"/>
            </w:tcBorders>
          </w:tcPr>
          <w:p w14:paraId="7A4E9DC9" w14:textId="77777777" w:rsidR="00C36D57" w:rsidRPr="002041DF" w:rsidRDefault="00C36D57" w:rsidP="002041DF">
            <w:pPr>
              <w:widowControl w:val="0"/>
              <w:adjustRightInd w:val="0"/>
              <w:jc w:val="center"/>
              <w:rPr>
                <w:sz w:val="22"/>
                <w:szCs w:val="22"/>
                <w:lang w:val="sr-Latn-ME"/>
              </w:rPr>
            </w:pPr>
            <w:r w:rsidRPr="002041DF">
              <w:rPr>
                <w:sz w:val="22"/>
                <w:szCs w:val="22"/>
                <w:lang w:val="sr-Latn-ME"/>
              </w:rPr>
              <w:t>29 (70,7%)</w:t>
            </w:r>
          </w:p>
        </w:tc>
      </w:tr>
      <w:tr w:rsidR="00C36D57" w:rsidRPr="002041DF" w14:paraId="7CBF4746" w14:textId="77777777" w:rsidTr="007C6E24">
        <w:trPr>
          <w:cantSplit/>
          <w:jc w:val="center"/>
        </w:trPr>
        <w:tc>
          <w:tcPr>
            <w:tcW w:w="1930" w:type="pct"/>
            <w:tcBorders>
              <w:top w:val="single" w:sz="4" w:space="0" w:color="auto"/>
              <w:left w:val="single" w:sz="4" w:space="0" w:color="auto"/>
              <w:bottom w:val="single" w:sz="4" w:space="0" w:color="auto"/>
              <w:right w:val="single" w:sz="4" w:space="0" w:color="auto"/>
            </w:tcBorders>
            <w:vAlign w:val="bottom"/>
          </w:tcPr>
          <w:p w14:paraId="12F0BBFF" w14:textId="77777777" w:rsidR="00C36D57" w:rsidRPr="002041DF" w:rsidRDefault="00C36D57" w:rsidP="002041DF">
            <w:pPr>
              <w:widowControl w:val="0"/>
              <w:rPr>
                <w:snapToGrid w:val="0"/>
                <w:sz w:val="22"/>
                <w:szCs w:val="22"/>
                <w:lang w:val="sr-Latn-ME"/>
              </w:rPr>
            </w:pPr>
            <w:r w:rsidRPr="002041DF">
              <w:rPr>
                <w:snapToGrid w:val="0"/>
                <w:sz w:val="22"/>
                <w:szCs w:val="22"/>
                <w:lang w:val="sr-Latn-ME"/>
              </w:rPr>
              <w:t>PASI</w:t>
            </w:r>
            <w:r w:rsidRPr="002041DF">
              <w:rPr>
                <w:sz w:val="22"/>
                <w:szCs w:val="22"/>
                <w:lang w:val="sr-Latn-ME"/>
              </w:rPr>
              <w:t> </w:t>
            </w:r>
            <w:r w:rsidRPr="002041DF">
              <w:rPr>
                <w:snapToGrid w:val="0"/>
                <w:sz w:val="22"/>
                <w:szCs w:val="22"/>
                <w:lang w:val="sr-Latn-ME"/>
              </w:rPr>
              <w:t>100 odgovor</w:t>
            </w:r>
          </w:p>
        </w:tc>
        <w:tc>
          <w:tcPr>
            <w:tcW w:w="1488" w:type="pct"/>
            <w:tcBorders>
              <w:top w:val="single" w:sz="4" w:space="0" w:color="auto"/>
              <w:left w:val="single" w:sz="4" w:space="0" w:color="auto"/>
              <w:bottom w:val="single" w:sz="4" w:space="0" w:color="auto"/>
              <w:right w:val="single" w:sz="4" w:space="0" w:color="auto"/>
            </w:tcBorders>
            <w:vAlign w:val="center"/>
          </w:tcPr>
          <w:p w14:paraId="3868CE66" w14:textId="77777777" w:rsidR="00C36D57" w:rsidRPr="002041DF" w:rsidRDefault="00C36D57" w:rsidP="002041DF">
            <w:pPr>
              <w:widowControl w:val="0"/>
              <w:adjustRightInd w:val="0"/>
              <w:jc w:val="center"/>
              <w:rPr>
                <w:sz w:val="22"/>
                <w:szCs w:val="22"/>
                <w:lang w:val="sr-Latn-ME"/>
              </w:rPr>
            </w:pPr>
            <w:r w:rsidRPr="002041DF">
              <w:rPr>
                <w:sz w:val="22"/>
                <w:szCs w:val="22"/>
                <w:lang w:val="sr-Latn-ME"/>
              </w:rPr>
              <w:t>15 (34,1%)</w:t>
            </w:r>
          </w:p>
        </w:tc>
        <w:tc>
          <w:tcPr>
            <w:tcW w:w="1582" w:type="pct"/>
            <w:tcBorders>
              <w:top w:val="single" w:sz="4" w:space="0" w:color="auto"/>
              <w:left w:val="single" w:sz="4" w:space="0" w:color="auto"/>
              <w:bottom w:val="single" w:sz="4" w:space="0" w:color="auto"/>
              <w:right w:val="single" w:sz="4" w:space="0" w:color="auto"/>
            </w:tcBorders>
          </w:tcPr>
          <w:p w14:paraId="27C2F1B4" w14:textId="77777777" w:rsidR="00C36D57" w:rsidRPr="002041DF" w:rsidRDefault="00C36D57" w:rsidP="002041DF">
            <w:pPr>
              <w:widowControl w:val="0"/>
              <w:adjustRightInd w:val="0"/>
              <w:jc w:val="center"/>
              <w:rPr>
                <w:sz w:val="22"/>
                <w:szCs w:val="22"/>
                <w:lang w:val="sr-Latn-ME"/>
              </w:rPr>
            </w:pPr>
            <w:r w:rsidRPr="002041DF">
              <w:rPr>
                <w:sz w:val="22"/>
                <w:szCs w:val="22"/>
                <w:lang w:val="sr-Latn-ME"/>
              </w:rPr>
              <w:t>22 (53,7%)</w:t>
            </w:r>
          </w:p>
        </w:tc>
      </w:tr>
      <w:tr w:rsidR="00C36D57" w:rsidRPr="002041DF" w14:paraId="138FECAF" w14:textId="77777777" w:rsidTr="007C6E24">
        <w:trPr>
          <w:cantSplit/>
          <w:jc w:val="center"/>
        </w:trPr>
        <w:tc>
          <w:tcPr>
            <w:tcW w:w="5000" w:type="pct"/>
            <w:gridSpan w:val="3"/>
            <w:tcBorders>
              <w:top w:val="single" w:sz="4" w:space="0" w:color="auto"/>
              <w:left w:val="single" w:sz="4" w:space="0" w:color="auto"/>
              <w:bottom w:val="single" w:sz="4" w:space="0" w:color="auto"/>
              <w:right w:val="single" w:sz="4" w:space="0" w:color="auto"/>
            </w:tcBorders>
          </w:tcPr>
          <w:p w14:paraId="511E542C" w14:textId="77777777" w:rsidR="00C36D57" w:rsidRPr="002041DF" w:rsidRDefault="00C36D57" w:rsidP="002041DF">
            <w:pPr>
              <w:widowControl w:val="0"/>
              <w:adjustRightInd w:val="0"/>
              <w:rPr>
                <w:b/>
                <w:sz w:val="22"/>
                <w:szCs w:val="22"/>
                <w:lang w:val="sr-Latn-ME"/>
              </w:rPr>
            </w:pPr>
            <w:r w:rsidRPr="002041DF">
              <w:rPr>
                <w:b/>
                <w:sz w:val="22"/>
                <w:szCs w:val="22"/>
                <w:lang w:val="sr-Latn-ME"/>
              </w:rPr>
              <w:t>CDLQI</w:t>
            </w:r>
            <w:r w:rsidRPr="002041DF">
              <w:rPr>
                <w:sz w:val="22"/>
                <w:szCs w:val="22"/>
                <w:vertAlign w:val="superscript"/>
                <w:lang w:val="sr-Latn-ME"/>
              </w:rPr>
              <w:t>a</w:t>
            </w:r>
          </w:p>
        </w:tc>
      </w:tr>
      <w:tr w:rsidR="00C36D57" w:rsidRPr="002041DF" w14:paraId="47FD4217" w14:textId="77777777" w:rsidTr="007C6E24">
        <w:trPr>
          <w:cantSplit/>
          <w:jc w:val="center"/>
        </w:trPr>
        <w:tc>
          <w:tcPr>
            <w:tcW w:w="1930" w:type="pct"/>
            <w:tcBorders>
              <w:top w:val="single" w:sz="4" w:space="0" w:color="auto"/>
              <w:left w:val="single" w:sz="4" w:space="0" w:color="auto"/>
              <w:bottom w:val="single" w:sz="4" w:space="0" w:color="auto"/>
              <w:right w:val="single" w:sz="4" w:space="0" w:color="auto"/>
            </w:tcBorders>
            <w:vAlign w:val="bottom"/>
          </w:tcPr>
          <w:p w14:paraId="1377C11B" w14:textId="0A65E1A9" w:rsidR="00C36D57" w:rsidRPr="002041DF" w:rsidRDefault="00C36D57" w:rsidP="002041DF">
            <w:pPr>
              <w:widowControl w:val="0"/>
              <w:rPr>
                <w:snapToGrid w:val="0"/>
                <w:sz w:val="22"/>
                <w:szCs w:val="22"/>
                <w:lang w:val="sr-Latn-ME"/>
              </w:rPr>
            </w:pPr>
            <w:r w:rsidRPr="002041DF">
              <w:rPr>
                <w:snapToGrid w:val="0"/>
                <w:sz w:val="22"/>
                <w:szCs w:val="22"/>
                <w:lang w:val="sr-Latn-ME"/>
              </w:rPr>
              <w:t>Pacijenti sa početnom vr</w:t>
            </w:r>
            <w:r w:rsidR="008B2B13" w:rsidRPr="002041DF">
              <w:rPr>
                <w:snapToGrid w:val="0"/>
                <w:sz w:val="22"/>
                <w:szCs w:val="22"/>
                <w:lang w:val="sr-Latn-ME"/>
              </w:rPr>
              <w:t>ij</w:t>
            </w:r>
            <w:r w:rsidRPr="002041DF">
              <w:rPr>
                <w:snapToGrid w:val="0"/>
                <w:sz w:val="22"/>
                <w:szCs w:val="22"/>
                <w:lang w:val="sr-Latn-ME"/>
              </w:rPr>
              <w:t xml:space="preserve">ednošću CDLQI &gt; 1 </w:t>
            </w:r>
          </w:p>
        </w:tc>
        <w:tc>
          <w:tcPr>
            <w:tcW w:w="1488" w:type="pct"/>
            <w:tcBorders>
              <w:top w:val="single" w:sz="4" w:space="0" w:color="auto"/>
              <w:left w:val="single" w:sz="4" w:space="0" w:color="auto"/>
              <w:bottom w:val="single" w:sz="4" w:space="0" w:color="auto"/>
              <w:right w:val="single" w:sz="4" w:space="0" w:color="auto"/>
            </w:tcBorders>
            <w:vAlign w:val="center"/>
          </w:tcPr>
          <w:p w14:paraId="7437DFE1" w14:textId="77777777" w:rsidR="00C36D57" w:rsidRPr="002041DF" w:rsidRDefault="00C36D57" w:rsidP="002041DF">
            <w:pPr>
              <w:widowControl w:val="0"/>
              <w:adjustRightInd w:val="0"/>
              <w:jc w:val="center"/>
              <w:rPr>
                <w:snapToGrid w:val="0"/>
                <w:sz w:val="22"/>
                <w:szCs w:val="22"/>
                <w:lang w:val="sr-Latn-ME"/>
              </w:rPr>
            </w:pPr>
            <w:r w:rsidRPr="002041DF">
              <w:rPr>
                <w:snapToGrid w:val="0"/>
                <w:sz w:val="22"/>
                <w:szCs w:val="22"/>
                <w:lang w:val="sr-Latn-ME"/>
              </w:rPr>
              <w:t>(N=39)</w:t>
            </w:r>
          </w:p>
        </w:tc>
        <w:tc>
          <w:tcPr>
            <w:tcW w:w="1582" w:type="pct"/>
            <w:tcBorders>
              <w:top w:val="single" w:sz="4" w:space="0" w:color="auto"/>
              <w:left w:val="single" w:sz="4" w:space="0" w:color="auto"/>
              <w:bottom w:val="single" w:sz="4" w:space="0" w:color="auto"/>
              <w:right w:val="single" w:sz="4" w:space="0" w:color="auto"/>
            </w:tcBorders>
            <w:vAlign w:val="center"/>
          </w:tcPr>
          <w:p w14:paraId="1E94A7FC" w14:textId="77777777" w:rsidR="00C36D57" w:rsidRPr="002041DF" w:rsidRDefault="00C36D57" w:rsidP="002041DF">
            <w:pPr>
              <w:widowControl w:val="0"/>
              <w:adjustRightInd w:val="0"/>
              <w:jc w:val="center"/>
              <w:rPr>
                <w:snapToGrid w:val="0"/>
                <w:sz w:val="22"/>
                <w:szCs w:val="22"/>
                <w:lang w:val="sr-Latn-ME"/>
              </w:rPr>
            </w:pPr>
            <w:r w:rsidRPr="002041DF">
              <w:rPr>
                <w:snapToGrid w:val="0"/>
                <w:sz w:val="22"/>
                <w:szCs w:val="22"/>
                <w:lang w:val="sr-Latn-ME"/>
              </w:rPr>
              <w:t>(N=36)</w:t>
            </w:r>
          </w:p>
        </w:tc>
      </w:tr>
      <w:tr w:rsidR="00C36D57" w:rsidRPr="002041DF" w14:paraId="27559187" w14:textId="77777777" w:rsidTr="007C6E24">
        <w:trPr>
          <w:cantSplit/>
          <w:jc w:val="center"/>
        </w:trPr>
        <w:tc>
          <w:tcPr>
            <w:tcW w:w="1930" w:type="pct"/>
            <w:tcBorders>
              <w:top w:val="single" w:sz="4" w:space="0" w:color="auto"/>
              <w:left w:val="single" w:sz="4" w:space="0" w:color="auto"/>
              <w:bottom w:val="single" w:sz="4" w:space="0" w:color="auto"/>
              <w:right w:val="single" w:sz="4" w:space="0" w:color="auto"/>
            </w:tcBorders>
            <w:vAlign w:val="bottom"/>
          </w:tcPr>
          <w:p w14:paraId="59DD5A80" w14:textId="0E0A1CCF" w:rsidR="00C36D57" w:rsidRPr="002041DF" w:rsidRDefault="00C36D57" w:rsidP="002041DF">
            <w:pPr>
              <w:widowControl w:val="0"/>
              <w:rPr>
                <w:snapToGrid w:val="0"/>
                <w:sz w:val="22"/>
                <w:szCs w:val="22"/>
                <w:lang w:val="sr-Latn-ME"/>
              </w:rPr>
            </w:pPr>
            <w:r w:rsidRPr="002041DF">
              <w:rPr>
                <w:snapToGrid w:val="0"/>
                <w:sz w:val="22"/>
                <w:szCs w:val="22"/>
                <w:lang w:val="sr-Latn-ME"/>
              </w:rPr>
              <w:t>CDLQI 0 ili 1</w:t>
            </w:r>
          </w:p>
        </w:tc>
        <w:tc>
          <w:tcPr>
            <w:tcW w:w="1488" w:type="pct"/>
            <w:tcBorders>
              <w:top w:val="single" w:sz="4" w:space="0" w:color="auto"/>
              <w:left w:val="single" w:sz="4" w:space="0" w:color="auto"/>
              <w:bottom w:val="single" w:sz="4" w:space="0" w:color="auto"/>
              <w:right w:val="single" w:sz="4" w:space="0" w:color="auto"/>
            </w:tcBorders>
            <w:vAlign w:val="center"/>
          </w:tcPr>
          <w:p w14:paraId="1BE5BACB" w14:textId="77777777" w:rsidR="00C36D57" w:rsidRPr="002041DF" w:rsidRDefault="00C36D57" w:rsidP="002041DF">
            <w:pPr>
              <w:widowControl w:val="0"/>
              <w:adjustRightInd w:val="0"/>
              <w:jc w:val="center"/>
              <w:rPr>
                <w:sz w:val="22"/>
                <w:szCs w:val="22"/>
                <w:lang w:val="sr-Latn-ME"/>
              </w:rPr>
            </w:pPr>
            <w:r w:rsidRPr="002041DF">
              <w:rPr>
                <w:sz w:val="22"/>
                <w:szCs w:val="22"/>
                <w:lang w:val="sr-Latn-ME"/>
              </w:rPr>
              <w:t>24 (61,5%)</w:t>
            </w:r>
          </w:p>
        </w:tc>
        <w:tc>
          <w:tcPr>
            <w:tcW w:w="1582" w:type="pct"/>
            <w:tcBorders>
              <w:top w:val="single" w:sz="4" w:space="0" w:color="auto"/>
              <w:left w:val="single" w:sz="4" w:space="0" w:color="auto"/>
              <w:bottom w:val="single" w:sz="4" w:space="0" w:color="auto"/>
              <w:right w:val="single" w:sz="4" w:space="0" w:color="auto"/>
            </w:tcBorders>
            <w:vAlign w:val="center"/>
          </w:tcPr>
          <w:p w14:paraId="573BAC80" w14:textId="77777777" w:rsidR="00C36D57" w:rsidRPr="002041DF" w:rsidRDefault="00C36D57" w:rsidP="002041DF">
            <w:pPr>
              <w:widowControl w:val="0"/>
              <w:adjustRightInd w:val="0"/>
              <w:jc w:val="center"/>
              <w:rPr>
                <w:color w:val="000000"/>
                <w:sz w:val="22"/>
                <w:szCs w:val="22"/>
                <w:lang w:val="sr-Latn-ME"/>
              </w:rPr>
            </w:pPr>
            <w:r w:rsidRPr="002041DF">
              <w:rPr>
                <w:sz w:val="22"/>
                <w:szCs w:val="22"/>
                <w:lang w:val="sr-Latn-ME"/>
              </w:rPr>
              <w:t>21 (58,3%)</w:t>
            </w:r>
          </w:p>
        </w:tc>
      </w:tr>
      <w:tr w:rsidR="00C36D57" w:rsidRPr="002041DF" w14:paraId="1AFF7CF1" w14:textId="77777777" w:rsidTr="007C6E24">
        <w:trPr>
          <w:cantSplit/>
          <w:jc w:val="center"/>
        </w:trPr>
        <w:tc>
          <w:tcPr>
            <w:tcW w:w="5000" w:type="pct"/>
            <w:gridSpan w:val="3"/>
            <w:tcBorders>
              <w:top w:val="single" w:sz="4" w:space="0" w:color="auto"/>
              <w:left w:val="nil"/>
              <w:bottom w:val="nil"/>
              <w:right w:val="nil"/>
            </w:tcBorders>
          </w:tcPr>
          <w:p w14:paraId="18BCB885" w14:textId="50649862" w:rsidR="00C36D57" w:rsidRPr="002041DF" w:rsidRDefault="00C36D57" w:rsidP="002041DF">
            <w:pPr>
              <w:widowControl w:val="0"/>
              <w:tabs>
                <w:tab w:val="left" w:pos="284"/>
              </w:tabs>
              <w:ind w:left="284" w:hanging="284"/>
              <w:rPr>
                <w:sz w:val="22"/>
                <w:szCs w:val="22"/>
                <w:lang w:val="sr-Latn-ME"/>
              </w:rPr>
            </w:pPr>
            <w:r w:rsidRPr="007C6E24">
              <w:rPr>
                <w:sz w:val="20"/>
                <w:szCs w:val="22"/>
                <w:vertAlign w:val="superscript"/>
                <w:lang w:val="sr-Latn-ME"/>
              </w:rPr>
              <w:t>a</w:t>
            </w:r>
            <w:r w:rsidRPr="007C6E24">
              <w:rPr>
                <w:sz w:val="20"/>
                <w:szCs w:val="22"/>
                <w:lang w:val="sr-Latn-ME"/>
              </w:rPr>
              <w:tab/>
              <w:t>CDLQI: CDLQI je dermatološki instrument za proc</w:t>
            </w:r>
            <w:r w:rsidR="008B2B13" w:rsidRPr="007C6E24">
              <w:rPr>
                <w:sz w:val="20"/>
                <w:szCs w:val="22"/>
                <w:lang w:val="sr-Latn-ME"/>
              </w:rPr>
              <w:t>j</w:t>
            </w:r>
            <w:r w:rsidRPr="007C6E24">
              <w:rPr>
                <w:sz w:val="20"/>
                <w:szCs w:val="22"/>
                <w:lang w:val="sr-Latn-ME"/>
              </w:rPr>
              <w:t>enu uticaja problema sa kožom na kvalitet života povezan sa zdravljem u pedijatrijskoj populaciji. CDLQI 0 ili 1 ukaz</w:t>
            </w:r>
            <w:r w:rsidR="008B2B13" w:rsidRPr="007C6E24">
              <w:rPr>
                <w:sz w:val="20"/>
                <w:szCs w:val="22"/>
                <w:lang w:val="sr-Latn-ME"/>
              </w:rPr>
              <w:t>u</w:t>
            </w:r>
            <w:r w:rsidRPr="007C6E24">
              <w:rPr>
                <w:sz w:val="20"/>
                <w:szCs w:val="22"/>
                <w:lang w:val="sr-Latn-ME"/>
              </w:rPr>
              <w:t>je da nema uticaja na kvalitet života d</w:t>
            </w:r>
            <w:r w:rsidR="008B2B13" w:rsidRPr="007C6E24">
              <w:rPr>
                <w:sz w:val="20"/>
                <w:szCs w:val="22"/>
                <w:lang w:val="sr-Latn-ME"/>
              </w:rPr>
              <w:t>j</w:t>
            </w:r>
            <w:r w:rsidRPr="007C6E24">
              <w:rPr>
                <w:sz w:val="20"/>
                <w:szCs w:val="22"/>
                <w:lang w:val="sr-Latn-ME"/>
              </w:rPr>
              <w:t>eteta.</w:t>
            </w:r>
          </w:p>
        </w:tc>
      </w:tr>
    </w:tbl>
    <w:p w14:paraId="64EC37DD" w14:textId="77777777" w:rsidR="00C36D57" w:rsidRPr="002041DF" w:rsidRDefault="00C36D57" w:rsidP="002041DF">
      <w:pPr>
        <w:widowControl w:val="0"/>
        <w:tabs>
          <w:tab w:val="left" w:pos="2808"/>
          <w:tab w:val="left" w:pos="9000"/>
        </w:tabs>
        <w:jc w:val="both"/>
        <w:rPr>
          <w:sz w:val="22"/>
          <w:szCs w:val="22"/>
          <w:lang w:val="sr-Latn-ME"/>
        </w:rPr>
      </w:pPr>
    </w:p>
    <w:p w14:paraId="55281105" w14:textId="77777777" w:rsidR="00C36D57" w:rsidRPr="002041DF" w:rsidRDefault="00C36D57" w:rsidP="002041DF">
      <w:pPr>
        <w:widowControl w:val="0"/>
        <w:tabs>
          <w:tab w:val="left" w:pos="2808"/>
          <w:tab w:val="left" w:pos="9000"/>
        </w:tabs>
        <w:jc w:val="both"/>
        <w:rPr>
          <w:sz w:val="22"/>
          <w:szCs w:val="22"/>
          <w:u w:val="single"/>
          <w:lang w:val="sr-Latn-ME"/>
        </w:rPr>
      </w:pPr>
      <w:r w:rsidRPr="002041DF">
        <w:rPr>
          <w:sz w:val="22"/>
          <w:szCs w:val="22"/>
          <w:u w:val="single"/>
          <w:lang w:val="sr-Latn-ME"/>
        </w:rPr>
        <w:t xml:space="preserve">Kronova bolest </w:t>
      </w:r>
    </w:p>
    <w:p w14:paraId="596481F7" w14:textId="77777777" w:rsidR="003F0934" w:rsidRPr="002041DF" w:rsidRDefault="003F0934" w:rsidP="002041DF">
      <w:pPr>
        <w:widowControl w:val="0"/>
        <w:tabs>
          <w:tab w:val="left" w:pos="2808"/>
          <w:tab w:val="left" w:pos="9000"/>
        </w:tabs>
        <w:jc w:val="both"/>
        <w:rPr>
          <w:sz w:val="22"/>
          <w:szCs w:val="22"/>
          <w:u w:val="single"/>
          <w:lang w:val="sr-Latn-ME"/>
        </w:rPr>
      </w:pPr>
    </w:p>
    <w:p w14:paraId="7D21D0B1" w14:textId="4896505C" w:rsidR="00C36D57" w:rsidRPr="002041DF" w:rsidRDefault="00C36D57" w:rsidP="002041DF">
      <w:pPr>
        <w:widowControl w:val="0"/>
        <w:tabs>
          <w:tab w:val="left" w:pos="2808"/>
          <w:tab w:val="left" w:pos="9000"/>
        </w:tabs>
        <w:jc w:val="both"/>
        <w:rPr>
          <w:sz w:val="22"/>
          <w:szCs w:val="22"/>
          <w:lang w:val="sr-Latn-ME"/>
        </w:rPr>
      </w:pPr>
      <w:r w:rsidRPr="002041DF">
        <w:rPr>
          <w:sz w:val="22"/>
          <w:szCs w:val="22"/>
          <w:lang w:val="sr-Latn-ME"/>
        </w:rPr>
        <w:t>Bezb</w:t>
      </w:r>
      <w:r w:rsidR="008B2B13" w:rsidRPr="002041DF">
        <w:rPr>
          <w:sz w:val="22"/>
          <w:szCs w:val="22"/>
          <w:lang w:val="sr-Latn-ME"/>
        </w:rPr>
        <w:t>j</w:t>
      </w:r>
      <w:r w:rsidRPr="002041DF">
        <w:rPr>
          <w:sz w:val="22"/>
          <w:szCs w:val="22"/>
          <w:lang w:val="sr-Latn-ME"/>
        </w:rPr>
        <w:t>ednost i efikasnost ustekinumaba je proc</w:t>
      </w:r>
      <w:r w:rsidR="008B2B13" w:rsidRPr="002041DF">
        <w:rPr>
          <w:sz w:val="22"/>
          <w:szCs w:val="22"/>
          <w:lang w:val="sr-Latn-ME"/>
        </w:rPr>
        <w:t>j</w:t>
      </w:r>
      <w:r w:rsidRPr="002041DF">
        <w:rPr>
          <w:sz w:val="22"/>
          <w:szCs w:val="22"/>
          <w:lang w:val="sr-Latn-ME"/>
        </w:rPr>
        <w:t xml:space="preserve">enjivana u tri randomizovana, dvostruko </w:t>
      </w:r>
      <w:r w:rsidR="006A5AC5" w:rsidRPr="002041DF">
        <w:rPr>
          <w:sz w:val="22"/>
          <w:szCs w:val="22"/>
          <w:lang w:val="sr-Latn-ME"/>
        </w:rPr>
        <w:t>slijepa</w:t>
      </w:r>
      <w:r w:rsidRPr="002041DF">
        <w:rPr>
          <w:sz w:val="22"/>
          <w:szCs w:val="22"/>
          <w:lang w:val="sr-Latn-ME"/>
        </w:rPr>
        <w:t xml:space="preserve">, placebo kontrolisana, multicentrična ispitivanja kod odraslih pacijenata sa </w:t>
      </w:r>
      <w:r w:rsidR="00E50471" w:rsidRPr="002041DF">
        <w:rPr>
          <w:sz w:val="22"/>
          <w:szCs w:val="22"/>
          <w:lang w:val="sr-Latn-ME"/>
        </w:rPr>
        <w:t>umjeren</w:t>
      </w:r>
      <w:r w:rsidRPr="002041DF">
        <w:rPr>
          <w:sz w:val="22"/>
          <w:szCs w:val="22"/>
          <w:lang w:val="sr-Latn-ME"/>
        </w:rPr>
        <w:t xml:space="preserve">im do teškim oblikom aktivne Kronove bolesti (engl. </w:t>
      </w:r>
      <w:r w:rsidRPr="002041DF">
        <w:rPr>
          <w:i/>
          <w:sz w:val="22"/>
          <w:szCs w:val="22"/>
          <w:lang w:val="sr-Latn-ME"/>
        </w:rPr>
        <w:t>Crohn’s Disease Activity Index</w:t>
      </w:r>
      <w:r w:rsidRPr="002041DF">
        <w:rPr>
          <w:sz w:val="22"/>
          <w:szCs w:val="22"/>
          <w:lang w:val="sr-Latn-ME"/>
        </w:rPr>
        <w:t>, CDAI skor od ≥ 220 i ≤ 450). Klinički razvojni program se sastojao od dva ispitivanja intravenske</w:t>
      </w:r>
      <w:r w:rsidR="00891C9B" w:rsidRPr="002041DF">
        <w:rPr>
          <w:sz w:val="22"/>
          <w:szCs w:val="22"/>
          <w:lang w:val="sr-Latn-ME"/>
        </w:rPr>
        <w:t xml:space="preserve"> primjene </w:t>
      </w:r>
      <w:r w:rsidRPr="002041DF">
        <w:rPr>
          <w:sz w:val="22"/>
          <w:szCs w:val="22"/>
          <w:lang w:val="sr-Latn-ME"/>
        </w:rPr>
        <w:t xml:space="preserve">početne terapije (UNITI-1 i UNITI-2) u trajanju od 8 </w:t>
      </w:r>
      <w:r w:rsidR="004372C4" w:rsidRPr="002041DF">
        <w:rPr>
          <w:sz w:val="22"/>
          <w:szCs w:val="22"/>
          <w:lang w:val="sr-Latn-ME"/>
        </w:rPr>
        <w:t>nedjelja</w:t>
      </w:r>
      <w:r w:rsidRPr="002041DF">
        <w:rPr>
          <w:sz w:val="22"/>
          <w:szCs w:val="22"/>
          <w:lang w:val="sr-Latn-ME"/>
        </w:rPr>
        <w:t>, nakon čega je usl</w:t>
      </w:r>
      <w:r w:rsidR="008B2B13" w:rsidRPr="002041DF">
        <w:rPr>
          <w:sz w:val="22"/>
          <w:szCs w:val="22"/>
          <w:lang w:val="sr-Latn-ME"/>
        </w:rPr>
        <w:t>ij</w:t>
      </w:r>
      <w:r w:rsidRPr="002041DF">
        <w:rPr>
          <w:sz w:val="22"/>
          <w:szCs w:val="22"/>
          <w:lang w:val="sr-Latn-ME"/>
        </w:rPr>
        <w:t>edilo randomizovano ispitivanje supkutane</w:t>
      </w:r>
      <w:r w:rsidR="00891C9B" w:rsidRPr="002041DF">
        <w:rPr>
          <w:sz w:val="22"/>
          <w:szCs w:val="22"/>
          <w:lang w:val="sr-Latn-ME"/>
        </w:rPr>
        <w:t xml:space="preserve"> primjene </w:t>
      </w:r>
      <w:r w:rsidRPr="002041DF">
        <w:rPr>
          <w:sz w:val="22"/>
          <w:szCs w:val="22"/>
          <w:lang w:val="sr-Latn-ME"/>
        </w:rPr>
        <w:t xml:space="preserve">terapije održavanja u trajanju od 44 </w:t>
      </w:r>
      <w:r w:rsidR="004372C4" w:rsidRPr="002041DF">
        <w:rPr>
          <w:sz w:val="22"/>
          <w:szCs w:val="22"/>
          <w:lang w:val="sr-Latn-ME"/>
        </w:rPr>
        <w:t>nedjelje</w:t>
      </w:r>
      <w:r w:rsidRPr="002041DF">
        <w:rPr>
          <w:sz w:val="22"/>
          <w:szCs w:val="22"/>
          <w:lang w:val="sr-Latn-ME"/>
        </w:rPr>
        <w:t xml:space="preserve"> (IM-UNITI) što je predstavljalo 52 </w:t>
      </w:r>
      <w:r w:rsidR="004372C4" w:rsidRPr="002041DF">
        <w:rPr>
          <w:sz w:val="22"/>
          <w:szCs w:val="22"/>
          <w:lang w:val="sr-Latn-ME"/>
        </w:rPr>
        <w:t>nedjelje</w:t>
      </w:r>
      <w:r w:rsidRPr="002041DF">
        <w:rPr>
          <w:sz w:val="22"/>
          <w:szCs w:val="22"/>
          <w:lang w:val="sr-Latn-ME"/>
        </w:rPr>
        <w:t xml:space="preserve"> terapije.</w:t>
      </w:r>
    </w:p>
    <w:p w14:paraId="15501B60" w14:textId="77777777" w:rsidR="00C36D57" w:rsidRPr="002041DF" w:rsidRDefault="00C36D57" w:rsidP="002041DF">
      <w:pPr>
        <w:widowControl w:val="0"/>
        <w:tabs>
          <w:tab w:val="left" w:pos="2808"/>
          <w:tab w:val="left" w:pos="9000"/>
        </w:tabs>
        <w:jc w:val="both"/>
        <w:rPr>
          <w:sz w:val="22"/>
          <w:szCs w:val="22"/>
          <w:lang w:val="sr-Latn-ME"/>
        </w:rPr>
      </w:pPr>
    </w:p>
    <w:p w14:paraId="3D36FC21" w14:textId="6EFDED6F" w:rsidR="00C36D57" w:rsidRPr="002041DF" w:rsidRDefault="00C36D57" w:rsidP="002041DF">
      <w:pPr>
        <w:widowControl w:val="0"/>
        <w:tabs>
          <w:tab w:val="left" w:pos="2808"/>
          <w:tab w:val="left" w:pos="9000"/>
        </w:tabs>
        <w:jc w:val="both"/>
        <w:rPr>
          <w:sz w:val="22"/>
          <w:szCs w:val="22"/>
          <w:lang w:val="sr-Latn-ME"/>
        </w:rPr>
      </w:pPr>
      <w:r w:rsidRPr="002041DF">
        <w:rPr>
          <w:sz w:val="22"/>
          <w:szCs w:val="22"/>
          <w:lang w:val="sr-Latn-ME"/>
        </w:rPr>
        <w:t xml:space="preserve">Ispitivanja početne terapije uključivala su 1409 (UNITI-1, n = 769; UNITI-2 n = 640) pacijenata. Primarni parametar praćenja efikasnosti za oba ispitivanja početne terapije bila je procenat pacijenata sa kliničkim odgovorom (definisano kao smanjenje CDAI skora od ≥ 100 poena) u 6. </w:t>
      </w:r>
      <w:r w:rsidR="004372C4" w:rsidRPr="002041DF">
        <w:rPr>
          <w:sz w:val="22"/>
          <w:szCs w:val="22"/>
          <w:lang w:val="sr-Latn-ME"/>
        </w:rPr>
        <w:t>nedjelji</w:t>
      </w:r>
      <w:r w:rsidRPr="002041DF">
        <w:rPr>
          <w:sz w:val="22"/>
          <w:szCs w:val="22"/>
          <w:lang w:val="sr-Latn-ME"/>
        </w:rPr>
        <w:t xml:space="preserve">. Podaci o efikasnosti su prikupljani i analizirani do 8. </w:t>
      </w:r>
      <w:r w:rsidR="004372C4" w:rsidRPr="002041DF">
        <w:rPr>
          <w:sz w:val="22"/>
          <w:szCs w:val="22"/>
          <w:lang w:val="sr-Latn-ME"/>
        </w:rPr>
        <w:t>nedjelje</w:t>
      </w:r>
      <w:r w:rsidRPr="002041DF">
        <w:rPr>
          <w:sz w:val="22"/>
          <w:szCs w:val="22"/>
          <w:lang w:val="sr-Latn-ME"/>
        </w:rPr>
        <w:t xml:space="preserve"> za oba ispitivanja. Istovremene doze oralnih kortikosteroida, imunomodulatora, aminosalicilata i antibiotika bile su dozvoljene i 75% pacijenata nastavilo je sa primanjem barem jednog od tih </w:t>
      </w:r>
      <w:r w:rsidR="00802A66" w:rsidRPr="002041DF">
        <w:rPr>
          <w:sz w:val="22"/>
          <w:szCs w:val="22"/>
          <w:lang w:val="sr-Latn-ME"/>
        </w:rPr>
        <w:t>ljekova</w:t>
      </w:r>
      <w:r w:rsidRPr="002041DF">
        <w:rPr>
          <w:sz w:val="22"/>
          <w:szCs w:val="22"/>
          <w:lang w:val="sr-Latn-ME"/>
        </w:rPr>
        <w:t>. U oba ispitivanja, pacijenti su nasumično primali jednu intravensku dozu, bilo preporučene doze određene prema t</w:t>
      </w:r>
      <w:r w:rsidR="008B2B13" w:rsidRPr="002041DF">
        <w:rPr>
          <w:sz w:val="22"/>
          <w:szCs w:val="22"/>
          <w:lang w:val="sr-Latn-ME"/>
        </w:rPr>
        <w:t>j</w:t>
      </w:r>
      <w:r w:rsidRPr="002041DF">
        <w:rPr>
          <w:sz w:val="22"/>
          <w:szCs w:val="22"/>
          <w:lang w:val="sr-Latn-ME"/>
        </w:rPr>
        <w:t xml:space="preserve">elesnoj masi (engl. </w:t>
      </w:r>
      <w:r w:rsidRPr="002041DF">
        <w:rPr>
          <w:i/>
          <w:sz w:val="22"/>
          <w:szCs w:val="22"/>
          <w:lang w:val="sr-Latn-ME"/>
        </w:rPr>
        <w:t>tiered dose</w:t>
      </w:r>
      <w:r w:rsidRPr="002041DF">
        <w:rPr>
          <w:sz w:val="22"/>
          <w:szCs w:val="22"/>
          <w:lang w:val="sr-Latn-ME"/>
        </w:rPr>
        <w:t>) od otprilike 6 mg/kg (</w:t>
      </w:r>
      <w:r w:rsidR="006779EA" w:rsidRPr="002041DF">
        <w:rPr>
          <w:sz w:val="22"/>
          <w:szCs w:val="22"/>
          <w:lang w:val="sr-Latn-ME"/>
        </w:rPr>
        <w:t>vidjeti</w:t>
      </w:r>
      <w:r w:rsidRPr="002041DF">
        <w:rPr>
          <w:sz w:val="22"/>
          <w:szCs w:val="22"/>
          <w:lang w:val="sr-Latn-ME"/>
        </w:rPr>
        <w:t xml:space="preserve"> </w:t>
      </w:r>
      <w:r w:rsidR="00292E06" w:rsidRPr="002041DF">
        <w:rPr>
          <w:sz w:val="22"/>
          <w:szCs w:val="22"/>
          <w:lang w:val="sr-Latn-ME"/>
        </w:rPr>
        <w:lastRenderedPageBreak/>
        <w:t>dio</w:t>
      </w:r>
      <w:r w:rsidRPr="002041DF">
        <w:rPr>
          <w:sz w:val="22"/>
          <w:szCs w:val="22"/>
          <w:lang w:val="sr-Latn-ME"/>
        </w:rPr>
        <w:t xml:space="preserve"> 4.2 sažetka za </w:t>
      </w:r>
      <w:r w:rsidR="008B2B13" w:rsidRPr="002041DF">
        <w:rPr>
          <w:sz w:val="22"/>
          <w:szCs w:val="22"/>
          <w:lang w:val="sr-Latn-ME"/>
        </w:rPr>
        <w:t>l</w:t>
      </w:r>
      <w:r w:rsidR="00C23E53" w:rsidRPr="002041DF">
        <w:rPr>
          <w:sz w:val="22"/>
          <w:szCs w:val="22"/>
          <w:lang w:val="sr-Latn-ME"/>
        </w:rPr>
        <w:t xml:space="preserve">ijek Stelara </w:t>
      </w:r>
      <w:r w:rsidRPr="002041DF">
        <w:rPr>
          <w:sz w:val="22"/>
          <w:szCs w:val="22"/>
          <w:lang w:val="sr-Latn-ME"/>
        </w:rPr>
        <w:t xml:space="preserve">130 mg, koncentrat za rastvor za infuziju), bilo fiksne doze od 130 mg ustekinumaba ili placeba u 0. </w:t>
      </w:r>
      <w:r w:rsidR="004372C4" w:rsidRPr="002041DF">
        <w:rPr>
          <w:sz w:val="22"/>
          <w:szCs w:val="22"/>
          <w:lang w:val="sr-Latn-ME"/>
        </w:rPr>
        <w:t>nedjelji</w:t>
      </w:r>
      <w:r w:rsidRPr="002041DF">
        <w:rPr>
          <w:sz w:val="22"/>
          <w:szCs w:val="22"/>
          <w:lang w:val="sr-Latn-ME"/>
        </w:rPr>
        <w:t xml:space="preserve">. </w:t>
      </w:r>
    </w:p>
    <w:p w14:paraId="0173580E" w14:textId="77777777" w:rsidR="00C36D57" w:rsidRPr="002041DF" w:rsidRDefault="00C36D57" w:rsidP="002041DF">
      <w:pPr>
        <w:widowControl w:val="0"/>
        <w:tabs>
          <w:tab w:val="left" w:pos="2808"/>
          <w:tab w:val="left" w:pos="9000"/>
        </w:tabs>
        <w:jc w:val="both"/>
        <w:rPr>
          <w:sz w:val="22"/>
          <w:szCs w:val="22"/>
          <w:lang w:val="sr-Latn-ME"/>
        </w:rPr>
      </w:pPr>
    </w:p>
    <w:p w14:paraId="4105D14D" w14:textId="21DB95AB" w:rsidR="00C36D57" w:rsidRPr="002041DF" w:rsidRDefault="00C36D57" w:rsidP="002041DF">
      <w:pPr>
        <w:widowControl w:val="0"/>
        <w:tabs>
          <w:tab w:val="left" w:pos="2808"/>
          <w:tab w:val="left" w:pos="9000"/>
        </w:tabs>
        <w:jc w:val="both"/>
        <w:rPr>
          <w:sz w:val="22"/>
          <w:szCs w:val="22"/>
          <w:lang w:val="sr-Latn-ME"/>
        </w:rPr>
      </w:pPr>
      <w:r w:rsidRPr="002041DF">
        <w:rPr>
          <w:sz w:val="22"/>
          <w:szCs w:val="22"/>
          <w:lang w:val="sr-Latn-ME"/>
        </w:rPr>
        <w:t>Kod pacijenata u UNITI-1 ispitivanju, prethodna anti-TNFα terapija je bila neusp</w:t>
      </w:r>
      <w:r w:rsidR="008B2B13" w:rsidRPr="002041DF">
        <w:rPr>
          <w:sz w:val="22"/>
          <w:szCs w:val="22"/>
          <w:lang w:val="sr-Latn-ME"/>
        </w:rPr>
        <w:t>j</w:t>
      </w:r>
      <w:r w:rsidRPr="002041DF">
        <w:rPr>
          <w:sz w:val="22"/>
          <w:szCs w:val="22"/>
          <w:lang w:val="sr-Latn-ME"/>
        </w:rPr>
        <w:t>ešna ili je pacijenti</w:t>
      </w:r>
      <w:r w:rsidR="00E50471" w:rsidRPr="002041DF">
        <w:rPr>
          <w:sz w:val="22"/>
          <w:szCs w:val="22"/>
          <w:lang w:val="sr-Latn-ME"/>
        </w:rPr>
        <w:t xml:space="preserve"> nijesu </w:t>
      </w:r>
      <w:r w:rsidRPr="002041DF">
        <w:rPr>
          <w:sz w:val="22"/>
          <w:szCs w:val="22"/>
          <w:lang w:val="sr-Latn-ME"/>
        </w:rPr>
        <w:t>podnosili. Otprilike 48% pacijenata imalo je 1 neusp</w:t>
      </w:r>
      <w:r w:rsidR="008B2B13" w:rsidRPr="002041DF">
        <w:rPr>
          <w:sz w:val="22"/>
          <w:szCs w:val="22"/>
          <w:lang w:val="sr-Latn-ME"/>
        </w:rPr>
        <w:t>j</w:t>
      </w:r>
      <w:r w:rsidRPr="002041DF">
        <w:rPr>
          <w:sz w:val="22"/>
          <w:szCs w:val="22"/>
          <w:lang w:val="sr-Latn-ME"/>
        </w:rPr>
        <w:t>ešnu prethodnu anti-TNFα terapiju, a 52% je imalo neusp</w:t>
      </w:r>
      <w:r w:rsidR="008B2B13" w:rsidRPr="002041DF">
        <w:rPr>
          <w:sz w:val="22"/>
          <w:szCs w:val="22"/>
          <w:lang w:val="sr-Latn-ME"/>
        </w:rPr>
        <w:t>j</w:t>
      </w:r>
      <w:r w:rsidRPr="002041DF">
        <w:rPr>
          <w:sz w:val="22"/>
          <w:szCs w:val="22"/>
          <w:lang w:val="sr-Latn-ME"/>
        </w:rPr>
        <w:t>ešne 2 ili 3 prethodne anti-TNFα terapije. U ovom ispitivanju, 29,1% pacijenata imao je neadekvatan inicijalni odgovor (primarno</w:t>
      </w:r>
      <w:r w:rsidR="00E50471" w:rsidRPr="002041DF">
        <w:rPr>
          <w:sz w:val="22"/>
          <w:szCs w:val="22"/>
          <w:lang w:val="sr-Latn-ME"/>
        </w:rPr>
        <w:t xml:space="preserve"> nijesu </w:t>
      </w:r>
      <w:r w:rsidRPr="002041DF">
        <w:rPr>
          <w:sz w:val="22"/>
          <w:szCs w:val="22"/>
          <w:lang w:val="sr-Latn-ME"/>
        </w:rPr>
        <w:t>odgovorili), 69,4% ih je odgovorilo ali su izgubili odgovor (sekundarno</w:t>
      </w:r>
      <w:r w:rsidR="00E50471" w:rsidRPr="002041DF">
        <w:rPr>
          <w:sz w:val="22"/>
          <w:szCs w:val="22"/>
          <w:lang w:val="sr-Latn-ME"/>
        </w:rPr>
        <w:t xml:space="preserve"> nijesu </w:t>
      </w:r>
      <w:r w:rsidRPr="002041DF">
        <w:rPr>
          <w:sz w:val="22"/>
          <w:szCs w:val="22"/>
          <w:lang w:val="sr-Latn-ME"/>
        </w:rPr>
        <w:t xml:space="preserve">odgovorili), a 36,4% ih nije podnosilo anti-TNFα terapiju. </w:t>
      </w:r>
    </w:p>
    <w:p w14:paraId="173B4401" w14:textId="77777777" w:rsidR="00C36D57" w:rsidRPr="002041DF" w:rsidRDefault="00C36D57" w:rsidP="002041DF">
      <w:pPr>
        <w:widowControl w:val="0"/>
        <w:tabs>
          <w:tab w:val="left" w:pos="2808"/>
          <w:tab w:val="left" w:pos="9000"/>
        </w:tabs>
        <w:jc w:val="both"/>
        <w:rPr>
          <w:sz w:val="22"/>
          <w:szCs w:val="22"/>
          <w:lang w:val="sr-Latn-ME"/>
        </w:rPr>
      </w:pPr>
    </w:p>
    <w:p w14:paraId="57AC8ED0" w14:textId="0934BBF1" w:rsidR="00C36D57" w:rsidRPr="002041DF" w:rsidRDefault="00C36D57" w:rsidP="002041DF">
      <w:pPr>
        <w:widowControl w:val="0"/>
        <w:tabs>
          <w:tab w:val="left" w:pos="2808"/>
          <w:tab w:val="left" w:pos="9000"/>
        </w:tabs>
        <w:jc w:val="both"/>
        <w:rPr>
          <w:sz w:val="22"/>
          <w:szCs w:val="22"/>
          <w:lang w:val="sr-Latn-ME"/>
        </w:rPr>
      </w:pPr>
      <w:r w:rsidRPr="002041DF">
        <w:rPr>
          <w:sz w:val="22"/>
          <w:szCs w:val="22"/>
          <w:lang w:val="sr-Latn-ME"/>
        </w:rPr>
        <w:t>Pacijenti u UNITI-2 imali su barem jednu ne</w:t>
      </w:r>
      <w:r w:rsidR="008B2B13" w:rsidRPr="002041DF">
        <w:rPr>
          <w:sz w:val="22"/>
          <w:szCs w:val="22"/>
          <w:lang w:val="sr-Latn-ME"/>
        </w:rPr>
        <w:t>uspješnu</w:t>
      </w:r>
      <w:r w:rsidRPr="002041DF">
        <w:rPr>
          <w:sz w:val="22"/>
          <w:szCs w:val="22"/>
          <w:lang w:val="sr-Latn-ME"/>
        </w:rPr>
        <w:t xml:space="preserve"> konvencionalnu terapiju, uključujući kortikosteroide ili imunomodulatore, prethodno ili</w:t>
      </w:r>
      <w:r w:rsidR="00E50471" w:rsidRPr="002041DF">
        <w:rPr>
          <w:sz w:val="22"/>
          <w:szCs w:val="22"/>
          <w:lang w:val="sr-Latn-ME"/>
        </w:rPr>
        <w:t xml:space="preserve"> nijesu </w:t>
      </w:r>
      <w:r w:rsidRPr="002041DF">
        <w:rPr>
          <w:sz w:val="22"/>
          <w:szCs w:val="22"/>
          <w:lang w:val="sr-Latn-ME"/>
        </w:rPr>
        <w:t>primili anti-TNF-α terapiju (68,6%) ili su prethodno primili anti-TNFα terapiju koja je bila usp</w:t>
      </w:r>
      <w:r w:rsidR="008B2B13" w:rsidRPr="002041DF">
        <w:rPr>
          <w:sz w:val="22"/>
          <w:szCs w:val="22"/>
          <w:lang w:val="sr-Latn-ME"/>
        </w:rPr>
        <w:t>j</w:t>
      </w:r>
      <w:r w:rsidRPr="002041DF">
        <w:rPr>
          <w:sz w:val="22"/>
          <w:szCs w:val="22"/>
          <w:lang w:val="sr-Latn-ME"/>
        </w:rPr>
        <w:t xml:space="preserve">ešna (31,4%). </w:t>
      </w:r>
    </w:p>
    <w:p w14:paraId="11EFA119" w14:textId="77777777" w:rsidR="00C36D57" w:rsidRPr="002041DF" w:rsidRDefault="00C36D57" w:rsidP="002041DF">
      <w:pPr>
        <w:widowControl w:val="0"/>
        <w:tabs>
          <w:tab w:val="left" w:pos="2808"/>
          <w:tab w:val="left" w:pos="9000"/>
        </w:tabs>
        <w:jc w:val="both"/>
        <w:rPr>
          <w:sz w:val="22"/>
          <w:szCs w:val="22"/>
          <w:lang w:val="sr-Latn-ME"/>
        </w:rPr>
      </w:pPr>
    </w:p>
    <w:p w14:paraId="31040643" w14:textId="6BCAE0CF" w:rsidR="00C36D57" w:rsidRPr="002041DF" w:rsidRDefault="00C36D57" w:rsidP="002041DF">
      <w:pPr>
        <w:widowControl w:val="0"/>
        <w:tabs>
          <w:tab w:val="left" w:pos="2808"/>
          <w:tab w:val="left" w:pos="9000"/>
        </w:tabs>
        <w:jc w:val="both"/>
        <w:rPr>
          <w:sz w:val="22"/>
          <w:szCs w:val="22"/>
          <w:lang w:val="sr-Latn-ME"/>
        </w:rPr>
      </w:pPr>
      <w:r w:rsidRPr="002041DF">
        <w:rPr>
          <w:sz w:val="22"/>
          <w:szCs w:val="22"/>
          <w:lang w:val="sr-Latn-ME"/>
        </w:rPr>
        <w:t xml:space="preserve">I u UNITI-1 i UNITI-2 ispitivanju, značajno veći procenat pacijenata bili su sa kliničkim odgovorom i remisijom u grupi </w:t>
      </w:r>
      <w:r w:rsidR="00891C9B" w:rsidRPr="002041DF">
        <w:rPr>
          <w:sz w:val="22"/>
          <w:szCs w:val="22"/>
          <w:lang w:val="sr-Latn-ME"/>
        </w:rPr>
        <w:t>liječen</w:t>
      </w:r>
      <w:r w:rsidRPr="002041DF">
        <w:rPr>
          <w:sz w:val="22"/>
          <w:szCs w:val="22"/>
          <w:lang w:val="sr-Latn-ME"/>
        </w:rPr>
        <w:t xml:space="preserve">oj ustekinumabom u poređenju sa placebom (Tabela 9). Klinički odgovor i remisija bili su značajni već u 3. </w:t>
      </w:r>
      <w:r w:rsidR="004372C4" w:rsidRPr="002041DF">
        <w:rPr>
          <w:sz w:val="22"/>
          <w:szCs w:val="22"/>
          <w:lang w:val="sr-Latn-ME"/>
        </w:rPr>
        <w:t>nedjelji</w:t>
      </w:r>
      <w:r w:rsidRPr="002041DF">
        <w:rPr>
          <w:sz w:val="22"/>
          <w:szCs w:val="22"/>
          <w:lang w:val="sr-Latn-ME"/>
        </w:rPr>
        <w:t xml:space="preserve"> kod pacijenata </w:t>
      </w:r>
      <w:r w:rsidR="00891C9B" w:rsidRPr="002041DF">
        <w:rPr>
          <w:sz w:val="22"/>
          <w:szCs w:val="22"/>
          <w:lang w:val="sr-Latn-ME"/>
        </w:rPr>
        <w:t>liječen</w:t>
      </w:r>
      <w:r w:rsidRPr="002041DF">
        <w:rPr>
          <w:sz w:val="22"/>
          <w:szCs w:val="22"/>
          <w:lang w:val="sr-Latn-ME"/>
        </w:rPr>
        <w:t xml:space="preserve">ih ustekinumabom i nastavili su se poboljšavati do 8. </w:t>
      </w:r>
      <w:r w:rsidR="004372C4" w:rsidRPr="002041DF">
        <w:rPr>
          <w:sz w:val="22"/>
          <w:szCs w:val="22"/>
          <w:lang w:val="sr-Latn-ME"/>
        </w:rPr>
        <w:t>nedjelje</w:t>
      </w:r>
      <w:r w:rsidRPr="002041DF">
        <w:rPr>
          <w:sz w:val="22"/>
          <w:szCs w:val="22"/>
          <w:lang w:val="sr-Latn-ME"/>
        </w:rPr>
        <w:t>. U ovim ispitivanjima početne terapije, efikasnost je bila veća i bolje se održala u grupi sa dozama određenim prema t</w:t>
      </w:r>
      <w:r w:rsidR="008B2B13" w:rsidRPr="002041DF">
        <w:rPr>
          <w:sz w:val="22"/>
          <w:szCs w:val="22"/>
          <w:lang w:val="sr-Latn-ME"/>
        </w:rPr>
        <w:t>j</w:t>
      </w:r>
      <w:r w:rsidRPr="002041DF">
        <w:rPr>
          <w:sz w:val="22"/>
          <w:szCs w:val="22"/>
          <w:lang w:val="sr-Latn-ME"/>
        </w:rPr>
        <w:t>elesnoj masi u poređenju sa grupom sa dozom od 130 mg, pa se zato doziranje određeno prema t</w:t>
      </w:r>
      <w:r w:rsidR="008B2B13" w:rsidRPr="002041DF">
        <w:rPr>
          <w:sz w:val="22"/>
          <w:szCs w:val="22"/>
          <w:lang w:val="sr-Latn-ME"/>
        </w:rPr>
        <w:t>j</w:t>
      </w:r>
      <w:r w:rsidRPr="002041DF">
        <w:rPr>
          <w:sz w:val="22"/>
          <w:szCs w:val="22"/>
          <w:lang w:val="sr-Latn-ME"/>
        </w:rPr>
        <w:t xml:space="preserve">elesnoj masi preporučuje za intravensku početnu dozu. </w:t>
      </w:r>
    </w:p>
    <w:p w14:paraId="02710B70" w14:textId="77777777" w:rsidR="00C36D57" w:rsidRPr="002041DF" w:rsidRDefault="00C36D57" w:rsidP="002041DF">
      <w:pPr>
        <w:widowControl w:val="0"/>
        <w:tabs>
          <w:tab w:val="left" w:pos="2808"/>
          <w:tab w:val="left" w:pos="9000"/>
        </w:tabs>
        <w:jc w:val="both"/>
        <w:rPr>
          <w:sz w:val="22"/>
          <w:szCs w:val="22"/>
          <w:lang w:val="sr-Latn-ME"/>
        </w:rPr>
      </w:pPr>
    </w:p>
    <w:p w14:paraId="45D08C06" w14:textId="4786211B" w:rsidR="00C36D57" w:rsidRPr="002041DF" w:rsidRDefault="00C36D57" w:rsidP="002041DF">
      <w:pPr>
        <w:widowControl w:val="0"/>
        <w:tabs>
          <w:tab w:val="left" w:pos="2808"/>
          <w:tab w:val="left" w:pos="9000"/>
        </w:tabs>
        <w:jc w:val="both"/>
        <w:rPr>
          <w:i/>
          <w:sz w:val="22"/>
          <w:szCs w:val="22"/>
          <w:lang w:val="sr-Latn-ME"/>
        </w:rPr>
      </w:pPr>
      <w:r w:rsidRPr="002041DF">
        <w:rPr>
          <w:i/>
          <w:sz w:val="22"/>
          <w:szCs w:val="22"/>
          <w:lang w:val="sr-Latn-ME"/>
        </w:rPr>
        <w:t>Tabela 9: Indukcija kliničkog odgovora i remisija u UNITI-1 i UNITI 2</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952"/>
        <w:gridCol w:w="1666"/>
        <w:gridCol w:w="1509"/>
        <w:gridCol w:w="1666"/>
        <w:gridCol w:w="1601"/>
      </w:tblGrid>
      <w:tr w:rsidR="00C36D57" w:rsidRPr="002041DF" w14:paraId="10A6E510" w14:textId="77777777" w:rsidTr="007C6E24">
        <w:trPr>
          <w:trHeight w:val="235"/>
        </w:trPr>
        <w:tc>
          <w:tcPr>
            <w:tcW w:w="1571" w:type="pct"/>
            <w:shd w:val="clear" w:color="auto" w:fill="auto"/>
          </w:tcPr>
          <w:p w14:paraId="3DF9E2BD" w14:textId="77777777" w:rsidR="00C36D57" w:rsidRPr="002041DF" w:rsidRDefault="00C36D57" w:rsidP="002041DF">
            <w:pPr>
              <w:widowControl w:val="0"/>
              <w:tabs>
                <w:tab w:val="left" w:pos="2808"/>
                <w:tab w:val="left" w:pos="9000"/>
              </w:tabs>
              <w:rPr>
                <w:sz w:val="22"/>
                <w:szCs w:val="22"/>
                <w:lang w:val="sr-Latn-ME"/>
              </w:rPr>
            </w:pPr>
          </w:p>
        </w:tc>
        <w:tc>
          <w:tcPr>
            <w:tcW w:w="1689" w:type="pct"/>
            <w:gridSpan w:val="2"/>
            <w:shd w:val="clear" w:color="auto" w:fill="auto"/>
          </w:tcPr>
          <w:p w14:paraId="367C429B" w14:textId="77777777" w:rsidR="00C36D57" w:rsidRPr="002041DF" w:rsidRDefault="00C36D57" w:rsidP="002041DF">
            <w:pPr>
              <w:widowControl w:val="0"/>
              <w:tabs>
                <w:tab w:val="left" w:pos="2808"/>
                <w:tab w:val="left" w:pos="9000"/>
              </w:tabs>
              <w:rPr>
                <w:sz w:val="22"/>
                <w:szCs w:val="22"/>
                <w:lang w:val="sr-Latn-ME"/>
              </w:rPr>
            </w:pPr>
            <w:r w:rsidRPr="002041DF">
              <w:rPr>
                <w:sz w:val="22"/>
                <w:szCs w:val="22"/>
                <w:lang w:val="sr-Latn-ME"/>
              </w:rPr>
              <w:t>UNITI-1*</w:t>
            </w:r>
          </w:p>
        </w:tc>
        <w:tc>
          <w:tcPr>
            <w:tcW w:w="1740" w:type="pct"/>
            <w:gridSpan w:val="2"/>
            <w:shd w:val="clear" w:color="auto" w:fill="auto"/>
          </w:tcPr>
          <w:p w14:paraId="5813F4E5" w14:textId="77777777" w:rsidR="00C36D57" w:rsidRPr="002041DF" w:rsidRDefault="00C36D57" w:rsidP="002041DF">
            <w:pPr>
              <w:widowControl w:val="0"/>
              <w:tabs>
                <w:tab w:val="left" w:pos="1140"/>
              </w:tabs>
              <w:rPr>
                <w:sz w:val="22"/>
                <w:szCs w:val="22"/>
                <w:lang w:val="sr-Latn-ME"/>
              </w:rPr>
            </w:pPr>
            <w:r w:rsidRPr="002041DF">
              <w:rPr>
                <w:sz w:val="22"/>
                <w:szCs w:val="22"/>
                <w:lang w:val="sr-Latn-ME"/>
              </w:rPr>
              <w:t>UNITI-2**</w:t>
            </w:r>
          </w:p>
        </w:tc>
      </w:tr>
      <w:tr w:rsidR="00C36D57" w:rsidRPr="002041DF" w14:paraId="113401D8" w14:textId="77777777" w:rsidTr="007C6E24">
        <w:trPr>
          <w:trHeight w:val="927"/>
        </w:trPr>
        <w:tc>
          <w:tcPr>
            <w:tcW w:w="1571" w:type="pct"/>
            <w:shd w:val="clear" w:color="auto" w:fill="auto"/>
          </w:tcPr>
          <w:p w14:paraId="6DAE518E" w14:textId="77777777" w:rsidR="00C36D57" w:rsidRPr="002041DF" w:rsidRDefault="00C36D57" w:rsidP="002041DF">
            <w:pPr>
              <w:widowControl w:val="0"/>
              <w:tabs>
                <w:tab w:val="left" w:pos="2808"/>
                <w:tab w:val="left" w:pos="9000"/>
              </w:tabs>
              <w:rPr>
                <w:sz w:val="22"/>
                <w:szCs w:val="22"/>
                <w:lang w:val="sr-Latn-ME"/>
              </w:rPr>
            </w:pPr>
          </w:p>
        </w:tc>
        <w:tc>
          <w:tcPr>
            <w:tcW w:w="887" w:type="pct"/>
            <w:shd w:val="clear" w:color="auto" w:fill="auto"/>
          </w:tcPr>
          <w:p w14:paraId="537B9E02" w14:textId="77777777" w:rsidR="00C36D57" w:rsidRPr="002041DF" w:rsidRDefault="00C36D57" w:rsidP="002041DF">
            <w:pPr>
              <w:widowControl w:val="0"/>
              <w:tabs>
                <w:tab w:val="left" w:pos="2808"/>
                <w:tab w:val="left" w:pos="9000"/>
              </w:tabs>
              <w:rPr>
                <w:sz w:val="22"/>
                <w:szCs w:val="22"/>
                <w:lang w:val="sr-Latn-ME"/>
              </w:rPr>
            </w:pPr>
            <w:r w:rsidRPr="002041DF">
              <w:rPr>
                <w:sz w:val="22"/>
                <w:szCs w:val="22"/>
                <w:lang w:val="sr-Latn-ME"/>
              </w:rPr>
              <w:t>Placebo</w:t>
            </w:r>
          </w:p>
          <w:p w14:paraId="4869A272" w14:textId="77777777" w:rsidR="00C36D57" w:rsidRPr="002041DF" w:rsidRDefault="00C36D57" w:rsidP="002041DF">
            <w:pPr>
              <w:widowControl w:val="0"/>
              <w:tabs>
                <w:tab w:val="left" w:pos="2808"/>
                <w:tab w:val="left" w:pos="9000"/>
              </w:tabs>
              <w:rPr>
                <w:sz w:val="22"/>
                <w:szCs w:val="22"/>
                <w:lang w:val="sr-Latn-ME"/>
              </w:rPr>
            </w:pPr>
            <w:r w:rsidRPr="002041DF">
              <w:rPr>
                <w:sz w:val="22"/>
                <w:szCs w:val="22"/>
                <w:lang w:val="sr-Latn-ME"/>
              </w:rPr>
              <w:t>N = 247</w:t>
            </w:r>
          </w:p>
        </w:tc>
        <w:tc>
          <w:tcPr>
            <w:tcW w:w="803" w:type="pct"/>
            <w:shd w:val="clear" w:color="auto" w:fill="auto"/>
          </w:tcPr>
          <w:p w14:paraId="1789C296" w14:textId="77777777" w:rsidR="00C36D57" w:rsidRPr="002041DF" w:rsidRDefault="00C36D57" w:rsidP="002041DF">
            <w:pPr>
              <w:widowControl w:val="0"/>
              <w:tabs>
                <w:tab w:val="left" w:pos="2808"/>
                <w:tab w:val="left" w:pos="9000"/>
              </w:tabs>
              <w:rPr>
                <w:sz w:val="22"/>
                <w:szCs w:val="22"/>
                <w:lang w:val="sr-Latn-ME"/>
              </w:rPr>
            </w:pPr>
            <w:r w:rsidRPr="002041DF">
              <w:rPr>
                <w:sz w:val="22"/>
                <w:szCs w:val="22"/>
                <w:lang w:val="sr-Latn-ME"/>
              </w:rPr>
              <w:t>Preporučena</w:t>
            </w:r>
          </w:p>
          <w:p w14:paraId="1AFABFCC" w14:textId="77777777" w:rsidR="00C36D57" w:rsidRPr="002041DF" w:rsidRDefault="00C36D57" w:rsidP="002041DF">
            <w:pPr>
              <w:widowControl w:val="0"/>
              <w:tabs>
                <w:tab w:val="left" w:pos="2808"/>
                <w:tab w:val="left" w:pos="9000"/>
              </w:tabs>
              <w:rPr>
                <w:sz w:val="22"/>
                <w:szCs w:val="22"/>
                <w:lang w:val="sr-Latn-ME"/>
              </w:rPr>
            </w:pPr>
            <w:r w:rsidRPr="002041DF">
              <w:rPr>
                <w:sz w:val="22"/>
                <w:szCs w:val="22"/>
                <w:lang w:val="sr-Latn-ME"/>
              </w:rPr>
              <w:t>doza</w:t>
            </w:r>
          </w:p>
          <w:p w14:paraId="209CBDA4" w14:textId="77777777" w:rsidR="00C36D57" w:rsidRPr="002041DF" w:rsidRDefault="00C36D57" w:rsidP="002041DF">
            <w:pPr>
              <w:widowControl w:val="0"/>
              <w:tabs>
                <w:tab w:val="left" w:pos="2808"/>
                <w:tab w:val="left" w:pos="9000"/>
              </w:tabs>
              <w:rPr>
                <w:sz w:val="22"/>
                <w:szCs w:val="22"/>
                <w:lang w:val="sr-Latn-ME"/>
              </w:rPr>
            </w:pPr>
            <w:r w:rsidRPr="002041DF">
              <w:rPr>
                <w:sz w:val="22"/>
                <w:szCs w:val="22"/>
                <w:lang w:val="sr-Latn-ME"/>
              </w:rPr>
              <w:t xml:space="preserve">ustekinumaba </w:t>
            </w:r>
          </w:p>
          <w:p w14:paraId="38240FD3" w14:textId="77777777" w:rsidR="00C36D57" w:rsidRPr="002041DF" w:rsidRDefault="00C36D57" w:rsidP="002041DF">
            <w:pPr>
              <w:widowControl w:val="0"/>
              <w:tabs>
                <w:tab w:val="left" w:pos="2808"/>
                <w:tab w:val="left" w:pos="9000"/>
              </w:tabs>
              <w:rPr>
                <w:sz w:val="22"/>
                <w:szCs w:val="22"/>
                <w:lang w:val="sr-Latn-ME"/>
              </w:rPr>
            </w:pPr>
            <w:r w:rsidRPr="002041DF">
              <w:rPr>
                <w:sz w:val="22"/>
                <w:szCs w:val="22"/>
                <w:lang w:val="sr-Latn-ME"/>
              </w:rPr>
              <w:t>N = 249</w:t>
            </w:r>
          </w:p>
        </w:tc>
        <w:tc>
          <w:tcPr>
            <w:tcW w:w="887" w:type="pct"/>
            <w:shd w:val="clear" w:color="auto" w:fill="auto"/>
          </w:tcPr>
          <w:p w14:paraId="5A7FE3EC" w14:textId="77777777" w:rsidR="00C36D57" w:rsidRPr="002041DF" w:rsidRDefault="00C36D57" w:rsidP="002041DF">
            <w:pPr>
              <w:widowControl w:val="0"/>
              <w:tabs>
                <w:tab w:val="left" w:pos="2808"/>
                <w:tab w:val="left" w:pos="9000"/>
              </w:tabs>
              <w:rPr>
                <w:sz w:val="22"/>
                <w:szCs w:val="22"/>
                <w:lang w:val="sr-Latn-ME"/>
              </w:rPr>
            </w:pPr>
            <w:r w:rsidRPr="002041DF">
              <w:rPr>
                <w:sz w:val="22"/>
                <w:szCs w:val="22"/>
                <w:lang w:val="sr-Latn-ME"/>
              </w:rPr>
              <w:t>Placebo</w:t>
            </w:r>
          </w:p>
          <w:p w14:paraId="7757BF81" w14:textId="77777777" w:rsidR="00C36D57" w:rsidRPr="002041DF" w:rsidRDefault="00C36D57" w:rsidP="002041DF">
            <w:pPr>
              <w:widowControl w:val="0"/>
              <w:tabs>
                <w:tab w:val="left" w:pos="2808"/>
                <w:tab w:val="left" w:pos="9000"/>
              </w:tabs>
              <w:rPr>
                <w:sz w:val="22"/>
                <w:szCs w:val="22"/>
                <w:lang w:val="sr-Latn-ME"/>
              </w:rPr>
            </w:pPr>
            <w:r w:rsidRPr="002041DF">
              <w:rPr>
                <w:sz w:val="22"/>
                <w:szCs w:val="22"/>
                <w:lang w:val="sr-Latn-ME"/>
              </w:rPr>
              <w:t>N = 209</w:t>
            </w:r>
          </w:p>
        </w:tc>
        <w:tc>
          <w:tcPr>
            <w:tcW w:w="853" w:type="pct"/>
            <w:shd w:val="clear" w:color="auto" w:fill="auto"/>
          </w:tcPr>
          <w:p w14:paraId="7C5AB1D8" w14:textId="77777777" w:rsidR="00C36D57" w:rsidRPr="002041DF" w:rsidRDefault="00C36D57" w:rsidP="002041DF">
            <w:pPr>
              <w:widowControl w:val="0"/>
              <w:tabs>
                <w:tab w:val="left" w:pos="2808"/>
                <w:tab w:val="left" w:pos="9000"/>
              </w:tabs>
              <w:rPr>
                <w:sz w:val="22"/>
                <w:szCs w:val="22"/>
                <w:lang w:val="sr-Latn-ME"/>
              </w:rPr>
            </w:pPr>
            <w:r w:rsidRPr="002041DF">
              <w:rPr>
                <w:sz w:val="22"/>
                <w:szCs w:val="22"/>
                <w:lang w:val="sr-Latn-ME"/>
              </w:rPr>
              <w:t>Preporučena</w:t>
            </w:r>
          </w:p>
          <w:p w14:paraId="3E65A095" w14:textId="77777777" w:rsidR="00C36D57" w:rsidRPr="002041DF" w:rsidRDefault="00C36D57" w:rsidP="002041DF">
            <w:pPr>
              <w:widowControl w:val="0"/>
              <w:tabs>
                <w:tab w:val="left" w:pos="2808"/>
                <w:tab w:val="left" w:pos="9000"/>
              </w:tabs>
              <w:rPr>
                <w:sz w:val="22"/>
                <w:szCs w:val="22"/>
                <w:lang w:val="sr-Latn-ME"/>
              </w:rPr>
            </w:pPr>
            <w:r w:rsidRPr="002041DF">
              <w:rPr>
                <w:sz w:val="22"/>
                <w:szCs w:val="22"/>
                <w:lang w:val="sr-Latn-ME"/>
              </w:rPr>
              <w:t>doza</w:t>
            </w:r>
          </w:p>
          <w:p w14:paraId="5BCE4A5F" w14:textId="77777777" w:rsidR="00C36D57" w:rsidRPr="002041DF" w:rsidRDefault="00C36D57" w:rsidP="002041DF">
            <w:pPr>
              <w:widowControl w:val="0"/>
              <w:tabs>
                <w:tab w:val="left" w:pos="2808"/>
                <w:tab w:val="left" w:pos="9000"/>
              </w:tabs>
              <w:rPr>
                <w:sz w:val="22"/>
                <w:szCs w:val="22"/>
                <w:lang w:val="sr-Latn-ME"/>
              </w:rPr>
            </w:pPr>
            <w:r w:rsidRPr="002041DF">
              <w:rPr>
                <w:sz w:val="22"/>
                <w:szCs w:val="22"/>
                <w:lang w:val="sr-Latn-ME"/>
              </w:rPr>
              <w:t>ustekinumaba</w:t>
            </w:r>
          </w:p>
          <w:p w14:paraId="1407FAFA" w14:textId="77777777" w:rsidR="00C36D57" w:rsidRPr="002041DF" w:rsidRDefault="00C36D57" w:rsidP="002041DF">
            <w:pPr>
              <w:widowControl w:val="0"/>
              <w:tabs>
                <w:tab w:val="left" w:pos="2808"/>
                <w:tab w:val="left" w:pos="9000"/>
              </w:tabs>
              <w:rPr>
                <w:sz w:val="22"/>
                <w:szCs w:val="22"/>
                <w:lang w:val="sr-Latn-ME"/>
              </w:rPr>
            </w:pPr>
            <w:r w:rsidRPr="002041DF">
              <w:rPr>
                <w:sz w:val="22"/>
                <w:szCs w:val="22"/>
                <w:lang w:val="sr-Latn-ME"/>
              </w:rPr>
              <w:t>N = 209</w:t>
            </w:r>
          </w:p>
        </w:tc>
      </w:tr>
      <w:tr w:rsidR="00C36D57" w:rsidRPr="002041DF" w14:paraId="4E5FF719" w14:textId="77777777" w:rsidTr="007C6E24">
        <w:trPr>
          <w:trHeight w:val="221"/>
        </w:trPr>
        <w:tc>
          <w:tcPr>
            <w:tcW w:w="1571" w:type="pct"/>
            <w:shd w:val="clear" w:color="auto" w:fill="auto"/>
          </w:tcPr>
          <w:p w14:paraId="133777B7" w14:textId="611F689F" w:rsidR="00C36D57" w:rsidRPr="002041DF" w:rsidRDefault="00C36D57" w:rsidP="002041DF">
            <w:pPr>
              <w:widowControl w:val="0"/>
              <w:tabs>
                <w:tab w:val="left" w:pos="2808"/>
                <w:tab w:val="left" w:pos="9000"/>
              </w:tabs>
              <w:rPr>
                <w:sz w:val="22"/>
                <w:szCs w:val="22"/>
                <w:lang w:val="sr-Latn-ME"/>
              </w:rPr>
            </w:pPr>
            <w:r w:rsidRPr="002041DF">
              <w:rPr>
                <w:sz w:val="22"/>
                <w:szCs w:val="22"/>
                <w:lang w:val="sr-Latn-ME"/>
              </w:rPr>
              <w:t xml:space="preserve">Klinička remisija, 8. </w:t>
            </w:r>
            <w:r w:rsidR="004372C4" w:rsidRPr="002041DF">
              <w:rPr>
                <w:sz w:val="22"/>
                <w:szCs w:val="22"/>
                <w:lang w:val="sr-Latn-ME"/>
              </w:rPr>
              <w:t>nedjelja</w:t>
            </w:r>
          </w:p>
        </w:tc>
        <w:tc>
          <w:tcPr>
            <w:tcW w:w="887" w:type="pct"/>
            <w:shd w:val="clear" w:color="auto" w:fill="auto"/>
          </w:tcPr>
          <w:p w14:paraId="51F85C74" w14:textId="77777777" w:rsidR="00C36D57" w:rsidRPr="002041DF" w:rsidRDefault="00C36D57" w:rsidP="002041DF">
            <w:pPr>
              <w:widowControl w:val="0"/>
              <w:tabs>
                <w:tab w:val="left" w:pos="2808"/>
                <w:tab w:val="left" w:pos="9000"/>
              </w:tabs>
              <w:rPr>
                <w:sz w:val="22"/>
                <w:szCs w:val="22"/>
                <w:lang w:val="sr-Latn-ME"/>
              </w:rPr>
            </w:pPr>
            <w:r w:rsidRPr="002041DF">
              <w:rPr>
                <w:sz w:val="22"/>
                <w:szCs w:val="22"/>
                <w:lang w:val="sr-Latn-ME"/>
              </w:rPr>
              <w:t>18 (7.3%)</w:t>
            </w:r>
          </w:p>
        </w:tc>
        <w:tc>
          <w:tcPr>
            <w:tcW w:w="803" w:type="pct"/>
            <w:shd w:val="clear" w:color="auto" w:fill="auto"/>
          </w:tcPr>
          <w:p w14:paraId="3FFFB817" w14:textId="77777777" w:rsidR="00C36D57" w:rsidRPr="002041DF" w:rsidRDefault="00C36D57" w:rsidP="002041DF">
            <w:pPr>
              <w:widowControl w:val="0"/>
              <w:tabs>
                <w:tab w:val="left" w:pos="2808"/>
                <w:tab w:val="left" w:pos="9000"/>
              </w:tabs>
              <w:rPr>
                <w:sz w:val="22"/>
                <w:szCs w:val="22"/>
                <w:lang w:val="sr-Latn-ME"/>
              </w:rPr>
            </w:pPr>
            <w:r w:rsidRPr="002041DF">
              <w:rPr>
                <w:sz w:val="22"/>
                <w:szCs w:val="22"/>
                <w:lang w:val="sr-Latn-ME"/>
              </w:rPr>
              <w:t>52 (20.9%)</w:t>
            </w:r>
            <w:r w:rsidRPr="002041DF">
              <w:rPr>
                <w:sz w:val="22"/>
                <w:szCs w:val="22"/>
                <w:vertAlign w:val="superscript"/>
                <w:lang w:val="sr-Latn-ME"/>
              </w:rPr>
              <w:t>a</w:t>
            </w:r>
          </w:p>
        </w:tc>
        <w:tc>
          <w:tcPr>
            <w:tcW w:w="887" w:type="pct"/>
            <w:shd w:val="clear" w:color="auto" w:fill="auto"/>
          </w:tcPr>
          <w:p w14:paraId="50461E0D" w14:textId="77777777" w:rsidR="00C36D57" w:rsidRPr="002041DF" w:rsidRDefault="00C36D57" w:rsidP="002041DF">
            <w:pPr>
              <w:widowControl w:val="0"/>
              <w:tabs>
                <w:tab w:val="left" w:pos="2808"/>
                <w:tab w:val="left" w:pos="9000"/>
              </w:tabs>
              <w:rPr>
                <w:sz w:val="22"/>
                <w:szCs w:val="22"/>
                <w:lang w:val="sr-Latn-ME"/>
              </w:rPr>
            </w:pPr>
            <w:r w:rsidRPr="002041DF">
              <w:rPr>
                <w:sz w:val="22"/>
                <w:szCs w:val="22"/>
                <w:lang w:val="sr-Latn-ME"/>
              </w:rPr>
              <w:t>41 (19.6%)</w:t>
            </w:r>
          </w:p>
        </w:tc>
        <w:tc>
          <w:tcPr>
            <w:tcW w:w="853" w:type="pct"/>
            <w:shd w:val="clear" w:color="auto" w:fill="auto"/>
          </w:tcPr>
          <w:p w14:paraId="2CFBAE71" w14:textId="77777777" w:rsidR="00C36D57" w:rsidRPr="002041DF" w:rsidRDefault="00C36D57" w:rsidP="002041DF">
            <w:pPr>
              <w:widowControl w:val="0"/>
              <w:tabs>
                <w:tab w:val="left" w:pos="2808"/>
                <w:tab w:val="left" w:pos="9000"/>
              </w:tabs>
              <w:rPr>
                <w:sz w:val="22"/>
                <w:szCs w:val="22"/>
                <w:lang w:val="sr-Latn-ME"/>
              </w:rPr>
            </w:pPr>
            <w:r w:rsidRPr="002041DF">
              <w:rPr>
                <w:sz w:val="22"/>
                <w:szCs w:val="22"/>
                <w:lang w:val="sr-Latn-ME"/>
              </w:rPr>
              <w:t>84 (40.2%)</w:t>
            </w:r>
            <w:r w:rsidRPr="002041DF">
              <w:rPr>
                <w:sz w:val="22"/>
                <w:szCs w:val="22"/>
                <w:vertAlign w:val="superscript"/>
                <w:lang w:val="sr-Latn-ME"/>
              </w:rPr>
              <w:t>a</w:t>
            </w:r>
          </w:p>
        </w:tc>
      </w:tr>
      <w:tr w:rsidR="00C36D57" w:rsidRPr="002041DF" w14:paraId="5F1A321B" w14:textId="77777777" w:rsidTr="007C6E24">
        <w:trPr>
          <w:trHeight w:val="470"/>
        </w:trPr>
        <w:tc>
          <w:tcPr>
            <w:tcW w:w="1571" w:type="pct"/>
            <w:shd w:val="clear" w:color="auto" w:fill="auto"/>
          </w:tcPr>
          <w:p w14:paraId="11E2FD43" w14:textId="1E8AAF2A" w:rsidR="00C36D57" w:rsidRPr="002041DF" w:rsidRDefault="00C36D57" w:rsidP="002041DF">
            <w:pPr>
              <w:widowControl w:val="0"/>
              <w:tabs>
                <w:tab w:val="left" w:pos="2808"/>
                <w:tab w:val="left" w:pos="9000"/>
              </w:tabs>
              <w:rPr>
                <w:sz w:val="22"/>
                <w:szCs w:val="22"/>
                <w:lang w:val="sr-Latn-ME"/>
              </w:rPr>
            </w:pPr>
            <w:r w:rsidRPr="002041DF">
              <w:rPr>
                <w:sz w:val="22"/>
                <w:szCs w:val="22"/>
                <w:lang w:val="sr-Latn-ME"/>
              </w:rPr>
              <w:t>Klinički odgovor (100 poena), 6.</w:t>
            </w:r>
            <w:r w:rsidR="00E36E6B" w:rsidRPr="002041DF">
              <w:rPr>
                <w:sz w:val="22"/>
                <w:szCs w:val="22"/>
                <w:lang w:val="sr-Latn-ME"/>
              </w:rPr>
              <w:t xml:space="preserve"> </w:t>
            </w:r>
            <w:r w:rsidR="004372C4" w:rsidRPr="002041DF">
              <w:rPr>
                <w:sz w:val="22"/>
                <w:szCs w:val="22"/>
                <w:lang w:val="sr-Latn-ME"/>
              </w:rPr>
              <w:t>nedjelja</w:t>
            </w:r>
          </w:p>
        </w:tc>
        <w:tc>
          <w:tcPr>
            <w:tcW w:w="887" w:type="pct"/>
            <w:shd w:val="clear" w:color="auto" w:fill="auto"/>
          </w:tcPr>
          <w:p w14:paraId="4C1AC0F7" w14:textId="77777777" w:rsidR="00C36D57" w:rsidRPr="002041DF" w:rsidRDefault="00C36D57" w:rsidP="002041DF">
            <w:pPr>
              <w:widowControl w:val="0"/>
              <w:tabs>
                <w:tab w:val="left" w:pos="2808"/>
                <w:tab w:val="left" w:pos="9000"/>
              </w:tabs>
              <w:rPr>
                <w:sz w:val="22"/>
                <w:szCs w:val="22"/>
                <w:lang w:val="sr-Latn-ME"/>
              </w:rPr>
            </w:pPr>
            <w:r w:rsidRPr="002041DF">
              <w:rPr>
                <w:sz w:val="22"/>
                <w:szCs w:val="22"/>
                <w:lang w:val="sr-Latn-ME"/>
              </w:rPr>
              <w:t>53 (21.5%)</w:t>
            </w:r>
          </w:p>
        </w:tc>
        <w:tc>
          <w:tcPr>
            <w:tcW w:w="803" w:type="pct"/>
            <w:shd w:val="clear" w:color="auto" w:fill="auto"/>
          </w:tcPr>
          <w:p w14:paraId="3969A477" w14:textId="77777777" w:rsidR="00C36D57" w:rsidRPr="002041DF" w:rsidRDefault="00C36D57" w:rsidP="002041DF">
            <w:pPr>
              <w:widowControl w:val="0"/>
              <w:tabs>
                <w:tab w:val="left" w:pos="2808"/>
                <w:tab w:val="left" w:pos="9000"/>
              </w:tabs>
              <w:rPr>
                <w:sz w:val="22"/>
                <w:szCs w:val="22"/>
                <w:lang w:val="sr-Latn-ME"/>
              </w:rPr>
            </w:pPr>
            <w:r w:rsidRPr="002041DF">
              <w:rPr>
                <w:sz w:val="22"/>
                <w:szCs w:val="22"/>
                <w:lang w:val="sr-Latn-ME"/>
              </w:rPr>
              <w:t>84 (33.7%)</w:t>
            </w:r>
            <w:r w:rsidRPr="002041DF">
              <w:rPr>
                <w:sz w:val="22"/>
                <w:szCs w:val="22"/>
                <w:vertAlign w:val="superscript"/>
                <w:lang w:val="sr-Latn-ME"/>
              </w:rPr>
              <w:t>b</w:t>
            </w:r>
          </w:p>
        </w:tc>
        <w:tc>
          <w:tcPr>
            <w:tcW w:w="887" w:type="pct"/>
            <w:shd w:val="clear" w:color="auto" w:fill="auto"/>
          </w:tcPr>
          <w:p w14:paraId="24D72FD1" w14:textId="77777777" w:rsidR="00C36D57" w:rsidRPr="002041DF" w:rsidRDefault="00C36D57" w:rsidP="002041DF">
            <w:pPr>
              <w:widowControl w:val="0"/>
              <w:tabs>
                <w:tab w:val="left" w:pos="2808"/>
                <w:tab w:val="left" w:pos="9000"/>
              </w:tabs>
              <w:rPr>
                <w:sz w:val="22"/>
                <w:szCs w:val="22"/>
                <w:lang w:val="sr-Latn-ME"/>
              </w:rPr>
            </w:pPr>
            <w:r w:rsidRPr="002041DF">
              <w:rPr>
                <w:sz w:val="22"/>
                <w:szCs w:val="22"/>
                <w:lang w:val="sr-Latn-ME"/>
              </w:rPr>
              <w:t>60 (28.7%)</w:t>
            </w:r>
          </w:p>
        </w:tc>
        <w:tc>
          <w:tcPr>
            <w:tcW w:w="853" w:type="pct"/>
            <w:shd w:val="clear" w:color="auto" w:fill="auto"/>
          </w:tcPr>
          <w:p w14:paraId="6E521C72" w14:textId="77777777" w:rsidR="00C36D57" w:rsidRPr="002041DF" w:rsidRDefault="00C36D57" w:rsidP="002041DF">
            <w:pPr>
              <w:widowControl w:val="0"/>
              <w:tabs>
                <w:tab w:val="left" w:pos="2808"/>
                <w:tab w:val="left" w:pos="9000"/>
              </w:tabs>
              <w:rPr>
                <w:sz w:val="22"/>
                <w:szCs w:val="22"/>
                <w:lang w:val="sr-Latn-ME"/>
              </w:rPr>
            </w:pPr>
            <w:r w:rsidRPr="002041DF">
              <w:rPr>
                <w:sz w:val="22"/>
                <w:szCs w:val="22"/>
                <w:lang w:val="sr-Latn-ME"/>
              </w:rPr>
              <w:t>116 (55.5%)</w:t>
            </w:r>
            <w:r w:rsidRPr="002041DF">
              <w:rPr>
                <w:sz w:val="22"/>
                <w:szCs w:val="22"/>
                <w:vertAlign w:val="superscript"/>
                <w:lang w:val="sr-Latn-ME"/>
              </w:rPr>
              <w:t>a</w:t>
            </w:r>
          </w:p>
        </w:tc>
      </w:tr>
      <w:tr w:rsidR="00C36D57" w:rsidRPr="002041DF" w14:paraId="2CAA7E49" w14:textId="77777777" w:rsidTr="007C6E24">
        <w:trPr>
          <w:trHeight w:val="456"/>
        </w:trPr>
        <w:tc>
          <w:tcPr>
            <w:tcW w:w="1571" w:type="pct"/>
            <w:shd w:val="clear" w:color="auto" w:fill="auto"/>
          </w:tcPr>
          <w:p w14:paraId="43D61890" w14:textId="496EB134" w:rsidR="00C36D57" w:rsidRPr="002041DF" w:rsidRDefault="00C36D57" w:rsidP="002041DF">
            <w:pPr>
              <w:widowControl w:val="0"/>
              <w:tabs>
                <w:tab w:val="left" w:pos="2808"/>
                <w:tab w:val="left" w:pos="9000"/>
              </w:tabs>
              <w:rPr>
                <w:sz w:val="22"/>
                <w:szCs w:val="22"/>
                <w:lang w:val="sr-Latn-ME"/>
              </w:rPr>
            </w:pPr>
            <w:r w:rsidRPr="002041DF">
              <w:rPr>
                <w:sz w:val="22"/>
                <w:szCs w:val="22"/>
                <w:lang w:val="sr-Latn-ME"/>
              </w:rPr>
              <w:t>Klinički odgovor (100 poena), 8.</w:t>
            </w:r>
            <w:r w:rsidR="00E36E6B" w:rsidRPr="002041DF">
              <w:rPr>
                <w:sz w:val="22"/>
                <w:szCs w:val="22"/>
                <w:lang w:val="sr-Latn-ME"/>
              </w:rPr>
              <w:t xml:space="preserve"> </w:t>
            </w:r>
            <w:r w:rsidR="004372C4" w:rsidRPr="002041DF">
              <w:rPr>
                <w:sz w:val="22"/>
                <w:szCs w:val="22"/>
                <w:lang w:val="sr-Latn-ME"/>
              </w:rPr>
              <w:t>nedjelja</w:t>
            </w:r>
          </w:p>
        </w:tc>
        <w:tc>
          <w:tcPr>
            <w:tcW w:w="887" w:type="pct"/>
            <w:shd w:val="clear" w:color="auto" w:fill="auto"/>
          </w:tcPr>
          <w:p w14:paraId="077919B8" w14:textId="77777777" w:rsidR="00C36D57" w:rsidRPr="002041DF" w:rsidRDefault="00C36D57" w:rsidP="002041DF">
            <w:pPr>
              <w:widowControl w:val="0"/>
              <w:tabs>
                <w:tab w:val="left" w:pos="2808"/>
                <w:tab w:val="left" w:pos="9000"/>
              </w:tabs>
              <w:rPr>
                <w:sz w:val="22"/>
                <w:szCs w:val="22"/>
                <w:lang w:val="sr-Latn-ME"/>
              </w:rPr>
            </w:pPr>
            <w:r w:rsidRPr="002041DF">
              <w:rPr>
                <w:sz w:val="22"/>
                <w:szCs w:val="22"/>
                <w:lang w:val="sr-Latn-ME"/>
              </w:rPr>
              <w:t>50 (20.2%)</w:t>
            </w:r>
          </w:p>
        </w:tc>
        <w:tc>
          <w:tcPr>
            <w:tcW w:w="803" w:type="pct"/>
            <w:shd w:val="clear" w:color="auto" w:fill="auto"/>
          </w:tcPr>
          <w:p w14:paraId="4BDC4D4F" w14:textId="77777777" w:rsidR="00C36D57" w:rsidRPr="002041DF" w:rsidRDefault="00C36D57" w:rsidP="002041DF">
            <w:pPr>
              <w:widowControl w:val="0"/>
              <w:tabs>
                <w:tab w:val="left" w:pos="2808"/>
                <w:tab w:val="left" w:pos="9000"/>
              </w:tabs>
              <w:rPr>
                <w:sz w:val="22"/>
                <w:szCs w:val="22"/>
                <w:lang w:val="sr-Latn-ME"/>
              </w:rPr>
            </w:pPr>
            <w:r w:rsidRPr="002041DF">
              <w:rPr>
                <w:sz w:val="22"/>
                <w:szCs w:val="22"/>
                <w:lang w:val="sr-Latn-ME"/>
              </w:rPr>
              <w:t>94 (37.8%)</w:t>
            </w:r>
            <w:r w:rsidRPr="002041DF">
              <w:rPr>
                <w:sz w:val="22"/>
                <w:szCs w:val="22"/>
                <w:vertAlign w:val="superscript"/>
                <w:lang w:val="sr-Latn-ME"/>
              </w:rPr>
              <w:t>a</w:t>
            </w:r>
          </w:p>
        </w:tc>
        <w:tc>
          <w:tcPr>
            <w:tcW w:w="887" w:type="pct"/>
            <w:shd w:val="clear" w:color="auto" w:fill="auto"/>
          </w:tcPr>
          <w:p w14:paraId="5D8EA2A5" w14:textId="77777777" w:rsidR="00C36D57" w:rsidRPr="002041DF" w:rsidRDefault="00C36D57" w:rsidP="002041DF">
            <w:pPr>
              <w:widowControl w:val="0"/>
              <w:tabs>
                <w:tab w:val="left" w:pos="2808"/>
                <w:tab w:val="left" w:pos="9000"/>
              </w:tabs>
              <w:rPr>
                <w:sz w:val="22"/>
                <w:szCs w:val="22"/>
                <w:lang w:val="sr-Latn-ME"/>
              </w:rPr>
            </w:pPr>
            <w:r w:rsidRPr="002041DF">
              <w:rPr>
                <w:sz w:val="22"/>
                <w:szCs w:val="22"/>
                <w:lang w:val="sr-Latn-ME"/>
              </w:rPr>
              <w:t>67 (32.1%)</w:t>
            </w:r>
          </w:p>
        </w:tc>
        <w:tc>
          <w:tcPr>
            <w:tcW w:w="853" w:type="pct"/>
            <w:shd w:val="clear" w:color="auto" w:fill="auto"/>
          </w:tcPr>
          <w:p w14:paraId="440270B4" w14:textId="77777777" w:rsidR="00C36D57" w:rsidRPr="002041DF" w:rsidRDefault="00C36D57" w:rsidP="002041DF">
            <w:pPr>
              <w:widowControl w:val="0"/>
              <w:tabs>
                <w:tab w:val="left" w:pos="2808"/>
                <w:tab w:val="left" w:pos="9000"/>
              </w:tabs>
              <w:rPr>
                <w:sz w:val="22"/>
                <w:szCs w:val="22"/>
                <w:lang w:val="sr-Latn-ME"/>
              </w:rPr>
            </w:pPr>
            <w:r w:rsidRPr="002041DF">
              <w:rPr>
                <w:sz w:val="22"/>
                <w:szCs w:val="22"/>
                <w:lang w:val="sr-Latn-ME"/>
              </w:rPr>
              <w:t>121 (57.9%)</w:t>
            </w:r>
            <w:r w:rsidRPr="002041DF">
              <w:rPr>
                <w:sz w:val="22"/>
                <w:szCs w:val="22"/>
                <w:vertAlign w:val="superscript"/>
                <w:lang w:val="sr-Latn-ME"/>
              </w:rPr>
              <w:t>a</w:t>
            </w:r>
          </w:p>
        </w:tc>
      </w:tr>
      <w:tr w:rsidR="00C36D57" w:rsidRPr="002041DF" w14:paraId="65F6F277" w14:textId="77777777" w:rsidTr="007C6E24">
        <w:trPr>
          <w:trHeight w:val="235"/>
        </w:trPr>
        <w:tc>
          <w:tcPr>
            <w:tcW w:w="1571" w:type="pct"/>
            <w:shd w:val="clear" w:color="auto" w:fill="auto"/>
          </w:tcPr>
          <w:p w14:paraId="23BB88A5" w14:textId="1545FB1D" w:rsidR="00C36D57" w:rsidRPr="002041DF" w:rsidRDefault="00C36D57" w:rsidP="002041DF">
            <w:pPr>
              <w:widowControl w:val="0"/>
              <w:tabs>
                <w:tab w:val="left" w:pos="2808"/>
                <w:tab w:val="left" w:pos="9000"/>
              </w:tabs>
              <w:rPr>
                <w:sz w:val="22"/>
                <w:szCs w:val="22"/>
                <w:lang w:val="sr-Latn-ME"/>
              </w:rPr>
            </w:pPr>
            <w:r w:rsidRPr="002041DF">
              <w:rPr>
                <w:sz w:val="22"/>
                <w:szCs w:val="22"/>
                <w:lang w:val="sr-Latn-ME"/>
              </w:rPr>
              <w:t xml:space="preserve">Odgovor od 70 poena, 3. </w:t>
            </w:r>
            <w:r w:rsidR="004372C4" w:rsidRPr="002041DF">
              <w:rPr>
                <w:sz w:val="22"/>
                <w:szCs w:val="22"/>
                <w:lang w:val="sr-Latn-ME"/>
              </w:rPr>
              <w:t>nedjelja</w:t>
            </w:r>
          </w:p>
        </w:tc>
        <w:tc>
          <w:tcPr>
            <w:tcW w:w="887" w:type="pct"/>
            <w:shd w:val="clear" w:color="auto" w:fill="auto"/>
          </w:tcPr>
          <w:p w14:paraId="6C75D869" w14:textId="77777777" w:rsidR="00C36D57" w:rsidRPr="002041DF" w:rsidRDefault="00C36D57" w:rsidP="002041DF">
            <w:pPr>
              <w:widowControl w:val="0"/>
              <w:tabs>
                <w:tab w:val="left" w:pos="2808"/>
                <w:tab w:val="left" w:pos="9000"/>
              </w:tabs>
              <w:rPr>
                <w:sz w:val="22"/>
                <w:szCs w:val="22"/>
                <w:lang w:val="sr-Latn-ME"/>
              </w:rPr>
            </w:pPr>
            <w:r w:rsidRPr="002041DF">
              <w:rPr>
                <w:sz w:val="22"/>
                <w:szCs w:val="22"/>
                <w:lang w:val="sr-Latn-ME"/>
              </w:rPr>
              <w:t>67 (27.1%)</w:t>
            </w:r>
          </w:p>
        </w:tc>
        <w:tc>
          <w:tcPr>
            <w:tcW w:w="803" w:type="pct"/>
            <w:shd w:val="clear" w:color="auto" w:fill="auto"/>
          </w:tcPr>
          <w:p w14:paraId="7FFC365E" w14:textId="77777777" w:rsidR="00C36D57" w:rsidRPr="002041DF" w:rsidRDefault="00C36D57" w:rsidP="002041DF">
            <w:pPr>
              <w:widowControl w:val="0"/>
              <w:tabs>
                <w:tab w:val="left" w:pos="2808"/>
                <w:tab w:val="left" w:pos="9000"/>
              </w:tabs>
              <w:rPr>
                <w:sz w:val="22"/>
                <w:szCs w:val="22"/>
                <w:lang w:val="sr-Latn-ME"/>
              </w:rPr>
            </w:pPr>
            <w:r w:rsidRPr="002041DF">
              <w:rPr>
                <w:sz w:val="22"/>
                <w:szCs w:val="22"/>
                <w:lang w:val="sr-Latn-ME"/>
              </w:rPr>
              <w:t>101 (40.6%)</w:t>
            </w:r>
            <w:r w:rsidRPr="002041DF">
              <w:rPr>
                <w:sz w:val="22"/>
                <w:szCs w:val="22"/>
                <w:vertAlign w:val="superscript"/>
                <w:lang w:val="sr-Latn-ME"/>
              </w:rPr>
              <w:t>b</w:t>
            </w:r>
          </w:p>
        </w:tc>
        <w:tc>
          <w:tcPr>
            <w:tcW w:w="887" w:type="pct"/>
            <w:shd w:val="clear" w:color="auto" w:fill="auto"/>
          </w:tcPr>
          <w:p w14:paraId="09BEA8AA" w14:textId="77777777" w:rsidR="00C36D57" w:rsidRPr="002041DF" w:rsidRDefault="00C36D57" w:rsidP="002041DF">
            <w:pPr>
              <w:widowControl w:val="0"/>
              <w:tabs>
                <w:tab w:val="left" w:pos="2808"/>
                <w:tab w:val="left" w:pos="9000"/>
              </w:tabs>
              <w:rPr>
                <w:sz w:val="22"/>
                <w:szCs w:val="22"/>
                <w:lang w:val="sr-Latn-ME"/>
              </w:rPr>
            </w:pPr>
            <w:r w:rsidRPr="002041DF">
              <w:rPr>
                <w:sz w:val="22"/>
                <w:szCs w:val="22"/>
                <w:lang w:val="sr-Latn-ME"/>
              </w:rPr>
              <w:t>66 (31.6%)</w:t>
            </w:r>
          </w:p>
        </w:tc>
        <w:tc>
          <w:tcPr>
            <w:tcW w:w="853" w:type="pct"/>
            <w:shd w:val="clear" w:color="auto" w:fill="auto"/>
          </w:tcPr>
          <w:p w14:paraId="7259469D" w14:textId="77777777" w:rsidR="00C36D57" w:rsidRPr="002041DF" w:rsidRDefault="00C36D57" w:rsidP="002041DF">
            <w:pPr>
              <w:widowControl w:val="0"/>
              <w:tabs>
                <w:tab w:val="left" w:pos="2808"/>
                <w:tab w:val="left" w:pos="9000"/>
              </w:tabs>
              <w:rPr>
                <w:sz w:val="22"/>
                <w:szCs w:val="22"/>
                <w:lang w:val="sr-Latn-ME"/>
              </w:rPr>
            </w:pPr>
            <w:r w:rsidRPr="002041DF">
              <w:rPr>
                <w:sz w:val="22"/>
                <w:szCs w:val="22"/>
                <w:lang w:val="sr-Latn-ME"/>
              </w:rPr>
              <w:t>106 (50.7%)</w:t>
            </w:r>
            <w:r w:rsidRPr="002041DF">
              <w:rPr>
                <w:sz w:val="22"/>
                <w:szCs w:val="22"/>
                <w:vertAlign w:val="superscript"/>
                <w:lang w:val="sr-Latn-ME"/>
              </w:rPr>
              <w:t>a</w:t>
            </w:r>
          </w:p>
        </w:tc>
      </w:tr>
      <w:tr w:rsidR="00C36D57" w:rsidRPr="002041DF" w14:paraId="01F6B532" w14:textId="77777777" w:rsidTr="007C6E24">
        <w:trPr>
          <w:trHeight w:val="221"/>
        </w:trPr>
        <w:tc>
          <w:tcPr>
            <w:tcW w:w="1571" w:type="pct"/>
            <w:shd w:val="clear" w:color="auto" w:fill="auto"/>
          </w:tcPr>
          <w:p w14:paraId="4DC09BC4" w14:textId="38BF5623" w:rsidR="00C36D57" w:rsidRPr="002041DF" w:rsidRDefault="00C36D57" w:rsidP="002041DF">
            <w:pPr>
              <w:widowControl w:val="0"/>
              <w:tabs>
                <w:tab w:val="left" w:pos="2808"/>
                <w:tab w:val="left" w:pos="9000"/>
              </w:tabs>
              <w:rPr>
                <w:sz w:val="22"/>
                <w:szCs w:val="22"/>
                <w:lang w:val="sr-Latn-ME"/>
              </w:rPr>
            </w:pPr>
            <w:r w:rsidRPr="002041DF">
              <w:rPr>
                <w:sz w:val="22"/>
                <w:szCs w:val="22"/>
                <w:lang w:val="sr-Latn-ME"/>
              </w:rPr>
              <w:t xml:space="preserve">Odgovor od 70 poena, 6. </w:t>
            </w:r>
            <w:r w:rsidR="004372C4" w:rsidRPr="002041DF">
              <w:rPr>
                <w:sz w:val="22"/>
                <w:szCs w:val="22"/>
                <w:lang w:val="sr-Latn-ME"/>
              </w:rPr>
              <w:t>nedjelja</w:t>
            </w:r>
          </w:p>
        </w:tc>
        <w:tc>
          <w:tcPr>
            <w:tcW w:w="887" w:type="pct"/>
            <w:shd w:val="clear" w:color="auto" w:fill="auto"/>
          </w:tcPr>
          <w:p w14:paraId="7124948D" w14:textId="77777777" w:rsidR="00C36D57" w:rsidRPr="002041DF" w:rsidRDefault="00C36D57" w:rsidP="002041DF">
            <w:pPr>
              <w:widowControl w:val="0"/>
              <w:tabs>
                <w:tab w:val="left" w:pos="2808"/>
                <w:tab w:val="left" w:pos="9000"/>
              </w:tabs>
              <w:rPr>
                <w:sz w:val="22"/>
                <w:szCs w:val="22"/>
                <w:lang w:val="sr-Latn-ME"/>
              </w:rPr>
            </w:pPr>
            <w:r w:rsidRPr="002041DF">
              <w:rPr>
                <w:sz w:val="22"/>
                <w:szCs w:val="22"/>
                <w:lang w:val="sr-Latn-ME"/>
              </w:rPr>
              <w:t>75 (30.4%)</w:t>
            </w:r>
          </w:p>
        </w:tc>
        <w:tc>
          <w:tcPr>
            <w:tcW w:w="803" w:type="pct"/>
            <w:shd w:val="clear" w:color="auto" w:fill="auto"/>
          </w:tcPr>
          <w:p w14:paraId="2363EA13" w14:textId="77777777" w:rsidR="00C36D57" w:rsidRPr="002041DF" w:rsidRDefault="00C36D57" w:rsidP="002041DF">
            <w:pPr>
              <w:widowControl w:val="0"/>
              <w:tabs>
                <w:tab w:val="left" w:pos="2808"/>
                <w:tab w:val="left" w:pos="9000"/>
              </w:tabs>
              <w:rPr>
                <w:sz w:val="22"/>
                <w:szCs w:val="22"/>
                <w:lang w:val="sr-Latn-ME"/>
              </w:rPr>
            </w:pPr>
            <w:r w:rsidRPr="002041DF">
              <w:rPr>
                <w:sz w:val="22"/>
                <w:szCs w:val="22"/>
                <w:lang w:val="sr-Latn-ME"/>
              </w:rPr>
              <w:t>109 (43.8%)</w:t>
            </w:r>
            <w:r w:rsidRPr="002041DF">
              <w:rPr>
                <w:sz w:val="22"/>
                <w:szCs w:val="22"/>
                <w:vertAlign w:val="superscript"/>
                <w:lang w:val="sr-Latn-ME"/>
              </w:rPr>
              <w:t>b</w:t>
            </w:r>
          </w:p>
        </w:tc>
        <w:tc>
          <w:tcPr>
            <w:tcW w:w="887" w:type="pct"/>
            <w:shd w:val="clear" w:color="auto" w:fill="auto"/>
          </w:tcPr>
          <w:p w14:paraId="4B179053" w14:textId="77777777" w:rsidR="00C36D57" w:rsidRPr="002041DF" w:rsidRDefault="00C36D57" w:rsidP="002041DF">
            <w:pPr>
              <w:widowControl w:val="0"/>
              <w:tabs>
                <w:tab w:val="left" w:pos="2808"/>
                <w:tab w:val="left" w:pos="9000"/>
              </w:tabs>
              <w:rPr>
                <w:sz w:val="22"/>
                <w:szCs w:val="22"/>
                <w:lang w:val="sr-Latn-ME"/>
              </w:rPr>
            </w:pPr>
            <w:r w:rsidRPr="002041DF">
              <w:rPr>
                <w:sz w:val="22"/>
                <w:szCs w:val="22"/>
                <w:lang w:val="sr-Latn-ME"/>
              </w:rPr>
              <w:t>81 (38.8%)</w:t>
            </w:r>
          </w:p>
        </w:tc>
        <w:tc>
          <w:tcPr>
            <w:tcW w:w="853" w:type="pct"/>
            <w:shd w:val="clear" w:color="auto" w:fill="auto"/>
          </w:tcPr>
          <w:p w14:paraId="6208AD8C" w14:textId="77777777" w:rsidR="00C36D57" w:rsidRPr="002041DF" w:rsidRDefault="00C36D57" w:rsidP="002041DF">
            <w:pPr>
              <w:widowControl w:val="0"/>
              <w:tabs>
                <w:tab w:val="left" w:pos="2808"/>
                <w:tab w:val="left" w:pos="9000"/>
              </w:tabs>
              <w:rPr>
                <w:sz w:val="22"/>
                <w:szCs w:val="22"/>
                <w:lang w:val="sr-Latn-ME"/>
              </w:rPr>
            </w:pPr>
            <w:r w:rsidRPr="002041DF">
              <w:rPr>
                <w:sz w:val="22"/>
                <w:szCs w:val="22"/>
                <w:lang w:val="sr-Latn-ME"/>
              </w:rPr>
              <w:t>135 (64.6%)</w:t>
            </w:r>
            <w:r w:rsidRPr="002041DF">
              <w:rPr>
                <w:sz w:val="22"/>
                <w:szCs w:val="22"/>
                <w:vertAlign w:val="superscript"/>
                <w:lang w:val="sr-Latn-ME"/>
              </w:rPr>
              <w:t>a</w:t>
            </w:r>
          </w:p>
        </w:tc>
      </w:tr>
    </w:tbl>
    <w:p w14:paraId="6C988ED5" w14:textId="77777777" w:rsidR="00C36D57" w:rsidRPr="007C6E24" w:rsidRDefault="00C36D57" w:rsidP="002041DF">
      <w:pPr>
        <w:widowControl w:val="0"/>
        <w:tabs>
          <w:tab w:val="left" w:pos="2808"/>
          <w:tab w:val="left" w:pos="9000"/>
        </w:tabs>
        <w:jc w:val="both"/>
        <w:rPr>
          <w:sz w:val="20"/>
          <w:szCs w:val="22"/>
          <w:lang w:val="sr-Latn-ME"/>
        </w:rPr>
      </w:pPr>
      <w:r w:rsidRPr="007C6E24">
        <w:rPr>
          <w:sz w:val="20"/>
          <w:szCs w:val="22"/>
          <w:lang w:val="sr-Latn-ME"/>
        </w:rPr>
        <w:t xml:space="preserve">Klinička remisija je definisana kao CDAI skor &lt; 150; Klinički odgovor je definisan kao smanjenje CDAI skora za najmanje 100 poena ili biti u kliničkoj remisiji </w:t>
      </w:r>
    </w:p>
    <w:p w14:paraId="33AC6B41" w14:textId="3690F4A7" w:rsidR="00C36D57" w:rsidRPr="007C6E24" w:rsidRDefault="00C36D57" w:rsidP="002041DF">
      <w:pPr>
        <w:widowControl w:val="0"/>
        <w:tabs>
          <w:tab w:val="left" w:pos="2808"/>
          <w:tab w:val="left" w:pos="9000"/>
        </w:tabs>
        <w:jc w:val="both"/>
        <w:rPr>
          <w:sz w:val="20"/>
          <w:szCs w:val="22"/>
          <w:lang w:val="sr-Latn-ME"/>
        </w:rPr>
      </w:pPr>
      <w:r w:rsidRPr="007C6E24">
        <w:rPr>
          <w:sz w:val="20"/>
          <w:szCs w:val="22"/>
          <w:lang w:val="sr-Latn-ME"/>
        </w:rPr>
        <w:t xml:space="preserve">Odgovor od 70 </w:t>
      </w:r>
      <w:r w:rsidR="00E36E6B" w:rsidRPr="007C6E24">
        <w:rPr>
          <w:sz w:val="20"/>
          <w:szCs w:val="22"/>
          <w:lang w:val="sr-Latn-ME"/>
        </w:rPr>
        <w:t xml:space="preserve">poen </w:t>
      </w:r>
      <w:r w:rsidRPr="007C6E24">
        <w:rPr>
          <w:sz w:val="20"/>
          <w:szCs w:val="22"/>
          <w:lang w:val="sr-Latn-ME"/>
        </w:rPr>
        <w:t xml:space="preserve">definisan je kao smanjenje CDAI skora za barem 70 poena </w:t>
      </w:r>
    </w:p>
    <w:p w14:paraId="789B6969" w14:textId="1859D5A7" w:rsidR="00C36D57" w:rsidRPr="007C6E24" w:rsidRDefault="00C36D57" w:rsidP="002041DF">
      <w:pPr>
        <w:widowControl w:val="0"/>
        <w:tabs>
          <w:tab w:val="left" w:pos="2808"/>
          <w:tab w:val="left" w:pos="9000"/>
        </w:tabs>
        <w:jc w:val="both"/>
        <w:rPr>
          <w:sz w:val="20"/>
          <w:szCs w:val="22"/>
          <w:lang w:val="sr-Latn-ME"/>
        </w:rPr>
      </w:pPr>
      <w:r w:rsidRPr="007C6E24">
        <w:rPr>
          <w:sz w:val="20"/>
          <w:szCs w:val="22"/>
          <w:vertAlign w:val="superscript"/>
          <w:lang w:val="sr-Latn-ME"/>
        </w:rPr>
        <w:t>*</w:t>
      </w:r>
      <w:r w:rsidRPr="007C6E24">
        <w:rPr>
          <w:sz w:val="20"/>
          <w:szCs w:val="22"/>
          <w:lang w:val="sr-Latn-ME"/>
        </w:rPr>
        <w:t xml:space="preserve"> Neusp</w:t>
      </w:r>
      <w:r w:rsidR="008B2B13" w:rsidRPr="007C6E24">
        <w:rPr>
          <w:sz w:val="20"/>
          <w:szCs w:val="22"/>
          <w:lang w:val="sr-Latn-ME"/>
        </w:rPr>
        <w:t>j</w:t>
      </w:r>
      <w:r w:rsidRPr="007C6E24">
        <w:rPr>
          <w:sz w:val="20"/>
          <w:szCs w:val="22"/>
          <w:lang w:val="sr-Latn-ME"/>
        </w:rPr>
        <w:t xml:space="preserve">ešno </w:t>
      </w:r>
      <w:r w:rsidR="00C23E53" w:rsidRPr="007C6E24">
        <w:rPr>
          <w:sz w:val="20"/>
          <w:szCs w:val="22"/>
          <w:lang w:val="sr-Latn-ME"/>
        </w:rPr>
        <w:t>liječenje</w:t>
      </w:r>
      <w:r w:rsidRPr="007C6E24">
        <w:rPr>
          <w:sz w:val="20"/>
          <w:szCs w:val="22"/>
          <w:lang w:val="sr-Latn-ME"/>
        </w:rPr>
        <w:t xml:space="preserve"> anti-TNFα terapijom </w:t>
      </w:r>
    </w:p>
    <w:p w14:paraId="7D27E850" w14:textId="4966240F" w:rsidR="00C36D57" w:rsidRPr="007C6E24" w:rsidRDefault="00C36D57" w:rsidP="002041DF">
      <w:pPr>
        <w:widowControl w:val="0"/>
        <w:tabs>
          <w:tab w:val="left" w:pos="2808"/>
          <w:tab w:val="left" w:pos="9000"/>
        </w:tabs>
        <w:jc w:val="both"/>
        <w:rPr>
          <w:sz w:val="20"/>
          <w:szCs w:val="22"/>
          <w:lang w:val="sr-Latn-ME"/>
        </w:rPr>
      </w:pPr>
      <w:r w:rsidRPr="007C6E24">
        <w:rPr>
          <w:sz w:val="20"/>
          <w:szCs w:val="22"/>
          <w:vertAlign w:val="superscript"/>
          <w:lang w:val="sr-Latn-ME"/>
        </w:rPr>
        <w:t>**</w:t>
      </w:r>
      <w:r w:rsidRPr="007C6E24">
        <w:rPr>
          <w:sz w:val="20"/>
          <w:szCs w:val="22"/>
          <w:lang w:val="sr-Latn-ME"/>
        </w:rPr>
        <w:t xml:space="preserve"> Neusp</w:t>
      </w:r>
      <w:r w:rsidR="008B2B13" w:rsidRPr="007C6E24">
        <w:rPr>
          <w:sz w:val="20"/>
          <w:szCs w:val="22"/>
          <w:lang w:val="sr-Latn-ME"/>
        </w:rPr>
        <w:t>j</w:t>
      </w:r>
      <w:r w:rsidRPr="007C6E24">
        <w:rPr>
          <w:sz w:val="20"/>
          <w:szCs w:val="22"/>
          <w:lang w:val="sr-Latn-ME"/>
        </w:rPr>
        <w:t xml:space="preserve">ešno </w:t>
      </w:r>
      <w:r w:rsidR="00C23E53" w:rsidRPr="007C6E24">
        <w:rPr>
          <w:sz w:val="20"/>
          <w:szCs w:val="22"/>
          <w:lang w:val="sr-Latn-ME"/>
        </w:rPr>
        <w:t>liječenje</w:t>
      </w:r>
      <w:r w:rsidRPr="007C6E24">
        <w:rPr>
          <w:sz w:val="20"/>
          <w:szCs w:val="22"/>
          <w:lang w:val="sr-Latn-ME"/>
        </w:rPr>
        <w:t xml:space="preserve"> konvencionalnim terapijama </w:t>
      </w:r>
    </w:p>
    <w:p w14:paraId="7F0838F9" w14:textId="77777777" w:rsidR="00C36D57" w:rsidRPr="007C6E24" w:rsidRDefault="00C36D57" w:rsidP="002041DF">
      <w:pPr>
        <w:widowControl w:val="0"/>
        <w:tabs>
          <w:tab w:val="left" w:pos="2808"/>
          <w:tab w:val="left" w:pos="9000"/>
        </w:tabs>
        <w:jc w:val="both"/>
        <w:rPr>
          <w:sz w:val="20"/>
          <w:szCs w:val="22"/>
          <w:lang w:val="sr-Latn-ME"/>
        </w:rPr>
      </w:pPr>
      <w:r w:rsidRPr="007C6E24">
        <w:rPr>
          <w:sz w:val="20"/>
          <w:szCs w:val="22"/>
          <w:vertAlign w:val="superscript"/>
          <w:lang w:val="sr-Latn-ME"/>
        </w:rPr>
        <w:t>a</w:t>
      </w:r>
      <w:r w:rsidRPr="007C6E24">
        <w:rPr>
          <w:sz w:val="20"/>
          <w:szCs w:val="22"/>
          <w:lang w:val="sr-Latn-ME"/>
        </w:rPr>
        <w:t xml:space="preserve"> p &lt; 0,001 </w:t>
      </w:r>
    </w:p>
    <w:p w14:paraId="797EA8A8" w14:textId="77777777" w:rsidR="00C36D57" w:rsidRPr="007C6E24" w:rsidRDefault="00C36D57" w:rsidP="002041DF">
      <w:pPr>
        <w:widowControl w:val="0"/>
        <w:tabs>
          <w:tab w:val="left" w:pos="2808"/>
          <w:tab w:val="left" w:pos="9000"/>
        </w:tabs>
        <w:jc w:val="both"/>
        <w:rPr>
          <w:sz w:val="20"/>
          <w:szCs w:val="22"/>
          <w:lang w:val="sr-Latn-ME"/>
        </w:rPr>
      </w:pPr>
      <w:r w:rsidRPr="007C6E24">
        <w:rPr>
          <w:sz w:val="20"/>
          <w:szCs w:val="22"/>
          <w:vertAlign w:val="superscript"/>
          <w:lang w:val="sr-Latn-ME"/>
        </w:rPr>
        <w:t>b</w:t>
      </w:r>
      <w:r w:rsidRPr="007C6E24">
        <w:rPr>
          <w:sz w:val="20"/>
          <w:szCs w:val="22"/>
          <w:lang w:val="sr-Latn-ME"/>
        </w:rPr>
        <w:t xml:space="preserve"> p &lt; 0,01</w:t>
      </w:r>
    </w:p>
    <w:p w14:paraId="0B192D25" w14:textId="77777777" w:rsidR="00C36D57" w:rsidRPr="002041DF" w:rsidRDefault="00C36D57" w:rsidP="002041DF">
      <w:pPr>
        <w:widowControl w:val="0"/>
        <w:tabs>
          <w:tab w:val="left" w:pos="2808"/>
          <w:tab w:val="left" w:pos="9000"/>
        </w:tabs>
        <w:jc w:val="both"/>
        <w:rPr>
          <w:sz w:val="22"/>
          <w:szCs w:val="22"/>
          <w:lang w:val="sr-Latn-ME"/>
        </w:rPr>
      </w:pPr>
    </w:p>
    <w:p w14:paraId="5FE59E82" w14:textId="72067F8F" w:rsidR="00C36D57" w:rsidRPr="002041DF" w:rsidRDefault="00C36D57" w:rsidP="002041DF">
      <w:pPr>
        <w:widowControl w:val="0"/>
        <w:tabs>
          <w:tab w:val="left" w:pos="2808"/>
          <w:tab w:val="left" w:pos="9000"/>
        </w:tabs>
        <w:jc w:val="both"/>
        <w:rPr>
          <w:sz w:val="22"/>
          <w:szCs w:val="22"/>
          <w:lang w:val="sr-Latn-ME"/>
        </w:rPr>
      </w:pPr>
      <w:r w:rsidRPr="002041DF">
        <w:rPr>
          <w:sz w:val="22"/>
          <w:szCs w:val="22"/>
          <w:lang w:val="sr-Latn-ME"/>
        </w:rPr>
        <w:t>Ispitivanje terapije održavanja (IM-UNITI), proc</w:t>
      </w:r>
      <w:r w:rsidR="008B2B13" w:rsidRPr="002041DF">
        <w:rPr>
          <w:sz w:val="22"/>
          <w:szCs w:val="22"/>
          <w:lang w:val="sr-Latn-ME"/>
        </w:rPr>
        <w:t>j</w:t>
      </w:r>
      <w:r w:rsidRPr="002041DF">
        <w:rPr>
          <w:sz w:val="22"/>
          <w:szCs w:val="22"/>
          <w:lang w:val="sr-Latn-ME"/>
        </w:rPr>
        <w:t xml:space="preserve">enjivano je kod 388 pacijenata koji su postigli klinički odgovor od 100 poena u 8. </w:t>
      </w:r>
      <w:r w:rsidR="004372C4" w:rsidRPr="002041DF">
        <w:rPr>
          <w:sz w:val="22"/>
          <w:szCs w:val="22"/>
          <w:lang w:val="sr-Latn-ME"/>
        </w:rPr>
        <w:t>nedjelji</w:t>
      </w:r>
      <w:r w:rsidRPr="002041DF">
        <w:rPr>
          <w:sz w:val="22"/>
          <w:szCs w:val="22"/>
          <w:lang w:val="sr-Latn-ME"/>
        </w:rPr>
        <w:t xml:space="preserve"> početne terapije sa ustekinumabom u ispitivanjima UNITI-1 i UNITI-2. Pacijenti su bili randomizovani u grupe koje su primale supkutani režim održavanja od bilo 90 mg ustekinumaba svakih 8 </w:t>
      </w:r>
      <w:r w:rsidR="004372C4" w:rsidRPr="002041DF">
        <w:rPr>
          <w:sz w:val="22"/>
          <w:szCs w:val="22"/>
          <w:lang w:val="sr-Latn-ME"/>
        </w:rPr>
        <w:t>nedjelja</w:t>
      </w:r>
      <w:r w:rsidRPr="002041DF">
        <w:rPr>
          <w:sz w:val="22"/>
          <w:szCs w:val="22"/>
          <w:lang w:val="sr-Latn-ME"/>
        </w:rPr>
        <w:t xml:space="preserve">, 90 mg ustekinumaba svakih 12 </w:t>
      </w:r>
      <w:r w:rsidR="004372C4" w:rsidRPr="002041DF">
        <w:rPr>
          <w:sz w:val="22"/>
          <w:szCs w:val="22"/>
          <w:lang w:val="sr-Latn-ME"/>
        </w:rPr>
        <w:t>nedjelja</w:t>
      </w:r>
      <w:r w:rsidRPr="002041DF">
        <w:rPr>
          <w:sz w:val="22"/>
          <w:szCs w:val="22"/>
          <w:lang w:val="sr-Latn-ME"/>
        </w:rPr>
        <w:t xml:space="preserve"> ili placebo tokom 44 </w:t>
      </w:r>
      <w:r w:rsidR="004372C4" w:rsidRPr="002041DF">
        <w:rPr>
          <w:sz w:val="22"/>
          <w:szCs w:val="22"/>
          <w:lang w:val="sr-Latn-ME"/>
        </w:rPr>
        <w:t>nedjelje</w:t>
      </w:r>
      <w:r w:rsidRPr="002041DF">
        <w:rPr>
          <w:sz w:val="22"/>
          <w:szCs w:val="22"/>
          <w:lang w:val="sr-Latn-ME"/>
        </w:rPr>
        <w:t xml:space="preserve"> (za prep</w:t>
      </w:r>
      <w:r w:rsidR="008B2B13" w:rsidRPr="002041DF">
        <w:rPr>
          <w:sz w:val="22"/>
          <w:szCs w:val="22"/>
          <w:lang w:val="sr-Latn-ME"/>
        </w:rPr>
        <w:t>or</w:t>
      </w:r>
      <w:r w:rsidRPr="002041DF">
        <w:rPr>
          <w:sz w:val="22"/>
          <w:szCs w:val="22"/>
          <w:lang w:val="sr-Latn-ME"/>
        </w:rPr>
        <w:t xml:space="preserve">učeno doziranje održavanja, </w:t>
      </w:r>
      <w:r w:rsidR="006779EA" w:rsidRPr="002041DF">
        <w:rPr>
          <w:sz w:val="22"/>
          <w:szCs w:val="22"/>
          <w:lang w:val="sr-Latn-ME"/>
        </w:rPr>
        <w:t>vidjeti</w:t>
      </w:r>
      <w:r w:rsidRPr="002041DF">
        <w:rPr>
          <w:sz w:val="22"/>
          <w:szCs w:val="22"/>
          <w:lang w:val="sr-Latn-ME"/>
        </w:rPr>
        <w:t xml:space="preserve"> </w:t>
      </w:r>
      <w:r w:rsidR="00292E06" w:rsidRPr="002041DF">
        <w:rPr>
          <w:sz w:val="22"/>
          <w:szCs w:val="22"/>
          <w:lang w:val="sr-Latn-ME"/>
        </w:rPr>
        <w:t>dio</w:t>
      </w:r>
      <w:r w:rsidRPr="002041DF">
        <w:rPr>
          <w:sz w:val="22"/>
          <w:szCs w:val="22"/>
          <w:lang w:val="sr-Latn-ME"/>
        </w:rPr>
        <w:t xml:space="preserve"> 4.2). </w:t>
      </w:r>
    </w:p>
    <w:p w14:paraId="27AFE653" w14:textId="77777777" w:rsidR="00894380" w:rsidRPr="002041DF" w:rsidRDefault="00894380" w:rsidP="002041DF">
      <w:pPr>
        <w:widowControl w:val="0"/>
        <w:tabs>
          <w:tab w:val="left" w:pos="2808"/>
          <w:tab w:val="left" w:pos="9000"/>
        </w:tabs>
        <w:jc w:val="both"/>
        <w:rPr>
          <w:sz w:val="22"/>
          <w:szCs w:val="22"/>
          <w:lang w:val="sr-Latn-ME"/>
        </w:rPr>
      </w:pPr>
    </w:p>
    <w:p w14:paraId="06FED8AB" w14:textId="7E58896E" w:rsidR="00C36D57" w:rsidRPr="002041DF" w:rsidRDefault="00C36D57" w:rsidP="002041DF">
      <w:pPr>
        <w:widowControl w:val="0"/>
        <w:tabs>
          <w:tab w:val="left" w:pos="2808"/>
          <w:tab w:val="left" w:pos="9000"/>
        </w:tabs>
        <w:jc w:val="both"/>
        <w:rPr>
          <w:sz w:val="22"/>
          <w:szCs w:val="22"/>
          <w:lang w:val="sr-Latn-ME"/>
        </w:rPr>
      </w:pPr>
      <w:r w:rsidRPr="002041DF">
        <w:rPr>
          <w:sz w:val="22"/>
          <w:szCs w:val="22"/>
          <w:lang w:val="sr-Latn-ME"/>
        </w:rPr>
        <w:t xml:space="preserve">Značajno veći procenat pacijenata održao je kliničku remisiju i odgovor u grupama </w:t>
      </w:r>
      <w:r w:rsidR="00891C9B" w:rsidRPr="002041DF">
        <w:rPr>
          <w:sz w:val="22"/>
          <w:szCs w:val="22"/>
          <w:lang w:val="sr-Latn-ME"/>
        </w:rPr>
        <w:t>liječen</w:t>
      </w:r>
      <w:r w:rsidRPr="002041DF">
        <w:rPr>
          <w:sz w:val="22"/>
          <w:szCs w:val="22"/>
          <w:lang w:val="sr-Latn-ME"/>
        </w:rPr>
        <w:t xml:space="preserve">im ustekinumabom u poređenju sa placebo grupom u 44. </w:t>
      </w:r>
      <w:r w:rsidR="004372C4" w:rsidRPr="002041DF">
        <w:rPr>
          <w:sz w:val="22"/>
          <w:szCs w:val="22"/>
          <w:lang w:val="sr-Latn-ME"/>
        </w:rPr>
        <w:t>nedjelji</w:t>
      </w:r>
      <w:r w:rsidRPr="002041DF">
        <w:rPr>
          <w:sz w:val="22"/>
          <w:szCs w:val="22"/>
          <w:lang w:val="sr-Latn-ME"/>
        </w:rPr>
        <w:t xml:space="preserve"> (</w:t>
      </w:r>
      <w:r w:rsidR="006779EA" w:rsidRPr="002041DF">
        <w:rPr>
          <w:sz w:val="22"/>
          <w:szCs w:val="22"/>
          <w:lang w:val="sr-Latn-ME"/>
        </w:rPr>
        <w:t>vidjeti</w:t>
      </w:r>
      <w:r w:rsidRPr="002041DF">
        <w:rPr>
          <w:sz w:val="22"/>
          <w:szCs w:val="22"/>
          <w:lang w:val="sr-Latn-ME"/>
        </w:rPr>
        <w:t xml:space="preserve"> </w:t>
      </w:r>
      <w:r w:rsidR="00E36E6B" w:rsidRPr="002041DF">
        <w:rPr>
          <w:sz w:val="22"/>
          <w:szCs w:val="22"/>
          <w:lang w:val="sr-Latn-ME"/>
        </w:rPr>
        <w:t>T</w:t>
      </w:r>
      <w:r w:rsidRPr="002041DF">
        <w:rPr>
          <w:sz w:val="22"/>
          <w:szCs w:val="22"/>
          <w:lang w:val="sr-Latn-ME"/>
        </w:rPr>
        <w:t xml:space="preserve">abelu 10). </w:t>
      </w:r>
    </w:p>
    <w:p w14:paraId="05378FF8" w14:textId="77777777" w:rsidR="00DD3DD5" w:rsidRPr="002041DF" w:rsidRDefault="00DD3DD5" w:rsidP="002041DF">
      <w:pPr>
        <w:widowControl w:val="0"/>
        <w:tabs>
          <w:tab w:val="left" w:pos="2808"/>
          <w:tab w:val="left" w:pos="9000"/>
        </w:tabs>
        <w:jc w:val="both"/>
        <w:rPr>
          <w:i/>
          <w:sz w:val="22"/>
          <w:szCs w:val="22"/>
          <w:lang w:val="sr-Latn-ME"/>
        </w:rPr>
      </w:pPr>
    </w:p>
    <w:p w14:paraId="71455D08" w14:textId="0B0CCD95" w:rsidR="00C36D57" w:rsidRPr="002041DF" w:rsidRDefault="00C36D57" w:rsidP="002041DF">
      <w:pPr>
        <w:widowControl w:val="0"/>
        <w:tabs>
          <w:tab w:val="left" w:pos="2808"/>
          <w:tab w:val="left" w:pos="9000"/>
        </w:tabs>
        <w:jc w:val="both"/>
        <w:rPr>
          <w:i/>
          <w:sz w:val="22"/>
          <w:szCs w:val="22"/>
          <w:lang w:val="sr-Latn-ME"/>
        </w:rPr>
      </w:pPr>
      <w:r w:rsidRPr="002041DF">
        <w:rPr>
          <w:i/>
          <w:sz w:val="22"/>
          <w:szCs w:val="22"/>
          <w:lang w:val="sr-Latn-ME"/>
        </w:rPr>
        <w:t xml:space="preserve">Tabela 10: Održavanje kliničkog odgovora i remisije u IM-UNITI (44. </w:t>
      </w:r>
      <w:r w:rsidR="004372C4" w:rsidRPr="002041DF">
        <w:rPr>
          <w:i/>
          <w:sz w:val="22"/>
          <w:szCs w:val="22"/>
          <w:lang w:val="sr-Latn-ME"/>
        </w:rPr>
        <w:t>nedjelje</w:t>
      </w:r>
      <w:r w:rsidRPr="002041DF">
        <w:rPr>
          <w:i/>
          <w:sz w:val="22"/>
          <w:szCs w:val="22"/>
          <w:lang w:val="sr-Latn-ME"/>
        </w:rPr>
        <w:t xml:space="preserve">; 52 </w:t>
      </w:r>
      <w:r w:rsidR="004372C4" w:rsidRPr="002041DF">
        <w:rPr>
          <w:i/>
          <w:sz w:val="22"/>
          <w:szCs w:val="22"/>
          <w:lang w:val="sr-Latn-ME"/>
        </w:rPr>
        <w:t>nedjelje</w:t>
      </w:r>
      <w:r w:rsidRPr="002041DF">
        <w:rPr>
          <w:i/>
          <w:sz w:val="22"/>
          <w:szCs w:val="22"/>
          <w:lang w:val="sr-Latn-ME"/>
        </w:rPr>
        <w:t xml:space="preserve"> od započinjanja početne doze)</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47"/>
        <w:gridCol w:w="1663"/>
        <w:gridCol w:w="1663"/>
        <w:gridCol w:w="1721"/>
      </w:tblGrid>
      <w:tr w:rsidR="00C36D57" w:rsidRPr="002041DF" w14:paraId="1F3B99A7" w14:textId="77777777" w:rsidTr="007C6E24">
        <w:trPr>
          <w:cantSplit/>
          <w:jc w:val="center"/>
        </w:trPr>
        <w:tc>
          <w:tcPr>
            <w:tcW w:w="2314" w:type="pct"/>
          </w:tcPr>
          <w:p w14:paraId="412974C7" w14:textId="77777777" w:rsidR="00C36D57" w:rsidRPr="002041DF" w:rsidRDefault="00C36D57" w:rsidP="002041DF">
            <w:pPr>
              <w:widowControl w:val="0"/>
              <w:autoSpaceDE w:val="0"/>
              <w:autoSpaceDN w:val="0"/>
              <w:adjustRightInd w:val="0"/>
              <w:rPr>
                <w:b/>
                <w:sz w:val="22"/>
                <w:szCs w:val="22"/>
                <w:lang w:val="sr-Latn-ME"/>
              </w:rPr>
            </w:pPr>
          </w:p>
        </w:tc>
        <w:tc>
          <w:tcPr>
            <w:tcW w:w="885" w:type="pct"/>
          </w:tcPr>
          <w:p w14:paraId="6E71D599" w14:textId="77777777" w:rsidR="00C36D57" w:rsidRPr="002041DF" w:rsidRDefault="00C36D57" w:rsidP="002041DF">
            <w:pPr>
              <w:widowControl w:val="0"/>
              <w:autoSpaceDE w:val="0"/>
              <w:autoSpaceDN w:val="0"/>
              <w:adjustRightInd w:val="0"/>
              <w:rPr>
                <w:b/>
                <w:sz w:val="22"/>
                <w:szCs w:val="22"/>
                <w:lang w:val="sr-Latn-ME"/>
              </w:rPr>
            </w:pPr>
            <w:r w:rsidRPr="002041DF">
              <w:rPr>
                <w:b/>
                <w:sz w:val="22"/>
                <w:szCs w:val="22"/>
                <w:lang w:val="sr-Latn-ME"/>
              </w:rPr>
              <w:t>Placebo*</w:t>
            </w:r>
          </w:p>
          <w:p w14:paraId="201C5096" w14:textId="77777777" w:rsidR="00C36D57" w:rsidRPr="002041DF" w:rsidRDefault="00C36D57" w:rsidP="002041DF">
            <w:pPr>
              <w:widowControl w:val="0"/>
              <w:autoSpaceDE w:val="0"/>
              <w:autoSpaceDN w:val="0"/>
              <w:adjustRightInd w:val="0"/>
              <w:rPr>
                <w:b/>
                <w:sz w:val="22"/>
                <w:szCs w:val="22"/>
                <w:lang w:val="sr-Latn-ME"/>
              </w:rPr>
            </w:pPr>
          </w:p>
          <w:p w14:paraId="794C43A9" w14:textId="77777777" w:rsidR="00C36D57" w:rsidRPr="002041DF" w:rsidRDefault="00C36D57" w:rsidP="002041DF">
            <w:pPr>
              <w:widowControl w:val="0"/>
              <w:autoSpaceDE w:val="0"/>
              <w:autoSpaceDN w:val="0"/>
              <w:adjustRightInd w:val="0"/>
              <w:rPr>
                <w:b/>
                <w:sz w:val="22"/>
                <w:szCs w:val="22"/>
                <w:lang w:val="sr-Latn-ME"/>
              </w:rPr>
            </w:pPr>
          </w:p>
          <w:p w14:paraId="7DCC9AEF" w14:textId="77777777" w:rsidR="00C36D57" w:rsidRPr="002041DF" w:rsidRDefault="00C36D57" w:rsidP="002041DF">
            <w:pPr>
              <w:widowControl w:val="0"/>
              <w:autoSpaceDE w:val="0"/>
              <w:autoSpaceDN w:val="0"/>
              <w:adjustRightInd w:val="0"/>
              <w:rPr>
                <w:b/>
                <w:sz w:val="22"/>
                <w:szCs w:val="22"/>
                <w:lang w:val="sr-Latn-ME"/>
              </w:rPr>
            </w:pPr>
            <w:r w:rsidRPr="002041DF">
              <w:rPr>
                <w:b/>
                <w:sz w:val="22"/>
                <w:szCs w:val="22"/>
                <w:lang w:val="sr-Latn-ME"/>
              </w:rPr>
              <w:t>N</w:t>
            </w:r>
            <w:r w:rsidRPr="002041DF">
              <w:rPr>
                <w:sz w:val="22"/>
                <w:szCs w:val="22"/>
                <w:lang w:val="sr-Latn-ME"/>
              </w:rPr>
              <w:t> </w:t>
            </w:r>
            <w:r w:rsidRPr="002041DF">
              <w:rPr>
                <w:b/>
                <w:sz w:val="22"/>
                <w:szCs w:val="22"/>
                <w:lang w:val="sr-Latn-ME"/>
              </w:rPr>
              <w:t>=</w:t>
            </w:r>
            <w:r w:rsidRPr="002041DF">
              <w:rPr>
                <w:sz w:val="22"/>
                <w:szCs w:val="22"/>
                <w:lang w:val="sr-Latn-ME"/>
              </w:rPr>
              <w:t> </w:t>
            </w:r>
            <w:r w:rsidRPr="002041DF">
              <w:rPr>
                <w:b/>
                <w:sz w:val="22"/>
                <w:szCs w:val="22"/>
                <w:lang w:val="sr-Latn-ME"/>
              </w:rPr>
              <w:t>131</w:t>
            </w:r>
            <w:r w:rsidRPr="002041DF">
              <w:rPr>
                <w:b/>
                <w:sz w:val="22"/>
                <w:szCs w:val="22"/>
                <w:vertAlign w:val="superscript"/>
                <w:lang w:val="sr-Latn-ME"/>
              </w:rPr>
              <w:t>†</w:t>
            </w:r>
          </w:p>
        </w:tc>
        <w:tc>
          <w:tcPr>
            <w:tcW w:w="885" w:type="pct"/>
          </w:tcPr>
          <w:p w14:paraId="2D60BC6F" w14:textId="300A9E9A" w:rsidR="00C36D57" w:rsidRPr="002041DF" w:rsidRDefault="00C36D57" w:rsidP="002041DF">
            <w:pPr>
              <w:widowControl w:val="0"/>
              <w:autoSpaceDE w:val="0"/>
              <w:autoSpaceDN w:val="0"/>
              <w:adjustRightInd w:val="0"/>
              <w:rPr>
                <w:b/>
                <w:sz w:val="22"/>
                <w:szCs w:val="22"/>
                <w:lang w:val="sr-Latn-ME"/>
              </w:rPr>
            </w:pPr>
            <w:r w:rsidRPr="002041DF">
              <w:rPr>
                <w:b/>
                <w:sz w:val="22"/>
                <w:szCs w:val="22"/>
                <w:lang w:val="sr-Latn-ME"/>
              </w:rPr>
              <w:t>90</w:t>
            </w:r>
            <w:r w:rsidRPr="002041DF">
              <w:rPr>
                <w:sz w:val="22"/>
                <w:szCs w:val="22"/>
                <w:lang w:val="sr-Latn-ME"/>
              </w:rPr>
              <w:t> </w:t>
            </w:r>
            <w:r w:rsidRPr="002041DF">
              <w:rPr>
                <w:b/>
                <w:sz w:val="22"/>
                <w:szCs w:val="22"/>
                <w:lang w:val="sr-Latn-ME"/>
              </w:rPr>
              <w:t>mg ustekinumaba svakih 8</w:t>
            </w:r>
            <w:r w:rsidRPr="002041DF">
              <w:rPr>
                <w:sz w:val="22"/>
                <w:szCs w:val="22"/>
                <w:lang w:val="sr-Latn-ME"/>
              </w:rPr>
              <w:t> </w:t>
            </w:r>
            <w:r w:rsidR="004372C4" w:rsidRPr="002041DF">
              <w:rPr>
                <w:b/>
                <w:sz w:val="22"/>
                <w:szCs w:val="22"/>
                <w:lang w:val="sr-Latn-ME"/>
              </w:rPr>
              <w:t>nedjelja</w:t>
            </w:r>
          </w:p>
          <w:p w14:paraId="7329C0AB" w14:textId="77777777" w:rsidR="00C36D57" w:rsidRPr="002041DF" w:rsidRDefault="00C36D57" w:rsidP="002041DF">
            <w:pPr>
              <w:widowControl w:val="0"/>
              <w:autoSpaceDE w:val="0"/>
              <w:autoSpaceDN w:val="0"/>
              <w:adjustRightInd w:val="0"/>
              <w:rPr>
                <w:b/>
                <w:sz w:val="22"/>
                <w:szCs w:val="22"/>
                <w:lang w:val="sr-Latn-ME"/>
              </w:rPr>
            </w:pPr>
          </w:p>
          <w:p w14:paraId="23D151DD" w14:textId="77777777" w:rsidR="00C36D57" w:rsidRPr="002041DF" w:rsidRDefault="00C36D57" w:rsidP="002041DF">
            <w:pPr>
              <w:widowControl w:val="0"/>
              <w:autoSpaceDE w:val="0"/>
              <w:autoSpaceDN w:val="0"/>
              <w:adjustRightInd w:val="0"/>
              <w:rPr>
                <w:b/>
                <w:sz w:val="22"/>
                <w:szCs w:val="22"/>
                <w:lang w:val="sr-Latn-ME"/>
              </w:rPr>
            </w:pPr>
            <w:r w:rsidRPr="002041DF">
              <w:rPr>
                <w:b/>
                <w:sz w:val="22"/>
                <w:szCs w:val="22"/>
                <w:lang w:val="sr-Latn-ME"/>
              </w:rPr>
              <w:t>N</w:t>
            </w:r>
            <w:r w:rsidRPr="002041DF">
              <w:rPr>
                <w:sz w:val="22"/>
                <w:szCs w:val="22"/>
                <w:lang w:val="sr-Latn-ME"/>
              </w:rPr>
              <w:t> </w:t>
            </w:r>
            <w:r w:rsidRPr="002041DF">
              <w:rPr>
                <w:b/>
                <w:sz w:val="22"/>
                <w:szCs w:val="22"/>
                <w:lang w:val="sr-Latn-ME"/>
              </w:rPr>
              <w:t>=</w:t>
            </w:r>
            <w:r w:rsidRPr="002041DF">
              <w:rPr>
                <w:sz w:val="22"/>
                <w:szCs w:val="22"/>
                <w:lang w:val="sr-Latn-ME"/>
              </w:rPr>
              <w:t> </w:t>
            </w:r>
            <w:r w:rsidRPr="002041DF">
              <w:rPr>
                <w:b/>
                <w:sz w:val="22"/>
                <w:szCs w:val="22"/>
                <w:lang w:val="sr-Latn-ME"/>
              </w:rPr>
              <w:t>128</w:t>
            </w:r>
            <w:r w:rsidRPr="002041DF">
              <w:rPr>
                <w:b/>
                <w:sz w:val="22"/>
                <w:szCs w:val="22"/>
                <w:vertAlign w:val="superscript"/>
                <w:lang w:val="sr-Latn-ME"/>
              </w:rPr>
              <w:t>†</w:t>
            </w:r>
          </w:p>
        </w:tc>
        <w:tc>
          <w:tcPr>
            <w:tcW w:w="917" w:type="pct"/>
          </w:tcPr>
          <w:p w14:paraId="303E5AEF" w14:textId="22734E3E" w:rsidR="00C36D57" w:rsidRPr="002041DF" w:rsidRDefault="00C36D57" w:rsidP="002041DF">
            <w:pPr>
              <w:widowControl w:val="0"/>
              <w:autoSpaceDE w:val="0"/>
              <w:autoSpaceDN w:val="0"/>
              <w:adjustRightInd w:val="0"/>
              <w:rPr>
                <w:b/>
                <w:sz w:val="22"/>
                <w:szCs w:val="22"/>
                <w:lang w:val="sr-Latn-ME"/>
              </w:rPr>
            </w:pPr>
            <w:r w:rsidRPr="002041DF">
              <w:rPr>
                <w:b/>
                <w:sz w:val="22"/>
                <w:szCs w:val="22"/>
                <w:lang w:val="sr-Latn-ME"/>
              </w:rPr>
              <w:t>90</w:t>
            </w:r>
            <w:r w:rsidRPr="002041DF">
              <w:rPr>
                <w:sz w:val="22"/>
                <w:szCs w:val="22"/>
                <w:lang w:val="sr-Latn-ME"/>
              </w:rPr>
              <w:t> </w:t>
            </w:r>
            <w:r w:rsidRPr="002041DF">
              <w:rPr>
                <w:b/>
                <w:sz w:val="22"/>
                <w:szCs w:val="22"/>
                <w:lang w:val="sr-Latn-ME"/>
              </w:rPr>
              <w:t>mg ustekinumaba svakih 12</w:t>
            </w:r>
            <w:r w:rsidRPr="002041DF">
              <w:rPr>
                <w:sz w:val="22"/>
                <w:szCs w:val="22"/>
                <w:lang w:val="sr-Latn-ME"/>
              </w:rPr>
              <w:t> </w:t>
            </w:r>
            <w:r w:rsidR="004372C4" w:rsidRPr="002041DF">
              <w:rPr>
                <w:b/>
                <w:sz w:val="22"/>
                <w:szCs w:val="22"/>
                <w:lang w:val="sr-Latn-ME"/>
              </w:rPr>
              <w:t>nedjelja</w:t>
            </w:r>
          </w:p>
          <w:p w14:paraId="63335FE2" w14:textId="77777777" w:rsidR="00C36D57" w:rsidRPr="002041DF" w:rsidRDefault="00C36D57" w:rsidP="002041DF">
            <w:pPr>
              <w:widowControl w:val="0"/>
              <w:autoSpaceDE w:val="0"/>
              <w:autoSpaceDN w:val="0"/>
              <w:adjustRightInd w:val="0"/>
              <w:rPr>
                <w:b/>
                <w:sz w:val="22"/>
                <w:szCs w:val="22"/>
                <w:lang w:val="sr-Latn-ME"/>
              </w:rPr>
            </w:pPr>
          </w:p>
          <w:p w14:paraId="44F251DE" w14:textId="77777777" w:rsidR="00C36D57" w:rsidRPr="002041DF" w:rsidRDefault="00C36D57" w:rsidP="002041DF">
            <w:pPr>
              <w:widowControl w:val="0"/>
              <w:autoSpaceDE w:val="0"/>
              <w:autoSpaceDN w:val="0"/>
              <w:adjustRightInd w:val="0"/>
              <w:rPr>
                <w:b/>
                <w:sz w:val="22"/>
                <w:szCs w:val="22"/>
                <w:lang w:val="sr-Latn-ME"/>
              </w:rPr>
            </w:pPr>
            <w:r w:rsidRPr="002041DF">
              <w:rPr>
                <w:b/>
                <w:sz w:val="22"/>
                <w:szCs w:val="22"/>
                <w:lang w:val="sr-Latn-ME"/>
              </w:rPr>
              <w:t>N</w:t>
            </w:r>
            <w:r w:rsidRPr="002041DF">
              <w:rPr>
                <w:sz w:val="22"/>
                <w:szCs w:val="22"/>
                <w:lang w:val="sr-Latn-ME"/>
              </w:rPr>
              <w:t> </w:t>
            </w:r>
            <w:r w:rsidRPr="002041DF">
              <w:rPr>
                <w:b/>
                <w:sz w:val="22"/>
                <w:szCs w:val="22"/>
                <w:lang w:val="sr-Latn-ME"/>
              </w:rPr>
              <w:t>=</w:t>
            </w:r>
            <w:r w:rsidRPr="002041DF">
              <w:rPr>
                <w:sz w:val="22"/>
                <w:szCs w:val="22"/>
                <w:lang w:val="sr-Latn-ME"/>
              </w:rPr>
              <w:t> </w:t>
            </w:r>
            <w:r w:rsidRPr="002041DF">
              <w:rPr>
                <w:b/>
                <w:sz w:val="22"/>
                <w:szCs w:val="22"/>
                <w:lang w:val="sr-Latn-ME"/>
              </w:rPr>
              <w:t>129</w:t>
            </w:r>
            <w:r w:rsidRPr="002041DF">
              <w:rPr>
                <w:b/>
                <w:sz w:val="22"/>
                <w:szCs w:val="22"/>
                <w:vertAlign w:val="superscript"/>
                <w:lang w:val="sr-Latn-ME"/>
              </w:rPr>
              <w:t>†</w:t>
            </w:r>
          </w:p>
        </w:tc>
      </w:tr>
      <w:tr w:rsidR="00C36D57" w:rsidRPr="002041DF" w14:paraId="0161490C" w14:textId="77777777" w:rsidTr="007C6E24">
        <w:trPr>
          <w:cantSplit/>
          <w:jc w:val="center"/>
        </w:trPr>
        <w:tc>
          <w:tcPr>
            <w:tcW w:w="2314" w:type="pct"/>
            <w:hideMark/>
          </w:tcPr>
          <w:p w14:paraId="4C8253A4" w14:textId="77777777" w:rsidR="00C36D57" w:rsidRPr="002041DF" w:rsidRDefault="00C36D57" w:rsidP="002041DF">
            <w:pPr>
              <w:widowControl w:val="0"/>
              <w:tabs>
                <w:tab w:val="left" w:pos="567"/>
              </w:tabs>
              <w:rPr>
                <w:rFonts w:eastAsia="Calibri"/>
                <w:sz w:val="22"/>
                <w:szCs w:val="22"/>
                <w:lang w:val="sr-Latn-ME"/>
              </w:rPr>
            </w:pPr>
            <w:r w:rsidRPr="002041DF">
              <w:rPr>
                <w:sz w:val="22"/>
                <w:szCs w:val="22"/>
                <w:lang w:val="sr-Latn-ME"/>
              </w:rPr>
              <w:t>Klinička remisija</w:t>
            </w:r>
          </w:p>
        </w:tc>
        <w:tc>
          <w:tcPr>
            <w:tcW w:w="885" w:type="pct"/>
            <w:hideMark/>
          </w:tcPr>
          <w:p w14:paraId="3ECF885B" w14:textId="77777777" w:rsidR="00C36D57" w:rsidRPr="002041DF" w:rsidRDefault="00C36D57" w:rsidP="002041DF">
            <w:pPr>
              <w:widowControl w:val="0"/>
              <w:autoSpaceDE w:val="0"/>
              <w:autoSpaceDN w:val="0"/>
              <w:adjustRightInd w:val="0"/>
              <w:rPr>
                <w:sz w:val="22"/>
                <w:szCs w:val="22"/>
                <w:lang w:val="sr-Latn-ME"/>
              </w:rPr>
            </w:pPr>
            <w:r w:rsidRPr="002041DF">
              <w:rPr>
                <w:sz w:val="22"/>
                <w:szCs w:val="22"/>
                <w:lang w:val="sr-Latn-ME"/>
              </w:rPr>
              <w:t>36%</w:t>
            </w:r>
          </w:p>
        </w:tc>
        <w:tc>
          <w:tcPr>
            <w:tcW w:w="885" w:type="pct"/>
          </w:tcPr>
          <w:p w14:paraId="3AAED35D" w14:textId="77777777" w:rsidR="00C36D57" w:rsidRPr="002041DF" w:rsidRDefault="00C36D57" w:rsidP="002041DF">
            <w:pPr>
              <w:widowControl w:val="0"/>
              <w:autoSpaceDE w:val="0"/>
              <w:autoSpaceDN w:val="0"/>
              <w:adjustRightInd w:val="0"/>
              <w:rPr>
                <w:sz w:val="22"/>
                <w:szCs w:val="22"/>
                <w:lang w:val="sr-Latn-ME"/>
              </w:rPr>
            </w:pPr>
            <w:r w:rsidRPr="002041DF">
              <w:rPr>
                <w:sz w:val="22"/>
                <w:szCs w:val="22"/>
                <w:lang w:val="sr-Latn-ME"/>
              </w:rPr>
              <w:t>53%</w:t>
            </w:r>
            <w:r w:rsidRPr="002041DF">
              <w:rPr>
                <w:sz w:val="22"/>
                <w:szCs w:val="22"/>
                <w:vertAlign w:val="superscript"/>
                <w:lang w:val="sr-Latn-ME"/>
              </w:rPr>
              <w:t>a</w:t>
            </w:r>
          </w:p>
        </w:tc>
        <w:tc>
          <w:tcPr>
            <w:tcW w:w="917" w:type="pct"/>
          </w:tcPr>
          <w:p w14:paraId="5FEF7B7D" w14:textId="77777777" w:rsidR="00C36D57" w:rsidRPr="002041DF" w:rsidRDefault="00C36D57" w:rsidP="002041DF">
            <w:pPr>
              <w:widowControl w:val="0"/>
              <w:autoSpaceDE w:val="0"/>
              <w:autoSpaceDN w:val="0"/>
              <w:adjustRightInd w:val="0"/>
              <w:rPr>
                <w:sz w:val="22"/>
                <w:szCs w:val="22"/>
                <w:lang w:val="sr-Latn-ME"/>
              </w:rPr>
            </w:pPr>
            <w:r w:rsidRPr="002041DF">
              <w:rPr>
                <w:sz w:val="22"/>
                <w:szCs w:val="22"/>
                <w:lang w:val="sr-Latn-ME"/>
              </w:rPr>
              <w:t>49%</w:t>
            </w:r>
            <w:r w:rsidRPr="002041DF">
              <w:rPr>
                <w:sz w:val="22"/>
                <w:szCs w:val="22"/>
                <w:vertAlign w:val="superscript"/>
                <w:lang w:val="sr-Latn-ME"/>
              </w:rPr>
              <w:t>b</w:t>
            </w:r>
          </w:p>
        </w:tc>
      </w:tr>
      <w:tr w:rsidR="00C36D57" w:rsidRPr="002041DF" w14:paraId="6ED1CC7E" w14:textId="77777777" w:rsidTr="007C6E24">
        <w:trPr>
          <w:cantSplit/>
          <w:jc w:val="center"/>
        </w:trPr>
        <w:tc>
          <w:tcPr>
            <w:tcW w:w="2314" w:type="pct"/>
            <w:hideMark/>
          </w:tcPr>
          <w:p w14:paraId="0C3C14A6" w14:textId="77777777" w:rsidR="00C36D57" w:rsidRPr="002041DF" w:rsidRDefault="00C36D57" w:rsidP="002041DF">
            <w:pPr>
              <w:widowControl w:val="0"/>
              <w:tabs>
                <w:tab w:val="left" w:pos="567"/>
              </w:tabs>
              <w:rPr>
                <w:rFonts w:eastAsia="Calibri"/>
                <w:sz w:val="22"/>
                <w:szCs w:val="22"/>
                <w:lang w:val="sr-Latn-ME"/>
              </w:rPr>
            </w:pPr>
            <w:r w:rsidRPr="002041DF">
              <w:rPr>
                <w:sz w:val="22"/>
                <w:szCs w:val="22"/>
                <w:lang w:val="sr-Latn-ME"/>
              </w:rPr>
              <w:t>Klinički odgovor</w:t>
            </w:r>
          </w:p>
        </w:tc>
        <w:tc>
          <w:tcPr>
            <w:tcW w:w="885" w:type="pct"/>
            <w:hideMark/>
          </w:tcPr>
          <w:p w14:paraId="77F0DC20" w14:textId="77777777" w:rsidR="00C36D57" w:rsidRPr="002041DF" w:rsidRDefault="00C36D57" w:rsidP="002041DF">
            <w:pPr>
              <w:widowControl w:val="0"/>
              <w:autoSpaceDE w:val="0"/>
              <w:autoSpaceDN w:val="0"/>
              <w:adjustRightInd w:val="0"/>
              <w:rPr>
                <w:sz w:val="22"/>
                <w:szCs w:val="22"/>
                <w:lang w:val="sr-Latn-ME"/>
              </w:rPr>
            </w:pPr>
            <w:r w:rsidRPr="002041DF">
              <w:rPr>
                <w:sz w:val="22"/>
                <w:szCs w:val="22"/>
                <w:lang w:val="sr-Latn-ME"/>
              </w:rPr>
              <w:t>44%</w:t>
            </w:r>
          </w:p>
        </w:tc>
        <w:tc>
          <w:tcPr>
            <w:tcW w:w="885" w:type="pct"/>
          </w:tcPr>
          <w:p w14:paraId="6E39A954" w14:textId="77777777" w:rsidR="00C36D57" w:rsidRPr="002041DF" w:rsidRDefault="00C36D57" w:rsidP="002041DF">
            <w:pPr>
              <w:widowControl w:val="0"/>
              <w:autoSpaceDE w:val="0"/>
              <w:autoSpaceDN w:val="0"/>
              <w:adjustRightInd w:val="0"/>
              <w:rPr>
                <w:sz w:val="22"/>
                <w:szCs w:val="22"/>
                <w:lang w:val="sr-Latn-ME"/>
              </w:rPr>
            </w:pPr>
            <w:r w:rsidRPr="002041DF">
              <w:rPr>
                <w:sz w:val="22"/>
                <w:szCs w:val="22"/>
                <w:lang w:val="sr-Latn-ME"/>
              </w:rPr>
              <w:t>59%</w:t>
            </w:r>
            <w:r w:rsidRPr="002041DF">
              <w:rPr>
                <w:sz w:val="22"/>
                <w:szCs w:val="22"/>
                <w:vertAlign w:val="superscript"/>
                <w:lang w:val="sr-Latn-ME"/>
              </w:rPr>
              <w:t>b</w:t>
            </w:r>
          </w:p>
        </w:tc>
        <w:tc>
          <w:tcPr>
            <w:tcW w:w="917" w:type="pct"/>
          </w:tcPr>
          <w:p w14:paraId="3521DAC0" w14:textId="77777777" w:rsidR="00C36D57" w:rsidRPr="002041DF" w:rsidRDefault="00C36D57" w:rsidP="002041DF">
            <w:pPr>
              <w:widowControl w:val="0"/>
              <w:autoSpaceDE w:val="0"/>
              <w:autoSpaceDN w:val="0"/>
              <w:adjustRightInd w:val="0"/>
              <w:rPr>
                <w:sz w:val="22"/>
                <w:szCs w:val="22"/>
                <w:lang w:val="sr-Latn-ME"/>
              </w:rPr>
            </w:pPr>
            <w:r w:rsidRPr="002041DF">
              <w:rPr>
                <w:sz w:val="22"/>
                <w:szCs w:val="22"/>
                <w:lang w:val="sr-Latn-ME"/>
              </w:rPr>
              <w:t>58%</w:t>
            </w:r>
            <w:r w:rsidRPr="002041DF">
              <w:rPr>
                <w:sz w:val="22"/>
                <w:szCs w:val="22"/>
                <w:vertAlign w:val="superscript"/>
                <w:lang w:val="sr-Latn-ME"/>
              </w:rPr>
              <w:t>b</w:t>
            </w:r>
          </w:p>
        </w:tc>
      </w:tr>
      <w:tr w:rsidR="00C36D57" w:rsidRPr="002041DF" w14:paraId="244E88C8" w14:textId="77777777" w:rsidTr="007C6E24">
        <w:trPr>
          <w:cantSplit/>
          <w:jc w:val="center"/>
        </w:trPr>
        <w:tc>
          <w:tcPr>
            <w:tcW w:w="2314" w:type="pct"/>
            <w:hideMark/>
          </w:tcPr>
          <w:p w14:paraId="019EE853" w14:textId="77777777" w:rsidR="00C36D57" w:rsidRPr="002041DF" w:rsidRDefault="00C36D57" w:rsidP="002041DF">
            <w:pPr>
              <w:widowControl w:val="0"/>
              <w:tabs>
                <w:tab w:val="left" w:pos="567"/>
              </w:tabs>
              <w:rPr>
                <w:rFonts w:eastAsia="Calibri"/>
                <w:sz w:val="22"/>
                <w:szCs w:val="22"/>
                <w:lang w:val="sr-Latn-ME"/>
              </w:rPr>
            </w:pPr>
            <w:r w:rsidRPr="002041DF">
              <w:rPr>
                <w:sz w:val="22"/>
                <w:szCs w:val="22"/>
                <w:lang w:val="sr-Latn-ME"/>
              </w:rPr>
              <w:t>Klinička remisija bez kortikosteroida</w:t>
            </w:r>
          </w:p>
        </w:tc>
        <w:tc>
          <w:tcPr>
            <w:tcW w:w="885" w:type="pct"/>
            <w:hideMark/>
          </w:tcPr>
          <w:p w14:paraId="48437704" w14:textId="77777777" w:rsidR="00C36D57" w:rsidRPr="002041DF" w:rsidRDefault="00C36D57" w:rsidP="002041DF">
            <w:pPr>
              <w:widowControl w:val="0"/>
              <w:autoSpaceDE w:val="0"/>
              <w:autoSpaceDN w:val="0"/>
              <w:adjustRightInd w:val="0"/>
              <w:rPr>
                <w:sz w:val="22"/>
                <w:szCs w:val="22"/>
                <w:lang w:val="sr-Latn-ME"/>
              </w:rPr>
            </w:pPr>
            <w:r w:rsidRPr="002041DF">
              <w:rPr>
                <w:sz w:val="22"/>
                <w:szCs w:val="22"/>
                <w:lang w:val="sr-Latn-ME"/>
              </w:rPr>
              <w:t>30%</w:t>
            </w:r>
          </w:p>
        </w:tc>
        <w:tc>
          <w:tcPr>
            <w:tcW w:w="885" w:type="pct"/>
          </w:tcPr>
          <w:p w14:paraId="5F39BD81" w14:textId="77777777" w:rsidR="00C36D57" w:rsidRPr="002041DF" w:rsidRDefault="00C36D57" w:rsidP="002041DF">
            <w:pPr>
              <w:widowControl w:val="0"/>
              <w:autoSpaceDE w:val="0"/>
              <w:autoSpaceDN w:val="0"/>
              <w:adjustRightInd w:val="0"/>
              <w:rPr>
                <w:sz w:val="22"/>
                <w:szCs w:val="22"/>
                <w:lang w:val="sr-Latn-ME"/>
              </w:rPr>
            </w:pPr>
            <w:r w:rsidRPr="002041DF">
              <w:rPr>
                <w:sz w:val="22"/>
                <w:szCs w:val="22"/>
                <w:lang w:val="sr-Latn-ME"/>
              </w:rPr>
              <w:t>47%</w:t>
            </w:r>
            <w:r w:rsidRPr="002041DF">
              <w:rPr>
                <w:sz w:val="22"/>
                <w:szCs w:val="22"/>
                <w:vertAlign w:val="superscript"/>
                <w:lang w:val="sr-Latn-ME"/>
              </w:rPr>
              <w:t>a</w:t>
            </w:r>
          </w:p>
        </w:tc>
        <w:tc>
          <w:tcPr>
            <w:tcW w:w="917" w:type="pct"/>
          </w:tcPr>
          <w:p w14:paraId="4527D621" w14:textId="77777777" w:rsidR="00C36D57" w:rsidRPr="002041DF" w:rsidRDefault="00C36D57" w:rsidP="002041DF">
            <w:pPr>
              <w:widowControl w:val="0"/>
              <w:autoSpaceDE w:val="0"/>
              <w:autoSpaceDN w:val="0"/>
              <w:adjustRightInd w:val="0"/>
              <w:rPr>
                <w:sz w:val="22"/>
                <w:szCs w:val="22"/>
                <w:lang w:val="sr-Latn-ME"/>
              </w:rPr>
            </w:pPr>
            <w:r w:rsidRPr="002041DF">
              <w:rPr>
                <w:sz w:val="22"/>
                <w:szCs w:val="22"/>
                <w:lang w:val="sr-Latn-ME"/>
              </w:rPr>
              <w:t>43%</w:t>
            </w:r>
            <w:r w:rsidRPr="002041DF">
              <w:rPr>
                <w:sz w:val="22"/>
                <w:szCs w:val="22"/>
                <w:vertAlign w:val="superscript"/>
                <w:lang w:val="sr-Latn-ME"/>
              </w:rPr>
              <w:t>c</w:t>
            </w:r>
          </w:p>
        </w:tc>
      </w:tr>
      <w:tr w:rsidR="00C36D57" w:rsidRPr="002041DF" w14:paraId="220FFF79" w14:textId="77777777" w:rsidTr="007C6E24">
        <w:trPr>
          <w:cantSplit/>
          <w:jc w:val="center"/>
        </w:trPr>
        <w:tc>
          <w:tcPr>
            <w:tcW w:w="2314" w:type="pct"/>
            <w:hideMark/>
          </w:tcPr>
          <w:p w14:paraId="73E21D7F" w14:textId="77777777" w:rsidR="00C36D57" w:rsidRPr="002041DF" w:rsidRDefault="00C36D57" w:rsidP="002041DF">
            <w:pPr>
              <w:widowControl w:val="0"/>
              <w:tabs>
                <w:tab w:val="left" w:pos="567"/>
              </w:tabs>
              <w:rPr>
                <w:rFonts w:eastAsia="Calibri"/>
                <w:b/>
                <w:bCs/>
                <w:sz w:val="22"/>
                <w:szCs w:val="22"/>
                <w:lang w:val="sr-Latn-ME"/>
              </w:rPr>
            </w:pPr>
            <w:r w:rsidRPr="002041DF">
              <w:rPr>
                <w:sz w:val="22"/>
                <w:szCs w:val="22"/>
                <w:lang w:val="sr-Latn-ME"/>
              </w:rPr>
              <w:t>Klinička remisija kod pacijenata:</w:t>
            </w:r>
            <w:r w:rsidRPr="002041DF">
              <w:rPr>
                <w:b/>
                <w:bCs/>
                <w:sz w:val="22"/>
                <w:szCs w:val="22"/>
                <w:lang w:val="sr-Latn-ME"/>
              </w:rPr>
              <w:t xml:space="preserve"> </w:t>
            </w:r>
          </w:p>
        </w:tc>
        <w:tc>
          <w:tcPr>
            <w:tcW w:w="885" w:type="pct"/>
          </w:tcPr>
          <w:p w14:paraId="44927DDC" w14:textId="77777777" w:rsidR="00C36D57" w:rsidRPr="002041DF" w:rsidRDefault="00C36D57" w:rsidP="002041DF">
            <w:pPr>
              <w:widowControl w:val="0"/>
              <w:autoSpaceDE w:val="0"/>
              <w:autoSpaceDN w:val="0"/>
              <w:adjustRightInd w:val="0"/>
              <w:rPr>
                <w:sz w:val="22"/>
                <w:szCs w:val="22"/>
                <w:lang w:val="sr-Latn-ME"/>
              </w:rPr>
            </w:pPr>
          </w:p>
        </w:tc>
        <w:tc>
          <w:tcPr>
            <w:tcW w:w="885" w:type="pct"/>
          </w:tcPr>
          <w:p w14:paraId="42F329FA" w14:textId="77777777" w:rsidR="00C36D57" w:rsidRPr="002041DF" w:rsidRDefault="00C36D57" w:rsidP="002041DF">
            <w:pPr>
              <w:widowControl w:val="0"/>
              <w:autoSpaceDE w:val="0"/>
              <w:autoSpaceDN w:val="0"/>
              <w:adjustRightInd w:val="0"/>
              <w:rPr>
                <w:sz w:val="22"/>
                <w:szCs w:val="22"/>
                <w:lang w:val="sr-Latn-ME"/>
              </w:rPr>
            </w:pPr>
          </w:p>
        </w:tc>
        <w:tc>
          <w:tcPr>
            <w:tcW w:w="917" w:type="pct"/>
          </w:tcPr>
          <w:p w14:paraId="059E397C" w14:textId="77777777" w:rsidR="00C36D57" w:rsidRPr="002041DF" w:rsidRDefault="00C36D57" w:rsidP="002041DF">
            <w:pPr>
              <w:widowControl w:val="0"/>
              <w:autoSpaceDE w:val="0"/>
              <w:autoSpaceDN w:val="0"/>
              <w:adjustRightInd w:val="0"/>
              <w:rPr>
                <w:sz w:val="22"/>
                <w:szCs w:val="22"/>
                <w:lang w:val="sr-Latn-ME"/>
              </w:rPr>
            </w:pPr>
          </w:p>
        </w:tc>
      </w:tr>
      <w:tr w:rsidR="00C36D57" w:rsidRPr="002041DF" w14:paraId="7C192E58" w14:textId="77777777" w:rsidTr="007C6E24">
        <w:trPr>
          <w:cantSplit/>
          <w:jc w:val="center"/>
        </w:trPr>
        <w:tc>
          <w:tcPr>
            <w:tcW w:w="2314" w:type="pct"/>
            <w:hideMark/>
          </w:tcPr>
          <w:p w14:paraId="5AC88BFD" w14:textId="77777777" w:rsidR="00C36D57" w:rsidRPr="002041DF" w:rsidRDefault="00C36D57" w:rsidP="002041DF">
            <w:pPr>
              <w:widowControl w:val="0"/>
              <w:autoSpaceDE w:val="0"/>
              <w:autoSpaceDN w:val="0"/>
              <w:ind w:left="285" w:hanging="270"/>
              <w:rPr>
                <w:sz w:val="22"/>
                <w:szCs w:val="22"/>
                <w:lang w:val="sr-Latn-ME"/>
              </w:rPr>
            </w:pPr>
            <w:r w:rsidRPr="002041DF">
              <w:rPr>
                <w:sz w:val="22"/>
                <w:szCs w:val="22"/>
                <w:lang w:val="sr-Latn-ME"/>
              </w:rPr>
              <w:t>U remisiji na početku terapije</w:t>
            </w:r>
          </w:p>
          <w:p w14:paraId="5AAF4A3E" w14:textId="77777777" w:rsidR="00C36D57" w:rsidRPr="002041DF" w:rsidRDefault="00C36D57" w:rsidP="002041DF">
            <w:pPr>
              <w:widowControl w:val="0"/>
              <w:autoSpaceDE w:val="0"/>
              <w:autoSpaceDN w:val="0"/>
              <w:ind w:left="285" w:hanging="270"/>
              <w:rPr>
                <w:rFonts w:eastAsia="Calibri"/>
                <w:sz w:val="22"/>
                <w:szCs w:val="22"/>
                <w:lang w:val="sr-Latn-ME"/>
              </w:rPr>
            </w:pPr>
            <w:r w:rsidRPr="002041DF">
              <w:rPr>
                <w:sz w:val="22"/>
                <w:szCs w:val="22"/>
                <w:lang w:val="sr-Latn-ME"/>
              </w:rPr>
              <w:t>održavanja</w:t>
            </w:r>
          </w:p>
        </w:tc>
        <w:tc>
          <w:tcPr>
            <w:tcW w:w="885" w:type="pct"/>
            <w:hideMark/>
          </w:tcPr>
          <w:p w14:paraId="11C0047E" w14:textId="77777777" w:rsidR="00C36D57" w:rsidRPr="002041DF" w:rsidRDefault="00C36D57" w:rsidP="002041DF">
            <w:pPr>
              <w:widowControl w:val="0"/>
              <w:autoSpaceDE w:val="0"/>
              <w:autoSpaceDN w:val="0"/>
              <w:adjustRightInd w:val="0"/>
              <w:rPr>
                <w:sz w:val="22"/>
                <w:szCs w:val="22"/>
                <w:lang w:val="sr-Latn-ME"/>
              </w:rPr>
            </w:pPr>
            <w:r w:rsidRPr="002041DF">
              <w:rPr>
                <w:sz w:val="22"/>
                <w:szCs w:val="22"/>
                <w:lang w:val="sr-Latn-ME"/>
              </w:rPr>
              <w:t>46% (36/79)</w:t>
            </w:r>
          </w:p>
        </w:tc>
        <w:tc>
          <w:tcPr>
            <w:tcW w:w="885" w:type="pct"/>
          </w:tcPr>
          <w:p w14:paraId="0E7912B2" w14:textId="77777777" w:rsidR="00C36D57" w:rsidRPr="002041DF" w:rsidRDefault="00C36D57" w:rsidP="002041DF">
            <w:pPr>
              <w:widowControl w:val="0"/>
              <w:autoSpaceDE w:val="0"/>
              <w:autoSpaceDN w:val="0"/>
              <w:adjustRightInd w:val="0"/>
              <w:rPr>
                <w:sz w:val="22"/>
                <w:szCs w:val="22"/>
                <w:lang w:val="sr-Latn-ME"/>
              </w:rPr>
            </w:pPr>
            <w:r w:rsidRPr="002041DF">
              <w:rPr>
                <w:sz w:val="22"/>
                <w:szCs w:val="22"/>
                <w:lang w:val="sr-Latn-ME"/>
              </w:rPr>
              <w:t>67% (52/78)</w:t>
            </w:r>
            <w:r w:rsidRPr="002041DF">
              <w:rPr>
                <w:sz w:val="22"/>
                <w:szCs w:val="22"/>
                <w:vertAlign w:val="superscript"/>
                <w:lang w:val="sr-Latn-ME"/>
              </w:rPr>
              <w:t>a</w:t>
            </w:r>
          </w:p>
        </w:tc>
        <w:tc>
          <w:tcPr>
            <w:tcW w:w="917" w:type="pct"/>
          </w:tcPr>
          <w:p w14:paraId="55CEDDA0" w14:textId="77777777" w:rsidR="00C36D57" w:rsidRPr="002041DF" w:rsidRDefault="00C36D57" w:rsidP="002041DF">
            <w:pPr>
              <w:widowControl w:val="0"/>
              <w:autoSpaceDE w:val="0"/>
              <w:autoSpaceDN w:val="0"/>
              <w:adjustRightInd w:val="0"/>
              <w:rPr>
                <w:sz w:val="22"/>
                <w:szCs w:val="22"/>
                <w:lang w:val="sr-Latn-ME"/>
              </w:rPr>
            </w:pPr>
            <w:r w:rsidRPr="002041DF">
              <w:rPr>
                <w:sz w:val="22"/>
                <w:szCs w:val="22"/>
                <w:lang w:val="sr-Latn-ME"/>
              </w:rPr>
              <w:t>56% (44/78)</w:t>
            </w:r>
          </w:p>
        </w:tc>
      </w:tr>
      <w:tr w:rsidR="00C36D57" w:rsidRPr="002041DF" w14:paraId="2A4ED644" w14:textId="77777777" w:rsidTr="007C6E24">
        <w:trPr>
          <w:cantSplit/>
          <w:jc w:val="center"/>
        </w:trPr>
        <w:tc>
          <w:tcPr>
            <w:tcW w:w="2314" w:type="pct"/>
            <w:hideMark/>
          </w:tcPr>
          <w:p w14:paraId="6D13E365" w14:textId="77777777" w:rsidR="00C36D57" w:rsidRPr="002041DF" w:rsidRDefault="00C36D57" w:rsidP="002041DF">
            <w:pPr>
              <w:widowControl w:val="0"/>
              <w:autoSpaceDE w:val="0"/>
              <w:autoSpaceDN w:val="0"/>
              <w:ind w:left="285" w:hanging="270"/>
              <w:rPr>
                <w:rFonts w:eastAsia="Calibri"/>
                <w:sz w:val="22"/>
                <w:szCs w:val="22"/>
                <w:lang w:val="sr-Latn-ME"/>
              </w:rPr>
            </w:pPr>
            <w:r w:rsidRPr="002041DF">
              <w:rPr>
                <w:sz w:val="22"/>
                <w:szCs w:val="22"/>
                <w:lang w:val="sr-Latn-ME"/>
              </w:rPr>
              <w:t>Koji su uključeni iz ispitivanja CRD3002</w:t>
            </w:r>
            <w:r w:rsidRPr="002041DF">
              <w:rPr>
                <w:sz w:val="22"/>
                <w:szCs w:val="22"/>
                <w:vertAlign w:val="superscript"/>
                <w:lang w:val="sr-Latn-ME"/>
              </w:rPr>
              <w:t>‡</w:t>
            </w:r>
          </w:p>
        </w:tc>
        <w:tc>
          <w:tcPr>
            <w:tcW w:w="885" w:type="pct"/>
            <w:hideMark/>
          </w:tcPr>
          <w:p w14:paraId="2F079C98" w14:textId="77777777" w:rsidR="00C36D57" w:rsidRPr="002041DF" w:rsidRDefault="00C36D57" w:rsidP="002041DF">
            <w:pPr>
              <w:widowControl w:val="0"/>
              <w:autoSpaceDE w:val="0"/>
              <w:autoSpaceDN w:val="0"/>
              <w:adjustRightInd w:val="0"/>
              <w:rPr>
                <w:sz w:val="22"/>
                <w:szCs w:val="22"/>
                <w:lang w:val="sr-Latn-ME"/>
              </w:rPr>
            </w:pPr>
            <w:r w:rsidRPr="002041DF">
              <w:rPr>
                <w:sz w:val="22"/>
                <w:szCs w:val="22"/>
                <w:lang w:val="sr-Latn-ME"/>
              </w:rPr>
              <w:t>44% (31/70)</w:t>
            </w:r>
          </w:p>
        </w:tc>
        <w:tc>
          <w:tcPr>
            <w:tcW w:w="885" w:type="pct"/>
          </w:tcPr>
          <w:p w14:paraId="520F3348" w14:textId="77777777" w:rsidR="00C36D57" w:rsidRPr="002041DF" w:rsidRDefault="00C36D57" w:rsidP="002041DF">
            <w:pPr>
              <w:widowControl w:val="0"/>
              <w:autoSpaceDE w:val="0"/>
              <w:autoSpaceDN w:val="0"/>
              <w:adjustRightInd w:val="0"/>
              <w:rPr>
                <w:sz w:val="22"/>
                <w:szCs w:val="22"/>
                <w:lang w:val="sr-Latn-ME"/>
              </w:rPr>
            </w:pPr>
            <w:r w:rsidRPr="002041DF">
              <w:rPr>
                <w:sz w:val="22"/>
                <w:szCs w:val="22"/>
                <w:lang w:val="sr-Latn-ME"/>
              </w:rPr>
              <w:t>63% (45/72)</w:t>
            </w:r>
            <w:r w:rsidRPr="002041DF">
              <w:rPr>
                <w:sz w:val="22"/>
                <w:szCs w:val="22"/>
                <w:vertAlign w:val="superscript"/>
                <w:lang w:val="sr-Latn-ME"/>
              </w:rPr>
              <w:t>c</w:t>
            </w:r>
          </w:p>
        </w:tc>
        <w:tc>
          <w:tcPr>
            <w:tcW w:w="917" w:type="pct"/>
          </w:tcPr>
          <w:p w14:paraId="2C2F369C" w14:textId="77777777" w:rsidR="00C36D57" w:rsidRPr="002041DF" w:rsidRDefault="00C36D57" w:rsidP="002041DF">
            <w:pPr>
              <w:widowControl w:val="0"/>
              <w:autoSpaceDE w:val="0"/>
              <w:autoSpaceDN w:val="0"/>
              <w:adjustRightInd w:val="0"/>
              <w:rPr>
                <w:sz w:val="22"/>
                <w:szCs w:val="22"/>
                <w:lang w:val="sr-Latn-ME"/>
              </w:rPr>
            </w:pPr>
            <w:r w:rsidRPr="002041DF">
              <w:rPr>
                <w:sz w:val="22"/>
                <w:szCs w:val="22"/>
                <w:lang w:val="sr-Latn-ME"/>
              </w:rPr>
              <w:t>57% (41/72)</w:t>
            </w:r>
          </w:p>
        </w:tc>
      </w:tr>
      <w:tr w:rsidR="00C36D57" w:rsidRPr="002041DF" w14:paraId="2DA0CC0F" w14:textId="77777777" w:rsidTr="007C6E24">
        <w:trPr>
          <w:cantSplit/>
          <w:jc w:val="center"/>
        </w:trPr>
        <w:tc>
          <w:tcPr>
            <w:tcW w:w="2314" w:type="pct"/>
            <w:hideMark/>
          </w:tcPr>
          <w:p w14:paraId="2D7EAF25" w14:textId="3C8D6143" w:rsidR="00C36D57" w:rsidRPr="002041DF" w:rsidRDefault="00C36D57" w:rsidP="002041DF">
            <w:pPr>
              <w:widowControl w:val="0"/>
              <w:autoSpaceDE w:val="0"/>
              <w:autoSpaceDN w:val="0"/>
              <w:ind w:left="285" w:hanging="270"/>
              <w:rPr>
                <w:sz w:val="22"/>
                <w:szCs w:val="22"/>
                <w:lang w:val="sr-Latn-ME"/>
              </w:rPr>
            </w:pPr>
            <w:r w:rsidRPr="002041DF">
              <w:rPr>
                <w:sz w:val="22"/>
                <w:szCs w:val="22"/>
                <w:lang w:val="sr-Latn-ME"/>
              </w:rPr>
              <w:t>Koji prethodno</w:t>
            </w:r>
            <w:r w:rsidR="00E50471" w:rsidRPr="002041DF">
              <w:rPr>
                <w:sz w:val="22"/>
                <w:szCs w:val="22"/>
                <w:lang w:val="sr-Latn-ME"/>
              </w:rPr>
              <w:t xml:space="preserve"> nijesu </w:t>
            </w:r>
            <w:r w:rsidRPr="002041DF">
              <w:rPr>
                <w:sz w:val="22"/>
                <w:szCs w:val="22"/>
                <w:lang w:val="sr-Latn-ME"/>
              </w:rPr>
              <w:t>primali anti-TNFα</w:t>
            </w:r>
          </w:p>
          <w:p w14:paraId="7011DA02" w14:textId="77777777" w:rsidR="00C36D57" w:rsidRPr="002041DF" w:rsidRDefault="00C36D57" w:rsidP="002041DF">
            <w:pPr>
              <w:widowControl w:val="0"/>
              <w:autoSpaceDE w:val="0"/>
              <w:autoSpaceDN w:val="0"/>
              <w:ind w:left="285" w:hanging="270"/>
              <w:rPr>
                <w:rFonts w:eastAsia="Calibri"/>
                <w:sz w:val="22"/>
                <w:szCs w:val="22"/>
                <w:lang w:val="sr-Latn-ME"/>
              </w:rPr>
            </w:pPr>
            <w:r w:rsidRPr="002041DF">
              <w:rPr>
                <w:sz w:val="22"/>
                <w:szCs w:val="22"/>
                <w:lang w:val="sr-Latn-ME"/>
              </w:rPr>
              <w:t>terapiju</w:t>
            </w:r>
          </w:p>
        </w:tc>
        <w:tc>
          <w:tcPr>
            <w:tcW w:w="885" w:type="pct"/>
            <w:hideMark/>
          </w:tcPr>
          <w:p w14:paraId="77E56813" w14:textId="77777777" w:rsidR="00C36D57" w:rsidRPr="002041DF" w:rsidRDefault="00C36D57" w:rsidP="002041DF">
            <w:pPr>
              <w:widowControl w:val="0"/>
              <w:autoSpaceDE w:val="0"/>
              <w:autoSpaceDN w:val="0"/>
              <w:adjustRightInd w:val="0"/>
              <w:rPr>
                <w:sz w:val="22"/>
                <w:szCs w:val="22"/>
                <w:lang w:val="sr-Latn-ME"/>
              </w:rPr>
            </w:pPr>
            <w:r w:rsidRPr="002041DF">
              <w:rPr>
                <w:sz w:val="22"/>
                <w:szCs w:val="22"/>
                <w:lang w:val="sr-Latn-ME"/>
              </w:rPr>
              <w:t>49% (25/51)</w:t>
            </w:r>
          </w:p>
        </w:tc>
        <w:tc>
          <w:tcPr>
            <w:tcW w:w="885" w:type="pct"/>
          </w:tcPr>
          <w:p w14:paraId="36D689BA" w14:textId="77777777" w:rsidR="00C36D57" w:rsidRPr="002041DF" w:rsidRDefault="00C36D57" w:rsidP="002041DF">
            <w:pPr>
              <w:widowControl w:val="0"/>
              <w:autoSpaceDE w:val="0"/>
              <w:autoSpaceDN w:val="0"/>
              <w:adjustRightInd w:val="0"/>
              <w:rPr>
                <w:sz w:val="22"/>
                <w:szCs w:val="22"/>
                <w:lang w:val="sr-Latn-ME"/>
              </w:rPr>
            </w:pPr>
            <w:r w:rsidRPr="002041DF">
              <w:rPr>
                <w:sz w:val="22"/>
                <w:szCs w:val="22"/>
                <w:lang w:val="sr-Latn-ME"/>
              </w:rPr>
              <w:t>65% (34/52)</w:t>
            </w:r>
            <w:r w:rsidRPr="002041DF">
              <w:rPr>
                <w:sz w:val="22"/>
                <w:szCs w:val="22"/>
                <w:vertAlign w:val="superscript"/>
                <w:lang w:val="sr-Latn-ME"/>
              </w:rPr>
              <w:t>c</w:t>
            </w:r>
          </w:p>
        </w:tc>
        <w:tc>
          <w:tcPr>
            <w:tcW w:w="917" w:type="pct"/>
          </w:tcPr>
          <w:p w14:paraId="5F6E82E7" w14:textId="77777777" w:rsidR="00C36D57" w:rsidRPr="002041DF" w:rsidRDefault="00C36D57" w:rsidP="002041DF">
            <w:pPr>
              <w:widowControl w:val="0"/>
              <w:autoSpaceDE w:val="0"/>
              <w:autoSpaceDN w:val="0"/>
              <w:adjustRightInd w:val="0"/>
              <w:rPr>
                <w:sz w:val="22"/>
                <w:szCs w:val="22"/>
                <w:lang w:val="sr-Latn-ME"/>
              </w:rPr>
            </w:pPr>
            <w:r w:rsidRPr="002041DF">
              <w:rPr>
                <w:sz w:val="22"/>
                <w:szCs w:val="22"/>
                <w:lang w:val="sr-Latn-ME"/>
              </w:rPr>
              <w:t>57% (30/53)</w:t>
            </w:r>
          </w:p>
        </w:tc>
      </w:tr>
      <w:tr w:rsidR="00C36D57" w:rsidRPr="002041DF" w14:paraId="75BCB9C4" w14:textId="77777777" w:rsidTr="007C6E24">
        <w:trPr>
          <w:cantSplit/>
          <w:jc w:val="center"/>
        </w:trPr>
        <w:tc>
          <w:tcPr>
            <w:tcW w:w="2314" w:type="pct"/>
            <w:tcBorders>
              <w:bottom w:val="single" w:sz="4" w:space="0" w:color="auto"/>
            </w:tcBorders>
          </w:tcPr>
          <w:p w14:paraId="0CC123C2" w14:textId="77777777" w:rsidR="00C36D57" w:rsidRPr="002041DF" w:rsidRDefault="00C36D57" w:rsidP="002041DF">
            <w:pPr>
              <w:widowControl w:val="0"/>
              <w:autoSpaceDE w:val="0"/>
              <w:autoSpaceDN w:val="0"/>
              <w:ind w:left="285" w:hanging="270"/>
              <w:rPr>
                <w:sz w:val="22"/>
                <w:szCs w:val="22"/>
                <w:lang w:val="sr-Latn-ME"/>
              </w:rPr>
            </w:pPr>
            <w:r w:rsidRPr="002041DF">
              <w:rPr>
                <w:sz w:val="22"/>
                <w:szCs w:val="22"/>
                <w:lang w:val="sr-Latn-ME"/>
              </w:rPr>
              <w:t>Koji su uključeni iz ispitivanja CRD3001</w:t>
            </w:r>
            <w:r w:rsidRPr="002041DF">
              <w:rPr>
                <w:sz w:val="22"/>
                <w:szCs w:val="22"/>
                <w:vertAlign w:val="superscript"/>
                <w:lang w:val="sr-Latn-ME"/>
              </w:rPr>
              <w:t>§</w:t>
            </w:r>
          </w:p>
        </w:tc>
        <w:tc>
          <w:tcPr>
            <w:tcW w:w="885" w:type="pct"/>
            <w:tcBorders>
              <w:bottom w:val="single" w:sz="4" w:space="0" w:color="auto"/>
            </w:tcBorders>
          </w:tcPr>
          <w:p w14:paraId="688587D1" w14:textId="77777777" w:rsidR="00C36D57" w:rsidRPr="002041DF" w:rsidRDefault="00C36D57" w:rsidP="002041DF">
            <w:pPr>
              <w:widowControl w:val="0"/>
              <w:autoSpaceDE w:val="0"/>
              <w:autoSpaceDN w:val="0"/>
              <w:adjustRightInd w:val="0"/>
              <w:rPr>
                <w:sz w:val="22"/>
                <w:szCs w:val="22"/>
                <w:lang w:val="sr-Latn-ME"/>
              </w:rPr>
            </w:pPr>
            <w:r w:rsidRPr="002041DF">
              <w:rPr>
                <w:sz w:val="22"/>
                <w:szCs w:val="22"/>
                <w:lang w:val="sr-Latn-ME"/>
              </w:rPr>
              <w:t>26% (16/61)</w:t>
            </w:r>
          </w:p>
        </w:tc>
        <w:tc>
          <w:tcPr>
            <w:tcW w:w="885" w:type="pct"/>
            <w:tcBorders>
              <w:bottom w:val="single" w:sz="4" w:space="0" w:color="auto"/>
            </w:tcBorders>
          </w:tcPr>
          <w:p w14:paraId="65B83B8F" w14:textId="77777777" w:rsidR="00C36D57" w:rsidRPr="002041DF" w:rsidRDefault="00C36D57" w:rsidP="002041DF">
            <w:pPr>
              <w:widowControl w:val="0"/>
              <w:autoSpaceDE w:val="0"/>
              <w:autoSpaceDN w:val="0"/>
              <w:adjustRightInd w:val="0"/>
              <w:rPr>
                <w:sz w:val="22"/>
                <w:szCs w:val="22"/>
                <w:lang w:val="sr-Latn-ME"/>
              </w:rPr>
            </w:pPr>
            <w:r w:rsidRPr="002041DF">
              <w:rPr>
                <w:sz w:val="22"/>
                <w:szCs w:val="22"/>
                <w:lang w:val="sr-Latn-ME"/>
              </w:rPr>
              <w:t>41% (23/56)</w:t>
            </w:r>
          </w:p>
        </w:tc>
        <w:tc>
          <w:tcPr>
            <w:tcW w:w="917" w:type="pct"/>
            <w:tcBorders>
              <w:bottom w:val="single" w:sz="4" w:space="0" w:color="auto"/>
            </w:tcBorders>
          </w:tcPr>
          <w:p w14:paraId="67D1C699" w14:textId="77777777" w:rsidR="00C36D57" w:rsidRPr="002041DF" w:rsidRDefault="00C36D57" w:rsidP="002041DF">
            <w:pPr>
              <w:widowControl w:val="0"/>
              <w:autoSpaceDE w:val="0"/>
              <w:autoSpaceDN w:val="0"/>
              <w:adjustRightInd w:val="0"/>
              <w:rPr>
                <w:sz w:val="22"/>
                <w:szCs w:val="22"/>
                <w:lang w:val="sr-Latn-ME"/>
              </w:rPr>
            </w:pPr>
            <w:r w:rsidRPr="002041DF">
              <w:rPr>
                <w:sz w:val="22"/>
                <w:szCs w:val="22"/>
                <w:lang w:val="sr-Latn-ME"/>
              </w:rPr>
              <w:t>39% (22/57)</w:t>
            </w:r>
          </w:p>
        </w:tc>
      </w:tr>
    </w:tbl>
    <w:p w14:paraId="105B2D68" w14:textId="77777777" w:rsidR="00C36D57" w:rsidRPr="007C6E24" w:rsidRDefault="00C36D57" w:rsidP="002041DF">
      <w:pPr>
        <w:widowControl w:val="0"/>
        <w:tabs>
          <w:tab w:val="left" w:pos="2808"/>
          <w:tab w:val="left" w:pos="9000"/>
        </w:tabs>
        <w:jc w:val="both"/>
        <w:rPr>
          <w:sz w:val="20"/>
          <w:szCs w:val="22"/>
          <w:lang w:val="sr-Latn-ME"/>
        </w:rPr>
      </w:pPr>
      <w:r w:rsidRPr="007C6E24">
        <w:rPr>
          <w:sz w:val="20"/>
          <w:szCs w:val="22"/>
          <w:lang w:val="sr-Latn-ME"/>
        </w:rPr>
        <w:t xml:space="preserve">Klinička remisija je definisana kao CDAI skor &lt; 150; Klinički odgovor je definisan kao smanjenje CDAI skora za najmanje 100 poena ili biti u kliničkoj remisiji </w:t>
      </w:r>
    </w:p>
    <w:p w14:paraId="14E9BBA9" w14:textId="77777777" w:rsidR="00C36D57" w:rsidRPr="007C6E24" w:rsidRDefault="00C36D57" w:rsidP="002041DF">
      <w:pPr>
        <w:widowControl w:val="0"/>
        <w:tabs>
          <w:tab w:val="left" w:pos="2808"/>
          <w:tab w:val="left" w:pos="9000"/>
        </w:tabs>
        <w:jc w:val="both"/>
        <w:rPr>
          <w:sz w:val="20"/>
          <w:szCs w:val="22"/>
          <w:lang w:val="sr-Latn-ME"/>
        </w:rPr>
      </w:pPr>
      <w:r w:rsidRPr="007C6E24">
        <w:rPr>
          <w:sz w:val="20"/>
          <w:szCs w:val="22"/>
          <w:vertAlign w:val="superscript"/>
          <w:lang w:val="sr-Latn-ME"/>
        </w:rPr>
        <w:t xml:space="preserve">* </w:t>
      </w:r>
      <w:r w:rsidRPr="007C6E24">
        <w:rPr>
          <w:sz w:val="20"/>
          <w:szCs w:val="22"/>
          <w:lang w:val="sr-Latn-ME"/>
        </w:rPr>
        <w:t xml:space="preserve">Placebo grupa se sastojala od pacijenata koji su odgovorili na ustekinumab i bili randomizovani u grupu koja je primila placebo na početku terapije održavanja. </w:t>
      </w:r>
    </w:p>
    <w:p w14:paraId="65D103CE" w14:textId="77777777" w:rsidR="00C36D57" w:rsidRPr="007C6E24" w:rsidRDefault="00C36D57" w:rsidP="002041DF">
      <w:pPr>
        <w:widowControl w:val="0"/>
        <w:tabs>
          <w:tab w:val="left" w:pos="2808"/>
          <w:tab w:val="left" w:pos="9000"/>
        </w:tabs>
        <w:jc w:val="both"/>
        <w:rPr>
          <w:sz w:val="20"/>
          <w:szCs w:val="22"/>
          <w:lang w:val="sr-Latn-ME"/>
        </w:rPr>
      </w:pPr>
      <w:r w:rsidRPr="007C6E24">
        <w:rPr>
          <w:sz w:val="20"/>
          <w:szCs w:val="22"/>
          <w:vertAlign w:val="superscript"/>
          <w:lang w:val="sr-Latn-ME"/>
        </w:rPr>
        <w:t>†</w:t>
      </w:r>
      <w:r w:rsidRPr="007C6E24">
        <w:rPr>
          <w:sz w:val="20"/>
          <w:szCs w:val="22"/>
          <w:lang w:val="sr-Latn-ME"/>
        </w:rPr>
        <w:t xml:space="preserve"> Pacijenti koji su imali klinički odgovor na ustekinumab od 100 poena na početku terapije održavanja </w:t>
      </w:r>
    </w:p>
    <w:p w14:paraId="1E8BE5A2" w14:textId="1ACA3ED8" w:rsidR="00C36D57" w:rsidRPr="007C6E24" w:rsidRDefault="00C36D57" w:rsidP="002041DF">
      <w:pPr>
        <w:widowControl w:val="0"/>
        <w:tabs>
          <w:tab w:val="left" w:pos="2808"/>
          <w:tab w:val="left" w:pos="9000"/>
        </w:tabs>
        <w:jc w:val="both"/>
        <w:rPr>
          <w:sz w:val="20"/>
          <w:szCs w:val="22"/>
          <w:lang w:val="sr-Latn-ME"/>
        </w:rPr>
      </w:pPr>
      <w:r w:rsidRPr="007C6E24">
        <w:rPr>
          <w:sz w:val="20"/>
          <w:szCs w:val="22"/>
          <w:vertAlign w:val="superscript"/>
          <w:lang w:val="sr-Latn-ME"/>
        </w:rPr>
        <w:t>‡</w:t>
      </w:r>
      <w:r w:rsidRPr="007C6E24">
        <w:rPr>
          <w:sz w:val="20"/>
          <w:szCs w:val="22"/>
          <w:lang w:val="sr-Latn-ME"/>
        </w:rPr>
        <w:t xml:space="preserve"> Pacijenti kod kojih je konvencinalna terapija bila neusp</w:t>
      </w:r>
      <w:r w:rsidR="008B2B13" w:rsidRPr="007C6E24">
        <w:rPr>
          <w:sz w:val="20"/>
          <w:szCs w:val="22"/>
          <w:lang w:val="sr-Latn-ME"/>
        </w:rPr>
        <w:t>j</w:t>
      </w:r>
      <w:r w:rsidRPr="007C6E24">
        <w:rPr>
          <w:sz w:val="20"/>
          <w:szCs w:val="22"/>
          <w:lang w:val="sr-Latn-ME"/>
        </w:rPr>
        <w:t xml:space="preserve">ešna, ali ne i anti-TNFα terapija </w:t>
      </w:r>
    </w:p>
    <w:p w14:paraId="77F52BA0" w14:textId="77777777" w:rsidR="00C36D57" w:rsidRPr="007C6E24" w:rsidRDefault="00C36D57" w:rsidP="002041DF">
      <w:pPr>
        <w:widowControl w:val="0"/>
        <w:tabs>
          <w:tab w:val="left" w:pos="2808"/>
          <w:tab w:val="left" w:pos="9000"/>
        </w:tabs>
        <w:jc w:val="both"/>
        <w:rPr>
          <w:sz w:val="20"/>
          <w:szCs w:val="22"/>
          <w:lang w:val="sr-Latn-ME"/>
        </w:rPr>
      </w:pPr>
      <w:r w:rsidRPr="007C6E24">
        <w:rPr>
          <w:sz w:val="20"/>
          <w:szCs w:val="22"/>
          <w:vertAlign w:val="superscript"/>
          <w:lang w:val="sr-Latn-ME"/>
        </w:rPr>
        <w:t>§</w:t>
      </w:r>
      <w:r w:rsidRPr="007C6E24">
        <w:rPr>
          <w:sz w:val="20"/>
          <w:szCs w:val="22"/>
          <w:lang w:val="sr-Latn-ME"/>
        </w:rPr>
        <w:t xml:space="preserve"> Pacijenti koji su refraktorni/netolerantni na anti-TNFα terapiju </w:t>
      </w:r>
    </w:p>
    <w:p w14:paraId="139786AC" w14:textId="77777777" w:rsidR="00C36D57" w:rsidRPr="007C6E24" w:rsidRDefault="00C36D57" w:rsidP="002041DF">
      <w:pPr>
        <w:widowControl w:val="0"/>
        <w:tabs>
          <w:tab w:val="left" w:pos="2808"/>
          <w:tab w:val="left" w:pos="9000"/>
        </w:tabs>
        <w:jc w:val="both"/>
        <w:rPr>
          <w:sz w:val="20"/>
          <w:szCs w:val="22"/>
          <w:lang w:val="sr-Latn-ME"/>
        </w:rPr>
      </w:pPr>
      <w:r w:rsidRPr="007C6E24">
        <w:rPr>
          <w:sz w:val="20"/>
          <w:szCs w:val="22"/>
          <w:vertAlign w:val="superscript"/>
          <w:lang w:val="sr-Latn-ME"/>
        </w:rPr>
        <w:t>a</w:t>
      </w:r>
      <w:r w:rsidRPr="007C6E24">
        <w:rPr>
          <w:sz w:val="20"/>
          <w:szCs w:val="22"/>
          <w:lang w:val="sr-Latn-ME"/>
        </w:rPr>
        <w:t xml:space="preserve"> p &lt; 0,01 </w:t>
      </w:r>
    </w:p>
    <w:p w14:paraId="37163D8A" w14:textId="77777777" w:rsidR="00C36D57" w:rsidRPr="007C6E24" w:rsidRDefault="00C36D57" w:rsidP="002041DF">
      <w:pPr>
        <w:widowControl w:val="0"/>
        <w:tabs>
          <w:tab w:val="left" w:pos="2808"/>
          <w:tab w:val="left" w:pos="9000"/>
        </w:tabs>
        <w:jc w:val="both"/>
        <w:rPr>
          <w:sz w:val="20"/>
          <w:szCs w:val="22"/>
          <w:lang w:val="sr-Latn-ME"/>
        </w:rPr>
      </w:pPr>
      <w:r w:rsidRPr="007C6E24">
        <w:rPr>
          <w:sz w:val="20"/>
          <w:szCs w:val="22"/>
          <w:vertAlign w:val="superscript"/>
          <w:lang w:val="sr-Latn-ME"/>
        </w:rPr>
        <w:t>b</w:t>
      </w:r>
      <w:r w:rsidRPr="007C6E24">
        <w:rPr>
          <w:sz w:val="20"/>
          <w:szCs w:val="22"/>
          <w:lang w:val="sr-Latn-ME"/>
        </w:rPr>
        <w:t xml:space="preserve"> p &lt; 0,05 </w:t>
      </w:r>
    </w:p>
    <w:p w14:paraId="6B43B4CA" w14:textId="77777777" w:rsidR="00C36D57" w:rsidRPr="007C6E24" w:rsidRDefault="00C36D57" w:rsidP="002041DF">
      <w:pPr>
        <w:widowControl w:val="0"/>
        <w:tabs>
          <w:tab w:val="left" w:pos="2808"/>
          <w:tab w:val="left" w:pos="9000"/>
        </w:tabs>
        <w:jc w:val="both"/>
        <w:rPr>
          <w:sz w:val="20"/>
          <w:szCs w:val="22"/>
          <w:lang w:val="sr-Latn-ME"/>
        </w:rPr>
      </w:pPr>
      <w:r w:rsidRPr="007C6E24">
        <w:rPr>
          <w:sz w:val="20"/>
          <w:szCs w:val="22"/>
          <w:vertAlign w:val="superscript"/>
          <w:lang w:val="sr-Latn-ME"/>
        </w:rPr>
        <w:t>c</w:t>
      </w:r>
      <w:r w:rsidRPr="007C6E24">
        <w:rPr>
          <w:sz w:val="20"/>
          <w:szCs w:val="22"/>
          <w:lang w:val="sr-Latn-ME"/>
        </w:rPr>
        <w:t xml:space="preserve"> nominalno značajno (p &lt; 0,05) </w:t>
      </w:r>
    </w:p>
    <w:p w14:paraId="1F7BAB89" w14:textId="77777777" w:rsidR="00C36D57" w:rsidRPr="002041DF" w:rsidRDefault="00C36D57" w:rsidP="002041DF">
      <w:pPr>
        <w:widowControl w:val="0"/>
        <w:tabs>
          <w:tab w:val="left" w:pos="2808"/>
          <w:tab w:val="left" w:pos="9000"/>
        </w:tabs>
        <w:jc w:val="both"/>
        <w:rPr>
          <w:sz w:val="22"/>
          <w:szCs w:val="22"/>
          <w:lang w:val="sr-Latn-ME"/>
        </w:rPr>
      </w:pPr>
    </w:p>
    <w:p w14:paraId="66706DE0" w14:textId="01B6CB04" w:rsidR="00C36D57" w:rsidRPr="002041DF" w:rsidRDefault="00C36D57" w:rsidP="002041DF">
      <w:pPr>
        <w:widowControl w:val="0"/>
        <w:tabs>
          <w:tab w:val="left" w:pos="2808"/>
          <w:tab w:val="left" w:pos="9000"/>
        </w:tabs>
        <w:jc w:val="both"/>
        <w:rPr>
          <w:sz w:val="22"/>
          <w:szCs w:val="22"/>
          <w:lang w:val="sr-Latn-ME"/>
        </w:rPr>
      </w:pPr>
      <w:r w:rsidRPr="002041DF">
        <w:rPr>
          <w:sz w:val="22"/>
          <w:szCs w:val="22"/>
          <w:lang w:val="sr-Latn-ME"/>
        </w:rPr>
        <w:t xml:space="preserve">U IM-UNITI, kod 29 od 129 pacijenata nije održan odgovor na ustekinumab kod </w:t>
      </w:r>
      <w:r w:rsidR="00891C9B" w:rsidRPr="002041DF">
        <w:rPr>
          <w:sz w:val="22"/>
          <w:szCs w:val="22"/>
          <w:lang w:val="sr-Latn-ME"/>
        </w:rPr>
        <w:t>liječen</w:t>
      </w:r>
      <w:r w:rsidRPr="002041DF">
        <w:rPr>
          <w:sz w:val="22"/>
          <w:szCs w:val="22"/>
          <w:lang w:val="sr-Latn-ME"/>
        </w:rPr>
        <w:t xml:space="preserve">ja svakih 12 </w:t>
      </w:r>
      <w:r w:rsidR="004372C4" w:rsidRPr="002041DF">
        <w:rPr>
          <w:sz w:val="22"/>
          <w:szCs w:val="22"/>
          <w:lang w:val="sr-Latn-ME"/>
        </w:rPr>
        <w:t>nedjelja</w:t>
      </w:r>
      <w:r w:rsidRPr="002041DF">
        <w:rPr>
          <w:sz w:val="22"/>
          <w:szCs w:val="22"/>
          <w:lang w:val="sr-Latn-ME"/>
        </w:rPr>
        <w:t xml:space="preserve"> i bilo je dozvoljeno prilagođavanje doze kako bi primili ustekinumab svakih 8 </w:t>
      </w:r>
      <w:r w:rsidR="004372C4" w:rsidRPr="002041DF">
        <w:rPr>
          <w:sz w:val="22"/>
          <w:szCs w:val="22"/>
          <w:lang w:val="sr-Latn-ME"/>
        </w:rPr>
        <w:t>nedjelja</w:t>
      </w:r>
      <w:r w:rsidRPr="002041DF">
        <w:rPr>
          <w:sz w:val="22"/>
          <w:szCs w:val="22"/>
          <w:lang w:val="sr-Latn-ME"/>
        </w:rPr>
        <w:t xml:space="preserve">. Gubitak odgovora bio je definisan kao CDAI skor ≥ 220 poena i povećanje ≥ 100 poena u odnosu na CDAI skor na početku. Kod tih pacijenata, klinička remisija bila je postignuta u 41,4% pacijenata 16 </w:t>
      </w:r>
      <w:r w:rsidR="004372C4" w:rsidRPr="002041DF">
        <w:rPr>
          <w:sz w:val="22"/>
          <w:szCs w:val="22"/>
          <w:lang w:val="sr-Latn-ME"/>
        </w:rPr>
        <w:t>nedjelja</w:t>
      </w:r>
      <w:r w:rsidRPr="002041DF">
        <w:rPr>
          <w:sz w:val="22"/>
          <w:szCs w:val="22"/>
          <w:lang w:val="sr-Latn-ME"/>
        </w:rPr>
        <w:t xml:space="preserve"> nakon prilagođavanja doze. </w:t>
      </w:r>
    </w:p>
    <w:p w14:paraId="023412AE" w14:textId="77777777" w:rsidR="00C36D57" w:rsidRPr="002041DF" w:rsidRDefault="00C36D57" w:rsidP="002041DF">
      <w:pPr>
        <w:widowControl w:val="0"/>
        <w:tabs>
          <w:tab w:val="left" w:pos="2808"/>
          <w:tab w:val="left" w:pos="9000"/>
        </w:tabs>
        <w:jc w:val="both"/>
        <w:rPr>
          <w:sz w:val="22"/>
          <w:szCs w:val="22"/>
          <w:lang w:val="sr-Latn-ME"/>
        </w:rPr>
      </w:pPr>
    </w:p>
    <w:p w14:paraId="22BD4AB2" w14:textId="259D442A" w:rsidR="00C36D57" w:rsidRPr="002041DF" w:rsidRDefault="00C36D57" w:rsidP="002041DF">
      <w:pPr>
        <w:widowControl w:val="0"/>
        <w:tabs>
          <w:tab w:val="left" w:pos="2808"/>
          <w:tab w:val="left" w:pos="9000"/>
        </w:tabs>
        <w:jc w:val="both"/>
        <w:rPr>
          <w:sz w:val="22"/>
          <w:szCs w:val="22"/>
          <w:lang w:val="sr-Latn-ME"/>
        </w:rPr>
      </w:pPr>
      <w:r w:rsidRPr="002041DF">
        <w:rPr>
          <w:sz w:val="22"/>
          <w:szCs w:val="22"/>
          <w:lang w:val="sr-Latn-ME"/>
        </w:rPr>
        <w:t>Pacijenti koji</w:t>
      </w:r>
      <w:r w:rsidR="00E50471" w:rsidRPr="002041DF">
        <w:rPr>
          <w:sz w:val="22"/>
          <w:szCs w:val="22"/>
          <w:lang w:val="sr-Latn-ME"/>
        </w:rPr>
        <w:t xml:space="preserve"> nijesu </w:t>
      </w:r>
      <w:r w:rsidRPr="002041DF">
        <w:rPr>
          <w:sz w:val="22"/>
          <w:szCs w:val="22"/>
          <w:lang w:val="sr-Latn-ME"/>
        </w:rPr>
        <w:t xml:space="preserve">imali klinički odgovor na uvođenje ustekinumaba u 8. </w:t>
      </w:r>
      <w:r w:rsidR="004372C4" w:rsidRPr="002041DF">
        <w:rPr>
          <w:sz w:val="22"/>
          <w:szCs w:val="22"/>
          <w:lang w:val="sr-Latn-ME"/>
        </w:rPr>
        <w:t>nedjelji</w:t>
      </w:r>
      <w:r w:rsidRPr="002041DF">
        <w:rPr>
          <w:sz w:val="22"/>
          <w:szCs w:val="22"/>
          <w:lang w:val="sr-Latn-ME"/>
        </w:rPr>
        <w:t xml:space="preserve"> ispitivanja početne terapije UNITI-1 i UNITI-2 (476 pacijenta) ušli su u nerandomizovani</w:t>
      </w:r>
      <w:r w:rsidR="003E0F36" w:rsidRPr="002041DF">
        <w:rPr>
          <w:sz w:val="22"/>
          <w:szCs w:val="22"/>
          <w:lang w:val="sr-Latn-ME"/>
        </w:rPr>
        <w:t xml:space="preserve"> dio </w:t>
      </w:r>
      <w:r w:rsidRPr="002041DF">
        <w:rPr>
          <w:sz w:val="22"/>
          <w:szCs w:val="22"/>
          <w:lang w:val="sr-Latn-ME"/>
        </w:rPr>
        <w:t xml:space="preserve">ispitivanja terapije održavanja (IM-UNITI) i tada su primili 90 mg ustekinumaba supkutanom injekcijom. Osam </w:t>
      </w:r>
      <w:r w:rsidR="004372C4" w:rsidRPr="002041DF">
        <w:rPr>
          <w:sz w:val="22"/>
          <w:szCs w:val="22"/>
          <w:lang w:val="sr-Latn-ME"/>
        </w:rPr>
        <w:t>nedjelja</w:t>
      </w:r>
      <w:r w:rsidRPr="002041DF">
        <w:rPr>
          <w:sz w:val="22"/>
          <w:szCs w:val="22"/>
          <w:lang w:val="sr-Latn-ME"/>
        </w:rPr>
        <w:t xml:space="preserve"> kasnije, 50,5% pacijenata postiglo je klinički odgovor i nastavilo je primati dozu održavanja svakih 8 </w:t>
      </w:r>
      <w:r w:rsidR="004372C4" w:rsidRPr="002041DF">
        <w:rPr>
          <w:sz w:val="22"/>
          <w:szCs w:val="22"/>
          <w:lang w:val="sr-Latn-ME"/>
        </w:rPr>
        <w:t>nedjelja</w:t>
      </w:r>
      <w:r w:rsidRPr="002041DF">
        <w:rPr>
          <w:sz w:val="22"/>
          <w:szCs w:val="22"/>
          <w:lang w:val="sr-Latn-ME"/>
        </w:rPr>
        <w:t xml:space="preserve">; među tim pacijentima sa kontinuiranim doziranjem održavanja, većina je zadržala odgovor (68,1%) i postiglo je remisiju (50,2%) u 44. </w:t>
      </w:r>
      <w:r w:rsidR="004372C4" w:rsidRPr="002041DF">
        <w:rPr>
          <w:sz w:val="22"/>
          <w:szCs w:val="22"/>
          <w:lang w:val="sr-Latn-ME"/>
        </w:rPr>
        <w:t>nedjelji</w:t>
      </w:r>
      <w:r w:rsidRPr="002041DF">
        <w:rPr>
          <w:sz w:val="22"/>
          <w:szCs w:val="22"/>
          <w:lang w:val="sr-Latn-ME"/>
        </w:rPr>
        <w:t xml:space="preserve">, u procentima koji su slični pacijentima koji su inicijalno odgovorili na uvođenje ustekinumaba. </w:t>
      </w:r>
    </w:p>
    <w:p w14:paraId="52E74BF5" w14:textId="77777777" w:rsidR="00C36D57" w:rsidRPr="002041DF" w:rsidRDefault="00C36D57" w:rsidP="002041DF">
      <w:pPr>
        <w:widowControl w:val="0"/>
        <w:tabs>
          <w:tab w:val="left" w:pos="2808"/>
          <w:tab w:val="left" w:pos="9000"/>
        </w:tabs>
        <w:jc w:val="both"/>
        <w:rPr>
          <w:sz w:val="22"/>
          <w:szCs w:val="22"/>
          <w:lang w:val="sr-Latn-ME"/>
        </w:rPr>
      </w:pPr>
    </w:p>
    <w:p w14:paraId="0E59D6D1" w14:textId="3CE50913" w:rsidR="00C36D57" w:rsidRPr="002041DF" w:rsidRDefault="00C36D57" w:rsidP="002041DF">
      <w:pPr>
        <w:widowControl w:val="0"/>
        <w:tabs>
          <w:tab w:val="left" w:pos="2808"/>
          <w:tab w:val="left" w:pos="9000"/>
        </w:tabs>
        <w:jc w:val="both"/>
        <w:rPr>
          <w:sz w:val="22"/>
          <w:szCs w:val="22"/>
          <w:lang w:val="sr-Latn-ME"/>
        </w:rPr>
      </w:pPr>
      <w:r w:rsidRPr="002041DF">
        <w:rPr>
          <w:sz w:val="22"/>
          <w:szCs w:val="22"/>
          <w:lang w:val="sr-Latn-ME"/>
        </w:rPr>
        <w:t xml:space="preserve">Od 131 pacijenta koji su odgovorili na uvođenje ustekinumaba i koji su bili randomizovani u placebo grupu na početku ispitivanja terapije održavanja, njih 51 je naknadno izgubilo odgovor i primalo 90 mg ustekinumaba supkutano svakih 8 </w:t>
      </w:r>
      <w:r w:rsidR="004372C4" w:rsidRPr="002041DF">
        <w:rPr>
          <w:sz w:val="22"/>
          <w:szCs w:val="22"/>
          <w:lang w:val="sr-Latn-ME"/>
        </w:rPr>
        <w:t>nedjelja</w:t>
      </w:r>
      <w:r w:rsidRPr="002041DF">
        <w:rPr>
          <w:sz w:val="22"/>
          <w:szCs w:val="22"/>
          <w:lang w:val="sr-Latn-ME"/>
        </w:rPr>
        <w:t xml:space="preserve">. Većina pacijenata koji su izgubili odgovor i koji su ponovo nastavili s ustekinumabom, primili su to tokom 24 </w:t>
      </w:r>
      <w:r w:rsidR="004372C4" w:rsidRPr="002041DF">
        <w:rPr>
          <w:sz w:val="22"/>
          <w:szCs w:val="22"/>
          <w:lang w:val="sr-Latn-ME"/>
        </w:rPr>
        <w:t>nedjelje</w:t>
      </w:r>
      <w:r w:rsidRPr="002041DF">
        <w:rPr>
          <w:sz w:val="22"/>
          <w:szCs w:val="22"/>
          <w:lang w:val="sr-Latn-ME"/>
        </w:rPr>
        <w:t xml:space="preserve"> od uvođenja infuzije. Od tih 51 pacijenta, 70,6% je postiglo klinički odgovor i 39,2% je postiglo kliničku remisiju 16 </w:t>
      </w:r>
      <w:r w:rsidR="004372C4" w:rsidRPr="002041DF">
        <w:rPr>
          <w:sz w:val="22"/>
          <w:szCs w:val="22"/>
          <w:lang w:val="sr-Latn-ME"/>
        </w:rPr>
        <w:t>nedjelja</w:t>
      </w:r>
      <w:r w:rsidRPr="002041DF">
        <w:rPr>
          <w:sz w:val="22"/>
          <w:szCs w:val="22"/>
          <w:lang w:val="sr-Latn-ME"/>
        </w:rPr>
        <w:t xml:space="preserve"> nakon primanja prve supkutane doze ustekinumaba. </w:t>
      </w:r>
    </w:p>
    <w:p w14:paraId="2792B71D" w14:textId="77777777" w:rsidR="00C36D57" w:rsidRPr="002041DF" w:rsidRDefault="00C36D57" w:rsidP="002041DF">
      <w:pPr>
        <w:widowControl w:val="0"/>
        <w:tabs>
          <w:tab w:val="left" w:pos="2808"/>
          <w:tab w:val="left" w:pos="9000"/>
        </w:tabs>
        <w:jc w:val="both"/>
        <w:rPr>
          <w:sz w:val="22"/>
          <w:szCs w:val="22"/>
          <w:lang w:val="sr-Latn-ME"/>
        </w:rPr>
      </w:pPr>
      <w:bookmarkStart w:id="17" w:name="_Hlk506990928"/>
    </w:p>
    <w:bookmarkEnd w:id="17"/>
    <w:p w14:paraId="4287AD4D" w14:textId="54A8FB40" w:rsidR="00C36D57" w:rsidRPr="002041DF" w:rsidRDefault="00C36D57" w:rsidP="002041DF">
      <w:pPr>
        <w:widowControl w:val="0"/>
        <w:tabs>
          <w:tab w:val="left" w:pos="2808"/>
          <w:tab w:val="left" w:pos="9000"/>
        </w:tabs>
        <w:jc w:val="both"/>
        <w:rPr>
          <w:sz w:val="22"/>
          <w:szCs w:val="22"/>
          <w:lang w:val="sr-Latn-ME"/>
        </w:rPr>
      </w:pPr>
      <w:r w:rsidRPr="002041DF">
        <w:rPr>
          <w:sz w:val="22"/>
          <w:szCs w:val="22"/>
          <w:lang w:val="sr-Latn-ME"/>
        </w:rPr>
        <w:t xml:space="preserve">U IM-UNITI, pacijentima koji su bili u studiji tokom 44 </w:t>
      </w:r>
      <w:r w:rsidR="004372C4" w:rsidRPr="002041DF">
        <w:rPr>
          <w:sz w:val="22"/>
          <w:szCs w:val="22"/>
          <w:lang w:val="sr-Latn-ME"/>
        </w:rPr>
        <w:t>nedjelje</w:t>
      </w:r>
      <w:r w:rsidRPr="002041DF">
        <w:rPr>
          <w:sz w:val="22"/>
          <w:szCs w:val="22"/>
          <w:lang w:val="sr-Latn-ME"/>
        </w:rPr>
        <w:t xml:space="preserve">, bilo je omogućeno da nastave sa terapijom tokom produženja studije. Među </w:t>
      </w:r>
      <w:r w:rsidR="00840129" w:rsidRPr="002041DF">
        <w:rPr>
          <w:sz w:val="22"/>
          <w:szCs w:val="22"/>
          <w:lang w:val="sr-Latn-ME"/>
        </w:rPr>
        <w:t xml:space="preserve">567 </w:t>
      </w:r>
      <w:r w:rsidRPr="002041DF">
        <w:rPr>
          <w:sz w:val="22"/>
          <w:szCs w:val="22"/>
          <w:lang w:val="sr-Latn-ME"/>
        </w:rPr>
        <w:t xml:space="preserve">pacijenata koji su bili uključeni u produžetak studije i koji su bili </w:t>
      </w:r>
      <w:r w:rsidR="00891C9B" w:rsidRPr="002041DF">
        <w:rPr>
          <w:sz w:val="22"/>
          <w:szCs w:val="22"/>
          <w:lang w:val="sr-Latn-ME"/>
        </w:rPr>
        <w:t>liječen</w:t>
      </w:r>
      <w:r w:rsidRPr="002041DF">
        <w:rPr>
          <w:sz w:val="22"/>
          <w:szCs w:val="22"/>
          <w:lang w:val="sr-Latn-ME"/>
        </w:rPr>
        <w:t>i</w:t>
      </w:r>
      <w:r w:rsidR="00840129" w:rsidRPr="002041DF">
        <w:rPr>
          <w:sz w:val="22"/>
          <w:szCs w:val="22"/>
          <w:lang w:val="sr-Latn-ME"/>
        </w:rPr>
        <w:t xml:space="preserve"> ustekinumabom</w:t>
      </w:r>
      <w:r w:rsidRPr="002041DF">
        <w:rPr>
          <w:sz w:val="22"/>
          <w:szCs w:val="22"/>
          <w:lang w:val="sr-Latn-ME"/>
        </w:rPr>
        <w:t xml:space="preserve">, klinička remisija i odgovor su se održavali kroz 252 </w:t>
      </w:r>
      <w:r w:rsidR="004372C4" w:rsidRPr="002041DF">
        <w:rPr>
          <w:sz w:val="22"/>
          <w:szCs w:val="22"/>
          <w:lang w:val="sr-Latn-ME"/>
        </w:rPr>
        <w:t>nedjelje</w:t>
      </w:r>
      <w:r w:rsidRPr="002041DF">
        <w:rPr>
          <w:sz w:val="22"/>
          <w:szCs w:val="22"/>
          <w:lang w:val="sr-Latn-ME"/>
        </w:rPr>
        <w:t xml:space="preserve"> u ob</w:t>
      </w:r>
      <w:r w:rsidR="003E0F36" w:rsidRPr="002041DF">
        <w:rPr>
          <w:sz w:val="22"/>
          <w:szCs w:val="22"/>
          <w:lang w:val="sr-Latn-ME"/>
        </w:rPr>
        <w:t>j</w:t>
      </w:r>
      <w:r w:rsidRPr="002041DF">
        <w:rPr>
          <w:sz w:val="22"/>
          <w:szCs w:val="22"/>
          <w:lang w:val="sr-Latn-ME"/>
        </w:rPr>
        <w:t>e grupe pacijenata i to u grupi kod koje je prethodna TNF terapija bila bezusp</w:t>
      </w:r>
      <w:r w:rsidR="003E0F36" w:rsidRPr="002041DF">
        <w:rPr>
          <w:sz w:val="22"/>
          <w:szCs w:val="22"/>
          <w:lang w:val="sr-Latn-ME"/>
        </w:rPr>
        <w:t>j</w:t>
      </w:r>
      <w:r w:rsidRPr="002041DF">
        <w:rPr>
          <w:sz w:val="22"/>
          <w:szCs w:val="22"/>
          <w:lang w:val="sr-Latn-ME"/>
        </w:rPr>
        <w:t>ešna i u grupi pacijenata koji</w:t>
      </w:r>
      <w:r w:rsidR="00E50471" w:rsidRPr="002041DF">
        <w:rPr>
          <w:sz w:val="22"/>
          <w:szCs w:val="22"/>
          <w:lang w:val="sr-Latn-ME"/>
        </w:rPr>
        <w:t xml:space="preserve"> nijesu </w:t>
      </w:r>
      <w:r w:rsidRPr="002041DF">
        <w:rPr>
          <w:sz w:val="22"/>
          <w:szCs w:val="22"/>
          <w:lang w:val="sr-Latn-ME"/>
        </w:rPr>
        <w:t xml:space="preserve">odreagovali na konvencionalnu terapiju. </w:t>
      </w:r>
    </w:p>
    <w:p w14:paraId="6A102DAD" w14:textId="77777777" w:rsidR="00C36D57" w:rsidRPr="002041DF" w:rsidRDefault="00C36D57" w:rsidP="002041DF">
      <w:pPr>
        <w:widowControl w:val="0"/>
        <w:tabs>
          <w:tab w:val="left" w:pos="2808"/>
          <w:tab w:val="left" w:pos="9000"/>
        </w:tabs>
        <w:jc w:val="both"/>
        <w:rPr>
          <w:sz w:val="22"/>
          <w:szCs w:val="22"/>
          <w:lang w:val="sr-Latn-ME"/>
        </w:rPr>
      </w:pPr>
    </w:p>
    <w:p w14:paraId="09B5235D" w14:textId="68B9E34B" w:rsidR="00C36D57" w:rsidRPr="002041DF" w:rsidRDefault="00C36D57" w:rsidP="002041DF">
      <w:pPr>
        <w:widowControl w:val="0"/>
        <w:tabs>
          <w:tab w:val="left" w:pos="2808"/>
          <w:tab w:val="left" w:pos="9000"/>
        </w:tabs>
        <w:jc w:val="both"/>
        <w:rPr>
          <w:i/>
          <w:sz w:val="22"/>
          <w:szCs w:val="22"/>
          <w:lang w:val="sr-Latn-ME"/>
        </w:rPr>
      </w:pPr>
      <w:r w:rsidRPr="002041DF">
        <w:rPr>
          <w:sz w:val="22"/>
          <w:szCs w:val="22"/>
          <w:lang w:val="sr-Latn-ME"/>
        </w:rPr>
        <w:t>U ovom produžetku kliničkog ispitvanja u trajanju od 5 godina</w:t>
      </w:r>
      <w:r w:rsidR="00E50471" w:rsidRPr="002041DF">
        <w:rPr>
          <w:sz w:val="22"/>
          <w:szCs w:val="22"/>
          <w:lang w:val="sr-Latn-ME"/>
        </w:rPr>
        <w:t xml:space="preserve"> nijesu </w:t>
      </w:r>
      <w:r w:rsidRPr="002041DF">
        <w:rPr>
          <w:sz w:val="22"/>
          <w:szCs w:val="22"/>
          <w:lang w:val="sr-Latn-ME"/>
        </w:rPr>
        <w:t xml:space="preserve">utvrđeni nikakvi novi signali vezani </w:t>
      </w:r>
      <w:r w:rsidRPr="002041DF">
        <w:rPr>
          <w:sz w:val="22"/>
          <w:szCs w:val="22"/>
          <w:lang w:val="sr-Latn-ME"/>
        </w:rPr>
        <w:lastRenderedPageBreak/>
        <w:t>za bezb</w:t>
      </w:r>
      <w:r w:rsidR="003E0F36" w:rsidRPr="002041DF">
        <w:rPr>
          <w:sz w:val="22"/>
          <w:szCs w:val="22"/>
          <w:lang w:val="sr-Latn-ME"/>
        </w:rPr>
        <w:t>j</w:t>
      </w:r>
      <w:r w:rsidRPr="002041DF">
        <w:rPr>
          <w:sz w:val="22"/>
          <w:szCs w:val="22"/>
          <w:lang w:val="sr-Latn-ME"/>
        </w:rPr>
        <w:t>ednost prim</w:t>
      </w:r>
      <w:r w:rsidR="003E0F36" w:rsidRPr="002041DF">
        <w:rPr>
          <w:sz w:val="22"/>
          <w:szCs w:val="22"/>
          <w:lang w:val="sr-Latn-ME"/>
        </w:rPr>
        <w:t>j</w:t>
      </w:r>
      <w:r w:rsidRPr="002041DF">
        <w:rPr>
          <w:sz w:val="22"/>
          <w:szCs w:val="22"/>
          <w:lang w:val="sr-Latn-ME"/>
        </w:rPr>
        <w:t>ene</w:t>
      </w:r>
      <w:r w:rsidR="00A35D07" w:rsidRPr="002041DF">
        <w:rPr>
          <w:sz w:val="22"/>
          <w:szCs w:val="22"/>
          <w:lang w:val="sr-Latn-ME"/>
        </w:rPr>
        <w:t xml:space="preserve"> lijeka </w:t>
      </w:r>
      <w:r w:rsidRPr="002041DF">
        <w:rPr>
          <w:sz w:val="22"/>
          <w:szCs w:val="22"/>
          <w:lang w:val="sr-Latn-ME"/>
        </w:rPr>
        <w:t>kod pacijenata sa Kronovom bolesti.</w:t>
      </w:r>
    </w:p>
    <w:p w14:paraId="051A4E47" w14:textId="77777777" w:rsidR="00C36D57" w:rsidRPr="002041DF" w:rsidRDefault="00C36D57" w:rsidP="002041DF">
      <w:pPr>
        <w:widowControl w:val="0"/>
        <w:tabs>
          <w:tab w:val="left" w:pos="2808"/>
          <w:tab w:val="left" w:pos="9000"/>
        </w:tabs>
        <w:jc w:val="both"/>
        <w:rPr>
          <w:i/>
          <w:sz w:val="22"/>
          <w:szCs w:val="22"/>
          <w:lang w:val="sr-Latn-ME"/>
        </w:rPr>
      </w:pPr>
    </w:p>
    <w:p w14:paraId="5D39A2B4" w14:textId="77777777" w:rsidR="00C36D57" w:rsidRPr="002041DF" w:rsidRDefault="00C36D57" w:rsidP="002041DF">
      <w:pPr>
        <w:widowControl w:val="0"/>
        <w:tabs>
          <w:tab w:val="left" w:pos="2808"/>
          <w:tab w:val="left" w:pos="9000"/>
        </w:tabs>
        <w:jc w:val="both"/>
        <w:rPr>
          <w:i/>
          <w:sz w:val="22"/>
          <w:szCs w:val="22"/>
          <w:lang w:val="sr-Latn-ME"/>
        </w:rPr>
      </w:pPr>
      <w:r w:rsidRPr="002041DF">
        <w:rPr>
          <w:i/>
          <w:sz w:val="22"/>
          <w:szCs w:val="22"/>
          <w:lang w:val="sr-Latn-ME"/>
        </w:rPr>
        <w:t xml:space="preserve">Endoskopija </w:t>
      </w:r>
    </w:p>
    <w:p w14:paraId="0723B3FA" w14:textId="75587850" w:rsidR="00C36D57" w:rsidRPr="002041DF" w:rsidRDefault="00C36D57" w:rsidP="002041DF">
      <w:pPr>
        <w:widowControl w:val="0"/>
        <w:tabs>
          <w:tab w:val="left" w:pos="2808"/>
          <w:tab w:val="left" w:pos="9000"/>
        </w:tabs>
        <w:jc w:val="both"/>
        <w:rPr>
          <w:sz w:val="22"/>
          <w:szCs w:val="22"/>
          <w:lang w:val="sr-Latn-ME"/>
        </w:rPr>
      </w:pPr>
      <w:r w:rsidRPr="002041DF">
        <w:rPr>
          <w:sz w:val="22"/>
          <w:szCs w:val="22"/>
          <w:lang w:val="sr-Latn-ME"/>
        </w:rPr>
        <w:t>Endoskopski izgled sluznice bio je oc</w:t>
      </w:r>
      <w:r w:rsidR="003E0F36" w:rsidRPr="002041DF">
        <w:rPr>
          <w:sz w:val="22"/>
          <w:szCs w:val="22"/>
          <w:lang w:val="sr-Latn-ME"/>
        </w:rPr>
        <w:t>j</w:t>
      </w:r>
      <w:r w:rsidRPr="002041DF">
        <w:rPr>
          <w:sz w:val="22"/>
          <w:szCs w:val="22"/>
          <w:lang w:val="sr-Latn-ME"/>
        </w:rPr>
        <w:t>enjivan kod 252 pacijenta u podispitivanju sa početnom vr</w:t>
      </w:r>
      <w:r w:rsidR="003E0F36" w:rsidRPr="002041DF">
        <w:rPr>
          <w:sz w:val="22"/>
          <w:szCs w:val="22"/>
          <w:lang w:val="sr-Latn-ME"/>
        </w:rPr>
        <w:t>ij</w:t>
      </w:r>
      <w:r w:rsidRPr="002041DF">
        <w:rPr>
          <w:sz w:val="22"/>
          <w:szCs w:val="22"/>
          <w:lang w:val="sr-Latn-ME"/>
        </w:rPr>
        <w:t>ednosti endoskopski utvrđene aktivnosti bolesti koja je zadovoljavala uslove. Primarni parametar praćenja ishoda bila je prom</w:t>
      </w:r>
      <w:r w:rsidR="003E0F36" w:rsidRPr="002041DF">
        <w:rPr>
          <w:sz w:val="22"/>
          <w:szCs w:val="22"/>
          <w:lang w:val="sr-Latn-ME"/>
        </w:rPr>
        <w:t>j</w:t>
      </w:r>
      <w:r w:rsidRPr="002041DF">
        <w:rPr>
          <w:sz w:val="22"/>
          <w:szCs w:val="22"/>
          <w:lang w:val="sr-Latn-ME"/>
        </w:rPr>
        <w:t>ena od početne vr</w:t>
      </w:r>
      <w:r w:rsidR="003E0F36" w:rsidRPr="002041DF">
        <w:rPr>
          <w:sz w:val="22"/>
          <w:szCs w:val="22"/>
          <w:lang w:val="sr-Latn-ME"/>
        </w:rPr>
        <w:t>ij</w:t>
      </w:r>
      <w:r w:rsidRPr="002041DF">
        <w:rPr>
          <w:sz w:val="22"/>
          <w:szCs w:val="22"/>
          <w:lang w:val="sr-Latn-ME"/>
        </w:rPr>
        <w:t xml:space="preserve">ednosti u pojednostavljenom skoru težine endoskopski utvrđene bolesti za Kronovu bolest (engl. </w:t>
      </w:r>
      <w:r w:rsidRPr="002041DF">
        <w:rPr>
          <w:i/>
          <w:sz w:val="22"/>
          <w:szCs w:val="22"/>
          <w:lang w:val="sr-Latn-ME"/>
        </w:rPr>
        <w:t>Simplified Endoscopic Disease Severity Score for Crohn’s Disease</w:t>
      </w:r>
      <w:r w:rsidRPr="002041DF">
        <w:rPr>
          <w:sz w:val="22"/>
          <w:szCs w:val="22"/>
          <w:lang w:val="sr-Latn-ME"/>
        </w:rPr>
        <w:t xml:space="preserve">, SES-CD), kompozitni skor 5 ileo-kolonalnih segmenata na prisustvo/veličinu ulkusa, procenat površine sluznice prekriven ulkusima, procenat površine sluznice zahvaćen bilo kakvim drugim lezijama i prisustvo/tip suženja/striktura. U 8. </w:t>
      </w:r>
      <w:r w:rsidR="004372C4" w:rsidRPr="002041DF">
        <w:rPr>
          <w:sz w:val="22"/>
          <w:szCs w:val="22"/>
          <w:lang w:val="sr-Latn-ME"/>
        </w:rPr>
        <w:t>nedjelji</w:t>
      </w:r>
      <w:r w:rsidRPr="002041DF">
        <w:rPr>
          <w:sz w:val="22"/>
          <w:szCs w:val="22"/>
          <w:lang w:val="sr-Latn-ME"/>
        </w:rPr>
        <w:t>, nakon jedne intravenske početne doze, prom</w:t>
      </w:r>
      <w:r w:rsidR="003E0F36" w:rsidRPr="002041DF">
        <w:rPr>
          <w:sz w:val="22"/>
          <w:szCs w:val="22"/>
          <w:lang w:val="sr-Latn-ME"/>
        </w:rPr>
        <w:t>j</w:t>
      </w:r>
      <w:r w:rsidRPr="002041DF">
        <w:rPr>
          <w:sz w:val="22"/>
          <w:szCs w:val="22"/>
          <w:lang w:val="sr-Latn-ME"/>
        </w:rPr>
        <w:t>ena u SES-CD skoru bila je veća u grupi sa ustekinumabom (n = 155, srednja</w:t>
      </w:r>
      <w:r w:rsidR="0038273D" w:rsidRPr="002041DF">
        <w:rPr>
          <w:sz w:val="22"/>
          <w:szCs w:val="22"/>
          <w:lang w:val="sr-Latn-ME"/>
        </w:rPr>
        <w:t xml:space="preserve"> vrijednost </w:t>
      </w:r>
      <w:r w:rsidRPr="002041DF">
        <w:rPr>
          <w:sz w:val="22"/>
          <w:szCs w:val="22"/>
          <w:lang w:val="sr-Latn-ME"/>
        </w:rPr>
        <w:t>prom</w:t>
      </w:r>
      <w:r w:rsidR="003E0F36" w:rsidRPr="002041DF">
        <w:rPr>
          <w:sz w:val="22"/>
          <w:szCs w:val="22"/>
          <w:lang w:val="sr-Latn-ME"/>
        </w:rPr>
        <w:t>j</w:t>
      </w:r>
      <w:r w:rsidRPr="002041DF">
        <w:rPr>
          <w:sz w:val="22"/>
          <w:szCs w:val="22"/>
          <w:lang w:val="sr-Latn-ME"/>
        </w:rPr>
        <w:t>ene = -2,8) nego u placebo grupi (n = 97, srednja</w:t>
      </w:r>
      <w:r w:rsidR="0038273D" w:rsidRPr="002041DF">
        <w:rPr>
          <w:sz w:val="22"/>
          <w:szCs w:val="22"/>
          <w:lang w:val="sr-Latn-ME"/>
        </w:rPr>
        <w:t xml:space="preserve"> vrijednost </w:t>
      </w:r>
      <w:r w:rsidRPr="002041DF">
        <w:rPr>
          <w:sz w:val="22"/>
          <w:szCs w:val="22"/>
          <w:lang w:val="sr-Latn-ME"/>
        </w:rPr>
        <w:t>prom</w:t>
      </w:r>
      <w:r w:rsidR="003E0F36" w:rsidRPr="002041DF">
        <w:rPr>
          <w:sz w:val="22"/>
          <w:szCs w:val="22"/>
          <w:lang w:val="sr-Latn-ME"/>
        </w:rPr>
        <w:t>j</w:t>
      </w:r>
      <w:r w:rsidRPr="002041DF">
        <w:rPr>
          <w:sz w:val="22"/>
          <w:szCs w:val="22"/>
          <w:lang w:val="sr-Latn-ME"/>
        </w:rPr>
        <w:t xml:space="preserve">ena = -0,7, p = 0,012). </w:t>
      </w:r>
    </w:p>
    <w:p w14:paraId="7FBC3676" w14:textId="77777777" w:rsidR="00C36D57" w:rsidRPr="002041DF" w:rsidRDefault="00C36D57" w:rsidP="002041DF">
      <w:pPr>
        <w:widowControl w:val="0"/>
        <w:tabs>
          <w:tab w:val="left" w:pos="2808"/>
          <w:tab w:val="left" w:pos="9000"/>
        </w:tabs>
        <w:jc w:val="both"/>
        <w:rPr>
          <w:sz w:val="22"/>
          <w:szCs w:val="22"/>
          <w:lang w:val="sr-Latn-ME"/>
        </w:rPr>
      </w:pPr>
    </w:p>
    <w:p w14:paraId="7282595B" w14:textId="77777777" w:rsidR="00C36D57" w:rsidRPr="002041DF" w:rsidRDefault="00C36D57" w:rsidP="002041DF">
      <w:pPr>
        <w:widowControl w:val="0"/>
        <w:tabs>
          <w:tab w:val="left" w:pos="2808"/>
          <w:tab w:val="left" w:pos="9000"/>
          <w:tab w:val="left" w:pos="9540"/>
        </w:tabs>
        <w:jc w:val="both"/>
        <w:rPr>
          <w:sz w:val="22"/>
          <w:szCs w:val="22"/>
          <w:lang w:val="sr-Latn-ME"/>
        </w:rPr>
      </w:pPr>
      <w:r w:rsidRPr="002041DF">
        <w:rPr>
          <w:i/>
          <w:sz w:val="22"/>
          <w:szCs w:val="22"/>
          <w:lang w:val="sr-Latn-ME"/>
        </w:rPr>
        <w:t xml:space="preserve">Odgovor kod pacijenata sa fistulama </w:t>
      </w:r>
    </w:p>
    <w:p w14:paraId="0DAAE814" w14:textId="24373E7C" w:rsidR="00C36D57" w:rsidRPr="002041DF" w:rsidRDefault="00C36D57" w:rsidP="002041DF">
      <w:pPr>
        <w:widowControl w:val="0"/>
        <w:tabs>
          <w:tab w:val="left" w:pos="2808"/>
          <w:tab w:val="left" w:pos="9000"/>
          <w:tab w:val="left" w:pos="9540"/>
        </w:tabs>
        <w:jc w:val="both"/>
        <w:rPr>
          <w:sz w:val="22"/>
          <w:szCs w:val="22"/>
          <w:lang w:val="sr-Latn-ME"/>
        </w:rPr>
      </w:pPr>
      <w:r w:rsidRPr="002041DF">
        <w:rPr>
          <w:sz w:val="22"/>
          <w:szCs w:val="22"/>
          <w:lang w:val="sr-Latn-ME"/>
        </w:rPr>
        <w:t>U podgrupi pacijenata koji su na osnovnoj pos</w:t>
      </w:r>
      <w:r w:rsidR="003E0F36" w:rsidRPr="002041DF">
        <w:rPr>
          <w:sz w:val="22"/>
          <w:szCs w:val="22"/>
          <w:lang w:val="sr-Latn-ME"/>
        </w:rPr>
        <w:t>j</w:t>
      </w:r>
      <w:r w:rsidRPr="002041DF">
        <w:rPr>
          <w:sz w:val="22"/>
          <w:szCs w:val="22"/>
          <w:lang w:val="sr-Latn-ME"/>
        </w:rPr>
        <w:t xml:space="preserve">eti u studiji imali fistule koje se dreniraju (8,8%; n = 26), 12/15 (80%) pacijenata </w:t>
      </w:r>
      <w:r w:rsidR="00891C9B" w:rsidRPr="002041DF">
        <w:rPr>
          <w:sz w:val="22"/>
          <w:szCs w:val="22"/>
          <w:lang w:val="sr-Latn-ME"/>
        </w:rPr>
        <w:t>liječen</w:t>
      </w:r>
      <w:r w:rsidRPr="002041DF">
        <w:rPr>
          <w:sz w:val="22"/>
          <w:szCs w:val="22"/>
          <w:lang w:val="sr-Latn-ME"/>
        </w:rPr>
        <w:t xml:space="preserve">ih ustekinumabom tokom 44 </w:t>
      </w:r>
      <w:r w:rsidR="004372C4" w:rsidRPr="002041DF">
        <w:rPr>
          <w:sz w:val="22"/>
          <w:szCs w:val="22"/>
          <w:lang w:val="sr-Latn-ME"/>
        </w:rPr>
        <w:t>nedjelje</w:t>
      </w:r>
      <w:r w:rsidRPr="002041DF">
        <w:rPr>
          <w:sz w:val="22"/>
          <w:szCs w:val="22"/>
          <w:lang w:val="sr-Latn-ME"/>
        </w:rPr>
        <w:t xml:space="preserve"> postiglo je klinički odgovor koji se ogleda u smanjenju broja fistula koje se dreniraju (definisano kao smanjenje broja fistula koje se dreniraju za ≥ 50% u odnosu na početno stanje na početku indukcione studije) u poređenju sa 5/11 (45,5%) izloženih placebu. </w:t>
      </w:r>
    </w:p>
    <w:p w14:paraId="70961005" w14:textId="77777777" w:rsidR="00C36D57" w:rsidRPr="002041DF" w:rsidRDefault="00C36D57" w:rsidP="002041DF">
      <w:pPr>
        <w:widowControl w:val="0"/>
        <w:tabs>
          <w:tab w:val="left" w:pos="2808"/>
          <w:tab w:val="left" w:pos="9000"/>
          <w:tab w:val="left" w:pos="9540"/>
        </w:tabs>
        <w:jc w:val="both"/>
        <w:rPr>
          <w:sz w:val="22"/>
          <w:szCs w:val="22"/>
          <w:lang w:val="sr-Latn-ME"/>
        </w:rPr>
      </w:pPr>
    </w:p>
    <w:p w14:paraId="47F177F7" w14:textId="77777777" w:rsidR="00C36D57" w:rsidRPr="002041DF" w:rsidRDefault="00C36D57" w:rsidP="002041DF">
      <w:pPr>
        <w:widowControl w:val="0"/>
        <w:tabs>
          <w:tab w:val="left" w:pos="2808"/>
          <w:tab w:val="left" w:pos="9000"/>
          <w:tab w:val="left" w:pos="9540"/>
        </w:tabs>
        <w:jc w:val="both"/>
        <w:rPr>
          <w:i/>
          <w:sz w:val="22"/>
          <w:szCs w:val="22"/>
          <w:lang w:val="sr-Latn-ME"/>
        </w:rPr>
      </w:pPr>
      <w:r w:rsidRPr="002041DF">
        <w:rPr>
          <w:i/>
          <w:sz w:val="22"/>
          <w:szCs w:val="22"/>
          <w:lang w:val="sr-Latn-ME"/>
        </w:rPr>
        <w:t xml:space="preserve">Kvalitet života povezan sa zdravljem </w:t>
      </w:r>
    </w:p>
    <w:p w14:paraId="15942B28" w14:textId="79B0D4EA" w:rsidR="00C36D57" w:rsidRPr="002041DF" w:rsidRDefault="00C36D57" w:rsidP="002041DF">
      <w:pPr>
        <w:widowControl w:val="0"/>
        <w:tabs>
          <w:tab w:val="left" w:pos="2808"/>
          <w:tab w:val="left" w:pos="9000"/>
          <w:tab w:val="left" w:pos="9540"/>
        </w:tabs>
        <w:jc w:val="both"/>
        <w:rPr>
          <w:sz w:val="22"/>
          <w:szCs w:val="22"/>
          <w:lang w:val="sr-Latn-ME"/>
        </w:rPr>
      </w:pPr>
      <w:r w:rsidRPr="002041DF">
        <w:rPr>
          <w:sz w:val="22"/>
          <w:szCs w:val="22"/>
          <w:lang w:val="sr-Latn-ME"/>
        </w:rPr>
        <w:t>Kvalitet života povezan sa zdravljem bio je oc</w:t>
      </w:r>
      <w:r w:rsidR="003E0F36" w:rsidRPr="002041DF">
        <w:rPr>
          <w:sz w:val="22"/>
          <w:szCs w:val="22"/>
          <w:lang w:val="sr-Latn-ME"/>
        </w:rPr>
        <w:t>j</w:t>
      </w:r>
      <w:r w:rsidRPr="002041DF">
        <w:rPr>
          <w:sz w:val="22"/>
          <w:szCs w:val="22"/>
          <w:lang w:val="sr-Latn-ME"/>
        </w:rPr>
        <w:t>enjivan pomoću upitnika za proc</w:t>
      </w:r>
      <w:r w:rsidR="003E0F36" w:rsidRPr="002041DF">
        <w:rPr>
          <w:sz w:val="22"/>
          <w:szCs w:val="22"/>
          <w:lang w:val="sr-Latn-ME"/>
        </w:rPr>
        <w:t>j</w:t>
      </w:r>
      <w:r w:rsidRPr="002041DF">
        <w:rPr>
          <w:sz w:val="22"/>
          <w:szCs w:val="22"/>
          <w:lang w:val="sr-Latn-ME"/>
        </w:rPr>
        <w:t>enu kvaliteta života pacijenata sa infalmatornim bolestima cr</w:t>
      </w:r>
      <w:r w:rsidR="003E0F36" w:rsidRPr="002041DF">
        <w:rPr>
          <w:sz w:val="22"/>
          <w:szCs w:val="22"/>
          <w:lang w:val="sr-Latn-ME"/>
        </w:rPr>
        <w:t>ij</w:t>
      </w:r>
      <w:r w:rsidRPr="002041DF">
        <w:rPr>
          <w:sz w:val="22"/>
          <w:szCs w:val="22"/>
          <w:lang w:val="sr-Latn-ME"/>
        </w:rPr>
        <w:t xml:space="preserve">eva (engl. </w:t>
      </w:r>
      <w:r w:rsidRPr="002041DF">
        <w:rPr>
          <w:i/>
          <w:sz w:val="22"/>
          <w:szCs w:val="22"/>
          <w:lang w:val="sr-Latn-ME"/>
        </w:rPr>
        <w:t>Inflammatory Bowel Disease Questionnaire</w:t>
      </w:r>
      <w:r w:rsidRPr="002041DF">
        <w:rPr>
          <w:sz w:val="22"/>
          <w:szCs w:val="22"/>
          <w:lang w:val="sr-Latn-ME"/>
        </w:rPr>
        <w:t>, IBDQ) i SF-36 upitnika za proc</w:t>
      </w:r>
      <w:r w:rsidR="003E0F36" w:rsidRPr="002041DF">
        <w:rPr>
          <w:sz w:val="22"/>
          <w:szCs w:val="22"/>
          <w:lang w:val="sr-Latn-ME"/>
        </w:rPr>
        <w:t>j</w:t>
      </w:r>
      <w:r w:rsidRPr="002041DF">
        <w:rPr>
          <w:sz w:val="22"/>
          <w:szCs w:val="22"/>
          <w:lang w:val="sr-Latn-ME"/>
        </w:rPr>
        <w:t xml:space="preserve">enu zdravlja. U 8. </w:t>
      </w:r>
      <w:r w:rsidR="004372C4" w:rsidRPr="002041DF">
        <w:rPr>
          <w:sz w:val="22"/>
          <w:szCs w:val="22"/>
          <w:lang w:val="sr-Latn-ME"/>
        </w:rPr>
        <w:t>nedjelji</w:t>
      </w:r>
      <w:r w:rsidRPr="002041DF">
        <w:rPr>
          <w:sz w:val="22"/>
          <w:szCs w:val="22"/>
          <w:lang w:val="sr-Latn-ME"/>
        </w:rPr>
        <w:t xml:space="preserve">, pacijenti koji su primali ustekinumab pokazali su statistički značajno veće i klinički značajno poboljšanje ukupnog IBDQ skora i SF-36 ukupnog skora mentalne komponenete i u UNITI-1 i UNITI-2, i SF-36 ukupnog skora fizičke komponenete u UNITI-2, u poređenju sa placebom. Ova poboljšanja bila su uopšteno bolje održana kod pacijenata </w:t>
      </w:r>
      <w:r w:rsidR="00891C9B" w:rsidRPr="002041DF">
        <w:rPr>
          <w:sz w:val="22"/>
          <w:szCs w:val="22"/>
          <w:lang w:val="sr-Latn-ME"/>
        </w:rPr>
        <w:t>liječen</w:t>
      </w:r>
      <w:r w:rsidRPr="002041DF">
        <w:rPr>
          <w:sz w:val="22"/>
          <w:szCs w:val="22"/>
          <w:lang w:val="sr-Latn-ME"/>
        </w:rPr>
        <w:t xml:space="preserve">ih ustekinumabom u IM-UNITI ispitivanju do 44. </w:t>
      </w:r>
      <w:r w:rsidR="004372C4" w:rsidRPr="002041DF">
        <w:rPr>
          <w:sz w:val="22"/>
          <w:szCs w:val="22"/>
          <w:lang w:val="sr-Latn-ME"/>
        </w:rPr>
        <w:t>nedjelje</w:t>
      </w:r>
      <w:r w:rsidRPr="002041DF">
        <w:rPr>
          <w:sz w:val="22"/>
          <w:szCs w:val="22"/>
          <w:lang w:val="sr-Latn-ME"/>
        </w:rPr>
        <w:t xml:space="preserve">, u poređenju sa placebom. </w:t>
      </w:r>
      <w:bookmarkStart w:id="18" w:name="_Hlk506990945"/>
      <w:r w:rsidRPr="002041DF">
        <w:rPr>
          <w:sz w:val="22"/>
          <w:szCs w:val="22"/>
          <w:lang w:val="sr-Latn-ME"/>
        </w:rPr>
        <w:t xml:space="preserve">Poboljšanje kvaliteta života povezanog sa zdravljem se održavao tokom produžetka studije tokom 252 </w:t>
      </w:r>
      <w:r w:rsidR="004372C4" w:rsidRPr="002041DF">
        <w:rPr>
          <w:sz w:val="22"/>
          <w:szCs w:val="22"/>
          <w:lang w:val="sr-Latn-ME"/>
        </w:rPr>
        <w:t>nedjelje</w:t>
      </w:r>
      <w:r w:rsidRPr="002041DF">
        <w:rPr>
          <w:sz w:val="22"/>
          <w:szCs w:val="22"/>
          <w:lang w:val="sr-Latn-ME"/>
        </w:rPr>
        <w:t>.</w:t>
      </w:r>
      <w:bookmarkEnd w:id="18"/>
    </w:p>
    <w:p w14:paraId="70484AA3" w14:textId="77777777" w:rsidR="00C36D57" w:rsidRPr="002041DF" w:rsidRDefault="00C36D57" w:rsidP="002041DF">
      <w:pPr>
        <w:widowControl w:val="0"/>
        <w:tabs>
          <w:tab w:val="left" w:pos="2808"/>
          <w:tab w:val="left" w:pos="9000"/>
          <w:tab w:val="left" w:pos="9540"/>
        </w:tabs>
        <w:jc w:val="both"/>
        <w:rPr>
          <w:sz w:val="22"/>
          <w:szCs w:val="22"/>
          <w:lang w:val="sr-Latn-ME"/>
        </w:rPr>
      </w:pPr>
    </w:p>
    <w:p w14:paraId="20643665" w14:textId="77777777" w:rsidR="00C36D57" w:rsidRPr="002041DF" w:rsidRDefault="00C36D57" w:rsidP="002041DF">
      <w:pPr>
        <w:widowControl w:val="0"/>
        <w:jc w:val="both"/>
        <w:rPr>
          <w:sz w:val="22"/>
          <w:szCs w:val="22"/>
          <w:u w:val="single"/>
          <w:lang w:val="sr-Latn-ME"/>
        </w:rPr>
      </w:pPr>
      <w:r w:rsidRPr="002041DF">
        <w:rPr>
          <w:sz w:val="22"/>
          <w:szCs w:val="22"/>
          <w:u w:val="single"/>
          <w:lang w:val="sr-Latn-ME"/>
        </w:rPr>
        <w:t>Ulcerozni kolitis</w:t>
      </w:r>
    </w:p>
    <w:p w14:paraId="3F8778D0" w14:textId="1D4CB4D6" w:rsidR="00C36D57" w:rsidRPr="002041DF" w:rsidRDefault="00C36D57" w:rsidP="002041DF">
      <w:pPr>
        <w:widowControl w:val="0"/>
        <w:jc w:val="both"/>
        <w:rPr>
          <w:sz w:val="22"/>
          <w:szCs w:val="22"/>
          <w:lang w:val="sr-Latn-ME"/>
        </w:rPr>
      </w:pPr>
      <w:r w:rsidRPr="002041DF">
        <w:rPr>
          <w:sz w:val="22"/>
          <w:szCs w:val="22"/>
          <w:lang w:val="sr-Latn-ME"/>
        </w:rPr>
        <w:t>Bezb</w:t>
      </w:r>
      <w:r w:rsidR="003E0F36" w:rsidRPr="002041DF">
        <w:rPr>
          <w:sz w:val="22"/>
          <w:szCs w:val="22"/>
          <w:lang w:val="sr-Latn-ME"/>
        </w:rPr>
        <w:t>j</w:t>
      </w:r>
      <w:r w:rsidRPr="002041DF">
        <w:rPr>
          <w:sz w:val="22"/>
          <w:szCs w:val="22"/>
          <w:lang w:val="sr-Latn-ME"/>
        </w:rPr>
        <w:t>ednost i efikasnost ustekinumaba proc</w:t>
      </w:r>
      <w:r w:rsidR="003E0F36" w:rsidRPr="002041DF">
        <w:rPr>
          <w:sz w:val="22"/>
          <w:szCs w:val="22"/>
          <w:lang w:val="sr-Latn-ME"/>
        </w:rPr>
        <w:t>ij</w:t>
      </w:r>
      <w:r w:rsidRPr="002041DF">
        <w:rPr>
          <w:sz w:val="22"/>
          <w:szCs w:val="22"/>
          <w:lang w:val="sr-Latn-ME"/>
        </w:rPr>
        <w:t xml:space="preserve">enjena je u dva randomizovana, dvostruko </w:t>
      </w:r>
      <w:r w:rsidR="006A5AC5" w:rsidRPr="002041DF">
        <w:rPr>
          <w:sz w:val="22"/>
          <w:szCs w:val="22"/>
          <w:lang w:val="sr-Latn-ME"/>
        </w:rPr>
        <w:t>slijepa</w:t>
      </w:r>
      <w:r w:rsidRPr="002041DF">
        <w:rPr>
          <w:sz w:val="22"/>
          <w:szCs w:val="22"/>
          <w:lang w:val="sr-Latn-ME"/>
        </w:rPr>
        <w:t xml:space="preserve">, placebom kontrolisana multicentrična klinička ispitivanja kod odraslih pacijenata sa </w:t>
      </w:r>
      <w:r w:rsidR="00E50471" w:rsidRPr="002041DF">
        <w:rPr>
          <w:sz w:val="22"/>
          <w:szCs w:val="22"/>
          <w:lang w:val="sr-Latn-ME"/>
        </w:rPr>
        <w:t>umjeren</w:t>
      </w:r>
      <w:r w:rsidRPr="002041DF">
        <w:rPr>
          <w:sz w:val="22"/>
          <w:szCs w:val="22"/>
          <w:lang w:val="sr-Latn-ME"/>
        </w:rPr>
        <w:t>im do teškim aktivnim ulceroznim kolitisom (Mayo skor 6 do 12; endoskopski podskor ≥ 2). Klinički razvojni program sastojao se od jednog ispitivanja intravenske</w:t>
      </w:r>
      <w:r w:rsidR="00891C9B" w:rsidRPr="002041DF">
        <w:rPr>
          <w:sz w:val="22"/>
          <w:szCs w:val="22"/>
          <w:lang w:val="sr-Latn-ME"/>
        </w:rPr>
        <w:t xml:space="preserve"> primjene </w:t>
      </w:r>
      <w:r w:rsidRPr="002041DF">
        <w:rPr>
          <w:sz w:val="22"/>
          <w:szCs w:val="22"/>
          <w:lang w:val="sr-Latn-ME"/>
        </w:rPr>
        <w:t xml:space="preserve">indukcionog </w:t>
      </w:r>
      <w:r w:rsidR="00891C9B" w:rsidRPr="002041DF">
        <w:rPr>
          <w:sz w:val="22"/>
          <w:szCs w:val="22"/>
          <w:lang w:val="sr-Latn-ME"/>
        </w:rPr>
        <w:t>liječen</w:t>
      </w:r>
      <w:r w:rsidRPr="002041DF">
        <w:rPr>
          <w:sz w:val="22"/>
          <w:szCs w:val="22"/>
          <w:lang w:val="sr-Latn-ME"/>
        </w:rPr>
        <w:t>ja (UNIFI-I) u trajanju do 16 </w:t>
      </w:r>
      <w:r w:rsidR="004372C4" w:rsidRPr="002041DF">
        <w:rPr>
          <w:sz w:val="22"/>
          <w:szCs w:val="22"/>
          <w:lang w:val="sr-Latn-ME"/>
        </w:rPr>
        <w:t>nedjelja</w:t>
      </w:r>
      <w:r w:rsidRPr="002041DF">
        <w:rPr>
          <w:sz w:val="22"/>
          <w:szCs w:val="22"/>
          <w:lang w:val="sr-Latn-ME"/>
        </w:rPr>
        <w:t xml:space="preserve"> posle čega je sl</w:t>
      </w:r>
      <w:r w:rsidR="003E0F36" w:rsidRPr="002041DF">
        <w:rPr>
          <w:sz w:val="22"/>
          <w:szCs w:val="22"/>
          <w:lang w:val="sr-Latn-ME"/>
        </w:rPr>
        <w:t>ij</w:t>
      </w:r>
      <w:r w:rsidRPr="002041DF">
        <w:rPr>
          <w:sz w:val="22"/>
          <w:szCs w:val="22"/>
          <w:lang w:val="sr-Latn-ME"/>
        </w:rPr>
        <w:t>edilo ispitivanje su</w:t>
      </w:r>
      <w:r w:rsidR="00CA4519" w:rsidRPr="002041DF">
        <w:rPr>
          <w:sz w:val="22"/>
          <w:szCs w:val="22"/>
          <w:lang w:val="sr-Latn-ME"/>
        </w:rPr>
        <w:t>p</w:t>
      </w:r>
      <w:r w:rsidRPr="002041DF">
        <w:rPr>
          <w:sz w:val="22"/>
          <w:szCs w:val="22"/>
          <w:lang w:val="sr-Latn-ME"/>
        </w:rPr>
        <w:t>kutane</w:t>
      </w:r>
      <w:r w:rsidR="00891C9B" w:rsidRPr="002041DF">
        <w:rPr>
          <w:sz w:val="22"/>
          <w:szCs w:val="22"/>
          <w:lang w:val="sr-Latn-ME"/>
        </w:rPr>
        <w:t xml:space="preserve"> primjene </w:t>
      </w:r>
      <w:r w:rsidRPr="002041DF">
        <w:rPr>
          <w:sz w:val="22"/>
          <w:szCs w:val="22"/>
          <w:lang w:val="sr-Latn-ME"/>
        </w:rPr>
        <w:t xml:space="preserve">terapije održavanja u trajanju od 44 </w:t>
      </w:r>
      <w:r w:rsidR="004372C4" w:rsidRPr="002041DF">
        <w:rPr>
          <w:sz w:val="22"/>
          <w:szCs w:val="22"/>
          <w:lang w:val="sr-Latn-ME"/>
        </w:rPr>
        <w:t>nedjelje</w:t>
      </w:r>
      <w:r w:rsidRPr="002041DF">
        <w:rPr>
          <w:sz w:val="22"/>
          <w:szCs w:val="22"/>
          <w:lang w:val="sr-Latn-ME"/>
        </w:rPr>
        <w:t xml:space="preserve"> (UNIFI-M), što je ukupno predstavljalo najmanje 52 </w:t>
      </w:r>
      <w:r w:rsidR="004372C4" w:rsidRPr="002041DF">
        <w:rPr>
          <w:sz w:val="22"/>
          <w:szCs w:val="22"/>
          <w:lang w:val="sr-Latn-ME"/>
        </w:rPr>
        <w:t>nedjelje</w:t>
      </w:r>
      <w:r w:rsidRPr="002041DF">
        <w:rPr>
          <w:sz w:val="22"/>
          <w:szCs w:val="22"/>
          <w:lang w:val="sr-Latn-ME"/>
        </w:rPr>
        <w:t xml:space="preserve"> terapije.</w:t>
      </w:r>
    </w:p>
    <w:p w14:paraId="4B329F46" w14:textId="77777777" w:rsidR="00C36D57" w:rsidRPr="002041DF" w:rsidRDefault="00C36D57" w:rsidP="002041DF">
      <w:pPr>
        <w:widowControl w:val="0"/>
        <w:jc w:val="both"/>
        <w:rPr>
          <w:sz w:val="22"/>
          <w:szCs w:val="22"/>
          <w:lang w:val="sr-Latn-ME"/>
        </w:rPr>
      </w:pPr>
    </w:p>
    <w:p w14:paraId="701526DB" w14:textId="29F87D2B" w:rsidR="00C36D57" w:rsidRPr="002041DF" w:rsidRDefault="00C36D57" w:rsidP="002041DF">
      <w:pPr>
        <w:widowControl w:val="0"/>
        <w:jc w:val="both"/>
        <w:rPr>
          <w:sz w:val="22"/>
          <w:szCs w:val="22"/>
          <w:lang w:val="sr-Latn-ME"/>
        </w:rPr>
      </w:pPr>
      <w:r w:rsidRPr="002041DF">
        <w:rPr>
          <w:sz w:val="22"/>
          <w:szCs w:val="22"/>
          <w:lang w:val="sr-Latn-ME"/>
        </w:rPr>
        <w:t>Rezultati efikasnosti prikazani za UNIFI-I i UNIFI-M bazirali su se srednjoj proc</w:t>
      </w:r>
      <w:r w:rsidR="003E0F36" w:rsidRPr="002041DF">
        <w:rPr>
          <w:sz w:val="22"/>
          <w:szCs w:val="22"/>
          <w:lang w:val="sr-Latn-ME"/>
        </w:rPr>
        <w:t>j</w:t>
      </w:r>
      <w:r w:rsidRPr="002041DF">
        <w:rPr>
          <w:sz w:val="22"/>
          <w:szCs w:val="22"/>
          <w:lang w:val="sr-Latn-ME"/>
        </w:rPr>
        <w:t>eni endoskopskih rezultata.</w:t>
      </w:r>
    </w:p>
    <w:p w14:paraId="76808502" w14:textId="77777777" w:rsidR="00C36D57" w:rsidRPr="002041DF" w:rsidRDefault="00C36D57" w:rsidP="002041DF">
      <w:pPr>
        <w:widowControl w:val="0"/>
        <w:jc w:val="both"/>
        <w:rPr>
          <w:sz w:val="22"/>
          <w:szCs w:val="22"/>
          <w:lang w:val="sr-Latn-ME"/>
        </w:rPr>
      </w:pPr>
    </w:p>
    <w:p w14:paraId="3B7B9BD5" w14:textId="326D6C52" w:rsidR="00C36D57" w:rsidRPr="002041DF" w:rsidRDefault="00C36D57" w:rsidP="002041DF">
      <w:pPr>
        <w:widowControl w:val="0"/>
        <w:jc w:val="both"/>
        <w:rPr>
          <w:sz w:val="22"/>
          <w:szCs w:val="22"/>
          <w:lang w:val="sr-Latn-ME"/>
        </w:rPr>
      </w:pPr>
      <w:r w:rsidRPr="002041DF">
        <w:rPr>
          <w:sz w:val="22"/>
          <w:szCs w:val="22"/>
          <w:lang w:val="sr-Latn-ME"/>
        </w:rPr>
        <w:t>Kliničko ispitivanje UNIFI-I je uključivalo 961</w:t>
      </w:r>
      <w:r w:rsidR="0032513B" w:rsidRPr="002041DF">
        <w:rPr>
          <w:sz w:val="22"/>
          <w:szCs w:val="22"/>
          <w:lang w:val="sr-Latn-ME"/>
        </w:rPr>
        <w:t xml:space="preserve"> </w:t>
      </w:r>
      <w:r w:rsidRPr="002041DF">
        <w:rPr>
          <w:sz w:val="22"/>
          <w:szCs w:val="22"/>
          <w:lang w:val="sr-Latn-ME"/>
        </w:rPr>
        <w:t xml:space="preserve">pacijenta. Primarni ishod ovog inicijalnog kliničkog ispitivanja je bio procenat ispitanika koji su postigli kliničku remisiju </w:t>
      </w:r>
      <w:bookmarkStart w:id="19" w:name="_Hlk20228093"/>
      <w:r w:rsidRPr="002041DF">
        <w:rPr>
          <w:sz w:val="22"/>
          <w:szCs w:val="22"/>
          <w:lang w:val="sr-Latn-ME"/>
        </w:rPr>
        <w:t>do 8</w:t>
      </w:r>
      <w:r w:rsidR="0029320E" w:rsidRPr="002041DF">
        <w:rPr>
          <w:sz w:val="22"/>
          <w:szCs w:val="22"/>
          <w:lang w:val="sr-Latn-ME"/>
        </w:rPr>
        <w:t>.</w:t>
      </w:r>
      <w:r w:rsidRPr="002041DF">
        <w:rPr>
          <w:sz w:val="22"/>
          <w:szCs w:val="22"/>
          <w:lang w:val="sr-Latn-ME"/>
        </w:rPr>
        <w:t xml:space="preserve"> </w:t>
      </w:r>
      <w:bookmarkEnd w:id="19"/>
      <w:r w:rsidR="004372C4" w:rsidRPr="002041DF">
        <w:rPr>
          <w:sz w:val="22"/>
          <w:szCs w:val="22"/>
          <w:lang w:val="sr-Latn-ME"/>
        </w:rPr>
        <w:t>nedjelje</w:t>
      </w:r>
      <w:r w:rsidRPr="002041DF">
        <w:rPr>
          <w:sz w:val="22"/>
          <w:szCs w:val="22"/>
          <w:lang w:val="sr-Latn-ME"/>
        </w:rPr>
        <w:t>. Pacijenti su bili randomizovani da primaju jednu intravensku infuziju preporučene doze određene prema t</w:t>
      </w:r>
      <w:r w:rsidR="003E0F36" w:rsidRPr="002041DF">
        <w:rPr>
          <w:sz w:val="22"/>
          <w:szCs w:val="22"/>
          <w:lang w:val="sr-Latn-ME"/>
        </w:rPr>
        <w:t>j</w:t>
      </w:r>
      <w:r w:rsidRPr="002041DF">
        <w:rPr>
          <w:sz w:val="22"/>
          <w:szCs w:val="22"/>
          <w:lang w:val="sr-Latn-ME"/>
        </w:rPr>
        <w:t>elesnoj težini (engl. tiered dose) od približno 6 mg/kg (</w:t>
      </w:r>
      <w:r w:rsidR="006779EA" w:rsidRPr="002041DF">
        <w:rPr>
          <w:sz w:val="22"/>
          <w:szCs w:val="22"/>
          <w:lang w:val="sr-Latn-ME"/>
        </w:rPr>
        <w:t>vidjeti</w:t>
      </w:r>
      <w:r w:rsidRPr="002041DF">
        <w:rPr>
          <w:sz w:val="22"/>
          <w:szCs w:val="22"/>
          <w:lang w:val="sr-Latn-ME"/>
        </w:rPr>
        <w:t xml:space="preserve"> Tabelu 1, </w:t>
      </w:r>
      <w:r w:rsidR="00292E06" w:rsidRPr="002041DF">
        <w:rPr>
          <w:sz w:val="22"/>
          <w:szCs w:val="22"/>
          <w:lang w:val="sr-Latn-ME"/>
        </w:rPr>
        <w:t>dio</w:t>
      </w:r>
      <w:r w:rsidRPr="002041DF">
        <w:rPr>
          <w:sz w:val="22"/>
          <w:szCs w:val="22"/>
          <w:lang w:val="sr-Latn-ME"/>
        </w:rPr>
        <w:t xml:space="preserve"> 4.2) ili jednu intravensku infuziju fiksne doze od 130 mg ustekinumaba, ili placebo u nultoj (0.) </w:t>
      </w:r>
      <w:r w:rsidR="004372C4" w:rsidRPr="002041DF">
        <w:rPr>
          <w:sz w:val="22"/>
          <w:szCs w:val="22"/>
          <w:lang w:val="sr-Latn-ME"/>
        </w:rPr>
        <w:t>nedjelji</w:t>
      </w:r>
      <w:r w:rsidRPr="002041DF">
        <w:rPr>
          <w:sz w:val="22"/>
          <w:szCs w:val="22"/>
          <w:lang w:val="sr-Latn-ME"/>
        </w:rPr>
        <w:t>.</w:t>
      </w:r>
    </w:p>
    <w:p w14:paraId="101608D5" w14:textId="77777777" w:rsidR="00C36D57" w:rsidRPr="002041DF" w:rsidRDefault="00C36D57" w:rsidP="002041DF">
      <w:pPr>
        <w:widowControl w:val="0"/>
        <w:autoSpaceDE w:val="0"/>
        <w:autoSpaceDN w:val="0"/>
        <w:adjustRightInd w:val="0"/>
        <w:jc w:val="both"/>
        <w:rPr>
          <w:sz w:val="22"/>
          <w:szCs w:val="22"/>
          <w:lang w:val="sr-Latn-ME"/>
        </w:rPr>
      </w:pPr>
    </w:p>
    <w:p w14:paraId="385D8DAD" w14:textId="2AE1671F" w:rsidR="00C36D57" w:rsidRPr="002041DF" w:rsidRDefault="00C36D57" w:rsidP="002041DF">
      <w:pPr>
        <w:widowControl w:val="0"/>
        <w:autoSpaceDE w:val="0"/>
        <w:autoSpaceDN w:val="0"/>
        <w:adjustRightInd w:val="0"/>
        <w:jc w:val="both"/>
        <w:rPr>
          <w:sz w:val="22"/>
          <w:szCs w:val="22"/>
          <w:lang w:val="sr-Latn-ME"/>
        </w:rPr>
      </w:pPr>
      <w:r w:rsidRPr="002041DF">
        <w:rPr>
          <w:sz w:val="22"/>
          <w:szCs w:val="22"/>
          <w:lang w:val="sr-Latn-ME"/>
        </w:rPr>
        <w:t>Istovremena</w:t>
      </w:r>
      <w:r w:rsidR="00A35D07" w:rsidRPr="002041DF">
        <w:rPr>
          <w:sz w:val="22"/>
          <w:szCs w:val="22"/>
          <w:lang w:val="sr-Latn-ME"/>
        </w:rPr>
        <w:t xml:space="preserve"> prim</w:t>
      </w:r>
      <w:r w:rsidR="003E0F36" w:rsidRPr="002041DF">
        <w:rPr>
          <w:sz w:val="22"/>
          <w:szCs w:val="22"/>
          <w:lang w:val="sr-Latn-ME"/>
        </w:rPr>
        <w:t>j</w:t>
      </w:r>
      <w:r w:rsidR="00A35D07" w:rsidRPr="002041DF">
        <w:rPr>
          <w:sz w:val="22"/>
          <w:szCs w:val="22"/>
          <w:lang w:val="sr-Latn-ME"/>
        </w:rPr>
        <w:t xml:space="preserve">ena </w:t>
      </w:r>
      <w:r w:rsidRPr="002041DF">
        <w:rPr>
          <w:sz w:val="22"/>
          <w:szCs w:val="22"/>
          <w:lang w:val="sr-Latn-ME"/>
        </w:rPr>
        <w:t xml:space="preserve">oralnih kortikosteroida, imunomodulatora, i aminosalicilata je bila dozvoljena, i 90% pacijenata nastavilo je da prima bar jedan od ovih </w:t>
      </w:r>
      <w:r w:rsidR="00802A66" w:rsidRPr="002041DF">
        <w:rPr>
          <w:sz w:val="22"/>
          <w:szCs w:val="22"/>
          <w:lang w:val="sr-Latn-ME"/>
        </w:rPr>
        <w:t>ljekova</w:t>
      </w:r>
      <w:r w:rsidRPr="002041DF">
        <w:rPr>
          <w:sz w:val="22"/>
          <w:szCs w:val="22"/>
          <w:lang w:val="sr-Latn-ME"/>
        </w:rPr>
        <w:t>. Uključeni pacijenti su prethodno morali budu neusp</w:t>
      </w:r>
      <w:r w:rsidR="003E0F36" w:rsidRPr="002041DF">
        <w:rPr>
          <w:sz w:val="22"/>
          <w:szCs w:val="22"/>
          <w:lang w:val="sr-Latn-ME"/>
        </w:rPr>
        <w:t>j</w:t>
      </w:r>
      <w:r w:rsidRPr="002041DF">
        <w:rPr>
          <w:sz w:val="22"/>
          <w:szCs w:val="22"/>
          <w:lang w:val="sr-Latn-ME"/>
        </w:rPr>
        <w:t xml:space="preserve">ešno </w:t>
      </w:r>
      <w:r w:rsidR="00891C9B" w:rsidRPr="002041DF">
        <w:rPr>
          <w:sz w:val="22"/>
          <w:szCs w:val="22"/>
          <w:lang w:val="sr-Latn-ME"/>
        </w:rPr>
        <w:t>liječen</w:t>
      </w:r>
      <w:r w:rsidRPr="002041DF">
        <w:rPr>
          <w:sz w:val="22"/>
          <w:szCs w:val="22"/>
          <w:lang w:val="sr-Latn-ME"/>
        </w:rPr>
        <w:t>i konvencionalnom terapijom (kortikosteroidima ili imunomodulatorima) ili najmanje jednim biološkim</w:t>
      </w:r>
      <w:r w:rsidR="00891C9B" w:rsidRPr="002041DF">
        <w:rPr>
          <w:sz w:val="22"/>
          <w:szCs w:val="22"/>
          <w:lang w:val="sr-Latn-ME"/>
        </w:rPr>
        <w:t xml:space="preserve"> lijekom </w:t>
      </w:r>
      <w:r w:rsidRPr="002041DF">
        <w:rPr>
          <w:sz w:val="22"/>
          <w:szCs w:val="22"/>
          <w:lang w:val="sr-Latn-ME"/>
        </w:rPr>
        <w:t>(antagonistom TNFα i/ili vedolizumabom). Četrdeset i devet procenata (49%) pacijenata je bilo neusp</w:t>
      </w:r>
      <w:r w:rsidR="003E0F36" w:rsidRPr="002041DF">
        <w:rPr>
          <w:sz w:val="22"/>
          <w:szCs w:val="22"/>
          <w:lang w:val="sr-Latn-ME"/>
        </w:rPr>
        <w:t>j</w:t>
      </w:r>
      <w:r w:rsidRPr="002041DF">
        <w:rPr>
          <w:sz w:val="22"/>
          <w:szCs w:val="22"/>
          <w:lang w:val="sr-Latn-ME"/>
        </w:rPr>
        <w:t xml:space="preserve">ešno </w:t>
      </w:r>
      <w:r w:rsidR="00891C9B" w:rsidRPr="002041DF">
        <w:rPr>
          <w:sz w:val="22"/>
          <w:szCs w:val="22"/>
          <w:lang w:val="sr-Latn-ME"/>
        </w:rPr>
        <w:t>liječen</w:t>
      </w:r>
      <w:r w:rsidRPr="002041DF">
        <w:rPr>
          <w:sz w:val="22"/>
          <w:szCs w:val="22"/>
          <w:lang w:val="sr-Latn-ME"/>
        </w:rPr>
        <w:t>o konvencionalnom terapijom, ali ne i biološkom terapijom (od kojih 94% ranije nije primalo biološku terapiju). Pedeset i jedan procenat (51%) pacijenata je bilo neusp</w:t>
      </w:r>
      <w:r w:rsidR="003E0F36" w:rsidRPr="002041DF">
        <w:rPr>
          <w:sz w:val="22"/>
          <w:szCs w:val="22"/>
          <w:lang w:val="sr-Latn-ME"/>
        </w:rPr>
        <w:t>j</w:t>
      </w:r>
      <w:r w:rsidRPr="002041DF">
        <w:rPr>
          <w:sz w:val="22"/>
          <w:szCs w:val="22"/>
          <w:lang w:val="sr-Latn-ME"/>
        </w:rPr>
        <w:t xml:space="preserve">ešno </w:t>
      </w:r>
      <w:r w:rsidR="00891C9B" w:rsidRPr="002041DF">
        <w:rPr>
          <w:sz w:val="22"/>
          <w:szCs w:val="22"/>
          <w:lang w:val="sr-Latn-ME"/>
        </w:rPr>
        <w:t>liječen</w:t>
      </w:r>
      <w:r w:rsidRPr="002041DF">
        <w:rPr>
          <w:sz w:val="22"/>
          <w:szCs w:val="22"/>
          <w:lang w:val="sr-Latn-ME"/>
        </w:rPr>
        <w:t xml:space="preserve">o biološkom terapijom ili je nije podnosilo. Približno 50% pacijenata je imalo najmanje jednu </w:t>
      </w:r>
      <w:r w:rsidRPr="002041DF">
        <w:rPr>
          <w:sz w:val="22"/>
          <w:szCs w:val="22"/>
          <w:lang w:val="sr-Latn-ME"/>
        </w:rPr>
        <w:lastRenderedPageBreak/>
        <w:t>ne</w:t>
      </w:r>
      <w:r w:rsidR="008B2B13" w:rsidRPr="002041DF">
        <w:rPr>
          <w:sz w:val="22"/>
          <w:szCs w:val="22"/>
          <w:lang w:val="sr-Latn-ME"/>
        </w:rPr>
        <w:t>uspješnu</w:t>
      </w:r>
      <w:r w:rsidRPr="002041DF">
        <w:rPr>
          <w:sz w:val="22"/>
          <w:szCs w:val="22"/>
          <w:lang w:val="sr-Latn-ME"/>
        </w:rPr>
        <w:t xml:space="preserve"> prethodnu anti-TNF</w:t>
      </w:r>
      <w:r w:rsidRPr="002041DF">
        <w:rPr>
          <w:sz w:val="22"/>
          <w:szCs w:val="22"/>
          <w:lang w:val="sr-Latn-ME"/>
        </w:rPr>
        <w:sym w:font="Symbol" w:char="F061"/>
      </w:r>
      <w:r w:rsidRPr="002041DF">
        <w:rPr>
          <w:sz w:val="22"/>
          <w:szCs w:val="22"/>
          <w:lang w:val="sr-Latn-ME"/>
        </w:rPr>
        <w:t xml:space="preserve"> terapiju (od kojih je kod 48% </w:t>
      </w:r>
      <w:r w:rsidR="00891C9B" w:rsidRPr="002041DF">
        <w:rPr>
          <w:sz w:val="22"/>
          <w:szCs w:val="22"/>
          <w:lang w:val="sr-Latn-ME"/>
        </w:rPr>
        <w:t>zabilježen</w:t>
      </w:r>
      <w:r w:rsidRPr="002041DF">
        <w:rPr>
          <w:sz w:val="22"/>
          <w:szCs w:val="22"/>
          <w:lang w:val="sr-Latn-ME"/>
        </w:rPr>
        <w:t>o primarno odsustvo odgovora) a njih 17% bilo je neusp</w:t>
      </w:r>
      <w:r w:rsidR="003E0F36" w:rsidRPr="002041DF">
        <w:rPr>
          <w:sz w:val="22"/>
          <w:szCs w:val="22"/>
          <w:lang w:val="sr-Latn-ME"/>
        </w:rPr>
        <w:t>j</w:t>
      </w:r>
      <w:r w:rsidRPr="002041DF">
        <w:rPr>
          <w:sz w:val="22"/>
          <w:szCs w:val="22"/>
          <w:lang w:val="sr-Latn-ME"/>
        </w:rPr>
        <w:t xml:space="preserve">ešno </w:t>
      </w:r>
      <w:r w:rsidR="00891C9B" w:rsidRPr="002041DF">
        <w:rPr>
          <w:sz w:val="22"/>
          <w:szCs w:val="22"/>
          <w:lang w:val="sr-Latn-ME"/>
        </w:rPr>
        <w:t>liječen</w:t>
      </w:r>
      <w:r w:rsidRPr="002041DF">
        <w:rPr>
          <w:sz w:val="22"/>
          <w:szCs w:val="22"/>
          <w:lang w:val="sr-Latn-ME"/>
        </w:rPr>
        <w:t>o najmanje jednom anti-TNFα terapijom i vedolizumabom.</w:t>
      </w:r>
    </w:p>
    <w:p w14:paraId="7810E575" w14:textId="77777777" w:rsidR="00C36D57" w:rsidRPr="002041DF" w:rsidRDefault="00C36D57" w:rsidP="002041DF">
      <w:pPr>
        <w:widowControl w:val="0"/>
        <w:jc w:val="both"/>
        <w:rPr>
          <w:sz w:val="22"/>
          <w:szCs w:val="22"/>
          <w:lang w:val="sr-Latn-ME"/>
        </w:rPr>
      </w:pPr>
    </w:p>
    <w:p w14:paraId="3B3FC1E0" w14:textId="243DE83B" w:rsidR="00C36D57" w:rsidRPr="002041DF" w:rsidRDefault="00C36D57" w:rsidP="002041DF">
      <w:pPr>
        <w:widowControl w:val="0"/>
        <w:jc w:val="both"/>
        <w:rPr>
          <w:iCs/>
          <w:sz w:val="22"/>
          <w:szCs w:val="22"/>
          <w:lang w:val="sr-Latn-ME"/>
        </w:rPr>
      </w:pPr>
      <w:r w:rsidRPr="002041DF">
        <w:rPr>
          <w:sz w:val="22"/>
          <w:szCs w:val="22"/>
          <w:lang w:val="sr-Latn-ME"/>
        </w:rPr>
        <w:t xml:space="preserve">U kliničkom ispitivanju UNIFI-I, značajno veći procenat pacijenata je bio u kliničkoj remisiji u grupi koja je primala ustekinumab u poređenju sa placebom u 8-oj </w:t>
      </w:r>
      <w:r w:rsidR="004372C4" w:rsidRPr="002041DF">
        <w:rPr>
          <w:sz w:val="22"/>
          <w:szCs w:val="22"/>
          <w:lang w:val="sr-Latn-ME"/>
        </w:rPr>
        <w:t>nedjelji</w:t>
      </w:r>
      <w:r w:rsidRPr="002041DF">
        <w:rPr>
          <w:sz w:val="22"/>
          <w:szCs w:val="22"/>
          <w:lang w:val="sr-Latn-ME"/>
        </w:rPr>
        <w:t xml:space="preserve"> (Tabela 11). </w:t>
      </w:r>
      <w:r w:rsidRPr="002041DF">
        <w:rPr>
          <w:iCs/>
          <w:sz w:val="22"/>
          <w:szCs w:val="22"/>
          <w:lang w:val="sr-Latn-ME"/>
        </w:rPr>
        <w:t>Već u 2</w:t>
      </w:r>
      <w:r w:rsidR="00DA33E4" w:rsidRPr="002041DF">
        <w:rPr>
          <w:iCs/>
          <w:sz w:val="22"/>
          <w:szCs w:val="22"/>
          <w:lang w:val="sr-Latn-ME"/>
        </w:rPr>
        <w:t>.</w:t>
      </w:r>
      <w:r w:rsidRPr="002041DF">
        <w:rPr>
          <w:iCs/>
          <w:sz w:val="22"/>
          <w:szCs w:val="22"/>
          <w:lang w:val="sr-Latn-ME"/>
        </w:rPr>
        <w:t xml:space="preserve"> </w:t>
      </w:r>
      <w:r w:rsidR="004372C4" w:rsidRPr="002041DF">
        <w:rPr>
          <w:iCs/>
          <w:sz w:val="22"/>
          <w:szCs w:val="22"/>
          <w:lang w:val="sr-Latn-ME"/>
        </w:rPr>
        <w:t>nedjelji</w:t>
      </w:r>
      <w:r w:rsidRPr="002041DF">
        <w:rPr>
          <w:iCs/>
          <w:sz w:val="22"/>
          <w:szCs w:val="22"/>
          <w:lang w:val="sr-Latn-ME"/>
        </w:rPr>
        <w:t>, odnosno na prvoj zakazanoj pos</w:t>
      </w:r>
      <w:r w:rsidR="003E0F36" w:rsidRPr="002041DF">
        <w:rPr>
          <w:iCs/>
          <w:sz w:val="22"/>
          <w:szCs w:val="22"/>
          <w:lang w:val="sr-Latn-ME"/>
        </w:rPr>
        <w:t>j</w:t>
      </w:r>
      <w:r w:rsidRPr="002041DF">
        <w:rPr>
          <w:iCs/>
          <w:sz w:val="22"/>
          <w:szCs w:val="22"/>
          <w:lang w:val="sr-Latn-ME"/>
        </w:rPr>
        <w:t>eti u okviru kliničkog ispitivanja, kao i na svakoj narednoj pos</w:t>
      </w:r>
      <w:r w:rsidR="003E0F36" w:rsidRPr="002041DF">
        <w:rPr>
          <w:iCs/>
          <w:sz w:val="22"/>
          <w:szCs w:val="22"/>
          <w:lang w:val="sr-Latn-ME"/>
        </w:rPr>
        <w:t>j</w:t>
      </w:r>
      <w:r w:rsidRPr="002041DF">
        <w:rPr>
          <w:iCs/>
          <w:sz w:val="22"/>
          <w:szCs w:val="22"/>
          <w:lang w:val="sr-Latn-ME"/>
        </w:rPr>
        <w:t xml:space="preserve">eti, veći procenat pacijenata </w:t>
      </w:r>
      <w:r w:rsidR="00891C9B" w:rsidRPr="002041DF">
        <w:rPr>
          <w:iCs/>
          <w:sz w:val="22"/>
          <w:szCs w:val="22"/>
          <w:lang w:val="sr-Latn-ME"/>
        </w:rPr>
        <w:t>liječen</w:t>
      </w:r>
      <w:r w:rsidRPr="002041DF">
        <w:rPr>
          <w:iCs/>
          <w:sz w:val="22"/>
          <w:szCs w:val="22"/>
          <w:lang w:val="sr-Latn-ME"/>
        </w:rPr>
        <w:t xml:space="preserve">ih ustekinumabom nije imao rektalno krvarenje ili je postigao normalnu učestalost stolice u poređenju sa pacijentima koji su primali placebo. Značajne razlike u </w:t>
      </w:r>
      <w:r w:rsidR="00891C9B" w:rsidRPr="002041DF">
        <w:rPr>
          <w:iCs/>
          <w:sz w:val="22"/>
          <w:szCs w:val="22"/>
          <w:lang w:val="sr-Latn-ME"/>
        </w:rPr>
        <w:t>liječen</w:t>
      </w:r>
      <w:r w:rsidRPr="002041DF">
        <w:rPr>
          <w:iCs/>
          <w:sz w:val="22"/>
          <w:szCs w:val="22"/>
          <w:lang w:val="sr-Latn-ME"/>
        </w:rPr>
        <w:t xml:space="preserve">ju između grupa koje su primale ustekinumab i placebo  prema parcijalnom Mayo skoru i simptomatskoj remisiji </w:t>
      </w:r>
      <w:r w:rsidR="00891C9B" w:rsidRPr="002041DF">
        <w:rPr>
          <w:iCs/>
          <w:sz w:val="22"/>
          <w:szCs w:val="22"/>
          <w:lang w:val="sr-Latn-ME"/>
        </w:rPr>
        <w:t>zabilježen</w:t>
      </w:r>
      <w:r w:rsidRPr="002041DF">
        <w:rPr>
          <w:iCs/>
          <w:sz w:val="22"/>
          <w:szCs w:val="22"/>
          <w:lang w:val="sr-Latn-ME"/>
        </w:rPr>
        <w:t>e su već u 2</w:t>
      </w:r>
      <w:r w:rsidR="00DA33E4" w:rsidRPr="002041DF">
        <w:rPr>
          <w:iCs/>
          <w:sz w:val="22"/>
          <w:szCs w:val="22"/>
          <w:lang w:val="sr-Latn-ME"/>
        </w:rPr>
        <w:t>.</w:t>
      </w:r>
      <w:r w:rsidRPr="002041DF">
        <w:rPr>
          <w:iCs/>
          <w:sz w:val="22"/>
          <w:szCs w:val="22"/>
          <w:lang w:val="sr-Latn-ME"/>
        </w:rPr>
        <w:t xml:space="preserve"> </w:t>
      </w:r>
      <w:r w:rsidR="004372C4" w:rsidRPr="002041DF">
        <w:rPr>
          <w:iCs/>
          <w:sz w:val="22"/>
          <w:szCs w:val="22"/>
          <w:lang w:val="sr-Latn-ME"/>
        </w:rPr>
        <w:t>nedjelji</w:t>
      </w:r>
      <w:r w:rsidRPr="002041DF">
        <w:rPr>
          <w:iCs/>
          <w:sz w:val="22"/>
          <w:szCs w:val="22"/>
          <w:lang w:val="sr-Latn-ME"/>
        </w:rPr>
        <w:t>.</w:t>
      </w:r>
    </w:p>
    <w:p w14:paraId="17FD7855" w14:textId="77777777" w:rsidR="00C36D57" w:rsidRPr="002041DF" w:rsidRDefault="00C36D57" w:rsidP="002041DF">
      <w:pPr>
        <w:widowControl w:val="0"/>
        <w:jc w:val="both"/>
        <w:rPr>
          <w:sz w:val="22"/>
          <w:szCs w:val="22"/>
          <w:lang w:val="sr-Latn-ME"/>
        </w:rPr>
      </w:pPr>
    </w:p>
    <w:p w14:paraId="71FE1311" w14:textId="002AA2BB" w:rsidR="00C36D57" w:rsidRPr="002041DF" w:rsidRDefault="00C36D57" w:rsidP="002041DF">
      <w:pPr>
        <w:widowControl w:val="0"/>
        <w:jc w:val="both"/>
        <w:rPr>
          <w:sz w:val="22"/>
          <w:szCs w:val="22"/>
          <w:lang w:val="sr-Latn-ME"/>
        </w:rPr>
      </w:pPr>
      <w:r w:rsidRPr="002041DF">
        <w:rPr>
          <w:sz w:val="22"/>
          <w:szCs w:val="22"/>
          <w:lang w:val="sr-Latn-ME"/>
        </w:rPr>
        <w:t>Efikasnost, u odnosu na primarni ishod, je bila veća u grupi koja je primala dozu određenu prema t</w:t>
      </w:r>
      <w:r w:rsidR="003E0F36" w:rsidRPr="002041DF">
        <w:rPr>
          <w:sz w:val="22"/>
          <w:szCs w:val="22"/>
          <w:lang w:val="sr-Latn-ME"/>
        </w:rPr>
        <w:t>j</w:t>
      </w:r>
      <w:r w:rsidRPr="002041DF">
        <w:rPr>
          <w:sz w:val="22"/>
          <w:szCs w:val="22"/>
          <w:lang w:val="sr-Latn-ME"/>
        </w:rPr>
        <w:t>elesnoj težini (6 mg/kg) u poređenju sa grupom koja je primala dozu 130 mg pa se stoga za intravensku indukcionu dozu preporučuje doziranje prema t</w:t>
      </w:r>
      <w:r w:rsidR="003E0F36" w:rsidRPr="002041DF">
        <w:rPr>
          <w:sz w:val="22"/>
          <w:szCs w:val="22"/>
          <w:lang w:val="sr-Latn-ME"/>
        </w:rPr>
        <w:t>j</w:t>
      </w:r>
      <w:r w:rsidRPr="002041DF">
        <w:rPr>
          <w:sz w:val="22"/>
          <w:szCs w:val="22"/>
          <w:lang w:val="sr-Latn-ME"/>
        </w:rPr>
        <w:t xml:space="preserve">elesnoj </w:t>
      </w:r>
      <w:r w:rsidR="00DA33E4" w:rsidRPr="002041DF">
        <w:rPr>
          <w:sz w:val="22"/>
          <w:szCs w:val="22"/>
          <w:lang w:val="sr-Latn-ME"/>
        </w:rPr>
        <w:t>masi</w:t>
      </w:r>
      <w:r w:rsidRPr="002041DF">
        <w:rPr>
          <w:sz w:val="22"/>
          <w:szCs w:val="22"/>
          <w:lang w:val="sr-Latn-ME"/>
        </w:rPr>
        <w:t>.</w:t>
      </w:r>
    </w:p>
    <w:p w14:paraId="3B2E6A3D" w14:textId="77777777" w:rsidR="00C36D57" w:rsidRPr="002041DF" w:rsidRDefault="00C36D57" w:rsidP="002041DF">
      <w:pPr>
        <w:widowControl w:val="0"/>
        <w:autoSpaceDE w:val="0"/>
        <w:autoSpaceDN w:val="0"/>
        <w:adjustRightInd w:val="0"/>
        <w:jc w:val="both"/>
        <w:rPr>
          <w:sz w:val="22"/>
          <w:szCs w:val="22"/>
          <w:lang w:val="sr-Latn-ME"/>
        </w:rPr>
      </w:pPr>
    </w:p>
    <w:p w14:paraId="7EAE71C2" w14:textId="62F4357A" w:rsidR="00C36D57" w:rsidRPr="002041DF" w:rsidRDefault="00C36D57" w:rsidP="002041DF">
      <w:pPr>
        <w:widowControl w:val="0"/>
        <w:jc w:val="both"/>
        <w:rPr>
          <w:i/>
          <w:iCs/>
          <w:sz w:val="22"/>
          <w:szCs w:val="22"/>
          <w:lang w:val="sr-Latn-ME"/>
        </w:rPr>
      </w:pPr>
      <w:r w:rsidRPr="002041DF">
        <w:rPr>
          <w:i/>
          <w:iCs/>
          <w:sz w:val="22"/>
          <w:szCs w:val="22"/>
          <w:lang w:val="sr-Latn-ME"/>
        </w:rPr>
        <w:t>Tabela 11:</w:t>
      </w:r>
      <w:r w:rsidRPr="002041DF">
        <w:rPr>
          <w:i/>
          <w:iCs/>
          <w:sz w:val="22"/>
          <w:szCs w:val="22"/>
          <w:lang w:val="sr-Latn-ME"/>
        </w:rPr>
        <w:tab/>
        <w:t xml:space="preserve">Sažeti prikaz ključnih ishoda efikasnosti u kliničkom ispitivanju UNIFI-I ( 8. </w:t>
      </w:r>
      <w:r w:rsidR="004372C4" w:rsidRPr="002041DF">
        <w:rPr>
          <w:i/>
          <w:iCs/>
          <w:sz w:val="22"/>
          <w:szCs w:val="22"/>
          <w:lang w:val="sr-Latn-ME"/>
        </w:rPr>
        <w:t>nedjelja</w:t>
      </w:r>
      <w:r w:rsidRPr="002041DF">
        <w:rPr>
          <w:i/>
          <w:iCs/>
          <w:sz w:val="22"/>
          <w:szCs w:val="22"/>
          <w:lang w:val="sr-Latn-ME"/>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949"/>
        <w:gridCol w:w="1559"/>
        <w:gridCol w:w="1886"/>
      </w:tblGrid>
      <w:tr w:rsidR="00C36D57" w:rsidRPr="002041DF" w14:paraId="7DB1B0C0" w14:textId="77777777" w:rsidTr="007C6E24">
        <w:trPr>
          <w:jc w:val="center"/>
        </w:trPr>
        <w:tc>
          <w:tcPr>
            <w:tcW w:w="3166" w:type="pct"/>
            <w:shd w:val="clear" w:color="auto" w:fill="auto"/>
          </w:tcPr>
          <w:p w14:paraId="08F60983" w14:textId="77777777" w:rsidR="00C36D57" w:rsidRPr="002041DF" w:rsidRDefault="00C36D57" w:rsidP="002041DF">
            <w:pPr>
              <w:widowControl w:val="0"/>
              <w:autoSpaceDE w:val="0"/>
              <w:autoSpaceDN w:val="0"/>
              <w:adjustRightInd w:val="0"/>
              <w:jc w:val="both"/>
              <w:rPr>
                <w:sz w:val="22"/>
                <w:szCs w:val="22"/>
                <w:lang w:val="sr-Latn-ME"/>
              </w:rPr>
            </w:pPr>
          </w:p>
        </w:tc>
        <w:tc>
          <w:tcPr>
            <w:tcW w:w="830" w:type="pct"/>
            <w:shd w:val="clear" w:color="auto" w:fill="auto"/>
          </w:tcPr>
          <w:p w14:paraId="61D79C89" w14:textId="77777777" w:rsidR="00C36D57" w:rsidRPr="002041DF" w:rsidRDefault="00C36D57" w:rsidP="002041DF">
            <w:pPr>
              <w:widowControl w:val="0"/>
              <w:autoSpaceDE w:val="0"/>
              <w:autoSpaceDN w:val="0"/>
              <w:adjustRightInd w:val="0"/>
              <w:jc w:val="both"/>
              <w:rPr>
                <w:b/>
                <w:bCs/>
                <w:sz w:val="22"/>
                <w:szCs w:val="22"/>
                <w:lang w:val="sr-Latn-ME"/>
              </w:rPr>
            </w:pPr>
            <w:r w:rsidRPr="002041DF">
              <w:rPr>
                <w:b/>
                <w:bCs/>
                <w:sz w:val="22"/>
                <w:szCs w:val="22"/>
                <w:lang w:val="sr-Latn-ME"/>
              </w:rPr>
              <w:t>Placebo</w:t>
            </w:r>
          </w:p>
          <w:p w14:paraId="279D2B95" w14:textId="77777777" w:rsidR="00C36D57" w:rsidRPr="002041DF" w:rsidRDefault="00C36D57" w:rsidP="002041DF">
            <w:pPr>
              <w:widowControl w:val="0"/>
              <w:autoSpaceDE w:val="0"/>
              <w:autoSpaceDN w:val="0"/>
              <w:adjustRightInd w:val="0"/>
              <w:jc w:val="both"/>
              <w:rPr>
                <w:sz w:val="22"/>
                <w:szCs w:val="22"/>
                <w:lang w:val="sr-Latn-ME"/>
              </w:rPr>
            </w:pPr>
            <w:r w:rsidRPr="002041DF">
              <w:rPr>
                <w:b/>
                <w:bCs/>
                <w:sz w:val="22"/>
                <w:szCs w:val="22"/>
                <w:lang w:val="sr-Latn-ME"/>
              </w:rPr>
              <w:t>N</w:t>
            </w:r>
            <w:r w:rsidRPr="002041DF">
              <w:rPr>
                <w:sz w:val="22"/>
                <w:szCs w:val="22"/>
                <w:lang w:val="sr-Latn-ME"/>
              </w:rPr>
              <w:t> </w:t>
            </w:r>
            <w:r w:rsidRPr="002041DF">
              <w:rPr>
                <w:b/>
                <w:bCs/>
                <w:sz w:val="22"/>
                <w:szCs w:val="22"/>
                <w:lang w:val="sr-Latn-ME"/>
              </w:rPr>
              <w:t>=</w:t>
            </w:r>
            <w:r w:rsidRPr="002041DF">
              <w:rPr>
                <w:sz w:val="22"/>
                <w:szCs w:val="22"/>
                <w:lang w:val="sr-Latn-ME"/>
              </w:rPr>
              <w:t> </w:t>
            </w:r>
            <w:r w:rsidRPr="002041DF">
              <w:rPr>
                <w:b/>
                <w:bCs/>
                <w:sz w:val="22"/>
                <w:szCs w:val="22"/>
                <w:lang w:val="sr-Latn-ME"/>
              </w:rPr>
              <w:t>319</w:t>
            </w:r>
          </w:p>
        </w:tc>
        <w:tc>
          <w:tcPr>
            <w:tcW w:w="1004" w:type="pct"/>
            <w:shd w:val="clear" w:color="auto" w:fill="auto"/>
          </w:tcPr>
          <w:p w14:paraId="539DB79D" w14:textId="77777777" w:rsidR="00C36D57" w:rsidRPr="002041DF" w:rsidRDefault="00C36D57" w:rsidP="002041DF">
            <w:pPr>
              <w:widowControl w:val="0"/>
              <w:autoSpaceDE w:val="0"/>
              <w:autoSpaceDN w:val="0"/>
              <w:adjustRightInd w:val="0"/>
              <w:jc w:val="both"/>
              <w:rPr>
                <w:b/>
                <w:bCs/>
                <w:sz w:val="22"/>
                <w:szCs w:val="22"/>
                <w:lang w:val="sr-Latn-ME"/>
              </w:rPr>
            </w:pPr>
            <w:r w:rsidRPr="002041DF">
              <w:rPr>
                <w:b/>
                <w:bCs/>
                <w:sz w:val="22"/>
                <w:szCs w:val="22"/>
                <w:lang w:val="sr-Latn-ME"/>
              </w:rPr>
              <w:t>Preporučena doza ustekinumaba</w:t>
            </w:r>
            <w:r w:rsidRPr="002041DF">
              <w:rPr>
                <w:b/>
                <w:sz w:val="22"/>
                <w:szCs w:val="22"/>
                <w:vertAlign w:val="superscript"/>
                <w:lang w:val="sr-Latn-ME"/>
              </w:rPr>
              <w:t>£</w:t>
            </w:r>
          </w:p>
          <w:p w14:paraId="6499DC9F" w14:textId="77777777" w:rsidR="00C36D57" w:rsidRPr="002041DF" w:rsidRDefault="00C36D57" w:rsidP="002041DF">
            <w:pPr>
              <w:widowControl w:val="0"/>
              <w:autoSpaceDE w:val="0"/>
              <w:autoSpaceDN w:val="0"/>
              <w:adjustRightInd w:val="0"/>
              <w:jc w:val="both"/>
              <w:rPr>
                <w:b/>
                <w:bCs/>
                <w:sz w:val="22"/>
                <w:szCs w:val="22"/>
                <w:lang w:val="sr-Latn-ME"/>
              </w:rPr>
            </w:pPr>
            <w:r w:rsidRPr="002041DF">
              <w:rPr>
                <w:b/>
                <w:bCs/>
                <w:sz w:val="22"/>
                <w:szCs w:val="22"/>
                <w:lang w:val="sr-Latn-ME"/>
              </w:rPr>
              <w:t>N</w:t>
            </w:r>
            <w:r w:rsidRPr="002041DF">
              <w:rPr>
                <w:sz w:val="22"/>
                <w:szCs w:val="22"/>
                <w:lang w:val="sr-Latn-ME"/>
              </w:rPr>
              <w:t> </w:t>
            </w:r>
            <w:r w:rsidRPr="002041DF">
              <w:rPr>
                <w:b/>
                <w:bCs/>
                <w:sz w:val="22"/>
                <w:szCs w:val="22"/>
                <w:lang w:val="sr-Latn-ME"/>
              </w:rPr>
              <w:t>= 322</w:t>
            </w:r>
          </w:p>
        </w:tc>
      </w:tr>
      <w:tr w:rsidR="00C36D57" w:rsidRPr="002041DF" w14:paraId="11CA0A56" w14:textId="77777777" w:rsidTr="007C6E24">
        <w:trPr>
          <w:jc w:val="center"/>
        </w:trPr>
        <w:tc>
          <w:tcPr>
            <w:tcW w:w="3166" w:type="pct"/>
            <w:shd w:val="clear" w:color="auto" w:fill="auto"/>
          </w:tcPr>
          <w:p w14:paraId="24D6B2A8" w14:textId="77777777" w:rsidR="00C36D57" w:rsidRPr="002041DF" w:rsidRDefault="00C36D57" w:rsidP="002041DF">
            <w:pPr>
              <w:widowControl w:val="0"/>
              <w:autoSpaceDE w:val="0"/>
              <w:autoSpaceDN w:val="0"/>
              <w:adjustRightInd w:val="0"/>
              <w:jc w:val="both"/>
              <w:rPr>
                <w:sz w:val="22"/>
                <w:szCs w:val="22"/>
                <w:vertAlign w:val="superscript"/>
                <w:lang w:val="sr-Latn-ME"/>
              </w:rPr>
            </w:pPr>
            <w:r w:rsidRPr="002041DF">
              <w:rPr>
                <w:sz w:val="22"/>
                <w:szCs w:val="22"/>
                <w:lang w:val="sr-Latn-ME"/>
              </w:rPr>
              <w:t>Klinička remisija*</w:t>
            </w:r>
          </w:p>
        </w:tc>
        <w:tc>
          <w:tcPr>
            <w:tcW w:w="830" w:type="pct"/>
            <w:shd w:val="clear" w:color="auto" w:fill="auto"/>
          </w:tcPr>
          <w:p w14:paraId="5B90A914" w14:textId="77777777" w:rsidR="00C36D57" w:rsidRPr="002041DF" w:rsidRDefault="00C36D57" w:rsidP="002041DF">
            <w:pPr>
              <w:widowControl w:val="0"/>
              <w:autoSpaceDE w:val="0"/>
              <w:autoSpaceDN w:val="0"/>
              <w:adjustRightInd w:val="0"/>
              <w:jc w:val="both"/>
              <w:rPr>
                <w:sz w:val="22"/>
                <w:szCs w:val="22"/>
                <w:lang w:val="sr-Latn-ME"/>
              </w:rPr>
            </w:pPr>
            <w:r w:rsidRPr="002041DF">
              <w:rPr>
                <w:sz w:val="22"/>
                <w:szCs w:val="22"/>
                <w:lang w:val="sr-Latn-ME"/>
              </w:rPr>
              <w:t>5%</w:t>
            </w:r>
          </w:p>
        </w:tc>
        <w:tc>
          <w:tcPr>
            <w:tcW w:w="1004" w:type="pct"/>
            <w:shd w:val="clear" w:color="auto" w:fill="auto"/>
          </w:tcPr>
          <w:p w14:paraId="57B33A22" w14:textId="77777777" w:rsidR="00C36D57" w:rsidRPr="002041DF" w:rsidRDefault="00C36D57" w:rsidP="002041DF">
            <w:pPr>
              <w:widowControl w:val="0"/>
              <w:autoSpaceDE w:val="0"/>
              <w:autoSpaceDN w:val="0"/>
              <w:adjustRightInd w:val="0"/>
              <w:jc w:val="both"/>
              <w:rPr>
                <w:sz w:val="22"/>
                <w:szCs w:val="22"/>
                <w:vertAlign w:val="superscript"/>
                <w:lang w:val="sr-Latn-ME"/>
              </w:rPr>
            </w:pPr>
            <w:r w:rsidRPr="002041DF">
              <w:rPr>
                <w:sz w:val="22"/>
                <w:szCs w:val="22"/>
                <w:lang w:val="sr-Latn-ME"/>
              </w:rPr>
              <w:t>16%</w:t>
            </w:r>
            <w:r w:rsidRPr="002041DF">
              <w:rPr>
                <w:sz w:val="22"/>
                <w:szCs w:val="22"/>
                <w:vertAlign w:val="superscript"/>
                <w:lang w:val="sr-Latn-ME"/>
              </w:rPr>
              <w:t>a</w:t>
            </w:r>
          </w:p>
        </w:tc>
      </w:tr>
      <w:tr w:rsidR="00C36D57" w:rsidRPr="002041DF" w14:paraId="44166DF6" w14:textId="77777777" w:rsidTr="007C6E24">
        <w:trPr>
          <w:jc w:val="center"/>
        </w:trPr>
        <w:tc>
          <w:tcPr>
            <w:tcW w:w="3166" w:type="pct"/>
            <w:shd w:val="clear" w:color="auto" w:fill="auto"/>
          </w:tcPr>
          <w:p w14:paraId="0EFB52DF" w14:textId="4DB47B5C" w:rsidR="00C36D57" w:rsidRPr="002041DF" w:rsidRDefault="00C36D57" w:rsidP="002041DF">
            <w:pPr>
              <w:widowControl w:val="0"/>
              <w:autoSpaceDE w:val="0"/>
              <w:autoSpaceDN w:val="0"/>
              <w:ind w:left="284"/>
              <w:jc w:val="both"/>
              <w:rPr>
                <w:rFonts w:eastAsia="Calibri"/>
                <w:sz w:val="22"/>
                <w:szCs w:val="22"/>
                <w:lang w:val="sr-Latn-ME"/>
              </w:rPr>
            </w:pPr>
            <w:r w:rsidRPr="002041DF">
              <w:rPr>
                <w:sz w:val="22"/>
                <w:szCs w:val="22"/>
                <w:lang w:val="sr-Latn-ME"/>
              </w:rPr>
              <w:t>Kod pacijenata neusp</w:t>
            </w:r>
            <w:r w:rsidR="003E0F36" w:rsidRPr="002041DF">
              <w:rPr>
                <w:sz w:val="22"/>
                <w:szCs w:val="22"/>
                <w:lang w:val="sr-Latn-ME"/>
              </w:rPr>
              <w:t>j</w:t>
            </w:r>
            <w:r w:rsidRPr="002041DF">
              <w:rPr>
                <w:sz w:val="22"/>
                <w:szCs w:val="22"/>
                <w:lang w:val="sr-Latn-ME"/>
              </w:rPr>
              <w:t xml:space="preserve">ešno </w:t>
            </w:r>
            <w:r w:rsidR="00891C9B" w:rsidRPr="002041DF">
              <w:rPr>
                <w:sz w:val="22"/>
                <w:szCs w:val="22"/>
                <w:lang w:val="sr-Latn-ME"/>
              </w:rPr>
              <w:t>liječen</w:t>
            </w:r>
            <w:r w:rsidRPr="002041DF">
              <w:rPr>
                <w:sz w:val="22"/>
                <w:szCs w:val="22"/>
                <w:lang w:val="sr-Latn-ME"/>
              </w:rPr>
              <w:t xml:space="preserve">ih konvencionalnom terapijom, ali ne i biološkom terapijom </w:t>
            </w:r>
          </w:p>
        </w:tc>
        <w:tc>
          <w:tcPr>
            <w:tcW w:w="830" w:type="pct"/>
            <w:shd w:val="clear" w:color="auto" w:fill="auto"/>
          </w:tcPr>
          <w:p w14:paraId="5AA6EF61" w14:textId="77777777" w:rsidR="00C36D57" w:rsidRPr="002041DF" w:rsidRDefault="00C36D57" w:rsidP="002041DF">
            <w:pPr>
              <w:widowControl w:val="0"/>
              <w:autoSpaceDE w:val="0"/>
              <w:autoSpaceDN w:val="0"/>
              <w:adjustRightInd w:val="0"/>
              <w:jc w:val="both"/>
              <w:rPr>
                <w:sz w:val="22"/>
                <w:szCs w:val="22"/>
                <w:lang w:val="sr-Latn-ME"/>
              </w:rPr>
            </w:pPr>
            <w:r w:rsidRPr="002041DF">
              <w:rPr>
                <w:sz w:val="22"/>
                <w:szCs w:val="22"/>
                <w:lang w:val="sr-Latn-ME"/>
              </w:rPr>
              <w:t>9% (15/158)</w:t>
            </w:r>
          </w:p>
        </w:tc>
        <w:tc>
          <w:tcPr>
            <w:tcW w:w="1004" w:type="pct"/>
            <w:shd w:val="clear" w:color="auto" w:fill="auto"/>
          </w:tcPr>
          <w:p w14:paraId="513A492F" w14:textId="77777777" w:rsidR="00C36D57" w:rsidRPr="002041DF" w:rsidRDefault="00C36D57" w:rsidP="002041DF">
            <w:pPr>
              <w:widowControl w:val="0"/>
              <w:autoSpaceDE w:val="0"/>
              <w:autoSpaceDN w:val="0"/>
              <w:adjustRightInd w:val="0"/>
              <w:jc w:val="both"/>
              <w:rPr>
                <w:sz w:val="22"/>
                <w:szCs w:val="22"/>
                <w:vertAlign w:val="superscript"/>
                <w:lang w:val="sr-Latn-ME"/>
              </w:rPr>
            </w:pPr>
            <w:r w:rsidRPr="002041DF">
              <w:rPr>
                <w:sz w:val="22"/>
                <w:szCs w:val="22"/>
                <w:lang w:val="sr-Latn-ME"/>
              </w:rPr>
              <w:t>19% (29/156)</w:t>
            </w:r>
            <w:r w:rsidRPr="002041DF">
              <w:rPr>
                <w:sz w:val="22"/>
                <w:szCs w:val="22"/>
                <w:vertAlign w:val="superscript"/>
                <w:lang w:val="sr-Latn-ME"/>
              </w:rPr>
              <w:t>c</w:t>
            </w:r>
          </w:p>
        </w:tc>
      </w:tr>
      <w:tr w:rsidR="00C36D57" w:rsidRPr="002041DF" w14:paraId="436B5AAA" w14:textId="77777777" w:rsidTr="007C6E24">
        <w:trPr>
          <w:jc w:val="center"/>
        </w:trPr>
        <w:tc>
          <w:tcPr>
            <w:tcW w:w="3166" w:type="pct"/>
            <w:shd w:val="clear" w:color="auto" w:fill="auto"/>
          </w:tcPr>
          <w:p w14:paraId="2B8540B3" w14:textId="1FED63CC" w:rsidR="00C36D57" w:rsidRPr="002041DF" w:rsidRDefault="00C36D57" w:rsidP="002041DF">
            <w:pPr>
              <w:widowControl w:val="0"/>
              <w:autoSpaceDE w:val="0"/>
              <w:autoSpaceDN w:val="0"/>
              <w:ind w:left="284"/>
              <w:jc w:val="both"/>
              <w:rPr>
                <w:rFonts w:eastAsia="Calibri"/>
                <w:sz w:val="22"/>
                <w:szCs w:val="22"/>
                <w:lang w:val="sr-Latn-ME"/>
              </w:rPr>
            </w:pPr>
            <w:r w:rsidRPr="002041DF">
              <w:rPr>
                <w:sz w:val="22"/>
                <w:szCs w:val="22"/>
                <w:lang w:val="sr-Latn-ME"/>
              </w:rPr>
              <w:t>Kod pacijenata neusp</w:t>
            </w:r>
            <w:r w:rsidR="003E0F36" w:rsidRPr="002041DF">
              <w:rPr>
                <w:sz w:val="22"/>
                <w:szCs w:val="22"/>
                <w:lang w:val="sr-Latn-ME"/>
              </w:rPr>
              <w:t>j</w:t>
            </w:r>
            <w:r w:rsidRPr="002041DF">
              <w:rPr>
                <w:sz w:val="22"/>
                <w:szCs w:val="22"/>
                <w:lang w:val="sr-Latn-ME"/>
              </w:rPr>
              <w:t xml:space="preserve">ešno </w:t>
            </w:r>
            <w:r w:rsidR="00891C9B" w:rsidRPr="002041DF">
              <w:rPr>
                <w:sz w:val="22"/>
                <w:szCs w:val="22"/>
                <w:lang w:val="sr-Latn-ME"/>
              </w:rPr>
              <w:t>liječen</w:t>
            </w:r>
            <w:r w:rsidRPr="002041DF">
              <w:rPr>
                <w:sz w:val="22"/>
                <w:szCs w:val="22"/>
                <w:lang w:val="sr-Latn-ME"/>
              </w:rPr>
              <w:t>ih biološkom terapijom</w:t>
            </w:r>
            <w:r w:rsidRPr="002041DF">
              <w:rPr>
                <w:sz w:val="22"/>
                <w:szCs w:val="22"/>
                <w:vertAlign w:val="superscript"/>
                <w:lang w:val="sr-Latn-ME"/>
              </w:rPr>
              <w:t>¥</w:t>
            </w:r>
          </w:p>
        </w:tc>
        <w:tc>
          <w:tcPr>
            <w:tcW w:w="830" w:type="pct"/>
            <w:shd w:val="clear" w:color="auto" w:fill="auto"/>
          </w:tcPr>
          <w:p w14:paraId="320FCDB3" w14:textId="77777777" w:rsidR="00C36D57" w:rsidRPr="002041DF" w:rsidRDefault="00C36D57" w:rsidP="002041DF">
            <w:pPr>
              <w:widowControl w:val="0"/>
              <w:autoSpaceDE w:val="0"/>
              <w:autoSpaceDN w:val="0"/>
              <w:adjustRightInd w:val="0"/>
              <w:jc w:val="both"/>
              <w:rPr>
                <w:sz w:val="22"/>
                <w:szCs w:val="22"/>
                <w:lang w:val="sr-Latn-ME"/>
              </w:rPr>
            </w:pPr>
            <w:r w:rsidRPr="002041DF">
              <w:rPr>
                <w:sz w:val="22"/>
                <w:szCs w:val="22"/>
                <w:lang w:val="sr-Latn-ME"/>
              </w:rPr>
              <w:t>1% (2/161)</w:t>
            </w:r>
          </w:p>
        </w:tc>
        <w:tc>
          <w:tcPr>
            <w:tcW w:w="1004" w:type="pct"/>
            <w:shd w:val="clear" w:color="auto" w:fill="auto"/>
          </w:tcPr>
          <w:p w14:paraId="2353081F" w14:textId="77777777" w:rsidR="00C36D57" w:rsidRPr="002041DF" w:rsidRDefault="00C36D57" w:rsidP="002041DF">
            <w:pPr>
              <w:widowControl w:val="0"/>
              <w:autoSpaceDE w:val="0"/>
              <w:autoSpaceDN w:val="0"/>
              <w:adjustRightInd w:val="0"/>
              <w:jc w:val="both"/>
              <w:rPr>
                <w:sz w:val="22"/>
                <w:szCs w:val="22"/>
                <w:vertAlign w:val="superscript"/>
                <w:lang w:val="sr-Latn-ME"/>
              </w:rPr>
            </w:pPr>
            <w:r w:rsidRPr="002041DF">
              <w:rPr>
                <w:sz w:val="22"/>
                <w:szCs w:val="22"/>
                <w:lang w:val="sr-Latn-ME"/>
              </w:rPr>
              <w:t>13% (21/166)</w:t>
            </w:r>
            <w:r w:rsidRPr="002041DF">
              <w:rPr>
                <w:sz w:val="22"/>
                <w:szCs w:val="22"/>
                <w:vertAlign w:val="superscript"/>
                <w:lang w:val="sr-Latn-ME"/>
              </w:rPr>
              <w:t>b</w:t>
            </w:r>
          </w:p>
        </w:tc>
      </w:tr>
      <w:tr w:rsidR="00C36D57" w:rsidRPr="002041DF" w14:paraId="757349D1" w14:textId="77777777" w:rsidTr="007C6E24">
        <w:trPr>
          <w:jc w:val="center"/>
        </w:trPr>
        <w:tc>
          <w:tcPr>
            <w:tcW w:w="3166" w:type="pct"/>
            <w:shd w:val="clear" w:color="auto" w:fill="auto"/>
          </w:tcPr>
          <w:p w14:paraId="0881F797" w14:textId="711A47BF" w:rsidR="00C36D57" w:rsidRPr="002041DF" w:rsidRDefault="00C36D57" w:rsidP="002041DF">
            <w:pPr>
              <w:widowControl w:val="0"/>
              <w:autoSpaceDE w:val="0"/>
              <w:autoSpaceDN w:val="0"/>
              <w:ind w:left="284"/>
              <w:jc w:val="both"/>
              <w:rPr>
                <w:sz w:val="22"/>
                <w:szCs w:val="22"/>
                <w:lang w:val="sr-Latn-ME"/>
              </w:rPr>
            </w:pPr>
            <w:r w:rsidRPr="002041DF">
              <w:rPr>
                <w:sz w:val="22"/>
                <w:szCs w:val="22"/>
                <w:lang w:val="sr-Latn-ME"/>
              </w:rPr>
              <w:t>Kod pacijenata neusp</w:t>
            </w:r>
            <w:r w:rsidR="003E0F36" w:rsidRPr="002041DF">
              <w:rPr>
                <w:sz w:val="22"/>
                <w:szCs w:val="22"/>
                <w:lang w:val="sr-Latn-ME"/>
              </w:rPr>
              <w:t>j</w:t>
            </w:r>
            <w:r w:rsidRPr="002041DF">
              <w:rPr>
                <w:sz w:val="22"/>
                <w:szCs w:val="22"/>
                <w:lang w:val="sr-Latn-ME"/>
              </w:rPr>
              <w:t xml:space="preserve">ešno </w:t>
            </w:r>
            <w:r w:rsidR="00891C9B" w:rsidRPr="002041DF">
              <w:rPr>
                <w:sz w:val="22"/>
                <w:szCs w:val="22"/>
                <w:lang w:val="sr-Latn-ME"/>
              </w:rPr>
              <w:t>liječen</w:t>
            </w:r>
            <w:r w:rsidRPr="002041DF">
              <w:rPr>
                <w:sz w:val="22"/>
                <w:szCs w:val="22"/>
                <w:lang w:val="sr-Latn-ME"/>
              </w:rPr>
              <w:t>ih antagonistima TNFα i vedolizumabom</w:t>
            </w:r>
          </w:p>
        </w:tc>
        <w:tc>
          <w:tcPr>
            <w:tcW w:w="830" w:type="pct"/>
            <w:shd w:val="clear" w:color="auto" w:fill="auto"/>
          </w:tcPr>
          <w:p w14:paraId="7D04086F" w14:textId="77777777" w:rsidR="00C36D57" w:rsidRPr="002041DF" w:rsidRDefault="00C36D57" w:rsidP="002041DF">
            <w:pPr>
              <w:widowControl w:val="0"/>
              <w:autoSpaceDE w:val="0"/>
              <w:autoSpaceDN w:val="0"/>
              <w:adjustRightInd w:val="0"/>
              <w:jc w:val="both"/>
              <w:rPr>
                <w:sz w:val="22"/>
                <w:szCs w:val="22"/>
                <w:lang w:val="sr-Latn-ME"/>
              </w:rPr>
            </w:pPr>
            <w:r w:rsidRPr="002041DF">
              <w:rPr>
                <w:sz w:val="22"/>
                <w:szCs w:val="22"/>
                <w:lang w:val="sr-Latn-ME"/>
              </w:rPr>
              <w:t>0% (0/47)</w:t>
            </w:r>
          </w:p>
        </w:tc>
        <w:tc>
          <w:tcPr>
            <w:tcW w:w="1004" w:type="pct"/>
            <w:shd w:val="clear" w:color="auto" w:fill="auto"/>
          </w:tcPr>
          <w:p w14:paraId="1EC48D73" w14:textId="77777777" w:rsidR="00C36D57" w:rsidRPr="002041DF" w:rsidRDefault="00C36D57" w:rsidP="002041DF">
            <w:pPr>
              <w:widowControl w:val="0"/>
              <w:autoSpaceDE w:val="0"/>
              <w:autoSpaceDN w:val="0"/>
              <w:adjustRightInd w:val="0"/>
              <w:jc w:val="both"/>
              <w:rPr>
                <w:sz w:val="22"/>
                <w:szCs w:val="22"/>
                <w:lang w:val="sr-Latn-ME"/>
              </w:rPr>
            </w:pPr>
            <w:r w:rsidRPr="002041DF">
              <w:rPr>
                <w:sz w:val="22"/>
                <w:szCs w:val="22"/>
                <w:lang w:val="sr-Latn-ME"/>
              </w:rPr>
              <w:t>10% (6/58)</w:t>
            </w:r>
            <w:r w:rsidRPr="002041DF">
              <w:rPr>
                <w:sz w:val="22"/>
                <w:szCs w:val="22"/>
                <w:vertAlign w:val="superscript"/>
                <w:lang w:val="sr-Latn-ME"/>
              </w:rPr>
              <w:t>c</w:t>
            </w:r>
          </w:p>
        </w:tc>
      </w:tr>
      <w:tr w:rsidR="00C36D57" w:rsidRPr="002041DF" w14:paraId="0F300BDC" w14:textId="77777777" w:rsidTr="007C6E24">
        <w:trPr>
          <w:jc w:val="center"/>
        </w:trPr>
        <w:tc>
          <w:tcPr>
            <w:tcW w:w="3166" w:type="pct"/>
            <w:shd w:val="clear" w:color="auto" w:fill="auto"/>
          </w:tcPr>
          <w:p w14:paraId="62E3DD58" w14:textId="77777777" w:rsidR="00C36D57" w:rsidRPr="002041DF" w:rsidRDefault="00C36D57" w:rsidP="002041DF">
            <w:pPr>
              <w:widowControl w:val="0"/>
              <w:autoSpaceDE w:val="0"/>
              <w:autoSpaceDN w:val="0"/>
              <w:adjustRightInd w:val="0"/>
              <w:jc w:val="both"/>
              <w:rPr>
                <w:sz w:val="22"/>
                <w:szCs w:val="22"/>
                <w:lang w:val="sr-Latn-ME"/>
              </w:rPr>
            </w:pPr>
            <w:r w:rsidRPr="002041DF">
              <w:rPr>
                <w:sz w:val="22"/>
                <w:szCs w:val="22"/>
                <w:lang w:val="sr-Latn-ME"/>
              </w:rPr>
              <w:t>Klinički odgovor</w:t>
            </w:r>
            <w:r w:rsidRPr="002041DF">
              <w:rPr>
                <w:sz w:val="22"/>
                <w:szCs w:val="22"/>
                <w:vertAlign w:val="superscript"/>
                <w:lang w:val="sr-Latn-ME"/>
              </w:rPr>
              <w:t>§</w:t>
            </w:r>
          </w:p>
        </w:tc>
        <w:tc>
          <w:tcPr>
            <w:tcW w:w="830" w:type="pct"/>
            <w:shd w:val="clear" w:color="auto" w:fill="auto"/>
          </w:tcPr>
          <w:p w14:paraId="5AAF7413" w14:textId="77777777" w:rsidR="00C36D57" w:rsidRPr="002041DF" w:rsidRDefault="00C36D57" w:rsidP="002041DF">
            <w:pPr>
              <w:widowControl w:val="0"/>
              <w:autoSpaceDE w:val="0"/>
              <w:autoSpaceDN w:val="0"/>
              <w:adjustRightInd w:val="0"/>
              <w:jc w:val="both"/>
              <w:rPr>
                <w:sz w:val="22"/>
                <w:szCs w:val="22"/>
                <w:lang w:val="sr-Latn-ME"/>
              </w:rPr>
            </w:pPr>
            <w:r w:rsidRPr="002041DF">
              <w:rPr>
                <w:sz w:val="22"/>
                <w:szCs w:val="22"/>
                <w:lang w:val="sr-Latn-ME"/>
              </w:rPr>
              <w:t>31%</w:t>
            </w:r>
          </w:p>
        </w:tc>
        <w:tc>
          <w:tcPr>
            <w:tcW w:w="1004" w:type="pct"/>
            <w:shd w:val="clear" w:color="auto" w:fill="auto"/>
          </w:tcPr>
          <w:p w14:paraId="1804E774" w14:textId="77777777" w:rsidR="00C36D57" w:rsidRPr="002041DF" w:rsidRDefault="00C36D57" w:rsidP="002041DF">
            <w:pPr>
              <w:widowControl w:val="0"/>
              <w:autoSpaceDE w:val="0"/>
              <w:autoSpaceDN w:val="0"/>
              <w:adjustRightInd w:val="0"/>
              <w:jc w:val="both"/>
              <w:rPr>
                <w:sz w:val="22"/>
                <w:szCs w:val="22"/>
                <w:lang w:val="sr-Latn-ME"/>
              </w:rPr>
            </w:pPr>
            <w:r w:rsidRPr="002041DF">
              <w:rPr>
                <w:sz w:val="22"/>
                <w:szCs w:val="22"/>
                <w:lang w:val="sr-Latn-ME"/>
              </w:rPr>
              <w:t>62%</w:t>
            </w:r>
            <w:r w:rsidRPr="002041DF">
              <w:rPr>
                <w:sz w:val="22"/>
                <w:szCs w:val="22"/>
                <w:vertAlign w:val="superscript"/>
                <w:lang w:val="sr-Latn-ME"/>
              </w:rPr>
              <w:t>a</w:t>
            </w:r>
          </w:p>
        </w:tc>
      </w:tr>
      <w:tr w:rsidR="00C36D57" w:rsidRPr="002041DF" w14:paraId="6BC29309" w14:textId="77777777" w:rsidTr="007C6E24">
        <w:trPr>
          <w:jc w:val="center"/>
        </w:trPr>
        <w:tc>
          <w:tcPr>
            <w:tcW w:w="3166" w:type="pct"/>
            <w:shd w:val="clear" w:color="auto" w:fill="auto"/>
          </w:tcPr>
          <w:p w14:paraId="4143ABAC" w14:textId="530E7E6E" w:rsidR="00C36D57" w:rsidRPr="002041DF" w:rsidRDefault="00C36D57" w:rsidP="002041DF">
            <w:pPr>
              <w:widowControl w:val="0"/>
              <w:autoSpaceDE w:val="0"/>
              <w:autoSpaceDN w:val="0"/>
              <w:adjustRightInd w:val="0"/>
              <w:ind w:left="284"/>
              <w:jc w:val="both"/>
              <w:rPr>
                <w:sz w:val="22"/>
                <w:szCs w:val="22"/>
                <w:lang w:val="sr-Latn-ME"/>
              </w:rPr>
            </w:pPr>
            <w:r w:rsidRPr="002041DF">
              <w:rPr>
                <w:sz w:val="22"/>
                <w:szCs w:val="22"/>
                <w:lang w:val="sr-Latn-ME"/>
              </w:rPr>
              <w:t xml:space="preserve">Kod pacijenata </w:t>
            </w:r>
            <w:r w:rsidR="003E0F36" w:rsidRPr="002041DF">
              <w:rPr>
                <w:sz w:val="22"/>
                <w:szCs w:val="22"/>
                <w:lang w:val="sr-Latn-ME"/>
              </w:rPr>
              <w:t>neuspješno</w:t>
            </w:r>
            <w:r w:rsidRPr="002041DF">
              <w:rPr>
                <w:sz w:val="22"/>
                <w:szCs w:val="22"/>
                <w:lang w:val="sr-Latn-ME"/>
              </w:rPr>
              <w:t xml:space="preserve"> </w:t>
            </w:r>
            <w:r w:rsidR="00891C9B" w:rsidRPr="002041DF">
              <w:rPr>
                <w:sz w:val="22"/>
                <w:szCs w:val="22"/>
                <w:lang w:val="sr-Latn-ME"/>
              </w:rPr>
              <w:t>liječen</w:t>
            </w:r>
            <w:r w:rsidRPr="002041DF">
              <w:rPr>
                <w:sz w:val="22"/>
                <w:szCs w:val="22"/>
                <w:lang w:val="sr-Latn-ME"/>
              </w:rPr>
              <w:t>ih konvencionalnom terapijom, ali ne i biološkom terapijom</w:t>
            </w:r>
          </w:p>
        </w:tc>
        <w:tc>
          <w:tcPr>
            <w:tcW w:w="830" w:type="pct"/>
            <w:shd w:val="clear" w:color="auto" w:fill="auto"/>
          </w:tcPr>
          <w:p w14:paraId="5C1DBA87" w14:textId="77777777" w:rsidR="00C36D57" w:rsidRPr="002041DF" w:rsidRDefault="00C36D57" w:rsidP="002041DF">
            <w:pPr>
              <w:widowControl w:val="0"/>
              <w:autoSpaceDE w:val="0"/>
              <w:autoSpaceDN w:val="0"/>
              <w:adjustRightInd w:val="0"/>
              <w:jc w:val="both"/>
              <w:rPr>
                <w:sz w:val="22"/>
                <w:szCs w:val="22"/>
                <w:lang w:val="sr-Latn-ME"/>
              </w:rPr>
            </w:pPr>
            <w:r w:rsidRPr="002041DF">
              <w:rPr>
                <w:sz w:val="22"/>
                <w:szCs w:val="22"/>
                <w:lang w:val="sr-Latn-ME"/>
              </w:rPr>
              <w:t>35% (56/158)</w:t>
            </w:r>
          </w:p>
        </w:tc>
        <w:tc>
          <w:tcPr>
            <w:tcW w:w="1004" w:type="pct"/>
            <w:shd w:val="clear" w:color="auto" w:fill="auto"/>
          </w:tcPr>
          <w:p w14:paraId="7B89AD19" w14:textId="77777777" w:rsidR="00C36D57" w:rsidRPr="002041DF" w:rsidRDefault="00C36D57" w:rsidP="002041DF">
            <w:pPr>
              <w:widowControl w:val="0"/>
              <w:autoSpaceDE w:val="0"/>
              <w:autoSpaceDN w:val="0"/>
              <w:adjustRightInd w:val="0"/>
              <w:jc w:val="both"/>
              <w:rPr>
                <w:sz w:val="22"/>
                <w:szCs w:val="22"/>
                <w:vertAlign w:val="superscript"/>
                <w:lang w:val="sr-Latn-ME"/>
              </w:rPr>
            </w:pPr>
            <w:r w:rsidRPr="002041DF">
              <w:rPr>
                <w:sz w:val="22"/>
                <w:szCs w:val="22"/>
                <w:lang w:val="sr-Latn-ME"/>
              </w:rPr>
              <w:t>67% (104/156)</w:t>
            </w:r>
            <w:r w:rsidRPr="002041DF">
              <w:rPr>
                <w:sz w:val="22"/>
                <w:szCs w:val="22"/>
                <w:vertAlign w:val="superscript"/>
                <w:lang w:val="sr-Latn-ME"/>
              </w:rPr>
              <w:t>b</w:t>
            </w:r>
          </w:p>
        </w:tc>
      </w:tr>
      <w:tr w:rsidR="00C36D57" w:rsidRPr="002041DF" w14:paraId="0CAFD790" w14:textId="77777777" w:rsidTr="007C6E24">
        <w:trPr>
          <w:jc w:val="center"/>
        </w:trPr>
        <w:tc>
          <w:tcPr>
            <w:tcW w:w="3166" w:type="pct"/>
            <w:shd w:val="clear" w:color="auto" w:fill="auto"/>
          </w:tcPr>
          <w:p w14:paraId="228FC352" w14:textId="3CC3E308" w:rsidR="00C36D57" w:rsidRPr="002041DF" w:rsidRDefault="00C36D57" w:rsidP="002041DF">
            <w:pPr>
              <w:widowControl w:val="0"/>
              <w:autoSpaceDE w:val="0"/>
              <w:autoSpaceDN w:val="0"/>
              <w:adjustRightInd w:val="0"/>
              <w:ind w:left="284"/>
              <w:jc w:val="both"/>
              <w:rPr>
                <w:sz w:val="22"/>
                <w:szCs w:val="22"/>
                <w:lang w:val="sr-Latn-ME"/>
              </w:rPr>
            </w:pPr>
            <w:r w:rsidRPr="002041DF">
              <w:rPr>
                <w:sz w:val="22"/>
                <w:szCs w:val="22"/>
                <w:lang w:val="sr-Latn-ME"/>
              </w:rPr>
              <w:t xml:space="preserve">Kod pacijenata </w:t>
            </w:r>
            <w:r w:rsidR="003E0F36" w:rsidRPr="002041DF">
              <w:rPr>
                <w:sz w:val="22"/>
                <w:szCs w:val="22"/>
                <w:lang w:val="sr-Latn-ME"/>
              </w:rPr>
              <w:t>neuspješno</w:t>
            </w:r>
            <w:r w:rsidRPr="002041DF">
              <w:rPr>
                <w:sz w:val="22"/>
                <w:szCs w:val="22"/>
                <w:lang w:val="sr-Latn-ME"/>
              </w:rPr>
              <w:t xml:space="preserve"> </w:t>
            </w:r>
            <w:r w:rsidR="00891C9B" w:rsidRPr="002041DF">
              <w:rPr>
                <w:sz w:val="22"/>
                <w:szCs w:val="22"/>
                <w:lang w:val="sr-Latn-ME"/>
              </w:rPr>
              <w:t>liječen</w:t>
            </w:r>
            <w:r w:rsidRPr="002041DF">
              <w:rPr>
                <w:sz w:val="22"/>
                <w:szCs w:val="22"/>
                <w:lang w:val="sr-Latn-ME"/>
              </w:rPr>
              <w:t>ih biološkom terapijom</w:t>
            </w:r>
            <w:r w:rsidRPr="002041DF">
              <w:rPr>
                <w:sz w:val="22"/>
                <w:szCs w:val="22"/>
                <w:vertAlign w:val="superscript"/>
                <w:lang w:val="sr-Latn-ME"/>
              </w:rPr>
              <w:t>¥</w:t>
            </w:r>
          </w:p>
        </w:tc>
        <w:tc>
          <w:tcPr>
            <w:tcW w:w="830" w:type="pct"/>
            <w:shd w:val="clear" w:color="auto" w:fill="auto"/>
          </w:tcPr>
          <w:p w14:paraId="0044EECB" w14:textId="77777777" w:rsidR="00C36D57" w:rsidRPr="002041DF" w:rsidRDefault="00C36D57" w:rsidP="002041DF">
            <w:pPr>
              <w:widowControl w:val="0"/>
              <w:autoSpaceDE w:val="0"/>
              <w:autoSpaceDN w:val="0"/>
              <w:adjustRightInd w:val="0"/>
              <w:jc w:val="both"/>
              <w:rPr>
                <w:sz w:val="22"/>
                <w:szCs w:val="22"/>
                <w:lang w:val="sr-Latn-ME"/>
              </w:rPr>
            </w:pPr>
            <w:r w:rsidRPr="002041DF">
              <w:rPr>
                <w:sz w:val="22"/>
                <w:szCs w:val="22"/>
                <w:lang w:val="sr-Latn-ME"/>
              </w:rPr>
              <w:t>27% (44/161)</w:t>
            </w:r>
          </w:p>
        </w:tc>
        <w:tc>
          <w:tcPr>
            <w:tcW w:w="1004" w:type="pct"/>
            <w:shd w:val="clear" w:color="auto" w:fill="auto"/>
          </w:tcPr>
          <w:p w14:paraId="6F899897" w14:textId="77777777" w:rsidR="00C36D57" w:rsidRPr="002041DF" w:rsidRDefault="00C36D57" w:rsidP="002041DF">
            <w:pPr>
              <w:widowControl w:val="0"/>
              <w:autoSpaceDE w:val="0"/>
              <w:autoSpaceDN w:val="0"/>
              <w:adjustRightInd w:val="0"/>
              <w:jc w:val="both"/>
              <w:rPr>
                <w:sz w:val="22"/>
                <w:szCs w:val="22"/>
                <w:vertAlign w:val="superscript"/>
                <w:lang w:val="sr-Latn-ME"/>
              </w:rPr>
            </w:pPr>
            <w:r w:rsidRPr="002041DF">
              <w:rPr>
                <w:sz w:val="22"/>
                <w:szCs w:val="22"/>
                <w:lang w:val="sr-Latn-ME"/>
              </w:rPr>
              <w:t>57% (95/166)</w:t>
            </w:r>
            <w:r w:rsidRPr="002041DF">
              <w:rPr>
                <w:sz w:val="22"/>
                <w:szCs w:val="22"/>
                <w:vertAlign w:val="superscript"/>
                <w:lang w:val="sr-Latn-ME"/>
              </w:rPr>
              <w:t>b</w:t>
            </w:r>
          </w:p>
        </w:tc>
      </w:tr>
      <w:tr w:rsidR="00C36D57" w:rsidRPr="002041DF" w14:paraId="459130B3" w14:textId="77777777" w:rsidTr="007C6E24">
        <w:trPr>
          <w:jc w:val="center"/>
        </w:trPr>
        <w:tc>
          <w:tcPr>
            <w:tcW w:w="3166" w:type="pct"/>
            <w:shd w:val="clear" w:color="auto" w:fill="auto"/>
          </w:tcPr>
          <w:p w14:paraId="50ED772B" w14:textId="34426126" w:rsidR="00C36D57" w:rsidRPr="002041DF" w:rsidRDefault="00C36D57" w:rsidP="002041DF">
            <w:pPr>
              <w:widowControl w:val="0"/>
              <w:autoSpaceDE w:val="0"/>
              <w:autoSpaceDN w:val="0"/>
              <w:adjustRightInd w:val="0"/>
              <w:ind w:left="284"/>
              <w:jc w:val="both"/>
              <w:rPr>
                <w:sz w:val="22"/>
                <w:szCs w:val="22"/>
                <w:lang w:val="sr-Latn-ME"/>
              </w:rPr>
            </w:pPr>
            <w:r w:rsidRPr="002041DF">
              <w:rPr>
                <w:sz w:val="22"/>
                <w:szCs w:val="22"/>
                <w:lang w:val="sr-Latn-ME"/>
              </w:rPr>
              <w:t xml:space="preserve">Kod pacijenata </w:t>
            </w:r>
            <w:r w:rsidR="003E0F36" w:rsidRPr="002041DF">
              <w:rPr>
                <w:sz w:val="22"/>
                <w:szCs w:val="22"/>
                <w:lang w:val="sr-Latn-ME"/>
              </w:rPr>
              <w:t>neuspješno</w:t>
            </w:r>
            <w:r w:rsidRPr="002041DF">
              <w:rPr>
                <w:sz w:val="22"/>
                <w:szCs w:val="22"/>
                <w:lang w:val="sr-Latn-ME"/>
              </w:rPr>
              <w:t xml:space="preserve"> </w:t>
            </w:r>
            <w:r w:rsidR="00891C9B" w:rsidRPr="002041DF">
              <w:rPr>
                <w:sz w:val="22"/>
                <w:szCs w:val="22"/>
                <w:lang w:val="sr-Latn-ME"/>
              </w:rPr>
              <w:t>liječen</w:t>
            </w:r>
            <w:r w:rsidRPr="002041DF">
              <w:rPr>
                <w:sz w:val="22"/>
                <w:szCs w:val="22"/>
                <w:lang w:val="sr-Latn-ME"/>
              </w:rPr>
              <w:t>ih antagonistima TNFα i vedolizumabom</w:t>
            </w:r>
          </w:p>
        </w:tc>
        <w:tc>
          <w:tcPr>
            <w:tcW w:w="830" w:type="pct"/>
            <w:shd w:val="clear" w:color="auto" w:fill="auto"/>
          </w:tcPr>
          <w:p w14:paraId="41018DE1" w14:textId="77777777" w:rsidR="00C36D57" w:rsidRPr="002041DF" w:rsidRDefault="00C36D57" w:rsidP="002041DF">
            <w:pPr>
              <w:widowControl w:val="0"/>
              <w:autoSpaceDE w:val="0"/>
              <w:autoSpaceDN w:val="0"/>
              <w:adjustRightInd w:val="0"/>
              <w:jc w:val="both"/>
              <w:rPr>
                <w:sz w:val="22"/>
                <w:szCs w:val="22"/>
                <w:lang w:val="sr-Latn-ME"/>
              </w:rPr>
            </w:pPr>
            <w:r w:rsidRPr="002041DF">
              <w:rPr>
                <w:sz w:val="22"/>
                <w:szCs w:val="22"/>
                <w:lang w:val="sr-Latn-ME"/>
              </w:rPr>
              <w:t>28% (13/47)</w:t>
            </w:r>
          </w:p>
        </w:tc>
        <w:tc>
          <w:tcPr>
            <w:tcW w:w="1004" w:type="pct"/>
            <w:shd w:val="clear" w:color="auto" w:fill="auto"/>
          </w:tcPr>
          <w:p w14:paraId="73ACC1BC" w14:textId="77777777" w:rsidR="00C36D57" w:rsidRPr="002041DF" w:rsidRDefault="00C36D57" w:rsidP="002041DF">
            <w:pPr>
              <w:widowControl w:val="0"/>
              <w:autoSpaceDE w:val="0"/>
              <w:autoSpaceDN w:val="0"/>
              <w:adjustRightInd w:val="0"/>
              <w:jc w:val="both"/>
              <w:rPr>
                <w:sz w:val="22"/>
                <w:szCs w:val="22"/>
                <w:lang w:val="sr-Latn-ME"/>
              </w:rPr>
            </w:pPr>
            <w:r w:rsidRPr="002041DF">
              <w:rPr>
                <w:sz w:val="22"/>
                <w:szCs w:val="22"/>
                <w:lang w:val="sr-Latn-ME"/>
              </w:rPr>
              <w:t>52% (30/58)</w:t>
            </w:r>
            <w:r w:rsidRPr="002041DF">
              <w:rPr>
                <w:sz w:val="22"/>
                <w:szCs w:val="22"/>
                <w:vertAlign w:val="superscript"/>
                <w:lang w:val="sr-Latn-ME"/>
              </w:rPr>
              <w:t>c</w:t>
            </w:r>
          </w:p>
        </w:tc>
      </w:tr>
      <w:tr w:rsidR="00C36D57" w:rsidRPr="002041DF" w14:paraId="3E9318E0" w14:textId="77777777" w:rsidTr="007C6E24">
        <w:trPr>
          <w:jc w:val="center"/>
        </w:trPr>
        <w:tc>
          <w:tcPr>
            <w:tcW w:w="3166" w:type="pct"/>
            <w:shd w:val="clear" w:color="auto" w:fill="auto"/>
          </w:tcPr>
          <w:p w14:paraId="6E060FFA" w14:textId="66D3F717" w:rsidR="00C36D57" w:rsidRPr="002041DF" w:rsidRDefault="00C36D57" w:rsidP="002041DF">
            <w:pPr>
              <w:widowControl w:val="0"/>
              <w:autoSpaceDE w:val="0"/>
              <w:autoSpaceDN w:val="0"/>
              <w:adjustRightInd w:val="0"/>
              <w:jc w:val="both"/>
              <w:rPr>
                <w:sz w:val="22"/>
                <w:szCs w:val="22"/>
                <w:lang w:val="sr-Latn-ME"/>
              </w:rPr>
            </w:pPr>
            <w:r w:rsidRPr="002041DF">
              <w:rPr>
                <w:sz w:val="22"/>
                <w:szCs w:val="22"/>
                <w:lang w:val="sr-Latn-ME"/>
              </w:rPr>
              <w:t>Zac</w:t>
            </w:r>
            <w:r w:rsidR="003E0F36" w:rsidRPr="002041DF">
              <w:rPr>
                <w:sz w:val="22"/>
                <w:szCs w:val="22"/>
                <w:lang w:val="sr-Latn-ME"/>
              </w:rPr>
              <w:t>j</w:t>
            </w:r>
            <w:r w:rsidRPr="002041DF">
              <w:rPr>
                <w:sz w:val="22"/>
                <w:szCs w:val="22"/>
                <w:lang w:val="sr-Latn-ME"/>
              </w:rPr>
              <w:t>eljivanje sluznice</w:t>
            </w:r>
            <w:r w:rsidRPr="002041DF">
              <w:rPr>
                <w:sz w:val="22"/>
                <w:szCs w:val="22"/>
                <w:vertAlign w:val="superscript"/>
                <w:lang w:val="sr-Latn-ME"/>
              </w:rPr>
              <w:t>†</w:t>
            </w:r>
          </w:p>
        </w:tc>
        <w:tc>
          <w:tcPr>
            <w:tcW w:w="830" w:type="pct"/>
            <w:shd w:val="clear" w:color="auto" w:fill="auto"/>
          </w:tcPr>
          <w:p w14:paraId="799FD890" w14:textId="77777777" w:rsidR="00C36D57" w:rsidRPr="002041DF" w:rsidRDefault="00C36D57" w:rsidP="002041DF">
            <w:pPr>
              <w:widowControl w:val="0"/>
              <w:autoSpaceDE w:val="0"/>
              <w:autoSpaceDN w:val="0"/>
              <w:adjustRightInd w:val="0"/>
              <w:jc w:val="both"/>
              <w:rPr>
                <w:sz w:val="22"/>
                <w:szCs w:val="22"/>
                <w:lang w:val="sr-Latn-ME"/>
              </w:rPr>
            </w:pPr>
            <w:r w:rsidRPr="002041DF">
              <w:rPr>
                <w:sz w:val="22"/>
                <w:szCs w:val="22"/>
                <w:lang w:val="sr-Latn-ME"/>
              </w:rPr>
              <w:t>14%</w:t>
            </w:r>
          </w:p>
        </w:tc>
        <w:tc>
          <w:tcPr>
            <w:tcW w:w="1004" w:type="pct"/>
            <w:shd w:val="clear" w:color="auto" w:fill="auto"/>
          </w:tcPr>
          <w:p w14:paraId="0443F823" w14:textId="77777777" w:rsidR="00C36D57" w:rsidRPr="002041DF" w:rsidRDefault="00C36D57" w:rsidP="002041DF">
            <w:pPr>
              <w:widowControl w:val="0"/>
              <w:autoSpaceDE w:val="0"/>
              <w:autoSpaceDN w:val="0"/>
              <w:adjustRightInd w:val="0"/>
              <w:jc w:val="both"/>
              <w:rPr>
                <w:sz w:val="22"/>
                <w:szCs w:val="22"/>
                <w:vertAlign w:val="superscript"/>
                <w:lang w:val="sr-Latn-ME"/>
              </w:rPr>
            </w:pPr>
            <w:r w:rsidRPr="002041DF">
              <w:rPr>
                <w:sz w:val="22"/>
                <w:szCs w:val="22"/>
                <w:lang w:val="sr-Latn-ME"/>
              </w:rPr>
              <w:t>27%</w:t>
            </w:r>
            <w:r w:rsidRPr="002041DF">
              <w:rPr>
                <w:sz w:val="22"/>
                <w:szCs w:val="22"/>
                <w:vertAlign w:val="superscript"/>
                <w:lang w:val="sr-Latn-ME"/>
              </w:rPr>
              <w:t>a</w:t>
            </w:r>
          </w:p>
        </w:tc>
      </w:tr>
      <w:tr w:rsidR="00C36D57" w:rsidRPr="002041DF" w14:paraId="57416D9A" w14:textId="77777777" w:rsidTr="007C6E24">
        <w:trPr>
          <w:jc w:val="center"/>
        </w:trPr>
        <w:tc>
          <w:tcPr>
            <w:tcW w:w="3166" w:type="pct"/>
            <w:shd w:val="clear" w:color="auto" w:fill="auto"/>
          </w:tcPr>
          <w:p w14:paraId="2C2E3220" w14:textId="19423EFF" w:rsidR="00C36D57" w:rsidRPr="002041DF" w:rsidRDefault="00C36D57" w:rsidP="002041DF">
            <w:pPr>
              <w:widowControl w:val="0"/>
              <w:autoSpaceDE w:val="0"/>
              <w:autoSpaceDN w:val="0"/>
              <w:adjustRightInd w:val="0"/>
              <w:ind w:left="284"/>
              <w:jc w:val="both"/>
              <w:rPr>
                <w:sz w:val="22"/>
                <w:szCs w:val="22"/>
                <w:lang w:val="sr-Latn-ME"/>
              </w:rPr>
            </w:pPr>
            <w:r w:rsidRPr="002041DF">
              <w:rPr>
                <w:sz w:val="22"/>
                <w:szCs w:val="22"/>
                <w:lang w:val="sr-Latn-ME"/>
              </w:rPr>
              <w:t xml:space="preserve">Kod pacijenata </w:t>
            </w:r>
            <w:r w:rsidR="003E0F36" w:rsidRPr="002041DF">
              <w:rPr>
                <w:sz w:val="22"/>
                <w:szCs w:val="22"/>
                <w:lang w:val="sr-Latn-ME"/>
              </w:rPr>
              <w:t>neuspješno</w:t>
            </w:r>
            <w:r w:rsidRPr="002041DF">
              <w:rPr>
                <w:sz w:val="22"/>
                <w:szCs w:val="22"/>
                <w:lang w:val="sr-Latn-ME"/>
              </w:rPr>
              <w:t xml:space="preserve"> </w:t>
            </w:r>
            <w:r w:rsidR="00891C9B" w:rsidRPr="002041DF">
              <w:rPr>
                <w:sz w:val="22"/>
                <w:szCs w:val="22"/>
                <w:lang w:val="sr-Latn-ME"/>
              </w:rPr>
              <w:t>liječen</w:t>
            </w:r>
            <w:r w:rsidRPr="002041DF">
              <w:rPr>
                <w:sz w:val="22"/>
                <w:szCs w:val="22"/>
                <w:lang w:val="sr-Latn-ME"/>
              </w:rPr>
              <w:t>ih konvencionalnom terapijom, ali ne i biološkom terapijom</w:t>
            </w:r>
          </w:p>
        </w:tc>
        <w:tc>
          <w:tcPr>
            <w:tcW w:w="830" w:type="pct"/>
            <w:shd w:val="clear" w:color="auto" w:fill="auto"/>
          </w:tcPr>
          <w:p w14:paraId="0345CCEC" w14:textId="77777777" w:rsidR="00C36D57" w:rsidRPr="002041DF" w:rsidRDefault="00C36D57" w:rsidP="002041DF">
            <w:pPr>
              <w:widowControl w:val="0"/>
              <w:autoSpaceDE w:val="0"/>
              <w:autoSpaceDN w:val="0"/>
              <w:adjustRightInd w:val="0"/>
              <w:jc w:val="both"/>
              <w:rPr>
                <w:sz w:val="22"/>
                <w:szCs w:val="22"/>
                <w:lang w:val="sr-Latn-ME"/>
              </w:rPr>
            </w:pPr>
            <w:r w:rsidRPr="002041DF">
              <w:rPr>
                <w:sz w:val="22"/>
                <w:szCs w:val="22"/>
                <w:lang w:val="sr-Latn-ME"/>
              </w:rPr>
              <w:t>21% (33/158)</w:t>
            </w:r>
          </w:p>
          <w:p w14:paraId="27D31E4D" w14:textId="77777777" w:rsidR="00C36D57" w:rsidRPr="002041DF" w:rsidRDefault="00C36D57" w:rsidP="002041DF">
            <w:pPr>
              <w:widowControl w:val="0"/>
              <w:autoSpaceDE w:val="0"/>
              <w:autoSpaceDN w:val="0"/>
              <w:adjustRightInd w:val="0"/>
              <w:jc w:val="both"/>
              <w:rPr>
                <w:sz w:val="22"/>
                <w:szCs w:val="22"/>
                <w:lang w:val="sr-Latn-ME"/>
              </w:rPr>
            </w:pPr>
          </w:p>
        </w:tc>
        <w:tc>
          <w:tcPr>
            <w:tcW w:w="1004" w:type="pct"/>
            <w:shd w:val="clear" w:color="auto" w:fill="auto"/>
          </w:tcPr>
          <w:p w14:paraId="693E3C06" w14:textId="77777777" w:rsidR="00C36D57" w:rsidRPr="002041DF" w:rsidRDefault="00C36D57" w:rsidP="002041DF">
            <w:pPr>
              <w:widowControl w:val="0"/>
              <w:autoSpaceDE w:val="0"/>
              <w:autoSpaceDN w:val="0"/>
              <w:adjustRightInd w:val="0"/>
              <w:jc w:val="both"/>
              <w:rPr>
                <w:sz w:val="22"/>
                <w:szCs w:val="22"/>
                <w:vertAlign w:val="superscript"/>
                <w:lang w:val="sr-Latn-ME"/>
              </w:rPr>
            </w:pPr>
            <w:r w:rsidRPr="002041DF">
              <w:rPr>
                <w:sz w:val="22"/>
                <w:szCs w:val="22"/>
                <w:lang w:val="sr-Latn-ME"/>
              </w:rPr>
              <w:t>33% (52/156)</w:t>
            </w:r>
            <w:r w:rsidRPr="002041DF">
              <w:rPr>
                <w:sz w:val="22"/>
                <w:szCs w:val="22"/>
                <w:vertAlign w:val="superscript"/>
                <w:lang w:val="sr-Latn-ME"/>
              </w:rPr>
              <w:t>c</w:t>
            </w:r>
          </w:p>
          <w:p w14:paraId="1391B109" w14:textId="77777777" w:rsidR="00C36D57" w:rsidRPr="002041DF" w:rsidRDefault="00C36D57" w:rsidP="002041DF">
            <w:pPr>
              <w:widowControl w:val="0"/>
              <w:autoSpaceDE w:val="0"/>
              <w:autoSpaceDN w:val="0"/>
              <w:adjustRightInd w:val="0"/>
              <w:jc w:val="both"/>
              <w:rPr>
                <w:sz w:val="22"/>
                <w:szCs w:val="22"/>
                <w:lang w:val="sr-Latn-ME"/>
              </w:rPr>
            </w:pPr>
          </w:p>
        </w:tc>
      </w:tr>
      <w:tr w:rsidR="00C36D57" w:rsidRPr="002041DF" w14:paraId="03A95D7F" w14:textId="77777777" w:rsidTr="007C6E24">
        <w:trPr>
          <w:jc w:val="center"/>
        </w:trPr>
        <w:tc>
          <w:tcPr>
            <w:tcW w:w="3166" w:type="pct"/>
            <w:shd w:val="clear" w:color="auto" w:fill="auto"/>
          </w:tcPr>
          <w:p w14:paraId="041683CB" w14:textId="0CA43CB9" w:rsidR="00C36D57" w:rsidRPr="002041DF" w:rsidRDefault="00C36D57" w:rsidP="002041DF">
            <w:pPr>
              <w:widowControl w:val="0"/>
              <w:autoSpaceDE w:val="0"/>
              <w:autoSpaceDN w:val="0"/>
              <w:adjustRightInd w:val="0"/>
              <w:ind w:left="284"/>
              <w:jc w:val="both"/>
              <w:rPr>
                <w:sz w:val="22"/>
                <w:szCs w:val="22"/>
                <w:lang w:val="sr-Latn-ME"/>
              </w:rPr>
            </w:pPr>
            <w:r w:rsidRPr="002041DF">
              <w:rPr>
                <w:sz w:val="22"/>
                <w:szCs w:val="22"/>
                <w:lang w:val="sr-Latn-ME"/>
              </w:rPr>
              <w:t xml:space="preserve">Kod pacijenata </w:t>
            </w:r>
            <w:r w:rsidR="003E0F36" w:rsidRPr="002041DF">
              <w:rPr>
                <w:sz w:val="22"/>
                <w:szCs w:val="22"/>
                <w:lang w:val="sr-Latn-ME"/>
              </w:rPr>
              <w:t>neuspješno</w:t>
            </w:r>
            <w:r w:rsidRPr="002041DF">
              <w:rPr>
                <w:sz w:val="22"/>
                <w:szCs w:val="22"/>
                <w:lang w:val="sr-Latn-ME"/>
              </w:rPr>
              <w:t xml:space="preserve"> </w:t>
            </w:r>
            <w:r w:rsidR="00891C9B" w:rsidRPr="002041DF">
              <w:rPr>
                <w:sz w:val="22"/>
                <w:szCs w:val="22"/>
                <w:lang w:val="sr-Latn-ME"/>
              </w:rPr>
              <w:t>liječen</w:t>
            </w:r>
            <w:r w:rsidRPr="002041DF">
              <w:rPr>
                <w:sz w:val="22"/>
                <w:szCs w:val="22"/>
                <w:lang w:val="sr-Latn-ME"/>
              </w:rPr>
              <w:t>ih biološkom terapijom</w:t>
            </w:r>
          </w:p>
        </w:tc>
        <w:tc>
          <w:tcPr>
            <w:tcW w:w="830" w:type="pct"/>
            <w:shd w:val="clear" w:color="auto" w:fill="auto"/>
          </w:tcPr>
          <w:p w14:paraId="6ECAA3DD" w14:textId="77777777" w:rsidR="00C36D57" w:rsidRPr="002041DF" w:rsidRDefault="00C36D57" w:rsidP="002041DF">
            <w:pPr>
              <w:widowControl w:val="0"/>
              <w:autoSpaceDE w:val="0"/>
              <w:autoSpaceDN w:val="0"/>
              <w:adjustRightInd w:val="0"/>
              <w:jc w:val="both"/>
              <w:rPr>
                <w:sz w:val="22"/>
                <w:szCs w:val="22"/>
                <w:lang w:val="sr-Latn-ME"/>
              </w:rPr>
            </w:pPr>
            <w:r w:rsidRPr="002041DF">
              <w:rPr>
                <w:sz w:val="22"/>
                <w:szCs w:val="22"/>
                <w:lang w:val="sr-Latn-ME"/>
              </w:rPr>
              <w:t>7% (11/161)</w:t>
            </w:r>
          </w:p>
        </w:tc>
        <w:tc>
          <w:tcPr>
            <w:tcW w:w="1004" w:type="pct"/>
            <w:shd w:val="clear" w:color="auto" w:fill="auto"/>
          </w:tcPr>
          <w:p w14:paraId="6EFD3A10" w14:textId="77777777" w:rsidR="00C36D57" w:rsidRPr="002041DF" w:rsidRDefault="00C36D57" w:rsidP="002041DF">
            <w:pPr>
              <w:widowControl w:val="0"/>
              <w:autoSpaceDE w:val="0"/>
              <w:autoSpaceDN w:val="0"/>
              <w:adjustRightInd w:val="0"/>
              <w:jc w:val="both"/>
              <w:rPr>
                <w:sz w:val="22"/>
                <w:szCs w:val="22"/>
                <w:vertAlign w:val="superscript"/>
                <w:lang w:val="sr-Latn-ME"/>
              </w:rPr>
            </w:pPr>
            <w:r w:rsidRPr="002041DF">
              <w:rPr>
                <w:sz w:val="22"/>
                <w:szCs w:val="22"/>
                <w:lang w:val="sr-Latn-ME"/>
              </w:rPr>
              <w:t>21% (35/166)</w:t>
            </w:r>
            <w:r w:rsidRPr="002041DF">
              <w:rPr>
                <w:sz w:val="22"/>
                <w:szCs w:val="22"/>
                <w:vertAlign w:val="superscript"/>
                <w:lang w:val="sr-Latn-ME"/>
              </w:rPr>
              <w:t>b</w:t>
            </w:r>
          </w:p>
        </w:tc>
      </w:tr>
      <w:tr w:rsidR="00C36D57" w:rsidRPr="002041DF" w14:paraId="085B659F" w14:textId="77777777" w:rsidTr="007C6E24">
        <w:trPr>
          <w:jc w:val="center"/>
        </w:trPr>
        <w:tc>
          <w:tcPr>
            <w:tcW w:w="3166" w:type="pct"/>
            <w:tcBorders>
              <w:bottom w:val="single" w:sz="4" w:space="0" w:color="auto"/>
            </w:tcBorders>
            <w:shd w:val="clear" w:color="auto" w:fill="auto"/>
          </w:tcPr>
          <w:p w14:paraId="137470FC" w14:textId="77777777" w:rsidR="00C36D57" w:rsidRPr="002041DF" w:rsidRDefault="00C36D57" w:rsidP="002041DF">
            <w:pPr>
              <w:widowControl w:val="0"/>
              <w:autoSpaceDE w:val="0"/>
              <w:autoSpaceDN w:val="0"/>
              <w:adjustRightInd w:val="0"/>
              <w:jc w:val="both"/>
              <w:rPr>
                <w:sz w:val="22"/>
                <w:szCs w:val="22"/>
                <w:lang w:val="sr-Latn-ME"/>
              </w:rPr>
            </w:pPr>
            <w:r w:rsidRPr="002041DF">
              <w:rPr>
                <w:sz w:val="22"/>
                <w:szCs w:val="22"/>
                <w:lang w:val="sr-Latn-ME"/>
              </w:rPr>
              <w:t>Simptomatska remisija</w:t>
            </w:r>
            <w:r w:rsidRPr="002041DF">
              <w:rPr>
                <w:sz w:val="22"/>
                <w:szCs w:val="22"/>
                <w:vertAlign w:val="superscript"/>
                <w:lang w:val="sr-Latn-ME"/>
              </w:rPr>
              <w:t>‡</w:t>
            </w:r>
          </w:p>
        </w:tc>
        <w:tc>
          <w:tcPr>
            <w:tcW w:w="830" w:type="pct"/>
            <w:tcBorders>
              <w:bottom w:val="single" w:sz="4" w:space="0" w:color="auto"/>
            </w:tcBorders>
            <w:shd w:val="clear" w:color="auto" w:fill="auto"/>
          </w:tcPr>
          <w:p w14:paraId="751F2E96" w14:textId="77777777" w:rsidR="00C36D57" w:rsidRPr="002041DF" w:rsidRDefault="00C36D57" w:rsidP="002041DF">
            <w:pPr>
              <w:widowControl w:val="0"/>
              <w:autoSpaceDE w:val="0"/>
              <w:autoSpaceDN w:val="0"/>
              <w:adjustRightInd w:val="0"/>
              <w:jc w:val="both"/>
              <w:rPr>
                <w:sz w:val="22"/>
                <w:szCs w:val="22"/>
                <w:lang w:val="sr-Latn-ME"/>
              </w:rPr>
            </w:pPr>
            <w:r w:rsidRPr="002041DF">
              <w:rPr>
                <w:sz w:val="22"/>
                <w:szCs w:val="22"/>
                <w:lang w:val="sr-Latn-ME"/>
              </w:rPr>
              <w:t>23%</w:t>
            </w:r>
          </w:p>
        </w:tc>
        <w:tc>
          <w:tcPr>
            <w:tcW w:w="1004" w:type="pct"/>
            <w:tcBorders>
              <w:bottom w:val="single" w:sz="4" w:space="0" w:color="auto"/>
            </w:tcBorders>
            <w:shd w:val="clear" w:color="auto" w:fill="auto"/>
          </w:tcPr>
          <w:p w14:paraId="484B35CA" w14:textId="77777777" w:rsidR="00C36D57" w:rsidRPr="002041DF" w:rsidRDefault="00C36D57" w:rsidP="002041DF">
            <w:pPr>
              <w:widowControl w:val="0"/>
              <w:autoSpaceDE w:val="0"/>
              <w:autoSpaceDN w:val="0"/>
              <w:adjustRightInd w:val="0"/>
              <w:jc w:val="both"/>
              <w:rPr>
                <w:sz w:val="22"/>
                <w:szCs w:val="22"/>
                <w:lang w:val="sr-Latn-ME"/>
              </w:rPr>
            </w:pPr>
            <w:r w:rsidRPr="002041DF">
              <w:rPr>
                <w:sz w:val="22"/>
                <w:szCs w:val="22"/>
                <w:lang w:val="sr-Latn-ME"/>
              </w:rPr>
              <w:t>45%</w:t>
            </w:r>
            <w:r w:rsidRPr="002041DF">
              <w:rPr>
                <w:sz w:val="22"/>
                <w:szCs w:val="22"/>
                <w:vertAlign w:val="superscript"/>
                <w:lang w:val="sr-Latn-ME"/>
              </w:rPr>
              <w:t>b</w:t>
            </w:r>
          </w:p>
        </w:tc>
      </w:tr>
      <w:tr w:rsidR="00C36D57" w:rsidRPr="002041DF" w14:paraId="0F815ECE" w14:textId="77777777" w:rsidTr="007C6E24">
        <w:trPr>
          <w:jc w:val="center"/>
        </w:trPr>
        <w:tc>
          <w:tcPr>
            <w:tcW w:w="3166" w:type="pct"/>
            <w:tcBorders>
              <w:bottom w:val="single" w:sz="4" w:space="0" w:color="auto"/>
            </w:tcBorders>
            <w:shd w:val="clear" w:color="auto" w:fill="auto"/>
          </w:tcPr>
          <w:p w14:paraId="35563312" w14:textId="758826EE" w:rsidR="00C36D57" w:rsidRPr="002041DF" w:rsidRDefault="00C36D57" w:rsidP="002041DF">
            <w:pPr>
              <w:widowControl w:val="0"/>
              <w:autoSpaceDE w:val="0"/>
              <w:autoSpaceDN w:val="0"/>
              <w:adjustRightInd w:val="0"/>
              <w:jc w:val="both"/>
              <w:rPr>
                <w:sz w:val="22"/>
                <w:szCs w:val="22"/>
                <w:lang w:val="sr-Latn-ME"/>
              </w:rPr>
            </w:pPr>
            <w:r w:rsidRPr="002041DF">
              <w:rPr>
                <w:sz w:val="22"/>
                <w:szCs w:val="22"/>
                <w:lang w:val="sr-Latn-ME"/>
              </w:rPr>
              <w:t>Kombinacija simptomatske remisije i zac</w:t>
            </w:r>
            <w:r w:rsidR="003E0F36" w:rsidRPr="002041DF">
              <w:rPr>
                <w:sz w:val="22"/>
                <w:szCs w:val="22"/>
                <w:lang w:val="sr-Latn-ME"/>
              </w:rPr>
              <w:t>j</w:t>
            </w:r>
            <w:r w:rsidRPr="002041DF">
              <w:rPr>
                <w:sz w:val="22"/>
                <w:szCs w:val="22"/>
                <w:lang w:val="sr-Latn-ME"/>
              </w:rPr>
              <w:t>eljivanje sluznice</w:t>
            </w:r>
            <w:r w:rsidRPr="002041DF">
              <w:rPr>
                <w:sz w:val="22"/>
                <w:szCs w:val="22"/>
                <w:vertAlign w:val="superscript"/>
                <w:lang w:val="sr-Latn-ME"/>
              </w:rPr>
              <w:t>⸸</w:t>
            </w:r>
          </w:p>
        </w:tc>
        <w:tc>
          <w:tcPr>
            <w:tcW w:w="830" w:type="pct"/>
            <w:tcBorders>
              <w:bottom w:val="single" w:sz="4" w:space="0" w:color="auto"/>
            </w:tcBorders>
            <w:shd w:val="clear" w:color="auto" w:fill="auto"/>
          </w:tcPr>
          <w:p w14:paraId="46F1F6C1" w14:textId="77777777" w:rsidR="00C36D57" w:rsidRPr="002041DF" w:rsidRDefault="00C36D57" w:rsidP="002041DF">
            <w:pPr>
              <w:widowControl w:val="0"/>
              <w:autoSpaceDE w:val="0"/>
              <w:autoSpaceDN w:val="0"/>
              <w:adjustRightInd w:val="0"/>
              <w:jc w:val="both"/>
              <w:rPr>
                <w:sz w:val="22"/>
                <w:szCs w:val="22"/>
                <w:lang w:val="sr-Latn-ME"/>
              </w:rPr>
            </w:pPr>
            <w:r w:rsidRPr="002041DF">
              <w:rPr>
                <w:sz w:val="22"/>
                <w:szCs w:val="22"/>
                <w:lang w:val="sr-Latn-ME"/>
              </w:rPr>
              <w:t>8%</w:t>
            </w:r>
          </w:p>
        </w:tc>
        <w:tc>
          <w:tcPr>
            <w:tcW w:w="1004" w:type="pct"/>
            <w:tcBorders>
              <w:bottom w:val="single" w:sz="4" w:space="0" w:color="auto"/>
            </w:tcBorders>
            <w:shd w:val="clear" w:color="auto" w:fill="auto"/>
          </w:tcPr>
          <w:p w14:paraId="4B943350" w14:textId="77777777" w:rsidR="00C36D57" w:rsidRPr="002041DF" w:rsidRDefault="00C36D57" w:rsidP="002041DF">
            <w:pPr>
              <w:widowControl w:val="0"/>
              <w:autoSpaceDE w:val="0"/>
              <w:autoSpaceDN w:val="0"/>
              <w:adjustRightInd w:val="0"/>
              <w:jc w:val="both"/>
              <w:rPr>
                <w:sz w:val="22"/>
                <w:szCs w:val="22"/>
                <w:vertAlign w:val="superscript"/>
                <w:lang w:val="sr-Latn-ME"/>
              </w:rPr>
            </w:pPr>
            <w:r w:rsidRPr="002041DF">
              <w:rPr>
                <w:sz w:val="22"/>
                <w:szCs w:val="22"/>
                <w:lang w:val="sr-Latn-ME"/>
              </w:rPr>
              <w:t>21%</w:t>
            </w:r>
            <w:r w:rsidRPr="002041DF">
              <w:rPr>
                <w:sz w:val="22"/>
                <w:szCs w:val="22"/>
                <w:vertAlign w:val="superscript"/>
                <w:lang w:val="sr-Latn-ME"/>
              </w:rPr>
              <w:t>b</w:t>
            </w:r>
          </w:p>
        </w:tc>
      </w:tr>
      <w:tr w:rsidR="00C36D57" w:rsidRPr="002041DF" w14:paraId="57A3B3A7" w14:textId="77777777" w:rsidTr="007C6E24">
        <w:trPr>
          <w:jc w:val="center"/>
        </w:trPr>
        <w:tc>
          <w:tcPr>
            <w:tcW w:w="9394" w:type="dxa"/>
            <w:gridSpan w:val="3"/>
            <w:tcBorders>
              <w:top w:val="single" w:sz="4" w:space="0" w:color="auto"/>
              <w:left w:val="nil"/>
              <w:bottom w:val="nil"/>
              <w:right w:val="nil"/>
            </w:tcBorders>
            <w:shd w:val="clear" w:color="auto" w:fill="auto"/>
          </w:tcPr>
          <w:p w14:paraId="711EB709" w14:textId="454D9BD9" w:rsidR="00C36D57" w:rsidRPr="007C6E24" w:rsidRDefault="00C36D57" w:rsidP="002041DF">
            <w:pPr>
              <w:widowControl w:val="0"/>
              <w:tabs>
                <w:tab w:val="num" w:pos="864"/>
              </w:tabs>
              <w:ind w:left="284" w:hanging="284"/>
              <w:jc w:val="both"/>
              <w:rPr>
                <w:sz w:val="20"/>
                <w:szCs w:val="22"/>
                <w:lang w:val="sr-Latn-ME"/>
              </w:rPr>
            </w:pPr>
            <w:r w:rsidRPr="007C6E24">
              <w:rPr>
                <w:sz w:val="20"/>
                <w:szCs w:val="22"/>
                <w:vertAlign w:val="superscript"/>
                <w:lang w:val="sr-Latn-ME"/>
              </w:rPr>
              <w:t>£</w:t>
            </w:r>
            <w:r w:rsidRPr="007C6E24">
              <w:rPr>
                <w:sz w:val="20"/>
                <w:szCs w:val="22"/>
                <w:vertAlign w:val="superscript"/>
                <w:lang w:val="sr-Latn-ME"/>
              </w:rPr>
              <w:tab/>
            </w:r>
            <w:r w:rsidRPr="007C6E24">
              <w:rPr>
                <w:sz w:val="20"/>
                <w:szCs w:val="22"/>
                <w:lang w:val="sr-Latn-ME"/>
              </w:rPr>
              <w:t>Doza za infuziju ustekinumaba prema režimu doziranja na osnovu t</w:t>
            </w:r>
            <w:r w:rsidR="003E0F36" w:rsidRPr="007C6E24">
              <w:rPr>
                <w:sz w:val="20"/>
                <w:szCs w:val="22"/>
                <w:lang w:val="sr-Latn-ME"/>
              </w:rPr>
              <w:t>j</w:t>
            </w:r>
            <w:r w:rsidRPr="007C6E24">
              <w:rPr>
                <w:sz w:val="20"/>
                <w:szCs w:val="22"/>
                <w:lang w:val="sr-Latn-ME"/>
              </w:rPr>
              <w:t xml:space="preserve">elesne težine navede u </w:t>
            </w:r>
            <w:r w:rsidRPr="007C6E24">
              <w:rPr>
                <w:i/>
                <w:sz w:val="20"/>
                <w:szCs w:val="22"/>
                <w:lang w:val="sr-Latn-ME"/>
              </w:rPr>
              <w:t>Tabeli 1</w:t>
            </w:r>
            <w:r w:rsidRPr="007C6E24">
              <w:rPr>
                <w:sz w:val="20"/>
                <w:szCs w:val="22"/>
                <w:lang w:val="sr-Latn-ME"/>
              </w:rPr>
              <w:t>.</w:t>
            </w:r>
          </w:p>
          <w:p w14:paraId="4260C8EF" w14:textId="7EB181F3" w:rsidR="00C36D57" w:rsidRPr="007C6E24" w:rsidRDefault="00C36D57" w:rsidP="002041DF">
            <w:pPr>
              <w:widowControl w:val="0"/>
              <w:autoSpaceDE w:val="0"/>
              <w:autoSpaceDN w:val="0"/>
              <w:adjustRightInd w:val="0"/>
              <w:ind w:left="284" w:hanging="284"/>
              <w:jc w:val="both"/>
              <w:rPr>
                <w:sz w:val="20"/>
                <w:szCs w:val="22"/>
                <w:lang w:val="sr-Latn-ME"/>
              </w:rPr>
            </w:pPr>
            <w:r w:rsidRPr="007C6E24">
              <w:rPr>
                <w:sz w:val="20"/>
                <w:szCs w:val="22"/>
                <w:lang w:val="sr-Latn-ME"/>
              </w:rPr>
              <w:t>*</w:t>
            </w:r>
            <w:r w:rsidRPr="007C6E24">
              <w:rPr>
                <w:sz w:val="20"/>
                <w:szCs w:val="22"/>
                <w:lang w:val="sr-Latn-ME"/>
              </w:rPr>
              <w:tab/>
              <w:t xml:space="preserve">Klinička remisija je definisana kao Mayo skor ≤2 </w:t>
            </w:r>
            <w:r w:rsidR="00DA33E4" w:rsidRPr="007C6E24">
              <w:rPr>
                <w:sz w:val="20"/>
                <w:szCs w:val="22"/>
                <w:lang w:val="sr-Latn-ME"/>
              </w:rPr>
              <w:t>poen</w:t>
            </w:r>
            <w:r w:rsidRPr="007C6E24">
              <w:rPr>
                <w:sz w:val="20"/>
                <w:szCs w:val="22"/>
                <w:lang w:val="sr-Latn-ME"/>
              </w:rPr>
              <w:t>a, bez ijednog pojedinačnog podskora &gt; 1.</w:t>
            </w:r>
          </w:p>
          <w:p w14:paraId="16094B9F" w14:textId="13567D41" w:rsidR="00C36D57" w:rsidRPr="007C6E24" w:rsidRDefault="00C36D57" w:rsidP="002041DF">
            <w:pPr>
              <w:widowControl w:val="0"/>
              <w:autoSpaceDE w:val="0"/>
              <w:autoSpaceDN w:val="0"/>
              <w:adjustRightInd w:val="0"/>
              <w:ind w:left="284" w:hanging="284"/>
              <w:jc w:val="both"/>
              <w:rPr>
                <w:sz w:val="20"/>
                <w:szCs w:val="22"/>
                <w:lang w:val="sr-Latn-ME"/>
              </w:rPr>
            </w:pPr>
            <w:r w:rsidRPr="007C6E24">
              <w:rPr>
                <w:sz w:val="20"/>
                <w:szCs w:val="22"/>
                <w:vertAlign w:val="superscript"/>
                <w:lang w:val="sr-Latn-ME"/>
              </w:rPr>
              <w:t>§</w:t>
            </w:r>
            <w:r w:rsidRPr="007C6E24">
              <w:rPr>
                <w:sz w:val="20"/>
                <w:szCs w:val="22"/>
                <w:vertAlign w:val="superscript"/>
                <w:lang w:val="sr-Latn-ME"/>
              </w:rPr>
              <w:tab/>
            </w:r>
            <w:r w:rsidRPr="007C6E24">
              <w:rPr>
                <w:sz w:val="20"/>
                <w:szCs w:val="22"/>
                <w:lang w:val="sr-Latn-ME"/>
              </w:rPr>
              <w:t xml:space="preserve">Klinički odgovor je definisan kao smanjenje početnog Mayo skora za ≥30% i ≥3 </w:t>
            </w:r>
            <w:r w:rsidR="00DA33E4" w:rsidRPr="007C6E24">
              <w:rPr>
                <w:sz w:val="20"/>
                <w:szCs w:val="22"/>
                <w:lang w:val="sr-Latn-ME"/>
              </w:rPr>
              <w:t>poen</w:t>
            </w:r>
            <w:r w:rsidRPr="007C6E24">
              <w:rPr>
                <w:sz w:val="20"/>
                <w:szCs w:val="22"/>
                <w:lang w:val="sr-Latn-ME"/>
              </w:rPr>
              <w:t xml:space="preserve">a, uz smanjenje početnog podskora za rektalno krvarenje ≥1 </w:t>
            </w:r>
            <w:r w:rsidR="00DA33E4" w:rsidRPr="007C6E24">
              <w:rPr>
                <w:sz w:val="20"/>
                <w:szCs w:val="22"/>
                <w:lang w:val="sr-Latn-ME"/>
              </w:rPr>
              <w:t>poen</w:t>
            </w:r>
            <w:r w:rsidRPr="007C6E24">
              <w:rPr>
                <w:sz w:val="20"/>
                <w:szCs w:val="22"/>
                <w:lang w:val="sr-Latn-ME"/>
              </w:rPr>
              <w:t>a ili je podskor za rektalno krvarenje 0 ili 1.</w:t>
            </w:r>
          </w:p>
          <w:p w14:paraId="7DA6E195" w14:textId="77777777" w:rsidR="00C36D57" w:rsidRPr="007C6E24" w:rsidRDefault="00C36D57" w:rsidP="002041DF">
            <w:pPr>
              <w:widowControl w:val="0"/>
              <w:autoSpaceDE w:val="0"/>
              <w:autoSpaceDN w:val="0"/>
              <w:adjustRightInd w:val="0"/>
              <w:ind w:left="284" w:hanging="284"/>
              <w:jc w:val="both"/>
              <w:rPr>
                <w:sz w:val="20"/>
                <w:szCs w:val="22"/>
                <w:lang w:val="sr-Latn-ME"/>
              </w:rPr>
            </w:pPr>
            <w:r w:rsidRPr="007C6E24">
              <w:rPr>
                <w:sz w:val="20"/>
                <w:szCs w:val="22"/>
                <w:vertAlign w:val="superscript"/>
                <w:lang w:val="sr-Latn-ME"/>
              </w:rPr>
              <w:t>¥</w:t>
            </w:r>
            <w:r w:rsidRPr="007C6E24">
              <w:rPr>
                <w:sz w:val="20"/>
                <w:szCs w:val="22"/>
                <w:vertAlign w:val="superscript"/>
                <w:lang w:val="sr-Latn-ME"/>
              </w:rPr>
              <w:tab/>
            </w:r>
            <w:r w:rsidRPr="007C6E24">
              <w:rPr>
                <w:sz w:val="20"/>
                <w:szCs w:val="22"/>
                <w:lang w:val="sr-Latn-ME"/>
              </w:rPr>
              <w:t>Antagonist</w:t>
            </w:r>
            <w:r w:rsidRPr="007C6E24" w:rsidDel="002F645C">
              <w:rPr>
                <w:sz w:val="20"/>
                <w:szCs w:val="22"/>
                <w:lang w:val="sr-Latn-ME"/>
              </w:rPr>
              <w:t xml:space="preserve"> </w:t>
            </w:r>
            <w:r w:rsidRPr="007C6E24">
              <w:rPr>
                <w:sz w:val="20"/>
                <w:szCs w:val="22"/>
                <w:lang w:val="sr-Latn-ME"/>
              </w:rPr>
              <w:t>TNFα i/ili vedolizumab.</w:t>
            </w:r>
          </w:p>
          <w:p w14:paraId="062914A2" w14:textId="1C3755D5" w:rsidR="00C36D57" w:rsidRPr="007C6E24" w:rsidRDefault="00C36D57" w:rsidP="002041DF">
            <w:pPr>
              <w:widowControl w:val="0"/>
              <w:autoSpaceDE w:val="0"/>
              <w:autoSpaceDN w:val="0"/>
              <w:adjustRightInd w:val="0"/>
              <w:ind w:left="284" w:hanging="284"/>
              <w:jc w:val="both"/>
              <w:rPr>
                <w:rFonts w:eastAsia="TimesNewRoman"/>
                <w:sz w:val="20"/>
                <w:szCs w:val="22"/>
                <w:lang w:val="sr-Latn-ME" w:eastAsia="zh-CN"/>
              </w:rPr>
            </w:pPr>
            <w:r w:rsidRPr="007C6E24">
              <w:rPr>
                <w:sz w:val="20"/>
                <w:szCs w:val="22"/>
                <w:vertAlign w:val="superscript"/>
                <w:lang w:val="sr-Latn-ME"/>
              </w:rPr>
              <w:t>†</w:t>
            </w:r>
            <w:r w:rsidRPr="007C6E24">
              <w:rPr>
                <w:sz w:val="20"/>
                <w:szCs w:val="22"/>
                <w:vertAlign w:val="superscript"/>
                <w:lang w:val="sr-Latn-ME"/>
              </w:rPr>
              <w:tab/>
            </w:r>
            <w:r w:rsidRPr="007C6E24">
              <w:rPr>
                <w:rFonts w:eastAsia="TimesNewRoman"/>
                <w:sz w:val="20"/>
                <w:szCs w:val="22"/>
                <w:lang w:val="sr-Latn-ME" w:eastAsia="zh-CN"/>
              </w:rPr>
              <w:t>Zac</w:t>
            </w:r>
            <w:r w:rsidR="003E0F36" w:rsidRPr="007C6E24">
              <w:rPr>
                <w:rFonts w:eastAsia="TimesNewRoman"/>
                <w:sz w:val="20"/>
                <w:szCs w:val="22"/>
                <w:lang w:val="sr-Latn-ME" w:eastAsia="zh-CN"/>
              </w:rPr>
              <w:t>j</w:t>
            </w:r>
            <w:r w:rsidRPr="007C6E24">
              <w:rPr>
                <w:rFonts w:eastAsia="TimesNewRoman"/>
                <w:sz w:val="20"/>
                <w:szCs w:val="22"/>
                <w:lang w:val="sr-Latn-ME" w:eastAsia="zh-CN"/>
              </w:rPr>
              <w:t>eljivanje sluznice je definisano kao Mayo endoskopski podskor 0 ili 1.</w:t>
            </w:r>
          </w:p>
          <w:p w14:paraId="710935EF" w14:textId="77777777" w:rsidR="00C36D57" w:rsidRPr="007C6E24" w:rsidRDefault="00C36D57" w:rsidP="002041DF">
            <w:pPr>
              <w:widowControl w:val="0"/>
              <w:autoSpaceDE w:val="0"/>
              <w:autoSpaceDN w:val="0"/>
              <w:adjustRightInd w:val="0"/>
              <w:ind w:left="284" w:hanging="284"/>
              <w:jc w:val="both"/>
              <w:rPr>
                <w:sz w:val="20"/>
                <w:szCs w:val="22"/>
                <w:lang w:val="sr-Latn-ME"/>
              </w:rPr>
            </w:pPr>
            <w:r w:rsidRPr="007C6E24">
              <w:rPr>
                <w:sz w:val="20"/>
                <w:szCs w:val="22"/>
                <w:vertAlign w:val="superscript"/>
                <w:lang w:val="sr-Latn-ME"/>
              </w:rPr>
              <w:t>‡</w:t>
            </w:r>
            <w:r w:rsidRPr="007C6E24">
              <w:rPr>
                <w:sz w:val="20"/>
                <w:szCs w:val="22"/>
                <w:vertAlign w:val="superscript"/>
                <w:lang w:val="sr-Latn-ME"/>
              </w:rPr>
              <w:tab/>
            </w:r>
            <w:r w:rsidRPr="007C6E24">
              <w:rPr>
                <w:sz w:val="20"/>
                <w:szCs w:val="22"/>
                <w:lang w:val="sr-Latn-ME"/>
              </w:rPr>
              <w:t xml:space="preserve">Simptomatska remisija je definisana kao Mayo podskor učestalosti stolice od </w:t>
            </w:r>
            <w:r w:rsidRPr="007C6E24">
              <w:rPr>
                <w:rFonts w:eastAsia="TimesNewRoman"/>
                <w:sz w:val="20"/>
                <w:szCs w:val="22"/>
                <w:lang w:val="sr-Latn-ME" w:eastAsia="zh-CN"/>
              </w:rPr>
              <w:t>0 ili 1</w:t>
            </w:r>
            <w:r w:rsidRPr="007C6E24">
              <w:rPr>
                <w:sz w:val="20"/>
                <w:szCs w:val="22"/>
                <w:lang w:val="sr-Latn-ME"/>
              </w:rPr>
              <w:t xml:space="preserve"> i podskor za rektalno krvarenje 0.</w:t>
            </w:r>
          </w:p>
          <w:p w14:paraId="0966FCAD" w14:textId="32732CBB" w:rsidR="00C36D57" w:rsidRPr="007C6E24" w:rsidRDefault="00C36D57" w:rsidP="002041DF">
            <w:pPr>
              <w:widowControl w:val="0"/>
              <w:autoSpaceDE w:val="0"/>
              <w:autoSpaceDN w:val="0"/>
              <w:adjustRightInd w:val="0"/>
              <w:ind w:left="284" w:hanging="284"/>
              <w:jc w:val="both"/>
              <w:rPr>
                <w:sz w:val="20"/>
                <w:szCs w:val="22"/>
                <w:lang w:val="sr-Latn-ME"/>
              </w:rPr>
            </w:pPr>
            <w:r w:rsidRPr="007C6E24">
              <w:rPr>
                <w:sz w:val="20"/>
                <w:szCs w:val="22"/>
                <w:vertAlign w:val="superscript"/>
                <w:lang w:val="sr-Latn-ME"/>
              </w:rPr>
              <w:t>⸸</w:t>
            </w:r>
            <w:r w:rsidRPr="007C6E24">
              <w:rPr>
                <w:sz w:val="20"/>
                <w:szCs w:val="22"/>
                <w:vertAlign w:val="superscript"/>
                <w:lang w:val="sr-Latn-ME"/>
              </w:rPr>
              <w:tab/>
            </w:r>
            <w:r w:rsidRPr="007C6E24">
              <w:rPr>
                <w:sz w:val="20"/>
                <w:szCs w:val="22"/>
                <w:lang w:val="sr-Latn-ME"/>
              </w:rPr>
              <w:t>Kombinacija simptomatske remisije i zac</w:t>
            </w:r>
            <w:r w:rsidR="003E0F36" w:rsidRPr="007C6E24">
              <w:rPr>
                <w:sz w:val="20"/>
                <w:szCs w:val="22"/>
                <w:lang w:val="sr-Latn-ME"/>
              </w:rPr>
              <w:t>j</w:t>
            </w:r>
            <w:r w:rsidRPr="007C6E24">
              <w:rPr>
                <w:sz w:val="20"/>
                <w:szCs w:val="22"/>
                <w:lang w:val="sr-Latn-ME"/>
              </w:rPr>
              <w:t xml:space="preserve">eljivanja sluznice je definisana kao podskor učestalosti stolice od 0 ili 1, podskor za rektalno krvarenje 0 i </w:t>
            </w:r>
            <w:r w:rsidRPr="007C6E24">
              <w:rPr>
                <w:rFonts w:eastAsia="TimesNewRoman"/>
                <w:sz w:val="20"/>
                <w:szCs w:val="22"/>
                <w:lang w:val="sr-Latn-ME" w:eastAsia="zh-CN"/>
              </w:rPr>
              <w:t xml:space="preserve">endoskopski podskor </w:t>
            </w:r>
            <w:r w:rsidRPr="007C6E24">
              <w:rPr>
                <w:sz w:val="20"/>
                <w:szCs w:val="22"/>
                <w:lang w:val="sr-Latn-ME"/>
              </w:rPr>
              <w:t>0 ili 1.</w:t>
            </w:r>
          </w:p>
          <w:p w14:paraId="4EF82D39" w14:textId="77777777" w:rsidR="00C36D57" w:rsidRPr="007C6E24" w:rsidRDefault="00C36D57" w:rsidP="002041DF">
            <w:pPr>
              <w:widowControl w:val="0"/>
              <w:autoSpaceDE w:val="0"/>
              <w:autoSpaceDN w:val="0"/>
              <w:adjustRightInd w:val="0"/>
              <w:ind w:left="284" w:hanging="284"/>
              <w:jc w:val="both"/>
              <w:rPr>
                <w:sz w:val="20"/>
                <w:szCs w:val="22"/>
                <w:lang w:val="sr-Latn-ME"/>
              </w:rPr>
            </w:pPr>
            <w:r w:rsidRPr="007C6E24">
              <w:rPr>
                <w:sz w:val="20"/>
                <w:szCs w:val="22"/>
                <w:vertAlign w:val="superscript"/>
                <w:lang w:val="sr-Latn-ME"/>
              </w:rPr>
              <w:t>a</w:t>
            </w:r>
            <w:r w:rsidRPr="007C6E24">
              <w:rPr>
                <w:sz w:val="20"/>
                <w:szCs w:val="22"/>
                <w:vertAlign w:val="superscript"/>
                <w:lang w:val="sr-Latn-ME"/>
              </w:rPr>
              <w:tab/>
            </w:r>
            <w:r w:rsidRPr="007C6E24">
              <w:rPr>
                <w:sz w:val="20"/>
                <w:szCs w:val="22"/>
                <w:lang w:val="sr-Latn-ME"/>
              </w:rPr>
              <w:t>p &lt; 0.001</w:t>
            </w:r>
          </w:p>
          <w:p w14:paraId="21EBBC46" w14:textId="77777777" w:rsidR="00C36D57" w:rsidRPr="002041DF" w:rsidRDefault="00C36D57" w:rsidP="002041DF">
            <w:pPr>
              <w:widowControl w:val="0"/>
              <w:autoSpaceDE w:val="0"/>
              <w:autoSpaceDN w:val="0"/>
              <w:adjustRightInd w:val="0"/>
              <w:ind w:left="284" w:hanging="284"/>
              <w:jc w:val="both"/>
              <w:rPr>
                <w:sz w:val="22"/>
                <w:szCs w:val="22"/>
                <w:lang w:val="sr-Latn-ME"/>
              </w:rPr>
            </w:pPr>
            <w:r w:rsidRPr="007C6E24">
              <w:rPr>
                <w:sz w:val="20"/>
                <w:szCs w:val="22"/>
                <w:vertAlign w:val="superscript"/>
                <w:lang w:val="sr-Latn-ME"/>
              </w:rPr>
              <w:t>b</w:t>
            </w:r>
            <w:r w:rsidRPr="007C6E24">
              <w:rPr>
                <w:sz w:val="20"/>
                <w:szCs w:val="22"/>
                <w:vertAlign w:val="superscript"/>
                <w:lang w:val="sr-Latn-ME"/>
              </w:rPr>
              <w:tab/>
            </w:r>
            <w:r w:rsidRPr="007C6E24">
              <w:rPr>
                <w:sz w:val="20"/>
                <w:szCs w:val="22"/>
                <w:lang w:val="sr-Latn-ME"/>
              </w:rPr>
              <w:t>Nominalno značajno (p &lt; 0.00</w:t>
            </w:r>
            <w:r w:rsidRPr="007C6E24">
              <w:rPr>
                <w:sz w:val="20"/>
                <w:szCs w:val="20"/>
                <w:lang w:val="sr-Latn-ME"/>
              </w:rPr>
              <w:t>1)</w:t>
            </w:r>
          </w:p>
          <w:p w14:paraId="6BA297BA" w14:textId="77777777" w:rsidR="00C36D57" w:rsidRPr="002041DF" w:rsidRDefault="00C36D57" w:rsidP="002041DF">
            <w:pPr>
              <w:widowControl w:val="0"/>
              <w:autoSpaceDE w:val="0"/>
              <w:autoSpaceDN w:val="0"/>
              <w:adjustRightInd w:val="0"/>
              <w:ind w:left="284" w:hanging="284"/>
              <w:jc w:val="both"/>
              <w:rPr>
                <w:sz w:val="22"/>
                <w:szCs w:val="22"/>
                <w:lang w:val="sr-Latn-ME"/>
              </w:rPr>
            </w:pPr>
            <w:r w:rsidRPr="007C6E24">
              <w:rPr>
                <w:sz w:val="20"/>
                <w:szCs w:val="22"/>
                <w:vertAlign w:val="superscript"/>
                <w:lang w:val="sr-Latn-ME"/>
              </w:rPr>
              <w:t>c</w:t>
            </w:r>
            <w:r w:rsidRPr="007C6E24">
              <w:rPr>
                <w:sz w:val="20"/>
                <w:szCs w:val="22"/>
                <w:vertAlign w:val="superscript"/>
                <w:lang w:val="sr-Latn-ME"/>
              </w:rPr>
              <w:tab/>
            </w:r>
            <w:r w:rsidRPr="007C6E24">
              <w:rPr>
                <w:sz w:val="20"/>
                <w:szCs w:val="22"/>
                <w:lang w:val="sr-Latn-ME"/>
              </w:rPr>
              <w:t>Nominalno značajno  (p &lt; 0.05)</w:t>
            </w:r>
          </w:p>
        </w:tc>
      </w:tr>
    </w:tbl>
    <w:p w14:paraId="491475A6" w14:textId="77777777" w:rsidR="00C36D57" w:rsidRPr="002041DF" w:rsidRDefault="00C36D57" w:rsidP="002041DF">
      <w:pPr>
        <w:widowControl w:val="0"/>
        <w:autoSpaceDE w:val="0"/>
        <w:autoSpaceDN w:val="0"/>
        <w:adjustRightInd w:val="0"/>
        <w:jc w:val="both"/>
        <w:rPr>
          <w:sz w:val="22"/>
          <w:szCs w:val="22"/>
          <w:lang w:val="sr-Latn-ME"/>
        </w:rPr>
      </w:pPr>
    </w:p>
    <w:p w14:paraId="30F23513" w14:textId="069CC62E" w:rsidR="00C36D57" w:rsidRPr="002041DF" w:rsidRDefault="00C36D57" w:rsidP="002041DF">
      <w:pPr>
        <w:widowControl w:val="0"/>
        <w:autoSpaceDE w:val="0"/>
        <w:autoSpaceDN w:val="0"/>
        <w:adjustRightInd w:val="0"/>
        <w:jc w:val="both"/>
        <w:rPr>
          <w:sz w:val="22"/>
          <w:szCs w:val="22"/>
          <w:lang w:val="sr-Latn-ME"/>
        </w:rPr>
      </w:pPr>
      <w:bookmarkStart w:id="20" w:name="_Hlk19702048"/>
      <w:r w:rsidRPr="002041DF">
        <w:rPr>
          <w:sz w:val="22"/>
          <w:szCs w:val="22"/>
          <w:lang w:val="sr-Latn-ME"/>
        </w:rPr>
        <w:t>Kliničko ispitivanje UNIFI-M proc</w:t>
      </w:r>
      <w:r w:rsidR="003E0F36" w:rsidRPr="002041DF">
        <w:rPr>
          <w:sz w:val="22"/>
          <w:szCs w:val="22"/>
          <w:lang w:val="sr-Latn-ME"/>
        </w:rPr>
        <w:t>j</w:t>
      </w:r>
      <w:r w:rsidRPr="002041DF">
        <w:rPr>
          <w:sz w:val="22"/>
          <w:szCs w:val="22"/>
          <w:lang w:val="sr-Latn-ME"/>
        </w:rPr>
        <w:t>enjivalo je 523 pacijenata koji su u UNIFI-I postigli klinički odgovor nakon jedne intravenske</w:t>
      </w:r>
      <w:r w:rsidR="00891C9B" w:rsidRPr="002041DF">
        <w:rPr>
          <w:sz w:val="22"/>
          <w:szCs w:val="22"/>
          <w:lang w:val="sr-Latn-ME"/>
        </w:rPr>
        <w:t xml:space="preserve"> primjene </w:t>
      </w:r>
      <w:r w:rsidRPr="002041DF">
        <w:rPr>
          <w:sz w:val="22"/>
          <w:szCs w:val="22"/>
          <w:lang w:val="sr-Latn-ME"/>
        </w:rPr>
        <w:t xml:space="preserve">ustekinumaba. Pacijenti su bili randomizovani da primaju supkutani režim održavanja bilo sa 90 mg ustekinumaba na svakih 8 </w:t>
      </w:r>
      <w:r w:rsidR="004372C4" w:rsidRPr="002041DF">
        <w:rPr>
          <w:sz w:val="22"/>
          <w:szCs w:val="22"/>
          <w:lang w:val="sr-Latn-ME"/>
        </w:rPr>
        <w:t>nedjelja</w:t>
      </w:r>
      <w:r w:rsidRPr="002041DF">
        <w:rPr>
          <w:sz w:val="22"/>
          <w:szCs w:val="22"/>
          <w:lang w:val="sr-Latn-ME"/>
        </w:rPr>
        <w:t xml:space="preserve">, 90 mg ustekinumaba na svakih 12 </w:t>
      </w:r>
      <w:r w:rsidR="004372C4" w:rsidRPr="002041DF">
        <w:rPr>
          <w:sz w:val="22"/>
          <w:szCs w:val="22"/>
          <w:lang w:val="sr-Latn-ME"/>
        </w:rPr>
        <w:t>nedjelja</w:t>
      </w:r>
      <w:r w:rsidRPr="002041DF">
        <w:rPr>
          <w:sz w:val="22"/>
          <w:szCs w:val="22"/>
          <w:lang w:val="sr-Latn-ME"/>
        </w:rPr>
        <w:t xml:space="preserve"> ili placebo tokom 44 </w:t>
      </w:r>
      <w:r w:rsidR="004372C4" w:rsidRPr="002041DF">
        <w:rPr>
          <w:sz w:val="22"/>
          <w:szCs w:val="22"/>
          <w:lang w:val="sr-Latn-ME"/>
        </w:rPr>
        <w:t>nedjelje</w:t>
      </w:r>
      <w:r w:rsidRPr="002041DF">
        <w:rPr>
          <w:sz w:val="22"/>
          <w:szCs w:val="22"/>
          <w:lang w:val="sr-Latn-ME"/>
        </w:rPr>
        <w:t xml:space="preserve"> (za preporučeno doziranje za terapiju održavanja </w:t>
      </w:r>
      <w:r w:rsidR="006779EA" w:rsidRPr="002041DF">
        <w:rPr>
          <w:sz w:val="22"/>
          <w:szCs w:val="22"/>
          <w:lang w:val="sr-Latn-ME"/>
        </w:rPr>
        <w:t>vidjeti</w:t>
      </w:r>
      <w:r w:rsidRPr="002041DF">
        <w:rPr>
          <w:sz w:val="22"/>
          <w:szCs w:val="22"/>
          <w:lang w:val="sr-Latn-ME"/>
        </w:rPr>
        <w:t xml:space="preserve"> </w:t>
      </w:r>
      <w:r w:rsidR="00292E06" w:rsidRPr="002041DF">
        <w:rPr>
          <w:sz w:val="22"/>
          <w:szCs w:val="22"/>
          <w:lang w:val="sr-Latn-ME"/>
        </w:rPr>
        <w:t>dio</w:t>
      </w:r>
      <w:r w:rsidRPr="002041DF">
        <w:rPr>
          <w:sz w:val="22"/>
          <w:szCs w:val="22"/>
          <w:lang w:val="sr-Latn-ME"/>
        </w:rPr>
        <w:t xml:space="preserve"> 4.2 </w:t>
      </w:r>
      <w:r w:rsidRPr="002041DF">
        <w:rPr>
          <w:sz w:val="22"/>
          <w:szCs w:val="22"/>
          <w:lang w:val="sr-Latn-ME"/>
        </w:rPr>
        <w:lastRenderedPageBreak/>
        <w:t>Sažetka karakteristika</w:t>
      </w:r>
      <w:r w:rsidR="00A35D07" w:rsidRPr="002041DF">
        <w:rPr>
          <w:sz w:val="22"/>
          <w:szCs w:val="22"/>
          <w:lang w:val="sr-Latn-ME"/>
        </w:rPr>
        <w:t xml:space="preserve"> lijeka </w:t>
      </w:r>
      <w:r w:rsidRPr="002041DF">
        <w:rPr>
          <w:sz w:val="22"/>
          <w:szCs w:val="22"/>
          <w:lang w:val="sr-Latn-ME"/>
        </w:rPr>
        <w:t>Stelara Rastvor za injekcije (bočica) i Rastvor za injekcije u napunjenom injekcionom špricu.</w:t>
      </w:r>
    </w:p>
    <w:p w14:paraId="56EAF696" w14:textId="77777777" w:rsidR="00C36D57" w:rsidRPr="002041DF" w:rsidRDefault="00C36D57" w:rsidP="002041DF">
      <w:pPr>
        <w:widowControl w:val="0"/>
        <w:autoSpaceDE w:val="0"/>
        <w:autoSpaceDN w:val="0"/>
        <w:adjustRightInd w:val="0"/>
        <w:jc w:val="both"/>
        <w:rPr>
          <w:sz w:val="22"/>
          <w:szCs w:val="22"/>
          <w:lang w:val="sr-Latn-ME"/>
        </w:rPr>
      </w:pPr>
    </w:p>
    <w:p w14:paraId="0F02CCC9" w14:textId="57062D68" w:rsidR="00C36D57" w:rsidRPr="002041DF" w:rsidRDefault="00C36D57" w:rsidP="002041DF">
      <w:pPr>
        <w:widowControl w:val="0"/>
        <w:jc w:val="both"/>
        <w:rPr>
          <w:sz w:val="22"/>
          <w:szCs w:val="22"/>
          <w:lang w:val="sr-Latn-ME"/>
        </w:rPr>
      </w:pPr>
      <w:r w:rsidRPr="002041DF">
        <w:rPr>
          <w:sz w:val="22"/>
          <w:szCs w:val="22"/>
          <w:lang w:val="sr-Latn-ME"/>
        </w:rPr>
        <w:t>Značajno veći procenat pacijenata bili su u kliničkoj remisiji u ob</w:t>
      </w:r>
      <w:r w:rsidR="003E0F36" w:rsidRPr="002041DF">
        <w:rPr>
          <w:sz w:val="22"/>
          <w:szCs w:val="22"/>
          <w:lang w:val="sr-Latn-ME"/>
        </w:rPr>
        <w:t>j</w:t>
      </w:r>
      <w:r w:rsidRPr="002041DF">
        <w:rPr>
          <w:sz w:val="22"/>
          <w:szCs w:val="22"/>
          <w:lang w:val="sr-Latn-ME"/>
        </w:rPr>
        <w:t xml:space="preserve">e grupe koje su primale ustekinumab u poređenju sa grupom koja je primala placebo u 44-toj </w:t>
      </w:r>
      <w:r w:rsidR="004372C4" w:rsidRPr="002041DF">
        <w:rPr>
          <w:sz w:val="22"/>
          <w:szCs w:val="22"/>
          <w:lang w:val="sr-Latn-ME"/>
        </w:rPr>
        <w:t>nedjelji</w:t>
      </w:r>
      <w:r w:rsidRPr="002041DF">
        <w:rPr>
          <w:sz w:val="22"/>
          <w:szCs w:val="22"/>
          <w:lang w:val="sr-Latn-ME"/>
        </w:rPr>
        <w:t xml:space="preserve"> (</w:t>
      </w:r>
      <w:r w:rsidR="006779EA" w:rsidRPr="002041DF">
        <w:rPr>
          <w:sz w:val="22"/>
          <w:szCs w:val="22"/>
          <w:lang w:val="sr-Latn-ME"/>
        </w:rPr>
        <w:t>vidjeti</w:t>
      </w:r>
      <w:r w:rsidRPr="002041DF">
        <w:rPr>
          <w:sz w:val="22"/>
          <w:szCs w:val="22"/>
          <w:lang w:val="sr-Latn-ME"/>
        </w:rPr>
        <w:t xml:space="preserve"> Tabelu 12).</w:t>
      </w:r>
    </w:p>
    <w:p w14:paraId="7976EAE5" w14:textId="77777777" w:rsidR="00C36D57" w:rsidRPr="002041DF" w:rsidRDefault="00C36D57" w:rsidP="002041DF">
      <w:pPr>
        <w:widowControl w:val="0"/>
        <w:jc w:val="both"/>
        <w:rPr>
          <w:sz w:val="22"/>
          <w:szCs w:val="22"/>
          <w:lang w:val="sr-Latn-ME"/>
        </w:rPr>
      </w:pPr>
    </w:p>
    <w:p w14:paraId="621E5604" w14:textId="23D16441" w:rsidR="00C36D57" w:rsidRPr="002041DF" w:rsidRDefault="00C36D57" w:rsidP="002041DF">
      <w:pPr>
        <w:widowControl w:val="0"/>
        <w:jc w:val="both"/>
        <w:rPr>
          <w:i/>
          <w:iCs/>
          <w:sz w:val="22"/>
          <w:szCs w:val="22"/>
          <w:lang w:val="sr-Latn-ME"/>
        </w:rPr>
      </w:pPr>
      <w:r w:rsidRPr="002041DF">
        <w:rPr>
          <w:i/>
          <w:iCs/>
          <w:sz w:val="22"/>
          <w:szCs w:val="22"/>
          <w:lang w:val="sr-Latn-ME"/>
        </w:rPr>
        <w:t>Tabela 12:</w:t>
      </w:r>
      <w:r w:rsidRPr="002041DF">
        <w:rPr>
          <w:i/>
          <w:iCs/>
          <w:sz w:val="22"/>
          <w:szCs w:val="22"/>
          <w:lang w:val="sr-Latn-ME"/>
        </w:rPr>
        <w:tab/>
        <w:t xml:space="preserve">Sažetak ključnih ishoda efikasnosti u studiji UNIFI-M (u 44-toj </w:t>
      </w:r>
      <w:r w:rsidR="004372C4" w:rsidRPr="002041DF">
        <w:rPr>
          <w:i/>
          <w:iCs/>
          <w:sz w:val="22"/>
          <w:szCs w:val="22"/>
          <w:lang w:val="sr-Latn-ME"/>
        </w:rPr>
        <w:t>nedjelji</w:t>
      </w:r>
      <w:r w:rsidRPr="002041DF">
        <w:rPr>
          <w:i/>
          <w:iCs/>
          <w:sz w:val="22"/>
          <w:szCs w:val="22"/>
          <w:lang w:val="sr-Latn-ME"/>
        </w:rPr>
        <w:t>; 52</w:t>
      </w:r>
      <w:r w:rsidRPr="002041DF">
        <w:rPr>
          <w:i/>
          <w:sz w:val="22"/>
          <w:szCs w:val="22"/>
          <w:lang w:val="sr-Latn-ME"/>
        </w:rPr>
        <w:t> </w:t>
      </w:r>
      <w:r w:rsidR="004372C4" w:rsidRPr="002041DF">
        <w:rPr>
          <w:i/>
          <w:iCs/>
          <w:sz w:val="22"/>
          <w:szCs w:val="22"/>
          <w:lang w:val="sr-Latn-ME"/>
        </w:rPr>
        <w:t>nedjelje</w:t>
      </w:r>
      <w:r w:rsidRPr="002041DF">
        <w:rPr>
          <w:i/>
          <w:iCs/>
          <w:sz w:val="22"/>
          <w:szCs w:val="22"/>
          <w:lang w:val="sr-Latn-ME"/>
        </w:rPr>
        <w:t xml:space="preserve"> od započinjanja indukcione doze)</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79"/>
        <w:gridCol w:w="1190"/>
        <w:gridCol w:w="2147"/>
        <w:gridCol w:w="2178"/>
      </w:tblGrid>
      <w:tr w:rsidR="00AC6E61" w:rsidRPr="002041DF" w14:paraId="64C98FA0" w14:textId="77777777" w:rsidTr="007C6E24">
        <w:trPr>
          <w:jc w:val="center"/>
        </w:trPr>
        <w:tc>
          <w:tcPr>
            <w:tcW w:w="3936" w:type="dxa"/>
            <w:tcBorders>
              <w:top w:val="single" w:sz="4" w:space="0" w:color="auto"/>
              <w:left w:val="single" w:sz="4" w:space="0" w:color="auto"/>
              <w:bottom w:val="single" w:sz="4" w:space="0" w:color="auto"/>
              <w:right w:val="single" w:sz="4" w:space="0" w:color="auto"/>
            </w:tcBorders>
          </w:tcPr>
          <w:p w14:paraId="0BFE0EBF" w14:textId="77777777" w:rsidR="00AC6E61" w:rsidRPr="002041DF" w:rsidRDefault="00AC6E61" w:rsidP="002041DF">
            <w:pPr>
              <w:widowControl w:val="0"/>
              <w:autoSpaceDE w:val="0"/>
              <w:autoSpaceDN w:val="0"/>
              <w:adjustRightInd w:val="0"/>
              <w:jc w:val="both"/>
              <w:rPr>
                <w:b/>
                <w:sz w:val="22"/>
                <w:szCs w:val="22"/>
                <w:lang w:val="sr-Latn-ME"/>
              </w:rPr>
            </w:pPr>
          </w:p>
        </w:tc>
        <w:tc>
          <w:tcPr>
            <w:tcW w:w="1133" w:type="dxa"/>
            <w:tcBorders>
              <w:top w:val="single" w:sz="4" w:space="0" w:color="auto"/>
              <w:left w:val="single" w:sz="4" w:space="0" w:color="auto"/>
              <w:bottom w:val="single" w:sz="4" w:space="0" w:color="auto"/>
              <w:right w:val="single" w:sz="4" w:space="0" w:color="auto"/>
            </w:tcBorders>
            <w:hideMark/>
          </w:tcPr>
          <w:p w14:paraId="2C887095" w14:textId="77777777" w:rsidR="00AC6E61" w:rsidRPr="002041DF" w:rsidRDefault="00AC6E61" w:rsidP="002041DF">
            <w:pPr>
              <w:widowControl w:val="0"/>
              <w:autoSpaceDE w:val="0"/>
              <w:autoSpaceDN w:val="0"/>
              <w:adjustRightInd w:val="0"/>
              <w:jc w:val="both"/>
              <w:rPr>
                <w:b/>
                <w:sz w:val="22"/>
                <w:szCs w:val="22"/>
                <w:lang w:val="sr-Latn-ME"/>
              </w:rPr>
            </w:pPr>
            <w:r w:rsidRPr="002041DF">
              <w:rPr>
                <w:b/>
                <w:sz w:val="22"/>
                <w:szCs w:val="22"/>
                <w:lang w:val="sr-Latn-ME"/>
              </w:rPr>
              <w:t>Placebo*</w:t>
            </w:r>
          </w:p>
          <w:p w14:paraId="0953CAA4" w14:textId="77777777" w:rsidR="00AC6E61" w:rsidRPr="002041DF" w:rsidRDefault="00AC6E61" w:rsidP="002041DF">
            <w:pPr>
              <w:widowControl w:val="0"/>
              <w:autoSpaceDE w:val="0"/>
              <w:autoSpaceDN w:val="0"/>
              <w:adjustRightInd w:val="0"/>
              <w:jc w:val="both"/>
              <w:rPr>
                <w:b/>
                <w:sz w:val="22"/>
                <w:szCs w:val="22"/>
                <w:lang w:val="sr-Latn-ME"/>
              </w:rPr>
            </w:pPr>
            <w:r w:rsidRPr="002041DF">
              <w:rPr>
                <w:b/>
                <w:sz w:val="22"/>
                <w:szCs w:val="22"/>
                <w:lang w:val="sr-Latn-ME"/>
              </w:rPr>
              <w:t>N</w:t>
            </w:r>
            <w:r w:rsidRPr="002041DF">
              <w:rPr>
                <w:sz w:val="22"/>
                <w:szCs w:val="22"/>
                <w:lang w:val="sr-Latn-ME"/>
              </w:rPr>
              <w:t> </w:t>
            </w:r>
            <w:r w:rsidRPr="002041DF">
              <w:rPr>
                <w:b/>
                <w:sz w:val="22"/>
                <w:szCs w:val="22"/>
                <w:lang w:val="sr-Latn-ME"/>
              </w:rPr>
              <w:t>=</w:t>
            </w:r>
            <w:r w:rsidRPr="002041DF">
              <w:rPr>
                <w:sz w:val="22"/>
                <w:szCs w:val="22"/>
                <w:lang w:val="sr-Latn-ME"/>
              </w:rPr>
              <w:t> 175</w:t>
            </w:r>
            <w:r w:rsidRPr="002041DF">
              <w:rPr>
                <w:b/>
                <w:sz w:val="22"/>
                <w:szCs w:val="22"/>
                <w:vertAlign w:val="superscript"/>
                <w:lang w:val="sr-Latn-ME"/>
              </w:rPr>
              <w:t xml:space="preserve"> </w:t>
            </w:r>
          </w:p>
        </w:tc>
        <w:tc>
          <w:tcPr>
            <w:tcW w:w="1143" w:type="pct"/>
            <w:tcBorders>
              <w:top w:val="single" w:sz="4" w:space="0" w:color="auto"/>
              <w:left w:val="single" w:sz="4" w:space="0" w:color="auto"/>
              <w:bottom w:val="single" w:sz="4" w:space="0" w:color="auto"/>
              <w:right w:val="single" w:sz="4" w:space="0" w:color="auto"/>
            </w:tcBorders>
            <w:hideMark/>
          </w:tcPr>
          <w:p w14:paraId="6E91A621" w14:textId="32FFD2F4" w:rsidR="00AC6E61" w:rsidRPr="002041DF" w:rsidRDefault="00AC6E61" w:rsidP="002041DF">
            <w:pPr>
              <w:widowControl w:val="0"/>
              <w:autoSpaceDE w:val="0"/>
              <w:autoSpaceDN w:val="0"/>
              <w:adjustRightInd w:val="0"/>
              <w:jc w:val="both"/>
              <w:rPr>
                <w:b/>
                <w:sz w:val="22"/>
                <w:szCs w:val="22"/>
                <w:lang w:val="sr-Latn-ME"/>
              </w:rPr>
            </w:pPr>
            <w:r w:rsidRPr="002041DF">
              <w:rPr>
                <w:b/>
                <w:sz w:val="22"/>
                <w:szCs w:val="22"/>
                <w:lang w:val="sr-Latn-ME"/>
              </w:rPr>
              <w:t>90 mg ustekinumab</w:t>
            </w:r>
            <w:r w:rsidRPr="002041DF">
              <w:rPr>
                <w:sz w:val="22"/>
                <w:szCs w:val="22"/>
                <w:lang w:val="sr-Latn-ME"/>
              </w:rPr>
              <w:t xml:space="preserve"> </w:t>
            </w:r>
            <w:r w:rsidRPr="002041DF">
              <w:rPr>
                <w:b/>
                <w:sz w:val="22"/>
                <w:szCs w:val="22"/>
                <w:lang w:val="sr-Latn-ME"/>
              </w:rPr>
              <w:t xml:space="preserve">na svakih 8 </w:t>
            </w:r>
            <w:r w:rsidR="004372C4" w:rsidRPr="002041DF">
              <w:rPr>
                <w:b/>
                <w:sz w:val="22"/>
                <w:szCs w:val="22"/>
                <w:lang w:val="sr-Latn-ME"/>
              </w:rPr>
              <w:t>nedjelja</w:t>
            </w:r>
          </w:p>
          <w:p w14:paraId="649F34CD" w14:textId="77777777" w:rsidR="00AC6E61" w:rsidRPr="002041DF" w:rsidRDefault="00AC6E61" w:rsidP="002041DF">
            <w:pPr>
              <w:widowControl w:val="0"/>
              <w:autoSpaceDE w:val="0"/>
              <w:autoSpaceDN w:val="0"/>
              <w:adjustRightInd w:val="0"/>
              <w:jc w:val="both"/>
              <w:rPr>
                <w:b/>
                <w:sz w:val="22"/>
                <w:szCs w:val="22"/>
                <w:lang w:val="sr-Latn-ME"/>
              </w:rPr>
            </w:pPr>
            <w:r w:rsidRPr="002041DF">
              <w:rPr>
                <w:b/>
                <w:sz w:val="22"/>
                <w:szCs w:val="22"/>
                <w:lang w:val="sr-Latn-ME"/>
              </w:rPr>
              <w:t>N</w:t>
            </w:r>
            <w:r w:rsidRPr="002041DF">
              <w:rPr>
                <w:sz w:val="22"/>
                <w:szCs w:val="22"/>
                <w:lang w:val="sr-Latn-ME"/>
              </w:rPr>
              <w:t> </w:t>
            </w:r>
            <w:r w:rsidRPr="002041DF">
              <w:rPr>
                <w:b/>
                <w:sz w:val="22"/>
                <w:szCs w:val="22"/>
                <w:lang w:val="sr-Latn-ME"/>
              </w:rPr>
              <w:t>=</w:t>
            </w:r>
            <w:r w:rsidRPr="002041DF">
              <w:rPr>
                <w:sz w:val="22"/>
                <w:szCs w:val="22"/>
                <w:lang w:val="sr-Latn-ME"/>
              </w:rPr>
              <w:t> 176</w:t>
            </w:r>
          </w:p>
        </w:tc>
        <w:tc>
          <w:tcPr>
            <w:tcW w:w="1159" w:type="pct"/>
            <w:tcBorders>
              <w:top w:val="single" w:sz="4" w:space="0" w:color="auto"/>
              <w:left w:val="single" w:sz="4" w:space="0" w:color="auto"/>
              <w:bottom w:val="single" w:sz="4" w:space="0" w:color="auto"/>
              <w:right w:val="single" w:sz="4" w:space="0" w:color="auto"/>
            </w:tcBorders>
            <w:hideMark/>
          </w:tcPr>
          <w:p w14:paraId="4AB97D34" w14:textId="1B4C9D1B" w:rsidR="00AC6E61" w:rsidRPr="002041DF" w:rsidRDefault="00AC6E61" w:rsidP="002041DF">
            <w:pPr>
              <w:widowControl w:val="0"/>
              <w:autoSpaceDE w:val="0"/>
              <w:autoSpaceDN w:val="0"/>
              <w:adjustRightInd w:val="0"/>
              <w:jc w:val="both"/>
              <w:rPr>
                <w:b/>
                <w:sz w:val="22"/>
                <w:szCs w:val="22"/>
                <w:lang w:val="sr-Latn-ME"/>
              </w:rPr>
            </w:pPr>
            <w:r w:rsidRPr="002041DF">
              <w:rPr>
                <w:b/>
                <w:sz w:val="22"/>
                <w:szCs w:val="22"/>
                <w:lang w:val="sr-Latn-ME"/>
              </w:rPr>
              <w:t>90</w:t>
            </w:r>
            <w:r w:rsidRPr="002041DF">
              <w:rPr>
                <w:sz w:val="22"/>
                <w:szCs w:val="22"/>
                <w:lang w:val="sr-Latn-ME"/>
              </w:rPr>
              <w:t> </w:t>
            </w:r>
            <w:r w:rsidRPr="002041DF">
              <w:rPr>
                <w:b/>
                <w:sz w:val="22"/>
                <w:szCs w:val="22"/>
                <w:lang w:val="sr-Latn-ME"/>
              </w:rPr>
              <w:t xml:space="preserve">mg ustekinumab na svakih 12 </w:t>
            </w:r>
            <w:r w:rsidR="004372C4" w:rsidRPr="002041DF">
              <w:rPr>
                <w:b/>
                <w:sz w:val="22"/>
                <w:szCs w:val="22"/>
                <w:lang w:val="sr-Latn-ME"/>
              </w:rPr>
              <w:t>nedjelja</w:t>
            </w:r>
          </w:p>
          <w:p w14:paraId="490520D6" w14:textId="77777777" w:rsidR="00AC6E61" w:rsidRPr="002041DF" w:rsidRDefault="00AC6E61" w:rsidP="002041DF">
            <w:pPr>
              <w:widowControl w:val="0"/>
              <w:autoSpaceDE w:val="0"/>
              <w:autoSpaceDN w:val="0"/>
              <w:adjustRightInd w:val="0"/>
              <w:jc w:val="both"/>
              <w:rPr>
                <w:b/>
                <w:sz w:val="22"/>
                <w:szCs w:val="22"/>
                <w:lang w:val="sr-Latn-ME"/>
              </w:rPr>
            </w:pPr>
            <w:r w:rsidRPr="002041DF">
              <w:rPr>
                <w:b/>
                <w:sz w:val="22"/>
                <w:szCs w:val="22"/>
                <w:lang w:val="sr-Latn-ME"/>
              </w:rPr>
              <w:t>N</w:t>
            </w:r>
            <w:r w:rsidRPr="002041DF">
              <w:rPr>
                <w:sz w:val="22"/>
                <w:szCs w:val="22"/>
                <w:lang w:val="sr-Latn-ME"/>
              </w:rPr>
              <w:t> </w:t>
            </w:r>
            <w:r w:rsidRPr="002041DF">
              <w:rPr>
                <w:b/>
                <w:sz w:val="22"/>
                <w:szCs w:val="22"/>
                <w:lang w:val="sr-Latn-ME"/>
              </w:rPr>
              <w:t>=</w:t>
            </w:r>
            <w:r w:rsidRPr="002041DF">
              <w:rPr>
                <w:sz w:val="22"/>
                <w:szCs w:val="22"/>
                <w:lang w:val="sr-Latn-ME"/>
              </w:rPr>
              <w:t> 172</w:t>
            </w:r>
            <w:r w:rsidRPr="002041DF">
              <w:rPr>
                <w:b/>
                <w:sz w:val="22"/>
                <w:szCs w:val="22"/>
                <w:vertAlign w:val="superscript"/>
                <w:lang w:val="sr-Latn-ME"/>
              </w:rPr>
              <w:t xml:space="preserve"> </w:t>
            </w:r>
          </w:p>
        </w:tc>
      </w:tr>
      <w:tr w:rsidR="00AC6E61" w:rsidRPr="002041DF" w14:paraId="284BB6F8" w14:textId="77777777" w:rsidTr="007C6E24">
        <w:trPr>
          <w:jc w:val="center"/>
        </w:trPr>
        <w:tc>
          <w:tcPr>
            <w:tcW w:w="3936" w:type="dxa"/>
            <w:tcBorders>
              <w:top w:val="single" w:sz="4" w:space="0" w:color="auto"/>
              <w:left w:val="single" w:sz="4" w:space="0" w:color="auto"/>
              <w:bottom w:val="single" w:sz="4" w:space="0" w:color="auto"/>
              <w:right w:val="single" w:sz="4" w:space="0" w:color="auto"/>
            </w:tcBorders>
            <w:hideMark/>
          </w:tcPr>
          <w:p w14:paraId="2397DDD2" w14:textId="77777777" w:rsidR="00AC6E61" w:rsidRPr="002041DF" w:rsidRDefault="00AC6E61" w:rsidP="002041DF">
            <w:pPr>
              <w:widowControl w:val="0"/>
              <w:jc w:val="both"/>
              <w:rPr>
                <w:rFonts w:eastAsia="Calibri"/>
                <w:sz w:val="22"/>
                <w:szCs w:val="22"/>
                <w:lang w:val="sr-Latn-ME"/>
              </w:rPr>
            </w:pPr>
            <w:r w:rsidRPr="002041DF">
              <w:rPr>
                <w:sz w:val="22"/>
                <w:szCs w:val="22"/>
                <w:lang w:val="sr-Latn-ME"/>
              </w:rPr>
              <w:t>Klinička remisija*</w:t>
            </w:r>
          </w:p>
        </w:tc>
        <w:tc>
          <w:tcPr>
            <w:tcW w:w="1133" w:type="dxa"/>
            <w:tcBorders>
              <w:top w:val="single" w:sz="4" w:space="0" w:color="auto"/>
              <w:left w:val="single" w:sz="4" w:space="0" w:color="auto"/>
              <w:bottom w:val="single" w:sz="4" w:space="0" w:color="auto"/>
              <w:right w:val="single" w:sz="4" w:space="0" w:color="auto"/>
            </w:tcBorders>
            <w:hideMark/>
          </w:tcPr>
          <w:p w14:paraId="14257BF6" w14:textId="77777777" w:rsidR="00AC6E61" w:rsidRPr="002041DF" w:rsidRDefault="00AC6E61" w:rsidP="002041DF">
            <w:pPr>
              <w:widowControl w:val="0"/>
              <w:autoSpaceDE w:val="0"/>
              <w:autoSpaceDN w:val="0"/>
              <w:adjustRightInd w:val="0"/>
              <w:jc w:val="both"/>
              <w:rPr>
                <w:sz w:val="22"/>
                <w:szCs w:val="22"/>
                <w:lang w:val="sr-Latn-ME"/>
              </w:rPr>
            </w:pPr>
            <w:r w:rsidRPr="002041DF">
              <w:rPr>
                <w:sz w:val="22"/>
                <w:szCs w:val="22"/>
                <w:lang w:val="sr-Latn-ME"/>
              </w:rPr>
              <w:t xml:space="preserve">24% </w:t>
            </w:r>
          </w:p>
        </w:tc>
        <w:tc>
          <w:tcPr>
            <w:tcW w:w="1143" w:type="pct"/>
            <w:tcBorders>
              <w:top w:val="single" w:sz="4" w:space="0" w:color="auto"/>
              <w:left w:val="single" w:sz="4" w:space="0" w:color="auto"/>
              <w:bottom w:val="single" w:sz="4" w:space="0" w:color="auto"/>
              <w:right w:val="single" w:sz="4" w:space="0" w:color="auto"/>
            </w:tcBorders>
            <w:hideMark/>
          </w:tcPr>
          <w:p w14:paraId="7D114875" w14:textId="77777777" w:rsidR="00AC6E61" w:rsidRPr="002041DF" w:rsidRDefault="00AC6E61" w:rsidP="002041DF">
            <w:pPr>
              <w:widowControl w:val="0"/>
              <w:autoSpaceDE w:val="0"/>
              <w:autoSpaceDN w:val="0"/>
              <w:adjustRightInd w:val="0"/>
              <w:jc w:val="both"/>
              <w:rPr>
                <w:sz w:val="22"/>
                <w:szCs w:val="22"/>
                <w:lang w:val="sr-Latn-ME"/>
              </w:rPr>
            </w:pPr>
            <w:r w:rsidRPr="002041DF">
              <w:rPr>
                <w:sz w:val="22"/>
                <w:szCs w:val="22"/>
                <w:lang w:val="sr-Latn-ME"/>
              </w:rPr>
              <w:t>44%</w:t>
            </w:r>
            <w:r w:rsidRPr="002041DF">
              <w:rPr>
                <w:sz w:val="22"/>
                <w:szCs w:val="22"/>
                <w:vertAlign w:val="superscript"/>
                <w:lang w:val="sr-Latn-ME"/>
              </w:rPr>
              <w:t xml:space="preserve"> a</w:t>
            </w:r>
            <w:r w:rsidRPr="002041DF">
              <w:rPr>
                <w:sz w:val="22"/>
                <w:szCs w:val="22"/>
                <w:lang w:val="sr-Latn-ME"/>
              </w:rPr>
              <w:t xml:space="preserve"> </w:t>
            </w:r>
          </w:p>
        </w:tc>
        <w:tc>
          <w:tcPr>
            <w:tcW w:w="1159" w:type="pct"/>
            <w:tcBorders>
              <w:top w:val="single" w:sz="4" w:space="0" w:color="auto"/>
              <w:left w:val="single" w:sz="4" w:space="0" w:color="auto"/>
              <w:bottom w:val="single" w:sz="4" w:space="0" w:color="auto"/>
              <w:right w:val="single" w:sz="4" w:space="0" w:color="auto"/>
            </w:tcBorders>
            <w:hideMark/>
          </w:tcPr>
          <w:p w14:paraId="1B15A445" w14:textId="77777777" w:rsidR="00AC6E61" w:rsidRPr="002041DF" w:rsidRDefault="00AC6E61" w:rsidP="002041DF">
            <w:pPr>
              <w:widowControl w:val="0"/>
              <w:autoSpaceDE w:val="0"/>
              <w:autoSpaceDN w:val="0"/>
              <w:adjustRightInd w:val="0"/>
              <w:jc w:val="both"/>
              <w:rPr>
                <w:sz w:val="22"/>
                <w:szCs w:val="22"/>
                <w:lang w:val="sr-Latn-ME"/>
              </w:rPr>
            </w:pPr>
            <w:r w:rsidRPr="002041DF">
              <w:rPr>
                <w:sz w:val="22"/>
                <w:szCs w:val="22"/>
                <w:lang w:val="sr-Latn-ME"/>
              </w:rPr>
              <w:t>38%</w:t>
            </w:r>
            <w:r w:rsidRPr="002041DF">
              <w:rPr>
                <w:sz w:val="22"/>
                <w:szCs w:val="22"/>
                <w:vertAlign w:val="superscript"/>
                <w:lang w:val="sr-Latn-ME"/>
              </w:rPr>
              <w:t xml:space="preserve"> b</w:t>
            </w:r>
            <w:r w:rsidRPr="002041DF">
              <w:rPr>
                <w:sz w:val="22"/>
                <w:szCs w:val="22"/>
                <w:lang w:val="sr-Latn-ME"/>
              </w:rPr>
              <w:t xml:space="preserve"> </w:t>
            </w:r>
          </w:p>
        </w:tc>
      </w:tr>
      <w:tr w:rsidR="00AC6E61" w:rsidRPr="002041DF" w14:paraId="61C56D14" w14:textId="77777777" w:rsidTr="007C6E24">
        <w:trPr>
          <w:jc w:val="center"/>
        </w:trPr>
        <w:tc>
          <w:tcPr>
            <w:tcW w:w="3936" w:type="dxa"/>
            <w:tcBorders>
              <w:top w:val="single" w:sz="4" w:space="0" w:color="auto"/>
              <w:left w:val="single" w:sz="4" w:space="0" w:color="auto"/>
              <w:bottom w:val="single" w:sz="4" w:space="0" w:color="auto"/>
              <w:right w:val="single" w:sz="4" w:space="0" w:color="auto"/>
            </w:tcBorders>
            <w:hideMark/>
          </w:tcPr>
          <w:p w14:paraId="7BB72201" w14:textId="0F410290" w:rsidR="00AC6E61" w:rsidRPr="002041DF" w:rsidRDefault="00AC6E61" w:rsidP="002041DF">
            <w:pPr>
              <w:widowControl w:val="0"/>
              <w:ind w:left="284"/>
              <w:jc w:val="both"/>
              <w:rPr>
                <w:sz w:val="22"/>
                <w:szCs w:val="22"/>
                <w:lang w:val="sr-Latn-ME"/>
              </w:rPr>
            </w:pPr>
            <w:r w:rsidRPr="002041DF">
              <w:rPr>
                <w:sz w:val="22"/>
                <w:szCs w:val="22"/>
                <w:lang w:val="sr-Latn-ME"/>
              </w:rPr>
              <w:t xml:space="preserve">Kod pacijenata </w:t>
            </w:r>
            <w:r w:rsidR="003E0F36" w:rsidRPr="002041DF">
              <w:rPr>
                <w:sz w:val="22"/>
                <w:szCs w:val="22"/>
                <w:lang w:val="sr-Latn-ME"/>
              </w:rPr>
              <w:t>neuspješno</w:t>
            </w:r>
            <w:r w:rsidRPr="002041DF">
              <w:rPr>
                <w:sz w:val="22"/>
                <w:szCs w:val="22"/>
                <w:lang w:val="sr-Latn-ME"/>
              </w:rPr>
              <w:t xml:space="preserve"> </w:t>
            </w:r>
            <w:r w:rsidR="00891C9B" w:rsidRPr="002041DF">
              <w:rPr>
                <w:sz w:val="22"/>
                <w:szCs w:val="22"/>
                <w:lang w:val="sr-Latn-ME"/>
              </w:rPr>
              <w:t>liječen</w:t>
            </w:r>
            <w:r w:rsidRPr="002041DF">
              <w:rPr>
                <w:sz w:val="22"/>
                <w:szCs w:val="22"/>
                <w:lang w:val="sr-Latn-ME"/>
              </w:rPr>
              <w:t xml:space="preserve">ih konvencionalnom terapijom, ali ne i biološkom terapijom </w:t>
            </w:r>
          </w:p>
        </w:tc>
        <w:tc>
          <w:tcPr>
            <w:tcW w:w="1133" w:type="dxa"/>
            <w:tcBorders>
              <w:top w:val="single" w:sz="4" w:space="0" w:color="auto"/>
              <w:left w:val="single" w:sz="4" w:space="0" w:color="auto"/>
              <w:bottom w:val="single" w:sz="4" w:space="0" w:color="auto"/>
              <w:right w:val="single" w:sz="4" w:space="0" w:color="auto"/>
            </w:tcBorders>
            <w:hideMark/>
          </w:tcPr>
          <w:p w14:paraId="3BA07F5E" w14:textId="77777777" w:rsidR="00AC6E61" w:rsidRPr="002041DF" w:rsidRDefault="00AC6E61" w:rsidP="002041DF">
            <w:pPr>
              <w:widowControl w:val="0"/>
              <w:autoSpaceDE w:val="0"/>
              <w:autoSpaceDN w:val="0"/>
              <w:adjustRightInd w:val="0"/>
              <w:jc w:val="both"/>
              <w:rPr>
                <w:sz w:val="22"/>
                <w:szCs w:val="22"/>
                <w:lang w:val="sr-Latn-ME"/>
              </w:rPr>
            </w:pPr>
            <w:r w:rsidRPr="002041DF">
              <w:rPr>
                <w:sz w:val="22"/>
                <w:szCs w:val="22"/>
                <w:lang w:val="sr-Latn-ME"/>
              </w:rPr>
              <w:t>31% (27/87)</w:t>
            </w:r>
          </w:p>
        </w:tc>
        <w:tc>
          <w:tcPr>
            <w:tcW w:w="1143" w:type="pct"/>
            <w:tcBorders>
              <w:top w:val="single" w:sz="4" w:space="0" w:color="auto"/>
              <w:left w:val="single" w:sz="4" w:space="0" w:color="auto"/>
              <w:bottom w:val="single" w:sz="4" w:space="0" w:color="auto"/>
              <w:right w:val="single" w:sz="4" w:space="0" w:color="auto"/>
            </w:tcBorders>
            <w:hideMark/>
          </w:tcPr>
          <w:p w14:paraId="17430E7F" w14:textId="77777777" w:rsidR="00AC6E61" w:rsidRPr="002041DF" w:rsidRDefault="00AC6E61" w:rsidP="002041DF">
            <w:pPr>
              <w:widowControl w:val="0"/>
              <w:autoSpaceDE w:val="0"/>
              <w:autoSpaceDN w:val="0"/>
              <w:adjustRightInd w:val="0"/>
              <w:jc w:val="both"/>
              <w:rPr>
                <w:sz w:val="22"/>
                <w:szCs w:val="22"/>
                <w:lang w:val="sr-Latn-ME"/>
              </w:rPr>
            </w:pPr>
            <w:r w:rsidRPr="002041DF">
              <w:rPr>
                <w:sz w:val="22"/>
                <w:szCs w:val="22"/>
                <w:lang w:val="sr-Latn-ME"/>
              </w:rPr>
              <w:t>48% (41/85)</w:t>
            </w:r>
            <w:r w:rsidRPr="002041DF">
              <w:rPr>
                <w:sz w:val="22"/>
                <w:szCs w:val="22"/>
                <w:vertAlign w:val="superscript"/>
                <w:lang w:val="sr-Latn-ME"/>
              </w:rPr>
              <w:t>d</w:t>
            </w:r>
          </w:p>
        </w:tc>
        <w:tc>
          <w:tcPr>
            <w:tcW w:w="1159" w:type="pct"/>
            <w:tcBorders>
              <w:top w:val="single" w:sz="4" w:space="0" w:color="auto"/>
              <w:left w:val="single" w:sz="4" w:space="0" w:color="auto"/>
              <w:bottom w:val="single" w:sz="4" w:space="0" w:color="auto"/>
              <w:right w:val="single" w:sz="4" w:space="0" w:color="auto"/>
            </w:tcBorders>
            <w:hideMark/>
          </w:tcPr>
          <w:p w14:paraId="028FCD58" w14:textId="77777777" w:rsidR="00AC6E61" w:rsidRPr="002041DF" w:rsidRDefault="00AC6E61" w:rsidP="002041DF">
            <w:pPr>
              <w:widowControl w:val="0"/>
              <w:autoSpaceDE w:val="0"/>
              <w:autoSpaceDN w:val="0"/>
              <w:adjustRightInd w:val="0"/>
              <w:jc w:val="both"/>
              <w:rPr>
                <w:sz w:val="22"/>
                <w:szCs w:val="22"/>
                <w:lang w:val="sr-Latn-ME"/>
              </w:rPr>
            </w:pPr>
            <w:r w:rsidRPr="002041DF">
              <w:rPr>
                <w:sz w:val="22"/>
                <w:szCs w:val="22"/>
                <w:lang w:val="sr-Latn-ME"/>
              </w:rPr>
              <w:t>49% (50/102)</w:t>
            </w:r>
            <w:r w:rsidRPr="002041DF">
              <w:rPr>
                <w:sz w:val="22"/>
                <w:szCs w:val="22"/>
                <w:vertAlign w:val="superscript"/>
                <w:lang w:val="sr-Latn-ME"/>
              </w:rPr>
              <w:t xml:space="preserve"> d</w:t>
            </w:r>
          </w:p>
        </w:tc>
      </w:tr>
      <w:tr w:rsidR="00AC6E61" w:rsidRPr="002041DF" w14:paraId="323149CE" w14:textId="77777777" w:rsidTr="007C6E24">
        <w:trPr>
          <w:jc w:val="center"/>
        </w:trPr>
        <w:tc>
          <w:tcPr>
            <w:tcW w:w="3936" w:type="dxa"/>
            <w:tcBorders>
              <w:top w:val="single" w:sz="4" w:space="0" w:color="auto"/>
              <w:left w:val="single" w:sz="4" w:space="0" w:color="auto"/>
              <w:bottom w:val="single" w:sz="4" w:space="0" w:color="auto"/>
              <w:right w:val="single" w:sz="4" w:space="0" w:color="auto"/>
            </w:tcBorders>
            <w:hideMark/>
          </w:tcPr>
          <w:p w14:paraId="6DF67660" w14:textId="076AA8FE" w:rsidR="00AC6E61" w:rsidRPr="002041DF" w:rsidRDefault="00AC6E61" w:rsidP="002041DF">
            <w:pPr>
              <w:widowControl w:val="0"/>
              <w:ind w:left="284"/>
              <w:jc w:val="both"/>
              <w:rPr>
                <w:sz w:val="22"/>
                <w:szCs w:val="22"/>
                <w:lang w:val="sr-Latn-ME"/>
              </w:rPr>
            </w:pPr>
            <w:r w:rsidRPr="002041DF">
              <w:rPr>
                <w:sz w:val="22"/>
                <w:szCs w:val="22"/>
                <w:lang w:val="sr-Latn-ME"/>
              </w:rPr>
              <w:t xml:space="preserve">Kod pacijenata </w:t>
            </w:r>
            <w:r w:rsidR="003E0F36" w:rsidRPr="002041DF">
              <w:rPr>
                <w:sz w:val="22"/>
                <w:szCs w:val="22"/>
                <w:lang w:val="sr-Latn-ME"/>
              </w:rPr>
              <w:t>neuspješno</w:t>
            </w:r>
            <w:r w:rsidRPr="002041DF">
              <w:rPr>
                <w:sz w:val="22"/>
                <w:szCs w:val="22"/>
                <w:lang w:val="sr-Latn-ME"/>
              </w:rPr>
              <w:t xml:space="preserve"> </w:t>
            </w:r>
            <w:r w:rsidR="00891C9B" w:rsidRPr="002041DF">
              <w:rPr>
                <w:sz w:val="22"/>
                <w:szCs w:val="22"/>
                <w:lang w:val="sr-Latn-ME"/>
              </w:rPr>
              <w:t>liječen</w:t>
            </w:r>
            <w:r w:rsidRPr="002041DF">
              <w:rPr>
                <w:sz w:val="22"/>
                <w:szCs w:val="22"/>
                <w:lang w:val="sr-Latn-ME"/>
              </w:rPr>
              <w:t>ih biološkom terapijom</w:t>
            </w:r>
            <w:r w:rsidRPr="002041DF">
              <w:rPr>
                <w:sz w:val="22"/>
                <w:szCs w:val="22"/>
                <w:vertAlign w:val="superscript"/>
                <w:lang w:val="sr-Latn-ME"/>
              </w:rPr>
              <w:t>¥</w:t>
            </w:r>
          </w:p>
        </w:tc>
        <w:tc>
          <w:tcPr>
            <w:tcW w:w="1133" w:type="dxa"/>
            <w:tcBorders>
              <w:top w:val="single" w:sz="4" w:space="0" w:color="auto"/>
              <w:left w:val="single" w:sz="4" w:space="0" w:color="auto"/>
              <w:bottom w:val="single" w:sz="4" w:space="0" w:color="auto"/>
              <w:right w:val="single" w:sz="4" w:space="0" w:color="auto"/>
            </w:tcBorders>
            <w:hideMark/>
          </w:tcPr>
          <w:p w14:paraId="2328371D" w14:textId="77777777" w:rsidR="00AC6E61" w:rsidRPr="002041DF" w:rsidRDefault="00AC6E61" w:rsidP="002041DF">
            <w:pPr>
              <w:widowControl w:val="0"/>
              <w:autoSpaceDE w:val="0"/>
              <w:autoSpaceDN w:val="0"/>
              <w:adjustRightInd w:val="0"/>
              <w:jc w:val="both"/>
              <w:rPr>
                <w:sz w:val="22"/>
                <w:szCs w:val="22"/>
                <w:lang w:val="sr-Latn-ME"/>
              </w:rPr>
            </w:pPr>
            <w:r w:rsidRPr="002041DF">
              <w:rPr>
                <w:sz w:val="22"/>
                <w:szCs w:val="22"/>
                <w:lang w:val="sr-Latn-ME"/>
              </w:rPr>
              <w:t>17% (15/88)</w:t>
            </w:r>
          </w:p>
        </w:tc>
        <w:tc>
          <w:tcPr>
            <w:tcW w:w="1143" w:type="pct"/>
            <w:tcBorders>
              <w:top w:val="single" w:sz="4" w:space="0" w:color="auto"/>
              <w:left w:val="single" w:sz="4" w:space="0" w:color="auto"/>
              <w:bottom w:val="single" w:sz="4" w:space="0" w:color="auto"/>
              <w:right w:val="single" w:sz="4" w:space="0" w:color="auto"/>
            </w:tcBorders>
            <w:hideMark/>
          </w:tcPr>
          <w:p w14:paraId="58D71F49" w14:textId="77777777" w:rsidR="00AC6E61" w:rsidRPr="002041DF" w:rsidRDefault="00AC6E61" w:rsidP="002041DF">
            <w:pPr>
              <w:widowControl w:val="0"/>
              <w:autoSpaceDE w:val="0"/>
              <w:autoSpaceDN w:val="0"/>
              <w:adjustRightInd w:val="0"/>
              <w:jc w:val="both"/>
              <w:rPr>
                <w:sz w:val="22"/>
                <w:szCs w:val="22"/>
                <w:lang w:val="sr-Latn-ME"/>
              </w:rPr>
            </w:pPr>
            <w:r w:rsidRPr="002041DF">
              <w:rPr>
                <w:sz w:val="22"/>
                <w:szCs w:val="22"/>
                <w:lang w:val="sr-Latn-ME"/>
              </w:rPr>
              <w:t>40% (36/91)</w:t>
            </w:r>
            <w:r w:rsidRPr="002041DF">
              <w:rPr>
                <w:sz w:val="22"/>
                <w:szCs w:val="22"/>
                <w:vertAlign w:val="superscript"/>
                <w:lang w:val="sr-Latn-ME"/>
              </w:rPr>
              <w:t xml:space="preserve"> c</w:t>
            </w:r>
          </w:p>
        </w:tc>
        <w:tc>
          <w:tcPr>
            <w:tcW w:w="1159" w:type="pct"/>
            <w:tcBorders>
              <w:top w:val="single" w:sz="4" w:space="0" w:color="auto"/>
              <w:left w:val="single" w:sz="4" w:space="0" w:color="auto"/>
              <w:bottom w:val="single" w:sz="4" w:space="0" w:color="auto"/>
              <w:right w:val="single" w:sz="4" w:space="0" w:color="auto"/>
            </w:tcBorders>
            <w:hideMark/>
          </w:tcPr>
          <w:p w14:paraId="4FD825DC" w14:textId="77777777" w:rsidR="00AC6E61" w:rsidRPr="002041DF" w:rsidRDefault="00AC6E61" w:rsidP="002041DF">
            <w:pPr>
              <w:widowControl w:val="0"/>
              <w:autoSpaceDE w:val="0"/>
              <w:autoSpaceDN w:val="0"/>
              <w:adjustRightInd w:val="0"/>
              <w:jc w:val="both"/>
              <w:rPr>
                <w:sz w:val="22"/>
                <w:szCs w:val="22"/>
                <w:lang w:val="sr-Latn-ME"/>
              </w:rPr>
            </w:pPr>
            <w:r w:rsidRPr="002041DF">
              <w:rPr>
                <w:sz w:val="22"/>
                <w:szCs w:val="22"/>
                <w:lang w:val="sr-Latn-ME"/>
              </w:rPr>
              <w:t>23% (16/70)</w:t>
            </w:r>
            <w:r w:rsidRPr="002041DF">
              <w:rPr>
                <w:sz w:val="22"/>
                <w:szCs w:val="22"/>
                <w:vertAlign w:val="superscript"/>
                <w:lang w:val="sr-Latn-ME"/>
              </w:rPr>
              <w:t xml:space="preserve"> d</w:t>
            </w:r>
          </w:p>
        </w:tc>
      </w:tr>
      <w:tr w:rsidR="00AC6E61" w:rsidRPr="002041DF" w14:paraId="7B1488BC" w14:textId="77777777" w:rsidTr="007C6E24">
        <w:trPr>
          <w:jc w:val="center"/>
        </w:trPr>
        <w:tc>
          <w:tcPr>
            <w:tcW w:w="3936" w:type="dxa"/>
            <w:tcBorders>
              <w:top w:val="single" w:sz="4" w:space="0" w:color="auto"/>
              <w:left w:val="single" w:sz="4" w:space="0" w:color="auto"/>
              <w:bottom w:val="single" w:sz="4" w:space="0" w:color="auto"/>
              <w:right w:val="single" w:sz="4" w:space="0" w:color="auto"/>
            </w:tcBorders>
          </w:tcPr>
          <w:p w14:paraId="27E9385B" w14:textId="6F916810" w:rsidR="00AC6E61" w:rsidRPr="002041DF" w:rsidRDefault="00AC6E61" w:rsidP="002041DF">
            <w:pPr>
              <w:widowControl w:val="0"/>
              <w:ind w:left="284"/>
              <w:jc w:val="both"/>
              <w:rPr>
                <w:sz w:val="22"/>
                <w:szCs w:val="22"/>
                <w:lang w:val="sr-Latn-ME"/>
              </w:rPr>
            </w:pPr>
            <w:r w:rsidRPr="002041DF">
              <w:rPr>
                <w:sz w:val="22"/>
                <w:szCs w:val="22"/>
                <w:lang w:val="sr-Latn-ME"/>
              </w:rPr>
              <w:t xml:space="preserve">Kod pacijenata </w:t>
            </w:r>
            <w:r w:rsidR="003E0F36" w:rsidRPr="002041DF">
              <w:rPr>
                <w:sz w:val="22"/>
                <w:szCs w:val="22"/>
                <w:lang w:val="sr-Latn-ME"/>
              </w:rPr>
              <w:t>neuspješno</w:t>
            </w:r>
            <w:r w:rsidRPr="002041DF">
              <w:rPr>
                <w:sz w:val="22"/>
                <w:szCs w:val="22"/>
                <w:lang w:val="sr-Latn-ME"/>
              </w:rPr>
              <w:t xml:space="preserve"> </w:t>
            </w:r>
            <w:r w:rsidR="00891C9B" w:rsidRPr="002041DF">
              <w:rPr>
                <w:sz w:val="22"/>
                <w:szCs w:val="22"/>
                <w:lang w:val="sr-Latn-ME"/>
              </w:rPr>
              <w:t>liječen</w:t>
            </w:r>
            <w:r w:rsidRPr="002041DF">
              <w:rPr>
                <w:sz w:val="22"/>
                <w:szCs w:val="22"/>
                <w:lang w:val="sr-Latn-ME"/>
              </w:rPr>
              <w:t>ih antagonistima TNFα i vedolizumabom</w:t>
            </w:r>
          </w:p>
        </w:tc>
        <w:tc>
          <w:tcPr>
            <w:tcW w:w="1133" w:type="dxa"/>
            <w:tcBorders>
              <w:top w:val="single" w:sz="4" w:space="0" w:color="auto"/>
              <w:left w:val="single" w:sz="4" w:space="0" w:color="auto"/>
              <w:bottom w:val="single" w:sz="4" w:space="0" w:color="auto"/>
              <w:right w:val="single" w:sz="4" w:space="0" w:color="auto"/>
            </w:tcBorders>
          </w:tcPr>
          <w:p w14:paraId="3923D0B4" w14:textId="77777777" w:rsidR="00AC6E61" w:rsidRPr="002041DF" w:rsidRDefault="00AC6E61" w:rsidP="002041DF">
            <w:pPr>
              <w:widowControl w:val="0"/>
              <w:autoSpaceDE w:val="0"/>
              <w:autoSpaceDN w:val="0"/>
              <w:adjustRightInd w:val="0"/>
              <w:jc w:val="both"/>
              <w:rPr>
                <w:sz w:val="22"/>
                <w:szCs w:val="22"/>
                <w:lang w:val="sr-Latn-ME"/>
              </w:rPr>
            </w:pPr>
            <w:r w:rsidRPr="002041DF">
              <w:rPr>
                <w:sz w:val="22"/>
                <w:szCs w:val="22"/>
                <w:lang w:val="sr-Latn-ME"/>
              </w:rPr>
              <w:t>15% (4/27)</w:t>
            </w:r>
          </w:p>
        </w:tc>
        <w:tc>
          <w:tcPr>
            <w:tcW w:w="1143" w:type="pct"/>
            <w:tcBorders>
              <w:top w:val="single" w:sz="4" w:space="0" w:color="auto"/>
              <w:left w:val="single" w:sz="4" w:space="0" w:color="auto"/>
              <w:bottom w:val="single" w:sz="4" w:space="0" w:color="auto"/>
              <w:right w:val="single" w:sz="4" w:space="0" w:color="auto"/>
            </w:tcBorders>
          </w:tcPr>
          <w:p w14:paraId="2E0A5478" w14:textId="77777777" w:rsidR="00AC6E61" w:rsidRPr="002041DF" w:rsidRDefault="00AC6E61" w:rsidP="002041DF">
            <w:pPr>
              <w:widowControl w:val="0"/>
              <w:autoSpaceDE w:val="0"/>
              <w:autoSpaceDN w:val="0"/>
              <w:adjustRightInd w:val="0"/>
              <w:jc w:val="both"/>
              <w:rPr>
                <w:sz w:val="22"/>
                <w:szCs w:val="22"/>
                <w:lang w:val="sr-Latn-ME"/>
              </w:rPr>
            </w:pPr>
            <w:r w:rsidRPr="002041DF">
              <w:rPr>
                <w:sz w:val="22"/>
                <w:szCs w:val="22"/>
                <w:lang w:val="sr-Latn-ME"/>
              </w:rPr>
              <w:t>33% (7/21)</w:t>
            </w:r>
            <w:r w:rsidRPr="002041DF">
              <w:rPr>
                <w:sz w:val="22"/>
                <w:szCs w:val="22"/>
                <w:vertAlign w:val="superscript"/>
                <w:lang w:val="sr-Latn-ME"/>
              </w:rPr>
              <w:t>e</w:t>
            </w:r>
          </w:p>
        </w:tc>
        <w:tc>
          <w:tcPr>
            <w:tcW w:w="1159" w:type="pct"/>
            <w:tcBorders>
              <w:top w:val="single" w:sz="4" w:space="0" w:color="auto"/>
              <w:left w:val="single" w:sz="4" w:space="0" w:color="auto"/>
              <w:bottom w:val="single" w:sz="4" w:space="0" w:color="auto"/>
              <w:right w:val="single" w:sz="4" w:space="0" w:color="auto"/>
            </w:tcBorders>
          </w:tcPr>
          <w:p w14:paraId="5D575995" w14:textId="77777777" w:rsidR="00AC6E61" w:rsidRPr="002041DF" w:rsidRDefault="00AC6E61" w:rsidP="002041DF">
            <w:pPr>
              <w:widowControl w:val="0"/>
              <w:autoSpaceDE w:val="0"/>
              <w:autoSpaceDN w:val="0"/>
              <w:adjustRightInd w:val="0"/>
              <w:jc w:val="both"/>
              <w:rPr>
                <w:sz w:val="22"/>
                <w:szCs w:val="22"/>
                <w:lang w:val="sr-Latn-ME"/>
              </w:rPr>
            </w:pPr>
            <w:r w:rsidRPr="002041DF">
              <w:rPr>
                <w:sz w:val="22"/>
                <w:szCs w:val="22"/>
                <w:lang w:val="sr-Latn-ME"/>
              </w:rPr>
              <w:t>23% (5/22)</w:t>
            </w:r>
            <w:r w:rsidRPr="002041DF">
              <w:rPr>
                <w:sz w:val="22"/>
                <w:szCs w:val="22"/>
                <w:vertAlign w:val="superscript"/>
                <w:lang w:val="sr-Latn-ME"/>
              </w:rPr>
              <w:t>e</w:t>
            </w:r>
          </w:p>
        </w:tc>
      </w:tr>
      <w:tr w:rsidR="00AC6E61" w:rsidRPr="002041DF" w14:paraId="2625C499" w14:textId="77777777" w:rsidTr="007C6E24">
        <w:trPr>
          <w:jc w:val="center"/>
        </w:trPr>
        <w:tc>
          <w:tcPr>
            <w:tcW w:w="3936" w:type="dxa"/>
            <w:tcBorders>
              <w:top w:val="single" w:sz="4" w:space="0" w:color="auto"/>
              <w:left w:val="single" w:sz="4" w:space="0" w:color="auto"/>
              <w:bottom w:val="single" w:sz="4" w:space="0" w:color="auto"/>
              <w:right w:val="single" w:sz="4" w:space="0" w:color="auto"/>
            </w:tcBorders>
          </w:tcPr>
          <w:p w14:paraId="5DCE8BCE" w14:textId="3852307D" w:rsidR="00AC6E61" w:rsidRPr="002041DF" w:rsidRDefault="00AC6E61" w:rsidP="002041DF">
            <w:pPr>
              <w:widowControl w:val="0"/>
              <w:jc w:val="both"/>
              <w:rPr>
                <w:sz w:val="22"/>
                <w:szCs w:val="22"/>
                <w:lang w:val="sr-Latn-ME"/>
              </w:rPr>
            </w:pPr>
            <w:r w:rsidRPr="002041DF">
              <w:rPr>
                <w:sz w:val="22"/>
                <w:szCs w:val="22"/>
                <w:lang w:val="sr-Latn-ME"/>
              </w:rPr>
              <w:t xml:space="preserve">Klinički odgovor u toku 44. </w:t>
            </w:r>
            <w:r w:rsidR="004372C4" w:rsidRPr="002041DF">
              <w:rPr>
                <w:sz w:val="22"/>
                <w:szCs w:val="22"/>
                <w:lang w:val="sr-Latn-ME"/>
              </w:rPr>
              <w:t>nedjelje</w:t>
            </w:r>
            <w:r w:rsidRPr="002041DF">
              <w:rPr>
                <w:sz w:val="22"/>
                <w:szCs w:val="22"/>
                <w:vertAlign w:val="superscript"/>
                <w:lang w:val="sr-Latn-ME"/>
              </w:rPr>
              <w:t>§</w:t>
            </w:r>
          </w:p>
        </w:tc>
        <w:tc>
          <w:tcPr>
            <w:tcW w:w="1133" w:type="dxa"/>
            <w:tcBorders>
              <w:top w:val="single" w:sz="4" w:space="0" w:color="auto"/>
              <w:left w:val="single" w:sz="4" w:space="0" w:color="auto"/>
              <w:bottom w:val="single" w:sz="4" w:space="0" w:color="auto"/>
              <w:right w:val="single" w:sz="4" w:space="0" w:color="auto"/>
            </w:tcBorders>
          </w:tcPr>
          <w:p w14:paraId="57D6533F" w14:textId="77777777" w:rsidR="00AC6E61" w:rsidRPr="002041DF" w:rsidRDefault="00AC6E61" w:rsidP="002041DF">
            <w:pPr>
              <w:widowControl w:val="0"/>
              <w:autoSpaceDE w:val="0"/>
              <w:autoSpaceDN w:val="0"/>
              <w:adjustRightInd w:val="0"/>
              <w:jc w:val="both"/>
              <w:rPr>
                <w:sz w:val="22"/>
                <w:szCs w:val="22"/>
                <w:lang w:val="sr-Latn-ME"/>
              </w:rPr>
            </w:pPr>
            <w:r w:rsidRPr="002041DF">
              <w:rPr>
                <w:sz w:val="22"/>
                <w:szCs w:val="22"/>
                <w:lang w:val="sr-Latn-ME"/>
              </w:rPr>
              <w:t>45%</w:t>
            </w:r>
          </w:p>
        </w:tc>
        <w:tc>
          <w:tcPr>
            <w:tcW w:w="1143" w:type="pct"/>
            <w:tcBorders>
              <w:top w:val="single" w:sz="4" w:space="0" w:color="auto"/>
              <w:left w:val="single" w:sz="4" w:space="0" w:color="auto"/>
              <w:bottom w:val="single" w:sz="4" w:space="0" w:color="auto"/>
              <w:right w:val="single" w:sz="4" w:space="0" w:color="auto"/>
            </w:tcBorders>
          </w:tcPr>
          <w:p w14:paraId="544489ED" w14:textId="77777777" w:rsidR="00AC6E61" w:rsidRPr="002041DF" w:rsidRDefault="00AC6E61" w:rsidP="002041DF">
            <w:pPr>
              <w:widowControl w:val="0"/>
              <w:autoSpaceDE w:val="0"/>
              <w:autoSpaceDN w:val="0"/>
              <w:adjustRightInd w:val="0"/>
              <w:jc w:val="both"/>
              <w:rPr>
                <w:sz w:val="22"/>
                <w:szCs w:val="22"/>
                <w:lang w:val="sr-Latn-ME"/>
              </w:rPr>
            </w:pPr>
            <w:r w:rsidRPr="002041DF">
              <w:rPr>
                <w:sz w:val="22"/>
                <w:szCs w:val="22"/>
                <w:lang w:val="sr-Latn-ME"/>
              </w:rPr>
              <w:t>71%</w:t>
            </w:r>
            <w:r w:rsidRPr="002041DF">
              <w:rPr>
                <w:sz w:val="22"/>
                <w:szCs w:val="22"/>
                <w:vertAlign w:val="superscript"/>
                <w:lang w:val="sr-Latn-ME"/>
              </w:rPr>
              <w:t xml:space="preserve"> a</w:t>
            </w:r>
          </w:p>
        </w:tc>
        <w:tc>
          <w:tcPr>
            <w:tcW w:w="1159" w:type="pct"/>
            <w:tcBorders>
              <w:top w:val="single" w:sz="4" w:space="0" w:color="auto"/>
              <w:left w:val="single" w:sz="4" w:space="0" w:color="auto"/>
              <w:bottom w:val="single" w:sz="4" w:space="0" w:color="auto"/>
              <w:right w:val="single" w:sz="4" w:space="0" w:color="auto"/>
            </w:tcBorders>
          </w:tcPr>
          <w:p w14:paraId="646C3478" w14:textId="77777777" w:rsidR="00AC6E61" w:rsidRPr="002041DF" w:rsidRDefault="00AC6E61" w:rsidP="002041DF">
            <w:pPr>
              <w:widowControl w:val="0"/>
              <w:autoSpaceDE w:val="0"/>
              <w:autoSpaceDN w:val="0"/>
              <w:adjustRightInd w:val="0"/>
              <w:jc w:val="both"/>
              <w:rPr>
                <w:sz w:val="22"/>
                <w:szCs w:val="22"/>
                <w:lang w:val="sr-Latn-ME"/>
              </w:rPr>
            </w:pPr>
            <w:r w:rsidRPr="002041DF">
              <w:rPr>
                <w:sz w:val="22"/>
                <w:szCs w:val="22"/>
                <w:lang w:val="sr-Latn-ME"/>
              </w:rPr>
              <w:t>68%</w:t>
            </w:r>
            <w:r w:rsidRPr="002041DF">
              <w:rPr>
                <w:sz w:val="22"/>
                <w:szCs w:val="22"/>
                <w:vertAlign w:val="superscript"/>
                <w:lang w:val="sr-Latn-ME"/>
              </w:rPr>
              <w:t xml:space="preserve"> a</w:t>
            </w:r>
          </w:p>
        </w:tc>
      </w:tr>
      <w:tr w:rsidR="00AC6E61" w:rsidRPr="002041DF" w14:paraId="3E6D15D4" w14:textId="77777777" w:rsidTr="007C6E24">
        <w:trPr>
          <w:jc w:val="center"/>
        </w:trPr>
        <w:tc>
          <w:tcPr>
            <w:tcW w:w="3936" w:type="dxa"/>
            <w:tcBorders>
              <w:top w:val="single" w:sz="4" w:space="0" w:color="auto"/>
              <w:left w:val="single" w:sz="4" w:space="0" w:color="auto"/>
              <w:bottom w:val="single" w:sz="4" w:space="0" w:color="auto"/>
              <w:right w:val="single" w:sz="4" w:space="0" w:color="auto"/>
            </w:tcBorders>
          </w:tcPr>
          <w:p w14:paraId="11F3F5BB" w14:textId="5A634868" w:rsidR="00AC6E61" w:rsidRPr="002041DF" w:rsidRDefault="00AC6E61" w:rsidP="002041DF">
            <w:pPr>
              <w:widowControl w:val="0"/>
              <w:ind w:left="284"/>
              <w:jc w:val="both"/>
              <w:rPr>
                <w:sz w:val="22"/>
                <w:szCs w:val="22"/>
                <w:lang w:val="sr-Latn-ME"/>
              </w:rPr>
            </w:pPr>
            <w:r w:rsidRPr="002041DF">
              <w:rPr>
                <w:sz w:val="22"/>
                <w:szCs w:val="22"/>
                <w:lang w:val="sr-Latn-ME"/>
              </w:rPr>
              <w:t xml:space="preserve">Kod pacijenata </w:t>
            </w:r>
            <w:r w:rsidR="003E0F36" w:rsidRPr="002041DF">
              <w:rPr>
                <w:sz w:val="22"/>
                <w:szCs w:val="22"/>
                <w:lang w:val="sr-Latn-ME"/>
              </w:rPr>
              <w:t>neuspješno</w:t>
            </w:r>
            <w:r w:rsidRPr="002041DF">
              <w:rPr>
                <w:sz w:val="22"/>
                <w:szCs w:val="22"/>
                <w:lang w:val="sr-Latn-ME"/>
              </w:rPr>
              <w:t xml:space="preserve"> </w:t>
            </w:r>
            <w:r w:rsidR="00891C9B" w:rsidRPr="002041DF">
              <w:rPr>
                <w:sz w:val="22"/>
                <w:szCs w:val="22"/>
                <w:lang w:val="sr-Latn-ME"/>
              </w:rPr>
              <w:t>liječen</w:t>
            </w:r>
            <w:r w:rsidRPr="002041DF">
              <w:rPr>
                <w:sz w:val="22"/>
                <w:szCs w:val="22"/>
                <w:lang w:val="sr-Latn-ME"/>
              </w:rPr>
              <w:t>ih konvencionalnom terapijom, ali ne i biološkom terapijom</w:t>
            </w:r>
          </w:p>
        </w:tc>
        <w:tc>
          <w:tcPr>
            <w:tcW w:w="1133" w:type="dxa"/>
            <w:tcBorders>
              <w:top w:val="single" w:sz="4" w:space="0" w:color="auto"/>
              <w:left w:val="single" w:sz="4" w:space="0" w:color="auto"/>
              <w:bottom w:val="single" w:sz="4" w:space="0" w:color="auto"/>
              <w:right w:val="single" w:sz="4" w:space="0" w:color="auto"/>
            </w:tcBorders>
          </w:tcPr>
          <w:p w14:paraId="5726B9BC" w14:textId="77777777" w:rsidR="00AC6E61" w:rsidRPr="002041DF" w:rsidRDefault="00AC6E61" w:rsidP="002041DF">
            <w:pPr>
              <w:widowControl w:val="0"/>
              <w:autoSpaceDE w:val="0"/>
              <w:autoSpaceDN w:val="0"/>
              <w:adjustRightInd w:val="0"/>
              <w:jc w:val="both"/>
              <w:rPr>
                <w:sz w:val="22"/>
                <w:szCs w:val="22"/>
                <w:lang w:val="sr-Latn-ME"/>
              </w:rPr>
            </w:pPr>
            <w:r w:rsidRPr="002041DF">
              <w:rPr>
                <w:sz w:val="22"/>
                <w:szCs w:val="22"/>
                <w:lang w:val="sr-Latn-ME"/>
              </w:rPr>
              <w:t>51% (44/87)</w:t>
            </w:r>
          </w:p>
        </w:tc>
        <w:tc>
          <w:tcPr>
            <w:tcW w:w="1143" w:type="pct"/>
            <w:tcBorders>
              <w:top w:val="single" w:sz="4" w:space="0" w:color="auto"/>
              <w:left w:val="single" w:sz="4" w:space="0" w:color="auto"/>
              <w:bottom w:val="single" w:sz="4" w:space="0" w:color="auto"/>
              <w:right w:val="single" w:sz="4" w:space="0" w:color="auto"/>
            </w:tcBorders>
          </w:tcPr>
          <w:p w14:paraId="03B040FC" w14:textId="77777777" w:rsidR="00AC6E61" w:rsidRPr="002041DF" w:rsidRDefault="00AC6E61" w:rsidP="002041DF">
            <w:pPr>
              <w:widowControl w:val="0"/>
              <w:autoSpaceDE w:val="0"/>
              <w:autoSpaceDN w:val="0"/>
              <w:adjustRightInd w:val="0"/>
              <w:jc w:val="both"/>
              <w:rPr>
                <w:sz w:val="22"/>
                <w:szCs w:val="22"/>
                <w:lang w:val="sr-Latn-ME"/>
              </w:rPr>
            </w:pPr>
            <w:r w:rsidRPr="002041DF">
              <w:rPr>
                <w:sz w:val="22"/>
                <w:szCs w:val="22"/>
                <w:lang w:val="sr-Latn-ME"/>
              </w:rPr>
              <w:t>78% (66/85)</w:t>
            </w:r>
            <w:r w:rsidRPr="002041DF">
              <w:rPr>
                <w:sz w:val="22"/>
                <w:szCs w:val="22"/>
                <w:vertAlign w:val="superscript"/>
                <w:lang w:val="sr-Latn-ME"/>
              </w:rPr>
              <w:t xml:space="preserve"> c</w:t>
            </w:r>
          </w:p>
        </w:tc>
        <w:tc>
          <w:tcPr>
            <w:tcW w:w="1159" w:type="pct"/>
            <w:tcBorders>
              <w:top w:val="single" w:sz="4" w:space="0" w:color="auto"/>
              <w:left w:val="single" w:sz="4" w:space="0" w:color="auto"/>
              <w:bottom w:val="single" w:sz="4" w:space="0" w:color="auto"/>
              <w:right w:val="single" w:sz="4" w:space="0" w:color="auto"/>
            </w:tcBorders>
          </w:tcPr>
          <w:p w14:paraId="1BB9B54D" w14:textId="77777777" w:rsidR="00AC6E61" w:rsidRPr="002041DF" w:rsidRDefault="00AC6E61" w:rsidP="002041DF">
            <w:pPr>
              <w:widowControl w:val="0"/>
              <w:autoSpaceDE w:val="0"/>
              <w:autoSpaceDN w:val="0"/>
              <w:adjustRightInd w:val="0"/>
              <w:jc w:val="both"/>
              <w:rPr>
                <w:sz w:val="22"/>
                <w:szCs w:val="22"/>
                <w:lang w:val="sr-Latn-ME"/>
              </w:rPr>
            </w:pPr>
            <w:r w:rsidRPr="002041DF">
              <w:rPr>
                <w:sz w:val="22"/>
                <w:szCs w:val="22"/>
                <w:lang w:val="sr-Latn-ME"/>
              </w:rPr>
              <w:t>77% (78/102)</w:t>
            </w:r>
            <w:r w:rsidRPr="002041DF">
              <w:rPr>
                <w:sz w:val="22"/>
                <w:szCs w:val="22"/>
                <w:vertAlign w:val="superscript"/>
                <w:lang w:val="sr-Latn-ME"/>
              </w:rPr>
              <w:t xml:space="preserve"> c</w:t>
            </w:r>
          </w:p>
        </w:tc>
      </w:tr>
      <w:tr w:rsidR="00AC6E61" w:rsidRPr="002041DF" w14:paraId="0331EE2C" w14:textId="77777777" w:rsidTr="007C6E24">
        <w:trPr>
          <w:jc w:val="center"/>
        </w:trPr>
        <w:tc>
          <w:tcPr>
            <w:tcW w:w="3936" w:type="dxa"/>
            <w:tcBorders>
              <w:top w:val="single" w:sz="4" w:space="0" w:color="auto"/>
              <w:left w:val="single" w:sz="4" w:space="0" w:color="auto"/>
              <w:bottom w:val="single" w:sz="4" w:space="0" w:color="auto"/>
              <w:right w:val="single" w:sz="4" w:space="0" w:color="auto"/>
            </w:tcBorders>
          </w:tcPr>
          <w:p w14:paraId="79EB2B19" w14:textId="292B3F24" w:rsidR="00AC6E61" w:rsidRPr="002041DF" w:rsidRDefault="00AC6E61" w:rsidP="002041DF">
            <w:pPr>
              <w:widowControl w:val="0"/>
              <w:ind w:left="284"/>
              <w:jc w:val="both"/>
              <w:rPr>
                <w:sz w:val="22"/>
                <w:szCs w:val="22"/>
                <w:lang w:val="sr-Latn-ME"/>
              </w:rPr>
            </w:pPr>
            <w:r w:rsidRPr="002041DF">
              <w:rPr>
                <w:sz w:val="22"/>
                <w:szCs w:val="22"/>
                <w:lang w:val="sr-Latn-ME"/>
              </w:rPr>
              <w:t xml:space="preserve">Kod pacijenata </w:t>
            </w:r>
            <w:r w:rsidR="003E0F36" w:rsidRPr="002041DF">
              <w:rPr>
                <w:sz w:val="22"/>
                <w:szCs w:val="22"/>
                <w:lang w:val="sr-Latn-ME"/>
              </w:rPr>
              <w:t>neuspješno</w:t>
            </w:r>
            <w:r w:rsidRPr="002041DF">
              <w:rPr>
                <w:sz w:val="22"/>
                <w:szCs w:val="22"/>
                <w:lang w:val="sr-Latn-ME"/>
              </w:rPr>
              <w:t xml:space="preserve"> </w:t>
            </w:r>
            <w:r w:rsidR="00891C9B" w:rsidRPr="002041DF">
              <w:rPr>
                <w:sz w:val="22"/>
                <w:szCs w:val="22"/>
                <w:lang w:val="sr-Latn-ME"/>
              </w:rPr>
              <w:t>liječen</w:t>
            </w:r>
            <w:r w:rsidRPr="002041DF">
              <w:rPr>
                <w:sz w:val="22"/>
                <w:szCs w:val="22"/>
                <w:lang w:val="sr-Latn-ME"/>
              </w:rPr>
              <w:t>ih biološkom terapijom</w:t>
            </w:r>
            <w:r w:rsidRPr="002041DF">
              <w:rPr>
                <w:sz w:val="22"/>
                <w:szCs w:val="22"/>
                <w:vertAlign w:val="superscript"/>
                <w:lang w:val="sr-Latn-ME"/>
              </w:rPr>
              <w:t>¥</w:t>
            </w:r>
          </w:p>
        </w:tc>
        <w:tc>
          <w:tcPr>
            <w:tcW w:w="1133" w:type="dxa"/>
            <w:tcBorders>
              <w:top w:val="single" w:sz="4" w:space="0" w:color="auto"/>
              <w:left w:val="single" w:sz="4" w:space="0" w:color="auto"/>
              <w:bottom w:val="single" w:sz="4" w:space="0" w:color="auto"/>
              <w:right w:val="single" w:sz="4" w:space="0" w:color="auto"/>
            </w:tcBorders>
          </w:tcPr>
          <w:p w14:paraId="4DE14A0E" w14:textId="77777777" w:rsidR="00AC6E61" w:rsidRPr="002041DF" w:rsidRDefault="00AC6E61" w:rsidP="002041DF">
            <w:pPr>
              <w:widowControl w:val="0"/>
              <w:autoSpaceDE w:val="0"/>
              <w:autoSpaceDN w:val="0"/>
              <w:adjustRightInd w:val="0"/>
              <w:jc w:val="both"/>
              <w:rPr>
                <w:sz w:val="22"/>
                <w:szCs w:val="22"/>
                <w:lang w:val="sr-Latn-ME"/>
              </w:rPr>
            </w:pPr>
            <w:r w:rsidRPr="002041DF">
              <w:rPr>
                <w:sz w:val="22"/>
                <w:szCs w:val="22"/>
                <w:lang w:val="sr-Latn-ME"/>
              </w:rPr>
              <w:t>39% (34/88)</w:t>
            </w:r>
          </w:p>
        </w:tc>
        <w:tc>
          <w:tcPr>
            <w:tcW w:w="1143" w:type="pct"/>
            <w:tcBorders>
              <w:top w:val="single" w:sz="4" w:space="0" w:color="auto"/>
              <w:left w:val="single" w:sz="4" w:space="0" w:color="auto"/>
              <w:bottom w:val="single" w:sz="4" w:space="0" w:color="auto"/>
              <w:right w:val="single" w:sz="4" w:space="0" w:color="auto"/>
            </w:tcBorders>
            <w:shd w:val="clear" w:color="auto" w:fill="auto"/>
          </w:tcPr>
          <w:p w14:paraId="56E2CB2F" w14:textId="77777777" w:rsidR="00AC6E61" w:rsidRPr="002041DF" w:rsidRDefault="00AC6E61" w:rsidP="002041DF">
            <w:pPr>
              <w:widowControl w:val="0"/>
              <w:autoSpaceDE w:val="0"/>
              <w:autoSpaceDN w:val="0"/>
              <w:adjustRightInd w:val="0"/>
              <w:jc w:val="both"/>
              <w:rPr>
                <w:sz w:val="22"/>
                <w:szCs w:val="22"/>
                <w:lang w:val="sr-Latn-ME"/>
              </w:rPr>
            </w:pPr>
            <w:r w:rsidRPr="002041DF">
              <w:rPr>
                <w:sz w:val="22"/>
                <w:szCs w:val="22"/>
                <w:lang w:val="sr-Latn-ME"/>
              </w:rPr>
              <w:t>65% (59/91)</w:t>
            </w:r>
            <w:r w:rsidRPr="002041DF">
              <w:rPr>
                <w:sz w:val="22"/>
                <w:szCs w:val="22"/>
                <w:vertAlign w:val="superscript"/>
                <w:lang w:val="sr-Latn-ME"/>
              </w:rPr>
              <w:t xml:space="preserve"> c</w:t>
            </w:r>
          </w:p>
        </w:tc>
        <w:tc>
          <w:tcPr>
            <w:tcW w:w="1159" w:type="pct"/>
            <w:tcBorders>
              <w:top w:val="single" w:sz="4" w:space="0" w:color="auto"/>
              <w:left w:val="single" w:sz="4" w:space="0" w:color="auto"/>
              <w:bottom w:val="single" w:sz="4" w:space="0" w:color="auto"/>
              <w:right w:val="single" w:sz="4" w:space="0" w:color="auto"/>
            </w:tcBorders>
            <w:shd w:val="clear" w:color="auto" w:fill="auto"/>
          </w:tcPr>
          <w:p w14:paraId="5599AA95" w14:textId="77777777" w:rsidR="00AC6E61" w:rsidRPr="002041DF" w:rsidRDefault="00AC6E61" w:rsidP="002041DF">
            <w:pPr>
              <w:widowControl w:val="0"/>
              <w:autoSpaceDE w:val="0"/>
              <w:autoSpaceDN w:val="0"/>
              <w:adjustRightInd w:val="0"/>
              <w:jc w:val="both"/>
              <w:rPr>
                <w:sz w:val="22"/>
                <w:szCs w:val="22"/>
                <w:lang w:val="sr-Latn-ME"/>
              </w:rPr>
            </w:pPr>
            <w:r w:rsidRPr="002041DF">
              <w:rPr>
                <w:sz w:val="22"/>
                <w:szCs w:val="22"/>
                <w:lang w:val="sr-Latn-ME"/>
              </w:rPr>
              <w:t>56% (39/70)</w:t>
            </w:r>
            <w:r w:rsidRPr="002041DF">
              <w:rPr>
                <w:sz w:val="22"/>
                <w:szCs w:val="22"/>
                <w:vertAlign w:val="superscript"/>
                <w:lang w:val="sr-Latn-ME"/>
              </w:rPr>
              <w:t xml:space="preserve"> d</w:t>
            </w:r>
          </w:p>
        </w:tc>
      </w:tr>
      <w:tr w:rsidR="00AC6E61" w:rsidRPr="002041DF" w14:paraId="063BF448" w14:textId="77777777" w:rsidTr="007C6E24">
        <w:trPr>
          <w:jc w:val="center"/>
        </w:trPr>
        <w:tc>
          <w:tcPr>
            <w:tcW w:w="3936" w:type="dxa"/>
            <w:tcBorders>
              <w:top w:val="single" w:sz="4" w:space="0" w:color="auto"/>
              <w:left w:val="single" w:sz="4" w:space="0" w:color="auto"/>
              <w:bottom w:val="single" w:sz="4" w:space="0" w:color="auto"/>
              <w:right w:val="single" w:sz="4" w:space="0" w:color="auto"/>
            </w:tcBorders>
          </w:tcPr>
          <w:p w14:paraId="2D8AD1DF" w14:textId="66FD8BBB" w:rsidR="00AC6E61" w:rsidRPr="002041DF" w:rsidRDefault="00AC6E61" w:rsidP="002041DF">
            <w:pPr>
              <w:widowControl w:val="0"/>
              <w:ind w:left="284"/>
              <w:jc w:val="both"/>
              <w:rPr>
                <w:sz w:val="22"/>
                <w:szCs w:val="22"/>
                <w:lang w:val="sr-Latn-ME"/>
              </w:rPr>
            </w:pPr>
            <w:r w:rsidRPr="002041DF">
              <w:rPr>
                <w:sz w:val="22"/>
                <w:szCs w:val="22"/>
                <w:lang w:val="sr-Latn-ME"/>
              </w:rPr>
              <w:t xml:space="preserve">Kod pacijenata </w:t>
            </w:r>
            <w:r w:rsidR="003E0F36" w:rsidRPr="002041DF">
              <w:rPr>
                <w:sz w:val="22"/>
                <w:szCs w:val="22"/>
                <w:lang w:val="sr-Latn-ME"/>
              </w:rPr>
              <w:t>neuspješno</w:t>
            </w:r>
            <w:r w:rsidRPr="002041DF">
              <w:rPr>
                <w:sz w:val="22"/>
                <w:szCs w:val="22"/>
                <w:lang w:val="sr-Latn-ME"/>
              </w:rPr>
              <w:t xml:space="preserve"> </w:t>
            </w:r>
            <w:r w:rsidR="00891C9B" w:rsidRPr="002041DF">
              <w:rPr>
                <w:sz w:val="22"/>
                <w:szCs w:val="22"/>
                <w:lang w:val="sr-Latn-ME"/>
              </w:rPr>
              <w:t>liječen</w:t>
            </w:r>
            <w:r w:rsidRPr="002041DF">
              <w:rPr>
                <w:sz w:val="22"/>
                <w:szCs w:val="22"/>
                <w:lang w:val="sr-Latn-ME"/>
              </w:rPr>
              <w:t>ih antagonistima TNFα i vedolizumabom</w:t>
            </w:r>
          </w:p>
        </w:tc>
        <w:tc>
          <w:tcPr>
            <w:tcW w:w="1133" w:type="dxa"/>
            <w:tcBorders>
              <w:top w:val="single" w:sz="4" w:space="0" w:color="auto"/>
              <w:left w:val="single" w:sz="4" w:space="0" w:color="auto"/>
              <w:bottom w:val="single" w:sz="4" w:space="0" w:color="auto"/>
              <w:right w:val="single" w:sz="4" w:space="0" w:color="auto"/>
            </w:tcBorders>
          </w:tcPr>
          <w:p w14:paraId="41A22138" w14:textId="77777777" w:rsidR="00AC6E61" w:rsidRPr="002041DF" w:rsidRDefault="00AC6E61" w:rsidP="002041DF">
            <w:pPr>
              <w:widowControl w:val="0"/>
              <w:autoSpaceDE w:val="0"/>
              <w:autoSpaceDN w:val="0"/>
              <w:adjustRightInd w:val="0"/>
              <w:jc w:val="both"/>
              <w:rPr>
                <w:sz w:val="22"/>
                <w:szCs w:val="22"/>
                <w:lang w:val="sr-Latn-ME"/>
              </w:rPr>
            </w:pPr>
            <w:r w:rsidRPr="002041DF">
              <w:rPr>
                <w:sz w:val="22"/>
                <w:szCs w:val="22"/>
                <w:lang w:val="sr-Latn-ME"/>
              </w:rPr>
              <w:t>41% (11/27)</w:t>
            </w:r>
          </w:p>
        </w:tc>
        <w:tc>
          <w:tcPr>
            <w:tcW w:w="1143" w:type="pct"/>
            <w:tcBorders>
              <w:top w:val="single" w:sz="4" w:space="0" w:color="auto"/>
              <w:left w:val="single" w:sz="4" w:space="0" w:color="auto"/>
              <w:bottom w:val="single" w:sz="4" w:space="0" w:color="auto"/>
              <w:right w:val="single" w:sz="4" w:space="0" w:color="auto"/>
            </w:tcBorders>
          </w:tcPr>
          <w:p w14:paraId="03E13D96" w14:textId="77777777" w:rsidR="00AC6E61" w:rsidRPr="002041DF" w:rsidRDefault="00AC6E61" w:rsidP="002041DF">
            <w:pPr>
              <w:widowControl w:val="0"/>
              <w:autoSpaceDE w:val="0"/>
              <w:autoSpaceDN w:val="0"/>
              <w:adjustRightInd w:val="0"/>
              <w:jc w:val="both"/>
              <w:rPr>
                <w:sz w:val="22"/>
                <w:szCs w:val="22"/>
                <w:lang w:val="sr-Latn-ME"/>
              </w:rPr>
            </w:pPr>
            <w:r w:rsidRPr="002041DF">
              <w:rPr>
                <w:sz w:val="22"/>
                <w:szCs w:val="22"/>
                <w:lang w:val="sr-Latn-ME"/>
              </w:rPr>
              <w:t>67% (14/21)</w:t>
            </w:r>
            <w:r w:rsidRPr="002041DF">
              <w:rPr>
                <w:sz w:val="22"/>
                <w:szCs w:val="22"/>
                <w:vertAlign w:val="superscript"/>
                <w:lang w:val="sr-Latn-ME"/>
              </w:rPr>
              <w:t>e</w:t>
            </w:r>
          </w:p>
        </w:tc>
        <w:tc>
          <w:tcPr>
            <w:tcW w:w="1159" w:type="pct"/>
            <w:tcBorders>
              <w:top w:val="single" w:sz="4" w:space="0" w:color="auto"/>
              <w:left w:val="single" w:sz="4" w:space="0" w:color="auto"/>
              <w:bottom w:val="single" w:sz="4" w:space="0" w:color="auto"/>
              <w:right w:val="single" w:sz="4" w:space="0" w:color="auto"/>
            </w:tcBorders>
          </w:tcPr>
          <w:p w14:paraId="7304479B" w14:textId="77777777" w:rsidR="00AC6E61" w:rsidRPr="002041DF" w:rsidRDefault="00AC6E61" w:rsidP="002041DF">
            <w:pPr>
              <w:widowControl w:val="0"/>
              <w:autoSpaceDE w:val="0"/>
              <w:autoSpaceDN w:val="0"/>
              <w:adjustRightInd w:val="0"/>
              <w:jc w:val="both"/>
              <w:rPr>
                <w:sz w:val="22"/>
                <w:szCs w:val="22"/>
                <w:lang w:val="sr-Latn-ME"/>
              </w:rPr>
            </w:pPr>
            <w:r w:rsidRPr="002041DF">
              <w:rPr>
                <w:sz w:val="22"/>
                <w:szCs w:val="22"/>
                <w:lang w:val="sr-Latn-ME"/>
              </w:rPr>
              <w:t>50% (11/22)</w:t>
            </w:r>
            <w:r w:rsidRPr="002041DF">
              <w:rPr>
                <w:sz w:val="22"/>
                <w:szCs w:val="22"/>
                <w:vertAlign w:val="superscript"/>
                <w:lang w:val="sr-Latn-ME"/>
              </w:rPr>
              <w:t>e</w:t>
            </w:r>
          </w:p>
        </w:tc>
      </w:tr>
      <w:tr w:rsidR="00AC6E61" w:rsidRPr="002041DF" w14:paraId="33C3FE2C" w14:textId="77777777" w:rsidTr="007C6E24">
        <w:trPr>
          <w:jc w:val="center"/>
        </w:trPr>
        <w:tc>
          <w:tcPr>
            <w:tcW w:w="3936" w:type="dxa"/>
            <w:tcBorders>
              <w:top w:val="single" w:sz="4" w:space="0" w:color="auto"/>
              <w:left w:val="single" w:sz="4" w:space="0" w:color="auto"/>
              <w:bottom w:val="single" w:sz="4" w:space="0" w:color="auto"/>
              <w:right w:val="single" w:sz="4" w:space="0" w:color="auto"/>
            </w:tcBorders>
          </w:tcPr>
          <w:p w14:paraId="45172215" w14:textId="78F35EEE" w:rsidR="00AC6E61" w:rsidRPr="002041DF" w:rsidRDefault="00AC6E61" w:rsidP="002041DF">
            <w:pPr>
              <w:widowControl w:val="0"/>
              <w:jc w:val="both"/>
              <w:rPr>
                <w:sz w:val="22"/>
                <w:szCs w:val="22"/>
                <w:lang w:val="sr-Latn-ME"/>
              </w:rPr>
            </w:pPr>
            <w:r w:rsidRPr="002041DF">
              <w:rPr>
                <w:sz w:val="22"/>
                <w:szCs w:val="22"/>
                <w:lang w:val="sr-Latn-ME"/>
              </w:rPr>
              <w:t>Zac</w:t>
            </w:r>
            <w:r w:rsidR="003E0F36" w:rsidRPr="002041DF">
              <w:rPr>
                <w:sz w:val="22"/>
                <w:szCs w:val="22"/>
                <w:lang w:val="sr-Latn-ME"/>
              </w:rPr>
              <w:t>j</w:t>
            </w:r>
            <w:r w:rsidRPr="002041DF">
              <w:rPr>
                <w:sz w:val="22"/>
                <w:szCs w:val="22"/>
                <w:lang w:val="sr-Latn-ME"/>
              </w:rPr>
              <w:t>eljivanje sluznice</w:t>
            </w:r>
            <w:r w:rsidRPr="002041DF">
              <w:rPr>
                <w:sz w:val="22"/>
                <w:szCs w:val="22"/>
                <w:vertAlign w:val="superscript"/>
                <w:lang w:val="sr-Latn-ME"/>
              </w:rPr>
              <w:t>†</w:t>
            </w:r>
          </w:p>
        </w:tc>
        <w:tc>
          <w:tcPr>
            <w:tcW w:w="1133" w:type="dxa"/>
            <w:tcBorders>
              <w:top w:val="single" w:sz="4" w:space="0" w:color="auto"/>
              <w:left w:val="single" w:sz="4" w:space="0" w:color="auto"/>
              <w:bottom w:val="single" w:sz="4" w:space="0" w:color="auto"/>
              <w:right w:val="single" w:sz="4" w:space="0" w:color="auto"/>
            </w:tcBorders>
          </w:tcPr>
          <w:p w14:paraId="238354C0" w14:textId="77777777" w:rsidR="00AC6E61" w:rsidRPr="002041DF" w:rsidRDefault="00AC6E61" w:rsidP="002041DF">
            <w:pPr>
              <w:widowControl w:val="0"/>
              <w:autoSpaceDE w:val="0"/>
              <w:autoSpaceDN w:val="0"/>
              <w:adjustRightInd w:val="0"/>
              <w:jc w:val="both"/>
              <w:rPr>
                <w:sz w:val="22"/>
                <w:szCs w:val="22"/>
                <w:lang w:val="sr-Latn-ME"/>
              </w:rPr>
            </w:pPr>
            <w:r w:rsidRPr="002041DF">
              <w:rPr>
                <w:sz w:val="22"/>
                <w:szCs w:val="22"/>
                <w:lang w:val="sr-Latn-ME"/>
              </w:rPr>
              <w:t>29%</w:t>
            </w:r>
          </w:p>
        </w:tc>
        <w:tc>
          <w:tcPr>
            <w:tcW w:w="1143" w:type="pct"/>
            <w:tcBorders>
              <w:top w:val="single" w:sz="4" w:space="0" w:color="auto"/>
              <w:left w:val="single" w:sz="4" w:space="0" w:color="auto"/>
              <w:bottom w:val="single" w:sz="4" w:space="0" w:color="auto"/>
              <w:right w:val="single" w:sz="4" w:space="0" w:color="auto"/>
            </w:tcBorders>
          </w:tcPr>
          <w:p w14:paraId="00570A6B" w14:textId="77777777" w:rsidR="00AC6E61" w:rsidRPr="002041DF" w:rsidRDefault="00AC6E61" w:rsidP="002041DF">
            <w:pPr>
              <w:widowControl w:val="0"/>
              <w:autoSpaceDE w:val="0"/>
              <w:autoSpaceDN w:val="0"/>
              <w:adjustRightInd w:val="0"/>
              <w:jc w:val="both"/>
              <w:rPr>
                <w:sz w:val="22"/>
                <w:szCs w:val="22"/>
                <w:lang w:val="sr-Latn-ME"/>
              </w:rPr>
            </w:pPr>
            <w:r w:rsidRPr="002041DF">
              <w:rPr>
                <w:sz w:val="22"/>
                <w:szCs w:val="22"/>
                <w:lang w:val="sr-Latn-ME"/>
              </w:rPr>
              <w:t>51%</w:t>
            </w:r>
            <w:r w:rsidRPr="002041DF">
              <w:rPr>
                <w:sz w:val="22"/>
                <w:szCs w:val="22"/>
                <w:vertAlign w:val="superscript"/>
                <w:lang w:val="sr-Latn-ME"/>
              </w:rPr>
              <w:t xml:space="preserve"> a</w:t>
            </w:r>
          </w:p>
        </w:tc>
        <w:tc>
          <w:tcPr>
            <w:tcW w:w="1159" w:type="pct"/>
            <w:tcBorders>
              <w:top w:val="single" w:sz="4" w:space="0" w:color="auto"/>
              <w:left w:val="single" w:sz="4" w:space="0" w:color="auto"/>
              <w:bottom w:val="single" w:sz="4" w:space="0" w:color="auto"/>
              <w:right w:val="single" w:sz="4" w:space="0" w:color="auto"/>
            </w:tcBorders>
          </w:tcPr>
          <w:p w14:paraId="263754FC" w14:textId="77777777" w:rsidR="00AC6E61" w:rsidRPr="002041DF" w:rsidRDefault="00AC6E61" w:rsidP="002041DF">
            <w:pPr>
              <w:widowControl w:val="0"/>
              <w:autoSpaceDE w:val="0"/>
              <w:autoSpaceDN w:val="0"/>
              <w:adjustRightInd w:val="0"/>
              <w:jc w:val="both"/>
              <w:rPr>
                <w:sz w:val="22"/>
                <w:szCs w:val="22"/>
                <w:lang w:val="sr-Latn-ME"/>
              </w:rPr>
            </w:pPr>
            <w:r w:rsidRPr="002041DF">
              <w:rPr>
                <w:sz w:val="22"/>
                <w:szCs w:val="22"/>
                <w:lang w:val="sr-Latn-ME"/>
              </w:rPr>
              <w:t>44%</w:t>
            </w:r>
            <w:r w:rsidRPr="002041DF">
              <w:rPr>
                <w:sz w:val="22"/>
                <w:szCs w:val="22"/>
                <w:vertAlign w:val="superscript"/>
                <w:lang w:val="sr-Latn-ME"/>
              </w:rPr>
              <w:t xml:space="preserve"> b</w:t>
            </w:r>
          </w:p>
        </w:tc>
      </w:tr>
      <w:tr w:rsidR="00AC6E61" w:rsidRPr="002041DF" w14:paraId="35597EAA" w14:textId="77777777" w:rsidTr="007C6E24">
        <w:trPr>
          <w:jc w:val="center"/>
        </w:trPr>
        <w:tc>
          <w:tcPr>
            <w:tcW w:w="3936" w:type="dxa"/>
            <w:tcBorders>
              <w:top w:val="single" w:sz="4" w:space="0" w:color="auto"/>
              <w:left w:val="single" w:sz="4" w:space="0" w:color="auto"/>
              <w:bottom w:val="single" w:sz="4" w:space="0" w:color="auto"/>
              <w:right w:val="single" w:sz="4" w:space="0" w:color="auto"/>
            </w:tcBorders>
          </w:tcPr>
          <w:p w14:paraId="00FAAFCF" w14:textId="27E67A59" w:rsidR="00AC6E61" w:rsidRPr="002041DF" w:rsidRDefault="00AC6E61" w:rsidP="002041DF">
            <w:pPr>
              <w:widowControl w:val="0"/>
              <w:jc w:val="both"/>
              <w:rPr>
                <w:sz w:val="22"/>
                <w:szCs w:val="22"/>
                <w:lang w:val="sr-Latn-ME"/>
              </w:rPr>
            </w:pPr>
            <w:r w:rsidRPr="002041DF">
              <w:rPr>
                <w:sz w:val="22"/>
                <w:szCs w:val="22"/>
                <w:lang w:val="sr-Latn-ME"/>
              </w:rPr>
              <w:t>Klinič</w:t>
            </w:r>
            <w:r w:rsidR="003E0F36" w:rsidRPr="002041DF">
              <w:rPr>
                <w:sz w:val="22"/>
                <w:szCs w:val="22"/>
                <w:lang w:val="sr-Latn-ME"/>
              </w:rPr>
              <w:t>k</w:t>
            </w:r>
            <w:r w:rsidRPr="002041DF">
              <w:rPr>
                <w:sz w:val="22"/>
                <w:szCs w:val="22"/>
                <w:lang w:val="sr-Latn-ME"/>
              </w:rPr>
              <w:t xml:space="preserve">i odgovor u toku 44. </w:t>
            </w:r>
            <w:r w:rsidR="004372C4" w:rsidRPr="002041DF">
              <w:rPr>
                <w:sz w:val="22"/>
                <w:szCs w:val="22"/>
                <w:lang w:val="sr-Latn-ME"/>
              </w:rPr>
              <w:t>nedjelje</w:t>
            </w:r>
            <w:r w:rsidRPr="002041DF">
              <w:rPr>
                <w:rFonts w:eastAsia="TimesNewRoman"/>
                <w:sz w:val="22"/>
                <w:szCs w:val="22"/>
                <w:vertAlign w:val="superscript"/>
                <w:lang w:val="sr-Latn-ME" w:eastAsia="zh-CN"/>
              </w:rPr>
              <w:t>£</w:t>
            </w:r>
          </w:p>
        </w:tc>
        <w:tc>
          <w:tcPr>
            <w:tcW w:w="1133" w:type="dxa"/>
            <w:tcBorders>
              <w:top w:val="single" w:sz="4" w:space="0" w:color="auto"/>
              <w:left w:val="single" w:sz="4" w:space="0" w:color="auto"/>
              <w:bottom w:val="single" w:sz="4" w:space="0" w:color="auto"/>
              <w:right w:val="single" w:sz="4" w:space="0" w:color="auto"/>
            </w:tcBorders>
          </w:tcPr>
          <w:p w14:paraId="2C37592A" w14:textId="77777777" w:rsidR="00AC6E61" w:rsidRPr="002041DF" w:rsidRDefault="00AC6E61" w:rsidP="002041DF">
            <w:pPr>
              <w:widowControl w:val="0"/>
              <w:autoSpaceDE w:val="0"/>
              <w:autoSpaceDN w:val="0"/>
              <w:adjustRightInd w:val="0"/>
              <w:jc w:val="both"/>
              <w:rPr>
                <w:sz w:val="22"/>
                <w:szCs w:val="22"/>
                <w:lang w:val="sr-Latn-ME"/>
              </w:rPr>
            </w:pPr>
            <w:r w:rsidRPr="002041DF">
              <w:rPr>
                <w:sz w:val="22"/>
                <w:szCs w:val="22"/>
                <w:lang w:val="sr-Latn-ME"/>
              </w:rPr>
              <w:t>38% (17/45)</w:t>
            </w:r>
          </w:p>
        </w:tc>
        <w:tc>
          <w:tcPr>
            <w:tcW w:w="1143" w:type="pct"/>
            <w:tcBorders>
              <w:top w:val="single" w:sz="4" w:space="0" w:color="auto"/>
              <w:left w:val="single" w:sz="4" w:space="0" w:color="auto"/>
              <w:bottom w:val="single" w:sz="4" w:space="0" w:color="auto"/>
              <w:right w:val="single" w:sz="4" w:space="0" w:color="auto"/>
            </w:tcBorders>
          </w:tcPr>
          <w:p w14:paraId="6264663E" w14:textId="77777777" w:rsidR="00AC6E61" w:rsidRPr="002041DF" w:rsidRDefault="00AC6E61" w:rsidP="002041DF">
            <w:pPr>
              <w:widowControl w:val="0"/>
              <w:autoSpaceDE w:val="0"/>
              <w:autoSpaceDN w:val="0"/>
              <w:adjustRightInd w:val="0"/>
              <w:jc w:val="both"/>
              <w:rPr>
                <w:sz w:val="22"/>
                <w:szCs w:val="22"/>
                <w:lang w:val="sr-Latn-ME"/>
              </w:rPr>
            </w:pPr>
            <w:r w:rsidRPr="002041DF">
              <w:rPr>
                <w:sz w:val="22"/>
                <w:szCs w:val="22"/>
                <w:lang w:val="sr-Latn-ME"/>
              </w:rPr>
              <w:t>58% (22/38)</w:t>
            </w:r>
          </w:p>
        </w:tc>
        <w:tc>
          <w:tcPr>
            <w:tcW w:w="1159" w:type="pct"/>
            <w:tcBorders>
              <w:top w:val="single" w:sz="4" w:space="0" w:color="auto"/>
              <w:left w:val="single" w:sz="4" w:space="0" w:color="auto"/>
              <w:bottom w:val="single" w:sz="4" w:space="0" w:color="auto"/>
              <w:right w:val="single" w:sz="4" w:space="0" w:color="auto"/>
            </w:tcBorders>
          </w:tcPr>
          <w:p w14:paraId="40B33087" w14:textId="77777777" w:rsidR="00AC6E61" w:rsidRPr="002041DF" w:rsidRDefault="00AC6E61" w:rsidP="002041DF">
            <w:pPr>
              <w:widowControl w:val="0"/>
              <w:autoSpaceDE w:val="0"/>
              <w:autoSpaceDN w:val="0"/>
              <w:adjustRightInd w:val="0"/>
              <w:jc w:val="both"/>
              <w:rPr>
                <w:sz w:val="22"/>
                <w:szCs w:val="22"/>
                <w:lang w:val="sr-Latn-ME"/>
              </w:rPr>
            </w:pPr>
            <w:r w:rsidRPr="002041DF">
              <w:rPr>
                <w:sz w:val="22"/>
                <w:szCs w:val="22"/>
                <w:lang w:val="sr-Latn-ME"/>
              </w:rPr>
              <w:t>65% (26/40)</w:t>
            </w:r>
            <w:r w:rsidRPr="002041DF">
              <w:rPr>
                <w:sz w:val="22"/>
                <w:szCs w:val="22"/>
                <w:vertAlign w:val="superscript"/>
                <w:lang w:val="sr-Latn-ME"/>
              </w:rPr>
              <w:t xml:space="preserve"> c</w:t>
            </w:r>
          </w:p>
        </w:tc>
      </w:tr>
      <w:tr w:rsidR="00AC6E61" w:rsidRPr="002041DF" w14:paraId="394640FF" w14:textId="77777777" w:rsidTr="007C6E24">
        <w:trPr>
          <w:jc w:val="center"/>
        </w:trPr>
        <w:tc>
          <w:tcPr>
            <w:tcW w:w="3936" w:type="dxa"/>
            <w:tcBorders>
              <w:top w:val="single" w:sz="4" w:space="0" w:color="auto"/>
              <w:left w:val="single" w:sz="4" w:space="0" w:color="auto"/>
              <w:bottom w:val="single" w:sz="4" w:space="0" w:color="auto"/>
              <w:right w:val="single" w:sz="4" w:space="0" w:color="auto"/>
            </w:tcBorders>
          </w:tcPr>
          <w:p w14:paraId="455D0E82" w14:textId="77777777" w:rsidR="00AC6E61" w:rsidRPr="002041DF" w:rsidRDefault="00AC6E61" w:rsidP="002041DF">
            <w:pPr>
              <w:widowControl w:val="0"/>
              <w:jc w:val="both"/>
              <w:rPr>
                <w:sz w:val="22"/>
                <w:szCs w:val="22"/>
                <w:lang w:val="sr-Latn-ME"/>
              </w:rPr>
            </w:pPr>
            <w:r w:rsidRPr="002041DF">
              <w:rPr>
                <w:sz w:val="22"/>
                <w:szCs w:val="22"/>
                <w:lang w:val="sr-Latn-ME"/>
              </w:rPr>
              <w:t>Klinička remisija bez kortikosteroida</w:t>
            </w:r>
          </w:p>
        </w:tc>
        <w:tc>
          <w:tcPr>
            <w:tcW w:w="1133" w:type="dxa"/>
            <w:tcBorders>
              <w:top w:val="single" w:sz="4" w:space="0" w:color="auto"/>
              <w:left w:val="single" w:sz="4" w:space="0" w:color="auto"/>
              <w:bottom w:val="single" w:sz="4" w:space="0" w:color="auto"/>
              <w:right w:val="single" w:sz="4" w:space="0" w:color="auto"/>
            </w:tcBorders>
          </w:tcPr>
          <w:p w14:paraId="1E026766" w14:textId="77777777" w:rsidR="00AC6E61" w:rsidRPr="002041DF" w:rsidRDefault="00AC6E61" w:rsidP="002041DF">
            <w:pPr>
              <w:widowControl w:val="0"/>
              <w:autoSpaceDE w:val="0"/>
              <w:autoSpaceDN w:val="0"/>
              <w:adjustRightInd w:val="0"/>
              <w:jc w:val="both"/>
              <w:rPr>
                <w:sz w:val="22"/>
                <w:szCs w:val="22"/>
                <w:lang w:val="sr-Latn-ME"/>
              </w:rPr>
            </w:pPr>
            <w:r w:rsidRPr="002041DF">
              <w:rPr>
                <w:sz w:val="22"/>
                <w:szCs w:val="22"/>
                <w:lang w:val="sr-Latn-ME"/>
              </w:rPr>
              <w:t>23%</w:t>
            </w:r>
          </w:p>
        </w:tc>
        <w:tc>
          <w:tcPr>
            <w:tcW w:w="1143" w:type="pct"/>
            <w:tcBorders>
              <w:top w:val="single" w:sz="4" w:space="0" w:color="auto"/>
              <w:left w:val="single" w:sz="4" w:space="0" w:color="auto"/>
              <w:bottom w:val="single" w:sz="4" w:space="0" w:color="auto"/>
              <w:right w:val="single" w:sz="4" w:space="0" w:color="auto"/>
            </w:tcBorders>
          </w:tcPr>
          <w:p w14:paraId="5D45632F" w14:textId="77777777" w:rsidR="00AC6E61" w:rsidRPr="002041DF" w:rsidRDefault="00AC6E61" w:rsidP="002041DF">
            <w:pPr>
              <w:widowControl w:val="0"/>
              <w:autoSpaceDE w:val="0"/>
              <w:autoSpaceDN w:val="0"/>
              <w:adjustRightInd w:val="0"/>
              <w:jc w:val="both"/>
              <w:rPr>
                <w:sz w:val="22"/>
                <w:szCs w:val="22"/>
                <w:lang w:val="sr-Latn-ME"/>
              </w:rPr>
            </w:pPr>
            <w:r w:rsidRPr="002041DF">
              <w:rPr>
                <w:sz w:val="22"/>
                <w:szCs w:val="22"/>
                <w:lang w:val="sr-Latn-ME"/>
              </w:rPr>
              <w:t>42%</w:t>
            </w:r>
            <w:r w:rsidRPr="002041DF">
              <w:rPr>
                <w:sz w:val="22"/>
                <w:szCs w:val="22"/>
                <w:vertAlign w:val="superscript"/>
                <w:lang w:val="sr-Latn-ME"/>
              </w:rPr>
              <w:t xml:space="preserve"> a</w:t>
            </w:r>
          </w:p>
        </w:tc>
        <w:tc>
          <w:tcPr>
            <w:tcW w:w="1159" w:type="pct"/>
            <w:tcBorders>
              <w:top w:val="single" w:sz="4" w:space="0" w:color="auto"/>
              <w:left w:val="single" w:sz="4" w:space="0" w:color="auto"/>
              <w:bottom w:val="single" w:sz="4" w:space="0" w:color="auto"/>
              <w:right w:val="single" w:sz="4" w:space="0" w:color="auto"/>
            </w:tcBorders>
          </w:tcPr>
          <w:p w14:paraId="49FAE594" w14:textId="77777777" w:rsidR="00AC6E61" w:rsidRPr="002041DF" w:rsidRDefault="00AC6E61" w:rsidP="002041DF">
            <w:pPr>
              <w:widowControl w:val="0"/>
              <w:autoSpaceDE w:val="0"/>
              <w:autoSpaceDN w:val="0"/>
              <w:adjustRightInd w:val="0"/>
              <w:jc w:val="both"/>
              <w:rPr>
                <w:sz w:val="22"/>
                <w:szCs w:val="22"/>
                <w:lang w:val="sr-Latn-ME"/>
              </w:rPr>
            </w:pPr>
            <w:r w:rsidRPr="002041DF">
              <w:rPr>
                <w:sz w:val="22"/>
                <w:szCs w:val="22"/>
                <w:lang w:val="sr-Latn-ME"/>
              </w:rPr>
              <w:t>38%</w:t>
            </w:r>
            <w:r w:rsidRPr="002041DF">
              <w:rPr>
                <w:sz w:val="22"/>
                <w:szCs w:val="22"/>
                <w:vertAlign w:val="superscript"/>
                <w:lang w:val="sr-Latn-ME"/>
              </w:rPr>
              <w:t xml:space="preserve"> b</w:t>
            </w:r>
          </w:p>
        </w:tc>
      </w:tr>
      <w:tr w:rsidR="00AC6E61" w:rsidRPr="002041DF" w14:paraId="76077605" w14:textId="77777777" w:rsidTr="007C6E24">
        <w:trPr>
          <w:jc w:val="center"/>
        </w:trPr>
        <w:tc>
          <w:tcPr>
            <w:tcW w:w="3936" w:type="dxa"/>
            <w:tcBorders>
              <w:top w:val="single" w:sz="4" w:space="0" w:color="auto"/>
              <w:left w:val="single" w:sz="4" w:space="0" w:color="auto"/>
              <w:bottom w:val="single" w:sz="4" w:space="0" w:color="auto"/>
              <w:right w:val="single" w:sz="4" w:space="0" w:color="auto"/>
            </w:tcBorders>
            <w:hideMark/>
          </w:tcPr>
          <w:p w14:paraId="5738557F" w14:textId="77777777" w:rsidR="00AC6E61" w:rsidRPr="002041DF" w:rsidRDefault="00AC6E61" w:rsidP="002041DF">
            <w:pPr>
              <w:widowControl w:val="0"/>
              <w:jc w:val="both"/>
              <w:rPr>
                <w:sz w:val="22"/>
                <w:szCs w:val="22"/>
                <w:lang w:val="sr-Latn-ME"/>
              </w:rPr>
            </w:pPr>
            <w:r w:rsidRPr="002041DF">
              <w:rPr>
                <w:sz w:val="22"/>
                <w:szCs w:val="22"/>
                <w:lang w:val="sr-Latn-ME"/>
              </w:rPr>
              <w:t>Dugotrajna remisija</w:t>
            </w:r>
            <w:r w:rsidRPr="002041DF">
              <w:rPr>
                <w:sz w:val="22"/>
                <w:szCs w:val="22"/>
                <w:vertAlign w:val="superscript"/>
                <w:lang w:val="sr-Latn-ME"/>
              </w:rPr>
              <w:t>‡</w:t>
            </w:r>
          </w:p>
        </w:tc>
        <w:tc>
          <w:tcPr>
            <w:tcW w:w="1133" w:type="dxa"/>
            <w:tcBorders>
              <w:top w:val="single" w:sz="4" w:space="0" w:color="auto"/>
              <w:left w:val="single" w:sz="4" w:space="0" w:color="auto"/>
              <w:bottom w:val="single" w:sz="4" w:space="0" w:color="auto"/>
              <w:right w:val="single" w:sz="4" w:space="0" w:color="auto"/>
            </w:tcBorders>
            <w:hideMark/>
          </w:tcPr>
          <w:p w14:paraId="2734C154" w14:textId="77777777" w:rsidR="00AC6E61" w:rsidRPr="002041DF" w:rsidRDefault="00AC6E61" w:rsidP="002041DF">
            <w:pPr>
              <w:widowControl w:val="0"/>
              <w:autoSpaceDE w:val="0"/>
              <w:autoSpaceDN w:val="0"/>
              <w:adjustRightInd w:val="0"/>
              <w:jc w:val="both"/>
              <w:rPr>
                <w:sz w:val="22"/>
                <w:szCs w:val="22"/>
                <w:lang w:val="sr-Latn-ME"/>
              </w:rPr>
            </w:pPr>
            <w:r w:rsidRPr="002041DF">
              <w:rPr>
                <w:sz w:val="22"/>
                <w:szCs w:val="22"/>
                <w:lang w:val="sr-Latn-ME"/>
              </w:rPr>
              <w:t>35%</w:t>
            </w:r>
          </w:p>
        </w:tc>
        <w:tc>
          <w:tcPr>
            <w:tcW w:w="1143" w:type="pct"/>
            <w:tcBorders>
              <w:top w:val="single" w:sz="4" w:space="0" w:color="auto"/>
              <w:left w:val="single" w:sz="4" w:space="0" w:color="auto"/>
              <w:bottom w:val="single" w:sz="4" w:space="0" w:color="auto"/>
              <w:right w:val="single" w:sz="4" w:space="0" w:color="auto"/>
            </w:tcBorders>
            <w:hideMark/>
          </w:tcPr>
          <w:p w14:paraId="2DE98557" w14:textId="77777777" w:rsidR="00AC6E61" w:rsidRPr="002041DF" w:rsidRDefault="00AC6E61" w:rsidP="002041DF">
            <w:pPr>
              <w:widowControl w:val="0"/>
              <w:autoSpaceDE w:val="0"/>
              <w:autoSpaceDN w:val="0"/>
              <w:adjustRightInd w:val="0"/>
              <w:jc w:val="both"/>
              <w:rPr>
                <w:sz w:val="22"/>
                <w:szCs w:val="22"/>
                <w:lang w:val="sr-Latn-ME"/>
              </w:rPr>
            </w:pPr>
            <w:r w:rsidRPr="002041DF">
              <w:rPr>
                <w:sz w:val="22"/>
                <w:szCs w:val="22"/>
                <w:lang w:val="sr-Latn-ME"/>
              </w:rPr>
              <w:t>57%</w:t>
            </w:r>
            <w:r w:rsidRPr="002041DF">
              <w:rPr>
                <w:sz w:val="22"/>
                <w:szCs w:val="22"/>
                <w:vertAlign w:val="superscript"/>
                <w:lang w:val="sr-Latn-ME"/>
              </w:rPr>
              <w:t xml:space="preserve"> c</w:t>
            </w:r>
          </w:p>
        </w:tc>
        <w:tc>
          <w:tcPr>
            <w:tcW w:w="1159" w:type="pct"/>
            <w:tcBorders>
              <w:top w:val="single" w:sz="4" w:space="0" w:color="auto"/>
              <w:left w:val="single" w:sz="4" w:space="0" w:color="auto"/>
              <w:bottom w:val="single" w:sz="4" w:space="0" w:color="auto"/>
              <w:right w:val="single" w:sz="4" w:space="0" w:color="auto"/>
            </w:tcBorders>
            <w:hideMark/>
          </w:tcPr>
          <w:p w14:paraId="72AD1B91" w14:textId="77777777" w:rsidR="00AC6E61" w:rsidRPr="002041DF" w:rsidRDefault="00AC6E61" w:rsidP="002041DF">
            <w:pPr>
              <w:widowControl w:val="0"/>
              <w:autoSpaceDE w:val="0"/>
              <w:autoSpaceDN w:val="0"/>
              <w:adjustRightInd w:val="0"/>
              <w:jc w:val="both"/>
              <w:rPr>
                <w:sz w:val="22"/>
                <w:szCs w:val="22"/>
                <w:lang w:val="sr-Latn-ME"/>
              </w:rPr>
            </w:pPr>
            <w:r w:rsidRPr="002041DF">
              <w:rPr>
                <w:sz w:val="22"/>
                <w:szCs w:val="22"/>
                <w:lang w:val="sr-Latn-ME"/>
              </w:rPr>
              <w:t>48%</w:t>
            </w:r>
            <w:r w:rsidRPr="002041DF">
              <w:rPr>
                <w:sz w:val="22"/>
                <w:szCs w:val="22"/>
                <w:vertAlign w:val="superscript"/>
                <w:lang w:val="sr-Latn-ME"/>
              </w:rPr>
              <w:t xml:space="preserve"> d</w:t>
            </w:r>
          </w:p>
        </w:tc>
      </w:tr>
      <w:tr w:rsidR="00AC6E61" w:rsidRPr="002041DF" w14:paraId="2238930B" w14:textId="77777777" w:rsidTr="007C6E24">
        <w:trPr>
          <w:jc w:val="center"/>
        </w:trPr>
        <w:tc>
          <w:tcPr>
            <w:tcW w:w="3936" w:type="dxa"/>
            <w:tcBorders>
              <w:top w:val="single" w:sz="4" w:space="0" w:color="auto"/>
              <w:left w:val="single" w:sz="4" w:space="0" w:color="auto"/>
              <w:bottom w:val="single" w:sz="4" w:space="0" w:color="auto"/>
              <w:right w:val="single" w:sz="4" w:space="0" w:color="auto"/>
            </w:tcBorders>
          </w:tcPr>
          <w:p w14:paraId="174790D6" w14:textId="77777777" w:rsidR="00AC6E61" w:rsidRPr="002041DF" w:rsidRDefault="00AC6E61" w:rsidP="002041DF">
            <w:pPr>
              <w:widowControl w:val="0"/>
              <w:jc w:val="both"/>
              <w:rPr>
                <w:sz w:val="22"/>
                <w:szCs w:val="22"/>
                <w:lang w:val="sr-Latn-ME"/>
              </w:rPr>
            </w:pPr>
            <w:r w:rsidRPr="002041DF">
              <w:rPr>
                <w:sz w:val="22"/>
                <w:szCs w:val="22"/>
                <w:vertAlign w:val="superscript"/>
                <w:lang w:val="sr-Latn-ME"/>
              </w:rPr>
              <w:t>⸸</w:t>
            </w:r>
            <w:r w:rsidRPr="002041DF">
              <w:rPr>
                <w:sz w:val="22"/>
                <w:szCs w:val="22"/>
                <w:lang w:val="sr-Latn-ME"/>
              </w:rPr>
              <w:t>Simptomatska remisija</w:t>
            </w:r>
            <w:r w:rsidRPr="002041DF">
              <w:rPr>
                <w:sz w:val="22"/>
                <w:szCs w:val="22"/>
                <w:vertAlign w:val="superscript"/>
                <w:lang w:val="sr-Latn-ME"/>
              </w:rPr>
              <w:t>‡</w:t>
            </w:r>
          </w:p>
        </w:tc>
        <w:tc>
          <w:tcPr>
            <w:tcW w:w="1133" w:type="dxa"/>
            <w:tcBorders>
              <w:top w:val="single" w:sz="4" w:space="0" w:color="auto"/>
              <w:left w:val="single" w:sz="4" w:space="0" w:color="auto"/>
              <w:bottom w:val="single" w:sz="4" w:space="0" w:color="auto"/>
              <w:right w:val="single" w:sz="4" w:space="0" w:color="auto"/>
            </w:tcBorders>
          </w:tcPr>
          <w:p w14:paraId="2F8C0E53" w14:textId="77777777" w:rsidR="00AC6E61" w:rsidRPr="002041DF" w:rsidRDefault="00AC6E61" w:rsidP="002041DF">
            <w:pPr>
              <w:widowControl w:val="0"/>
              <w:autoSpaceDE w:val="0"/>
              <w:autoSpaceDN w:val="0"/>
              <w:adjustRightInd w:val="0"/>
              <w:jc w:val="both"/>
              <w:rPr>
                <w:sz w:val="22"/>
                <w:szCs w:val="22"/>
                <w:lang w:val="sr-Latn-ME"/>
              </w:rPr>
            </w:pPr>
            <w:r w:rsidRPr="002041DF">
              <w:rPr>
                <w:sz w:val="22"/>
                <w:szCs w:val="22"/>
                <w:lang w:val="sr-Latn-ME"/>
              </w:rPr>
              <w:t>45%</w:t>
            </w:r>
          </w:p>
        </w:tc>
        <w:tc>
          <w:tcPr>
            <w:tcW w:w="1143" w:type="pct"/>
            <w:tcBorders>
              <w:top w:val="single" w:sz="4" w:space="0" w:color="auto"/>
              <w:left w:val="single" w:sz="4" w:space="0" w:color="auto"/>
              <w:bottom w:val="single" w:sz="4" w:space="0" w:color="auto"/>
              <w:right w:val="single" w:sz="4" w:space="0" w:color="auto"/>
            </w:tcBorders>
          </w:tcPr>
          <w:p w14:paraId="2B0E62EA" w14:textId="77777777" w:rsidR="00AC6E61" w:rsidRPr="002041DF" w:rsidRDefault="00AC6E61" w:rsidP="002041DF">
            <w:pPr>
              <w:widowControl w:val="0"/>
              <w:autoSpaceDE w:val="0"/>
              <w:autoSpaceDN w:val="0"/>
              <w:adjustRightInd w:val="0"/>
              <w:jc w:val="both"/>
              <w:rPr>
                <w:sz w:val="22"/>
                <w:szCs w:val="22"/>
                <w:lang w:val="sr-Latn-ME"/>
              </w:rPr>
            </w:pPr>
            <w:r w:rsidRPr="002041DF">
              <w:rPr>
                <w:sz w:val="22"/>
                <w:szCs w:val="22"/>
                <w:lang w:val="sr-Latn-ME"/>
              </w:rPr>
              <w:t>68%</w:t>
            </w:r>
            <w:r w:rsidRPr="002041DF">
              <w:rPr>
                <w:sz w:val="22"/>
                <w:szCs w:val="22"/>
                <w:vertAlign w:val="superscript"/>
                <w:lang w:val="sr-Latn-ME"/>
              </w:rPr>
              <w:t xml:space="preserve"> c</w:t>
            </w:r>
          </w:p>
        </w:tc>
        <w:tc>
          <w:tcPr>
            <w:tcW w:w="1159" w:type="pct"/>
            <w:tcBorders>
              <w:top w:val="single" w:sz="4" w:space="0" w:color="auto"/>
              <w:left w:val="single" w:sz="4" w:space="0" w:color="auto"/>
              <w:bottom w:val="single" w:sz="4" w:space="0" w:color="auto"/>
              <w:right w:val="single" w:sz="4" w:space="0" w:color="auto"/>
            </w:tcBorders>
          </w:tcPr>
          <w:p w14:paraId="61F57FE6" w14:textId="77777777" w:rsidR="00AC6E61" w:rsidRPr="002041DF" w:rsidRDefault="00AC6E61" w:rsidP="002041DF">
            <w:pPr>
              <w:widowControl w:val="0"/>
              <w:autoSpaceDE w:val="0"/>
              <w:autoSpaceDN w:val="0"/>
              <w:adjustRightInd w:val="0"/>
              <w:jc w:val="both"/>
              <w:rPr>
                <w:sz w:val="22"/>
                <w:szCs w:val="22"/>
                <w:lang w:val="sr-Latn-ME"/>
              </w:rPr>
            </w:pPr>
            <w:r w:rsidRPr="002041DF">
              <w:rPr>
                <w:sz w:val="22"/>
                <w:szCs w:val="22"/>
                <w:lang w:val="sr-Latn-ME"/>
              </w:rPr>
              <w:t>62%</w:t>
            </w:r>
            <w:r w:rsidRPr="002041DF">
              <w:rPr>
                <w:sz w:val="22"/>
                <w:szCs w:val="22"/>
                <w:vertAlign w:val="superscript"/>
                <w:lang w:val="sr-Latn-ME"/>
              </w:rPr>
              <w:t xml:space="preserve"> d</w:t>
            </w:r>
          </w:p>
        </w:tc>
      </w:tr>
      <w:tr w:rsidR="00AC6E61" w:rsidRPr="002041DF" w14:paraId="4AAD9B06" w14:textId="77777777" w:rsidTr="007C6E24">
        <w:trPr>
          <w:jc w:val="center"/>
        </w:trPr>
        <w:tc>
          <w:tcPr>
            <w:tcW w:w="3936" w:type="dxa"/>
            <w:tcBorders>
              <w:top w:val="single" w:sz="4" w:space="0" w:color="auto"/>
              <w:left w:val="single" w:sz="4" w:space="0" w:color="auto"/>
              <w:bottom w:val="single" w:sz="4" w:space="0" w:color="auto"/>
              <w:right w:val="single" w:sz="4" w:space="0" w:color="auto"/>
            </w:tcBorders>
            <w:hideMark/>
          </w:tcPr>
          <w:p w14:paraId="6F6DC377" w14:textId="2B89C903" w:rsidR="00AC6E61" w:rsidRPr="002041DF" w:rsidRDefault="00AC6E61" w:rsidP="002041DF">
            <w:pPr>
              <w:widowControl w:val="0"/>
              <w:jc w:val="both"/>
              <w:rPr>
                <w:sz w:val="22"/>
                <w:szCs w:val="22"/>
                <w:lang w:val="sr-Latn-ME"/>
              </w:rPr>
            </w:pPr>
            <w:r w:rsidRPr="002041DF">
              <w:rPr>
                <w:sz w:val="22"/>
                <w:szCs w:val="22"/>
                <w:lang w:val="sr-Latn-ME"/>
              </w:rPr>
              <w:t>Kombinacija simptomatske remisije i zac</w:t>
            </w:r>
            <w:r w:rsidR="003E0F36" w:rsidRPr="002041DF">
              <w:rPr>
                <w:sz w:val="22"/>
                <w:szCs w:val="22"/>
                <w:lang w:val="sr-Latn-ME"/>
              </w:rPr>
              <w:t>j</w:t>
            </w:r>
            <w:r w:rsidRPr="002041DF">
              <w:rPr>
                <w:sz w:val="22"/>
                <w:szCs w:val="22"/>
                <w:lang w:val="sr-Latn-ME"/>
              </w:rPr>
              <w:t>eljivanje sluznice</w:t>
            </w:r>
            <w:r w:rsidRPr="002041DF">
              <w:rPr>
                <w:sz w:val="22"/>
                <w:szCs w:val="22"/>
                <w:vertAlign w:val="superscript"/>
                <w:lang w:val="sr-Latn-ME"/>
              </w:rPr>
              <w:t>⸸</w:t>
            </w:r>
          </w:p>
        </w:tc>
        <w:tc>
          <w:tcPr>
            <w:tcW w:w="1133" w:type="dxa"/>
            <w:tcBorders>
              <w:top w:val="single" w:sz="4" w:space="0" w:color="auto"/>
              <w:left w:val="single" w:sz="4" w:space="0" w:color="auto"/>
              <w:bottom w:val="single" w:sz="4" w:space="0" w:color="auto"/>
              <w:right w:val="single" w:sz="4" w:space="0" w:color="auto"/>
            </w:tcBorders>
            <w:hideMark/>
          </w:tcPr>
          <w:p w14:paraId="60F0AE74" w14:textId="77777777" w:rsidR="00AC6E61" w:rsidRPr="002041DF" w:rsidRDefault="00AC6E61" w:rsidP="002041DF">
            <w:pPr>
              <w:widowControl w:val="0"/>
              <w:autoSpaceDE w:val="0"/>
              <w:autoSpaceDN w:val="0"/>
              <w:adjustRightInd w:val="0"/>
              <w:jc w:val="both"/>
              <w:rPr>
                <w:sz w:val="22"/>
                <w:szCs w:val="22"/>
                <w:lang w:val="sr-Latn-ME"/>
              </w:rPr>
            </w:pPr>
            <w:r w:rsidRPr="002041DF">
              <w:rPr>
                <w:sz w:val="22"/>
                <w:szCs w:val="22"/>
                <w:lang w:val="sr-Latn-ME"/>
              </w:rPr>
              <w:t>28%</w:t>
            </w:r>
          </w:p>
        </w:tc>
        <w:tc>
          <w:tcPr>
            <w:tcW w:w="1143" w:type="pct"/>
            <w:tcBorders>
              <w:top w:val="single" w:sz="4" w:space="0" w:color="auto"/>
              <w:left w:val="single" w:sz="4" w:space="0" w:color="auto"/>
              <w:bottom w:val="single" w:sz="4" w:space="0" w:color="auto"/>
              <w:right w:val="single" w:sz="4" w:space="0" w:color="auto"/>
            </w:tcBorders>
            <w:hideMark/>
          </w:tcPr>
          <w:p w14:paraId="0C618CA8" w14:textId="77777777" w:rsidR="00AC6E61" w:rsidRPr="002041DF" w:rsidRDefault="00AC6E61" w:rsidP="002041DF">
            <w:pPr>
              <w:widowControl w:val="0"/>
              <w:autoSpaceDE w:val="0"/>
              <w:autoSpaceDN w:val="0"/>
              <w:adjustRightInd w:val="0"/>
              <w:jc w:val="both"/>
              <w:rPr>
                <w:sz w:val="22"/>
                <w:szCs w:val="22"/>
                <w:lang w:val="sr-Latn-ME"/>
              </w:rPr>
            </w:pPr>
            <w:r w:rsidRPr="002041DF">
              <w:rPr>
                <w:sz w:val="22"/>
                <w:szCs w:val="22"/>
                <w:lang w:val="sr-Latn-ME"/>
              </w:rPr>
              <w:t>48%</w:t>
            </w:r>
            <w:r w:rsidRPr="002041DF">
              <w:rPr>
                <w:sz w:val="22"/>
                <w:szCs w:val="22"/>
                <w:vertAlign w:val="superscript"/>
                <w:lang w:val="sr-Latn-ME"/>
              </w:rPr>
              <w:t xml:space="preserve"> c</w:t>
            </w:r>
          </w:p>
        </w:tc>
        <w:tc>
          <w:tcPr>
            <w:tcW w:w="1159" w:type="pct"/>
            <w:tcBorders>
              <w:top w:val="single" w:sz="4" w:space="0" w:color="auto"/>
              <w:left w:val="single" w:sz="4" w:space="0" w:color="auto"/>
              <w:bottom w:val="single" w:sz="4" w:space="0" w:color="auto"/>
              <w:right w:val="single" w:sz="4" w:space="0" w:color="auto"/>
            </w:tcBorders>
            <w:hideMark/>
          </w:tcPr>
          <w:p w14:paraId="155DCDD1" w14:textId="77777777" w:rsidR="00AC6E61" w:rsidRPr="002041DF" w:rsidRDefault="00AC6E61" w:rsidP="002041DF">
            <w:pPr>
              <w:widowControl w:val="0"/>
              <w:autoSpaceDE w:val="0"/>
              <w:autoSpaceDN w:val="0"/>
              <w:adjustRightInd w:val="0"/>
              <w:jc w:val="both"/>
              <w:rPr>
                <w:sz w:val="22"/>
                <w:szCs w:val="22"/>
                <w:lang w:val="sr-Latn-ME"/>
              </w:rPr>
            </w:pPr>
            <w:r w:rsidRPr="002041DF">
              <w:rPr>
                <w:sz w:val="22"/>
                <w:szCs w:val="22"/>
                <w:lang w:val="sr-Latn-ME"/>
              </w:rPr>
              <w:t>41%</w:t>
            </w:r>
            <w:r w:rsidRPr="002041DF">
              <w:rPr>
                <w:sz w:val="22"/>
                <w:szCs w:val="22"/>
                <w:vertAlign w:val="superscript"/>
                <w:lang w:val="sr-Latn-ME"/>
              </w:rPr>
              <w:t xml:space="preserve"> d</w:t>
            </w:r>
          </w:p>
        </w:tc>
      </w:tr>
      <w:tr w:rsidR="00AC6E61" w:rsidRPr="002041DF" w14:paraId="788F16B4" w14:textId="77777777" w:rsidTr="007C6E24">
        <w:trPr>
          <w:jc w:val="center"/>
        </w:trPr>
        <w:tc>
          <w:tcPr>
            <w:tcW w:w="9394" w:type="dxa"/>
            <w:gridSpan w:val="4"/>
            <w:tcBorders>
              <w:top w:val="single" w:sz="4" w:space="0" w:color="auto"/>
              <w:left w:val="nil"/>
              <w:bottom w:val="nil"/>
              <w:right w:val="nil"/>
            </w:tcBorders>
            <w:hideMark/>
          </w:tcPr>
          <w:p w14:paraId="012115B1" w14:textId="77777777" w:rsidR="00AC6E61" w:rsidRPr="007C6E24" w:rsidRDefault="00AC6E61" w:rsidP="002041DF">
            <w:pPr>
              <w:widowControl w:val="0"/>
              <w:autoSpaceDE w:val="0"/>
              <w:autoSpaceDN w:val="0"/>
              <w:adjustRightInd w:val="0"/>
              <w:ind w:left="284" w:hanging="284"/>
              <w:jc w:val="both"/>
              <w:rPr>
                <w:sz w:val="20"/>
                <w:szCs w:val="22"/>
                <w:lang w:val="sr-Latn-ME"/>
              </w:rPr>
            </w:pPr>
            <w:r w:rsidRPr="007C6E24">
              <w:rPr>
                <w:sz w:val="20"/>
                <w:szCs w:val="22"/>
                <w:lang w:val="sr-Latn-ME"/>
              </w:rPr>
              <w:t>*</w:t>
            </w:r>
            <w:r w:rsidRPr="007C6E24">
              <w:rPr>
                <w:sz w:val="20"/>
                <w:szCs w:val="22"/>
                <w:lang w:val="sr-Latn-ME"/>
              </w:rPr>
              <w:tab/>
              <w:t>Nakon odgovora na intravensku dozu ustekinumaba.</w:t>
            </w:r>
          </w:p>
          <w:p w14:paraId="6D49D8FA" w14:textId="15F19637" w:rsidR="00AC6E61" w:rsidRPr="007C6E24" w:rsidRDefault="00AC6E61" w:rsidP="002041DF">
            <w:pPr>
              <w:widowControl w:val="0"/>
              <w:autoSpaceDE w:val="0"/>
              <w:autoSpaceDN w:val="0"/>
              <w:adjustRightInd w:val="0"/>
              <w:ind w:left="284" w:hanging="284"/>
              <w:jc w:val="both"/>
              <w:rPr>
                <w:sz w:val="20"/>
                <w:szCs w:val="22"/>
                <w:lang w:val="sr-Latn-ME"/>
              </w:rPr>
            </w:pPr>
            <w:r w:rsidRPr="007C6E24">
              <w:rPr>
                <w:sz w:val="20"/>
                <w:szCs w:val="22"/>
                <w:lang w:val="sr-Latn-ME"/>
              </w:rPr>
              <w:t>**</w:t>
            </w:r>
            <w:r w:rsidRPr="007C6E24">
              <w:rPr>
                <w:sz w:val="20"/>
                <w:szCs w:val="22"/>
                <w:lang w:val="sr-Latn-ME"/>
              </w:rPr>
              <w:tab/>
              <w:t xml:space="preserve">Klinička remisija je definisana kao Mayo skor ≤2 </w:t>
            </w:r>
            <w:r w:rsidR="00DA33E4" w:rsidRPr="007C6E24">
              <w:rPr>
                <w:sz w:val="20"/>
                <w:szCs w:val="22"/>
                <w:lang w:val="sr-Latn-ME"/>
              </w:rPr>
              <w:t>poen</w:t>
            </w:r>
            <w:r w:rsidRPr="007C6E24">
              <w:rPr>
                <w:sz w:val="20"/>
                <w:szCs w:val="22"/>
                <w:lang w:val="sr-Latn-ME"/>
              </w:rPr>
              <w:t>a, bez ijednog pojedinačnog podskora &gt; 1.</w:t>
            </w:r>
          </w:p>
          <w:p w14:paraId="4515D912" w14:textId="112887EF" w:rsidR="00AC6E61" w:rsidRPr="007C6E24" w:rsidRDefault="00AC6E61" w:rsidP="002041DF">
            <w:pPr>
              <w:widowControl w:val="0"/>
              <w:autoSpaceDE w:val="0"/>
              <w:autoSpaceDN w:val="0"/>
              <w:adjustRightInd w:val="0"/>
              <w:ind w:left="284" w:hanging="284"/>
              <w:jc w:val="both"/>
              <w:rPr>
                <w:sz w:val="20"/>
                <w:szCs w:val="22"/>
                <w:lang w:val="sr-Latn-ME"/>
              </w:rPr>
            </w:pPr>
            <w:r w:rsidRPr="007C6E24">
              <w:rPr>
                <w:sz w:val="20"/>
                <w:szCs w:val="22"/>
                <w:vertAlign w:val="superscript"/>
                <w:lang w:val="sr-Latn-ME"/>
              </w:rPr>
              <w:t>§</w:t>
            </w:r>
            <w:r w:rsidRPr="007C6E24">
              <w:rPr>
                <w:sz w:val="20"/>
                <w:szCs w:val="22"/>
                <w:vertAlign w:val="superscript"/>
                <w:lang w:val="sr-Latn-ME"/>
              </w:rPr>
              <w:tab/>
            </w:r>
            <w:r w:rsidRPr="007C6E24">
              <w:rPr>
                <w:sz w:val="20"/>
                <w:szCs w:val="22"/>
                <w:lang w:val="sr-Latn-ME"/>
              </w:rPr>
              <w:t xml:space="preserve">Klinički odgovor je definisan kao smanjenje početnog Mayo skora za ≥30% i ≥3 </w:t>
            </w:r>
            <w:r w:rsidR="00DA33E4" w:rsidRPr="007C6E24">
              <w:rPr>
                <w:sz w:val="20"/>
                <w:szCs w:val="22"/>
                <w:lang w:val="sr-Latn-ME"/>
              </w:rPr>
              <w:t>poen</w:t>
            </w:r>
            <w:r w:rsidRPr="007C6E24">
              <w:rPr>
                <w:sz w:val="20"/>
                <w:szCs w:val="22"/>
                <w:lang w:val="sr-Latn-ME"/>
              </w:rPr>
              <w:t xml:space="preserve">a, uz smanjenje početnog podskora za rektalno krvarenje ≥1 </w:t>
            </w:r>
            <w:r w:rsidR="00DA33E4" w:rsidRPr="007C6E24">
              <w:rPr>
                <w:sz w:val="20"/>
                <w:szCs w:val="22"/>
                <w:lang w:val="sr-Latn-ME"/>
              </w:rPr>
              <w:t>poen</w:t>
            </w:r>
            <w:r w:rsidRPr="007C6E24">
              <w:rPr>
                <w:sz w:val="20"/>
                <w:szCs w:val="22"/>
                <w:lang w:val="sr-Latn-ME"/>
              </w:rPr>
              <w:t>a ili je podskor za rektalno krvarenje 0 ili 1.</w:t>
            </w:r>
          </w:p>
          <w:p w14:paraId="72355C48" w14:textId="77777777" w:rsidR="00AC6E61" w:rsidRPr="007C6E24" w:rsidRDefault="00AC6E61" w:rsidP="002041DF">
            <w:pPr>
              <w:widowControl w:val="0"/>
              <w:autoSpaceDE w:val="0"/>
              <w:autoSpaceDN w:val="0"/>
              <w:adjustRightInd w:val="0"/>
              <w:ind w:left="284" w:hanging="284"/>
              <w:jc w:val="both"/>
              <w:rPr>
                <w:sz w:val="20"/>
                <w:szCs w:val="22"/>
                <w:lang w:val="sr-Latn-ME"/>
              </w:rPr>
            </w:pPr>
            <w:r w:rsidRPr="007C6E24">
              <w:rPr>
                <w:sz w:val="20"/>
                <w:szCs w:val="22"/>
                <w:vertAlign w:val="superscript"/>
                <w:lang w:val="sr-Latn-ME"/>
              </w:rPr>
              <w:t>¥</w:t>
            </w:r>
            <w:r w:rsidRPr="007C6E24">
              <w:rPr>
                <w:sz w:val="20"/>
                <w:szCs w:val="22"/>
                <w:vertAlign w:val="superscript"/>
                <w:lang w:val="sr-Latn-ME"/>
              </w:rPr>
              <w:tab/>
            </w:r>
            <w:r w:rsidRPr="007C6E24">
              <w:rPr>
                <w:sz w:val="20"/>
                <w:szCs w:val="22"/>
                <w:lang w:val="sr-Latn-ME"/>
              </w:rPr>
              <w:t>Antagonist</w:t>
            </w:r>
            <w:r w:rsidRPr="007C6E24" w:rsidDel="004B71D3">
              <w:rPr>
                <w:sz w:val="20"/>
                <w:szCs w:val="22"/>
                <w:lang w:val="sr-Latn-ME"/>
              </w:rPr>
              <w:t xml:space="preserve"> </w:t>
            </w:r>
            <w:r w:rsidRPr="007C6E24">
              <w:rPr>
                <w:sz w:val="20"/>
                <w:szCs w:val="22"/>
                <w:lang w:val="sr-Latn-ME"/>
              </w:rPr>
              <w:t>TNFα i/ili vedolizumab.</w:t>
            </w:r>
          </w:p>
          <w:p w14:paraId="042220B5" w14:textId="14B1865B" w:rsidR="00AC6E61" w:rsidRPr="007C6E24" w:rsidRDefault="00AC6E61" w:rsidP="002041DF">
            <w:pPr>
              <w:widowControl w:val="0"/>
              <w:autoSpaceDE w:val="0"/>
              <w:autoSpaceDN w:val="0"/>
              <w:adjustRightInd w:val="0"/>
              <w:ind w:left="284" w:hanging="284"/>
              <w:jc w:val="both"/>
              <w:rPr>
                <w:rFonts w:eastAsia="TimesNewRoman"/>
                <w:sz w:val="20"/>
                <w:szCs w:val="22"/>
                <w:lang w:val="sr-Latn-ME" w:eastAsia="zh-CN"/>
              </w:rPr>
            </w:pPr>
            <w:r w:rsidRPr="007C6E24">
              <w:rPr>
                <w:sz w:val="20"/>
                <w:szCs w:val="22"/>
                <w:vertAlign w:val="superscript"/>
                <w:lang w:val="sr-Latn-ME"/>
              </w:rPr>
              <w:t>†</w:t>
            </w:r>
            <w:r w:rsidRPr="007C6E24">
              <w:rPr>
                <w:sz w:val="20"/>
                <w:szCs w:val="22"/>
                <w:vertAlign w:val="superscript"/>
                <w:lang w:val="sr-Latn-ME"/>
              </w:rPr>
              <w:tab/>
            </w:r>
            <w:r w:rsidRPr="007C6E24">
              <w:rPr>
                <w:rFonts w:eastAsia="TimesNewRoman"/>
                <w:sz w:val="20"/>
                <w:szCs w:val="22"/>
                <w:lang w:val="sr-Latn-ME" w:eastAsia="zh-CN"/>
              </w:rPr>
              <w:t>Zac</w:t>
            </w:r>
            <w:r w:rsidR="003E0F36" w:rsidRPr="007C6E24">
              <w:rPr>
                <w:rFonts w:eastAsia="TimesNewRoman"/>
                <w:sz w:val="20"/>
                <w:szCs w:val="22"/>
                <w:lang w:val="sr-Latn-ME" w:eastAsia="zh-CN"/>
              </w:rPr>
              <w:t>j</w:t>
            </w:r>
            <w:r w:rsidRPr="007C6E24">
              <w:rPr>
                <w:rFonts w:eastAsia="TimesNewRoman"/>
                <w:sz w:val="20"/>
                <w:szCs w:val="22"/>
                <w:lang w:val="sr-Latn-ME" w:eastAsia="zh-CN"/>
              </w:rPr>
              <w:t>eljivanje sluznice se definiše kao Mayo endoskopski podskor 0 ili 1.</w:t>
            </w:r>
          </w:p>
          <w:p w14:paraId="2C4D7E9F" w14:textId="569F5C19" w:rsidR="00AC6E61" w:rsidRPr="007C6E24" w:rsidRDefault="00AC6E61" w:rsidP="002041DF">
            <w:pPr>
              <w:widowControl w:val="0"/>
              <w:autoSpaceDE w:val="0"/>
              <w:autoSpaceDN w:val="0"/>
              <w:adjustRightInd w:val="0"/>
              <w:ind w:left="284" w:hanging="284"/>
              <w:jc w:val="both"/>
              <w:rPr>
                <w:rFonts w:eastAsia="TimesNewRoman"/>
                <w:sz w:val="20"/>
                <w:szCs w:val="22"/>
                <w:lang w:val="sr-Latn-ME" w:eastAsia="zh-CN"/>
              </w:rPr>
            </w:pPr>
            <w:r w:rsidRPr="007C6E24">
              <w:rPr>
                <w:rFonts w:eastAsia="TimesNewRoman"/>
                <w:sz w:val="20"/>
                <w:szCs w:val="22"/>
                <w:vertAlign w:val="superscript"/>
                <w:lang w:val="sr-Latn-ME" w:eastAsia="zh-CN"/>
              </w:rPr>
              <w:t>£</w:t>
            </w:r>
            <w:r w:rsidRPr="007C6E24">
              <w:rPr>
                <w:rFonts w:eastAsia="TimesNewRoman"/>
                <w:sz w:val="20"/>
                <w:szCs w:val="22"/>
                <w:vertAlign w:val="superscript"/>
                <w:lang w:val="sr-Latn-ME" w:eastAsia="zh-CN"/>
              </w:rPr>
              <w:tab/>
            </w:r>
            <w:r w:rsidRPr="007C6E24">
              <w:rPr>
                <w:rFonts w:eastAsia="TimesNewRoman"/>
                <w:sz w:val="20"/>
                <w:szCs w:val="22"/>
                <w:lang w:val="sr-Latn-ME" w:eastAsia="zh-CN"/>
              </w:rPr>
              <w:t xml:space="preserve">Održana klinička remisija tokom 44 </w:t>
            </w:r>
            <w:r w:rsidR="004372C4" w:rsidRPr="007C6E24">
              <w:rPr>
                <w:rFonts w:eastAsia="TimesNewRoman"/>
                <w:sz w:val="20"/>
                <w:szCs w:val="22"/>
                <w:lang w:val="sr-Latn-ME" w:eastAsia="zh-CN"/>
              </w:rPr>
              <w:t>nedjelje</w:t>
            </w:r>
            <w:r w:rsidRPr="007C6E24">
              <w:rPr>
                <w:rFonts w:eastAsia="TimesNewRoman"/>
                <w:sz w:val="20"/>
                <w:szCs w:val="22"/>
                <w:lang w:val="sr-Latn-ME" w:eastAsia="zh-CN"/>
              </w:rPr>
              <w:t xml:space="preserve"> je definisana kao klinička remisija kod pacijenata koji ne uzima kortikosteroide u 44 -toj </w:t>
            </w:r>
            <w:r w:rsidR="004372C4" w:rsidRPr="007C6E24">
              <w:rPr>
                <w:rFonts w:eastAsia="TimesNewRoman"/>
                <w:sz w:val="20"/>
                <w:szCs w:val="22"/>
                <w:lang w:val="sr-Latn-ME" w:eastAsia="zh-CN"/>
              </w:rPr>
              <w:t>nedjelji</w:t>
            </w:r>
            <w:r w:rsidRPr="007C6E24">
              <w:rPr>
                <w:rFonts w:eastAsia="TimesNewRoman"/>
                <w:sz w:val="20"/>
                <w:szCs w:val="22"/>
                <w:lang w:val="sr-Latn-ME" w:eastAsia="zh-CN"/>
              </w:rPr>
              <w:t>.</w:t>
            </w:r>
          </w:p>
          <w:p w14:paraId="33FF5C73" w14:textId="3A9D1016" w:rsidR="00AC6E61" w:rsidRPr="007C6E24" w:rsidRDefault="00AC6E61" w:rsidP="002041DF">
            <w:pPr>
              <w:widowControl w:val="0"/>
              <w:autoSpaceDE w:val="0"/>
              <w:autoSpaceDN w:val="0"/>
              <w:adjustRightInd w:val="0"/>
              <w:ind w:left="284" w:hanging="284"/>
              <w:jc w:val="both"/>
              <w:rPr>
                <w:rFonts w:eastAsia="TimesNewRoman"/>
                <w:sz w:val="20"/>
                <w:szCs w:val="22"/>
                <w:lang w:val="sr-Latn-ME" w:eastAsia="zh-CN"/>
              </w:rPr>
            </w:pPr>
            <w:r w:rsidRPr="007C6E24">
              <w:rPr>
                <w:rFonts w:eastAsia="TimesNewRoman"/>
                <w:sz w:val="20"/>
                <w:szCs w:val="22"/>
                <w:vertAlign w:val="superscript"/>
                <w:lang w:val="sr-Latn-ME" w:eastAsia="zh-CN"/>
              </w:rPr>
              <w:t>€</w:t>
            </w:r>
            <w:r w:rsidRPr="007C6E24">
              <w:rPr>
                <w:rFonts w:eastAsia="TimesNewRoman"/>
                <w:sz w:val="20"/>
                <w:szCs w:val="22"/>
                <w:vertAlign w:val="superscript"/>
                <w:lang w:val="sr-Latn-ME" w:eastAsia="zh-CN"/>
              </w:rPr>
              <w:tab/>
            </w:r>
            <w:r w:rsidRPr="007C6E24">
              <w:rPr>
                <w:sz w:val="20"/>
                <w:szCs w:val="22"/>
                <w:lang w:val="sr-Latn-ME"/>
              </w:rPr>
              <w:t xml:space="preserve">Klinička remisija bez kortikosteroida </w:t>
            </w:r>
            <w:r w:rsidRPr="007C6E24">
              <w:rPr>
                <w:rFonts w:eastAsia="TimesNewRoman"/>
                <w:sz w:val="20"/>
                <w:szCs w:val="22"/>
                <w:lang w:val="sr-Latn-ME" w:eastAsia="zh-CN"/>
              </w:rPr>
              <w:t xml:space="preserve">je definisana kao klinička remisija kod pacijenata koji ne uzima kortikosteroide u 44-toj </w:t>
            </w:r>
            <w:r w:rsidR="004372C4" w:rsidRPr="007C6E24">
              <w:rPr>
                <w:rFonts w:eastAsia="TimesNewRoman"/>
                <w:sz w:val="20"/>
                <w:szCs w:val="22"/>
                <w:lang w:val="sr-Latn-ME" w:eastAsia="zh-CN"/>
              </w:rPr>
              <w:t>nedjelji</w:t>
            </w:r>
            <w:r w:rsidRPr="007C6E24">
              <w:rPr>
                <w:rFonts w:eastAsia="TimesNewRoman"/>
                <w:sz w:val="20"/>
                <w:szCs w:val="22"/>
                <w:lang w:val="sr-Latn-ME" w:eastAsia="zh-CN"/>
              </w:rPr>
              <w:t>.</w:t>
            </w:r>
          </w:p>
          <w:p w14:paraId="668A7494" w14:textId="3ECF47E1" w:rsidR="00AC6E61" w:rsidRPr="007C6E24" w:rsidRDefault="00AC6E61" w:rsidP="002041DF">
            <w:pPr>
              <w:widowControl w:val="0"/>
              <w:autoSpaceDE w:val="0"/>
              <w:autoSpaceDN w:val="0"/>
              <w:adjustRightInd w:val="0"/>
              <w:ind w:left="284" w:hanging="284"/>
              <w:jc w:val="both"/>
              <w:rPr>
                <w:sz w:val="20"/>
                <w:szCs w:val="22"/>
                <w:lang w:val="sr-Latn-ME"/>
              </w:rPr>
            </w:pPr>
            <w:r w:rsidRPr="007C6E24">
              <w:rPr>
                <w:sz w:val="20"/>
                <w:szCs w:val="22"/>
                <w:vertAlign w:val="superscript"/>
                <w:lang w:val="sr-Latn-ME"/>
              </w:rPr>
              <w:t>‖</w:t>
            </w:r>
            <w:r w:rsidRPr="007C6E24">
              <w:rPr>
                <w:sz w:val="20"/>
                <w:szCs w:val="22"/>
                <w:vertAlign w:val="superscript"/>
                <w:lang w:val="sr-Latn-ME"/>
              </w:rPr>
              <w:tab/>
            </w:r>
            <w:r w:rsidRPr="007C6E24">
              <w:rPr>
                <w:sz w:val="20"/>
                <w:szCs w:val="22"/>
                <w:lang w:val="sr-Latn-ME"/>
              </w:rPr>
              <w:t xml:space="preserve">Dugotrajna remisija </w:t>
            </w:r>
            <w:r w:rsidRPr="007C6E24">
              <w:rPr>
                <w:rFonts w:eastAsia="TimesNewRoman"/>
                <w:sz w:val="20"/>
                <w:szCs w:val="22"/>
                <w:lang w:val="sr-Latn-ME" w:eastAsia="zh-CN"/>
              </w:rPr>
              <w:t xml:space="preserve">je definisana kao parcijalna remisija prema Mayo skoru </w:t>
            </w:r>
            <w:r w:rsidRPr="007C6E24">
              <w:rPr>
                <w:sz w:val="20"/>
                <w:szCs w:val="22"/>
                <w:lang w:val="sr-Latn-ME"/>
              </w:rPr>
              <w:t>od ≥80% svih prethodnih pos</w:t>
            </w:r>
            <w:r w:rsidR="003E0F36" w:rsidRPr="007C6E24">
              <w:rPr>
                <w:sz w:val="20"/>
                <w:szCs w:val="22"/>
                <w:lang w:val="sr-Latn-ME"/>
              </w:rPr>
              <w:t>j</w:t>
            </w:r>
            <w:r w:rsidRPr="007C6E24">
              <w:rPr>
                <w:sz w:val="20"/>
                <w:szCs w:val="22"/>
                <w:lang w:val="sr-Latn-ME"/>
              </w:rPr>
              <w:t xml:space="preserve">eta do 44-te </w:t>
            </w:r>
            <w:r w:rsidR="004372C4" w:rsidRPr="007C6E24">
              <w:rPr>
                <w:sz w:val="20"/>
                <w:szCs w:val="22"/>
                <w:lang w:val="sr-Latn-ME"/>
              </w:rPr>
              <w:t>nedjelje</w:t>
            </w:r>
            <w:r w:rsidRPr="007C6E24">
              <w:rPr>
                <w:sz w:val="20"/>
                <w:szCs w:val="22"/>
                <w:lang w:val="sr-Latn-ME"/>
              </w:rPr>
              <w:t xml:space="preserve"> i </w:t>
            </w:r>
            <w:r w:rsidRPr="007C6E24">
              <w:rPr>
                <w:rFonts w:eastAsia="TimesNewRoman"/>
                <w:sz w:val="20"/>
                <w:szCs w:val="22"/>
                <w:lang w:val="sr-Latn-ME" w:eastAsia="zh-CN"/>
              </w:rPr>
              <w:t xml:space="preserve">parcijalna remisija prema Mayo skoru </w:t>
            </w:r>
            <w:r w:rsidRPr="007C6E24">
              <w:rPr>
                <w:sz w:val="20"/>
                <w:szCs w:val="22"/>
                <w:lang w:val="sr-Latn-ME"/>
              </w:rPr>
              <w:t>na posl</w:t>
            </w:r>
            <w:r w:rsidR="003E0F36" w:rsidRPr="007C6E24">
              <w:rPr>
                <w:sz w:val="20"/>
                <w:szCs w:val="22"/>
                <w:lang w:val="sr-Latn-ME"/>
              </w:rPr>
              <w:t>j</w:t>
            </w:r>
            <w:r w:rsidRPr="007C6E24">
              <w:rPr>
                <w:sz w:val="20"/>
                <w:szCs w:val="22"/>
                <w:lang w:val="sr-Latn-ME"/>
              </w:rPr>
              <w:t>ednjoj pos</w:t>
            </w:r>
            <w:r w:rsidR="003E0F36" w:rsidRPr="007C6E24">
              <w:rPr>
                <w:sz w:val="20"/>
                <w:szCs w:val="22"/>
                <w:lang w:val="sr-Latn-ME"/>
              </w:rPr>
              <w:t>j</w:t>
            </w:r>
            <w:r w:rsidRPr="007C6E24">
              <w:rPr>
                <w:sz w:val="20"/>
                <w:szCs w:val="22"/>
                <w:lang w:val="sr-Latn-ME"/>
              </w:rPr>
              <w:t xml:space="preserve">eti (u 44-toj </w:t>
            </w:r>
            <w:r w:rsidR="004372C4" w:rsidRPr="007C6E24">
              <w:rPr>
                <w:sz w:val="20"/>
                <w:szCs w:val="22"/>
                <w:lang w:val="sr-Latn-ME"/>
              </w:rPr>
              <w:t>nedjelji</w:t>
            </w:r>
            <w:r w:rsidRPr="007C6E24">
              <w:rPr>
                <w:sz w:val="20"/>
                <w:szCs w:val="22"/>
                <w:lang w:val="sr-Latn-ME"/>
              </w:rPr>
              <w:t>).</w:t>
            </w:r>
          </w:p>
          <w:p w14:paraId="68A73292" w14:textId="77777777" w:rsidR="00AC6E61" w:rsidRPr="007C6E24" w:rsidRDefault="00AC6E61" w:rsidP="002041DF">
            <w:pPr>
              <w:widowControl w:val="0"/>
              <w:autoSpaceDE w:val="0"/>
              <w:autoSpaceDN w:val="0"/>
              <w:adjustRightInd w:val="0"/>
              <w:ind w:left="284" w:hanging="284"/>
              <w:jc w:val="both"/>
              <w:rPr>
                <w:sz w:val="20"/>
                <w:szCs w:val="22"/>
                <w:lang w:val="sr-Latn-ME"/>
              </w:rPr>
            </w:pPr>
            <w:r w:rsidRPr="007C6E24">
              <w:rPr>
                <w:sz w:val="20"/>
                <w:szCs w:val="22"/>
                <w:vertAlign w:val="superscript"/>
                <w:lang w:val="sr-Latn-ME"/>
              </w:rPr>
              <w:t>‡</w:t>
            </w:r>
            <w:r w:rsidRPr="007C6E24">
              <w:rPr>
                <w:sz w:val="20"/>
                <w:szCs w:val="22"/>
                <w:vertAlign w:val="superscript"/>
                <w:lang w:val="sr-Latn-ME"/>
              </w:rPr>
              <w:tab/>
            </w:r>
            <w:r w:rsidRPr="007C6E24">
              <w:rPr>
                <w:sz w:val="20"/>
                <w:szCs w:val="22"/>
                <w:lang w:val="sr-Latn-ME"/>
              </w:rPr>
              <w:t xml:space="preserve">Simptomatska remisija je definisana kao Mayo podskor za učestalost stolice od </w:t>
            </w:r>
            <w:r w:rsidRPr="007C6E24">
              <w:rPr>
                <w:rFonts w:eastAsia="TimesNewRoman"/>
                <w:sz w:val="20"/>
                <w:szCs w:val="22"/>
                <w:lang w:val="sr-Latn-ME" w:eastAsia="zh-CN"/>
              </w:rPr>
              <w:t>0 ili 1</w:t>
            </w:r>
            <w:r w:rsidRPr="007C6E24">
              <w:rPr>
                <w:sz w:val="20"/>
                <w:szCs w:val="22"/>
                <w:lang w:val="sr-Latn-ME"/>
              </w:rPr>
              <w:t xml:space="preserve"> i podskor za rektalno krvarenje jednak 0.</w:t>
            </w:r>
          </w:p>
          <w:p w14:paraId="714BFEF3" w14:textId="1887422B" w:rsidR="00AC6E61" w:rsidRPr="007C6E24" w:rsidRDefault="00AC6E61" w:rsidP="002041DF">
            <w:pPr>
              <w:widowControl w:val="0"/>
              <w:autoSpaceDE w:val="0"/>
              <w:autoSpaceDN w:val="0"/>
              <w:adjustRightInd w:val="0"/>
              <w:ind w:left="284" w:hanging="284"/>
              <w:jc w:val="both"/>
              <w:rPr>
                <w:sz w:val="20"/>
                <w:szCs w:val="22"/>
                <w:lang w:val="sr-Latn-ME"/>
              </w:rPr>
            </w:pPr>
            <w:r w:rsidRPr="007C6E24">
              <w:rPr>
                <w:sz w:val="20"/>
                <w:szCs w:val="22"/>
                <w:vertAlign w:val="superscript"/>
                <w:lang w:val="sr-Latn-ME"/>
              </w:rPr>
              <w:t>⸸</w:t>
            </w:r>
            <w:r w:rsidRPr="007C6E24">
              <w:rPr>
                <w:sz w:val="20"/>
                <w:szCs w:val="22"/>
                <w:vertAlign w:val="superscript"/>
                <w:lang w:val="sr-Latn-ME"/>
              </w:rPr>
              <w:tab/>
            </w:r>
            <w:r w:rsidRPr="007C6E24">
              <w:rPr>
                <w:sz w:val="20"/>
                <w:szCs w:val="22"/>
                <w:lang w:val="sr-Latn-ME"/>
              </w:rPr>
              <w:t>Kombinacija simptomatske remisije i zac</w:t>
            </w:r>
            <w:r w:rsidR="003E0F36" w:rsidRPr="007C6E24">
              <w:rPr>
                <w:sz w:val="20"/>
                <w:szCs w:val="22"/>
                <w:lang w:val="sr-Latn-ME"/>
              </w:rPr>
              <w:t>j</w:t>
            </w:r>
            <w:r w:rsidRPr="007C6E24">
              <w:rPr>
                <w:sz w:val="20"/>
                <w:szCs w:val="22"/>
                <w:lang w:val="sr-Latn-ME"/>
              </w:rPr>
              <w:t xml:space="preserve">eljivanja sluznice je definisano kao podskor za učestalost stolice od 0 ili 1, podskor za rektalno krvarenje 0, i </w:t>
            </w:r>
            <w:r w:rsidRPr="007C6E24">
              <w:rPr>
                <w:rFonts w:eastAsia="TimesNewRoman"/>
                <w:sz w:val="20"/>
                <w:szCs w:val="22"/>
                <w:lang w:val="sr-Latn-ME" w:eastAsia="zh-CN"/>
              </w:rPr>
              <w:t xml:space="preserve">endoskopski podskor </w:t>
            </w:r>
            <w:r w:rsidRPr="007C6E24">
              <w:rPr>
                <w:sz w:val="20"/>
                <w:szCs w:val="22"/>
                <w:lang w:val="sr-Latn-ME"/>
              </w:rPr>
              <w:t>0 ili 1.</w:t>
            </w:r>
          </w:p>
          <w:p w14:paraId="0B80B069" w14:textId="77777777" w:rsidR="00AC6E61" w:rsidRPr="007C6E24" w:rsidRDefault="00AC6E61" w:rsidP="002041DF">
            <w:pPr>
              <w:widowControl w:val="0"/>
              <w:autoSpaceDE w:val="0"/>
              <w:autoSpaceDN w:val="0"/>
              <w:ind w:left="284" w:hanging="284"/>
              <w:jc w:val="both"/>
              <w:rPr>
                <w:sz w:val="20"/>
                <w:szCs w:val="22"/>
                <w:lang w:val="sr-Latn-ME"/>
              </w:rPr>
            </w:pPr>
            <w:r w:rsidRPr="007C6E24">
              <w:rPr>
                <w:sz w:val="20"/>
                <w:szCs w:val="22"/>
                <w:vertAlign w:val="superscript"/>
                <w:lang w:val="sr-Latn-ME"/>
              </w:rPr>
              <w:t>a</w:t>
            </w:r>
            <w:r w:rsidRPr="007C6E24">
              <w:rPr>
                <w:sz w:val="20"/>
                <w:szCs w:val="22"/>
                <w:vertAlign w:val="superscript"/>
                <w:lang w:val="sr-Latn-ME"/>
              </w:rPr>
              <w:tab/>
            </w:r>
            <w:r w:rsidRPr="007C6E24">
              <w:rPr>
                <w:sz w:val="20"/>
                <w:szCs w:val="22"/>
                <w:lang w:val="sr-Latn-ME"/>
              </w:rPr>
              <w:t>p &lt; 0,001</w:t>
            </w:r>
          </w:p>
          <w:p w14:paraId="62FC50A2" w14:textId="77777777" w:rsidR="00AC6E61" w:rsidRPr="007C6E24" w:rsidRDefault="00AC6E61" w:rsidP="002041DF">
            <w:pPr>
              <w:widowControl w:val="0"/>
              <w:tabs>
                <w:tab w:val="left" w:pos="288"/>
              </w:tabs>
              <w:ind w:left="284" w:hanging="284"/>
              <w:jc w:val="both"/>
              <w:rPr>
                <w:sz w:val="20"/>
                <w:szCs w:val="22"/>
                <w:lang w:val="sr-Latn-ME"/>
              </w:rPr>
            </w:pPr>
            <w:r w:rsidRPr="007C6E24">
              <w:rPr>
                <w:sz w:val="20"/>
                <w:szCs w:val="22"/>
                <w:vertAlign w:val="superscript"/>
                <w:lang w:val="sr-Latn-ME"/>
              </w:rPr>
              <w:t>b</w:t>
            </w:r>
            <w:r w:rsidRPr="007C6E24">
              <w:rPr>
                <w:sz w:val="20"/>
                <w:szCs w:val="22"/>
                <w:vertAlign w:val="superscript"/>
                <w:lang w:val="sr-Latn-ME"/>
              </w:rPr>
              <w:tab/>
            </w:r>
            <w:r w:rsidRPr="007C6E24">
              <w:rPr>
                <w:sz w:val="20"/>
                <w:szCs w:val="22"/>
                <w:lang w:val="sr-Latn-ME"/>
              </w:rPr>
              <w:t>p &lt; 0,05</w:t>
            </w:r>
          </w:p>
          <w:p w14:paraId="04AE424D" w14:textId="74E8773D" w:rsidR="00AC6E61" w:rsidRPr="007C6E24" w:rsidRDefault="00AC6E61" w:rsidP="002041DF">
            <w:pPr>
              <w:widowControl w:val="0"/>
              <w:tabs>
                <w:tab w:val="left" w:pos="288"/>
              </w:tabs>
              <w:ind w:left="284" w:hanging="284"/>
              <w:jc w:val="both"/>
              <w:rPr>
                <w:sz w:val="20"/>
                <w:szCs w:val="22"/>
                <w:lang w:val="sr-Latn-ME"/>
              </w:rPr>
            </w:pPr>
            <w:r w:rsidRPr="007C6E24">
              <w:rPr>
                <w:sz w:val="20"/>
                <w:szCs w:val="22"/>
                <w:vertAlign w:val="superscript"/>
                <w:lang w:val="sr-Latn-ME"/>
              </w:rPr>
              <w:t>c</w:t>
            </w:r>
            <w:r w:rsidRPr="007C6E24">
              <w:rPr>
                <w:sz w:val="20"/>
                <w:szCs w:val="22"/>
                <w:vertAlign w:val="superscript"/>
                <w:lang w:val="sr-Latn-ME"/>
              </w:rPr>
              <w:tab/>
            </w:r>
            <w:r w:rsidRPr="007C6E24">
              <w:rPr>
                <w:sz w:val="20"/>
                <w:szCs w:val="22"/>
                <w:lang w:val="sr-Latn-ME"/>
              </w:rPr>
              <w:t>Nominalno značajno</w:t>
            </w:r>
            <w:r w:rsidR="00676365" w:rsidRPr="007C6E24">
              <w:rPr>
                <w:sz w:val="20"/>
                <w:szCs w:val="22"/>
                <w:lang w:val="sr-Latn-ME"/>
              </w:rPr>
              <w:t xml:space="preserve"> </w:t>
            </w:r>
            <w:r w:rsidRPr="007C6E24">
              <w:rPr>
                <w:sz w:val="20"/>
                <w:szCs w:val="22"/>
                <w:lang w:val="sr-Latn-ME"/>
              </w:rPr>
              <w:t>(p &lt; 0,001)</w:t>
            </w:r>
          </w:p>
          <w:p w14:paraId="2C324995" w14:textId="77777777" w:rsidR="00AC6E61" w:rsidRPr="007C6E24" w:rsidRDefault="00AC6E61" w:rsidP="002041DF">
            <w:pPr>
              <w:widowControl w:val="0"/>
              <w:tabs>
                <w:tab w:val="left" w:pos="288"/>
              </w:tabs>
              <w:ind w:left="284" w:hanging="284"/>
              <w:jc w:val="both"/>
              <w:rPr>
                <w:sz w:val="20"/>
                <w:szCs w:val="22"/>
                <w:lang w:val="sr-Latn-ME"/>
              </w:rPr>
            </w:pPr>
            <w:r w:rsidRPr="007C6E24">
              <w:rPr>
                <w:sz w:val="20"/>
                <w:szCs w:val="22"/>
                <w:vertAlign w:val="superscript"/>
                <w:lang w:val="sr-Latn-ME"/>
              </w:rPr>
              <w:t>d</w:t>
            </w:r>
            <w:r w:rsidRPr="007C6E24">
              <w:rPr>
                <w:sz w:val="20"/>
                <w:szCs w:val="22"/>
                <w:vertAlign w:val="superscript"/>
                <w:lang w:val="sr-Latn-ME"/>
              </w:rPr>
              <w:tab/>
            </w:r>
            <w:r w:rsidRPr="007C6E24">
              <w:rPr>
                <w:sz w:val="20"/>
                <w:szCs w:val="22"/>
                <w:lang w:val="sr-Latn-ME"/>
              </w:rPr>
              <w:t>Nominalno značajno (p &lt; 0,05)</w:t>
            </w:r>
          </w:p>
          <w:p w14:paraId="203DA928" w14:textId="77777777" w:rsidR="00AC6E61" w:rsidRPr="007C6E24" w:rsidRDefault="00AC6E61" w:rsidP="002041DF">
            <w:pPr>
              <w:widowControl w:val="0"/>
              <w:tabs>
                <w:tab w:val="left" w:pos="288"/>
              </w:tabs>
              <w:ind w:left="284" w:hanging="284"/>
              <w:jc w:val="both"/>
              <w:rPr>
                <w:sz w:val="20"/>
                <w:szCs w:val="22"/>
                <w:lang w:val="sr-Latn-ME"/>
              </w:rPr>
            </w:pPr>
            <w:r w:rsidRPr="007C6E24">
              <w:rPr>
                <w:sz w:val="20"/>
                <w:szCs w:val="22"/>
                <w:vertAlign w:val="superscript"/>
                <w:lang w:val="sr-Latn-ME"/>
              </w:rPr>
              <w:lastRenderedPageBreak/>
              <w:t>e</w:t>
            </w:r>
            <w:r w:rsidRPr="007C6E24">
              <w:rPr>
                <w:sz w:val="20"/>
                <w:szCs w:val="22"/>
                <w:vertAlign w:val="superscript"/>
                <w:lang w:val="sr-Latn-ME"/>
              </w:rPr>
              <w:tab/>
            </w:r>
            <w:r w:rsidRPr="007C6E24">
              <w:rPr>
                <w:sz w:val="20"/>
                <w:szCs w:val="22"/>
                <w:lang w:val="sr-Latn-ME"/>
              </w:rPr>
              <w:t>Nije statistički značajno</w:t>
            </w:r>
          </w:p>
        </w:tc>
      </w:tr>
    </w:tbl>
    <w:p w14:paraId="40D6B6FD" w14:textId="77777777" w:rsidR="00C36D57" w:rsidRPr="002041DF" w:rsidRDefault="00C36D57" w:rsidP="002041DF">
      <w:pPr>
        <w:widowControl w:val="0"/>
        <w:jc w:val="both"/>
        <w:rPr>
          <w:rFonts w:eastAsia="TimesNewRoman"/>
          <w:sz w:val="22"/>
          <w:szCs w:val="22"/>
          <w:lang w:val="sr-Latn-ME" w:eastAsia="zh-CN"/>
        </w:rPr>
      </w:pPr>
    </w:p>
    <w:bookmarkEnd w:id="20"/>
    <w:p w14:paraId="0836D218" w14:textId="59C7DEBF" w:rsidR="00C36D57" w:rsidRPr="002041DF" w:rsidRDefault="00C36D57" w:rsidP="002041DF">
      <w:pPr>
        <w:widowControl w:val="0"/>
        <w:jc w:val="both"/>
        <w:rPr>
          <w:rFonts w:eastAsia="TimesNewRoman"/>
          <w:sz w:val="22"/>
          <w:szCs w:val="22"/>
          <w:lang w:val="sr-Latn-ME" w:eastAsia="zh-CN"/>
        </w:rPr>
      </w:pPr>
      <w:r w:rsidRPr="002041DF">
        <w:rPr>
          <w:rFonts w:eastAsia="TimesNewRoman"/>
          <w:sz w:val="22"/>
          <w:szCs w:val="22"/>
          <w:lang w:val="sr-Latn-ME" w:eastAsia="zh-CN"/>
        </w:rPr>
        <w:t xml:space="preserve">Korisno dejstvo ustekinumaba na klinički odgovor, </w:t>
      </w:r>
      <w:r w:rsidR="00110508" w:rsidRPr="002041DF">
        <w:rPr>
          <w:rFonts w:eastAsia="TimesNewRoman"/>
          <w:sz w:val="22"/>
          <w:szCs w:val="22"/>
          <w:lang w:val="sr-Latn-ME" w:eastAsia="zh-CN"/>
        </w:rPr>
        <w:t>zacjeljivanje</w:t>
      </w:r>
      <w:r w:rsidRPr="002041DF">
        <w:rPr>
          <w:rFonts w:eastAsia="TimesNewRoman"/>
          <w:sz w:val="22"/>
          <w:szCs w:val="22"/>
          <w:lang w:val="sr-Latn-ME" w:eastAsia="zh-CN"/>
        </w:rPr>
        <w:t xml:space="preserve"> sluznice i kliničku remisiju </w:t>
      </w:r>
      <w:r w:rsidR="00891C9B" w:rsidRPr="002041DF">
        <w:rPr>
          <w:rFonts w:eastAsia="TimesNewRoman"/>
          <w:sz w:val="22"/>
          <w:szCs w:val="22"/>
          <w:lang w:val="sr-Latn-ME" w:eastAsia="zh-CN"/>
        </w:rPr>
        <w:t>zabilježen</w:t>
      </w:r>
      <w:r w:rsidRPr="002041DF">
        <w:rPr>
          <w:rFonts w:eastAsia="TimesNewRoman"/>
          <w:sz w:val="22"/>
          <w:szCs w:val="22"/>
          <w:lang w:val="sr-Latn-ME" w:eastAsia="zh-CN"/>
        </w:rPr>
        <w:t>o je kod indukcione terapije i kod terapije održavanja kod pacijenata kod kojih je konvencionalna terapija bila neusp</w:t>
      </w:r>
      <w:r w:rsidR="008B47BB" w:rsidRPr="002041DF">
        <w:rPr>
          <w:rFonts w:eastAsia="TimesNewRoman"/>
          <w:sz w:val="22"/>
          <w:szCs w:val="22"/>
          <w:lang w:val="sr-Latn-ME" w:eastAsia="zh-CN"/>
        </w:rPr>
        <w:t>j</w:t>
      </w:r>
      <w:r w:rsidRPr="002041DF">
        <w:rPr>
          <w:rFonts w:eastAsia="TimesNewRoman"/>
          <w:sz w:val="22"/>
          <w:szCs w:val="22"/>
          <w:lang w:val="sr-Latn-ME" w:eastAsia="zh-CN"/>
        </w:rPr>
        <w:t>ešna, ali biološka terapija nije bila bezusp</w:t>
      </w:r>
      <w:r w:rsidR="008B47BB" w:rsidRPr="002041DF">
        <w:rPr>
          <w:rFonts w:eastAsia="TimesNewRoman"/>
          <w:sz w:val="22"/>
          <w:szCs w:val="22"/>
          <w:lang w:val="sr-Latn-ME" w:eastAsia="zh-CN"/>
        </w:rPr>
        <w:t>j</w:t>
      </w:r>
      <w:r w:rsidRPr="002041DF">
        <w:rPr>
          <w:rFonts w:eastAsia="TimesNewRoman"/>
          <w:sz w:val="22"/>
          <w:szCs w:val="22"/>
          <w:lang w:val="sr-Latn-ME" w:eastAsia="zh-CN"/>
        </w:rPr>
        <w:t>ešna, kao i kod onih kod kojih je bila neusp</w:t>
      </w:r>
      <w:r w:rsidR="008B47BB" w:rsidRPr="002041DF">
        <w:rPr>
          <w:rFonts w:eastAsia="TimesNewRoman"/>
          <w:sz w:val="22"/>
          <w:szCs w:val="22"/>
          <w:lang w:val="sr-Latn-ME" w:eastAsia="zh-CN"/>
        </w:rPr>
        <w:t>j</w:t>
      </w:r>
      <w:r w:rsidRPr="002041DF">
        <w:rPr>
          <w:rFonts w:eastAsia="TimesNewRoman"/>
          <w:sz w:val="22"/>
          <w:szCs w:val="22"/>
          <w:lang w:val="sr-Latn-ME" w:eastAsia="zh-CN"/>
        </w:rPr>
        <w:t xml:space="preserve">ešna bar jedna prethodna terapija antagonistima TNFα, uključujući i pacijente sa primarnim odsustvom odgovora na terapiju antagonistima TNFα. Korisno dejstvo je </w:t>
      </w:r>
      <w:r w:rsidR="00891C9B" w:rsidRPr="002041DF">
        <w:rPr>
          <w:rFonts w:eastAsia="TimesNewRoman"/>
          <w:sz w:val="22"/>
          <w:szCs w:val="22"/>
          <w:lang w:val="sr-Latn-ME" w:eastAsia="zh-CN"/>
        </w:rPr>
        <w:t>zabilježen</w:t>
      </w:r>
      <w:r w:rsidRPr="002041DF">
        <w:rPr>
          <w:rFonts w:eastAsia="TimesNewRoman"/>
          <w:sz w:val="22"/>
          <w:szCs w:val="22"/>
          <w:lang w:val="sr-Latn-ME" w:eastAsia="zh-CN"/>
        </w:rPr>
        <w:t xml:space="preserve">o i kod indukcione terapije kod pacijenata kojih je </w:t>
      </w:r>
      <w:r w:rsidR="008B47BB" w:rsidRPr="002041DF">
        <w:rPr>
          <w:rFonts w:eastAsia="TimesNewRoman"/>
          <w:sz w:val="22"/>
          <w:szCs w:val="22"/>
          <w:lang w:val="sr-Latn-ME" w:eastAsia="zh-CN"/>
        </w:rPr>
        <w:t>neuspješna</w:t>
      </w:r>
      <w:r w:rsidRPr="002041DF">
        <w:rPr>
          <w:rFonts w:eastAsia="TimesNewRoman"/>
          <w:sz w:val="22"/>
          <w:szCs w:val="22"/>
          <w:lang w:val="sr-Latn-ME" w:eastAsia="zh-CN"/>
        </w:rPr>
        <w:t xml:space="preserve"> bila bar jedna prethodna terapija antagonistom TNFα i vedolizumabom, ali je broj pacijenata u ovoj podgrupi bio premali da bi se mogli izvući definitivni zaključci o korisnom dejstvu u ovoj grupi tokom održavanja.</w:t>
      </w:r>
    </w:p>
    <w:p w14:paraId="3A268F74" w14:textId="77777777" w:rsidR="00C36D57" w:rsidRPr="002041DF" w:rsidRDefault="00C36D57" w:rsidP="002041DF">
      <w:pPr>
        <w:widowControl w:val="0"/>
        <w:jc w:val="both"/>
        <w:rPr>
          <w:sz w:val="22"/>
          <w:szCs w:val="22"/>
          <w:lang w:val="sr-Latn-ME"/>
        </w:rPr>
      </w:pPr>
    </w:p>
    <w:p w14:paraId="745A1979" w14:textId="63B9218C" w:rsidR="00C36D57" w:rsidRPr="002041DF" w:rsidRDefault="00C36D57" w:rsidP="002041DF">
      <w:pPr>
        <w:widowControl w:val="0"/>
        <w:jc w:val="both"/>
        <w:rPr>
          <w:i/>
          <w:sz w:val="22"/>
          <w:szCs w:val="22"/>
          <w:lang w:val="sr-Latn-ME"/>
        </w:rPr>
      </w:pPr>
      <w:r w:rsidRPr="002041DF">
        <w:rPr>
          <w:i/>
          <w:sz w:val="22"/>
          <w:szCs w:val="22"/>
          <w:lang w:val="sr-Latn-ME"/>
        </w:rPr>
        <w:t xml:space="preserve">Pacijenti koji su u 16-toj </w:t>
      </w:r>
      <w:r w:rsidR="004372C4" w:rsidRPr="002041DF">
        <w:rPr>
          <w:i/>
          <w:sz w:val="22"/>
          <w:szCs w:val="22"/>
          <w:lang w:val="sr-Latn-ME"/>
        </w:rPr>
        <w:t>nedjelji</w:t>
      </w:r>
      <w:r w:rsidRPr="002041DF">
        <w:rPr>
          <w:i/>
          <w:sz w:val="22"/>
          <w:szCs w:val="22"/>
          <w:lang w:val="sr-Latn-ME"/>
        </w:rPr>
        <w:t xml:space="preserve"> postigli odgovor na indukcionu terapiju ustekinumabom</w:t>
      </w:r>
    </w:p>
    <w:p w14:paraId="3F9029F9" w14:textId="5A7A8FCC" w:rsidR="00C36D57" w:rsidRPr="002041DF" w:rsidRDefault="00C36D57" w:rsidP="002041DF">
      <w:pPr>
        <w:widowControl w:val="0"/>
        <w:jc w:val="both"/>
        <w:rPr>
          <w:sz w:val="22"/>
          <w:szCs w:val="22"/>
          <w:lang w:val="sr-Latn-ME"/>
        </w:rPr>
      </w:pPr>
      <w:r w:rsidRPr="002041DF">
        <w:rPr>
          <w:sz w:val="22"/>
          <w:szCs w:val="22"/>
          <w:lang w:val="sr-Latn-ME"/>
        </w:rPr>
        <w:t xml:space="preserve">Pacijenti </w:t>
      </w:r>
      <w:r w:rsidR="00891C9B" w:rsidRPr="002041DF">
        <w:rPr>
          <w:sz w:val="22"/>
          <w:szCs w:val="22"/>
          <w:lang w:val="sr-Latn-ME"/>
        </w:rPr>
        <w:t>liječen</w:t>
      </w:r>
      <w:r w:rsidRPr="002041DF">
        <w:rPr>
          <w:sz w:val="22"/>
          <w:szCs w:val="22"/>
          <w:lang w:val="sr-Latn-ME"/>
        </w:rPr>
        <w:t>i ustekinumabom koji</w:t>
      </w:r>
      <w:r w:rsidR="00E50471" w:rsidRPr="002041DF">
        <w:rPr>
          <w:sz w:val="22"/>
          <w:szCs w:val="22"/>
          <w:lang w:val="sr-Latn-ME"/>
        </w:rPr>
        <w:t xml:space="preserve"> nijesu </w:t>
      </w:r>
      <w:r w:rsidRPr="002041DF">
        <w:rPr>
          <w:sz w:val="22"/>
          <w:szCs w:val="22"/>
          <w:lang w:val="sr-Latn-ME"/>
        </w:rPr>
        <w:t xml:space="preserve">postigli odgovor u 8-oj </w:t>
      </w:r>
      <w:r w:rsidR="004372C4" w:rsidRPr="002041DF">
        <w:rPr>
          <w:sz w:val="22"/>
          <w:szCs w:val="22"/>
          <w:lang w:val="sr-Latn-ME"/>
        </w:rPr>
        <w:t>nedjelji</w:t>
      </w:r>
      <w:r w:rsidRPr="002041DF">
        <w:rPr>
          <w:sz w:val="22"/>
          <w:szCs w:val="22"/>
          <w:lang w:val="sr-Latn-ME"/>
        </w:rPr>
        <w:t xml:space="preserve"> ispitivanja UNIFI-I primili su 90 mg ustekinumaba supkutano u 8-oj </w:t>
      </w:r>
      <w:r w:rsidR="004372C4" w:rsidRPr="002041DF">
        <w:rPr>
          <w:sz w:val="22"/>
          <w:szCs w:val="22"/>
          <w:lang w:val="sr-Latn-ME"/>
        </w:rPr>
        <w:t>nedjelji</w:t>
      </w:r>
      <w:r w:rsidRPr="002041DF">
        <w:rPr>
          <w:sz w:val="22"/>
          <w:szCs w:val="22"/>
          <w:lang w:val="sr-Latn-ME"/>
        </w:rPr>
        <w:t xml:space="preserve"> (36% pacijenata). Od tih pacijenata, njih 9% koji su inicijalno randomizovani da prime preporučenu indukcionu dozu postigli su kliničku remisiju a njih 58% su postigli klinički odgovor do 16 -te </w:t>
      </w:r>
      <w:r w:rsidR="004372C4" w:rsidRPr="002041DF">
        <w:rPr>
          <w:sz w:val="22"/>
          <w:szCs w:val="22"/>
          <w:lang w:val="sr-Latn-ME"/>
        </w:rPr>
        <w:t>nedjelje</w:t>
      </w:r>
      <w:r w:rsidRPr="002041DF">
        <w:rPr>
          <w:sz w:val="22"/>
          <w:szCs w:val="22"/>
          <w:lang w:val="sr-Latn-ME"/>
        </w:rPr>
        <w:t>.</w:t>
      </w:r>
    </w:p>
    <w:p w14:paraId="18A70868" w14:textId="77777777" w:rsidR="00C36D57" w:rsidRPr="002041DF" w:rsidRDefault="00C36D57" w:rsidP="002041DF">
      <w:pPr>
        <w:widowControl w:val="0"/>
        <w:jc w:val="both"/>
        <w:rPr>
          <w:sz w:val="22"/>
          <w:szCs w:val="22"/>
          <w:lang w:val="sr-Latn-ME"/>
        </w:rPr>
      </w:pPr>
    </w:p>
    <w:p w14:paraId="5AFA342E" w14:textId="478BD1EC" w:rsidR="00C36D57" w:rsidRPr="002041DF" w:rsidRDefault="00C36D57" w:rsidP="002041DF">
      <w:pPr>
        <w:widowControl w:val="0"/>
        <w:jc w:val="both"/>
        <w:rPr>
          <w:sz w:val="22"/>
          <w:szCs w:val="22"/>
          <w:lang w:val="sr-Latn-ME"/>
        </w:rPr>
      </w:pPr>
      <w:r w:rsidRPr="002041DF">
        <w:rPr>
          <w:sz w:val="22"/>
          <w:szCs w:val="22"/>
          <w:lang w:val="sr-Latn-ME"/>
        </w:rPr>
        <w:t>Pacijenti koji</w:t>
      </w:r>
      <w:r w:rsidR="00E50471" w:rsidRPr="002041DF">
        <w:rPr>
          <w:sz w:val="22"/>
          <w:szCs w:val="22"/>
          <w:lang w:val="sr-Latn-ME"/>
        </w:rPr>
        <w:t xml:space="preserve"> nijesu </w:t>
      </w:r>
      <w:r w:rsidRPr="002041DF">
        <w:rPr>
          <w:sz w:val="22"/>
          <w:szCs w:val="22"/>
          <w:lang w:val="sr-Latn-ME"/>
        </w:rPr>
        <w:t xml:space="preserve">postigli klinički odgovor na indukcionu terapiju ustekinumabom do 8. </w:t>
      </w:r>
      <w:r w:rsidR="004372C4" w:rsidRPr="002041DF">
        <w:rPr>
          <w:sz w:val="22"/>
          <w:szCs w:val="22"/>
          <w:lang w:val="sr-Latn-ME"/>
        </w:rPr>
        <w:t>nedjelje</w:t>
      </w:r>
      <w:r w:rsidRPr="002041DF">
        <w:rPr>
          <w:sz w:val="22"/>
          <w:szCs w:val="22"/>
          <w:lang w:val="sr-Latn-ME"/>
        </w:rPr>
        <w:t xml:space="preserve"> ispitivanja UNFI-I ali su postigli odgovor do 16-te </w:t>
      </w:r>
      <w:r w:rsidR="004372C4" w:rsidRPr="002041DF">
        <w:rPr>
          <w:sz w:val="22"/>
          <w:szCs w:val="22"/>
          <w:lang w:val="sr-Latn-ME"/>
        </w:rPr>
        <w:t>nedjelje</w:t>
      </w:r>
      <w:r w:rsidRPr="002041DF">
        <w:rPr>
          <w:sz w:val="22"/>
          <w:szCs w:val="22"/>
          <w:lang w:val="sr-Latn-ME"/>
        </w:rPr>
        <w:t xml:space="preserve"> (157 pacijenata) uključeni su u nerandomizovani</w:t>
      </w:r>
      <w:r w:rsidR="003E0F36" w:rsidRPr="002041DF">
        <w:rPr>
          <w:sz w:val="22"/>
          <w:szCs w:val="22"/>
          <w:lang w:val="sr-Latn-ME"/>
        </w:rPr>
        <w:t xml:space="preserve"> dio </w:t>
      </w:r>
      <w:r w:rsidRPr="002041DF">
        <w:rPr>
          <w:sz w:val="22"/>
          <w:szCs w:val="22"/>
          <w:lang w:val="sr-Latn-ME"/>
        </w:rPr>
        <w:t>kliničkog ispitivanja UNIFI-M tokog kog su nastavili da primaju dozu održavanja na svakih 8 </w:t>
      </w:r>
      <w:r w:rsidR="004372C4" w:rsidRPr="002041DF">
        <w:rPr>
          <w:sz w:val="22"/>
          <w:szCs w:val="22"/>
          <w:lang w:val="sr-Latn-ME"/>
        </w:rPr>
        <w:t>nedjelja</w:t>
      </w:r>
      <w:r w:rsidRPr="002041DF">
        <w:rPr>
          <w:sz w:val="22"/>
          <w:szCs w:val="22"/>
          <w:lang w:val="sr-Latn-ME"/>
        </w:rPr>
        <w:t xml:space="preserve">; od tih pacijenata većina (62%) je imala održan odgovor a 30% je postiglo remisiju u 44-toj </w:t>
      </w:r>
      <w:r w:rsidR="004372C4" w:rsidRPr="002041DF">
        <w:rPr>
          <w:sz w:val="22"/>
          <w:szCs w:val="22"/>
          <w:lang w:val="sr-Latn-ME"/>
        </w:rPr>
        <w:t>nedjelji</w:t>
      </w:r>
      <w:r w:rsidRPr="002041DF">
        <w:rPr>
          <w:sz w:val="22"/>
          <w:szCs w:val="22"/>
          <w:lang w:val="sr-Latn-ME"/>
        </w:rPr>
        <w:t>.</w:t>
      </w:r>
    </w:p>
    <w:p w14:paraId="4BB09D9B" w14:textId="77777777" w:rsidR="00C36D57" w:rsidRPr="002041DF" w:rsidRDefault="00C36D57" w:rsidP="002041DF">
      <w:pPr>
        <w:widowControl w:val="0"/>
        <w:jc w:val="both"/>
        <w:rPr>
          <w:sz w:val="22"/>
          <w:szCs w:val="22"/>
          <w:lang w:val="sr-Latn-ME"/>
        </w:rPr>
      </w:pPr>
    </w:p>
    <w:p w14:paraId="519B156E" w14:textId="77777777" w:rsidR="00C36D57" w:rsidRPr="002041DF" w:rsidRDefault="00C36D57" w:rsidP="002041DF">
      <w:pPr>
        <w:widowControl w:val="0"/>
        <w:jc w:val="both"/>
        <w:rPr>
          <w:i/>
          <w:iCs/>
          <w:sz w:val="22"/>
          <w:szCs w:val="22"/>
          <w:lang w:val="sr-Latn-ME"/>
        </w:rPr>
      </w:pPr>
      <w:r w:rsidRPr="002041DF">
        <w:rPr>
          <w:i/>
          <w:iCs/>
          <w:sz w:val="22"/>
          <w:szCs w:val="22"/>
          <w:lang w:val="sr-Latn-ME"/>
        </w:rPr>
        <w:t>Produžetak ispitivanja</w:t>
      </w:r>
    </w:p>
    <w:p w14:paraId="4591F9CC" w14:textId="40E7005D" w:rsidR="00C36D57" w:rsidRPr="002041DF" w:rsidRDefault="00C36D57" w:rsidP="002041DF">
      <w:pPr>
        <w:widowControl w:val="0"/>
        <w:jc w:val="both"/>
        <w:rPr>
          <w:sz w:val="22"/>
          <w:szCs w:val="22"/>
          <w:lang w:val="sr-Latn-ME"/>
        </w:rPr>
      </w:pPr>
      <w:r w:rsidRPr="002041DF">
        <w:rPr>
          <w:sz w:val="22"/>
          <w:szCs w:val="22"/>
          <w:lang w:val="sr-Latn-ME"/>
        </w:rPr>
        <w:t xml:space="preserve">U ispitivanju UNIFI, pacijenti koji su završili ispitivanje tokom 44 </w:t>
      </w:r>
      <w:r w:rsidR="004372C4" w:rsidRPr="002041DF">
        <w:rPr>
          <w:sz w:val="22"/>
          <w:szCs w:val="22"/>
          <w:lang w:val="sr-Latn-ME"/>
        </w:rPr>
        <w:t>nedjelje</w:t>
      </w:r>
      <w:r w:rsidRPr="002041DF">
        <w:rPr>
          <w:sz w:val="22"/>
          <w:szCs w:val="22"/>
          <w:lang w:val="sr-Latn-ME"/>
        </w:rPr>
        <w:t xml:space="preserve"> bili su podobni za nastavak </w:t>
      </w:r>
      <w:r w:rsidR="00891C9B" w:rsidRPr="002041DF">
        <w:rPr>
          <w:sz w:val="22"/>
          <w:szCs w:val="22"/>
          <w:lang w:val="sr-Latn-ME"/>
        </w:rPr>
        <w:t>liječen</w:t>
      </w:r>
      <w:r w:rsidRPr="002041DF">
        <w:rPr>
          <w:sz w:val="22"/>
          <w:szCs w:val="22"/>
          <w:lang w:val="sr-Latn-ME"/>
        </w:rPr>
        <w:t xml:space="preserve">ja u produžetku ispitivanja. Među </w:t>
      </w:r>
      <w:r w:rsidR="00840129" w:rsidRPr="002041DF">
        <w:rPr>
          <w:sz w:val="22"/>
          <w:szCs w:val="22"/>
          <w:lang w:val="sr-Latn-ME"/>
        </w:rPr>
        <w:t xml:space="preserve">400 </w:t>
      </w:r>
      <w:r w:rsidRPr="002041DF">
        <w:rPr>
          <w:sz w:val="22"/>
          <w:szCs w:val="22"/>
          <w:lang w:val="sr-Latn-ME"/>
        </w:rPr>
        <w:t xml:space="preserve">pacijenata koji su pristupili i bili </w:t>
      </w:r>
      <w:r w:rsidR="00891C9B" w:rsidRPr="002041DF">
        <w:rPr>
          <w:sz w:val="22"/>
          <w:szCs w:val="22"/>
          <w:lang w:val="sr-Latn-ME"/>
        </w:rPr>
        <w:t>liječen</w:t>
      </w:r>
      <w:r w:rsidRPr="002041DF">
        <w:rPr>
          <w:sz w:val="22"/>
          <w:szCs w:val="22"/>
          <w:lang w:val="sr-Latn-ME"/>
        </w:rPr>
        <w:t>i</w:t>
      </w:r>
      <w:r w:rsidR="00840129" w:rsidRPr="002041DF">
        <w:rPr>
          <w:sz w:val="22"/>
          <w:szCs w:val="22"/>
          <w:lang w:val="sr-Latn-ME"/>
        </w:rPr>
        <w:t xml:space="preserve"> ustekinumabom na 12 ili 8 ned</w:t>
      </w:r>
      <w:r w:rsidR="00F71BFA" w:rsidRPr="002041DF">
        <w:rPr>
          <w:sz w:val="22"/>
          <w:szCs w:val="22"/>
          <w:lang w:val="sr-Latn-ME"/>
        </w:rPr>
        <w:t>j</w:t>
      </w:r>
      <w:r w:rsidR="00840129" w:rsidRPr="002041DF">
        <w:rPr>
          <w:sz w:val="22"/>
          <w:szCs w:val="22"/>
          <w:lang w:val="sr-Latn-ME"/>
        </w:rPr>
        <w:t>elja</w:t>
      </w:r>
      <w:r w:rsidRPr="002041DF">
        <w:rPr>
          <w:sz w:val="22"/>
          <w:szCs w:val="22"/>
          <w:lang w:val="sr-Latn-ME"/>
        </w:rPr>
        <w:t xml:space="preserve"> u produžetku ispitivanja, simptomatska remisija se generalno održala tokom </w:t>
      </w:r>
      <w:r w:rsidR="00840129" w:rsidRPr="002041DF">
        <w:rPr>
          <w:sz w:val="22"/>
          <w:szCs w:val="22"/>
          <w:lang w:val="sr-Latn-ME"/>
        </w:rPr>
        <w:t xml:space="preserve">200 </w:t>
      </w:r>
      <w:r w:rsidR="004372C4" w:rsidRPr="002041DF">
        <w:rPr>
          <w:sz w:val="22"/>
          <w:szCs w:val="22"/>
          <w:lang w:val="sr-Latn-ME"/>
        </w:rPr>
        <w:t>nedjelje</w:t>
      </w:r>
      <w:r w:rsidRPr="002041DF">
        <w:rPr>
          <w:sz w:val="22"/>
          <w:szCs w:val="22"/>
          <w:lang w:val="sr-Latn-ME"/>
        </w:rPr>
        <w:t xml:space="preserve"> kod pacijenata kod kojih konvencionalna terapija nije bila usp</w:t>
      </w:r>
      <w:r w:rsidR="00723304" w:rsidRPr="002041DF">
        <w:rPr>
          <w:sz w:val="22"/>
          <w:szCs w:val="22"/>
          <w:lang w:val="sr-Latn-ME"/>
        </w:rPr>
        <w:t>j</w:t>
      </w:r>
      <w:r w:rsidRPr="002041DF">
        <w:rPr>
          <w:sz w:val="22"/>
          <w:szCs w:val="22"/>
          <w:lang w:val="sr-Latn-ME"/>
        </w:rPr>
        <w:t>ešna (ali ne biološka terapija) i kod kojih biološka terapija nije bila usp</w:t>
      </w:r>
      <w:r w:rsidR="00723304" w:rsidRPr="002041DF">
        <w:rPr>
          <w:sz w:val="22"/>
          <w:szCs w:val="22"/>
          <w:lang w:val="sr-Latn-ME"/>
        </w:rPr>
        <w:t>j</w:t>
      </w:r>
      <w:r w:rsidRPr="002041DF">
        <w:rPr>
          <w:sz w:val="22"/>
          <w:szCs w:val="22"/>
          <w:lang w:val="sr-Latn-ME"/>
        </w:rPr>
        <w:t xml:space="preserve">ešna, uključujući one koji su prethodno </w:t>
      </w:r>
      <w:r w:rsidR="003E0F36" w:rsidRPr="002041DF">
        <w:rPr>
          <w:sz w:val="22"/>
          <w:szCs w:val="22"/>
          <w:lang w:val="sr-Latn-ME"/>
        </w:rPr>
        <w:t>neuspješno</w:t>
      </w:r>
      <w:r w:rsidRPr="002041DF">
        <w:rPr>
          <w:sz w:val="22"/>
          <w:szCs w:val="22"/>
          <w:lang w:val="sr-Latn-ME"/>
        </w:rPr>
        <w:t xml:space="preserve"> </w:t>
      </w:r>
      <w:r w:rsidR="00891C9B" w:rsidRPr="002041DF">
        <w:rPr>
          <w:sz w:val="22"/>
          <w:szCs w:val="22"/>
          <w:lang w:val="sr-Latn-ME"/>
        </w:rPr>
        <w:t>liječen</w:t>
      </w:r>
      <w:r w:rsidRPr="002041DF">
        <w:rPr>
          <w:sz w:val="22"/>
          <w:szCs w:val="22"/>
          <w:lang w:val="sr-Latn-ME"/>
        </w:rPr>
        <w:t xml:space="preserve">i i sa anti-TNF </w:t>
      </w:r>
      <w:r w:rsidR="008B2B13" w:rsidRPr="002041DF">
        <w:rPr>
          <w:sz w:val="22"/>
          <w:szCs w:val="22"/>
          <w:lang w:val="sr-Latn-ME"/>
        </w:rPr>
        <w:t>ljekovi</w:t>
      </w:r>
      <w:r w:rsidRPr="002041DF">
        <w:rPr>
          <w:sz w:val="22"/>
          <w:szCs w:val="22"/>
          <w:lang w:val="sr-Latn-ME"/>
        </w:rPr>
        <w:t>ma i sa vedolizumabom.</w:t>
      </w:r>
      <w:r w:rsidR="00840129" w:rsidRPr="002041DF">
        <w:rPr>
          <w:sz w:val="22"/>
          <w:szCs w:val="22"/>
          <w:lang w:val="sr-Latn-ME"/>
        </w:rPr>
        <w:t xml:space="preserve"> Među pacijentima koji su 4 godine primali terapiju l</w:t>
      </w:r>
      <w:r w:rsidR="00F71BFA" w:rsidRPr="002041DF">
        <w:rPr>
          <w:sz w:val="22"/>
          <w:szCs w:val="22"/>
          <w:lang w:val="sr-Latn-ME"/>
        </w:rPr>
        <w:t>ij</w:t>
      </w:r>
      <w:r w:rsidR="00840129" w:rsidRPr="002041DF">
        <w:rPr>
          <w:sz w:val="22"/>
          <w:szCs w:val="22"/>
          <w:lang w:val="sr-Latn-ME"/>
        </w:rPr>
        <w:t>ekom ustekinumab i koji su proc</w:t>
      </w:r>
      <w:r w:rsidR="00F71BFA" w:rsidRPr="002041DF">
        <w:rPr>
          <w:sz w:val="22"/>
          <w:szCs w:val="22"/>
          <w:lang w:val="sr-Latn-ME"/>
        </w:rPr>
        <w:t>j</w:t>
      </w:r>
      <w:r w:rsidR="00840129" w:rsidRPr="002041DF">
        <w:rPr>
          <w:sz w:val="22"/>
          <w:szCs w:val="22"/>
          <w:lang w:val="sr-Latn-ME"/>
        </w:rPr>
        <w:t>enjivani korišćenjem punog Mayo skor-a u 200. ned</w:t>
      </w:r>
      <w:r w:rsidR="00F71BFA" w:rsidRPr="002041DF">
        <w:rPr>
          <w:sz w:val="22"/>
          <w:szCs w:val="22"/>
          <w:lang w:val="sr-Latn-ME"/>
        </w:rPr>
        <w:t>j</w:t>
      </w:r>
      <w:r w:rsidR="00840129" w:rsidRPr="002041DF">
        <w:rPr>
          <w:sz w:val="22"/>
          <w:szCs w:val="22"/>
          <w:lang w:val="sr-Latn-ME"/>
        </w:rPr>
        <w:t>elji održavanja, kod 74.2% (69/93) i 68.3% (41/60) se održalo zal</w:t>
      </w:r>
      <w:r w:rsidR="00DA33E4" w:rsidRPr="002041DF">
        <w:rPr>
          <w:sz w:val="22"/>
          <w:szCs w:val="22"/>
          <w:lang w:val="sr-Latn-ME"/>
        </w:rPr>
        <w:t>ij</w:t>
      </w:r>
      <w:r w:rsidR="00840129" w:rsidRPr="002041DF">
        <w:rPr>
          <w:sz w:val="22"/>
          <w:szCs w:val="22"/>
          <w:lang w:val="sr-Latn-ME"/>
        </w:rPr>
        <w:t>ečenje sluzokože i klinička remisija.</w:t>
      </w:r>
    </w:p>
    <w:p w14:paraId="6B76126A" w14:textId="77777777" w:rsidR="009B4B86" w:rsidRPr="002041DF" w:rsidRDefault="009B4B86" w:rsidP="002041DF">
      <w:pPr>
        <w:widowControl w:val="0"/>
        <w:jc w:val="both"/>
        <w:rPr>
          <w:sz w:val="22"/>
          <w:szCs w:val="22"/>
          <w:lang w:val="sr-Latn-ME"/>
        </w:rPr>
      </w:pPr>
    </w:p>
    <w:p w14:paraId="0C28E2FA" w14:textId="02ABB76C" w:rsidR="00C36D57" w:rsidRPr="002041DF" w:rsidRDefault="009B4B86" w:rsidP="002041DF">
      <w:pPr>
        <w:widowControl w:val="0"/>
        <w:jc w:val="both"/>
        <w:rPr>
          <w:sz w:val="22"/>
          <w:szCs w:val="22"/>
          <w:lang w:val="sr-Latn-ME"/>
        </w:rPr>
      </w:pPr>
      <w:r w:rsidRPr="002041DF">
        <w:rPr>
          <w:sz w:val="22"/>
          <w:szCs w:val="22"/>
          <w:lang w:val="sr-Latn-ME"/>
        </w:rPr>
        <w:t>Bezb</w:t>
      </w:r>
      <w:r w:rsidR="00810168" w:rsidRPr="002041DF">
        <w:rPr>
          <w:sz w:val="22"/>
          <w:szCs w:val="22"/>
          <w:lang w:val="sr-Latn-ME"/>
        </w:rPr>
        <w:t>j</w:t>
      </w:r>
      <w:r w:rsidRPr="002041DF">
        <w:rPr>
          <w:sz w:val="22"/>
          <w:szCs w:val="22"/>
          <w:lang w:val="sr-Latn-ME"/>
        </w:rPr>
        <w:t>ednosna analiza koja je uključivala 457 pacijenata (1289,9 osoba-godina) praćenih 220 ned</w:t>
      </w:r>
      <w:r w:rsidR="00810168" w:rsidRPr="002041DF">
        <w:rPr>
          <w:sz w:val="22"/>
          <w:szCs w:val="22"/>
          <w:lang w:val="sr-Latn-ME"/>
        </w:rPr>
        <w:t>j</w:t>
      </w:r>
      <w:r w:rsidRPr="002041DF">
        <w:rPr>
          <w:sz w:val="22"/>
          <w:szCs w:val="22"/>
          <w:lang w:val="sr-Latn-ME"/>
        </w:rPr>
        <w:t>elja,  pokazala je bezb</w:t>
      </w:r>
      <w:r w:rsidR="00810168" w:rsidRPr="002041DF">
        <w:rPr>
          <w:sz w:val="22"/>
          <w:szCs w:val="22"/>
          <w:lang w:val="sr-Latn-ME"/>
        </w:rPr>
        <w:t>j</w:t>
      </w:r>
      <w:r w:rsidRPr="002041DF">
        <w:rPr>
          <w:sz w:val="22"/>
          <w:szCs w:val="22"/>
          <w:lang w:val="sr-Latn-ME"/>
        </w:rPr>
        <w:t>ednosni profil između 44. i 220. ned</w:t>
      </w:r>
      <w:r w:rsidR="00810168" w:rsidRPr="002041DF">
        <w:rPr>
          <w:sz w:val="22"/>
          <w:szCs w:val="22"/>
          <w:lang w:val="sr-Latn-ME"/>
        </w:rPr>
        <w:t>j</w:t>
      </w:r>
      <w:r w:rsidRPr="002041DF">
        <w:rPr>
          <w:sz w:val="22"/>
          <w:szCs w:val="22"/>
          <w:lang w:val="sr-Latn-ME"/>
        </w:rPr>
        <w:t>elje koji je bio komparabilan sa onim zab</w:t>
      </w:r>
      <w:r w:rsidR="00810168" w:rsidRPr="002041DF">
        <w:rPr>
          <w:sz w:val="22"/>
          <w:szCs w:val="22"/>
          <w:lang w:val="sr-Latn-ME"/>
        </w:rPr>
        <w:t>ilj</w:t>
      </w:r>
      <w:r w:rsidRPr="002041DF">
        <w:rPr>
          <w:sz w:val="22"/>
          <w:szCs w:val="22"/>
          <w:lang w:val="sr-Latn-ME"/>
        </w:rPr>
        <w:t>eženim do 44. ned</w:t>
      </w:r>
      <w:r w:rsidR="00810168" w:rsidRPr="002041DF">
        <w:rPr>
          <w:sz w:val="22"/>
          <w:szCs w:val="22"/>
          <w:lang w:val="sr-Latn-ME"/>
        </w:rPr>
        <w:t>j</w:t>
      </w:r>
      <w:r w:rsidRPr="002041DF">
        <w:rPr>
          <w:sz w:val="22"/>
          <w:szCs w:val="22"/>
          <w:lang w:val="sr-Latn-ME"/>
        </w:rPr>
        <w:t>elje.</w:t>
      </w:r>
    </w:p>
    <w:p w14:paraId="730BC0DD" w14:textId="77777777" w:rsidR="009B4B86" w:rsidRPr="002041DF" w:rsidRDefault="009B4B86" w:rsidP="002041DF">
      <w:pPr>
        <w:widowControl w:val="0"/>
        <w:jc w:val="both"/>
        <w:rPr>
          <w:sz w:val="22"/>
          <w:szCs w:val="22"/>
          <w:lang w:val="sr-Latn-ME"/>
        </w:rPr>
      </w:pPr>
    </w:p>
    <w:p w14:paraId="17983876" w14:textId="2ACDDDEB" w:rsidR="00C36D57" w:rsidRPr="002041DF" w:rsidRDefault="00C36D57" w:rsidP="002041DF">
      <w:pPr>
        <w:widowControl w:val="0"/>
        <w:jc w:val="both"/>
        <w:rPr>
          <w:sz w:val="22"/>
          <w:szCs w:val="22"/>
          <w:lang w:val="sr-Latn-ME"/>
        </w:rPr>
      </w:pPr>
      <w:r w:rsidRPr="002041DF">
        <w:rPr>
          <w:sz w:val="22"/>
          <w:szCs w:val="22"/>
          <w:lang w:val="sr-Latn-ME"/>
        </w:rPr>
        <w:t xml:space="preserve">U ovom produžetku isitivanja, u trajanju do </w:t>
      </w:r>
      <w:r w:rsidR="00840129" w:rsidRPr="002041DF">
        <w:rPr>
          <w:sz w:val="22"/>
          <w:szCs w:val="22"/>
          <w:lang w:val="sr-Latn-ME"/>
        </w:rPr>
        <w:t xml:space="preserve">4 </w:t>
      </w:r>
      <w:r w:rsidRPr="002041DF">
        <w:rPr>
          <w:sz w:val="22"/>
          <w:szCs w:val="22"/>
          <w:lang w:val="sr-Latn-ME"/>
        </w:rPr>
        <w:t xml:space="preserve">godine </w:t>
      </w:r>
      <w:r w:rsidR="00891C9B" w:rsidRPr="002041DF">
        <w:rPr>
          <w:sz w:val="22"/>
          <w:szCs w:val="22"/>
          <w:lang w:val="sr-Latn-ME"/>
        </w:rPr>
        <w:t>liječen</w:t>
      </w:r>
      <w:r w:rsidRPr="002041DF">
        <w:rPr>
          <w:sz w:val="22"/>
          <w:szCs w:val="22"/>
          <w:lang w:val="sr-Latn-ME"/>
        </w:rPr>
        <w:t>ja kod pacijenata sa ulceroznim kolitisom,</w:t>
      </w:r>
      <w:r w:rsidR="00E50471" w:rsidRPr="002041DF">
        <w:rPr>
          <w:sz w:val="22"/>
          <w:szCs w:val="22"/>
          <w:lang w:val="sr-Latn-ME"/>
        </w:rPr>
        <w:t xml:space="preserve"> nijesu </w:t>
      </w:r>
      <w:r w:rsidRPr="002041DF">
        <w:rPr>
          <w:sz w:val="22"/>
          <w:szCs w:val="22"/>
          <w:lang w:val="sr-Latn-ME"/>
        </w:rPr>
        <w:t>identifikovani novi bezb</w:t>
      </w:r>
      <w:r w:rsidR="00723304" w:rsidRPr="002041DF">
        <w:rPr>
          <w:sz w:val="22"/>
          <w:szCs w:val="22"/>
          <w:lang w:val="sr-Latn-ME"/>
        </w:rPr>
        <w:t>j</w:t>
      </w:r>
      <w:r w:rsidRPr="002041DF">
        <w:rPr>
          <w:sz w:val="22"/>
          <w:szCs w:val="22"/>
          <w:lang w:val="sr-Latn-ME"/>
        </w:rPr>
        <w:t>ednosni problemi.</w:t>
      </w:r>
    </w:p>
    <w:p w14:paraId="45BABDB7" w14:textId="77777777" w:rsidR="00C36D57" w:rsidRPr="002041DF" w:rsidRDefault="00C36D57" w:rsidP="002041DF">
      <w:pPr>
        <w:widowControl w:val="0"/>
        <w:jc w:val="both"/>
        <w:rPr>
          <w:i/>
          <w:sz w:val="22"/>
          <w:szCs w:val="22"/>
          <w:lang w:val="sr-Latn-ME"/>
        </w:rPr>
      </w:pPr>
    </w:p>
    <w:p w14:paraId="280CEDD3" w14:textId="77777777" w:rsidR="00C36D57" w:rsidRPr="002041DF" w:rsidRDefault="00C36D57" w:rsidP="002041DF">
      <w:pPr>
        <w:widowControl w:val="0"/>
        <w:jc w:val="both"/>
        <w:rPr>
          <w:i/>
          <w:sz w:val="22"/>
          <w:szCs w:val="22"/>
          <w:lang w:val="sr-Latn-ME"/>
        </w:rPr>
      </w:pPr>
      <w:r w:rsidRPr="002041DF">
        <w:rPr>
          <w:i/>
          <w:sz w:val="22"/>
          <w:szCs w:val="22"/>
          <w:lang w:val="sr-Latn-ME"/>
        </w:rPr>
        <w:t>Normalizacija endoskopskih nalaza</w:t>
      </w:r>
    </w:p>
    <w:p w14:paraId="130C710D" w14:textId="0B027E46" w:rsidR="00C36D57" w:rsidRPr="002041DF" w:rsidRDefault="00C36D57" w:rsidP="002041DF">
      <w:pPr>
        <w:widowControl w:val="0"/>
        <w:jc w:val="both"/>
        <w:rPr>
          <w:sz w:val="22"/>
          <w:szCs w:val="22"/>
          <w:lang w:val="sr-Latn-ME"/>
        </w:rPr>
      </w:pPr>
      <w:r w:rsidRPr="002041DF">
        <w:rPr>
          <w:sz w:val="22"/>
          <w:szCs w:val="22"/>
          <w:lang w:val="sr-Latn-ME"/>
        </w:rPr>
        <w:t xml:space="preserve">Normalizacija endoskopskih nalaza je definisana kao Mayo endoskopski podskor 0 i </w:t>
      </w:r>
      <w:r w:rsidR="00891C9B" w:rsidRPr="002041DF">
        <w:rPr>
          <w:sz w:val="22"/>
          <w:szCs w:val="22"/>
          <w:lang w:val="sr-Latn-ME"/>
        </w:rPr>
        <w:t>zabilježen</w:t>
      </w:r>
      <w:r w:rsidRPr="002041DF">
        <w:rPr>
          <w:sz w:val="22"/>
          <w:szCs w:val="22"/>
          <w:lang w:val="sr-Latn-ME"/>
        </w:rPr>
        <w:t xml:space="preserve">a je već u 8-oj </w:t>
      </w:r>
      <w:r w:rsidR="004372C4" w:rsidRPr="002041DF">
        <w:rPr>
          <w:sz w:val="22"/>
          <w:szCs w:val="22"/>
          <w:lang w:val="sr-Latn-ME"/>
        </w:rPr>
        <w:t>nedjelji</w:t>
      </w:r>
      <w:r w:rsidRPr="002041DF">
        <w:rPr>
          <w:sz w:val="22"/>
          <w:szCs w:val="22"/>
          <w:lang w:val="sr-Latn-ME"/>
        </w:rPr>
        <w:t xml:space="preserve"> kliničkog ispitivanja UNIFI-I. U 44-toj </w:t>
      </w:r>
      <w:r w:rsidR="004372C4" w:rsidRPr="002041DF">
        <w:rPr>
          <w:sz w:val="22"/>
          <w:szCs w:val="22"/>
          <w:lang w:val="sr-Latn-ME"/>
        </w:rPr>
        <w:t>nedjelji</w:t>
      </w:r>
      <w:r w:rsidRPr="002041DF">
        <w:rPr>
          <w:sz w:val="22"/>
          <w:szCs w:val="22"/>
          <w:lang w:val="sr-Latn-ME"/>
        </w:rPr>
        <w:t xml:space="preserve"> kliničkog ispitivanja UNIFI-M normalizacija je </w:t>
      </w:r>
      <w:r w:rsidR="00891C9B" w:rsidRPr="002041DF">
        <w:rPr>
          <w:sz w:val="22"/>
          <w:szCs w:val="22"/>
          <w:lang w:val="sr-Latn-ME"/>
        </w:rPr>
        <w:t>zabilježen</w:t>
      </w:r>
      <w:r w:rsidRPr="002041DF">
        <w:rPr>
          <w:sz w:val="22"/>
          <w:szCs w:val="22"/>
          <w:lang w:val="sr-Latn-ME"/>
        </w:rPr>
        <w:t xml:space="preserve">a kod 24% pacijenata koji su primali ustekinumab </w:t>
      </w:r>
      <w:r w:rsidR="00504175" w:rsidRPr="002041DF">
        <w:rPr>
          <w:sz w:val="22"/>
          <w:szCs w:val="22"/>
          <w:lang w:val="sr-Latn-ME"/>
        </w:rPr>
        <w:t xml:space="preserve">na </w:t>
      </w:r>
      <w:r w:rsidRPr="002041DF">
        <w:rPr>
          <w:sz w:val="22"/>
          <w:szCs w:val="22"/>
          <w:lang w:val="sr-Latn-ME"/>
        </w:rPr>
        <w:t xml:space="preserve">svakih 12 </w:t>
      </w:r>
      <w:r w:rsidR="00504175" w:rsidRPr="002041DF">
        <w:rPr>
          <w:sz w:val="22"/>
          <w:szCs w:val="22"/>
          <w:lang w:val="sr-Latn-ME"/>
        </w:rPr>
        <w:t xml:space="preserve">nedjelja </w:t>
      </w:r>
      <w:r w:rsidRPr="002041DF">
        <w:rPr>
          <w:sz w:val="22"/>
          <w:szCs w:val="22"/>
          <w:lang w:val="sr-Latn-ME"/>
        </w:rPr>
        <w:t>i 29% pacijenata koji su primali ustekinumab na svakih 8 </w:t>
      </w:r>
      <w:r w:rsidR="004372C4" w:rsidRPr="002041DF">
        <w:rPr>
          <w:sz w:val="22"/>
          <w:szCs w:val="22"/>
          <w:lang w:val="sr-Latn-ME"/>
        </w:rPr>
        <w:t>nedjelja</w:t>
      </w:r>
      <w:r w:rsidRPr="002041DF">
        <w:rPr>
          <w:sz w:val="22"/>
          <w:szCs w:val="22"/>
          <w:lang w:val="sr-Latn-ME"/>
        </w:rPr>
        <w:t>, u poređenju sa 18% pacijenata koji su primali placebo.</w:t>
      </w:r>
    </w:p>
    <w:p w14:paraId="5F59B871" w14:textId="77777777" w:rsidR="00C36D57" w:rsidRPr="002041DF" w:rsidRDefault="00C36D57" w:rsidP="002041DF">
      <w:pPr>
        <w:widowControl w:val="0"/>
        <w:jc w:val="both"/>
        <w:rPr>
          <w:sz w:val="22"/>
          <w:szCs w:val="22"/>
          <w:lang w:val="sr-Latn-ME"/>
        </w:rPr>
      </w:pPr>
    </w:p>
    <w:p w14:paraId="1005B426" w14:textId="06BBE60F" w:rsidR="00C36D57" w:rsidRPr="002041DF" w:rsidRDefault="00C36D57" w:rsidP="002041DF">
      <w:pPr>
        <w:widowControl w:val="0"/>
        <w:jc w:val="both"/>
        <w:rPr>
          <w:i/>
          <w:sz w:val="22"/>
          <w:szCs w:val="22"/>
          <w:lang w:val="sr-Latn-ME"/>
        </w:rPr>
      </w:pPr>
      <w:r w:rsidRPr="002041DF">
        <w:rPr>
          <w:i/>
          <w:sz w:val="22"/>
          <w:szCs w:val="22"/>
          <w:lang w:val="sr-Latn-ME"/>
        </w:rPr>
        <w:t xml:space="preserve">Histološko i histo-endoskopsko </w:t>
      </w:r>
      <w:r w:rsidR="00110508" w:rsidRPr="002041DF">
        <w:rPr>
          <w:i/>
          <w:sz w:val="22"/>
          <w:szCs w:val="22"/>
          <w:lang w:val="sr-Latn-ME"/>
        </w:rPr>
        <w:t>zacjeljivanje</w:t>
      </w:r>
      <w:r w:rsidRPr="002041DF">
        <w:rPr>
          <w:i/>
          <w:sz w:val="22"/>
          <w:szCs w:val="22"/>
          <w:lang w:val="sr-Latn-ME"/>
        </w:rPr>
        <w:t xml:space="preserve"> sluznice</w:t>
      </w:r>
    </w:p>
    <w:p w14:paraId="45DCDB43" w14:textId="7CC04217" w:rsidR="00C36D57" w:rsidRPr="002041DF" w:rsidRDefault="00C36D57" w:rsidP="002041DF">
      <w:pPr>
        <w:widowControl w:val="0"/>
        <w:jc w:val="both"/>
        <w:rPr>
          <w:sz w:val="22"/>
          <w:szCs w:val="22"/>
          <w:lang w:val="sr-Latn-ME"/>
        </w:rPr>
      </w:pPr>
      <w:r w:rsidRPr="002041DF">
        <w:rPr>
          <w:sz w:val="22"/>
          <w:szCs w:val="22"/>
          <w:lang w:val="sr-Latn-ME"/>
        </w:rPr>
        <w:t xml:space="preserve">Histološko </w:t>
      </w:r>
      <w:r w:rsidR="00110508" w:rsidRPr="002041DF">
        <w:rPr>
          <w:sz w:val="22"/>
          <w:szCs w:val="22"/>
          <w:lang w:val="sr-Latn-ME"/>
        </w:rPr>
        <w:t>zacjeljivanje</w:t>
      </w:r>
      <w:r w:rsidRPr="002041DF">
        <w:rPr>
          <w:sz w:val="22"/>
          <w:szCs w:val="22"/>
          <w:lang w:val="sr-Latn-ME"/>
        </w:rPr>
        <w:t xml:space="preserve"> (bilo je definisano kao infilt</w:t>
      </w:r>
      <w:r w:rsidR="00C45988" w:rsidRPr="002041DF">
        <w:rPr>
          <w:sz w:val="22"/>
          <w:szCs w:val="22"/>
          <w:lang w:val="sr-Latn-ME"/>
        </w:rPr>
        <w:t>r</w:t>
      </w:r>
      <w:r w:rsidRPr="002041DF">
        <w:rPr>
          <w:sz w:val="22"/>
          <w:szCs w:val="22"/>
          <w:lang w:val="sr-Latn-ME"/>
        </w:rPr>
        <w:t>acija neutrofila u &lt; 5% kripti, odsustvo destrukcije kripti, i odsustvo erozija, ulceracija i odsustvo granulacionog tkiva) proc</w:t>
      </w:r>
      <w:r w:rsidR="00FF5892" w:rsidRPr="002041DF">
        <w:rPr>
          <w:sz w:val="22"/>
          <w:szCs w:val="22"/>
          <w:lang w:val="sr-Latn-ME"/>
        </w:rPr>
        <w:t>j</w:t>
      </w:r>
      <w:r w:rsidRPr="002041DF">
        <w:rPr>
          <w:sz w:val="22"/>
          <w:szCs w:val="22"/>
          <w:lang w:val="sr-Latn-ME"/>
        </w:rPr>
        <w:t>enjivano je u 8</w:t>
      </w:r>
      <w:r w:rsidR="007A264A" w:rsidRPr="002041DF">
        <w:rPr>
          <w:sz w:val="22"/>
          <w:szCs w:val="22"/>
          <w:lang w:val="sr-Latn-ME"/>
        </w:rPr>
        <w:t>.</w:t>
      </w:r>
      <w:r w:rsidRPr="002041DF">
        <w:rPr>
          <w:sz w:val="22"/>
          <w:szCs w:val="22"/>
          <w:lang w:val="sr-Latn-ME"/>
        </w:rPr>
        <w:t xml:space="preserve"> </w:t>
      </w:r>
      <w:r w:rsidR="004372C4" w:rsidRPr="002041DF">
        <w:rPr>
          <w:sz w:val="22"/>
          <w:szCs w:val="22"/>
          <w:lang w:val="sr-Latn-ME"/>
        </w:rPr>
        <w:t>nedjelji</w:t>
      </w:r>
      <w:r w:rsidRPr="002041DF">
        <w:rPr>
          <w:sz w:val="22"/>
          <w:szCs w:val="22"/>
          <w:lang w:val="sr-Latn-ME"/>
        </w:rPr>
        <w:t xml:space="preserve"> kliničkog ispitivanja UNIFI-I i 44-toj </w:t>
      </w:r>
      <w:r w:rsidR="004372C4" w:rsidRPr="002041DF">
        <w:rPr>
          <w:sz w:val="22"/>
          <w:szCs w:val="22"/>
          <w:lang w:val="sr-Latn-ME"/>
        </w:rPr>
        <w:t>nedjelji</w:t>
      </w:r>
      <w:r w:rsidRPr="002041DF">
        <w:rPr>
          <w:sz w:val="22"/>
          <w:szCs w:val="22"/>
          <w:lang w:val="sr-Latn-ME"/>
        </w:rPr>
        <w:t xml:space="preserve"> kliničkog ispitivanja UNIFI-M. U 8</w:t>
      </w:r>
      <w:r w:rsidR="007A264A" w:rsidRPr="002041DF">
        <w:rPr>
          <w:sz w:val="22"/>
          <w:szCs w:val="22"/>
          <w:lang w:val="sr-Latn-ME"/>
        </w:rPr>
        <w:t>.</w:t>
      </w:r>
      <w:r w:rsidRPr="002041DF">
        <w:rPr>
          <w:sz w:val="22"/>
          <w:szCs w:val="22"/>
          <w:lang w:val="sr-Latn-ME"/>
        </w:rPr>
        <w:t xml:space="preserve"> </w:t>
      </w:r>
      <w:r w:rsidR="004372C4" w:rsidRPr="002041DF">
        <w:rPr>
          <w:sz w:val="22"/>
          <w:szCs w:val="22"/>
          <w:lang w:val="sr-Latn-ME"/>
        </w:rPr>
        <w:t>nedjelji</w:t>
      </w:r>
      <w:r w:rsidRPr="002041DF">
        <w:rPr>
          <w:sz w:val="22"/>
          <w:szCs w:val="22"/>
          <w:lang w:val="sr-Latn-ME"/>
        </w:rPr>
        <w:t>, nakon</w:t>
      </w:r>
      <w:r w:rsidR="00891C9B" w:rsidRPr="002041DF">
        <w:rPr>
          <w:sz w:val="22"/>
          <w:szCs w:val="22"/>
          <w:lang w:val="sr-Latn-ME"/>
        </w:rPr>
        <w:t xml:space="preserve"> primjene </w:t>
      </w:r>
      <w:r w:rsidRPr="002041DF">
        <w:rPr>
          <w:sz w:val="22"/>
          <w:szCs w:val="22"/>
          <w:lang w:val="sr-Latn-ME"/>
        </w:rPr>
        <w:t>jedne intravenske indukcione doze, procenat pacijenata koji su postigli histološko zac</w:t>
      </w:r>
      <w:r w:rsidR="00FF5892" w:rsidRPr="002041DF">
        <w:rPr>
          <w:sz w:val="22"/>
          <w:szCs w:val="22"/>
          <w:lang w:val="sr-Latn-ME"/>
        </w:rPr>
        <w:t>j</w:t>
      </w:r>
      <w:r w:rsidRPr="002041DF">
        <w:rPr>
          <w:sz w:val="22"/>
          <w:szCs w:val="22"/>
          <w:lang w:val="sr-Latn-ME"/>
        </w:rPr>
        <w:t>eljenje je bio značajno veći u grupi koja je primila preporučenu dozu</w:t>
      </w:r>
      <w:r w:rsidR="00A35D07" w:rsidRPr="002041DF">
        <w:rPr>
          <w:sz w:val="22"/>
          <w:szCs w:val="22"/>
          <w:lang w:val="sr-Latn-ME"/>
        </w:rPr>
        <w:t xml:space="preserve"> lijeka </w:t>
      </w:r>
      <w:r w:rsidRPr="002041DF">
        <w:rPr>
          <w:sz w:val="22"/>
          <w:szCs w:val="22"/>
          <w:lang w:val="sr-Latn-ME"/>
        </w:rPr>
        <w:t xml:space="preserve">(36%) u poređenju sa pacijentima koji su primili placebo (22%). Ovo dejstvo se održalo do 44-te </w:t>
      </w:r>
      <w:r w:rsidR="004372C4" w:rsidRPr="002041DF">
        <w:rPr>
          <w:sz w:val="22"/>
          <w:szCs w:val="22"/>
          <w:lang w:val="sr-Latn-ME"/>
        </w:rPr>
        <w:t>nedjelje</w:t>
      </w:r>
      <w:r w:rsidRPr="002041DF">
        <w:rPr>
          <w:sz w:val="22"/>
          <w:szCs w:val="22"/>
          <w:lang w:val="sr-Latn-ME"/>
        </w:rPr>
        <w:t xml:space="preserve"> kod značajno više pacijenata koji su postigli histološko zac</w:t>
      </w:r>
      <w:r w:rsidR="00FF5892" w:rsidRPr="002041DF">
        <w:rPr>
          <w:sz w:val="22"/>
          <w:szCs w:val="22"/>
          <w:lang w:val="sr-Latn-ME"/>
        </w:rPr>
        <w:t>j</w:t>
      </w:r>
      <w:r w:rsidRPr="002041DF">
        <w:rPr>
          <w:sz w:val="22"/>
          <w:szCs w:val="22"/>
          <w:lang w:val="sr-Latn-ME"/>
        </w:rPr>
        <w:t xml:space="preserve">eljenje i to u grupi koja je primala ustekinumab na svakih 12 </w:t>
      </w:r>
      <w:r w:rsidR="004372C4" w:rsidRPr="002041DF">
        <w:rPr>
          <w:sz w:val="22"/>
          <w:szCs w:val="22"/>
          <w:lang w:val="sr-Latn-ME"/>
        </w:rPr>
        <w:t>nedjelja</w:t>
      </w:r>
      <w:r w:rsidRPr="002041DF">
        <w:rPr>
          <w:sz w:val="22"/>
          <w:szCs w:val="22"/>
          <w:lang w:val="sr-Latn-ME"/>
        </w:rPr>
        <w:t xml:space="preserve"> (54%) i na svakih 8 </w:t>
      </w:r>
      <w:r w:rsidR="004372C4" w:rsidRPr="002041DF">
        <w:rPr>
          <w:sz w:val="22"/>
          <w:szCs w:val="22"/>
          <w:lang w:val="sr-Latn-ME"/>
        </w:rPr>
        <w:t>nedjelja</w:t>
      </w:r>
      <w:r w:rsidRPr="002041DF">
        <w:rPr>
          <w:sz w:val="22"/>
          <w:szCs w:val="22"/>
          <w:lang w:val="sr-Latn-ME"/>
        </w:rPr>
        <w:t xml:space="preserve"> (59%) u poređenju sa grupom koje je primala placebo (33%).</w:t>
      </w:r>
    </w:p>
    <w:p w14:paraId="44D481CA" w14:textId="77777777" w:rsidR="00C36D57" w:rsidRPr="002041DF" w:rsidRDefault="00C36D57" w:rsidP="002041DF">
      <w:pPr>
        <w:widowControl w:val="0"/>
        <w:jc w:val="both"/>
        <w:rPr>
          <w:sz w:val="22"/>
          <w:szCs w:val="22"/>
          <w:lang w:val="sr-Latn-ME"/>
        </w:rPr>
      </w:pPr>
    </w:p>
    <w:p w14:paraId="2784042B" w14:textId="7EF45F38" w:rsidR="00C36D57" w:rsidRPr="002041DF" w:rsidRDefault="00C36D57" w:rsidP="002041DF">
      <w:pPr>
        <w:widowControl w:val="0"/>
        <w:jc w:val="both"/>
        <w:rPr>
          <w:sz w:val="22"/>
          <w:szCs w:val="22"/>
          <w:lang w:val="sr-Latn-ME"/>
        </w:rPr>
      </w:pPr>
      <w:r w:rsidRPr="002041DF">
        <w:rPr>
          <w:sz w:val="22"/>
          <w:szCs w:val="22"/>
          <w:lang w:val="sr-Latn-ME"/>
        </w:rPr>
        <w:t xml:space="preserve">Histo-endoskopsko </w:t>
      </w:r>
      <w:r w:rsidR="00110508" w:rsidRPr="002041DF">
        <w:rPr>
          <w:sz w:val="22"/>
          <w:szCs w:val="22"/>
          <w:lang w:val="sr-Latn-ME"/>
        </w:rPr>
        <w:t>zacjeljivanje</w:t>
      </w:r>
      <w:r w:rsidRPr="002041DF">
        <w:rPr>
          <w:sz w:val="22"/>
          <w:szCs w:val="22"/>
          <w:lang w:val="sr-Latn-ME"/>
        </w:rPr>
        <w:t xml:space="preserve"> sluznice kao kombinovana m</w:t>
      </w:r>
      <w:r w:rsidR="00FF5892" w:rsidRPr="002041DF">
        <w:rPr>
          <w:sz w:val="22"/>
          <w:szCs w:val="22"/>
          <w:lang w:val="sr-Latn-ME"/>
        </w:rPr>
        <w:t>j</w:t>
      </w:r>
      <w:r w:rsidRPr="002041DF">
        <w:rPr>
          <w:sz w:val="22"/>
          <w:szCs w:val="22"/>
          <w:lang w:val="sr-Latn-ME"/>
        </w:rPr>
        <w:t xml:space="preserve">era primarnog ishoda koja je bila definisana kao ispitanici koji su dostigli </w:t>
      </w:r>
      <w:r w:rsidR="00110508" w:rsidRPr="002041DF">
        <w:rPr>
          <w:sz w:val="22"/>
          <w:szCs w:val="22"/>
          <w:lang w:val="sr-Latn-ME"/>
        </w:rPr>
        <w:t>zacjeljivanje</w:t>
      </w:r>
      <w:r w:rsidRPr="002041DF">
        <w:rPr>
          <w:sz w:val="22"/>
          <w:szCs w:val="22"/>
          <w:lang w:val="sr-Latn-ME"/>
        </w:rPr>
        <w:t xml:space="preserve"> sluznice i histološko </w:t>
      </w:r>
      <w:r w:rsidR="00110508" w:rsidRPr="002041DF">
        <w:rPr>
          <w:sz w:val="22"/>
          <w:szCs w:val="22"/>
          <w:lang w:val="sr-Latn-ME"/>
        </w:rPr>
        <w:t>zacjeljivanje</w:t>
      </w:r>
      <w:r w:rsidRPr="002041DF">
        <w:rPr>
          <w:sz w:val="22"/>
          <w:szCs w:val="22"/>
          <w:lang w:val="sr-Latn-ME"/>
        </w:rPr>
        <w:t xml:space="preserve"> proc</w:t>
      </w:r>
      <w:r w:rsidR="00FF5892" w:rsidRPr="002041DF">
        <w:rPr>
          <w:sz w:val="22"/>
          <w:szCs w:val="22"/>
          <w:lang w:val="sr-Latn-ME"/>
        </w:rPr>
        <w:t>j</w:t>
      </w:r>
      <w:r w:rsidRPr="002041DF">
        <w:rPr>
          <w:sz w:val="22"/>
          <w:szCs w:val="22"/>
          <w:lang w:val="sr-Latn-ME"/>
        </w:rPr>
        <w:t>enjivana je u 8</w:t>
      </w:r>
      <w:r w:rsidR="007A264A" w:rsidRPr="002041DF">
        <w:rPr>
          <w:sz w:val="22"/>
          <w:szCs w:val="22"/>
          <w:lang w:val="sr-Latn-ME"/>
        </w:rPr>
        <w:t>.</w:t>
      </w:r>
      <w:r w:rsidR="00130B60" w:rsidRPr="002041DF">
        <w:rPr>
          <w:sz w:val="22"/>
          <w:szCs w:val="22"/>
          <w:lang w:val="sr-Latn-ME"/>
        </w:rPr>
        <w:t xml:space="preserve"> </w:t>
      </w:r>
      <w:r w:rsidR="004372C4" w:rsidRPr="002041DF">
        <w:rPr>
          <w:sz w:val="22"/>
          <w:szCs w:val="22"/>
          <w:lang w:val="sr-Latn-ME"/>
        </w:rPr>
        <w:t>nedjelji</w:t>
      </w:r>
      <w:r w:rsidRPr="002041DF">
        <w:rPr>
          <w:sz w:val="22"/>
          <w:szCs w:val="22"/>
          <w:lang w:val="sr-Latn-ME"/>
        </w:rPr>
        <w:t xml:space="preserve"> u kliničkom ispitivanju UNIFI-I i u 44-toj </w:t>
      </w:r>
      <w:r w:rsidR="004372C4" w:rsidRPr="002041DF">
        <w:rPr>
          <w:sz w:val="22"/>
          <w:szCs w:val="22"/>
          <w:lang w:val="sr-Latn-ME"/>
        </w:rPr>
        <w:t>nedjelji</w:t>
      </w:r>
      <w:r w:rsidRPr="002041DF">
        <w:rPr>
          <w:sz w:val="22"/>
          <w:szCs w:val="22"/>
          <w:lang w:val="sr-Latn-ME"/>
        </w:rPr>
        <w:t xml:space="preserve"> u kliničkom ispitivanju UNIFI-M. U 8</w:t>
      </w:r>
      <w:r w:rsidR="007A264A" w:rsidRPr="002041DF">
        <w:rPr>
          <w:sz w:val="22"/>
          <w:szCs w:val="22"/>
          <w:lang w:val="sr-Latn-ME"/>
        </w:rPr>
        <w:t>.</w:t>
      </w:r>
      <w:r w:rsidRPr="002041DF">
        <w:rPr>
          <w:sz w:val="22"/>
          <w:szCs w:val="22"/>
          <w:lang w:val="sr-Latn-ME"/>
        </w:rPr>
        <w:t xml:space="preserve"> </w:t>
      </w:r>
      <w:r w:rsidR="004372C4" w:rsidRPr="002041DF">
        <w:rPr>
          <w:sz w:val="22"/>
          <w:szCs w:val="22"/>
          <w:lang w:val="sr-Latn-ME"/>
        </w:rPr>
        <w:t>nedjelji</w:t>
      </w:r>
      <w:r w:rsidRPr="002041DF">
        <w:rPr>
          <w:sz w:val="22"/>
          <w:szCs w:val="22"/>
          <w:lang w:val="sr-Latn-ME"/>
        </w:rPr>
        <w:t xml:space="preserve"> je </w:t>
      </w:r>
      <w:r w:rsidR="00891C9B" w:rsidRPr="002041DF">
        <w:rPr>
          <w:sz w:val="22"/>
          <w:szCs w:val="22"/>
          <w:lang w:val="sr-Latn-ME"/>
        </w:rPr>
        <w:t>zabilježen</w:t>
      </w:r>
      <w:r w:rsidRPr="002041DF">
        <w:rPr>
          <w:sz w:val="22"/>
          <w:szCs w:val="22"/>
          <w:lang w:val="sr-Latn-ME"/>
        </w:rPr>
        <w:t>o značajno poboljšanje histo-endoskopskog zac</w:t>
      </w:r>
      <w:r w:rsidR="00FF5892" w:rsidRPr="002041DF">
        <w:rPr>
          <w:sz w:val="22"/>
          <w:szCs w:val="22"/>
          <w:lang w:val="sr-Latn-ME"/>
        </w:rPr>
        <w:t>j</w:t>
      </w:r>
      <w:r w:rsidRPr="002041DF">
        <w:rPr>
          <w:sz w:val="22"/>
          <w:szCs w:val="22"/>
          <w:lang w:val="sr-Latn-ME"/>
        </w:rPr>
        <w:t xml:space="preserve">eljenja sluznice kod pacijenata koji su primili ustekinumab u preporučenoj dozi (18%) u odnosu na pacijente koji su primili placebo (9%). U 44-toj </w:t>
      </w:r>
      <w:r w:rsidR="004372C4" w:rsidRPr="002041DF">
        <w:rPr>
          <w:sz w:val="22"/>
          <w:szCs w:val="22"/>
          <w:lang w:val="sr-Latn-ME"/>
        </w:rPr>
        <w:t>nedjelji</w:t>
      </w:r>
      <w:r w:rsidRPr="002041DF">
        <w:rPr>
          <w:sz w:val="22"/>
          <w:szCs w:val="22"/>
          <w:lang w:val="sr-Latn-ME"/>
        </w:rPr>
        <w:t xml:space="preserve">, </w:t>
      </w:r>
      <w:r w:rsidR="00891C9B" w:rsidRPr="002041DF">
        <w:rPr>
          <w:sz w:val="22"/>
          <w:szCs w:val="22"/>
          <w:lang w:val="sr-Latn-ME"/>
        </w:rPr>
        <w:t>zabilježen</w:t>
      </w:r>
      <w:r w:rsidRPr="002041DF">
        <w:rPr>
          <w:sz w:val="22"/>
          <w:szCs w:val="22"/>
          <w:lang w:val="sr-Latn-ME"/>
        </w:rPr>
        <w:t>o je održavanje ovog dejstva kod značajno više pacijenata koji su postigli histo-endoskopsko zac</w:t>
      </w:r>
      <w:r w:rsidR="00FF5892" w:rsidRPr="002041DF">
        <w:rPr>
          <w:sz w:val="22"/>
          <w:szCs w:val="22"/>
          <w:lang w:val="sr-Latn-ME"/>
        </w:rPr>
        <w:t>j</w:t>
      </w:r>
      <w:r w:rsidRPr="002041DF">
        <w:rPr>
          <w:sz w:val="22"/>
          <w:szCs w:val="22"/>
          <w:lang w:val="sr-Latn-ME"/>
        </w:rPr>
        <w:t xml:space="preserve">eljenje sluznice u grupama koje su primale ustekinumab na svakih 12 </w:t>
      </w:r>
      <w:r w:rsidR="004372C4" w:rsidRPr="002041DF">
        <w:rPr>
          <w:sz w:val="22"/>
          <w:szCs w:val="22"/>
          <w:lang w:val="sr-Latn-ME"/>
        </w:rPr>
        <w:t>nedjelja</w:t>
      </w:r>
      <w:r w:rsidRPr="002041DF">
        <w:rPr>
          <w:sz w:val="22"/>
          <w:szCs w:val="22"/>
          <w:lang w:val="sr-Latn-ME"/>
        </w:rPr>
        <w:t xml:space="preserve"> (39%) i na svakih 8 </w:t>
      </w:r>
      <w:r w:rsidR="004372C4" w:rsidRPr="002041DF">
        <w:rPr>
          <w:sz w:val="22"/>
          <w:szCs w:val="22"/>
          <w:lang w:val="sr-Latn-ME"/>
        </w:rPr>
        <w:t>nedjelja</w:t>
      </w:r>
      <w:r w:rsidRPr="002041DF">
        <w:rPr>
          <w:sz w:val="22"/>
          <w:szCs w:val="22"/>
          <w:lang w:val="sr-Latn-ME"/>
        </w:rPr>
        <w:t xml:space="preserve"> (46%) u poređenju sa grupom koja je primala placebo (24%).</w:t>
      </w:r>
    </w:p>
    <w:p w14:paraId="0EA09AAC" w14:textId="77777777" w:rsidR="00C36D57" w:rsidRPr="002041DF" w:rsidRDefault="00C36D57" w:rsidP="002041DF">
      <w:pPr>
        <w:widowControl w:val="0"/>
        <w:jc w:val="both"/>
        <w:rPr>
          <w:sz w:val="22"/>
          <w:szCs w:val="22"/>
          <w:lang w:val="sr-Latn-ME"/>
        </w:rPr>
      </w:pPr>
    </w:p>
    <w:p w14:paraId="425A830A" w14:textId="77777777" w:rsidR="00C36D57" w:rsidRPr="002041DF" w:rsidRDefault="00C36D57" w:rsidP="002041DF">
      <w:pPr>
        <w:widowControl w:val="0"/>
        <w:autoSpaceDE w:val="0"/>
        <w:autoSpaceDN w:val="0"/>
        <w:adjustRightInd w:val="0"/>
        <w:jc w:val="both"/>
        <w:rPr>
          <w:sz w:val="22"/>
          <w:szCs w:val="22"/>
          <w:lang w:val="sr-Latn-ME"/>
        </w:rPr>
      </w:pPr>
      <w:r w:rsidRPr="002041DF">
        <w:rPr>
          <w:i/>
          <w:sz w:val="22"/>
          <w:szCs w:val="22"/>
          <w:lang w:val="sr-Latn-ME"/>
        </w:rPr>
        <w:t>Kvalitet života povezan sa zdravljem</w:t>
      </w:r>
    </w:p>
    <w:p w14:paraId="2561E635" w14:textId="1463E529" w:rsidR="00C36D57" w:rsidRPr="002041DF" w:rsidRDefault="00C36D57" w:rsidP="002041DF">
      <w:pPr>
        <w:widowControl w:val="0"/>
        <w:autoSpaceDE w:val="0"/>
        <w:autoSpaceDN w:val="0"/>
        <w:adjustRightInd w:val="0"/>
        <w:jc w:val="both"/>
        <w:rPr>
          <w:sz w:val="22"/>
          <w:szCs w:val="22"/>
          <w:lang w:val="sr-Latn-ME"/>
        </w:rPr>
      </w:pPr>
      <w:r w:rsidRPr="002041DF">
        <w:rPr>
          <w:iCs/>
          <w:sz w:val="22"/>
          <w:szCs w:val="22"/>
          <w:lang w:val="sr-Latn-ME"/>
        </w:rPr>
        <w:t xml:space="preserve">Kvalitet života povezan sa zdravljem </w:t>
      </w:r>
      <w:r w:rsidRPr="002041DF">
        <w:rPr>
          <w:sz w:val="22"/>
          <w:szCs w:val="22"/>
          <w:lang w:val="sr-Latn-ME"/>
        </w:rPr>
        <w:t>proc</w:t>
      </w:r>
      <w:r w:rsidR="00FF5892" w:rsidRPr="002041DF">
        <w:rPr>
          <w:sz w:val="22"/>
          <w:szCs w:val="22"/>
          <w:lang w:val="sr-Latn-ME"/>
        </w:rPr>
        <w:t>j</w:t>
      </w:r>
      <w:r w:rsidRPr="002041DF">
        <w:rPr>
          <w:sz w:val="22"/>
          <w:szCs w:val="22"/>
          <w:lang w:val="sr-Latn-ME"/>
        </w:rPr>
        <w:t>enjivan je upitnikom za proc</w:t>
      </w:r>
      <w:r w:rsidR="00FF5892" w:rsidRPr="002041DF">
        <w:rPr>
          <w:sz w:val="22"/>
          <w:szCs w:val="22"/>
          <w:lang w:val="sr-Latn-ME"/>
        </w:rPr>
        <w:t>j</w:t>
      </w:r>
      <w:r w:rsidRPr="002041DF">
        <w:rPr>
          <w:sz w:val="22"/>
          <w:szCs w:val="22"/>
          <w:lang w:val="sr-Latn-ME"/>
        </w:rPr>
        <w:t>enu kvaliteta života pacijenata sa inflamatornim bolestima cr</w:t>
      </w:r>
      <w:r w:rsidR="00FF5892" w:rsidRPr="002041DF">
        <w:rPr>
          <w:sz w:val="22"/>
          <w:szCs w:val="22"/>
          <w:lang w:val="sr-Latn-ME"/>
        </w:rPr>
        <w:t>ij</w:t>
      </w:r>
      <w:r w:rsidRPr="002041DF">
        <w:rPr>
          <w:sz w:val="22"/>
          <w:szCs w:val="22"/>
          <w:lang w:val="sr-Latn-ME"/>
        </w:rPr>
        <w:t>eva (IBDQ), upitnikom SF-36 i evropskim upit</w:t>
      </w:r>
      <w:r w:rsidR="00FF5892" w:rsidRPr="002041DF">
        <w:rPr>
          <w:sz w:val="22"/>
          <w:szCs w:val="22"/>
          <w:lang w:val="sr-Latn-ME"/>
        </w:rPr>
        <w:t>n</w:t>
      </w:r>
      <w:r w:rsidRPr="002041DF">
        <w:rPr>
          <w:sz w:val="22"/>
          <w:szCs w:val="22"/>
          <w:lang w:val="sr-Latn-ME"/>
        </w:rPr>
        <w:t>ikom o kvalitetu života EuroQoL-5D (EQ-5D).</w:t>
      </w:r>
    </w:p>
    <w:p w14:paraId="37C95559" w14:textId="77777777" w:rsidR="00C36D57" w:rsidRPr="002041DF" w:rsidRDefault="00C36D57" w:rsidP="002041DF">
      <w:pPr>
        <w:widowControl w:val="0"/>
        <w:jc w:val="both"/>
        <w:rPr>
          <w:sz w:val="22"/>
          <w:szCs w:val="22"/>
          <w:lang w:val="sr-Latn-ME"/>
        </w:rPr>
      </w:pPr>
    </w:p>
    <w:p w14:paraId="41DC05DB" w14:textId="61DC1026" w:rsidR="00C36D57" w:rsidRPr="002041DF" w:rsidRDefault="00C36D57" w:rsidP="002041DF">
      <w:pPr>
        <w:widowControl w:val="0"/>
        <w:jc w:val="both"/>
        <w:rPr>
          <w:sz w:val="22"/>
          <w:szCs w:val="22"/>
          <w:lang w:val="sr-Latn-ME"/>
        </w:rPr>
      </w:pPr>
      <w:r w:rsidRPr="002041DF">
        <w:rPr>
          <w:sz w:val="22"/>
          <w:szCs w:val="22"/>
          <w:lang w:val="sr-Latn-ME"/>
        </w:rPr>
        <w:t>U 8</w:t>
      </w:r>
      <w:r w:rsidR="007A264A" w:rsidRPr="002041DF">
        <w:rPr>
          <w:sz w:val="22"/>
          <w:szCs w:val="22"/>
          <w:lang w:val="sr-Latn-ME"/>
        </w:rPr>
        <w:t>.</w:t>
      </w:r>
      <w:r w:rsidRPr="002041DF">
        <w:rPr>
          <w:sz w:val="22"/>
          <w:szCs w:val="22"/>
          <w:lang w:val="sr-Latn-ME"/>
        </w:rPr>
        <w:t xml:space="preserve"> </w:t>
      </w:r>
      <w:r w:rsidR="004372C4" w:rsidRPr="002041DF">
        <w:rPr>
          <w:sz w:val="22"/>
          <w:szCs w:val="22"/>
          <w:lang w:val="sr-Latn-ME"/>
        </w:rPr>
        <w:t>nedjelji</w:t>
      </w:r>
      <w:r w:rsidRPr="002041DF">
        <w:rPr>
          <w:sz w:val="22"/>
          <w:szCs w:val="22"/>
          <w:lang w:val="sr-Latn-ME"/>
        </w:rPr>
        <w:t xml:space="preserve"> kliničkog ispitivanja UNIFI-I, kod pacijenata koji su primali ustekinumab </w:t>
      </w:r>
      <w:r w:rsidR="00891C9B" w:rsidRPr="002041DF">
        <w:rPr>
          <w:sz w:val="22"/>
          <w:szCs w:val="22"/>
          <w:lang w:val="sr-Latn-ME"/>
        </w:rPr>
        <w:t>zabilježen</w:t>
      </w:r>
      <w:r w:rsidRPr="002041DF">
        <w:rPr>
          <w:sz w:val="22"/>
          <w:szCs w:val="22"/>
          <w:lang w:val="sr-Latn-ME"/>
        </w:rPr>
        <w:t xml:space="preserve">a su značajno veća i klinički značajna poboljšanja ukupnog IBDQ skora, rezultata upitnika EQ-5D i EQ-5D VAS, i kao i zbirnog skora za mentalne i fizičke komponente upitnika SF-36 u poređenju sa pacijentima koji su primali placebo. Ova poboljšanja su kod pacijenata koji su primali ustekinumab u kliničkom ispitivanju UNIFI-M tokom bila održana do 44-te </w:t>
      </w:r>
      <w:r w:rsidR="004372C4" w:rsidRPr="002041DF">
        <w:rPr>
          <w:sz w:val="22"/>
          <w:szCs w:val="22"/>
          <w:lang w:val="sr-Latn-ME"/>
        </w:rPr>
        <w:t>nedjelje</w:t>
      </w:r>
      <w:r w:rsidRPr="002041DF">
        <w:rPr>
          <w:sz w:val="22"/>
          <w:szCs w:val="22"/>
          <w:lang w:val="sr-Latn-ME"/>
        </w:rPr>
        <w:t>. Poboljšanje u kvalitetu života povezanim sa zdravljem m</w:t>
      </w:r>
      <w:r w:rsidR="00FF5892" w:rsidRPr="002041DF">
        <w:rPr>
          <w:sz w:val="22"/>
          <w:szCs w:val="22"/>
          <w:lang w:val="sr-Latn-ME"/>
        </w:rPr>
        <w:t>j</w:t>
      </w:r>
      <w:r w:rsidRPr="002041DF">
        <w:rPr>
          <w:sz w:val="22"/>
          <w:szCs w:val="22"/>
          <w:lang w:val="sr-Latn-ME"/>
        </w:rPr>
        <w:t xml:space="preserve">ereno pomoću IBDQ i SF-36 se generalno održalo u produžetku ispitivanja </w:t>
      </w:r>
      <w:r w:rsidR="00795C7E" w:rsidRPr="002041DF">
        <w:rPr>
          <w:sz w:val="22"/>
          <w:szCs w:val="22"/>
          <w:lang w:val="sr-Latn-ME"/>
        </w:rPr>
        <w:t xml:space="preserve">tokom </w:t>
      </w:r>
      <w:r w:rsidR="00840129" w:rsidRPr="002041DF">
        <w:rPr>
          <w:sz w:val="22"/>
          <w:szCs w:val="22"/>
          <w:lang w:val="sr-Latn-ME"/>
        </w:rPr>
        <w:t>200</w:t>
      </w:r>
      <w:r w:rsidR="007A264A" w:rsidRPr="002041DF">
        <w:rPr>
          <w:sz w:val="22"/>
          <w:szCs w:val="22"/>
          <w:lang w:val="sr-Latn-ME"/>
        </w:rPr>
        <w:t>.</w:t>
      </w:r>
      <w:r w:rsidR="00840129" w:rsidRPr="002041DF">
        <w:rPr>
          <w:sz w:val="22"/>
          <w:szCs w:val="22"/>
          <w:lang w:val="sr-Latn-ME"/>
        </w:rPr>
        <w:t xml:space="preserve"> </w:t>
      </w:r>
      <w:r w:rsidR="004372C4" w:rsidRPr="002041DF">
        <w:rPr>
          <w:sz w:val="22"/>
          <w:szCs w:val="22"/>
          <w:lang w:val="sr-Latn-ME"/>
        </w:rPr>
        <w:t>nedjelje</w:t>
      </w:r>
      <w:r w:rsidRPr="002041DF">
        <w:rPr>
          <w:sz w:val="22"/>
          <w:szCs w:val="22"/>
          <w:lang w:val="sr-Latn-ME"/>
        </w:rPr>
        <w:t>.</w:t>
      </w:r>
    </w:p>
    <w:p w14:paraId="30D98A30" w14:textId="77777777" w:rsidR="00C36D57" w:rsidRPr="002041DF" w:rsidRDefault="00C36D57" w:rsidP="002041DF">
      <w:pPr>
        <w:widowControl w:val="0"/>
        <w:jc w:val="both"/>
        <w:rPr>
          <w:sz w:val="22"/>
          <w:szCs w:val="22"/>
          <w:lang w:val="sr-Latn-ME"/>
        </w:rPr>
      </w:pPr>
    </w:p>
    <w:p w14:paraId="24970EEF" w14:textId="764D937C" w:rsidR="00C36D57" w:rsidRPr="002041DF" w:rsidRDefault="00C36D57" w:rsidP="002041DF">
      <w:pPr>
        <w:widowControl w:val="0"/>
        <w:jc w:val="both"/>
        <w:rPr>
          <w:sz w:val="22"/>
          <w:szCs w:val="22"/>
          <w:lang w:val="sr-Latn-ME"/>
        </w:rPr>
      </w:pPr>
      <w:r w:rsidRPr="002041DF">
        <w:rPr>
          <w:sz w:val="22"/>
          <w:szCs w:val="22"/>
          <w:lang w:val="sr-Latn-ME"/>
        </w:rPr>
        <w:t xml:space="preserve">U poređenju sa pacijentima koji su primali placebo, kod pacijenata koji su </w:t>
      </w:r>
      <w:r w:rsidR="00891C9B" w:rsidRPr="002041DF">
        <w:rPr>
          <w:sz w:val="22"/>
          <w:szCs w:val="22"/>
          <w:lang w:val="sr-Latn-ME"/>
        </w:rPr>
        <w:t>liječen</w:t>
      </w:r>
      <w:r w:rsidRPr="002041DF">
        <w:rPr>
          <w:sz w:val="22"/>
          <w:szCs w:val="22"/>
          <w:lang w:val="sr-Latn-ME"/>
        </w:rPr>
        <w:t xml:space="preserve">i ustekinumabom </w:t>
      </w:r>
      <w:r w:rsidR="00891C9B" w:rsidRPr="002041DF">
        <w:rPr>
          <w:sz w:val="22"/>
          <w:szCs w:val="22"/>
          <w:lang w:val="sr-Latn-ME"/>
        </w:rPr>
        <w:t>zabilježen</w:t>
      </w:r>
      <w:r w:rsidRPr="002041DF">
        <w:rPr>
          <w:sz w:val="22"/>
          <w:szCs w:val="22"/>
          <w:lang w:val="sr-Latn-ME"/>
        </w:rPr>
        <w:t>o je značajno veće poboljšanje produktivnosti na radu što bilo proc</w:t>
      </w:r>
      <w:r w:rsidR="00FF5892" w:rsidRPr="002041DF">
        <w:rPr>
          <w:sz w:val="22"/>
          <w:szCs w:val="22"/>
          <w:lang w:val="sr-Latn-ME"/>
        </w:rPr>
        <w:t>ij</w:t>
      </w:r>
      <w:r w:rsidRPr="002041DF">
        <w:rPr>
          <w:sz w:val="22"/>
          <w:szCs w:val="22"/>
          <w:lang w:val="sr-Latn-ME"/>
        </w:rPr>
        <w:t>enjeno na osnovu većeg smanjenja sveukupnog rezultata za narušenu radnu sposobnost i sposobnost obavljanja svakodnevnih aktivnosti, a prema upit</w:t>
      </w:r>
      <w:r w:rsidR="007A264A" w:rsidRPr="002041DF">
        <w:rPr>
          <w:sz w:val="22"/>
          <w:szCs w:val="22"/>
          <w:lang w:val="sr-Latn-ME"/>
        </w:rPr>
        <w:t>n</w:t>
      </w:r>
      <w:r w:rsidRPr="002041DF">
        <w:rPr>
          <w:sz w:val="22"/>
          <w:szCs w:val="22"/>
          <w:lang w:val="sr-Latn-ME"/>
        </w:rPr>
        <w:t>iku WPAI-GH.</w:t>
      </w:r>
    </w:p>
    <w:p w14:paraId="5224A2D7" w14:textId="77777777" w:rsidR="00C36D57" w:rsidRPr="002041DF" w:rsidRDefault="00C36D57" w:rsidP="002041DF">
      <w:pPr>
        <w:widowControl w:val="0"/>
        <w:jc w:val="both"/>
        <w:rPr>
          <w:sz w:val="22"/>
          <w:szCs w:val="22"/>
          <w:lang w:val="sr-Latn-ME"/>
        </w:rPr>
      </w:pPr>
    </w:p>
    <w:p w14:paraId="6287FEE6" w14:textId="77777777" w:rsidR="00C36D57" w:rsidRPr="002041DF" w:rsidRDefault="00C36D57" w:rsidP="002041DF">
      <w:pPr>
        <w:widowControl w:val="0"/>
        <w:jc w:val="both"/>
        <w:rPr>
          <w:i/>
          <w:sz w:val="22"/>
          <w:szCs w:val="22"/>
          <w:lang w:val="sr-Latn-ME"/>
        </w:rPr>
      </w:pPr>
      <w:r w:rsidRPr="002041DF">
        <w:rPr>
          <w:i/>
          <w:sz w:val="22"/>
          <w:szCs w:val="22"/>
          <w:lang w:val="sr-Latn-ME"/>
        </w:rPr>
        <w:t>Hospitalizacije i hirurške intervencije povezane sa ulceroznim kolitisom</w:t>
      </w:r>
    </w:p>
    <w:p w14:paraId="164AB3DF" w14:textId="25855B2D" w:rsidR="00C36D57" w:rsidRPr="002041DF" w:rsidRDefault="00C36D57" w:rsidP="002041DF">
      <w:pPr>
        <w:widowControl w:val="0"/>
        <w:jc w:val="both"/>
        <w:rPr>
          <w:sz w:val="22"/>
          <w:szCs w:val="22"/>
          <w:lang w:val="sr-Latn-ME"/>
        </w:rPr>
      </w:pPr>
      <w:r w:rsidRPr="002041DF">
        <w:rPr>
          <w:sz w:val="22"/>
          <w:szCs w:val="22"/>
          <w:lang w:val="sr-Latn-ME"/>
        </w:rPr>
        <w:t xml:space="preserve">Tokom 8 </w:t>
      </w:r>
      <w:r w:rsidR="004372C4" w:rsidRPr="002041DF">
        <w:rPr>
          <w:sz w:val="22"/>
          <w:szCs w:val="22"/>
          <w:lang w:val="sr-Latn-ME"/>
        </w:rPr>
        <w:t>nedjelja</w:t>
      </w:r>
      <w:r w:rsidRPr="002041DF">
        <w:rPr>
          <w:sz w:val="22"/>
          <w:szCs w:val="22"/>
          <w:lang w:val="sr-Latn-ME"/>
        </w:rPr>
        <w:t xml:space="preserve"> kliničkog ispitivanja UNIFI-I, procenat ispitanika hospitalizovanih zbog razloga povezanih sa ulceroznim kolitisom bio je značajno manji kod ispitanika koji su bili u grupi koja je primala ustekinumab u preporučenoj dozi (1,6%, 5/322) u poređenju sa grupom koja je primala placebo (4,4%, 14/319). Pored toga, nijedan ispitanik koji je primao ustekinumab u preporučenoj dozi nije bio podvrgnut hirurškoj intervenciji povezanoj sa ulceroznim kolitisom dok je u grupi koja je primala placebo takvom zahvatu bilo podvrgnuto 0,6% (2/319).</w:t>
      </w:r>
    </w:p>
    <w:p w14:paraId="4AE31E38" w14:textId="77777777" w:rsidR="00C36D57" w:rsidRPr="002041DF" w:rsidRDefault="00C36D57" w:rsidP="002041DF">
      <w:pPr>
        <w:widowControl w:val="0"/>
        <w:jc w:val="both"/>
        <w:rPr>
          <w:sz w:val="22"/>
          <w:szCs w:val="22"/>
          <w:lang w:val="sr-Latn-ME"/>
        </w:rPr>
      </w:pPr>
    </w:p>
    <w:p w14:paraId="060B2AA1" w14:textId="526475CB" w:rsidR="00C36D57" w:rsidRPr="002041DF" w:rsidRDefault="00C36D57" w:rsidP="002041DF">
      <w:pPr>
        <w:widowControl w:val="0"/>
        <w:jc w:val="both"/>
        <w:rPr>
          <w:sz w:val="22"/>
          <w:szCs w:val="22"/>
          <w:lang w:val="sr-Latn-ME"/>
        </w:rPr>
      </w:pPr>
      <w:r w:rsidRPr="002041DF">
        <w:rPr>
          <w:sz w:val="22"/>
          <w:szCs w:val="22"/>
          <w:lang w:val="sr-Latn-ME"/>
        </w:rPr>
        <w:t xml:space="preserve">Tokom 44 </w:t>
      </w:r>
      <w:r w:rsidR="004372C4" w:rsidRPr="002041DF">
        <w:rPr>
          <w:sz w:val="22"/>
          <w:szCs w:val="22"/>
          <w:lang w:val="sr-Latn-ME"/>
        </w:rPr>
        <w:t>nedjelje</w:t>
      </w:r>
      <w:r w:rsidRPr="002041DF">
        <w:rPr>
          <w:sz w:val="22"/>
          <w:szCs w:val="22"/>
          <w:lang w:val="sr-Latn-ME"/>
        </w:rPr>
        <w:t xml:space="preserve"> kliničkog ispitivanja UNIFI-M, procenat ispitanika koji su bili hospitalizovani zbog ulceroznog kolitisa je bio značajno niži kod ispitanika u</w:t>
      </w:r>
      <w:r w:rsidR="00FF5892" w:rsidRPr="002041DF">
        <w:rPr>
          <w:sz w:val="22"/>
          <w:szCs w:val="22"/>
          <w:lang w:val="sr-Latn-ME"/>
        </w:rPr>
        <w:t xml:space="preserve"> obje </w:t>
      </w:r>
      <w:r w:rsidRPr="002041DF">
        <w:rPr>
          <w:sz w:val="22"/>
          <w:szCs w:val="22"/>
          <w:lang w:val="sr-Latn-ME"/>
        </w:rPr>
        <w:t xml:space="preserve">grupe koja je primala ustekinumab (2,0%, 7/348) u poređenju sa grupom koja je primala placebo (5,7%, 10/175). Tokom 44. </w:t>
      </w:r>
      <w:r w:rsidR="004372C4" w:rsidRPr="002041DF">
        <w:rPr>
          <w:sz w:val="22"/>
          <w:szCs w:val="22"/>
          <w:lang w:val="sr-Latn-ME"/>
        </w:rPr>
        <w:t>nedjelj</w:t>
      </w:r>
      <w:r w:rsidR="00795C7E" w:rsidRPr="002041DF">
        <w:rPr>
          <w:sz w:val="22"/>
          <w:szCs w:val="22"/>
          <w:lang w:val="sr-Latn-ME"/>
        </w:rPr>
        <w:t>e</w:t>
      </w:r>
      <w:r w:rsidRPr="002041DF">
        <w:rPr>
          <w:sz w:val="22"/>
          <w:szCs w:val="22"/>
          <w:lang w:val="sr-Latn-ME"/>
        </w:rPr>
        <w:t xml:space="preserve">, hiruškim intervencijama povezanim sa ulceroznim kolitisom bio je podvrgnut manji broj ispitanika u grupi </w:t>
      </w:r>
      <w:r w:rsidR="00891C9B" w:rsidRPr="002041DF">
        <w:rPr>
          <w:sz w:val="22"/>
          <w:szCs w:val="22"/>
          <w:lang w:val="sr-Latn-ME"/>
        </w:rPr>
        <w:t>liječen</w:t>
      </w:r>
      <w:r w:rsidRPr="002041DF">
        <w:rPr>
          <w:sz w:val="22"/>
          <w:szCs w:val="22"/>
          <w:lang w:val="sr-Latn-ME"/>
        </w:rPr>
        <w:t>oj ustekinumabom (0,6%; 2/348)</w:t>
      </w:r>
      <w:r w:rsidRPr="002041DF" w:rsidDel="00530895">
        <w:rPr>
          <w:sz w:val="22"/>
          <w:szCs w:val="22"/>
          <w:lang w:val="sr-Latn-ME"/>
        </w:rPr>
        <w:t xml:space="preserve"> </w:t>
      </w:r>
      <w:r w:rsidRPr="002041DF">
        <w:rPr>
          <w:sz w:val="22"/>
          <w:szCs w:val="22"/>
          <w:lang w:val="sr-Latn-ME"/>
        </w:rPr>
        <w:t>nego u grupi koja je primala placebo (1,7%; 3/175).</w:t>
      </w:r>
      <w:r w:rsidRPr="002041DF" w:rsidDel="00530895">
        <w:rPr>
          <w:sz w:val="22"/>
          <w:szCs w:val="22"/>
          <w:lang w:val="sr-Latn-ME"/>
        </w:rPr>
        <w:t xml:space="preserve"> </w:t>
      </w:r>
    </w:p>
    <w:p w14:paraId="756F259F" w14:textId="77777777" w:rsidR="00C36D57" w:rsidRPr="002041DF" w:rsidRDefault="00C36D57" w:rsidP="002041DF">
      <w:pPr>
        <w:widowControl w:val="0"/>
        <w:tabs>
          <w:tab w:val="left" w:pos="2808"/>
          <w:tab w:val="left" w:pos="9000"/>
          <w:tab w:val="left" w:pos="9540"/>
        </w:tabs>
        <w:jc w:val="both"/>
        <w:rPr>
          <w:sz w:val="22"/>
          <w:szCs w:val="22"/>
          <w:lang w:val="sr-Latn-ME"/>
        </w:rPr>
      </w:pPr>
    </w:p>
    <w:p w14:paraId="44033B60" w14:textId="77777777" w:rsidR="00C36D57" w:rsidRPr="002041DF" w:rsidRDefault="00C36D57" w:rsidP="002041DF">
      <w:pPr>
        <w:widowControl w:val="0"/>
        <w:tabs>
          <w:tab w:val="left" w:pos="2808"/>
          <w:tab w:val="left" w:pos="9000"/>
          <w:tab w:val="left" w:pos="9540"/>
        </w:tabs>
        <w:jc w:val="both"/>
        <w:rPr>
          <w:sz w:val="22"/>
          <w:szCs w:val="22"/>
          <w:lang w:val="sr-Latn-ME"/>
        </w:rPr>
      </w:pPr>
      <w:r w:rsidRPr="002041DF">
        <w:rPr>
          <w:sz w:val="22"/>
          <w:szCs w:val="22"/>
          <w:lang w:val="sr-Latn-ME"/>
        </w:rPr>
        <w:t>Imunogenost</w:t>
      </w:r>
    </w:p>
    <w:p w14:paraId="4B099A08" w14:textId="4ACA5B1C" w:rsidR="00C36D57" w:rsidRPr="002041DF" w:rsidRDefault="00C23E53" w:rsidP="002041DF">
      <w:pPr>
        <w:widowControl w:val="0"/>
        <w:tabs>
          <w:tab w:val="left" w:pos="2808"/>
          <w:tab w:val="left" w:pos="9000"/>
          <w:tab w:val="left" w:pos="9540"/>
        </w:tabs>
        <w:jc w:val="both"/>
        <w:rPr>
          <w:sz w:val="22"/>
          <w:szCs w:val="22"/>
          <w:lang w:val="sr-Latn-ME"/>
        </w:rPr>
      </w:pPr>
      <w:r w:rsidRPr="002041DF">
        <w:rPr>
          <w:sz w:val="22"/>
          <w:szCs w:val="22"/>
          <w:lang w:val="sr-Latn-ME"/>
        </w:rPr>
        <w:t>Antitijela</w:t>
      </w:r>
      <w:r w:rsidR="00C36D57" w:rsidRPr="002041DF">
        <w:rPr>
          <w:sz w:val="22"/>
          <w:szCs w:val="22"/>
          <w:lang w:val="sr-Latn-ME"/>
        </w:rPr>
        <w:t xml:space="preserve"> na ustekinumab se mogu javiti tokom terapije ustekinumabom i većina njih je neutrališuća. Stvaranje anti-ustekinumab </w:t>
      </w:r>
      <w:r w:rsidRPr="002041DF">
        <w:rPr>
          <w:sz w:val="22"/>
          <w:szCs w:val="22"/>
          <w:lang w:val="sr-Latn-ME"/>
        </w:rPr>
        <w:t>antitijela</w:t>
      </w:r>
      <w:r w:rsidR="00C36D57" w:rsidRPr="002041DF">
        <w:rPr>
          <w:sz w:val="22"/>
          <w:szCs w:val="22"/>
          <w:lang w:val="sr-Latn-ME"/>
        </w:rPr>
        <w:t xml:space="preserve"> je udruženo sa povećanim klirensom i smanjenom efikasnošću ustekinumaba, sa izuzetkom kod pacijenata sa Kronovom bolešću ili ulceroznim kolitisom gd</w:t>
      </w:r>
      <w:r w:rsidR="00FF5892" w:rsidRPr="002041DF">
        <w:rPr>
          <w:sz w:val="22"/>
          <w:szCs w:val="22"/>
          <w:lang w:val="sr-Latn-ME"/>
        </w:rPr>
        <w:t>j</w:t>
      </w:r>
      <w:r w:rsidR="00C36D57" w:rsidRPr="002041DF">
        <w:rPr>
          <w:sz w:val="22"/>
          <w:szCs w:val="22"/>
          <w:lang w:val="sr-Latn-ME"/>
        </w:rPr>
        <w:t>e nije prim</w:t>
      </w:r>
      <w:r w:rsidR="00FF5892" w:rsidRPr="002041DF">
        <w:rPr>
          <w:sz w:val="22"/>
          <w:szCs w:val="22"/>
          <w:lang w:val="sr-Latn-ME"/>
        </w:rPr>
        <w:t>ij</w:t>
      </w:r>
      <w:r w:rsidR="00C36D57" w:rsidRPr="002041DF">
        <w:rPr>
          <w:sz w:val="22"/>
          <w:szCs w:val="22"/>
          <w:lang w:val="sr-Latn-ME"/>
        </w:rPr>
        <w:t xml:space="preserve">ećena smanjena efikasnost. Ne postoji očigledna povezanost između postojanja anti-ustekinumab </w:t>
      </w:r>
      <w:r w:rsidRPr="002041DF">
        <w:rPr>
          <w:sz w:val="22"/>
          <w:szCs w:val="22"/>
          <w:lang w:val="sr-Latn-ME"/>
        </w:rPr>
        <w:t>antitijela</w:t>
      </w:r>
      <w:r w:rsidR="00C36D57" w:rsidRPr="002041DF">
        <w:rPr>
          <w:sz w:val="22"/>
          <w:szCs w:val="22"/>
          <w:lang w:val="sr-Latn-ME"/>
        </w:rPr>
        <w:t xml:space="preserve"> i pojave reakcije na m</w:t>
      </w:r>
      <w:r w:rsidR="00FF5892" w:rsidRPr="002041DF">
        <w:rPr>
          <w:sz w:val="22"/>
          <w:szCs w:val="22"/>
          <w:lang w:val="sr-Latn-ME"/>
        </w:rPr>
        <w:t>j</w:t>
      </w:r>
      <w:r w:rsidR="00C36D57" w:rsidRPr="002041DF">
        <w:rPr>
          <w:sz w:val="22"/>
          <w:szCs w:val="22"/>
          <w:lang w:val="sr-Latn-ME"/>
        </w:rPr>
        <w:t>estu</w:t>
      </w:r>
      <w:r w:rsidR="00891C9B" w:rsidRPr="002041DF">
        <w:rPr>
          <w:sz w:val="22"/>
          <w:szCs w:val="22"/>
          <w:lang w:val="sr-Latn-ME"/>
        </w:rPr>
        <w:t xml:space="preserve"> primjene </w:t>
      </w:r>
      <w:r w:rsidR="00C36D57" w:rsidRPr="002041DF">
        <w:rPr>
          <w:sz w:val="22"/>
          <w:szCs w:val="22"/>
          <w:lang w:val="sr-Latn-ME"/>
        </w:rPr>
        <w:t>injekcije.</w:t>
      </w:r>
    </w:p>
    <w:p w14:paraId="4A66FBAC" w14:textId="77777777" w:rsidR="00C36D57" w:rsidRPr="002041DF" w:rsidRDefault="00C36D57" w:rsidP="002041DF">
      <w:pPr>
        <w:widowControl w:val="0"/>
        <w:tabs>
          <w:tab w:val="left" w:pos="2808"/>
          <w:tab w:val="left" w:pos="9000"/>
          <w:tab w:val="left" w:pos="9540"/>
        </w:tabs>
        <w:jc w:val="both"/>
        <w:rPr>
          <w:sz w:val="22"/>
          <w:szCs w:val="22"/>
          <w:lang w:val="sr-Latn-ME"/>
        </w:rPr>
      </w:pPr>
    </w:p>
    <w:p w14:paraId="6BD1DC5C" w14:textId="77777777" w:rsidR="00C36D57" w:rsidRPr="002041DF" w:rsidRDefault="00C36D57" w:rsidP="002041DF">
      <w:pPr>
        <w:widowControl w:val="0"/>
        <w:tabs>
          <w:tab w:val="left" w:pos="2808"/>
          <w:tab w:val="left" w:pos="9000"/>
          <w:tab w:val="left" w:pos="9540"/>
        </w:tabs>
        <w:jc w:val="both"/>
        <w:rPr>
          <w:i/>
          <w:sz w:val="22"/>
          <w:szCs w:val="22"/>
          <w:lang w:val="sr-Latn-ME"/>
        </w:rPr>
      </w:pPr>
      <w:r w:rsidRPr="002041DF">
        <w:rPr>
          <w:i/>
          <w:sz w:val="22"/>
          <w:szCs w:val="22"/>
          <w:lang w:val="sr-Latn-ME"/>
        </w:rPr>
        <w:t xml:space="preserve">Pedijatrijska populacija </w:t>
      </w:r>
    </w:p>
    <w:p w14:paraId="6CFF9E52" w14:textId="0E4B2793" w:rsidR="00C36D57" w:rsidRPr="002041DF" w:rsidRDefault="00C36D57" w:rsidP="002041DF">
      <w:pPr>
        <w:widowControl w:val="0"/>
        <w:tabs>
          <w:tab w:val="left" w:pos="2808"/>
          <w:tab w:val="left" w:pos="9000"/>
          <w:tab w:val="left" w:pos="9540"/>
        </w:tabs>
        <w:jc w:val="both"/>
        <w:rPr>
          <w:sz w:val="22"/>
          <w:szCs w:val="22"/>
          <w:lang w:val="sr-Latn-ME"/>
        </w:rPr>
      </w:pPr>
      <w:r w:rsidRPr="002041DF">
        <w:rPr>
          <w:sz w:val="22"/>
          <w:szCs w:val="22"/>
          <w:lang w:val="sr-Latn-ME"/>
        </w:rPr>
        <w:t>Evropska Agencija za l</w:t>
      </w:r>
      <w:r w:rsidR="00FF5892" w:rsidRPr="002041DF">
        <w:rPr>
          <w:sz w:val="22"/>
          <w:szCs w:val="22"/>
          <w:lang w:val="sr-Latn-ME"/>
        </w:rPr>
        <w:t>je</w:t>
      </w:r>
      <w:r w:rsidRPr="002041DF">
        <w:rPr>
          <w:sz w:val="22"/>
          <w:szCs w:val="22"/>
          <w:lang w:val="sr-Latn-ME"/>
        </w:rPr>
        <w:t>kove je odložila obavezu podnošenja rezultata ispitivanja</w:t>
      </w:r>
      <w:r w:rsidR="00A35D07" w:rsidRPr="002041DF">
        <w:rPr>
          <w:sz w:val="22"/>
          <w:szCs w:val="22"/>
          <w:lang w:val="sr-Latn-ME"/>
        </w:rPr>
        <w:t xml:space="preserve"> lijeka </w:t>
      </w:r>
      <w:r w:rsidRPr="002041DF">
        <w:rPr>
          <w:sz w:val="22"/>
          <w:szCs w:val="22"/>
          <w:lang w:val="sr-Latn-ME"/>
        </w:rPr>
        <w:t>ustekinumaba u jednoj ili više podgrupa pedijatrijske populacije za Kronovu bolest i ulcerozni kolitis (</w:t>
      </w:r>
      <w:r w:rsidR="006779EA" w:rsidRPr="002041DF">
        <w:rPr>
          <w:sz w:val="22"/>
          <w:szCs w:val="22"/>
          <w:lang w:val="sr-Latn-ME"/>
        </w:rPr>
        <w:t>vidjeti</w:t>
      </w:r>
      <w:r w:rsidRPr="002041DF">
        <w:rPr>
          <w:sz w:val="22"/>
          <w:szCs w:val="22"/>
          <w:lang w:val="sr-Latn-ME"/>
        </w:rPr>
        <w:t xml:space="preserve"> </w:t>
      </w:r>
      <w:r w:rsidR="00292E06" w:rsidRPr="002041DF">
        <w:rPr>
          <w:sz w:val="22"/>
          <w:szCs w:val="22"/>
          <w:lang w:val="sr-Latn-ME"/>
        </w:rPr>
        <w:t>dio</w:t>
      </w:r>
      <w:r w:rsidRPr="002041DF">
        <w:rPr>
          <w:sz w:val="22"/>
          <w:szCs w:val="22"/>
          <w:lang w:val="sr-Latn-ME"/>
        </w:rPr>
        <w:t xml:space="preserve"> 4.2 Doziranje i način</w:t>
      </w:r>
      <w:r w:rsidR="00891C9B" w:rsidRPr="002041DF">
        <w:rPr>
          <w:sz w:val="22"/>
          <w:szCs w:val="22"/>
          <w:lang w:val="sr-Latn-ME"/>
        </w:rPr>
        <w:t xml:space="preserve"> primjene </w:t>
      </w:r>
      <w:r w:rsidRPr="002041DF">
        <w:rPr>
          <w:sz w:val="22"/>
          <w:szCs w:val="22"/>
          <w:lang w:val="sr-Latn-ME"/>
        </w:rPr>
        <w:t>kod pedijatrijskih pacijenata).</w:t>
      </w:r>
      <w:r w:rsidR="007A264A" w:rsidRPr="002041DF">
        <w:rPr>
          <w:sz w:val="22"/>
          <w:szCs w:val="22"/>
          <w:lang w:val="sr-Latn-ME"/>
        </w:rPr>
        <w:t xml:space="preserve"> </w:t>
      </w:r>
    </w:p>
    <w:p w14:paraId="5E86A393" w14:textId="77777777" w:rsidR="00C36D57" w:rsidRPr="002041DF" w:rsidRDefault="00C36D57" w:rsidP="002041DF">
      <w:pPr>
        <w:pStyle w:val="Header"/>
        <w:widowControl w:val="0"/>
        <w:tabs>
          <w:tab w:val="left" w:pos="284"/>
        </w:tabs>
        <w:jc w:val="both"/>
        <w:rPr>
          <w:sz w:val="22"/>
          <w:szCs w:val="22"/>
          <w:lang w:val="sr-Latn-ME"/>
        </w:rPr>
      </w:pPr>
    </w:p>
    <w:p w14:paraId="27BA2A01" w14:textId="77777777" w:rsidR="00921FA2" w:rsidRPr="002041DF" w:rsidRDefault="00921FA2" w:rsidP="002041DF">
      <w:pPr>
        <w:widowControl w:val="0"/>
        <w:tabs>
          <w:tab w:val="left" w:pos="540"/>
          <w:tab w:val="left" w:pos="569"/>
        </w:tabs>
        <w:jc w:val="both"/>
        <w:rPr>
          <w:b/>
          <w:bCs/>
          <w:sz w:val="22"/>
          <w:szCs w:val="22"/>
          <w:lang w:val="sr-Latn-ME"/>
        </w:rPr>
      </w:pPr>
      <w:r w:rsidRPr="002041DF">
        <w:rPr>
          <w:b/>
          <w:bCs/>
          <w:sz w:val="22"/>
          <w:szCs w:val="22"/>
          <w:lang w:val="sr-Latn-ME"/>
        </w:rPr>
        <w:lastRenderedPageBreak/>
        <w:t xml:space="preserve">5.2. </w:t>
      </w:r>
      <w:r w:rsidRPr="002041DF">
        <w:rPr>
          <w:b/>
          <w:bCs/>
          <w:sz w:val="22"/>
          <w:szCs w:val="22"/>
          <w:lang w:val="sr-Latn-ME"/>
        </w:rPr>
        <w:tab/>
        <w:t xml:space="preserve">Farmakokinetički podaci </w:t>
      </w:r>
    </w:p>
    <w:p w14:paraId="78EB928D" w14:textId="77777777" w:rsidR="00623D38" w:rsidRPr="002041DF" w:rsidRDefault="00623D38" w:rsidP="002041DF">
      <w:pPr>
        <w:widowControl w:val="0"/>
        <w:jc w:val="both"/>
        <w:rPr>
          <w:sz w:val="22"/>
          <w:szCs w:val="22"/>
          <w:lang w:val="sr-Latn-ME"/>
        </w:rPr>
      </w:pPr>
    </w:p>
    <w:p w14:paraId="006211CE" w14:textId="77777777" w:rsidR="00623D38" w:rsidRPr="002041DF" w:rsidRDefault="00623D38" w:rsidP="002041DF">
      <w:pPr>
        <w:pStyle w:val="Header"/>
        <w:widowControl w:val="0"/>
        <w:tabs>
          <w:tab w:val="left" w:pos="284"/>
        </w:tabs>
        <w:jc w:val="both"/>
        <w:rPr>
          <w:sz w:val="22"/>
          <w:szCs w:val="22"/>
          <w:lang w:val="sr-Latn-ME"/>
        </w:rPr>
      </w:pPr>
      <w:r w:rsidRPr="002041DF">
        <w:rPr>
          <w:sz w:val="22"/>
          <w:szCs w:val="22"/>
          <w:u w:val="single"/>
          <w:lang w:val="sr-Latn-ME"/>
        </w:rPr>
        <w:t>Resorpcija</w:t>
      </w:r>
    </w:p>
    <w:p w14:paraId="4D51B293" w14:textId="2B4F0B6C" w:rsidR="00623D38" w:rsidRPr="002041DF" w:rsidRDefault="00A463C3" w:rsidP="002041DF">
      <w:pPr>
        <w:pStyle w:val="Header"/>
        <w:widowControl w:val="0"/>
        <w:tabs>
          <w:tab w:val="left" w:pos="284"/>
        </w:tabs>
        <w:jc w:val="both"/>
        <w:rPr>
          <w:sz w:val="22"/>
          <w:szCs w:val="22"/>
          <w:lang w:val="sr-Latn-ME"/>
        </w:rPr>
      </w:pPr>
      <w:r w:rsidRPr="002041DF">
        <w:rPr>
          <w:sz w:val="22"/>
          <w:szCs w:val="22"/>
          <w:lang w:val="sr-Latn-ME"/>
        </w:rPr>
        <w:t>Medijana</w:t>
      </w:r>
      <w:r w:rsidR="00623D38" w:rsidRPr="002041DF">
        <w:rPr>
          <w:sz w:val="22"/>
          <w:szCs w:val="22"/>
          <w:lang w:val="sr-Latn-ME"/>
        </w:rPr>
        <w:t xml:space="preserve"> </w:t>
      </w:r>
      <w:r w:rsidR="00390676" w:rsidRPr="002041DF">
        <w:rPr>
          <w:sz w:val="22"/>
          <w:szCs w:val="22"/>
          <w:lang w:val="sr-Latn-ME"/>
        </w:rPr>
        <w:t>vremena</w:t>
      </w:r>
      <w:r w:rsidR="00623D38" w:rsidRPr="002041DF">
        <w:rPr>
          <w:sz w:val="22"/>
          <w:szCs w:val="22"/>
          <w:lang w:val="sr-Latn-ME"/>
        </w:rPr>
        <w:t xml:space="preserve"> dostizanja maksimalne koncentracije u serumu (t</w:t>
      </w:r>
      <w:r w:rsidR="00623D38" w:rsidRPr="002041DF">
        <w:rPr>
          <w:sz w:val="22"/>
          <w:szCs w:val="22"/>
          <w:vertAlign w:val="subscript"/>
          <w:lang w:val="sr-Latn-ME"/>
        </w:rPr>
        <w:t>max</w:t>
      </w:r>
      <w:r w:rsidR="00623D38" w:rsidRPr="002041DF">
        <w:rPr>
          <w:sz w:val="22"/>
          <w:szCs w:val="22"/>
          <w:lang w:val="sr-Latn-ME"/>
        </w:rPr>
        <w:t>) je 8,5 dana nakon jednokratne su</w:t>
      </w:r>
      <w:r w:rsidR="00345EB0" w:rsidRPr="002041DF">
        <w:rPr>
          <w:sz w:val="22"/>
          <w:szCs w:val="22"/>
          <w:lang w:val="sr-Latn-ME"/>
        </w:rPr>
        <w:t>p</w:t>
      </w:r>
      <w:r w:rsidR="00623D38" w:rsidRPr="002041DF">
        <w:rPr>
          <w:sz w:val="22"/>
          <w:szCs w:val="22"/>
          <w:lang w:val="sr-Latn-ME"/>
        </w:rPr>
        <w:t>kutane</w:t>
      </w:r>
      <w:r w:rsidR="00891C9B" w:rsidRPr="002041DF">
        <w:rPr>
          <w:sz w:val="22"/>
          <w:szCs w:val="22"/>
          <w:lang w:val="sr-Latn-ME"/>
        </w:rPr>
        <w:t xml:space="preserve"> primjene </w:t>
      </w:r>
      <w:r w:rsidR="00623D38" w:rsidRPr="002041DF">
        <w:rPr>
          <w:sz w:val="22"/>
          <w:szCs w:val="22"/>
          <w:lang w:val="sr-Latn-ME"/>
        </w:rPr>
        <w:t xml:space="preserve">90 mg ustekinumaba kod zdravih </w:t>
      </w:r>
      <w:r w:rsidRPr="002041DF">
        <w:rPr>
          <w:sz w:val="22"/>
          <w:szCs w:val="22"/>
          <w:lang w:val="sr-Latn-ME"/>
        </w:rPr>
        <w:t>ispitanika</w:t>
      </w:r>
      <w:r w:rsidR="00623D38" w:rsidRPr="002041DF">
        <w:rPr>
          <w:sz w:val="22"/>
          <w:szCs w:val="22"/>
          <w:lang w:val="sr-Latn-ME"/>
        </w:rPr>
        <w:t xml:space="preserve">. </w:t>
      </w:r>
      <w:r w:rsidRPr="002041DF">
        <w:rPr>
          <w:sz w:val="22"/>
          <w:szCs w:val="22"/>
          <w:lang w:val="sr-Latn-ME"/>
        </w:rPr>
        <w:t>Medijana vr</w:t>
      </w:r>
      <w:r w:rsidR="00FF5892" w:rsidRPr="002041DF">
        <w:rPr>
          <w:sz w:val="22"/>
          <w:szCs w:val="22"/>
          <w:lang w:val="sr-Latn-ME"/>
        </w:rPr>
        <w:t>ij</w:t>
      </w:r>
      <w:r w:rsidRPr="002041DF">
        <w:rPr>
          <w:sz w:val="22"/>
          <w:szCs w:val="22"/>
          <w:lang w:val="sr-Latn-ME"/>
        </w:rPr>
        <w:t>ednosti</w:t>
      </w:r>
      <w:r w:rsidR="00623D38" w:rsidRPr="002041DF">
        <w:rPr>
          <w:sz w:val="22"/>
          <w:szCs w:val="22"/>
          <w:lang w:val="sr-Latn-ME"/>
        </w:rPr>
        <w:t xml:space="preserve"> t</w:t>
      </w:r>
      <w:r w:rsidR="00623D38" w:rsidRPr="002041DF">
        <w:rPr>
          <w:sz w:val="22"/>
          <w:szCs w:val="22"/>
          <w:vertAlign w:val="subscript"/>
          <w:lang w:val="sr-Latn-ME"/>
        </w:rPr>
        <w:t>max</w:t>
      </w:r>
      <w:r w:rsidR="00623D38" w:rsidRPr="002041DF">
        <w:rPr>
          <w:sz w:val="22"/>
          <w:szCs w:val="22"/>
          <w:lang w:val="sr-Latn-ME"/>
        </w:rPr>
        <w:t xml:space="preserve"> </w:t>
      </w:r>
      <w:r w:rsidRPr="002041DF">
        <w:rPr>
          <w:sz w:val="22"/>
          <w:szCs w:val="22"/>
          <w:lang w:val="sr-Latn-ME"/>
        </w:rPr>
        <w:t xml:space="preserve">nakon jedne </w:t>
      </w:r>
      <w:r w:rsidR="00623D38" w:rsidRPr="002041DF">
        <w:rPr>
          <w:sz w:val="22"/>
          <w:szCs w:val="22"/>
          <w:lang w:val="sr-Latn-ME"/>
        </w:rPr>
        <w:t>su</w:t>
      </w:r>
      <w:r w:rsidR="00345EB0" w:rsidRPr="002041DF">
        <w:rPr>
          <w:sz w:val="22"/>
          <w:szCs w:val="22"/>
          <w:lang w:val="sr-Latn-ME"/>
        </w:rPr>
        <w:t>p</w:t>
      </w:r>
      <w:r w:rsidR="00623D38" w:rsidRPr="002041DF">
        <w:rPr>
          <w:sz w:val="22"/>
          <w:szCs w:val="22"/>
          <w:lang w:val="sr-Latn-ME"/>
        </w:rPr>
        <w:t>kutan</w:t>
      </w:r>
      <w:r w:rsidRPr="002041DF">
        <w:rPr>
          <w:sz w:val="22"/>
          <w:szCs w:val="22"/>
          <w:lang w:val="sr-Latn-ME"/>
        </w:rPr>
        <w:t>e</w:t>
      </w:r>
      <w:r w:rsidR="00891C9B" w:rsidRPr="002041DF">
        <w:rPr>
          <w:sz w:val="22"/>
          <w:szCs w:val="22"/>
          <w:lang w:val="sr-Latn-ME"/>
        </w:rPr>
        <w:t xml:space="preserve"> primjene </w:t>
      </w:r>
      <w:r w:rsidR="00623D38" w:rsidRPr="002041DF">
        <w:rPr>
          <w:sz w:val="22"/>
          <w:szCs w:val="22"/>
          <w:lang w:val="sr-Latn-ME"/>
        </w:rPr>
        <w:t>ustekinumaba, 45 mg ili 90 mg kod pacijenata sa psorijazom komparabilna je sa vr</w:t>
      </w:r>
      <w:r w:rsidR="00FF5892" w:rsidRPr="002041DF">
        <w:rPr>
          <w:sz w:val="22"/>
          <w:szCs w:val="22"/>
          <w:lang w:val="sr-Latn-ME"/>
        </w:rPr>
        <w:t>ij</w:t>
      </w:r>
      <w:r w:rsidR="00623D38" w:rsidRPr="002041DF">
        <w:rPr>
          <w:sz w:val="22"/>
          <w:szCs w:val="22"/>
          <w:lang w:val="sr-Latn-ME"/>
        </w:rPr>
        <w:t>ednošću izm</w:t>
      </w:r>
      <w:r w:rsidR="00FF5892" w:rsidRPr="002041DF">
        <w:rPr>
          <w:sz w:val="22"/>
          <w:szCs w:val="22"/>
          <w:lang w:val="sr-Latn-ME"/>
        </w:rPr>
        <w:t>j</w:t>
      </w:r>
      <w:r w:rsidR="00623D38" w:rsidRPr="002041DF">
        <w:rPr>
          <w:sz w:val="22"/>
          <w:szCs w:val="22"/>
          <w:lang w:val="sr-Latn-ME"/>
        </w:rPr>
        <w:t>erenoj pri prim</w:t>
      </w:r>
      <w:r w:rsidR="00FF5892" w:rsidRPr="002041DF">
        <w:rPr>
          <w:sz w:val="22"/>
          <w:szCs w:val="22"/>
          <w:lang w:val="sr-Latn-ME"/>
        </w:rPr>
        <w:t>j</w:t>
      </w:r>
      <w:r w:rsidR="00623D38" w:rsidRPr="002041DF">
        <w:rPr>
          <w:sz w:val="22"/>
          <w:szCs w:val="22"/>
          <w:lang w:val="sr-Latn-ME"/>
        </w:rPr>
        <w:t>eni</w:t>
      </w:r>
      <w:r w:rsidR="00A35D07" w:rsidRPr="002041DF">
        <w:rPr>
          <w:sz w:val="22"/>
          <w:szCs w:val="22"/>
          <w:lang w:val="sr-Latn-ME"/>
        </w:rPr>
        <w:t xml:space="preserve"> lijeka </w:t>
      </w:r>
      <w:r w:rsidR="00623D38" w:rsidRPr="002041DF">
        <w:rPr>
          <w:sz w:val="22"/>
          <w:szCs w:val="22"/>
          <w:lang w:val="sr-Latn-ME"/>
        </w:rPr>
        <w:t xml:space="preserve">kod zdravih </w:t>
      </w:r>
      <w:r w:rsidRPr="002041DF">
        <w:rPr>
          <w:sz w:val="22"/>
          <w:szCs w:val="22"/>
          <w:lang w:val="sr-Latn-ME"/>
        </w:rPr>
        <w:t>ispitanika</w:t>
      </w:r>
      <w:r w:rsidR="00623D38" w:rsidRPr="002041DF">
        <w:rPr>
          <w:sz w:val="22"/>
          <w:szCs w:val="22"/>
          <w:lang w:val="sr-Latn-ME"/>
        </w:rPr>
        <w:t>.</w:t>
      </w:r>
    </w:p>
    <w:p w14:paraId="523C87B8" w14:textId="77777777" w:rsidR="00623D38" w:rsidRPr="002041DF" w:rsidRDefault="00623D38" w:rsidP="002041DF">
      <w:pPr>
        <w:pStyle w:val="Header"/>
        <w:widowControl w:val="0"/>
        <w:tabs>
          <w:tab w:val="left" w:pos="284"/>
        </w:tabs>
        <w:jc w:val="both"/>
        <w:rPr>
          <w:sz w:val="22"/>
          <w:szCs w:val="22"/>
          <w:lang w:val="sr-Latn-ME"/>
        </w:rPr>
      </w:pPr>
    </w:p>
    <w:p w14:paraId="772F8FA8" w14:textId="1275EE73" w:rsidR="00623D38" w:rsidRPr="002041DF" w:rsidRDefault="00623D38" w:rsidP="002041DF">
      <w:pPr>
        <w:pStyle w:val="Header"/>
        <w:widowControl w:val="0"/>
        <w:tabs>
          <w:tab w:val="left" w:pos="284"/>
        </w:tabs>
        <w:jc w:val="both"/>
        <w:rPr>
          <w:sz w:val="22"/>
          <w:szCs w:val="22"/>
          <w:lang w:val="sr-Latn-ME"/>
        </w:rPr>
      </w:pPr>
      <w:r w:rsidRPr="002041DF">
        <w:rPr>
          <w:sz w:val="22"/>
          <w:szCs w:val="22"/>
          <w:lang w:val="sr-Latn-ME"/>
        </w:rPr>
        <w:t>Apsolutna bioraspoloživost ustekinumaba nakon su</w:t>
      </w:r>
      <w:r w:rsidR="00345EB0" w:rsidRPr="002041DF">
        <w:rPr>
          <w:sz w:val="22"/>
          <w:szCs w:val="22"/>
          <w:lang w:val="sr-Latn-ME"/>
        </w:rPr>
        <w:t>p</w:t>
      </w:r>
      <w:r w:rsidRPr="002041DF">
        <w:rPr>
          <w:sz w:val="22"/>
          <w:szCs w:val="22"/>
          <w:lang w:val="sr-Latn-ME"/>
        </w:rPr>
        <w:t>kutane</w:t>
      </w:r>
      <w:r w:rsidR="00891C9B" w:rsidRPr="002041DF">
        <w:rPr>
          <w:sz w:val="22"/>
          <w:szCs w:val="22"/>
          <w:lang w:val="sr-Latn-ME"/>
        </w:rPr>
        <w:t xml:space="preserve"> primjene </w:t>
      </w:r>
      <w:r w:rsidRPr="002041DF">
        <w:rPr>
          <w:sz w:val="22"/>
          <w:szCs w:val="22"/>
          <w:lang w:val="sr-Latn-ME"/>
        </w:rPr>
        <w:t>jednokratne doze ustekinumaba proc</w:t>
      </w:r>
      <w:r w:rsidR="00FF5892" w:rsidRPr="002041DF">
        <w:rPr>
          <w:sz w:val="22"/>
          <w:szCs w:val="22"/>
          <w:lang w:val="sr-Latn-ME"/>
        </w:rPr>
        <w:t>ij</w:t>
      </w:r>
      <w:r w:rsidRPr="002041DF">
        <w:rPr>
          <w:sz w:val="22"/>
          <w:szCs w:val="22"/>
          <w:lang w:val="sr-Latn-ME"/>
        </w:rPr>
        <w:t>enjena je na 57,2% kod pacijenata sa psorijazom.</w:t>
      </w:r>
    </w:p>
    <w:p w14:paraId="76A71CDC" w14:textId="77777777" w:rsidR="00623D38" w:rsidRPr="002041DF" w:rsidRDefault="00623D38" w:rsidP="002041DF">
      <w:pPr>
        <w:pStyle w:val="Header"/>
        <w:widowControl w:val="0"/>
        <w:tabs>
          <w:tab w:val="left" w:pos="284"/>
        </w:tabs>
        <w:jc w:val="both"/>
        <w:rPr>
          <w:sz w:val="22"/>
          <w:szCs w:val="22"/>
          <w:lang w:val="sr-Latn-ME"/>
        </w:rPr>
      </w:pPr>
    </w:p>
    <w:p w14:paraId="040B1571" w14:textId="77777777" w:rsidR="00623D38" w:rsidRPr="002041DF" w:rsidRDefault="00623D38" w:rsidP="002041DF">
      <w:pPr>
        <w:pStyle w:val="Header"/>
        <w:widowControl w:val="0"/>
        <w:tabs>
          <w:tab w:val="left" w:pos="284"/>
        </w:tabs>
        <w:jc w:val="both"/>
        <w:rPr>
          <w:sz w:val="22"/>
          <w:szCs w:val="22"/>
          <w:lang w:val="sr-Latn-ME"/>
        </w:rPr>
      </w:pPr>
      <w:r w:rsidRPr="002041DF">
        <w:rPr>
          <w:sz w:val="22"/>
          <w:szCs w:val="22"/>
          <w:u w:val="single"/>
          <w:lang w:val="sr-Latn-ME"/>
        </w:rPr>
        <w:t>Distribucija</w:t>
      </w:r>
    </w:p>
    <w:p w14:paraId="75517B65" w14:textId="571630F1" w:rsidR="00894380" w:rsidRPr="002041DF" w:rsidRDefault="00A463C3" w:rsidP="002041DF">
      <w:pPr>
        <w:pStyle w:val="Header"/>
        <w:widowControl w:val="0"/>
        <w:tabs>
          <w:tab w:val="left" w:pos="284"/>
        </w:tabs>
        <w:jc w:val="both"/>
        <w:rPr>
          <w:sz w:val="22"/>
          <w:szCs w:val="22"/>
          <w:lang w:val="sr-Latn-ME"/>
        </w:rPr>
      </w:pPr>
      <w:r w:rsidRPr="002041DF">
        <w:rPr>
          <w:sz w:val="22"/>
          <w:szCs w:val="22"/>
          <w:lang w:val="sr-Latn-ME"/>
        </w:rPr>
        <w:t>Medijana</w:t>
      </w:r>
      <w:r w:rsidR="0038273D" w:rsidRPr="002041DF">
        <w:rPr>
          <w:sz w:val="22"/>
          <w:szCs w:val="22"/>
          <w:lang w:val="sr-Latn-ME"/>
        </w:rPr>
        <w:t xml:space="preserve"> vrijednost </w:t>
      </w:r>
      <w:r w:rsidR="00623D38" w:rsidRPr="002041DF">
        <w:rPr>
          <w:sz w:val="22"/>
          <w:szCs w:val="22"/>
          <w:lang w:val="sr-Latn-ME"/>
        </w:rPr>
        <w:t>volumena distribucije tokom terminalne faze (Vz), a nakon jednokratne intravenske prim</w:t>
      </w:r>
      <w:r w:rsidR="00FF5892" w:rsidRPr="002041DF">
        <w:rPr>
          <w:sz w:val="22"/>
          <w:szCs w:val="22"/>
          <w:lang w:val="sr-Latn-ME"/>
        </w:rPr>
        <w:t>j</w:t>
      </w:r>
      <w:r w:rsidR="00623D38" w:rsidRPr="002041DF">
        <w:rPr>
          <w:sz w:val="22"/>
          <w:szCs w:val="22"/>
          <w:lang w:val="sr-Latn-ME"/>
        </w:rPr>
        <w:t>ene</w:t>
      </w:r>
      <w:r w:rsidR="00A35D07" w:rsidRPr="002041DF">
        <w:rPr>
          <w:sz w:val="22"/>
          <w:szCs w:val="22"/>
          <w:lang w:val="sr-Latn-ME"/>
        </w:rPr>
        <w:t xml:space="preserve"> lijeka </w:t>
      </w:r>
      <w:r w:rsidR="00623D38" w:rsidRPr="002041DF">
        <w:rPr>
          <w:sz w:val="22"/>
          <w:szCs w:val="22"/>
          <w:lang w:val="sr-Latn-ME"/>
        </w:rPr>
        <w:t xml:space="preserve">kod pacijenata sa psorijazom, u opsegu je od 57 do 83 </w:t>
      </w:r>
      <w:r w:rsidR="00AA3CA9" w:rsidRPr="002041DF">
        <w:rPr>
          <w:sz w:val="22"/>
          <w:szCs w:val="22"/>
          <w:lang w:val="sr-Latn-ME"/>
        </w:rPr>
        <w:t>ml</w:t>
      </w:r>
      <w:r w:rsidR="00623D38" w:rsidRPr="002041DF">
        <w:rPr>
          <w:sz w:val="22"/>
          <w:szCs w:val="22"/>
          <w:lang w:val="sr-Latn-ME"/>
        </w:rPr>
        <w:t>/kg.</w:t>
      </w:r>
    </w:p>
    <w:p w14:paraId="4CD6F260" w14:textId="77777777" w:rsidR="00623D38" w:rsidRPr="002041DF" w:rsidRDefault="00623D38" w:rsidP="002041DF">
      <w:pPr>
        <w:pStyle w:val="Header"/>
        <w:widowControl w:val="0"/>
        <w:tabs>
          <w:tab w:val="left" w:pos="284"/>
        </w:tabs>
        <w:jc w:val="both"/>
        <w:rPr>
          <w:sz w:val="22"/>
          <w:szCs w:val="22"/>
          <w:lang w:val="sr-Latn-ME"/>
        </w:rPr>
      </w:pPr>
      <w:r w:rsidRPr="002041DF">
        <w:rPr>
          <w:sz w:val="22"/>
          <w:szCs w:val="22"/>
          <w:u w:val="single"/>
          <w:lang w:val="sr-Latn-ME"/>
        </w:rPr>
        <w:t>Biotransformacija</w:t>
      </w:r>
    </w:p>
    <w:p w14:paraId="6D1D18B3" w14:textId="77777777" w:rsidR="00623D38" w:rsidRPr="002041DF" w:rsidRDefault="00623D38" w:rsidP="002041DF">
      <w:pPr>
        <w:pStyle w:val="Header"/>
        <w:widowControl w:val="0"/>
        <w:tabs>
          <w:tab w:val="left" w:pos="284"/>
        </w:tabs>
        <w:jc w:val="both"/>
        <w:rPr>
          <w:sz w:val="22"/>
          <w:szCs w:val="22"/>
          <w:lang w:val="sr-Latn-ME"/>
        </w:rPr>
      </w:pPr>
      <w:r w:rsidRPr="002041DF">
        <w:rPr>
          <w:sz w:val="22"/>
          <w:szCs w:val="22"/>
          <w:lang w:val="sr-Latn-ME"/>
        </w:rPr>
        <w:t>Tačan metabolički put ustekinumaba nije poznat.</w:t>
      </w:r>
    </w:p>
    <w:p w14:paraId="10498457" w14:textId="77777777" w:rsidR="00623D38" w:rsidRPr="002041DF" w:rsidRDefault="00623D38" w:rsidP="002041DF">
      <w:pPr>
        <w:pStyle w:val="Header"/>
        <w:widowControl w:val="0"/>
        <w:tabs>
          <w:tab w:val="left" w:pos="284"/>
        </w:tabs>
        <w:jc w:val="both"/>
        <w:rPr>
          <w:sz w:val="22"/>
          <w:szCs w:val="22"/>
          <w:lang w:val="sr-Latn-ME"/>
        </w:rPr>
      </w:pPr>
    </w:p>
    <w:p w14:paraId="6F66B413" w14:textId="77777777" w:rsidR="00623D38" w:rsidRPr="002041DF" w:rsidRDefault="00623D38" w:rsidP="002041DF">
      <w:pPr>
        <w:pStyle w:val="Header"/>
        <w:widowControl w:val="0"/>
        <w:tabs>
          <w:tab w:val="left" w:pos="284"/>
        </w:tabs>
        <w:jc w:val="both"/>
        <w:rPr>
          <w:sz w:val="22"/>
          <w:szCs w:val="22"/>
          <w:lang w:val="sr-Latn-ME"/>
        </w:rPr>
      </w:pPr>
      <w:r w:rsidRPr="002041DF">
        <w:rPr>
          <w:sz w:val="22"/>
          <w:szCs w:val="22"/>
          <w:u w:val="single"/>
          <w:lang w:val="sr-Latn-ME"/>
        </w:rPr>
        <w:t>Eliminacija</w:t>
      </w:r>
    </w:p>
    <w:p w14:paraId="52173F20" w14:textId="52F532CB" w:rsidR="00623D38" w:rsidRPr="002041DF" w:rsidRDefault="00A463C3" w:rsidP="002041DF">
      <w:pPr>
        <w:pStyle w:val="Header"/>
        <w:widowControl w:val="0"/>
        <w:tabs>
          <w:tab w:val="left" w:pos="284"/>
        </w:tabs>
        <w:jc w:val="both"/>
        <w:rPr>
          <w:sz w:val="22"/>
          <w:szCs w:val="22"/>
          <w:lang w:val="sr-Latn-ME"/>
        </w:rPr>
      </w:pPr>
      <w:r w:rsidRPr="002041DF">
        <w:rPr>
          <w:sz w:val="22"/>
          <w:szCs w:val="22"/>
          <w:lang w:val="sr-Latn-ME"/>
        </w:rPr>
        <w:t>Medijana</w:t>
      </w:r>
      <w:r w:rsidR="0038273D" w:rsidRPr="002041DF">
        <w:rPr>
          <w:sz w:val="22"/>
          <w:szCs w:val="22"/>
          <w:lang w:val="sr-Latn-ME"/>
        </w:rPr>
        <w:t xml:space="preserve"> vrijednost </w:t>
      </w:r>
      <w:r w:rsidR="00623D38" w:rsidRPr="002041DF">
        <w:rPr>
          <w:sz w:val="22"/>
          <w:szCs w:val="22"/>
          <w:lang w:val="sr-Latn-ME"/>
        </w:rPr>
        <w:t>sistemskog klirensa (CL) nakon jednokratne intrave</w:t>
      </w:r>
      <w:r w:rsidR="00CA33FF" w:rsidRPr="002041DF">
        <w:rPr>
          <w:sz w:val="22"/>
          <w:szCs w:val="22"/>
          <w:lang w:val="sr-Latn-ME"/>
        </w:rPr>
        <w:t>n</w:t>
      </w:r>
      <w:r w:rsidR="00623D38" w:rsidRPr="002041DF">
        <w:rPr>
          <w:sz w:val="22"/>
          <w:szCs w:val="22"/>
          <w:lang w:val="sr-Latn-ME"/>
        </w:rPr>
        <w:t>ske prim</w:t>
      </w:r>
      <w:r w:rsidR="00CA33FF" w:rsidRPr="002041DF">
        <w:rPr>
          <w:sz w:val="22"/>
          <w:szCs w:val="22"/>
          <w:lang w:val="sr-Latn-ME"/>
        </w:rPr>
        <w:t>j</w:t>
      </w:r>
      <w:r w:rsidR="00623D38" w:rsidRPr="002041DF">
        <w:rPr>
          <w:sz w:val="22"/>
          <w:szCs w:val="22"/>
          <w:lang w:val="sr-Latn-ME"/>
        </w:rPr>
        <w:t>ene</w:t>
      </w:r>
      <w:r w:rsidR="00A35D07" w:rsidRPr="002041DF">
        <w:rPr>
          <w:sz w:val="22"/>
          <w:szCs w:val="22"/>
          <w:lang w:val="sr-Latn-ME"/>
        </w:rPr>
        <w:t xml:space="preserve"> lijeka </w:t>
      </w:r>
      <w:r w:rsidR="00623D38" w:rsidRPr="002041DF">
        <w:rPr>
          <w:sz w:val="22"/>
          <w:szCs w:val="22"/>
          <w:lang w:val="sr-Latn-ME"/>
        </w:rPr>
        <w:t xml:space="preserve">kod pacijenata sa psorijazom kretala se u opsegu od 1,99 do 2,34 </w:t>
      </w:r>
      <w:r w:rsidR="00AA3CA9" w:rsidRPr="002041DF">
        <w:rPr>
          <w:sz w:val="22"/>
          <w:szCs w:val="22"/>
          <w:lang w:val="sr-Latn-ME"/>
        </w:rPr>
        <w:t>ml</w:t>
      </w:r>
      <w:r w:rsidR="00623D38" w:rsidRPr="002041DF">
        <w:rPr>
          <w:sz w:val="22"/>
          <w:szCs w:val="22"/>
          <w:lang w:val="sr-Latn-ME"/>
        </w:rPr>
        <w:t xml:space="preserve">/dan/kg. </w:t>
      </w:r>
      <w:r w:rsidRPr="002041DF">
        <w:rPr>
          <w:sz w:val="22"/>
          <w:szCs w:val="22"/>
          <w:lang w:val="sr-Latn-ME"/>
        </w:rPr>
        <w:t>Medijana</w:t>
      </w:r>
      <w:r w:rsidR="0038273D" w:rsidRPr="002041DF">
        <w:rPr>
          <w:sz w:val="22"/>
          <w:szCs w:val="22"/>
          <w:lang w:val="sr-Latn-ME"/>
        </w:rPr>
        <w:t xml:space="preserve"> vrijednost </w:t>
      </w:r>
      <w:r w:rsidR="00623D38" w:rsidRPr="002041DF">
        <w:rPr>
          <w:sz w:val="22"/>
          <w:szCs w:val="22"/>
          <w:lang w:val="sr-Latn-ME"/>
        </w:rPr>
        <w:t>poluvremena eliminacije (t</w:t>
      </w:r>
      <w:r w:rsidR="00623D38" w:rsidRPr="002041DF">
        <w:rPr>
          <w:sz w:val="22"/>
          <w:szCs w:val="22"/>
          <w:vertAlign w:val="subscript"/>
          <w:lang w:val="sr-Latn-ME"/>
        </w:rPr>
        <w:t>1/2</w:t>
      </w:r>
      <w:r w:rsidR="00623D38" w:rsidRPr="002041DF">
        <w:rPr>
          <w:sz w:val="22"/>
          <w:szCs w:val="22"/>
          <w:lang w:val="sr-Latn-ME"/>
        </w:rPr>
        <w:t>) ustekinumaba iznosi</w:t>
      </w:r>
      <w:r w:rsidRPr="002041DF">
        <w:rPr>
          <w:sz w:val="22"/>
          <w:szCs w:val="22"/>
          <w:lang w:val="sr-Latn-ME"/>
        </w:rPr>
        <w:t>la je</w:t>
      </w:r>
      <w:r w:rsidR="00623D38" w:rsidRPr="002041DF">
        <w:rPr>
          <w:sz w:val="22"/>
          <w:szCs w:val="22"/>
          <w:lang w:val="sr-Latn-ME"/>
        </w:rPr>
        <w:t xml:space="preserve"> približno 3 </w:t>
      </w:r>
      <w:r w:rsidR="004372C4" w:rsidRPr="002041DF">
        <w:rPr>
          <w:sz w:val="22"/>
          <w:szCs w:val="22"/>
          <w:lang w:val="sr-Latn-ME"/>
        </w:rPr>
        <w:t>nedjelje</w:t>
      </w:r>
      <w:r w:rsidR="00623D38" w:rsidRPr="002041DF">
        <w:rPr>
          <w:sz w:val="22"/>
          <w:szCs w:val="22"/>
          <w:lang w:val="sr-Latn-ME"/>
        </w:rPr>
        <w:t xml:space="preserve"> kod pacijenata sa psorijazom</w:t>
      </w:r>
      <w:r w:rsidR="00F32341" w:rsidRPr="002041DF">
        <w:rPr>
          <w:sz w:val="22"/>
          <w:szCs w:val="22"/>
          <w:lang w:val="sr-Latn-ME"/>
        </w:rPr>
        <w:t xml:space="preserve">, </w:t>
      </w:r>
      <w:r w:rsidR="00D66231" w:rsidRPr="002041DF">
        <w:rPr>
          <w:sz w:val="22"/>
          <w:szCs w:val="22"/>
          <w:lang w:val="sr-Latn-ME"/>
        </w:rPr>
        <w:t>psorijatičnim artritisom,</w:t>
      </w:r>
      <w:r w:rsidR="00F32341" w:rsidRPr="002041DF">
        <w:rPr>
          <w:sz w:val="22"/>
          <w:szCs w:val="22"/>
          <w:lang w:val="sr-Latn-ME"/>
        </w:rPr>
        <w:t xml:space="preserve">  Kronovom bole</w:t>
      </w:r>
      <w:r w:rsidRPr="002041DF">
        <w:rPr>
          <w:sz w:val="22"/>
          <w:szCs w:val="22"/>
          <w:lang w:val="sr-Latn-ME"/>
        </w:rPr>
        <w:t>šću</w:t>
      </w:r>
      <w:r w:rsidR="004A396C" w:rsidRPr="002041DF">
        <w:rPr>
          <w:sz w:val="22"/>
          <w:szCs w:val="22"/>
          <w:lang w:val="sr-Latn-ME"/>
        </w:rPr>
        <w:t xml:space="preserve"> ili ulceroznim kolitisom</w:t>
      </w:r>
      <w:r w:rsidR="00F32341" w:rsidRPr="002041DF">
        <w:rPr>
          <w:sz w:val="22"/>
          <w:szCs w:val="22"/>
          <w:lang w:val="sr-Latn-ME"/>
        </w:rPr>
        <w:t xml:space="preserve"> </w:t>
      </w:r>
      <w:r w:rsidR="00623D38" w:rsidRPr="002041DF">
        <w:rPr>
          <w:sz w:val="22"/>
          <w:szCs w:val="22"/>
          <w:lang w:val="sr-Latn-ME"/>
        </w:rPr>
        <w:t>u opsegu od 15 do 32 dana tokom svih kliničkih ispitivanja terapije psorijaze</w:t>
      </w:r>
      <w:r w:rsidR="00F32341" w:rsidRPr="002041DF">
        <w:rPr>
          <w:sz w:val="22"/>
          <w:szCs w:val="22"/>
          <w:lang w:val="sr-Latn-ME"/>
        </w:rPr>
        <w:t xml:space="preserve"> i psorijatičnog artritisa</w:t>
      </w:r>
      <w:r w:rsidR="00623D38" w:rsidRPr="002041DF">
        <w:rPr>
          <w:sz w:val="22"/>
          <w:szCs w:val="22"/>
          <w:lang w:val="sr-Latn-ME"/>
        </w:rPr>
        <w:t>. U populacionoj farmakokinetičkoj analizi</w:t>
      </w:r>
      <w:r w:rsidR="0038273D" w:rsidRPr="002041DF">
        <w:rPr>
          <w:sz w:val="22"/>
          <w:szCs w:val="22"/>
          <w:lang w:val="sr-Latn-ME"/>
        </w:rPr>
        <w:t xml:space="preserve"> vrijednost </w:t>
      </w:r>
      <w:r w:rsidR="00F32341" w:rsidRPr="002041DF">
        <w:rPr>
          <w:sz w:val="22"/>
          <w:szCs w:val="22"/>
          <w:lang w:val="sr-Latn-ME"/>
        </w:rPr>
        <w:t>prividnog</w:t>
      </w:r>
      <w:r w:rsidR="00407AAC" w:rsidRPr="002041DF">
        <w:rPr>
          <w:sz w:val="22"/>
          <w:szCs w:val="22"/>
          <w:lang w:val="sr-Latn-ME"/>
        </w:rPr>
        <w:t xml:space="preserve"> </w:t>
      </w:r>
      <w:r w:rsidR="00623D38" w:rsidRPr="002041DF">
        <w:rPr>
          <w:sz w:val="22"/>
          <w:szCs w:val="22"/>
          <w:lang w:val="sr-Latn-ME"/>
        </w:rPr>
        <w:t xml:space="preserve">klirensa (CL/F) je 0,465 </w:t>
      </w:r>
      <w:r w:rsidRPr="002041DF">
        <w:rPr>
          <w:sz w:val="22"/>
          <w:szCs w:val="22"/>
          <w:lang w:val="sr-Latn-ME"/>
        </w:rPr>
        <w:t>L</w:t>
      </w:r>
      <w:r w:rsidR="00623D38" w:rsidRPr="002041DF">
        <w:rPr>
          <w:sz w:val="22"/>
          <w:szCs w:val="22"/>
          <w:lang w:val="sr-Latn-ME"/>
        </w:rPr>
        <w:t>/dan, a</w:t>
      </w:r>
      <w:r w:rsidR="0038273D" w:rsidRPr="002041DF">
        <w:rPr>
          <w:sz w:val="22"/>
          <w:szCs w:val="22"/>
          <w:lang w:val="sr-Latn-ME"/>
        </w:rPr>
        <w:t xml:space="preserve"> vrijednost </w:t>
      </w:r>
      <w:r w:rsidR="00F32341" w:rsidRPr="002041DF">
        <w:rPr>
          <w:sz w:val="22"/>
          <w:szCs w:val="22"/>
          <w:lang w:val="sr-Latn-ME"/>
        </w:rPr>
        <w:t xml:space="preserve">prividnog </w:t>
      </w:r>
      <w:r w:rsidR="00623D38" w:rsidRPr="002041DF">
        <w:rPr>
          <w:sz w:val="22"/>
          <w:szCs w:val="22"/>
          <w:lang w:val="sr-Latn-ME"/>
        </w:rPr>
        <w:t xml:space="preserve">volumena distribucije (V/F) 15,7 </w:t>
      </w:r>
      <w:r w:rsidR="006B6456" w:rsidRPr="002041DF">
        <w:rPr>
          <w:sz w:val="22"/>
          <w:szCs w:val="22"/>
          <w:lang w:val="sr-Latn-ME"/>
        </w:rPr>
        <w:t>L</w:t>
      </w:r>
      <w:r w:rsidR="00F32341" w:rsidRPr="002041DF">
        <w:rPr>
          <w:sz w:val="22"/>
          <w:szCs w:val="22"/>
          <w:lang w:val="sr-Latn-ME"/>
        </w:rPr>
        <w:t xml:space="preserve"> kod pacijenata sa psorijazom</w:t>
      </w:r>
      <w:r w:rsidR="00623D38" w:rsidRPr="002041DF">
        <w:rPr>
          <w:sz w:val="22"/>
          <w:szCs w:val="22"/>
          <w:lang w:val="sr-Latn-ME"/>
        </w:rPr>
        <w:t>.</w:t>
      </w:r>
      <w:r w:rsidR="0038273D" w:rsidRPr="002041DF">
        <w:rPr>
          <w:sz w:val="22"/>
          <w:szCs w:val="22"/>
          <w:lang w:val="sr-Latn-ME"/>
        </w:rPr>
        <w:t xml:space="preserve"> </w:t>
      </w:r>
      <w:r w:rsidR="00CA33FF" w:rsidRPr="002041DF">
        <w:rPr>
          <w:sz w:val="22"/>
          <w:szCs w:val="22"/>
          <w:lang w:val="sr-Latn-ME"/>
        </w:rPr>
        <w:t>V</w:t>
      </w:r>
      <w:r w:rsidR="0038273D" w:rsidRPr="002041DF">
        <w:rPr>
          <w:sz w:val="22"/>
          <w:szCs w:val="22"/>
          <w:lang w:val="sr-Latn-ME"/>
        </w:rPr>
        <w:t xml:space="preserve">rijednost </w:t>
      </w:r>
      <w:r w:rsidR="00623D38" w:rsidRPr="002041DF">
        <w:rPr>
          <w:sz w:val="22"/>
          <w:szCs w:val="22"/>
          <w:lang w:val="sr-Latn-ME"/>
        </w:rPr>
        <w:t xml:space="preserve">CL/F ustekinumaba nije uslovljena polom. Populaciona farmakokinetička analiza pokazala je trend većeg klirensa ustekinumaba kod pacijenata koji su bili pozitivni na </w:t>
      </w:r>
      <w:r w:rsidR="00C23E53" w:rsidRPr="002041DF">
        <w:rPr>
          <w:sz w:val="22"/>
          <w:szCs w:val="22"/>
          <w:lang w:val="sr-Latn-ME"/>
        </w:rPr>
        <w:t>antitijela</w:t>
      </w:r>
      <w:r w:rsidR="00623D38" w:rsidRPr="002041DF">
        <w:rPr>
          <w:sz w:val="22"/>
          <w:szCs w:val="22"/>
          <w:lang w:val="sr-Latn-ME"/>
        </w:rPr>
        <w:t xml:space="preserve"> prema ustekinumabu.</w:t>
      </w:r>
    </w:p>
    <w:p w14:paraId="60DDA323" w14:textId="77777777" w:rsidR="00623D38" w:rsidRPr="002041DF" w:rsidRDefault="00623D38" w:rsidP="002041DF">
      <w:pPr>
        <w:pStyle w:val="Header"/>
        <w:widowControl w:val="0"/>
        <w:tabs>
          <w:tab w:val="left" w:pos="284"/>
        </w:tabs>
        <w:jc w:val="both"/>
        <w:rPr>
          <w:sz w:val="22"/>
          <w:szCs w:val="22"/>
          <w:lang w:val="sr-Latn-ME"/>
        </w:rPr>
      </w:pPr>
    </w:p>
    <w:p w14:paraId="31C860DD" w14:textId="77777777" w:rsidR="00623D38" w:rsidRPr="002041DF" w:rsidRDefault="00623D38" w:rsidP="002041DF">
      <w:pPr>
        <w:pStyle w:val="Header"/>
        <w:widowControl w:val="0"/>
        <w:tabs>
          <w:tab w:val="left" w:pos="284"/>
        </w:tabs>
        <w:jc w:val="both"/>
        <w:rPr>
          <w:sz w:val="22"/>
          <w:szCs w:val="22"/>
          <w:lang w:val="sr-Latn-ME"/>
        </w:rPr>
      </w:pPr>
      <w:r w:rsidRPr="002041DF">
        <w:rPr>
          <w:sz w:val="22"/>
          <w:szCs w:val="22"/>
          <w:u w:val="single"/>
          <w:lang w:val="sr-Latn-ME"/>
        </w:rPr>
        <w:t>Linearnost doze</w:t>
      </w:r>
    </w:p>
    <w:p w14:paraId="6F38CE62" w14:textId="348342B8" w:rsidR="00623D38" w:rsidRPr="002041DF" w:rsidRDefault="00623D38" w:rsidP="002041DF">
      <w:pPr>
        <w:pStyle w:val="Header"/>
        <w:widowControl w:val="0"/>
        <w:tabs>
          <w:tab w:val="left" w:pos="284"/>
        </w:tabs>
        <w:jc w:val="both"/>
        <w:rPr>
          <w:sz w:val="22"/>
          <w:szCs w:val="22"/>
          <w:lang w:val="sr-Latn-ME"/>
        </w:rPr>
      </w:pPr>
      <w:r w:rsidRPr="002041DF">
        <w:rPr>
          <w:sz w:val="22"/>
          <w:szCs w:val="22"/>
          <w:lang w:val="sr-Latn-ME"/>
        </w:rPr>
        <w:t>Sistemska izloženost ustekinumabu (C</w:t>
      </w:r>
      <w:r w:rsidRPr="002041DF">
        <w:rPr>
          <w:sz w:val="22"/>
          <w:szCs w:val="22"/>
          <w:vertAlign w:val="subscript"/>
          <w:lang w:val="sr-Latn-ME"/>
        </w:rPr>
        <w:t>max</w:t>
      </w:r>
      <w:r w:rsidRPr="002041DF">
        <w:rPr>
          <w:sz w:val="22"/>
          <w:szCs w:val="22"/>
          <w:lang w:val="sr-Latn-ME"/>
        </w:rPr>
        <w:t xml:space="preserve"> i PIK) povećala se približno proporcionalno dozi nakon jednokratne intravenske</w:t>
      </w:r>
      <w:r w:rsidR="00891C9B" w:rsidRPr="002041DF">
        <w:rPr>
          <w:sz w:val="22"/>
          <w:szCs w:val="22"/>
          <w:lang w:val="sr-Latn-ME"/>
        </w:rPr>
        <w:t xml:space="preserve"> primjene </w:t>
      </w:r>
      <w:r w:rsidRPr="002041DF">
        <w:rPr>
          <w:sz w:val="22"/>
          <w:szCs w:val="22"/>
          <w:lang w:val="sr-Latn-ME"/>
        </w:rPr>
        <w:t>u opsegu od 0,09 mg/kg do 4,5 mg/kg, odnosno nakon jednokratne su</w:t>
      </w:r>
      <w:r w:rsidR="00345EB0" w:rsidRPr="002041DF">
        <w:rPr>
          <w:sz w:val="22"/>
          <w:szCs w:val="22"/>
          <w:lang w:val="sr-Latn-ME"/>
        </w:rPr>
        <w:t>p</w:t>
      </w:r>
      <w:r w:rsidRPr="002041DF">
        <w:rPr>
          <w:sz w:val="22"/>
          <w:szCs w:val="22"/>
          <w:lang w:val="sr-Latn-ME"/>
        </w:rPr>
        <w:t>kutane</w:t>
      </w:r>
      <w:r w:rsidR="00891C9B" w:rsidRPr="002041DF">
        <w:rPr>
          <w:sz w:val="22"/>
          <w:szCs w:val="22"/>
          <w:lang w:val="sr-Latn-ME"/>
        </w:rPr>
        <w:t xml:space="preserve"> primjene </w:t>
      </w:r>
      <w:r w:rsidRPr="002041DF">
        <w:rPr>
          <w:sz w:val="22"/>
          <w:szCs w:val="22"/>
          <w:lang w:val="sr-Latn-ME"/>
        </w:rPr>
        <w:t>u opsegu od 24 mg do 240 mg kod pacijenata sa psorijazom.</w:t>
      </w:r>
    </w:p>
    <w:p w14:paraId="7152661B" w14:textId="77777777" w:rsidR="00623D38" w:rsidRPr="002041DF" w:rsidRDefault="00623D38" w:rsidP="002041DF">
      <w:pPr>
        <w:pStyle w:val="Header"/>
        <w:widowControl w:val="0"/>
        <w:tabs>
          <w:tab w:val="left" w:pos="284"/>
        </w:tabs>
        <w:jc w:val="both"/>
        <w:rPr>
          <w:sz w:val="22"/>
          <w:szCs w:val="22"/>
          <w:lang w:val="sr-Latn-ME"/>
        </w:rPr>
      </w:pPr>
    </w:p>
    <w:p w14:paraId="01241837" w14:textId="2C1B1D4D" w:rsidR="00623D38" w:rsidRPr="002041DF" w:rsidRDefault="00623D38" w:rsidP="002041DF">
      <w:pPr>
        <w:pStyle w:val="Header"/>
        <w:widowControl w:val="0"/>
        <w:tabs>
          <w:tab w:val="left" w:pos="284"/>
        </w:tabs>
        <w:jc w:val="both"/>
        <w:rPr>
          <w:sz w:val="22"/>
          <w:szCs w:val="22"/>
          <w:lang w:val="sr-Latn-ME"/>
        </w:rPr>
      </w:pPr>
      <w:r w:rsidRPr="002041DF">
        <w:rPr>
          <w:sz w:val="22"/>
          <w:szCs w:val="22"/>
          <w:u w:val="single"/>
          <w:lang w:val="sr-Latn-ME"/>
        </w:rPr>
        <w:t xml:space="preserve">Pojedinačna doza </w:t>
      </w:r>
      <w:r w:rsidR="00527AC8" w:rsidRPr="002041DF">
        <w:rPr>
          <w:sz w:val="22"/>
          <w:szCs w:val="22"/>
          <w:u w:val="single"/>
          <w:lang w:val="sr-Latn-ME"/>
        </w:rPr>
        <w:t xml:space="preserve">naspram </w:t>
      </w:r>
      <w:r w:rsidRPr="002041DF">
        <w:rPr>
          <w:sz w:val="22"/>
          <w:szCs w:val="22"/>
          <w:u w:val="single"/>
          <w:lang w:val="sr-Latn-ME"/>
        </w:rPr>
        <w:t>više</w:t>
      </w:r>
      <w:r w:rsidR="00527AC8" w:rsidRPr="002041DF">
        <w:rPr>
          <w:sz w:val="22"/>
          <w:szCs w:val="22"/>
          <w:u w:val="single"/>
          <w:lang w:val="sr-Latn-ME"/>
        </w:rPr>
        <w:t>strukih</w:t>
      </w:r>
      <w:r w:rsidRPr="002041DF">
        <w:rPr>
          <w:sz w:val="22"/>
          <w:szCs w:val="22"/>
          <w:u w:val="single"/>
          <w:lang w:val="sr-Latn-ME"/>
        </w:rPr>
        <w:t xml:space="preserve"> doza</w:t>
      </w:r>
    </w:p>
    <w:p w14:paraId="60C1B9F0" w14:textId="6516686C" w:rsidR="00623D38" w:rsidRPr="002041DF" w:rsidRDefault="00623D38" w:rsidP="002041DF">
      <w:pPr>
        <w:pStyle w:val="Header"/>
        <w:widowControl w:val="0"/>
        <w:tabs>
          <w:tab w:val="left" w:pos="284"/>
        </w:tabs>
        <w:jc w:val="both"/>
        <w:rPr>
          <w:sz w:val="22"/>
          <w:szCs w:val="22"/>
          <w:lang w:val="sr-Latn-ME"/>
        </w:rPr>
      </w:pPr>
      <w:r w:rsidRPr="002041DF">
        <w:rPr>
          <w:sz w:val="22"/>
          <w:szCs w:val="22"/>
          <w:lang w:val="sr-Latn-ME"/>
        </w:rPr>
        <w:t xml:space="preserve">Profil koncentracija </w:t>
      </w:r>
      <w:r w:rsidR="001433F9" w:rsidRPr="002041DF">
        <w:rPr>
          <w:sz w:val="22"/>
          <w:szCs w:val="22"/>
          <w:lang w:val="sr-Latn-ME"/>
        </w:rPr>
        <w:t>-</w:t>
      </w:r>
      <w:r w:rsidR="004372C4" w:rsidRPr="002041DF">
        <w:rPr>
          <w:sz w:val="22"/>
          <w:szCs w:val="22"/>
          <w:lang w:val="sr-Latn-ME"/>
        </w:rPr>
        <w:t xml:space="preserve"> vrijeme </w:t>
      </w:r>
      <w:r w:rsidRPr="002041DF">
        <w:rPr>
          <w:sz w:val="22"/>
          <w:szCs w:val="22"/>
          <w:lang w:val="sr-Latn-ME"/>
        </w:rPr>
        <w:t>ustekinumaba u serumu je bio očekivan nakon su</w:t>
      </w:r>
      <w:r w:rsidR="001433F9" w:rsidRPr="002041DF">
        <w:rPr>
          <w:sz w:val="22"/>
          <w:szCs w:val="22"/>
          <w:lang w:val="sr-Latn-ME"/>
        </w:rPr>
        <w:t>p</w:t>
      </w:r>
      <w:r w:rsidRPr="002041DF">
        <w:rPr>
          <w:sz w:val="22"/>
          <w:szCs w:val="22"/>
          <w:lang w:val="sr-Latn-ME"/>
        </w:rPr>
        <w:t>kutan</w:t>
      </w:r>
      <w:r w:rsidR="001433F9" w:rsidRPr="002041DF">
        <w:rPr>
          <w:sz w:val="22"/>
          <w:szCs w:val="22"/>
          <w:lang w:val="sr-Latn-ME"/>
        </w:rPr>
        <w:t>o</w:t>
      </w:r>
      <w:r w:rsidRPr="002041DF">
        <w:rPr>
          <w:sz w:val="22"/>
          <w:szCs w:val="22"/>
          <w:lang w:val="sr-Latn-ME"/>
        </w:rPr>
        <w:t xml:space="preserve"> prim</w:t>
      </w:r>
      <w:r w:rsidR="00CA33FF" w:rsidRPr="002041DF">
        <w:rPr>
          <w:sz w:val="22"/>
          <w:szCs w:val="22"/>
          <w:lang w:val="sr-Latn-ME"/>
        </w:rPr>
        <w:t>ij</w:t>
      </w:r>
      <w:r w:rsidRPr="002041DF">
        <w:rPr>
          <w:sz w:val="22"/>
          <w:szCs w:val="22"/>
          <w:lang w:val="sr-Latn-ME"/>
        </w:rPr>
        <w:t>en</w:t>
      </w:r>
      <w:r w:rsidR="001433F9" w:rsidRPr="002041DF">
        <w:rPr>
          <w:sz w:val="22"/>
          <w:szCs w:val="22"/>
          <w:lang w:val="sr-Latn-ME"/>
        </w:rPr>
        <w:t>jene</w:t>
      </w:r>
      <w:r w:rsidRPr="002041DF">
        <w:rPr>
          <w:sz w:val="22"/>
          <w:szCs w:val="22"/>
          <w:lang w:val="sr-Latn-ME"/>
        </w:rPr>
        <w:t xml:space="preserve"> pojedinačne </w:t>
      </w:r>
      <w:r w:rsidR="001433F9" w:rsidRPr="002041DF">
        <w:rPr>
          <w:sz w:val="22"/>
          <w:szCs w:val="22"/>
          <w:lang w:val="sr-Latn-ME"/>
        </w:rPr>
        <w:t xml:space="preserve">doze </w:t>
      </w:r>
      <w:r w:rsidRPr="002041DF">
        <w:rPr>
          <w:sz w:val="22"/>
          <w:szCs w:val="22"/>
          <w:lang w:val="sr-Latn-ME"/>
        </w:rPr>
        <w:t xml:space="preserve">ili multiplih doza. </w:t>
      </w:r>
      <w:r w:rsidR="00F90E35" w:rsidRPr="002041DF">
        <w:rPr>
          <w:sz w:val="22"/>
          <w:szCs w:val="22"/>
          <w:lang w:val="sr-Latn-ME"/>
        </w:rPr>
        <w:t>Kod pacijenata sa psorijazom, s</w:t>
      </w:r>
      <w:r w:rsidRPr="002041DF">
        <w:rPr>
          <w:sz w:val="22"/>
          <w:szCs w:val="22"/>
          <w:lang w:val="sr-Latn-ME"/>
        </w:rPr>
        <w:t>tanje ravnoteže koncentracije ustekinumaba</w:t>
      </w:r>
      <w:r w:rsidR="00C868B4" w:rsidRPr="002041DF">
        <w:rPr>
          <w:sz w:val="22"/>
          <w:szCs w:val="22"/>
          <w:lang w:val="sr-Latn-ME"/>
        </w:rPr>
        <w:t xml:space="preserve"> u serumu</w:t>
      </w:r>
      <w:r w:rsidRPr="002041DF">
        <w:rPr>
          <w:sz w:val="22"/>
          <w:szCs w:val="22"/>
          <w:lang w:val="sr-Latn-ME"/>
        </w:rPr>
        <w:t xml:space="preserve"> postignuto je do 28. </w:t>
      </w:r>
      <w:r w:rsidR="004372C4" w:rsidRPr="002041DF">
        <w:rPr>
          <w:sz w:val="22"/>
          <w:szCs w:val="22"/>
          <w:lang w:val="sr-Latn-ME"/>
        </w:rPr>
        <w:t>nedjelje</w:t>
      </w:r>
      <w:r w:rsidRPr="002041DF">
        <w:rPr>
          <w:sz w:val="22"/>
          <w:szCs w:val="22"/>
          <w:lang w:val="sr-Latn-ME"/>
        </w:rPr>
        <w:t xml:space="preserve"> nakon inicijalne</w:t>
      </w:r>
      <w:r w:rsidR="00891C9B" w:rsidRPr="002041DF">
        <w:rPr>
          <w:sz w:val="22"/>
          <w:szCs w:val="22"/>
          <w:lang w:val="sr-Latn-ME"/>
        </w:rPr>
        <w:t xml:space="preserve"> primjene </w:t>
      </w:r>
      <w:r w:rsidRPr="002041DF">
        <w:rPr>
          <w:sz w:val="22"/>
          <w:szCs w:val="22"/>
          <w:lang w:val="sr-Latn-ME"/>
        </w:rPr>
        <w:t>su</w:t>
      </w:r>
      <w:r w:rsidR="00F90E35" w:rsidRPr="002041DF">
        <w:rPr>
          <w:sz w:val="22"/>
          <w:szCs w:val="22"/>
          <w:lang w:val="sr-Latn-ME"/>
        </w:rPr>
        <w:t>p</w:t>
      </w:r>
      <w:r w:rsidRPr="002041DF">
        <w:rPr>
          <w:sz w:val="22"/>
          <w:szCs w:val="22"/>
          <w:lang w:val="sr-Latn-ME"/>
        </w:rPr>
        <w:t xml:space="preserve">kutane doze u nultoj i 4. </w:t>
      </w:r>
      <w:r w:rsidR="004372C4" w:rsidRPr="002041DF">
        <w:rPr>
          <w:sz w:val="22"/>
          <w:szCs w:val="22"/>
          <w:lang w:val="sr-Latn-ME"/>
        </w:rPr>
        <w:t>nedjelji</w:t>
      </w:r>
      <w:r w:rsidRPr="002041DF">
        <w:rPr>
          <w:sz w:val="22"/>
          <w:szCs w:val="22"/>
          <w:lang w:val="sr-Latn-ME"/>
        </w:rPr>
        <w:t>, praćene ponovnim dozama svaki</w:t>
      </w:r>
      <w:r w:rsidR="00F90E35" w:rsidRPr="002041DF">
        <w:rPr>
          <w:sz w:val="22"/>
          <w:szCs w:val="22"/>
          <w:lang w:val="sr-Latn-ME"/>
        </w:rPr>
        <w:t>h</w:t>
      </w:r>
      <w:r w:rsidRPr="002041DF">
        <w:rPr>
          <w:sz w:val="22"/>
          <w:szCs w:val="22"/>
          <w:lang w:val="sr-Latn-ME"/>
        </w:rPr>
        <w:t xml:space="preserve"> 12 </w:t>
      </w:r>
      <w:r w:rsidR="004372C4" w:rsidRPr="002041DF">
        <w:rPr>
          <w:sz w:val="22"/>
          <w:szCs w:val="22"/>
          <w:lang w:val="sr-Latn-ME"/>
        </w:rPr>
        <w:t>nedjelja</w:t>
      </w:r>
      <w:r w:rsidRPr="002041DF">
        <w:rPr>
          <w:sz w:val="22"/>
          <w:szCs w:val="22"/>
          <w:lang w:val="sr-Latn-ME"/>
        </w:rPr>
        <w:t>. Srednja</w:t>
      </w:r>
      <w:r w:rsidR="0038273D" w:rsidRPr="002041DF">
        <w:rPr>
          <w:sz w:val="22"/>
          <w:szCs w:val="22"/>
          <w:lang w:val="sr-Latn-ME"/>
        </w:rPr>
        <w:t xml:space="preserve"> vrijednost </w:t>
      </w:r>
      <w:r w:rsidRPr="002041DF">
        <w:rPr>
          <w:sz w:val="22"/>
          <w:szCs w:val="22"/>
          <w:lang w:val="sr-Latn-ME"/>
        </w:rPr>
        <w:t xml:space="preserve">stanja ravnoteže prema koncentraciji su u opsegu od 0,21 </w:t>
      </w:r>
      <w:r w:rsidR="00A95B8A" w:rsidRPr="002041DF">
        <w:rPr>
          <w:sz w:val="22"/>
          <w:szCs w:val="22"/>
          <w:lang w:val="sr-Latn-ME"/>
        </w:rPr>
        <w:t>mikrograma</w:t>
      </w:r>
      <w:r w:rsidRPr="002041DF">
        <w:rPr>
          <w:sz w:val="22"/>
          <w:szCs w:val="22"/>
          <w:lang w:val="sr-Latn-ME"/>
        </w:rPr>
        <w:t>/</w:t>
      </w:r>
      <w:r w:rsidR="00AA3CA9" w:rsidRPr="002041DF">
        <w:rPr>
          <w:sz w:val="22"/>
          <w:szCs w:val="22"/>
          <w:lang w:val="sr-Latn-ME"/>
        </w:rPr>
        <w:t>ml</w:t>
      </w:r>
      <w:r w:rsidRPr="002041DF">
        <w:rPr>
          <w:sz w:val="22"/>
          <w:szCs w:val="22"/>
          <w:lang w:val="sr-Latn-ME"/>
        </w:rPr>
        <w:t xml:space="preserve"> do 0,26 </w:t>
      </w:r>
      <w:r w:rsidR="00A95B8A" w:rsidRPr="002041DF">
        <w:rPr>
          <w:sz w:val="22"/>
          <w:szCs w:val="22"/>
          <w:lang w:val="sr-Latn-ME"/>
        </w:rPr>
        <w:t>mikrograma/</w:t>
      </w:r>
      <w:r w:rsidR="00AA3CA9" w:rsidRPr="002041DF">
        <w:rPr>
          <w:sz w:val="22"/>
          <w:szCs w:val="22"/>
          <w:lang w:val="sr-Latn-ME"/>
        </w:rPr>
        <w:t>ml</w:t>
      </w:r>
      <w:r w:rsidR="00A95B8A" w:rsidRPr="002041DF">
        <w:rPr>
          <w:sz w:val="22"/>
          <w:szCs w:val="22"/>
          <w:lang w:val="sr-Latn-ME"/>
        </w:rPr>
        <w:t xml:space="preserve"> </w:t>
      </w:r>
      <w:r w:rsidRPr="002041DF">
        <w:rPr>
          <w:sz w:val="22"/>
          <w:szCs w:val="22"/>
          <w:lang w:val="sr-Latn-ME"/>
        </w:rPr>
        <w:t xml:space="preserve">(45 mg) i od 0,47 </w:t>
      </w:r>
      <w:r w:rsidR="00A95B8A" w:rsidRPr="002041DF">
        <w:rPr>
          <w:sz w:val="22"/>
          <w:szCs w:val="22"/>
          <w:lang w:val="sr-Latn-ME"/>
        </w:rPr>
        <w:t>mikrograma/</w:t>
      </w:r>
      <w:r w:rsidR="00AA3CA9" w:rsidRPr="002041DF">
        <w:rPr>
          <w:sz w:val="22"/>
          <w:szCs w:val="22"/>
          <w:lang w:val="sr-Latn-ME"/>
        </w:rPr>
        <w:t>ml</w:t>
      </w:r>
      <w:r w:rsidRPr="002041DF">
        <w:rPr>
          <w:sz w:val="22"/>
          <w:szCs w:val="22"/>
          <w:lang w:val="sr-Latn-ME"/>
        </w:rPr>
        <w:t xml:space="preserve"> do 0,49 </w:t>
      </w:r>
      <w:r w:rsidR="00A95B8A" w:rsidRPr="002041DF">
        <w:rPr>
          <w:sz w:val="22"/>
          <w:szCs w:val="22"/>
          <w:lang w:val="sr-Latn-ME"/>
        </w:rPr>
        <w:t>mikrograma/</w:t>
      </w:r>
      <w:r w:rsidR="00AA3CA9" w:rsidRPr="002041DF">
        <w:rPr>
          <w:sz w:val="22"/>
          <w:szCs w:val="22"/>
          <w:lang w:val="sr-Latn-ME"/>
        </w:rPr>
        <w:t>ml</w:t>
      </w:r>
      <w:r w:rsidR="00A95B8A" w:rsidRPr="002041DF">
        <w:rPr>
          <w:sz w:val="22"/>
          <w:szCs w:val="22"/>
          <w:lang w:val="sr-Latn-ME"/>
        </w:rPr>
        <w:t xml:space="preserve"> </w:t>
      </w:r>
      <w:r w:rsidRPr="002041DF">
        <w:rPr>
          <w:sz w:val="22"/>
          <w:szCs w:val="22"/>
          <w:lang w:val="sr-Latn-ME"/>
        </w:rPr>
        <w:t>(90 mg)</w:t>
      </w:r>
      <w:r w:rsidR="00D66231" w:rsidRPr="002041DF">
        <w:rPr>
          <w:sz w:val="22"/>
          <w:szCs w:val="22"/>
          <w:lang w:val="sr-Latn-ME"/>
        </w:rPr>
        <w:t xml:space="preserve"> kod pacijenata sa psorijazom</w:t>
      </w:r>
      <w:r w:rsidRPr="002041DF">
        <w:rPr>
          <w:sz w:val="22"/>
          <w:szCs w:val="22"/>
          <w:lang w:val="sr-Latn-ME"/>
        </w:rPr>
        <w:t xml:space="preserve">. Nije </w:t>
      </w:r>
      <w:r w:rsidR="00891C9B" w:rsidRPr="002041DF">
        <w:rPr>
          <w:sz w:val="22"/>
          <w:szCs w:val="22"/>
          <w:lang w:val="sr-Latn-ME"/>
        </w:rPr>
        <w:t>zabilježen</w:t>
      </w:r>
      <w:r w:rsidRPr="002041DF">
        <w:rPr>
          <w:sz w:val="22"/>
          <w:szCs w:val="22"/>
          <w:lang w:val="sr-Latn-ME"/>
        </w:rPr>
        <w:t>a jasna akumulacija koncentracije ustekinumaba u serumu tokom vremena kada je prim</w:t>
      </w:r>
      <w:r w:rsidR="00CA33FF" w:rsidRPr="002041DF">
        <w:rPr>
          <w:sz w:val="22"/>
          <w:szCs w:val="22"/>
          <w:lang w:val="sr-Latn-ME"/>
        </w:rPr>
        <w:t>j</w:t>
      </w:r>
      <w:r w:rsidRPr="002041DF">
        <w:rPr>
          <w:sz w:val="22"/>
          <w:szCs w:val="22"/>
          <w:lang w:val="sr-Latn-ME"/>
        </w:rPr>
        <w:t>enjivan su</w:t>
      </w:r>
      <w:r w:rsidR="00345EB0" w:rsidRPr="002041DF">
        <w:rPr>
          <w:sz w:val="22"/>
          <w:szCs w:val="22"/>
          <w:lang w:val="sr-Latn-ME"/>
        </w:rPr>
        <w:t>p</w:t>
      </w:r>
      <w:r w:rsidRPr="002041DF">
        <w:rPr>
          <w:sz w:val="22"/>
          <w:szCs w:val="22"/>
          <w:lang w:val="sr-Latn-ME"/>
        </w:rPr>
        <w:t xml:space="preserve">kutano svakih 12 </w:t>
      </w:r>
      <w:r w:rsidR="004372C4" w:rsidRPr="002041DF">
        <w:rPr>
          <w:sz w:val="22"/>
          <w:szCs w:val="22"/>
          <w:lang w:val="sr-Latn-ME"/>
        </w:rPr>
        <w:t>nedjelja</w:t>
      </w:r>
      <w:r w:rsidRPr="002041DF">
        <w:rPr>
          <w:sz w:val="22"/>
          <w:szCs w:val="22"/>
          <w:lang w:val="sr-Latn-ME"/>
        </w:rPr>
        <w:t>.</w:t>
      </w:r>
    </w:p>
    <w:p w14:paraId="030722BB" w14:textId="77777777" w:rsidR="00EF3C15" w:rsidRPr="002041DF" w:rsidRDefault="00EF3C15" w:rsidP="002041DF">
      <w:pPr>
        <w:pStyle w:val="Header"/>
        <w:widowControl w:val="0"/>
        <w:jc w:val="both"/>
        <w:rPr>
          <w:sz w:val="22"/>
          <w:szCs w:val="22"/>
          <w:lang w:val="sr-Latn-ME"/>
        </w:rPr>
      </w:pPr>
    </w:p>
    <w:p w14:paraId="43CC0626" w14:textId="4F0EFF60" w:rsidR="00623D38" w:rsidRPr="002041DF" w:rsidRDefault="00F90E35" w:rsidP="002041DF">
      <w:pPr>
        <w:pStyle w:val="Header"/>
        <w:widowControl w:val="0"/>
        <w:jc w:val="both"/>
        <w:rPr>
          <w:sz w:val="22"/>
          <w:szCs w:val="22"/>
          <w:lang w:val="sr-Latn-ME"/>
        </w:rPr>
      </w:pPr>
      <w:r w:rsidRPr="002041DF">
        <w:rPr>
          <w:sz w:val="22"/>
          <w:szCs w:val="22"/>
          <w:lang w:val="sr-Latn-ME"/>
        </w:rPr>
        <w:t>Kod pacijenata sa Kronovom bole</w:t>
      </w:r>
      <w:r w:rsidR="00A95B8A" w:rsidRPr="002041DF">
        <w:rPr>
          <w:sz w:val="22"/>
          <w:szCs w:val="22"/>
          <w:lang w:val="sr-Latn-ME"/>
        </w:rPr>
        <w:t>šču</w:t>
      </w:r>
      <w:r w:rsidR="004A396C" w:rsidRPr="002041DF">
        <w:rPr>
          <w:sz w:val="22"/>
          <w:szCs w:val="22"/>
          <w:lang w:val="sr-Latn-ME"/>
        </w:rPr>
        <w:t xml:space="preserve"> i ulceroznim kolitisom</w:t>
      </w:r>
      <w:r w:rsidRPr="002041DF">
        <w:rPr>
          <w:sz w:val="22"/>
          <w:szCs w:val="22"/>
          <w:lang w:val="sr-Latn-ME"/>
        </w:rPr>
        <w:t xml:space="preserve">, nakon intravenske doze od ~6 mg/kg, koja je započeta u 8. </w:t>
      </w:r>
      <w:r w:rsidR="004372C4" w:rsidRPr="002041DF">
        <w:rPr>
          <w:sz w:val="22"/>
          <w:szCs w:val="22"/>
          <w:lang w:val="sr-Latn-ME"/>
        </w:rPr>
        <w:t>nedjelji</w:t>
      </w:r>
      <w:r w:rsidRPr="002041DF">
        <w:rPr>
          <w:sz w:val="22"/>
          <w:szCs w:val="22"/>
          <w:lang w:val="sr-Latn-ME"/>
        </w:rPr>
        <w:t>, supkutana doza održavanja od 90 mg ustekinumaba bila je prim</w:t>
      </w:r>
      <w:r w:rsidR="00CA33FF" w:rsidRPr="002041DF">
        <w:rPr>
          <w:sz w:val="22"/>
          <w:szCs w:val="22"/>
          <w:lang w:val="sr-Latn-ME"/>
        </w:rPr>
        <w:t>ij</w:t>
      </w:r>
      <w:r w:rsidRPr="002041DF">
        <w:rPr>
          <w:sz w:val="22"/>
          <w:szCs w:val="22"/>
          <w:lang w:val="sr-Latn-ME"/>
        </w:rPr>
        <w:t xml:space="preserve">enjena svakih 8 ili 12 </w:t>
      </w:r>
      <w:r w:rsidR="004372C4" w:rsidRPr="002041DF">
        <w:rPr>
          <w:sz w:val="22"/>
          <w:szCs w:val="22"/>
          <w:lang w:val="sr-Latn-ME"/>
        </w:rPr>
        <w:t>nedjelja</w:t>
      </w:r>
      <w:r w:rsidRPr="002041DF">
        <w:rPr>
          <w:sz w:val="22"/>
          <w:szCs w:val="22"/>
          <w:lang w:val="sr-Latn-ME"/>
        </w:rPr>
        <w:t xml:space="preserve">. Koncentracija ustekinumaba u stanju dinamičke ravnoteže bila je postignuta do početka druge doze održavanja. </w:t>
      </w:r>
      <w:r w:rsidR="004A396C" w:rsidRPr="002041DF">
        <w:rPr>
          <w:sz w:val="22"/>
          <w:szCs w:val="22"/>
          <w:lang w:val="sr-Latn-ME"/>
        </w:rPr>
        <w:t xml:space="preserve">Kod pacijenata sa Kronovom bolesti medijana </w:t>
      </w:r>
      <w:r w:rsidRPr="002041DF">
        <w:rPr>
          <w:sz w:val="22"/>
          <w:szCs w:val="22"/>
          <w:lang w:val="sr-Latn-ME"/>
        </w:rPr>
        <w:t>naj</w:t>
      </w:r>
      <w:r w:rsidR="00062625" w:rsidRPr="002041DF">
        <w:rPr>
          <w:sz w:val="22"/>
          <w:szCs w:val="22"/>
          <w:lang w:val="sr-Latn-ME"/>
        </w:rPr>
        <w:t>manjih</w:t>
      </w:r>
      <w:r w:rsidRPr="002041DF">
        <w:rPr>
          <w:sz w:val="22"/>
          <w:szCs w:val="22"/>
          <w:lang w:val="sr-Latn-ME"/>
        </w:rPr>
        <w:t xml:space="preserve"> koncentracija u stanju dinamičke ravnoteže bio je u rasponu od 1,97 </w:t>
      </w:r>
      <w:r w:rsidR="00A95B8A" w:rsidRPr="002041DF">
        <w:rPr>
          <w:sz w:val="22"/>
          <w:szCs w:val="22"/>
          <w:lang w:val="sr-Latn-ME"/>
        </w:rPr>
        <w:t>mikrograma</w:t>
      </w:r>
      <w:r w:rsidRPr="002041DF">
        <w:rPr>
          <w:sz w:val="22"/>
          <w:szCs w:val="22"/>
          <w:lang w:val="sr-Latn-ME"/>
        </w:rPr>
        <w:t>/</w:t>
      </w:r>
      <w:r w:rsidR="00AA3CA9" w:rsidRPr="002041DF">
        <w:rPr>
          <w:sz w:val="22"/>
          <w:szCs w:val="22"/>
          <w:lang w:val="sr-Latn-ME"/>
        </w:rPr>
        <w:t>ml</w:t>
      </w:r>
      <w:r w:rsidRPr="002041DF">
        <w:rPr>
          <w:sz w:val="22"/>
          <w:szCs w:val="22"/>
          <w:lang w:val="sr-Latn-ME"/>
        </w:rPr>
        <w:t xml:space="preserve"> do 2,24 </w:t>
      </w:r>
      <w:r w:rsidR="00A95B8A" w:rsidRPr="002041DF">
        <w:rPr>
          <w:sz w:val="22"/>
          <w:szCs w:val="22"/>
          <w:lang w:val="sr-Latn-ME"/>
        </w:rPr>
        <w:t>mikrograma</w:t>
      </w:r>
      <w:r w:rsidRPr="002041DF">
        <w:rPr>
          <w:sz w:val="22"/>
          <w:szCs w:val="22"/>
          <w:lang w:val="sr-Latn-ME"/>
        </w:rPr>
        <w:t>/</w:t>
      </w:r>
      <w:r w:rsidR="00AA3CA9" w:rsidRPr="002041DF">
        <w:rPr>
          <w:sz w:val="22"/>
          <w:szCs w:val="22"/>
          <w:lang w:val="sr-Latn-ME"/>
        </w:rPr>
        <w:t>ml</w:t>
      </w:r>
      <w:r w:rsidRPr="002041DF">
        <w:rPr>
          <w:sz w:val="22"/>
          <w:szCs w:val="22"/>
          <w:lang w:val="sr-Latn-ME"/>
        </w:rPr>
        <w:t xml:space="preserve"> i od 0,61 </w:t>
      </w:r>
      <w:r w:rsidR="00A95B8A" w:rsidRPr="002041DF">
        <w:rPr>
          <w:sz w:val="22"/>
          <w:szCs w:val="22"/>
          <w:lang w:val="sr-Latn-ME"/>
        </w:rPr>
        <w:t>mikrograma</w:t>
      </w:r>
      <w:r w:rsidRPr="002041DF">
        <w:rPr>
          <w:sz w:val="22"/>
          <w:szCs w:val="22"/>
          <w:lang w:val="sr-Latn-ME"/>
        </w:rPr>
        <w:t>/</w:t>
      </w:r>
      <w:r w:rsidR="00AA3CA9" w:rsidRPr="002041DF">
        <w:rPr>
          <w:sz w:val="22"/>
          <w:szCs w:val="22"/>
          <w:lang w:val="sr-Latn-ME"/>
        </w:rPr>
        <w:t>ml</w:t>
      </w:r>
      <w:r w:rsidRPr="002041DF">
        <w:rPr>
          <w:sz w:val="22"/>
          <w:szCs w:val="22"/>
          <w:lang w:val="sr-Latn-ME"/>
        </w:rPr>
        <w:t xml:space="preserve"> do 0,76 </w:t>
      </w:r>
      <w:r w:rsidR="00A95B8A" w:rsidRPr="002041DF">
        <w:rPr>
          <w:sz w:val="22"/>
          <w:szCs w:val="22"/>
          <w:lang w:val="sr-Latn-ME"/>
        </w:rPr>
        <w:t>mikrograma</w:t>
      </w:r>
      <w:r w:rsidRPr="002041DF">
        <w:rPr>
          <w:sz w:val="22"/>
          <w:szCs w:val="22"/>
          <w:lang w:val="sr-Latn-ME"/>
        </w:rPr>
        <w:t>/</w:t>
      </w:r>
      <w:r w:rsidR="00AA3CA9" w:rsidRPr="002041DF">
        <w:rPr>
          <w:sz w:val="22"/>
          <w:szCs w:val="22"/>
          <w:lang w:val="sr-Latn-ME"/>
        </w:rPr>
        <w:t>ml</w:t>
      </w:r>
      <w:r w:rsidRPr="002041DF">
        <w:rPr>
          <w:sz w:val="22"/>
          <w:szCs w:val="22"/>
          <w:lang w:val="sr-Latn-ME"/>
        </w:rPr>
        <w:t xml:space="preserve"> za 90 mg ustekinumaba svakih 8 </w:t>
      </w:r>
      <w:r w:rsidR="004372C4" w:rsidRPr="002041DF">
        <w:rPr>
          <w:sz w:val="22"/>
          <w:szCs w:val="22"/>
          <w:lang w:val="sr-Latn-ME"/>
        </w:rPr>
        <w:t>nedjelja</w:t>
      </w:r>
      <w:r w:rsidRPr="002041DF">
        <w:rPr>
          <w:sz w:val="22"/>
          <w:szCs w:val="22"/>
          <w:lang w:val="sr-Latn-ME"/>
        </w:rPr>
        <w:t xml:space="preserve"> odnosno svakih 12 </w:t>
      </w:r>
      <w:r w:rsidR="004372C4" w:rsidRPr="002041DF">
        <w:rPr>
          <w:sz w:val="22"/>
          <w:szCs w:val="22"/>
          <w:lang w:val="sr-Latn-ME"/>
        </w:rPr>
        <w:t>nedjelja</w:t>
      </w:r>
      <w:r w:rsidRPr="002041DF">
        <w:rPr>
          <w:sz w:val="22"/>
          <w:szCs w:val="22"/>
          <w:lang w:val="sr-Latn-ME"/>
        </w:rPr>
        <w:t xml:space="preserve">. </w:t>
      </w:r>
      <w:r w:rsidR="004A396C" w:rsidRPr="002041DF">
        <w:rPr>
          <w:sz w:val="22"/>
          <w:szCs w:val="22"/>
          <w:lang w:val="sr-Latn-ME"/>
        </w:rPr>
        <w:t>Kod pacijenata sa ulceroznim kolitisom medijana najnižih koncentracija u stanju dinamičke ravnoteže bio je u rasponu od 2,69 </w:t>
      </w:r>
      <w:r w:rsidR="00A641A3" w:rsidRPr="002041DF">
        <w:rPr>
          <w:sz w:val="22"/>
          <w:szCs w:val="22"/>
          <w:lang w:val="sr-Latn-ME"/>
        </w:rPr>
        <w:t>mikrograma</w:t>
      </w:r>
      <w:r w:rsidR="004A396C" w:rsidRPr="002041DF">
        <w:rPr>
          <w:sz w:val="22"/>
          <w:szCs w:val="22"/>
          <w:lang w:val="sr-Latn-ME"/>
        </w:rPr>
        <w:t>/</w:t>
      </w:r>
      <w:r w:rsidR="00AA3CA9" w:rsidRPr="002041DF">
        <w:rPr>
          <w:sz w:val="22"/>
          <w:szCs w:val="22"/>
          <w:lang w:val="sr-Latn-ME"/>
        </w:rPr>
        <w:t>ml</w:t>
      </w:r>
      <w:r w:rsidR="004A396C" w:rsidRPr="002041DF">
        <w:rPr>
          <w:sz w:val="22"/>
          <w:szCs w:val="22"/>
          <w:lang w:val="sr-Latn-ME"/>
        </w:rPr>
        <w:t xml:space="preserve"> do 3,09 </w:t>
      </w:r>
      <w:bookmarkStart w:id="21" w:name="_Hlk20310326"/>
      <w:r w:rsidR="00A641A3" w:rsidRPr="002041DF">
        <w:rPr>
          <w:sz w:val="22"/>
          <w:szCs w:val="22"/>
          <w:lang w:val="sr-Latn-ME"/>
        </w:rPr>
        <w:t>mikrograma</w:t>
      </w:r>
      <w:bookmarkEnd w:id="21"/>
      <w:r w:rsidR="004A396C" w:rsidRPr="002041DF">
        <w:rPr>
          <w:sz w:val="22"/>
          <w:szCs w:val="22"/>
          <w:lang w:val="sr-Latn-ME"/>
        </w:rPr>
        <w:t>/</w:t>
      </w:r>
      <w:r w:rsidR="00AA3CA9" w:rsidRPr="002041DF">
        <w:rPr>
          <w:sz w:val="22"/>
          <w:szCs w:val="22"/>
          <w:lang w:val="sr-Latn-ME"/>
        </w:rPr>
        <w:t>ml</w:t>
      </w:r>
      <w:r w:rsidR="004A396C" w:rsidRPr="002041DF">
        <w:rPr>
          <w:sz w:val="22"/>
          <w:szCs w:val="22"/>
          <w:lang w:val="sr-Latn-ME"/>
        </w:rPr>
        <w:t xml:space="preserve"> i od 0,92 </w:t>
      </w:r>
      <w:r w:rsidR="00A641A3" w:rsidRPr="002041DF">
        <w:rPr>
          <w:sz w:val="22"/>
          <w:szCs w:val="22"/>
          <w:lang w:val="sr-Latn-ME"/>
        </w:rPr>
        <w:t>mikrograma</w:t>
      </w:r>
      <w:r w:rsidR="004A396C" w:rsidRPr="002041DF">
        <w:rPr>
          <w:sz w:val="22"/>
          <w:szCs w:val="22"/>
          <w:lang w:val="sr-Latn-ME"/>
        </w:rPr>
        <w:t>/</w:t>
      </w:r>
      <w:r w:rsidR="00AA3CA9" w:rsidRPr="002041DF">
        <w:rPr>
          <w:sz w:val="22"/>
          <w:szCs w:val="22"/>
          <w:lang w:val="sr-Latn-ME"/>
        </w:rPr>
        <w:t>ml</w:t>
      </w:r>
      <w:r w:rsidR="004A396C" w:rsidRPr="002041DF">
        <w:rPr>
          <w:sz w:val="22"/>
          <w:szCs w:val="22"/>
          <w:lang w:val="sr-Latn-ME"/>
        </w:rPr>
        <w:t xml:space="preserve"> do 1,19 </w:t>
      </w:r>
      <w:r w:rsidR="00A641A3" w:rsidRPr="002041DF">
        <w:rPr>
          <w:sz w:val="22"/>
          <w:szCs w:val="22"/>
          <w:lang w:val="sr-Latn-ME"/>
        </w:rPr>
        <w:t>mikrograma</w:t>
      </w:r>
      <w:r w:rsidR="004A396C" w:rsidRPr="002041DF">
        <w:rPr>
          <w:sz w:val="22"/>
          <w:szCs w:val="22"/>
          <w:lang w:val="sr-Latn-ME"/>
        </w:rPr>
        <w:t>/</w:t>
      </w:r>
      <w:r w:rsidR="00AA3CA9" w:rsidRPr="002041DF">
        <w:rPr>
          <w:sz w:val="22"/>
          <w:szCs w:val="22"/>
          <w:lang w:val="sr-Latn-ME"/>
        </w:rPr>
        <w:t>ml</w:t>
      </w:r>
      <w:r w:rsidR="004A396C" w:rsidRPr="002041DF">
        <w:rPr>
          <w:sz w:val="22"/>
          <w:szCs w:val="22"/>
          <w:lang w:val="sr-Latn-ME"/>
        </w:rPr>
        <w:t xml:space="preserve"> za 90 mg ustekinumaba svakih 8 </w:t>
      </w:r>
      <w:r w:rsidR="004372C4" w:rsidRPr="002041DF">
        <w:rPr>
          <w:sz w:val="22"/>
          <w:szCs w:val="22"/>
          <w:lang w:val="sr-Latn-ME"/>
        </w:rPr>
        <w:t>nedjelja</w:t>
      </w:r>
      <w:r w:rsidR="004A396C" w:rsidRPr="002041DF">
        <w:rPr>
          <w:sz w:val="22"/>
          <w:szCs w:val="22"/>
          <w:lang w:val="sr-Latn-ME"/>
        </w:rPr>
        <w:t xml:space="preserve"> odnosno svakih 12 </w:t>
      </w:r>
      <w:r w:rsidR="004372C4" w:rsidRPr="002041DF">
        <w:rPr>
          <w:sz w:val="22"/>
          <w:szCs w:val="22"/>
          <w:lang w:val="sr-Latn-ME"/>
        </w:rPr>
        <w:t>nedjelja</w:t>
      </w:r>
      <w:r w:rsidR="004A396C" w:rsidRPr="002041DF">
        <w:rPr>
          <w:sz w:val="22"/>
          <w:szCs w:val="22"/>
          <w:lang w:val="sr-Latn-ME"/>
        </w:rPr>
        <w:t xml:space="preserve">. </w:t>
      </w:r>
      <w:r w:rsidRPr="002041DF">
        <w:rPr>
          <w:sz w:val="22"/>
          <w:szCs w:val="22"/>
          <w:lang w:val="sr-Latn-ME"/>
        </w:rPr>
        <w:t>Naj</w:t>
      </w:r>
      <w:r w:rsidR="00A95B8A" w:rsidRPr="002041DF">
        <w:rPr>
          <w:sz w:val="22"/>
          <w:szCs w:val="22"/>
          <w:lang w:val="sr-Latn-ME"/>
        </w:rPr>
        <w:t>manj</w:t>
      </w:r>
      <w:r w:rsidR="00560686" w:rsidRPr="002041DF">
        <w:rPr>
          <w:sz w:val="22"/>
          <w:szCs w:val="22"/>
          <w:lang w:val="sr-Latn-ME"/>
        </w:rPr>
        <w:t>e</w:t>
      </w:r>
      <w:r w:rsidRPr="002041DF">
        <w:rPr>
          <w:sz w:val="22"/>
          <w:szCs w:val="22"/>
          <w:lang w:val="sr-Latn-ME"/>
        </w:rPr>
        <w:t xml:space="preserve"> </w:t>
      </w:r>
      <w:r w:rsidR="00560686" w:rsidRPr="002041DF">
        <w:rPr>
          <w:sz w:val="22"/>
          <w:szCs w:val="22"/>
          <w:lang w:val="sr-Latn-ME"/>
        </w:rPr>
        <w:t>vr</w:t>
      </w:r>
      <w:r w:rsidR="00CA33FF" w:rsidRPr="002041DF">
        <w:rPr>
          <w:sz w:val="22"/>
          <w:szCs w:val="22"/>
          <w:lang w:val="sr-Latn-ME"/>
        </w:rPr>
        <w:t>ij</w:t>
      </w:r>
      <w:r w:rsidR="00560686" w:rsidRPr="002041DF">
        <w:rPr>
          <w:sz w:val="22"/>
          <w:szCs w:val="22"/>
          <w:lang w:val="sr-Latn-ME"/>
        </w:rPr>
        <w:t>ednosti</w:t>
      </w:r>
      <w:r w:rsidRPr="002041DF">
        <w:rPr>
          <w:sz w:val="22"/>
          <w:szCs w:val="22"/>
          <w:lang w:val="sr-Latn-ME"/>
        </w:rPr>
        <w:t xml:space="preserve"> ustekinumaba u stanju dinamičke ravnoteže koji su rezultat 90 mg ustekinumaba svakih 8 </w:t>
      </w:r>
      <w:r w:rsidR="004372C4" w:rsidRPr="002041DF">
        <w:rPr>
          <w:sz w:val="22"/>
          <w:szCs w:val="22"/>
          <w:lang w:val="sr-Latn-ME"/>
        </w:rPr>
        <w:t>nedjelja</w:t>
      </w:r>
      <w:r w:rsidRPr="002041DF">
        <w:rPr>
          <w:sz w:val="22"/>
          <w:szCs w:val="22"/>
          <w:lang w:val="sr-Latn-ME"/>
        </w:rPr>
        <w:t xml:space="preserve"> bile su povezane s v</w:t>
      </w:r>
      <w:r w:rsidR="00527AC8" w:rsidRPr="002041DF">
        <w:rPr>
          <w:sz w:val="22"/>
          <w:szCs w:val="22"/>
          <w:lang w:val="sr-Latn-ME"/>
        </w:rPr>
        <w:t>ećim</w:t>
      </w:r>
      <w:r w:rsidRPr="002041DF">
        <w:rPr>
          <w:sz w:val="22"/>
          <w:szCs w:val="22"/>
          <w:lang w:val="sr-Latn-ME"/>
        </w:rPr>
        <w:t xml:space="preserve"> stopama kliničke remisije u poređenju sa naj</w:t>
      </w:r>
      <w:r w:rsidR="00A95B8A" w:rsidRPr="002041DF">
        <w:rPr>
          <w:sz w:val="22"/>
          <w:szCs w:val="22"/>
          <w:lang w:val="sr-Latn-ME"/>
        </w:rPr>
        <w:t>manji</w:t>
      </w:r>
      <w:r w:rsidRPr="002041DF">
        <w:rPr>
          <w:sz w:val="22"/>
          <w:szCs w:val="22"/>
          <w:lang w:val="sr-Latn-ME"/>
        </w:rPr>
        <w:t xml:space="preserve">m </w:t>
      </w:r>
      <w:r w:rsidR="00560686" w:rsidRPr="002041DF">
        <w:rPr>
          <w:sz w:val="22"/>
          <w:szCs w:val="22"/>
          <w:lang w:val="sr-Latn-ME"/>
        </w:rPr>
        <w:t>vr</w:t>
      </w:r>
      <w:r w:rsidR="00CA33FF" w:rsidRPr="002041DF">
        <w:rPr>
          <w:sz w:val="22"/>
          <w:szCs w:val="22"/>
          <w:lang w:val="sr-Latn-ME"/>
        </w:rPr>
        <w:t>ij</w:t>
      </w:r>
      <w:r w:rsidR="00560686" w:rsidRPr="002041DF">
        <w:rPr>
          <w:sz w:val="22"/>
          <w:szCs w:val="22"/>
          <w:lang w:val="sr-Latn-ME"/>
        </w:rPr>
        <w:t>ednostima</w:t>
      </w:r>
      <w:r w:rsidRPr="002041DF">
        <w:rPr>
          <w:sz w:val="22"/>
          <w:szCs w:val="22"/>
          <w:lang w:val="sr-Latn-ME"/>
        </w:rPr>
        <w:t xml:space="preserve"> u stanju dinamičke ravnoteže nakon 90 mg svakih 12 </w:t>
      </w:r>
      <w:r w:rsidR="004372C4" w:rsidRPr="002041DF">
        <w:rPr>
          <w:sz w:val="22"/>
          <w:szCs w:val="22"/>
          <w:lang w:val="sr-Latn-ME"/>
        </w:rPr>
        <w:t>nedjelja</w:t>
      </w:r>
      <w:r w:rsidRPr="002041DF">
        <w:rPr>
          <w:sz w:val="22"/>
          <w:szCs w:val="22"/>
          <w:lang w:val="sr-Latn-ME"/>
        </w:rPr>
        <w:t>.</w:t>
      </w:r>
      <w:r w:rsidRPr="002041DF">
        <w:rPr>
          <w:sz w:val="22"/>
          <w:szCs w:val="22"/>
          <w:lang w:val="sr-Latn-ME"/>
        </w:rPr>
        <w:cr/>
      </w:r>
    </w:p>
    <w:p w14:paraId="0514ABB7" w14:textId="11DD42D3" w:rsidR="00623D38" w:rsidRPr="002041DF" w:rsidRDefault="00623D38" w:rsidP="002041DF">
      <w:pPr>
        <w:pStyle w:val="Header"/>
        <w:widowControl w:val="0"/>
        <w:tabs>
          <w:tab w:val="left" w:pos="284"/>
        </w:tabs>
        <w:jc w:val="both"/>
        <w:rPr>
          <w:sz w:val="22"/>
          <w:szCs w:val="22"/>
          <w:lang w:val="sr-Latn-ME"/>
        </w:rPr>
      </w:pPr>
      <w:r w:rsidRPr="002041DF">
        <w:rPr>
          <w:sz w:val="22"/>
          <w:szCs w:val="22"/>
          <w:u w:val="single"/>
          <w:lang w:val="sr-Latn-ME"/>
        </w:rPr>
        <w:t>Uticaj t</w:t>
      </w:r>
      <w:r w:rsidR="00CA33FF" w:rsidRPr="002041DF">
        <w:rPr>
          <w:sz w:val="22"/>
          <w:szCs w:val="22"/>
          <w:u w:val="single"/>
          <w:lang w:val="sr-Latn-ME"/>
        </w:rPr>
        <w:t>j</w:t>
      </w:r>
      <w:r w:rsidRPr="002041DF">
        <w:rPr>
          <w:sz w:val="22"/>
          <w:szCs w:val="22"/>
          <w:u w:val="single"/>
          <w:lang w:val="sr-Latn-ME"/>
        </w:rPr>
        <w:t xml:space="preserve">elesne </w:t>
      </w:r>
      <w:r w:rsidR="00A95B8A" w:rsidRPr="002041DF">
        <w:rPr>
          <w:sz w:val="22"/>
          <w:szCs w:val="22"/>
          <w:u w:val="single"/>
          <w:lang w:val="sr-Latn-ME"/>
        </w:rPr>
        <w:t>mase</w:t>
      </w:r>
      <w:r w:rsidRPr="002041DF">
        <w:rPr>
          <w:sz w:val="22"/>
          <w:szCs w:val="22"/>
          <w:u w:val="single"/>
          <w:lang w:val="sr-Latn-ME"/>
        </w:rPr>
        <w:t xml:space="preserve"> na farmakokinetiku</w:t>
      </w:r>
    </w:p>
    <w:p w14:paraId="050C2FAD" w14:textId="791BE827" w:rsidR="00D66231" w:rsidRPr="002041DF" w:rsidRDefault="00623D38" w:rsidP="002041DF">
      <w:pPr>
        <w:pStyle w:val="Header"/>
        <w:widowControl w:val="0"/>
        <w:tabs>
          <w:tab w:val="left" w:pos="284"/>
        </w:tabs>
        <w:jc w:val="both"/>
        <w:rPr>
          <w:sz w:val="22"/>
          <w:szCs w:val="22"/>
          <w:lang w:val="sr-Latn-ME"/>
        </w:rPr>
      </w:pPr>
      <w:r w:rsidRPr="002041DF">
        <w:rPr>
          <w:sz w:val="22"/>
          <w:szCs w:val="22"/>
          <w:lang w:val="sr-Latn-ME"/>
        </w:rPr>
        <w:t>U populacionoj farmakokinetičkoj analizi</w:t>
      </w:r>
      <w:r w:rsidR="00D66231" w:rsidRPr="002041DF">
        <w:rPr>
          <w:sz w:val="22"/>
          <w:szCs w:val="22"/>
          <w:lang w:val="sr-Latn-ME"/>
        </w:rPr>
        <w:t xml:space="preserve"> koristeći podatke od pacijenata sa psorijazom</w:t>
      </w:r>
      <w:r w:rsidRPr="002041DF">
        <w:rPr>
          <w:sz w:val="22"/>
          <w:szCs w:val="22"/>
          <w:lang w:val="sr-Latn-ME"/>
        </w:rPr>
        <w:t>, uočeno je da je t</w:t>
      </w:r>
      <w:r w:rsidR="00CA33FF" w:rsidRPr="002041DF">
        <w:rPr>
          <w:sz w:val="22"/>
          <w:szCs w:val="22"/>
          <w:lang w:val="sr-Latn-ME"/>
        </w:rPr>
        <w:t>j</w:t>
      </w:r>
      <w:r w:rsidRPr="002041DF">
        <w:rPr>
          <w:sz w:val="22"/>
          <w:szCs w:val="22"/>
          <w:lang w:val="sr-Latn-ME"/>
        </w:rPr>
        <w:t xml:space="preserve">elesna </w:t>
      </w:r>
      <w:r w:rsidR="00A95B8A" w:rsidRPr="002041DF">
        <w:rPr>
          <w:sz w:val="22"/>
          <w:szCs w:val="22"/>
          <w:lang w:val="sr-Latn-ME"/>
        </w:rPr>
        <w:t>mas</w:t>
      </w:r>
      <w:r w:rsidRPr="002041DF">
        <w:rPr>
          <w:sz w:val="22"/>
          <w:szCs w:val="22"/>
          <w:lang w:val="sr-Latn-ME"/>
        </w:rPr>
        <w:t xml:space="preserve">a najznačajniji faktor koji utiče na klirens ustekinumaba. </w:t>
      </w:r>
      <w:r w:rsidR="00A95B8A" w:rsidRPr="002041DF">
        <w:rPr>
          <w:sz w:val="22"/>
          <w:szCs w:val="22"/>
          <w:lang w:val="sr-Latn-ME"/>
        </w:rPr>
        <w:t xml:space="preserve">Medijana </w:t>
      </w:r>
      <w:r w:rsidRPr="002041DF">
        <w:rPr>
          <w:sz w:val="22"/>
          <w:szCs w:val="22"/>
          <w:lang w:val="sr-Latn-ME"/>
        </w:rPr>
        <w:t>vr</w:t>
      </w:r>
      <w:r w:rsidR="00CA33FF" w:rsidRPr="002041DF">
        <w:rPr>
          <w:sz w:val="22"/>
          <w:szCs w:val="22"/>
          <w:lang w:val="sr-Latn-ME"/>
        </w:rPr>
        <w:t>ij</w:t>
      </w:r>
      <w:r w:rsidRPr="002041DF">
        <w:rPr>
          <w:sz w:val="22"/>
          <w:szCs w:val="22"/>
          <w:lang w:val="sr-Latn-ME"/>
        </w:rPr>
        <w:t>ednost</w:t>
      </w:r>
      <w:r w:rsidR="00A95B8A" w:rsidRPr="002041DF">
        <w:rPr>
          <w:sz w:val="22"/>
          <w:szCs w:val="22"/>
          <w:lang w:val="sr-Latn-ME"/>
        </w:rPr>
        <w:t>i</w:t>
      </w:r>
      <w:r w:rsidRPr="002041DF">
        <w:rPr>
          <w:sz w:val="22"/>
          <w:szCs w:val="22"/>
          <w:lang w:val="sr-Latn-ME"/>
        </w:rPr>
        <w:t xml:space="preserve"> CL/F kod pacijenata &gt; 100 kg je približno veća za 55% u poređenju sa pacijentima ≤ 100 kg. </w:t>
      </w:r>
      <w:r w:rsidR="00A95B8A" w:rsidRPr="002041DF">
        <w:rPr>
          <w:sz w:val="22"/>
          <w:szCs w:val="22"/>
          <w:lang w:val="sr-Latn-ME"/>
        </w:rPr>
        <w:t>Medija</w:t>
      </w:r>
      <w:r w:rsidR="00C868B4" w:rsidRPr="002041DF">
        <w:rPr>
          <w:sz w:val="22"/>
          <w:szCs w:val="22"/>
          <w:lang w:val="sr-Latn-ME"/>
        </w:rPr>
        <w:t>n</w:t>
      </w:r>
      <w:r w:rsidR="00A95B8A" w:rsidRPr="002041DF">
        <w:rPr>
          <w:sz w:val="22"/>
          <w:szCs w:val="22"/>
          <w:lang w:val="sr-Latn-ME"/>
        </w:rPr>
        <w:t>a</w:t>
      </w:r>
      <w:r w:rsidRPr="002041DF">
        <w:rPr>
          <w:sz w:val="22"/>
          <w:szCs w:val="22"/>
          <w:lang w:val="sr-Latn-ME"/>
        </w:rPr>
        <w:t xml:space="preserve"> vr</w:t>
      </w:r>
      <w:r w:rsidR="00CA33FF" w:rsidRPr="002041DF">
        <w:rPr>
          <w:sz w:val="22"/>
          <w:szCs w:val="22"/>
          <w:lang w:val="sr-Latn-ME"/>
        </w:rPr>
        <w:t>ij</w:t>
      </w:r>
      <w:r w:rsidRPr="002041DF">
        <w:rPr>
          <w:sz w:val="22"/>
          <w:szCs w:val="22"/>
          <w:lang w:val="sr-Latn-ME"/>
        </w:rPr>
        <w:t>ednost</w:t>
      </w:r>
      <w:r w:rsidR="00A95B8A" w:rsidRPr="002041DF">
        <w:rPr>
          <w:sz w:val="22"/>
          <w:szCs w:val="22"/>
          <w:lang w:val="sr-Latn-ME"/>
        </w:rPr>
        <w:t>i</w:t>
      </w:r>
      <w:r w:rsidRPr="002041DF">
        <w:rPr>
          <w:sz w:val="22"/>
          <w:szCs w:val="22"/>
          <w:lang w:val="sr-Latn-ME"/>
        </w:rPr>
        <w:t xml:space="preserve"> V/F kod pacijenata &gt; 100 kg je približno veća za 37% u poređenju sa pacijentima ≤ 100 kg. </w:t>
      </w:r>
      <w:r w:rsidR="00C868B4" w:rsidRPr="002041DF">
        <w:rPr>
          <w:sz w:val="22"/>
          <w:szCs w:val="22"/>
          <w:lang w:val="sr-Latn-ME"/>
        </w:rPr>
        <w:t>Medijan</w:t>
      </w:r>
      <w:r w:rsidRPr="002041DF">
        <w:rPr>
          <w:sz w:val="22"/>
          <w:szCs w:val="22"/>
          <w:lang w:val="sr-Latn-ME"/>
        </w:rPr>
        <w:t>a vr</w:t>
      </w:r>
      <w:r w:rsidR="00CA33FF" w:rsidRPr="002041DF">
        <w:rPr>
          <w:sz w:val="22"/>
          <w:szCs w:val="22"/>
          <w:lang w:val="sr-Latn-ME"/>
        </w:rPr>
        <w:t>ij</w:t>
      </w:r>
      <w:r w:rsidRPr="002041DF">
        <w:rPr>
          <w:sz w:val="22"/>
          <w:szCs w:val="22"/>
          <w:lang w:val="sr-Latn-ME"/>
        </w:rPr>
        <w:t>ednost</w:t>
      </w:r>
      <w:r w:rsidR="00C868B4" w:rsidRPr="002041DF">
        <w:rPr>
          <w:sz w:val="22"/>
          <w:szCs w:val="22"/>
          <w:lang w:val="sr-Latn-ME"/>
        </w:rPr>
        <w:t>i</w:t>
      </w:r>
      <w:r w:rsidRPr="002041DF">
        <w:rPr>
          <w:sz w:val="22"/>
          <w:szCs w:val="22"/>
          <w:lang w:val="sr-Latn-ME"/>
        </w:rPr>
        <w:t xml:space="preserve"> koncentracije ustekinumaba </w:t>
      </w:r>
      <w:r w:rsidR="00C868B4" w:rsidRPr="002041DF">
        <w:rPr>
          <w:sz w:val="22"/>
          <w:szCs w:val="22"/>
          <w:lang w:val="sr-Latn-ME"/>
        </w:rPr>
        <w:t xml:space="preserve">u serumu </w:t>
      </w:r>
      <w:r w:rsidRPr="002041DF">
        <w:rPr>
          <w:sz w:val="22"/>
          <w:szCs w:val="22"/>
          <w:lang w:val="sr-Latn-ME"/>
        </w:rPr>
        <w:t>kod pacijenata sa većom t</w:t>
      </w:r>
      <w:r w:rsidR="00CA33FF" w:rsidRPr="002041DF">
        <w:rPr>
          <w:sz w:val="22"/>
          <w:szCs w:val="22"/>
          <w:lang w:val="sr-Latn-ME"/>
        </w:rPr>
        <w:t>j</w:t>
      </w:r>
      <w:r w:rsidRPr="002041DF">
        <w:rPr>
          <w:sz w:val="22"/>
          <w:szCs w:val="22"/>
          <w:lang w:val="sr-Latn-ME"/>
        </w:rPr>
        <w:t xml:space="preserve">elesnom </w:t>
      </w:r>
      <w:r w:rsidR="00A605AE" w:rsidRPr="002041DF">
        <w:rPr>
          <w:sz w:val="22"/>
          <w:szCs w:val="22"/>
          <w:lang w:val="sr-Latn-ME"/>
        </w:rPr>
        <w:t>masom</w:t>
      </w:r>
      <w:r w:rsidRPr="002041DF">
        <w:rPr>
          <w:sz w:val="22"/>
          <w:szCs w:val="22"/>
          <w:lang w:val="sr-Latn-ME"/>
        </w:rPr>
        <w:t xml:space="preserve"> (&gt; 100 kg) </w:t>
      </w:r>
      <w:r w:rsidR="00A605AE" w:rsidRPr="002041DF">
        <w:rPr>
          <w:sz w:val="22"/>
          <w:szCs w:val="22"/>
          <w:lang w:val="sr-Latn-ME"/>
        </w:rPr>
        <w:t xml:space="preserve">u grupi kojoj je </w:t>
      </w:r>
      <w:r w:rsidRPr="002041DF">
        <w:rPr>
          <w:sz w:val="22"/>
          <w:szCs w:val="22"/>
          <w:lang w:val="sr-Latn-ME"/>
        </w:rPr>
        <w:t>prim</w:t>
      </w:r>
      <w:r w:rsidR="00CA33FF" w:rsidRPr="002041DF">
        <w:rPr>
          <w:sz w:val="22"/>
          <w:szCs w:val="22"/>
          <w:lang w:val="sr-Latn-ME"/>
        </w:rPr>
        <w:t>ij</w:t>
      </w:r>
      <w:r w:rsidRPr="002041DF">
        <w:rPr>
          <w:sz w:val="22"/>
          <w:szCs w:val="22"/>
          <w:lang w:val="sr-Latn-ME"/>
        </w:rPr>
        <w:t>enjena doza od 90 mg se mogla porediti sa pacijen</w:t>
      </w:r>
      <w:r w:rsidR="00A605AE" w:rsidRPr="002041DF">
        <w:rPr>
          <w:sz w:val="22"/>
          <w:szCs w:val="22"/>
          <w:lang w:val="sr-Latn-ME"/>
        </w:rPr>
        <w:t>tima</w:t>
      </w:r>
      <w:r w:rsidRPr="002041DF">
        <w:rPr>
          <w:sz w:val="22"/>
          <w:szCs w:val="22"/>
          <w:lang w:val="sr-Latn-ME"/>
        </w:rPr>
        <w:t xml:space="preserve"> manje t</w:t>
      </w:r>
      <w:r w:rsidR="00CA33FF" w:rsidRPr="002041DF">
        <w:rPr>
          <w:sz w:val="22"/>
          <w:szCs w:val="22"/>
          <w:lang w:val="sr-Latn-ME"/>
        </w:rPr>
        <w:t>j</w:t>
      </w:r>
      <w:r w:rsidRPr="002041DF">
        <w:rPr>
          <w:sz w:val="22"/>
          <w:szCs w:val="22"/>
          <w:lang w:val="sr-Latn-ME"/>
        </w:rPr>
        <w:t xml:space="preserve">elesne </w:t>
      </w:r>
      <w:r w:rsidR="00A605AE" w:rsidRPr="002041DF">
        <w:rPr>
          <w:sz w:val="22"/>
          <w:szCs w:val="22"/>
          <w:lang w:val="sr-Latn-ME"/>
        </w:rPr>
        <w:t>mase</w:t>
      </w:r>
      <w:r w:rsidRPr="002041DF">
        <w:rPr>
          <w:sz w:val="22"/>
          <w:szCs w:val="22"/>
          <w:lang w:val="sr-Latn-ME"/>
        </w:rPr>
        <w:t xml:space="preserve"> (≤ 100 kg) </w:t>
      </w:r>
      <w:r w:rsidR="00A605AE" w:rsidRPr="002041DF">
        <w:rPr>
          <w:sz w:val="22"/>
          <w:szCs w:val="22"/>
          <w:lang w:val="sr-Latn-ME"/>
        </w:rPr>
        <w:t xml:space="preserve">u grupi kojoj </w:t>
      </w:r>
      <w:r w:rsidRPr="002041DF">
        <w:rPr>
          <w:sz w:val="22"/>
          <w:szCs w:val="22"/>
          <w:lang w:val="sr-Latn-ME"/>
        </w:rPr>
        <w:t>je prim</w:t>
      </w:r>
      <w:r w:rsidR="00CA33FF" w:rsidRPr="002041DF">
        <w:rPr>
          <w:sz w:val="22"/>
          <w:szCs w:val="22"/>
          <w:lang w:val="sr-Latn-ME"/>
        </w:rPr>
        <w:t>ij</w:t>
      </w:r>
      <w:r w:rsidRPr="002041DF">
        <w:rPr>
          <w:sz w:val="22"/>
          <w:szCs w:val="22"/>
          <w:lang w:val="sr-Latn-ME"/>
        </w:rPr>
        <w:t>enjena jačina od 45 mg.</w:t>
      </w:r>
      <w:r w:rsidR="00D66231" w:rsidRPr="002041DF">
        <w:rPr>
          <w:sz w:val="22"/>
          <w:szCs w:val="22"/>
          <w:lang w:val="sr-Latn-ME"/>
        </w:rPr>
        <w:t xml:space="preserve"> Slični rezultati su dobijeni konfirmatornom populacionom farmakokinetičkom analizom za koju su korišćeni podaci pacijenata sa psorijatičnim artritisom.</w:t>
      </w:r>
    </w:p>
    <w:p w14:paraId="186EF3C6" w14:textId="77777777" w:rsidR="004A396C" w:rsidRPr="002041DF" w:rsidRDefault="004A396C" w:rsidP="002041DF">
      <w:pPr>
        <w:pStyle w:val="Header"/>
        <w:widowControl w:val="0"/>
        <w:tabs>
          <w:tab w:val="left" w:pos="284"/>
        </w:tabs>
        <w:jc w:val="both"/>
        <w:rPr>
          <w:sz w:val="22"/>
          <w:szCs w:val="22"/>
          <w:lang w:val="sr-Latn-ME"/>
        </w:rPr>
      </w:pPr>
    </w:p>
    <w:p w14:paraId="4BCDF61A" w14:textId="77777777" w:rsidR="004A396C" w:rsidRPr="002041DF" w:rsidRDefault="004A396C" w:rsidP="002041DF">
      <w:pPr>
        <w:widowControl w:val="0"/>
        <w:jc w:val="both"/>
        <w:rPr>
          <w:sz w:val="22"/>
          <w:szCs w:val="22"/>
          <w:u w:val="single"/>
          <w:lang w:val="sr-Latn-ME"/>
        </w:rPr>
      </w:pPr>
      <w:r w:rsidRPr="002041DF">
        <w:rPr>
          <w:sz w:val="22"/>
          <w:szCs w:val="22"/>
          <w:u w:val="single"/>
          <w:lang w:val="sr-Latn-ME"/>
        </w:rPr>
        <w:t>Podešavanje učestalosti doziranja</w:t>
      </w:r>
    </w:p>
    <w:p w14:paraId="37671D96" w14:textId="4BF30E5A" w:rsidR="004A396C" w:rsidRPr="002041DF" w:rsidRDefault="004A396C" w:rsidP="002041DF">
      <w:pPr>
        <w:widowControl w:val="0"/>
        <w:jc w:val="both"/>
        <w:rPr>
          <w:sz w:val="22"/>
          <w:szCs w:val="22"/>
          <w:lang w:val="sr-Latn-ME"/>
        </w:rPr>
      </w:pPr>
      <w:r w:rsidRPr="002041DF">
        <w:rPr>
          <w:sz w:val="22"/>
          <w:szCs w:val="22"/>
          <w:lang w:val="sr-Latn-ME"/>
        </w:rPr>
        <w:t xml:space="preserve">Kod pacijenata sa Kronovom bolesti i ulceroznim kolitisom, na osnovu </w:t>
      </w:r>
      <w:r w:rsidR="00891C9B" w:rsidRPr="002041DF">
        <w:rPr>
          <w:sz w:val="22"/>
          <w:szCs w:val="22"/>
          <w:lang w:val="sr-Latn-ME"/>
        </w:rPr>
        <w:t>zabilježen</w:t>
      </w:r>
      <w:r w:rsidRPr="002041DF">
        <w:rPr>
          <w:sz w:val="22"/>
          <w:szCs w:val="22"/>
          <w:lang w:val="sr-Latn-ME"/>
        </w:rPr>
        <w:t>ih podataka i analiza populacione farmakokinetike, randomizovani ispitanici koji su izgubili odgovor na terapiju imali su niže koncentracije ustekinumaba u serumu u poređenju sa ispitanicima koji</w:t>
      </w:r>
      <w:r w:rsidR="00E50471" w:rsidRPr="002041DF">
        <w:rPr>
          <w:sz w:val="22"/>
          <w:szCs w:val="22"/>
          <w:lang w:val="sr-Latn-ME"/>
        </w:rPr>
        <w:t xml:space="preserve"> nijesu</w:t>
      </w:r>
      <w:r w:rsidRPr="002041DF">
        <w:rPr>
          <w:sz w:val="22"/>
          <w:szCs w:val="22"/>
          <w:lang w:val="sr-Latn-ME"/>
        </w:rPr>
        <w:t xml:space="preserve"> izgubili odgovor. Kod Kronove bolesti, korekcija doze sa 90 mg na svakih 12 </w:t>
      </w:r>
      <w:r w:rsidR="004372C4" w:rsidRPr="002041DF">
        <w:rPr>
          <w:sz w:val="22"/>
          <w:szCs w:val="22"/>
          <w:lang w:val="sr-Latn-ME"/>
        </w:rPr>
        <w:t>nedjelja</w:t>
      </w:r>
      <w:r w:rsidRPr="002041DF">
        <w:rPr>
          <w:sz w:val="22"/>
          <w:szCs w:val="22"/>
          <w:lang w:val="sr-Latn-ME"/>
        </w:rPr>
        <w:t xml:space="preserve"> do 90 mg na svakih 8 </w:t>
      </w:r>
      <w:r w:rsidR="004372C4" w:rsidRPr="002041DF">
        <w:rPr>
          <w:sz w:val="22"/>
          <w:szCs w:val="22"/>
          <w:lang w:val="sr-Latn-ME"/>
        </w:rPr>
        <w:t>nedjelja</w:t>
      </w:r>
      <w:r w:rsidRPr="002041DF">
        <w:rPr>
          <w:sz w:val="22"/>
          <w:szCs w:val="22"/>
          <w:lang w:val="sr-Latn-ME"/>
        </w:rPr>
        <w:t xml:space="preserve"> dovela je do povećanja najnižih koncentracija ustekinumaba u serumu i pratećeg povećanja efikasnosti. Kod ulceroznog kolitisa, simulacija modela populacione farmakokinetike pokazala je da se očekuje da podešavanje doze sa 90 mg na svakih 12 </w:t>
      </w:r>
      <w:r w:rsidR="004372C4" w:rsidRPr="002041DF">
        <w:rPr>
          <w:sz w:val="22"/>
          <w:szCs w:val="22"/>
          <w:lang w:val="sr-Latn-ME"/>
        </w:rPr>
        <w:t>nedjelja</w:t>
      </w:r>
      <w:r w:rsidRPr="002041DF">
        <w:rPr>
          <w:sz w:val="22"/>
          <w:szCs w:val="22"/>
          <w:lang w:val="sr-Latn-ME"/>
        </w:rPr>
        <w:t xml:space="preserve"> do 90 mg na svakih 8 </w:t>
      </w:r>
      <w:r w:rsidR="004372C4" w:rsidRPr="002041DF">
        <w:rPr>
          <w:sz w:val="22"/>
          <w:szCs w:val="22"/>
          <w:lang w:val="sr-Latn-ME"/>
        </w:rPr>
        <w:t>nedjelja</w:t>
      </w:r>
      <w:r w:rsidRPr="002041DF">
        <w:rPr>
          <w:sz w:val="22"/>
          <w:szCs w:val="22"/>
          <w:lang w:val="sr-Latn-ME"/>
        </w:rPr>
        <w:t xml:space="preserve"> dovodi do trostrukog povećanja najnižih koncentracija ustekinumaba u stanju dinamičke ravnoteže. Uz to, na osnovu podataka iz kliničkih ispitivanja kod pacijenata sa ulceroznim kolitisom, pozitivan odnos izlaganja i odgovora utvrđen je između najnižih koncentracija ustekinumaba u stanju dinamičke ravnoteže, kliničke remisije i zac</w:t>
      </w:r>
      <w:r w:rsidR="00CA33FF" w:rsidRPr="002041DF">
        <w:rPr>
          <w:sz w:val="22"/>
          <w:szCs w:val="22"/>
          <w:lang w:val="sr-Latn-ME"/>
        </w:rPr>
        <w:t>j</w:t>
      </w:r>
      <w:r w:rsidRPr="002041DF">
        <w:rPr>
          <w:sz w:val="22"/>
          <w:szCs w:val="22"/>
          <w:lang w:val="sr-Latn-ME"/>
        </w:rPr>
        <w:t xml:space="preserve">eljivanja sluznice.  </w:t>
      </w:r>
    </w:p>
    <w:p w14:paraId="3F8DA90F" w14:textId="77777777" w:rsidR="00623D38" w:rsidRPr="002041DF" w:rsidRDefault="00623D38" w:rsidP="002041DF">
      <w:pPr>
        <w:pStyle w:val="Header"/>
        <w:widowControl w:val="0"/>
        <w:tabs>
          <w:tab w:val="left" w:pos="284"/>
        </w:tabs>
        <w:jc w:val="both"/>
        <w:rPr>
          <w:sz w:val="22"/>
          <w:szCs w:val="22"/>
          <w:u w:val="single"/>
          <w:lang w:val="sr-Latn-ME"/>
        </w:rPr>
      </w:pPr>
    </w:p>
    <w:p w14:paraId="389B7A8B" w14:textId="77777777" w:rsidR="00623D38" w:rsidRPr="002041DF" w:rsidRDefault="00623D38" w:rsidP="002041DF">
      <w:pPr>
        <w:pStyle w:val="Header"/>
        <w:widowControl w:val="0"/>
        <w:tabs>
          <w:tab w:val="left" w:pos="284"/>
        </w:tabs>
        <w:jc w:val="both"/>
        <w:rPr>
          <w:sz w:val="22"/>
          <w:szCs w:val="22"/>
          <w:lang w:val="sr-Latn-ME"/>
        </w:rPr>
      </w:pPr>
      <w:r w:rsidRPr="002041DF">
        <w:rPr>
          <w:sz w:val="22"/>
          <w:szCs w:val="22"/>
          <w:u w:val="single"/>
          <w:lang w:val="sr-Latn-ME"/>
        </w:rPr>
        <w:t>Posebne grupe pacijenata</w:t>
      </w:r>
    </w:p>
    <w:p w14:paraId="3FB8F505" w14:textId="77777777" w:rsidR="00623D38" w:rsidRPr="002041DF" w:rsidRDefault="00623D38" w:rsidP="002041DF">
      <w:pPr>
        <w:pStyle w:val="Header"/>
        <w:widowControl w:val="0"/>
        <w:tabs>
          <w:tab w:val="left" w:pos="284"/>
          <w:tab w:val="left" w:pos="8886"/>
        </w:tabs>
        <w:jc w:val="both"/>
        <w:rPr>
          <w:sz w:val="22"/>
          <w:szCs w:val="22"/>
          <w:lang w:val="sr-Latn-ME"/>
        </w:rPr>
      </w:pPr>
      <w:r w:rsidRPr="002041DF">
        <w:rPr>
          <w:sz w:val="22"/>
          <w:szCs w:val="22"/>
          <w:lang w:val="sr-Latn-ME"/>
        </w:rPr>
        <w:t>Ne postoje farmakokinetički podaci kod pacijenata sa poremećenom funkcijom bubrega i jetre.</w:t>
      </w:r>
    </w:p>
    <w:p w14:paraId="359CA871" w14:textId="0431EB0E" w:rsidR="00623D38" w:rsidRPr="002041DF" w:rsidRDefault="00623D38" w:rsidP="002041DF">
      <w:pPr>
        <w:pStyle w:val="Header"/>
        <w:widowControl w:val="0"/>
        <w:tabs>
          <w:tab w:val="left" w:pos="284"/>
          <w:tab w:val="left" w:pos="8886"/>
        </w:tabs>
        <w:jc w:val="both"/>
        <w:rPr>
          <w:b/>
          <w:color w:val="339933"/>
          <w:sz w:val="22"/>
          <w:szCs w:val="22"/>
          <w:lang w:val="sr-Latn-ME"/>
        </w:rPr>
      </w:pPr>
      <w:r w:rsidRPr="002041DF">
        <w:rPr>
          <w:sz w:val="22"/>
          <w:szCs w:val="22"/>
          <w:lang w:val="sr-Latn-ME"/>
        </w:rPr>
        <w:t>Uticaj ovog</w:t>
      </w:r>
      <w:r w:rsidR="00A35D07" w:rsidRPr="002041DF">
        <w:rPr>
          <w:sz w:val="22"/>
          <w:szCs w:val="22"/>
          <w:lang w:val="sr-Latn-ME"/>
        </w:rPr>
        <w:t xml:space="preserve"> lijeka </w:t>
      </w:r>
      <w:r w:rsidRPr="002041DF">
        <w:rPr>
          <w:sz w:val="22"/>
          <w:szCs w:val="22"/>
          <w:lang w:val="sr-Latn-ME"/>
        </w:rPr>
        <w:t>nije ispitivan kod starijih pacijenata.</w:t>
      </w:r>
    </w:p>
    <w:p w14:paraId="55F6D8E8" w14:textId="77777777" w:rsidR="00EF3C15" w:rsidRPr="002041DF" w:rsidRDefault="00EF3C15" w:rsidP="002041DF">
      <w:pPr>
        <w:pStyle w:val="Header"/>
        <w:widowControl w:val="0"/>
        <w:tabs>
          <w:tab w:val="left" w:pos="284"/>
          <w:tab w:val="left" w:pos="8886"/>
        </w:tabs>
        <w:jc w:val="both"/>
        <w:rPr>
          <w:sz w:val="22"/>
          <w:szCs w:val="22"/>
          <w:lang w:val="sr-Latn-ME"/>
        </w:rPr>
      </w:pPr>
    </w:p>
    <w:p w14:paraId="79EC1EA9" w14:textId="2D713E66" w:rsidR="00623D38" w:rsidRPr="002041DF" w:rsidRDefault="00623D38" w:rsidP="002041DF">
      <w:pPr>
        <w:pStyle w:val="Header"/>
        <w:widowControl w:val="0"/>
        <w:tabs>
          <w:tab w:val="left" w:pos="284"/>
          <w:tab w:val="left" w:pos="8886"/>
        </w:tabs>
        <w:jc w:val="both"/>
        <w:rPr>
          <w:sz w:val="22"/>
          <w:szCs w:val="22"/>
          <w:lang w:val="sr-Latn-ME"/>
        </w:rPr>
      </w:pPr>
      <w:r w:rsidRPr="002041DF">
        <w:rPr>
          <w:sz w:val="22"/>
          <w:szCs w:val="22"/>
          <w:lang w:val="sr-Latn-ME"/>
        </w:rPr>
        <w:t>Farmakokinetika ustekinumaba generalno je uporediva između azijatskih i ne-azijatskih pacijenata koji boluju od psorijaze</w:t>
      </w:r>
      <w:r w:rsidR="004A396C" w:rsidRPr="002041DF">
        <w:rPr>
          <w:sz w:val="22"/>
          <w:szCs w:val="22"/>
          <w:lang w:val="sr-Latn-ME"/>
        </w:rPr>
        <w:t xml:space="preserve"> i ulceroznog kolitisa</w:t>
      </w:r>
      <w:r w:rsidRPr="002041DF">
        <w:rPr>
          <w:sz w:val="22"/>
          <w:szCs w:val="22"/>
          <w:lang w:val="sr-Latn-ME"/>
        </w:rPr>
        <w:t>.</w:t>
      </w:r>
    </w:p>
    <w:p w14:paraId="72612630" w14:textId="77777777" w:rsidR="00A47731" w:rsidRPr="002041DF" w:rsidRDefault="00A47731" w:rsidP="002041DF">
      <w:pPr>
        <w:pStyle w:val="Header"/>
        <w:widowControl w:val="0"/>
        <w:tabs>
          <w:tab w:val="left" w:pos="284"/>
          <w:tab w:val="left" w:pos="8886"/>
        </w:tabs>
        <w:jc w:val="both"/>
        <w:rPr>
          <w:sz w:val="22"/>
          <w:szCs w:val="22"/>
          <w:lang w:val="sr-Latn-ME"/>
        </w:rPr>
      </w:pPr>
    </w:p>
    <w:p w14:paraId="509A9965" w14:textId="67964347" w:rsidR="00623D38" w:rsidRPr="002041DF" w:rsidRDefault="00A47731" w:rsidP="002041DF">
      <w:pPr>
        <w:pStyle w:val="Header"/>
        <w:widowControl w:val="0"/>
        <w:tabs>
          <w:tab w:val="left" w:pos="8886"/>
        </w:tabs>
        <w:jc w:val="both"/>
        <w:rPr>
          <w:sz w:val="22"/>
          <w:szCs w:val="22"/>
          <w:lang w:val="sr-Latn-ME"/>
        </w:rPr>
      </w:pPr>
      <w:r w:rsidRPr="002041DF">
        <w:rPr>
          <w:sz w:val="22"/>
          <w:szCs w:val="22"/>
          <w:lang w:val="sr-Latn-ME"/>
        </w:rPr>
        <w:t>Kod pacijenata sa Kronovom bole</w:t>
      </w:r>
      <w:r w:rsidR="00A95B8A" w:rsidRPr="002041DF">
        <w:rPr>
          <w:sz w:val="22"/>
          <w:szCs w:val="22"/>
          <w:lang w:val="sr-Latn-ME"/>
        </w:rPr>
        <w:t>šću</w:t>
      </w:r>
      <w:r w:rsidR="004A396C" w:rsidRPr="002041DF">
        <w:rPr>
          <w:sz w:val="22"/>
          <w:szCs w:val="22"/>
          <w:lang w:val="sr-Latn-ME"/>
        </w:rPr>
        <w:t xml:space="preserve"> i ulceroznim kolitisom</w:t>
      </w:r>
      <w:r w:rsidRPr="002041DF">
        <w:rPr>
          <w:sz w:val="22"/>
          <w:szCs w:val="22"/>
          <w:lang w:val="sr-Latn-ME"/>
        </w:rPr>
        <w:t>, na varijabilnost klirensa ustekinumaba uticala je t</w:t>
      </w:r>
      <w:r w:rsidR="00CA33FF" w:rsidRPr="002041DF">
        <w:rPr>
          <w:sz w:val="22"/>
          <w:szCs w:val="22"/>
          <w:lang w:val="sr-Latn-ME"/>
        </w:rPr>
        <w:t>j</w:t>
      </w:r>
      <w:r w:rsidRPr="002041DF">
        <w:rPr>
          <w:sz w:val="22"/>
          <w:szCs w:val="22"/>
          <w:lang w:val="sr-Latn-ME"/>
        </w:rPr>
        <w:t>elesna masa,</w:t>
      </w:r>
      <w:r w:rsidR="0038273D" w:rsidRPr="002041DF">
        <w:rPr>
          <w:sz w:val="22"/>
          <w:szCs w:val="22"/>
          <w:lang w:val="sr-Latn-ME"/>
        </w:rPr>
        <w:t xml:space="preserve"> vrijednost </w:t>
      </w:r>
      <w:r w:rsidRPr="002041DF">
        <w:rPr>
          <w:sz w:val="22"/>
          <w:szCs w:val="22"/>
          <w:lang w:val="sr-Latn-ME"/>
        </w:rPr>
        <w:t xml:space="preserve">albumina u serumu,  pol,  i status </w:t>
      </w:r>
      <w:r w:rsidR="00C23E53" w:rsidRPr="002041DF">
        <w:rPr>
          <w:sz w:val="22"/>
          <w:szCs w:val="22"/>
          <w:lang w:val="sr-Latn-ME"/>
        </w:rPr>
        <w:t>antitijela</w:t>
      </w:r>
      <w:r w:rsidRPr="002041DF">
        <w:rPr>
          <w:sz w:val="22"/>
          <w:szCs w:val="22"/>
          <w:lang w:val="sr-Latn-ME"/>
        </w:rPr>
        <w:t xml:space="preserve"> na ustekinumab, dok je t</w:t>
      </w:r>
      <w:r w:rsidR="00CA33FF" w:rsidRPr="002041DF">
        <w:rPr>
          <w:sz w:val="22"/>
          <w:szCs w:val="22"/>
          <w:lang w:val="sr-Latn-ME"/>
        </w:rPr>
        <w:t>j</w:t>
      </w:r>
      <w:r w:rsidRPr="002041DF">
        <w:rPr>
          <w:sz w:val="22"/>
          <w:szCs w:val="22"/>
          <w:lang w:val="sr-Latn-ME"/>
        </w:rPr>
        <w:t xml:space="preserve">elesna masa bila glavna kovarijanta koja je imala uticaja na volumen distribucije. </w:t>
      </w:r>
      <w:r w:rsidR="004A396C" w:rsidRPr="002041DF">
        <w:rPr>
          <w:sz w:val="22"/>
          <w:szCs w:val="22"/>
          <w:lang w:val="sr-Latn-ME"/>
        </w:rPr>
        <w:t>Uz to, kod Kronove bolesti klirens je pod uticajem C-reaktivnog proteina, statusa neusp</w:t>
      </w:r>
      <w:r w:rsidR="00CA33FF" w:rsidRPr="002041DF">
        <w:rPr>
          <w:sz w:val="22"/>
          <w:szCs w:val="22"/>
          <w:lang w:val="sr-Latn-ME"/>
        </w:rPr>
        <w:t>j</w:t>
      </w:r>
      <w:r w:rsidR="004A396C" w:rsidRPr="002041DF">
        <w:rPr>
          <w:sz w:val="22"/>
          <w:szCs w:val="22"/>
          <w:lang w:val="sr-Latn-ME"/>
        </w:rPr>
        <w:t>eha</w:t>
      </w:r>
      <w:r w:rsidR="00891C9B" w:rsidRPr="002041DF">
        <w:rPr>
          <w:sz w:val="22"/>
          <w:szCs w:val="22"/>
          <w:lang w:val="sr-Latn-ME"/>
        </w:rPr>
        <w:t xml:space="preserve"> primjene </w:t>
      </w:r>
      <w:r w:rsidR="004A396C" w:rsidRPr="002041DF">
        <w:rPr>
          <w:sz w:val="22"/>
          <w:szCs w:val="22"/>
          <w:lang w:val="sr-Latn-ME"/>
        </w:rPr>
        <w:t xml:space="preserve">TNF antagonista i rase (Azijati naspram </w:t>
      </w:r>
      <w:r w:rsidR="00F909BE" w:rsidRPr="002041DF">
        <w:rPr>
          <w:sz w:val="22"/>
          <w:szCs w:val="22"/>
          <w:lang w:val="sr-Latn-ME"/>
        </w:rPr>
        <w:t>ostalih</w:t>
      </w:r>
      <w:r w:rsidR="004A396C" w:rsidRPr="002041DF">
        <w:rPr>
          <w:sz w:val="22"/>
          <w:szCs w:val="22"/>
          <w:lang w:val="sr-Latn-ME"/>
        </w:rPr>
        <w:t>).</w:t>
      </w:r>
      <w:r w:rsidR="00CA33FF" w:rsidRPr="002041DF">
        <w:rPr>
          <w:sz w:val="22"/>
          <w:szCs w:val="22"/>
          <w:lang w:val="sr-Latn-ME"/>
        </w:rPr>
        <w:t xml:space="preserve"> </w:t>
      </w:r>
      <w:r w:rsidR="004A396C" w:rsidRPr="002041DF">
        <w:rPr>
          <w:sz w:val="22"/>
          <w:szCs w:val="22"/>
          <w:lang w:val="sr-Latn-ME"/>
        </w:rPr>
        <w:t xml:space="preserve">Uticaj </w:t>
      </w:r>
      <w:r w:rsidR="001F3F00" w:rsidRPr="002041DF">
        <w:rPr>
          <w:sz w:val="22"/>
          <w:szCs w:val="22"/>
          <w:lang w:val="sr-Latn-ME"/>
        </w:rPr>
        <w:t>navedenih</w:t>
      </w:r>
      <w:r w:rsidR="004A396C" w:rsidRPr="002041DF">
        <w:rPr>
          <w:sz w:val="22"/>
          <w:szCs w:val="22"/>
          <w:lang w:val="sr-Latn-ME"/>
        </w:rPr>
        <w:t xml:space="preserve"> kovarijabli bio je</w:t>
      </w:r>
      <w:r w:rsidR="001F3F00" w:rsidRPr="002041DF">
        <w:rPr>
          <w:sz w:val="22"/>
          <w:szCs w:val="22"/>
          <w:lang w:val="sr-Latn-ME"/>
        </w:rPr>
        <w:t xml:space="preserve"> unutar</w:t>
      </w:r>
      <w:r w:rsidR="004A396C" w:rsidRPr="002041DF">
        <w:rPr>
          <w:sz w:val="22"/>
          <w:szCs w:val="22"/>
          <w:lang w:val="sr-Latn-ME"/>
        </w:rPr>
        <w:t xml:space="preserve"> ±20% tipične referentne vr</w:t>
      </w:r>
      <w:r w:rsidR="00CA33FF" w:rsidRPr="002041DF">
        <w:rPr>
          <w:sz w:val="22"/>
          <w:szCs w:val="22"/>
          <w:lang w:val="sr-Latn-ME"/>
        </w:rPr>
        <w:t>ij</w:t>
      </w:r>
      <w:r w:rsidR="004A396C" w:rsidRPr="002041DF">
        <w:rPr>
          <w:sz w:val="22"/>
          <w:szCs w:val="22"/>
          <w:lang w:val="sr-Latn-ME"/>
        </w:rPr>
        <w:t xml:space="preserve">ednosti odgovarajućeg farmakokinetičkog parametra, pa nije potrebna korekcija doze za ove kovarijable. Istovremena upotreba imunomodulatora nije imala značajan uticaj na raspoloživot ustekinumaba. </w:t>
      </w:r>
    </w:p>
    <w:p w14:paraId="381EC325" w14:textId="77777777" w:rsidR="00D623B5" w:rsidRPr="002041DF" w:rsidRDefault="00D623B5" w:rsidP="002041DF">
      <w:pPr>
        <w:pStyle w:val="Header"/>
        <w:widowControl w:val="0"/>
        <w:tabs>
          <w:tab w:val="left" w:pos="8886"/>
        </w:tabs>
        <w:jc w:val="both"/>
        <w:rPr>
          <w:sz w:val="22"/>
          <w:szCs w:val="22"/>
          <w:lang w:val="sr-Latn-ME"/>
        </w:rPr>
      </w:pPr>
    </w:p>
    <w:p w14:paraId="2B2CD81D" w14:textId="0A9FDB4E" w:rsidR="00D623B5" w:rsidRPr="002041DF" w:rsidRDefault="00623D38" w:rsidP="002041DF">
      <w:pPr>
        <w:widowControl w:val="0"/>
        <w:tabs>
          <w:tab w:val="left" w:pos="8886"/>
        </w:tabs>
        <w:jc w:val="both"/>
        <w:rPr>
          <w:sz w:val="22"/>
          <w:szCs w:val="22"/>
          <w:lang w:val="sr-Latn-ME"/>
        </w:rPr>
      </w:pPr>
      <w:r w:rsidRPr="002041DF">
        <w:rPr>
          <w:sz w:val="22"/>
          <w:szCs w:val="22"/>
          <w:lang w:val="sr-Latn-ME"/>
        </w:rPr>
        <w:t>U populacionoj farmakokinetičkoj analizi,</w:t>
      </w:r>
      <w:r w:rsidR="00E50471" w:rsidRPr="002041DF">
        <w:rPr>
          <w:sz w:val="22"/>
          <w:szCs w:val="22"/>
          <w:lang w:val="sr-Latn-ME"/>
        </w:rPr>
        <w:t xml:space="preserve"> nijesu </w:t>
      </w:r>
      <w:r w:rsidRPr="002041DF">
        <w:rPr>
          <w:sz w:val="22"/>
          <w:szCs w:val="22"/>
          <w:lang w:val="sr-Latn-ME"/>
        </w:rPr>
        <w:t>uočeni efekti duvana i alkohola na farmakokinetiku ustekinumaba.</w:t>
      </w:r>
    </w:p>
    <w:p w14:paraId="34BCE956" w14:textId="77777777" w:rsidR="00F909BE" w:rsidRPr="002041DF" w:rsidRDefault="00F909BE" w:rsidP="002041DF">
      <w:pPr>
        <w:widowControl w:val="0"/>
        <w:tabs>
          <w:tab w:val="left" w:pos="8886"/>
        </w:tabs>
        <w:jc w:val="both"/>
        <w:rPr>
          <w:iCs/>
          <w:sz w:val="22"/>
          <w:szCs w:val="22"/>
          <w:lang w:val="sr-Latn-ME"/>
        </w:rPr>
      </w:pPr>
    </w:p>
    <w:p w14:paraId="6A7F4315" w14:textId="467A6BA3" w:rsidR="00641C7D" w:rsidRPr="002041DF" w:rsidRDefault="00C868B4" w:rsidP="002041DF">
      <w:pPr>
        <w:widowControl w:val="0"/>
        <w:tabs>
          <w:tab w:val="left" w:pos="8886"/>
        </w:tabs>
        <w:jc w:val="both"/>
        <w:rPr>
          <w:iCs/>
          <w:sz w:val="22"/>
          <w:szCs w:val="22"/>
          <w:lang w:val="sr-Latn-ME"/>
        </w:rPr>
      </w:pPr>
      <w:r w:rsidRPr="002041DF">
        <w:rPr>
          <w:iCs/>
          <w:sz w:val="22"/>
          <w:szCs w:val="22"/>
          <w:lang w:val="sr-Latn-ME"/>
        </w:rPr>
        <w:t>K</w:t>
      </w:r>
      <w:r w:rsidR="00641C7D" w:rsidRPr="002041DF">
        <w:rPr>
          <w:iCs/>
          <w:sz w:val="22"/>
          <w:szCs w:val="22"/>
          <w:lang w:val="sr-Latn-ME"/>
        </w:rPr>
        <w:t xml:space="preserve">oncentracije ustekinumaba </w:t>
      </w:r>
      <w:r w:rsidRPr="002041DF">
        <w:rPr>
          <w:iCs/>
          <w:sz w:val="22"/>
          <w:szCs w:val="22"/>
          <w:lang w:val="sr-Latn-ME"/>
        </w:rPr>
        <w:t xml:space="preserve">u serumu </w:t>
      </w:r>
      <w:r w:rsidR="00641C7D" w:rsidRPr="002041DF">
        <w:rPr>
          <w:iCs/>
          <w:sz w:val="22"/>
          <w:szCs w:val="22"/>
          <w:lang w:val="sr-Latn-ME"/>
        </w:rPr>
        <w:t xml:space="preserve">kod pedijatrijskih </w:t>
      </w:r>
      <w:r w:rsidR="00A13585" w:rsidRPr="002041DF">
        <w:rPr>
          <w:iCs/>
          <w:sz w:val="22"/>
          <w:szCs w:val="22"/>
          <w:lang w:val="sr-Latn-ME"/>
        </w:rPr>
        <w:t>pacijenata uzrasta</w:t>
      </w:r>
      <w:r w:rsidR="00641C7D" w:rsidRPr="002041DF">
        <w:rPr>
          <w:iCs/>
          <w:sz w:val="22"/>
          <w:szCs w:val="22"/>
          <w:lang w:val="sr-Latn-ME"/>
        </w:rPr>
        <w:t xml:space="preserve"> </w:t>
      </w:r>
      <w:r w:rsidR="00FE3A23" w:rsidRPr="002041DF">
        <w:rPr>
          <w:iCs/>
          <w:sz w:val="22"/>
          <w:szCs w:val="22"/>
          <w:lang w:val="sr-Latn-ME"/>
        </w:rPr>
        <w:t>6</w:t>
      </w:r>
      <w:r w:rsidR="00641C7D" w:rsidRPr="002041DF">
        <w:rPr>
          <w:iCs/>
          <w:sz w:val="22"/>
          <w:szCs w:val="22"/>
          <w:lang w:val="sr-Latn-ME"/>
        </w:rPr>
        <w:t xml:space="preserve"> do 17 godina sa psorijazom, </w:t>
      </w:r>
      <w:r w:rsidR="00891C9B" w:rsidRPr="002041DF">
        <w:rPr>
          <w:iCs/>
          <w:sz w:val="22"/>
          <w:szCs w:val="22"/>
          <w:lang w:val="sr-Latn-ME"/>
        </w:rPr>
        <w:t>liječen</w:t>
      </w:r>
      <w:r w:rsidR="00641C7D" w:rsidRPr="002041DF">
        <w:rPr>
          <w:iCs/>
          <w:sz w:val="22"/>
          <w:szCs w:val="22"/>
          <w:lang w:val="sr-Latn-ME"/>
        </w:rPr>
        <w:t>ih preporučenom dozom koja se zasniva na t</w:t>
      </w:r>
      <w:r w:rsidR="00CA33FF" w:rsidRPr="002041DF">
        <w:rPr>
          <w:iCs/>
          <w:sz w:val="22"/>
          <w:szCs w:val="22"/>
          <w:lang w:val="sr-Latn-ME"/>
        </w:rPr>
        <w:t>j</w:t>
      </w:r>
      <w:r w:rsidR="00641C7D" w:rsidRPr="002041DF">
        <w:rPr>
          <w:iCs/>
          <w:sz w:val="22"/>
          <w:szCs w:val="22"/>
          <w:lang w:val="sr-Latn-ME"/>
        </w:rPr>
        <w:t xml:space="preserve">elesnoj masi, generalno su bile uporedive sa onima u odrasloj populaciji pacijenata sa psorijazom </w:t>
      </w:r>
      <w:r w:rsidR="00891C9B" w:rsidRPr="002041DF">
        <w:rPr>
          <w:iCs/>
          <w:sz w:val="22"/>
          <w:szCs w:val="22"/>
          <w:lang w:val="sr-Latn-ME"/>
        </w:rPr>
        <w:t>liječen</w:t>
      </w:r>
      <w:r w:rsidR="00641C7D" w:rsidRPr="002041DF">
        <w:rPr>
          <w:iCs/>
          <w:sz w:val="22"/>
          <w:szCs w:val="22"/>
          <w:lang w:val="sr-Latn-ME"/>
        </w:rPr>
        <w:t>ih dozom za odrasle</w:t>
      </w:r>
      <w:r w:rsidR="00FE3A23" w:rsidRPr="002041DF">
        <w:rPr>
          <w:iCs/>
          <w:sz w:val="22"/>
          <w:szCs w:val="22"/>
          <w:lang w:val="sr-Latn-ME"/>
        </w:rPr>
        <w:t>.</w:t>
      </w:r>
      <w:r w:rsidR="00641C7D" w:rsidRPr="002041DF">
        <w:rPr>
          <w:iCs/>
          <w:sz w:val="22"/>
          <w:szCs w:val="22"/>
          <w:lang w:val="sr-Latn-ME"/>
        </w:rPr>
        <w:t xml:space="preserve"> </w:t>
      </w:r>
      <w:r w:rsidR="00FE3A23" w:rsidRPr="002041DF">
        <w:rPr>
          <w:iCs/>
          <w:sz w:val="22"/>
          <w:szCs w:val="22"/>
          <w:lang w:val="sr-Latn-ME"/>
        </w:rPr>
        <w:t>K</w:t>
      </w:r>
      <w:r w:rsidR="00641C7D" w:rsidRPr="002041DF">
        <w:rPr>
          <w:iCs/>
          <w:sz w:val="22"/>
          <w:szCs w:val="22"/>
          <w:lang w:val="sr-Latn-ME"/>
        </w:rPr>
        <w:t xml:space="preserve">oncentracije ustekinumaba </w:t>
      </w:r>
      <w:r w:rsidRPr="002041DF">
        <w:rPr>
          <w:iCs/>
          <w:sz w:val="22"/>
          <w:szCs w:val="22"/>
          <w:lang w:val="sr-Latn-ME"/>
        </w:rPr>
        <w:t xml:space="preserve">u serumu </w:t>
      </w:r>
      <w:r w:rsidR="00641C7D" w:rsidRPr="002041DF">
        <w:rPr>
          <w:iCs/>
          <w:sz w:val="22"/>
          <w:szCs w:val="22"/>
          <w:lang w:val="sr-Latn-ME"/>
        </w:rPr>
        <w:t>kod pedijatrijskih pacijenata sa psorijazom</w:t>
      </w:r>
      <w:r w:rsidR="00FE3A23" w:rsidRPr="002041DF">
        <w:rPr>
          <w:iCs/>
          <w:sz w:val="22"/>
          <w:szCs w:val="22"/>
          <w:lang w:val="sr-Latn-ME"/>
        </w:rPr>
        <w:t xml:space="preserve"> uzrasta 12-17 godina (CADMUS)</w:t>
      </w:r>
      <w:r w:rsidR="00641C7D" w:rsidRPr="002041DF">
        <w:rPr>
          <w:iCs/>
          <w:sz w:val="22"/>
          <w:szCs w:val="22"/>
          <w:lang w:val="sr-Latn-ME"/>
        </w:rPr>
        <w:t xml:space="preserve"> </w:t>
      </w:r>
      <w:r w:rsidR="00891C9B" w:rsidRPr="002041DF">
        <w:rPr>
          <w:iCs/>
          <w:sz w:val="22"/>
          <w:szCs w:val="22"/>
          <w:lang w:val="sr-Latn-ME"/>
        </w:rPr>
        <w:t>liječen</w:t>
      </w:r>
      <w:r w:rsidR="00641C7D" w:rsidRPr="002041DF">
        <w:rPr>
          <w:iCs/>
          <w:sz w:val="22"/>
          <w:szCs w:val="22"/>
          <w:lang w:val="sr-Latn-ME"/>
        </w:rPr>
        <w:t>ih sa pola preporučene doze koja se zasniva na t</w:t>
      </w:r>
      <w:r w:rsidR="00CA33FF" w:rsidRPr="002041DF">
        <w:rPr>
          <w:iCs/>
          <w:sz w:val="22"/>
          <w:szCs w:val="22"/>
          <w:lang w:val="sr-Latn-ME"/>
        </w:rPr>
        <w:t>j</w:t>
      </w:r>
      <w:r w:rsidR="00641C7D" w:rsidRPr="002041DF">
        <w:rPr>
          <w:iCs/>
          <w:sz w:val="22"/>
          <w:szCs w:val="22"/>
          <w:lang w:val="sr-Latn-ME"/>
        </w:rPr>
        <w:t xml:space="preserve">elesnoj masi bile uopšteno </w:t>
      </w:r>
      <w:r w:rsidR="00527AC8" w:rsidRPr="002041DF">
        <w:rPr>
          <w:iCs/>
          <w:sz w:val="22"/>
          <w:szCs w:val="22"/>
          <w:lang w:val="sr-Latn-ME"/>
        </w:rPr>
        <w:t xml:space="preserve">manje </w:t>
      </w:r>
      <w:r w:rsidR="00641C7D" w:rsidRPr="002041DF">
        <w:rPr>
          <w:iCs/>
          <w:sz w:val="22"/>
          <w:szCs w:val="22"/>
          <w:lang w:val="sr-Latn-ME"/>
        </w:rPr>
        <w:t xml:space="preserve">nego kod odraslih </w:t>
      </w:r>
      <w:r w:rsidR="00495903" w:rsidRPr="002041DF">
        <w:rPr>
          <w:iCs/>
          <w:sz w:val="22"/>
          <w:szCs w:val="22"/>
          <w:lang w:val="sr-Latn-ME"/>
        </w:rPr>
        <w:t>pacijenata</w:t>
      </w:r>
      <w:r w:rsidR="00641C7D" w:rsidRPr="002041DF">
        <w:rPr>
          <w:iCs/>
          <w:sz w:val="22"/>
          <w:szCs w:val="22"/>
          <w:lang w:val="sr-Latn-ME"/>
        </w:rPr>
        <w:t>.</w:t>
      </w:r>
    </w:p>
    <w:p w14:paraId="34D98644" w14:textId="77777777" w:rsidR="00D623B5" w:rsidRPr="002041DF" w:rsidRDefault="00D623B5" w:rsidP="002041DF">
      <w:pPr>
        <w:widowControl w:val="0"/>
        <w:tabs>
          <w:tab w:val="left" w:pos="8886"/>
        </w:tabs>
        <w:jc w:val="both"/>
        <w:rPr>
          <w:iCs/>
          <w:sz w:val="22"/>
          <w:szCs w:val="22"/>
          <w:lang w:val="sr-Latn-ME"/>
        </w:rPr>
      </w:pPr>
    </w:p>
    <w:p w14:paraId="61BA6DC7" w14:textId="77777777" w:rsidR="00623D38" w:rsidRPr="002041DF" w:rsidRDefault="00623D38" w:rsidP="002041DF">
      <w:pPr>
        <w:widowControl w:val="0"/>
        <w:jc w:val="both"/>
        <w:rPr>
          <w:sz w:val="22"/>
          <w:szCs w:val="22"/>
          <w:u w:val="single"/>
          <w:lang w:val="sr-Latn-ME"/>
        </w:rPr>
      </w:pPr>
      <w:r w:rsidRPr="002041DF">
        <w:rPr>
          <w:sz w:val="22"/>
          <w:szCs w:val="22"/>
          <w:u w:val="single"/>
          <w:lang w:val="sr-Latn-ME"/>
        </w:rPr>
        <w:t>Regulacija enzima CYP450</w:t>
      </w:r>
    </w:p>
    <w:p w14:paraId="4812582A" w14:textId="52A6EA56" w:rsidR="00623D38" w:rsidRPr="002041DF" w:rsidRDefault="00623D38" w:rsidP="002041DF">
      <w:pPr>
        <w:widowControl w:val="0"/>
        <w:jc w:val="both"/>
        <w:rPr>
          <w:b/>
          <w:sz w:val="22"/>
          <w:szCs w:val="22"/>
          <w:lang w:val="sr-Latn-ME"/>
        </w:rPr>
      </w:pPr>
      <w:r w:rsidRPr="002041DF">
        <w:rPr>
          <w:sz w:val="22"/>
          <w:szCs w:val="22"/>
          <w:lang w:val="sr-Latn-ME"/>
        </w:rPr>
        <w:t>Efekti IL-12 ili IL-23 na regulaciju enzima CYP450 proc</w:t>
      </w:r>
      <w:r w:rsidR="00CA33FF" w:rsidRPr="002041DF">
        <w:rPr>
          <w:sz w:val="22"/>
          <w:szCs w:val="22"/>
          <w:lang w:val="sr-Latn-ME"/>
        </w:rPr>
        <w:t>j</w:t>
      </w:r>
      <w:r w:rsidRPr="002041DF">
        <w:rPr>
          <w:sz w:val="22"/>
          <w:szCs w:val="22"/>
          <w:lang w:val="sr-Latn-ME"/>
        </w:rPr>
        <w:t xml:space="preserve">enjivani su </w:t>
      </w:r>
      <w:r w:rsidRPr="002041DF">
        <w:rPr>
          <w:i/>
          <w:sz w:val="22"/>
          <w:szCs w:val="22"/>
          <w:lang w:val="sr-Latn-ME"/>
        </w:rPr>
        <w:t xml:space="preserve">in vitro </w:t>
      </w:r>
      <w:r w:rsidRPr="002041DF">
        <w:rPr>
          <w:sz w:val="22"/>
          <w:szCs w:val="22"/>
          <w:lang w:val="sr-Latn-ME"/>
        </w:rPr>
        <w:t xml:space="preserve">u studiji na humanim hepatocitima, u kojoj je </w:t>
      </w:r>
      <w:r w:rsidR="00A47731" w:rsidRPr="002041DF">
        <w:rPr>
          <w:sz w:val="22"/>
          <w:szCs w:val="22"/>
          <w:lang w:val="sr-Latn-ME"/>
        </w:rPr>
        <w:t>pokazano</w:t>
      </w:r>
      <w:r w:rsidRPr="002041DF">
        <w:rPr>
          <w:sz w:val="22"/>
          <w:szCs w:val="22"/>
          <w:lang w:val="sr-Latn-ME"/>
        </w:rPr>
        <w:t xml:space="preserve"> da IL-12 i/ili IL-23, u koncentracijama od 10 ng/</w:t>
      </w:r>
      <w:r w:rsidR="00AA3CA9" w:rsidRPr="002041DF">
        <w:rPr>
          <w:sz w:val="22"/>
          <w:szCs w:val="22"/>
          <w:lang w:val="sr-Latn-ME"/>
        </w:rPr>
        <w:t>ml</w:t>
      </w:r>
      <w:r w:rsidRPr="002041DF">
        <w:rPr>
          <w:sz w:val="22"/>
          <w:szCs w:val="22"/>
          <w:lang w:val="sr-Latn-ME"/>
        </w:rPr>
        <w:t>,</w:t>
      </w:r>
      <w:r w:rsidR="00E50471" w:rsidRPr="002041DF">
        <w:rPr>
          <w:sz w:val="22"/>
          <w:szCs w:val="22"/>
          <w:lang w:val="sr-Latn-ME"/>
        </w:rPr>
        <w:t xml:space="preserve"> nijesu </w:t>
      </w:r>
      <w:r w:rsidRPr="002041DF">
        <w:rPr>
          <w:sz w:val="22"/>
          <w:szCs w:val="22"/>
          <w:lang w:val="sr-Latn-ME"/>
        </w:rPr>
        <w:t>m</w:t>
      </w:r>
      <w:r w:rsidR="00CA33FF" w:rsidRPr="002041DF">
        <w:rPr>
          <w:sz w:val="22"/>
          <w:szCs w:val="22"/>
          <w:lang w:val="sr-Latn-ME"/>
        </w:rPr>
        <w:t>ij</w:t>
      </w:r>
      <w:r w:rsidRPr="002041DF">
        <w:rPr>
          <w:sz w:val="22"/>
          <w:szCs w:val="22"/>
          <w:lang w:val="sr-Latn-ME"/>
        </w:rPr>
        <w:t xml:space="preserve">enjali aktivnost humanih enzima CYP450 (CYP1A2, 2B6, 2C9, 2C19, 2D6 ili 3A4; </w:t>
      </w:r>
      <w:r w:rsidR="006779EA" w:rsidRPr="002041DF">
        <w:rPr>
          <w:sz w:val="22"/>
          <w:szCs w:val="22"/>
          <w:lang w:val="sr-Latn-ME"/>
        </w:rPr>
        <w:t>vidjeti</w:t>
      </w:r>
      <w:r w:rsidRPr="002041DF">
        <w:rPr>
          <w:sz w:val="22"/>
          <w:szCs w:val="22"/>
          <w:lang w:val="sr-Latn-ME"/>
        </w:rPr>
        <w:t xml:space="preserve"> </w:t>
      </w:r>
      <w:r w:rsidR="00292E06" w:rsidRPr="002041DF">
        <w:rPr>
          <w:sz w:val="22"/>
          <w:szCs w:val="22"/>
          <w:lang w:val="sr-Latn-ME"/>
        </w:rPr>
        <w:t>dio</w:t>
      </w:r>
      <w:r w:rsidRPr="002041DF">
        <w:rPr>
          <w:sz w:val="22"/>
          <w:szCs w:val="22"/>
          <w:lang w:val="sr-Latn-ME"/>
        </w:rPr>
        <w:t xml:space="preserve"> 4.5.).</w:t>
      </w:r>
    </w:p>
    <w:p w14:paraId="02CD1A2E" w14:textId="77777777" w:rsidR="00623D38" w:rsidRPr="002041DF" w:rsidRDefault="00623D38" w:rsidP="002041DF">
      <w:pPr>
        <w:widowControl w:val="0"/>
        <w:jc w:val="both"/>
        <w:rPr>
          <w:b/>
          <w:sz w:val="22"/>
          <w:szCs w:val="22"/>
          <w:lang w:val="sr-Latn-ME"/>
        </w:rPr>
      </w:pPr>
    </w:p>
    <w:p w14:paraId="6F32A3F4" w14:textId="10A85A91" w:rsidR="009B4B86" w:rsidRPr="002041DF" w:rsidRDefault="009B4B86" w:rsidP="002041DF">
      <w:pPr>
        <w:widowControl w:val="0"/>
        <w:jc w:val="both"/>
        <w:rPr>
          <w:bCs/>
          <w:sz w:val="22"/>
          <w:szCs w:val="22"/>
          <w:lang w:val="sr-Latn-ME"/>
        </w:rPr>
      </w:pPr>
      <w:r w:rsidRPr="002041DF">
        <w:rPr>
          <w:bCs/>
          <w:sz w:val="22"/>
          <w:szCs w:val="22"/>
          <w:lang w:val="sr-Latn-ME"/>
        </w:rPr>
        <w:t>Sprovedeno je otvoreno, kliničko ispitivanje interakcije l</w:t>
      </w:r>
      <w:r w:rsidR="00810168" w:rsidRPr="002041DF">
        <w:rPr>
          <w:bCs/>
          <w:sz w:val="22"/>
          <w:szCs w:val="22"/>
          <w:lang w:val="sr-Latn-ME"/>
        </w:rPr>
        <w:t>j</w:t>
      </w:r>
      <w:r w:rsidRPr="002041DF">
        <w:rPr>
          <w:bCs/>
          <w:sz w:val="22"/>
          <w:szCs w:val="22"/>
          <w:lang w:val="sr-Latn-ME"/>
        </w:rPr>
        <w:t>ekova faze 1, ispitivanje CNTO1275CRD1003, kako bi se proc</w:t>
      </w:r>
      <w:r w:rsidR="00810168" w:rsidRPr="002041DF">
        <w:rPr>
          <w:bCs/>
          <w:sz w:val="22"/>
          <w:szCs w:val="22"/>
          <w:lang w:val="sr-Latn-ME"/>
        </w:rPr>
        <w:t>ij</w:t>
      </w:r>
      <w:r w:rsidRPr="002041DF">
        <w:rPr>
          <w:bCs/>
          <w:sz w:val="22"/>
          <w:szCs w:val="22"/>
          <w:lang w:val="sr-Latn-ME"/>
        </w:rPr>
        <w:t xml:space="preserve">enio efekat ustekinumaba na aktivnosti enzima citohroma P450 nakon indukcije i </w:t>
      </w:r>
      <w:r w:rsidRPr="002041DF">
        <w:rPr>
          <w:bCs/>
          <w:sz w:val="22"/>
          <w:szCs w:val="22"/>
          <w:lang w:val="sr-Latn-ME"/>
        </w:rPr>
        <w:lastRenderedPageBreak/>
        <w:t>održavanja doze kod pacijenata sa aktivnom Kronovom bolešću (n=18). Nisu prim</w:t>
      </w:r>
      <w:r w:rsidR="00810168" w:rsidRPr="002041DF">
        <w:rPr>
          <w:bCs/>
          <w:sz w:val="22"/>
          <w:szCs w:val="22"/>
          <w:lang w:val="sr-Latn-ME"/>
        </w:rPr>
        <w:t>ij</w:t>
      </w:r>
      <w:r w:rsidRPr="002041DF">
        <w:rPr>
          <w:bCs/>
          <w:sz w:val="22"/>
          <w:szCs w:val="22"/>
          <w:lang w:val="sr-Latn-ME"/>
        </w:rPr>
        <w:t>ećene klinički značajne prom</w:t>
      </w:r>
      <w:r w:rsidR="00810168" w:rsidRPr="002041DF">
        <w:rPr>
          <w:bCs/>
          <w:sz w:val="22"/>
          <w:szCs w:val="22"/>
          <w:lang w:val="sr-Latn-ME"/>
        </w:rPr>
        <w:t>j</w:t>
      </w:r>
      <w:r w:rsidRPr="002041DF">
        <w:rPr>
          <w:bCs/>
          <w:sz w:val="22"/>
          <w:szCs w:val="22"/>
          <w:lang w:val="sr-Latn-ME"/>
        </w:rPr>
        <w:t>ene u izloženosti kofeinu (CYP1A2 supstrat), varfarinu (CYP2C9 supstrat), omeprazolu (CYP2C19 supstrat), dekstrometorfanu (CYP2D6 supstrat) ili midazolamu (CYP3A supstrat) kada se prim</w:t>
      </w:r>
      <w:r w:rsidR="00810168" w:rsidRPr="002041DF">
        <w:rPr>
          <w:bCs/>
          <w:sz w:val="22"/>
          <w:szCs w:val="22"/>
          <w:lang w:val="sr-Latn-ME"/>
        </w:rPr>
        <w:t>j</w:t>
      </w:r>
      <w:r w:rsidRPr="002041DF">
        <w:rPr>
          <w:bCs/>
          <w:sz w:val="22"/>
          <w:szCs w:val="22"/>
          <w:lang w:val="sr-Latn-ME"/>
        </w:rPr>
        <w:t>enjuju zajedno sa ustekinumabom prema odobrenom preporučenom doziranju kod pacijenata sa Kronovom bolešću (vid</w:t>
      </w:r>
      <w:r w:rsidR="00810168" w:rsidRPr="002041DF">
        <w:rPr>
          <w:bCs/>
          <w:sz w:val="22"/>
          <w:szCs w:val="22"/>
          <w:lang w:val="sr-Latn-ME"/>
        </w:rPr>
        <w:t>j</w:t>
      </w:r>
      <w:r w:rsidRPr="002041DF">
        <w:rPr>
          <w:bCs/>
          <w:sz w:val="22"/>
          <w:szCs w:val="22"/>
          <w:lang w:val="sr-Latn-ME"/>
        </w:rPr>
        <w:t xml:space="preserve">eti </w:t>
      </w:r>
      <w:r w:rsidR="00810168" w:rsidRPr="002041DF">
        <w:rPr>
          <w:bCs/>
          <w:sz w:val="22"/>
          <w:szCs w:val="22"/>
          <w:lang w:val="sr-Latn-ME"/>
        </w:rPr>
        <w:t>dio</w:t>
      </w:r>
      <w:r w:rsidRPr="002041DF">
        <w:rPr>
          <w:bCs/>
          <w:sz w:val="22"/>
          <w:szCs w:val="22"/>
          <w:lang w:val="sr-Latn-ME"/>
        </w:rPr>
        <w:t xml:space="preserve"> 4.5).</w:t>
      </w:r>
    </w:p>
    <w:p w14:paraId="469AD4D7" w14:textId="77777777" w:rsidR="009B4B86" w:rsidRPr="002041DF" w:rsidRDefault="009B4B86" w:rsidP="002041DF">
      <w:pPr>
        <w:widowControl w:val="0"/>
        <w:jc w:val="both"/>
        <w:rPr>
          <w:b/>
          <w:sz w:val="22"/>
          <w:szCs w:val="22"/>
          <w:lang w:val="sr-Latn-ME"/>
        </w:rPr>
      </w:pPr>
    </w:p>
    <w:p w14:paraId="5C8A4319" w14:textId="77777777" w:rsidR="00921FA2" w:rsidRPr="002041DF" w:rsidRDefault="00921FA2" w:rsidP="002041DF">
      <w:pPr>
        <w:widowControl w:val="0"/>
        <w:tabs>
          <w:tab w:val="left" w:pos="540"/>
          <w:tab w:val="left" w:pos="569"/>
        </w:tabs>
        <w:jc w:val="both"/>
        <w:rPr>
          <w:b/>
          <w:bCs/>
          <w:sz w:val="22"/>
          <w:szCs w:val="22"/>
          <w:lang w:val="sr-Latn-ME"/>
        </w:rPr>
      </w:pPr>
      <w:r w:rsidRPr="002041DF">
        <w:rPr>
          <w:b/>
          <w:bCs/>
          <w:sz w:val="22"/>
          <w:szCs w:val="22"/>
          <w:lang w:val="sr-Latn-ME"/>
        </w:rPr>
        <w:t xml:space="preserve">5.3. </w:t>
      </w:r>
      <w:r w:rsidRPr="002041DF">
        <w:rPr>
          <w:b/>
          <w:bCs/>
          <w:sz w:val="22"/>
          <w:szCs w:val="22"/>
          <w:lang w:val="sr-Latn-ME"/>
        </w:rPr>
        <w:tab/>
        <w:t xml:space="preserve">Pretklinički podaci o bezbjednosti </w:t>
      </w:r>
    </w:p>
    <w:p w14:paraId="5D48B8C5" w14:textId="77777777" w:rsidR="00EF3C15" w:rsidRPr="002041DF" w:rsidRDefault="00EF3C15" w:rsidP="002041DF">
      <w:pPr>
        <w:pStyle w:val="Header"/>
        <w:widowControl w:val="0"/>
        <w:tabs>
          <w:tab w:val="left" w:pos="284"/>
        </w:tabs>
        <w:jc w:val="both"/>
        <w:rPr>
          <w:sz w:val="22"/>
          <w:szCs w:val="22"/>
          <w:lang w:val="sr-Latn-ME"/>
        </w:rPr>
      </w:pPr>
      <w:bookmarkStart w:id="22" w:name="_Hlk504750313"/>
    </w:p>
    <w:p w14:paraId="49E5342F" w14:textId="53DB5B83" w:rsidR="00623D38" w:rsidRPr="002041DF" w:rsidRDefault="00A47731" w:rsidP="002041DF">
      <w:pPr>
        <w:pStyle w:val="Header"/>
        <w:widowControl w:val="0"/>
        <w:tabs>
          <w:tab w:val="left" w:pos="284"/>
        </w:tabs>
        <w:jc w:val="both"/>
        <w:rPr>
          <w:sz w:val="22"/>
          <w:szCs w:val="22"/>
          <w:lang w:val="sr-Latn-ME"/>
        </w:rPr>
      </w:pPr>
      <w:r w:rsidRPr="002041DF">
        <w:rPr>
          <w:sz w:val="22"/>
          <w:szCs w:val="22"/>
          <w:lang w:val="sr-Latn-ME"/>
        </w:rPr>
        <w:t>Pretklinički</w:t>
      </w:r>
      <w:r w:rsidR="00623D38" w:rsidRPr="002041DF">
        <w:rPr>
          <w:sz w:val="22"/>
          <w:szCs w:val="22"/>
          <w:lang w:val="sr-Latn-ME"/>
        </w:rPr>
        <w:t xml:space="preserve"> podaci ne </w:t>
      </w:r>
      <w:r w:rsidR="00804D28" w:rsidRPr="002041DF">
        <w:rPr>
          <w:sz w:val="22"/>
          <w:szCs w:val="22"/>
          <w:lang w:val="sr-Latn-ME"/>
        </w:rPr>
        <w:t>ukazuju na</w:t>
      </w:r>
      <w:r w:rsidR="00623D38" w:rsidRPr="002041DF">
        <w:rPr>
          <w:sz w:val="22"/>
          <w:szCs w:val="22"/>
          <w:lang w:val="sr-Latn-ME"/>
        </w:rPr>
        <w:t xml:space="preserve"> posebnu opasnost za ljude (npr. </w:t>
      </w:r>
      <w:r w:rsidR="00804D28" w:rsidRPr="002041DF">
        <w:rPr>
          <w:sz w:val="22"/>
          <w:szCs w:val="22"/>
          <w:lang w:val="sr-Latn-ME"/>
        </w:rPr>
        <w:t>toksičnost na organe</w:t>
      </w:r>
      <w:r w:rsidR="00623D38" w:rsidRPr="002041DF">
        <w:rPr>
          <w:sz w:val="22"/>
          <w:szCs w:val="22"/>
          <w:lang w:val="sr-Latn-ME"/>
        </w:rPr>
        <w:t xml:space="preserve">) na </w:t>
      </w:r>
      <w:r w:rsidRPr="002041DF">
        <w:rPr>
          <w:sz w:val="22"/>
          <w:szCs w:val="22"/>
          <w:lang w:val="sr-Latn-ME"/>
        </w:rPr>
        <w:t xml:space="preserve">osnovu </w:t>
      </w:r>
      <w:r w:rsidR="00623D38" w:rsidRPr="002041DF">
        <w:rPr>
          <w:sz w:val="22"/>
          <w:szCs w:val="22"/>
          <w:lang w:val="sr-Latn-ME"/>
        </w:rPr>
        <w:t>ispitivanj</w:t>
      </w:r>
      <w:r w:rsidRPr="002041DF">
        <w:rPr>
          <w:sz w:val="22"/>
          <w:szCs w:val="22"/>
          <w:lang w:val="sr-Latn-ME"/>
        </w:rPr>
        <w:t>a</w:t>
      </w:r>
      <w:r w:rsidR="00623D38" w:rsidRPr="002041DF">
        <w:rPr>
          <w:sz w:val="22"/>
          <w:szCs w:val="22"/>
          <w:lang w:val="sr-Latn-ME"/>
        </w:rPr>
        <w:t xml:space="preserve"> toksičnosti ponovljenih doza i razvojne i reproduktivne toksičnosti, uključujući i </w:t>
      </w:r>
      <w:r w:rsidR="00804D28" w:rsidRPr="002041DF">
        <w:rPr>
          <w:sz w:val="22"/>
          <w:szCs w:val="22"/>
          <w:lang w:val="sr-Latn-ME"/>
        </w:rPr>
        <w:t>proc</w:t>
      </w:r>
      <w:r w:rsidR="00CA33FF" w:rsidRPr="002041DF">
        <w:rPr>
          <w:sz w:val="22"/>
          <w:szCs w:val="22"/>
          <w:lang w:val="sr-Latn-ME"/>
        </w:rPr>
        <w:t>j</w:t>
      </w:r>
      <w:r w:rsidR="00804D28" w:rsidRPr="002041DF">
        <w:rPr>
          <w:sz w:val="22"/>
          <w:szCs w:val="22"/>
          <w:lang w:val="sr-Latn-ME"/>
        </w:rPr>
        <w:t>enu bezb</w:t>
      </w:r>
      <w:r w:rsidR="00CA33FF" w:rsidRPr="002041DF">
        <w:rPr>
          <w:sz w:val="22"/>
          <w:szCs w:val="22"/>
          <w:lang w:val="sr-Latn-ME"/>
        </w:rPr>
        <w:t>j</w:t>
      </w:r>
      <w:r w:rsidR="00804D28" w:rsidRPr="002041DF">
        <w:rPr>
          <w:sz w:val="22"/>
          <w:szCs w:val="22"/>
          <w:lang w:val="sr-Latn-ME"/>
        </w:rPr>
        <w:t>ednosne farmakologije</w:t>
      </w:r>
      <w:r w:rsidR="00623D38" w:rsidRPr="002041DF">
        <w:rPr>
          <w:sz w:val="22"/>
          <w:szCs w:val="22"/>
          <w:lang w:val="sr-Latn-ME"/>
        </w:rPr>
        <w:t xml:space="preserve">. </w:t>
      </w:r>
      <w:bookmarkStart w:id="23" w:name="_Hlk504750356"/>
      <w:bookmarkEnd w:id="22"/>
      <w:r w:rsidR="00623D38" w:rsidRPr="002041DF">
        <w:rPr>
          <w:sz w:val="22"/>
          <w:szCs w:val="22"/>
          <w:lang w:val="sr-Latn-ME"/>
        </w:rPr>
        <w:t xml:space="preserve">U ispitivanjima razvojne i reproduktivne toksičnosti na </w:t>
      </w:r>
      <w:r w:rsidR="000B084E" w:rsidRPr="002041DF">
        <w:rPr>
          <w:sz w:val="22"/>
          <w:szCs w:val="22"/>
          <w:lang w:val="sr-Latn-ME"/>
        </w:rPr>
        <w:t xml:space="preserve">makaki </w:t>
      </w:r>
      <w:r w:rsidR="00623D38" w:rsidRPr="002041DF">
        <w:rPr>
          <w:sz w:val="22"/>
          <w:szCs w:val="22"/>
          <w:lang w:val="sr-Latn-ME"/>
        </w:rPr>
        <w:t>majmunima,</w:t>
      </w:r>
      <w:r w:rsidR="00E50471" w:rsidRPr="002041DF">
        <w:rPr>
          <w:sz w:val="22"/>
          <w:szCs w:val="22"/>
          <w:lang w:val="sr-Latn-ME"/>
        </w:rPr>
        <w:t xml:space="preserve"> nijesu </w:t>
      </w:r>
      <w:r w:rsidR="00891C9B" w:rsidRPr="002041DF">
        <w:rPr>
          <w:sz w:val="22"/>
          <w:szCs w:val="22"/>
          <w:lang w:val="sr-Latn-ME"/>
        </w:rPr>
        <w:t>zabilježen</w:t>
      </w:r>
      <w:r w:rsidR="00623D38" w:rsidRPr="002041DF">
        <w:rPr>
          <w:sz w:val="22"/>
          <w:szCs w:val="22"/>
          <w:lang w:val="sr-Latn-ME"/>
        </w:rPr>
        <w:t>a neželjena dejstva na fertilitet kod mužjaka, kao ni defekt</w:t>
      </w:r>
      <w:r w:rsidR="000B084E" w:rsidRPr="002041DF">
        <w:rPr>
          <w:sz w:val="22"/>
          <w:szCs w:val="22"/>
          <w:lang w:val="sr-Latn-ME"/>
        </w:rPr>
        <w:t>i</w:t>
      </w:r>
      <w:r w:rsidR="00623D38" w:rsidRPr="002041DF">
        <w:rPr>
          <w:sz w:val="22"/>
          <w:szCs w:val="22"/>
          <w:lang w:val="sr-Latn-ME"/>
        </w:rPr>
        <w:t xml:space="preserve"> </w:t>
      </w:r>
      <w:r w:rsidRPr="002041DF">
        <w:rPr>
          <w:sz w:val="22"/>
          <w:szCs w:val="22"/>
          <w:lang w:val="sr-Latn-ME"/>
        </w:rPr>
        <w:t xml:space="preserve">na rođenju </w:t>
      </w:r>
      <w:r w:rsidR="00623D38" w:rsidRPr="002041DF">
        <w:rPr>
          <w:sz w:val="22"/>
          <w:szCs w:val="22"/>
          <w:lang w:val="sr-Latn-ME"/>
        </w:rPr>
        <w:t>ni razvojn</w:t>
      </w:r>
      <w:r w:rsidR="000B084E" w:rsidRPr="002041DF">
        <w:rPr>
          <w:sz w:val="22"/>
          <w:szCs w:val="22"/>
          <w:lang w:val="sr-Latn-ME"/>
        </w:rPr>
        <w:t>a</w:t>
      </w:r>
      <w:r w:rsidR="00623D38" w:rsidRPr="002041DF">
        <w:rPr>
          <w:sz w:val="22"/>
          <w:szCs w:val="22"/>
          <w:lang w:val="sr-Latn-ME"/>
        </w:rPr>
        <w:t xml:space="preserve"> toksičnost.</w:t>
      </w:r>
      <w:r w:rsidR="00E50471" w:rsidRPr="002041DF">
        <w:rPr>
          <w:sz w:val="22"/>
          <w:szCs w:val="22"/>
          <w:lang w:val="sr-Latn-ME"/>
        </w:rPr>
        <w:t xml:space="preserve"> </w:t>
      </w:r>
      <w:r w:rsidR="00CA33FF" w:rsidRPr="002041DF">
        <w:rPr>
          <w:sz w:val="22"/>
          <w:szCs w:val="22"/>
          <w:lang w:val="sr-Latn-ME"/>
        </w:rPr>
        <w:t>N</w:t>
      </w:r>
      <w:r w:rsidR="00E50471" w:rsidRPr="002041DF">
        <w:rPr>
          <w:sz w:val="22"/>
          <w:szCs w:val="22"/>
          <w:lang w:val="sr-Latn-ME"/>
        </w:rPr>
        <w:t xml:space="preserve">ijesu </w:t>
      </w:r>
      <w:r w:rsidR="00891C9B" w:rsidRPr="002041DF">
        <w:rPr>
          <w:sz w:val="22"/>
          <w:szCs w:val="22"/>
          <w:lang w:val="sr-Latn-ME"/>
        </w:rPr>
        <w:t>zabilježen</w:t>
      </w:r>
      <w:r w:rsidR="00623D38" w:rsidRPr="002041DF">
        <w:rPr>
          <w:sz w:val="22"/>
          <w:szCs w:val="22"/>
          <w:lang w:val="sr-Latn-ME"/>
        </w:rPr>
        <w:t xml:space="preserve">a neželjena dejstva na fertilitet kod ženki, koristeći analogna </w:t>
      </w:r>
      <w:r w:rsidR="00C23E53" w:rsidRPr="002041DF">
        <w:rPr>
          <w:sz w:val="22"/>
          <w:szCs w:val="22"/>
          <w:lang w:val="sr-Latn-ME"/>
        </w:rPr>
        <w:t>antitijela</w:t>
      </w:r>
      <w:r w:rsidR="00623D38" w:rsidRPr="002041DF">
        <w:rPr>
          <w:sz w:val="22"/>
          <w:szCs w:val="22"/>
          <w:lang w:val="sr-Latn-ME"/>
        </w:rPr>
        <w:t xml:space="preserve"> za IL-12/23 kod miševa.</w:t>
      </w:r>
    </w:p>
    <w:p w14:paraId="21529991" w14:textId="77777777" w:rsidR="0066112E" w:rsidRPr="002041DF" w:rsidRDefault="0066112E" w:rsidP="002041DF">
      <w:pPr>
        <w:pStyle w:val="Header"/>
        <w:widowControl w:val="0"/>
        <w:tabs>
          <w:tab w:val="left" w:pos="284"/>
        </w:tabs>
        <w:jc w:val="both"/>
        <w:rPr>
          <w:sz w:val="22"/>
          <w:szCs w:val="22"/>
          <w:lang w:val="sr-Latn-ME"/>
        </w:rPr>
      </w:pPr>
    </w:p>
    <w:p w14:paraId="790FC803" w14:textId="23819749" w:rsidR="00623D38" w:rsidRPr="002041DF" w:rsidRDefault="00560686" w:rsidP="002041DF">
      <w:pPr>
        <w:pStyle w:val="Header"/>
        <w:widowControl w:val="0"/>
        <w:tabs>
          <w:tab w:val="left" w:pos="284"/>
        </w:tabs>
        <w:jc w:val="both"/>
        <w:rPr>
          <w:sz w:val="22"/>
          <w:szCs w:val="22"/>
          <w:lang w:val="sr-Latn-ME"/>
        </w:rPr>
      </w:pPr>
      <w:r w:rsidRPr="002041DF">
        <w:rPr>
          <w:sz w:val="22"/>
          <w:szCs w:val="22"/>
          <w:lang w:val="sr-Latn-ME"/>
        </w:rPr>
        <w:t>Vr</w:t>
      </w:r>
      <w:r w:rsidR="00CA33FF" w:rsidRPr="002041DF">
        <w:rPr>
          <w:sz w:val="22"/>
          <w:szCs w:val="22"/>
          <w:lang w:val="sr-Latn-ME"/>
        </w:rPr>
        <w:t>ij</w:t>
      </w:r>
      <w:r w:rsidRPr="002041DF">
        <w:rPr>
          <w:sz w:val="22"/>
          <w:szCs w:val="22"/>
          <w:lang w:val="sr-Latn-ME"/>
        </w:rPr>
        <w:t>ednosti</w:t>
      </w:r>
      <w:r w:rsidR="000B084E" w:rsidRPr="002041DF">
        <w:rPr>
          <w:sz w:val="22"/>
          <w:szCs w:val="22"/>
          <w:lang w:val="sr-Latn-ME"/>
        </w:rPr>
        <w:t xml:space="preserve"> d</w:t>
      </w:r>
      <w:r w:rsidR="00623D38" w:rsidRPr="002041DF">
        <w:rPr>
          <w:sz w:val="22"/>
          <w:szCs w:val="22"/>
          <w:lang w:val="sr-Latn-ME"/>
        </w:rPr>
        <w:t>oz</w:t>
      </w:r>
      <w:r w:rsidR="000B084E" w:rsidRPr="002041DF">
        <w:rPr>
          <w:sz w:val="22"/>
          <w:szCs w:val="22"/>
          <w:lang w:val="sr-Latn-ME"/>
        </w:rPr>
        <w:t>a</w:t>
      </w:r>
      <w:r w:rsidR="00623D38" w:rsidRPr="002041DF">
        <w:rPr>
          <w:sz w:val="22"/>
          <w:szCs w:val="22"/>
          <w:lang w:val="sr-Latn-ME"/>
        </w:rPr>
        <w:t xml:space="preserve"> u ispitivanjima na životinjama </w:t>
      </w:r>
      <w:r w:rsidR="000B084E" w:rsidRPr="002041DF">
        <w:rPr>
          <w:sz w:val="22"/>
          <w:szCs w:val="22"/>
          <w:lang w:val="sr-Latn-ME"/>
        </w:rPr>
        <w:t xml:space="preserve">su </w:t>
      </w:r>
      <w:r w:rsidR="00390676" w:rsidRPr="002041DF">
        <w:rPr>
          <w:sz w:val="22"/>
          <w:szCs w:val="22"/>
          <w:lang w:val="sr-Latn-ME"/>
        </w:rPr>
        <w:t>bile</w:t>
      </w:r>
      <w:r w:rsidR="00623D38" w:rsidRPr="002041DF">
        <w:rPr>
          <w:sz w:val="22"/>
          <w:szCs w:val="22"/>
          <w:lang w:val="sr-Latn-ME"/>
        </w:rPr>
        <w:t xml:space="preserve"> pros</w:t>
      </w:r>
      <w:r w:rsidR="00CA33FF" w:rsidRPr="002041DF">
        <w:rPr>
          <w:sz w:val="22"/>
          <w:szCs w:val="22"/>
          <w:lang w:val="sr-Latn-ME"/>
        </w:rPr>
        <w:t>j</w:t>
      </w:r>
      <w:r w:rsidR="00623D38" w:rsidRPr="002041DF">
        <w:rPr>
          <w:sz w:val="22"/>
          <w:szCs w:val="22"/>
          <w:lang w:val="sr-Latn-ME"/>
        </w:rPr>
        <w:t xml:space="preserve">ečno 45 puta </w:t>
      </w:r>
      <w:r w:rsidR="00390676" w:rsidRPr="002041DF">
        <w:rPr>
          <w:sz w:val="22"/>
          <w:szCs w:val="22"/>
          <w:lang w:val="sr-Latn-ME"/>
        </w:rPr>
        <w:t>veće</w:t>
      </w:r>
      <w:r w:rsidR="00623D38" w:rsidRPr="002041DF">
        <w:rPr>
          <w:sz w:val="22"/>
          <w:szCs w:val="22"/>
          <w:lang w:val="sr-Latn-ME"/>
        </w:rPr>
        <w:t xml:space="preserve"> od najveće ekvivalentne doze koja je nam</w:t>
      </w:r>
      <w:r w:rsidR="00CA33FF" w:rsidRPr="002041DF">
        <w:rPr>
          <w:sz w:val="22"/>
          <w:szCs w:val="22"/>
          <w:lang w:val="sr-Latn-ME"/>
        </w:rPr>
        <w:t>ij</w:t>
      </w:r>
      <w:r w:rsidR="00623D38" w:rsidRPr="002041DF">
        <w:rPr>
          <w:sz w:val="22"/>
          <w:szCs w:val="22"/>
          <w:lang w:val="sr-Latn-ME"/>
        </w:rPr>
        <w:t>enjena za l</w:t>
      </w:r>
      <w:r w:rsidR="00CA33FF" w:rsidRPr="002041DF">
        <w:rPr>
          <w:sz w:val="22"/>
          <w:szCs w:val="22"/>
          <w:lang w:val="sr-Latn-ME"/>
        </w:rPr>
        <w:t>iječ</w:t>
      </w:r>
      <w:r w:rsidR="00623D38" w:rsidRPr="002041DF">
        <w:rPr>
          <w:sz w:val="22"/>
          <w:szCs w:val="22"/>
          <w:lang w:val="sr-Latn-ME"/>
        </w:rPr>
        <w:t>enje pacijenata sa psorijazom,</w:t>
      </w:r>
      <w:r w:rsidR="004F70C6" w:rsidRPr="002041DF">
        <w:rPr>
          <w:sz w:val="22"/>
          <w:szCs w:val="22"/>
          <w:lang w:val="sr-Latn-ME"/>
        </w:rPr>
        <w:t xml:space="preserve"> </w:t>
      </w:r>
      <w:r w:rsidR="00390676" w:rsidRPr="002041DF">
        <w:rPr>
          <w:sz w:val="22"/>
          <w:szCs w:val="22"/>
          <w:lang w:val="sr-Latn-ME"/>
        </w:rPr>
        <w:t>i dovele su</w:t>
      </w:r>
      <w:r w:rsidR="004F70C6" w:rsidRPr="002041DF">
        <w:rPr>
          <w:sz w:val="22"/>
          <w:szCs w:val="22"/>
          <w:lang w:val="sr-Latn-ME"/>
        </w:rPr>
        <w:t xml:space="preserve"> do pojave maksimalnih koncentracija u serumu kod majmuna koje su bile do 100 puta veće nego one </w:t>
      </w:r>
      <w:r w:rsidR="00891C9B" w:rsidRPr="002041DF">
        <w:rPr>
          <w:sz w:val="22"/>
          <w:szCs w:val="22"/>
          <w:lang w:val="sr-Latn-ME"/>
        </w:rPr>
        <w:t>zabilježen</w:t>
      </w:r>
      <w:r w:rsidR="004F70C6" w:rsidRPr="002041DF">
        <w:rPr>
          <w:sz w:val="22"/>
          <w:szCs w:val="22"/>
          <w:lang w:val="sr-Latn-ME"/>
        </w:rPr>
        <w:t>e kod ljudi</w:t>
      </w:r>
      <w:r w:rsidR="00623D38" w:rsidRPr="002041DF">
        <w:rPr>
          <w:sz w:val="22"/>
          <w:szCs w:val="22"/>
          <w:lang w:val="sr-Latn-ME"/>
        </w:rPr>
        <w:t>.</w:t>
      </w:r>
    </w:p>
    <w:p w14:paraId="6D790C3B" w14:textId="77777777" w:rsidR="00623D38" w:rsidRPr="002041DF" w:rsidRDefault="00623D38" w:rsidP="002041DF">
      <w:pPr>
        <w:pStyle w:val="Header"/>
        <w:widowControl w:val="0"/>
        <w:tabs>
          <w:tab w:val="left" w:pos="284"/>
        </w:tabs>
        <w:jc w:val="both"/>
        <w:rPr>
          <w:sz w:val="22"/>
          <w:szCs w:val="22"/>
          <w:lang w:val="sr-Latn-ME"/>
        </w:rPr>
      </w:pPr>
    </w:p>
    <w:p w14:paraId="57D71810" w14:textId="3020D5AA" w:rsidR="00623D38" w:rsidRPr="002041DF" w:rsidRDefault="00623D38" w:rsidP="002041DF">
      <w:pPr>
        <w:pStyle w:val="Header"/>
        <w:widowControl w:val="0"/>
        <w:tabs>
          <w:tab w:val="left" w:pos="284"/>
        </w:tabs>
        <w:jc w:val="both"/>
        <w:rPr>
          <w:sz w:val="22"/>
          <w:szCs w:val="22"/>
          <w:lang w:val="sr-Latn-ME"/>
        </w:rPr>
      </w:pPr>
      <w:r w:rsidRPr="002041DF">
        <w:rPr>
          <w:sz w:val="22"/>
          <w:szCs w:val="22"/>
          <w:lang w:val="sr-Latn-ME"/>
        </w:rPr>
        <w:t xml:space="preserve">Ispitivanja </w:t>
      </w:r>
      <w:r w:rsidR="004F70C6" w:rsidRPr="002041DF">
        <w:rPr>
          <w:sz w:val="22"/>
          <w:szCs w:val="22"/>
          <w:lang w:val="sr-Latn-ME"/>
        </w:rPr>
        <w:t>karcinogenosti</w:t>
      </w:r>
      <w:r w:rsidRPr="002041DF">
        <w:rPr>
          <w:sz w:val="22"/>
          <w:szCs w:val="22"/>
          <w:lang w:val="sr-Latn-ME"/>
        </w:rPr>
        <w:t xml:space="preserve"> ustekinumaba</w:t>
      </w:r>
      <w:r w:rsidR="00E50471" w:rsidRPr="002041DF">
        <w:rPr>
          <w:sz w:val="22"/>
          <w:szCs w:val="22"/>
          <w:lang w:val="sr-Latn-ME"/>
        </w:rPr>
        <w:t xml:space="preserve"> nijesu </w:t>
      </w:r>
      <w:r w:rsidR="004F70C6" w:rsidRPr="002041DF">
        <w:rPr>
          <w:sz w:val="22"/>
          <w:szCs w:val="22"/>
          <w:lang w:val="sr-Latn-ME"/>
        </w:rPr>
        <w:t>sprovedena</w:t>
      </w:r>
      <w:r w:rsidRPr="002041DF">
        <w:rPr>
          <w:sz w:val="22"/>
          <w:szCs w:val="22"/>
          <w:lang w:val="sr-Latn-ME"/>
        </w:rPr>
        <w:t>, usl</w:t>
      </w:r>
      <w:r w:rsidR="00CA33FF" w:rsidRPr="002041DF">
        <w:rPr>
          <w:sz w:val="22"/>
          <w:szCs w:val="22"/>
          <w:lang w:val="sr-Latn-ME"/>
        </w:rPr>
        <w:t>j</w:t>
      </w:r>
      <w:r w:rsidRPr="002041DF">
        <w:rPr>
          <w:sz w:val="22"/>
          <w:szCs w:val="22"/>
          <w:lang w:val="sr-Latn-ME"/>
        </w:rPr>
        <w:t xml:space="preserve">ed nedostatka odgovarajućeg modela za </w:t>
      </w:r>
      <w:r w:rsidR="00C23E53" w:rsidRPr="002041DF">
        <w:rPr>
          <w:sz w:val="22"/>
          <w:szCs w:val="22"/>
          <w:lang w:val="sr-Latn-ME"/>
        </w:rPr>
        <w:t>antitijela</w:t>
      </w:r>
      <w:r w:rsidRPr="002041DF">
        <w:rPr>
          <w:sz w:val="22"/>
          <w:szCs w:val="22"/>
          <w:lang w:val="sr-Latn-ME"/>
        </w:rPr>
        <w:t xml:space="preserve"> bez ukrštene reaktivnosti za IL-12/23 p40 glodara.</w:t>
      </w:r>
    </w:p>
    <w:bookmarkEnd w:id="23"/>
    <w:p w14:paraId="71C2F58D" w14:textId="4524CFDC" w:rsidR="00623D38" w:rsidRPr="002041DF" w:rsidRDefault="00623D38" w:rsidP="002041DF">
      <w:pPr>
        <w:widowControl w:val="0"/>
        <w:jc w:val="both"/>
        <w:rPr>
          <w:sz w:val="22"/>
          <w:szCs w:val="22"/>
          <w:lang w:val="sr-Latn-ME"/>
        </w:rPr>
      </w:pPr>
    </w:p>
    <w:p w14:paraId="304700F1" w14:textId="77777777" w:rsidR="00921FA2" w:rsidRPr="002041DF" w:rsidRDefault="00921FA2" w:rsidP="002041DF">
      <w:pPr>
        <w:widowControl w:val="0"/>
        <w:jc w:val="both"/>
        <w:rPr>
          <w:sz w:val="22"/>
          <w:szCs w:val="22"/>
          <w:lang w:val="sr-Latn-ME"/>
        </w:rPr>
      </w:pPr>
    </w:p>
    <w:p w14:paraId="64AD42D6" w14:textId="77777777" w:rsidR="00921FA2" w:rsidRPr="002041DF" w:rsidRDefault="00921FA2" w:rsidP="002041DF">
      <w:pPr>
        <w:widowControl w:val="0"/>
        <w:tabs>
          <w:tab w:val="left" w:pos="540"/>
          <w:tab w:val="left" w:pos="569"/>
        </w:tabs>
        <w:jc w:val="both"/>
        <w:rPr>
          <w:b/>
          <w:bCs/>
          <w:sz w:val="22"/>
          <w:szCs w:val="22"/>
          <w:lang w:val="sr-Latn-ME"/>
        </w:rPr>
      </w:pPr>
      <w:r w:rsidRPr="002041DF">
        <w:rPr>
          <w:b/>
          <w:bCs/>
          <w:sz w:val="22"/>
          <w:szCs w:val="22"/>
          <w:lang w:val="sr-Latn-ME"/>
        </w:rPr>
        <w:t xml:space="preserve">6. </w:t>
      </w:r>
      <w:r w:rsidRPr="002041DF">
        <w:rPr>
          <w:b/>
          <w:bCs/>
          <w:sz w:val="22"/>
          <w:szCs w:val="22"/>
          <w:lang w:val="sr-Latn-ME"/>
        </w:rPr>
        <w:tab/>
        <w:t>FARMACEUTSKI PODACI</w:t>
      </w:r>
    </w:p>
    <w:p w14:paraId="76C883EC" w14:textId="77777777" w:rsidR="00623D38" w:rsidRPr="002041DF" w:rsidRDefault="00623D38" w:rsidP="002041DF">
      <w:pPr>
        <w:widowControl w:val="0"/>
        <w:jc w:val="both"/>
        <w:rPr>
          <w:sz w:val="22"/>
          <w:szCs w:val="22"/>
          <w:lang w:val="sr-Latn-ME"/>
        </w:rPr>
      </w:pPr>
    </w:p>
    <w:p w14:paraId="2E5F6395" w14:textId="77777777" w:rsidR="00921FA2" w:rsidRPr="002041DF" w:rsidRDefault="00921FA2" w:rsidP="002041DF">
      <w:pPr>
        <w:widowControl w:val="0"/>
        <w:tabs>
          <w:tab w:val="left" w:pos="540"/>
          <w:tab w:val="left" w:pos="569"/>
        </w:tabs>
        <w:jc w:val="both"/>
        <w:rPr>
          <w:b/>
          <w:bCs/>
          <w:sz w:val="22"/>
          <w:szCs w:val="22"/>
          <w:lang w:val="sr-Latn-ME"/>
        </w:rPr>
      </w:pPr>
      <w:r w:rsidRPr="002041DF">
        <w:rPr>
          <w:b/>
          <w:bCs/>
          <w:sz w:val="22"/>
          <w:szCs w:val="22"/>
          <w:lang w:val="sr-Latn-ME"/>
        </w:rPr>
        <w:t xml:space="preserve">6.1. </w:t>
      </w:r>
      <w:r w:rsidRPr="002041DF">
        <w:rPr>
          <w:b/>
          <w:bCs/>
          <w:sz w:val="22"/>
          <w:szCs w:val="22"/>
          <w:lang w:val="sr-Latn-ME"/>
        </w:rPr>
        <w:tab/>
        <w:t>Lista pomoćnih supstanci (ekscipijenasa)</w:t>
      </w:r>
    </w:p>
    <w:p w14:paraId="05D771D8" w14:textId="77777777" w:rsidR="00623D38" w:rsidRPr="002041DF" w:rsidRDefault="00623D38" w:rsidP="002041DF">
      <w:pPr>
        <w:pStyle w:val="Header"/>
        <w:widowControl w:val="0"/>
        <w:tabs>
          <w:tab w:val="left" w:pos="284"/>
        </w:tabs>
        <w:jc w:val="both"/>
        <w:rPr>
          <w:sz w:val="22"/>
          <w:szCs w:val="22"/>
          <w:lang w:val="sr-Latn-ME"/>
        </w:rPr>
      </w:pPr>
    </w:p>
    <w:p w14:paraId="35370CF6" w14:textId="77777777" w:rsidR="00623D38" w:rsidRPr="002041DF" w:rsidRDefault="00623D38" w:rsidP="002041DF">
      <w:pPr>
        <w:pStyle w:val="Header"/>
        <w:widowControl w:val="0"/>
        <w:tabs>
          <w:tab w:val="left" w:pos="284"/>
        </w:tabs>
        <w:jc w:val="both"/>
        <w:rPr>
          <w:sz w:val="22"/>
          <w:szCs w:val="22"/>
          <w:lang w:val="sr-Latn-ME"/>
        </w:rPr>
      </w:pPr>
      <w:r w:rsidRPr="002041DF">
        <w:rPr>
          <w:sz w:val="22"/>
          <w:szCs w:val="22"/>
          <w:lang w:val="sr-Latn-ME"/>
        </w:rPr>
        <w:t>L-histidin</w:t>
      </w:r>
    </w:p>
    <w:p w14:paraId="1BF91AA0" w14:textId="12736563" w:rsidR="00623D38" w:rsidRPr="002041DF" w:rsidRDefault="00623D38" w:rsidP="002041DF">
      <w:pPr>
        <w:pStyle w:val="Header"/>
        <w:widowControl w:val="0"/>
        <w:tabs>
          <w:tab w:val="left" w:pos="284"/>
        </w:tabs>
        <w:jc w:val="both"/>
        <w:rPr>
          <w:sz w:val="22"/>
          <w:szCs w:val="22"/>
          <w:lang w:val="sr-Latn-ME"/>
        </w:rPr>
      </w:pPr>
      <w:r w:rsidRPr="002041DF">
        <w:rPr>
          <w:sz w:val="22"/>
          <w:szCs w:val="22"/>
          <w:lang w:val="sr-Latn-ME"/>
        </w:rPr>
        <w:t>L-histidin</w:t>
      </w:r>
      <w:r w:rsidR="007A6AEB">
        <w:rPr>
          <w:sz w:val="22"/>
          <w:szCs w:val="22"/>
          <w:lang w:val="sr-Latn-ME"/>
        </w:rPr>
        <w:t xml:space="preserve"> </w:t>
      </w:r>
      <w:r w:rsidRPr="002041DF">
        <w:rPr>
          <w:sz w:val="22"/>
          <w:szCs w:val="22"/>
          <w:lang w:val="sr-Latn-ME"/>
        </w:rPr>
        <w:t>monohidrohlorid monohidrat</w:t>
      </w:r>
    </w:p>
    <w:p w14:paraId="3E7F3D1F" w14:textId="5FBEAD53" w:rsidR="00623D38" w:rsidRPr="002041DF" w:rsidRDefault="00623D38" w:rsidP="002041DF">
      <w:pPr>
        <w:pStyle w:val="Header"/>
        <w:widowControl w:val="0"/>
        <w:tabs>
          <w:tab w:val="left" w:pos="284"/>
        </w:tabs>
        <w:jc w:val="both"/>
        <w:rPr>
          <w:sz w:val="22"/>
          <w:szCs w:val="22"/>
          <w:lang w:val="sr-Latn-ME"/>
        </w:rPr>
      </w:pPr>
      <w:r w:rsidRPr="002041DF">
        <w:rPr>
          <w:sz w:val="22"/>
          <w:szCs w:val="22"/>
          <w:lang w:val="sr-Latn-ME"/>
        </w:rPr>
        <w:t>polisorbat 80</w:t>
      </w:r>
      <w:r w:rsidR="006D2C31" w:rsidRPr="002041DF">
        <w:rPr>
          <w:sz w:val="22"/>
          <w:szCs w:val="22"/>
          <w:lang w:val="sr-Latn-ME"/>
        </w:rPr>
        <w:t xml:space="preserve"> (E433)</w:t>
      </w:r>
    </w:p>
    <w:p w14:paraId="3258B5AA" w14:textId="77777777" w:rsidR="00641C7D" w:rsidRPr="002041DF" w:rsidRDefault="00641C7D" w:rsidP="002041DF">
      <w:pPr>
        <w:pStyle w:val="Header"/>
        <w:widowControl w:val="0"/>
        <w:tabs>
          <w:tab w:val="left" w:pos="284"/>
        </w:tabs>
        <w:jc w:val="both"/>
        <w:rPr>
          <w:sz w:val="22"/>
          <w:szCs w:val="22"/>
          <w:lang w:val="sr-Latn-ME"/>
        </w:rPr>
      </w:pPr>
      <w:r w:rsidRPr="002041DF">
        <w:rPr>
          <w:sz w:val="22"/>
          <w:szCs w:val="22"/>
          <w:lang w:val="sr-Latn-ME"/>
        </w:rPr>
        <w:t>saharoza</w:t>
      </w:r>
    </w:p>
    <w:p w14:paraId="103E07B6" w14:textId="77777777" w:rsidR="00623D38" w:rsidRPr="002041DF" w:rsidRDefault="00623D38" w:rsidP="002041DF">
      <w:pPr>
        <w:pStyle w:val="Header"/>
        <w:widowControl w:val="0"/>
        <w:tabs>
          <w:tab w:val="left" w:pos="284"/>
        </w:tabs>
        <w:jc w:val="both"/>
        <w:rPr>
          <w:sz w:val="22"/>
          <w:szCs w:val="22"/>
          <w:lang w:val="sr-Latn-ME"/>
        </w:rPr>
      </w:pPr>
      <w:r w:rsidRPr="002041DF">
        <w:rPr>
          <w:sz w:val="22"/>
          <w:szCs w:val="22"/>
          <w:lang w:val="sr-Latn-ME"/>
        </w:rPr>
        <w:t>voda za injekcije</w:t>
      </w:r>
    </w:p>
    <w:p w14:paraId="36BA9980" w14:textId="77777777" w:rsidR="00623D38" w:rsidRPr="002041DF" w:rsidRDefault="00623D38" w:rsidP="002041DF">
      <w:pPr>
        <w:widowControl w:val="0"/>
        <w:jc w:val="both"/>
        <w:rPr>
          <w:b/>
          <w:sz w:val="22"/>
          <w:szCs w:val="22"/>
          <w:lang w:val="sr-Latn-ME"/>
        </w:rPr>
      </w:pPr>
    </w:p>
    <w:p w14:paraId="4B37001B" w14:textId="77777777" w:rsidR="00921FA2" w:rsidRPr="002041DF" w:rsidRDefault="00921FA2" w:rsidP="002041DF">
      <w:pPr>
        <w:widowControl w:val="0"/>
        <w:tabs>
          <w:tab w:val="left" w:pos="540"/>
          <w:tab w:val="left" w:pos="569"/>
        </w:tabs>
        <w:jc w:val="both"/>
        <w:rPr>
          <w:b/>
          <w:bCs/>
          <w:sz w:val="22"/>
          <w:szCs w:val="22"/>
          <w:lang w:val="sr-Latn-ME"/>
        </w:rPr>
      </w:pPr>
      <w:r w:rsidRPr="002041DF">
        <w:rPr>
          <w:b/>
          <w:bCs/>
          <w:sz w:val="22"/>
          <w:szCs w:val="22"/>
          <w:lang w:val="sr-Latn-ME"/>
        </w:rPr>
        <w:t xml:space="preserve">6.2. </w:t>
      </w:r>
      <w:r w:rsidRPr="002041DF">
        <w:rPr>
          <w:b/>
          <w:bCs/>
          <w:sz w:val="22"/>
          <w:szCs w:val="22"/>
          <w:lang w:val="sr-Latn-ME"/>
        </w:rPr>
        <w:tab/>
        <w:t>Inkompatibilnosti</w:t>
      </w:r>
    </w:p>
    <w:p w14:paraId="165047B7" w14:textId="77777777" w:rsidR="00623D38" w:rsidRPr="002041DF" w:rsidRDefault="00623D38" w:rsidP="002041DF">
      <w:pPr>
        <w:widowControl w:val="0"/>
        <w:jc w:val="both"/>
        <w:rPr>
          <w:sz w:val="22"/>
          <w:szCs w:val="22"/>
          <w:lang w:val="sr-Latn-ME"/>
        </w:rPr>
      </w:pPr>
      <w:bookmarkStart w:id="24" w:name="_Hlk504747705"/>
    </w:p>
    <w:p w14:paraId="20DBFB25" w14:textId="47243695" w:rsidR="00623D38" w:rsidRPr="002041DF" w:rsidRDefault="00623D38" w:rsidP="002041DF">
      <w:pPr>
        <w:widowControl w:val="0"/>
        <w:jc w:val="both"/>
        <w:rPr>
          <w:sz w:val="22"/>
          <w:szCs w:val="22"/>
          <w:lang w:val="sr-Latn-ME"/>
        </w:rPr>
      </w:pPr>
      <w:r w:rsidRPr="002041DF">
        <w:rPr>
          <w:sz w:val="22"/>
          <w:szCs w:val="22"/>
          <w:lang w:val="sr-Latn-ME"/>
        </w:rPr>
        <w:t>Budući da ispitivanja kompatibilnosti</w:t>
      </w:r>
      <w:r w:rsidR="00E50471" w:rsidRPr="002041DF">
        <w:rPr>
          <w:sz w:val="22"/>
          <w:szCs w:val="22"/>
          <w:lang w:val="sr-Latn-ME"/>
        </w:rPr>
        <w:t xml:space="preserve"> nijesu </w:t>
      </w:r>
      <w:r w:rsidRPr="002041DF">
        <w:rPr>
          <w:sz w:val="22"/>
          <w:szCs w:val="22"/>
          <w:lang w:val="sr-Latn-ME"/>
        </w:rPr>
        <w:t>rađena, ovaj l</w:t>
      </w:r>
      <w:r w:rsidR="00CA33FF" w:rsidRPr="002041DF">
        <w:rPr>
          <w:sz w:val="22"/>
          <w:szCs w:val="22"/>
          <w:lang w:val="sr-Latn-ME"/>
        </w:rPr>
        <w:t>ij</w:t>
      </w:r>
      <w:r w:rsidRPr="002041DF">
        <w:rPr>
          <w:sz w:val="22"/>
          <w:szCs w:val="22"/>
          <w:lang w:val="sr-Latn-ME"/>
        </w:rPr>
        <w:t>ek se ne</w:t>
      </w:r>
      <w:r w:rsidR="00891C9B" w:rsidRPr="002041DF">
        <w:rPr>
          <w:sz w:val="22"/>
          <w:szCs w:val="22"/>
          <w:lang w:val="sr-Latn-ME"/>
        </w:rPr>
        <w:t xml:space="preserve"> smije </w:t>
      </w:r>
      <w:r w:rsidRPr="002041DF">
        <w:rPr>
          <w:sz w:val="22"/>
          <w:szCs w:val="22"/>
          <w:lang w:val="sr-Latn-ME"/>
        </w:rPr>
        <w:t>m</w:t>
      </w:r>
      <w:r w:rsidR="00CA33FF" w:rsidRPr="002041DF">
        <w:rPr>
          <w:sz w:val="22"/>
          <w:szCs w:val="22"/>
          <w:lang w:val="sr-Latn-ME"/>
        </w:rPr>
        <w:t>ij</w:t>
      </w:r>
      <w:r w:rsidRPr="002041DF">
        <w:rPr>
          <w:sz w:val="22"/>
          <w:szCs w:val="22"/>
          <w:lang w:val="sr-Latn-ME"/>
        </w:rPr>
        <w:t xml:space="preserve">ešati sa drugim </w:t>
      </w:r>
      <w:r w:rsidR="008B2B13" w:rsidRPr="002041DF">
        <w:rPr>
          <w:sz w:val="22"/>
          <w:szCs w:val="22"/>
          <w:lang w:val="sr-Latn-ME"/>
        </w:rPr>
        <w:t>ljekovi</w:t>
      </w:r>
      <w:r w:rsidRPr="002041DF">
        <w:rPr>
          <w:sz w:val="22"/>
          <w:szCs w:val="22"/>
          <w:lang w:val="sr-Latn-ME"/>
        </w:rPr>
        <w:t>ma.</w:t>
      </w:r>
    </w:p>
    <w:p w14:paraId="323E6EBE" w14:textId="77777777" w:rsidR="00623D38" w:rsidRPr="002041DF" w:rsidRDefault="00623D38" w:rsidP="002041DF">
      <w:pPr>
        <w:widowControl w:val="0"/>
        <w:jc w:val="both"/>
        <w:rPr>
          <w:sz w:val="22"/>
          <w:szCs w:val="22"/>
          <w:lang w:val="sr-Latn-ME"/>
        </w:rPr>
      </w:pPr>
    </w:p>
    <w:p w14:paraId="12709B1F" w14:textId="77777777" w:rsidR="00921FA2" w:rsidRPr="002041DF" w:rsidRDefault="00921FA2" w:rsidP="002041DF">
      <w:pPr>
        <w:widowControl w:val="0"/>
        <w:tabs>
          <w:tab w:val="left" w:pos="540"/>
          <w:tab w:val="left" w:pos="569"/>
        </w:tabs>
        <w:jc w:val="both"/>
        <w:rPr>
          <w:b/>
          <w:bCs/>
          <w:sz w:val="22"/>
          <w:szCs w:val="22"/>
          <w:lang w:val="sr-Latn-ME"/>
        </w:rPr>
      </w:pPr>
      <w:r w:rsidRPr="002041DF">
        <w:rPr>
          <w:b/>
          <w:bCs/>
          <w:sz w:val="22"/>
          <w:szCs w:val="22"/>
          <w:lang w:val="sr-Latn-ME"/>
        </w:rPr>
        <w:t xml:space="preserve">6.3. </w:t>
      </w:r>
      <w:r w:rsidRPr="002041DF">
        <w:rPr>
          <w:b/>
          <w:bCs/>
          <w:sz w:val="22"/>
          <w:szCs w:val="22"/>
          <w:lang w:val="sr-Latn-ME"/>
        </w:rPr>
        <w:tab/>
        <w:t>Rok upotrebe</w:t>
      </w:r>
    </w:p>
    <w:p w14:paraId="365AE62F" w14:textId="77777777" w:rsidR="00623D38" w:rsidRPr="002041DF" w:rsidRDefault="00623D38" w:rsidP="002041DF">
      <w:pPr>
        <w:widowControl w:val="0"/>
        <w:jc w:val="both"/>
        <w:rPr>
          <w:sz w:val="22"/>
          <w:szCs w:val="22"/>
          <w:lang w:val="sr-Latn-ME"/>
        </w:rPr>
      </w:pPr>
    </w:p>
    <w:p w14:paraId="583D6B6B" w14:textId="77777777" w:rsidR="00623D38" w:rsidRPr="002041DF" w:rsidRDefault="005B38DF" w:rsidP="002041DF">
      <w:pPr>
        <w:widowControl w:val="0"/>
        <w:jc w:val="both"/>
        <w:rPr>
          <w:sz w:val="22"/>
          <w:szCs w:val="22"/>
          <w:lang w:val="sr-Latn-ME"/>
        </w:rPr>
      </w:pPr>
      <w:r w:rsidRPr="002041DF">
        <w:rPr>
          <w:sz w:val="22"/>
          <w:szCs w:val="22"/>
          <w:lang w:val="sr-Latn-ME"/>
        </w:rPr>
        <w:t>3</w:t>
      </w:r>
      <w:r w:rsidR="00623D38" w:rsidRPr="002041DF">
        <w:rPr>
          <w:sz w:val="22"/>
          <w:szCs w:val="22"/>
          <w:lang w:val="sr-Latn-ME"/>
        </w:rPr>
        <w:t xml:space="preserve"> godine</w:t>
      </w:r>
    </w:p>
    <w:p w14:paraId="474ED99D" w14:textId="54EB311D" w:rsidR="00623D38" w:rsidRPr="002041DF" w:rsidRDefault="00623D38" w:rsidP="002041DF">
      <w:pPr>
        <w:widowControl w:val="0"/>
        <w:jc w:val="both"/>
        <w:rPr>
          <w:sz w:val="22"/>
          <w:szCs w:val="22"/>
          <w:lang w:val="sr-Latn-ME"/>
        </w:rPr>
      </w:pPr>
    </w:p>
    <w:p w14:paraId="5DC80B36" w14:textId="69CCCC02" w:rsidR="00643C23" w:rsidRPr="002041DF" w:rsidRDefault="00643C23" w:rsidP="002041DF">
      <w:pPr>
        <w:widowControl w:val="0"/>
        <w:jc w:val="both"/>
        <w:rPr>
          <w:sz w:val="22"/>
          <w:szCs w:val="22"/>
          <w:lang w:val="sr-Latn-ME"/>
        </w:rPr>
      </w:pPr>
      <w:r w:rsidRPr="002041DF">
        <w:rPr>
          <w:sz w:val="22"/>
          <w:szCs w:val="22"/>
          <w:lang w:val="sr-Latn-ME"/>
        </w:rPr>
        <w:t>Pojedinačni napunjeni injekcioni špricevi se mogu čuvati na sobnoj temperaturi do 30°C najduže 30 dana jednokratno</w:t>
      </w:r>
      <w:r w:rsidR="00E51542" w:rsidRPr="002041DF">
        <w:rPr>
          <w:sz w:val="22"/>
          <w:szCs w:val="22"/>
          <w:lang w:val="sr-Latn-ME"/>
        </w:rPr>
        <w:t>,</w:t>
      </w:r>
      <w:r w:rsidRPr="002041DF">
        <w:rPr>
          <w:sz w:val="22"/>
          <w:szCs w:val="22"/>
          <w:lang w:val="sr-Latn-ME"/>
        </w:rPr>
        <w:t xml:space="preserve"> u originalnoj kutiji radi zaštite od sv</w:t>
      </w:r>
      <w:r w:rsidR="00CA33FF" w:rsidRPr="002041DF">
        <w:rPr>
          <w:sz w:val="22"/>
          <w:szCs w:val="22"/>
          <w:lang w:val="sr-Latn-ME"/>
        </w:rPr>
        <w:t>j</w:t>
      </w:r>
      <w:r w:rsidRPr="002041DF">
        <w:rPr>
          <w:sz w:val="22"/>
          <w:szCs w:val="22"/>
          <w:lang w:val="sr-Latn-ME"/>
        </w:rPr>
        <w:t>et</w:t>
      </w:r>
      <w:r w:rsidR="00CA33FF" w:rsidRPr="002041DF">
        <w:rPr>
          <w:sz w:val="22"/>
          <w:szCs w:val="22"/>
          <w:lang w:val="sr-Latn-ME"/>
        </w:rPr>
        <w:t>l</w:t>
      </w:r>
      <w:r w:rsidRPr="002041DF">
        <w:rPr>
          <w:sz w:val="22"/>
          <w:szCs w:val="22"/>
          <w:lang w:val="sr-Latn-ME"/>
        </w:rPr>
        <w:t xml:space="preserve">osti. </w:t>
      </w:r>
      <w:r w:rsidR="00BC6444" w:rsidRPr="002041DF">
        <w:rPr>
          <w:sz w:val="22"/>
          <w:szCs w:val="22"/>
          <w:lang w:val="sr-Latn-ME"/>
        </w:rPr>
        <w:t xml:space="preserve">Na predviđenim mjestima na kutiji zabilježiti </w:t>
      </w:r>
      <w:r w:rsidR="00A81D81" w:rsidRPr="002041DF">
        <w:rPr>
          <w:sz w:val="22"/>
          <w:szCs w:val="22"/>
          <w:lang w:val="sr-Latn-ME"/>
        </w:rPr>
        <w:t xml:space="preserve">datum kada je napunjeni injekcioni špric izvađen iz frižidera </w:t>
      </w:r>
      <w:r w:rsidRPr="002041DF">
        <w:rPr>
          <w:sz w:val="22"/>
          <w:szCs w:val="22"/>
          <w:lang w:val="sr-Latn-ME"/>
        </w:rPr>
        <w:t xml:space="preserve">i datum kada ga treba baciti. </w:t>
      </w:r>
      <w:r w:rsidR="00E51542" w:rsidRPr="002041DF">
        <w:rPr>
          <w:sz w:val="22"/>
          <w:szCs w:val="22"/>
          <w:lang w:val="sr-Latn-ME"/>
        </w:rPr>
        <w:t>D</w:t>
      </w:r>
      <w:r w:rsidRPr="002041DF">
        <w:rPr>
          <w:sz w:val="22"/>
          <w:szCs w:val="22"/>
          <w:lang w:val="sr-Latn-ME"/>
        </w:rPr>
        <w:t>atum bacanja ne</w:t>
      </w:r>
      <w:r w:rsidR="00891C9B" w:rsidRPr="002041DF">
        <w:rPr>
          <w:sz w:val="22"/>
          <w:szCs w:val="22"/>
          <w:lang w:val="sr-Latn-ME"/>
        </w:rPr>
        <w:t xml:space="preserve"> smije </w:t>
      </w:r>
      <w:r w:rsidRPr="002041DF">
        <w:rPr>
          <w:sz w:val="22"/>
          <w:szCs w:val="22"/>
          <w:lang w:val="sr-Latn-ME"/>
        </w:rPr>
        <w:t>biti nakon isteka</w:t>
      </w:r>
      <w:r w:rsidR="00E51542" w:rsidRPr="002041DF">
        <w:rPr>
          <w:sz w:val="22"/>
          <w:szCs w:val="22"/>
          <w:lang w:val="sr-Latn-ME"/>
        </w:rPr>
        <w:t xml:space="preserve"> originalnog</w:t>
      </w:r>
      <w:r w:rsidRPr="002041DF">
        <w:rPr>
          <w:sz w:val="22"/>
          <w:szCs w:val="22"/>
          <w:lang w:val="sr-Latn-ME"/>
        </w:rPr>
        <w:t xml:space="preserve"> roka upotrebe odštampanog na kutiji. Kada se špric čuva na sobnoj temperaturi (do 30°C), ne treba ga</w:t>
      </w:r>
      <w:r w:rsidR="00A81D81" w:rsidRPr="002041DF">
        <w:rPr>
          <w:sz w:val="22"/>
          <w:szCs w:val="22"/>
          <w:lang w:val="sr-Latn-ME"/>
        </w:rPr>
        <w:t>,</w:t>
      </w:r>
      <w:r w:rsidRPr="002041DF">
        <w:rPr>
          <w:sz w:val="22"/>
          <w:szCs w:val="22"/>
          <w:lang w:val="sr-Latn-ME"/>
        </w:rPr>
        <w:t xml:space="preserve"> nakon toga</w:t>
      </w:r>
      <w:r w:rsidR="00A81D81" w:rsidRPr="002041DF">
        <w:rPr>
          <w:sz w:val="22"/>
          <w:szCs w:val="22"/>
          <w:lang w:val="sr-Latn-ME"/>
        </w:rPr>
        <w:t>,</w:t>
      </w:r>
      <w:r w:rsidRPr="002041DF">
        <w:rPr>
          <w:sz w:val="22"/>
          <w:szCs w:val="22"/>
          <w:lang w:val="sr-Latn-ME"/>
        </w:rPr>
        <w:t xml:space="preserve"> vraćati u friži</w:t>
      </w:r>
      <w:r w:rsidR="00B9502A" w:rsidRPr="002041DF">
        <w:rPr>
          <w:sz w:val="22"/>
          <w:szCs w:val="22"/>
          <w:lang w:val="sr-Latn-ME"/>
        </w:rPr>
        <w:t>d</w:t>
      </w:r>
      <w:r w:rsidRPr="002041DF">
        <w:rPr>
          <w:sz w:val="22"/>
          <w:szCs w:val="22"/>
          <w:lang w:val="sr-Latn-ME"/>
        </w:rPr>
        <w:t>er. Špric</w:t>
      </w:r>
      <w:r w:rsidR="00CA33FF" w:rsidRPr="002041DF">
        <w:rPr>
          <w:sz w:val="22"/>
          <w:szCs w:val="22"/>
          <w:lang w:val="sr-Latn-ME"/>
        </w:rPr>
        <w:t xml:space="preserve"> </w:t>
      </w:r>
      <w:r w:rsidRPr="002041DF">
        <w:rPr>
          <w:sz w:val="22"/>
          <w:szCs w:val="22"/>
          <w:lang w:val="sr-Latn-ME"/>
        </w:rPr>
        <w:t xml:space="preserve">baciti ukoliko nije iskorišćen u roku od 30 dana čuvanja na sobnoj temperaturi ili do isteka originalnog roka upotrebe, </w:t>
      </w:r>
      <w:r w:rsidR="00C463C2" w:rsidRPr="002041DF">
        <w:rPr>
          <w:sz w:val="22"/>
          <w:szCs w:val="22"/>
          <w:lang w:val="sr-Latn-ME"/>
        </w:rPr>
        <w:t>zavisno o tome šta je ranije</w:t>
      </w:r>
      <w:r w:rsidR="00A81D81" w:rsidRPr="002041DF">
        <w:rPr>
          <w:sz w:val="22"/>
          <w:szCs w:val="22"/>
          <w:lang w:val="sr-Latn-ME"/>
        </w:rPr>
        <w:t>.</w:t>
      </w:r>
    </w:p>
    <w:p w14:paraId="66653D3D" w14:textId="77777777" w:rsidR="00643C23" w:rsidRPr="002041DF" w:rsidRDefault="00643C23" w:rsidP="002041DF">
      <w:pPr>
        <w:widowControl w:val="0"/>
        <w:jc w:val="both"/>
        <w:rPr>
          <w:sz w:val="22"/>
          <w:szCs w:val="22"/>
          <w:lang w:val="sr-Latn-ME"/>
        </w:rPr>
      </w:pPr>
    </w:p>
    <w:p w14:paraId="7F093DFC" w14:textId="77777777" w:rsidR="00921FA2" w:rsidRPr="002041DF" w:rsidRDefault="00921FA2" w:rsidP="002041DF">
      <w:pPr>
        <w:widowControl w:val="0"/>
        <w:tabs>
          <w:tab w:val="left" w:pos="540"/>
          <w:tab w:val="left" w:pos="569"/>
        </w:tabs>
        <w:jc w:val="both"/>
        <w:rPr>
          <w:b/>
          <w:bCs/>
          <w:sz w:val="22"/>
          <w:szCs w:val="22"/>
          <w:lang w:val="sr-Latn-ME"/>
        </w:rPr>
      </w:pPr>
      <w:r w:rsidRPr="002041DF">
        <w:rPr>
          <w:b/>
          <w:bCs/>
          <w:sz w:val="22"/>
          <w:szCs w:val="22"/>
          <w:lang w:val="sr-Latn-ME"/>
        </w:rPr>
        <w:t xml:space="preserve">6.4. </w:t>
      </w:r>
      <w:r w:rsidRPr="002041DF">
        <w:rPr>
          <w:b/>
          <w:bCs/>
          <w:sz w:val="22"/>
          <w:szCs w:val="22"/>
          <w:lang w:val="sr-Latn-ME"/>
        </w:rPr>
        <w:tab/>
        <w:t>Posebne mjere upozorenja pri čuvanju lijeka</w:t>
      </w:r>
    </w:p>
    <w:p w14:paraId="7635F5E4" w14:textId="77777777" w:rsidR="00623D38" w:rsidRPr="002041DF" w:rsidRDefault="00623D38" w:rsidP="002041DF">
      <w:pPr>
        <w:widowControl w:val="0"/>
        <w:jc w:val="both"/>
        <w:rPr>
          <w:sz w:val="22"/>
          <w:szCs w:val="22"/>
          <w:lang w:val="sr-Latn-ME"/>
        </w:rPr>
      </w:pPr>
    </w:p>
    <w:p w14:paraId="0F2724D7" w14:textId="15EFF816" w:rsidR="00623D38" w:rsidRPr="002041DF" w:rsidRDefault="00623D38" w:rsidP="002041DF">
      <w:pPr>
        <w:pStyle w:val="Header"/>
        <w:widowControl w:val="0"/>
        <w:tabs>
          <w:tab w:val="left" w:pos="284"/>
        </w:tabs>
        <w:jc w:val="both"/>
        <w:rPr>
          <w:sz w:val="22"/>
          <w:szCs w:val="22"/>
          <w:lang w:val="sr-Latn-ME"/>
        </w:rPr>
      </w:pPr>
      <w:r w:rsidRPr="002041DF">
        <w:rPr>
          <w:sz w:val="22"/>
          <w:szCs w:val="22"/>
          <w:lang w:val="sr-Latn-ME"/>
        </w:rPr>
        <w:t>Čuvati u frižideru (</w:t>
      </w:r>
      <w:r w:rsidR="008024D2" w:rsidRPr="002041DF">
        <w:rPr>
          <w:sz w:val="22"/>
          <w:szCs w:val="22"/>
          <w:lang w:val="sr-Latn-ME"/>
        </w:rPr>
        <w:t xml:space="preserve">na temperaturi od </w:t>
      </w:r>
      <w:r w:rsidRPr="002041DF">
        <w:rPr>
          <w:sz w:val="22"/>
          <w:szCs w:val="22"/>
          <w:lang w:val="sr-Latn-ME"/>
        </w:rPr>
        <w:t>2</w:t>
      </w:r>
      <w:r w:rsidR="00097C03">
        <w:rPr>
          <w:sz w:val="22"/>
          <w:szCs w:val="22"/>
          <w:lang w:val="sr-Latn-ME"/>
        </w:rPr>
        <w:t>°</w:t>
      </w:r>
      <w:r w:rsidRPr="002041DF">
        <w:rPr>
          <w:sz w:val="22"/>
          <w:szCs w:val="22"/>
          <w:lang w:val="sr-Latn-ME"/>
        </w:rPr>
        <w:t xml:space="preserve">C </w:t>
      </w:r>
      <w:r w:rsidR="008024D2" w:rsidRPr="002041DF">
        <w:rPr>
          <w:sz w:val="22"/>
          <w:szCs w:val="22"/>
          <w:lang w:val="sr-Latn-ME"/>
        </w:rPr>
        <w:t>do</w:t>
      </w:r>
      <w:r w:rsidRPr="002041DF">
        <w:rPr>
          <w:sz w:val="22"/>
          <w:szCs w:val="22"/>
          <w:lang w:val="sr-Latn-ME"/>
        </w:rPr>
        <w:t xml:space="preserve"> 8</w:t>
      </w:r>
      <w:r w:rsidR="00097C03">
        <w:rPr>
          <w:sz w:val="22"/>
          <w:szCs w:val="22"/>
          <w:lang w:val="sr-Latn-ME"/>
        </w:rPr>
        <w:t>°</w:t>
      </w:r>
      <w:r w:rsidRPr="002041DF">
        <w:rPr>
          <w:sz w:val="22"/>
          <w:szCs w:val="22"/>
          <w:lang w:val="sr-Latn-ME"/>
        </w:rPr>
        <w:t>C). Ne zamrzavati.</w:t>
      </w:r>
    </w:p>
    <w:p w14:paraId="6BBD0D11" w14:textId="74DE3755" w:rsidR="00623D38" w:rsidRPr="002041DF" w:rsidRDefault="00623D38" w:rsidP="002041DF">
      <w:pPr>
        <w:pStyle w:val="Header"/>
        <w:widowControl w:val="0"/>
        <w:tabs>
          <w:tab w:val="left" w:pos="284"/>
        </w:tabs>
        <w:jc w:val="both"/>
        <w:rPr>
          <w:sz w:val="22"/>
          <w:szCs w:val="22"/>
          <w:lang w:val="sr-Latn-ME"/>
        </w:rPr>
      </w:pPr>
      <w:r w:rsidRPr="002041DF">
        <w:rPr>
          <w:sz w:val="22"/>
          <w:szCs w:val="22"/>
          <w:lang w:val="sr-Latn-ME"/>
        </w:rPr>
        <w:t xml:space="preserve">Napunjeni injekcioni špric čuvati u </w:t>
      </w:r>
      <w:r w:rsidR="008024D2" w:rsidRPr="002041DF">
        <w:rPr>
          <w:sz w:val="22"/>
          <w:szCs w:val="22"/>
          <w:lang w:val="sr-Latn-ME"/>
        </w:rPr>
        <w:t>spoljašnjem</w:t>
      </w:r>
      <w:r w:rsidRPr="002041DF">
        <w:rPr>
          <w:sz w:val="22"/>
          <w:szCs w:val="22"/>
          <w:lang w:val="sr-Latn-ME"/>
        </w:rPr>
        <w:t xml:space="preserve"> pakovanju, radi zaštite od sv</w:t>
      </w:r>
      <w:r w:rsidR="00CA33FF" w:rsidRPr="002041DF">
        <w:rPr>
          <w:sz w:val="22"/>
          <w:szCs w:val="22"/>
          <w:lang w:val="sr-Latn-ME"/>
        </w:rPr>
        <w:t>j</w:t>
      </w:r>
      <w:r w:rsidRPr="002041DF">
        <w:rPr>
          <w:sz w:val="22"/>
          <w:szCs w:val="22"/>
          <w:lang w:val="sr-Latn-ME"/>
        </w:rPr>
        <w:t>etlosti.</w:t>
      </w:r>
    </w:p>
    <w:p w14:paraId="4EAB3186" w14:textId="013EE3FC" w:rsidR="00623D38" w:rsidRPr="002041DF" w:rsidRDefault="00643C23" w:rsidP="002041DF">
      <w:pPr>
        <w:widowControl w:val="0"/>
        <w:jc w:val="both"/>
        <w:rPr>
          <w:sz w:val="22"/>
          <w:szCs w:val="22"/>
          <w:lang w:val="sr-Latn-ME"/>
        </w:rPr>
      </w:pPr>
      <w:r w:rsidRPr="002041DF">
        <w:rPr>
          <w:sz w:val="22"/>
          <w:szCs w:val="22"/>
          <w:lang w:val="sr-Latn-ME"/>
        </w:rPr>
        <w:t>Ukoliko je potrebno, pojedinačni napunjeni injekcioni špricevi se mog</w:t>
      </w:r>
      <w:r w:rsidR="000D0F4F" w:rsidRPr="002041DF">
        <w:rPr>
          <w:sz w:val="22"/>
          <w:szCs w:val="22"/>
          <w:lang w:val="sr-Latn-ME"/>
        </w:rPr>
        <w:t xml:space="preserve">u </w:t>
      </w:r>
      <w:r w:rsidRPr="002041DF">
        <w:rPr>
          <w:sz w:val="22"/>
          <w:szCs w:val="22"/>
          <w:lang w:val="sr-Latn-ME"/>
        </w:rPr>
        <w:t xml:space="preserve">čuvati na sobnoj temperaturi do </w:t>
      </w:r>
      <w:r w:rsidRPr="002041DF">
        <w:rPr>
          <w:sz w:val="22"/>
          <w:szCs w:val="22"/>
          <w:lang w:val="sr-Latn-ME"/>
        </w:rPr>
        <w:lastRenderedPageBreak/>
        <w:t>30°C (</w:t>
      </w:r>
      <w:r w:rsidR="006779EA" w:rsidRPr="002041DF">
        <w:rPr>
          <w:sz w:val="22"/>
          <w:szCs w:val="22"/>
          <w:lang w:val="sr-Latn-ME"/>
        </w:rPr>
        <w:t>vidjeti</w:t>
      </w:r>
      <w:r w:rsidRPr="002041DF">
        <w:rPr>
          <w:sz w:val="22"/>
          <w:szCs w:val="22"/>
          <w:lang w:val="sr-Latn-ME"/>
        </w:rPr>
        <w:t xml:space="preserve"> </w:t>
      </w:r>
      <w:r w:rsidR="00292E06" w:rsidRPr="002041DF">
        <w:rPr>
          <w:sz w:val="22"/>
          <w:szCs w:val="22"/>
          <w:lang w:val="sr-Latn-ME"/>
        </w:rPr>
        <w:t>dio</w:t>
      </w:r>
      <w:r w:rsidRPr="002041DF">
        <w:rPr>
          <w:sz w:val="22"/>
          <w:szCs w:val="22"/>
          <w:lang w:val="sr-Latn-ME"/>
        </w:rPr>
        <w:t xml:space="preserve"> 6.3).</w:t>
      </w:r>
    </w:p>
    <w:p w14:paraId="15912DEA" w14:textId="77777777" w:rsidR="00643C23" w:rsidRPr="002041DF" w:rsidRDefault="00643C23" w:rsidP="002041DF">
      <w:pPr>
        <w:widowControl w:val="0"/>
        <w:jc w:val="both"/>
        <w:rPr>
          <w:sz w:val="22"/>
          <w:szCs w:val="22"/>
          <w:lang w:val="sr-Latn-ME"/>
        </w:rPr>
      </w:pPr>
    </w:p>
    <w:p w14:paraId="5BCE7DC3" w14:textId="77777777" w:rsidR="00921FA2" w:rsidRPr="002041DF" w:rsidRDefault="00921FA2" w:rsidP="002041DF">
      <w:pPr>
        <w:widowControl w:val="0"/>
        <w:tabs>
          <w:tab w:val="left" w:pos="540"/>
          <w:tab w:val="left" w:pos="569"/>
        </w:tabs>
        <w:jc w:val="both"/>
        <w:rPr>
          <w:b/>
          <w:bCs/>
          <w:sz w:val="22"/>
          <w:szCs w:val="22"/>
          <w:lang w:val="sr-Latn-ME"/>
        </w:rPr>
      </w:pPr>
      <w:r w:rsidRPr="002041DF">
        <w:rPr>
          <w:b/>
          <w:bCs/>
          <w:sz w:val="22"/>
          <w:szCs w:val="22"/>
          <w:lang w:val="sr-Latn-ME"/>
        </w:rPr>
        <w:t xml:space="preserve">6.5. </w:t>
      </w:r>
      <w:r w:rsidRPr="002041DF">
        <w:rPr>
          <w:b/>
          <w:bCs/>
          <w:sz w:val="22"/>
          <w:szCs w:val="22"/>
          <w:lang w:val="sr-Latn-ME"/>
        </w:rPr>
        <w:tab/>
        <w:t xml:space="preserve">Vrsta i sadržaj pakovanja </w:t>
      </w:r>
    </w:p>
    <w:p w14:paraId="0E07C5C1" w14:textId="77777777" w:rsidR="00623D38" w:rsidRPr="002041DF" w:rsidRDefault="00623D38" w:rsidP="002041DF">
      <w:pPr>
        <w:widowControl w:val="0"/>
        <w:jc w:val="both"/>
        <w:rPr>
          <w:iCs/>
          <w:sz w:val="22"/>
          <w:szCs w:val="22"/>
          <w:lang w:val="sr-Latn-ME"/>
        </w:rPr>
      </w:pPr>
    </w:p>
    <w:p w14:paraId="780F05A7" w14:textId="1D31A5E4" w:rsidR="002E2B45" w:rsidRPr="002041DF" w:rsidRDefault="002E2B45" w:rsidP="002041DF">
      <w:pPr>
        <w:pStyle w:val="Header"/>
        <w:widowControl w:val="0"/>
        <w:tabs>
          <w:tab w:val="clear" w:pos="9406"/>
          <w:tab w:val="left" w:pos="284"/>
        </w:tabs>
        <w:jc w:val="both"/>
        <w:rPr>
          <w:sz w:val="22"/>
          <w:szCs w:val="22"/>
          <w:lang w:val="sr-Latn-ME"/>
        </w:rPr>
      </w:pPr>
      <w:r w:rsidRPr="002041DF">
        <w:rPr>
          <w:sz w:val="22"/>
          <w:szCs w:val="22"/>
          <w:lang w:val="sr-Latn-ME"/>
        </w:rPr>
        <w:t>Unutrašnje pakovanje je stakleni špric od borosilikatnog stakla (tip I) od 1 m</w:t>
      </w:r>
      <w:r w:rsidR="00D134C0" w:rsidRPr="002041DF">
        <w:rPr>
          <w:sz w:val="22"/>
          <w:szCs w:val="22"/>
          <w:lang w:val="sr-Latn-ME"/>
        </w:rPr>
        <w:t>l</w:t>
      </w:r>
      <w:r w:rsidRPr="002041DF">
        <w:rPr>
          <w:sz w:val="22"/>
          <w:szCs w:val="22"/>
          <w:lang w:val="sr-Latn-ME"/>
        </w:rPr>
        <w:t>, u kome se nalazi 1 m</w:t>
      </w:r>
      <w:r w:rsidR="00D134C0" w:rsidRPr="002041DF">
        <w:rPr>
          <w:sz w:val="22"/>
          <w:szCs w:val="22"/>
          <w:lang w:val="sr-Latn-ME"/>
        </w:rPr>
        <w:t>l</w:t>
      </w:r>
      <w:r w:rsidRPr="002041DF">
        <w:rPr>
          <w:sz w:val="22"/>
          <w:szCs w:val="22"/>
          <w:lang w:val="sr-Latn-ME"/>
        </w:rPr>
        <w:t>, rastvor</w:t>
      </w:r>
      <w:r w:rsidR="006320DB" w:rsidRPr="002041DF">
        <w:rPr>
          <w:sz w:val="22"/>
          <w:szCs w:val="22"/>
          <w:lang w:val="sr-Latn-ME"/>
        </w:rPr>
        <w:t>a</w:t>
      </w:r>
      <w:r w:rsidRPr="002041DF">
        <w:rPr>
          <w:sz w:val="22"/>
          <w:szCs w:val="22"/>
          <w:lang w:val="sr-Latn-ME"/>
        </w:rPr>
        <w:t xml:space="preserve"> za injekciju, sa pričvršćenom iglom od nerđajućeg čelika i zaštitnikom za iglu od suve prirodne gume (derivata lateksa). Špric je opremljen sa pasivnim sigurnosnim zaštitnikom.</w:t>
      </w:r>
    </w:p>
    <w:p w14:paraId="7358C13D" w14:textId="77777777" w:rsidR="002E2B45" w:rsidRPr="002041DF" w:rsidRDefault="002E2B45" w:rsidP="002041DF">
      <w:pPr>
        <w:pStyle w:val="Header"/>
        <w:widowControl w:val="0"/>
        <w:tabs>
          <w:tab w:val="clear" w:pos="9406"/>
          <w:tab w:val="left" w:pos="284"/>
        </w:tabs>
        <w:jc w:val="both"/>
        <w:rPr>
          <w:sz w:val="22"/>
          <w:szCs w:val="22"/>
          <w:lang w:val="sr-Latn-ME"/>
        </w:rPr>
      </w:pPr>
      <w:r w:rsidRPr="002041DF">
        <w:rPr>
          <w:sz w:val="22"/>
          <w:szCs w:val="22"/>
          <w:lang w:val="sr-Latn-ME"/>
        </w:rPr>
        <w:t>Spoljašnje pakovanje je složiva kartonska kutija u kojoj se nalazi 1 napunjeni špric i Uputstvo za</w:t>
      </w:r>
    </w:p>
    <w:p w14:paraId="2EFA3ED1" w14:textId="7B93C8BB" w:rsidR="002F151E" w:rsidRPr="002041DF" w:rsidRDefault="00CA33FF" w:rsidP="002041DF">
      <w:pPr>
        <w:pStyle w:val="Header"/>
        <w:widowControl w:val="0"/>
        <w:tabs>
          <w:tab w:val="clear" w:pos="9406"/>
          <w:tab w:val="left" w:pos="284"/>
        </w:tabs>
        <w:jc w:val="both"/>
        <w:rPr>
          <w:sz w:val="22"/>
          <w:szCs w:val="22"/>
          <w:lang w:val="sr-Latn-ME"/>
        </w:rPr>
      </w:pPr>
      <w:r w:rsidRPr="002041DF">
        <w:rPr>
          <w:sz w:val="22"/>
          <w:szCs w:val="22"/>
          <w:lang w:val="sr-Latn-ME"/>
        </w:rPr>
        <w:t>lijek.</w:t>
      </w:r>
    </w:p>
    <w:p w14:paraId="5148A2EE" w14:textId="77777777" w:rsidR="00623D38" w:rsidRPr="002041DF" w:rsidRDefault="00623D38" w:rsidP="002041DF">
      <w:pPr>
        <w:pStyle w:val="Header"/>
        <w:widowControl w:val="0"/>
        <w:tabs>
          <w:tab w:val="left" w:pos="284"/>
        </w:tabs>
        <w:jc w:val="both"/>
        <w:rPr>
          <w:sz w:val="22"/>
          <w:szCs w:val="22"/>
          <w:lang w:val="sr-Latn-ME"/>
        </w:rPr>
      </w:pPr>
    </w:p>
    <w:p w14:paraId="46D313F6" w14:textId="77777777" w:rsidR="00921FA2" w:rsidRPr="002041DF" w:rsidRDefault="00921FA2" w:rsidP="002041DF">
      <w:pPr>
        <w:widowControl w:val="0"/>
        <w:tabs>
          <w:tab w:val="left" w:pos="540"/>
          <w:tab w:val="left" w:pos="569"/>
        </w:tabs>
        <w:jc w:val="both"/>
        <w:rPr>
          <w:b/>
          <w:bCs/>
          <w:sz w:val="22"/>
          <w:szCs w:val="22"/>
          <w:lang w:val="sr-Latn-ME"/>
        </w:rPr>
      </w:pPr>
      <w:r w:rsidRPr="002041DF">
        <w:rPr>
          <w:b/>
          <w:bCs/>
          <w:sz w:val="22"/>
          <w:szCs w:val="22"/>
          <w:lang w:val="sr-Latn-ME"/>
        </w:rPr>
        <w:t xml:space="preserve">6.6. </w:t>
      </w:r>
      <w:r w:rsidRPr="002041DF">
        <w:rPr>
          <w:b/>
          <w:bCs/>
          <w:sz w:val="22"/>
          <w:szCs w:val="22"/>
          <w:lang w:val="sr-Latn-ME"/>
        </w:rPr>
        <w:tab/>
      </w:r>
      <w:r w:rsidRPr="002041DF">
        <w:rPr>
          <w:b/>
          <w:bCs/>
          <w:color w:val="000000"/>
          <w:sz w:val="22"/>
          <w:szCs w:val="22"/>
          <w:lang w:val="sr-Latn-ME"/>
        </w:rPr>
        <w:t>Posebne mjere opreza pri odlaganju materijala koji treba odbaciti nakon primjene lijeka</w:t>
      </w:r>
      <w:r w:rsidRPr="002041DF">
        <w:rPr>
          <w:b/>
          <w:bCs/>
          <w:sz w:val="22"/>
          <w:szCs w:val="22"/>
          <w:lang w:val="sr-Latn-ME"/>
        </w:rPr>
        <w:t xml:space="preserve"> (i druga uputstva za rukovanje lijekom) </w:t>
      </w:r>
    </w:p>
    <w:p w14:paraId="5EFFCC47" w14:textId="77777777" w:rsidR="00623D38" w:rsidRPr="002041DF" w:rsidRDefault="00623D38" w:rsidP="002041DF">
      <w:pPr>
        <w:widowControl w:val="0"/>
        <w:jc w:val="both"/>
        <w:rPr>
          <w:sz w:val="22"/>
          <w:szCs w:val="22"/>
          <w:lang w:val="sr-Latn-ME"/>
        </w:rPr>
      </w:pPr>
    </w:p>
    <w:p w14:paraId="164CB8CE" w14:textId="70BB4D81" w:rsidR="00623D38" w:rsidRPr="002041DF" w:rsidRDefault="00623D38" w:rsidP="002041DF">
      <w:pPr>
        <w:pStyle w:val="Header"/>
        <w:widowControl w:val="0"/>
        <w:tabs>
          <w:tab w:val="left" w:pos="284"/>
        </w:tabs>
        <w:jc w:val="both"/>
        <w:rPr>
          <w:sz w:val="22"/>
          <w:szCs w:val="22"/>
          <w:lang w:val="sr-Latn-ME"/>
        </w:rPr>
      </w:pPr>
      <w:r w:rsidRPr="002041DF">
        <w:rPr>
          <w:sz w:val="22"/>
          <w:szCs w:val="22"/>
          <w:lang w:val="sr-Latn-ME"/>
        </w:rPr>
        <w:t>Rastvor u napunjenom injekcionom špricu</w:t>
      </w:r>
      <w:r w:rsidR="00A35D07" w:rsidRPr="002041DF">
        <w:rPr>
          <w:sz w:val="22"/>
          <w:szCs w:val="22"/>
          <w:lang w:val="sr-Latn-ME"/>
        </w:rPr>
        <w:t xml:space="preserve"> lijeka </w:t>
      </w:r>
      <w:r w:rsidRPr="002041DF">
        <w:rPr>
          <w:sz w:val="22"/>
          <w:szCs w:val="22"/>
          <w:lang w:val="sr-Latn-ME"/>
        </w:rPr>
        <w:t>Stelara ne treba mućkati. Potrebno je rastvor vizuelno pregledati kako bi se uočile čestice ili prom</w:t>
      </w:r>
      <w:r w:rsidR="00B10424" w:rsidRPr="002041DF">
        <w:rPr>
          <w:sz w:val="22"/>
          <w:szCs w:val="22"/>
          <w:lang w:val="sr-Latn-ME"/>
        </w:rPr>
        <w:t>j</w:t>
      </w:r>
      <w:r w:rsidRPr="002041DF">
        <w:rPr>
          <w:sz w:val="22"/>
          <w:szCs w:val="22"/>
          <w:lang w:val="sr-Latn-ME"/>
        </w:rPr>
        <w:t>ena boje,</w:t>
      </w:r>
      <w:r w:rsidR="00891C9B" w:rsidRPr="002041DF">
        <w:rPr>
          <w:sz w:val="22"/>
          <w:szCs w:val="22"/>
          <w:lang w:val="sr-Latn-ME"/>
        </w:rPr>
        <w:t xml:space="preserve"> prije </w:t>
      </w:r>
      <w:r w:rsidRPr="002041DF">
        <w:rPr>
          <w:sz w:val="22"/>
          <w:szCs w:val="22"/>
          <w:lang w:val="sr-Latn-ME"/>
        </w:rPr>
        <w:t>su</w:t>
      </w:r>
      <w:r w:rsidR="00345EB0" w:rsidRPr="002041DF">
        <w:rPr>
          <w:sz w:val="22"/>
          <w:szCs w:val="22"/>
          <w:lang w:val="sr-Latn-ME"/>
        </w:rPr>
        <w:t>p</w:t>
      </w:r>
      <w:r w:rsidRPr="002041DF">
        <w:rPr>
          <w:sz w:val="22"/>
          <w:szCs w:val="22"/>
          <w:lang w:val="sr-Latn-ME"/>
        </w:rPr>
        <w:t>kutane</w:t>
      </w:r>
      <w:r w:rsidR="00891C9B" w:rsidRPr="002041DF">
        <w:rPr>
          <w:sz w:val="22"/>
          <w:szCs w:val="22"/>
          <w:lang w:val="sr-Latn-ME"/>
        </w:rPr>
        <w:t xml:space="preserve"> primjene </w:t>
      </w:r>
      <w:r w:rsidRPr="002041DF">
        <w:rPr>
          <w:sz w:val="22"/>
          <w:szCs w:val="22"/>
          <w:lang w:val="sr-Latn-ME"/>
        </w:rPr>
        <w:t>l</w:t>
      </w:r>
      <w:r w:rsidR="00B10424" w:rsidRPr="002041DF">
        <w:rPr>
          <w:sz w:val="22"/>
          <w:szCs w:val="22"/>
          <w:lang w:val="sr-Latn-ME"/>
        </w:rPr>
        <w:t>ij</w:t>
      </w:r>
      <w:r w:rsidRPr="002041DF">
        <w:rPr>
          <w:sz w:val="22"/>
          <w:szCs w:val="22"/>
          <w:lang w:val="sr-Latn-ME"/>
        </w:rPr>
        <w:t xml:space="preserve">eka. Rastvor je bistar do blago opalescentan, bezbojan, do </w:t>
      </w:r>
      <w:r w:rsidR="00F07715" w:rsidRPr="002041DF">
        <w:rPr>
          <w:sz w:val="22"/>
          <w:szCs w:val="22"/>
          <w:lang w:val="sr-Latn-ME"/>
        </w:rPr>
        <w:t>sv</w:t>
      </w:r>
      <w:r w:rsidR="00B10424" w:rsidRPr="002041DF">
        <w:rPr>
          <w:sz w:val="22"/>
          <w:szCs w:val="22"/>
          <w:lang w:val="sr-Latn-ME"/>
        </w:rPr>
        <w:t>ij</w:t>
      </w:r>
      <w:r w:rsidR="00F07715" w:rsidRPr="002041DF">
        <w:rPr>
          <w:sz w:val="22"/>
          <w:szCs w:val="22"/>
          <w:lang w:val="sr-Latn-ME"/>
        </w:rPr>
        <w:t>etložute boje</w:t>
      </w:r>
      <w:r w:rsidRPr="002041DF">
        <w:rPr>
          <w:sz w:val="22"/>
          <w:szCs w:val="22"/>
          <w:lang w:val="sr-Latn-ME"/>
        </w:rPr>
        <w:t xml:space="preserve"> i može sadržati </w:t>
      </w:r>
      <w:r w:rsidR="00C11C88" w:rsidRPr="002041DF">
        <w:rPr>
          <w:sz w:val="22"/>
          <w:szCs w:val="22"/>
          <w:lang w:val="sr-Latn-ME"/>
        </w:rPr>
        <w:t>nekoliko malih</w:t>
      </w:r>
      <w:r w:rsidRPr="002041DF">
        <w:rPr>
          <w:sz w:val="22"/>
          <w:szCs w:val="22"/>
          <w:lang w:val="sr-Latn-ME"/>
        </w:rPr>
        <w:t xml:space="preserve"> poluprovidnih ili b</w:t>
      </w:r>
      <w:r w:rsidR="00B10424" w:rsidRPr="002041DF">
        <w:rPr>
          <w:sz w:val="22"/>
          <w:szCs w:val="22"/>
          <w:lang w:val="sr-Latn-ME"/>
        </w:rPr>
        <w:t>ij</w:t>
      </w:r>
      <w:r w:rsidRPr="002041DF">
        <w:rPr>
          <w:sz w:val="22"/>
          <w:szCs w:val="22"/>
          <w:lang w:val="sr-Latn-ME"/>
        </w:rPr>
        <w:t xml:space="preserve">elih čestica proteina. Ova pojava nije neuobičajena za proteinske rastvore. </w:t>
      </w:r>
      <w:r w:rsidR="004D1156" w:rsidRPr="002041DF">
        <w:rPr>
          <w:sz w:val="22"/>
          <w:szCs w:val="22"/>
          <w:lang w:val="sr-Latn-ME"/>
        </w:rPr>
        <w:t>L</w:t>
      </w:r>
      <w:r w:rsidR="00B10424" w:rsidRPr="002041DF">
        <w:rPr>
          <w:sz w:val="22"/>
          <w:szCs w:val="22"/>
          <w:lang w:val="sr-Latn-ME"/>
        </w:rPr>
        <w:t>ij</w:t>
      </w:r>
      <w:r w:rsidR="004D1156" w:rsidRPr="002041DF">
        <w:rPr>
          <w:sz w:val="22"/>
          <w:szCs w:val="22"/>
          <w:lang w:val="sr-Latn-ME"/>
        </w:rPr>
        <w:t>ek</w:t>
      </w:r>
      <w:r w:rsidRPr="002041DF">
        <w:rPr>
          <w:sz w:val="22"/>
          <w:szCs w:val="22"/>
          <w:lang w:val="sr-Latn-ME"/>
        </w:rPr>
        <w:t xml:space="preserve"> ne treba</w:t>
      </w:r>
      <w:r w:rsidR="006320DB" w:rsidRPr="002041DF">
        <w:rPr>
          <w:sz w:val="22"/>
          <w:szCs w:val="22"/>
          <w:lang w:val="sr-Latn-ME"/>
        </w:rPr>
        <w:t xml:space="preserve"> upotr</w:t>
      </w:r>
      <w:r w:rsidR="007C6EF0" w:rsidRPr="002041DF">
        <w:rPr>
          <w:sz w:val="22"/>
          <w:szCs w:val="22"/>
          <w:lang w:val="sr-Latn-ME"/>
        </w:rPr>
        <w:t>ij</w:t>
      </w:r>
      <w:r w:rsidR="006320DB" w:rsidRPr="002041DF">
        <w:rPr>
          <w:sz w:val="22"/>
          <w:szCs w:val="22"/>
          <w:lang w:val="sr-Latn-ME"/>
        </w:rPr>
        <w:t xml:space="preserve">ebiti </w:t>
      </w:r>
      <w:r w:rsidR="007C6EF0" w:rsidRPr="002041DF">
        <w:rPr>
          <w:sz w:val="22"/>
          <w:szCs w:val="22"/>
          <w:lang w:val="sr-Latn-ME"/>
        </w:rPr>
        <w:t>u</w:t>
      </w:r>
      <w:r w:rsidRPr="002041DF">
        <w:rPr>
          <w:sz w:val="22"/>
          <w:szCs w:val="22"/>
          <w:lang w:val="sr-Latn-ME"/>
        </w:rPr>
        <w:t>koliko je rastvor prom</w:t>
      </w:r>
      <w:r w:rsidR="00B10424" w:rsidRPr="002041DF">
        <w:rPr>
          <w:sz w:val="22"/>
          <w:szCs w:val="22"/>
          <w:lang w:val="sr-Latn-ME"/>
        </w:rPr>
        <w:t>ij</w:t>
      </w:r>
      <w:r w:rsidRPr="002041DF">
        <w:rPr>
          <w:sz w:val="22"/>
          <w:szCs w:val="22"/>
          <w:lang w:val="sr-Latn-ME"/>
        </w:rPr>
        <w:t xml:space="preserve">enio boju ili je zamućen, ili ukoliko su </w:t>
      </w:r>
      <w:r w:rsidR="006320DB" w:rsidRPr="002041DF">
        <w:rPr>
          <w:sz w:val="22"/>
          <w:szCs w:val="22"/>
          <w:lang w:val="sr-Latn-ME"/>
        </w:rPr>
        <w:t>prisutne vidljive</w:t>
      </w:r>
      <w:r w:rsidRPr="002041DF">
        <w:rPr>
          <w:sz w:val="22"/>
          <w:szCs w:val="22"/>
          <w:lang w:val="sr-Latn-ME"/>
        </w:rPr>
        <w:t xml:space="preserve"> čestice.</w:t>
      </w:r>
      <w:r w:rsidR="00891C9B" w:rsidRPr="002041DF">
        <w:rPr>
          <w:sz w:val="22"/>
          <w:szCs w:val="22"/>
          <w:lang w:val="sr-Latn-ME"/>
        </w:rPr>
        <w:t xml:space="preserve"> </w:t>
      </w:r>
      <w:r w:rsidR="009F7588" w:rsidRPr="002041DF">
        <w:rPr>
          <w:sz w:val="22"/>
          <w:szCs w:val="22"/>
          <w:lang w:val="sr-Latn-ME"/>
        </w:rPr>
        <w:t>P</w:t>
      </w:r>
      <w:r w:rsidR="00891C9B" w:rsidRPr="002041DF">
        <w:rPr>
          <w:sz w:val="22"/>
          <w:szCs w:val="22"/>
          <w:lang w:val="sr-Latn-ME"/>
        </w:rPr>
        <w:t xml:space="preserve">rije </w:t>
      </w:r>
      <w:r w:rsidRPr="002041DF">
        <w:rPr>
          <w:sz w:val="22"/>
          <w:szCs w:val="22"/>
          <w:lang w:val="sr-Latn-ME"/>
        </w:rPr>
        <w:t>prim</w:t>
      </w:r>
      <w:r w:rsidR="00B10424" w:rsidRPr="002041DF">
        <w:rPr>
          <w:sz w:val="22"/>
          <w:szCs w:val="22"/>
          <w:lang w:val="sr-Latn-ME"/>
        </w:rPr>
        <w:t>j</w:t>
      </w:r>
      <w:r w:rsidRPr="002041DF">
        <w:rPr>
          <w:sz w:val="22"/>
          <w:szCs w:val="22"/>
          <w:lang w:val="sr-Latn-ME"/>
        </w:rPr>
        <w:t xml:space="preserve">ene, potrebno je da </w:t>
      </w:r>
      <w:r w:rsidR="00B10424" w:rsidRPr="002041DF">
        <w:rPr>
          <w:sz w:val="22"/>
          <w:szCs w:val="22"/>
          <w:lang w:val="sr-Latn-ME"/>
        </w:rPr>
        <w:t>l</w:t>
      </w:r>
      <w:r w:rsidR="00C23E53" w:rsidRPr="002041DF">
        <w:rPr>
          <w:sz w:val="22"/>
          <w:szCs w:val="22"/>
          <w:lang w:val="sr-Latn-ME"/>
        </w:rPr>
        <w:t xml:space="preserve">ijek Stelara </w:t>
      </w:r>
      <w:r w:rsidRPr="002041DF">
        <w:rPr>
          <w:sz w:val="22"/>
          <w:szCs w:val="22"/>
          <w:lang w:val="sr-Latn-ME"/>
        </w:rPr>
        <w:t>dostigne sobnu temperaturu (oko pola sata). Detaljna uputstva o upotrebi su data u Uputstvu za</w:t>
      </w:r>
      <w:r w:rsidR="00E50471" w:rsidRPr="002041DF">
        <w:rPr>
          <w:sz w:val="22"/>
          <w:szCs w:val="22"/>
          <w:lang w:val="sr-Latn-ME"/>
        </w:rPr>
        <w:t xml:space="preserve"> lijek.</w:t>
      </w:r>
    </w:p>
    <w:p w14:paraId="185A77BA" w14:textId="77777777" w:rsidR="00623D38" w:rsidRPr="002041DF" w:rsidRDefault="00623D38" w:rsidP="002041DF">
      <w:pPr>
        <w:pStyle w:val="Header"/>
        <w:widowControl w:val="0"/>
        <w:tabs>
          <w:tab w:val="left" w:pos="284"/>
        </w:tabs>
        <w:jc w:val="both"/>
        <w:rPr>
          <w:sz w:val="22"/>
          <w:szCs w:val="22"/>
          <w:lang w:val="sr-Latn-ME"/>
        </w:rPr>
      </w:pPr>
    </w:p>
    <w:p w14:paraId="61AFD995" w14:textId="5C993377" w:rsidR="00623D38" w:rsidRPr="002041DF" w:rsidRDefault="00C23E53" w:rsidP="002041DF">
      <w:pPr>
        <w:pStyle w:val="Header"/>
        <w:widowControl w:val="0"/>
        <w:tabs>
          <w:tab w:val="left" w:pos="284"/>
        </w:tabs>
        <w:jc w:val="both"/>
        <w:rPr>
          <w:sz w:val="22"/>
          <w:szCs w:val="22"/>
          <w:lang w:val="sr-Latn-ME"/>
        </w:rPr>
      </w:pPr>
      <w:r w:rsidRPr="002041DF">
        <w:rPr>
          <w:sz w:val="22"/>
          <w:szCs w:val="22"/>
          <w:lang w:val="sr-Latn-ME"/>
        </w:rPr>
        <w:t xml:space="preserve">Lijek Stelara </w:t>
      </w:r>
      <w:r w:rsidR="00623D38" w:rsidRPr="002041DF">
        <w:rPr>
          <w:sz w:val="22"/>
          <w:szCs w:val="22"/>
          <w:lang w:val="sr-Latn-ME"/>
        </w:rPr>
        <w:t>ne sadrži konzervanse; zato, l</w:t>
      </w:r>
      <w:r w:rsidR="00B10424" w:rsidRPr="002041DF">
        <w:rPr>
          <w:sz w:val="22"/>
          <w:szCs w:val="22"/>
          <w:lang w:val="sr-Latn-ME"/>
        </w:rPr>
        <w:t>ij</w:t>
      </w:r>
      <w:r w:rsidR="00623D38" w:rsidRPr="002041DF">
        <w:rPr>
          <w:sz w:val="22"/>
          <w:szCs w:val="22"/>
          <w:lang w:val="sr-Latn-ME"/>
        </w:rPr>
        <w:t xml:space="preserve">ek koji se zadržao u špricu ne treba koristiti. </w:t>
      </w:r>
      <w:r w:rsidRPr="002041DF">
        <w:rPr>
          <w:sz w:val="22"/>
          <w:szCs w:val="22"/>
          <w:lang w:val="sr-Latn-ME" w:eastAsia="x-none"/>
        </w:rPr>
        <w:t xml:space="preserve">Lijek Stelara </w:t>
      </w:r>
      <w:r w:rsidR="00CC0E68" w:rsidRPr="002041DF">
        <w:rPr>
          <w:sz w:val="22"/>
          <w:szCs w:val="22"/>
          <w:lang w:val="sr-Latn-ME" w:eastAsia="x-none"/>
        </w:rPr>
        <w:t xml:space="preserve">se isporučuje kao sterilni, jednodozni napunjeni injekcioni špric. </w:t>
      </w:r>
      <w:r w:rsidR="00641C7D" w:rsidRPr="002041DF">
        <w:rPr>
          <w:sz w:val="22"/>
          <w:szCs w:val="22"/>
          <w:lang w:val="sr-Latn-ME"/>
        </w:rPr>
        <w:t>Špric</w:t>
      </w:r>
      <w:r w:rsidR="007C6EF0" w:rsidRPr="002041DF">
        <w:rPr>
          <w:sz w:val="22"/>
          <w:szCs w:val="22"/>
          <w:lang w:val="sr-Latn-ME"/>
        </w:rPr>
        <w:t xml:space="preserve"> i </w:t>
      </w:r>
      <w:r w:rsidR="00641C7D" w:rsidRPr="002041DF">
        <w:rPr>
          <w:sz w:val="22"/>
          <w:szCs w:val="22"/>
          <w:lang w:val="sr-Latn-ME"/>
        </w:rPr>
        <w:t xml:space="preserve">igla se nikada ne </w:t>
      </w:r>
      <w:r w:rsidR="00A13585" w:rsidRPr="002041DF">
        <w:rPr>
          <w:sz w:val="22"/>
          <w:szCs w:val="22"/>
          <w:lang w:val="sr-Latn-ME"/>
        </w:rPr>
        <w:t>sm</w:t>
      </w:r>
      <w:r w:rsidR="00B10424" w:rsidRPr="002041DF">
        <w:rPr>
          <w:sz w:val="22"/>
          <w:szCs w:val="22"/>
          <w:lang w:val="sr-Latn-ME"/>
        </w:rPr>
        <w:t>i</w:t>
      </w:r>
      <w:r w:rsidR="00A13585" w:rsidRPr="002041DF">
        <w:rPr>
          <w:sz w:val="22"/>
          <w:szCs w:val="22"/>
          <w:lang w:val="sr-Latn-ME"/>
        </w:rPr>
        <w:t>ju</w:t>
      </w:r>
      <w:r w:rsidR="00641C7D" w:rsidRPr="002041DF">
        <w:rPr>
          <w:sz w:val="22"/>
          <w:szCs w:val="22"/>
          <w:lang w:val="sr-Latn-ME"/>
        </w:rPr>
        <w:t xml:space="preserve"> ponovo koristiti.</w:t>
      </w:r>
    </w:p>
    <w:p w14:paraId="323B201E" w14:textId="77777777" w:rsidR="00623D38" w:rsidRPr="002041DF" w:rsidRDefault="00623D38" w:rsidP="002041DF">
      <w:pPr>
        <w:pStyle w:val="Header"/>
        <w:widowControl w:val="0"/>
        <w:tabs>
          <w:tab w:val="left" w:pos="284"/>
        </w:tabs>
        <w:jc w:val="both"/>
        <w:rPr>
          <w:sz w:val="22"/>
          <w:szCs w:val="22"/>
          <w:lang w:val="sr-Latn-ME"/>
        </w:rPr>
      </w:pPr>
    </w:p>
    <w:p w14:paraId="214BE376" w14:textId="7A5F3A65" w:rsidR="00623D38" w:rsidRPr="002041DF" w:rsidRDefault="00623D38" w:rsidP="002041DF">
      <w:pPr>
        <w:widowControl w:val="0"/>
        <w:jc w:val="both"/>
        <w:rPr>
          <w:sz w:val="22"/>
          <w:szCs w:val="22"/>
          <w:lang w:val="sr-Latn-ME"/>
        </w:rPr>
      </w:pPr>
      <w:r w:rsidRPr="002041DF">
        <w:rPr>
          <w:sz w:val="22"/>
          <w:szCs w:val="22"/>
          <w:lang w:val="sr-Latn-ME"/>
        </w:rPr>
        <w:t>Svu neiskorišćenu količinu</w:t>
      </w:r>
      <w:r w:rsidR="00A35D07" w:rsidRPr="002041DF">
        <w:rPr>
          <w:sz w:val="22"/>
          <w:szCs w:val="22"/>
          <w:lang w:val="sr-Latn-ME"/>
        </w:rPr>
        <w:t xml:space="preserve"> lijeka </w:t>
      </w:r>
      <w:r w:rsidRPr="002041DF">
        <w:rPr>
          <w:sz w:val="22"/>
          <w:szCs w:val="22"/>
          <w:lang w:val="sr-Latn-ME"/>
        </w:rPr>
        <w:t>ili otpadnog materijala nakon njegove upotrebe treba ukloniti u skladu sa važećim propisima.</w:t>
      </w:r>
    </w:p>
    <w:bookmarkEnd w:id="24"/>
    <w:p w14:paraId="7761E10F" w14:textId="112B9EA5" w:rsidR="00623D38" w:rsidRPr="002041DF" w:rsidRDefault="00623D38" w:rsidP="002041DF">
      <w:pPr>
        <w:widowControl w:val="0"/>
        <w:jc w:val="both"/>
        <w:rPr>
          <w:sz w:val="22"/>
          <w:szCs w:val="22"/>
          <w:lang w:val="sr-Latn-ME"/>
        </w:rPr>
      </w:pPr>
      <w:r w:rsidRPr="002041DF">
        <w:rPr>
          <w:sz w:val="22"/>
          <w:szCs w:val="22"/>
          <w:lang w:val="sr-Latn-ME"/>
        </w:rPr>
        <w:t xml:space="preserve"> </w:t>
      </w:r>
    </w:p>
    <w:p w14:paraId="5171CBEC" w14:textId="77777777" w:rsidR="00921FA2" w:rsidRPr="002041DF" w:rsidRDefault="00921FA2" w:rsidP="002041DF">
      <w:pPr>
        <w:widowControl w:val="0"/>
        <w:jc w:val="both"/>
        <w:rPr>
          <w:sz w:val="22"/>
          <w:szCs w:val="22"/>
          <w:lang w:val="sr-Latn-ME"/>
        </w:rPr>
      </w:pPr>
    </w:p>
    <w:p w14:paraId="46DDBD48" w14:textId="77777777" w:rsidR="00921FA2" w:rsidRPr="002041DF" w:rsidRDefault="00921FA2" w:rsidP="002041DF">
      <w:pPr>
        <w:widowControl w:val="0"/>
        <w:tabs>
          <w:tab w:val="left" w:pos="540"/>
          <w:tab w:val="left" w:pos="569"/>
        </w:tabs>
        <w:jc w:val="both"/>
        <w:rPr>
          <w:b/>
          <w:bCs/>
          <w:sz w:val="22"/>
          <w:szCs w:val="22"/>
          <w:lang w:val="sr-Latn-ME"/>
        </w:rPr>
      </w:pPr>
      <w:r w:rsidRPr="002041DF">
        <w:rPr>
          <w:b/>
          <w:bCs/>
          <w:sz w:val="22"/>
          <w:szCs w:val="22"/>
          <w:lang w:val="sr-Latn-ME"/>
        </w:rPr>
        <w:t xml:space="preserve">7. </w:t>
      </w:r>
      <w:r w:rsidRPr="002041DF">
        <w:rPr>
          <w:b/>
          <w:bCs/>
          <w:sz w:val="22"/>
          <w:szCs w:val="22"/>
          <w:lang w:val="sr-Latn-ME"/>
        </w:rPr>
        <w:tab/>
        <w:t xml:space="preserve">NOSILAC DOZVOLE </w:t>
      </w:r>
    </w:p>
    <w:p w14:paraId="0E1AC5C9" w14:textId="77777777" w:rsidR="00623D38" w:rsidRPr="002041DF" w:rsidRDefault="00623D38" w:rsidP="002041DF">
      <w:pPr>
        <w:widowControl w:val="0"/>
        <w:jc w:val="both"/>
        <w:rPr>
          <w:b/>
          <w:bCs/>
          <w:sz w:val="22"/>
          <w:szCs w:val="22"/>
          <w:lang w:val="sr-Latn-ME"/>
        </w:rPr>
      </w:pPr>
    </w:p>
    <w:p w14:paraId="6FDB1F92" w14:textId="77777777" w:rsidR="00803025" w:rsidRPr="002041DF" w:rsidRDefault="00803025" w:rsidP="002041DF">
      <w:pPr>
        <w:widowControl w:val="0"/>
        <w:tabs>
          <w:tab w:val="left" w:pos="540"/>
          <w:tab w:val="left" w:pos="569"/>
        </w:tabs>
        <w:jc w:val="both"/>
        <w:rPr>
          <w:bCs/>
          <w:sz w:val="22"/>
          <w:szCs w:val="22"/>
          <w:lang w:val="sr-Latn-ME"/>
        </w:rPr>
      </w:pPr>
      <w:r w:rsidRPr="002041DF">
        <w:rPr>
          <w:bCs/>
          <w:sz w:val="22"/>
          <w:szCs w:val="22"/>
          <w:lang w:val="sr-Latn-ME"/>
        </w:rPr>
        <w:t>Glosarij d.o.o.</w:t>
      </w:r>
    </w:p>
    <w:p w14:paraId="44570B37" w14:textId="77777777" w:rsidR="00803025" w:rsidRPr="002041DF" w:rsidRDefault="00803025" w:rsidP="002041DF">
      <w:pPr>
        <w:widowControl w:val="0"/>
        <w:tabs>
          <w:tab w:val="left" w:pos="540"/>
          <w:tab w:val="left" w:pos="569"/>
        </w:tabs>
        <w:jc w:val="both"/>
        <w:rPr>
          <w:bCs/>
          <w:sz w:val="22"/>
          <w:szCs w:val="22"/>
          <w:lang w:val="sr-Latn-ME"/>
        </w:rPr>
      </w:pPr>
      <w:r w:rsidRPr="002041DF">
        <w:rPr>
          <w:bCs/>
          <w:sz w:val="22"/>
          <w:szCs w:val="22"/>
          <w:lang w:val="sr-Latn-ME"/>
        </w:rPr>
        <w:t>Vojislavljevića 76, Podgorica, Crna Gora</w:t>
      </w:r>
    </w:p>
    <w:p w14:paraId="25A643F1" w14:textId="6487D1C7" w:rsidR="00925224" w:rsidRPr="002041DF" w:rsidRDefault="00925224" w:rsidP="002041DF">
      <w:pPr>
        <w:pStyle w:val="Footer"/>
        <w:widowControl w:val="0"/>
        <w:jc w:val="both"/>
        <w:rPr>
          <w:rFonts w:ascii="Times New Roman" w:hAnsi="Times New Roman"/>
          <w:sz w:val="22"/>
          <w:szCs w:val="22"/>
          <w:lang w:val="sr-Latn-ME" w:eastAsia="x-none"/>
        </w:rPr>
      </w:pPr>
    </w:p>
    <w:p w14:paraId="4987B5FB" w14:textId="77777777" w:rsidR="00921FA2" w:rsidRPr="002041DF" w:rsidRDefault="00921FA2" w:rsidP="002041DF">
      <w:pPr>
        <w:pStyle w:val="Footer"/>
        <w:widowControl w:val="0"/>
        <w:jc w:val="both"/>
        <w:rPr>
          <w:rFonts w:ascii="Times New Roman" w:hAnsi="Times New Roman"/>
          <w:sz w:val="22"/>
          <w:szCs w:val="22"/>
          <w:lang w:val="sr-Latn-ME" w:eastAsia="x-none"/>
        </w:rPr>
      </w:pPr>
    </w:p>
    <w:p w14:paraId="3AC17F0D" w14:textId="77777777" w:rsidR="00921FA2" w:rsidRPr="002041DF" w:rsidRDefault="00921FA2" w:rsidP="002041DF">
      <w:pPr>
        <w:widowControl w:val="0"/>
        <w:tabs>
          <w:tab w:val="left" w:pos="540"/>
          <w:tab w:val="left" w:pos="569"/>
        </w:tabs>
        <w:jc w:val="both"/>
        <w:rPr>
          <w:b/>
          <w:bCs/>
          <w:sz w:val="22"/>
          <w:szCs w:val="22"/>
          <w:lang w:val="sr-Latn-ME"/>
        </w:rPr>
      </w:pPr>
      <w:r w:rsidRPr="002041DF">
        <w:rPr>
          <w:b/>
          <w:bCs/>
          <w:sz w:val="22"/>
          <w:szCs w:val="22"/>
          <w:lang w:val="sr-Latn-ME"/>
        </w:rPr>
        <w:t xml:space="preserve">8. </w:t>
      </w:r>
      <w:r w:rsidRPr="002041DF">
        <w:rPr>
          <w:b/>
          <w:bCs/>
          <w:sz w:val="22"/>
          <w:szCs w:val="22"/>
          <w:lang w:val="sr-Latn-ME"/>
        </w:rPr>
        <w:tab/>
        <w:t>BROJ DOZVOLE ZA STAVLJANJE LIJEKA U PROMET</w:t>
      </w:r>
    </w:p>
    <w:p w14:paraId="510016D9" w14:textId="77777777" w:rsidR="00623D38" w:rsidRPr="002041DF" w:rsidRDefault="00623D38" w:rsidP="002041DF">
      <w:pPr>
        <w:pStyle w:val="Footer"/>
        <w:widowControl w:val="0"/>
        <w:jc w:val="both"/>
        <w:rPr>
          <w:rFonts w:ascii="Times New Roman" w:hAnsi="Times New Roman"/>
          <w:sz w:val="22"/>
          <w:szCs w:val="22"/>
          <w:lang w:val="sr-Latn-ME" w:eastAsia="x-none"/>
        </w:rPr>
      </w:pPr>
    </w:p>
    <w:p w14:paraId="79DFEDAA" w14:textId="2CF63880" w:rsidR="00921FA2" w:rsidRPr="002041DF" w:rsidRDefault="00B9502A" w:rsidP="002041DF">
      <w:pPr>
        <w:pStyle w:val="Footer"/>
        <w:widowControl w:val="0"/>
        <w:jc w:val="both"/>
        <w:rPr>
          <w:rFonts w:ascii="Times New Roman" w:hAnsi="Times New Roman"/>
          <w:sz w:val="22"/>
          <w:szCs w:val="22"/>
          <w:lang w:val="sr-Latn-ME" w:eastAsia="x-none"/>
        </w:rPr>
      </w:pPr>
      <w:r w:rsidRPr="002041DF">
        <w:rPr>
          <w:rFonts w:ascii="Times New Roman" w:hAnsi="Times New Roman"/>
          <w:sz w:val="22"/>
          <w:szCs w:val="22"/>
          <w:lang w:val="sr-Latn-ME" w:eastAsia="x-none"/>
        </w:rPr>
        <w:t>2030/24/678 - 3553</w:t>
      </w:r>
    </w:p>
    <w:p w14:paraId="712D6407" w14:textId="5E8A813F" w:rsidR="00921FA2" w:rsidRDefault="00921FA2" w:rsidP="002041DF">
      <w:pPr>
        <w:pStyle w:val="Footer"/>
        <w:widowControl w:val="0"/>
        <w:jc w:val="both"/>
        <w:rPr>
          <w:rFonts w:ascii="Times New Roman" w:hAnsi="Times New Roman"/>
          <w:sz w:val="22"/>
          <w:szCs w:val="22"/>
          <w:lang w:val="sr-Latn-ME" w:eastAsia="x-none"/>
        </w:rPr>
      </w:pPr>
    </w:p>
    <w:p w14:paraId="028D2F86" w14:textId="77777777" w:rsidR="00097C03" w:rsidRPr="002041DF" w:rsidRDefault="00097C03" w:rsidP="002041DF">
      <w:pPr>
        <w:pStyle w:val="Footer"/>
        <w:widowControl w:val="0"/>
        <w:jc w:val="both"/>
        <w:rPr>
          <w:rFonts w:ascii="Times New Roman" w:hAnsi="Times New Roman"/>
          <w:sz w:val="22"/>
          <w:szCs w:val="22"/>
          <w:lang w:val="sr-Latn-ME" w:eastAsia="x-none"/>
        </w:rPr>
      </w:pPr>
    </w:p>
    <w:p w14:paraId="177170B8" w14:textId="65FD382F" w:rsidR="00921FA2" w:rsidRPr="002041DF" w:rsidRDefault="00921FA2" w:rsidP="002041DF">
      <w:pPr>
        <w:widowControl w:val="0"/>
        <w:tabs>
          <w:tab w:val="left" w:pos="540"/>
          <w:tab w:val="left" w:pos="569"/>
        </w:tabs>
        <w:jc w:val="both"/>
        <w:rPr>
          <w:b/>
          <w:bCs/>
          <w:sz w:val="22"/>
          <w:szCs w:val="22"/>
          <w:lang w:val="sr-Latn-ME"/>
        </w:rPr>
      </w:pPr>
      <w:r w:rsidRPr="002041DF">
        <w:rPr>
          <w:b/>
          <w:bCs/>
          <w:sz w:val="22"/>
          <w:szCs w:val="22"/>
          <w:lang w:val="sr-Latn-ME"/>
        </w:rPr>
        <w:t xml:space="preserve">9. </w:t>
      </w:r>
      <w:r w:rsidRPr="002041DF">
        <w:rPr>
          <w:b/>
          <w:bCs/>
          <w:sz w:val="22"/>
          <w:szCs w:val="22"/>
          <w:lang w:val="sr-Latn-ME"/>
        </w:rPr>
        <w:tab/>
        <w:t>DATUM PRVE DOZVOLE/OBNOVE DOZVOLE ZA STAVLJANJE LIJEKA U PROMET</w:t>
      </w:r>
    </w:p>
    <w:p w14:paraId="145C798E" w14:textId="77777777" w:rsidR="00921FA2" w:rsidRPr="002041DF" w:rsidRDefault="00921FA2" w:rsidP="002041DF">
      <w:pPr>
        <w:widowControl w:val="0"/>
        <w:jc w:val="both"/>
        <w:rPr>
          <w:sz w:val="22"/>
          <w:szCs w:val="22"/>
          <w:lang w:val="sr-Latn-ME"/>
        </w:rPr>
      </w:pPr>
    </w:p>
    <w:p w14:paraId="02BC95E5" w14:textId="214E10ED" w:rsidR="00623D38" w:rsidRPr="002041DF" w:rsidRDefault="00B9502A" w:rsidP="002041DF">
      <w:pPr>
        <w:pStyle w:val="Header"/>
        <w:widowControl w:val="0"/>
        <w:tabs>
          <w:tab w:val="left" w:pos="284"/>
        </w:tabs>
        <w:jc w:val="both"/>
        <w:rPr>
          <w:sz w:val="22"/>
          <w:szCs w:val="22"/>
          <w:lang w:val="sr-Latn-ME"/>
        </w:rPr>
      </w:pPr>
      <w:r w:rsidRPr="002041DF">
        <w:rPr>
          <w:sz w:val="22"/>
          <w:szCs w:val="22"/>
          <w:lang w:val="sr-Latn-ME"/>
        </w:rPr>
        <w:t>12.02.2024. godine</w:t>
      </w:r>
    </w:p>
    <w:p w14:paraId="319CE9E2" w14:textId="3FE407DC" w:rsidR="00921FA2" w:rsidRDefault="00921FA2" w:rsidP="002041DF">
      <w:pPr>
        <w:pStyle w:val="Header"/>
        <w:widowControl w:val="0"/>
        <w:tabs>
          <w:tab w:val="left" w:pos="284"/>
        </w:tabs>
        <w:jc w:val="both"/>
        <w:rPr>
          <w:b/>
          <w:bCs/>
          <w:sz w:val="22"/>
          <w:szCs w:val="22"/>
          <w:lang w:val="sr-Latn-ME"/>
        </w:rPr>
      </w:pPr>
    </w:p>
    <w:p w14:paraId="2A0E4F33" w14:textId="77777777" w:rsidR="00097C03" w:rsidRPr="002041DF" w:rsidRDefault="00097C03" w:rsidP="002041DF">
      <w:pPr>
        <w:pStyle w:val="Header"/>
        <w:widowControl w:val="0"/>
        <w:tabs>
          <w:tab w:val="left" w:pos="284"/>
        </w:tabs>
        <w:jc w:val="both"/>
        <w:rPr>
          <w:b/>
          <w:bCs/>
          <w:sz w:val="22"/>
          <w:szCs w:val="22"/>
          <w:lang w:val="sr-Latn-ME"/>
        </w:rPr>
      </w:pPr>
    </w:p>
    <w:p w14:paraId="2E50248A" w14:textId="77777777" w:rsidR="00921FA2" w:rsidRPr="002041DF" w:rsidRDefault="00921FA2" w:rsidP="002041DF">
      <w:pPr>
        <w:widowControl w:val="0"/>
        <w:tabs>
          <w:tab w:val="left" w:pos="540"/>
          <w:tab w:val="left" w:pos="569"/>
        </w:tabs>
        <w:jc w:val="both"/>
        <w:rPr>
          <w:bCs/>
          <w:sz w:val="22"/>
          <w:szCs w:val="22"/>
          <w:lang w:val="sr-Latn-ME"/>
        </w:rPr>
      </w:pPr>
      <w:r w:rsidRPr="002041DF">
        <w:rPr>
          <w:b/>
          <w:bCs/>
          <w:sz w:val="22"/>
          <w:szCs w:val="22"/>
          <w:lang w:val="sr-Latn-ME"/>
        </w:rPr>
        <w:t xml:space="preserve">10. </w:t>
      </w:r>
      <w:r w:rsidRPr="002041DF">
        <w:rPr>
          <w:b/>
          <w:bCs/>
          <w:sz w:val="22"/>
          <w:szCs w:val="22"/>
          <w:lang w:val="sr-Latn-ME"/>
        </w:rPr>
        <w:tab/>
        <w:t xml:space="preserve">DATUM REVIZIJE TEKSTA </w:t>
      </w:r>
    </w:p>
    <w:p w14:paraId="105436AF" w14:textId="77777777" w:rsidR="00732CBF" w:rsidRPr="002041DF" w:rsidRDefault="00732CBF" w:rsidP="002041DF">
      <w:pPr>
        <w:pStyle w:val="Header"/>
        <w:widowControl w:val="0"/>
        <w:tabs>
          <w:tab w:val="left" w:pos="284"/>
        </w:tabs>
        <w:jc w:val="both"/>
        <w:rPr>
          <w:sz w:val="22"/>
          <w:szCs w:val="22"/>
          <w:lang w:val="sr-Latn-ME"/>
        </w:rPr>
      </w:pPr>
    </w:p>
    <w:p w14:paraId="56621A3E" w14:textId="755C7847" w:rsidR="007107C6" w:rsidRPr="002041DF" w:rsidRDefault="000B6C5C" w:rsidP="002041DF">
      <w:pPr>
        <w:widowControl w:val="0"/>
        <w:jc w:val="both"/>
        <w:rPr>
          <w:sz w:val="22"/>
          <w:szCs w:val="22"/>
          <w:lang w:val="sr-Latn-ME"/>
        </w:rPr>
      </w:pPr>
      <w:r>
        <w:rPr>
          <w:sz w:val="22"/>
          <w:szCs w:val="22"/>
          <w:lang w:val="sr-Latn-ME"/>
        </w:rPr>
        <w:t>Mart, 2025. godine</w:t>
      </w:r>
      <w:bookmarkStart w:id="25" w:name="_GoBack"/>
      <w:bookmarkEnd w:id="25"/>
    </w:p>
    <w:sectPr w:rsidR="007107C6" w:rsidRPr="002041DF" w:rsidSect="007C6E24">
      <w:headerReference w:type="default" r:id="rId12"/>
      <w:footerReference w:type="even" r:id="rId13"/>
      <w:footerReference w:type="default" r:id="rId14"/>
      <w:pgSz w:w="12240" w:h="15840"/>
      <w:pgMar w:top="737" w:right="1418" w:bottom="737" w:left="1418"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8C13F9" w14:textId="77777777" w:rsidR="00F32033" w:rsidRDefault="00F32033">
      <w:r>
        <w:separator/>
      </w:r>
    </w:p>
  </w:endnote>
  <w:endnote w:type="continuationSeparator" w:id="0">
    <w:p w14:paraId="1E752C6D" w14:textId="77777777" w:rsidR="00F32033" w:rsidRDefault="00F32033">
      <w:r>
        <w:continuationSeparator/>
      </w:r>
    </w:p>
  </w:endnote>
  <w:endnote w:type="continuationNotice" w:id="1">
    <w:p w14:paraId="0838E45B" w14:textId="77777777" w:rsidR="00F32033" w:rsidRDefault="00F3203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
    <w:altName w:val="Yu Gothic"/>
    <w:panose1 w:val="00000000000000000000"/>
    <w:charset w:val="00"/>
    <w:family w:val="auto"/>
    <w:notTrueType/>
    <w:pitch w:val="default"/>
    <w:sig w:usb0="00000003" w:usb1="00000000" w:usb2="00000000" w:usb3="00000000" w:csb0="00000001" w:csb1="00000000"/>
  </w:font>
  <w:font w:name="TimesNewRoman,Italic">
    <w:altName w:val="Times New Roman"/>
    <w:panose1 w:val="00000000000000000000"/>
    <w:charset w:val="CC"/>
    <w:family w:val="auto"/>
    <w:notTrueType/>
    <w:pitch w:val="default"/>
    <w:sig w:usb0="00000203" w:usb1="00000000" w:usb2="00000000" w:usb3="00000000" w:csb0="00000005" w:csb1="00000000"/>
  </w:font>
  <w:font w:name="Calibri Light">
    <w:panose1 w:val="020F0302020204030204"/>
    <w:charset w:val="00"/>
    <w:family w:val="swiss"/>
    <w:pitch w:val="variable"/>
    <w:sig w:usb0="E4002EFF" w:usb1="C200247B" w:usb2="00000009" w:usb3="00000000" w:csb0="000001FF" w:csb1="00000000"/>
  </w:font>
  <w:font w:name="Vrinda">
    <w:altName w:val="Courier New"/>
    <w:panose1 w:val="00000400000000000000"/>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396882" w14:textId="77777777" w:rsidR="007A6AEB" w:rsidRDefault="007A6AE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96AF9FF" w14:textId="77777777" w:rsidR="007A6AEB" w:rsidRDefault="007A6AE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8035C8" w14:textId="226215D1" w:rsidR="007A6AEB" w:rsidRDefault="007A6AEB" w:rsidP="007C6E24">
    <w:pPr>
      <w:pStyle w:val="Footer"/>
      <w:tabs>
        <w:tab w:val="left" w:pos="5448"/>
      </w:tabs>
      <w:jc w:val="center"/>
    </w:pPr>
    <w:r w:rsidRPr="00A870E2">
      <w:rPr>
        <w:sz w:val="22"/>
        <w:szCs w:val="22"/>
      </w:rPr>
      <w:fldChar w:fldCharType="begin"/>
    </w:r>
    <w:r w:rsidRPr="00A870E2">
      <w:rPr>
        <w:rFonts w:ascii="Times New Roman" w:hAnsi="Times New Roman"/>
        <w:sz w:val="22"/>
        <w:szCs w:val="22"/>
      </w:rPr>
      <w:instrText xml:space="preserve"> PAGE </w:instrText>
    </w:r>
    <w:r w:rsidRPr="00A870E2">
      <w:rPr>
        <w:sz w:val="22"/>
        <w:szCs w:val="22"/>
      </w:rPr>
      <w:fldChar w:fldCharType="separate"/>
    </w:r>
    <w:r w:rsidR="000B6C5C">
      <w:rPr>
        <w:rFonts w:ascii="Times New Roman" w:hAnsi="Times New Roman"/>
        <w:noProof/>
        <w:sz w:val="22"/>
        <w:szCs w:val="22"/>
      </w:rPr>
      <w:t>28</w:t>
    </w:r>
    <w:r w:rsidRPr="00A870E2">
      <w:rPr>
        <w:sz w:val="22"/>
        <w:szCs w:val="22"/>
      </w:rPr>
      <w:fldChar w:fldCharType="end"/>
    </w:r>
    <w:r w:rsidRPr="00A870E2">
      <w:rPr>
        <w:rFonts w:ascii="Times New Roman" w:hAnsi="Times New Roman"/>
        <w:sz w:val="22"/>
        <w:szCs w:val="22"/>
      </w:rPr>
      <w:t xml:space="preserve"> / </w:t>
    </w:r>
    <w:r w:rsidRPr="00E5769C">
      <w:rPr>
        <w:sz w:val="22"/>
        <w:szCs w:val="22"/>
      </w:rPr>
      <w:fldChar w:fldCharType="begin"/>
    </w:r>
    <w:r w:rsidRPr="00A870E2">
      <w:rPr>
        <w:rFonts w:ascii="Times New Roman" w:hAnsi="Times New Roman"/>
        <w:sz w:val="22"/>
        <w:szCs w:val="22"/>
      </w:rPr>
      <w:instrText xml:space="preserve"> NUMPAGES  </w:instrText>
    </w:r>
    <w:r w:rsidRPr="00E5769C">
      <w:rPr>
        <w:sz w:val="22"/>
        <w:szCs w:val="22"/>
      </w:rPr>
      <w:fldChar w:fldCharType="separate"/>
    </w:r>
    <w:r w:rsidR="000B6C5C">
      <w:rPr>
        <w:rFonts w:ascii="Times New Roman" w:hAnsi="Times New Roman"/>
        <w:noProof/>
        <w:sz w:val="22"/>
        <w:szCs w:val="22"/>
      </w:rPr>
      <w:t>30</w:t>
    </w:r>
    <w:r w:rsidRPr="00E5769C">
      <w:rPr>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3B96D9" w14:textId="77777777" w:rsidR="00F32033" w:rsidRDefault="00F32033">
      <w:r>
        <w:separator/>
      </w:r>
    </w:p>
  </w:footnote>
  <w:footnote w:type="continuationSeparator" w:id="0">
    <w:p w14:paraId="7A4951AA" w14:textId="77777777" w:rsidR="00F32033" w:rsidRDefault="00F32033">
      <w:r>
        <w:continuationSeparator/>
      </w:r>
    </w:p>
  </w:footnote>
  <w:footnote w:type="continuationNotice" w:id="1">
    <w:p w14:paraId="3FD2F075" w14:textId="77777777" w:rsidR="00F32033" w:rsidRDefault="00F32033"/>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E13201" w14:textId="77777777" w:rsidR="007A6AEB" w:rsidRDefault="007A6AEB" w:rsidP="007C6E2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B5275D"/>
    <w:multiLevelType w:val="hybridMultilevel"/>
    <w:tmpl w:val="BCB2744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2"/>
      <w:pStyle w:val="AHeader3abc"/>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2" w15:restartNumberingAfterBreak="0">
    <w:nsid w:val="3FEB6845"/>
    <w:multiLevelType w:val="hybridMultilevel"/>
    <w:tmpl w:val="A28C599E"/>
    <w:lvl w:ilvl="0" w:tplc="7E10B454">
      <w:start w:val="4"/>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EED2B5E"/>
    <w:multiLevelType w:val="hybridMultilevel"/>
    <w:tmpl w:val="A90EF1E2"/>
    <w:lvl w:ilvl="0" w:tplc="8F541F28">
      <w:start w:val="4"/>
      <w:numFmt w:val="bullet"/>
      <w:lvlText w:val="-"/>
      <w:lvlJc w:val="left"/>
      <w:pPr>
        <w:ind w:left="720" w:hanging="360"/>
      </w:pPr>
      <w:rPr>
        <w:rFonts w:ascii="Times New Roman" w:eastAsia="Times New Roman" w:hAnsi="Times New Roman" w:cs="Times New Roman" w:hint="default"/>
        <w:color w:val="auto"/>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01B55E4"/>
    <w:multiLevelType w:val="multilevel"/>
    <w:tmpl w:val="BC4061E2"/>
    <w:lvl w:ilvl="0">
      <w:start w:val="4"/>
      <w:numFmt w:val="decimal"/>
      <w:lvlText w:val="%1."/>
      <w:lvlJc w:val="left"/>
      <w:pPr>
        <w:tabs>
          <w:tab w:val="num" w:pos="360"/>
        </w:tabs>
        <w:ind w:left="360" w:hanging="360"/>
      </w:pPr>
      <w:rPr>
        <w:rFonts w:hint="default"/>
      </w:rPr>
    </w:lvl>
    <w:lvl w:ilvl="1">
      <w:start w:val="6"/>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5056414B"/>
    <w:multiLevelType w:val="hybridMultilevel"/>
    <w:tmpl w:val="264C7FD6"/>
    <w:lvl w:ilvl="0" w:tplc="04090001">
      <w:start w:val="10"/>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EEE1530"/>
    <w:multiLevelType w:val="multilevel"/>
    <w:tmpl w:val="151AF8DC"/>
    <w:lvl w:ilvl="0">
      <w:start w:val="4"/>
      <w:numFmt w:val="decimal"/>
      <w:lvlText w:val="%1"/>
      <w:lvlJc w:val="left"/>
      <w:pPr>
        <w:tabs>
          <w:tab w:val="num" w:pos="720"/>
        </w:tabs>
        <w:ind w:left="720" w:hanging="720"/>
      </w:pPr>
      <w:rPr>
        <w:rFonts w:hint="default"/>
      </w:rPr>
    </w:lvl>
    <w:lvl w:ilvl="1">
      <w:start w:val="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662565D3"/>
    <w:multiLevelType w:val="multilevel"/>
    <w:tmpl w:val="63229A28"/>
    <w:lvl w:ilvl="0">
      <w:start w:val="1"/>
      <w:numFmt w:val="bullet"/>
      <w:lvlText w:val="-"/>
      <w:lvlJc w:val="left"/>
      <w:pPr>
        <w:tabs>
          <w:tab w:val="num" w:pos="567"/>
        </w:tabs>
        <w:ind w:left="567" w:hanging="567"/>
      </w:pPr>
      <w:rPr>
        <w:rFonts w:hint="default"/>
      </w:rPr>
    </w:lvl>
    <w:lvl w:ilvl="1">
      <w:start w:val="1"/>
      <w:numFmt w:val="bullet"/>
      <w:lvlText w:val=""/>
      <w:lvlJc w:val="left"/>
      <w:pPr>
        <w:tabs>
          <w:tab w:val="num" w:pos="1134"/>
        </w:tabs>
        <w:ind w:left="1134" w:hanging="567"/>
      </w:pPr>
      <w:rPr>
        <w:rFonts w:ascii="Symbol" w:hAnsi="Symbol" w:hint="default"/>
        <w:color w:val="auto"/>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6B090DEA"/>
    <w:multiLevelType w:val="hybridMultilevel"/>
    <w:tmpl w:val="0108E86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7"/>
  </w:num>
  <w:num w:numId="3">
    <w:abstractNumId w:val="6"/>
  </w:num>
  <w:num w:numId="4">
    <w:abstractNumId w:val="5"/>
  </w:num>
  <w:num w:numId="5">
    <w:abstractNumId w:val="4"/>
  </w:num>
  <w:num w:numId="6">
    <w:abstractNumId w:val="8"/>
  </w:num>
  <w:num w:numId="7">
    <w:abstractNumId w:val="0"/>
  </w:num>
  <w:num w:numId="8">
    <w:abstractNumId w:val="2"/>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activeWritingStyle w:appName="MSWord" w:lang="es-ES"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defaultTabStop w:val="720"/>
  <w:hyphenationZone w:val="425"/>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15CA"/>
    <w:rsid w:val="0000005A"/>
    <w:rsid w:val="00012011"/>
    <w:rsid w:val="00015E60"/>
    <w:rsid w:val="0002573D"/>
    <w:rsid w:val="00031D2B"/>
    <w:rsid w:val="00035E09"/>
    <w:rsid w:val="000405BC"/>
    <w:rsid w:val="00041857"/>
    <w:rsid w:val="0004451F"/>
    <w:rsid w:val="00050726"/>
    <w:rsid w:val="00050D4D"/>
    <w:rsid w:val="00055F5A"/>
    <w:rsid w:val="00056420"/>
    <w:rsid w:val="0005747B"/>
    <w:rsid w:val="000574D0"/>
    <w:rsid w:val="00057634"/>
    <w:rsid w:val="00057787"/>
    <w:rsid w:val="00062625"/>
    <w:rsid w:val="00067ED3"/>
    <w:rsid w:val="00074D4C"/>
    <w:rsid w:val="00075067"/>
    <w:rsid w:val="00075259"/>
    <w:rsid w:val="00081C40"/>
    <w:rsid w:val="000873A5"/>
    <w:rsid w:val="00087DE1"/>
    <w:rsid w:val="000916E2"/>
    <w:rsid w:val="00097C03"/>
    <w:rsid w:val="000A1A5E"/>
    <w:rsid w:val="000A1D35"/>
    <w:rsid w:val="000A2769"/>
    <w:rsid w:val="000A4618"/>
    <w:rsid w:val="000A7A57"/>
    <w:rsid w:val="000B084E"/>
    <w:rsid w:val="000B407F"/>
    <w:rsid w:val="000B6C5C"/>
    <w:rsid w:val="000C1089"/>
    <w:rsid w:val="000C412E"/>
    <w:rsid w:val="000C56A4"/>
    <w:rsid w:val="000C7CF0"/>
    <w:rsid w:val="000D0F4F"/>
    <w:rsid w:val="000D2457"/>
    <w:rsid w:val="000E161B"/>
    <w:rsid w:val="000E66C2"/>
    <w:rsid w:val="000F40D0"/>
    <w:rsid w:val="000F4D00"/>
    <w:rsid w:val="000F5312"/>
    <w:rsid w:val="00106B50"/>
    <w:rsid w:val="00110508"/>
    <w:rsid w:val="00112B88"/>
    <w:rsid w:val="0011750B"/>
    <w:rsid w:val="0012216A"/>
    <w:rsid w:val="00122802"/>
    <w:rsid w:val="0012442F"/>
    <w:rsid w:val="00126F78"/>
    <w:rsid w:val="00130B60"/>
    <w:rsid w:val="001312F7"/>
    <w:rsid w:val="00133F74"/>
    <w:rsid w:val="0013780F"/>
    <w:rsid w:val="00140333"/>
    <w:rsid w:val="00142C2F"/>
    <w:rsid w:val="001433F9"/>
    <w:rsid w:val="00147656"/>
    <w:rsid w:val="00152F3B"/>
    <w:rsid w:val="00153517"/>
    <w:rsid w:val="001572EA"/>
    <w:rsid w:val="00161016"/>
    <w:rsid w:val="00161D3B"/>
    <w:rsid w:val="00174A5B"/>
    <w:rsid w:val="00181B74"/>
    <w:rsid w:val="001828DF"/>
    <w:rsid w:val="001849A3"/>
    <w:rsid w:val="00190952"/>
    <w:rsid w:val="001A35BB"/>
    <w:rsid w:val="001A3AFE"/>
    <w:rsid w:val="001A3FA9"/>
    <w:rsid w:val="001B4890"/>
    <w:rsid w:val="001B62FA"/>
    <w:rsid w:val="001C2143"/>
    <w:rsid w:val="001C6D40"/>
    <w:rsid w:val="001D4C6D"/>
    <w:rsid w:val="001D595F"/>
    <w:rsid w:val="001D68B7"/>
    <w:rsid w:val="001E4D0E"/>
    <w:rsid w:val="001E66E2"/>
    <w:rsid w:val="001F0C1D"/>
    <w:rsid w:val="001F3BB7"/>
    <w:rsid w:val="001F3F00"/>
    <w:rsid w:val="001F54C4"/>
    <w:rsid w:val="002041DF"/>
    <w:rsid w:val="00207A9A"/>
    <w:rsid w:val="00212137"/>
    <w:rsid w:val="00213805"/>
    <w:rsid w:val="002169CB"/>
    <w:rsid w:val="00217DFC"/>
    <w:rsid w:val="00217FD7"/>
    <w:rsid w:val="00220178"/>
    <w:rsid w:val="0022180E"/>
    <w:rsid w:val="00223C66"/>
    <w:rsid w:val="002314BB"/>
    <w:rsid w:val="0023176F"/>
    <w:rsid w:val="00232004"/>
    <w:rsid w:val="00232071"/>
    <w:rsid w:val="0024699F"/>
    <w:rsid w:val="002553A0"/>
    <w:rsid w:val="00265848"/>
    <w:rsid w:val="00266F8E"/>
    <w:rsid w:val="002748C7"/>
    <w:rsid w:val="00287021"/>
    <w:rsid w:val="00290012"/>
    <w:rsid w:val="002902C1"/>
    <w:rsid w:val="00290694"/>
    <w:rsid w:val="00292E06"/>
    <w:rsid w:val="0029320E"/>
    <w:rsid w:val="00296BED"/>
    <w:rsid w:val="002A0650"/>
    <w:rsid w:val="002A1B12"/>
    <w:rsid w:val="002A5262"/>
    <w:rsid w:val="002A7AA4"/>
    <w:rsid w:val="002B0657"/>
    <w:rsid w:val="002B1056"/>
    <w:rsid w:val="002B5A64"/>
    <w:rsid w:val="002C4F5C"/>
    <w:rsid w:val="002D266A"/>
    <w:rsid w:val="002D505A"/>
    <w:rsid w:val="002D6161"/>
    <w:rsid w:val="002D7BE1"/>
    <w:rsid w:val="002E0611"/>
    <w:rsid w:val="002E17BC"/>
    <w:rsid w:val="002E281D"/>
    <w:rsid w:val="002E2B45"/>
    <w:rsid w:val="002E5829"/>
    <w:rsid w:val="002E6137"/>
    <w:rsid w:val="002F151E"/>
    <w:rsid w:val="002F5AE1"/>
    <w:rsid w:val="002F645C"/>
    <w:rsid w:val="002F7F13"/>
    <w:rsid w:val="00305361"/>
    <w:rsid w:val="00305C8A"/>
    <w:rsid w:val="00307E7F"/>
    <w:rsid w:val="00312713"/>
    <w:rsid w:val="0032513B"/>
    <w:rsid w:val="00325D43"/>
    <w:rsid w:val="00326385"/>
    <w:rsid w:val="00327388"/>
    <w:rsid w:val="00331911"/>
    <w:rsid w:val="0033688D"/>
    <w:rsid w:val="003417E5"/>
    <w:rsid w:val="003446B5"/>
    <w:rsid w:val="00345EB0"/>
    <w:rsid w:val="00350607"/>
    <w:rsid w:val="003524FB"/>
    <w:rsid w:val="003570D3"/>
    <w:rsid w:val="0036253E"/>
    <w:rsid w:val="00362ED9"/>
    <w:rsid w:val="00363D81"/>
    <w:rsid w:val="00367C03"/>
    <w:rsid w:val="00370219"/>
    <w:rsid w:val="003723F7"/>
    <w:rsid w:val="003741C1"/>
    <w:rsid w:val="0037710A"/>
    <w:rsid w:val="003815CA"/>
    <w:rsid w:val="0038273D"/>
    <w:rsid w:val="00382CF1"/>
    <w:rsid w:val="0038445E"/>
    <w:rsid w:val="00386434"/>
    <w:rsid w:val="00390676"/>
    <w:rsid w:val="00390AD8"/>
    <w:rsid w:val="003917C1"/>
    <w:rsid w:val="0039412C"/>
    <w:rsid w:val="003A1BC7"/>
    <w:rsid w:val="003A2D37"/>
    <w:rsid w:val="003A2FBD"/>
    <w:rsid w:val="003B1319"/>
    <w:rsid w:val="003B3F96"/>
    <w:rsid w:val="003C131D"/>
    <w:rsid w:val="003C6D55"/>
    <w:rsid w:val="003D0058"/>
    <w:rsid w:val="003E0D38"/>
    <w:rsid w:val="003E0F36"/>
    <w:rsid w:val="003E1564"/>
    <w:rsid w:val="003E41CC"/>
    <w:rsid w:val="003F0341"/>
    <w:rsid w:val="003F0934"/>
    <w:rsid w:val="003F243A"/>
    <w:rsid w:val="003F5F1B"/>
    <w:rsid w:val="004078AE"/>
    <w:rsid w:val="00407AAC"/>
    <w:rsid w:val="00412098"/>
    <w:rsid w:val="0042001F"/>
    <w:rsid w:val="004210A0"/>
    <w:rsid w:val="00421BA4"/>
    <w:rsid w:val="004278E9"/>
    <w:rsid w:val="00433B3F"/>
    <w:rsid w:val="00436284"/>
    <w:rsid w:val="004372C4"/>
    <w:rsid w:val="00452B4D"/>
    <w:rsid w:val="0045597A"/>
    <w:rsid w:val="004651F8"/>
    <w:rsid w:val="0047301A"/>
    <w:rsid w:val="00474D8C"/>
    <w:rsid w:val="004753F6"/>
    <w:rsid w:val="004754F0"/>
    <w:rsid w:val="0047561D"/>
    <w:rsid w:val="0047575E"/>
    <w:rsid w:val="004757A1"/>
    <w:rsid w:val="00477E09"/>
    <w:rsid w:val="00483A4C"/>
    <w:rsid w:val="0048568E"/>
    <w:rsid w:val="00492BDF"/>
    <w:rsid w:val="00493DCE"/>
    <w:rsid w:val="00494C25"/>
    <w:rsid w:val="00494EF4"/>
    <w:rsid w:val="00495903"/>
    <w:rsid w:val="00495C0F"/>
    <w:rsid w:val="004A0348"/>
    <w:rsid w:val="004A2899"/>
    <w:rsid w:val="004A396C"/>
    <w:rsid w:val="004A409B"/>
    <w:rsid w:val="004A500E"/>
    <w:rsid w:val="004B71D3"/>
    <w:rsid w:val="004C387C"/>
    <w:rsid w:val="004C56EB"/>
    <w:rsid w:val="004C69C5"/>
    <w:rsid w:val="004D1156"/>
    <w:rsid w:val="004D4677"/>
    <w:rsid w:val="004D6F53"/>
    <w:rsid w:val="004F0FC6"/>
    <w:rsid w:val="004F145C"/>
    <w:rsid w:val="004F4176"/>
    <w:rsid w:val="004F70C6"/>
    <w:rsid w:val="0050256F"/>
    <w:rsid w:val="00502C43"/>
    <w:rsid w:val="00504175"/>
    <w:rsid w:val="00504249"/>
    <w:rsid w:val="0051295B"/>
    <w:rsid w:val="00521B55"/>
    <w:rsid w:val="00522829"/>
    <w:rsid w:val="005259A2"/>
    <w:rsid w:val="00527AC8"/>
    <w:rsid w:val="00530895"/>
    <w:rsid w:val="00530A8C"/>
    <w:rsid w:val="005351A4"/>
    <w:rsid w:val="005351AE"/>
    <w:rsid w:val="00550C77"/>
    <w:rsid w:val="005544C1"/>
    <w:rsid w:val="00556C3C"/>
    <w:rsid w:val="00557C3E"/>
    <w:rsid w:val="00560686"/>
    <w:rsid w:val="005623EF"/>
    <w:rsid w:val="00564F75"/>
    <w:rsid w:val="00570820"/>
    <w:rsid w:val="00574B8C"/>
    <w:rsid w:val="00583ED5"/>
    <w:rsid w:val="005840B8"/>
    <w:rsid w:val="00585F9F"/>
    <w:rsid w:val="00593C52"/>
    <w:rsid w:val="005956DA"/>
    <w:rsid w:val="005B2426"/>
    <w:rsid w:val="005B29FA"/>
    <w:rsid w:val="005B2A04"/>
    <w:rsid w:val="005B38DF"/>
    <w:rsid w:val="005C153D"/>
    <w:rsid w:val="005C16B9"/>
    <w:rsid w:val="005C1B4D"/>
    <w:rsid w:val="005C4A4E"/>
    <w:rsid w:val="005D0367"/>
    <w:rsid w:val="005D20D2"/>
    <w:rsid w:val="005D2B5B"/>
    <w:rsid w:val="005D3B5B"/>
    <w:rsid w:val="005D3BBD"/>
    <w:rsid w:val="005E100C"/>
    <w:rsid w:val="005E3BCD"/>
    <w:rsid w:val="005E70AE"/>
    <w:rsid w:val="005F1D5F"/>
    <w:rsid w:val="005F2423"/>
    <w:rsid w:val="00601CE0"/>
    <w:rsid w:val="006021EF"/>
    <w:rsid w:val="00603716"/>
    <w:rsid w:val="00606AE2"/>
    <w:rsid w:val="00612866"/>
    <w:rsid w:val="00613450"/>
    <w:rsid w:val="00623D38"/>
    <w:rsid w:val="00624F80"/>
    <w:rsid w:val="00625EB5"/>
    <w:rsid w:val="0062640A"/>
    <w:rsid w:val="006320DB"/>
    <w:rsid w:val="00641C7D"/>
    <w:rsid w:val="00643C23"/>
    <w:rsid w:val="00647CB7"/>
    <w:rsid w:val="00660BE9"/>
    <w:rsid w:val="0066112E"/>
    <w:rsid w:val="0066297A"/>
    <w:rsid w:val="00664C02"/>
    <w:rsid w:val="00666744"/>
    <w:rsid w:val="00667402"/>
    <w:rsid w:val="006729D9"/>
    <w:rsid w:val="00676365"/>
    <w:rsid w:val="006779EA"/>
    <w:rsid w:val="00680904"/>
    <w:rsid w:val="00680A6E"/>
    <w:rsid w:val="0068124A"/>
    <w:rsid w:val="00681287"/>
    <w:rsid w:val="00693762"/>
    <w:rsid w:val="00695384"/>
    <w:rsid w:val="00695ADE"/>
    <w:rsid w:val="006A25CA"/>
    <w:rsid w:val="006A5158"/>
    <w:rsid w:val="006A5AC5"/>
    <w:rsid w:val="006B6456"/>
    <w:rsid w:val="006C329D"/>
    <w:rsid w:val="006C4D16"/>
    <w:rsid w:val="006C502E"/>
    <w:rsid w:val="006D1348"/>
    <w:rsid w:val="006D19C0"/>
    <w:rsid w:val="006D2015"/>
    <w:rsid w:val="006D2C31"/>
    <w:rsid w:val="006D4195"/>
    <w:rsid w:val="006D4601"/>
    <w:rsid w:val="006D4620"/>
    <w:rsid w:val="006D6A83"/>
    <w:rsid w:val="006D7519"/>
    <w:rsid w:val="006E1AE5"/>
    <w:rsid w:val="006E3676"/>
    <w:rsid w:val="006E7E81"/>
    <w:rsid w:val="00701C7C"/>
    <w:rsid w:val="007107C6"/>
    <w:rsid w:val="007128D4"/>
    <w:rsid w:val="00712C47"/>
    <w:rsid w:val="007158C6"/>
    <w:rsid w:val="0071677E"/>
    <w:rsid w:val="00723304"/>
    <w:rsid w:val="00723AC5"/>
    <w:rsid w:val="00724E9A"/>
    <w:rsid w:val="007278FF"/>
    <w:rsid w:val="00727CD1"/>
    <w:rsid w:val="00730A46"/>
    <w:rsid w:val="00731DFD"/>
    <w:rsid w:val="0073276C"/>
    <w:rsid w:val="00732CBF"/>
    <w:rsid w:val="00734DDE"/>
    <w:rsid w:val="0073600D"/>
    <w:rsid w:val="00736ABC"/>
    <w:rsid w:val="00740A9D"/>
    <w:rsid w:val="00740BA5"/>
    <w:rsid w:val="007416BE"/>
    <w:rsid w:val="007419F5"/>
    <w:rsid w:val="007449DD"/>
    <w:rsid w:val="00745993"/>
    <w:rsid w:val="007477E7"/>
    <w:rsid w:val="0075115E"/>
    <w:rsid w:val="00751894"/>
    <w:rsid w:val="00751C9D"/>
    <w:rsid w:val="00753331"/>
    <w:rsid w:val="0075461E"/>
    <w:rsid w:val="00755F51"/>
    <w:rsid w:val="00765717"/>
    <w:rsid w:val="00773C3E"/>
    <w:rsid w:val="00777C1A"/>
    <w:rsid w:val="00781B13"/>
    <w:rsid w:val="007939AF"/>
    <w:rsid w:val="00795C7E"/>
    <w:rsid w:val="007A264A"/>
    <w:rsid w:val="007A4B48"/>
    <w:rsid w:val="007A6AEB"/>
    <w:rsid w:val="007B2011"/>
    <w:rsid w:val="007B63F6"/>
    <w:rsid w:val="007B7117"/>
    <w:rsid w:val="007B7F42"/>
    <w:rsid w:val="007C1105"/>
    <w:rsid w:val="007C1E48"/>
    <w:rsid w:val="007C22FA"/>
    <w:rsid w:val="007C3AAF"/>
    <w:rsid w:val="007C48D2"/>
    <w:rsid w:val="007C550D"/>
    <w:rsid w:val="007C6E24"/>
    <w:rsid w:val="007C6EF0"/>
    <w:rsid w:val="007D54F9"/>
    <w:rsid w:val="007D7AB8"/>
    <w:rsid w:val="007F40AA"/>
    <w:rsid w:val="007F692C"/>
    <w:rsid w:val="008024D2"/>
    <w:rsid w:val="00802A66"/>
    <w:rsid w:val="00803025"/>
    <w:rsid w:val="00804D28"/>
    <w:rsid w:val="0080504C"/>
    <w:rsid w:val="00810168"/>
    <w:rsid w:val="0081354F"/>
    <w:rsid w:val="008165B6"/>
    <w:rsid w:val="00821755"/>
    <w:rsid w:val="00831389"/>
    <w:rsid w:val="00840129"/>
    <w:rsid w:val="00851432"/>
    <w:rsid w:val="008558F0"/>
    <w:rsid w:val="008638EE"/>
    <w:rsid w:val="00865745"/>
    <w:rsid w:val="00871ABB"/>
    <w:rsid w:val="00872D3E"/>
    <w:rsid w:val="008776B0"/>
    <w:rsid w:val="00877B4D"/>
    <w:rsid w:val="00884938"/>
    <w:rsid w:val="00891425"/>
    <w:rsid w:val="00891C9B"/>
    <w:rsid w:val="00892454"/>
    <w:rsid w:val="00894380"/>
    <w:rsid w:val="008A155F"/>
    <w:rsid w:val="008B2B13"/>
    <w:rsid w:val="008B3F04"/>
    <w:rsid w:val="008B47BB"/>
    <w:rsid w:val="008B6833"/>
    <w:rsid w:val="008C7928"/>
    <w:rsid w:val="008D1022"/>
    <w:rsid w:val="008E21E3"/>
    <w:rsid w:val="008F159D"/>
    <w:rsid w:val="008F293C"/>
    <w:rsid w:val="008F7F36"/>
    <w:rsid w:val="0090157A"/>
    <w:rsid w:val="0090158F"/>
    <w:rsid w:val="00902D6B"/>
    <w:rsid w:val="0090460C"/>
    <w:rsid w:val="00905218"/>
    <w:rsid w:val="009148F3"/>
    <w:rsid w:val="00916F82"/>
    <w:rsid w:val="00917394"/>
    <w:rsid w:val="00921FA2"/>
    <w:rsid w:val="00922107"/>
    <w:rsid w:val="009237A1"/>
    <w:rsid w:val="00925224"/>
    <w:rsid w:val="00926CC9"/>
    <w:rsid w:val="00927E41"/>
    <w:rsid w:val="00927EFA"/>
    <w:rsid w:val="00930433"/>
    <w:rsid w:val="009345C8"/>
    <w:rsid w:val="00947D21"/>
    <w:rsid w:val="009534F5"/>
    <w:rsid w:val="00963828"/>
    <w:rsid w:val="009645C4"/>
    <w:rsid w:val="00964D7F"/>
    <w:rsid w:val="00966F45"/>
    <w:rsid w:val="00967000"/>
    <w:rsid w:val="009705C8"/>
    <w:rsid w:val="00971C09"/>
    <w:rsid w:val="009723E2"/>
    <w:rsid w:val="00981EDF"/>
    <w:rsid w:val="00985AFB"/>
    <w:rsid w:val="00986F0E"/>
    <w:rsid w:val="00990EDE"/>
    <w:rsid w:val="009A37D6"/>
    <w:rsid w:val="009A5735"/>
    <w:rsid w:val="009A6B4A"/>
    <w:rsid w:val="009A7DDA"/>
    <w:rsid w:val="009B4B86"/>
    <w:rsid w:val="009C25FA"/>
    <w:rsid w:val="009C4322"/>
    <w:rsid w:val="009C5907"/>
    <w:rsid w:val="009D138B"/>
    <w:rsid w:val="009D2DBE"/>
    <w:rsid w:val="009D626D"/>
    <w:rsid w:val="009E2081"/>
    <w:rsid w:val="009E2DCF"/>
    <w:rsid w:val="009E5C01"/>
    <w:rsid w:val="009F752F"/>
    <w:rsid w:val="009F7588"/>
    <w:rsid w:val="009F7AB5"/>
    <w:rsid w:val="00A06F8C"/>
    <w:rsid w:val="00A077BB"/>
    <w:rsid w:val="00A1210C"/>
    <w:rsid w:val="00A13585"/>
    <w:rsid w:val="00A217B0"/>
    <w:rsid w:val="00A27A74"/>
    <w:rsid w:val="00A30E89"/>
    <w:rsid w:val="00A35A53"/>
    <w:rsid w:val="00A35D07"/>
    <w:rsid w:val="00A37A76"/>
    <w:rsid w:val="00A37B63"/>
    <w:rsid w:val="00A4123B"/>
    <w:rsid w:val="00A450EC"/>
    <w:rsid w:val="00A463C3"/>
    <w:rsid w:val="00A47731"/>
    <w:rsid w:val="00A605AE"/>
    <w:rsid w:val="00A641A3"/>
    <w:rsid w:val="00A65783"/>
    <w:rsid w:val="00A67E09"/>
    <w:rsid w:val="00A725A2"/>
    <w:rsid w:val="00A81D81"/>
    <w:rsid w:val="00A870E2"/>
    <w:rsid w:val="00A9067B"/>
    <w:rsid w:val="00A92785"/>
    <w:rsid w:val="00A937E0"/>
    <w:rsid w:val="00A95B8A"/>
    <w:rsid w:val="00A95C69"/>
    <w:rsid w:val="00AA22A6"/>
    <w:rsid w:val="00AA3CA9"/>
    <w:rsid w:val="00AA4CC0"/>
    <w:rsid w:val="00AA554C"/>
    <w:rsid w:val="00AA735B"/>
    <w:rsid w:val="00AB0A45"/>
    <w:rsid w:val="00AB13A2"/>
    <w:rsid w:val="00AB5253"/>
    <w:rsid w:val="00AC6E61"/>
    <w:rsid w:val="00AD1DBF"/>
    <w:rsid w:val="00AD2B40"/>
    <w:rsid w:val="00AD4043"/>
    <w:rsid w:val="00AD7271"/>
    <w:rsid w:val="00AD7592"/>
    <w:rsid w:val="00AE4804"/>
    <w:rsid w:val="00AE7748"/>
    <w:rsid w:val="00B04E24"/>
    <w:rsid w:val="00B10424"/>
    <w:rsid w:val="00B114AB"/>
    <w:rsid w:val="00B11956"/>
    <w:rsid w:val="00B24785"/>
    <w:rsid w:val="00B33131"/>
    <w:rsid w:val="00B34931"/>
    <w:rsid w:val="00B40022"/>
    <w:rsid w:val="00B521B5"/>
    <w:rsid w:val="00B638D4"/>
    <w:rsid w:val="00B808E0"/>
    <w:rsid w:val="00B829B1"/>
    <w:rsid w:val="00B858EA"/>
    <w:rsid w:val="00B85FC8"/>
    <w:rsid w:val="00B9502A"/>
    <w:rsid w:val="00B95056"/>
    <w:rsid w:val="00BA23C6"/>
    <w:rsid w:val="00BA302E"/>
    <w:rsid w:val="00BA6114"/>
    <w:rsid w:val="00BA7EBB"/>
    <w:rsid w:val="00BC4AF3"/>
    <w:rsid w:val="00BC501F"/>
    <w:rsid w:val="00BC56FA"/>
    <w:rsid w:val="00BC5B76"/>
    <w:rsid w:val="00BC6444"/>
    <w:rsid w:val="00BC672A"/>
    <w:rsid w:val="00BD5E9F"/>
    <w:rsid w:val="00BE66B7"/>
    <w:rsid w:val="00BF5ECA"/>
    <w:rsid w:val="00C04B4D"/>
    <w:rsid w:val="00C10D9C"/>
    <w:rsid w:val="00C11C88"/>
    <w:rsid w:val="00C12029"/>
    <w:rsid w:val="00C13D8C"/>
    <w:rsid w:val="00C22584"/>
    <w:rsid w:val="00C23E53"/>
    <w:rsid w:val="00C24CEA"/>
    <w:rsid w:val="00C25950"/>
    <w:rsid w:val="00C27BFA"/>
    <w:rsid w:val="00C35158"/>
    <w:rsid w:val="00C36D57"/>
    <w:rsid w:val="00C37D08"/>
    <w:rsid w:val="00C43033"/>
    <w:rsid w:val="00C45988"/>
    <w:rsid w:val="00C463C2"/>
    <w:rsid w:val="00C50F41"/>
    <w:rsid w:val="00C52365"/>
    <w:rsid w:val="00C53B7B"/>
    <w:rsid w:val="00C64707"/>
    <w:rsid w:val="00C65DF3"/>
    <w:rsid w:val="00C663BA"/>
    <w:rsid w:val="00C669E1"/>
    <w:rsid w:val="00C66B1C"/>
    <w:rsid w:val="00C73406"/>
    <w:rsid w:val="00C75C1F"/>
    <w:rsid w:val="00C77AAB"/>
    <w:rsid w:val="00C80AC4"/>
    <w:rsid w:val="00C8321C"/>
    <w:rsid w:val="00C853FC"/>
    <w:rsid w:val="00C868B4"/>
    <w:rsid w:val="00C90C0F"/>
    <w:rsid w:val="00C913E9"/>
    <w:rsid w:val="00CA10BE"/>
    <w:rsid w:val="00CA33FF"/>
    <w:rsid w:val="00CA348C"/>
    <w:rsid w:val="00CA4519"/>
    <w:rsid w:val="00CB2FE4"/>
    <w:rsid w:val="00CC0E68"/>
    <w:rsid w:val="00CC2F7C"/>
    <w:rsid w:val="00CD7996"/>
    <w:rsid w:val="00CE3C93"/>
    <w:rsid w:val="00CE5A7A"/>
    <w:rsid w:val="00CE7060"/>
    <w:rsid w:val="00CE7BF9"/>
    <w:rsid w:val="00CF219E"/>
    <w:rsid w:val="00CF7960"/>
    <w:rsid w:val="00D0232B"/>
    <w:rsid w:val="00D02E9E"/>
    <w:rsid w:val="00D07452"/>
    <w:rsid w:val="00D129CB"/>
    <w:rsid w:val="00D134C0"/>
    <w:rsid w:val="00D16F6C"/>
    <w:rsid w:val="00D23DD5"/>
    <w:rsid w:val="00D3045A"/>
    <w:rsid w:val="00D42306"/>
    <w:rsid w:val="00D474CB"/>
    <w:rsid w:val="00D52486"/>
    <w:rsid w:val="00D61223"/>
    <w:rsid w:val="00D617D6"/>
    <w:rsid w:val="00D623B5"/>
    <w:rsid w:val="00D634F3"/>
    <w:rsid w:val="00D63AB5"/>
    <w:rsid w:val="00D66231"/>
    <w:rsid w:val="00D71EFE"/>
    <w:rsid w:val="00D73655"/>
    <w:rsid w:val="00D73A0F"/>
    <w:rsid w:val="00D77716"/>
    <w:rsid w:val="00D80174"/>
    <w:rsid w:val="00D81D44"/>
    <w:rsid w:val="00D82414"/>
    <w:rsid w:val="00D86574"/>
    <w:rsid w:val="00D901A6"/>
    <w:rsid w:val="00D96DCC"/>
    <w:rsid w:val="00DA33E4"/>
    <w:rsid w:val="00DB53D9"/>
    <w:rsid w:val="00DC3A19"/>
    <w:rsid w:val="00DC4016"/>
    <w:rsid w:val="00DD3DD5"/>
    <w:rsid w:val="00DD4FAE"/>
    <w:rsid w:val="00DD7069"/>
    <w:rsid w:val="00DE438D"/>
    <w:rsid w:val="00DE5DA0"/>
    <w:rsid w:val="00DE6AE0"/>
    <w:rsid w:val="00DF0B8C"/>
    <w:rsid w:val="00E01F78"/>
    <w:rsid w:val="00E11F9A"/>
    <w:rsid w:val="00E127F6"/>
    <w:rsid w:val="00E15F75"/>
    <w:rsid w:val="00E173B0"/>
    <w:rsid w:val="00E2025D"/>
    <w:rsid w:val="00E30052"/>
    <w:rsid w:val="00E3095B"/>
    <w:rsid w:val="00E30C4D"/>
    <w:rsid w:val="00E36E6B"/>
    <w:rsid w:val="00E37368"/>
    <w:rsid w:val="00E50471"/>
    <w:rsid w:val="00E51542"/>
    <w:rsid w:val="00E54BB8"/>
    <w:rsid w:val="00E56C97"/>
    <w:rsid w:val="00E5769C"/>
    <w:rsid w:val="00E62212"/>
    <w:rsid w:val="00E646CD"/>
    <w:rsid w:val="00E658DE"/>
    <w:rsid w:val="00E65FC9"/>
    <w:rsid w:val="00E71513"/>
    <w:rsid w:val="00E7436E"/>
    <w:rsid w:val="00E8140A"/>
    <w:rsid w:val="00E814B0"/>
    <w:rsid w:val="00E953C4"/>
    <w:rsid w:val="00E97071"/>
    <w:rsid w:val="00EA3596"/>
    <w:rsid w:val="00EA79C1"/>
    <w:rsid w:val="00EB068D"/>
    <w:rsid w:val="00EB16DB"/>
    <w:rsid w:val="00EB4F41"/>
    <w:rsid w:val="00EB77E3"/>
    <w:rsid w:val="00EB79B9"/>
    <w:rsid w:val="00EB7B4D"/>
    <w:rsid w:val="00EC2170"/>
    <w:rsid w:val="00EC21A6"/>
    <w:rsid w:val="00EE06F1"/>
    <w:rsid w:val="00EE2D4C"/>
    <w:rsid w:val="00EE4BEF"/>
    <w:rsid w:val="00EE5719"/>
    <w:rsid w:val="00EE6F2C"/>
    <w:rsid w:val="00EF0AE9"/>
    <w:rsid w:val="00EF1B8F"/>
    <w:rsid w:val="00EF3C15"/>
    <w:rsid w:val="00F0651B"/>
    <w:rsid w:val="00F07715"/>
    <w:rsid w:val="00F108C7"/>
    <w:rsid w:val="00F27042"/>
    <w:rsid w:val="00F3012C"/>
    <w:rsid w:val="00F3039D"/>
    <w:rsid w:val="00F32033"/>
    <w:rsid w:val="00F32341"/>
    <w:rsid w:val="00F37769"/>
    <w:rsid w:val="00F408A0"/>
    <w:rsid w:val="00F42108"/>
    <w:rsid w:val="00F43D75"/>
    <w:rsid w:val="00F44FFD"/>
    <w:rsid w:val="00F47E09"/>
    <w:rsid w:val="00F5040A"/>
    <w:rsid w:val="00F52C0B"/>
    <w:rsid w:val="00F530EC"/>
    <w:rsid w:val="00F55E2B"/>
    <w:rsid w:val="00F65447"/>
    <w:rsid w:val="00F71BFA"/>
    <w:rsid w:val="00F84EB1"/>
    <w:rsid w:val="00F909BE"/>
    <w:rsid w:val="00F90E35"/>
    <w:rsid w:val="00F9201E"/>
    <w:rsid w:val="00FA043C"/>
    <w:rsid w:val="00FA0CFC"/>
    <w:rsid w:val="00FA0F67"/>
    <w:rsid w:val="00FA1ECB"/>
    <w:rsid w:val="00FA324B"/>
    <w:rsid w:val="00FA33FC"/>
    <w:rsid w:val="00FA468A"/>
    <w:rsid w:val="00FA6F22"/>
    <w:rsid w:val="00FB4022"/>
    <w:rsid w:val="00FB6228"/>
    <w:rsid w:val="00FC05C1"/>
    <w:rsid w:val="00FC24E6"/>
    <w:rsid w:val="00FC4D3C"/>
    <w:rsid w:val="00FD1A70"/>
    <w:rsid w:val="00FD4BB0"/>
    <w:rsid w:val="00FE3A23"/>
    <w:rsid w:val="00FF0E5B"/>
    <w:rsid w:val="00FF5892"/>
  </w:rsids>
  <m:mathPr>
    <m:mathFont m:val="Cambria Math"/>
    <m:brkBin m:val="before"/>
    <m:brkBinSub m:val="--"/>
    <m:smallFrac m:val="0"/>
    <m:dispDef/>
    <m:lMargin m:val="0"/>
    <m:rMargin m:val="0"/>
    <m:defJc m:val="centerGroup"/>
    <m:wrapIndent m:val="1440"/>
    <m:intLim m:val="subSup"/>
    <m:naryLim m:val="undOvr"/>
  </m:mathPr>
  <w:themeFontLang w:val="en-US" w:bidi="as-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4AC398B"/>
  <w15:chartTrackingRefBased/>
  <w15:docId w15:val="{55729D2D-7907-4168-AECE-728478193B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0005A"/>
    <w:rPr>
      <w:sz w:val="24"/>
      <w:szCs w:val="24"/>
      <w:lang w:val="sr-Latn-CS"/>
    </w:rPr>
  </w:style>
  <w:style w:type="paragraph" w:styleId="Heading1">
    <w:name w:val="heading 1"/>
    <w:basedOn w:val="Normal"/>
    <w:next w:val="Normal"/>
    <w:qFormat/>
    <w:rsid w:val="0000005A"/>
    <w:pPr>
      <w:keepNext/>
      <w:spacing w:before="200"/>
      <w:ind w:left="72" w:hanging="72"/>
      <w:outlineLvl w:val="0"/>
    </w:pPr>
    <w:rPr>
      <w:b/>
      <w:noProof/>
    </w:rPr>
  </w:style>
  <w:style w:type="paragraph" w:styleId="Heading5">
    <w:name w:val="heading 5"/>
    <w:basedOn w:val="Normal"/>
    <w:next w:val="Normal"/>
    <w:qFormat/>
    <w:rsid w:val="0000005A"/>
    <w:pPr>
      <w:keepNext/>
      <w:tabs>
        <w:tab w:val="left" w:pos="284"/>
      </w:tabs>
      <w:jc w:val="center"/>
      <w:outlineLvl w:val="4"/>
    </w:pPr>
    <w:rPr>
      <w:i/>
      <w:iCs/>
      <w:lang w:val="en-US"/>
    </w:rPr>
  </w:style>
  <w:style w:type="paragraph" w:styleId="Heading6">
    <w:name w:val="heading 6"/>
    <w:basedOn w:val="Normal"/>
    <w:next w:val="Normal"/>
    <w:qFormat/>
    <w:rsid w:val="0000005A"/>
    <w:pPr>
      <w:keepNext/>
      <w:tabs>
        <w:tab w:val="left" w:pos="284"/>
      </w:tabs>
      <w:jc w:val="both"/>
      <w:outlineLvl w:val="5"/>
    </w:pPr>
    <w:rPr>
      <w:b/>
      <w:bCs/>
      <w:color w:val="FF0000"/>
      <w:sz w:val="22"/>
      <w:lang w:val="en-US"/>
    </w:rPr>
  </w:style>
  <w:style w:type="paragraph" w:styleId="Heading9">
    <w:name w:val="heading 9"/>
    <w:basedOn w:val="Normal"/>
    <w:next w:val="Normal"/>
    <w:qFormat/>
    <w:rsid w:val="0000005A"/>
    <w:pPr>
      <w:keepNext/>
      <w:ind w:left="72" w:hanging="72"/>
      <w:outlineLvl w:val="8"/>
    </w:pPr>
    <w:rPr>
      <w:rFonts w:ascii="Arial" w:hAnsi="Arial" w:cs="Arial"/>
      <w:b/>
      <w:bCs/>
      <w:sz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Header1">
    <w:name w:val="AHeader 1"/>
    <w:basedOn w:val="Normal"/>
    <w:rsid w:val="0000005A"/>
    <w:pPr>
      <w:numPr>
        <w:numId w:val="1"/>
      </w:numPr>
      <w:spacing w:after="120"/>
    </w:pPr>
    <w:rPr>
      <w:rFonts w:ascii="Arial" w:hAnsi="Arial" w:cs="Arial"/>
      <w:b/>
      <w:bCs/>
      <w:szCs w:val="20"/>
      <w:lang w:val="en-GB"/>
    </w:rPr>
  </w:style>
  <w:style w:type="paragraph" w:customStyle="1" w:styleId="AHeader2">
    <w:name w:val="AHeader 2"/>
    <w:basedOn w:val="AHeader1"/>
    <w:rsid w:val="0000005A"/>
    <w:pPr>
      <w:numPr>
        <w:ilvl w:val="1"/>
      </w:numPr>
      <w:tabs>
        <w:tab w:val="clear" w:pos="709"/>
        <w:tab w:val="num" w:pos="360"/>
      </w:tabs>
    </w:pPr>
    <w:rPr>
      <w:sz w:val="22"/>
    </w:rPr>
  </w:style>
  <w:style w:type="paragraph" w:customStyle="1" w:styleId="AHeader3">
    <w:name w:val="AHeader 3"/>
    <w:basedOn w:val="AHeader2"/>
    <w:rsid w:val="0000005A"/>
    <w:pPr>
      <w:numPr>
        <w:ilvl w:val="2"/>
      </w:numPr>
      <w:tabs>
        <w:tab w:val="clear" w:pos="1276"/>
        <w:tab w:val="num" w:pos="360"/>
      </w:tabs>
    </w:pPr>
  </w:style>
  <w:style w:type="paragraph" w:customStyle="1" w:styleId="AHeader2abc">
    <w:name w:val="AHeader 2 abc"/>
    <w:basedOn w:val="AHeader3"/>
    <w:rsid w:val="0000005A"/>
    <w:pPr>
      <w:numPr>
        <w:ilvl w:val="3"/>
      </w:numPr>
      <w:tabs>
        <w:tab w:val="clear" w:pos="1276"/>
        <w:tab w:val="num" w:pos="360"/>
      </w:tabs>
      <w:jc w:val="both"/>
    </w:pPr>
    <w:rPr>
      <w:b w:val="0"/>
      <w:bCs w:val="0"/>
    </w:rPr>
  </w:style>
  <w:style w:type="paragraph" w:customStyle="1" w:styleId="AHeader3abc">
    <w:name w:val="AHeader 3 abc"/>
    <w:basedOn w:val="AHeader2abc"/>
    <w:rsid w:val="0000005A"/>
    <w:pPr>
      <w:numPr>
        <w:ilvl w:val="4"/>
      </w:numPr>
      <w:tabs>
        <w:tab w:val="clear" w:pos="1701"/>
        <w:tab w:val="num" w:pos="360"/>
      </w:tabs>
    </w:pPr>
  </w:style>
  <w:style w:type="paragraph" w:styleId="EndnoteText">
    <w:name w:val="endnote text"/>
    <w:basedOn w:val="Normal"/>
    <w:next w:val="Normal"/>
    <w:semiHidden/>
    <w:rsid w:val="0000005A"/>
    <w:rPr>
      <w:sz w:val="22"/>
      <w:szCs w:val="20"/>
      <w:lang w:val="en-GB"/>
    </w:rPr>
  </w:style>
  <w:style w:type="paragraph" w:styleId="Date">
    <w:name w:val="Date"/>
    <w:basedOn w:val="Normal"/>
    <w:next w:val="Normal"/>
    <w:semiHidden/>
    <w:rsid w:val="0000005A"/>
    <w:rPr>
      <w:sz w:val="22"/>
      <w:szCs w:val="20"/>
      <w:lang w:val="en-GB"/>
    </w:rPr>
  </w:style>
  <w:style w:type="paragraph" w:styleId="Footer">
    <w:name w:val="footer"/>
    <w:basedOn w:val="Normal"/>
    <w:link w:val="FooterChar"/>
    <w:rsid w:val="0000005A"/>
    <w:pPr>
      <w:tabs>
        <w:tab w:val="left" w:pos="567"/>
        <w:tab w:val="center" w:pos="4536"/>
        <w:tab w:val="center" w:pos="8930"/>
      </w:tabs>
    </w:pPr>
    <w:rPr>
      <w:rFonts w:ascii="Helvetica" w:hAnsi="Helvetica"/>
      <w:sz w:val="16"/>
      <w:szCs w:val="20"/>
      <w:lang w:val="en-GB"/>
    </w:rPr>
  </w:style>
  <w:style w:type="paragraph" w:styleId="BodyTextIndent">
    <w:name w:val="Body Text Indent"/>
    <w:basedOn w:val="Normal"/>
    <w:semiHidden/>
    <w:rsid w:val="0000005A"/>
    <w:pPr>
      <w:autoSpaceDE w:val="0"/>
      <w:autoSpaceDN w:val="0"/>
      <w:adjustRightInd w:val="0"/>
      <w:ind w:left="720"/>
      <w:jc w:val="both"/>
    </w:pPr>
    <w:rPr>
      <w:sz w:val="22"/>
      <w:szCs w:val="22"/>
      <w:lang w:val="en-GB" w:eastAsia="en-GB"/>
    </w:rPr>
  </w:style>
  <w:style w:type="character" w:styleId="PageNumber">
    <w:name w:val="page number"/>
    <w:basedOn w:val="DefaultParagraphFont"/>
    <w:semiHidden/>
    <w:rsid w:val="0000005A"/>
  </w:style>
  <w:style w:type="paragraph" w:styleId="BalloonText">
    <w:name w:val="Balloon Text"/>
    <w:basedOn w:val="Normal"/>
    <w:link w:val="BalloonTextChar"/>
    <w:uiPriority w:val="99"/>
    <w:semiHidden/>
    <w:rsid w:val="0000005A"/>
    <w:rPr>
      <w:rFonts w:ascii="Tahoma" w:hAnsi="Tahoma" w:cs="Tahoma"/>
      <w:sz w:val="16"/>
      <w:szCs w:val="16"/>
    </w:rPr>
  </w:style>
  <w:style w:type="paragraph" w:styleId="Header">
    <w:name w:val="header"/>
    <w:aliases w:val="Header Char1,Header Char Char,Header Char1 Char Char,Header Char Char Char Char,Char Char Char Char Char,Char Char1 Char Char,Char Char Char,Header Char1 Char Char Char Char,Header Char Char Char Char Char Char, Char Char Char Char Char"/>
    <w:basedOn w:val="Normal"/>
    <w:link w:val="HeaderChar"/>
    <w:rsid w:val="0000005A"/>
    <w:pPr>
      <w:tabs>
        <w:tab w:val="center" w:pos="4703"/>
        <w:tab w:val="right" w:pos="9406"/>
      </w:tabs>
    </w:pPr>
  </w:style>
  <w:style w:type="paragraph" w:styleId="BodyText2">
    <w:name w:val="Body Text 2"/>
    <w:basedOn w:val="Normal"/>
    <w:semiHidden/>
    <w:rsid w:val="0000005A"/>
    <w:pPr>
      <w:tabs>
        <w:tab w:val="left" w:pos="284"/>
      </w:tabs>
      <w:jc w:val="both"/>
    </w:pPr>
    <w:rPr>
      <w:color w:val="FF0000"/>
      <w:sz w:val="22"/>
      <w:lang w:val="en-US"/>
    </w:rPr>
  </w:style>
  <w:style w:type="paragraph" w:styleId="BodyText">
    <w:name w:val="Body Text"/>
    <w:basedOn w:val="Normal"/>
    <w:semiHidden/>
    <w:rsid w:val="0000005A"/>
    <w:pPr>
      <w:jc w:val="both"/>
    </w:pPr>
    <w:rPr>
      <w:rFonts w:eastAsia="Arial"/>
      <w:noProof/>
    </w:rPr>
  </w:style>
  <w:style w:type="character" w:styleId="Hyperlink">
    <w:name w:val="Hyperlink"/>
    <w:semiHidden/>
    <w:rsid w:val="0000005A"/>
    <w:rPr>
      <w:color w:val="0000FF"/>
      <w:u w:val="single"/>
    </w:rPr>
  </w:style>
  <w:style w:type="paragraph" w:customStyle="1" w:styleId="Default">
    <w:name w:val="Default"/>
    <w:rsid w:val="0000005A"/>
    <w:pPr>
      <w:autoSpaceDE w:val="0"/>
      <w:autoSpaceDN w:val="0"/>
      <w:adjustRightInd w:val="0"/>
    </w:pPr>
    <w:rPr>
      <w:color w:val="000000"/>
      <w:sz w:val="24"/>
      <w:szCs w:val="24"/>
    </w:rPr>
  </w:style>
  <w:style w:type="table" w:styleId="TableGrid">
    <w:name w:val="Table Grid"/>
    <w:basedOn w:val="TableNormal"/>
    <w:uiPriority w:val="59"/>
    <w:rsid w:val="001E4D0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alloonTextChar">
    <w:name w:val="Balloon Text Char"/>
    <w:link w:val="BalloonText"/>
    <w:uiPriority w:val="99"/>
    <w:semiHidden/>
    <w:rsid w:val="00B85FC8"/>
    <w:rPr>
      <w:rFonts w:ascii="Tahoma" w:hAnsi="Tahoma" w:cs="Tahoma"/>
      <w:sz w:val="16"/>
      <w:szCs w:val="16"/>
      <w:lang w:val="sr-Latn-CS"/>
    </w:rPr>
  </w:style>
  <w:style w:type="character" w:customStyle="1" w:styleId="HeaderChar">
    <w:name w:val="Header Char"/>
    <w:aliases w:val="Header Char1 Char,Header Char Char Char,Header Char1 Char Char Char,Header Char Char Char Char Char,Char Char Char Char Char Char,Char Char1 Char Char Char,Char Char Char Char,Header Char1 Char Char Char Char Char"/>
    <w:link w:val="Header"/>
    <w:rsid w:val="00287021"/>
    <w:rPr>
      <w:sz w:val="24"/>
      <w:szCs w:val="24"/>
      <w:lang w:val="sr-Latn-CS"/>
    </w:rPr>
  </w:style>
  <w:style w:type="character" w:customStyle="1" w:styleId="FooterChar">
    <w:name w:val="Footer Char"/>
    <w:link w:val="Footer"/>
    <w:locked/>
    <w:rsid w:val="008638EE"/>
    <w:rPr>
      <w:rFonts w:ascii="Helvetica" w:hAnsi="Helvetica"/>
      <w:sz w:val="16"/>
      <w:lang w:val="en-GB"/>
    </w:rPr>
  </w:style>
  <w:style w:type="paragraph" w:customStyle="1" w:styleId="Bodytext0">
    <w:name w:val="Bodytext"/>
    <w:basedOn w:val="Normal"/>
    <w:rsid w:val="00BC4AF3"/>
    <w:pPr>
      <w:spacing w:after="200" w:line="300" w:lineRule="exact"/>
      <w:ind w:left="851"/>
      <w:jc w:val="both"/>
    </w:pPr>
    <w:rPr>
      <w:szCs w:val="20"/>
      <w:lang w:val="en-GB"/>
    </w:rPr>
  </w:style>
  <w:style w:type="character" w:styleId="CommentReference">
    <w:name w:val="annotation reference"/>
    <w:uiPriority w:val="99"/>
    <w:semiHidden/>
    <w:unhideWhenUsed/>
    <w:rsid w:val="00B11956"/>
    <w:rPr>
      <w:sz w:val="16"/>
      <w:szCs w:val="16"/>
    </w:rPr>
  </w:style>
  <w:style w:type="paragraph" w:styleId="CommentText">
    <w:name w:val="annotation text"/>
    <w:basedOn w:val="Normal"/>
    <w:link w:val="CommentTextChar"/>
    <w:uiPriority w:val="99"/>
    <w:unhideWhenUsed/>
    <w:rsid w:val="00B11956"/>
    <w:rPr>
      <w:sz w:val="20"/>
      <w:szCs w:val="20"/>
    </w:rPr>
  </w:style>
  <w:style w:type="character" w:customStyle="1" w:styleId="CommentTextChar">
    <w:name w:val="Comment Text Char"/>
    <w:link w:val="CommentText"/>
    <w:uiPriority w:val="99"/>
    <w:rsid w:val="00B11956"/>
    <w:rPr>
      <w:lang w:val="sr-Latn-CS"/>
    </w:rPr>
  </w:style>
  <w:style w:type="paragraph" w:styleId="CommentSubject">
    <w:name w:val="annotation subject"/>
    <w:basedOn w:val="CommentText"/>
    <w:next w:val="CommentText"/>
    <w:link w:val="CommentSubjectChar"/>
    <w:uiPriority w:val="99"/>
    <w:semiHidden/>
    <w:unhideWhenUsed/>
    <w:rsid w:val="00B11956"/>
    <w:rPr>
      <w:b/>
      <w:bCs/>
    </w:rPr>
  </w:style>
  <w:style w:type="character" w:customStyle="1" w:styleId="CommentSubjectChar">
    <w:name w:val="Comment Subject Char"/>
    <w:link w:val="CommentSubject"/>
    <w:uiPriority w:val="99"/>
    <w:semiHidden/>
    <w:rsid w:val="00B11956"/>
    <w:rPr>
      <w:b/>
      <w:bCs/>
      <w:lang w:val="sr-Latn-CS"/>
    </w:rPr>
  </w:style>
  <w:style w:type="paragraph" w:customStyle="1" w:styleId="NASLOV123">
    <w:name w:val="NASLOV 123"/>
    <w:basedOn w:val="Normal"/>
    <w:qFormat/>
    <w:rsid w:val="00A37A76"/>
    <w:pPr>
      <w:tabs>
        <w:tab w:val="left" w:pos="284"/>
      </w:tabs>
      <w:spacing w:before="200" w:after="200"/>
    </w:pPr>
    <w:rPr>
      <w:b/>
      <w:sz w:val="22"/>
      <w:szCs w:val="22"/>
      <w:lang w:val="en-US"/>
    </w:rPr>
  </w:style>
  <w:style w:type="paragraph" w:styleId="Revision">
    <w:name w:val="Revision"/>
    <w:hidden/>
    <w:uiPriority w:val="99"/>
    <w:semiHidden/>
    <w:rsid w:val="00075067"/>
    <w:rPr>
      <w:sz w:val="24"/>
      <w:szCs w:val="24"/>
      <w:lang w:val="sr-Latn-CS"/>
    </w:rPr>
  </w:style>
  <w:style w:type="paragraph" w:styleId="ListParagraph">
    <w:name w:val="List Paragraph"/>
    <w:basedOn w:val="Normal"/>
    <w:uiPriority w:val="34"/>
    <w:qFormat/>
    <w:rsid w:val="00921FA2"/>
    <w:pPr>
      <w:ind w:left="720"/>
      <w:contextualSpacing/>
    </w:pPr>
  </w:style>
  <w:style w:type="paragraph" w:styleId="NoSpacing">
    <w:name w:val="No Spacing"/>
    <w:uiPriority w:val="1"/>
    <w:qFormat/>
    <w:rsid w:val="00921FA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21454">
      <w:bodyDiv w:val="1"/>
      <w:marLeft w:val="0"/>
      <w:marRight w:val="0"/>
      <w:marTop w:val="0"/>
      <w:marBottom w:val="0"/>
      <w:divBdr>
        <w:top w:val="none" w:sz="0" w:space="0" w:color="auto"/>
        <w:left w:val="none" w:sz="0" w:space="0" w:color="auto"/>
        <w:bottom w:val="none" w:sz="0" w:space="0" w:color="auto"/>
        <w:right w:val="none" w:sz="0" w:space="0" w:color="auto"/>
      </w:divBdr>
    </w:div>
    <w:div w:id="164517475">
      <w:bodyDiv w:val="1"/>
      <w:marLeft w:val="0"/>
      <w:marRight w:val="0"/>
      <w:marTop w:val="0"/>
      <w:marBottom w:val="0"/>
      <w:divBdr>
        <w:top w:val="none" w:sz="0" w:space="0" w:color="auto"/>
        <w:left w:val="none" w:sz="0" w:space="0" w:color="auto"/>
        <w:bottom w:val="none" w:sz="0" w:space="0" w:color="auto"/>
        <w:right w:val="none" w:sz="0" w:space="0" w:color="auto"/>
      </w:divBdr>
    </w:div>
    <w:div w:id="252931870">
      <w:bodyDiv w:val="1"/>
      <w:marLeft w:val="0"/>
      <w:marRight w:val="0"/>
      <w:marTop w:val="0"/>
      <w:marBottom w:val="0"/>
      <w:divBdr>
        <w:top w:val="none" w:sz="0" w:space="0" w:color="auto"/>
        <w:left w:val="none" w:sz="0" w:space="0" w:color="auto"/>
        <w:bottom w:val="none" w:sz="0" w:space="0" w:color="auto"/>
        <w:right w:val="none" w:sz="0" w:space="0" w:color="auto"/>
      </w:divBdr>
    </w:div>
    <w:div w:id="267126810">
      <w:bodyDiv w:val="1"/>
      <w:marLeft w:val="0"/>
      <w:marRight w:val="0"/>
      <w:marTop w:val="0"/>
      <w:marBottom w:val="0"/>
      <w:divBdr>
        <w:top w:val="none" w:sz="0" w:space="0" w:color="auto"/>
        <w:left w:val="none" w:sz="0" w:space="0" w:color="auto"/>
        <w:bottom w:val="none" w:sz="0" w:space="0" w:color="auto"/>
        <w:right w:val="none" w:sz="0" w:space="0" w:color="auto"/>
      </w:divBdr>
    </w:div>
    <w:div w:id="502936934">
      <w:bodyDiv w:val="1"/>
      <w:marLeft w:val="0"/>
      <w:marRight w:val="0"/>
      <w:marTop w:val="0"/>
      <w:marBottom w:val="0"/>
      <w:divBdr>
        <w:top w:val="none" w:sz="0" w:space="0" w:color="auto"/>
        <w:left w:val="none" w:sz="0" w:space="0" w:color="auto"/>
        <w:bottom w:val="none" w:sz="0" w:space="0" w:color="auto"/>
        <w:right w:val="none" w:sz="0" w:space="0" w:color="auto"/>
      </w:divBdr>
    </w:div>
    <w:div w:id="1110901876">
      <w:bodyDiv w:val="1"/>
      <w:marLeft w:val="0"/>
      <w:marRight w:val="0"/>
      <w:marTop w:val="0"/>
      <w:marBottom w:val="0"/>
      <w:divBdr>
        <w:top w:val="none" w:sz="0" w:space="0" w:color="auto"/>
        <w:left w:val="none" w:sz="0" w:space="0" w:color="auto"/>
        <w:bottom w:val="none" w:sz="0" w:space="0" w:color="auto"/>
        <w:right w:val="none" w:sz="0" w:space="0" w:color="auto"/>
      </w:divBdr>
    </w:div>
    <w:div w:id="1220942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nmed.me"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vigiflow-eforms.who-umc.org/me/meadr" TargetMode="External"/><Relationship Id="rId4" Type="http://schemas.openxmlformats.org/officeDocument/2006/relationships/settings" Target="settings.xml"/><Relationship Id="rId9" Type="http://schemas.openxmlformats.org/officeDocument/2006/relationships/hyperlink" Target="mailto:nezeljenadejstva@cinmed.me"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ED3A54-E5F3-41BB-A170-1DB951842EBC}">
  <ds:schemaRefs>
    <ds:schemaRef ds:uri="http://schemas.openxmlformats.org/officeDocument/2006/bibliography"/>
  </ds:schemaRefs>
</ds:datastoreItem>
</file>

<file path=docMetadata/LabelInfo.xml><?xml version="1.0" encoding="utf-8"?>
<clbl:labelList xmlns:clbl="http://schemas.microsoft.com/office/2020/mipLabelMetadata">
  <clbl:label id="{3ca48ea3-8c75-4d36-b64f-70604b11fd22}" enabled="1" method="Standard" siteId="{3ac94b33-9135-4821-9502-eafda6592a35}" contentBits="0" removed="0"/>
</clbl:labelList>
</file>

<file path=docProps/app.xml><?xml version="1.0" encoding="utf-8"?>
<Properties xmlns="http://schemas.openxmlformats.org/officeDocument/2006/extended-properties" xmlns:vt="http://schemas.openxmlformats.org/officeDocument/2006/docPropsVTypes">
  <Template>Normal</Template>
  <TotalTime>2</TotalTime>
  <Pages>30</Pages>
  <Words>14848</Words>
  <Characters>84635</Characters>
  <Application>Microsoft Office Word</Application>
  <DocSecurity>0</DocSecurity>
  <Lines>705</Lines>
  <Paragraphs>198</Paragraphs>
  <ScaleCrop>false</ScaleCrop>
  <HeadingPairs>
    <vt:vector size="2" baseType="variant">
      <vt:variant>
        <vt:lpstr>Title</vt:lpstr>
      </vt:variant>
      <vt:variant>
        <vt:i4>1</vt:i4>
      </vt:variant>
    </vt:vector>
  </HeadingPairs>
  <TitlesOfParts>
    <vt:vector size="1" baseType="lpstr">
      <vt:lpstr>1</vt:lpstr>
    </vt:vector>
  </TitlesOfParts>
  <Company>Johnson &amp; Johnson</Company>
  <LinksUpToDate>false</LinksUpToDate>
  <CharactersWithSpaces>99285</CharactersWithSpaces>
  <SharedDoc>false</SharedDoc>
  <HLinks>
    <vt:vector size="6" baseType="variant">
      <vt:variant>
        <vt:i4>6094970</vt:i4>
      </vt:variant>
      <vt:variant>
        <vt:i4>0</vt:i4>
      </vt:variant>
      <vt:variant>
        <vt:i4>0</vt:i4>
      </vt:variant>
      <vt:variant>
        <vt:i4>5</vt:i4>
      </vt:variant>
      <vt:variant>
        <vt:lpwstr>mailto:nezeljene.reakcije@alims.gov.rs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dbrkic1</dc:creator>
  <cp:keywords/>
  <dc:description/>
  <cp:lastModifiedBy>Tamara Nikezić</cp:lastModifiedBy>
  <cp:revision>3</cp:revision>
  <cp:lastPrinted>2020-03-18T15:11:00Z</cp:lastPrinted>
  <dcterms:created xsi:type="dcterms:W3CDTF">2025-03-05T10:30:00Z</dcterms:created>
  <dcterms:modified xsi:type="dcterms:W3CDTF">2025-03-13T07:52:00Z</dcterms:modified>
</cp:coreProperties>
</file>