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8D42" w14:textId="77777777" w:rsidR="001A5518" w:rsidRPr="005C098C" w:rsidRDefault="001A5518" w:rsidP="00B82776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2C91D41" w14:textId="77777777" w:rsidR="00F91C7B" w:rsidRPr="005C098C" w:rsidRDefault="00F91C7B" w:rsidP="00B82776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8741F41" w14:textId="77777777" w:rsidR="002510A5" w:rsidRPr="005C098C" w:rsidRDefault="002510A5" w:rsidP="00B82776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C098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9DFD5E1" w14:textId="77777777" w:rsidR="002510A5" w:rsidRPr="005C098C" w:rsidRDefault="002510A5" w:rsidP="00B82776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B1D0DB3" w14:textId="77777777" w:rsidR="003C17AB" w:rsidRPr="005C098C" w:rsidRDefault="003C17AB" w:rsidP="00B82776">
      <w:pPr>
        <w:jc w:val="both"/>
        <w:rPr>
          <w:sz w:val="22"/>
          <w:szCs w:val="22"/>
          <w:lang w:val="sr-Latn-ME"/>
        </w:rPr>
      </w:pPr>
    </w:p>
    <w:p w14:paraId="2480711B" w14:textId="77777777" w:rsidR="00411B4B" w:rsidRPr="005C098C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>1.</w:t>
      </w:r>
      <w:r w:rsidR="00F5167F" w:rsidRPr="005C098C">
        <w:rPr>
          <w:b/>
          <w:bCs/>
          <w:sz w:val="22"/>
          <w:szCs w:val="22"/>
          <w:lang w:val="sr-Latn-ME"/>
        </w:rPr>
        <w:tab/>
      </w:r>
      <w:r w:rsidR="002846DB" w:rsidRPr="005C098C">
        <w:rPr>
          <w:b/>
          <w:bCs/>
          <w:sz w:val="22"/>
          <w:szCs w:val="22"/>
          <w:lang w:val="sr-Latn-ME"/>
        </w:rPr>
        <w:t xml:space="preserve">NAZIV </w:t>
      </w:r>
      <w:r w:rsidRPr="005C098C">
        <w:rPr>
          <w:b/>
          <w:bCs/>
          <w:sz w:val="22"/>
          <w:szCs w:val="22"/>
          <w:lang w:val="sr-Latn-ME"/>
        </w:rPr>
        <w:t>LIJEKA</w:t>
      </w:r>
    </w:p>
    <w:p w14:paraId="6E7FD426" w14:textId="77777777" w:rsidR="00EC2532" w:rsidRPr="005C098C" w:rsidRDefault="00EC2532" w:rsidP="00B82776">
      <w:pPr>
        <w:jc w:val="both"/>
        <w:rPr>
          <w:sz w:val="22"/>
          <w:szCs w:val="22"/>
          <w:lang w:val="sr-Latn-ME"/>
        </w:rPr>
      </w:pPr>
    </w:p>
    <w:p w14:paraId="5778AE78" w14:textId="2120571E" w:rsidR="00FC4398" w:rsidRPr="008D05BD" w:rsidRDefault="00FC4398" w:rsidP="00B82776">
      <w:pPr>
        <w:jc w:val="both"/>
        <w:rPr>
          <w:sz w:val="22"/>
          <w:szCs w:val="22"/>
          <w:lang w:val="sr-Latn-ME"/>
        </w:rPr>
      </w:pPr>
      <w:r w:rsidRPr="008D05BD">
        <w:rPr>
          <w:bCs/>
          <w:sz w:val="22"/>
          <w:szCs w:val="22"/>
          <w:lang w:val="sr-Latn-ME"/>
        </w:rPr>
        <w:t>Aspirin</w:t>
      </w:r>
      <w:r w:rsidRPr="008D05BD">
        <w:rPr>
          <w:bCs/>
          <w:sz w:val="22"/>
          <w:szCs w:val="22"/>
          <w:vertAlign w:val="superscript"/>
          <w:lang w:val="sr-Latn-ME"/>
        </w:rPr>
        <w:t xml:space="preserve"> </w:t>
      </w:r>
      <w:r w:rsidRPr="00893FAB">
        <w:rPr>
          <w:bCs/>
          <w:sz w:val="22"/>
          <w:szCs w:val="22"/>
          <w:lang w:val="sr-Latn-ME"/>
        </w:rPr>
        <w:t>plus C, 400 mg + 240 mg, šumeća tableta</w:t>
      </w:r>
    </w:p>
    <w:p w14:paraId="045645CA" w14:textId="77777777" w:rsidR="000D425A" w:rsidRPr="005C098C" w:rsidRDefault="000D425A" w:rsidP="00B82776">
      <w:pPr>
        <w:jc w:val="both"/>
        <w:rPr>
          <w:bCs/>
          <w:sz w:val="22"/>
          <w:szCs w:val="22"/>
          <w:lang w:val="sr-Latn-ME"/>
        </w:rPr>
      </w:pPr>
    </w:p>
    <w:p w14:paraId="7CC0062F" w14:textId="4465291B" w:rsidR="006D20A5" w:rsidRPr="005C098C" w:rsidRDefault="006D20A5" w:rsidP="00B82776">
      <w:pPr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INN:</w:t>
      </w:r>
      <w:r w:rsidR="00FC4398" w:rsidRPr="005C098C">
        <w:rPr>
          <w:sz w:val="22"/>
          <w:szCs w:val="22"/>
          <w:lang w:val="sr-Latn-ME"/>
        </w:rPr>
        <w:t xml:space="preserve"> acetilsalicilna kiselina, askorbinska kiselina</w:t>
      </w:r>
    </w:p>
    <w:p w14:paraId="6DBA34EE" w14:textId="77777777" w:rsidR="006D20A5" w:rsidRPr="005C098C" w:rsidRDefault="006D20A5" w:rsidP="00B82776">
      <w:pPr>
        <w:jc w:val="both"/>
        <w:rPr>
          <w:bCs/>
          <w:sz w:val="22"/>
          <w:szCs w:val="22"/>
          <w:lang w:val="sr-Latn-ME"/>
        </w:rPr>
      </w:pPr>
    </w:p>
    <w:p w14:paraId="1B8D720B" w14:textId="77777777" w:rsidR="00530BD7" w:rsidRPr="005C098C" w:rsidRDefault="00530BD7" w:rsidP="00B82776">
      <w:pPr>
        <w:jc w:val="both"/>
        <w:rPr>
          <w:bCs/>
          <w:sz w:val="22"/>
          <w:szCs w:val="22"/>
          <w:lang w:val="sr-Latn-ME"/>
        </w:rPr>
      </w:pPr>
    </w:p>
    <w:p w14:paraId="1C5CD2E9" w14:textId="77777777" w:rsidR="00411B4B" w:rsidRPr="005C098C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2. </w:t>
      </w:r>
      <w:r w:rsidR="00F5167F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KVALITATIVNI I KVANTITATIVNI SASTAV</w:t>
      </w:r>
    </w:p>
    <w:p w14:paraId="3013EFFD" w14:textId="77777777" w:rsidR="005A0B2E" w:rsidRPr="005C098C" w:rsidRDefault="005A0B2E" w:rsidP="00B82776">
      <w:pPr>
        <w:jc w:val="both"/>
        <w:rPr>
          <w:sz w:val="22"/>
          <w:szCs w:val="22"/>
          <w:lang w:val="sr-Latn-ME"/>
        </w:rPr>
      </w:pPr>
    </w:p>
    <w:p w14:paraId="6AC242CF" w14:textId="77777777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 xml:space="preserve">Jedna </w:t>
      </w:r>
      <w:r w:rsidRPr="00893FAB">
        <w:rPr>
          <w:sz w:val="22"/>
          <w:szCs w:val="22"/>
          <w:lang w:val="sr-Latn-ME"/>
        </w:rPr>
        <w:t>šumeća tableta sadrži 400 mg acetilsalicilne kiseline i 240 mg askorbinske kiseline.</w:t>
      </w:r>
    </w:p>
    <w:p w14:paraId="6D3E02DB" w14:textId="77777777" w:rsidR="00FC4398" w:rsidRPr="005C098C" w:rsidRDefault="00FC4398" w:rsidP="00B82776">
      <w:pPr>
        <w:jc w:val="both"/>
        <w:rPr>
          <w:sz w:val="22"/>
          <w:szCs w:val="22"/>
          <w:lang w:val="sr-Latn-ME"/>
        </w:rPr>
      </w:pPr>
    </w:p>
    <w:p w14:paraId="4CD71EBC" w14:textId="7F008A1C" w:rsidR="0003793F" w:rsidRPr="005C098C" w:rsidRDefault="0003793F" w:rsidP="00B82776">
      <w:pPr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Za spisak svih ekscipijenasa, pogledati dio 6.1.</w:t>
      </w:r>
    </w:p>
    <w:p w14:paraId="73C2E17E" w14:textId="11DCA22B" w:rsidR="00C37FD7" w:rsidRDefault="00C37FD7" w:rsidP="00B82776">
      <w:pPr>
        <w:jc w:val="both"/>
        <w:rPr>
          <w:sz w:val="22"/>
          <w:szCs w:val="22"/>
          <w:lang w:val="sr-Latn-ME"/>
        </w:rPr>
      </w:pPr>
    </w:p>
    <w:p w14:paraId="584608E9" w14:textId="77777777" w:rsidR="00B04AD4" w:rsidRPr="005C098C" w:rsidRDefault="00B04AD4" w:rsidP="00B82776">
      <w:pPr>
        <w:jc w:val="both"/>
        <w:rPr>
          <w:sz w:val="22"/>
          <w:szCs w:val="22"/>
          <w:lang w:val="sr-Latn-ME"/>
        </w:rPr>
      </w:pPr>
    </w:p>
    <w:p w14:paraId="16519EC1" w14:textId="77777777" w:rsidR="00411B4B" w:rsidRPr="005C098C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3. </w:t>
      </w:r>
      <w:r w:rsidR="00F5167F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FARMACEUTSKI OBLIK</w:t>
      </w:r>
      <w:r w:rsidR="009F2D23" w:rsidRPr="005C098C">
        <w:rPr>
          <w:b/>
          <w:bCs/>
          <w:sz w:val="22"/>
          <w:szCs w:val="22"/>
          <w:lang w:val="sr-Latn-ME"/>
        </w:rPr>
        <w:t xml:space="preserve"> </w:t>
      </w:r>
    </w:p>
    <w:p w14:paraId="54440EE1" w14:textId="77777777" w:rsidR="00411B4B" w:rsidRPr="005C098C" w:rsidRDefault="00411B4B" w:rsidP="00B82776">
      <w:pPr>
        <w:jc w:val="both"/>
        <w:rPr>
          <w:bCs/>
          <w:sz w:val="22"/>
          <w:szCs w:val="22"/>
          <w:lang w:val="sr-Latn-ME"/>
        </w:rPr>
      </w:pPr>
    </w:p>
    <w:p w14:paraId="39D3B3B6" w14:textId="77777777" w:rsidR="00FC4398" w:rsidRPr="00893FAB" w:rsidRDefault="00FC4398" w:rsidP="00B82776">
      <w:pPr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Šumeća tableta.</w:t>
      </w:r>
    </w:p>
    <w:p w14:paraId="09A215E0" w14:textId="1C09A1DD" w:rsidR="00FC4398" w:rsidRPr="00893FAB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Bijel</w:t>
      </w:r>
      <w:r w:rsidR="005E07DF">
        <w:rPr>
          <w:sz w:val="22"/>
          <w:szCs w:val="22"/>
          <w:lang w:val="sr-Latn-ME"/>
        </w:rPr>
        <w:t>a</w:t>
      </w:r>
      <w:r w:rsidR="00B04AD4">
        <w:rPr>
          <w:sz w:val="22"/>
          <w:szCs w:val="22"/>
          <w:lang w:val="sr-Latn-ME"/>
        </w:rPr>
        <w:t>, okrugl</w:t>
      </w:r>
      <w:r w:rsidR="005E07DF">
        <w:rPr>
          <w:sz w:val="22"/>
          <w:szCs w:val="22"/>
          <w:lang w:val="sr-Latn-ME"/>
        </w:rPr>
        <w:t>a</w:t>
      </w:r>
      <w:r w:rsidR="00B97A71" w:rsidRPr="008D05BD">
        <w:rPr>
          <w:sz w:val="22"/>
          <w:szCs w:val="22"/>
          <w:lang w:val="sr-Latn-ME"/>
        </w:rPr>
        <w:t xml:space="preserve"> </w:t>
      </w:r>
      <w:r w:rsidR="00B04AD4">
        <w:rPr>
          <w:sz w:val="22"/>
          <w:szCs w:val="22"/>
          <w:lang w:val="sr-Latn-ME"/>
        </w:rPr>
        <w:t>šumeć</w:t>
      </w:r>
      <w:r w:rsidR="005E07DF">
        <w:rPr>
          <w:sz w:val="22"/>
          <w:szCs w:val="22"/>
          <w:lang w:val="sr-Latn-ME"/>
        </w:rPr>
        <w:t>a</w:t>
      </w:r>
      <w:r w:rsidRPr="008D05BD">
        <w:rPr>
          <w:sz w:val="22"/>
          <w:szCs w:val="22"/>
          <w:lang w:val="sr-Latn-ME"/>
        </w:rPr>
        <w:t xml:space="preserve"> </w:t>
      </w:r>
      <w:r w:rsidR="00EA4C0C" w:rsidRPr="008D05BD">
        <w:rPr>
          <w:sz w:val="22"/>
          <w:szCs w:val="22"/>
          <w:lang w:val="sr-Latn-ME"/>
        </w:rPr>
        <w:t>tablet</w:t>
      </w:r>
      <w:r w:rsidR="005E07DF">
        <w:rPr>
          <w:sz w:val="22"/>
          <w:szCs w:val="22"/>
          <w:lang w:val="sr-Latn-ME"/>
        </w:rPr>
        <w:t>a</w:t>
      </w:r>
      <w:r w:rsidR="00EA4C0C" w:rsidRPr="008D05BD">
        <w:rPr>
          <w:sz w:val="22"/>
          <w:szCs w:val="22"/>
          <w:lang w:val="sr-Latn-ME"/>
        </w:rPr>
        <w:t xml:space="preserve"> sa oznakom proizvođača „Bayer“ na jednoj strani.</w:t>
      </w:r>
      <w:r w:rsidR="005A6E90">
        <w:rPr>
          <w:sz w:val="22"/>
          <w:szCs w:val="22"/>
          <w:lang w:val="sr-Latn-ME"/>
        </w:rPr>
        <w:t xml:space="preserve"> </w:t>
      </w:r>
    </w:p>
    <w:p w14:paraId="51FBB37D" w14:textId="40537F4D" w:rsidR="00EC2532" w:rsidRDefault="00EC2532" w:rsidP="00B82776">
      <w:pPr>
        <w:jc w:val="both"/>
        <w:rPr>
          <w:bCs/>
          <w:sz w:val="22"/>
          <w:szCs w:val="22"/>
          <w:lang w:val="sr-Latn-ME"/>
        </w:rPr>
      </w:pPr>
    </w:p>
    <w:p w14:paraId="5E478E01" w14:textId="77777777" w:rsidR="00B04AD4" w:rsidRPr="005C098C" w:rsidRDefault="00B04AD4" w:rsidP="00B82776">
      <w:pPr>
        <w:jc w:val="both"/>
        <w:rPr>
          <w:bCs/>
          <w:sz w:val="22"/>
          <w:szCs w:val="22"/>
          <w:lang w:val="sr-Latn-ME"/>
        </w:rPr>
      </w:pPr>
    </w:p>
    <w:p w14:paraId="4021B5E0" w14:textId="77777777" w:rsidR="00411B4B" w:rsidRPr="005C098C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4.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KLINIČKI PODACI</w:t>
      </w:r>
    </w:p>
    <w:p w14:paraId="684B28B1" w14:textId="77777777" w:rsidR="00CD6F02" w:rsidRPr="005C098C" w:rsidRDefault="00CD6F02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64F1BC" w14:textId="30F13135" w:rsidR="00411B4B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4.1.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Terapijske indikacije</w:t>
      </w:r>
    </w:p>
    <w:p w14:paraId="2FF98C68" w14:textId="77777777" w:rsidR="005C098C" w:rsidRPr="005C098C" w:rsidRDefault="005C098C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592A94" w14:textId="19ADFFFA" w:rsidR="00FC4398" w:rsidRPr="008D05BD" w:rsidRDefault="00621376" w:rsidP="00B82776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3FAB">
        <w:rPr>
          <w:sz w:val="22"/>
          <w:szCs w:val="22"/>
          <w:lang w:val="sr-Latn-ME"/>
        </w:rPr>
        <w:t>Blagi do um</w:t>
      </w:r>
      <w:r w:rsidRPr="008D05BD">
        <w:rPr>
          <w:sz w:val="22"/>
          <w:szCs w:val="22"/>
          <w:lang w:val="sr-Latn-ME"/>
        </w:rPr>
        <w:t>jereni bolovi, kao što su glavobolja, zubobolja, menstrualni bolovi, simptomatska terapija bola povezanog sa prehladom (npr. glavobolja, bol u grlu, bol u ekstremitetima)</w:t>
      </w:r>
    </w:p>
    <w:p w14:paraId="4FC33D51" w14:textId="4341DE61" w:rsidR="00FC4398" w:rsidRPr="008D05BD" w:rsidRDefault="00CE00C2" w:rsidP="00B82776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Febrilna stanja</w:t>
      </w:r>
      <w:r w:rsidR="00FC4398" w:rsidRPr="008D05BD">
        <w:rPr>
          <w:sz w:val="22"/>
          <w:szCs w:val="22"/>
          <w:lang w:val="sr-Latn-ME"/>
        </w:rPr>
        <w:t xml:space="preserve"> </w:t>
      </w:r>
    </w:p>
    <w:p w14:paraId="10142631" w14:textId="50FD10CB" w:rsidR="00FC4398" w:rsidRPr="008D05BD" w:rsidRDefault="00FC4398" w:rsidP="00B82776">
      <w:pPr>
        <w:tabs>
          <w:tab w:val="left" w:pos="284"/>
        </w:tabs>
        <w:ind w:left="720"/>
        <w:jc w:val="both"/>
        <w:rPr>
          <w:sz w:val="22"/>
          <w:szCs w:val="22"/>
          <w:lang w:val="sr-Latn-ME"/>
        </w:rPr>
      </w:pPr>
    </w:p>
    <w:p w14:paraId="04825726" w14:textId="77777777" w:rsidR="00411B4B" w:rsidRPr="005C098C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4.2.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Doziranje i način primjene</w:t>
      </w:r>
    </w:p>
    <w:p w14:paraId="1755FE43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07FF52" w14:textId="77777777" w:rsidR="00452E9D" w:rsidRPr="005C098C" w:rsidRDefault="00452E9D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C098C">
        <w:rPr>
          <w:bCs/>
          <w:sz w:val="22"/>
          <w:szCs w:val="22"/>
          <w:u w:val="single"/>
          <w:lang w:val="sr-Latn-ME"/>
        </w:rPr>
        <w:t>Doziranje</w:t>
      </w:r>
    </w:p>
    <w:p w14:paraId="2226D0E4" w14:textId="77777777" w:rsidR="00FC4398" w:rsidRPr="00893FAB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Ukoliko nije drugačije propisano uobičajena doza je:</w:t>
      </w:r>
    </w:p>
    <w:p w14:paraId="2BA06B4F" w14:textId="77777777" w:rsidR="008025B5" w:rsidRPr="005C098C" w:rsidRDefault="008025B5" w:rsidP="00B82776">
      <w:pPr>
        <w:pStyle w:val="Default"/>
        <w:jc w:val="both"/>
        <w:rPr>
          <w:lang w:val="sr-Latn-ME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7"/>
        <w:gridCol w:w="2957"/>
        <w:gridCol w:w="2957"/>
      </w:tblGrid>
      <w:tr w:rsidR="008025B5" w:rsidRPr="008D05BD" w14:paraId="35073A7A" w14:textId="77777777" w:rsidTr="005C098C">
        <w:trPr>
          <w:trHeight w:val="152"/>
        </w:trPr>
        <w:tc>
          <w:tcPr>
            <w:tcW w:w="2957" w:type="dxa"/>
          </w:tcPr>
          <w:p w14:paraId="44418426" w14:textId="3992CFAC" w:rsidR="008025B5" w:rsidRPr="005C098C" w:rsidRDefault="008025B5" w:rsidP="00B82776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5C098C">
              <w:rPr>
                <w:b/>
                <w:bCs/>
                <w:sz w:val="22"/>
                <w:szCs w:val="22"/>
                <w:lang w:val="sr-Latn-ME"/>
              </w:rPr>
              <w:t xml:space="preserve">Uzrast </w:t>
            </w:r>
          </w:p>
        </w:tc>
        <w:tc>
          <w:tcPr>
            <w:tcW w:w="2957" w:type="dxa"/>
          </w:tcPr>
          <w:p w14:paraId="20778677" w14:textId="77777777" w:rsidR="008025B5" w:rsidRPr="005C098C" w:rsidRDefault="008025B5" w:rsidP="00B82776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5C098C">
              <w:rPr>
                <w:b/>
                <w:bCs/>
                <w:sz w:val="22"/>
                <w:szCs w:val="22"/>
                <w:lang w:val="sr-Latn-ME"/>
              </w:rPr>
              <w:t xml:space="preserve">Pojedinačna doza </w:t>
            </w:r>
          </w:p>
        </w:tc>
        <w:tc>
          <w:tcPr>
            <w:tcW w:w="2957" w:type="dxa"/>
          </w:tcPr>
          <w:p w14:paraId="246E42D9" w14:textId="77777777" w:rsidR="008025B5" w:rsidRPr="005C098C" w:rsidRDefault="008025B5" w:rsidP="00B82776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5C098C">
              <w:rPr>
                <w:b/>
                <w:bCs/>
                <w:sz w:val="22"/>
                <w:szCs w:val="22"/>
                <w:lang w:val="sr-Latn-ME"/>
              </w:rPr>
              <w:t xml:space="preserve">Ukupna dnevna doza </w:t>
            </w:r>
          </w:p>
        </w:tc>
      </w:tr>
      <w:tr w:rsidR="008025B5" w:rsidRPr="008D05BD" w14:paraId="7C539D27" w14:textId="77777777" w:rsidTr="005C098C">
        <w:trPr>
          <w:trHeight w:val="529"/>
        </w:trPr>
        <w:tc>
          <w:tcPr>
            <w:tcW w:w="2957" w:type="dxa"/>
          </w:tcPr>
          <w:p w14:paraId="715B2446" w14:textId="77777777" w:rsidR="008025B5" w:rsidRPr="005C098C" w:rsidRDefault="008025B5" w:rsidP="00B82776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5C098C">
              <w:rPr>
                <w:sz w:val="22"/>
                <w:szCs w:val="22"/>
                <w:lang w:val="sr-Latn-ME"/>
              </w:rPr>
              <w:t xml:space="preserve">Osobe od 16 godina i starije </w:t>
            </w:r>
          </w:p>
        </w:tc>
        <w:tc>
          <w:tcPr>
            <w:tcW w:w="2957" w:type="dxa"/>
          </w:tcPr>
          <w:p w14:paraId="508B75FC" w14:textId="77777777" w:rsidR="008025B5" w:rsidRPr="005C098C" w:rsidRDefault="008025B5" w:rsidP="00490BCD">
            <w:pPr>
              <w:pStyle w:val="Default"/>
              <w:rPr>
                <w:sz w:val="22"/>
                <w:szCs w:val="22"/>
                <w:lang w:val="sr-Latn-ME"/>
              </w:rPr>
            </w:pPr>
            <w:r w:rsidRPr="005C098C">
              <w:rPr>
                <w:b/>
                <w:bCs/>
                <w:sz w:val="22"/>
                <w:szCs w:val="22"/>
                <w:lang w:val="sr-Latn-ME"/>
              </w:rPr>
              <w:t xml:space="preserve">1-2 šumeće tablete </w:t>
            </w:r>
            <w:r w:rsidRPr="005C098C">
              <w:rPr>
                <w:sz w:val="22"/>
                <w:szCs w:val="22"/>
                <w:lang w:val="sr-Latn-ME"/>
              </w:rPr>
              <w:t xml:space="preserve">(400-800 mg acetilsalicilne kiseline i 240-480 mg askorbinske kiseline) </w:t>
            </w:r>
          </w:p>
        </w:tc>
        <w:tc>
          <w:tcPr>
            <w:tcW w:w="2957" w:type="dxa"/>
          </w:tcPr>
          <w:p w14:paraId="113A1566" w14:textId="77777777" w:rsidR="008025B5" w:rsidRPr="005C098C" w:rsidRDefault="008025B5" w:rsidP="00B82776">
            <w:pPr>
              <w:pStyle w:val="Default"/>
              <w:jc w:val="both"/>
              <w:rPr>
                <w:sz w:val="22"/>
                <w:szCs w:val="22"/>
                <w:lang w:val="sr-Latn-ME"/>
              </w:rPr>
            </w:pPr>
            <w:r w:rsidRPr="005C098C">
              <w:rPr>
                <w:b/>
                <w:bCs/>
                <w:sz w:val="22"/>
                <w:szCs w:val="22"/>
                <w:lang w:val="sr-Latn-ME"/>
              </w:rPr>
              <w:t xml:space="preserve">3-6 šumećih tableta </w:t>
            </w:r>
            <w:r w:rsidRPr="005C098C">
              <w:rPr>
                <w:sz w:val="22"/>
                <w:szCs w:val="22"/>
                <w:lang w:val="sr-Latn-ME"/>
              </w:rPr>
              <w:t xml:space="preserve">(1200-2400 mg acetilsalicilne kiseline i 720-1440 mg askorbinske kiseline) </w:t>
            </w:r>
          </w:p>
        </w:tc>
      </w:tr>
    </w:tbl>
    <w:p w14:paraId="16801D90" w14:textId="77777777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BFACCBE" w14:textId="6B0A6E54" w:rsidR="00FC4398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Pojedinačna doza se može uzeti u intervalima od 4 do 8 sati, maksimalno do 3 puta dnevno.</w:t>
      </w:r>
      <w:r w:rsidR="008E4F4F" w:rsidRPr="008D05BD">
        <w:rPr>
          <w:sz w:val="22"/>
          <w:szCs w:val="22"/>
          <w:lang w:val="sr-Latn-ME"/>
        </w:rPr>
        <w:t xml:space="preserve"> Ukupna dnevna doza se ne sm</w:t>
      </w:r>
      <w:r w:rsidR="00B242E1" w:rsidRPr="008D05BD">
        <w:rPr>
          <w:sz w:val="22"/>
          <w:szCs w:val="22"/>
          <w:lang w:val="sr-Latn-ME"/>
        </w:rPr>
        <w:t>ij</w:t>
      </w:r>
      <w:r w:rsidR="008E4F4F" w:rsidRPr="008D05BD">
        <w:rPr>
          <w:sz w:val="22"/>
          <w:szCs w:val="22"/>
          <w:lang w:val="sr-Latn-ME"/>
        </w:rPr>
        <w:t>e prekoračiti.</w:t>
      </w:r>
    </w:p>
    <w:p w14:paraId="0A3770A0" w14:textId="77777777" w:rsidR="00786B4E" w:rsidRDefault="00786B4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427CEED" w14:textId="77777777" w:rsidR="00786B4E" w:rsidRPr="00786B4E" w:rsidRDefault="00786B4E" w:rsidP="00786B4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86B4E">
        <w:rPr>
          <w:sz w:val="22"/>
          <w:szCs w:val="22"/>
          <w:lang w:val="sr-Latn-ME"/>
        </w:rPr>
        <w:t>Pedijatrijska populacija</w:t>
      </w:r>
    </w:p>
    <w:p w14:paraId="563A2912" w14:textId="1A2CABD2" w:rsidR="00786B4E" w:rsidRPr="00786B4E" w:rsidRDefault="00786B4E" w:rsidP="00786B4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86B4E">
        <w:rPr>
          <w:sz w:val="22"/>
          <w:szCs w:val="22"/>
          <w:lang w:val="sr-Latn-ME"/>
        </w:rPr>
        <w:t>Li</w:t>
      </w:r>
      <w:r>
        <w:rPr>
          <w:sz w:val="22"/>
          <w:szCs w:val="22"/>
          <w:lang w:val="sr-Latn-ME"/>
        </w:rPr>
        <w:t>jek se ne smije primjeniti kod djece mlađ</w:t>
      </w:r>
      <w:r w:rsidRPr="00786B4E">
        <w:rPr>
          <w:sz w:val="22"/>
          <w:szCs w:val="22"/>
          <w:lang w:val="sr-Latn-ME"/>
        </w:rPr>
        <w:t>e od 16 godin</w:t>
      </w:r>
      <w:r w:rsidR="0030046A">
        <w:rPr>
          <w:sz w:val="22"/>
          <w:szCs w:val="22"/>
          <w:lang w:val="sr-Latn-ME"/>
        </w:rPr>
        <w:t>a, osim ako nije posebno indikov</w:t>
      </w:r>
      <w:r w:rsidRPr="00786B4E">
        <w:rPr>
          <w:sz w:val="22"/>
          <w:szCs w:val="22"/>
          <w:lang w:val="sr-Latn-ME"/>
        </w:rPr>
        <w:t>ano od strane</w:t>
      </w:r>
    </w:p>
    <w:p w14:paraId="2D30B608" w14:textId="1C4F8DDD" w:rsidR="00786B4E" w:rsidRPr="008D05BD" w:rsidRDefault="00786B4E" w:rsidP="00786B4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ljekara</w:t>
      </w:r>
      <w:r w:rsidRPr="00786B4E">
        <w:rPr>
          <w:sz w:val="22"/>
          <w:szCs w:val="22"/>
          <w:lang w:val="sr-Latn-ME"/>
        </w:rPr>
        <w:t>.</w:t>
      </w:r>
    </w:p>
    <w:p w14:paraId="4B096555" w14:textId="77777777" w:rsidR="003C1CCE" w:rsidRPr="008D05BD" w:rsidRDefault="003C1CC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56A57B4" w14:textId="77777777" w:rsidR="003C1CCE" w:rsidRPr="005C098C" w:rsidRDefault="003C1CCE" w:rsidP="00B82776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5C098C">
        <w:rPr>
          <w:i/>
          <w:sz w:val="22"/>
          <w:szCs w:val="22"/>
          <w:lang w:val="sr-Latn-ME"/>
        </w:rPr>
        <w:t>Stariji pacijenti (od 65 godina i stariji):</w:t>
      </w:r>
    </w:p>
    <w:p w14:paraId="1BB37520" w14:textId="77777777" w:rsidR="003C1CCE" w:rsidRPr="00893FAB" w:rsidRDefault="003C1CC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1 tableta, pri čemu razmak između doza mora biti 4 do 8 sati.</w:t>
      </w:r>
    </w:p>
    <w:p w14:paraId="4EA11335" w14:textId="0489F89B" w:rsidR="003C1CCE" w:rsidRPr="008D05BD" w:rsidRDefault="003C1CC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Ukupna dnevna doza ne sm</w:t>
      </w:r>
      <w:r w:rsidR="00EB247E" w:rsidRPr="008D05BD">
        <w:rPr>
          <w:sz w:val="22"/>
          <w:szCs w:val="22"/>
          <w:lang w:val="sr-Latn-ME"/>
        </w:rPr>
        <w:t>ij</w:t>
      </w:r>
      <w:r w:rsidRPr="008D05BD">
        <w:rPr>
          <w:sz w:val="22"/>
          <w:szCs w:val="22"/>
          <w:lang w:val="sr-Latn-ME"/>
        </w:rPr>
        <w:t>e premašiti 5 tableta.</w:t>
      </w:r>
    </w:p>
    <w:p w14:paraId="2B757EEF" w14:textId="77777777" w:rsidR="00130FD6" w:rsidRPr="008D05BD" w:rsidRDefault="00130FD6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37BC8DA" w14:textId="0C090481" w:rsidR="00CB3FAA" w:rsidRDefault="00CB3FAA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FE7359" w14:textId="77777777" w:rsidR="004F0966" w:rsidRPr="008D05BD" w:rsidRDefault="004F0966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8156DB" w14:textId="0A063645" w:rsidR="003C1CCE" w:rsidRPr="008D05BD" w:rsidRDefault="003C1CC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lastRenderedPageBreak/>
        <w:t>L</w:t>
      </w:r>
      <w:r w:rsidR="000F4342" w:rsidRPr="008D05BD">
        <w:rPr>
          <w:sz w:val="22"/>
          <w:szCs w:val="22"/>
          <w:lang w:val="sr-Latn-ME"/>
        </w:rPr>
        <w:t>ij</w:t>
      </w:r>
      <w:r w:rsidRPr="008D05BD">
        <w:rPr>
          <w:sz w:val="22"/>
          <w:szCs w:val="22"/>
          <w:lang w:val="sr-Latn-ME"/>
        </w:rPr>
        <w:t>ek Aspirin plus C se bez medicinskog sav</w:t>
      </w:r>
      <w:r w:rsidR="007B6FC0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eta ne sm</w:t>
      </w:r>
      <w:r w:rsidR="007B6FC0" w:rsidRPr="008D05BD">
        <w:rPr>
          <w:sz w:val="22"/>
          <w:szCs w:val="22"/>
          <w:lang w:val="sr-Latn-ME"/>
        </w:rPr>
        <w:t>ij</w:t>
      </w:r>
      <w:r w:rsidRPr="008D05BD">
        <w:rPr>
          <w:sz w:val="22"/>
          <w:szCs w:val="22"/>
          <w:lang w:val="sr-Latn-ME"/>
        </w:rPr>
        <w:t>e prim</w:t>
      </w:r>
      <w:r w:rsidR="00565689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enjivati duže od 3 dana za simptomatsku terapiju febrilnih stanja, odnosno duže od 3-4 dana za terapiju bola.</w:t>
      </w:r>
    </w:p>
    <w:p w14:paraId="2B5CB2CF" w14:textId="77777777" w:rsidR="00565689" w:rsidRPr="008D05BD" w:rsidRDefault="0056568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B3658B" w14:textId="08B5EEFB" w:rsidR="002E0D80" w:rsidRDefault="002E0D80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C098C">
        <w:rPr>
          <w:sz w:val="22"/>
          <w:szCs w:val="22"/>
          <w:u w:val="single"/>
          <w:lang w:val="sr-Latn-ME"/>
        </w:rPr>
        <w:t>Posebne populacije pacijenata</w:t>
      </w:r>
    </w:p>
    <w:p w14:paraId="469DC011" w14:textId="587E2874" w:rsidR="00EA755F" w:rsidRDefault="00EA755F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AE2C8B2" w14:textId="0B636073" w:rsidR="00EA755F" w:rsidRPr="00490BCD" w:rsidRDefault="00EA755F" w:rsidP="00EA755F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490BCD">
        <w:rPr>
          <w:i/>
          <w:sz w:val="22"/>
          <w:szCs w:val="22"/>
          <w:u w:val="single"/>
          <w:lang w:val="sr-Latn-ME"/>
        </w:rPr>
        <w:t>Pacijenti sa oštećenjem funkcije jetre</w:t>
      </w:r>
    </w:p>
    <w:p w14:paraId="54B78ADA" w14:textId="77777777" w:rsidR="002E0D80" w:rsidRPr="008D05BD" w:rsidRDefault="002E0D80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2D6C746" w14:textId="5FA7C60F" w:rsidR="00EA755F" w:rsidRPr="00EA755F" w:rsidRDefault="00EA755F" w:rsidP="00EA755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Acetilsalicilna kiselina</w:t>
      </w:r>
      <w:r w:rsidR="002E0D80" w:rsidRPr="008D05BD">
        <w:rPr>
          <w:sz w:val="22"/>
          <w:szCs w:val="22"/>
          <w:lang w:val="sr-Latn-ME"/>
        </w:rPr>
        <w:t xml:space="preserve"> se mora primjenjivati sa oprezom kod pacijenata sa blagim do umjerenim oštećenjem funkcije jetre</w:t>
      </w:r>
      <w:r>
        <w:rPr>
          <w:sz w:val="22"/>
          <w:szCs w:val="22"/>
          <w:lang w:val="sr-Latn-ME"/>
        </w:rPr>
        <w:t xml:space="preserve"> (vidjeti dio 4.4). </w:t>
      </w:r>
      <w:r w:rsidRPr="00EA755F">
        <w:rPr>
          <w:sz w:val="22"/>
          <w:szCs w:val="22"/>
          <w:lang w:val="sr-Latn-ME"/>
        </w:rPr>
        <w:t>Preporuče</w:t>
      </w:r>
      <w:r>
        <w:rPr>
          <w:sz w:val="22"/>
          <w:szCs w:val="22"/>
          <w:lang w:val="sr-Latn-ME"/>
        </w:rPr>
        <w:t>no je smanjenje doze ili produž</w:t>
      </w:r>
      <w:r w:rsidRPr="00EA755F">
        <w:rPr>
          <w:sz w:val="22"/>
          <w:szCs w:val="22"/>
          <w:lang w:val="sr-Latn-ME"/>
        </w:rPr>
        <w:t>enje intervala doziranja.</w:t>
      </w:r>
    </w:p>
    <w:p w14:paraId="554BFC53" w14:textId="3D0DBBF4" w:rsidR="00EA755F" w:rsidRDefault="00EA755F" w:rsidP="00EA755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A755F">
        <w:rPr>
          <w:sz w:val="22"/>
          <w:szCs w:val="22"/>
          <w:lang w:val="sr-Latn-ME"/>
        </w:rPr>
        <w:t>Acetilsali</w:t>
      </w:r>
      <w:r>
        <w:rPr>
          <w:sz w:val="22"/>
          <w:szCs w:val="22"/>
          <w:lang w:val="sr-Latn-ME"/>
        </w:rPr>
        <w:t>cilatna kiselina je kontraindikov</w:t>
      </w:r>
      <w:r w:rsidRPr="00EA755F">
        <w:rPr>
          <w:sz w:val="22"/>
          <w:szCs w:val="22"/>
          <w:lang w:val="sr-Latn-ME"/>
        </w:rPr>
        <w:t xml:space="preserve">ana </w:t>
      </w:r>
      <w:r>
        <w:rPr>
          <w:sz w:val="22"/>
          <w:szCs w:val="22"/>
          <w:lang w:val="sr-Latn-ME"/>
        </w:rPr>
        <w:t>kod pacijenata</w:t>
      </w:r>
      <w:r w:rsidRPr="00EA755F">
        <w:rPr>
          <w:sz w:val="22"/>
          <w:szCs w:val="22"/>
          <w:lang w:val="sr-Latn-ME"/>
        </w:rPr>
        <w:t xml:space="preserve"> s</w:t>
      </w:r>
      <w:r>
        <w:rPr>
          <w:sz w:val="22"/>
          <w:szCs w:val="22"/>
          <w:lang w:val="sr-Latn-ME"/>
        </w:rPr>
        <w:t>a teško</w:t>
      </w:r>
      <w:r w:rsidRPr="00EA755F">
        <w:rPr>
          <w:sz w:val="22"/>
          <w:szCs w:val="22"/>
          <w:lang w:val="sr-Latn-ME"/>
        </w:rPr>
        <w:t xml:space="preserve">m </w:t>
      </w:r>
      <w:r>
        <w:rPr>
          <w:sz w:val="22"/>
          <w:szCs w:val="22"/>
          <w:lang w:val="sr-Latn-ME"/>
        </w:rPr>
        <w:t xml:space="preserve">insuficijencijom </w:t>
      </w:r>
      <w:r w:rsidRPr="00EA755F">
        <w:rPr>
          <w:sz w:val="22"/>
          <w:szCs w:val="22"/>
          <w:lang w:val="sr-Latn-ME"/>
        </w:rPr>
        <w:t>jetre (vidjeti dio 4.3).</w:t>
      </w:r>
    </w:p>
    <w:p w14:paraId="0E2AEB44" w14:textId="06C11E09" w:rsidR="00EA755F" w:rsidRDefault="00EA755F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A9F239" w14:textId="63E03CB6" w:rsidR="00EA755F" w:rsidRDefault="00EA755F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Pacijenti</w:t>
      </w:r>
      <w:r w:rsidRPr="00EA755F">
        <w:rPr>
          <w:sz w:val="22"/>
          <w:szCs w:val="22"/>
          <w:lang w:val="sr-Latn-ME"/>
        </w:rPr>
        <w:t xml:space="preserve"> s</w:t>
      </w:r>
      <w:r>
        <w:rPr>
          <w:sz w:val="22"/>
          <w:szCs w:val="22"/>
          <w:lang w:val="sr-Latn-ME"/>
        </w:rPr>
        <w:t>a</w:t>
      </w:r>
      <w:r w:rsidRPr="00EA755F">
        <w:rPr>
          <w:sz w:val="22"/>
          <w:szCs w:val="22"/>
          <w:lang w:val="sr-Latn-ME"/>
        </w:rPr>
        <w:t xml:space="preserve"> oštećenjem funkcije bubrega ili oštećenom kardiovaskularnom cirkulacijom:</w:t>
      </w:r>
    </w:p>
    <w:p w14:paraId="74F2CB07" w14:textId="77777777" w:rsidR="00EA755F" w:rsidRDefault="00EA755F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447C74" w14:textId="040340F3" w:rsidR="00565689" w:rsidRPr="008D05BD" w:rsidRDefault="00EA755F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Acetilsalicilna kiselina</w:t>
      </w:r>
      <w:r w:rsidRPr="008D05BD">
        <w:rPr>
          <w:sz w:val="22"/>
          <w:szCs w:val="22"/>
          <w:lang w:val="sr-Latn-ME"/>
        </w:rPr>
        <w:t xml:space="preserve"> se mora primjenjivati sa oprezom kod pacijenata sa blagim do umjerenim oštećenjem</w:t>
      </w:r>
      <w:r>
        <w:rPr>
          <w:sz w:val="22"/>
          <w:szCs w:val="22"/>
          <w:lang w:val="sr-Latn-ME"/>
        </w:rPr>
        <w:t xml:space="preserve"> </w:t>
      </w:r>
      <w:r w:rsidR="002E0D80" w:rsidRPr="008D05BD">
        <w:rPr>
          <w:sz w:val="22"/>
          <w:szCs w:val="22"/>
          <w:lang w:val="sr-Latn-ME"/>
        </w:rPr>
        <w:t>bubrega, kao i kod pacijenata sa problemima sa cirkulacijom</w:t>
      </w:r>
      <w:r>
        <w:rPr>
          <w:sz w:val="22"/>
          <w:szCs w:val="22"/>
          <w:lang w:val="sr-Latn-ME"/>
        </w:rPr>
        <w:t xml:space="preserve"> (vidjeti dio 4.3). </w:t>
      </w:r>
      <w:r w:rsidR="002E0D80" w:rsidRPr="008D05BD">
        <w:rPr>
          <w:sz w:val="22"/>
          <w:szCs w:val="22"/>
          <w:lang w:val="sr-Latn-ME"/>
        </w:rPr>
        <w:t xml:space="preserve">Kontraindikovana je primjena lijeka </w:t>
      </w:r>
      <w:r>
        <w:rPr>
          <w:sz w:val="22"/>
          <w:szCs w:val="22"/>
          <w:lang w:val="sr-Latn-ME"/>
        </w:rPr>
        <w:t>acetilsalicilne kiseline</w:t>
      </w:r>
      <w:r w:rsidR="002E0D80" w:rsidRPr="008D05BD">
        <w:rPr>
          <w:sz w:val="22"/>
          <w:szCs w:val="22"/>
          <w:lang w:val="sr-Latn-ME"/>
        </w:rPr>
        <w:t xml:space="preserve"> kod pacijenata sa teškim oštećenjem funkcije bubrega ili </w:t>
      </w:r>
      <w:r>
        <w:rPr>
          <w:sz w:val="22"/>
          <w:szCs w:val="22"/>
          <w:lang w:val="sr-Latn-ME"/>
        </w:rPr>
        <w:t>teškom srčanom insuficijencijom</w:t>
      </w:r>
      <w:r w:rsidR="002E0D80" w:rsidRPr="008D05BD">
        <w:rPr>
          <w:sz w:val="22"/>
          <w:szCs w:val="22"/>
          <w:lang w:val="sr-Latn-ME"/>
        </w:rPr>
        <w:t xml:space="preserve"> (vidjeti </w:t>
      </w:r>
      <w:r w:rsidR="00614E89">
        <w:rPr>
          <w:sz w:val="22"/>
          <w:szCs w:val="22"/>
          <w:lang w:val="sr-Latn-ME"/>
        </w:rPr>
        <w:t>djelove</w:t>
      </w:r>
      <w:r w:rsidR="002E0D80" w:rsidRPr="008D05BD">
        <w:rPr>
          <w:sz w:val="22"/>
          <w:szCs w:val="22"/>
          <w:lang w:val="sr-Latn-ME"/>
        </w:rPr>
        <w:t xml:space="preserve"> 4.3 i 4.4).</w:t>
      </w:r>
    </w:p>
    <w:p w14:paraId="002E96DF" w14:textId="77777777" w:rsidR="00BA2A1E" w:rsidRPr="008D05BD" w:rsidRDefault="00BA2A1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883733" w14:textId="6BC40067" w:rsidR="00BA2A1E" w:rsidRPr="005C098C" w:rsidRDefault="00BA2A1E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C098C">
        <w:rPr>
          <w:sz w:val="22"/>
          <w:szCs w:val="22"/>
          <w:u w:val="single"/>
          <w:lang w:val="sr-Latn-ME"/>
        </w:rPr>
        <w:t>Način prim</w:t>
      </w:r>
      <w:r w:rsidR="00381193" w:rsidRPr="005C098C">
        <w:rPr>
          <w:sz w:val="22"/>
          <w:szCs w:val="22"/>
          <w:u w:val="single"/>
          <w:lang w:val="sr-Latn-ME"/>
        </w:rPr>
        <w:t>j</w:t>
      </w:r>
      <w:r w:rsidRPr="005C098C">
        <w:rPr>
          <w:sz w:val="22"/>
          <w:szCs w:val="22"/>
          <w:u w:val="single"/>
          <w:lang w:val="sr-Latn-ME"/>
        </w:rPr>
        <w:t>ene</w:t>
      </w:r>
    </w:p>
    <w:p w14:paraId="42BA78FE" w14:textId="67BEAB86" w:rsidR="00BA2A1E" w:rsidRPr="008D05BD" w:rsidRDefault="00BA2A1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Oralna prim</w:t>
      </w:r>
      <w:r w:rsidR="00EF1CD6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ena.</w:t>
      </w:r>
    </w:p>
    <w:p w14:paraId="06C07D79" w14:textId="77777777" w:rsidR="00BA2A1E" w:rsidRPr="008D05BD" w:rsidRDefault="00BA2A1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Šumeće tablete se uzimaju rastvorene u dosta vode (čaša vode).</w:t>
      </w:r>
    </w:p>
    <w:p w14:paraId="165E9D3D" w14:textId="7EAEDA18" w:rsidR="00BA2A1E" w:rsidRPr="008D05BD" w:rsidRDefault="00BA2A1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L</w:t>
      </w:r>
      <w:r w:rsidR="0053652B" w:rsidRPr="008D05BD">
        <w:rPr>
          <w:sz w:val="22"/>
          <w:szCs w:val="22"/>
          <w:lang w:val="sr-Latn-ME"/>
        </w:rPr>
        <w:t>ij</w:t>
      </w:r>
      <w:r w:rsidRPr="008D05BD">
        <w:rPr>
          <w:sz w:val="22"/>
          <w:szCs w:val="22"/>
          <w:lang w:val="sr-Latn-ME"/>
        </w:rPr>
        <w:t>ek ne treba uzimati na prazan stomak.</w:t>
      </w:r>
    </w:p>
    <w:p w14:paraId="01B0CA85" w14:textId="77777777" w:rsidR="00452E9D" w:rsidRPr="005C098C" w:rsidRDefault="00452E9D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90DD4D" w14:textId="77777777" w:rsidR="00BB54C8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4.3.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Kontraindikacije</w:t>
      </w:r>
    </w:p>
    <w:p w14:paraId="29B91C87" w14:textId="406847A2" w:rsidR="00BB54C8" w:rsidRDefault="00BB54C8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 xml:space="preserve"> </w:t>
      </w:r>
    </w:p>
    <w:p w14:paraId="6FD1C746" w14:textId="0BDF63D3" w:rsidR="00136383" w:rsidRPr="00136383" w:rsidRDefault="00BB54C8" w:rsidP="00490BCD">
      <w:pPr>
        <w:pStyle w:val="ListParagraph"/>
        <w:rPr>
          <w:lang w:val="sr-Latn-ME"/>
        </w:rPr>
      </w:pPr>
      <w:r w:rsidRPr="00490BCD">
        <w:rPr>
          <w:sz w:val="22"/>
          <w:szCs w:val="22"/>
          <w:lang w:val="sr-Latn-ME"/>
        </w:rPr>
        <w:t>Preosjetljivost na acetilsalicilnu kiselinu ili druge salicilate, askorbinsku kiselinu ili na bilo koju od pomoćnih supstanci navedenih u dijelu 6.1.</w:t>
      </w:r>
      <w:r w:rsidR="00136383" w:rsidRPr="00490BCD">
        <w:rPr>
          <w:sz w:val="22"/>
          <w:szCs w:val="22"/>
          <w:lang w:val="sr-Latn-ME"/>
        </w:rPr>
        <w:t xml:space="preserve"> </w:t>
      </w:r>
    </w:p>
    <w:p w14:paraId="051628C7" w14:textId="525883DA" w:rsidR="005C098C" w:rsidRPr="00490BCD" w:rsidRDefault="00136383" w:rsidP="00490BCD">
      <w:pPr>
        <w:pStyle w:val="ListParagraph"/>
        <w:numPr>
          <w:ilvl w:val="0"/>
          <w:numId w:val="37"/>
        </w:num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90BCD">
        <w:rPr>
          <w:rStyle w:val="rynqvb"/>
          <w:sz w:val="22"/>
          <w:szCs w:val="22"/>
          <w:lang w:val="hr-HR"/>
        </w:rPr>
        <w:t>Pacijenti sa već postojećom mastocitozom, kod kojih primjena acetilsalicilatne kiseline može izazvati teške reakcije preosjetljivosti (uključujući cirkulacijski šok s</w:t>
      </w:r>
      <w:r>
        <w:rPr>
          <w:rStyle w:val="rynqvb"/>
          <w:sz w:val="22"/>
          <w:szCs w:val="22"/>
          <w:lang w:val="hr-HR"/>
        </w:rPr>
        <w:t>a</w:t>
      </w:r>
      <w:r w:rsidRPr="00490BCD">
        <w:rPr>
          <w:rStyle w:val="rynqvb"/>
          <w:sz w:val="22"/>
          <w:szCs w:val="22"/>
          <w:lang w:val="hr-HR"/>
        </w:rPr>
        <w:t xml:space="preserve"> crvenilom, hipotenziju, tahikardiju i povraćanje).</w:t>
      </w:r>
    </w:p>
    <w:p w14:paraId="332699D7" w14:textId="240B3DF5" w:rsidR="00FC4398" w:rsidRPr="008D05BD" w:rsidRDefault="00FC4398" w:rsidP="00490BCD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 xml:space="preserve">Djeca i adolescenti do 16 godina sa izuzetkom primjene lijeka u specifičnim indikacijama – prevencija tromboze u </w:t>
      </w:r>
      <w:r w:rsidR="00BE0592" w:rsidRPr="00893FAB">
        <w:rPr>
          <w:sz w:val="22"/>
          <w:szCs w:val="22"/>
          <w:lang w:val="sr-Latn-ME"/>
        </w:rPr>
        <w:t>kar</w:t>
      </w:r>
      <w:r w:rsidR="00BE0592" w:rsidRPr="008D05BD">
        <w:rPr>
          <w:sz w:val="22"/>
          <w:szCs w:val="22"/>
          <w:lang w:val="sr-Latn-ME"/>
        </w:rPr>
        <w:t>diohirurgiji</w:t>
      </w:r>
      <w:r w:rsidR="00092A91" w:rsidRPr="008D05BD">
        <w:rPr>
          <w:sz w:val="22"/>
          <w:szCs w:val="22"/>
          <w:lang w:val="sr-Latn-ME"/>
        </w:rPr>
        <w:t>.</w:t>
      </w:r>
      <w:r w:rsidRPr="008D05BD" w:rsidDel="00271D9C">
        <w:rPr>
          <w:sz w:val="22"/>
          <w:szCs w:val="22"/>
          <w:lang w:val="sr-Latn-ME"/>
        </w:rPr>
        <w:t xml:space="preserve"> </w:t>
      </w:r>
    </w:p>
    <w:p w14:paraId="6C999998" w14:textId="43A5CCAE" w:rsidR="0048061E" w:rsidRPr="008D05BD" w:rsidRDefault="0048061E" w:rsidP="00490BCD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Astmatični napadi ili reakcije preos</w:t>
      </w:r>
      <w:r w:rsidR="00B04AD4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etljivosti (npr. urtikarija, angioedem, težak rinitis, šok) u anamnezi uzrokovani salicilatima ili l</w:t>
      </w:r>
      <w:r w:rsidR="00A839F0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ekovima sa sličnim dejstvom, naročito nesterodinim antiinflamatornim l</w:t>
      </w:r>
      <w:r w:rsidR="00A839F0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ekovima (NSAIL).</w:t>
      </w:r>
    </w:p>
    <w:p w14:paraId="77FA9506" w14:textId="0BAE1F8D" w:rsidR="0048061E" w:rsidRPr="008D05BD" w:rsidRDefault="0048061E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Akutni gastrointestinalni ulkusi.</w:t>
      </w:r>
    </w:p>
    <w:p w14:paraId="31FD2C88" w14:textId="49523FCB" w:rsidR="0048061E" w:rsidRPr="008D05BD" w:rsidRDefault="0048061E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Hemoragijske dijateze.</w:t>
      </w:r>
    </w:p>
    <w:p w14:paraId="73663B3D" w14:textId="271F1E93" w:rsidR="0048061E" w:rsidRPr="008D05BD" w:rsidRDefault="0048061E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Teška renalna insuficijencija.</w:t>
      </w:r>
    </w:p>
    <w:p w14:paraId="6FE4C54A" w14:textId="22270BAD" w:rsidR="0048061E" w:rsidRPr="008D05BD" w:rsidRDefault="0048061E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Teška insuficijencija jetre.</w:t>
      </w:r>
    </w:p>
    <w:p w14:paraId="4EF7A997" w14:textId="00CBB9AC" w:rsidR="0048061E" w:rsidRPr="008D05BD" w:rsidRDefault="0048061E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Teška, nekontrolisana srčana insuficijencija.</w:t>
      </w:r>
    </w:p>
    <w:p w14:paraId="229EA91E" w14:textId="573F9DF2" w:rsidR="0048061E" w:rsidRPr="008D05BD" w:rsidRDefault="0048061E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Istovremena prim</w:t>
      </w:r>
      <w:r w:rsidR="00682EFD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ena metotreksata u dozama većim od 15 mg/ned</w:t>
      </w:r>
      <w:r w:rsidR="00BB54C8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eljno sa acetilsalicilnom kiselinom u dozama koje imaju antinflamatorno, analgetičko ili antipiretičko dejstvo (vid</w:t>
      </w:r>
      <w:r w:rsidR="00305EB0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8D05BD">
        <w:rPr>
          <w:sz w:val="22"/>
          <w:szCs w:val="22"/>
          <w:lang w:val="sr-Latn-ME"/>
        </w:rPr>
        <w:t xml:space="preserve"> 4.5).</w:t>
      </w:r>
    </w:p>
    <w:p w14:paraId="6DDA34F0" w14:textId="70F1CD07" w:rsidR="00006F9B" w:rsidRPr="008D05BD" w:rsidRDefault="00006F9B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Istovremena prim</w:t>
      </w:r>
      <w:r w:rsidR="002706EB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ena oralnih antikoagulanasa sa acetilsalicilnom kiselinom u dozama koje imaju antiinflamatorno, analgetičko ili antipiretičko dejstvo i kod pacijenata sa istorijom gastro-duodenalnih ulkusa (vid</w:t>
      </w:r>
      <w:r w:rsidR="002706EB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8D05BD">
        <w:rPr>
          <w:sz w:val="22"/>
          <w:szCs w:val="22"/>
          <w:lang w:val="sr-Latn-ME"/>
        </w:rPr>
        <w:t xml:space="preserve"> 4.5).</w:t>
      </w:r>
    </w:p>
    <w:p w14:paraId="69A52B8C" w14:textId="06533BF2" w:rsidR="00006F9B" w:rsidRPr="008D05BD" w:rsidRDefault="00006F9B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Od početka šestog m</w:t>
      </w:r>
      <w:r w:rsidR="00461992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eseca trudnoće (24 ned</w:t>
      </w:r>
      <w:r w:rsidR="0030046A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elje nakon amenoreje) (vid</w:t>
      </w:r>
      <w:r w:rsidR="00C22302" w:rsidRPr="008D05BD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8D05BD">
        <w:rPr>
          <w:sz w:val="22"/>
          <w:szCs w:val="22"/>
          <w:lang w:val="sr-Latn-ME"/>
        </w:rPr>
        <w:t xml:space="preserve"> 4.6).</w:t>
      </w:r>
    </w:p>
    <w:p w14:paraId="535F6193" w14:textId="46CA8593" w:rsidR="00006F9B" w:rsidRPr="008D05BD" w:rsidRDefault="00006F9B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Nefrolitijaza ili nefrolitijaza u anamnezi.</w:t>
      </w:r>
    </w:p>
    <w:p w14:paraId="6273426D" w14:textId="61D8AC05" w:rsidR="00006F9B" w:rsidRPr="008D05BD" w:rsidRDefault="00006F9B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Hiperoksalurija.</w:t>
      </w:r>
    </w:p>
    <w:p w14:paraId="504C36B3" w14:textId="7E3AD74A" w:rsidR="00006F9B" w:rsidRPr="008D05BD" w:rsidRDefault="00006F9B" w:rsidP="00B82776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Hemohromatoza.</w:t>
      </w:r>
    </w:p>
    <w:p w14:paraId="5DAB4B1B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6D4578" w14:textId="77777777" w:rsidR="00411B4B" w:rsidRPr="005C098C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4.4.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1C32B78" w14:textId="77777777" w:rsidR="008D05BD" w:rsidRPr="008D05BD" w:rsidRDefault="008D05BD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7F3831B" w14:textId="6119B1B4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93FAB">
        <w:rPr>
          <w:sz w:val="22"/>
          <w:szCs w:val="22"/>
          <w:u w:val="single"/>
          <w:lang w:val="sr-Latn-ME"/>
        </w:rPr>
        <w:t>Acetilsalicilna kiselina:</w:t>
      </w:r>
    </w:p>
    <w:p w14:paraId="78821DF8" w14:textId="77777777" w:rsidR="00EA4D55" w:rsidRPr="008D05BD" w:rsidRDefault="00EA4D55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3AE2B53E" w14:textId="723AD5EF" w:rsidR="00EA4D55" w:rsidRPr="005C098C" w:rsidRDefault="00EA4D55" w:rsidP="00B82776">
      <w:pPr>
        <w:pStyle w:val="ListParagraph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 slučaju kombinovanja sa drugim l</w:t>
      </w:r>
      <w:r w:rsidR="00AE5755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ekovima, da bi se izb</w:t>
      </w:r>
      <w:r w:rsidR="00AE5755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egao bilo kakav rizik od predoziranja, prov</w:t>
      </w:r>
      <w:r w:rsidR="00A35B52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eriti da li se acetilsalicilna kiselina nalazi u sastavu drugog l</w:t>
      </w:r>
      <w:r w:rsidR="00A35B52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eka.</w:t>
      </w:r>
    </w:p>
    <w:p w14:paraId="213D3C5D" w14:textId="77777777" w:rsidR="001E1998" w:rsidRPr="005C098C" w:rsidRDefault="001E19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4FDCAC" w14:textId="17D67E71" w:rsidR="00EA4D55" w:rsidRPr="005C098C" w:rsidRDefault="00EA4D55" w:rsidP="00B82776">
      <w:pPr>
        <w:pStyle w:val="ListParagraph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5C098C">
        <w:rPr>
          <w:i/>
          <w:iCs/>
          <w:sz w:val="22"/>
          <w:szCs w:val="22"/>
          <w:lang w:val="sr-Latn-ME"/>
        </w:rPr>
        <w:t>Rey</w:t>
      </w:r>
      <w:r w:rsidRPr="005C098C">
        <w:rPr>
          <w:sz w:val="22"/>
          <w:szCs w:val="22"/>
          <w:lang w:val="sr-Latn-ME"/>
        </w:rPr>
        <w:t>-ev sindrom, veoma r</w:t>
      </w:r>
      <w:r w:rsidR="001E1998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etka i životno ugrožavajuća bolest je uočena kod d</w:t>
      </w:r>
      <w:r w:rsidR="006B0DBF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ece sa simptomima virusne infekcije (posebno varičele i epizode slične influenci) sa uzimanjem ili bez uzimanja acetilsalicilne kiseline. Posl</w:t>
      </w:r>
      <w:r w:rsidR="006B0DBF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edično, acetilsalicilna kiselina se može prim</w:t>
      </w:r>
      <w:r w:rsidR="00B04AD4">
        <w:rPr>
          <w:sz w:val="22"/>
          <w:szCs w:val="22"/>
          <w:lang w:val="sr-Latn-ME"/>
        </w:rPr>
        <w:t>i</w:t>
      </w:r>
      <w:r w:rsidR="00A827F2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eniti kod d</w:t>
      </w:r>
      <w:r w:rsidR="00A827F2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ece u ovom slučaju, samo nakon medicinskog sav</w:t>
      </w:r>
      <w:r w:rsidR="00A827F2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eta, kada druge m</w:t>
      </w:r>
      <w:r w:rsidR="00057456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ere ni</w:t>
      </w:r>
      <w:r w:rsidR="00B04AD4">
        <w:rPr>
          <w:sz w:val="22"/>
          <w:szCs w:val="22"/>
          <w:lang w:val="sr-Latn-ME"/>
        </w:rPr>
        <w:t>je</w:t>
      </w:r>
      <w:r w:rsidRPr="005C098C">
        <w:rPr>
          <w:sz w:val="22"/>
          <w:szCs w:val="22"/>
          <w:lang w:val="sr-Latn-ME"/>
        </w:rPr>
        <w:t>su usp</w:t>
      </w:r>
      <w:r w:rsidR="002D0F14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ele. U slučaju stalnog povraćanja, poremećaja sv</w:t>
      </w:r>
      <w:r w:rsidR="00B04AD4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esti ili izm</w:t>
      </w:r>
      <w:r w:rsidR="00B04AD4">
        <w:rPr>
          <w:sz w:val="22"/>
          <w:szCs w:val="22"/>
          <w:lang w:val="sr-Latn-ME"/>
        </w:rPr>
        <w:t>i</w:t>
      </w:r>
      <w:r w:rsidR="009D07BF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enjenog ponašanja, l</w:t>
      </w:r>
      <w:r w:rsidR="009D07BF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ečenje acetilsalicilnom kiselinom treba obustaviti.</w:t>
      </w:r>
    </w:p>
    <w:p w14:paraId="7272CE7F" w14:textId="77777777" w:rsidR="00B70BDE" w:rsidRPr="005C098C" w:rsidRDefault="00B70BD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0D18175" w14:textId="0B9AC531" w:rsidR="00EA4D55" w:rsidRPr="005C098C" w:rsidRDefault="00EA4D55" w:rsidP="00B82776">
      <w:pPr>
        <w:pStyle w:val="ListParagraph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 slučaju dugotrajne prim</w:t>
      </w:r>
      <w:r w:rsidR="009A6744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ene analgetika u većim dozama, pojava glavobolje se ne sm</w:t>
      </w:r>
      <w:r w:rsidR="009A6744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 l</w:t>
      </w:r>
      <w:r w:rsidR="009A6744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ečiti još većim dozama.</w:t>
      </w:r>
    </w:p>
    <w:p w14:paraId="3968D07A" w14:textId="77777777" w:rsidR="00B70BDE" w:rsidRPr="005C098C" w:rsidRDefault="00B70BDE" w:rsidP="00B82776">
      <w:pPr>
        <w:pStyle w:val="ListParagraph"/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</w:p>
    <w:p w14:paraId="60605093" w14:textId="77D0B710" w:rsidR="00EA4D55" w:rsidRPr="005C098C" w:rsidRDefault="00EA4D55" w:rsidP="00B82776">
      <w:pPr>
        <w:pStyle w:val="ListParagraph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Redovna upotreba analgetika, posebno kombinacija analgetika, može dovesti do pojave perzistenthih lezija bubrega, sa rizikom od razvoja insuficijencije bubrega.</w:t>
      </w:r>
    </w:p>
    <w:p w14:paraId="0512B95B" w14:textId="77777777" w:rsidR="00B70BDE" w:rsidRPr="005C098C" w:rsidRDefault="00B70BDE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A0006E5" w14:textId="460A8CA9" w:rsidR="00EA4D55" w:rsidRPr="005C098C" w:rsidRDefault="00EA4D55" w:rsidP="00B82776">
      <w:pPr>
        <w:pStyle w:val="ListParagraph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 određenim teškim oblicima deficijencije G6PD, velike doze acetilsalicilne kiseline mogu izazvati hemolizu. U slučaju deficijencije G6PD, acetilsalicilna kiselina mora biti prim</w:t>
      </w:r>
      <w:r w:rsidR="00B04AD4">
        <w:rPr>
          <w:sz w:val="22"/>
          <w:szCs w:val="22"/>
          <w:lang w:val="sr-Latn-ME"/>
        </w:rPr>
        <w:t>i</w:t>
      </w:r>
      <w:r w:rsidR="009A6744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enjena pod medicinskim nadzorom.</w:t>
      </w:r>
    </w:p>
    <w:p w14:paraId="747CED9B" w14:textId="77777777" w:rsidR="009A6744" w:rsidRPr="005C098C" w:rsidRDefault="009A6744" w:rsidP="00B82776">
      <w:pPr>
        <w:pStyle w:val="ListParagraph"/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</w:p>
    <w:p w14:paraId="77B457B4" w14:textId="51319BE1" w:rsidR="009A6744" w:rsidRPr="005C098C" w:rsidRDefault="009A6744" w:rsidP="00B82776">
      <w:pPr>
        <w:pStyle w:val="ListParagraph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L</w:t>
      </w:r>
      <w:r w:rsidR="00F84604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 xml:space="preserve">ečenje je potrebno pažljivije pratiti: </w:t>
      </w:r>
    </w:p>
    <w:p w14:paraId="5C959318" w14:textId="02BE03F4" w:rsidR="009A6744" w:rsidRPr="005C098C" w:rsidRDefault="009A6744" w:rsidP="00B82776">
      <w:pPr>
        <w:pStyle w:val="Default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kod pacijenata sa istorijom gastričnog ili duodenalnog ulkusa, ili gastrointestinalnog krvarenja ili gastritisa; </w:t>
      </w:r>
    </w:p>
    <w:p w14:paraId="7138DF8D" w14:textId="39371062" w:rsidR="009A6744" w:rsidRPr="005C098C" w:rsidRDefault="009A6744" w:rsidP="00B82776">
      <w:pPr>
        <w:pStyle w:val="Default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kod pacijenata sa insuficijencijom bubrega; </w:t>
      </w:r>
    </w:p>
    <w:p w14:paraId="2DE50A47" w14:textId="107C650F" w:rsidR="009A6744" w:rsidRPr="005C098C" w:rsidRDefault="009A6744" w:rsidP="00B82776">
      <w:pPr>
        <w:pStyle w:val="Default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kod pacijenata sa insuficijencijom jetre; </w:t>
      </w:r>
    </w:p>
    <w:p w14:paraId="46C8088E" w14:textId="4F26E90B" w:rsidR="009A6744" w:rsidRPr="005C098C" w:rsidRDefault="009A6744" w:rsidP="00B82776">
      <w:pPr>
        <w:pStyle w:val="Default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kod pacijenata sa astmom: učestalost napada astme, kod nekih pacijenata, može biti povezana sa alergijom na nesteriodne antiinflamatorne l</w:t>
      </w:r>
      <w:r w:rsidR="00461AF0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ekove ili acetilsalicilnu kiselinu; u tom slučaju, prim</w:t>
      </w:r>
      <w:r w:rsidR="00461AF0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ena l</w:t>
      </w:r>
      <w:r w:rsidR="00F10563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eka je kontraindikovana (vid</w:t>
      </w:r>
      <w:r w:rsidR="007F3C5F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4.3); </w:t>
      </w:r>
    </w:p>
    <w:p w14:paraId="02FD035C" w14:textId="4A7050A6" w:rsidR="009A6744" w:rsidRPr="005C098C" w:rsidRDefault="009A6744" w:rsidP="00B82776">
      <w:pPr>
        <w:pStyle w:val="Default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kod pacijenata sa metroragijom ili menoragijom (rizik od povećanja volumena ili dužine </w:t>
      </w:r>
      <w:r w:rsidR="005C098C">
        <w:rPr>
          <w:sz w:val="22"/>
          <w:szCs w:val="22"/>
          <w:lang w:val="sr-Latn-ME"/>
        </w:rPr>
        <w:t>trajanja menstrualnog krvarenja)</w:t>
      </w:r>
    </w:p>
    <w:p w14:paraId="35A346F5" w14:textId="241251B0" w:rsidR="00EA4D55" w:rsidRPr="005C098C" w:rsidRDefault="00EA4D55" w:rsidP="00B82776">
      <w:pPr>
        <w:pStyle w:val="ListParagraph"/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</w:p>
    <w:p w14:paraId="6CFB37FD" w14:textId="1463C2D0" w:rsidR="00EA4D55" w:rsidRPr="005C098C" w:rsidRDefault="00EA4D55" w:rsidP="00B82776">
      <w:pPr>
        <w:pStyle w:val="ListParagraph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Gastrointestinalno krvarenje ili ulceri/perforacije se mogu javiti u bilo kom trenutku l</w:t>
      </w:r>
      <w:r w:rsidR="000E28A9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ečenja, bez obzira na prethodne znake ili istoriju pacijenta. Relativni rizik se povećava kod starijih pacijenata, pacijenata sa malom t</w:t>
      </w:r>
      <w:r w:rsidR="00B04AD4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elesnom masom i kod pacijenata koji koriste antikoagulanse ili inhibitore agregacije trombocita (vid</w:t>
      </w:r>
      <w:r w:rsidR="000E28A9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4.5). U slučaju pojave gastrointestinalnog krvarenja, l</w:t>
      </w:r>
      <w:r w:rsidR="000E28A9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ečenje se mora odmah obustaviti.</w:t>
      </w:r>
    </w:p>
    <w:p w14:paraId="71F2295F" w14:textId="77777777" w:rsidR="00365DE9" w:rsidRPr="005C098C" w:rsidRDefault="00365DE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C9FC557" w14:textId="0CF6FB1E" w:rsidR="00EA4D55" w:rsidRPr="005C098C" w:rsidRDefault="00EA4D55" w:rsidP="00B82776">
      <w:pPr>
        <w:pStyle w:val="ListParagraph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Pacijente treba upozoriti na rizik od hemoragije u slučaju hirurških intervencija, uključujući manje zahvate (npr. ekstrakcija zuba), zbog inhibitornog dejstva acetilsalicilne kiseline na agregaciju trombocita, koji se javlja čak i pri veoma malim dozama i traje nekoliko dana.</w:t>
      </w:r>
    </w:p>
    <w:p w14:paraId="59B0271A" w14:textId="77777777" w:rsidR="005B2446" w:rsidRPr="005C098C" w:rsidRDefault="005B2446" w:rsidP="00B82776">
      <w:pPr>
        <w:pStyle w:val="ListParagraph"/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</w:p>
    <w:p w14:paraId="1862921E" w14:textId="6754B20A" w:rsidR="00EA4D55" w:rsidRDefault="00EA4D55" w:rsidP="00B82776">
      <w:pPr>
        <w:pStyle w:val="ListParagraph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Pri analgetičkim i antipiretičkim dozama, acetilsalicilna kiselina inhibira ekskreciju mokraćne kiseline; pri dozama koje se koriste u</w:t>
      </w:r>
      <w:r w:rsidR="00CD6C0B" w:rsidRPr="005C098C">
        <w:rPr>
          <w:sz w:val="22"/>
          <w:szCs w:val="22"/>
          <w:lang w:val="sr-Latn-ME"/>
        </w:rPr>
        <w:t xml:space="preserve"> reumatologiji (antiinflamatorne</w:t>
      </w:r>
      <w:r w:rsidRPr="005C098C">
        <w:rPr>
          <w:sz w:val="22"/>
          <w:szCs w:val="22"/>
          <w:lang w:val="sr-Latn-ME"/>
        </w:rPr>
        <w:t xml:space="preserve"> doze), acetilsalicilna kiselina ima urikozurični efekat.</w:t>
      </w:r>
    </w:p>
    <w:p w14:paraId="373F1348" w14:textId="77777777" w:rsidR="00B04AD4" w:rsidRPr="005C098C" w:rsidRDefault="00B04AD4" w:rsidP="00490BCD">
      <w:pPr>
        <w:pStyle w:val="ListParagraph"/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</w:p>
    <w:p w14:paraId="188C57F3" w14:textId="3D1CA874" w:rsidR="00EA4D55" w:rsidRPr="005C098C" w:rsidRDefault="00EA4D55" w:rsidP="00B82776">
      <w:pPr>
        <w:pStyle w:val="ListParagraph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Upotreba ovog l</w:t>
      </w:r>
      <w:r w:rsidR="000E28A9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eka se ne preporučuje tokom dojenja (vid</w:t>
      </w:r>
      <w:r w:rsidR="00855ACC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4.6).</w:t>
      </w:r>
    </w:p>
    <w:p w14:paraId="31D6AC60" w14:textId="77777777" w:rsidR="00DF76B8" w:rsidRPr="00893FAB" w:rsidRDefault="00DF76B8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5B16D0F4" w14:textId="63DAD084" w:rsidR="00EA4D55" w:rsidRPr="005C098C" w:rsidRDefault="00EA4D55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Prim</w:t>
      </w:r>
      <w:r w:rsidR="0068193D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ena acetilsalicilne kiseline se ne preporučuje sa:</w:t>
      </w:r>
    </w:p>
    <w:p w14:paraId="139FBBB7" w14:textId="77777777" w:rsidR="00DF76B8" w:rsidRPr="005C098C" w:rsidRDefault="00DF76B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55B0C04" w14:textId="6F748EF6" w:rsidR="00EA4D55" w:rsidRPr="005C098C" w:rsidRDefault="00EA4D55" w:rsidP="00B82776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Oralnim antikoagulansima sa analgetičkim i antipiretičkim dozama acetilsalicilne kiseline </w:t>
      </w:r>
      <w:r w:rsidRPr="005C098C">
        <w:rPr>
          <w:i/>
          <w:sz w:val="22"/>
          <w:szCs w:val="22"/>
          <w:lang w:val="sr-Latn-ME"/>
        </w:rPr>
        <w:t>(≥ 500 mg</w:t>
      </w:r>
      <w:r w:rsidRPr="005C098C">
        <w:rPr>
          <w:sz w:val="22"/>
          <w:szCs w:val="22"/>
          <w:lang w:val="sr-Latn-ME"/>
        </w:rPr>
        <w:t xml:space="preserve"> </w:t>
      </w:r>
      <w:r w:rsidRPr="005C098C">
        <w:rPr>
          <w:i/>
          <w:sz w:val="22"/>
          <w:szCs w:val="22"/>
          <w:lang w:val="sr-Latn-ME"/>
        </w:rPr>
        <w:t>po pojedinačnoj dozi i/ili &lt; 3 g dnevno</w:t>
      </w:r>
      <w:r w:rsidRPr="005C098C">
        <w:rPr>
          <w:sz w:val="22"/>
          <w:szCs w:val="22"/>
          <w:lang w:val="sr-Latn-ME"/>
        </w:rPr>
        <w:t>) i kod pacijenata koji nemaju u anamnezi gastro-duodenalne ulkuse (vid</w:t>
      </w:r>
      <w:r w:rsidR="001905FF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4.5)</w:t>
      </w:r>
    </w:p>
    <w:p w14:paraId="4860EF35" w14:textId="77777777" w:rsidR="0013705B" w:rsidRPr="005C098C" w:rsidRDefault="0013705B" w:rsidP="00B82776">
      <w:pPr>
        <w:ind w:left="270" w:hanging="270"/>
        <w:jc w:val="both"/>
        <w:rPr>
          <w:sz w:val="22"/>
          <w:szCs w:val="22"/>
          <w:lang w:val="sr-Latn-ME"/>
        </w:rPr>
      </w:pPr>
    </w:p>
    <w:p w14:paraId="60E8B417" w14:textId="64421B8A" w:rsidR="00EA4D55" w:rsidRPr="005C098C" w:rsidRDefault="00EA4D55" w:rsidP="00B82776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Drugim nesteroidnim antiinflamatornim l</w:t>
      </w:r>
      <w:r w:rsidR="000E57A0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ekovima (NSAIL) sa antiinflamatornim dozama acetilsalicilne kiseline </w:t>
      </w:r>
      <w:r w:rsidRPr="005C098C">
        <w:rPr>
          <w:i/>
          <w:sz w:val="22"/>
          <w:szCs w:val="22"/>
          <w:lang w:val="sr-Latn-ME"/>
        </w:rPr>
        <w:t>(≥ 1 g po pojedinačnoj dozi i/ili ≥ 3g dnevno</w:t>
      </w:r>
      <w:r w:rsidRPr="005C098C">
        <w:rPr>
          <w:sz w:val="22"/>
          <w:szCs w:val="22"/>
          <w:lang w:val="sr-Latn-ME"/>
        </w:rPr>
        <w:t xml:space="preserve">), ili sa analgetičkim ili </w:t>
      </w:r>
      <w:r w:rsidRPr="005C098C">
        <w:rPr>
          <w:sz w:val="22"/>
          <w:szCs w:val="22"/>
          <w:lang w:val="sr-Latn-ME"/>
        </w:rPr>
        <w:lastRenderedPageBreak/>
        <w:t xml:space="preserve">antipiretičkim dozama acetilsalicilne kiseline </w:t>
      </w:r>
      <w:r w:rsidRPr="005C098C">
        <w:rPr>
          <w:i/>
          <w:sz w:val="22"/>
          <w:szCs w:val="22"/>
          <w:lang w:val="sr-Latn-ME"/>
        </w:rPr>
        <w:t>(≥ 500 mg po pojedinačnoj dozi i/ili &lt; 3 g dnevno)</w:t>
      </w:r>
      <w:r w:rsidRPr="005C098C">
        <w:rPr>
          <w:sz w:val="22"/>
          <w:szCs w:val="22"/>
          <w:lang w:val="sr-Latn-ME"/>
        </w:rPr>
        <w:t xml:space="preserve"> (vid</w:t>
      </w:r>
      <w:r w:rsidR="00B25F16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4.5)</w:t>
      </w:r>
    </w:p>
    <w:p w14:paraId="16474CFB" w14:textId="77777777" w:rsidR="0013705B" w:rsidRPr="005C098C" w:rsidRDefault="0013705B" w:rsidP="00B82776">
      <w:pPr>
        <w:ind w:left="270" w:hanging="270"/>
        <w:jc w:val="both"/>
        <w:rPr>
          <w:sz w:val="22"/>
          <w:szCs w:val="22"/>
          <w:lang w:val="sr-Latn-ME"/>
        </w:rPr>
      </w:pPr>
    </w:p>
    <w:p w14:paraId="5A51D0DD" w14:textId="1F8D4E99" w:rsidR="00EA4D55" w:rsidRPr="005C098C" w:rsidRDefault="00EA4D55" w:rsidP="00B82776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Niskomolekularnim heparinima (i sličnim molekulima) i nefrakcionisanim heparinima u terapijskim dozama, ili kod starijih pacijenata (≥ 65 godina) bez obzira na dozu heparina, sa antiinflamatornim dozama acetilsalicilne kiseline (≥ 1 g po pojedinačnoj dozi i/ili ≥ 3g dnevno), ili sa analgetičkim ili antipiretičkim dozama acetilsalicilne kiseline </w:t>
      </w:r>
      <w:r w:rsidRPr="005C098C">
        <w:rPr>
          <w:i/>
          <w:sz w:val="22"/>
          <w:szCs w:val="22"/>
          <w:lang w:val="sr-Latn-ME"/>
        </w:rPr>
        <w:t>(≥ 500 mg po pojedinačnoj dozi i/ili &lt; 3 g dnevno</w:t>
      </w:r>
      <w:r w:rsidRPr="005C098C">
        <w:rPr>
          <w:sz w:val="22"/>
          <w:szCs w:val="22"/>
          <w:lang w:val="sr-Latn-ME"/>
        </w:rPr>
        <w:t>) (vid</w:t>
      </w:r>
      <w:r w:rsidR="00831307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4.5)</w:t>
      </w:r>
    </w:p>
    <w:p w14:paraId="0573453F" w14:textId="77777777" w:rsidR="00956BB3" w:rsidRPr="005C098C" w:rsidRDefault="00956BB3" w:rsidP="00B82776">
      <w:pPr>
        <w:ind w:left="270" w:hanging="270"/>
        <w:jc w:val="both"/>
        <w:rPr>
          <w:sz w:val="22"/>
          <w:szCs w:val="22"/>
          <w:lang w:val="sr-Latn-ME"/>
        </w:rPr>
      </w:pPr>
    </w:p>
    <w:p w14:paraId="0FC68774" w14:textId="104B7420" w:rsidR="00EA4D55" w:rsidRPr="005C098C" w:rsidRDefault="00EA4D55" w:rsidP="00B82776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Klopidogrelom (kod upotrebe van odobrenih indikacija za ovu kombinaciju kod pacijenata sa akutnim koronarnim sindromom) (vid</w:t>
      </w:r>
      <w:r w:rsidR="008117F2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4.5)</w:t>
      </w:r>
    </w:p>
    <w:p w14:paraId="5B43D306" w14:textId="77777777" w:rsidR="008117F2" w:rsidRPr="005C098C" w:rsidRDefault="008117F2" w:rsidP="00B82776">
      <w:pPr>
        <w:ind w:left="270" w:hanging="270"/>
        <w:jc w:val="both"/>
        <w:rPr>
          <w:sz w:val="22"/>
          <w:szCs w:val="22"/>
          <w:lang w:val="sr-Latn-ME"/>
        </w:rPr>
      </w:pPr>
    </w:p>
    <w:p w14:paraId="4E472676" w14:textId="17E26EB2" w:rsidR="00EA4D55" w:rsidRPr="005C098C" w:rsidRDefault="00EA4D55" w:rsidP="00B82776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Tiklopidinom (vid</w:t>
      </w:r>
      <w:r w:rsidR="003B5F04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4.5)</w:t>
      </w:r>
    </w:p>
    <w:p w14:paraId="5908A822" w14:textId="77777777" w:rsidR="003B5F04" w:rsidRPr="005C098C" w:rsidRDefault="003B5F04" w:rsidP="00B82776">
      <w:pPr>
        <w:ind w:left="270" w:hanging="270"/>
        <w:jc w:val="both"/>
        <w:rPr>
          <w:sz w:val="22"/>
          <w:szCs w:val="22"/>
          <w:lang w:val="sr-Latn-ME"/>
        </w:rPr>
      </w:pPr>
    </w:p>
    <w:p w14:paraId="1A9B54FC" w14:textId="4DF4DC61" w:rsidR="00EA4D55" w:rsidRPr="005C098C" w:rsidRDefault="00EA4D55" w:rsidP="00B82776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Urikozuricima (vid</w:t>
      </w:r>
      <w:r w:rsidR="00511BF2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4.5)</w:t>
      </w:r>
    </w:p>
    <w:p w14:paraId="37782B50" w14:textId="77777777" w:rsidR="00511BF2" w:rsidRPr="005C098C" w:rsidRDefault="00511BF2" w:rsidP="00B82776">
      <w:pPr>
        <w:ind w:left="270" w:hanging="270"/>
        <w:jc w:val="both"/>
        <w:rPr>
          <w:sz w:val="22"/>
          <w:szCs w:val="22"/>
          <w:lang w:val="sr-Latn-ME"/>
        </w:rPr>
      </w:pPr>
    </w:p>
    <w:p w14:paraId="54181266" w14:textId="26418E58" w:rsidR="00EA4D55" w:rsidRPr="005C098C" w:rsidRDefault="00EA4D55" w:rsidP="00B82776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Glukokortikoidima (osim supstitucione terapije hidrokortizonom) uz antiinflamatornu dozu acetilsalicilne kiseline </w:t>
      </w:r>
      <w:r w:rsidRPr="005C098C">
        <w:rPr>
          <w:i/>
          <w:sz w:val="22"/>
          <w:szCs w:val="22"/>
          <w:lang w:val="sr-Latn-ME"/>
        </w:rPr>
        <w:t>(≥ 1 g po pojedinačnoj dozi i/ili ≥ 3g dnevno)</w:t>
      </w:r>
      <w:r w:rsidRPr="005C098C">
        <w:rPr>
          <w:sz w:val="22"/>
          <w:szCs w:val="22"/>
          <w:lang w:val="sr-Latn-ME"/>
        </w:rPr>
        <w:t xml:space="preserve"> (vid</w:t>
      </w:r>
      <w:r w:rsidR="00F14BD4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4.5)</w:t>
      </w:r>
    </w:p>
    <w:p w14:paraId="2260F64C" w14:textId="77777777" w:rsidR="006902B6" w:rsidRPr="005C098C" w:rsidRDefault="006902B6" w:rsidP="00B82776">
      <w:pPr>
        <w:ind w:left="270" w:hanging="270"/>
        <w:jc w:val="both"/>
        <w:rPr>
          <w:sz w:val="22"/>
          <w:szCs w:val="22"/>
          <w:lang w:val="sr-Latn-ME"/>
        </w:rPr>
      </w:pPr>
    </w:p>
    <w:p w14:paraId="3A86BE81" w14:textId="7763B251" w:rsidR="00EA4D55" w:rsidRPr="005C098C" w:rsidRDefault="00EA4D55" w:rsidP="00B82776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Pemetreksedom kod pacijenata sa blagim do um</w:t>
      </w:r>
      <w:r w:rsidR="00F11BAA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erenim oštećenjem funkcije bubrega (klirens kreatinina između 45 m/min i 80 m</w:t>
      </w:r>
      <w:r w:rsidR="004B2A2A">
        <w:rPr>
          <w:sz w:val="22"/>
          <w:szCs w:val="22"/>
          <w:lang w:val="sr-Latn-ME"/>
        </w:rPr>
        <w:t>l</w:t>
      </w:r>
      <w:r w:rsidRPr="005C098C">
        <w:rPr>
          <w:sz w:val="22"/>
          <w:szCs w:val="22"/>
          <w:lang w:val="sr-Latn-ME"/>
        </w:rPr>
        <w:t>/min) (vid</w:t>
      </w:r>
      <w:r w:rsidR="006902B6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4.5)</w:t>
      </w:r>
    </w:p>
    <w:p w14:paraId="5E472078" w14:textId="030F4726" w:rsidR="00EA4D55" w:rsidRPr="005C098C" w:rsidRDefault="00EA4D55" w:rsidP="00B82776">
      <w:pPr>
        <w:ind w:left="270" w:hanging="270"/>
        <w:jc w:val="both"/>
        <w:rPr>
          <w:sz w:val="22"/>
          <w:szCs w:val="22"/>
          <w:lang w:val="sr-Latn-ME"/>
        </w:rPr>
      </w:pPr>
    </w:p>
    <w:p w14:paraId="69B591FA" w14:textId="14707FE6" w:rsidR="00EA4D55" w:rsidRPr="005C098C" w:rsidRDefault="00EA4D55" w:rsidP="00B82776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Anagrelidom: povećan rizik od krvarenja i smanjeno antitrombotičko dejstvo (vid</w:t>
      </w:r>
      <w:r w:rsidR="00FF67F6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4.5)</w:t>
      </w:r>
    </w:p>
    <w:p w14:paraId="6455419E" w14:textId="77777777" w:rsidR="004D2209" w:rsidRPr="00893FAB" w:rsidRDefault="004D2209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5AE23B8" w14:textId="77777777" w:rsidR="00EA4D55" w:rsidRPr="008D05BD" w:rsidRDefault="00EA4D55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D05BD">
        <w:rPr>
          <w:sz w:val="22"/>
          <w:szCs w:val="22"/>
          <w:u w:val="single"/>
          <w:lang w:val="sr-Latn-ME"/>
        </w:rPr>
        <w:t>Napomena:</w:t>
      </w:r>
    </w:p>
    <w:p w14:paraId="32C4A057" w14:textId="06F6E3C4" w:rsidR="00EA4D55" w:rsidRPr="005C098C" w:rsidRDefault="00EA4D55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Ovaj l</w:t>
      </w:r>
      <w:r w:rsidR="00C12BEF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ek sadrži 466,4 mg natrijuma po šumećoj tableti, što odgovara 23,32% maksimalnog dnevnog unosa od 2 g natrijuma, prema preporukama Svetske zdravstvene organizacije za odraslu osobu. Sav</w:t>
      </w:r>
      <w:r w:rsidR="00C41916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etuje se poseban oprez prilikom upotrebe kod pacijenata koji su na dijeti u kojoj se kontroliše unos natrijuma.</w:t>
      </w:r>
    </w:p>
    <w:p w14:paraId="53F999B8" w14:textId="77777777" w:rsidR="00FC4398" w:rsidRPr="00893FAB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1215FB6" w14:textId="77777777" w:rsidR="00411B4B" w:rsidRPr="005C098C" w:rsidRDefault="00411B4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>4.5.</w:t>
      </w:r>
      <w:r w:rsidR="000D60CC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434386C" w14:textId="77777777" w:rsidR="00DB797F" w:rsidRPr="005C098C" w:rsidRDefault="00DB797F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C440197" w14:textId="447F3B3C" w:rsidR="00DB797F" w:rsidRPr="005C098C" w:rsidRDefault="00DB797F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 Sažetku karakteristika lijeka se koriste sl</w:t>
      </w:r>
      <w:r w:rsidR="004B2A2A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edeće definicije: </w:t>
      </w:r>
    </w:p>
    <w:p w14:paraId="27FDC2A4" w14:textId="77777777" w:rsidR="00DB797F" w:rsidRPr="005C098C" w:rsidRDefault="00DB797F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Antiinflamatorna doza acetilsalicilne kiseline se definiše kao „≥ 1 g po pojedinačnoj dozi i/ili ≥ 3 g dnevno“. </w:t>
      </w:r>
    </w:p>
    <w:p w14:paraId="226557C9" w14:textId="4D20DDAD" w:rsidR="00DB797F" w:rsidRPr="005C098C" w:rsidRDefault="00DB797F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Analgetička ili antipiretička doza acetilsalicilne kiseline se definiše kao „≥ 500 mg po pojedinačnoj dozi i/ili &lt; 3 g dnevno“.</w:t>
      </w:r>
    </w:p>
    <w:p w14:paraId="2F340338" w14:textId="77777777" w:rsidR="005340DD" w:rsidRPr="005C098C" w:rsidRDefault="005340DD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96C3DA7" w14:textId="4D67C53A" w:rsidR="005340DD" w:rsidRPr="005C098C" w:rsidRDefault="005340DD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Nekoliko supstanci učestvuje u interakcijama, usled svojstva da inhibiraju agregaciju trombocita: abciksimab, acetilsalicilna kiselina, cilostazol, klopidogrel, epoprostenol, eptifibatid, iloprost, trometamol, prasugrel, tiklopidin, tirofiban, tikagrelor.</w:t>
      </w:r>
    </w:p>
    <w:p w14:paraId="54E8A854" w14:textId="77777777" w:rsidR="005C60F1" w:rsidRPr="005C098C" w:rsidRDefault="005C60F1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C8E8FF4" w14:textId="141586F6" w:rsidR="005C60F1" w:rsidRPr="005C098C" w:rsidRDefault="005C60F1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Upotreba većeg broja inhibitora agregacije trombocita povećava rizik od krvarenja, kao i njihove kombinacije sa heparinom ili sličnim molekulima, oralnim antikoagulansima ili drugim tromboliticima, te se mora uzeti u razmatranje uspostavljanje stalnog kliničkog monitoringa.</w:t>
      </w:r>
    </w:p>
    <w:p w14:paraId="18E73D1F" w14:textId="77777777" w:rsidR="005C60F1" w:rsidRPr="005C098C" w:rsidRDefault="005C60F1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A20991D" w14:textId="589D8413" w:rsidR="005C60F1" w:rsidRPr="005C098C" w:rsidRDefault="005C60F1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Kontraindikovane su kombinacije (vidjeti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4.3):</w:t>
      </w:r>
    </w:p>
    <w:p w14:paraId="452C4A47" w14:textId="77777777" w:rsidR="005C60F1" w:rsidRPr="005C098C" w:rsidRDefault="005C60F1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F2A5F68" w14:textId="73657EA9" w:rsidR="005C60F1" w:rsidRPr="005C098C" w:rsidRDefault="00B777D5" w:rsidP="00B82776">
      <w:pPr>
        <w:pStyle w:val="ListParagraph"/>
        <w:numPr>
          <w:ilvl w:val="0"/>
          <w:numId w:val="27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Metotreksata u dozama većim od 15 mg/nedeljno sa antiinflamatornom, analgetičkom ili antipiretičkom dozom acetilsalicilne kiseline: povećana toksičnost metotreksata, posebno hematološka toksičnost (usled smanjenja renalnog klirensa metotreksata acetilsalicilnom kiselinom).</w:t>
      </w:r>
    </w:p>
    <w:p w14:paraId="7685A075" w14:textId="77777777" w:rsidR="00C21407" w:rsidRPr="005C098C" w:rsidRDefault="00C21407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7F69AC13" w14:textId="34D60715" w:rsidR="00C21407" w:rsidRPr="005C098C" w:rsidRDefault="00C21407" w:rsidP="00B82776">
      <w:pPr>
        <w:pStyle w:val="ListParagraph"/>
        <w:numPr>
          <w:ilvl w:val="0"/>
          <w:numId w:val="27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Oralnih antikoagulanasa sa antiinflamatornom, analgetičkom ili antipiretičkom dozom acetilsalicilne kiseline i kod pacijenata sa gastro-duodenalnim ulkusima u anamnezi: povećan rizik od krvarenja.</w:t>
      </w:r>
    </w:p>
    <w:p w14:paraId="2DE54A9D" w14:textId="77777777" w:rsidR="00F67BA5" w:rsidRPr="005C098C" w:rsidRDefault="00F67BA5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33ABE2" w14:textId="77777777" w:rsidR="00F67BA5" w:rsidRPr="005C098C" w:rsidRDefault="00F67BA5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lastRenderedPageBreak/>
        <w:t>Ne preporučuju se kombinacije:</w:t>
      </w:r>
    </w:p>
    <w:p w14:paraId="67DB3C89" w14:textId="77777777" w:rsidR="00F67BA5" w:rsidRPr="005C098C" w:rsidRDefault="00F67BA5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55D1EC" w14:textId="7A1FFF10" w:rsidR="00F67BA5" w:rsidRPr="005C098C" w:rsidRDefault="00F67BA5" w:rsidP="00B82776">
      <w:pPr>
        <w:pStyle w:val="ListParagraph"/>
        <w:numPr>
          <w:ilvl w:val="0"/>
          <w:numId w:val="28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Oralnih antikoagulanasa sa analgetičkim i antipiretičkim dozama acetilsalicilne kiseline i kod pacijenata koji nemaju u anamnezi gastro-duodenalne ulkuse: povećan rizik od hemoragije.</w:t>
      </w:r>
    </w:p>
    <w:p w14:paraId="4541A40E" w14:textId="77777777" w:rsidR="00284FA5" w:rsidRPr="005C098C" w:rsidRDefault="00284FA5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0D6315E4" w14:textId="54B7ECF8" w:rsidR="00F67BA5" w:rsidRPr="005C098C" w:rsidRDefault="00F67BA5" w:rsidP="00B82776">
      <w:pPr>
        <w:pStyle w:val="ListParagraph"/>
        <w:numPr>
          <w:ilvl w:val="0"/>
          <w:numId w:val="28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Drugih nesteroidnih antiinflamatornh l</w:t>
      </w:r>
      <w:r w:rsidR="00284FA5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ekova (NSAIL) sa antiinflamatornim dozama acetilsalicilne kiseline, ili sa analgetičkim ili antipiretičkim dozama acetilsalicilne kiseline: povećan rizik od gastrointestinalnih ulkusa i hemoragija.</w:t>
      </w:r>
    </w:p>
    <w:p w14:paraId="580E7BF4" w14:textId="77777777" w:rsidR="00284FA5" w:rsidRPr="005C098C" w:rsidRDefault="00284FA5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2D4B866C" w14:textId="46BCB6A0" w:rsidR="00F67BA5" w:rsidRPr="005C098C" w:rsidRDefault="00F67BA5" w:rsidP="00B82776">
      <w:pPr>
        <w:pStyle w:val="ListParagraph"/>
        <w:numPr>
          <w:ilvl w:val="0"/>
          <w:numId w:val="28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Niskomolekularnih heparina (i sličnih molekula) i nefrakcionisanih heparina u terapijskim dozama, ili kod starijih pacijenata (≥ 65 godina) bez obzira na dozu heparina, sa antiinflamatornim dozama acetilsalicilne kiseline ili sa analgetičkim ili antipiretičkim dozama acetilsalicilne kiseline: povećan rizik od hemoragije (inhibicija agregacije trombocita i nadražaj gastroduodenalne mukoze acetilsalicilnom kiselinom). Treba koristiti druge antiinflamatorne, analgetičke ili antipiretičke l</w:t>
      </w:r>
      <w:r w:rsidR="008D05BD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ekove.</w:t>
      </w:r>
    </w:p>
    <w:p w14:paraId="7B37283A" w14:textId="77777777" w:rsidR="00D746BD" w:rsidRPr="005C098C" w:rsidRDefault="00D746BD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4570B8B9" w14:textId="592C28E9" w:rsidR="00F67BA5" w:rsidRPr="005C098C" w:rsidRDefault="00F67BA5" w:rsidP="00B82776">
      <w:pPr>
        <w:pStyle w:val="ListParagraph"/>
        <w:numPr>
          <w:ilvl w:val="0"/>
          <w:numId w:val="28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Sa klopidogrelom (kod upotrebe van odobrenih indikacija za ovu kombinaciju kod pacijenata sa akutnim koronarnim sindromom): povećan rizik od krvarenja. Ukoliko se ne može izb</w:t>
      </w:r>
      <w:r w:rsidR="00D746BD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eći istovremena prim</w:t>
      </w:r>
      <w:r w:rsidR="0077793C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ena, preporučuje se klinički monitoring.</w:t>
      </w:r>
    </w:p>
    <w:p w14:paraId="3CBF95AF" w14:textId="77777777" w:rsidR="00F32E69" w:rsidRPr="005C098C" w:rsidRDefault="00F32E69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506C3BAE" w14:textId="38CB0BCC" w:rsidR="00F67BA5" w:rsidRPr="005C098C" w:rsidRDefault="00F67BA5" w:rsidP="00B82776">
      <w:pPr>
        <w:pStyle w:val="ListParagraph"/>
        <w:numPr>
          <w:ilvl w:val="0"/>
          <w:numId w:val="28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Sa tiklopidinom: povećan rizik od hemoragije. Ukoliko se ne može izb</w:t>
      </w:r>
      <w:r w:rsidR="004B2A2A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eći istovremena prim</w:t>
      </w:r>
      <w:r w:rsidR="0077793C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ena, preporučuje se klinički monitoring.</w:t>
      </w:r>
    </w:p>
    <w:p w14:paraId="7FE25E77" w14:textId="77777777" w:rsidR="00131F64" w:rsidRPr="005C098C" w:rsidRDefault="00131F64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421DEF46" w14:textId="5A5D018F" w:rsidR="00131F64" w:rsidRPr="005C098C" w:rsidRDefault="00131F64" w:rsidP="00B82776">
      <w:pPr>
        <w:pStyle w:val="ListParagraph"/>
        <w:numPr>
          <w:ilvl w:val="0"/>
          <w:numId w:val="28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Sa urikozuricima (benzbromaron, probenecid): smanjenje urikozuričkog dejstva usled kompeticije prilikom eliminacije mokraćne kiseline u renalnim tubulama.</w:t>
      </w:r>
    </w:p>
    <w:p w14:paraId="6B18ABB3" w14:textId="77777777" w:rsidR="00131F64" w:rsidRPr="005C098C" w:rsidRDefault="00131F64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117123D4" w14:textId="2E21ED1A" w:rsidR="00131F64" w:rsidRPr="005C098C" w:rsidRDefault="00131F64" w:rsidP="00B82776">
      <w:pPr>
        <w:pStyle w:val="ListParagraph"/>
        <w:numPr>
          <w:ilvl w:val="0"/>
          <w:numId w:val="28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Glukokortikoida (osim supstitucione terapije hidrokortizonom) sa antiinflamatornom dozom acetilsalicilne kiseline: povećan rizik od krvarenja.</w:t>
      </w:r>
    </w:p>
    <w:p w14:paraId="2C7FD8AE" w14:textId="77777777" w:rsidR="00131F64" w:rsidRPr="005C098C" w:rsidRDefault="00131F64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3C7835DC" w14:textId="158FE0DA" w:rsidR="00131F64" w:rsidRPr="005C098C" w:rsidRDefault="00131F64" w:rsidP="00B82776">
      <w:pPr>
        <w:pStyle w:val="ListParagraph"/>
        <w:numPr>
          <w:ilvl w:val="0"/>
          <w:numId w:val="28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Pemetrekseda kod pacijenata sa blagim do umerenim oštećenjem funkcije bubrega (klirens kreatinina između 45 m</w:t>
      </w:r>
      <w:r w:rsidR="004B2A2A">
        <w:rPr>
          <w:bCs/>
          <w:sz w:val="22"/>
          <w:szCs w:val="22"/>
          <w:lang w:val="sr-Latn-ME"/>
        </w:rPr>
        <w:t>l</w:t>
      </w:r>
      <w:r w:rsidRPr="005C098C">
        <w:rPr>
          <w:bCs/>
          <w:sz w:val="22"/>
          <w:szCs w:val="22"/>
          <w:lang w:val="sr-Latn-ME"/>
        </w:rPr>
        <w:t>/min i 80 m</w:t>
      </w:r>
      <w:r w:rsidR="004B2A2A">
        <w:rPr>
          <w:bCs/>
          <w:sz w:val="22"/>
          <w:szCs w:val="22"/>
          <w:lang w:val="sr-Latn-ME"/>
        </w:rPr>
        <w:t>l</w:t>
      </w:r>
      <w:r w:rsidRPr="005C098C">
        <w:rPr>
          <w:bCs/>
          <w:sz w:val="22"/>
          <w:szCs w:val="22"/>
          <w:lang w:val="sr-Latn-ME"/>
        </w:rPr>
        <w:t>/min): povećan</w:t>
      </w:r>
      <w:r w:rsidR="003C6F51" w:rsidRPr="005C098C">
        <w:rPr>
          <w:bCs/>
          <w:sz w:val="22"/>
          <w:szCs w:val="22"/>
          <w:lang w:val="sr-Latn-ME"/>
        </w:rPr>
        <w:t xml:space="preserve"> rizik od toksičnosti pemetrekse</w:t>
      </w:r>
      <w:r w:rsidRPr="005C098C">
        <w:rPr>
          <w:bCs/>
          <w:sz w:val="22"/>
          <w:szCs w:val="22"/>
          <w:lang w:val="sr-Latn-ME"/>
        </w:rPr>
        <w:t>da (usled smanjenja renalnog klirensa pemetrekseda acetilsalicilnom kiselinom) sa antiinflamatornom dozom acetilsalicilne kiseline.</w:t>
      </w:r>
    </w:p>
    <w:p w14:paraId="11D182CC" w14:textId="77777777" w:rsidR="00055787" w:rsidRPr="005C098C" w:rsidRDefault="00055787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2A4EF1EB" w14:textId="6166A44A" w:rsidR="00131F64" w:rsidRPr="005C098C" w:rsidRDefault="00131F64" w:rsidP="00B82776">
      <w:pPr>
        <w:pStyle w:val="ListParagraph"/>
        <w:numPr>
          <w:ilvl w:val="0"/>
          <w:numId w:val="28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Sa anagrelidom: povećan rizik od krvarenja i smanjeno antitrombotičko dejstvo. Ukoliko se ne može izb</w:t>
      </w:r>
      <w:r w:rsidR="0008597D" w:rsidRPr="005C098C">
        <w:rPr>
          <w:bCs/>
          <w:sz w:val="22"/>
          <w:szCs w:val="22"/>
          <w:lang w:val="sr-Latn-ME"/>
        </w:rPr>
        <w:t>j</w:t>
      </w:r>
      <w:r w:rsidR="004B2A2A">
        <w:rPr>
          <w:bCs/>
          <w:sz w:val="22"/>
          <w:szCs w:val="22"/>
          <w:lang w:val="sr-Latn-ME"/>
        </w:rPr>
        <w:t>e</w:t>
      </w:r>
      <w:r w:rsidRPr="005C098C">
        <w:rPr>
          <w:bCs/>
          <w:sz w:val="22"/>
          <w:szCs w:val="22"/>
          <w:lang w:val="sr-Latn-ME"/>
        </w:rPr>
        <w:t>ći istovremena prim</w:t>
      </w:r>
      <w:r w:rsidR="00055787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ena, preporučuje se klinički monitoring.</w:t>
      </w:r>
    </w:p>
    <w:p w14:paraId="4EE299B2" w14:textId="77777777" w:rsidR="000124D6" w:rsidRPr="005C098C" w:rsidRDefault="000124D6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2F295D" w14:textId="5F75079D" w:rsidR="000124D6" w:rsidRPr="005C098C" w:rsidRDefault="000124D6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Kombinacije koje zaht</w:t>
      </w:r>
      <w:r w:rsidR="004B2A2A">
        <w:rPr>
          <w:bCs/>
          <w:sz w:val="22"/>
          <w:szCs w:val="22"/>
          <w:lang w:val="sr-Latn-ME"/>
        </w:rPr>
        <w:t>ij</w:t>
      </w:r>
      <w:r w:rsidRPr="005C098C">
        <w:rPr>
          <w:bCs/>
          <w:sz w:val="22"/>
          <w:szCs w:val="22"/>
          <w:lang w:val="sr-Latn-ME"/>
        </w:rPr>
        <w:t>evaju m</w:t>
      </w:r>
      <w:r w:rsidR="004B2A2A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ere opreza prilikom prim</w:t>
      </w:r>
      <w:r w:rsidR="008D05BD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ene:</w:t>
      </w:r>
    </w:p>
    <w:p w14:paraId="633A6976" w14:textId="77777777" w:rsidR="00F67BA5" w:rsidRPr="005C098C" w:rsidRDefault="00F67BA5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859235" w14:textId="22AAFF3A" w:rsidR="0019039D" w:rsidRPr="005C098C" w:rsidRDefault="0019039D" w:rsidP="00B82776">
      <w:pPr>
        <w:pStyle w:val="ListParagraph"/>
        <w:numPr>
          <w:ilvl w:val="0"/>
          <w:numId w:val="29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Diuretici, inhibitiori angiotenzin konvertujućeg enzima (ACE) i antagonisti angiotenzin II receptora sa antiinflamatornom dozom acetilsalicilne kiseline ili analgetičkom ili antipiretičkom dozom acetilsalicilne kiseline: Akutna insuficijencija bubrega se može javiti kod dehidriranih pacijenata usled smanjenja glomerularne filtracije i posl</w:t>
      </w:r>
      <w:r w:rsidR="009B501D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edične smanjene renalne sinteze prostaglandina. Dodatno, može doći do smanjenog antihipertenzivnog dejstva. Osigurati hidrataciju pacijenta i pratiti funkciju bubrega od početka terapije.</w:t>
      </w:r>
    </w:p>
    <w:p w14:paraId="65428E36" w14:textId="77777777" w:rsidR="00C942E4" w:rsidRPr="005C098C" w:rsidRDefault="00C942E4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3546B58D" w14:textId="50D795F5" w:rsidR="0019039D" w:rsidRPr="005C098C" w:rsidRDefault="0019039D" w:rsidP="00B82776">
      <w:pPr>
        <w:pStyle w:val="ListParagraph"/>
        <w:numPr>
          <w:ilvl w:val="0"/>
          <w:numId w:val="29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 xml:space="preserve">Metotreksat u dozama ≤ 15 mg/nedeljno sa antiinflamatornim dozama acetilsalicilne kiseline, ili analgetičkim </w:t>
      </w:r>
      <w:r w:rsidR="00225B6C" w:rsidRPr="005C098C">
        <w:rPr>
          <w:bCs/>
          <w:sz w:val="22"/>
          <w:szCs w:val="22"/>
          <w:lang w:val="sr-Latn-ME"/>
        </w:rPr>
        <w:t>ili antipiretičkim dozama</w:t>
      </w:r>
      <w:r w:rsidRPr="005C098C">
        <w:rPr>
          <w:bCs/>
          <w:sz w:val="22"/>
          <w:szCs w:val="22"/>
          <w:lang w:val="sr-Latn-ME"/>
        </w:rPr>
        <w:t xml:space="preserve"> acetilsalicilne kiseline: povećana toksičnost metotreksata, posebno hematološka toksičnost (usled smanjenja renalnog klirensa metotreksata acetilsalicilnom kiselinom). Krvnu sliku treba pratiti na nedeljnom nivou tokom prvih sedmica istovremene prim</w:t>
      </w:r>
      <w:r w:rsidR="00BD39BE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ene. Pažljivo praćenje se zaht</w:t>
      </w:r>
      <w:r w:rsidR="00BD39BE" w:rsidRPr="005C098C">
        <w:rPr>
          <w:bCs/>
          <w:sz w:val="22"/>
          <w:szCs w:val="22"/>
          <w:lang w:val="sr-Latn-ME"/>
        </w:rPr>
        <w:t>ij</w:t>
      </w:r>
      <w:r w:rsidRPr="005C098C">
        <w:rPr>
          <w:bCs/>
          <w:sz w:val="22"/>
          <w:szCs w:val="22"/>
          <w:lang w:val="sr-Latn-ME"/>
        </w:rPr>
        <w:t>eva kod pacijenata sa oštećenjem funkcije bubrega (čak i slabe) kao i kod starijih pacijenata.</w:t>
      </w:r>
    </w:p>
    <w:p w14:paraId="5F027DE8" w14:textId="77777777" w:rsidR="008E6953" w:rsidRPr="005C098C" w:rsidRDefault="008E6953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74AFA1D5" w14:textId="0E65CACA" w:rsidR="0019039D" w:rsidRPr="005C098C" w:rsidRDefault="0019039D" w:rsidP="00B82776">
      <w:pPr>
        <w:pStyle w:val="ListParagraph"/>
        <w:numPr>
          <w:ilvl w:val="0"/>
          <w:numId w:val="29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Sa klopidogrelom (kod odobrenih indikacija ove kombinacije kod pacijenata sa akutnim koronarnim sindromom): povećan rizik od krvarenja. Preporučuje se klinički monitoring.</w:t>
      </w:r>
    </w:p>
    <w:p w14:paraId="083C0302" w14:textId="77777777" w:rsidR="00C319FC" w:rsidRPr="005C098C" w:rsidRDefault="00C319FC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10E070C0" w14:textId="4BB1D97F" w:rsidR="0019039D" w:rsidRPr="005C098C" w:rsidRDefault="0019039D" w:rsidP="00B82776">
      <w:pPr>
        <w:pStyle w:val="ListParagraph"/>
        <w:numPr>
          <w:ilvl w:val="0"/>
          <w:numId w:val="29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lastRenderedPageBreak/>
        <w:t>Gastrointestinalni l</w:t>
      </w:r>
      <w:r w:rsidR="004769C2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ekovi, antacidi i aktivni ugalj: povećana renalna ekskrecija acetilsalicilne kiseline usled alkalizacije urina. Preporučuje se prim</w:t>
      </w:r>
      <w:r w:rsidR="004769C2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ena gastrointestinalnih l</w:t>
      </w:r>
      <w:r w:rsidR="008D05BD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ekova i antacida u razmaku od najmanje 2 sata u odnosu na prim</w:t>
      </w:r>
      <w:r w:rsidR="004769C2" w:rsidRPr="005C098C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enu acetilsalicilne kiseline.</w:t>
      </w:r>
    </w:p>
    <w:p w14:paraId="64A23467" w14:textId="77777777" w:rsidR="00114918" w:rsidRPr="005C098C" w:rsidRDefault="00114918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52ECB93F" w14:textId="46E29FAE" w:rsidR="00F67BA5" w:rsidRPr="005C098C" w:rsidRDefault="0019039D" w:rsidP="00B82776">
      <w:pPr>
        <w:pStyle w:val="ListParagraph"/>
        <w:numPr>
          <w:ilvl w:val="0"/>
          <w:numId w:val="29"/>
        </w:numPr>
        <w:ind w:left="360"/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Pemetreksed kod pacijenata sa očuvanom funkcijom bubrega: povećan rizik od toksičnosti pemetrekseda (usled smanjenja renalnog klirensa pemetrekseda acetilsalicilnom kiselinom) sa antiinflamatornim dozama acetilsalicilne kiseline. Treba pratiti funkciju bubrega.</w:t>
      </w:r>
    </w:p>
    <w:p w14:paraId="494891AE" w14:textId="77777777" w:rsidR="00BE5D69" w:rsidRPr="005C098C" w:rsidRDefault="00BE5D69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099CAD" w14:textId="1007678E" w:rsidR="00BE5D69" w:rsidRPr="005C098C" w:rsidRDefault="00BE5D69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Kombinacije koje treba uzeti u obzir:</w:t>
      </w:r>
    </w:p>
    <w:p w14:paraId="5AF05651" w14:textId="77777777" w:rsidR="00BE5D69" w:rsidRPr="005C098C" w:rsidRDefault="00BE5D69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36CCF44" w14:textId="3E211868" w:rsidR="009B5A45" w:rsidRPr="00614E89" w:rsidRDefault="009B5A45" w:rsidP="00B82776">
      <w:pPr>
        <w:pStyle w:val="ListParagraph"/>
        <w:numPr>
          <w:ilvl w:val="0"/>
          <w:numId w:val="30"/>
        </w:numPr>
        <w:ind w:left="360"/>
        <w:jc w:val="both"/>
        <w:rPr>
          <w:bCs/>
          <w:sz w:val="22"/>
          <w:szCs w:val="22"/>
          <w:lang w:val="sr-Latn-ME"/>
        </w:rPr>
      </w:pPr>
      <w:r w:rsidRPr="00614E89">
        <w:rPr>
          <w:bCs/>
          <w:sz w:val="22"/>
          <w:szCs w:val="22"/>
          <w:lang w:val="sr-Latn-ME"/>
        </w:rPr>
        <w:t>Glukokortikoidi (osim supstitucione terapije hidrokortizonom) sa analgetičkim ili antipiretičkim dozama acetilsalicilne kiseline: povećan rizik od krvarenja.</w:t>
      </w:r>
    </w:p>
    <w:p w14:paraId="003CB2B1" w14:textId="77777777" w:rsidR="009B5A45" w:rsidRPr="005C098C" w:rsidRDefault="009B5A45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50580FD6" w14:textId="1D517BFC" w:rsidR="009B5A45" w:rsidRPr="00614E89" w:rsidRDefault="009B5A45" w:rsidP="00B82776">
      <w:pPr>
        <w:pStyle w:val="ListParagraph"/>
        <w:numPr>
          <w:ilvl w:val="0"/>
          <w:numId w:val="30"/>
        </w:numPr>
        <w:ind w:left="360"/>
        <w:jc w:val="both"/>
        <w:rPr>
          <w:bCs/>
          <w:sz w:val="22"/>
          <w:szCs w:val="22"/>
          <w:lang w:val="sr-Latn-ME"/>
        </w:rPr>
      </w:pPr>
      <w:r w:rsidRPr="00614E89">
        <w:rPr>
          <w:bCs/>
          <w:sz w:val="22"/>
          <w:szCs w:val="22"/>
          <w:lang w:val="sr-Latn-ME"/>
        </w:rPr>
        <w:t>Deferasiroks sa antiinflamatornim dozama acetilsalicilne kiseline, ili analgetičkim ili antipiretičkim dozama acetilsalicilne kiseline: povećan rizik od gastrointestinalnih ulceracija i hemoragije.</w:t>
      </w:r>
    </w:p>
    <w:p w14:paraId="339FD5C4" w14:textId="77777777" w:rsidR="009B5A45" w:rsidRPr="005C098C" w:rsidRDefault="009B5A45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512C4F92" w14:textId="34AE1D18" w:rsidR="00BE5D69" w:rsidRPr="00614E89" w:rsidRDefault="009B5A45" w:rsidP="00B82776">
      <w:pPr>
        <w:pStyle w:val="ListParagraph"/>
        <w:numPr>
          <w:ilvl w:val="0"/>
          <w:numId w:val="30"/>
        </w:numPr>
        <w:ind w:left="360"/>
        <w:jc w:val="both"/>
        <w:rPr>
          <w:bCs/>
          <w:sz w:val="22"/>
          <w:szCs w:val="22"/>
          <w:lang w:val="sr-Latn-ME"/>
        </w:rPr>
      </w:pPr>
      <w:r w:rsidRPr="00614E89">
        <w:rPr>
          <w:bCs/>
          <w:sz w:val="22"/>
          <w:szCs w:val="22"/>
          <w:lang w:val="sr-Latn-ME"/>
        </w:rPr>
        <w:t>Niskomolekularni heparini (i slični molekuli) i nefrakcionisani heparini u preventivnim dozama kod pacijenata mlađih od 65 godina: istovremena primjena utiče na različite stepene hemostaze povećavajući rizik od hemoragije. Zbog toga, kod pacijenata ispod 65 godina, pri istovremenoj primjeni heparina u preventivnim dozama (ili sličnih molekula) i acetilsalicilne kiseline u bilo kojoj dozi, treba uzeti u obzir stalni klinički monitoring kao i laboratorijski monitoring ukoliko je potrebno.</w:t>
      </w:r>
    </w:p>
    <w:p w14:paraId="0BA9415A" w14:textId="77777777" w:rsidR="008879D7" w:rsidRPr="005C098C" w:rsidRDefault="008879D7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2EB304FA" w14:textId="610E0DBE" w:rsidR="008879D7" w:rsidRPr="00614E89" w:rsidRDefault="008879D7" w:rsidP="00B82776">
      <w:pPr>
        <w:pStyle w:val="ListParagraph"/>
        <w:numPr>
          <w:ilvl w:val="0"/>
          <w:numId w:val="30"/>
        </w:numPr>
        <w:ind w:left="360"/>
        <w:jc w:val="both"/>
        <w:rPr>
          <w:bCs/>
          <w:sz w:val="22"/>
          <w:szCs w:val="22"/>
          <w:lang w:val="sr-Latn-ME"/>
        </w:rPr>
      </w:pPr>
      <w:r w:rsidRPr="00614E89">
        <w:rPr>
          <w:bCs/>
          <w:sz w:val="22"/>
          <w:szCs w:val="22"/>
          <w:lang w:val="sr-Latn-ME"/>
        </w:rPr>
        <w:t>Sa tromboliticima: povećan rizik od hemoragije.</w:t>
      </w:r>
    </w:p>
    <w:p w14:paraId="61B7333C" w14:textId="77777777" w:rsidR="008879D7" w:rsidRPr="005C098C" w:rsidRDefault="008879D7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24D2C51C" w14:textId="2DE34F99" w:rsidR="008879D7" w:rsidRPr="00614E89" w:rsidRDefault="008879D7" w:rsidP="00B82776">
      <w:pPr>
        <w:pStyle w:val="ListParagraph"/>
        <w:numPr>
          <w:ilvl w:val="0"/>
          <w:numId w:val="30"/>
        </w:numPr>
        <w:ind w:left="360"/>
        <w:jc w:val="both"/>
        <w:rPr>
          <w:bCs/>
          <w:sz w:val="22"/>
          <w:szCs w:val="22"/>
          <w:lang w:val="sr-Latn-ME"/>
        </w:rPr>
      </w:pPr>
      <w:r w:rsidRPr="00614E89">
        <w:rPr>
          <w:bCs/>
          <w:sz w:val="22"/>
          <w:szCs w:val="22"/>
          <w:lang w:val="sr-Latn-ME"/>
        </w:rPr>
        <w:t>Sa selektivnim inhibitorima ponovnog preuzimanja serotonina (citalopram, escitalopram, fluoksetin, fluvoksamin, paroksetin, sertralin): povećan rizik od hemoragije.</w:t>
      </w:r>
    </w:p>
    <w:p w14:paraId="4C357C28" w14:textId="77777777" w:rsidR="008879D7" w:rsidRPr="005C098C" w:rsidRDefault="008879D7" w:rsidP="00B82776">
      <w:pPr>
        <w:ind w:left="360"/>
        <w:jc w:val="both"/>
        <w:rPr>
          <w:bCs/>
          <w:sz w:val="22"/>
          <w:szCs w:val="22"/>
          <w:lang w:val="sr-Latn-ME"/>
        </w:rPr>
      </w:pPr>
    </w:p>
    <w:p w14:paraId="773CBF62" w14:textId="0052790C" w:rsidR="008879D7" w:rsidRPr="00614E89" w:rsidRDefault="008879D7" w:rsidP="00B82776">
      <w:pPr>
        <w:pStyle w:val="ListParagraph"/>
        <w:numPr>
          <w:ilvl w:val="0"/>
          <w:numId w:val="30"/>
        </w:numPr>
        <w:ind w:left="360"/>
        <w:jc w:val="both"/>
        <w:rPr>
          <w:bCs/>
          <w:sz w:val="22"/>
          <w:szCs w:val="22"/>
          <w:lang w:val="sr-Latn-ME"/>
        </w:rPr>
      </w:pPr>
      <w:r w:rsidRPr="00614E89">
        <w:rPr>
          <w:bCs/>
          <w:sz w:val="22"/>
          <w:szCs w:val="22"/>
          <w:lang w:val="sr-Latn-ME"/>
        </w:rPr>
        <w:t>deferoksamin: ukoliko se uzme sa askorbinskom kiselinom može doći do poremećaja srčane funkcije</w:t>
      </w:r>
    </w:p>
    <w:p w14:paraId="3AE8F1EF" w14:textId="77777777" w:rsidR="008879D7" w:rsidRPr="005C098C" w:rsidRDefault="008879D7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962AC7" w14:textId="0A07EFB3" w:rsidR="008879D7" w:rsidRPr="005C098C" w:rsidRDefault="000E5D4F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14E89">
        <w:rPr>
          <w:bCs/>
          <w:sz w:val="22"/>
          <w:szCs w:val="22"/>
          <w:u w:val="single"/>
          <w:lang w:val="sr-Latn-ME"/>
        </w:rPr>
        <w:t>Interakcije askorbinske kiseline u laboratorijskim testovima:</w:t>
      </w:r>
      <w:r w:rsidRPr="005C098C">
        <w:rPr>
          <w:bCs/>
          <w:sz w:val="22"/>
          <w:szCs w:val="22"/>
          <w:lang w:val="sr-Latn-ME"/>
        </w:rPr>
        <w:t xml:space="preserve"> Vitamin C je supstanca sa redukcionim svojstvima (tj. donor elektrona) i može dovesti do hemijskih interferencija u laboratorijskim testovima putem oksido-redukcionih reakcija npr. analiza koncentracija glukoze, kreatinina, karbamazepina, mokraćne kiseline u urinu, serumu i kod hemokultnog testa. Vitamin C može da interferira sa testovima u kojima se m</w:t>
      </w:r>
      <w:r w:rsidR="004B2A2A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eri koncentracija glukoze u urinu i krvi i dovede do netačnih rezultata m</w:t>
      </w:r>
      <w:r w:rsidR="004B2A2A">
        <w:rPr>
          <w:bCs/>
          <w:sz w:val="22"/>
          <w:szCs w:val="22"/>
          <w:lang w:val="sr-Latn-ME"/>
        </w:rPr>
        <w:t>j</w:t>
      </w:r>
      <w:r w:rsidRPr="005C098C">
        <w:rPr>
          <w:bCs/>
          <w:sz w:val="22"/>
          <w:szCs w:val="22"/>
          <w:lang w:val="sr-Latn-ME"/>
        </w:rPr>
        <w:t>erenja, iako vitamin C nema uticaj na koncentraciju glukoze u krvi.</w:t>
      </w:r>
    </w:p>
    <w:p w14:paraId="2861AD99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4D9063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4.6.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="006D20A5" w:rsidRPr="005C098C">
        <w:rPr>
          <w:b/>
          <w:sz w:val="22"/>
          <w:szCs w:val="22"/>
          <w:lang w:val="sr-Latn-ME"/>
        </w:rPr>
        <w:t>Plodnost, trudnoća i dojenje</w:t>
      </w:r>
    </w:p>
    <w:p w14:paraId="48A7D6D8" w14:textId="77777777" w:rsidR="003079D9" w:rsidRPr="005C098C" w:rsidRDefault="003079D9" w:rsidP="00B8277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234C1557" w14:textId="2EC6C528" w:rsidR="00614E89" w:rsidRPr="005C098C" w:rsidRDefault="003079D9" w:rsidP="00B82776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5C098C">
        <w:rPr>
          <w:sz w:val="22"/>
          <w:szCs w:val="22"/>
          <w:u w:val="single"/>
          <w:lang w:val="sr-Latn-ME"/>
        </w:rPr>
        <w:t xml:space="preserve">Plodnost </w:t>
      </w:r>
    </w:p>
    <w:p w14:paraId="69E9EC6A" w14:textId="028DED17" w:rsidR="003079D9" w:rsidRPr="005C098C" w:rsidRDefault="003079D9" w:rsidP="00B8277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Postoje dokazi da ljekovi koji inhibiraju ciklooksigenazu ili sintezu prostaglandina mogu da smanje plodnost žena, tako što utiču na ovulaciju. Uticaj je reverzibilan i prestaje prekidom liječenja.</w:t>
      </w:r>
    </w:p>
    <w:p w14:paraId="28A8FC95" w14:textId="77777777" w:rsidR="002031B3" w:rsidRPr="005C098C" w:rsidRDefault="002031B3" w:rsidP="00B8277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F6465C0" w14:textId="6B3D6E8B" w:rsidR="00395F29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D05BD">
        <w:rPr>
          <w:sz w:val="22"/>
          <w:szCs w:val="22"/>
          <w:u w:val="single"/>
          <w:lang w:val="sr-Latn-ME"/>
        </w:rPr>
        <w:t>Trudnoća</w:t>
      </w:r>
    </w:p>
    <w:p w14:paraId="770C3A32" w14:textId="77777777" w:rsidR="00EA26B7" w:rsidRPr="008D05BD" w:rsidRDefault="00FC4398" w:rsidP="00B82776">
      <w:pPr>
        <w:pStyle w:val="GlobalBayerBodyText"/>
        <w:spacing w:before="0" w:after="0"/>
        <w:jc w:val="both"/>
        <w:rPr>
          <w:rFonts w:ascii="Times New Roman" w:hAnsi="Times New Roman"/>
          <w:szCs w:val="22"/>
          <w:lang w:val="sr-Latn-ME" w:eastAsia="en-US"/>
        </w:rPr>
      </w:pPr>
      <w:r w:rsidRPr="008D05BD">
        <w:rPr>
          <w:rFonts w:ascii="Times New Roman" w:hAnsi="Times New Roman"/>
          <w:szCs w:val="22"/>
          <w:lang w:val="sr-Latn-ME" w:eastAsia="en-US"/>
        </w:rPr>
        <w:t xml:space="preserve">Inhibicija sinteze prostaglandina može štetno uticati na trudnoću i/ili embrio/fetalni razvoj. Podaci iz epidemioloških studija </w:t>
      </w:r>
      <w:r w:rsidR="009A3C69" w:rsidRPr="008D05BD">
        <w:rPr>
          <w:rFonts w:ascii="Times New Roman" w:hAnsi="Times New Roman"/>
          <w:szCs w:val="22"/>
          <w:lang w:val="sr-Latn-ME" w:eastAsia="en-US"/>
        </w:rPr>
        <w:t>ukazuju na povećan rizik od pobačaja, srčanih malformacija i gastroshize nakon upotrebe inhibitora sinteze prostaglandina u ranoj trudnoći</w:t>
      </w:r>
      <w:r w:rsidR="004B3507" w:rsidRPr="008D05BD">
        <w:rPr>
          <w:rFonts w:ascii="Times New Roman" w:hAnsi="Times New Roman"/>
          <w:szCs w:val="22"/>
          <w:lang w:val="sr-Latn-ME" w:eastAsia="en-US"/>
        </w:rPr>
        <w:t>.</w:t>
      </w:r>
    </w:p>
    <w:p w14:paraId="198F45B0" w14:textId="77777777" w:rsidR="00EA26B7" w:rsidRPr="008D05BD" w:rsidRDefault="00EA26B7" w:rsidP="00B82776">
      <w:pPr>
        <w:pStyle w:val="GlobalBayerBodyText"/>
        <w:spacing w:before="0" w:after="0"/>
        <w:jc w:val="both"/>
        <w:rPr>
          <w:rFonts w:ascii="Times New Roman" w:hAnsi="Times New Roman"/>
          <w:szCs w:val="22"/>
          <w:lang w:val="sr-Latn-ME" w:eastAsia="en-US"/>
        </w:rPr>
      </w:pPr>
      <w:r w:rsidRPr="008D05BD">
        <w:rPr>
          <w:rFonts w:ascii="Times New Roman" w:hAnsi="Times New Roman"/>
          <w:szCs w:val="22"/>
          <w:lang w:val="sr-Latn-ME" w:eastAsia="en-US"/>
        </w:rPr>
        <w:t>Apsolutni rizik od kardiovaskularnih malformacija je povećan sa manje od 1% na približno 1,5%. Izgleda da se rizik povećava sa povećanjem doze i dužine trajanja terapije.</w:t>
      </w:r>
    </w:p>
    <w:p w14:paraId="17526AE6" w14:textId="77777777" w:rsidR="00EA26B7" w:rsidRPr="008D05BD" w:rsidRDefault="00EA26B7" w:rsidP="00B82776">
      <w:pPr>
        <w:pStyle w:val="GlobalBayerBodyText"/>
        <w:spacing w:before="0" w:after="0"/>
        <w:jc w:val="both"/>
        <w:rPr>
          <w:rFonts w:ascii="Times New Roman" w:hAnsi="Times New Roman"/>
          <w:szCs w:val="22"/>
          <w:lang w:val="sr-Latn-ME" w:eastAsia="en-US"/>
        </w:rPr>
      </w:pPr>
    </w:p>
    <w:p w14:paraId="68405BD0" w14:textId="77777777" w:rsidR="00432183" w:rsidRPr="008D05BD" w:rsidRDefault="00502173" w:rsidP="00B82776">
      <w:pPr>
        <w:pStyle w:val="GlobalBayerBodyText"/>
        <w:spacing w:before="0" w:after="0"/>
        <w:jc w:val="both"/>
        <w:rPr>
          <w:rFonts w:ascii="Times New Roman" w:hAnsi="Times New Roman"/>
          <w:szCs w:val="22"/>
          <w:lang w:val="sr-Latn-ME" w:eastAsia="en-US"/>
        </w:rPr>
      </w:pPr>
      <w:r w:rsidRPr="008D05BD">
        <w:rPr>
          <w:rFonts w:ascii="Times New Roman" w:hAnsi="Times New Roman"/>
          <w:szCs w:val="22"/>
          <w:lang w:val="sr-Latn-ME" w:eastAsia="en-US"/>
        </w:rPr>
        <w:t>Kod životinja, primjena inhibitora sinteze prostaglandina dovodila je do povećanih gubitaka prije i nakon implantacije i do embriofetalne smrti. Dodatno, prijavljena je i povećana incidenca raznih malformacija, uključujući kardiovaskularne malformacije, kod životinja koje su primale inhibitore sinteze prostaglandina tokom organogenetske faze trudnoće.</w:t>
      </w:r>
    </w:p>
    <w:p w14:paraId="3A4CD903" w14:textId="52F452C7" w:rsidR="00834FE3" w:rsidRPr="00834FE3" w:rsidRDefault="00834FE3" w:rsidP="00834FE3">
      <w:pPr>
        <w:pStyle w:val="GlobalBayerBodyText"/>
        <w:jc w:val="both"/>
        <w:rPr>
          <w:rFonts w:ascii="Times New Roman" w:hAnsi="Times New Roman"/>
          <w:szCs w:val="22"/>
          <w:lang w:val="sr-Latn-ME" w:eastAsia="en-US"/>
        </w:rPr>
      </w:pPr>
      <w:r w:rsidRPr="00834FE3">
        <w:rPr>
          <w:rFonts w:ascii="Times New Roman" w:hAnsi="Times New Roman"/>
          <w:szCs w:val="22"/>
          <w:lang w:val="sr-Latn-ME" w:eastAsia="en-US"/>
        </w:rPr>
        <w:lastRenderedPageBreak/>
        <w:t>Od 20. nedelje trudnoće, upotreba acetilsalicilne kiseline može da izazove oligohidramniju izazvanu fetalnom disfunkcijom bubrega. Do ovoga može doći ubrzo nakon početka terapije i obično se povlači nakon prekida upotrebe. Pored toga, zabilježeni su slučajevi u kojima je došlo do sužavanja ductus arteriosusa nakon terapije u drugom tromjesečju trudnoće, iako je u većini slučajeva došlo do povlačenja sužavanja nakon prekida primjene acetilsalicilne kiseline. Acetilsalicilnu kiselinu ne treba primijenjivati tokom prvog i drugog trimestra trudnoće ukoliko to nije apsolutno neophodno. Ako se acetilsalicilna kiselina koristi kod žene koja pokušava da zatrudni ili je u prvom ili drugom trimestru trudnoće, treba primjenjivati najnižu moguću dozu, u najkraćem vremenskom periodu. Usljed nekoliko dana primjene acetilsalicilne kiseline u periodu od 20. nedelje trudnoće i posl</w:t>
      </w:r>
      <w:r w:rsidR="00EC621E">
        <w:rPr>
          <w:rFonts w:ascii="Times New Roman" w:hAnsi="Times New Roman"/>
          <w:szCs w:val="22"/>
          <w:lang w:val="sr-Latn-ME" w:eastAsia="en-US"/>
        </w:rPr>
        <w:t>ij</w:t>
      </w:r>
      <w:r w:rsidRPr="00834FE3">
        <w:rPr>
          <w:rFonts w:ascii="Times New Roman" w:hAnsi="Times New Roman"/>
          <w:szCs w:val="22"/>
          <w:lang w:val="sr-Latn-ME" w:eastAsia="en-US"/>
        </w:rPr>
        <w:t>e, trebalo bi povećati prenatalni nadzor zbog rizika od nastanka oligohidramnije i sužavanja ductus arteriosusa. Primjenu acetilsalicilne kiseline treba prekinuti ukoliko se otkrije oligohidramnija ili sužavanje ductus arteriosusa.</w:t>
      </w:r>
    </w:p>
    <w:p w14:paraId="312E2454" w14:textId="77777777" w:rsidR="00834FE3" w:rsidRPr="00834FE3" w:rsidRDefault="00834FE3" w:rsidP="00834FE3">
      <w:pPr>
        <w:pStyle w:val="GlobalBayerBodyText"/>
        <w:jc w:val="both"/>
        <w:rPr>
          <w:rFonts w:ascii="Times New Roman" w:hAnsi="Times New Roman"/>
          <w:szCs w:val="22"/>
          <w:lang w:val="sr-Latn-ME" w:eastAsia="en-US"/>
        </w:rPr>
      </w:pPr>
      <w:r w:rsidRPr="00834FE3">
        <w:rPr>
          <w:rFonts w:ascii="Times New Roman" w:hAnsi="Times New Roman"/>
          <w:szCs w:val="22"/>
          <w:lang w:val="sr-Latn-ME" w:eastAsia="en-US"/>
        </w:rPr>
        <w:t>Tokom trećeg trimestra trudnoće, primjena inhibitora sinteze prostaglandina može:</w:t>
      </w:r>
    </w:p>
    <w:p w14:paraId="523474FE" w14:textId="77777777" w:rsidR="00834FE3" w:rsidRPr="00834FE3" w:rsidRDefault="00834FE3" w:rsidP="00834FE3">
      <w:pPr>
        <w:pStyle w:val="GlobalBayerBodyText"/>
        <w:jc w:val="both"/>
        <w:rPr>
          <w:rFonts w:ascii="Times New Roman" w:hAnsi="Times New Roman"/>
          <w:szCs w:val="22"/>
          <w:lang w:val="sr-Latn-ME" w:eastAsia="en-US"/>
        </w:rPr>
      </w:pPr>
      <w:r w:rsidRPr="00834FE3">
        <w:rPr>
          <w:rFonts w:ascii="Times New Roman" w:hAnsi="Times New Roman"/>
          <w:szCs w:val="22"/>
          <w:lang w:val="sr-Latn-ME" w:eastAsia="en-US"/>
        </w:rPr>
        <w:t>izložiti fetus sljedećim rizicima:</w:t>
      </w:r>
    </w:p>
    <w:p w14:paraId="4179233E" w14:textId="77777777" w:rsidR="00834FE3" w:rsidRPr="00834FE3" w:rsidRDefault="00834FE3" w:rsidP="00834FE3">
      <w:pPr>
        <w:pStyle w:val="GlobalBayerBodyText"/>
        <w:jc w:val="both"/>
        <w:rPr>
          <w:rFonts w:ascii="Times New Roman" w:hAnsi="Times New Roman"/>
          <w:szCs w:val="22"/>
          <w:lang w:val="sr-Latn-ME" w:eastAsia="en-US"/>
        </w:rPr>
      </w:pPr>
      <w:r w:rsidRPr="00834FE3">
        <w:rPr>
          <w:rFonts w:ascii="Times New Roman" w:hAnsi="Times New Roman"/>
          <w:szCs w:val="22"/>
          <w:lang w:val="sr-Latn-ME" w:eastAsia="en-US"/>
        </w:rPr>
        <w:t>• Kardiopulmonarna toksičnost (prerano sužavanje/zatvaranje ductus arteriosusa i plućne hipertenzije);</w:t>
      </w:r>
    </w:p>
    <w:p w14:paraId="6AF60D66" w14:textId="79D11B9E" w:rsidR="00834FE3" w:rsidRPr="00834FE3" w:rsidRDefault="00834FE3" w:rsidP="00834FE3">
      <w:pPr>
        <w:pStyle w:val="GlobalBayerBodyText"/>
        <w:jc w:val="both"/>
        <w:rPr>
          <w:rFonts w:ascii="Times New Roman" w:hAnsi="Times New Roman"/>
          <w:szCs w:val="22"/>
          <w:lang w:val="sr-Latn-ME" w:eastAsia="en-US"/>
        </w:rPr>
      </w:pPr>
      <w:r w:rsidRPr="00834FE3">
        <w:rPr>
          <w:rFonts w:ascii="Times New Roman" w:hAnsi="Times New Roman"/>
          <w:szCs w:val="22"/>
          <w:lang w:val="sr-Latn-ME" w:eastAsia="en-US"/>
        </w:rPr>
        <w:t>• Disfunkcija bubrega (pogledajte gore).</w:t>
      </w:r>
    </w:p>
    <w:p w14:paraId="50888359" w14:textId="77777777" w:rsidR="00834FE3" w:rsidRPr="00834FE3" w:rsidRDefault="00834FE3" w:rsidP="00834FE3">
      <w:pPr>
        <w:pStyle w:val="GlobalBayerBodyText"/>
        <w:jc w:val="both"/>
        <w:rPr>
          <w:rFonts w:ascii="Times New Roman" w:hAnsi="Times New Roman"/>
          <w:szCs w:val="22"/>
          <w:lang w:val="sr-Latn-ME" w:eastAsia="en-US"/>
        </w:rPr>
      </w:pPr>
      <w:r w:rsidRPr="00834FE3">
        <w:rPr>
          <w:rFonts w:ascii="Times New Roman" w:hAnsi="Times New Roman"/>
          <w:szCs w:val="22"/>
          <w:lang w:val="sr-Latn-ME" w:eastAsia="en-US"/>
        </w:rPr>
        <w:t>izložiti majku i novorođenče, na kraju trudnoće, sljedećim rizicima:</w:t>
      </w:r>
    </w:p>
    <w:p w14:paraId="2023BD6F" w14:textId="77777777" w:rsidR="00834FE3" w:rsidRPr="00834FE3" w:rsidRDefault="00834FE3" w:rsidP="00834FE3">
      <w:pPr>
        <w:pStyle w:val="GlobalBayerBodyText"/>
        <w:jc w:val="both"/>
        <w:rPr>
          <w:rFonts w:ascii="Times New Roman" w:hAnsi="Times New Roman"/>
          <w:szCs w:val="22"/>
          <w:lang w:val="sr-Latn-ME" w:eastAsia="en-US"/>
        </w:rPr>
      </w:pPr>
      <w:r w:rsidRPr="00834FE3">
        <w:rPr>
          <w:rFonts w:ascii="Times New Roman" w:hAnsi="Times New Roman"/>
          <w:szCs w:val="22"/>
          <w:lang w:val="sr-Latn-ME" w:eastAsia="en-US"/>
        </w:rPr>
        <w:t xml:space="preserve">• Moguće produženje vremena krvarenja, jer se antiagregaciono dejstvo može javiti čak i pri primjeni veoma malih doza;  </w:t>
      </w:r>
    </w:p>
    <w:p w14:paraId="16270579" w14:textId="77777777" w:rsidR="00834FE3" w:rsidRPr="00834FE3" w:rsidRDefault="00834FE3" w:rsidP="00834FE3">
      <w:pPr>
        <w:pStyle w:val="GlobalBayerBodyText"/>
        <w:jc w:val="both"/>
        <w:rPr>
          <w:rFonts w:ascii="Times New Roman" w:hAnsi="Times New Roman"/>
          <w:szCs w:val="22"/>
          <w:lang w:val="sr-Latn-ME" w:eastAsia="en-US"/>
        </w:rPr>
      </w:pPr>
      <w:r w:rsidRPr="00834FE3">
        <w:rPr>
          <w:rFonts w:ascii="Times New Roman" w:hAnsi="Times New Roman"/>
          <w:szCs w:val="22"/>
          <w:lang w:val="sr-Latn-ME" w:eastAsia="en-US"/>
        </w:rPr>
        <w:t>• Inhibicija kontrakcija materice, što može dovesti do odlaganja porođaja ili produženog procesa rađanja.</w:t>
      </w:r>
    </w:p>
    <w:p w14:paraId="76FDC519" w14:textId="009566B0" w:rsidR="00834FE3" w:rsidRPr="00834FE3" w:rsidRDefault="00834FE3" w:rsidP="00834FE3">
      <w:pPr>
        <w:pStyle w:val="GlobalBayerBodyText"/>
        <w:jc w:val="both"/>
        <w:rPr>
          <w:rFonts w:ascii="Times New Roman" w:hAnsi="Times New Roman"/>
          <w:szCs w:val="22"/>
          <w:lang w:val="sr-Latn-ME" w:eastAsia="en-US"/>
        </w:rPr>
      </w:pPr>
      <w:r w:rsidRPr="00834FE3">
        <w:rPr>
          <w:rFonts w:ascii="Times New Roman" w:hAnsi="Times New Roman"/>
          <w:szCs w:val="22"/>
          <w:lang w:val="sr-Latn-ME" w:eastAsia="en-US"/>
        </w:rPr>
        <w:t>Zbog toga je acetilsalicilna kiselina kontraindikovana u trećem trimestru trudnoće (</w:t>
      </w:r>
      <w:r w:rsidR="00376809">
        <w:rPr>
          <w:rFonts w:ascii="Times New Roman" w:hAnsi="Times New Roman"/>
          <w:szCs w:val="22"/>
          <w:lang w:val="sr-Latn-ME" w:eastAsia="en-US"/>
        </w:rPr>
        <w:t>vidjeti</w:t>
      </w:r>
      <w:r w:rsidR="00376809" w:rsidRPr="00834FE3">
        <w:rPr>
          <w:rFonts w:ascii="Times New Roman" w:hAnsi="Times New Roman"/>
          <w:szCs w:val="22"/>
          <w:lang w:val="sr-Latn-ME" w:eastAsia="en-US"/>
        </w:rPr>
        <w:t xml:space="preserve"> </w:t>
      </w:r>
      <w:r w:rsidRPr="00834FE3">
        <w:rPr>
          <w:rFonts w:ascii="Times New Roman" w:hAnsi="Times New Roman"/>
          <w:szCs w:val="22"/>
          <w:lang w:val="sr-Latn-ME" w:eastAsia="en-US"/>
        </w:rPr>
        <w:t>dio 4.3 i 5.3).</w:t>
      </w:r>
    </w:p>
    <w:p w14:paraId="77DFD086" w14:textId="77777777" w:rsidR="00AB3ADF" w:rsidRPr="005C098C" w:rsidRDefault="00AB3ADF" w:rsidP="00B82776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5C098C">
        <w:rPr>
          <w:sz w:val="22"/>
          <w:szCs w:val="22"/>
          <w:u w:val="single"/>
          <w:lang w:val="sr-Latn-ME"/>
        </w:rPr>
        <w:t xml:space="preserve">Dojenje </w:t>
      </w:r>
    </w:p>
    <w:p w14:paraId="412818AD" w14:textId="7F01368A" w:rsidR="0076537D" w:rsidRPr="0076537D" w:rsidRDefault="0076537D" w:rsidP="0076537D">
      <w:pPr>
        <w:pStyle w:val="Default"/>
        <w:jc w:val="both"/>
        <w:rPr>
          <w:sz w:val="22"/>
          <w:szCs w:val="22"/>
          <w:lang w:val="sr-Latn-ME"/>
        </w:rPr>
      </w:pPr>
      <w:r w:rsidRPr="0076537D">
        <w:rPr>
          <w:sz w:val="22"/>
          <w:szCs w:val="22"/>
          <w:lang w:val="sr-Latn-ME"/>
        </w:rPr>
        <w:t>Male količine sal</w:t>
      </w:r>
      <w:r>
        <w:rPr>
          <w:sz w:val="22"/>
          <w:szCs w:val="22"/>
          <w:lang w:val="sr-Latn-ME"/>
        </w:rPr>
        <w:t>icilata i njegovih metabolita, kao i</w:t>
      </w:r>
      <w:r w:rsidRPr="0076537D">
        <w:rPr>
          <w:sz w:val="22"/>
          <w:szCs w:val="22"/>
          <w:lang w:val="sr-Latn-ME"/>
        </w:rPr>
        <w:t xml:space="preserve"> vitamin C prelaze u majčino mlijeko.</w:t>
      </w:r>
    </w:p>
    <w:p w14:paraId="644CB22D" w14:textId="3D9EAADB" w:rsidR="0076537D" w:rsidRPr="0076537D" w:rsidRDefault="0076537D" w:rsidP="0076537D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Kod novorođ</w:t>
      </w:r>
      <w:r w:rsidRPr="0076537D">
        <w:rPr>
          <w:sz w:val="22"/>
          <w:szCs w:val="22"/>
          <w:lang w:val="sr-Latn-ME"/>
        </w:rPr>
        <w:t xml:space="preserve">enčadi čije su majke povremeno uzimale </w:t>
      </w:r>
      <w:r>
        <w:rPr>
          <w:sz w:val="22"/>
          <w:szCs w:val="22"/>
          <w:lang w:val="sr-Latn-ME"/>
        </w:rPr>
        <w:t>preporučene doze acetilsalicilatne kiseline</w:t>
      </w:r>
      <w:r w:rsidR="00EC621E">
        <w:rPr>
          <w:sz w:val="22"/>
          <w:szCs w:val="22"/>
          <w:lang w:val="sr-Latn-ME"/>
        </w:rPr>
        <w:t xml:space="preserve"> do </w:t>
      </w:r>
      <w:r w:rsidRPr="0076537D">
        <w:rPr>
          <w:sz w:val="22"/>
          <w:szCs w:val="22"/>
          <w:lang w:val="sr-Latn-ME"/>
        </w:rPr>
        <w:t>sada ni</w:t>
      </w:r>
      <w:r>
        <w:rPr>
          <w:sz w:val="22"/>
          <w:szCs w:val="22"/>
          <w:lang w:val="sr-Latn-ME"/>
        </w:rPr>
        <w:t>jesu primijećena neželjena dejstva</w:t>
      </w:r>
      <w:r w:rsidRPr="0076537D">
        <w:rPr>
          <w:sz w:val="22"/>
          <w:szCs w:val="22"/>
          <w:lang w:val="sr-Latn-ME"/>
        </w:rPr>
        <w:t>, stoga dojenje obično ne treba prekidati.</w:t>
      </w:r>
    </w:p>
    <w:p w14:paraId="3646BCE5" w14:textId="5D54A52F" w:rsidR="0076537D" w:rsidRDefault="0076537D" w:rsidP="00B82776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Međ</w:t>
      </w:r>
      <w:r w:rsidRPr="0076537D">
        <w:rPr>
          <w:sz w:val="22"/>
          <w:szCs w:val="22"/>
          <w:lang w:val="sr-Latn-ME"/>
        </w:rPr>
        <w:t>utim, majke koje acetilsalic</w:t>
      </w:r>
      <w:r>
        <w:rPr>
          <w:sz w:val="22"/>
          <w:szCs w:val="22"/>
          <w:lang w:val="sr-Latn-ME"/>
        </w:rPr>
        <w:t>ilatnu kiselinu uzimaju redovno</w:t>
      </w:r>
      <w:r w:rsidRPr="0076537D">
        <w:rPr>
          <w:sz w:val="22"/>
          <w:szCs w:val="22"/>
          <w:lang w:val="sr-Latn-ME"/>
        </w:rPr>
        <w:t xml:space="preserve"> ili u visokim dozama moraju rano</w:t>
      </w:r>
      <w:r>
        <w:rPr>
          <w:sz w:val="22"/>
          <w:szCs w:val="22"/>
          <w:lang w:val="sr-Latn-ME"/>
        </w:rPr>
        <w:t xml:space="preserve"> da</w:t>
      </w:r>
      <w:r w:rsidR="00EC621E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prestanu</w:t>
      </w:r>
      <w:r w:rsidRPr="0076537D">
        <w:rPr>
          <w:sz w:val="22"/>
          <w:szCs w:val="22"/>
          <w:lang w:val="sr-Latn-ME"/>
        </w:rPr>
        <w:t xml:space="preserve"> dojiti.</w:t>
      </w:r>
      <w:r w:rsidRPr="0076537D" w:rsidDel="0076537D">
        <w:rPr>
          <w:sz w:val="22"/>
          <w:szCs w:val="22"/>
          <w:lang w:val="sr-Latn-ME"/>
        </w:rPr>
        <w:t xml:space="preserve"> </w:t>
      </w:r>
    </w:p>
    <w:p w14:paraId="718F78A8" w14:textId="77777777" w:rsidR="0089137E" w:rsidRPr="005C098C" w:rsidRDefault="0089137E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2D5D5E5A" w14:textId="77777777" w:rsidR="0072020E" w:rsidRPr="005C098C" w:rsidRDefault="0072020E" w:rsidP="00B8277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4.7.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 xml:space="preserve">Uticaj na </w:t>
      </w:r>
      <w:r w:rsidR="002031B3" w:rsidRPr="005C098C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C098C">
        <w:rPr>
          <w:b/>
          <w:bCs/>
          <w:sz w:val="22"/>
          <w:szCs w:val="22"/>
          <w:lang w:val="sr-Latn-ME"/>
        </w:rPr>
        <w:t>upravljanja vozili</w:t>
      </w:r>
      <w:r w:rsidRPr="005C098C">
        <w:rPr>
          <w:b/>
          <w:bCs/>
          <w:sz w:val="22"/>
          <w:szCs w:val="22"/>
          <w:lang w:val="sr-Latn-ME"/>
        </w:rPr>
        <w:t>m</w:t>
      </w:r>
      <w:r w:rsidR="00F34554" w:rsidRPr="005C098C">
        <w:rPr>
          <w:b/>
          <w:bCs/>
          <w:sz w:val="22"/>
          <w:szCs w:val="22"/>
          <w:lang w:val="sr-Latn-ME"/>
        </w:rPr>
        <w:t>a</w:t>
      </w:r>
      <w:r w:rsidRPr="005C098C">
        <w:rPr>
          <w:b/>
          <w:bCs/>
          <w:sz w:val="22"/>
          <w:szCs w:val="22"/>
          <w:lang w:val="sr-Latn-ME"/>
        </w:rPr>
        <w:t xml:space="preserve"> i </w:t>
      </w:r>
      <w:r w:rsidR="000D3449" w:rsidRPr="005C098C">
        <w:rPr>
          <w:b/>
          <w:bCs/>
          <w:sz w:val="22"/>
          <w:szCs w:val="22"/>
          <w:lang w:val="sr-Latn-ME"/>
        </w:rPr>
        <w:t xml:space="preserve">rukovanje </w:t>
      </w:r>
      <w:r w:rsidRPr="005C098C">
        <w:rPr>
          <w:b/>
          <w:bCs/>
          <w:sz w:val="22"/>
          <w:szCs w:val="22"/>
          <w:lang w:val="sr-Latn-ME"/>
        </w:rPr>
        <w:t>mašinama</w:t>
      </w:r>
    </w:p>
    <w:p w14:paraId="59AC0838" w14:textId="3449092A" w:rsidR="00FC4398" w:rsidRPr="008D05BD" w:rsidRDefault="00FC4398" w:rsidP="00B82776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893FAB">
        <w:rPr>
          <w:sz w:val="22"/>
          <w:szCs w:val="22"/>
          <w:lang w:val="sr-Latn-ME"/>
        </w:rPr>
        <w:tab/>
      </w:r>
    </w:p>
    <w:p w14:paraId="2A651409" w14:textId="517C4F42" w:rsidR="00DA3F90" w:rsidRPr="008D05BD" w:rsidRDefault="00DA3F90" w:rsidP="00B8277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Acetilsalicilna kiselina nema uticaj na sposobnost upravljanja vozilima i rukovanja mašinama.</w:t>
      </w:r>
    </w:p>
    <w:p w14:paraId="71F9617C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1DB422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4.8.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Neželjena dejstva</w:t>
      </w:r>
    </w:p>
    <w:p w14:paraId="2DB13BA0" w14:textId="77777777" w:rsidR="0082283C" w:rsidRPr="008D05BD" w:rsidRDefault="0082283C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49436B" w14:textId="7076AF16" w:rsidR="0082283C" w:rsidRPr="005C098C" w:rsidRDefault="0082283C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Učestalost: nepoznata (ne može se procjeniti na osnovu dostupnih podataka)</w:t>
      </w:r>
    </w:p>
    <w:p w14:paraId="6EF303B5" w14:textId="77777777" w:rsidR="00A01FBB" w:rsidRPr="005C098C" w:rsidRDefault="00A01FBB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32615F5" w14:textId="77777777" w:rsidR="00A01FBB" w:rsidRPr="005C098C" w:rsidRDefault="00A01FBB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Poremećaji krvi i limfnog sistema </w:t>
      </w:r>
    </w:p>
    <w:p w14:paraId="7BE23814" w14:textId="12AB72A8" w:rsidR="00A01FBB" w:rsidRPr="005C098C" w:rsidRDefault="00A01FBB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Hemoragija i tendencije ka hemoragiji (epistakse, krvarenje desni, purpure, itd.) sa produženim vremenom krvarenja. Rizik od hemoragije može potrajati do 4 ili 8 dana nakon prekida primjene acetilsalicilne kiseline. Može doći do povećanog rizika od hemoragije prilikom hirurške intervencije. Mogu se takođe javiti i intrakranijalne i gastrointestinalne hemoragije.</w:t>
      </w:r>
    </w:p>
    <w:p w14:paraId="3A532ABA" w14:textId="77777777" w:rsidR="002A4459" w:rsidRPr="005C098C" w:rsidRDefault="002A445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5CF711" w14:textId="77777777" w:rsidR="002A4459" w:rsidRPr="005C098C" w:rsidRDefault="002A4459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Poremećaji imunskog sistema </w:t>
      </w:r>
    </w:p>
    <w:p w14:paraId="239B0394" w14:textId="5E244E57" w:rsidR="002A4459" w:rsidRPr="00614E89" w:rsidRDefault="002A4459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614E89">
        <w:rPr>
          <w:sz w:val="22"/>
          <w:szCs w:val="22"/>
          <w:lang w:val="sr-Latn-ME"/>
        </w:rPr>
        <w:t>Reakcije preosjetljivosti, anafilaktičke reakcije, astma, angioedema.</w:t>
      </w:r>
    </w:p>
    <w:p w14:paraId="46BA7169" w14:textId="77777777" w:rsidR="002A4459" w:rsidRPr="005C098C" w:rsidRDefault="002A445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459581A" w14:textId="77777777" w:rsidR="002A4459" w:rsidRPr="005C098C" w:rsidRDefault="002A4459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Poremećajni nervnog sistema </w:t>
      </w:r>
    </w:p>
    <w:p w14:paraId="2295D781" w14:textId="6CFBD80F" w:rsidR="002A4459" w:rsidRPr="005C098C" w:rsidRDefault="002A4459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Glavobolja, vrtoglavica, osjećaj gubitka sluha, tinitus, koje uglavnom ukazuju na predoziranje. </w:t>
      </w:r>
    </w:p>
    <w:p w14:paraId="799DA8FA" w14:textId="573F0174" w:rsidR="002A4459" w:rsidRPr="005C098C" w:rsidRDefault="002A4459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Intrakranijalna hemoragija.</w:t>
      </w:r>
    </w:p>
    <w:p w14:paraId="09D48D76" w14:textId="4112B3DB" w:rsidR="002A4459" w:rsidRDefault="002A445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8A9FBF" w14:textId="77777777" w:rsidR="00A01A69" w:rsidRPr="005C098C" w:rsidRDefault="00A01A6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F0F187" w14:textId="77777777" w:rsidR="002A4459" w:rsidRPr="005C098C" w:rsidRDefault="002A4459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lastRenderedPageBreak/>
        <w:t xml:space="preserve">Gastrointestinalni poremećaji </w:t>
      </w:r>
    </w:p>
    <w:p w14:paraId="196EA3E8" w14:textId="56D0B5C5" w:rsidR="002A4459" w:rsidRPr="005C098C" w:rsidRDefault="002A4459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Bol u abdomenu. </w:t>
      </w:r>
    </w:p>
    <w:p w14:paraId="4492C948" w14:textId="0F7B978D" w:rsidR="002A4459" w:rsidRPr="005C098C" w:rsidRDefault="002A4459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Dijareja. </w:t>
      </w:r>
    </w:p>
    <w:p w14:paraId="4E40AC5E" w14:textId="0A23A693" w:rsidR="002A4459" w:rsidRPr="005C098C" w:rsidRDefault="002A4459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Okultna ili vidljiva gastrointestinalna hemoragija (hematemeza, melena, itd.) koja dovodi do anemije usled nedostatka gvožđa. Rizik od krvarenja je dozno zavisan. </w:t>
      </w:r>
    </w:p>
    <w:p w14:paraId="3A43AC94" w14:textId="41EA7AC7" w:rsidR="002A4459" w:rsidRPr="005C098C" w:rsidRDefault="002A4459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Gastrične ulceracije i perforacije.</w:t>
      </w:r>
    </w:p>
    <w:p w14:paraId="108D3DF6" w14:textId="77777777" w:rsidR="00AC3122" w:rsidRPr="005C098C" w:rsidRDefault="00AC3122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58EAE3B" w14:textId="565A4E54" w:rsidR="00AC3122" w:rsidRPr="005C098C" w:rsidRDefault="00AC3122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 slučaju prijethodnog oštećenja intestinalne mukoze u lumenu creva se može formirati više membrana, što potencijalno može dovesti do stenoze (naročito u slučaju dugotrajne terapije).</w:t>
      </w:r>
    </w:p>
    <w:p w14:paraId="23818838" w14:textId="77777777" w:rsidR="003C5B87" w:rsidRPr="005C098C" w:rsidRDefault="003C5B87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2F94C19" w14:textId="77777777" w:rsidR="003C5B87" w:rsidRPr="005C098C" w:rsidRDefault="003C5B87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Hepatobilijarni poremećaji </w:t>
      </w:r>
    </w:p>
    <w:p w14:paraId="3B5397A6" w14:textId="68E609BC" w:rsidR="003C5B87" w:rsidRPr="005C098C" w:rsidRDefault="003C5B87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Povećana vrijednost enzima jetre, uglavnom reverzibilno po prestanku l</w:t>
      </w:r>
      <w:r w:rsidR="008D05BD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ečenja; oštećenje jetre, uglavnom hepatocelularno.</w:t>
      </w:r>
    </w:p>
    <w:p w14:paraId="78BCD9F1" w14:textId="77777777" w:rsidR="00F34EE9" w:rsidRPr="005C098C" w:rsidRDefault="00F34EE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F727941" w14:textId="77777777" w:rsidR="00F34EE9" w:rsidRPr="005C098C" w:rsidRDefault="00F34EE9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Poremećaji kože i potkožnog tkiva </w:t>
      </w:r>
    </w:p>
    <w:p w14:paraId="0001F827" w14:textId="5BF56E1D" w:rsidR="00F34EE9" w:rsidRPr="005C098C" w:rsidRDefault="00F34EE9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Urtikarija, reakcije na koži.</w:t>
      </w:r>
    </w:p>
    <w:p w14:paraId="1D95E735" w14:textId="77777777" w:rsidR="00F34EE9" w:rsidRPr="005C098C" w:rsidRDefault="00F34EE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68B05E3" w14:textId="77777777" w:rsidR="00F34EE9" w:rsidRPr="005C098C" w:rsidRDefault="00F34EE9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Opšti poremećaji </w:t>
      </w:r>
    </w:p>
    <w:p w14:paraId="1AD38B29" w14:textId="60A594AE" w:rsidR="00F34EE9" w:rsidRPr="005C098C" w:rsidRDefault="00F34EE9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i/>
          <w:iCs/>
          <w:sz w:val="22"/>
          <w:szCs w:val="22"/>
          <w:lang w:val="sr-Latn-ME"/>
        </w:rPr>
        <w:t>Rey</w:t>
      </w:r>
      <w:r w:rsidRPr="005C098C">
        <w:rPr>
          <w:sz w:val="22"/>
          <w:szCs w:val="22"/>
          <w:lang w:val="sr-Latn-ME"/>
        </w:rPr>
        <w:t xml:space="preserve">-ev sindrom (vidjeti </w:t>
      </w:r>
      <w:r w:rsidR="00614E89">
        <w:rPr>
          <w:sz w:val="22"/>
          <w:szCs w:val="22"/>
          <w:lang w:val="sr-Latn-ME"/>
        </w:rPr>
        <w:t>dio</w:t>
      </w:r>
      <w:r w:rsidRPr="005C098C">
        <w:rPr>
          <w:sz w:val="22"/>
          <w:szCs w:val="22"/>
          <w:lang w:val="sr-Latn-ME"/>
        </w:rPr>
        <w:t xml:space="preserve"> 4.4).</w:t>
      </w:r>
    </w:p>
    <w:p w14:paraId="60C179B9" w14:textId="77777777" w:rsidR="003044C1" w:rsidRPr="005C098C" w:rsidRDefault="003044C1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967AA0F" w14:textId="27CA9DB5" w:rsidR="003044C1" w:rsidRPr="005C098C" w:rsidRDefault="003044C1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14E89">
        <w:rPr>
          <w:sz w:val="22"/>
          <w:szCs w:val="22"/>
          <w:u w:val="single"/>
          <w:lang w:val="sr-Latn-ME"/>
        </w:rPr>
        <w:t>Neželjena dejstva koja su prijavljena, a povezana su sa upotrebom askorbinske kiseline</w:t>
      </w:r>
      <w:r w:rsidRPr="005C098C">
        <w:rPr>
          <w:sz w:val="22"/>
          <w:szCs w:val="22"/>
          <w:lang w:val="sr-Latn-ME"/>
        </w:rPr>
        <w:t>, nepoznata učestalost (ne može se proc</w:t>
      </w:r>
      <w:r w:rsidR="004B2A2A">
        <w:rPr>
          <w:sz w:val="22"/>
          <w:szCs w:val="22"/>
          <w:lang w:val="sr-Latn-ME"/>
        </w:rPr>
        <w:t>i</w:t>
      </w:r>
      <w:r w:rsidRPr="005C098C">
        <w:rPr>
          <w:sz w:val="22"/>
          <w:szCs w:val="22"/>
          <w:lang w:val="sr-Latn-ME"/>
        </w:rPr>
        <w:t>jeniti na osnovu dostupnih podataka):</w:t>
      </w:r>
    </w:p>
    <w:p w14:paraId="06FC8BA7" w14:textId="77777777" w:rsidR="0052781F" w:rsidRPr="005C098C" w:rsidRDefault="0052781F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CC9E8BD" w14:textId="77777777" w:rsidR="0052781F" w:rsidRPr="005C098C" w:rsidRDefault="0052781F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Poremećaji imunskog sistema </w:t>
      </w:r>
    </w:p>
    <w:p w14:paraId="21863ACB" w14:textId="1C46E46B" w:rsidR="0052781F" w:rsidRPr="005C098C" w:rsidRDefault="0052781F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Reakcije preosjetljivosti, anafilaktički šok.</w:t>
      </w:r>
    </w:p>
    <w:p w14:paraId="33C4BF44" w14:textId="77777777" w:rsidR="00070F28" w:rsidRPr="005C098C" w:rsidRDefault="00070F2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890662" w14:textId="77777777" w:rsidR="00070F28" w:rsidRPr="005C098C" w:rsidRDefault="00070F28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Gastrointestinalni poremećaji </w:t>
      </w:r>
    </w:p>
    <w:p w14:paraId="1DEA5D49" w14:textId="4AC9B11F" w:rsidR="00070F28" w:rsidRPr="008D05BD" w:rsidRDefault="00070F28" w:rsidP="00B82776">
      <w:pPr>
        <w:pStyle w:val="ListParagraph"/>
        <w:numPr>
          <w:ilvl w:val="1"/>
          <w:numId w:val="32"/>
        </w:numPr>
        <w:ind w:left="180" w:hanging="180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Dijareja, mučnina, povraćanje, bol u gastrointestinalnom traktu, bol u adbomenu.</w:t>
      </w:r>
    </w:p>
    <w:p w14:paraId="4C1B6031" w14:textId="77777777" w:rsidR="008D05BD" w:rsidRPr="005C098C" w:rsidRDefault="008D05BD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A878F2" w14:textId="77777777" w:rsidR="005A23D2" w:rsidRPr="005C098C" w:rsidRDefault="005A23D2" w:rsidP="00B82776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5C098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134CF3A" w14:textId="77777777" w:rsidR="005A23D2" w:rsidRPr="005C098C" w:rsidRDefault="005A23D2" w:rsidP="00B82776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5C098C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5C098C">
        <w:rPr>
          <w:rFonts w:eastAsia="Calibri"/>
          <w:sz w:val="22"/>
          <w:szCs w:val="22"/>
          <w:lang w:val="sr-Latn-ME"/>
        </w:rPr>
        <w:t>inuirano praćenje odnosa korist</w:t>
      </w:r>
      <w:r w:rsidRPr="005C098C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5C098C">
        <w:rPr>
          <w:rFonts w:eastAsia="Calibri"/>
          <w:sz w:val="22"/>
          <w:szCs w:val="22"/>
          <w:lang w:val="sr-Latn-ME"/>
        </w:rPr>
        <w:t xml:space="preserve"> </w:t>
      </w:r>
      <w:r w:rsidRPr="005C098C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5C098C">
        <w:rPr>
          <w:rFonts w:eastAsia="Calibri"/>
          <w:sz w:val="22"/>
          <w:szCs w:val="22"/>
          <w:lang w:val="sr-Latn-ME"/>
        </w:rPr>
        <w:t>Institutu</w:t>
      </w:r>
      <w:r w:rsidRPr="005C098C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5C098C">
        <w:rPr>
          <w:rFonts w:eastAsia="Calibri"/>
          <w:sz w:val="22"/>
          <w:szCs w:val="22"/>
          <w:lang w:val="sr-Latn-ME"/>
        </w:rPr>
        <w:t xml:space="preserve"> </w:t>
      </w:r>
      <w:r w:rsidRPr="005C098C">
        <w:rPr>
          <w:rFonts w:eastAsia="Calibri"/>
          <w:sz w:val="22"/>
          <w:szCs w:val="22"/>
          <w:lang w:val="sr-Latn-ME"/>
        </w:rPr>
        <w:t>(</w:t>
      </w:r>
      <w:r w:rsidR="004E70AD" w:rsidRPr="005C098C">
        <w:rPr>
          <w:rFonts w:eastAsia="Calibri"/>
          <w:sz w:val="22"/>
          <w:szCs w:val="22"/>
          <w:lang w:val="sr-Latn-ME"/>
        </w:rPr>
        <w:t>CInMED</w:t>
      </w:r>
      <w:r w:rsidRPr="005C098C">
        <w:rPr>
          <w:rFonts w:eastAsia="Calibri"/>
          <w:sz w:val="22"/>
          <w:szCs w:val="22"/>
          <w:lang w:val="sr-Latn-ME"/>
        </w:rPr>
        <w:t>):</w:t>
      </w:r>
    </w:p>
    <w:p w14:paraId="71FED2D0" w14:textId="77777777" w:rsidR="005A23D2" w:rsidRPr="005C098C" w:rsidRDefault="004E70AD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098C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5C098C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7EA613C" w14:textId="77777777" w:rsidR="005A23D2" w:rsidRPr="005C098C" w:rsidRDefault="005A23D2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098C">
        <w:rPr>
          <w:rFonts w:eastAsia="Calibri"/>
          <w:sz w:val="22"/>
          <w:szCs w:val="22"/>
          <w:lang w:val="sr-Latn-ME"/>
        </w:rPr>
        <w:t>Odjeljenje za farmakovigilancu</w:t>
      </w:r>
    </w:p>
    <w:p w14:paraId="55A11562" w14:textId="77777777" w:rsidR="00EA5765" w:rsidRPr="005C098C" w:rsidRDefault="005A23D2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098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FBE4199" w14:textId="77777777" w:rsidR="00EA5765" w:rsidRPr="005C098C" w:rsidRDefault="00EA5765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0E73AC2" w14:textId="77777777" w:rsidR="005A23D2" w:rsidRPr="005C098C" w:rsidRDefault="005A23D2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098C">
        <w:rPr>
          <w:rFonts w:eastAsia="Calibri"/>
          <w:sz w:val="22"/>
          <w:szCs w:val="22"/>
          <w:lang w:val="sr-Latn-ME"/>
        </w:rPr>
        <w:t>tel: +382 (0) 20 310 280</w:t>
      </w:r>
    </w:p>
    <w:p w14:paraId="21C61CD0" w14:textId="77777777" w:rsidR="00EA5765" w:rsidRPr="005C098C" w:rsidRDefault="005A23D2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098C">
        <w:rPr>
          <w:rFonts w:eastAsia="Calibri"/>
          <w:sz w:val="22"/>
          <w:szCs w:val="22"/>
          <w:lang w:val="sr-Latn-ME"/>
        </w:rPr>
        <w:t>fax:</w:t>
      </w:r>
      <w:r w:rsidR="00EA5765" w:rsidRPr="005C098C">
        <w:rPr>
          <w:rFonts w:eastAsia="Calibri"/>
          <w:sz w:val="22"/>
          <w:szCs w:val="22"/>
          <w:lang w:val="sr-Latn-ME"/>
        </w:rPr>
        <w:t xml:space="preserve"> </w:t>
      </w:r>
      <w:r w:rsidRPr="005C098C">
        <w:rPr>
          <w:rFonts w:eastAsia="Calibri"/>
          <w:sz w:val="22"/>
          <w:szCs w:val="22"/>
          <w:lang w:val="sr-Latn-ME"/>
        </w:rPr>
        <w:t>+382 (0) 20 310 581</w:t>
      </w:r>
    </w:p>
    <w:p w14:paraId="484C2676" w14:textId="77777777" w:rsidR="005A23D2" w:rsidRPr="005C098C" w:rsidRDefault="00F405EE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5C098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C6C60F9" w14:textId="77777777" w:rsidR="00EA5765" w:rsidRPr="005C098C" w:rsidRDefault="00F405EE" w:rsidP="00B8277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5C098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4D0FDB5" w14:textId="77777777" w:rsidR="005A23D2" w:rsidRDefault="005A23D2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C098C">
        <w:rPr>
          <w:rFonts w:eastAsia="Calibri"/>
          <w:sz w:val="22"/>
          <w:szCs w:val="22"/>
          <w:lang w:val="sr-Latn-ME"/>
        </w:rPr>
        <w:t>putem IS zdravstvene zaštite</w:t>
      </w:r>
    </w:p>
    <w:p w14:paraId="1E0D5225" w14:textId="73E1E4BD" w:rsidR="00A917BB" w:rsidRDefault="00A917BB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917BB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74357E1F" w14:textId="77777777" w:rsidR="00354B70" w:rsidRDefault="00354B70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E32BA59" w14:textId="4B614C14" w:rsidR="00A917BB" w:rsidRPr="005C098C" w:rsidRDefault="00271737" w:rsidP="00B8277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3B7DD06C" wp14:editId="0970E72D">
            <wp:extent cx="969645" cy="9696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A1ED01" w14:textId="2E20ACD3" w:rsidR="00836B35" w:rsidRDefault="00836B35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692D732" w14:textId="6FC869D1" w:rsidR="00A01A69" w:rsidRDefault="00A01A69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6907CBF" w14:textId="085A35FC" w:rsidR="00A01A69" w:rsidRDefault="00A01A69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D5B63A" w14:textId="53D99A84" w:rsidR="00A01A69" w:rsidRDefault="00A01A69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099331" w14:textId="77777777" w:rsidR="00A01A69" w:rsidRPr="005C098C" w:rsidRDefault="00A01A69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F0E40EB" w14:textId="77777777" w:rsidR="00CD6F02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Predoziranje</w:t>
      </w:r>
      <w:r w:rsidR="002846DB" w:rsidRPr="005C098C">
        <w:rPr>
          <w:b/>
          <w:bCs/>
          <w:sz w:val="22"/>
          <w:szCs w:val="22"/>
          <w:lang w:val="sr-Latn-ME"/>
        </w:rPr>
        <w:t xml:space="preserve"> </w:t>
      </w:r>
    </w:p>
    <w:p w14:paraId="3017D4A0" w14:textId="77777777" w:rsidR="00227BDB" w:rsidRPr="005C098C" w:rsidRDefault="00227BDB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B8155EB" w14:textId="60290212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Toksičnost salicilata može biti posljedica hroničnog, terapijskog predoziranja i potencijalno životno ugrožavajućeg akutnog trovanja (predoziranje usljed nehotimičnog unosa kod djece, uključujući slučajnu intoksikaciju). </w:t>
      </w:r>
    </w:p>
    <w:p w14:paraId="20416301" w14:textId="77777777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3BC9E34D" w14:textId="5A919927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Hronično trovanje salicilatima može biti “podmuklo”, s obzirom na to da su znaci i simptomi nespecifični. Blago trovanje salicilatima se generalno javlja nakon ponovljene prim</w:t>
      </w:r>
      <w:r w:rsidR="00D2349E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ene velikih doza (&gt; 100 mg/kg/dan tokom 2 dana može biti toksično). Simptomi uključuju pospanost, vrtoglavicu, tinitus, oštećenje sluha, znojenje, mučninu i povraćanje, glavobolju i konfuziju i mogu se kontrolisati smanjenjem doze. </w:t>
      </w:r>
    </w:p>
    <w:p w14:paraId="1EAD5ACA" w14:textId="77777777" w:rsidR="00D2349E" w:rsidRPr="005C098C" w:rsidRDefault="00D2349E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4B21CD06" w14:textId="39803A7B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Glavna karakteristika akutnog trovanja je težak acido-bazni disbalans, koji može da varira u zavisnosti od starosti pacijenta i težine trovanja. Najčešći znak akutnog trovanja kod d</w:t>
      </w:r>
      <w:r w:rsidR="00D2349E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ece je metabolička acidoza. Težina trovanja ne može se proc</w:t>
      </w:r>
      <w:r w:rsidR="004B2A2A">
        <w:rPr>
          <w:sz w:val="22"/>
          <w:szCs w:val="22"/>
          <w:lang w:val="sr-Latn-ME"/>
        </w:rPr>
        <w:t>i</w:t>
      </w:r>
      <w:r w:rsidR="00D2349E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eniti samo na osnovu koncentracije u plazmi. Resorpcija acetilsalicilne kiseline može biti odložena smanjenjem pražnjenja želuca, stvaranjem konkrementa u želucu ili kao rezultat ingestije gastrorezistentnih l</w:t>
      </w:r>
      <w:r w:rsidR="008D05BD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ekova. Tinitus se može javiti pri koncentracijama u plazmi od 150 do 300 mikrograma/m</w:t>
      </w:r>
      <w:r w:rsidR="004B2A2A">
        <w:rPr>
          <w:sz w:val="22"/>
          <w:szCs w:val="22"/>
          <w:lang w:val="sr-Latn-ME"/>
        </w:rPr>
        <w:t>l</w:t>
      </w:r>
      <w:r w:rsidRPr="005C098C">
        <w:rPr>
          <w:sz w:val="22"/>
          <w:szCs w:val="22"/>
          <w:lang w:val="sr-Latn-ME"/>
        </w:rPr>
        <w:t>. Dalje teška neželjena dejstva mogu da se jave pri koncentraciji iznad 300 mikrograma/m</w:t>
      </w:r>
      <w:r w:rsidR="004B2A2A">
        <w:rPr>
          <w:sz w:val="22"/>
          <w:szCs w:val="22"/>
          <w:lang w:val="sr-Latn-ME"/>
        </w:rPr>
        <w:t>l</w:t>
      </w:r>
      <w:r w:rsidRPr="005C098C">
        <w:rPr>
          <w:sz w:val="22"/>
          <w:szCs w:val="22"/>
          <w:lang w:val="sr-Latn-ME"/>
        </w:rPr>
        <w:t xml:space="preserve">. </w:t>
      </w:r>
    </w:p>
    <w:p w14:paraId="628330D6" w14:textId="77777777" w:rsidR="009E5613" w:rsidRPr="005C098C" w:rsidRDefault="009E5613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6AC34707" w14:textId="77777777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Patofiziološki efekti trovanja salicilatima su složeni. </w:t>
      </w:r>
    </w:p>
    <w:p w14:paraId="5DF56F96" w14:textId="77777777" w:rsidR="009E5613" w:rsidRPr="005C098C" w:rsidRDefault="009E5613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6088CE4D" w14:textId="3CC92477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Blago do um</w:t>
      </w:r>
      <w:r w:rsidR="004B2A2A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ereno trovanje manifestuje se kao mučnina, povraćanje, tahipneja, hiperventilacija, respiratorna alkaloza i dijaforeza. </w:t>
      </w:r>
    </w:p>
    <w:p w14:paraId="7FB040C1" w14:textId="77777777" w:rsidR="00AD1284" w:rsidRPr="005C098C" w:rsidRDefault="00AD1284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7B5F5C5A" w14:textId="1FC5E968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Znaci um</w:t>
      </w:r>
      <w:r w:rsidR="004B2A2A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erenog do teškog trovanja su: respiratorna alkaloza sa kompenzatornom metaboličkom acidozom, hiperpireksija, poremećaji metabolizma glukoze i ketoza, tinitus, gluvoća, gastrointestinalno krvarenje, respiratorni poremećaji (od hiperventilacije do respiratornog aresta), kardiovskularni poremećaji (od aritmije do kardiovaskularnog šoka), poremećaji elektrolita i tečnosti (od dehidratacije do otkazivanja bubrega), hematološka stanja (od antitrombocitnih dejstava do koagulopatije), toksična encefalopatija i depresija CNS-a (od letargije do kome i epileptičnih napada). </w:t>
      </w:r>
    </w:p>
    <w:p w14:paraId="27B11DA2" w14:textId="77777777" w:rsidR="00AD1284" w:rsidRPr="005C098C" w:rsidRDefault="00AD1284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1466D69E" w14:textId="50CA8A85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Kod d</w:t>
      </w:r>
      <w:r w:rsidR="00AD1284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ece, predoziranje može biti sa smrtnim ishodom pri pojedinačnoj dozi od 100 mg/kg. </w:t>
      </w:r>
    </w:p>
    <w:p w14:paraId="0530F2C7" w14:textId="77777777" w:rsidR="00AD1284" w:rsidRPr="005C098C" w:rsidRDefault="00AD1284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484430DB" w14:textId="77777777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Terapija trovanja acetilsalicilnom kiselinom zavisi od obima, težine i kliničkih simptoma i zasniva se na standardizovanim procedurama kod trovanja. U težim slučajevima može biti neophodna hemodijaliza. </w:t>
      </w:r>
    </w:p>
    <w:p w14:paraId="7B132A01" w14:textId="6ACB74BD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Potrebno je da prve hitne m</w:t>
      </w:r>
      <w:r w:rsidR="00AD1284" w:rsidRPr="005C098C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ere budu ubrzana ekskrecija l</w:t>
      </w:r>
      <w:r w:rsidR="00AD1284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eka i uspostavljanje acidobazne ravnoteže, kao i ravnotež</w:t>
      </w:r>
      <w:r w:rsidR="00E02EF2" w:rsidRPr="005C098C">
        <w:rPr>
          <w:sz w:val="22"/>
          <w:szCs w:val="22"/>
          <w:lang w:val="sr-Latn-ME"/>
        </w:rPr>
        <w:t>e elektrolita</w:t>
      </w:r>
      <w:r w:rsidRPr="005C098C">
        <w:rPr>
          <w:sz w:val="22"/>
          <w:szCs w:val="22"/>
          <w:lang w:val="sr-Latn-ME"/>
        </w:rPr>
        <w:t xml:space="preserve">. </w:t>
      </w:r>
    </w:p>
    <w:p w14:paraId="01CC06B8" w14:textId="39404841" w:rsidR="00F97C72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Pojedinačni slučajevi akutnih i hroničnih predoziranja askorbinskom kiselinom su prikazani u literaturi. </w:t>
      </w:r>
    </w:p>
    <w:p w14:paraId="7220BE1A" w14:textId="77777777" w:rsidR="00614E89" w:rsidRPr="005C098C" w:rsidRDefault="00614E89" w:rsidP="00B82776">
      <w:pPr>
        <w:pStyle w:val="Default"/>
        <w:jc w:val="both"/>
        <w:rPr>
          <w:sz w:val="18"/>
          <w:szCs w:val="18"/>
          <w:lang w:val="sr-Latn-ME"/>
        </w:rPr>
      </w:pPr>
    </w:p>
    <w:p w14:paraId="0B2A6C02" w14:textId="77777777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Predoziranje askorbinskom kiselinom može dovesti do oksidativne hemolize kod pacijenata sa nedostatkom glukoza-6-fosfat dehidrogenaze, diseminovane intravaskularne koagulacije i značajnog povećanja koncentracije oksalata u serumu i urinu. </w:t>
      </w:r>
    </w:p>
    <w:p w14:paraId="757E2DD1" w14:textId="77777777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Povećana koncentracija oksalata dovodi do stvaranja depozita kalcijum oksalata kod pacijenata na dijalizi. </w:t>
      </w:r>
    </w:p>
    <w:p w14:paraId="14176DFF" w14:textId="77777777" w:rsidR="00A01A69" w:rsidRDefault="00A01A69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01856C71" w14:textId="398A9232" w:rsidR="00F97C72" w:rsidRPr="005C098C" w:rsidRDefault="00F97C72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Osim toga, postoji nekoliko izv</w:t>
      </w:r>
      <w:r w:rsidR="004B2A2A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>eštaja koji pokazuju da velike doze vitamina C prim</w:t>
      </w:r>
      <w:r w:rsidR="004B2A2A">
        <w:rPr>
          <w:sz w:val="22"/>
          <w:szCs w:val="22"/>
          <w:lang w:val="sr-Latn-ME"/>
        </w:rPr>
        <w:t>i</w:t>
      </w:r>
      <w:r w:rsidR="008D05BD">
        <w:rPr>
          <w:sz w:val="22"/>
          <w:szCs w:val="22"/>
          <w:lang w:val="sr-Latn-ME"/>
        </w:rPr>
        <w:t>j</w:t>
      </w:r>
      <w:r w:rsidRPr="005C098C">
        <w:rPr>
          <w:sz w:val="22"/>
          <w:szCs w:val="22"/>
          <w:lang w:val="sr-Latn-ME"/>
        </w:rPr>
        <w:t xml:space="preserve">enjenog oralno ili intravenski mogu izazvati stvaranje depozita kalcijum oksalata, kalcijum oksalat kristalurije, a kod pacijenata koji imaju predispoziciju za povećanu agregaciju kristala, tubulointersticijalnu nefropatiju i akutnu insuficijenciju bubrega. </w:t>
      </w:r>
    </w:p>
    <w:p w14:paraId="489228AB" w14:textId="51BD6F55" w:rsidR="00BF3E7E" w:rsidRDefault="00BF3E7E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6B64F04F" w14:textId="77777777" w:rsidR="004B2A2A" w:rsidRPr="005C098C" w:rsidRDefault="004B2A2A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1D44CEFA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5.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FARMAKOLOŠK</w:t>
      </w:r>
      <w:r w:rsidR="000D425A" w:rsidRPr="005C098C">
        <w:rPr>
          <w:b/>
          <w:bCs/>
          <w:sz w:val="22"/>
          <w:szCs w:val="22"/>
          <w:lang w:val="sr-Latn-ME"/>
        </w:rPr>
        <w:t>I</w:t>
      </w:r>
      <w:r w:rsidRPr="005C098C">
        <w:rPr>
          <w:b/>
          <w:bCs/>
          <w:sz w:val="22"/>
          <w:szCs w:val="22"/>
          <w:lang w:val="sr-Latn-ME"/>
        </w:rPr>
        <w:t xml:space="preserve"> PODACI</w:t>
      </w:r>
    </w:p>
    <w:p w14:paraId="73C4FFEB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79AD5ED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5.1.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Farmakodinamski podaci</w:t>
      </w:r>
      <w:r w:rsidR="003A7059" w:rsidRPr="005C098C">
        <w:rPr>
          <w:b/>
          <w:bCs/>
          <w:sz w:val="22"/>
          <w:szCs w:val="22"/>
          <w:lang w:val="sr-Latn-ME"/>
        </w:rPr>
        <w:t xml:space="preserve"> </w:t>
      </w:r>
    </w:p>
    <w:p w14:paraId="3A0DD32B" w14:textId="77777777" w:rsidR="00F45F77" w:rsidRPr="005C098C" w:rsidRDefault="00F45F77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F6AEBF1" w14:textId="1E4D7202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lastRenderedPageBreak/>
        <w:t>Farmakoterapijska grupa:</w:t>
      </w:r>
      <w:r w:rsidR="00FC4398" w:rsidRPr="005C098C">
        <w:rPr>
          <w:bCs/>
          <w:sz w:val="22"/>
          <w:szCs w:val="22"/>
          <w:lang w:val="sr-Latn-ME"/>
        </w:rPr>
        <w:t xml:space="preserve"> </w:t>
      </w:r>
      <w:r w:rsidR="0048320B" w:rsidRPr="008D05BD">
        <w:rPr>
          <w:sz w:val="22"/>
          <w:szCs w:val="22"/>
          <w:lang w:val="sr-Latn-ME"/>
        </w:rPr>
        <w:t>analgetici</w:t>
      </w:r>
      <w:r w:rsidR="00FC4398" w:rsidRPr="008D05BD">
        <w:rPr>
          <w:sz w:val="22"/>
          <w:szCs w:val="22"/>
          <w:lang w:val="sr-Latn-ME"/>
        </w:rPr>
        <w:t>, ostali analgetici i antipiretici</w:t>
      </w:r>
    </w:p>
    <w:p w14:paraId="03EA55CB" w14:textId="1C1B8840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EA0D09" w14:textId="190E07D3" w:rsidR="0072020E" w:rsidRPr="00893FAB" w:rsidRDefault="0072020E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C098C">
        <w:rPr>
          <w:bCs/>
          <w:sz w:val="22"/>
          <w:szCs w:val="22"/>
          <w:lang w:val="sr-Latn-ME"/>
        </w:rPr>
        <w:t>ATC kod:</w:t>
      </w:r>
      <w:r w:rsidR="00FC4398" w:rsidRPr="005C098C">
        <w:rPr>
          <w:bCs/>
          <w:sz w:val="22"/>
          <w:szCs w:val="22"/>
          <w:lang w:val="sr-Latn-ME"/>
        </w:rPr>
        <w:t xml:space="preserve"> </w:t>
      </w:r>
      <w:r w:rsidR="00FC4398" w:rsidRPr="008D05BD">
        <w:rPr>
          <w:sz w:val="22"/>
          <w:szCs w:val="22"/>
          <w:lang w:val="sr-Latn-ME"/>
        </w:rPr>
        <w:t>N02BA51</w:t>
      </w:r>
    </w:p>
    <w:p w14:paraId="3AD3A84C" w14:textId="77777777" w:rsidR="00CE4A10" w:rsidRPr="008D05BD" w:rsidRDefault="00CE4A10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A4EEC90" w14:textId="4D81A230" w:rsidR="00FC4398" w:rsidRPr="005C098C" w:rsidRDefault="00CE4A10" w:rsidP="00B8277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C098C">
        <w:rPr>
          <w:sz w:val="22"/>
          <w:szCs w:val="22"/>
          <w:u w:val="single"/>
          <w:lang w:val="sr-Latn-ME"/>
        </w:rPr>
        <w:t>Acetilsalicilna kiselina</w:t>
      </w:r>
    </w:p>
    <w:p w14:paraId="5ACB0D8C" w14:textId="77777777" w:rsidR="00CE4A10" w:rsidRPr="005C098C" w:rsidRDefault="00CE4A10" w:rsidP="00B8277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DC74894" w14:textId="075058A7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 xml:space="preserve">Acetilsalicilna kiselina pripada klasi </w:t>
      </w:r>
      <w:r w:rsidRPr="00893FAB">
        <w:rPr>
          <w:bCs/>
          <w:sz w:val="22"/>
          <w:szCs w:val="22"/>
          <w:lang w:val="sr-Latn-ME"/>
        </w:rPr>
        <w:t>nesteroidnih antiinflamatornih ljekova sa analgetičkim</w:t>
      </w:r>
      <w:r w:rsidRPr="008D05BD">
        <w:rPr>
          <w:sz w:val="22"/>
          <w:szCs w:val="22"/>
          <w:lang w:val="sr-Latn-ME"/>
        </w:rPr>
        <w:t>, antipiretičkim, antiinflamatornim i antiagregacijskim osobinama.</w:t>
      </w:r>
    </w:p>
    <w:p w14:paraId="01382259" w14:textId="6746CAB3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 xml:space="preserve">Mehanizam dejstva je ireverzibilna inhibicija enzima ciklooksigenaze, koji </w:t>
      </w:r>
      <w:r w:rsidR="0056795D" w:rsidRPr="008D05BD">
        <w:rPr>
          <w:sz w:val="22"/>
          <w:szCs w:val="22"/>
          <w:lang w:val="sr-Latn-ME"/>
        </w:rPr>
        <w:t>učestvuje u sintezi prostaglandina</w:t>
      </w:r>
      <w:r w:rsidRPr="008D05BD">
        <w:rPr>
          <w:sz w:val="22"/>
          <w:szCs w:val="22"/>
          <w:lang w:val="sr-Latn-ME"/>
        </w:rPr>
        <w:t xml:space="preserve">. </w:t>
      </w:r>
    </w:p>
    <w:p w14:paraId="51FE2466" w14:textId="27BC6BA7" w:rsidR="00FC4398" w:rsidRPr="005C098C" w:rsidRDefault="00FC4398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091049" w14:textId="504244A1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 xml:space="preserve">Acetilsalicilna kiselina se koristi u oralnim </w:t>
      </w:r>
      <w:r w:rsidR="00882DD7" w:rsidRPr="00893FAB">
        <w:rPr>
          <w:sz w:val="22"/>
          <w:szCs w:val="22"/>
          <w:lang w:val="sr-Latn-ME"/>
        </w:rPr>
        <w:t xml:space="preserve">oblicima u </w:t>
      </w:r>
      <w:r w:rsidRPr="008D05BD">
        <w:rPr>
          <w:sz w:val="22"/>
          <w:szCs w:val="22"/>
          <w:lang w:val="sr-Latn-ME"/>
        </w:rPr>
        <w:t xml:space="preserve">dozama </w:t>
      </w:r>
      <w:r w:rsidR="00DE7849" w:rsidRPr="008D05BD">
        <w:rPr>
          <w:sz w:val="22"/>
          <w:szCs w:val="22"/>
          <w:lang w:val="sr-Latn-ME"/>
        </w:rPr>
        <w:t>od 0,3 g do</w:t>
      </w:r>
      <w:r w:rsidRPr="008D05BD">
        <w:rPr>
          <w:sz w:val="22"/>
          <w:szCs w:val="22"/>
          <w:lang w:val="sr-Latn-ME"/>
        </w:rPr>
        <w:t xml:space="preserve"> 1</w:t>
      </w:r>
      <w:r w:rsidR="00DE7849" w:rsidRPr="008D05BD">
        <w:rPr>
          <w:sz w:val="22"/>
          <w:szCs w:val="22"/>
          <w:lang w:val="sr-Latn-ME"/>
        </w:rPr>
        <w:t xml:space="preserve"> </w:t>
      </w:r>
      <w:r w:rsidRPr="008D05BD">
        <w:rPr>
          <w:sz w:val="22"/>
          <w:szCs w:val="22"/>
          <w:lang w:val="sr-Latn-ME"/>
        </w:rPr>
        <w:t xml:space="preserve">g u </w:t>
      </w:r>
      <w:r w:rsidR="00D2422C" w:rsidRPr="008D05BD">
        <w:rPr>
          <w:sz w:val="22"/>
          <w:szCs w:val="22"/>
          <w:lang w:val="sr-Latn-ME"/>
        </w:rPr>
        <w:t>terapiji</w:t>
      </w:r>
      <w:r w:rsidRPr="008D05BD">
        <w:rPr>
          <w:sz w:val="22"/>
          <w:szCs w:val="22"/>
          <w:lang w:val="sr-Latn-ME"/>
        </w:rPr>
        <w:t xml:space="preserve"> blagog do umjerenog bola i </w:t>
      </w:r>
      <w:r w:rsidR="00D2422C" w:rsidRPr="008D05BD">
        <w:rPr>
          <w:sz w:val="22"/>
          <w:szCs w:val="22"/>
          <w:lang w:val="sr-Latn-ME"/>
        </w:rPr>
        <w:t>febrilnih stanja</w:t>
      </w:r>
      <w:r w:rsidRPr="008D05BD">
        <w:rPr>
          <w:sz w:val="22"/>
          <w:szCs w:val="22"/>
          <w:lang w:val="sr-Latn-ME"/>
        </w:rPr>
        <w:t xml:space="preserve">, za sniženje </w:t>
      </w:r>
      <w:r w:rsidR="00D2422C" w:rsidRPr="008D05BD">
        <w:rPr>
          <w:sz w:val="22"/>
          <w:szCs w:val="22"/>
          <w:lang w:val="sr-Latn-ME"/>
        </w:rPr>
        <w:t xml:space="preserve">tjelesne </w:t>
      </w:r>
      <w:r w:rsidRPr="008D05BD">
        <w:rPr>
          <w:sz w:val="22"/>
          <w:szCs w:val="22"/>
          <w:lang w:val="sr-Latn-ME"/>
        </w:rPr>
        <w:t xml:space="preserve">temperature i bolova u zglobovima i mišićima. </w:t>
      </w:r>
    </w:p>
    <w:p w14:paraId="445A4F8E" w14:textId="6754B98B" w:rsidR="00A52C29" w:rsidRPr="005C098C" w:rsidRDefault="00A52C2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Takođe se koristi u terapiji akutnih i hroničnih inflamatornih oboljenja kao što su reumatoidni artritis, osteoartritis i ankilozirajući spondilitis.</w:t>
      </w:r>
    </w:p>
    <w:p w14:paraId="6CF3D360" w14:textId="77777777" w:rsidR="00A52C29" w:rsidRPr="005C098C" w:rsidRDefault="00A52C2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5D37C8A" w14:textId="77777777" w:rsidR="00A52C29" w:rsidRPr="005C098C" w:rsidRDefault="00A52C29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Acetilsalicilna kiselina takođe inhibira agregaciju trombocita blokiranjem sinteze tromboksana A2 u trombocitima. Doze od 75 mg do 300 mg dnevno se koriste za razne kardiovaskularne indikacije. </w:t>
      </w:r>
    </w:p>
    <w:p w14:paraId="61CE777F" w14:textId="77777777" w:rsidR="009D4893" w:rsidRPr="005C098C" w:rsidRDefault="009D4893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4D5DBDEE" w14:textId="77777777" w:rsidR="00A52C29" w:rsidRPr="00614E89" w:rsidRDefault="00A52C29" w:rsidP="00B82776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614E89">
        <w:rPr>
          <w:sz w:val="22"/>
          <w:szCs w:val="22"/>
          <w:u w:val="single"/>
          <w:lang w:val="sr-Latn-ME"/>
        </w:rPr>
        <w:t xml:space="preserve">Askorbinska kiselina </w:t>
      </w:r>
    </w:p>
    <w:p w14:paraId="48CB2EA9" w14:textId="77777777" w:rsidR="009D4893" w:rsidRPr="005C098C" w:rsidRDefault="009D4893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204C40C9" w14:textId="15300C57" w:rsidR="00A52C29" w:rsidRPr="005C098C" w:rsidRDefault="00A52C29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Askorbinska kiselina, v</w:t>
      </w:r>
      <w:r w:rsidR="009D4893" w:rsidRPr="005C098C">
        <w:rPr>
          <w:sz w:val="22"/>
          <w:szCs w:val="22"/>
          <w:lang w:val="sr-Latn-ME"/>
        </w:rPr>
        <w:t>itamin rastvorljiv u vodi, je di</w:t>
      </w:r>
      <w:r w:rsidRPr="005C098C">
        <w:rPr>
          <w:sz w:val="22"/>
          <w:szCs w:val="22"/>
          <w:lang w:val="sr-Latn-ME"/>
        </w:rPr>
        <w:t>o zaštitnog sistema organizma od kiseoničnih radikala i drugih oksidanasa endogenog i egzogenog por</w:t>
      </w:r>
      <w:r w:rsidR="009D4893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 xml:space="preserve">ekla, koji takođe igraju određenu ulogu u zapaljenskim procesima i funkciji leukocita. I </w:t>
      </w:r>
      <w:r w:rsidRPr="005C098C">
        <w:rPr>
          <w:i/>
          <w:iCs/>
          <w:sz w:val="22"/>
          <w:szCs w:val="22"/>
          <w:lang w:val="sr-Latn-ME"/>
        </w:rPr>
        <w:t xml:space="preserve">in vitro </w:t>
      </w:r>
      <w:r w:rsidRPr="005C098C">
        <w:rPr>
          <w:sz w:val="22"/>
          <w:szCs w:val="22"/>
          <w:lang w:val="sr-Latn-ME"/>
        </w:rPr>
        <w:t xml:space="preserve">i </w:t>
      </w:r>
      <w:r w:rsidRPr="005C098C">
        <w:rPr>
          <w:i/>
          <w:iCs/>
          <w:sz w:val="22"/>
          <w:szCs w:val="22"/>
          <w:lang w:val="sr-Latn-ME"/>
        </w:rPr>
        <w:t xml:space="preserve">in vivo </w:t>
      </w:r>
      <w:r w:rsidRPr="005C098C">
        <w:rPr>
          <w:sz w:val="22"/>
          <w:szCs w:val="22"/>
          <w:lang w:val="sr-Latn-ME"/>
        </w:rPr>
        <w:t xml:space="preserve">eksperimenti ukazuju da askorbinska kiselina ima pozitivan uticaj na leukocitni imunski odgovor kod ljudi. </w:t>
      </w:r>
    </w:p>
    <w:p w14:paraId="6F5617E1" w14:textId="77777777" w:rsidR="009D4893" w:rsidRPr="005C098C" w:rsidRDefault="009D4893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285E1306" w14:textId="4CCC640A" w:rsidR="00A52C29" w:rsidRDefault="00A52C29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Askorbinska kiselina je neophodna za sintezu osnovne intracelularne supstance (muko-polisaharidi), koja je, zajedno sa kolagenim vlaknima, odgovorna za zaptivanje zidova kapilara. </w:t>
      </w:r>
    </w:p>
    <w:p w14:paraId="5826BDA8" w14:textId="77777777" w:rsidR="004B2A2A" w:rsidRPr="005C098C" w:rsidRDefault="004B2A2A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6100F3D2" w14:textId="2BC05C04" w:rsidR="00A52C29" w:rsidRPr="008D05BD" w:rsidRDefault="00A52C2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Kliničke studije su pokazale da kombinacija askorbinske kiseline i acetilsalicilne kiseline poboljšava zaštitu od oštećenja gastrointestinalnog trakta i oksidativnog stresa.</w:t>
      </w:r>
    </w:p>
    <w:p w14:paraId="6102E643" w14:textId="77777777" w:rsidR="002E37A5" w:rsidRPr="005C098C" w:rsidRDefault="002E37A5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74889EE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5.2.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Farmakokinetički podaci</w:t>
      </w:r>
      <w:r w:rsidR="003A7059" w:rsidRPr="005C098C">
        <w:rPr>
          <w:b/>
          <w:bCs/>
          <w:sz w:val="22"/>
          <w:szCs w:val="22"/>
          <w:lang w:val="sr-Latn-ME"/>
        </w:rPr>
        <w:t xml:space="preserve"> </w:t>
      </w:r>
    </w:p>
    <w:p w14:paraId="1E75F972" w14:textId="77777777" w:rsidR="008D05BD" w:rsidRDefault="008D05BD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54DF0E5E" w14:textId="09AF2047" w:rsidR="009D4893" w:rsidRPr="005C098C" w:rsidRDefault="009D4893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C098C">
        <w:rPr>
          <w:sz w:val="22"/>
          <w:szCs w:val="22"/>
          <w:u w:val="single"/>
          <w:lang w:val="sr-Latn-ME"/>
        </w:rPr>
        <w:t>Resorpcija</w:t>
      </w:r>
    </w:p>
    <w:p w14:paraId="763B0598" w14:textId="66820F2B" w:rsidR="00FC4398" w:rsidRPr="005C098C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 xml:space="preserve">Acetilsalicilna kiselina se brzo i u potpunosti resorbuje iz gastrointestinalnog trakta nakon oralne primjene. Acetilsalicilna kiselina se konvertuje u glavni metabolit salicilnu kiselinu u toku i nakon </w:t>
      </w:r>
      <w:r w:rsidR="0065634F" w:rsidRPr="00893FAB">
        <w:rPr>
          <w:sz w:val="22"/>
          <w:szCs w:val="22"/>
          <w:lang w:val="sr-Latn-ME"/>
        </w:rPr>
        <w:t>resorpcije</w:t>
      </w:r>
      <w:r w:rsidR="004B2A2A">
        <w:rPr>
          <w:sz w:val="22"/>
          <w:szCs w:val="22"/>
          <w:lang w:val="sr-Latn-ME"/>
        </w:rPr>
        <w:t xml:space="preserve">. </w:t>
      </w:r>
      <w:r w:rsidR="0063008D" w:rsidRPr="008D05BD">
        <w:rPr>
          <w:sz w:val="22"/>
          <w:szCs w:val="22"/>
          <w:lang w:val="sr-Latn-ME"/>
        </w:rPr>
        <w:t>Najveće koncentracije u plazmi acetilsalicilne kiseline i salicilne kiseline se dostižu redom nakon 15-30 minuta, odnosno 0,72-2 sata, što zavisi od farmaceutskog oblika.</w:t>
      </w:r>
      <w:r w:rsidR="00EE6A1A" w:rsidRPr="008D05BD">
        <w:rPr>
          <w:sz w:val="22"/>
          <w:szCs w:val="22"/>
          <w:lang w:val="sr-Latn-ME"/>
        </w:rPr>
        <w:t xml:space="preserve"> </w:t>
      </w:r>
      <w:r w:rsidR="00EE6A1A" w:rsidRPr="005C098C">
        <w:rPr>
          <w:sz w:val="22"/>
          <w:szCs w:val="22"/>
          <w:lang w:val="sr-Latn-ME"/>
        </w:rPr>
        <w:t>Dodatak askorbinske kiseline ne dovodi ili dovodi do male promjenljivosti farmakokinetičkih parametara acetilsalicilne kiseline.</w:t>
      </w:r>
    </w:p>
    <w:p w14:paraId="6A7401C3" w14:textId="77777777" w:rsidR="00010EA4" w:rsidRPr="005C098C" w:rsidRDefault="00010EA4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F7489D3" w14:textId="6D840E68" w:rsidR="00010EA4" w:rsidRPr="005C098C" w:rsidRDefault="00010EA4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C098C">
        <w:rPr>
          <w:sz w:val="22"/>
          <w:szCs w:val="22"/>
          <w:u w:val="single"/>
          <w:lang w:val="sr-Latn-ME"/>
        </w:rPr>
        <w:t>Distribucija</w:t>
      </w:r>
    </w:p>
    <w:p w14:paraId="51529234" w14:textId="41C775C7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Acetilsalicilna kiselina i salicilna kiselina se u velikoj m</w:t>
      </w:r>
      <w:r w:rsidR="00091AF1" w:rsidRPr="00893FAB">
        <w:rPr>
          <w:sz w:val="22"/>
          <w:szCs w:val="22"/>
          <w:lang w:val="sr-Latn-ME"/>
        </w:rPr>
        <w:t>j</w:t>
      </w:r>
      <w:r w:rsidRPr="008D05BD">
        <w:rPr>
          <w:sz w:val="22"/>
          <w:szCs w:val="22"/>
          <w:lang w:val="sr-Latn-ME"/>
        </w:rPr>
        <w:t>eri vezuju za proteine plazme i brzo se distribuiraju u sva tkiva. Salicilna kiselina se izlučuje u majčino mlijeko i prolazi placentarnu barijeru.</w:t>
      </w:r>
    </w:p>
    <w:p w14:paraId="7EAF1EB2" w14:textId="77777777" w:rsidR="00091AF1" w:rsidRPr="008D05BD" w:rsidRDefault="00091AF1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F3991F8" w14:textId="19CEAC5D" w:rsidR="00091AF1" w:rsidRPr="005C098C" w:rsidRDefault="00091AF1" w:rsidP="00B8277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C098C">
        <w:rPr>
          <w:sz w:val="22"/>
          <w:szCs w:val="22"/>
          <w:u w:val="single"/>
          <w:lang w:val="sr-Latn-ME"/>
        </w:rPr>
        <w:t>Eliminacija</w:t>
      </w:r>
    </w:p>
    <w:p w14:paraId="67BFA3A3" w14:textId="2BEEF3ED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 xml:space="preserve">Salicilna kiselina se </w:t>
      </w:r>
      <w:r w:rsidR="00135A0B" w:rsidRPr="00893FAB">
        <w:rPr>
          <w:sz w:val="22"/>
          <w:szCs w:val="22"/>
          <w:lang w:val="sr-Latn-ME"/>
        </w:rPr>
        <w:t xml:space="preserve">dominantno </w:t>
      </w:r>
      <w:r w:rsidRPr="008D05BD">
        <w:rPr>
          <w:sz w:val="22"/>
          <w:szCs w:val="22"/>
          <w:lang w:val="sr-Latn-ME"/>
        </w:rPr>
        <w:t>metaboliše u jetri. Metaboliti su salicilurna kiselina, salicil fenil glukuronid, salicil acil glukuronid, gentizinska kiselina i gentizurna kiselina.</w:t>
      </w:r>
    </w:p>
    <w:p w14:paraId="1262CD45" w14:textId="77777777" w:rsidR="00DC5DC5" w:rsidRPr="008D05BD" w:rsidRDefault="00DC5DC5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F5A0BF" w14:textId="27DCAA9A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 xml:space="preserve">Kinetika eliminacije salicilne kiseline zavisi od doze s obzirom </w:t>
      </w:r>
      <w:r w:rsidR="00DC5DC5" w:rsidRPr="008D05BD">
        <w:rPr>
          <w:sz w:val="22"/>
          <w:szCs w:val="22"/>
          <w:lang w:val="sr-Latn-ME"/>
        </w:rPr>
        <w:t xml:space="preserve">na to </w:t>
      </w:r>
      <w:r w:rsidRPr="008D05BD">
        <w:rPr>
          <w:sz w:val="22"/>
          <w:szCs w:val="22"/>
          <w:lang w:val="sr-Latn-ME"/>
        </w:rPr>
        <w:t xml:space="preserve">da je metabolizam limitran kapacitetom enzima jetre. Poluvrijeme eliminacije </w:t>
      </w:r>
      <w:r w:rsidR="00DC5DC5" w:rsidRPr="008D05BD">
        <w:rPr>
          <w:sz w:val="22"/>
          <w:szCs w:val="22"/>
          <w:lang w:val="sr-Latn-ME"/>
        </w:rPr>
        <w:t>zato</w:t>
      </w:r>
      <w:r w:rsidRPr="008D05BD">
        <w:rPr>
          <w:sz w:val="22"/>
          <w:szCs w:val="22"/>
          <w:lang w:val="sr-Latn-ME"/>
        </w:rPr>
        <w:t xml:space="preserve"> varira između 2 i 3 sata  kod malih doza, a kod većih ide i do 15 sati. Salicilna kiselina i njeni metaboliti se uglavnom eliminišu mokraćom.</w:t>
      </w:r>
    </w:p>
    <w:p w14:paraId="132494E2" w14:textId="77777777" w:rsidR="00FC4398" w:rsidRPr="008D05BD" w:rsidRDefault="00FC4398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705F3D" w14:textId="5375DB26" w:rsidR="00FC4398" w:rsidRPr="008D05BD" w:rsidRDefault="00FC4398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Resorpcija askorbinske kiseline (</w:t>
      </w:r>
      <w:r w:rsidR="005C38DD" w:rsidRPr="008D05BD">
        <w:rPr>
          <w:sz w:val="22"/>
          <w:szCs w:val="22"/>
          <w:lang w:val="sr-Latn-ME"/>
        </w:rPr>
        <w:t>dozno zavisna u proksimalnom dijelu tankog crijeva</w:t>
      </w:r>
      <w:r w:rsidRPr="008D05BD">
        <w:rPr>
          <w:sz w:val="22"/>
          <w:szCs w:val="22"/>
          <w:lang w:val="sr-Latn-ME"/>
        </w:rPr>
        <w:t xml:space="preserve">) je ograničena. </w:t>
      </w:r>
      <w:r w:rsidR="00A835DC" w:rsidRPr="008D05BD">
        <w:rPr>
          <w:sz w:val="22"/>
          <w:szCs w:val="22"/>
          <w:lang w:val="sr-Latn-ME"/>
        </w:rPr>
        <w:t>Sa povećanjem doze, smanjuje se bioraspoloživost</w:t>
      </w:r>
      <w:r w:rsidRPr="008D05BD">
        <w:rPr>
          <w:sz w:val="22"/>
          <w:szCs w:val="22"/>
          <w:lang w:val="sr-Latn-ME"/>
        </w:rPr>
        <w:t xml:space="preserve"> (60-75 % nakon 1 g, 16 % nakon 12 g). Neresorbovani dio </w:t>
      </w:r>
      <w:r w:rsidR="003D395C" w:rsidRPr="008D05BD">
        <w:rPr>
          <w:sz w:val="22"/>
          <w:szCs w:val="22"/>
          <w:lang w:val="sr-Latn-ME"/>
        </w:rPr>
        <w:t xml:space="preserve">se </w:t>
      </w:r>
      <w:r w:rsidRPr="008D05BD">
        <w:rPr>
          <w:sz w:val="22"/>
          <w:szCs w:val="22"/>
          <w:lang w:val="sr-Latn-ME"/>
        </w:rPr>
        <w:t xml:space="preserve">razlaže </w:t>
      </w:r>
      <w:r w:rsidR="003D395C" w:rsidRPr="008D05BD">
        <w:rPr>
          <w:sz w:val="22"/>
          <w:szCs w:val="22"/>
          <w:lang w:val="sr-Latn-ME"/>
        </w:rPr>
        <w:t xml:space="preserve">u debelom crijevu, </w:t>
      </w:r>
      <w:r w:rsidRPr="008D05BD">
        <w:rPr>
          <w:sz w:val="22"/>
          <w:szCs w:val="22"/>
          <w:lang w:val="sr-Latn-ME"/>
        </w:rPr>
        <w:t xml:space="preserve"> </w:t>
      </w:r>
      <w:r w:rsidR="003D395C" w:rsidRPr="008D05BD">
        <w:rPr>
          <w:sz w:val="22"/>
          <w:szCs w:val="22"/>
          <w:lang w:val="sr-Latn-ME"/>
        </w:rPr>
        <w:t>uglavnom</w:t>
      </w:r>
      <w:r w:rsidRPr="008D05BD">
        <w:rPr>
          <w:sz w:val="22"/>
          <w:szCs w:val="22"/>
          <w:lang w:val="sr-Latn-ME"/>
        </w:rPr>
        <w:t xml:space="preserve"> na CO</w:t>
      </w:r>
      <w:r w:rsidRPr="008D05BD">
        <w:rPr>
          <w:sz w:val="22"/>
          <w:szCs w:val="22"/>
          <w:vertAlign w:val="subscript"/>
          <w:lang w:val="sr-Latn-ME"/>
        </w:rPr>
        <w:t>2</w:t>
      </w:r>
      <w:r w:rsidRPr="008D05BD">
        <w:rPr>
          <w:sz w:val="22"/>
          <w:szCs w:val="22"/>
          <w:lang w:val="sr-Latn-ME"/>
        </w:rPr>
        <w:t xml:space="preserve"> i organske kiseline. Kod zdravih, odraslih osoba, </w:t>
      </w:r>
      <w:r w:rsidRPr="008D05BD">
        <w:rPr>
          <w:sz w:val="22"/>
          <w:szCs w:val="22"/>
          <w:lang w:val="sr-Latn-ME"/>
        </w:rPr>
        <w:lastRenderedPageBreak/>
        <w:t>maksimalni metabolički obrt od 40-50 mg/</w:t>
      </w:r>
      <w:r w:rsidR="003D395C" w:rsidRPr="008D05BD">
        <w:rPr>
          <w:sz w:val="22"/>
          <w:szCs w:val="22"/>
          <w:lang w:val="sr-Latn-ME"/>
        </w:rPr>
        <w:t>dnevno</w:t>
      </w:r>
      <w:r w:rsidRPr="008D05BD">
        <w:rPr>
          <w:sz w:val="22"/>
          <w:szCs w:val="22"/>
          <w:lang w:val="sr-Latn-ME"/>
        </w:rPr>
        <w:t xml:space="preserve"> se dostiže pri koncentraciji u plazmi od 0,8 </w:t>
      </w:r>
      <w:r w:rsidR="00614E89">
        <w:rPr>
          <w:sz w:val="22"/>
          <w:szCs w:val="22"/>
          <w:lang w:val="sr-Latn-ME"/>
        </w:rPr>
        <w:t>–</w:t>
      </w:r>
      <w:r w:rsidRPr="008D05BD">
        <w:rPr>
          <w:sz w:val="22"/>
          <w:szCs w:val="22"/>
          <w:lang w:val="sr-Latn-ME"/>
        </w:rPr>
        <w:t xml:space="preserve"> 1,0 mg/</w:t>
      </w:r>
      <w:r w:rsidR="003D395C" w:rsidRPr="008D05BD">
        <w:rPr>
          <w:sz w:val="22"/>
          <w:szCs w:val="22"/>
          <w:lang w:val="sr-Latn-ME"/>
        </w:rPr>
        <w:t>dnevno</w:t>
      </w:r>
      <w:r w:rsidRPr="008D05BD">
        <w:rPr>
          <w:sz w:val="22"/>
          <w:szCs w:val="22"/>
          <w:lang w:val="sr-Latn-ME"/>
        </w:rPr>
        <w:t xml:space="preserve">. </w:t>
      </w:r>
      <w:r w:rsidR="00C84361" w:rsidRPr="008D05BD">
        <w:rPr>
          <w:sz w:val="22"/>
          <w:szCs w:val="22"/>
          <w:lang w:val="sr-Latn-ME"/>
        </w:rPr>
        <w:t>Pri jako velikim oralnim dozama, koncentracije u plazmi od 4,2 mg/d</w:t>
      </w:r>
      <w:r w:rsidR="00144098">
        <w:rPr>
          <w:sz w:val="22"/>
          <w:szCs w:val="22"/>
          <w:lang w:val="sr-Latn-ME"/>
        </w:rPr>
        <w:t>l</w:t>
      </w:r>
      <w:r w:rsidR="00C84361" w:rsidRPr="008D05BD">
        <w:rPr>
          <w:sz w:val="22"/>
          <w:szCs w:val="22"/>
          <w:lang w:val="sr-Latn-ME"/>
        </w:rPr>
        <w:t xml:space="preserve"> se kratkotrajno dostižu nakon 3 sata.</w:t>
      </w:r>
      <w:r w:rsidRPr="008D05BD">
        <w:rPr>
          <w:sz w:val="22"/>
          <w:szCs w:val="22"/>
          <w:lang w:val="sr-Latn-ME"/>
        </w:rPr>
        <w:t xml:space="preserve"> Pod ovim uslovima, askorbinska kiselina se </w:t>
      </w:r>
      <w:r w:rsidR="00C84361" w:rsidRPr="008D05BD">
        <w:rPr>
          <w:sz w:val="22"/>
          <w:szCs w:val="22"/>
          <w:lang w:val="sr-Latn-ME"/>
        </w:rPr>
        <w:t>predominantno</w:t>
      </w:r>
      <w:r w:rsidRPr="008D05BD">
        <w:rPr>
          <w:sz w:val="22"/>
          <w:szCs w:val="22"/>
          <w:lang w:val="sr-Latn-ME"/>
        </w:rPr>
        <w:t xml:space="preserve"> (</w:t>
      </w:r>
      <w:r w:rsidR="00C84361" w:rsidRPr="008D05BD">
        <w:rPr>
          <w:sz w:val="22"/>
          <w:szCs w:val="22"/>
          <w:lang w:val="sr-Latn-ME"/>
        </w:rPr>
        <w:t xml:space="preserve">više od </w:t>
      </w:r>
      <w:r w:rsidRPr="008D05BD">
        <w:rPr>
          <w:sz w:val="22"/>
          <w:szCs w:val="22"/>
          <w:lang w:val="sr-Latn-ME"/>
        </w:rPr>
        <w:t xml:space="preserve">80 %) izlučuje </w:t>
      </w:r>
      <w:r w:rsidR="00C84361" w:rsidRPr="008D05BD">
        <w:rPr>
          <w:sz w:val="22"/>
          <w:szCs w:val="22"/>
          <w:lang w:val="sr-Latn-ME"/>
        </w:rPr>
        <w:t>nepromijenjeno putem urina</w:t>
      </w:r>
      <w:r w:rsidRPr="008D05BD">
        <w:rPr>
          <w:sz w:val="22"/>
          <w:szCs w:val="22"/>
          <w:lang w:val="sr-Latn-ME"/>
        </w:rPr>
        <w:t xml:space="preserve"> (</w:t>
      </w:r>
      <w:r w:rsidR="00C84361" w:rsidRPr="008D05BD">
        <w:rPr>
          <w:sz w:val="22"/>
          <w:szCs w:val="22"/>
          <w:lang w:val="sr-Latn-ME"/>
        </w:rPr>
        <w:t>poluvrijeme eliminacija 2,9 sata</w:t>
      </w:r>
      <w:r w:rsidRPr="008D05BD">
        <w:rPr>
          <w:sz w:val="22"/>
          <w:szCs w:val="22"/>
          <w:lang w:val="sr-Latn-ME"/>
        </w:rPr>
        <w:t xml:space="preserve">). </w:t>
      </w:r>
      <w:r w:rsidR="009B7DD1" w:rsidRPr="005C098C">
        <w:rPr>
          <w:sz w:val="22"/>
          <w:szCs w:val="22"/>
          <w:lang w:val="sr-Latn-ME"/>
        </w:rPr>
        <w:t xml:space="preserve"> Rezerve u tijelu su najmanje 1,5 g, nakon redovnog unosa približno 180 mg/dnevno. Značajno nakupljanje je u štitastoj žl</w:t>
      </w:r>
      <w:r w:rsidR="00144098">
        <w:rPr>
          <w:sz w:val="22"/>
          <w:szCs w:val="22"/>
          <w:lang w:val="sr-Latn-ME"/>
        </w:rPr>
        <w:t>ij</w:t>
      </w:r>
      <w:r w:rsidR="009B7DD1" w:rsidRPr="005C098C">
        <w:rPr>
          <w:sz w:val="22"/>
          <w:szCs w:val="22"/>
          <w:lang w:val="sr-Latn-ME"/>
        </w:rPr>
        <w:t xml:space="preserve">ezdi, nadbubrežnim žlijezdama, sočivu i bijelim krvnim </w:t>
      </w:r>
      <w:r w:rsidR="00144098">
        <w:rPr>
          <w:sz w:val="22"/>
          <w:szCs w:val="22"/>
          <w:lang w:val="sr-Latn-ME"/>
        </w:rPr>
        <w:t>ćelijama</w:t>
      </w:r>
      <w:r w:rsidR="009B7DD1" w:rsidRPr="005C098C">
        <w:rPr>
          <w:sz w:val="22"/>
          <w:szCs w:val="22"/>
          <w:lang w:val="sr-Latn-ME"/>
        </w:rPr>
        <w:t>.</w:t>
      </w:r>
    </w:p>
    <w:p w14:paraId="44E05763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854854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5.3.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3986221" w14:textId="105FB113" w:rsidR="006A7D61" w:rsidRPr="008D05BD" w:rsidRDefault="006A7D61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DFD97F" w14:textId="77777777" w:rsidR="00A50321" w:rsidRPr="00614E89" w:rsidRDefault="00A50321" w:rsidP="00B82776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614E89">
        <w:rPr>
          <w:sz w:val="22"/>
          <w:szCs w:val="22"/>
          <w:u w:val="single"/>
          <w:lang w:val="sr-Latn-ME"/>
        </w:rPr>
        <w:t xml:space="preserve">Acetilsalicilna kiselina </w:t>
      </w:r>
    </w:p>
    <w:p w14:paraId="47966152" w14:textId="77777777" w:rsidR="00A50321" w:rsidRPr="005C098C" w:rsidRDefault="00A50321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06F6123B" w14:textId="4661A698" w:rsidR="00A50321" w:rsidRPr="008D05BD" w:rsidRDefault="00A50321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Pretklinički bezbjednosni profil acetilsalicline kiseline je dobro dokumentovan. U studijama na životinjama, prilikom primjene salicilata javilo se oštećenje funkcije bubrega i pojava gastrointestinalnih ulcera. Acetilsalicilna kiselina je detaljno ispitana vezano za mutageni i kancerogeni potencijal; nisu nađeni relevatni dokazi o mutagenom i kancerogenom potencijalu.</w:t>
      </w:r>
    </w:p>
    <w:p w14:paraId="29260E05" w14:textId="77777777" w:rsidR="00A50321" w:rsidRPr="008D05BD" w:rsidRDefault="00A50321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A86B394" w14:textId="77777777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 xml:space="preserve">Salicilati su pokazali teratogena svojstva kod nekoliko životinjskih vrsta. </w:t>
      </w:r>
    </w:p>
    <w:p w14:paraId="2D34B6C7" w14:textId="4218D9AE" w:rsidR="00836B35" w:rsidRPr="008D05BD" w:rsidRDefault="00FC4398" w:rsidP="00B82776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8D05BD">
        <w:rPr>
          <w:bCs/>
          <w:sz w:val="22"/>
          <w:szCs w:val="22"/>
          <w:lang w:val="sr-Latn-ME"/>
        </w:rPr>
        <w:t>Registrovani su poremećaji implantacije, embriotoksični i fetotoksični efekti, kao i poremećaji sposobnosti učenja kod potomstva</w:t>
      </w:r>
      <w:r w:rsidR="006A7D61" w:rsidRPr="008D05BD">
        <w:rPr>
          <w:bCs/>
          <w:sz w:val="22"/>
          <w:szCs w:val="22"/>
          <w:lang w:val="sr-Latn-ME"/>
        </w:rPr>
        <w:t xml:space="preserve"> nakon prijenatalne ekspozicije.</w:t>
      </w:r>
    </w:p>
    <w:p w14:paraId="5CC5DC3B" w14:textId="77777777" w:rsidR="00F215CF" w:rsidRPr="008D05BD" w:rsidRDefault="00F215CF" w:rsidP="00B82776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21EAA5C4" w14:textId="77777777" w:rsidR="00F215CF" w:rsidRPr="00614E89" w:rsidRDefault="00F215CF" w:rsidP="00B82776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614E89">
        <w:rPr>
          <w:sz w:val="22"/>
          <w:szCs w:val="22"/>
          <w:u w:val="single"/>
          <w:lang w:val="sr-Latn-ME"/>
        </w:rPr>
        <w:t xml:space="preserve">Askorbinska kiselina </w:t>
      </w:r>
    </w:p>
    <w:p w14:paraId="797C10EB" w14:textId="77777777" w:rsidR="00614E89" w:rsidRDefault="00614E89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D9EBDB8" w14:textId="6D29D923" w:rsidR="00F215CF" w:rsidRPr="008D05BD" w:rsidRDefault="00F215CF" w:rsidP="00B8277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Pretklinički podaci dobijeni iz ispitivanja akutne toksičnosti, toksičnosti ponovljenih doza i reproduktivne i razvojne toksičnosti ne ukazuju na posebne rizike pri primjeni lijeka kod ljudi. Askorbinska kiselina je netoksična supstanca sa velikim terapijskim indeksom bez teratogenih, mutagenih ili kancerogenih uticaja.</w:t>
      </w:r>
    </w:p>
    <w:p w14:paraId="5A54B84C" w14:textId="7571588D" w:rsidR="00396DFD" w:rsidRDefault="00396DFD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5F0220" w14:textId="77777777" w:rsidR="00144098" w:rsidRPr="005C098C" w:rsidRDefault="00144098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F2F2ACD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6.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FARMACEUTSKI PODACI</w:t>
      </w:r>
    </w:p>
    <w:p w14:paraId="4F89E997" w14:textId="77777777" w:rsidR="00836B35" w:rsidRPr="005C098C" w:rsidRDefault="00836B35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D32E14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6.1.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Lista pomoćnih supstanci</w:t>
      </w:r>
      <w:r w:rsidR="002E0135" w:rsidRPr="005C098C">
        <w:rPr>
          <w:b/>
          <w:bCs/>
          <w:sz w:val="22"/>
          <w:szCs w:val="22"/>
          <w:lang w:val="sr-Latn-ME"/>
        </w:rPr>
        <w:t xml:space="preserve"> (ekscipijenasa)</w:t>
      </w:r>
    </w:p>
    <w:p w14:paraId="39436A34" w14:textId="77777777" w:rsidR="00144098" w:rsidRDefault="001440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D80175F" w14:textId="48E2A0E6" w:rsidR="00B862EC" w:rsidRPr="00893FAB" w:rsidRDefault="00B862EC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Limunska kiselina;</w:t>
      </w:r>
    </w:p>
    <w:p w14:paraId="1B235DC3" w14:textId="6B6517DE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Natrijum</w:t>
      </w:r>
      <w:r w:rsidR="00144098">
        <w:rPr>
          <w:sz w:val="22"/>
          <w:szCs w:val="22"/>
          <w:lang w:val="sr-Latn-ME"/>
        </w:rPr>
        <w:t xml:space="preserve"> </w:t>
      </w:r>
      <w:r w:rsidRPr="008D05BD">
        <w:rPr>
          <w:sz w:val="22"/>
          <w:szCs w:val="22"/>
          <w:lang w:val="sr-Latn-ME"/>
        </w:rPr>
        <w:t>dihidrogen</w:t>
      </w:r>
      <w:r w:rsidR="00144098">
        <w:rPr>
          <w:sz w:val="22"/>
          <w:szCs w:val="22"/>
          <w:lang w:val="sr-Latn-ME"/>
        </w:rPr>
        <w:t xml:space="preserve"> </w:t>
      </w:r>
      <w:r w:rsidRPr="008D05BD">
        <w:rPr>
          <w:sz w:val="22"/>
          <w:szCs w:val="22"/>
          <w:lang w:val="sr-Latn-ME"/>
        </w:rPr>
        <w:t>citrat</w:t>
      </w:r>
      <w:r w:rsidR="00B862EC" w:rsidRPr="008D05BD">
        <w:rPr>
          <w:sz w:val="22"/>
          <w:szCs w:val="22"/>
          <w:lang w:val="sr-Latn-ME"/>
        </w:rPr>
        <w:t>;</w:t>
      </w:r>
      <w:r w:rsidRPr="008D05BD">
        <w:rPr>
          <w:sz w:val="22"/>
          <w:szCs w:val="22"/>
          <w:lang w:val="sr-Latn-ME"/>
        </w:rPr>
        <w:t xml:space="preserve"> </w:t>
      </w:r>
    </w:p>
    <w:p w14:paraId="36D0AFD9" w14:textId="2051A267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Natrijum</w:t>
      </w:r>
      <w:r w:rsidR="00144098">
        <w:rPr>
          <w:sz w:val="22"/>
          <w:szCs w:val="22"/>
          <w:lang w:val="sr-Latn-ME"/>
        </w:rPr>
        <w:t xml:space="preserve"> </w:t>
      </w:r>
      <w:r w:rsidRPr="008D05BD">
        <w:rPr>
          <w:sz w:val="22"/>
          <w:szCs w:val="22"/>
          <w:lang w:val="sr-Latn-ME"/>
        </w:rPr>
        <w:t>hidrogen</w:t>
      </w:r>
      <w:r w:rsidR="00144098">
        <w:rPr>
          <w:sz w:val="22"/>
          <w:szCs w:val="22"/>
          <w:lang w:val="sr-Latn-ME"/>
        </w:rPr>
        <w:t xml:space="preserve"> </w:t>
      </w:r>
      <w:r w:rsidRPr="008D05BD">
        <w:rPr>
          <w:sz w:val="22"/>
          <w:szCs w:val="22"/>
          <w:lang w:val="sr-Latn-ME"/>
        </w:rPr>
        <w:t>karbonat</w:t>
      </w:r>
      <w:r w:rsidR="00B862EC" w:rsidRPr="008D05BD">
        <w:rPr>
          <w:sz w:val="22"/>
          <w:szCs w:val="22"/>
          <w:lang w:val="sr-Latn-ME"/>
        </w:rPr>
        <w:t>;</w:t>
      </w:r>
    </w:p>
    <w:p w14:paraId="5FEA8474" w14:textId="76CFFB8B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Natrijum</w:t>
      </w:r>
      <w:r w:rsidR="00144098">
        <w:rPr>
          <w:sz w:val="22"/>
          <w:szCs w:val="22"/>
          <w:lang w:val="sr-Latn-ME"/>
        </w:rPr>
        <w:t xml:space="preserve"> </w:t>
      </w:r>
      <w:r w:rsidRPr="008D05BD">
        <w:rPr>
          <w:sz w:val="22"/>
          <w:szCs w:val="22"/>
          <w:lang w:val="sr-Latn-ME"/>
        </w:rPr>
        <w:t>karbonat</w:t>
      </w:r>
      <w:r w:rsidR="00B862EC" w:rsidRPr="008D05BD">
        <w:rPr>
          <w:sz w:val="22"/>
          <w:szCs w:val="22"/>
          <w:lang w:val="sr-Latn-ME"/>
        </w:rPr>
        <w:t>.</w:t>
      </w:r>
    </w:p>
    <w:p w14:paraId="589BA881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9C44C9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6.2.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Inkompatibilnost</w:t>
      </w:r>
      <w:r w:rsidR="002846DB" w:rsidRPr="005C098C">
        <w:rPr>
          <w:b/>
          <w:bCs/>
          <w:sz w:val="22"/>
          <w:szCs w:val="22"/>
          <w:lang w:val="sr-Latn-ME"/>
        </w:rPr>
        <w:t>i</w:t>
      </w:r>
    </w:p>
    <w:p w14:paraId="012D0DD5" w14:textId="77777777" w:rsidR="008D05BD" w:rsidRDefault="008D05BD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A56CA91" w14:textId="78971355" w:rsidR="00FC4398" w:rsidRPr="008D05BD" w:rsidRDefault="009734C5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Nije primjenljivo.</w:t>
      </w:r>
    </w:p>
    <w:p w14:paraId="1407D0C1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027A6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>6.3.</w:t>
      </w:r>
      <w:r w:rsidR="00C05DF8" w:rsidRPr="005C098C">
        <w:rPr>
          <w:b/>
          <w:bCs/>
          <w:sz w:val="22"/>
          <w:szCs w:val="22"/>
          <w:lang w:val="sr-Latn-ME"/>
        </w:rPr>
        <w:t xml:space="preserve">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Rok upotrebe</w:t>
      </w:r>
    </w:p>
    <w:p w14:paraId="7065F252" w14:textId="56CDA50E" w:rsidR="00FC4398" w:rsidRPr="00893FAB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C9DBBF" w14:textId="16001F4E" w:rsidR="00CC7496" w:rsidRPr="008D05BD" w:rsidRDefault="00CC7496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3 godine.</w:t>
      </w:r>
    </w:p>
    <w:p w14:paraId="545DD33C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7D8D06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6.4.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5C098C">
        <w:rPr>
          <w:b/>
          <w:bCs/>
          <w:sz w:val="22"/>
          <w:szCs w:val="22"/>
          <w:lang w:val="sr-Latn-ME"/>
        </w:rPr>
        <w:t xml:space="preserve"> lijeka</w:t>
      </w:r>
    </w:p>
    <w:p w14:paraId="7BA4202B" w14:textId="77777777" w:rsidR="008D05BD" w:rsidRDefault="008D05BD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376805" w14:textId="3DAC42F1" w:rsidR="00FC4398" w:rsidRPr="008D05BD" w:rsidRDefault="00FC4398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>Lijek se čuva na temperaturi do 25°C</w:t>
      </w:r>
      <w:r w:rsidR="009B0F86" w:rsidRPr="00893FAB">
        <w:rPr>
          <w:sz w:val="22"/>
          <w:szCs w:val="22"/>
          <w:lang w:val="sr-Latn-ME"/>
        </w:rPr>
        <w:t>.</w:t>
      </w:r>
    </w:p>
    <w:p w14:paraId="2197EC0F" w14:textId="77777777" w:rsidR="00EC2532" w:rsidRPr="005C098C" w:rsidRDefault="00EC2532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47BCDC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6.5.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="002846DB" w:rsidRPr="005C098C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5C098C">
        <w:rPr>
          <w:b/>
          <w:bCs/>
          <w:sz w:val="22"/>
          <w:szCs w:val="22"/>
          <w:lang w:val="sr-Latn-ME"/>
        </w:rPr>
        <w:t>pakovanja</w:t>
      </w:r>
      <w:r w:rsidR="00C06864" w:rsidRPr="005C098C">
        <w:rPr>
          <w:b/>
          <w:bCs/>
          <w:sz w:val="22"/>
          <w:szCs w:val="22"/>
          <w:lang w:val="sr-Latn-ME"/>
        </w:rPr>
        <w:t xml:space="preserve"> </w:t>
      </w:r>
    </w:p>
    <w:p w14:paraId="72EA241F" w14:textId="77777777" w:rsidR="008D05BD" w:rsidRPr="008D05BD" w:rsidRDefault="008D05BD" w:rsidP="00B8277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2750EA" w14:textId="67E711EE" w:rsidR="00131C16" w:rsidRPr="005C098C" w:rsidRDefault="00131C16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i/>
          <w:iCs/>
          <w:sz w:val="22"/>
          <w:szCs w:val="22"/>
          <w:lang w:val="sr-Latn-ME"/>
        </w:rPr>
        <w:t>Aspirin plus C, šumeć</w:t>
      </w:r>
      <w:r w:rsidR="004321B0" w:rsidRPr="005C098C">
        <w:rPr>
          <w:i/>
          <w:iCs/>
          <w:sz w:val="22"/>
          <w:szCs w:val="22"/>
          <w:lang w:val="sr-Latn-ME"/>
        </w:rPr>
        <w:t xml:space="preserve">a tableta, 10 x (400 mg + </w:t>
      </w:r>
      <w:r w:rsidRPr="005C098C">
        <w:rPr>
          <w:i/>
          <w:iCs/>
          <w:sz w:val="22"/>
          <w:szCs w:val="22"/>
          <w:lang w:val="sr-Latn-ME"/>
        </w:rPr>
        <w:t xml:space="preserve">240 mg): </w:t>
      </w:r>
    </w:p>
    <w:p w14:paraId="3F580603" w14:textId="26A7CBFA" w:rsidR="00131C16" w:rsidRPr="005C098C" w:rsidRDefault="00131C16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Unutrašnje pakovanje je strip (Aluminijum/papir) sa dv</w:t>
      </w:r>
      <w:r w:rsidR="004321B0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 xml:space="preserve">e šumeće tablete. </w:t>
      </w:r>
    </w:p>
    <w:p w14:paraId="2EEB753C" w14:textId="20C2DC69" w:rsidR="00131C16" w:rsidRPr="005C098C" w:rsidRDefault="00131C16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Spoljašnje pakovanje je složiva kartonska kutija u kojoj se nalazi 5 strip pakovanja sa po dv</w:t>
      </w:r>
      <w:r w:rsidR="004321B0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 šumeće tablete (ukupno 10 šumećih tableta) i Uputstvo za l</w:t>
      </w:r>
      <w:r w:rsidR="004321B0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 xml:space="preserve">ek. </w:t>
      </w:r>
    </w:p>
    <w:p w14:paraId="0FB42F79" w14:textId="72A408E7" w:rsidR="00143F60" w:rsidRDefault="00143F60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19F67171" w14:textId="77777777" w:rsidR="00A01A69" w:rsidRPr="005C098C" w:rsidRDefault="00A01A69" w:rsidP="00B82776">
      <w:pPr>
        <w:pStyle w:val="Default"/>
        <w:jc w:val="both"/>
        <w:rPr>
          <w:sz w:val="22"/>
          <w:szCs w:val="22"/>
          <w:lang w:val="sr-Latn-ME"/>
        </w:rPr>
      </w:pPr>
    </w:p>
    <w:p w14:paraId="19FD57F7" w14:textId="2C1AEFAC" w:rsidR="00131C16" w:rsidRPr="005C098C" w:rsidRDefault="00131C16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i/>
          <w:iCs/>
          <w:sz w:val="22"/>
          <w:szCs w:val="22"/>
          <w:lang w:val="sr-Latn-ME"/>
        </w:rPr>
        <w:lastRenderedPageBreak/>
        <w:t>Aspirin plus C, šumeć</w:t>
      </w:r>
      <w:r w:rsidR="00143F60" w:rsidRPr="005C098C">
        <w:rPr>
          <w:i/>
          <w:iCs/>
          <w:sz w:val="22"/>
          <w:szCs w:val="22"/>
          <w:lang w:val="sr-Latn-ME"/>
        </w:rPr>
        <w:t xml:space="preserve">a tableta, 20 x (400 m + </w:t>
      </w:r>
      <w:r w:rsidRPr="005C098C">
        <w:rPr>
          <w:i/>
          <w:iCs/>
          <w:sz w:val="22"/>
          <w:szCs w:val="22"/>
          <w:lang w:val="sr-Latn-ME"/>
        </w:rPr>
        <w:t xml:space="preserve">240 mg): </w:t>
      </w:r>
    </w:p>
    <w:p w14:paraId="2724580D" w14:textId="20695B20" w:rsidR="00131C16" w:rsidRPr="005C098C" w:rsidRDefault="00131C16" w:rsidP="00B82776">
      <w:pPr>
        <w:pStyle w:val="Default"/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Unutrašnje pakovanje je strip (Aluminijum/papir) sa dv</w:t>
      </w:r>
      <w:r w:rsidR="00143F60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 xml:space="preserve">e šumeće tablete. </w:t>
      </w:r>
    </w:p>
    <w:p w14:paraId="472533B7" w14:textId="04D9929A" w:rsidR="0072020E" w:rsidRPr="005C098C" w:rsidRDefault="00131C16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>Spoljašnje pakovanje je složiva kartonska kutija u kojoj se nalazi 10 strip pakovanja sa po dv</w:t>
      </w:r>
      <w:r w:rsidR="00143F60" w:rsidRPr="005C098C">
        <w:rPr>
          <w:sz w:val="22"/>
          <w:szCs w:val="22"/>
          <w:lang w:val="sr-Latn-ME"/>
        </w:rPr>
        <w:t>ij</w:t>
      </w:r>
      <w:r w:rsidRPr="005C098C">
        <w:rPr>
          <w:sz w:val="22"/>
          <w:szCs w:val="22"/>
          <w:lang w:val="sr-Latn-ME"/>
        </w:rPr>
        <w:t>e šumeće tablete (ukupno 20 šumećih tableta) i Uputstvo za lijek.</w:t>
      </w:r>
    </w:p>
    <w:p w14:paraId="473D2F84" w14:textId="77777777" w:rsidR="006E32D8" w:rsidRPr="005C098C" w:rsidRDefault="006E32D8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0613F1" w14:textId="23D63A8D" w:rsidR="00B66A70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6.6.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5C098C">
        <w:rPr>
          <w:b/>
          <w:bCs/>
          <w:sz w:val="22"/>
          <w:szCs w:val="22"/>
          <w:lang w:val="sr-Latn-ME"/>
        </w:rPr>
        <w:t xml:space="preserve"> </w:t>
      </w:r>
      <w:r w:rsidR="00310F03" w:rsidRPr="005C098C">
        <w:rPr>
          <w:b/>
          <w:bCs/>
          <w:sz w:val="22"/>
          <w:szCs w:val="22"/>
          <w:lang w:val="sr-Latn-ME"/>
        </w:rPr>
        <w:t>(i druga uputs</w:t>
      </w:r>
      <w:r w:rsidR="004109FA" w:rsidRPr="005C098C">
        <w:rPr>
          <w:b/>
          <w:bCs/>
          <w:sz w:val="22"/>
          <w:szCs w:val="22"/>
          <w:lang w:val="sr-Latn-ME"/>
        </w:rPr>
        <w:t>t</w:t>
      </w:r>
      <w:r w:rsidR="00310F03" w:rsidRPr="005C098C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00088C39" w14:textId="77777777" w:rsidR="008D05BD" w:rsidRDefault="008D05BD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D9CAE16" w14:textId="762FE04D" w:rsidR="00FC4398" w:rsidRPr="008D05BD" w:rsidRDefault="006E32D8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C098C">
        <w:rPr>
          <w:sz w:val="22"/>
          <w:szCs w:val="22"/>
          <w:lang w:val="sr-Latn-ME"/>
        </w:rPr>
        <w:t xml:space="preserve">Svu neiskorišćenu količinu lijeka ili otpadnog materijala nakon njegove upotrebe treba ukloniti, u skladu sa važećim propisima. </w:t>
      </w:r>
    </w:p>
    <w:p w14:paraId="2B37F3F9" w14:textId="3FFBAE53" w:rsidR="0072020E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5B8DB4" w14:textId="77777777" w:rsidR="00144098" w:rsidRPr="005C098C" w:rsidRDefault="00144098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974EC2" w14:textId="77777777" w:rsidR="00F8570A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7.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NOSILAC DOZVOLE</w:t>
      </w:r>
      <w:r w:rsidR="00483928" w:rsidRPr="005C098C">
        <w:rPr>
          <w:b/>
          <w:bCs/>
          <w:sz w:val="22"/>
          <w:szCs w:val="22"/>
          <w:lang w:val="sr-Latn-ME"/>
        </w:rPr>
        <w:t xml:space="preserve"> </w:t>
      </w:r>
    </w:p>
    <w:p w14:paraId="73B51DE6" w14:textId="77777777" w:rsidR="00C61BE0" w:rsidRPr="005C098C" w:rsidRDefault="00C61BE0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5BBFBF" w14:textId="23F1F131" w:rsidR="00FC4398" w:rsidRPr="008D05BD" w:rsidRDefault="00FC4398" w:rsidP="00B8277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D05BD">
        <w:rPr>
          <w:sz w:val="22"/>
          <w:szCs w:val="22"/>
          <w:lang w:val="sr-Latn-ME"/>
        </w:rPr>
        <w:t xml:space="preserve">Evropa Lek Pharma d.o.o. </w:t>
      </w:r>
      <w:r w:rsidR="00BE681F" w:rsidRPr="00893FAB">
        <w:rPr>
          <w:sz w:val="22"/>
          <w:szCs w:val="22"/>
          <w:lang w:val="sr-Latn-ME"/>
        </w:rPr>
        <w:t xml:space="preserve">Podgorica, </w:t>
      </w:r>
      <w:r w:rsidRPr="008D05BD">
        <w:rPr>
          <w:sz w:val="22"/>
          <w:szCs w:val="22"/>
          <w:lang w:val="sr-Latn-ME"/>
        </w:rPr>
        <w:t>Kritskog odreda 4/1, 81000 Podgorica, Crna Gora</w:t>
      </w:r>
    </w:p>
    <w:p w14:paraId="0648EDF4" w14:textId="47DD2338" w:rsidR="00C37FD7" w:rsidRDefault="00C37FD7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9D0658" w14:textId="77777777" w:rsidR="00144098" w:rsidRPr="005C098C" w:rsidRDefault="00144098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DD649C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8.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>BROJ DOZVOLE</w:t>
      </w:r>
      <w:r w:rsidR="008A6D43" w:rsidRPr="005C098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6698CA3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F25979" w14:textId="25BCE621" w:rsidR="00FC4398" w:rsidRPr="005C098C" w:rsidRDefault="00FC4398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D05BD">
        <w:rPr>
          <w:bCs/>
          <w:sz w:val="22"/>
          <w:szCs w:val="22"/>
          <w:lang w:val="sr-Latn-ME"/>
        </w:rPr>
        <w:t xml:space="preserve">Aspirin Plus C, </w:t>
      </w:r>
      <w:r w:rsidRPr="005C098C">
        <w:rPr>
          <w:bCs/>
          <w:sz w:val="22"/>
          <w:szCs w:val="22"/>
          <w:lang w:val="sr-Latn-ME"/>
        </w:rPr>
        <w:t>šumeća tableta, 400 mg + 240 mg, strip, 10 šumećih tableta: 2030/13/23-528</w:t>
      </w:r>
    </w:p>
    <w:p w14:paraId="61CC7D5C" w14:textId="5AD55914" w:rsidR="008D05BD" w:rsidRPr="005C098C" w:rsidRDefault="0026029B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D05BD">
        <w:rPr>
          <w:bCs/>
          <w:sz w:val="22"/>
          <w:szCs w:val="22"/>
          <w:lang w:val="sr-Latn-ME"/>
        </w:rPr>
        <w:t xml:space="preserve">Aspirin Plus C, </w:t>
      </w:r>
      <w:r w:rsidRPr="005C098C">
        <w:rPr>
          <w:bCs/>
          <w:sz w:val="22"/>
          <w:szCs w:val="22"/>
          <w:lang w:val="sr-Latn-ME"/>
        </w:rPr>
        <w:t>šumeća tableta, 400 mg + 240 mg, strip, 2</w:t>
      </w:r>
      <w:r w:rsidR="00D61289" w:rsidRPr="005C098C">
        <w:rPr>
          <w:bCs/>
          <w:sz w:val="22"/>
          <w:szCs w:val="22"/>
          <w:lang w:val="sr-Latn-ME"/>
        </w:rPr>
        <w:t>0 šumećih tableta: 2030/18/215</w:t>
      </w:r>
      <w:r w:rsidR="00DF36AA" w:rsidRPr="005C098C">
        <w:rPr>
          <w:bCs/>
          <w:sz w:val="22"/>
          <w:szCs w:val="22"/>
          <w:lang w:val="sr-Latn-ME"/>
        </w:rPr>
        <w:t>-5278</w:t>
      </w:r>
    </w:p>
    <w:p w14:paraId="7A452C7E" w14:textId="399B6DA6" w:rsidR="00F45F77" w:rsidRDefault="00F45F77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CA4270" w14:textId="77777777" w:rsidR="00144098" w:rsidRPr="005C098C" w:rsidRDefault="00144098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C8D176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9.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Pr="005C098C">
        <w:rPr>
          <w:b/>
          <w:bCs/>
          <w:sz w:val="22"/>
          <w:szCs w:val="22"/>
          <w:lang w:val="sr-Latn-ME"/>
        </w:rPr>
        <w:t xml:space="preserve">DATUM </w:t>
      </w:r>
      <w:r w:rsidR="00C05DF8" w:rsidRPr="005C098C">
        <w:rPr>
          <w:b/>
          <w:bCs/>
          <w:sz w:val="22"/>
          <w:szCs w:val="22"/>
          <w:lang w:val="sr-Latn-ME"/>
        </w:rPr>
        <w:t xml:space="preserve">PRVE </w:t>
      </w:r>
      <w:r w:rsidR="008A6D43" w:rsidRPr="005C098C">
        <w:rPr>
          <w:b/>
          <w:bCs/>
          <w:sz w:val="22"/>
          <w:szCs w:val="22"/>
          <w:lang w:val="sr-Latn-ME"/>
        </w:rPr>
        <w:t>DOZVOLE</w:t>
      </w:r>
      <w:r w:rsidR="00C05DF8" w:rsidRPr="005C098C">
        <w:rPr>
          <w:b/>
          <w:bCs/>
          <w:sz w:val="22"/>
          <w:szCs w:val="22"/>
          <w:lang w:val="sr-Latn-ME"/>
        </w:rPr>
        <w:t>/OBNOVE DOZVOLE</w:t>
      </w:r>
      <w:r w:rsidR="008A6D43" w:rsidRPr="005C098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5188718" w14:textId="77777777" w:rsidR="0072020E" w:rsidRPr="005C098C" w:rsidRDefault="0072020E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9C03E1" w14:textId="0515756D" w:rsidR="00FC4398" w:rsidRPr="005C098C" w:rsidRDefault="00FC4398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D05BD">
        <w:rPr>
          <w:bCs/>
          <w:sz w:val="22"/>
          <w:szCs w:val="22"/>
          <w:lang w:val="sr-Latn-ME"/>
        </w:rPr>
        <w:t xml:space="preserve">Aspirin Plus C, </w:t>
      </w:r>
      <w:r w:rsidRPr="005C098C">
        <w:rPr>
          <w:bCs/>
          <w:sz w:val="22"/>
          <w:szCs w:val="22"/>
          <w:lang w:val="sr-Latn-ME"/>
        </w:rPr>
        <w:t xml:space="preserve">šumeća tableta, 400 mg + 240 mg, strip, 10 šumećih tableta: </w:t>
      </w:r>
      <w:r w:rsidR="00AD1A61">
        <w:rPr>
          <w:bCs/>
          <w:sz w:val="22"/>
          <w:szCs w:val="22"/>
          <w:lang w:val="sr-Latn-ME"/>
        </w:rPr>
        <w:t>28.01.2013.</w:t>
      </w:r>
    </w:p>
    <w:p w14:paraId="76E97C7D" w14:textId="23467AB7" w:rsidR="00307F05" w:rsidRPr="005C098C" w:rsidRDefault="00307F05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D05BD">
        <w:rPr>
          <w:bCs/>
          <w:sz w:val="22"/>
          <w:szCs w:val="22"/>
          <w:lang w:val="sr-Latn-ME"/>
        </w:rPr>
        <w:t xml:space="preserve">Aspirin Plus C, </w:t>
      </w:r>
      <w:r w:rsidRPr="005C098C">
        <w:rPr>
          <w:bCs/>
          <w:sz w:val="22"/>
          <w:szCs w:val="22"/>
          <w:lang w:val="sr-Latn-ME"/>
        </w:rPr>
        <w:t xml:space="preserve">šumeća tableta, 400 mg + 240 mg, strip, 20 šumećih tableta: </w:t>
      </w:r>
      <w:r w:rsidR="00AD1A61">
        <w:rPr>
          <w:bCs/>
          <w:sz w:val="22"/>
          <w:szCs w:val="22"/>
          <w:lang w:val="sr-Latn-ME"/>
        </w:rPr>
        <w:t>26.04.2018.</w:t>
      </w:r>
    </w:p>
    <w:p w14:paraId="6903546C" w14:textId="66341587" w:rsidR="00836B35" w:rsidRDefault="00836B35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2ABD39" w14:textId="77777777" w:rsidR="00144098" w:rsidRPr="005C098C" w:rsidRDefault="00144098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CA8F9F" w14:textId="77777777" w:rsidR="003F6A59" w:rsidRPr="005C098C" w:rsidRDefault="0072020E" w:rsidP="00B82776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5C098C">
        <w:rPr>
          <w:b/>
          <w:bCs/>
          <w:sz w:val="22"/>
          <w:szCs w:val="22"/>
          <w:lang w:val="sr-Latn-ME"/>
        </w:rPr>
        <w:t xml:space="preserve">10. </w:t>
      </w:r>
      <w:r w:rsidR="00480FB1" w:rsidRPr="005C098C">
        <w:rPr>
          <w:b/>
          <w:bCs/>
          <w:sz w:val="22"/>
          <w:szCs w:val="22"/>
          <w:lang w:val="sr-Latn-ME"/>
        </w:rPr>
        <w:tab/>
      </w:r>
      <w:r w:rsidR="002846DB" w:rsidRPr="005C098C">
        <w:rPr>
          <w:b/>
          <w:bCs/>
          <w:sz w:val="22"/>
          <w:szCs w:val="22"/>
          <w:lang w:val="sr-Latn-ME"/>
        </w:rPr>
        <w:t>D</w:t>
      </w:r>
      <w:r w:rsidR="00EC2532" w:rsidRPr="005C098C">
        <w:rPr>
          <w:b/>
          <w:bCs/>
          <w:sz w:val="22"/>
          <w:szCs w:val="22"/>
          <w:lang w:val="sr-Latn-ME"/>
        </w:rPr>
        <w:t xml:space="preserve">ATUM REVIZIJE TEKSTA </w:t>
      </w:r>
    </w:p>
    <w:p w14:paraId="58F49F2D" w14:textId="77777777" w:rsidR="003F6A59" w:rsidRPr="005C098C" w:rsidRDefault="003F6A59" w:rsidP="00B827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AB7E7C" w14:textId="7281676B" w:rsidR="003F6A59" w:rsidRPr="005C098C" w:rsidRDefault="00A01A69" w:rsidP="00B82776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Mart, 2025. godine</w:t>
      </w:r>
      <w:bookmarkStart w:id="0" w:name="_GoBack"/>
      <w:bookmarkEnd w:id="0"/>
    </w:p>
    <w:sectPr w:rsidR="003F6A59" w:rsidRPr="005C098C" w:rsidSect="006B5404">
      <w:footerReference w:type="default" r:id="rId11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6C5D2" w14:textId="77777777" w:rsidR="00F405EE" w:rsidRDefault="00F405EE">
      <w:r>
        <w:separator/>
      </w:r>
    </w:p>
  </w:endnote>
  <w:endnote w:type="continuationSeparator" w:id="0">
    <w:p w14:paraId="601A5046" w14:textId="77777777" w:rsidR="00F405EE" w:rsidRDefault="00F4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2D6E5" w14:textId="2DBD56DA" w:rsidR="009A6744" w:rsidRPr="00B23F69" w:rsidRDefault="009A6744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01A69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01A69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17755" w14:textId="77777777" w:rsidR="00F405EE" w:rsidRDefault="00F405EE">
      <w:r>
        <w:separator/>
      </w:r>
    </w:p>
  </w:footnote>
  <w:footnote w:type="continuationSeparator" w:id="0">
    <w:p w14:paraId="6616D937" w14:textId="77777777" w:rsidR="00F405EE" w:rsidRDefault="00F4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A755A6E"/>
    <w:multiLevelType w:val="hybridMultilevel"/>
    <w:tmpl w:val="10421E2E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5D40EED"/>
    <w:multiLevelType w:val="hybridMultilevel"/>
    <w:tmpl w:val="7458BE4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D32"/>
    <w:multiLevelType w:val="hybridMultilevel"/>
    <w:tmpl w:val="C194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D001A"/>
    <w:multiLevelType w:val="hybridMultilevel"/>
    <w:tmpl w:val="2CF65CD2"/>
    <w:lvl w:ilvl="0" w:tplc="7BC841A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A2E9B"/>
    <w:multiLevelType w:val="hybridMultilevel"/>
    <w:tmpl w:val="614052AA"/>
    <w:lvl w:ilvl="0" w:tplc="7BC841A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64599"/>
    <w:multiLevelType w:val="hybridMultilevel"/>
    <w:tmpl w:val="01485EB6"/>
    <w:lvl w:ilvl="0" w:tplc="BE0095F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820A4A"/>
    <w:multiLevelType w:val="hybridMultilevel"/>
    <w:tmpl w:val="D006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A54C2"/>
    <w:multiLevelType w:val="hybridMultilevel"/>
    <w:tmpl w:val="BB0C6DA4"/>
    <w:lvl w:ilvl="0" w:tplc="7BC841A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92C9D"/>
    <w:multiLevelType w:val="hybridMultilevel"/>
    <w:tmpl w:val="950EBB82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112D1"/>
    <w:multiLevelType w:val="hybridMultilevel"/>
    <w:tmpl w:val="63BA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2AB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359A1"/>
    <w:multiLevelType w:val="hybridMultilevel"/>
    <w:tmpl w:val="99E4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98A7E2B"/>
    <w:multiLevelType w:val="hybridMultilevel"/>
    <w:tmpl w:val="2A8808B4"/>
    <w:lvl w:ilvl="0" w:tplc="EBCA41F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A3E0F"/>
    <w:multiLevelType w:val="hybridMultilevel"/>
    <w:tmpl w:val="112E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6B79"/>
    <w:multiLevelType w:val="hybridMultilevel"/>
    <w:tmpl w:val="BC5C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27180"/>
    <w:multiLevelType w:val="hybridMultilevel"/>
    <w:tmpl w:val="E142523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4EA97767"/>
    <w:multiLevelType w:val="hybridMultilevel"/>
    <w:tmpl w:val="EC7027CE"/>
    <w:lvl w:ilvl="0" w:tplc="7BC841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323E3"/>
    <w:multiLevelType w:val="hybridMultilevel"/>
    <w:tmpl w:val="D59A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6AB38B9"/>
    <w:multiLevelType w:val="hybridMultilevel"/>
    <w:tmpl w:val="9ED0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D5E6D"/>
    <w:multiLevelType w:val="hybridMultilevel"/>
    <w:tmpl w:val="9876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81576"/>
    <w:multiLevelType w:val="hybridMultilevel"/>
    <w:tmpl w:val="EEF4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74DE7"/>
    <w:multiLevelType w:val="hybridMultilevel"/>
    <w:tmpl w:val="0C02121E"/>
    <w:lvl w:ilvl="0" w:tplc="7BC841A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21C1D"/>
    <w:multiLevelType w:val="hybridMultilevel"/>
    <w:tmpl w:val="72B62056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17447"/>
    <w:multiLevelType w:val="hybridMultilevel"/>
    <w:tmpl w:val="49EC3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4A2D9A"/>
    <w:multiLevelType w:val="hybridMultilevel"/>
    <w:tmpl w:val="7652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E2E0D"/>
    <w:multiLevelType w:val="hybridMultilevel"/>
    <w:tmpl w:val="C2F8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47E32"/>
    <w:multiLevelType w:val="hybridMultilevel"/>
    <w:tmpl w:val="418AA7EE"/>
    <w:lvl w:ilvl="0" w:tplc="7BC841A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1"/>
  </w:num>
  <w:num w:numId="4">
    <w:abstractNumId w:val="25"/>
  </w:num>
  <w:num w:numId="5">
    <w:abstractNumId w:val="8"/>
  </w:num>
  <w:num w:numId="6">
    <w:abstractNumId w:val="2"/>
  </w:num>
  <w:num w:numId="7">
    <w:abstractNumId w:val="18"/>
  </w:num>
  <w:num w:numId="8">
    <w:abstractNumId w:val="7"/>
  </w:num>
  <w:num w:numId="9">
    <w:abstractNumId w:val="12"/>
  </w:num>
  <w:num w:numId="10">
    <w:abstractNumId w:val="34"/>
  </w:num>
  <w:num w:numId="11">
    <w:abstractNumId w:val="10"/>
  </w:num>
  <w:num w:numId="12">
    <w:abstractNumId w:val="15"/>
  </w:num>
  <w:num w:numId="13">
    <w:abstractNumId w:val="0"/>
  </w:num>
  <w:num w:numId="14">
    <w:abstractNumId w:val="3"/>
  </w:num>
  <w:num w:numId="15">
    <w:abstractNumId w:val="19"/>
  </w:num>
  <w:num w:numId="16">
    <w:abstractNumId w:val="30"/>
  </w:num>
  <w:num w:numId="17">
    <w:abstractNumId w:val="17"/>
  </w:num>
  <w:num w:numId="18">
    <w:abstractNumId w:val="11"/>
  </w:num>
  <w:num w:numId="19">
    <w:abstractNumId w:val="22"/>
  </w:num>
  <w:num w:numId="20">
    <w:abstractNumId w:val="4"/>
  </w:num>
  <w:num w:numId="21">
    <w:abstractNumId w:val="29"/>
  </w:num>
  <w:num w:numId="22">
    <w:abstractNumId w:val="36"/>
  </w:num>
  <w:num w:numId="23">
    <w:abstractNumId w:val="23"/>
  </w:num>
  <w:num w:numId="24">
    <w:abstractNumId w:val="5"/>
  </w:num>
  <w:num w:numId="25">
    <w:abstractNumId w:val="32"/>
  </w:num>
  <w:num w:numId="26">
    <w:abstractNumId w:val="20"/>
  </w:num>
  <w:num w:numId="27">
    <w:abstractNumId w:val="35"/>
  </w:num>
  <w:num w:numId="28">
    <w:abstractNumId w:val="21"/>
  </w:num>
  <w:num w:numId="29">
    <w:abstractNumId w:val="28"/>
  </w:num>
  <w:num w:numId="30">
    <w:abstractNumId w:val="27"/>
  </w:num>
  <w:num w:numId="31">
    <w:abstractNumId w:val="14"/>
  </w:num>
  <w:num w:numId="32">
    <w:abstractNumId w:val="16"/>
  </w:num>
  <w:num w:numId="33">
    <w:abstractNumId w:val="24"/>
  </w:num>
  <w:num w:numId="34">
    <w:abstractNumId w:val="9"/>
  </w:num>
  <w:num w:numId="35">
    <w:abstractNumId w:val="13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6F9B"/>
    <w:rsid w:val="00010EA4"/>
    <w:rsid w:val="000124D6"/>
    <w:rsid w:val="000176CA"/>
    <w:rsid w:val="00033C8B"/>
    <w:rsid w:val="00036FA0"/>
    <w:rsid w:val="0003793F"/>
    <w:rsid w:val="00042BEB"/>
    <w:rsid w:val="00055787"/>
    <w:rsid w:val="00057456"/>
    <w:rsid w:val="00057E35"/>
    <w:rsid w:val="00070F28"/>
    <w:rsid w:val="00076726"/>
    <w:rsid w:val="00080303"/>
    <w:rsid w:val="0008597D"/>
    <w:rsid w:val="00091AF1"/>
    <w:rsid w:val="00092A91"/>
    <w:rsid w:val="000A3F58"/>
    <w:rsid w:val="000D2343"/>
    <w:rsid w:val="000D3449"/>
    <w:rsid w:val="000D425A"/>
    <w:rsid w:val="000D60CC"/>
    <w:rsid w:val="000E2084"/>
    <w:rsid w:val="000E28A9"/>
    <w:rsid w:val="000E57A0"/>
    <w:rsid w:val="000E5D4F"/>
    <w:rsid w:val="000E6F55"/>
    <w:rsid w:val="000F4342"/>
    <w:rsid w:val="000F77FA"/>
    <w:rsid w:val="00107BF7"/>
    <w:rsid w:val="00112721"/>
    <w:rsid w:val="00114918"/>
    <w:rsid w:val="001168C8"/>
    <w:rsid w:val="00126F53"/>
    <w:rsid w:val="00130FD6"/>
    <w:rsid w:val="00131C16"/>
    <w:rsid w:val="00131F64"/>
    <w:rsid w:val="00135A0B"/>
    <w:rsid w:val="00136383"/>
    <w:rsid w:val="0013705B"/>
    <w:rsid w:val="00143F60"/>
    <w:rsid w:val="00144098"/>
    <w:rsid w:val="0014766D"/>
    <w:rsid w:val="001536CC"/>
    <w:rsid w:val="0018169A"/>
    <w:rsid w:val="001864FC"/>
    <w:rsid w:val="0019039D"/>
    <w:rsid w:val="001905FF"/>
    <w:rsid w:val="001A3FBA"/>
    <w:rsid w:val="001A5518"/>
    <w:rsid w:val="001B1C6A"/>
    <w:rsid w:val="001C1263"/>
    <w:rsid w:val="001C1417"/>
    <w:rsid w:val="001E1998"/>
    <w:rsid w:val="001E390B"/>
    <w:rsid w:val="001F42FB"/>
    <w:rsid w:val="001F719A"/>
    <w:rsid w:val="002031B3"/>
    <w:rsid w:val="00215931"/>
    <w:rsid w:val="002214E4"/>
    <w:rsid w:val="00224C91"/>
    <w:rsid w:val="00225B6C"/>
    <w:rsid w:val="00227BDB"/>
    <w:rsid w:val="002340F6"/>
    <w:rsid w:val="00234CB1"/>
    <w:rsid w:val="002352F8"/>
    <w:rsid w:val="002510A5"/>
    <w:rsid w:val="00254A0A"/>
    <w:rsid w:val="0026029B"/>
    <w:rsid w:val="00266046"/>
    <w:rsid w:val="002706EB"/>
    <w:rsid w:val="00271737"/>
    <w:rsid w:val="002846DB"/>
    <w:rsid w:val="00284CCD"/>
    <w:rsid w:val="00284FA5"/>
    <w:rsid w:val="002A4459"/>
    <w:rsid w:val="002C04FC"/>
    <w:rsid w:val="002C6637"/>
    <w:rsid w:val="002D0F14"/>
    <w:rsid w:val="002D651B"/>
    <w:rsid w:val="002E0135"/>
    <w:rsid w:val="002E0D80"/>
    <w:rsid w:val="002E37A5"/>
    <w:rsid w:val="002F5170"/>
    <w:rsid w:val="0030046A"/>
    <w:rsid w:val="003044C1"/>
    <w:rsid w:val="00305EB0"/>
    <w:rsid w:val="003079D9"/>
    <w:rsid w:val="00307F05"/>
    <w:rsid w:val="00310F03"/>
    <w:rsid w:val="0031344B"/>
    <w:rsid w:val="003247D2"/>
    <w:rsid w:val="00336362"/>
    <w:rsid w:val="003445C1"/>
    <w:rsid w:val="00354B70"/>
    <w:rsid w:val="00355B61"/>
    <w:rsid w:val="00362686"/>
    <w:rsid w:val="00365DE9"/>
    <w:rsid w:val="00371510"/>
    <w:rsid w:val="00376809"/>
    <w:rsid w:val="00381193"/>
    <w:rsid w:val="00395F29"/>
    <w:rsid w:val="00396DFD"/>
    <w:rsid w:val="003A7059"/>
    <w:rsid w:val="003B5F04"/>
    <w:rsid w:val="003B7A36"/>
    <w:rsid w:val="003C17AB"/>
    <w:rsid w:val="003C1CCE"/>
    <w:rsid w:val="003C5B87"/>
    <w:rsid w:val="003C6F51"/>
    <w:rsid w:val="003C7823"/>
    <w:rsid w:val="003D1D81"/>
    <w:rsid w:val="003D395C"/>
    <w:rsid w:val="003E1DCC"/>
    <w:rsid w:val="003F11A1"/>
    <w:rsid w:val="003F6A59"/>
    <w:rsid w:val="00400C29"/>
    <w:rsid w:val="004065C8"/>
    <w:rsid w:val="004109FA"/>
    <w:rsid w:val="00411B4B"/>
    <w:rsid w:val="00415BEE"/>
    <w:rsid w:val="00427F85"/>
    <w:rsid w:val="00430D8C"/>
    <w:rsid w:val="00432183"/>
    <w:rsid w:val="004321B0"/>
    <w:rsid w:val="00436F42"/>
    <w:rsid w:val="004378B4"/>
    <w:rsid w:val="00451314"/>
    <w:rsid w:val="00452E9D"/>
    <w:rsid w:val="004534C7"/>
    <w:rsid w:val="00461992"/>
    <w:rsid w:val="00461AF0"/>
    <w:rsid w:val="004671AA"/>
    <w:rsid w:val="004769C2"/>
    <w:rsid w:val="0048061E"/>
    <w:rsid w:val="00480FB1"/>
    <w:rsid w:val="0048320B"/>
    <w:rsid w:val="00483928"/>
    <w:rsid w:val="00490BCD"/>
    <w:rsid w:val="004B2A2A"/>
    <w:rsid w:val="004B3507"/>
    <w:rsid w:val="004C331F"/>
    <w:rsid w:val="004D2209"/>
    <w:rsid w:val="004D6103"/>
    <w:rsid w:val="004E3BCE"/>
    <w:rsid w:val="004E70AD"/>
    <w:rsid w:val="004F0966"/>
    <w:rsid w:val="004F0E97"/>
    <w:rsid w:val="004F7321"/>
    <w:rsid w:val="00501DD1"/>
    <w:rsid w:val="00502173"/>
    <w:rsid w:val="00511BF2"/>
    <w:rsid w:val="00515C21"/>
    <w:rsid w:val="0052781F"/>
    <w:rsid w:val="00530148"/>
    <w:rsid w:val="00530BD7"/>
    <w:rsid w:val="005340DD"/>
    <w:rsid w:val="0053652B"/>
    <w:rsid w:val="00545CD2"/>
    <w:rsid w:val="005476F3"/>
    <w:rsid w:val="00565689"/>
    <w:rsid w:val="0056795D"/>
    <w:rsid w:val="00572527"/>
    <w:rsid w:val="00573E40"/>
    <w:rsid w:val="00574B59"/>
    <w:rsid w:val="00576348"/>
    <w:rsid w:val="00582BC6"/>
    <w:rsid w:val="005A0B2E"/>
    <w:rsid w:val="005A23D2"/>
    <w:rsid w:val="005A36CB"/>
    <w:rsid w:val="005A6E90"/>
    <w:rsid w:val="005B2446"/>
    <w:rsid w:val="005B49B8"/>
    <w:rsid w:val="005C0741"/>
    <w:rsid w:val="005C098C"/>
    <w:rsid w:val="005C38DD"/>
    <w:rsid w:val="005C5EF4"/>
    <w:rsid w:val="005C60F1"/>
    <w:rsid w:val="005E07DF"/>
    <w:rsid w:val="005E2E0B"/>
    <w:rsid w:val="005E65D2"/>
    <w:rsid w:val="005E7A7D"/>
    <w:rsid w:val="00602457"/>
    <w:rsid w:val="00614E89"/>
    <w:rsid w:val="00621376"/>
    <w:rsid w:val="00625B48"/>
    <w:rsid w:val="0063008D"/>
    <w:rsid w:val="00631E16"/>
    <w:rsid w:val="00644FC3"/>
    <w:rsid w:val="00646BD1"/>
    <w:rsid w:val="006561C2"/>
    <w:rsid w:val="0065634F"/>
    <w:rsid w:val="00666A0E"/>
    <w:rsid w:val="00671CB3"/>
    <w:rsid w:val="00674BAF"/>
    <w:rsid w:val="0068193D"/>
    <w:rsid w:val="00682200"/>
    <w:rsid w:val="00682EFD"/>
    <w:rsid w:val="006902B6"/>
    <w:rsid w:val="00692BF6"/>
    <w:rsid w:val="00693332"/>
    <w:rsid w:val="006A1497"/>
    <w:rsid w:val="006A7D61"/>
    <w:rsid w:val="006B0BD1"/>
    <w:rsid w:val="006B0DBF"/>
    <w:rsid w:val="006B5404"/>
    <w:rsid w:val="006D1ABD"/>
    <w:rsid w:val="006D20A5"/>
    <w:rsid w:val="006D37BF"/>
    <w:rsid w:val="006E2503"/>
    <w:rsid w:val="006E32D8"/>
    <w:rsid w:val="00702E22"/>
    <w:rsid w:val="0072020E"/>
    <w:rsid w:val="00727A61"/>
    <w:rsid w:val="0076537D"/>
    <w:rsid w:val="0077793C"/>
    <w:rsid w:val="00786071"/>
    <w:rsid w:val="00786B4E"/>
    <w:rsid w:val="007A3ECB"/>
    <w:rsid w:val="007B6FC0"/>
    <w:rsid w:val="007D7BB3"/>
    <w:rsid w:val="007E1163"/>
    <w:rsid w:val="007F3C5F"/>
    <w:rsid w:val="00801ECE"/>
    <w:rsid w:val="008025B5"/>
    <w:rsid w:val="008117F2"/>
    <w:rsid w:val="00815EB3"/>
    <w:rsid w:val="0082283C"/>
    <w:rsid w:val="00824AB9"/>
    <w:rsid w:val="00831307"/>
    <w:rsid w:val="00834FE3"/>
    <w:rsid w:val="00836B35"/>
    <w:rsid w:val="00843BDE"/>
    <w:rsid w:val="00855ACC"/>
    <w:rsid w:val="0087588C"/>
    <w:rsid w:val="00882DD7"/>
    <w:rsid w:val="008879D7"/>
    <w:rsid w:val="0089137E"/>
    <w:rsid w:val="00893FAB"/>
    <w:rsid w:val="0089705C"/>
    <w:rsid w:val="008A6D43"/>
    <w:rsid w:val="008B491E"/>
    <w:rsid w:val="008C1A28"/>
    <w:rsid w:val="008C2E98"/>
    <w:rsid w:val="008D05BD"/>
    <w:rsid w:val="008E49BD"/>
    <w:rsid w:val="008E4F4F"/>
    <w:rsid w:val="008E53E9"/>
    <w:rsid w:val="008E5771"/>
    <w:rsid w:val="008E6953"/>
    <w:rsid w:val="008F4ACF"/>
    <w:rsid w:val="00923995"/>
    <w:rsid w:val="00924166"/>
    <w:rsid w:val="0093163B"/>
    <w:rsid w:val="00940B9B"/>
    <w:rsid w:val="0095676E"/>
    <w:rsid w:val="00956983"/>
    <w:rsid w:val="00956BB3"/>
    <w:rsid w:val="00961C7E"/>
    <w:rsid w:val="00963CF0"/>
    <w:rsid w:val="00964BB1"/>
    <w:rsid w:val="009734C5"/>
    <w:rsid w:val="009775D9"/>
    <w:rsid w:val="009916DD"/>
    <w:rsid w:val="00997175"/>
    <w:rsid w:val="009A1847"/>
    <w:rsid w:val="009A3C69"/>
    <w:rsid w:val="009A5554"/>
    <w:rsid w:val="009A6744"/>
    <w:rsid w:val="009B062A"/>
    <w:rsid w:val="009B0F34"/>
    <w:rsid w:val="009B0F86"/>
    <w:rsid w:val="009B501D"/>
    <w:rsid w:val="009B5A45"/>
    <w:rsid w:val="009B7DD1"/>
    <w:rsid w:val="009D07BF"/>
    <w:rsid w:val="009D4893"/>
    <w:rsid w:val="009E5613"/>
    <w:rsid w:val="009E7C6F"/>
    <w:rsid w:val="009F1793"/>
    <w:rsid w:val="009F2D23"/>
    <w:rsid w:val="00A01A69"/>
    <w:rsid w:val="00A01D69"/>
    <w:rsid w:val="00A01FBB"/>
    <w:rsid w:val="00A02335"/>
    <w:rsid w:val="00A243E5"/>
    <w:rsid w:val="00A35B52"/>
    <w:rsid w:val="00A40A08"/>
    <w:rsid w:val="00A46C9A"/>
    <w:rsid w:val="00A50321"/>
    <w:rsid w:val="00A52C29"/>
    <w:rsid w:val="00A619F3"/>
    <w:rsid w:val="00A62A73"/>
    <w:rsid w:val="00A827F2"/>
    <w:rsid w:val="00A835DC"/>
    <w:rsid w:val="00A839F0"/>
    <w:rsid w:val="00A87FF6"/>
    <w:rsid w:val="00A917BB"/>
    <w:rsid w:val="00AA0A3B"/>
    <w:rsid w:val="00AA2763"/>
    <w:rsid w:val="00AA33B6"/>
    <w:rsid w:val="00AB3ADF"/>
    <w:rsid w:val="00AB50CA"/>
    <w:rsid w:val="00AB6D64"/>
    <w:rsid w:val="00AC3122"/>
    <w:rsid w:val="00AC53CE"/>
    <w:rsid w:val="00AC6105"/>
    <w:rsid w:val="00AC77A3"/>
    <w:rsid w:val="00AD1284"/>
    <w:rsid w:val="00AD1A61"/>
    <w:rsid w:val="00AD2193"/>
    <w:rsid w:val="00AE5755"/>
    <w:rsid w:val="00AF1402"/>
    <w:rsid w:val="00AF2AC7"/>
    <w:rsid w:val="00AF74CE"/>
    <w:rsid w:val="00B04AD4"/>
    <w:rsid w:val="00B10F34"/>
    <w:rsid w:val="00B208DB"/>
    <w:rsid w:val="00B23F69"/>
    <w:rsid w:val="00B242E1"/>
    <w:rsid w:val="00B25F16"/>
    <w:rsid w:val="00B60619"/>
    <w:rsid w:val="00B66A70"/>
    <w:rsid w:val="00B67366"/>
    <w:rsid w:val="00B70BDE"/>
    <w:rsid w:val="00B777D5"/>
    <w:rsid w:val="00B80EE1"/>
    <w:rsid w:val="00B82776"/>
    <w:rsid w:val="00B84135"/>
    <w:rsid w:val="00B862EC"/>
    <w:rsid w:val="00B90ED6"/>
    <w:rsid w:val="00B97A71"/>
    <w:rsid w:val="00BA2A1E"/>
    <w:rsid w:val="00BB54C8"/>
    <w:rsid w:val="00BD39BE"/>
    <w:rsid w:val="00BE0592"/>
    <w:rsid w:val="00BE0E21"/>
    <w:rsid w:val="00BE517A"/>
    <w:rsid w:val="00BE5D69"/>
    <w:rsid w:val="00BE681F"/>
    <w:rsid w:val="00BF3E7E"/>
    <w:rsid w:val="00C04D34"/>
    <w:rsid w:val="00C05DF8"/>
    <w:rsid w:val="00C06864"/>
    <w:rsid w:val="00C10F54"/>
    <w:rsid w:val="00C12BEF"/>
    <w:rsid w:val="00C21407"/>
    <w:rsid w:val="00C22302"/>
    <w:rsid w:val="00C23D8D"/>
    <w:rsid w:val="00C319FC"/>
    <w:rsid w:val="00C37AA3"/>
    <w:rsid w:val="00C37FD7"/>
    <w:rsid w:val="00C41916"/>
    <w:rsid w:val="00C428BB"/>
    <w:rsid w:val="00C43419"/>
    <w:rsid w:val="00C44CF3"/>
    <w:rsid w:val="00C61BE0"/>
    <w:rsid w:val="00C6707E"/>
    <w:rsid w:val="00C70B0E"/>
    <w:rsid w:val="00C773CA"/>
    <w:rsid w:val="00C83785"/>
    <w:rsid w:val="00C84361"/>
    <w:rsid w:val="00C942E4"/>
    <w:rsid w:val="00C94C0D"/>
    <w:rsid w:val="00CA1FEB"/>
    <w:rsid w:val="00CB3FAA"/>
    <w:rsid w:val="00CB5A57"/>
    <w:rsid w:val="00CC7496"/>
    <w:rsid w:val="00CD4F85"/>
    <w:rsid w:val="00CD6C0B"/>
    <w:rsid w:val="00CD6F02"/>
    <w:rsid w:val="00CE00C2"/>
    <w:rsid w:val="00CE246D"/>
    <w:rsid w:val="00CE4A10"/>
    <w:rsid w:val="00CE7BBA"/>
    <w:rsid w:val="00CF07A0"/>
    <w:rsid w:val="00CF3E03"/>
    <w:rsid w:val="00D0082A"/>
    <w:rsid w:val="00D21455"/>
    <w:rsid w:val="00D2349E"/>
    <w:rsid w:val="00D2422C"/>
    <w:rsid w:val="00D47634"/>
    <w:rsid w:val="00D61289"/>
    <w:rsid w:val="00D709B3"/>
    <w:rsid w:val="00D746BD"/>
    <w:rsid w:val="00DA2ED6"/>
    <w:rsid w:val="00DA3F90"/>
    <w:rsid w:val="00DB76B8"/>
    <w:rsid w:val="00DB797F"/>
    <w:rsid w:val="00DC2EA1"/>
    <w:rsid w:val="00DC5DC5"/>
    <w:rsid w:val="00DD6AAF"/>
    <w:rsid w:val="00DE3F5C"/>
    <w:rsid w:val="00DE7849"/>
    <w:rsid w:val="00DF1D20"/>
    <w:rsid w:val="00DF36AA"/>
    <w:rsid w:val="00DF76B8"/>
    <w:rsid w:val="00E01A72"/>
    <w:rsid w:val="00E02EF2"/>
    <w:rsid w:val="00E056F7"/>
    <w:rsid w:val="00E16294"/>
    <w:rsid w:val="00E21324"/>
    <w:rsid w:val="00E246B9"/>
    <w:rsid w:val="00E31FEA"/>
    <w:rsid w:val="00E45169"/>
    <w:rsid w:val="00E47787"/>
    <w:rsid w:val="00E51C30"/>
    <w:rsid w:val="00E53166"/>
    <w:rsid w:val="00E64180"/>
    <w:rsid w:val="00E74AEE"/>
    <w:rsid w:val="00E868E5"/>
    <w:rsid w:val="00E9237A"/>
    <w:rsid w:val="00E939FA"/>
    <w:rsid w:val="00EA26B7"/>
    <w:rsid w:val="00EA4C0C"/>
    <w:rsid w:val="00EA4D55"/>
    <w:rsid w:val="00EA5765"/>
    <w:rsid w:val="00EA755F"/>
    <w:rsid w:val="00EB22E3"/>
    <w:rsid w:val="00EB247E"/>
    <w:rsid w:val="00EC2482"/>
    <w:rsid w:val="00EC2532"/>
    <w:rsid w:val="00EC621E"/>
    <w:rsid w:val="00ED7812"/>
    <w:rsid w:val="00EE6A1A"/>
    <w:rsid w:val="00EF03EA"/>
    <w:rsid w:val="00EF1CD6"/>
    <w:rsid w:val="00EF3B86"/>
    <w:rsid w:val="00F10563"/>
    <w:rsid w:val="00F11BAA"/>
    <w:rsid w:val="00F12466"/>
    <w:rsid w:val="00F14BD4"/>
    <w:rsid w:val="00F215CF"/>
    <w:rsid w:val="00F317E9"/>
    <w:rsid w:val="00F32E69"/>
    <w:rsid w:val="00F34554"/>
    <w:rsid w:val="00F34EE9"/>
    <w:rsid w:val="00F405EE"/>
    <w:rsid w:val="00F45F77"/>
    <w:rsid w:val="00F5167F"/>
    <w:rsid w:val="00F52258"/>
    <w:rsid w:val="00F67BA5"/>
    <w:rsid w:val="00F84604"/>
    <w:rsid w:val="00F8570A"/>
    <w:rsid w:val="00F91C7B"/>
    <w:rsid w:val="00F97C72"/>
    <w:rsid w:val="00FC4398"/>
    <w:rsid w:val="00FF5F82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72607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0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GlobalBayerBodyText">
    <w:name w:val="Global Bayer Body Text"/>
    <w:basedOn w:val="Normal"/>
    <w:link w:val="GlobalBayerBodyTextChar"/>
    <w:rsid w:val="00FC4398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/>
      <w:sz w:val="22"/>
      <w:lang w:val="x-none" w:eastAsia="de-DE"/>
    </w:rPr>
  </w:style>
  <w:style w:type="character" w:customStyle="1" w:styleId="GlobalBayerBodyTextChar">
    <w:name w:val="Global Bayer Body Text Char"/>
    <w:link w:val="GlobalBayerBodyText"/>
    <w:rsid w:val="00FC4398"/>
    <w:rPr>
      <w:rFonts w:ascii="Arial" w:hAnsi="Arial"/>
      <w:sz w:val="22"/>
      <w:szCs w:val="24"/>
      <w:lang w:val="x-none" w:eastAsia="de-DE"/>
    </w:rPr>
  </w:style>
  <w:style w:type="paragraph" w:customStyle="1" w:styleId="Default">
    <w:name w:val="Default"/>
    <w:rsid w:val="008025B5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93FAB"/>
    <w:pPr>
      <w:ind w:left="720"/>
      <w:contextualSpacing/>
    </w:pPr>
  </w:style>
  <w:style w:type="paragraph" w:styleId="Revision">
    <w:name w:val="Revision"/>
    <w:hidden/>
    <w:uiPriority w:val="99"/>
    <w:semiHidden/>
    <w:rsid w:val="00834FE3"/>
    <w:rPr>
      <w:sz w:val="24"/>
      <w:szCs w:val="24"/>
      <w:lang w:val="en-US" w:eastAsia="en-US"/>
    </w:rPr>
  </w:style>
  <w:style w:type="character" w:customStyle="1" w:styleId="rynqvb">
    <w:name w:val="rynqvb"/>
    <w:basedOn w:val="DefaultParagraphFont"/>
    <w:rsid w:val="0013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8CC0-F5C1-4642-9913-F59B66DC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4785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32001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3</cp:revision>
  <dcterms:created xsi:type="dcterms:W3CDTF">2025-03-13T07:15:00Z</dcterms:created>
  <dcterms:modified xsi:type="dcterms:W3CDTF">2025-03-13T07:24:00Z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2023-03-31T11:40:48Z</vt:lpwstr>
  </property>
  <property fmtid="{D5CDD505-2E9C-101B-9397-08002B2CF9AE}" pid="5" name="MSIP_Label_7f850223-87a8-40c3-9eb2-432606efca2a_Method">
    <vt:lpwstr>Privileged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0921f632-2dce-4bab-82c2-2dbbeb3396d0</vt:lpwstr>
  </property>
  <property fmtid="{D5CDD505-2E9C-101B-9397-08002B2CF9AE}" pid="9" name="MSIP_Label_7f850223-87a8-40c3-9eb2-432606efca2a_ContentBits">
    <vt:lpwstr>0</vt:lpwstr>
  </property>
</Properties>
</file>