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27834" w14:textId="77777777" w:rsidR="00C97A74" w:rsidRDefault="006B6E8F">
      <w:pPr>
        <w:keepNext/>
        <w:jc w:val="center"/>
        <w:outlineLvl w:val="0"/>
        <w:rPr>
          <w:b/>
          <w:bCs/>
          <w:szCs w:val="22"/>
          <w:u w:val="single"/>
          <w:lang w:val="hr-HR" w:eastAsia="hr-HR"/>
        </w:rPr>
      </w:pPr>
      <w:r>
        <w:rPr>
          <w:b/>
          <w:bCs/>
          <w:szCs w:val="22"/>
          <w:u w:val="single"/>
          <w:lang w:val="hr-HR" w:eastAsia="hr-HR"/>
        </w:rPr>
        <w:t>SAŽETAK KARAKTERISTIKA LIJEKA</w:t>
      </w:r>
    </w:p>
    <w:p w14:paraId="721A2679" w14:textId="77777777" w:rsidR="00C97A74" w:rsidRDefault="00C97A74">
      <w:pPr>
        <w:jc w:val="center"/>
        <w:rPr>
          <w:b/>
          <w:bCs/>
          <w:szCs w:val="22"/>
          <w:lang w:val="hr-HR" w:eastAsia="hr-HR"/>
        </w:rPr>
      </w:pPr>
    </w:p>
    <w:p w14:paraId="7042EA03" w14:textId="77777777" w:rsidR="00C97A74" w:rsidRDefault="00C97A74">
      <w:pPr>
        <w:jc w:val="both"/>
        <w:rPr>
          <w:b/>
          <w:bCs/>
          <w:szCs w:val="22"/>
          <w:lang w:val="hr-HR" w:eastAsia="hr-HR"/>
        </w:rPr>
      </w:pPr>
    </w:p>
    <w:p w14:paraId="5218713F" w14:textId="77777777" w:rsidR="00C97A74" w:rsidRDefault="006B6E8F">
      <w:pPr>
        <w:numPr>
          <w:ilvl w:val="0"/>
          <w:numId w:val="3"/>
        </w:numPr>
        <w:ind w:left="567" w:hanging="567"/>
        <w:jc w:val="both"/>
        <w:rPr>
          <w:b/>
          <w:bCs/>
          <w:szCs w:val="22"/>
          <w:lang w:val="hr-HR" w:eastAsia="hr-HR"/>
        </w:rPr>
      </w:pPr>
      <w:r>
        <w:rPr>
          <w:b/>
          <w:bCs/>
          <w:szCs w:val="22"/>
          <w:lang w:val="hr-HR" w:eastAsia="hr-HR"/>
        </w:rPr>
        <w:t>NAZIV LIJEKA</w:t>
      </w:r>
    </w:p>
    <w:p w14:paraId="0EBD56FB" w14:textId="77777777" w:rsidR="00C97A74" w:rsidRDefault="00C97A74">
      <w:pPr>
        <w:ind w:left="360"/>
        <w:jc w:val="both"/>
        <w:rPr>
          <w:szCs w:val="22"/>
          <w:lang w:val="hr-HR" w:eastAsia="hr-HR"/>
        </w:rPr>
      </w:pPr>
    </w:p>
    <w:p w14:paraId="10BE8D8A" w14:textId="77777777" w:rsidR="00C97A74" w:rsidRDefault="006B6E8F">
      <w:pPr>
        <w:jc w:val="both"/>
        <w:rPr>
          <w:szCs w:val="22"/>
          <w:lang w:val="hr-HR" w:eastAsia="hr-HR"/>
        </w:rPr>
      </w:pPr>
      <w:r>
        <w:rPr>
          <w:szCs w:val="22"/>
          <w:lang w:val="hr-HR" w:eastAsia="hr-HR"/>
        </w:rPr>
        <w:t>Valsacombi, 80 mg + 12,5 mg, film tableta</w:t>
      </w:r>
    </w:p>
    <w:p w14:paraId="79489D01" w14:textId="77777777" w:rsidR="00C97A74" w:rsidRDefault="006B6E8F">
      <w:pPr>
        <w:jc w:val="both"/>
        <w:rPr>
          <w:szCs w:val="22"/>
          <w:lang w:val="hr-HR" w:eastAsia="hr-HR"/>
        </w:rPr>
      </w:pPr>
      <w:r>
        <w:rPr>
          <w:szCs w:val="22"/>
          <w:lang w:val="hr-HR" w:eastAsia="hr-HR"/>
        </w:rPr>
        <w:t>Valsacombi, 160 mg + 12,5 mg, film tableta</w:t>
      </w:r>
    </w:p>
    <w:p w14:paraId="71BC2034" w14:textId="77777777" w:rsidR="00C97A74" w:rsidRDefault="006B6E8F">
      <w:pPr>
        <w:jc w:val="both"/>
        <w:rPr>
          <w:szCs w:val="22"/>
          <w:lang w:val="hr-HR" w:eastAsia="hr-HR"/>
        </w:rPr>
      </w:pPr>
      <w:r>
        <w:rPr>
          <w:szCs w:val="22"/>
          <w:lang w:val="hr-HR" w:eastAsia="hr-HR"/>
        </w:rPr>
        <w:t>Valsacombi, 160 mg + 25 mg, film tableta</w:t>
      </w:r>
    </w:p>
    <w:p w14:paraId="592C5A02" w14:textId="77777777" w:rsidR="00C97A74" w:rsidRDefault="00C97A74">
      <w:pPr>
        <w:jc w:val="both"/>
        <w:rPr>
          <w:szCs w:val="22"/>
          <w:lang w:val="hr-HR" w:eastAsia="hr-HR"/>
        </w:rPr>
      </w:pPr>
    </w:p>
    <w:p w14:paraId="1585E6F4" w14:textId="77777777" w:rsidR="00C97A74" w:rsidRDefault="006B6E8F">
      <w:pPr>
        <w:jc w:val="both"/>
        <w:rPr>
          <w:szCs w:val="22"/>
          <w:lang w:val="hr-HR" w:eastAsia="hr-HR"/>
        </w:rPr>
      </w:pPr>
      <w:r>
        <w:rPr>
          <w:szCs w:val="22"/>
          <w:lang w:val="hr-HR" w:eastAsia="hr-HR"/>
        </w:rPr>
        <w:t>INN: valsartan, hidrohlortiazid</w:t>
      </w:r>
    </w:p>
    <w:p w14:paraId="4CF9EB84" w14:textId="77777777" w:rsidR="00C97A74" w:rsidRDefault="00C97A74">
      <w:pPr>
        <w:jc w:val="both"/>
        <w:rPr>
          <w:szCs w:val="22"/>
          <w:lang w:val="hr-HR" w:eastAsia="hr-HR"/>
        </w:rPr>
      </w:pPr>
    </w:p>
    <w:p w14:paraId="2ACD0EBB" w14:textId="77777777" w:rsidR="00C97A74" w:rsidRDefault="00C97A74">
      <w:pPr>
        <w:ind w:left="360"/>
        <w:jc w:val="both"/>
        <w:rPr>
          <w:szCs w:val="22"/>
          <w:lang w:val="hr-HR" w:eastAsia="hr-HR"/>
        </w:rPr>
      </w:pPr>
    </w:p>
    <w:p w14:paraId="17BAE55E" w14:textId="77777777" w:rsidR="00C97A74" w:rsidRDefault="006B6E8F">
      <w:pPr>
        <w:numPr>
          <w:ilvl w:val="0"/>
          <w:numId w:val="3"/>
        </w:numPr>
        <w:ind w:left="567" w:hanging="567"/>
        <w:jc w:val="both"/>
        <w:rPr>
          <w:b/>
          <w:bCs/>
          <w:szCs w:val="22"/>
          <w:lang w:val="hr-HR" w:eastAsia="hr-HR"/>
        </w:rPr>
      </w:pPr>
      <w:r>
        <w:rPr>
          <w:b/>
          <w:bCs/>
          <w:szCs w:val="22"/>
          <w:lang w:val="hr-HR" w:eastAsia="hr-HR"/>
        </w:rPr>
        <w:t>KVALITATIVNI I KVANTITATIVNI SASTAV</w:t>
      </w:r>
    </w:p>
    <w:p w14:paraId="77FDFAEC" w14:textId="77777777" w:rsidR="00C97A74" w:rsidRDefault="00C97A74">
      <w:pPr>
        <w:jc w:val="both"/>
        <w:rPr>
          <w:szCs w:val="22"/>
          <w:lang w:val="hr-HR" w:eastAsia="hr-HR"/>
        </w:rPr>
      </w:pPr>
    </w:p>
    <w:p w14:paraId="65901D47" w14:textId="77777777" w:rsidR="00C97A74" w:rsidRDefault="006B6E8F">
      <w:pPr>
        <w:keepNext/>
        <w:tabs>
          <w:tab w:val="left" w:pos="6405"/>
        </w:tabs>
        <w:jc w:val="both"/>
        <w:outlineLvl w:val="0"/>
        <w:rPr>
          <w:szCs w:val="22"/>
          <w:u w:val="single"/>
          <w:lang w:val="hr-HR" w:eastAsia="hr-HR"/>
        </w:rPr>
      </w:pPr>
      <w:r>
        <w:rPr>
          <w:szCs w:val="22"/>
          <w:u w:val="single"/>
          <w:lang w:val="hr-HR" w:eastAsia="hr-HR"/>
        </w:rPr>
        <w:t>Valsacombi 80 mg + 12,5 mg film tablete</w:t>
      </w:r>
    </w:p>
    <w:p w14:paraId="64C01C36" w14:textId="77777777" w:rsidR="00C97A74" w:rsidRDefault="006B6E8F">
      <w:pPr>
        <w:tabs>
          <w:tab w:val="left" w:pos="6405"/>
        </w:tabs>
        <w:jc w:val="both"/>
        <w:rPr>
          <w:szCs w:val="22"/>
          <w:lang w:val="hr-HR" w:eastAsia="hr-HR"/>
        </w:rPr>
      </w:pPr>
      <w:r>
        <w:rPr>
          <w:szCs w:val="22"/>
          <w:lang w:val="hr-HR" w:eastAsia="hr-HR"/>
        </w:rPr>
        <w:t>Svaka film tableta sadrži 80 mg valsartana i 12,5 mg hidrohlortiazida.</w:t>
      </w:r>
    </w:p>
    <w:p w14:paraId="39072147" w14:textId="77777777" w:rsidR="00C97A74" w:rsidRDefault="00C97A74">
      <w:pPr>
        <w:tabs>
          <w:tab w:val="left" w:pos="6405"/>
        </w:tabs>
        <w:jc w:val="both"/>
        <w:rPr>
          <w:szCs w:val="22"/>
          <w:lang w:val="hr-HR" w:eastAsia="hr-HR"/>
        </w:rPr>
      </w:pPr>
    </w:p>
    <w:p w14:paraId="61947C94" w14:textId="77777777" w:rsidR="00C97A74" w:rsidRDefault="006B6E8F">
      <w:pPr>
        <w:jc w:val="both"/>
        <w:rPr>
          <w:szCs w:val="22"/>
          <w:u w:val="single"/>
          <w:lang w:val="hr-HR" w:eastAsia="hr-HR"/>
        </w:rPr>
      </w:pPr>
      <w:r>
        <w:rPr>
          <w:szCs w:val="22"/>
          <w:u w:val="single"/>
          <w:lang w:val="hr-HR" w:eastAsia="hr-HR"/>
        </w:rPr>
        <w:t>Valsacombi 160 mg + 12,5 mg film tablete</w:t>
      </w:r>
    </w:p>
    <w:p w14:paraId="187C272A" w14:textId="77777777" w:rsidR="00C97A74" w:rsidRDefault="006B6E8F">
      <w:pPr>
        <w:tabs>
          <w:tab w:val="left" w:pos="6405"/>
        </w:tabs>
        <w:jc w:val="both"/>
        <w:rPr>
          <w:szCs w:val="22"/>
          <w:lang w:val="hr-HR" w:eastAsia="hr-HR"/>
        </w:rPr>
      </w:pPr>
      <w:r>
        <w:rPr>
          <w:szCs w:val="22"/>
          <w:lang w:val="hr-HR" w:eastAsia="hr-HR"/>
        </w:rPr>
        <w:t>Svaka film tableta sadrži 160 mg valsartana i 12,5 mg hidrohlortiazida.</w:t>
      </w:r>
    </w:p>
    <w:p w14:paraId="6DF73139" w14:textId="77777777" w:rsidR="00C97A74" w:rsidRDefault="00C97A74">
      <w:pPr>
        <w:tabs>
          <w:tab w:val="left" w:pos="6405"/>
        </w:tabs>
        <w:jc w:val="both"/>
        <w:rPr>
          <w:szCs w:val="22"/>
          <w:lang w:val="hr-HR" w:eastAsia="hr-HR"/>
        </w:rPr>
      </w:pPr>
    </w:p>
    <w:p w14:paraId="3F285609" w14:textId="77777777" w:rsidR="00C97A74" w:rsidRDefault="006B6E8F">
      <w:pPr>
        <w:keepNext/>
        <w:tabs>
          <w:tab w:val="left" w:pos="6405"/>
        </w:tabs>
        <w:jc w:val="both"/>
        <w:outlineLvl w:val="0"/>
        <w:rPr>
          <w:szCs w:val="22"/>
          <w:u w:val="single"/>
          <w:lang w:val="hr-HR" w:eastAsia="hr-HR"/>
        </w:rPr>
      </w:pPr>
      <w:r>
        <w:rPr>
          <w:szCs w:val="22"/>
          <w:u w:val="single"/>
          <w:lang w:val="hr-HR" w:eastAsia="hr-HR"/>
        </w:rPr>
        <w:t>Valsacombi 160 mg + 25 mg film tablete</w:t>
      </w:r>
    </w:p>
    <w:p w14:paraId="09797AB4" w14:textId="77777777" w:rsidR="00C97A74" w:rsidRDefault="006B6E8F">
      <w:pPr>
        <w:tabs>
          <w:tab w:val="left" w:pos="6405"/>
        </w:tabs>
        <w:jc w:val="both"/>
        <w:rPr>
          <w:szCs w:val="22"/>
          <w:lang w:val="hr-HR" w:eastAsia="hr-HR"/>
        </w:rPr>
      </w:pPr>
      <w:r>
        <w:rPr>
          <w:szCs w:val="22"/>
          <w:lang w:val="hr-HR" w:eastAsia="hr-HR"/>
        </w:rPr>
        <w:t>Svaka film tableta sadrži 160 mg valsartana i 25 mg hidrohlortiazida.</w:t>
      </w:r>
    </w:p>
    <w:p w14:paraId="1465004B" w14:textId="77777777" w:rsidR="00C97A74" w:rsidRDefault="00C97A74">
      <w:pPr>
        <w:tabs>
          <w:tab w:val="left" w:pos="6405"/>
        </w:tabs>
        <w:jc w:val="both"/>
        <w:rPr>
          <w:szCs w:val="22"/>
          <w:lang w:val="hr-HR" w:eastAsia="hr-HR"/>
        </w:rPr>
      </w:pPr>
    </w:p>
    <w:p w14:paraId="01C8F9DE" w14:textId="77777777" w:rsidR="00C97A74" w:rsidRDefault="006B6E8F">
      <w:pPr>
        <w:tabs>
          <w:tab w:val="left" w:pos="6405"/>
        </w:tabs>
        <w:jc w:val="both"/>
        <w:rPr>
          <w:szCs w:val="22"/>
          <w:lang w:val="hr-HR" w:eastAsia="hr-HR"/>
        </w:rPr>
      </w:pPr>
      <w:r>
        <w:rPr>
          <w:szCs w:val="22"/>
          <w:lang w:val="hr-HR" w:eastAsia="hr-HR"/>
        </w:rPr>
        <w:t>Pomoćne supstance:</w:t>
      </w:r>
    </w:p>
    <w:p w14:paraId="16266B1B" w14:textId="77777777" w:rsidR="00C97A74" w:rsidRDefault="00C97A74">
      <w:pPr>
        <w:tabs>
          <w:tab w:val="left" w:pos="6405"/>
        </w:tabs>
        <w:jc w:val="both"/>
        <w:rPr>
          <w:szCs w:val="22"/>
          <w:lang w:val="hr-HR" w:eastAsia="hr-HR"/>
        </w:rPr>
      </w:pPr>
    </w:p>
    <w:p w14:paraId="5AE799CA" w14:textId="77777777" w:rsidR="00C97A74" w:rsidRDefault="006B6E8F">
      <w:pPr>
        <w:tabs>
          <w:tab w:val="left" w:pos="6405"/>
        </w:tabs>
        <w:jc w:val="both"/>
        <w:rPr>
          <w:szCs w:val="22"/>
          <w:lang w:val="hr-HR" w:eastAsia="hr-HR"/>
        </w:rPr>
      </w:pPr>
      <w:r>
        <w:rPr>
          <w:szCs w:val="22"/>
          <w:u w:val="single"/>
          <w:lang w:val="hr-HR" w:eastAsia="hr-HR"/>
        </w:rPr>
        <w:t>80 mg + 12,5 mg</w:t>
      </w:r>
    </w:p>
    <w:p w14:paraId="0203C6F5" w14:textId="77777777" w:rsidR="00C97A74" w:rsidRDefault="006B6E8F">
      <w:pPr>
        <w:tabs>
          <w:tab w:val="left" w:pos="6405"/>
        </w:tabs>
        <w:jc w:val="both"/>
        <w:rPr>
          <w:szCs w:val="22"/>
          <w:lang w:val="hr-HR" w:eastAsia="hr-HR"/>
        </w:rPr>
      </w:pPr>
      <w:r>
        <w:rPr>
          <w:szCs w:val="22"/>
          <w:lang w:val="hr-HR" w:eastAsia="hr-HR"/>
        </w:rPr>
        <w:t>Jedna film tableta sadrži 16,27 mg laktoze.</w:t>
      </w:r>
    </w:p>
    <w:p w14:paraId="65F4600C" w14:textId="77777777" w:rsidR="00C97A74" w:rsidRDefault="00C97A74">
      <w:pPr>
        <w:tabs>
          <w:tab w:val="left" w:pos="6405"/>
        </w:tabs>
        <w:jc w:val="both"/>
        <w:rPr>
          <w:szCs w:val="22"/>
          <w:lang w:val="hr-HR" w:eastAsia="hr-HR"/>
        </w:rPr>
      </w:pPr>
    </w:p>
    <w:p w14:paraId="6B158B4B" w14:textId="77777777" w:rsidR="00C97A74" w:rsidRDefault="006B6E8F">
      <w:pPr>
        <w:tabs>
          <w:tab w:val="left" w:pos="6405"/>
        </w:tabs>
        <w:jc w:val="both"/>
        <w:rPr>
          <w:szCs w:val="22"/>
          <w:lang w:val="hr-HR" w:eastAsia="hr-HR"/>
        </w:rPr>
      </w:pPr>
      <w:r>
        <w:rPr>
          <w:szCs w:val="22"/>
          <w:u w:val="single"/>
          <w:lang w:val="hr-HR" w:eastAsia="hr-HR"/>
        </w:rPr>
        <w:t>160 mg + 12,5 mg</w:t>
      </w:r>
    </w:p>
    <w:p w14:paraId="348DB269" w14:textId="77777777" w:rsidR="00C97A74" w:rsidRDefault="006B6E8F">
      <w:pPr>
        <w:tabs>
          <w:tab w:val="left" w:pos="6405"/>
        </w:tabs>
        <w:jc w:val="both"/>
        <w:rPr>
          <w:szCs w:val="22"/>
          <w:lang w:val="hr-HR" w:eastAsia="hr-HR"/>
        </w:rPr>
      </w:pPr>
      <w:r>
        <w:rPr>
          <w:szCs w:val="22"/>
          <w:lang w:val="hr-HR" w:eastAsia="hr-HR"/>
        </w:rPr>
        <w:t>Jedna film tableta sadrži 44,41 mg laktoze.</w:t>
      </w:r>
    </w:p>
    <w:p w14:paraId="3B022ADB" w14:textId="77777777" w:rsidR="00C97A74" w:rsidRDefault="00C97A74">
      <w:pPr>
        <w:tabs>
          <w:tab w:val="left" w:pos="6405"/>
        </w:tabs>
        <w:jc w:val="both"/>
        <w:rPr>
          <w:szCs w:val="22"/>
          <w:lang w:val="hr-HR" w:eastAsia="hr-HR"/>
        </w:rPr>
      </w:pPr>
    </w:p>
    <w:p w14:paraId="5D32DCB0" w14:textId="77777777" w:rsidR="00C97A74" w:rsidRDefault="006B6E8F">
      <w:pPr>
        <w:tabs>
          <w:tab w:val="left" w:pos="6405"/>
        </w:tabs>
        <w:jc w:val="both"/>
        <w:rPr>
          <w:szCs w:val="22"/>
          <w:lang w:val="hr-HR" w:eastAsia="hr-HR"/>
        </w:rPr>
      </w:pPr>
      <w:r>
        <w:rPr>
          <w:szCs w:val="22"/>
          <w:u w:val="single"/>
          <w:lang w:val="hr-HR" w:eastAsia="hr-HR"/>
        </w:rPr>
        <w:t>160 mg + 25 mg</w:t>
      </w:r>
    </w:p>
    <w:p w14:paraId="03493092" w14:textId="77777777" w:rsidR="00C97A74" w:rsidRDefault="006B6E8F">
      <w:pPr>
        <w:tabs>
          <w:tab w:val="left" w:pos="6405"/>
        </w:tabs>
        <w:jc w:val="both"/>
        <w:rPr>
          <w:szCs w:val="22"/>
          <w:lang w:val="hr-HR" w:eastAsia="hr-HR"/>
        </w:rPr>
      </w:pPr>
      <w:r>
        <w:rPr>
          <w:szCs w:val="22"/>
          <w:lang w:val="hr-HR" w:eastAsia="hr-HR"/>
        </w:rPr>
        <w:t>Jedna film tableta sadrži 32,54 mg laktoze.</w:t>
      </w:r>
    </w:p>
    <w:p w14:paraId="29D90258" w14:textId="77777777" w:rsidR="00C97A74" w:rsidRDefault="00C97A74">
      <w:pPr>
        <w:jc w:val="both"/>
        <w:rPr>
          <w:szCs w:val="22"/>
          <w:lang w:val="hr-HR" w:eastAsia="hr-HR"/>
        </w:rPr>
      </w:pPr>
    </w:p>
    <w:p w14:paraId="053BB162" w14:textId="77777777" w:rsidR="00C97A74" w:rsidRDefault="006B6E8F">
      <w:pPr>
        <w:jc w:val="both"/>
        <w:rPr>
          <w:szCs w:val="22"/>
          <w:lang w:val="hr-HR" w:eastAsia="hr-HR"/>
        </w:rPr>
      </w:pPr>
      <w:r>
        <w:rPr>
          <w:szCs w:val="22"/>
          <w:lang w:val="hr-HR" w:eastAsia="hr-HR"/>
        </w:rPr>
        <w:t>Za spisak svih ekscipijenasa, pogledati dio 6.1.</w:t>
      </w:r>
    </w:p>
    <w:p w14:paraId="5E10A4B0" w14:textId="77777777" w:rsidR="00C97A74" w:rsidRDefault="00C97A74">
      <w:pPr>
        <w:jc w:val="both"/>
        <w:rPr>
          <w:szCs w:val="22"/>
          <w:lang w:val="hr-HR" w:eastAsia="hr-HR"/>
        </w:rPr>
      </w:pPr>
    </w:p>
    <w:p w14:paraId="3F8AD498" w14:textId="77777777" w:rsidR="00C97A74" w:rsidRDefault="00C97A74">
      <w:pPr>
        <w:rPr>
          <w:szCs w:val="22"/>
          <w:lang w:val="hr-HR" w:eastAsia="hr-HR"/>
        </w:rPr>
      </w:pPr>
    </w:p>
    <w:p w14:paraId="4C0AB132" w14:textId="77777777" w:rsidR="00C97A74" w:rsidRDefault="006B6E8F">
      <w:pPr>
        <w:numPr>
          <w:ilvl w:val="0"/>
          <w:numId w:val="3"/>
        </w:numPr>
        <w:ind w:left="567" w:hanging="567"/>
        <w:jc w:val="both"/>
        <w:rPr>
          <w:b/>
          <w:bCs/>
          <w:szCs w:val="22"/>
          <w:lang w:val="hr-HR" w:eastAsia="hr-HR"/>
        </w:rPr>
      </w:pPr>
      <w:r>
        <w:rPr>
          <w:b/>
          <w:bCs/>
          <w:szCs w:val="22"/>
          <w:lang w:val="hr-HR" w:eastAsia="hr-HR"/>
        </w:rPr>
        <w:t>FARMACEUTSKI OBLIK</w:t>
      </w:r>
    </w:p>
    <w:p w14:paraId="513CAD2B" w14:textId="77777777" w:rsidR="00C97A74" w:rsidRDefault="00C97A74">
      <w:pPr>
        <w:jc w:val="both"/>
        <w:rPr>
          <w:szCs w:val="22"/>
          <w:lang w:val="hr-HR" w:eastAsia="hr-HR"/>
        </w:rPr>
      </w:pPr>
    </w:p>
    <w:p w14:paraId="1FCC3AF1" w14:textId="77777777" w:rsidR="00C97A74" w:rsidRDefault="006B6E8F">
      <w:pPr>
        <w:jc w:val="both"/>
        <w:rPr>
          <w:szCs w:val="22"/>
          <w:lang w:val="hr-HR" w:eastAsia="hr-HR"/>
        </w:rPr>
      </w:pPr>
      <w:r>
        <w:rPr>
          <w:szCs w:val="22"/>
          <w:lang w:val="hr-HR" w:eastAsia="hr-HR"/>
        </w:rPr>
        <w:t>Film tableta.</w:t>
      </w:r>
    </w:p>
    <w:p w14:paraId="78FDEDBD" w14:textId="77777777" w:rsidR="00C97A74" w:rsidRDefault="00C97A74">
      <w:pPr>
        <w:jc w:val="both"/>
        <w:rPr>
          <w:szCs w:val="22"/>
          <w:lang w:val="hr-HR" w:eastAsia="hr-HR"/>
        </w:rPr>
      </w:pPr>
    </w:p>
    <w:p w14:paraId="409662B9" w14:textId="77777777" w:rsidR="00653DA8" w:rsidRDefault="00532839">
      <w:pPr>
        <w:jc w:val="both"/>
        <w:rPr>
          <w:szCs w:val="22"/>
          <w:lang w:val="hr-HR" w:eastAsia="hr-HR"/>
        </w:rPr>
      </w:pPr>
      <w:r>
        <w:rPr>
          <w:szCs w:val="22"/>
          <w:lang w:val="hr-HR" w:eastAsia="hr-HR"/>
        </w:rPr>
        <w:t xml:space="preserve">Valsacombi, </w:t>
      </w:r>
      <w:r w:rsidR="006B6E8F">
        <w:rPr>
          <w:szCs w:val="22"/>
          <w:lang w:val="hr-HR" w:eastAsia="hr-HR"/>
        </w:rPr>
        <w:t>80 mg + 12,5 mg: film tablete su ružičaste boje, ovalne, izbočene.</w:t>
      </w:r>
    </w:p>
    <w:p w14:paraId="64561ECF" w14:textId="77777777" w:rsidR="00C97A74" w:rsidRDefault="00532839">
      <w:pPr>
        <w:jc w:val="both"/>
        <w:rPr>
          <w:szCs w:val="22"/>
          <w:lang w:val="hr-HR" w:eastAsia="hr-HR"/>
        </w:rPr>
      </w:pPr>
      <w:r>
        <w:rPr>
          <w:szCs w:val="22"/>
          <w:lang w:val="hr-HR" w:eastAsia="hr-HR"/>
        </w:rPr>
        <w:t xml:space="preserve">Valsacombi, </w:t>
      </w:r>
      <w:r w:rsidR="006B6E8F">
        <w:rPr>
          <w:szCs w:val="22"/>
          <w:lang w:val="hr-HR" w:eastAsia="hr-HR"/>
        </w:rPr>
        <w:t>160 mg + 12,5 mg: film tablete su crvenosmeđe boje, ovalne, izbočene.</w:t>
      </w:r>
    </w:p>
    <w:p w14:paraId="56E8CF9A" w14:textId="77777777" w:rsidR="00C97A74" w:rsidRDefault="00532839">
      <w:pPr>
        <w:jc w:val="both"/>
        <w:rPr>
          <w:szCs w:val="22"/>
          <w:lang w:val="hr-HR" w:eastAsia="hr-HR"/>
        </w:rPr>
      </w:pPr>
      <w:r>
        <w:rPr>
          <w:szCs w:val="22"/>
          <w:lang w:val="hr-HR" w:eastAsia="hr-HR"/>
        </w:rPr>
        <w:t xml:space="preserve">Valsacombi, </w:t>
      </w:r>
      <w:r w:rsidR="006B6E8F">
        <w:rPr>
          <w:szCs w:val="22"/>
          <w:lang w:val="hr-HR" w:eastAsia="hr-HR"/>
        </w:rPr>
        <w:t>160 mg + 25 mg: film tablete su svijetlosmeđe boje, ovalne, izbočene.</w:t>
      </w:r>
    </w:p>
    <w:p w14:paraId="3C713012" w14:textId="77777777" w:rsidR="00C97A74" w:rsidRDefault="006B6E8F">
      <w:pPr>
        <w:tabs>
          <w:tab w:val="left" w:pos="1667"/>
        </w:tabs>
        <w:jc w:val="both"/>
        <w:rPr>
          <w:szCs w:val="22"/>
          <w:lang w:val="hr-HR" w:eastAsia="hr-HR"/>
        </w:rPr>
      </w:pPr>
      <w:r>
        <w:rPr>
          <w:szCs w:val="22"/>
          <w:lang w:val="hr-HR" w:eastAsia="hr-HR"/>
        </w:rPr>
        <w:tab/>
      </w:r>
    </w:p>
    <w:p w14:paraId="5D4DF64F" w14:textId="77777777" w:rsidR="00C97A74" w:rsidRDefault="00C97A74">
      <w:pPr>
        <w:tabs>
          <w:tab w:val="left" w:pos="1667"/>
        </w:tabs>
        <w:jc w:val="both"/>
        <w:rPr>
          <w:szCs w:val="22"/>
          <w:lang w:val="hr-HR" w:eastAsia="hr-HR"/>
        </w:rPr>
      </w:pPr>
    </w:p>
    <w:p w14:paraId="12EF1163" w14:textId="77777777" w:rsidR="00C97A74" w:rsidRDefault="006B6E8F">
      <w:pPr>
        <w:numPr>
          <w:ilvl w:val="0"/>
          <w:numId w:val="3"/>
        </w:numPr>
        <w:ind w:left="567" w:hanging="567"/>
        <w:jc w:val="both"/>
        <w:rPr>
          <w:b/>
          <w:bCs/>
          <w:szCs w:val="22"/>
          <w:lang w:val="hr-HR" w:eastAsia="hr-HR"/>
        </w:rPr>
      </w:pPr>
      <w:r>
        <w:rPr>
          <w:b/>
          <w:bCs/>
          <w:szCs w:val="22"/>
          <w:lang w:val="hr-HR" w:eastAsia="hr-HR"/>
        </w:rPr>
        <w:t>KLINIČKI PODACI</w:t>
      </w:r>
    </w:p>
    <w:p w14:paraId="787AD0E3" w14:textId="77777777" w:rsidR="00C97A74" w:rsidRDefault="00C97A74">
      <w:pPr>
        <w:jc w:val="both"/>
        <w:rPr>
          <w:szCs w:val="22"/>
          <w:lang w:val="hr-HR" w:eastAsia="hr-HR"/>
        </w:rPr>
      </w:pPr>
    </w:p>
    <w:p w14:paraId="1AAC9113" w14:textId="77777777" w:rsidR="00C97A74" w:rsidRDefault="006B6E8F">
      <w:pPr>
        <w:jc w:val="both"/>
        <w:rPr>
          <w:b/>
          <w:bCs/>
          <w:szCs w:val="22"/>
          <w:lang w:val="hr-HR" w:eastAsia="hr-HR"/>
        </w:rPr>
      </w:pPr>
      <w:r>
        <w:rPr>
          <w:b/>
          <w:bCs/>
          <w:szCs w:val="22"/>
          <w:lang w:val="hr-HR" w:eastAsia="hr-HR"/>
        </w:rPr>
        <w:t>4.1</w:t>
      </w:r>
      <w:r>
        <w:rPr>
          <w:b/>
          <w:bCs/>
          <w:szCs w:val="22"/>
          <w:lang w:val="hr-HR" w:eastAsia="hr-HR"/>
        </w:rPr>
        <w:tab/>
        <w:t>Terapijske indikacije</w:t>
      </w:r>
    </w:p>
    <w:p w14:paraId="69463C13" w14:textId="77777777" w:rsidR="00C97A74" w:rsidRDefault="00C97A74">
      <w:pPr>
        <w:ind w:left="360"/>
        <w:jc w:val="both"/>
        <w:rPr>
          <w:szCs w:val="22"/>
          <w:lang w:val="hr-HR" w:eastAsia="hr-HR"/>
        </w:rPr>
      </w:pPr>
    </w:p>
    <w:p w14:paraId="467B8B41" w14:textId="77777777" w:rsidR="00C97A74" w:rsidRDefault="006B6E8F">
      <w:pPr>
        <w:jc w:val="both"/>
        <w:rPr>
          <w:szCs w:val="22"/>
          <w:lang w:val="hr-HR" w:eastAsia="hr-HR"/>
        </w:rPr>
      </w:pPr>
      <w:r>
        <w:rPr>
          <w:szCs w:val="22"/>
          <w:lang w:val="hr-HR" w:eastAsia="hr-HR"/>
        </w:rPr>
        <w:t>Liječenje esencijalne hipertenzije kod odraslih.</w:t>
      </w:r>
    </w:p>
    <w:p w14:paraId="0C9A1B1A" w14:textId="77777777" w:rsidR="00C97A74" w:rsidRDefault="00C97A74">
      <w:pPr>
        <w:rPr>
          <w:szCs w:val="22"/>
          <w:lang w:val="hr-HR" w:eastAsia="hr-HR"/>
        </w:rPr>
      </w:pPr>
    </w:p>
    <w:p w14:paraId="0F0E69CC" w14:textId="77777777" w:rsidR="00C97A74" w:rsidRDefault="006B6E8F">
      <w:pPr>
        <w:jc w:val="both"/>
        <w:rPr>
          <w:szCs w:val="22"/>
          <w:lang w:val="hr-HR" w:eastAsia="hr-HR"/>
        </w:rPr>
      </w:pPr>
      <w:r>
        <w:rPr>
          <w:szCs w:val="22"/>
          <w:lang w:val="hr-HR" w:eastAsia="hr-HR"/>
        </w:rPr>
        <w:t xml:space="preserve">Valsacombi fiksna kombinacija namijenjena je pacijentima kod kojih krvni pritisak nije odgovarajuće kontrolisan monoterapijom valsartanom ili hidrohlortiazidom. </w:t>
      </w:r>
    </w:p>
    <w:p w14:paraId="36FD772D" w14:textId="77777777" w:rsidR="00C97A74" w:rsidRDefault="00C97A74">
      <w:pPr>
        <w:jc w:val="both"/>
        <w:rPr>
          <w:szCs w:val="22"/>
          <w:lang w:val="hr-HR" w:eastAsia="hr-HR"/>
        </w:rPr>
      </w:pPr>
    </w:p>
    <w:p w14:paraId="34D1B870" w14:textId="77777777" w:rsidR="00C97A74" w:rsidRDefault="00C97A74">
      <w:pPr>
        <w:jc w:val="both"/>
        <w:rPr>
          <w:szCs w:val="22"/>
          <w:lang w:val="hr-HR" w:eastAsia="hr-HR"/>
        </w:rPr>
      </w:pPr>
    </w:p>
    <w:p w14:paraId="6C9D7847" w14:textId="77777777" w:rsidR="00C97A74" w:rsidRDefault="006B6E8F">
      <w:pPr>
        <w:jc w:val="both"/>
        <w:rPr>
          <w:b/>
          <w:bCs/>
          <w:szCs w:val="22"/>
          <w:lang w:val="hr-HR" w:eastAsia="hr-HR"/>
        </w:rPr>
      </w:pPr>
      <w:r>
        <w:rPr>
          <w:b/>
          <w:bCs/>
          <w:szCs w:val="22"/>
          <w:lang w:val="hr-HR" w:eastAsia="hr-HR"/>
        </w:rPr>
        <w:lastRenderedPageBreak/>
        <w:t>4.2</w:t>
      </w:r>
      <w:r>
        <w:rPr>
          <w:b/>
          <w:bCs/>
          <w:szCs w:val="22"/>
          <w:lang w:val="hr-HR" w:eastAsia="hr-HR"/>
        </w:rPr>
        <w:tab/>
        <w:t>Doziranje i način primjene</w:t>
      </w:r>
    </w:p>
    <w:p w14:paraId="701C2298" w14:textId="77777777" w:rsidR="00C97A74" w:rsidRDefault="00C97A74">
      <w:pPr>
        <w:keepNext/>
        <w:jc w:val="both"/>
        <w:outlineLvl w:val="1"/>
        <w:rPr>
          <w:i/>
          <w:iCs/>
          <w:szCs w:val="22"/>
          <w:u w:val="single"/>
          <w:lang w:val="hr-HR" w:eastAsia="hr-HR"/>
        </w:rPr>
      </w:pPr>
    </w:p>
    <w:p w14:paraId="02680327" w14:textId="77777777" w:rsidR="00C97A74" w:rsidRDefault="006B6E8F">
      <w:pPr>
        <w:keepNext/>
        <w:jc w:val="both"/>
        <w:outlineLvl w:val="1"/>
        <w:rPr>
          <w:iCs/>
          <w:szCs w:val="22"/>
          <w:u w:val="single"/>
          <w:lang w:val="hr-HR" w:eastAsia="hr-HR"/>
        </w:rPr>
      </w:pPr>
      <w:r>
        <w:rPr>
          <w:iCs/>
          <w:szCs w:val="22"/>
          <w:u w:val="single"/>
          <w:lang w:val="hr-HR" w:eastAsia="hr-HR"/>
        </w:rPr>
        <w:t>Doziranje</w:t>
      </w:r>
    </w:p>
    <w:p w14:paraId="6B4DB23A" w14:textId="77777777" w:rsidR="00C97A74" w:rsidRDefault="00C97A74">
      <w:pPr>
        <w:jc w:val="both"/>
        <w:rPr>
          <w:szCs w:val="22"/>
          <w:lang w:val="hr-HR" w:eastAsia="hr-HR"/>
        </w:rPr>
      </w:pPr>
    </w:p>
    <w:p w14:paraId="1EBB4AB8" w14:textId="77777777" w:rsidR="00C97A74" w:rsidRDefault="006B6E8F">
      <w:pPr>
        <w:jc w:val="both"/>
        <w:rPr>
          <w:szCs w:val="22"/>
          <w:lang w:val="hr-HR" w:eastAsia="hr-HR"/>
        </w:rPr>
      </w:pPr>
      <w:r>
        <w:rPr>
          <w:szCs w:val="22"/>
          <w:lang w:val="hr-HR" w:eastAsia="hr-HR"/>
        </w:rPr>
        <w:t>Preporučena doza lijeka Valsacombi 80 mg + 12,5 mg ili 160 mg + 12,5 mg ili 160 mg + 25 mg je jedna film tableta dnevno. Preporučuje se pojedinačno titriranje doze svakog sastojka. U svakom slučaju potrebno je sprovoditi titriranje pojedinačnih sastojaka do sljedeće doze kako bi se smanjio rizik od hipotenzije i drugih neželjenih dejstava.</w:t>
      </w:r>
    </w:p>
    <w:p w14:paraId="122E31C3" w14:textId="77777777" w:rsidR="00C97A74" w:rsidRDefault="00C97A74">
      <w:pPr>
        <w:jc w:val="both"/>
        <w:rPr>
          <w:szCs w:val="22"/>
          <w:lang w:val="hr-HR" w:eastAsia="hr-HR"/>
        </w:rPr>
      </w:pPr>
    </w:p>
    <w:p w14:paraId="1137D32B" w14:textId="77777777" w:rsidR="00C97A74" w:rsidRDefault="006B6E8F">
      <w:pPr>
        <w:jc w:val="both"/>
        <w:rPr>
          <w:szCs w:val="22"/>
          <w:lang w:val="hr-HR" w:eastAsia="hr-HR"/>
        </w:rPr>
      </w:pPr>
      <w:r>
        <w:rPr>
          <w:szCs w:val="22"/>
          <w:lang w:val="hr-HR" w:eastAsia="hr-HR"/>
        </w:rPr>
        <w:t>Kada je klinički opravdano, kod pacijenata čiji krvni pritisak nije odgovarajuće regulisan monoterapijom valsartanom ili hidrohlortiazidom, može se razmotriti direktan prelaz sa monoterapije na fiksnu kombinaciju, pod uslovom da je sprovedeno preporučeno titriranje doze pojedinačnih sastojaka.</w:t>
      </w:r>
    </w:p>
    <w:p w14:paraId="25ACDD7B" w14:textId="77777777" w:rsidR="00C97A74" w:rsidRDefault="00C97A74">
      <w:pPr>
        <w:jc w:val="both"/>
        <w:rPr>
          <w:szCs w:val="22"/>
          <w:lang w:val="hr-HR" w:eastAsia="hr-HR"/>
        </w:rPr>
      </w:pPr>
    </w:p>
    <w:p w14:paraId="73B98EBF" w14:textId="77777777" w:rsidR="00C97A74" w:rsidRDefault="006B6E8F">
      <w:pPr>
        <w:jc w:val="both"/>
        <w:rPr>
          <w:szCs w:val="22"/>
          <w:lang w:val="hr-HR" w:eastAsia="hr-HR"/>
        </w:rPr>
      </w:pPr>
      <w:r>
        <w:rPr>
          <w:szCs w:val="22"/>
          <w:lang w:val="hr-HR" w:eastAsia="hr-HR"/>
        </w:rPr>
        <w:t>Nakon uvođenja terapije potrebno je procijeniti klinički odgovor na lijek Valsacombi. Ako krvni pritisak još uvijek nije normalizovan, doza se može povećati povećanjem bilo kojeg od sastojaka do najviše doze kobinacije valsartana + hidrohlortiazida od 320 mg + 25 mg.</w:t>
      </w:r>
    </w:p>
    <w:p w14:paraId="30A63823" w14:textId="77777777" w:rsidR="00C97A74" w:rsidRDefault="00C97A74">
      <w:pPr>
        <w:jc w:val="both"/>
        <w:rPr>
          <w:szCs w:val="22"/>
          <w:lang w:val="hr-HR" w:eastAsia="hr-HR"/>
        </w:rPr>
      </w:pPr>
    </w:p>
    <w:p w14:paraId="73C46F34" w14:textId="77777777" w:rsidR="00C97A74" w:rsidRDefault="006B6E8F">
      <w:pPr>
        <w:jc w:val="both"/>
        <w:rPr>
          <w:szCs w:val="22"/>
          <w:lang w:val="hr-HR" w:eastAsia="hr-HR"/>
        </w:rPr>
      </w:pPr>
      <w:r>
        <w:rPr>
          <w:szCs w:val="22"/>
          <w:lang w:val="hr-HR" w:eastAsia="hr-HR"/>
        </w:rPr>
        <w:t>Antihipertenzivno dejstvo se obično postiže unutar 2 nedjelje.</w:t>
      </w:r>
    </w:p>
    <w:p w14:paraId="51EB0B96" w14:textId="77777777" w:rsidR="00C97A74" w:rsidRDefault="006B6E8F">
      <w:pPr>
        <w:jc w:val="both"/>
        <w:rPr>
          <w:szCs w:val="22"/>
          <w:lang w:val="hr-HR" w:eastAsia="hr-HR"/>
        </w:rPr>
      </w:pPr>
      <w:r>
        <w:rPr>
          <w:szCs w:val="22"/>
          <w:lang w:val="hr-HR" w:eastAsia="hr-HR"/>
        </w:rPr>
        <w:t>Kod većine pacijenata maksimalan efekat se postiže unutar 4 nedjelje. Ipak, kod nekih pacijenata je potrebno 4 – 8 nedjelja liječenja. To je potrebno uzeti u obzir tokom titriranja doze.</w:t>
      </w:r>
    </w:p>
    <w:p w14:paraId="41285056" w14:textId="77777777" w:rsidR="00C97A74" w:rsidRDefault="00C97A74">
      <w:pPr>
        <w:jc w:val="both"/>
        <w:rPr>
          <w:szCs w:val="22"/>
          <w:lang w:val="hr-HR" w:eastAsia="hr-HR"/>
        </w:rPr>
      </w:pPr>
    </w:p>
    <w:p w14:paraId="429EBAB9" w14:textId="77777777" w:rsidR="00C97A74" w:rsidRDefault="006B6E8F">
      <w:pPr>
        <w:keepNext/>
        <w:jc w:val="both"/>
        <w:outlineLvl w:val="1"/>
        <w:rPr>
          <w:iCs/>
          <w:szCs w:val="22"/>
          <w:u w:val="single"/>
          <w:lang w:val="hr-HR" w:eastAsia="hr-HR"/>
        </w:rPr>
      </w:pPr>
      <w:r>
        <w:rPr>
          <w:iCs/>
          <w:szCs w:val="22"/>
          <w:u w:val="single"/>
          <w:lang w:val="hr-HR" w:eastAsia="hr-HR"/>
        </w:rPr>
        <w:t>Način primjene</w:t>
      </w:r>
    </w:p>
    <w:p w14:paraId="5E6E2FFC" w14:textId="77777777" w:rsidR="00C97A74" w:rsidRDefault="00C97A74">
      <w:pPr>
        <w:keepNext/>
        <w:jc w:val="both"/>
        <w:outlineLvl w:val="1"/>
        <w:rPr>
          <w:i/>
          <w:iCs/>
          <w:szCs w:val="22"/>
          <w:u w:val="single"/>
          <w:lang w:val="hr-HR" w:eastAsia="hr-HR"/>
        </w:rPr>
      </w:pPr>
    </w:p>
    <w:p w14:paraId="4433BC26" w14:textId="77777777" w:rsidR="00C97A74" w:rsidRDefault="006B6E8F">
      <w:pPr>
        <w:jc w:val="both"/>
        <w:rPr>
          <w:szCs w:val="22"/>
          <w:lang w:val="hr-HR" w:eastAsia="hr-HR"/>
        </w:rPr>
      </w:pPr>
      <w:r>
        <w:rPr>
          <w:szCs w:val="22"/>
          <w:lang w:val="hr-HR" w:eastAsia="hr-HR"/>
        </w:rPr>
        <w:t>Lijek Valsacombi se može uzimati sa hranom ili bez nje. Tabletu popiti sa čašom vode.</w:t>
      </w:r>
    </w:p>
    <w:p w14:paraId="0FC5E356" w14:textId="77777777" w:rsidR="00C97A74" w:rsidRDefault="00C97A74">
      <w:pPr>
        <w:rPr>
          <w:szCs w:val="22"/>
          <w:lang w:val="hr-HR" w:eastAsia="hr-HR"/>
        </w:rPr>
      </w:pPr>
    </w:p>
    <w:p w14:paraId="35AF1270" w14:textId="77777777" w:rsidR="00C97A74" w:rsidRDefault="006B6E8F">
      <w:pPr>
        <w:keepNext/>
        <w:jc w:val="both"/>
        <w:outlineLvl w:val="1"/>
        <w:rPr>
          <w:i/>
          <w:iCs/>
          <w:szCs w:val="22"/>
          <w:u w:val="single"/>
          <w:lang w:val="hr-HR" w:eastAsia="hr-HR"/>
        </w:rPr>
      </w:pPr>
      <w:r>
        <w:rPr>
          <w:i/>
          <w:iCs/>
          <w:szCs w:val="22"/>
          <w:u w:val="single"/>
          <w:lang w:val="hr-HR" w:eastAsia="hr-HR"/>
        </w:rPr>
        <w:t>Posebne populacije</w:t>
      </w:r>
    </w:p>
    <w:p w14:paraId="1863355F" w14:textId="77777777" w:rsidR="00C97A74" w:rsidRDefault="00C97A74">
      <w:pPr>
        <w:jc w:val="both"/>
        <w:rPr>
          <w:szCs w:val="22"/>
          <w:lang w:val="hr-HR" w:eastAsia="hr-HR"/>
        </w:rPr>
      </w:pPr>
    </w:p>
    <w:p w14:paraId="31033975" w14:textId="77777777" w:rsidR="00C97A74" w:rsidRDefault="006B6E8F">
      <w:pPr>
        <w:keepNext/>
        <w:jc w:val="both"/>
        <w:outlineLvl w:val="2"/>
        <w:rPr>
          <w:i/>
          <w:iCs/>
          <w:szCs w:val="22"/>
          <w:lang w:val="hr-HR" w:eastAsia="hr-HR"/>
        </w:rPr>
      </w:pPr>
      <w:r>
        <w:rPr>
          <w:i/>
          <w:iCs/>
          <w:szCs w:val="22"/>
          <w:lang w:val="hr-HR" w:eastAsia="hr-HR"/>
        </w:rPr>
        <w:t>Oštećenje bubrega</w:t>
      </w:r>
    </w:p>
    <w:p w14:paraId="63BFFCF7" w14:textId="77777777" w:rsidR="00C97A74" w:rsidRDefault="006B6E8F">
      <w:pPr>
        <w:jc w:val="both"/>
        <w:rPr>
          <w:szCs w:val="22"/>
          <w:lang w:val="hr-HR" w:eastAsia="hr-HR"/>
        </w:rPr>
      </w:pPr>
      <w:r>
        <w:rPr>
          <w:szCs w:val="22"/>
          <w:lang w:val="hr-HR" w:eastAsia="hr-HR"/>
        </w:rPr>
        <w:t>Kod pacijenata sa blagim do umjerenim oštećenjem funkcije bubrega (</w:t>
      </w:r>
      <w:r>
        <w:rPr>
          <w:szCs w:val="22"/>
          <w:lang w:val="sl-SI" w:eastAsia="hr-HR"/>
        </w:rPr>
        <w:t>brzina glomerularne filtracije (GFR) ≥ 30 ml/min</w:t>
      </w:r>
      <w:r>
        <w:rPr>
          <w:szCs w:val="22"/>
          <w:lang w:val="hr-HR" w:eastAsia="hr-HR"/>
        </w:rPr>
        <w:t xml:space="preserve">) dozu nije potrebno prilagođavati. S </w:t>
      </w:r>
      <w:r>
        <w:rPr>
          <w:lang w:val="hr-HR"/>
        </w:rPr>
        <w:t>obzirom na to da sadrži hidrohlortiazid, primjena lijeka Valsacombi je kontraindikovana kod pacijenata sa teškim oštećenjem funkcije bubrega (GFR &lt; 30 ml/min) i sa anurijom (vidjeti djelove 4.3, 4.4 i 5.2).</w:t>
      </w:r>
    </w:p>
    <w:p w14:paraId="57588A2A" w14:textId="77777777" w:rsidR="00C97A74" w:rsidRDefault="00C97A74">
      <w:pPr>
        <w:autoSpaceDE w:val="0"/>
        <w:autoSpaceDN w:val="0"/>
        <w:adjustRightInd w:val="0"/>
        <w:rPr>
          <w:szCs w:val="22"/>
          <w:lang w:val="hr-HR"/>
        </w:rPr>
      </w:pPr>
    </w:p>
    <w:p w14:paraId="7AB93F73" w14:textId="77777777" w:rsidR="00C97A74" w:rsidRDefault="006B6E8F">
      <w:pPr>
        <w:keepNext/>
        <w:jc w:val="both"/>
        <w:outlineLvl w:val="2"/>
        <w:rPr>
          <w:i/>
          <w:iCs/>
          <w:szCs w:val="22"/>
          <w:lang w:val="hr-HR" w:eastAsia="hr-HR"/>
        </w:rPr>
      </w:pPr>
      <w:r>
        <w:rPr>
          <w:i/>
          <w:iCs/>
          <w:szCs w:val="22"/>
          <w:lang w:val="hr-HR" w:eastAsia="hr-HR"/>
        </w:rPr>
        <w:t>Oštećenje jetre</w:t>
      </w:r>
    </w:p>
    <w:p w14:paraId="2FC428F2" w14:textId="77777777" w:rsidR="00C97A74" w:rsidRDefault="006B6E8F">
      <w:pPr>
        <w:jc w:val="both"/>
        <w:rPr>
          <w:szCs w:val="22"/>
          <w:lang w:val="hr-HR" w:eastAsia="hr-HR"/>
        </w:rPr>
      </w:pPr>
      <w:r>
        <w:rPr>
          <w:szCs w:val="22"/>
          <w:lang w:val="hr-HR" w:eastAsia="hr-HR"/>
        </w:rPr>
        <w:t>Kod pacijenata sa blagim do umjerenim oštećenjem jetre, bez holestaze, doza valsartana ne smije biti veća od 80 mg (vidjeti dio 4.4). Nije potrebno prilagođavanje doze hidrohlortiazida kod pacijenata sa blagim do umjerenim oštećenjem jetre. Zbog valsartana koji je njegov sastojak, lijek Valsacombi je kontraindikovan kod pacijenta sa teškim oštećenjem funkcije jetre ili sa bilijarnom cirozom i holestazom (vidjeti djelove 4.3, 4.4 i 5.2).</w:t>
      </w:r>
    </w:p>
    <w:p w14:paraId="1363A3A8" w14:textId="77777777" w:rsidR="00C97A74" w:rsidRDefault="00C97A74">
      <w:pPr>
        <w:jc w:val="both"/>
        <w:rPr>
          <w:szCs w:val="22"/>
          <w:lang w:val="hr-HR" w:eastAsia="hr-HR"/>
        </w:rPr>
      </w:pPr>
    </w:p>
    <w:p w14:paraId="708A3267" w14:textId="77777777" w:rsidR="00C97A74" w:rsidRDefault="006B6E8F">
      <w:pPr>
        <w:keepNext/>
        <w:jc w:val="both"/>
        <w:outlineLvl w:val="2"/>
        <w:rPr>
          <w:i/>
          <w:iCs/>
          <w:szCs w:val="22"/>
          <w:lang w:val="hr-HR" w:eastAsia="hr-HR"/>
        </w:rPr>
      </w:pPr>
      <w:r>
        <w:rPr>
          <w:i/>
          <w:iCs/>
          <w:szCs w:val="22"/>
          <w:lang w:val="hr-HR" w:eastAsia="hr-HR"/>
        </w:rPr>
        <w:t>Starije osobe</w:t>
      </w:r>
    </w:p>
    <w:p w14:paraId="00BC997A" w14:textId="77777777" w:rsidR="00C97A74" w:rsidRDefault="006B6E8F">
      <w:pPr>
        <w:jc w:val="both"/>
        <w:rPr>
          <w:szCs w:val="22"/>
          <w:lang w:val="hr-HR" w:eastAsia="hr-HR"/>
        </w:rPr>
      </w:pPr>
      <w:r>
        <w:rPr>
          <w:szCs w:val="22"/>
          <w:lang w:val="hr-HR" w:eastAsia="hr-HR"/>
        </w:rPr>
        <w:t>Kod starijih pacijenata dozu nije potrebno prilagođavati.</w:t>
      </w:r>
    </w:p>
    <w:p w14:paraId="5E587AC4" w14:textId="77777777" w:rsidR="00C97A74" w:rsidRDefault="00C97A74">
      <w:pPr>
        <w:jc w:val="both"/>
        <w:rPr>
          <w:szCs w:val="22"/>
          <w:lang w:val="hr-HR" w:eastAsia="hr-HR"/>
        </w:rPr>
      </w:pPr>
    </w:p>
    <w:p w14:paraId="036A99CF" w14:textId="77777777" w:rsidR="00C97A74" w:rsidRDefault="006B6E8F">
      <w:pPr>
        <w:keepNext/>
        <w:jc w:val="both"/>
        <w:outlineLvl w:val="2"/>
        <w:rPr>
          <w:i/>
          <w:iCs/>
          <w:szCs w:val="22"/>
          <w:lang w:val="hr-HR" w:eastAsia="hr-HR"/>
        </w:rPr>
      </w:pPr>
      <w:r>
        <w:rPr>
          <w:i/>
          <w:iCs/>
          <w:szCs w:val="22"/>
          <w:lang w:val="hr-HR" w:eastAsia="hr-HR"/>
        </w:rPr>
        <w:t>Pedijatrijski pacijenti</w:t>
      </w:r>
    </w:p>
    <w:p w14:paraId="2B9B48A8" w14:textId="77777777" w:rsidR="00C97A74" w:rsidRDefault="006B6E8F">
      <w:pPr>
        <w:jc w:val="both"/>
        <w:rPr>
          <w:szCs w:val="22"/>
          <w:lang w:val="hr-HR" w:eastAsia="hr-HR"/>
        </w:rPr>
      </w:pPr>
      <w:r>
        <w:rPr>
          <w:szCs w:val="22"/>
          <w:lang w:val="hr-HR" w:eastAsia="hr-HR"/>
        </w:rPr>
        <w:t>Lijek Valsacombi se ne preporučuje za primjenu kod djece ispod 18 godina starosti zbog nedostatka podataka o bezbjednosti primjene i efikasnosti kod ove grupe pacijenata.</w:t>
      </w:r>
    </w:p>
    <w:p w14:paraId="7F3F202E" w14:textId="77777777" w:rsidR="00C97A74" w:rsidRDefault="00C97A74">
      <w:pPr>
        <w:jc w:val="both"/>
        <w:rPr>
          <w:b/>
          <w:bCs/>
          <w:szCs w:val="22"/>
          <w:lang w:val="hr-HR" w:eastAsia="hr-HR"/>
        </w:rPr>
      </w:pPr>
    </w:p>
    <w:p w14:paraId="33C28C08" w14:textId="77777777" w:rsidR="00C97A74" w:rsidRDefault="006B6E8F">
      <w:pPr>
        <w:jc w:val="both"/>
        <w:rPr>
          <w:b/>
          <w:bCs/>
          <w:szCs w:val="22"/>
          <w:lang w:val="hr-HR" w:eastAsia="hr-HR"/>
        </w:rPr>
      </w:pPr>
      <w:r>
        <w:rPr>
          <w:b/>
          <w:bCs/>
          <w:szCs w:val="22"/>
          <w:lang w:val="hr-HR" w:eastAsia="hr-HR"/>
        </w:rPr>
        <w:t>4.3</w:t>
      </w:r>
      <w:r>
        <w:rPr>
          <w:b/>
          <w:bCs/>
          <w:szCs w:val="22"/>
          <w:lang w:val="hr-HR" w:eastAsia="hr-HR"/>
        </w:rPr>
        <w:tab/>
        <w:t>Kontraindikacije</w:t>
      </w:r>
    </w:p>
    <w:p w14:paraId="4982EA8B" w14:textId="77777777" w:rsidR="00C97A74" w:rsidRDefault="00C97A74">
      <w:pPr>
        <w:jc w:val="both"/>
        <w:rPr>
          <w:szCs w:val="22"/>
          <w:lang w:val="hr-HR" w:eastAsia="hr-HR"/>
        </w:rPr>
      </w:pPr>
    </w:p>
    <w:p w14:paraId="3E6CB5F5" w14:textId="77777777" w:rsidR="00C97A74" w:rsidRDefault="006B6E8F">
      <w:pPr>
        <w:numPr>
          <w:ilvl w:val="0"/>
          <w:numId w:val="2"/>
        </w:numPr>
        <w:tabs>
          <w:tab w:val="clear" w:pos="720"/>
          <w:tab w:val="num" w:pos="567"/>
        </w:tabs>
        <w:spacing w:line="240" w:lineRule="auto"/>
        <w:ind w:left="567" w:hanging="567"/>
        <w:jc w:val="both"/>
        <w:rPr>
          <w:szCs w:val="22"/>
          <w:lang w:val="hr-HR" w:eastAsia="hr-HR"/>
        </w:rPr>
      </w:pPr>
      <w:r>
        <w:rPr>
          <w:szCs w:val="22"/>
          <w:lang w:val="hr-HR" w:eastAsia="hr-HR"/>
        </w:rPr>
        <w:t>Preosjetljivost na valsartan, hidrohlortiazid, druge sulfonamidne ljekove ili na bilo koju od pomoćnih supstanci koje su navedene u dijelu 6.1.</w:t>
      </w:r>
    </w:p>
    <w:p w14:paraId="6B8D3B36" w14:textId="77777777" w:rsidR="00C97A74" w:rsidRDefault="006B6E8F">
      <w:pPr>
        <w:numPr>
          <w:ilvl w:val="0"/>
          <w:numId w:val="2"/>
        </w:numPr>
        <w:tabs>
          <w:tab w:val="clear" w:pos="720"/>
          <w:tab w:val="num" w:pos="567"/>
        </w:tabs>
        <w:spacing w:line="240" w:lineRule="auto"/>
        <w:ind w:left="567" w:hanging="567"/>
        <w:jc w:val="both"/>
        <w:rPr>
          <w:szCs w:val="22"/>
          <w:lang w:val="hr-HR" w:eastAsia="hr-HR"/>
        </w:rPr>
      </w:pPr>
      <w:r>
        <w:rPr>
          <w:szCs w:val="22"/>
          <w:lang w:val="hr-HR" w:eastAsia="hr-HR"/>
        </w:rPr>
        <w:t>Drugo i treće tromjesečje trudnoće (vidjeti djelove 4.4 i 4.6).</w:t>
      </w:r>
    </w:p>
    <w:p w14:paraId="24258433" w14:textId="77777777" w:rsidR="00C97A74" w:rsidRDefault="006B6E8F">
      <w:pPr>
        <w:numPr>
          <w:ilvl w:val="0"/>
          <w:numId w:val="2"/>
        </w:numPr>
        <w:tabs>
          <w:tab w:val="clear" w:pos="720"/>
          <w:tab w:val="num" w:pos="567"/>
        </w:tabs>
        <w:spacing w:line="240" w:lineRule="auto"/>
        <w:ind w:left="567" w:hanging="567"/>
        <w:jc w:val="both"/>
        <w:rPr>
          <w:szCs w:val="22"/>
          <w:lang w:val="hr-HR" w:eastAsia="hr-HR"/>
        </w:rPr>
      </w:pPr>
      <w:r>
        <w:rPr>
          <w:szCs w:val="22"/>
          <w:lang w:val="hr-HR" w:eastAsia="hr-HR"/>
        </w:rPr>
        <w:t>Teško oštećenje jetre, bilijarna ciroza i holestaza.</w:t>
      </w:r>
    </w:p>
    <w:p w14:paraId="4E4D5C7D" w14:textId="77777777" w:rsidR="00C97A74" w:rsidRDefault="006B6E8F">
      <w:pPr>
        <w:numPr>
          <w:ilvl w:val="0"/>
          <w:numId w:val="2"/>
        </w:numPr>
        <w:tabs>
          <w:tab w:val="clear" w:pos="720"/>
          <w:tab w:val="num" w:pos="567"/>
        </w:tabs>
        <w:spacing w:line="240" w:lineRule="auto"/>
        <w:ind w:left="567" w:hanging="567"/>
        <w:jc w:val="both"/>
        <w:rPr>
          <w:szCs w:val="22"/>
          <w:lang w:val="hr-HR" w:eastAsia="hr-HR"/>
        </w:rPr>
      </w:pPr>
      <w:r>
        <w:rPr>
          <w:szCs w:val="22"/>
          <w:lang w:val="hr-HR" w:eastAsia="hr-HR"/>
        </w:rPr>
        <w:t>Teško oštećenje bubrega (klirens kreatinina &lt; 30 ml/min), anurija.</w:t>
      </w:r>
    </w:p>
    <w:p w14:paraId="08E1F796" w14:textId="77777777" w:rsidR="00C97A74" w:rsidRDefault="006B6E8F">
      <w:pPr>
        <w:numPr>
          <w:ilvl w:val="0"/>
          <w:numId w:val="2"/>
        </w:numPr>
        <w:tabs>
          <w:tab w:val="clear" w:pos="720"/>
          <w:tab w:val="num" w:pos="567"/>
        </w:tabs>
        <w:spacing w:line="240" w:lineRule="auto"/>
        <w:ind w:left="567" w:hanging="567"/>
        <w:jc w:val="both"/>
        <w:rPr>
          <w:szCs w:val="22"/>
          <w:lang w:val="hr-HR" w:eastAsia="hr-HR"/>
        </w:rPr>
      </w:pPr>
      <w:r>
        <w:rPr>
          <w:szCs w:val="22"/>
          <w:lang w:val="hr-HR" w:eastAsia="hr-HR"/>
        </w:rPr>
        <w:t xml:space="preserve">Refraktorna hipokalijemija, hiponatrijemija i hiperkalcijemija i simptomatska hiperurikemija. </w:t>
      </w:r>
    </w:p>
    <w:p w14:paraId="5FE3F69A" w14:textId="77777777" w:rsidR="00C97A74" w:rsidRDefault="006B6E8F">
      <w:pPr>
        <w:numPr>
          <w:ilvl w:val="0"/>
          <w:numId w:val="2"/>
        </w:numPr>
        <w:tabs>
          <w:tab w:val="clear" w:pos="720"/>
          <w:tab w:val="num" w:pos="567"/>
        </w:tabs>
        <w:spacing w:line="240" w:lineRule="auto"/>
        <w:ind w:left="567" w:hanging="567"/>
        <w:jc w:val="both"/>
        <w:rPr>
          <w:szCs w:val="22"/>
          <w:lang w:val="hr-HR" w:eastAsia="hr-HR"/>
        </w:rPr>
      </w:pPr>
      <w:r>
        <w:rPr>
          <w:szCs w:val="22"/>
          <w:lang w:val="hr-HR"/>
        </w:rPr>
        <w:lastRenderedPageBreak/>
        <w:t xml:space="preserve">Istovremena primjena antagonista angiotenzinskih receptora (eng. </w:t>
      </w:r>
      <w:r>
        <w:rPr>
          <w:i/>
          <w:szCs w:val="22"/>
          <w:lang w:val="hr-HR"/>
        </w:rPr>
        <w:t>angiotensin II receptor blockers</w:t>
      </w:r>
      <w:r>
        <w:rPr>
          <w:szCs w:val="22"/>
          <w:lang w:val="hr-HR"/>
        </w:rPr>
        <w:t xml:space="preserve">, ARB) uključujući valsartan, ili inhibitora angiotenzin konvertujućeg enzima (eng. </w:t>
      </w:r>
      <w:r>
        <w:rPr>
          <w:i/>
          <w:szCs w:val="22"/>
          <w:lang w:val="hr-HR"/>
        </w:rPr>
        <w:t>angiotensin converting enzyme inhibitor</w:t>
      </w:r>
      <w:r>
        <w:rPr>
          <w:szCs w:val="22"/>
          <w:lang w:val="hr-HR"/>
        </w:rPr>
        <w:t xml:space="preserve">, ACE inhibitori) sa aliskirenom kod pacijenata sa </w:t>
      </w:r>
      <w:r>
        <w:rPr>
          <w:i/>
          <w:szCs w:val="22"/>
          <w:lang w:val="hr-HR"/>
        </w:rPr>
        <w:t>diabetes mellitus</w:t>
      </w:r>
      <w:r>
        <w:rPr>
          <w:szCs w:val="22"/>
          <w:lang w:val="hr-HR"/>
        </w:rPr>
        <w:t>-om ili oštećenjem bubrežne funkcije (GFR &lt;60 ml/min/1,73m</w:t>
      </w:r>
      <w:r>
        <w:rPr>
          <w:szCs w:val="22"/>
          <w:vertAlign w:val="superscript"/>
          <w:lang w:val="hr-HR"/>
        </w:rPr>
        <w:t>2</w:t>
      </w:r>
      <w:r>
        <w:rPr>
          <w:szCs w:val="22"/>
          <w:lang w:val="hr-HR"/>
        </w:rPr>
        <w:t>) (vidjeti djelove 4.4 i 4.5).</w:t>
      </w:r>
    </w:p>
    <w:p w14:paraId="47786C3A" w14:textId="77777777" w:rsidR="00C97A74" w:rsidRDefault="00C97A74">
      <w:pPr>
        <w:tabs>
          <w:tab w:val="clear" w:pos="567"/>
        </w:tabs>
        <w:spacing w:line="240" w:lineRule="auto"/>
        <w:ind w:left="567"/>
        <w:jc w:val="both"/>
        <w:rPr>
          <w:szCs w:val="22"/>
          <w:lang w:val="hr-HR" w:eastAsia="hr-HR"/>
        </w:rPr>
      </w:pPr>
    </w:p>
    <w:p w14:paraId="71DCD7B1" w14:textId="77777777" w:rsidR="00C97A74" w:rsidRDefault="006B6E8F">
      <w:pPr>
        <w:jc w:val="both"/>
        <w:rPr>
          <w:b/>
          <w:bCs/>
          <w:szCs w:val="22"/>
          <w:lang w:val="hr-HR" w:eastAsia="hr-HR"/>
        </w:rPr>
      </w:pPr>
      <w:r>
        <w:rPr>
          <w:b/>
          <w:bCs/>
          <w:szCs w:val="22"/>
          <w:lang w:val="hr-HR" w:eastAsia="hr-HR"/>
        </w:rPr>
        <w:t>4.4</w:t>
      </w:r>
      <w:r>
        <w:rPr>
          <w:b/>
          <w:bCs/>
          <w:szCs w:val="22"/>
          <w:lang w:val="hr-HR" w:eastAsia="hr-HR"/>
        </w:rPr>
        <w:tab/>
        <w:t>Posebna upozorenja i mjere opreza pri upotrebi lijeka</w:t>
      </w:r>
    </w:p>
    <w:p w14:paraId="404B8D59" w14:textId="77777777" w:rsidR="00C97A74" w:rsidRDefault="00C97A74">
      <w:pPr>
        <w:jc w:val="both"/>
        <w:rPr>
          <w:szCs w:val="22"/>
          <w:lang w:val="hr-HR" w:eastAsia="hr-HR"/>
        </w:rPr>
      </w:pPr>
    </w:p>
    <w:p w14:paraId="2D7A667A" w14:textId="77777777" w:rsidR="00C97A74" w:rsidRDefault="006B6E8F">
      <w:pPr>
        <w:keepNext/>
        <w:jc w:val="both"/>
        <w:outlineLvl w:val="0"/>
        <w:rPr>
          <w:szCs w:val="22"/>
          <w:u w:val="single"/>
          <w:lang w:val="hr-HR" w:eastAsia="hr-HR"/>
        </w:rPr>
      </w:pPr>
      <w:r>
        <w:rPr>
          <w:szCs w:val="22"/>
          <w:u w:val="single"/>
          <w:lang w:val="hr-HR" w:eastAsia="hr-HR"/>
        </w:rPr>
        <w:t>Promjene  elektrolita u serumu</w:t>
      </w:r>
    </w:p>
    <w:p w14:paraId="4BBA1350" w14:textId="77777777" w:rsidR="00C97A74" w:rsidRDefault="00C97A74">
      <w:pPr>
        <w:keepNext/>
        <w:jc w:val="both"/>
        <w:outlineLvl w:val="0"/>
        <w:rPr>
          <w:szCs w:val="22"/>
          <w:u w:val="single"/>
          <w:lang w:val="hr-HR" w:eastAsia="hr-HR"/>
        </w:rPr>
      </w:pPr>
    </w:p>
    <w:p w14:paraId="3C83B85B" w14:textId="77777777" w:rsidR="00C97A74" w:rsidRDefault="006B6E8F">
      <w:pPr>
        <w:keepNext/>
        <w:jc w:val="both"/>
        <w:outlineLvl w:val="2"/>
        <w:rPr>
          <w:i/>
          <w:iCs/>
          <w:szCs w:val="22"/>
          <w:lang w:val="hr-HR" w:eastAsia="hr-HR"/>
        </w:rPr>
      </w:pPr>
      <w:r>
        <w:rPr>
          <w:i/>
          <w:iCs/>
          <w:szCs w:val="22"/>
          <w:lang w:val="hr-HR" w:eastAsia="hr-HR"/>
        </w:rPr>
        <w:t xml:space="preserve">Valsartan </w:t>
      </w:r>
    </w:p>
    <w:p w14:paraId="24446229" w14:textId="77777777" w:rsidR="00C97A74" w:rsidRDefault="006B6E8F">
      <w:pPr>
        <w:jc w:val="both"/>
        <w:rPr>
          <w:szCs w:val="22"/>
          <w:lang w:val="hr-HR" w:eastAsia="hr-HR"/>
        </w:rPr>
      </w:pPr>
      <w:r>
        <w:rPr>
          <w:szCs w:val="22"/>
          <w:lang w:val="hr-HR" w:eastAsia="hr-HR"/>
        </w:rPr>
        <w:t>Istovremena primjena sredstava za nadoknadu kalijuma, diuretika koji štede kalijum, soli koje sadrže kalijum ili drugih ljekova koji mogu povećati koncentraciju kalijuma (npr. heparin) se ne preporučuje. Potrebno je pratiti koncentraciju kalijuma u serumu.</w:t>
      </w:r>
    </w:p>
    <w:p w14:paraId="6E769655" w14:textId="77777777" w:rsidR="00C97A74" w:rsidRDefault="00C97A74">
      <w:pPr>
        <w:jc w:val="both"/>
        <w:rPr>
          <w:szCs w:val="22"/>
          <w:lang w:val="hr-HR" w:eastAsia="hr-HR"/>
        </w:rPr>
      </w:pPr>
    </w:p>
    <w:p w14:paraId="56723A1B" w14:textId="77777777" w:rsidR="00C97A74" w:rsidRDefault="006B6E8F">
      <w:pPr>
        <w:keepNext/>
        <w:jc w:val="both"/>
        <w:outlineLvl w:val="2"/>
        <w:rPr>
          <w:i/>
          <w:iCs/>
          <w:szCs w:val="22"/>
          <w:lang w:val="hr-HR" w:eastAsia="hr-HR"/>
        </w:rPr>
      </w:pPr>
      <w:r>
        <w:rPr>
          <w:i/>
          <w:iCs/>
          <w:szCs w:val="22"/>
          <w:lang w:val="hr-HR" w:eastAsia="hr-HR"/>
        </w:rPr>
        <w:t>Hidrohlortiazid</w:t>
      </w:r>
    </w:p>
    <w:p w14:paraId="772C0821" w14:textId="77777777" w:rsidR="00C97A74" w:rsidRDefault="006B6E8F">
      <w:pPr>
        <w:jc w:val="both"/>
        <w:rPr>
          <w:szCs w:val="22"/>
          <w:lang w:val="hr-HR" w:eastAsia="hr-HR"/>
        </w:rPr>
      </w:pPr>
      <w:r>
        <w:rPr>
          <w:szCs w:val="22"/>
          <w:lang w:val="hr-HR" w:eastAsia="hr-HR"/>
        </w:rPr>
        <w:t>Tokom liječenja tiazidnim diureticima, uključujući hidrohlortiazid, zabilježena je hipokalijemija. Preporučuje se često praćenje serumske koncentracije kalijuma.</w:t>
      </w:r>
    </w:p>
    <w:p w14:paraId="6F40D086" w14:textId="77777777" w:rsidR="00C97A74" w:rsidRDefault="006B6E8F">
      <w:pPr>
        <w:jc w:val="both"/>
        <w:rPr>
          <w:szCs w:val="22"/>
          <w:lang w:val="hr-HR" w:eastAsia="hr-HR"/>
        </w:rPr>
      </w:pPr>
      <w:r>
        <w:rPr>
          <w:szCs w:val="22"/>
          <w:lang w:val="hr-HR" w:eastAsia="hr-HR"/>
        </w:rPr>
        <w:t>Liječenje tiazidnim diureticima, uključujući hidrohlortiazid, povezano je sa hiponatrijemijom i hipohloremijskom alkalozom. Tiazidi, uključujući hidrohlortiazid, povećavaju izlučivanje magnezijuma urinom, što može uzrokovati hipomagnezijemiju.</w:t>
      </w:r>
    </w:p>
    <w:p w14:paraId="248C8C4F" w14:textId="77777777" w:rsidR="00C97A74" w:rsidRDefault="006B6E8F">
      <w:pPr>
        <w:jc w:val="both"/>
        <w:rPr>
          <w:szCs w:val="22"/>
          <w:lang w:val="hr-HR" w:eastAsia="hr-HR"/>
        </w:rPr>
      </w:pPr>
      <w:r>
        <w:rPr>
          <w:szCs w:val="22"/>
          <w:lang w:val="hr-HR" w:eastAsia="hr-HR"/>
        </w:rPr>
        <w:t>Tiazidi, uključujući hidrohlortiazid, smanjuju izlučivanje kalcijuma, što može uzrokovati hiperkalcijemiju.</w:t>
      </w:r>
    </w:p>
    <w:p w14:paraId="3EEF6E45" w14:textId="77777777" w:rsidR="00C97A74" w:rsidRDefault="006B6E8F">
      <w:pPr>
        <w:jc w:val="both"/>
        <w:rPr>
          <w:szCs w:val="22"/>
          <w:lang w:val="hr-HR" w:eastAsia="hr-HR"/>
        </w:rPr>
      </w:pPr>
      <w:r>
        <w:rPr>
          <w:szCs w:val="22"/>
          <w:lang w:val="hr-HR" w:eastAsia="hr-HR"/>
        </w:rPr>
        <w:t>Kao kod svih pacijenta koji se liječe diureticima, potrebno je periodično određivanje serumskih elektrolita u odgovarajućim intervalima.</w:t>
      </w:r>
    </w:p>
    <w:p w14:paraId="0266100E" w14:textId="77777777" w:rsidR="00C97A74" w:rsidRDefault="00C97A74">
      <w:pPr>
        <w:rPr>
          <w:szCs w:val="22"/>
          <w:u w:val="single"/>
          <w:lang w:val="hr-HR" w:eastAsia="hr-HR"/>
        </w:rPr>
      </w:pPr>
    </w:p>
    <w:p w14:paraId="2082AB66" w14:textId="77777777" w:rsidR="00C97A74" w:rsidRDefault="006B6E8F">
      <w:pPr>
        <w:keepNext/>
        <w:jc w:val="both"/>
        <w:outlineLvl w:val="0"/>
        <w:rPr>
          <w:szCs w:val="22"/>
          <w:u w:val="single"/>
          <w:lang w:val="hr-HR" w:eastAsia="hr-HR"/>
        </w:rPr>
      </w:pPr>
      <w:r>
        <w:rPr>
          <w:szCs w:val="22"/>
          <w:u w:val="single"/>
          <w:lang w:val="hr-HR" w:eastAsia="hr-HR"/>
        </w:rPr>
        <w:t>Pacijenti sa sniženim nivoom natrijuma i/ili hipovolemijom</w:t>
      </w:r>
    </w:p>
    <w:p w14:paraId="4FF63861" w14:textId="77777777" w:rsidR="00C97A74" w:rsidRDefault="006B6E8F">
      <w:pPr>
        <w:keepNext/>
        <w:jc w:val="both"/>
        <w:outlineLvl w:val="3"/>
        <w:rPr>
          <w:szCs w:val="22"/>
          <w:lang w:val="hr-HR" w:eastAsia="hr-HR"/>
        </w:rPr>
      </w:pPr>
      <w:r>
        <w:rPr>
          <w:szCs w:val="22"/>
          <w:lang w:val="hr-HR" w:eastAsia="hr-HR"/>
        </w:rPr>
        <w:t xml:space="preserve">Kod pacijenata koji primaju tiazidne diuretike, uključujući hidrohlortiazid, potrebno je pratiti kliničke znake disbalansa elektrolita ili tečnosti. </w:t>
      </w:r>
    </w:p>
    <w:p w14:paraId="33DDC74B" w14:textId="77777777" w:rsidR="00C97A74" w:rsidRDefault="006B6E8F">
      <w:pPr>
        <w:autoSpaceDE w:val="0"/>
        <w:autoSpaceDN w:val="0"/>
        <w:adjustRightInd w:val="0"/>
        <w:jc w:val="both"/>
        <w:rPr>
          <w:szCs w:val="22"/>
          <w:lang w:val="hr-HR"/>
        </w:rPr>
      </w:pPr>
      <w:r>
        <w:rPr>
          <w:szCs w:val="22"/>
          <w:lang w:val="hr-HR"/>
        </w:rPr>
        <w:t xml:space="preserve">Kod pacijenata sa teškim nedostatkom natrijuma i/ili smanjenim volumenom tečnosti, poput onih koji primaju visoke doze diuretika, u rijetkim slučajevima je moguća pojava simptomatske hipotenzije nakon uvođenja terapije </w:t>
      </w:r>
      <w:r>
        <w:rPr>
          <w:szCs w:val="22"/>
          <w:lang w:val="hr-HR" w:eastAsia="hr-HR"/>
        </w:rPr>
        <w:t>lijekom Valsacombi</w:t>
      </w:r>
      <w:r>
        <w:rPr>
          <w:szCs w:val="22"/>
          <w:lang w:val="hr-HR"/>
        </w:rPr>
        <w:t>. Nedostatak natrijuma i/ili volumena tečnosti treba korigovati prije početka liječenja lijekom</w:t>
      </w:r>
      <w:r>
        <w:rPr>
          <w:szCs w:val="22"/>
          <w:lang w:val="hr-HR" w:eastAsia="hr-HR"/>
        </w:rPr>
        <w:t xml:space="preserve"> Valsacombi.</w:t>
      </w:r>
    </w:p>
    <w:p w14:paraId="5E334ADB" w14:textId="77777777" w:rsidR="00C97A74" w:rsidRDefault="00C97A74">
      <w:pPr>
        <w:jc w:val="both"/>
        <w:rPr>
          <w:szCs w:val="22"/>
          <w:lang w:val="hr-HR" w:eastAsia="hr-HR"/>
        </w:rPr>
      </w:pPr>
    </w:p>
    <w:p w14:paraId="70CB9FC1" w14:textId="77777777" w:rsidR="00C97A74" w:rsidRDefault="006B6E8F">
      <w:pPr>
        <w:jc w:val="both"/>
        <w:rPr>
          <w:szCs w:val="22"/>
          <w:u w:val="single"/>
          <w:lang w:val="hr-HR" w:eastAsia="hr-HR"/>
        </w:rPr>
      </w:pPr>
      <w:r>
        <w:rPr>
          <w:szCs w:val="22"/>
          <w:u w:val="single"/>
          <w:lang w:val="hr-HR" w:eastAsia="hr-HR"/>
        </w:rPr>
        <w:t>Pacijenti sa teškom hroničnom srčanom insuficijencijom ili drugim stanjima koja stimulišu renin-angiotenzin-aldosteron sistem</w:t>
      </w:r>
    </w:p>
    <w:p w14:paraId="4EBC940B" w14:textId="77777777" w:rsidR="00C97A74" w:rsidRDefault="006B6E8F">
      <w:pPr>
        <w:jc w:val="both"/>
        <w:rPr>
          <w:szCs w:val="22"/>
          <w:lang w:val="sl-SI" w:eastAsia="hr-HR"/>
        </w:rPr>
      </w:pPr>
      <w:r>
        <w:rPr>
          <w:szCs w:val="22"/>
          <w:lang w:val="hr-HR" w:eastAsia="hr-HR"/>
        </w:rPr>
        <w:t>Kod pacijenata čija renalna funkcija zavisi od aktivnosti renin-angiotenzin-aldosteron sistema (npr. kod pacijenata sa ozbiljnom kongestivnom srčanom insuficijencijom), liječenje inhibitorima angiotenzin-konvertujućeg enzima bilo je udruženo sa oligurijom i/ili progresivnom azotemijom i, u rijetkim slučajevima, sa akutnom bubrežnom insuficijencijom i/ili smrću. Evaluacija pacijenata sa srčanom insuficijencijom ili nakon infarkta miokarda treba uvijek uključiti i procjenu bubrežne funkcije. Upotreba lijeka Valsacombi kod pacijenata sa teškom hroničnom srčanom insuficijencijom nije ustanovljena.</w:t>
      </w:r>
    </w:p>
    <w:p w14:paraId="33883740" w14:textId="77777777" w:rsidR="00C97A74" w:rsidRDefault="00C97A74">
      <w:pPr>
        <w:jc w:val="both"/>
        <w:rPr>
          <w:szCs w:val="22"/>
          <w:lang w:val="hr-HR" w:eastAsia="hr-HR"/>
        </w:rPr>
      </w:pPr>
    </w:p>
    <w:p w14:paraId="0BBC5025" w14:textId="77777777" w:rsidR="00C97A74" w:rsidRDefault="006B6E8F">
      <w:pPr>
        <w:jc w:val="both"/>
        <w:rPr>
          <w:szCs w:val="22"/>
          <w:lang w:val="hr-HR" w:eastAsia="hr-HR"/>
        </w:rPr>
      </w:pPr>
      <w:r>
        <w:rPr>
          <w:szCs w:val="22"/>
          <w:lang w:val="hr-HR" w:eastAsia="hr-HR"/>
        </w:rPr>
        <w:t>Stoga se ne može isključiti mogućnost da primjena lijeka Valsacombi takođe može biti povezana sa oštećenjem funkcije bubrega zbog inhibicije sistema renin-angiotenzin-aldosteron. Kod ovih pacijenata ne bi trebalo primjenjivati lijek Valsacombi.</w:t>
      </w:r>
    </w:p>
    <w:p w14:paraId="525B5044" w14:textId="77777777" w:rsidR="00C97A74" w:rsidRDefault="00C97A74">
      <w:pPr>
        <w:jc w:val="both"/>
        <w:rPr>
          <w:szCs w:val="22"/>
          <w:lang w:val="hr-HR" w:eastAsia="hr-HR"/>
        </w:rPr>
      </w:pPr>
    </w:p>
    <w:p w14:paraId="14231CB8" w14:textId="77777777" w:rsidR="00C97A74" w:rsidRDefault="006B6E8F">
      <w:pPr>
        <w:keepNext/>
        <w:jc w:val="both"/>
        <w:outlineLvl w:val="0"/>
        <w:rPr>
          <w:szCs w:val="22"/>
          <w:u w:val="single"/>
          <w:lang w:val="hr-HR" w:eastAsia="hr-HR"/>
        </w:rPr>
      </w:pPr>
      <w:r>
        <w:rPr>
          <w:szCs w:val="22"/>
          <w:u w:val="single"/>
          <w:lang w:val="hr-HR" w:eastAsia="hr-HR"/>
        </w:rPr>
        <w:t>Stenoza renalne arterije</w:t>
      </w:r>
    </w:p>
    <w:p w14:paraId="2211746B" w14:textId="77777777" w:rsidR="00C97A74" w:rsidRDefault="006B6E8F">
      <w:pPr>
        <w:jc w:val="both"/>
        <w:rPr>
          <w:szCs w:val="22"/>
          <w:lang w:val="hr-HR" w:eastAsia="hr-HR"/>
        </w:rPr>
      </w:pPr>
      <w:r>
        <w:rPr>
          <w:szCs w:val="22"/>
          <w:lang w:val="hr-HR" w:eastAsia="hr-HR"/>
        </w:rPr>
        <w:t>Lijek Valsacombi se ne bi trebao koristiti za liječenje pacijenata sa jednostranom ili obostranom stenozom renalne arterije ili stenozom arterije kod postojanja samo jednog bubrega, jer se mogu povećati koncentracija uree u krvi i serumska koncentracija kreatinina.</w:t>
      </w:r>
    </w:p>
    <w:p w14:paraId="12AC01D8" w14:textId="77777777" w:rsidR="00C97A74" w:rsidRDefault="00C97A74">
      <w:pPr>
        <w:jc w:val="both"/>
        <w:rPr>
          <w:szCs w:val="22"/>
          <w:lang w:val="hr-HR" w:eastAsia="hr-HR"/>
        </w:rPr>
      </w:pPr>
    </w:p>
    <w:p w14:paraId="6BCF6E31" w14:textId="77777777" w:rsidR="00C97A74" w:rsidRDefault="006B6E8F">
      <w:pPr>
        <w:keepNext/>
        <w:jc w:val="both"/>
        <w:outlineLvl w:val="0"/>
        <w:rPr>
          <w:szCs w:val="22"/>
          <w:u w:val="single"/>
          <w:lang w:val="hr-HR" w:eastAsia="hr-HR"/>
        </w:rPr>
      </w:pPr>
      <w:r>
        <w:rPr>
          <w:szCs w:val="22"/>
          <w:u w:val="single"/>
          <w:lang w:val="hr-HR" w:eastAsia="hr-HR"/>
        </w:rPr>
        <w:t>Primarni hiperaldosteronizam</w:t>
      </w:r>
    </w:p>
    <w:p w14:paraId="0FC34CE2" w14:textId="77777777" w:rsidR="00C97A74" w:rsidRDefault="006B6E8F">
      <w:pPr>
        <w:jc w:val="both"/>
        <w:rPr>
          <w:szCs w:val="22"/>
          <w:lang w:val="hr-HR" w:eastAsia="hr-HR"/>
        </w:rPr>
      </w:pPr>
      <w:r>
        <w:rPr>
          <w:szCs w:val="22"/>
          <w:lang w:val="hr-HR" w:eastAsia="hr-HR"/>
        </w:rPr>
        <w:t>Pacijente sa primarnim hiperaldosteronizmom ne bi trebalo liječiti lijekom Valsacombi, jer njihov sistem renin-angiotenzin nije aktiviran.</w:t>
      </w:r>
    </w:p>
    <w:p w14:paraId="52692FF9" w14:textId="77777777" w:rsidR="00C97A74" w:rsidRDefault="006B6E8F">
      <w:pPr>
        <w:keepNext/>
        <w:jc w:val="both"/>
        <w:outlineLvl w:val="0"/>
        <w:rPr>
          <w:szCs w:val="22"/>
          <w:u w:val="single"/>
          <w:lang w:val="hr-HR" w:eastAsia="hr-HR"/>
        </w:rPr>
      </w:pPr>
      <w:r>
        <w:rPr>
          <w:szCs w:val="22"/>
          <w:u w:val="single"/>
          <w:lang w:val="hr-HR" w:eastAsia="hr-HR"/>
        </w:rPr>
        <w:lastRenderedPageBreak/>
        <w:t>Stenoza aortnog i mitralnog zaliska, opstruktivna hipertrofična kardiomiopatija</w:t>
      </w:r>
    </w:p>
    <w:p w14:paraId="2862544D" w14:textId="77777777" w:rsidR="00C97A74" w:rsidRDefault="006B6E8F">
      <w:pPr>
        <w:jc w:val="both"/>
        <w:rPr>
          <w:szCs w:val="22"/>
          <w:lang w:val="hr-HR" w:eastAsia="hr-HR"/>
        </w:rPr>
      </w:pPr>
      <w:r>
        <w:rPr>
          <w:szCs w:val="22"/>
          <w:lang w:val="hr-HR" w:eastAsia="hr-HR"/>
        </w:rPr>
        <w:t>Kao i kod primjene drugih vazodilatatora, potreban je poseban oprez kod pacijenata sa aortnom ili mitralnom stenozom ili hipertrofičnom opstruktivnom kardiomiopatijom.</w:t>
      </w:r>
    </w:p>
    <w:p w14:paraId="5F48D694" w14:textId="77777777" w:rsidR="00C97A74" w:rsidRDefault="00C97A74">
      <w:pPr>
        <w:jc w:val="both"/>
        <w:rPr>
          <w:szCs w:val="22"/>
          <w:lang w:val="hr-HR" w:eastAsia="hr-HR"/>
        </w:rPr>
      </w:pPr>
    </w:p>
    <w:p w14:paraId="085CC5FC" w14:textId="77777777" w:rsidR="00C97A74" w:rsidRDefault="006B6E8F">
      <w:pPr>
        <w:keepNext/>
        <w:jc w:val="both"/>
        <w:outlineLvl w:val="0"/>
        <w:rPr>
          <w:szCs w:val="22"/>
          <w:u w:val="single"/>
          <w:lang w:val="hr-HR" w:eastAsia="hr-HR"/>
        </w:rPr>
      </w:pPr>
      <w:r>
        <w:rPr>
          <w:szCs w:val="22"/>
          <w:u w:val="single"/>
          <w:lang w:val="hr-HR" w:eastAsia="hr-HR"/>
        </w:rPr>
        <w:t>Oštećenje bubrega</w:t>
      </w:r>
    </w:p>
    <w:p w14:paraId="6A23FC55" w14:textId="77777777" w:rsidR="00C97A74" w:rsidRDefault="006B6E8F">
      <w:pPr>
        <w:jc w:val="both"/>
        <w:rPr>
          <w:szCs w:val="22"/>
          <w:lang w:val="hr-HR" w:eastAsia="hr-HR"/>
        </w:rPr>
      </w:pPr>
      <w:r>
        <w:rPr>
          <w:szCs w:val="22"/>
          <w:lang w:val="hr-HR" w:eastAsia="hr-HR"/>
        </w:rPr>
        <w:t>Kod pacijenata sa oštećenjem bubrežne funkcije sa klirensom kreatinina ≥ 30 ml/min dozu nije potrebno prilagođavati (vidjeti dio 4.2). Kada se lijek Valsacombi upotrebljava kod pacijenata sa oštećenjem bubrežne funkcije, preporučuje se periodično praćenje koncentracije kalijuma, kreatinina i mokraćne kiseline u serumu.</w:t>
      </w:r>
    </w:p>
    <w:p w14:paraId="01943408" w14:textId="77777777" w:rsidR="00C97A74" w:rsidRDefault="00C97A74">
      <w:pPr>
        <w:tabs>
          <w:tab w:val="left" w:pos="1453"/>
        </w:tabs>
        <w:jc w:val="both"/>
        <w:rPr>
          <w:szCs w:val="22"/>
          <w:lang w:val="hr-HR" w:eastAsia="hr-HR"/>
        </w:rPr>
      </w:pPr>
    </w:p>
    <w:p w14:paraId="2D9CC0A5" w14:textId="77777777" w:rsidR="00C97A74" w:rsidRDefault="006B6E8F">
      <w:pPr>
        <w:keepNext/>
        <w:jc w:val="both"/>
        <w:outlineLvl w:val="0"/>
        <w:rPr>
          <w:szCs w:val="22"/>
          <w:u w:val="single"/>
          <w:lang w:val="hr-HR" w:eastAsia="hr-HR"/>
        </w:rPr>
      </w:pPr>
      <w:r>
        <w:rPr>
          <w:szCs w:val="22"/>
          <w:u w:val="single"/>
          <w:lang w:val="hr-HR" w:eastAsia="hr-HR"/>
        </w:rPr>
        <w:t>Transplantacija bubrega</w:t>
      </w:r>
    </w:p>
    <w:p w14:paraId="71973416" w14:textId="77777777" w:rsidR="00C97A74" w:rsidRDefault="006B6E8F">
      <w:pPr>
        <w:autoSpaceDE w:val="0"/>
        <w:autoSpaceDN w:val="0"/>
        <w:adjustRightInd w:val="0"/>
        <w:jc w:val="both"/>
        <w:rPr>
          <w:szCs w:val="22"/>
          <w:lang w:val="hr-HR"/>
        </w:rPr>
      </w:pPr>
      <w:r>
        <w:rPr>
          <w:szCs w:val="22"/>
          <w:lang w:val="hr-HR"/>
        </w:rPr>
        <w:t xml:space="preserve">Trenutno ne postoji iskustvo sigurne primjene </w:t>
      </w:r>
      <w:r>
        <w:rPr>
          <w:szCs w:val="22"/>
          <w:lang w:val="hr-HR" w:eastAsia="hr-HR"/>
        </w:rPr>
        <w:t>lijeka Valsacombi</w:t>
      </w:r>
      <w:r>
        <w:rPr>
          <w:szCs w:val="22"/>
          <w:lang w:val="hr-HR"/>
        </w:rPr>
        <w:t xml:space="preserve"> kod pacijenata kojima je nedavno presađen bubreg.</w:t>
      </w:r>
    </w:p>
    <w:p w14:paraId="50B61389" w14:textId="77777777" w:rsidR="00C97A74" w:rsidRDefault="00C97A74">
      <w:pPr>
        <w:jc w:val="both"/>
        <w:rPr>
          <w:szCs w:val="22"/>
          <w:lang w:val="hr-HR" w:eastAsia="hr-HR"/>
        </w:rPr>
      </w:pPr>
    </w:p>
    <w:p w14:paraId="7418416A" w14:textId="77777777" w:rsidR="00C97A74" w:rsidRDefault="006B6E8F">
      <w:pPr>
        <w:keepNext/>
        <w:jc w:val="both"/>
        <w:outlineLvl w:val="0"/>
        <w:rPr>
          <w:szCs w:val="22"/>
          <w:u w:val="single"/>
          <w:lang w:val="hr-HR" w:eastAsia="hr-HR"/>
        </w:rPr>
      </w:pPr>
      <w:r>
        <w:rPr>
          <w:szCs w:val="22"/>
          <w:u w:val="single"/>
          <w:lang w:val="hr-HR" w:eastAsia="hr-HR"/>
        </w:rPr>
        <w:t>Oštećenje jetre</w:t>
      </w:r>
    </w:p>
    <w:p w14:paraId="619266C2" w14:textId="77777777" w:rsidR="00C97A74" w:rsidRDefault="006B6E8F">
      <w:pPr>
        <w:autoSpaceDE w:val="0"/>
        <w:autoSpaceDN w:val="0"/>
        <w:adjustRightInd w:val="0"/>
        <w:jc w:val="both"/>
        <w:rPr>
          <w:szCs w:val="22"/>
          <w:lang w:val="hr-HR"/>
        </w:rPr>
      </w:pPr>
      <w:r>
        <w:rPr>
          <w:szCs w:val="22"/>
          <w:lang w:val="hr-HR" w:eastAsia="hr-HR"/>
        </w:rPr>
        <w:t>Kod pacijenata sa blagim do umjerenim oštećenjem funkcije jetre bez holestaze, lijek Valsacombi treba primjenjivati oprezno (vidjeti djelove 4.2 i 5.2).</w:t>
      </w:r>
      <w:r>
        <w:rPr>
          <w:szCs w:val="22"/>
          <w:lang w:val="hr-HR"/>
        </w:rPr>
        <w:t xml:space="preserve"> Tiazide treba primjenjivati oprezno kod pacijenata sa oštećenom funkcijom jetre ili progresivnom bolešću jetre, budući da manje promjene u ravnoteži tečnosti ili elektrolita mogu ubrzati hepatičku komu.</w:t>
      </w:r>
    </w:p>
    <w:p w14:paraId="487D0601" w14:textId="77777777" w:rsidR="00C97A74" w:rsidRDefault="00C97A74">
      <w:pPr>
        <w:autoSpaceDE w:val="0"/>
        <w:autoSpaceDN w:val="0"/>
        <w:adjustRightInd w:val="0"/>
        <w:rPr>
          <w:szCs w:val="22"/>
          <w:lang w:val="hr-HR"/>
        </w:rPr>
      </w:pPr>
    </w:p>
    <w:p w14:paraId="7F5C32EB" w14:textId="77777777" w:rsidR="00C97A74" w:rsidRDefault="006B6E8F">
      <w:pPr>
        <w:rPr>
          <w:iCs/>
          <w:szCs w:val="22"/>
          <w:u w:val="single"/>
          <w:lang w:val="hr-HR" w:eastAsia="hr-HR"/>
        </w:rPr>
      </w:pPr>
      <w:r>
        <w:rPr>
          <w:iCs/>
          <w:szCs w:val="22"/>
          <w:u w:val="single"/>
          <w:lang w:val="hr-HR" w:eastAsia="hr-HR"/>
        </w:rPr>
        <w:t>Angioedem u anamnezi</w:t>
      </w:r>
    </w:p>
    <w:p w14:paraId="0F1A6A6B" w14:textId="77777777" w:rsidR="00C97A74" w:rsidRDefault="006B6E8F">
      <w:pPr>
        <w:jc w:val="both"/>
        <w:rPr>
          <w:szCs w:val="22"/>
          <w:lang w:val="hr-HR" w:eastAsia="hr-HR"/>
        </w:rPr>
      </w:pPr>
      <w:r>
        <w:rPr>
          <w:szCs w:val="22"/>
          <w:lang w:val="hr-HR" w:eastAsia="hr-HR"/>
        </w:rPr>
        <w:t>Kod pacijenata liječenih valsartanom zabilježena je pojava angioedema, uključujući otok larinksa i glotisa, što može dovesti do opstrukcije disajnih puteva i/ili otoka lica, usana, farinksa, i/ili jezika; neki od ovih pacijenata su ranije imali angioedem prilikom primjene drugih ljekova uključujući i ACE inhibitore. Primjenu lijeka Valsacombi</w:t>
      </w:r>
      <w:r>
        <w:rPr>
          <w:szCs w:val="22"/>
          <w:vertAlign w:val="superscript"/>
          <w:lang w:val="hr-HR" w:eastAsia="hr-HR"/>
        </w:rPr>
        <w:t xml:space="preserve"> </w:t>
      </w:r>
      <w:r>
        <w:rPr>
          <w:szCs w:val="22"/>
          <w:lang w:val="hr-HR" w:eastAsia="hr-HR"/>
        </w:rPr>
        <w:t xml:space="preserve">treba odmah prekinuti kod pacijenata kod kojih se javio angioedem i ne bi ga trebalo ponovo uvoditi u terapiju </w:t>
      </w:r>
      <w:r>
        <w:rPr>
          <w:iCs/>
          <w:szCs w:val="22"/>
          <w:lang w:val="hr-HR" w:eastAsia="hr-HR"/>
        </w:rPr>
        <w:t>(vidjeti dio 4.8).</w:t>
      </w:r>
    </w:p>
    <w:p w14:paraId="037146E5" w14:textId="77777777" w:rsidR="00C97A74" w:rsidRDefault="00C97A74">
      <w:pPr>
        <w:rPr>
          <w:szCs w:val="22"/>
          <w:lang w:val="hr-HR" w:eastAsia="hr-HR"/>
        </w:rPr>
      </w:pPr>
    </w:p>
    <w:p w14:paraId="2BB95F43" w14:textId="77777777" w:rsidR="00C97A74" w:rsidRDefault="006B6E8F">
      <w:pPr>
        <w:keepNext/>
        <w:jc w:val="both"/>
        <w:outlineLvl w:val="0"/>
        <w:rPr>
          <w:szCs w:val="22"/>
          <w:u w:val="single"/>
          <w:lang w:val="hr-HR" w:eastAsia="hr-HR"/>
        </w:rPr>
      </w:pPr>
      <w:r>
        <w:rPr>
          <w:szCs w:val="22"/>
          <w:u w:val="single"/>
          <w:lang w:val="hr-HR" w:eastAsia="hr-HR"/>
        </w:rPr>
        <w:t>Sistemski lupus eritematozus</w:t>
      </w:r>
    </w:p>
    <w:p w14:paraId="01885D4B" w14:textId="77777777" w:rsidR="00C97A74" w:rsidRDefault="006B6E8F">
      <w:pPr>
        <w:jc w:val="both"/>
        <w:rPr>
          <w:szCs w:val="22"/>
          <w:lang w:val="hr-HR" w:eastAsia="hr-HR"/>
        </w:rPr>
      </w:pPr>
      <w:r>
        <w:rPr>
          <w:szCs w:val="22"/>
          <w:lang w:val="hr-HR" w:eastAsia="hr-HR"/>
        </w:rPr>
        <w:t>Zabilježeno je da tiazidni diuretici, uključujući hidrohlortiazid, pogoršavaju ili aktiviraju sistemski eritemski lupus.</w:t>
      </w:r>
    </w:p>
    <w:p w14:paraId="676FB274" w14:textId="77777777" w:rsidR="00C97A74" w:rsidRDefault="00C97A74">
      <w:pPr>
        <w:jc w:val="both"/>
        <w:rPr>
          <w:szCs w:val="22"/>
          <w:lang w:val="hr-HR" w:eastAsia="hr-HR"/>
        </w:rPr>
      </w:pPr>
    </w:p>
    <w:p w14:paraId="431DEC6D" w14:textId="77777777" w:rsidR="00C97A74" w:rsidRDefault="006B6E8F">
      <w:pPr>
        <w:keepNext/>
        <w:jc w:val="both"/>
        <w:outlineLvl w:val="0"/>
        <w:rPr>
          <w:szCs w:val="22"/>
          <w:u w:val="single"/>
          <w:lang w:val="hr-HR" w:eastAsia="hr-HR"/>
        </w:rPr>
      </w:pPr>
      <w:r>
        <w:rPr>
          <w:szCs w:val="22"/>
          <w:u w:val="single"/>
          <w:lang w:val="hr-HR" w:eastAsia="hr-HR"/>
        </w:rPr>
        <w:t>Drugi metabolički poremećaji</w:t>
      </w:r>
    </w:p>
    <w:p w14:paraId="6E03E032" w14:textId="77777777" w:rsidR="00C97A74" w:rsidRDefault="006B6E8F">
      <w:pPr>
        <w:jc w:val="both"/>
        <w:rPr>
          <w:szCs w:val="22"/>
          <w:lang w:val="hr-HR" w:eastAsia="hr-HR"/>
        </w:rPr>
      </w:pPr>
      <w:r>
        <w:rPr>
          <w:szCs w:val="22"/>
          <w:lang w:val="hr-HR" w:eastAsia="hr-HR"/>
        </w:rPr>
        <w:t>Tiazidni diuretici, uključujući hidrohlortiazid, mogu promijeniti toleranciju glukoze i povećati koncentracije holesterola, triglicerida i mokraćne kiseline u serumu. Kod pacijenata sa dijabetes mellitus-om može biti potrebno prilagoditi dozu insulina ili oralnih hipoglikemijskih ljekova.</w:t>
      </w:r>
    </w:p>
    <w:p w14:paraId="25BCCCC3" w14:textId="77777777" w:rsidR="00C97A74" w:rsidRDefault="006B6E8F">
      <w:pPr>
        <w:jc w:val="both"/>
        <w:rPr>
          <w:szCs w:val="22"/>
          <w:lang w:val="hr-HR" w:eastAsia="hr-HR"/>
        </w:rPr>
      </w:pPr>
      <w:r>
        <w:rPr>
          <w:szCs w:val="22"/>
          <w:lang w:val="hr-HR" w:eastAsia="hr-HR"/>
        </w:rPr>
        <w:t>Tiazidi mogu smanjiti izlučivanje kalcijuma urinom i uzrokovati povremena i blaga povećanja kalcijuma u serumu, iako nisu prisutni poznati poremećaji u metabolizmu kalcijuma. Značajna hiperkalcijemija može biti pokazatelj skrivenog hiperparatireoidizma. Prije ispitivanja funkcije paratiroidne žljezde treba prekinuti primjenu tiazida.</w:t>
      </w:r>
    </w:p>
    <w:p w14:paraId="57080C36" w14:textId="77777777" w:rsidR="00C97A74" w:rsidRDefault="00C97A74">
      <w:pPr>
        <w:jc w:val="both"/>
        <w:rPr>
          <w:szCs w:val="22"/>
          <w:lang w:val="hr-HR" w:eastAsia="hr-HR"/>
        </w:rPr>
      </w:pPr>
    </w:p>
    <w:p w14:paraId="6AC9565F" w14:textId="77777777" w:rsidR="00C97A74" w:rsidRDefault="006B6E8F">
      <w:pPr>
        <w:keepNext/>
        <w:jc w:val="both"/>
        <w:outlineLvl w:val="0"/>
        <w:rPr>
          <w:szCs w:val="22"/>
          <w:u w:val="single"/>
          <w:lang w:val="hr-HR" w:eastAsia="hr-HR"/>
        </w:rPr>
      </w:pPr>
      <w:r>
        <w:rPr>
          <w:szCs w:val="22"/>
          <w:u w:val="single"/>
          <w:lang w:val="hr-HR" w:eastAsia="hr-HR"/>
        </w:rPr>
        <w:t>Fotosenzitivnost</w:t>
      </w:r>
    </w:p>
    <w:p w14:paraId="490363C9" w14:textId="77777777" w:rsidR="00C97A74" w:rsidRDefault="006B6E8F">
      <w:pPr>
        <w:jc w:val="both"/>
        <w:rPr>
          <w:szCs w:val="22"/>
          <w:lang w:val="hr-HR" w:eastAsia="hr-HR"/>
        </w:rPr>
      </w:pPr>
      <w:r>
        <w:rPr>
          <w:szCs w:val="22"/>
          <w:lang w:val="hr-HR" w:eastAsia="hr-HR"/>
        </w:rPr>
        <w:t>Kod upotrebe tiazidnih diuretika zabilježeni su slučajevi fotosenzitivnih reakcija (vidjeti dio 4.8). Ako se tokom liječenja jave fotosenzitivne reakcije, preporučuje se prekid  liječenja. Ako je neophodna ponovna primjena diuretika, preporučuje se zaštita izloženih djelova kože od sunca ili vještačkog UVA zračenja.</w:t>
      </w:r>
    </w:p>
    <w:p w14:paraId="2217F7CE" w14:textId="77777777" w:rsidR="00C97A74" w:rsidRDefault="00C97A74">
      <w:pPr>
        <w:rPr>
          <w:szCs w:val="22"/>
          <w:lang w:val="hr-HR" w:eastAsia="hr-HR"/>
        </w:rPr>
      </w:pPr>
    </w:p>
    <w:p w14:paraId="0C8A4EE3" w14:textId="77777777" w:rsidR="00C97A74" w:rsidRDefault="006B6E8F">
      <w:pPr>
        <w:keepNext/>
        <w:jc w:val="both"/>
        <w:outlineLvl w:val="0"/>
        <w:rPr>
          <w:szCs w:val="22"/>
          <w:u w:val="single"/>
          <w:lang w:val="hr-HR" w:eastAsia="hr-HR"/>
        </w:rPr>
      </w:pPr>
      <w:r>
        <w:rPr>
          <w:szCs w:val="22"/>
          <w:u w:val="single"/>
          <w:lang w:val="hr-HR" w:eastAsia="hr-HR"/>
        </w:rPr>
        <w:t>Trudnoća</w:t>
      </w:r>
    </w:p>
    <w:p w14:paraId="31012505" w14:textId="77777777" w:rsidR="00C97A74" w:rsidRDefault="006B6E8F">
      <w:pPr>
        <w:jc w:val="both"/>
        <w:rPr>
          <w:szCs w:val="22"/>
          <w:lang w:val="hr-HR" w:eastAsia="hr-HR"/>
        </w:rPr>
      </w:pPr>
      <w:r>
        <w:rPr>
          <w:szCs w:val="22"/>
          <w:lang w:val="hr-HR" w:eastAsia="hr-HR"/>
        </w:rPr>
        <w:t>Liječenje antagonistima angiotenzin II receptora ne smije započeti tokom trudnoće. Kod pacijentkinja koje planiraju trudnoću potrebno je primijeniti drugu antihipertenzivnu terapiju sa potvrđenim bezbjednosnim profilom u trudnoći, osim ako se liječenje antagonistima angiotenzin II receptora smatra neophodnim. Kada se utvrdi trudnoća, odmah treba prekinuti liječenje antagonistima angiotenzin II receptora i, ako je to pogodno, započeti alternativno liječenje (vidjeti djelove 4.3 i 4.6).</w:t>
      </w:r>
    </w:p>
    <w:p w14:paraId="13F60065" w14:textId="77777777" w:rsidR="00C97A74" w:rsidRDefault="00C97A74">
      <w:pPr>
        <w:jc w:val="both"/>
        <w:rPr>
          <w:szCs w:val="22"/>
          <w:lang w:val="hr-HR" w:eastAsia="hr-HR"/>
        </w:rPr>
      </w:pPr>
    </w:p>
    <w:p w14:paraId="5F79D26B" w14:textId="77777777" w:rsidR="00C97A74" w:rsidRDefault="006B6E8F">
      <w:pPr>
        <w:keepNext/>
        <w:jc w:val="both"/>
        <w:outlineLvl w:val="0"/>
        <w:rPr>
          <w:szCs w:val="22"/>
          <w:u w:val="single"/>
          <w:lang w:val="hr-HR" w:eastAsia="hr-HR"/>
        </w:rPr>
      </w:pPr>
      <w:r>
        <w:rPr>
          <w:szCs w:val="22"/>
          <w:u w:val="single"/>
          <w:lang w:val="hr-HR" w:eastAsia="hr-HR"/>
        </w:rPr>
        <w:lastRenderedPageBreak/>
        <w:t>Opšte upozorenje</w:t>
      </w:r>
    </w:p>
    <w:p w14:paraId="5F8A47C2" w14:textId="77777777" w:rsidR="00C97A74" w:rsidRDefault="006B6E8F">
      <w:pPr>
        <w:jc w:val="both"/>
        <w:rPr>
          <w:szCs w:val="22"/>
          <w:lang w:val="hr-HR" w:eastAsia="hr-HR"/>
        </w:rPr>
      </w:pPr>
      <w:r>
        <w:rPr>
          <w:szCs w:val="22"/>
          <w:lang w:val="hr-HR" w:eastAsia="hr-HR"/>
        </w:rPr>
        <w:t>Oprez je potreban kod pacijenata koji su ranije bili preosjetljivi na druge antagoniste angiotenzin II receptora. Kod pacijenta sa alergijama ili astmom postoji veća vjerovatnoća da će doći do reakcija preosjetljivosti.</w:t>
      </w:r>
    </w:p>
    <w:p w14:paraId="56EFC51A" w14:textId="77777777" w:rsidR="00C97A74" w:rsidRDefault="00C97A74">
      <w:pPr>
        <w:rPr>
          <w:color w:val="FF0000"/>
          <w:szCs w:val="22"/>
          <w:u w:val="single"/>
          <w:lang w:val="hr-HR" w:eastAsia="hr-HR"/>
        </w:rPr>
      </w:pPr>
    </w:p>
    <w:p w14:paraId="4769584D" w14:textId="77777777" w:rsidR="00C97A74" w:rsidRDefault="006B6E8F">
      <w:pPr>
        <w:rPr>
          <w:iCs/>
          <w:szCs w:val="22"/>
          <w:u w:val="single"/>
          <w:lang w:val="hr-HR" w:eastAsia="hr-HR"/>
        </w:rPr>
      </w:pPr>
      <w:r>
        <w:rPr>
          <w:iCs/>
          <w:szCs w:val="22"/>
          <w:u w:val="single"/>
          <w:lang w:val="hr-HR" w:eastAsia="hr-HR"/>
        </w:rPr>
        <w:t>Horoidalna efuzija, akutna miopija i sekundarni glaukom zatvorenog ugla</w:t>
      </w:r>
    </w:p>
    <w:p w14:paraId="2F6D645B" w14:textId="77777777" w:rsidR="00C97A74" w:rsidRDefault="006B6E8F">
      <w:pPr>
        <w:jc w:val="both"/>
        <w:rPr>
          <w:szCs w:val="22"/>
          <w:lang w:val="hr-HR" w:eastAsia="hr-HR"/>
        </w:rPr>
      </w:pPr>
      <w:r>
        <w:rPr>
          <w:szCs w:val="22"/>
          <w:lang w:val="hr-HR"/>
        </w:rPr>
        <w:t>Sulfonamidi i derivati sulfonamida mogu izazvati idiosinkratsku reakciju koja za rezultat može imati horoidalnu efuziju sa defektom vidnog polja, prolaznu miopiju i glaukom zatvorenog ugla</w:t>
      </w:r>
      <w:r>
        <w:rPr>
          <w:szCs w:val="22"/>
          <w:lang w:val="hr-HR" w:eastAsia="hr-HR"/>
        </w:rPr>
        <w:t>. Simptomi uključuju akutnu pojavu smanjene oštrine vida ili bola u oku i tipično se javljaju nekoliko sati do nedjelju dana od početka primjene lijeka. Neliječeni akutni glaukom zatvorenog ugla može dovesti do trajnog gubitka vida.</w:t>
      </w:r>
    </w:p>
    <w:p w14:paraId="12AFBD7F" w14:textId="77777777" w:rsidR="00C97A74" w:rsidRDefault="006B6E8F">
      <w:pPr>
        <w:jc w:val="both"/>
        <w:rPr>
          <w:szCs w:val="22"/>
          <w:lang w:val="hr-HR" w:eastAsia="hr-HR"/>
        </w:rPr>
      </w:pPr>
      <w:r>
        <w:rPr>
          <w:szCs w:val="22"/>
          <w:lang w:val="hr-HR" w:eastAsia="hr-HR"/>
        </w:rPr>
        <w:t>Primarna terapija je prekid uzimanja lijeka što je prije moguće. U slučaju da intraokularni pritisak ne bude pod kontrolom, može biti potrebno razmotriti i promptno liječenje ljekovima ili hirurško liječenje. Faktori rizika za razvoj akutnog glaukoma zatvorenog ugla mogu uključivati alergiju na sulfonamide ili penicilin u anamnezi.</w:t>
      </w:r>
    </w:p>
    <w:p w14:paraId="7B055AB8" w14:textId="77777777" w:rsidR="00C97A74" w:rsidRDefault="00C97A74">
      <w:pPr>
        <w:rPr>
          <w:color w:val="FF0000"/>
          <w:szCs w:val="22"/>
          <w:lang w:val="hr-HR" w:eastAsia="hr-HR"/>
        </w:rPr>
      </w:pPr>
    </w:p>
    <w:p w14:paraId="17763DC8" w14:textId="77777777" w:rsidR="00C97A74" w:rsidRDefault="006B6E8F">
      <w:pPr>
        <w:rPr>
          <w:szCs w:val="22"/>
          <w:u w:val="single"/>
          <w:lang w:val="sl-SI" w:eastAsia="sl-SI"/>
        </w:rPr>
      </w:pPr>
      <w:r>
        <w:rPr>
          <w:szCs w:val="22"/>
          <w:u w:val="single"/>
          <w:lang w:val="sl-SI" w:eastAsia="sl-SI"/>
        </w:rPr>
        <w:t>Dvostruka blokada renin-angiotenzin-aldosteron sistema (RAAS)</w:t>
      </w:r>
    </w:p>
    <w:p w14:paraId="2E2CDBBA" w14:textId="77777777" w:rsidR="00C97A74" w:rsidRDefault="006B6E8F">
      <w:pPr>
        <w:jc w:val="both"/>
        <w:rPr>
          <w:szCs w:val="22"/>
          <w:lang w:val="sl-SI"/>
        </w:rPr>
      </w:pPr>
      <w:r>
        <w:rPr>
          <w:szCs w:val="22"/>
          <w:lang w:val="sl-SI"/>
        </w:rPr>
        <w:t>Postoje dokazi da istovremena primjena inhibitora angiotenzin konvertujućeg enzima (ACE inhibitor), antagonista angiotenzin II receptora ili aliskirena povećava rizik od hipotenzije, hiperkalijemije i smanjenja bubrežne funkcije (uključujući akutnu renalnu insuficijenciju). Stoga se ne preporučuje dvostruka blokada renin-angiotenzin-aldosteron sistema kombinovanjem aliskirena sa ACE inhibitorom ili antagonistima angiotenzin II receptora (vidjeti djelove 4.5 i 5.1).</w:t>
      </w:r>
    </w:p>
    <w:p w14:paraId="09F63FA5" w14:textId="77777777" w:rsidR="00C97A74" w:rsidRDefault="006B6E8F">
      <w:pPr>
        <w:jc w:val="both"/>
        <w:rPr>
          <w:szCs w:val="22"/>
          <w:lang w:val="sl-SI"/>
        </w:rPr>
      </w:pPr>
      <w:r>
        <w:rPr>
          <w:szCs w:val="22"/>
          <w:lang w:val="sl-SI"/>
        </w:rPr>
        <w:t>Ako se terapija dvostrukom blokadom smatra apsolutno neophodnom, samo se smije sprovoditi pod nadzorom specijalista i uz pažljivo praćenje bubrežne funkcije, elektrolita i krvnog pritiska.</w:t>
      </w:r>
    </w:p>
    <w:p w14:paraId="46F464F3" w14:textId="77777777" w:rsidR="00C97A74" w:rsidRDefault="006B6E8F">
      <w:pPr>
        <w:jc w:val="both"/>
        <w:rPr>
          <w:szCs w:val="22"/>
          <w:lang w:val="sl-SI"/>
        </w:rPr>
      </w:pPr>
      <w:r>
        <w:rPr>
          <w:szCs w:val="22"/>
          <w:lang w:val="sl-SI"/>
        </w:rPr>
        <w:t xml:space="preserve">ACE inhibitori i blokatori angiotenzin II receptora se ne smiju primjenjivati istovremeno kod pacijenata s dijabetičkom nefropatijom. </w:t>
      </w:r>
    </w:p>
    <w:p w14:paraId="28D1871C" w14:textId="77777777" w:rsidR="00C97A74" w:rsidRDefault="00C97A74">
      <w:pPr>
        <w:rPr>
          <w:szCs w:val="22"/>
          <w:u w:val="single"/>
          <w:lang w:val="sl-SI" w:eastAsia="sl-SI"/>
        </w:rPr>
      </w:pPr>
    </w:p>
    <w:p w14:paraId="093905EE" w14:textId="77777777" w:rsidR="00C97A74" w:rsidRDefault="006B6E8F">
      <w:pPr>
        <w:jc w:val="both"/>
        <w:rPr>
          <w:szCs w:val="22"/>
          <w:u w:val="single"/>
          <w:lang w:val="sl-SI"/>
        </w:rPr>
      </w:pPr>
      <w:r>
        <w:rPr>
          <w:szCs w:val="22"/>
          <w:u w:val="single"/>
          <w:lang w:val="sl-SI"/>
        </w:rPr>
        <w:t>Nemelanomski karcinom kože</w:t>
      </w:r>
    </w:p>
    <w:p w14:paraId="6BA53D3F" w14:textId="77777777" w:rsidR="00C97A74" w:rsidRDefault="006B6E8F">
      <w:pPr>
        <w:jc w:val="both"/>
        <w:rPr>
          <w:szCs w:val="22"/>
          <w:lang w:val="sl-SI"/>
        </w:rPr>
      </w:pPr>
      <w:r>
        <w:rPr>
          <w:szCs w:val="22"/>
          <w:lang w:val="sl-SI"/>
        </w:rPr>
        <w:t xml:space="preserve">Povećan rizik od nemelanomskog karcinoma kože (eng. </w:t>
      </w:r>
      <w:r>
        <w:rPr>
          <w:i/>
          <w:szCs w:val="22"/>
          <w:lang w:val="sl-SI"/>
        </w:rPr>
        <w:t>non-melanoma skin cancer</w:t>
      </w:r>
      <w:r>
        <w:rPr>
          <w:szCs w:val="22"/>
          <w:lang w:val="sl-SI"/>
        </w:rPr>
        <w:t xml:space="preserve">, NMSC) [bazocelularni karcinom (eng. </w:t>
      </w:r>
      <w:r>
        <w:rPr>
          <w:i/>
          <w:szCs w:val="22"/>
          <w:lang w:val="sl-SI"/>
        </w:rPr>
        <w:t>basal cell carcinoma</w:t>
      </w:r>
      <w:r>
        <w:rPr>
          <w:szCs w:val="22"/>
          <w:lang w:val="sl-SI"/>
        </w:rPr>
        <w:t xml:space="preserve">, BCC) i planocelularni karcinom (eng. </w:t>
      </w:r>
      <w:r>
        <w:rPr>
          <w:i/>
          <w:szCs w:val="22"/>
          <w:lang w:val="sl-SI"/>
        </w:rPr>
        <w:t>squamous cell carcinoma</w:t>
      </w:r>
      <w:r>
        <w:rPr>
          <w:szCs w:val="22"/>
          <w:lang w:val="sl-SI"/>
        </w:rPr>
        <w:t>, SCC)] kod povećane kumulativne izloženosti hidrohlortiazidu zabilježen je u dvije epidemiološke studije zasnovane na Nacionalnom registru malignih oboljenja Danske. Fotosenzitivno dejstvo hidrohlortiazida može da predstavlja mogući mehanizam za nastanak NMSC.</w:t>
      </w:r>
    </w:p>
    <w:p w14:paraId="3D2B8629" w14:textId="77777777" w:rsidR="00C97A74" w:rsidRDefault="006B6E8F">
      <w:pPr>
        <w:jc w:val="both"/>
        <w:rPr>
          <w:szCs w:val="22"/>
          <w:lang w:val="sl-SI"/>
        </w:rPr>
      </w:pPr>
      <w:r>
        <w:rPr>
          <w:szCs w:val="22"/>
          <w:lang w:val="sl-SI"/>
        </w:rPr>
        <w:t>Pacijente koji uzimaju hidrohlortiazid potrebno je informisati o riziku od NMSC-a i savjetovati da redovno provjeravaju svoju kožu kako bi se uočila pojava svake nove lezije i da hitno prijave svaku sumnjivu leziju na koži. Pacijente treba posavjetovati o mogućim preventivnim mjerama, kao što je ograničena izloženost sunčevoj svjetlosti i UV zracima i, u slučaju izloženosti, primjena odgovarajuće zaštite, radi minimiziranja rizika od karcinoma kože. Sumnjive lezije na koži potrebno je hitno pregledati, potencijalno uključujući histološke preglede uzorka dobijenog biopsijom. Takođe može biti potrebno i da se razmotri opravdanost primjene hidrohlortiazida kod pacijenata koji su ranije imali NMSC (vidjeti dio 4.8 Neželjena dejstva).</w:t>
      </w:r>
    </w:p>
    <w:p w14:paraId="49C69881" w14:textId="77777777" w:rsidR="00C97A74" w:rsidRDefault="00C97A74">
      <w:pPr>
        <w:jc w:val="both"/>
        <w:rPr>
          <w:szCs w:val="22"/>
          <w:lang w:val="sl-SI"/>
        </w:rPr>
      </w:pPr>
    </w:p>
    <w:p w14:paraId="62D55CE3" w14:textId="77777777" w:rsidR="00C97A74" w:rsidRDefault="006B6E8F">
      <w:pPr>
        <w:jc w:val="both"/>
        <w:rPr>
          <w:szCs w:val="22"/>
          <w:lang w:val="sl-SI"/>
        </w:rPr>
      </w:pPr>
      <w:r>
        <w:rPr>
          <w:szCs w:val="22"/>
          <w:u w:val="single"/>
          <w:lang w:val="sl-SI"/>
        </w:rPr>
        <w:t xml:space="preserve">Akutna respiratorna toksičnost </w:t>
      </w:r>
    </w:p>
    <w:p w14:paraId="2E594A01" w14:textId="77777777" w:rsidR="00C97A74" w:rsidRDefault="006B6E8F">
      <w:pPr>
        <w:jc w:val="both"/>
        <w:rPr>
          <w:szCs w:val="22"/>
          <w:lang w:val="sl-SI"/>
        </w:rPr>
      </w:pPr>
      <w:r>
        <w:rPr>
          <w:lang w:val="sl-SI"/>
        </w:rPr>
        <w:t>Nakon upotrebe hidrohlortiazida prijavljeni su veoma rijetki teški slučajevi akutne respiratorne toksičnosti, uključujući akutni respiratorni distres sindrom (ARDS). Plućni edem obično se razvija u roku od nekoliko minuta do nekoliko sati nakon unosa hidrohlortiazida. Na početku simptomi uključuju dispneju, povišenu tjelesnu temperaturu, pogoršanje plućne funkcije i hipotenziju. Ako se sumnja na ARDS, potrebno je obustaviti upotrebu lijeka Valsacombi i propisati odgovarajuću terapiju. Hidrohlortiazid se ne smije davati pacijentima koji su prethodno imali ARDS nakon upotrebe ovog lijeka.</w:t>
      </w:r>
    </w:p>
    <w:p w14:paraId="3278E487" w14:textId="77777777" w:rsidR="00C97A74" w:rsidRDefault="00C97A74">
      <w:pPr>
        <w:jc w:val="both"/>
        <w:rPr>
          <w:szCs w:val="22"/>
          <w:lang w:val="sl-SI"/>
        </w:rPr>
      </w:pPr>
    </w:p>
    <w:p w14:paraId="62E3D28D" w14:textId="77777777" w:rsidR="00C97A74" w:rsidRDefault="006B6E8F">
      <w:pPr>
        <w:keepNext/>
        <w:jc w:val="both"/>
        <w:outlineLvl w:val="2"/>
        <w:rPr>
          <w:i/>
          <w:iCs/>
          <w:szCs w:val="22"/>
          <w:lang w:val="hr-HR" w:eastAsia="hr-HR"/>
        </w:rPr>
      </w:pPr>
      <w:r>
        <w:rPr>
          <w:i/>
          <w:iCs/>
          <w:szCs w:val="22"/>
          <w:lang w:val="hr-HR" w:eastAsia="hr-HR"/>
        </w:rPr>
        <w:lastRenderedPageBreak/>
        <w:t>Posebne informacije o nekim sastojcima lijeka</w:t>
      </w:r>
    </w:p>
    <w:p w14:paraId="59115E50" w14:textId="77777777" w:rsidR="00C97A74" w:rsidRDefault="00C97A74">
      <w:pPr>
        <w:keepNext/>
        <w:jc w:val="both"/>
        <w:outlineLvl w:val="2"/>
        <w:rPr>
          <w:i/>
          <w:iCs/>
          <w:szCs w:val="22"/>
          <w:lang w:val="hr-HR" w:eastAsia="hr-HR"/>
        </w:rPr>
      </w:pPr>
    </w:p>
    <w:p w14:paraId="0A5BFCE8" w14:textId="77777777" w:rsidR="00C97A74" w:rsidRDefault="006B6E8F">
      <w:pPr>
        <w:keepNext/>
        <w:jc w:val="both"/>
        <w:outlineLvl w:val="2"/>
        <w:rPr>
          <w:i/>
          <w:iCs/>
          <w:szCs w:val="22"/>
          <w:lang w:val="hr-HR" w:eastAsia="hr-HR"/>
        </w:rPr>
      </w:pPr>
      <w:r>
        <w:rPr>
          <w:i/>
          <w:iCs/>
          <w:szCs w:val="22"/>
          <w:lang w:val="hr-HR" w:eastAsia="hr-HR"/>
        </w:rPr>
        <w:t>Laktoza</w:t>
      </w:r>
    </w:p>
    <w:p w14:paraId="0601FB98" w14:textId="77777777" w:rsidR="00C97A74" w:rsidRDefault="006B6E8F">
      <w:pPr>
        <w:jc w:val="both"/>
        <w:rPr>
          <w:szCs w:val="22"/>
          <w:lang w:val="hr-HR" w:eastAsia="hr-HR"/>
        </w:rPr>
      </w:pPr>
      <w:r>
        <w:rPr>
          <w:szCs w:val="22"/>
          <w:lang w:val="hr-HR" w:eastAsia="hr-HR"/>
        </w:rPr>
        <w:t>Ovaj lijek sadrži laktozu. Pacijenti koji boluju od rijetkog nasljednog oboljenja intolerancije na galaktozu, sa nedostatkom Lapp laktaze ili malapsorpcijom glukoze/galaktoze ne smiju koristiti ovaj lijek.</w:t>
      </w:r>
    </w:p>
    <w:p w14:paraId="151DA93F" w14:textId="77777777" w:rsidR="00C97A74" w:rsidRDefault="00C97A74">
      <w:pPr>
        <w:tabs>
          <w:tab w:val="clear" w:pos="567"/>
        </w:tabs>
        <w:autoSpaceDE w:val="0"/>
        <w:autoSpaceDN w:val="0"/>
        <w:adjustRightInd w:val="0"/>
        <w:spacing w:line="240" w:lineRule="auto"/>
        <w:rPr>
          <w:rFonts w:eastAsia="SimSun"/>
          <w:color w:val="000000"/>
          <w:szCs w:val="22"/>
          <w:lang w:val="hr-HR"/>
        </w:rPr>
      </w:pPr>
    </w:p>
    <w:p w14:paraId="2DF2A41D" w14:textId="77777777" w:rsidR="00C97A74" w:rsidRDefault="006B6E8F">
      <w:pPr>
        <w:tabs>
          <w:tab w:val="clear" w:pos="567"/>
        </w:tabs>
        <w:autoSpaceDE w:val="0"/>
        <w:autoSpaceDN w:val="0"/>
        <w:adjustRightInd w:val="0"/>
        <w:spacing w:line="240" w:lineRule="auto"/>
        <w:rPr>
          <w:rFonts w:eastAsia="SimSun"/>
          <w:i/>
          <w:color w:val="000000"/>
          <w:szCs w:val="22"/>
          <w:lang w:val="hr-HR"/>
        </w:rPr>
      </w:pPr>
      <w:r>
        <w:rPr>
          <w:rFonts w:eastAsia="SimSun"/>
          <w:i/>
          <w:color w:val="000000"/>
          <w:szCs w:val="22"/>
          <w:lang w:val="hr-HR"/>
        </w:rPr>
        <w:t>Natrijum</w:t>
      </w:r>
    </w:p>
    <w:p w14:paraId="508EB849" w14:textId="77777777" w:rsidR="00C97A74" w:rsidRDefault="006B6E8F">
      <w:pPr>
        <w:jc w:val="both"/>
        <w:rPr>
          <w:szCs w:val="22"/>
          <w:lang w:val="hr-HR" w:eastAsia="hr-HR"/>
        </w:rPr>
      </w:pPr>
      <w:r>
        <w:rPr>
          <w:rFonts w:eastAsia="SimSun"/>
          <w:color w:val="000000"/>
          <w:szCs w:val="22"/>
          <w:lang w:val="hr-HR"/>
        </w:rPr>
        <w:t>Ovaj lijek sadrži manje od 1 mmol (23 mg) natrijum po tableti, tj. zanemarljive količine natrijuma.</w:t>
      </w:r>
    </w:p>
    <w:p w14:paraId="0E40BADD" w14:textId="77777777" w:rsidR="00C97A74" w:rsidRDefault="00C97A74">
      <w:pPr>
        <w:jc w:val="both"/>
        <w:rPr>
          <w:b/>
          <w:bCs/>
          <w:szCs w:val="22"/>
          <w:lang w:val="hr-HR" w:eastAsia="hr-HR"/>
        </w:rPr>
      </w:pPr>
    </w:p>
    <w:p w14:paraId="644D6ACD" w14:textId="77777777" w:rsidR="00C97A74" w:rsidRDefault="006B6E8F">
      <w:pPr>
        <w:jc w:val="both"/>
        <w:rPr>
          <w:b/>
          <w:bCs/>
          <w:szCs w:val="22"/>
          <w:lang w:val="hr-HR" w:eastAsia="hr-HR"/>
        </w:rPr>
      </w:pPr>
      <w:r>
        <w:rPr>
          <w:b/>
          <w:bCs/>
          <w:szCs w:val="22"/>
          <w:lang w:val="hr-HR" w:eastAsia="hr-HR"/>
        </w:rPr>
        <w:t>4.5</w:t>
      </w:r>
      <w:r>
        <w:rPr>
          <w:b/>
          <w:bCs/>
          <w:szCs w:val="22"/>
          <w:lang w:val="hr-HR" w:eastAsia="hr-HR"/>
        </w:rPr>
        <w:tab/>
        <w:t>Interakcije sa drugim ljekovima i druge vrste interakcija</w:t>
      </w:r>
    </w:p>
    <w:p w14:paraId="0907355C" w14:textId="77777777" w:rsidR="00C97A74" w:rsidRDefault="00C97A74">
      <w:pPr>
        <w:keepNext/>
        <w:jc w:val="both"/>
        <w:outlineLvl w:val="0"/>
        <w:rPr>
          <w:szCs w:val="22"/>
          <w:u w:val="single"/>
          <w:lang w:val="hr-HR" w:eastAsia="hr-HR"/>
        </w:rPr>
      </w:pPr>
    </w:p>
    <w:p w14:paraId="7496B9B3" w14:textId="77777777" w:rsidR="00C97A74" w:rsidRDefault="006B6E8F">
      <w:pPr>
        <w:keepNext/>
        <w:jc w:val="both"/>
        <w:outlineLvl w:val="0"/>
        <w:rPr>
          <w:szCs w:val="22"/>
          <w:u w:val="single"/>
          <w:lang w:val="hr-HR" w:eastAsia="hr-HR"/>
        </w:rPr>
      </w:pPr>
      <w:r>
        <w:rPr>
          <w:szCs w:val="22"/>
          <w:u w:val="single"/>
          <w:lang w:val="hr-HR" w:eastAsia="hr-HR"/>
        </w:rPr>
        <w:t>Interakcije koje se odnose na valsartan i hidrohlortiazid</w:t>
      </w:r>
    </w:p>
    <w:p w14:paraId="555EF978" w14:textId="77777777" w:rsidR="00C97A74" w:rsidRDefault="00C97A74">
      <w:pPr>
        <w:keepNext/>
        <w:jc w:val="both"/>
        <w:outlineLvl w:val="1"/>
        <w:rPr>
          <w:szCs w:val="22"/>
          <w:u w:val="single"/>
          <w:lang w:val="hr-HR" w:eastAsia="hr-HR"/>
        </w:rPr>
      </w:pPr>
    </w:p>
    <w:p w14:paraId="37954ABC" w14:textId="77777777" w:rsidR="00C97A74" w:rsidRDefault="006B6E8F">
      <w:pPr>
        <w:keepNext/>
        <w:jc w:val="both"/>
        <w:outlineLvl w:val="1"/>
        <w:rPr>
          <w:i/>
          <w:iCs/>
          <w:szCs w:val="22"/>
          <w:u w:val="single"/>
          <w:lang w:val="hr-HR" w:eastAsia="hr-HR"/>
        </w:rPr>
      </w:pPr>
      <w:r>
        <w:rPr>
          <w:i/>
          <w:iCs/>
          <w:szCs w:val="22"/>
          <w:u w:val="single"/>
          <w:lang w:val="hr-HR" w:eastAsia="hr-HR"/>
        </w:rPr>
        <w:t>Ne preporučuje se istovremena primjena</w:t>
      </w:r>
    </w:p>
    <w:p w14:paraId="7560D57A" w14:textId="77777777" w:rsidR="00C97A74" w:rsidRDefault="00C97A74">
      <w:pPr>
        <w:keepNext/>
        <w:jc w:val="both"/>
        <w:outlineLvl w:val="1"/>
        <w:rPr>
          <w:i/>
          <w:iCs/>
          <w:szCs w:val="22"/>
          <w:u w:val="single"/>
          <w:lang w:val="hr-HR" w:eastAsia="hr-HR"/>
        </w:rPr>
      </w:pPr>
    </w:p>
    <w:p w14:paraId="1EEA9897" w14:textId="77777777" w:rsidR="00C97A74" w:rsidRDefault="006B6E8F">
      <w:pPr>
        <w:keepNext/>
        <w:jc w:val="both"/>
        <w:outlineLvl w:val="2"/>
        <w:rPr>
          <w:i/>
          <w:iCs/>
          <w:szCs w:val="22"/>
          <w:lang w:val="hr-HR" w:eastAsia="hr-HR"/>
        </w:rPr>
      </w:pPr>
      <w:r>
        <w:rPr>
          <w:i/>
          <w:iCs/>
          <w:szCs w:val="22"/>
          <w:lang w:val="hr-HR" w:eastAsia="hr-HR"/>
        </w:rPr>
        <w:t>Litijum</w:t>
      </w:r>
    </w:p>
    <w:p w14:paraId="28ECA8A8" w14:textId="77777777" w:rsidR="00C97A74" w:rsidRDefault="006B6E8F">
      <w:pPr>
        <w:jc w:val="both"/>
        <w:rPr>
          <w:szCs w:val="22"/>
          <w:lang w:val="hr-HR" w:eastAsia="hr-HR"/>
        </w:rPr>
      </w:pPr>
      <w:r>
        <w:rPr>
          <w:szCs w:val="22"/>
          <w:lang w:val="hr-HR" w:eastAsia="hr-HR"/>
        </w:rPr>
        <w:t>Kod istovremene primjene litijuma sa ACE inhibitorima i tiazidima, uključujući hidrohlortiazid, uočen je reverzibilni porast koncentracije litijuma u serumu i toksičnost. Zbog nedostatka iskustava sa istovremenom primjenom valsartana i litijuma, ova kombinacija se ne preporučuje. Ako je kombinacija neophodna, preporučuje se pažljivo praćenje koncentracije litijuma u serumu.</w:t>
      </w:r>
    </w:p>
    <w:p w14:paraId="1A0EF9AB" w14:textId="77777777" w:rsidR="00C97A74" w:rsidRDefault="00C97A74">
      <w:pPr>
        <w:jc w:val="both"/>
        <w:rPr>
          <w:szCs w:val="22"/>
          <w:lang w:val="hr-HR" w:eastAsia="hr-HR"/>
        </w:rPr>
      </w:pPr>
    </w:p>
    <w:p w14:paraId="4B8CD748" w14:textId="77777777" w:rsidR="00C97A74" w:rsidRDefault="006B6E8F">
      <w:pPr>
        <w:keepNext/>
        <w:jc w:val="both"/>
        <w:outlineLvl w:val="1"/>
        <w:rPr>
          <w:i/>
          <w:iCs/>
          <w:szCs w:val="22"/>
          <w:u w:val="single"/>
          <w:lang w:val="hr-HR" w:eastAsia="hr-HR"/>
        </w:rPr>
      </w:pPr>
      <w:r>
        <w:rPr>
          <w:i/>
          <w:iCs/>
          <w:szCs w:val="22"/>
          <w:u w:val="single"/>
          <w:lang w:val="hr-HR" w:eastAsia="hr-HR"/>
        </w:rPr>
        <w:t>Istovremena primjena uz oprez</w:t>
      </w:r>
    </w:p>
    <w:p w14:paraId="752BCDE7" w14:textId="77777777" w:rsidR="00C97A74" w:rsidRDefault="006B6E8F">
      <w:pPr>
        <w:keepNext/>
        <w:jc w:val="both"/>
        <w:outlineLvl w:val="2"/>
        <w:rPr>
          <w:i/>
          <w:iCs/>
          <w:szCs w:val="22"/>
          <w:lang w:val="hr-HR" w:eastAsia="hr-HR"/>
        </w:rPr>
      </w:pPr>
      <w:r>
        <w:rPr>
          <w:i/>
          <w:iCs/>
          <w:szCs w:val="22"/>
          <w:lang w:val="hr-HR" w:eastAsia="hr-HR"/>
        </w:rPr>
        <w:t>Ostali antihipertenzivni ljekovi</w:t>
      </w:r>
    </w:p>
    <w:p w14:paraId="2C871493" w14:textId="77777777" w:rsidR="00C97A74" w:rsidRDefault="006B6E8F">
      <w:pPr>
        <w:jc w:val="both"/>
        <w:rPr>
          <w:szCs w:val="22"/>
          <w:lang w:val="hr-HR" w:eastAsia="hr-HR"/>
        </w:rPr>
      </w:pPr>
      <w:r>
        <w:rPr>
          <w:szCs w:val="22"/>
          <w:lang w:val="hr-HR" w:eastAsia="hr-HR"/>
        </w:rPr>
        <w:t>Lijek Valsacombi može pojačati efekat drugih antihipertenziva (</w:t>
      </w:r>
      <w:r>
        <w:rPr>
          <w:szCs w:val="22"/>
          <w:lang w:val="hr-HR"/>
        </w:rPr>
        <w:t>npr. guanetidin, metildopa, vazodilatatori, ACE inhibitori, blokatori angiotenzinskih receptora, beta blokatori, blokatori kalcijumskih kanala i direktni reninski inhibitori).</w:t>
      </w:r>
    </w:p>
    <w:p w14:paraId="552D1668" w14:textId="77777777" w:rsidR="00C97A74" w:rsidRDefault="00C97A74">
      <w:pPr>
        <w:jc w:val="both"/>
        <w:rPr>
          <w:i/>
          <w:iCs/>
          <w:szCs w:val="22"/>
          <w:lang w:val="hr-HR" w:eastAsia="hr-HR"/>
        </w:rPr>
      </w:pPr>
    </w:p>
    <w:p w14:paraId="3DC166CD" w14:textId="77777777" w:rsidR="00C97A74" w:rsidRDefault="006B6E8F">
      <w:pPr>
        <w:jc w:val="both"/>
        <w:rPr>
          <w:szCs w:val="22"/>
          <w:lang w:val="hr-HR" w:eastAsia="hr-HR"/>
        </w:rPr>
      </w:pPr>
      <w:r>
        <w:rPr>
          <w:i/>
          <w:iCs/>
          <w:szCs w:val="22"/>
          <w:lang w:val="hr-HR" w:eastAsia="hr-HR"/>
        </w:rPr>
        <w:t xml:space="preserve">Presorni amini </w:t>
      </w:r>
      <w:r>
        <w:rPr>
          <w:szCs w:val="22"/>
          <w:lang w:val="hr-HR" w:eastAsia="hr-HR"/>
        </w:rPr>
        <w:t>(npr. noradrenalin, adrenalin)</w:t>
      </w:r>
    </w:p>
    <w:p w14:paraId="3F91AA34" w14:textId="77777777" w:rsidR="00C97A74" w:rsidRDefault="006B6E8F">
      <w:pPr>
        <w:jc w:val="both"/>
        <w:rPr>
          <w:szCs w:val="22"/>
          <w:lang w:val="hr-HR" w:eastAsia="hr-HR"/>
        </w:rPr>
      </w:pPr>
      <w:r>
        <w:rPr>
          <w:szCs w:val="22"/>
          <w:lang w:val="hr-HR" w:eastAsia="hr-HR"/>
        </w:rPr>
        <w:t xml:space="preserve">Moguć je smanjen odgovor na presorne amine. Klinički značaj ovog efekta nije siguran i nije dovoljan da se isključi njihova primjena. </w:t>
      </w:r>
    </w:p>
    <w:p w14:paraId="523B5DAA" w14:textId="77777777" w:rsidR="00C97A74" w:rsidRDefault="00C97A74">
      <w:pPr>
        <w:jc w:val="both"/>
        <w:rPr>
          <w:szCs w:val="22"/>
          <w:lang w:val="hr-HR" w:eastAsia="hr-HR"/>
        </w:rPr>
      </w:pPr>
    </w:p>
    <w:p w14:paraId="4A851541" w14:textId="77777777" w:rsidR="00C97A74" w:rsidRDefault="006B6E8F">
      <w:pPr>
        <w:jc w:val="both"/>
        <w:rPr>
          <w:i/>
          <w:iCs/>
          <w:szCs w:val="22"/>
          <w:lang w:val="hr-HR" w:eastAsia="hr-HR"/>
        </w:rPr>
      </w:pPr>
      <w:r>
        <w:rPr>
          <w:i/>
          <w:iCs/>
          <w:szCs w:val="22"/>
          <w:lang w:val="hr-HR" w:eastAsia="hr-HR"/>
        </w:rPr>
        <w:t>Nesteroidni antiinflamatorni ljekovi, uključujući selektivne inhibitore COX-2, acetilsalicilnu kiselinu (u dozi &gt;3 g/dan) i neselektivne nesteroidne antiinflamatorne ljekove</w:t>
      </w:r>
    </w:p>
    <w:p w14:paraId="6E8D37ED" w14:textId="77777777" w:rsidR="00C97A74" w:rsidRDefault="006B6E8F">
      <w:pPr>
        <w:jc w:val="both"/>
        <w:rPr>
          <w:szCs w:val="22"/>
          <w:lang w:val="hr-HR" w:eastAsia="hr-HR"/>
        </w:rPr>
      </w:pPr>
      <w:r>
        <w:rPr>
          <w:szCs w:val="22"/>
          <w:lang w:val="hr-HR" w:eastAsia="hr-HR"/>
        </w:rPr>
        <w:t>Kod istovremene primjene nesteroidni antiinflamatorni ljekovi mogu smanjiti antihipertenzivno dejstvo kako antagonista angiotenzina II tako i hidrohlortiazida. Pored toga, istovremena primjena lijeka Valsacombi i nesteroidnih antiinflamatornih ljekova može povećati rizik od pogoršanja funkcije bubrega i povećati serumsku koncentraciju kalijuma. Stoga se preporučuje praćenje funkcije bubrega pri uvođenju terapije, kao i odgovarajuća hidratacija pacijenata.</w:t>
      </w:r>
    </w:p>
    <w:p w14:paraId="3AA76CB8" w14:textId="77777777" w:rsidR="00C97A74" w:rsidRDefault="00C97A74">
      <w:pPr>
        <w:jc w:val="both"/>
        <w:rPr>
          <w:szCs w:val="22"/>
          <w:lang w:val="hr-HR" w:eastAsia="hr-HR"/>
        </w:rPr>
      </w:pPr>
    </w:p>
    <w:p w14:paraId="44029ECB" w14:textId="77777777" w:rsidR="00C97A74" w:rsidRDefault="006B6E8F">
      <w:pPr>
        <w:keepNext/>
        <w:jc w:val="both"/>
        <w:outlineLvl w:val="0"/>
        <w:rPr>
          <w:szCs w:val="22"/>
          <w:u w:val="single"/>
          <w:lang w:val="hr-HR" w:eastAsia="hr-HR"/>
        </w:rPr>
      </w:pPr>
      <w:r>
        <w:rPr>
          <w:szCs w:val="22"/>
          <w:u w:val="single"/>
          <w:lang w:val="hr-HR" w:eastAsia="hr-HR"/>
        </w:rPr>
        <w:t>Interakcije koje se odnose na valsartan</w:t>
      </w:r>
    </w:p>
    <w:p w14:paraId="3392A451" w14:textId="77777777" w:rsidR="00C97A74" w:rsidRDefault="00C97A74">
      <w:pPr>
        <w:rPr>
          <w:i/>
          <w:iCs/>
          <w:color w:val="FF0000"/>
          <w:szCs w:val="22"/>
          <w:u w:val="single"/>
          <w:lang w:val="de-AT" w:eastAsia="hr-HR"/>
        </w:rPr>
      </w:pPr>
    </w:p>
    <w:p w14:paraId="1BB697B6" w14:textId="77777777" w:rsidR="00C97A74" w:rsidRDefault="006B6E8F">
      <w:pPr>
        <w:jc w:val="both"/>
        <w:rPr>
          <w:szCs w:val="22"/>
          <w:u w:val="single"/>
          <w:lang w:val="de-AT" w:eastAsia="hr-HR"/>
        </w:rPr>
      </w:pPr>
      <w:r>
        <w:rPr>
          <w:szCs w:val="22"/>
          <w:u w:val="single"/>
          <w:lang w:val="de-AT" w:eastAsia="hr-HR"/>
        </w:rPr>
        <w:t>Dvostruka blokada sistema renin-angiotenzin-aldosteron (RAAS), primjenom AAR, ACEI ili aliskirena</w:t>
      </w:r>
    </w:p>
    <w:p w14:paraId="46E6E441" w14:textId="77777777" w:rsidR="00C97A74" w:rsidRDefault="006B6E8F">
      <w:pPr>
        <w:jc w:val="both"/>
        <w:rPr>
          <w:szCs w:val="22"/>
          <w:lang w:val="de-AT" w:eastAsia="hr-HR"/>
        </w:rPr>
      </w:pPr>
      <w:r>
        <w:rPr>
          <w:szCs w:val="22"/>
          <w:lang w:val="de-AT" w:eastAsia="hr-HR"/>
        </w:rPr>
        <w:t>Podaci iz kliničkih ispitivanja pokazuju da je dvostruka blokada sistema renin-angiotenzin-aldosteron (RAAS), usljed istovremene primjene ACE inhibitora, blokatora angiotenzin II receptora (AAR) ili aliskirena, praćena većom učestalošću neželjenih događaja kao što su hipotenzija, hiperkalijemije i smanjenje funkcije bubrega (uključujući akutnu bubrežnu insuficijenciju) – u poređenju sa primjenom pojedinačnih blokatora sistema renin-angiotenzin-aldosteron (RAAS), (vidjeti djelove 4.3, 4.4 i 5.1).</w:t>
      </w:r>
    </w:p>
    <w:p w14:paraId="22CF61DD" w14:textId="77777777" w:rsidR="00C97A74" w:rsidRDefault="00C97A74">
      <w:pPr>
        <w:keepNext/>
        <w:jc w:val="both"/>
        <w:outlineLvl w:val="1"/>
        <w:rPr>
          <w:i/>
          <w:iCs/>
          <w:szCs w:val="22"/>
          <w:u w:val="single"/>
          <w:lang w:val="hr-HR" w:eastAsia="hr-HR"/>
        </w:rPr>
      </w:pPr>
    </w:p>
    <w:p w14:paraId="08EA235F" w14:textId="77777777" w:rsidR="00C97A74" w:rsidRDefault="006B6E8F">
      <w:pPr>
        <w:keepNext/>
        <w:jc w:val="both"/>
        <w:outlineLvl w:val="1"/>
        <w:rPr>
          <w:i/>
          <w:iCs/>
          <w:szCs w:val="22"/>
          <w:u w:val="single"/>
          <w:lang w:val="hr-HR" w:eastAsia="hr-HR"/>
        </w:rPr>
      </w:pPr>
      <w:r>
        <w:rPr>
          <w:i/>
          <w:iCs/>
          <w:szCs w:val="22"/>
          <w:u w:val="single"/>
          <w:lang w:val="hr-HR" w:eastAsia="hr-HR"/>
        </w:rPr>
        <w:t>Istovremena primjena se ne preporučuje</w:t>
      </w:r>
    </w:p>
    <w:p w14:paraId="195B9CF3" w14:textId="77777777" w:rsidR="00C97A74" w:rsidRDefault="006B6E8F">
      <w:pPr>
        <w:jc w:val="both"/>
        <w:rPr>
          <w:i/>
          <w:iCs/>
          <w:szCs w:val="22"/>
          <w:lang w:val="hr-HR" w:eastAsia="hr-HR"/>
        </w:rPr>
      </w:pPr>
      <w:r>
        <w:rPr>
          <w:i/>
          <w:iCs/>
          <w:szCs w:val="22"/>
          <w:lang w:val="hr-HR" w:eastAsia="hr-HR"/>
        </w:rPr>
        <w:t>Diuretici koji štede kalijum, sredstva za nadoknadu kalijuma, soli koje sadrže kalijum i drugi ljekovi koji mogu povećati koncentraciju kalijuma</w:t>
      </w:r>
    </w:p>
    <w:p w14:paraId="6AA0DAE9" w14:textId="77777777" w:rsidR="00C97A74" w:rsidRDefault="006B6E8F">
      <w:pPr>
        <w:jc w:val="both"/>
        <w:rPr>
          <w:szCs w:val="22"/>
          <w:lang w:val="hr-HR" w:eastAsia="hr-HR"/>
        </w:rPr>
      </w:pPr>
      <w:r>
        <w:rPr>
          <w:szCs w:val="22"/>
          <w:lang w:val="hr-HR" w:eastAsia="hr-HR"/>
        </w:rPr>
        <w:t>Ako se u kombinaciji sa valsartanom propisuje lijek koji utiče na nivo kalijuma, preporučuje se praćenje nivoa kalijuma u plazmi.</w:t>
      </w:r>
    </w:p>
    <w:p w14:paraId="37FB052C" w14:textId="77777777" w:rsidR="00C97A74" w:rsidRDefault="00C97A74">
      <w:pPr>
        <w:rPr>
          <w:i/>
          <w:iCs/>
          <w:color w:val="FF0000"/>
          <w:szCs w:val="22"/>
          <w:u w:val="single"/>
          <w:lang w:val="hr-HR" w:eastAsia="hr-HR"/>
        </w:rPr>
      </w:pPr>
    </w:p>
    <w:p w14:paraId="34022B5F" w14:textId="77777777" w:rsidR="00C97A74" w:rsidRDefault="00C97A74">
      <w:pPr>
        <w:rPr>
          <w:i/>
          <w:iCs/>
          <w:color w:val="FF0000"/>
          <w:szCs w:val="22"/>
          <w:u w:val="single"/>
          <w:lang w:val="hr-HR" w:eastAsia="hr-HR"/>
        </w:rPr>
      </w:pPr>
    </w:p>
    <w:p w14:paraId="5246B2CD" w14:textId="77777777" w:rsidR="00C97A74" w:rsidRDefault="006B6E8F">
      <w:pPr>
        <w:rPr>
          <w:i/>
          <w:iCs/>
          <w:szCs w:val="22"/>
          <w:u w:val="single"/>
          <w:lang w:val="hr-HR" w:eastAsia="hr-HR"/>
        </w:rPr>
      </w:pPr>
      <w:r>
        <w:rPr>
          <w:i/>
          <w:iCs/>
          <w:szCs w:val="22"/>
          <w:u w:val="single"/>
          <w:lang w:val="hr-HR" w:eastAsia="hr-HR"/>
        </w:rPr>
        <w:lastRenderedPageBreak/>
        <w:t>Transporteri</w:t>
      </w:r>
    </w:p>
    <w:p w14:paraId="7D4653C3" w14:textId="77777777" w:rsidR="00C97A74" w:rsidRDefault="006B6E8F">
      <w:pPr>
        <w:jc w:val="both"/>
        <w:rPr>
          <w:szCs w:val="22"/>
          <w:lang w:val="hr-HR" w:eastAsia="hr-HR"/>
        </w:rPr>
      </w:pPr>
      <w:r>
        <w:rPr>
          <w:i/>
          <w:iCs/>
          <w:szCs w:val="22"/>
          <w:lang w:val="hr-HR" w:eastAsia="hr-HR"/>
        </w:rPr>
        <w:t xml:space="preserve">In vitro </w:t>
      </w:r>
      <w:r>
        <w:rPr>
          <w:szCs w:val="22"/>
          <w:lang w:val="hr-HR" w:eastAsia="hr-HR"/>
        </w:rPr>
        <w:t>podaci ukazuju da je valsartan supstrat hepatičkih transportera preuzimanja OATP1B1/OATP1B3 i efluksnog transportera MRP2. Klinički značaj ovih nalaza nije poznat. Istovremena primjena sa inhibitorima transportera preuzimanja (npr. rifampicin, ciklosporin) ili efluksnog transportera (npr. ritonavir) može povećati sistemsku izloženost valsartanu. Treba biti obazriv prilikom započinjanja ili prekida terapije ovakvim ljekovima.</w:t>
      </w:r>
    </w:p>
    <w:p w14:paraId="0E085242" w14:textId="77777777" w:rsidR="00C97A74" w:rsidRDefault="00C97A74">
      <w:pPr>
        <w:jc w:val="both"/>
        <w:rPr>
          <w:szCs w:val="22"/>
          <w:lang w:val="hr-HR" w:eastAsia="hr-HR"/>
        </w:rPr>
      </w:pPr>
    </w:p>
    <w:p w14:paraId="70486F89" w14:textId="77777777" w:rsidR="00C97A74" w:rsidRDefault="006B6E8F">
      <w:pPr>
        <w:keepNext/>
        <w:jc w:val="both"/>
        <w:outlineLvl w:val="2"/>
        <w:rPr>
          <w:i/>
          <w:iCs/>
          <w:szCs w:val="22"/>
          <w:lang w:val="hr-HR" w:eastAsia="hr-HR"/>
        </w:rPr>
      </w:pPr>
      <w:r>
        <w:rPr>
          <w:i/>
          <w:iCs/>
          <w:szCs w:val="22"/>
          <w:lang w:val="hr-HR" w:eastAsia="hr-HR"/>
        </w:rPr>
        <w:t>Nema interakcija</w:t>
      </w:r>
    </w:p>
    <w:p w14:paraId="25EBD880" w14:textId="77777777" w:rsidR="00C97A74" w:rsidRDefault="006B6E8F">
      <w:pPr>
        <w:jc w:val="both"/>
        <w:rPr>
          <w:szCs w:val="22"/>
          <w:lang w:val="hr-HR" w:eastAsia="hr-HR"/>
        </w:rPr>
      </w:pPr>
      <w:r>
        <w:rPr>
          <w:szCs w:val="22"/>
          <w:lang w:val="hr-HR" w:eastAsia="hr-HR"/>
        </w:rPr>
        <w:t>Kod ispitivanja interakcija sa valsartanom nisu nađene klinički značajne interakcije između valsartana i sljedećih ljekova: cimetidin, varfarin, furosemid, digoksin, atenolol, indometacina, hidrohlortiazid, amlodipin, glibenklamid. Digoksin i indometacin mogu ući u interakciju sa hidrohlortiazidnom komponentom lijeka Valsacombi</w:t>
      </w:r>
      <w:r>
        <w:rPr>
          <w:szCs w:val="22"/>
          <w:vertAlign w:val="superscript"/>
          <w:lang w:val="hr-HR" w:eastAsia="hr-HR"/>
        </w:rPr>
        <w:t xml:space="preserve"> </w:t>
      </w:r>
      <w:r>
        <w:rPr>
          <w:szCs w:val="22"/>
          <w:lang w:val="hr-HR" w:eastAsia="hr-HR"/>
        </w:rPr>
        <w:t>(vidi dio Interakcije koje se odnose na hidrohlortiazid).</w:t>
      </w:r>
    </w:p>
    <w:p w14:paraId="63DD788B" w14:textId="77777777" w:rsidR="00C97A74" w:rsidRDefault="00C97A74">
      <w:pPr>
        <w:jc w:val="both"/>
        <w:rPr>
          <w:szCs w:val="22"/>
          <w:lang w:val="hr-HR" w:eastAsia="hr-HR"/>
        </w:rPr>
      </w:pPr>
    </w:p>
    <w:p w14:paraId="426668BA" w14:textId="77777777" w:rsidR="00C97A74" w:rsidRDefault="006B6E8F">
      <w:pPr>
        <w:keepNext/>
        <w:jc w:val="both"/>
        <w:outlineLvl w:val="0"/>
        <w:rPr>
          <w:szCs w:val="22"/>
          <w:u w:val="single"/>
          <w:lang w:val="hr-HR" w:eastAsia="hr-HR"/>
        </w:rPr>
      </w:pPr>
      <w:r>
        <w:rPr>
          <w:szCs w:val="22"/>
          <w:u w:val="single"/>
          <w:lang w:val="hr-HR" w:eastAsia="hr-HR"/>
        </w:rPr>
        <w:t>Interakcije koje se odnose na hidrohlortiazid</w:t>
      </w:r>
    </w:p>
    <w:p w14:paraId="6DCC878D" w14:textId="77777777" w:rsidR="00C97A74" w:rsidRDefault="00C97A74">
      <w:pPr>
        <w:jc w:val="both"/>
        <w:rPr>
          <w:szCs w:val="22"/>
          <w:u w:val="single"/>
          <w:lang w:val="hr-HR" w:eastAsia="hr-HR"/>
        </w:rPr>
      </w:pPr>
    </w:p>
    <w:p w14:paraId="5A792036" w14:textId="77777777" w:rsidR="00C97A74" w:rsidRDefault="006B6E8F">
      <w:pPr>
        <w:keepNext/>
        <w:jc w:val="both"/>
        <w:outlineLvl w:val="1"/>
        <w:rPr>
          <w:i/>
          <w:iCs/>
          <w:szCs w:val="22"/>
          <w:u w:val="single"/>
          <w:lang w:val="hr-HR" w:eastAsia="hr-HR"/>
        </w:rPr>
      </w:pPr>
      <w:r>
        <w:rPr>
          <w:i/>
          <w:iCs/>
          <w:szCs w:val="22"/>
          <w:u w:val="single"/>
          <w:lang w:val="hr-HR" w:eastAsia="hr-HR"/>
        </w:rPr>
        <w:t>Istovremena primjena uz oprez</w:t>
      </w:r>
    </w:p>
    <w:p w14:paraId="73D59859" w14:textId="77777777" w:rsidR="00C97A74" w:rsidRDefault="00C97A74">
      <w:pPr>
        <w:jc w:val="both"/>
        <w:rPr>
          <w:i/>
          <w:iCs/>
          <w:szCs w:val="22"/>
          <w:lang w:val="hr-HR" w:eastAsia="hr-HR"/>
        </w:rPr>
      </w:pPr>
    </w:p>
    <w:p w14:paraId="64427B47" w14:textId="77777777" w:rsidR="00C97A74" w:rsidRDefault="006B6E8F">
      <w:pPr>
        <w:jc w:val="both"/>
        <w:rPr>
          <w:i/>
          <w:iCs/>
          <w:szCs w:val="22"/>
          <w:lang w:val="hr-HR" w:eastAsia="hr-HR"/>
        </w:rPr>
      </w:pPr>
      <w:r>
        <w:rPr>
          <w:i/>
          <w:iCs/>
          <w:szCs w:val="22"/>
          <w:lang w:val="hr-HR" w:eastAsia="hr-HR"/>
        </w:rPr>
        <w:t>Ljekovi koji utiču na nivo kalijuma u serumu</w:t>
      </w:r>
    </w:p>
    <w:p w14:paraId="658030D3" w14:textId="77777777" w:rsidR="00C97A74" w:rsidRDefault="006B6E8F">
      <w:pPr>
        <w:jc w:val="both"/>
        <w:rPr>
          <w:szCs w:val="22"/>
          <w:lang w:val="hr-HR" w:eastAsia="hr-HR"/>
        </w:rPr>
      </w:pPr>
      <w:r>
        <w:rPr>
          <w:iCs/>
          <w:szCs w:val="22"/>
          <w:lang w:val="hr-HR" w:eastAsia="hr-HR"/>
        </w:rPr>
        <w:t>Hipokalijemijski efekat hidrohlortiazida može biti povećan istovremenom primjenom diuretika koji ne štede kalijum,</w:t>
      </w:r>
      <w:r>
        <w:rPr>
          <w:szCs w:val="22"/>
          <w:lang w:val="hr-HR" w:eastAsia="hr-HR"/>
        </w:rPr>
        <w:t xml:space="preserve"> kortikosteroida, laksativa, ACTH, amfotericina, karbenoksolona, penicilina G, salicilne kiseline i njenih derivata.</w:t>
      </w:r>
    </w:p>
    <w:p w14:paraId="01DE0D49" w14:textId="77777777" w:rsidR="00C97A74" w:rsidRDefault="006B6E8F">
      <w:pPr>
        <w:jc w:val="both"/>
        <w:rPr>
          <w:szCs w:val="22"/>
          <w:lang w:val="hr-HR" w:eastAsia="hr-HR"/>
        </w:rPr>
      </w:pPr>
      <w:r>
        <w:rPr>
          <w:szCs w:val="22"/>
          <w:lang w:val="hr-HR" w:eastAsia="hr-HR"/>
        </w:rPr>
        <w:t>Ako se ovi ljekovi propisuju istovremeno s kombinacijom hidrohlortiazid-valsartan, savjetuje se praćenje koncentracije kalijuma u plazmi (vidjeti dio 4.4).</w:t>
      </w:r>
    </w:p>
    <w:p w14:paraId="3EB05BF2" w14:textId="77777777" w:rsidR="00C97A74" w:rsidRPr="00CF3001" w:rsidRDefault="00C97A74">
      <w:pPr>
        <w:jc w:val="both"/>
        <w:rPr>
          <w:szCs w:val="22"/>
          <w:lang w:val="sr-Latn-ME" w:eastAsia="hr-HR"/>
        </w:rPr>
      </w:pPr>
    </w:p>
    <w:p w14:paraId="0EC43620" w14:textId="77777777" w:rsidR="00C97A74" w:rsidRPr="00CF3001" w:rsidRDefault="006B6E8F">
      <w:pPr>
        <w:rPr>
          <w:i/>
          <w:iCs/>
          <w:szCs w:val="22"/>
          <w:lang w:val="sr-Latn-ME" w:eastAsia="hr-HR"/>
        </w:rPr>
      </w:pPr>
      <w:r w:rsidRPr="00CF3001">
        <w:rPr>
          <w:i/>
          <w:iCs/>
          <w:szCs w:val="22"/>
          <w:lang w:val="sr-Latn-ME" w:eastAsia="hr-HR"/>
        </w:rPr>
        <w:t xml:space="preserve">Ljekovi koji mogu uticati na pojavu </w:t>
      </w:r>
      <w:r w:rsidRPr="00CF3001">
        <w:rPr>
          <w:szCs w:val="22"/>
          <w:lang w:val="sr-Latn-ME" w:eastAsia="hr-HR"/>
        </w:rPr>
        <w:t>''</w:t>
      </w:r>
      <w:r w:rsidRPr="00CF3001">
        <w:rPr>
          <w:i/>
          <w:iCs/>
          <w:szCs w:val="22"/>
          <w:lang w:val="sr-Latn-ME" w:eastAsia="hr-HR"/>
        </w:rPr>
        <w:t>torsades de pointes''</w:t>
      </w:r>
    </w:p>
    <w:p w14:paraId="185D20A0" w14:textId="77777777" w:rsidR="00C97A74" w:rsidRPr="00CF3001" w:rsidRDefault="006B6E8F">
      <w:pPr>
        <w:jc w:val="both"/>
        <w:rPr>
          <w:szCs w:val="22"/>
          <w:lang w:val="sr-Latn-ME" w:eastAsia="hr-HR"/>
        </w:rPr>
      </w:pPr>
      <w:r w:rsidRPr="00CF3001">
        <w:rPr>
          <w:szCs w:val="22"/>
          <w:lang w:val="sr-Latn-ME" w:eastAsia="hr-HR"/>
        </w:rPr>
        <w:t xml:space="preserve">Zbog povećanog rizika od hipokalijemije, hidrohlortiazid je potrebno sa oprezom primijenjivati sa ljekovima koji mogu prouzrokovati </w:t>
      </w:r>
      <w:r w:rsidRPr="00CF3001">
        <w:rPr>
          <w:i/>
          <w:iCs/>
          <w:szCs w:val="22"/>
          <w:lang w:val="sr-Latn-ME" w:eastAsia="hr-HR"/>
        </w:rPr>
        <w:t>''torsades de pointes''</w:t>
      </w:r>
      <w:r w:rsidRPr="00CF3001">
        <w:rPr>
          <w:szCs w:val="22"/>
          <w:lang w:val="sr-Latn-ME" w:eastAsia="hr-HR"/>
        </w:rPr>
        <w:t>, posebno sa antiaritmicima grupe Ia i III i nekim antipsihoticima.</w:t>
      </w:r>
    </w:p>
    <w:p w14:paraId="47B95A0A" w14:textId="77777777" w:rsidR="00C97A74" w:rsidRPr="00CF3001" w:rsidRDefault="00C97A74">
      <w:pPr>
        <w:jc w:val="both"/>
        <w:rPr>
          <w:szCs w:val="22"/>
          <w:lang w:val="sr-Latn-ME" w:eastAsia="hr-HR"/>
        </w:rPr>
      </w:pPr>
    </w:p>
    <w:p w14:paraId="2CC00927" w14:textId="77777777" w:rsidR="00C97A74" w:rsidRPr="00CF3001" w:rsidRDefault="006B6E8F">
      <w:pPr>
        <w:rPr>
          <w:i/>
          <w:iCs/>
          <w:szCs w:val="22"/>
          <w:lang w:val="sr-Latn-ME" w:eastAsia="hr-HR"/>
        </w:rPr>
      </w:pPr>
      <w:r w:rsidRPr="00CF3001">
        <w:rPr>
          <w:i/>
          <w:iCs/>
          <w:szCs w:val="22"/>
          <w:lang w:val="sr-Latn-ME" w:eastAsia="hr-HR"/>
        </w:rPr>
        <w:t>Ljekovi koji utiču na nivo natrijuma u serumu</w:t>
      </w:r>
    </w:p>
    <w:p w14:paraId="5E2BD6A3" w14:textId="77777777" w:rsidR="00C97A74" w:rsidRPr="00CF3001" w:rsidRDefault="006B6E8F">
      <w:pPr>
        <w:jc w:val="both"/>
        <w:rPr>
          <w:szCs w:val="22"/>
          <w:lang w:val="sr-Latn-ME" w:eastAsia="hr-HR"/>
        </w:rPr>
      </w:pPr>
      <w:r w:rsidRPr="00CF3001">
        <w:rPr>
          <w:szCs w:val="22"/>
          <w:lang w:val="sr-Latn-ME" w:eastAsia="hr-HR"/>
        </w:rPr>
        <w:t>Hiponatrijemijski efekat diuretika može biti pojačan istovremenom primjenom ljekova kao što su antidepresivi, antipsihotici, antiepileptici itd. Savjetuje se oprez u slučaju dugotrajne upotrebe ovih ljekova.</w:t>
      </w:r>
    </w:p>
    <w:p w14:paraId="52D61144" w14:textId="77777777" w:rsidR="00C97A74" w:rsidRDefault="00C97A74">
      <w:pPr>
        <w:jc w:val="both"/>
        <w:rPr>
          <w:szCs w:val="22"/>
          <w:lang w:val="hr-HR" w:eastAsia="hr-HR"/>
        </w:rPr>
      </w:pPr>
    </w:p>
    <w:p w14:paraId="796146AD" w14:textId="77777777" w:rsidR="00C97A74" w:rsidRDefault="006B6E8F">
      <w:pPr>
        <w:keepNext/>
        <w:jc w:val="both"/>
        <w:outlineLvl w:val="2"/>
        <w:rPr>
          <w:i/>
          <w:iCs/>
          <w:szCs w:val="22"/>
          <w:lang w:val="hr-HR" w:eastAsia="hr-HR"/>
        </w:rPr>
      </w:pPr>
      <w:r>
        <w:rPr>
          <w:i/>
          <w:iCs/>
          <w:szCs w:val="22"/>
          <w:lang w:val="hr-HR" w:eastAsia="hr-HR"/>
        </w:rPr>
        <w:t>Glikozidi digitalisa</w:t>
      </w:r>
    </w:p>
    <w:p w14:paraId="23E1470C" w14:textId="77777777" w:rsidR="00C97A74" w:rsidRDefault="006B6E8F">
      <w:pPr>
        <w:jc w:val="both"/>
        <w:rPr>
          <w:szCs w:val="22"/>
          <w:lang w:val="hr-HR" w:eastAsia="hr-HR"/>
        </w:rPr>
      </w:pPr>
      <w:r>
        <w:rPr>
          <w:szCs w:val="22"/>
          <w:lang w:val="hr-HR" w:eastAsia="hr-HR"/>
        </w:rPr>
        <w:t>Hipokalijemija ili hipomagnezijemija izazvana tiazidima može se javiti kao neželjeno dejstvo koje pojačava nastanak srčanih aritmija izazvanih digitalisom (vidjeti dio 4.4).</w:t>
      </w:r>
    </w:p>
    <w:p w14:paraId="146F55ED" w14:textId="77777777" w:rsidR="00C97A74" w:rsidRDefault="00C97A74">
      <w:pPr>
        <w:jc w:val="both"/>
        <w:rPr>
          <w:szCs w:val="22"/>
          <w:lang w:val="hr-HR" w:eastAsia="hr-HR"/>
        </w:rPr>
      </w:pPr>
    </w:p>
    <w:p w14:paraId="0E403247" w14:textId="77777777" w:rsidR="00C97A74" w:rsidRDefault="006B6E8F">
      <w:pPr>
        <w:keepNext/>
        <w:jc w:val="both"/>
        <w:outlineLvl w:val="2"/>
        <w:rPr>
          <w:i/>
          <w:iCs/>
          <w:szCs w:val="22"/>
          <w:lang w:val="hr-HR" w:eastAsia="hr-HR"/>
        </w:rPr>
      </w:pPr>
      <w:r>
        <w:rPr>
          <w:i/>
          <w:iCs/>
          <w:szCs w:val="22"/>
          <w:lang w:val="hr-HR" w:eastAsia="hr-HR"/>
        </w:rPr>
        <w:t>Kalcijumove soli i vitamin D</w:t>
      </w:r>
    </w:p>
    <w:p w14:paraId="4FD584B7" w14:textId="77777777" w:rsidR="00C97A74" w:rsidRDefault="006B6E8F">
      <w:pPr>
        <w:autoSpaceDE w:val="0"/>
        <w:autoSpaceDN w:val="0"/>
        <w:adjustRightInd w:val="0"/>
        <w:jc w:val="both"/>
        <w:rPr>
          <w:szCs w:val="22"/>
          <w:lang w:val="hr-HR"/>
        </w:rPr>
      </w:pPr>
      <w:r>
        <w:rPr>
          <w:szCs w:val="22"/>
          <w:lang w:val="hr-HR" w:eastAsia="hr-HR"/>
        </w:rPr>
        <w:t>Istovremeno uzimanje tiazidnih diuretika, uključujući hidrohlortiazid, i vitamina D ili kalcijumovih soli može povećati koncentraciju kalcijuma u serumu.</w:t>
      </w:r>
      <w:r>
        <w:rPr>
          <w:szCs w:val="22"/>
          <w:lang w:val="hr-HR"/>
        </w:rPr>
        <w:t xml:space="preserve"> Istovremena primjena tiazidnih diuretika sa kalcijumovim solima može uzrokovati hiperkalcijemiju kod pacijenata kod kojih postoje predispozicije za hiperkalcijemiju (npr. hiperparatireoidizam, tumori ili stanja kojima posreduje vitamin D) povećanjem tubularne reapsorpcije kalcijuma.</w:t>
      </w:r>
    </w:p>
    <w:p w14:paraId="4D513FCA" w14:textId="77777777" w:rsidR="00C97A74" w:rsidRDefault="00C97A74">
      <w:pPr>
        <w:jc w:val="both"/>
        <w:rPr>
          <w:szCs w:val="22"/>
          <w:lang w:val="hr-HR" w:eastAsia="hr-HR"/>
        </w:rPr>
      </w:pPr>
    </w:p>
    <w:p w14:paraId="41090405" w14:textId="77777777" w:rsidR="00C97A74" w:rsidRDefault="006B6E8F">
      <w:pPr>
        <w:jc w:val="both"/>
        <w:rPr>
          <w:szCs w:val="22"/>
          <w:lang w:val="hr-HR" w:eastAsia="hr-HR"/>
        </w:rPr>
      </w:pPr>
      <w:r>
        <w:rPr>
          <w:i/>
          <w:iCs/>
          <w:szCs w:val="22"/>
          <w:lang w:val="hr-HR" w:eastAsia="hr-HR"/>
        </w:rPr>
        <w:t xml:space="preserve">Antidijabetici </w:t>
      </w:r>
      <w:r>
        <w:rPr>
          <w:iCs/>
          <w:szCs w:val="22"/>
          <w:lang w:val="hr-HR" w:eastAsia="hr-HR"/>
        </w:rPr>
        <w:t>(</w:t>
      </w:r>
      <w:r>
        <w:rPr>
          <w:szCs w:val="22"/>
          <w:lang w:val="hr-HR" w:eastAsia="hr-HR"/>
        </w:rPr>
        <w:t>oralni ljekovi i insulin)</w:t>
      </w:r>
    </w:p>
    <w:p w14:paraId="11EC1347" w14:textId="77777777" w:rsidR="00C97A74" w:rsidRDefault="006B6E8F">
      <w:pPr>
        <w:jc w:val="both"/>
        <w:rPr>
          <w:szCs w:val="22"/>
          <w:lang w:val="hr-HR" w:eastAsia="hr-HR"/>
        </w:rPr>
      </w:pPr>
      <w:r>
        <w:rPr>
          <w:szCs w:val="22"/>
          <w:lang w:val="hr-HR" w:eastAsia="hr-HR"/>
        </w:rPr>
        <w:t>Tiazidi mogu mijenjati toleranciju na glukozu. Može biti potrebno prilagođavanje doze antidijabetika.</w:t>
      </w:r>
    </w:p>
    <w:p w14:paraId="28AC4E01" w14:textId="77777777" w:rsidR="00C97A74" w:rsidRDefault="006B6E8F">
      <w:pPr>
        <w:jc w:val="both"/>
        <w:rPr>
          <w:szCs w:val="22"/>
          <w:lang w:val="hr-HR" w:eastAsia="hr-HR"/>
        </w:rPr>
      </w:pPr>
      <w:r>
        <w:rPr>
          <w:szCs w:val="22"/>
          <w:lang w:val="hr-HR" w:eastAsia="hr-HR"/>
        </w:rPr>
        <w:t>Metformin treba oprezno primjenjivati zbog rizika od laktatne acidoze izazvane mogućim funkcionalnim smanjenjem renalne funkcije kao posljedica primjene hidrohlortiazida.</w:t>
      </w:r>
    </w:p>
    <w:p w14:paraId="75395394" w14:textId="77777777" w:rsidR="00C97A74" w:rsidRDefault="00C97A74">
      <w:pPr>
        <w:jc w:val="both"/>
        <w:rPr>
          <w:szCs w:val="22"/>
          <w:lang w:val="hr-HR" w:eastAsia="hr-HR"/>
        </w:rPr>
      </w:pPr>
    </w:p>
    <w:p w14:paraId="33483F17" w14:textId="77777777" w:rsidR="00C97A74" w:rsidRDefault="006B6E8F">
      <w:pPr>
        <w:keepNext/>
        <w:jc w:val="both"/>
        <w:outlineLvl w:val="2"/>
        <w:rPr>
          <w:i/>
          <w:iCs/>
          <w:szCs w:val="22"/>
          <w:lang w:val="hr-HR" w:eastAsia="hr-HR"/>
        </w:rPr>
      </w:pPr>
      <w:r>
        <w:rPr>
          <w:i/>
          <w:iCs/>
          <w:szCs w:val="22"/>
          <w:lang w:val="hr-HR" w:eastAsia="hr-HR"/>
        </w:rPr>
        <w:t>Beta-blokatori i diazoksid</w:t>
      </w:r>
    </w:p>
    <w:p w14:paraId="75A9259A" w14:textId="77777777" w:rsidR="00C97A74" w:rsidRDefault="006B6E8F">
      <w:pPr>
        <w:jc w:val="both"/>
        <w:rPr>
          <w:szCs w:val="22"/>
          <w:lang w:val="hr-HR" w:eastAsia="hr-HR"/>
        </w:rPr>
      </w:pPr>
      <w:r>
        <w:rPr>
          <w:szCs w:val="22"/>
          <w:lang w:val="hr-HR" w:eastAsia="hr-HR"/>
        </w:rPr>
        <w:t>Istovremena primjena tiazidnih diuretika, uključujući hidrohlortiazid, sa beta-blokatorima može povećati rizik od hiperglikemije. Tiazidni diuretici, uključujući hidrohlortiazid, mogu pojačati hiperglikemijsko dejstvo diazoksida.</w:t>
      </w:r>
    </w:p>
    <w:p w14:paraId="75147363" w14:textId="77777777" w:rsidR="00C97A74" w:rsidRDefault="00C97A74">
      <w:pPr>
        <w:jc w:val="both"/>
        <w:rPr>
          <w:szCs w:val="22"/>
          <w:lang w:val="hr-HR" w:eastAsia="hr-HR"/>
        </w:rPr>
      </w:pPr>
    </w:p>
    <w:p w14:paraId="2C9B9347" w14:textId="77777777" w:rsidR="00C97A74" w:rsidRDefault="00C97A74">
      <w:pPr>
        <w:jc w:val="both"/>
        <w:rPr>
          <w:szCs w:val="22"/>
          <w:lang w:val="hr-HR" w:eastAsia="hr-HR"/>
        </w:rPr>
      </w:pPr>
    </w:p>
    <w:p w14:paraId="676DDD70" w14:textId="77777777" w:rsidR="00C97A74" w:rsidRDefault="006B6E8F">
      <w:pPr>
        <w:jc w:val="both"/>
        <w:rPr>
          <w:szCs w:val="22"/>
          <w:lang w:val="hr-HR" w:eastAsia="hr-HR"/>
        </w:rPr>
      </w:pPr>
      <w:r>
        <w:rPr>
          <w:i/>
          <w:iCs/>
          <w:szCs w:val="22"/>
          <w:lang w:val="hr-HR" w:eastAsia="hr-HR"/>
        </w:rPr>
        <w:lastRenderedPageBreak/>
        <w:t xml:space="preserve">Ljekovi za liječenje gihta </w:t>
      </w:r>
      <w:r>
        <w:rPr>
          <w:szCs w:val="22"/>
          <w:lang w:val="hr-HR" w:eastAsia="hr-HR"/>
        </w:rPr>
        <w:t>(probenecid, sulfinpirazon i alopurinol)</w:t>
      </w:r>
    </w:p>
    <w:p w14:paraId="7CD4F8EF" w14:textId="77777777" w:rsidR="00C97A74" w:rsidRDefault="006B6E8F">
      <w:pPr>
        <w:jc w:val="both"/>
        <w:rPr>
          <w:szCs w:val="22"/>
          <w:lang w:val="hr-HR" w:eastAsia="hr-HR"/>
        </w:rPr>
      </w:pPr>
      <w:r>
        <w:rPr>
          <w:szCs w:val="22"/>
          <w:lang w:val="hr-HR" w:eastAsia="hr-HR"/>
        </w:rPr>
        <w:t>S obzirom na to da hidrohlortiazid povećava koncentraciju mokraćne kiseline u serumu, može biti potrebno prilagoditi dozu lijeka za liječenje gihta. Može biti potrebno povećanje doze probenecida ili sulfinpirazona. Istovremena primjena sa tiazidnim diureticima, uključujući hidrohlortiazid, može povećati učestalost reakcije preosjetljivosti na alopurinol.</w:t>
      </w:r>
    </w:p>
    <w:p w14:paraId="115EF492" w14:textId="77777777" w:rsidR="00C97A74" w:rsidRDefault="00C97A74">
      <w:pPr>
        <w:jc w:val="both"/>
        <w:rPr>
          <w:szCs w:val="22"/>
          <w:lang w:val="hr-HR" w:eastAsia="hr-HR"/>
        </w:rPr>
      </w:pPr>
    </w:p>
    <w:p w14:paraId="02D92F61" w14:textId="77777777" w:rsidR="00C97A74" w:rsidRDefault="006B6E8F">
      <w:pPr>
        <w:keepNext/>
        <w:outlineLvl w:val="2"/>
        <w:rPr>
          <w:i/>
          <w:iCs/>
          <w:szCs w:val="22"/>
          <w:u w:val="single"/>
          <w:lang w:val="hr-HR" w:eastAsia="hr-HR"/>
        </w:rPr>
      </w:pPr>
      <w:r>
        <w:rPr>
          <w:i/>
          <w:iCs/>
          <w:szCs w:val="22"/>
          <w:lang w:val="hr-HR" w:eastAsia="hr-HR"/>
        </w:rPr>
        <w:t>Antiholinergici i drugi ljekovi koji utiču na motilitet želuca</w:t>
      </w:r>
    </w:p>
    <w:p w14:paraId="60FB4167" w14:textId="77777777" w:rsidR="00C97A74" w:rsidRDefault="006B6E8F">
      <w:pPr>
        <w:keepNext/>
        <w:jc w:val="both"/>
        <w:outlineLvl w:val="2"/>
        <w:rPr>
          <w:szCs w:val="22"/>
          <w:lang w:val="hr-HR" w:eastAsia="hr-HR"/>
        </w:rPr>
      </w:pPr>
      <w:r>
        <w:rPr>
          <w:szCs w:val="22"/>
          <w:lang w:val="hr-HR" w:eastAsia="hr-HR"/>
        </w:rPr>
        <w:t>Bioraspoloživost tiazidnih diuretika može biti povećana kod upotrebe antiholinergičkih agenasa (kao atropin, biperiden), očigledno usljed smanjenog gastrointestinalnog motiliteta i usporenog pražnjenja želuca. Nasuprot tome, može se očekivati da prokinetski ljekovi kao što je cisaprid, mogu smanjiti bioraspoloživost tiazidnih diuretika.</w:t>
      </w:r>
    </w:p>
    <w:p w14:paraId="2208E9DC" w14:textId="77777777" w:rsidR="00C97A74" w:rsidRDefault="00C97A74">
      <w:pPr>
        <w:keepNext/>
        <w:jc w:val="both"/>
        <w:outlineLvl w:val="2"/>
        <w:rPr>
          <w:i/>
          <w:iCs/>
          <w:szCs w:val="22"/>
          <w:lang w:val="hr-HR" w:eastAsia="hr-HR"/>
        </w:rPr>
      </w:pPr>
    </w:p>
    <w:p w14:paraId="4B005472" w14:textId="77777777" w:rsidR="00C97A74" w:rsidRDefault="006B6E8F">
      <w:pPr>
        <w:keepNext/>
        <w:jc w:val="both"/>
        <w:outlineLvl w:val="2"/>
        <w:rPr>
          <w:i/>
          <w:iCs/>
          <w:szCs w:val="22"/>
          <w:lang w:val="hr-HR" w:eastAsia="hr-HR"/>
        </w:rPr>
      </w:pPr>
      <w:r>
        <w:rPr>
          <w:i/>
          <w:iCs/>
          <w:szCs w:val="22"/>
          <w:lang w:val="hr-HR" w:eastAsia="hr-HR"/>
        </w:rPr>
        <w:t>Amantadin</w:t>
      </w:r>
    </w:p>
    <w:p w14:paraId="66B463BE" w14:textId="77777777" w:rsidR="00C97A74" w:rsidRDefault="006B6E8F">
      <w:pPr>
        <w:jc w:val="both"/>
        <w:rPr>
          <w:szCs w:val="22"/>
          <w:lang w:val="hr-HR" w:eastAsia="hr-HR"/>
        </w:rPr>
      </w:pPr>
      <w:r>
        <w:rPr>
          <w:szCs w:val="22"/>
          <w:lang w:val="hr-HR" w:eastAsia="hr-HR"/>
        </w:rPr>
        <w:t>Tiazidi, uključujući hidrohlortiazid, mogu povećati rizik od pojave neželjenih dejstava amantadina.</w:t>
      </w:r>
    </w:p>
    <w:p w14:paraId="3163510F" w14:textId="77777777" w:rsidR="00C97A74" w:rsidRDefault="00C97A74">
      <w:pPr>
        <w:rPr>
          <w:i/>
          <w:iCs/>
          <w:color w:val="FF0000"/>
          <w:szCs w:val="22"/>
          <w:lang w:val="hr-HR" w:eastAsia="hr-HR"/>
        </w:rPr>
      </w:pPr>
    </w:p>
    <w:p w14:paraId="4A29688B" w14:textId="77777777" w:rsidR="00C97A74" w:rsidRDefault="006B6E8F">
      <w:pPr>
        <w:rPr>
          <w:i/>
          <w:iCs/>
          <w:szCs w:val="22"/>
          <w:lang w:val="hr-HR" w:eastAsia="hr-HR"/>
        </w:rPr>
      </w:pPr>
      <w:r>
        <w:rPr>
          <w:i/>
          <w:iCs/>
          <w:szCs w:val="22"/>
          <w:lang w:val="hr-HR" w:eastAsia="hr-HR"/>
        </w:rPr>
        <w:t>Jonoizmjenjivačke smole</w:t>
      </w:r>
    </w:p>
    <w:p w14:paraId="319C69E6" w14:textId="77777777" w:rsidR="00C97A74" w:rsidRDefault="006B6E8F">
      <w:pPr>
        <w:jc w:val="both"/>
        <w:rPr>
          <w:szCs w:val="22"/>
          <w:lang w:val="hr-HR" w:eastAsia="hr-HR"/>
        </w:rPr>
      </w:pPr>
      <w:r>
        <w:rPr>
          <w:szCs w:val="22"/>
          <w:lang w:val="hr-HR" w:eastAsia="hr-HR"/>
        </w:rPr>
        <w:t>Resorpcija tiazidnih diuretika, uključujući i hidrohlortiazid je smanjena u prisustvu holestiramina ili holestipola. To može dovesti do subterapijskog efekta tiazidnih diuretika. Primjena hidrohlortiazida najmanje 4 sata prije ili 4-6 sati nakon primjene smola bi potencijalno mogla da minimalizuje interakciju.</w:t>
      </w:r>
    </w:p>
    <w:p w14:paraId="58976862" w14:textId="77777777" w:rsidR="00C97A74" w:rsidRDefault="00C97A74">
      <w:pPr>
        <w:rPr>
          <w:szCs w:val="22"/>
          <w:lang w:val="hr-HR" w:eastAsia="hr-HR"/>
        </w:rPr>
      </w:pPr>
    </w:p>
    <w:p w14:paraId="438C4A8C" w14:textId="77777777" w:rsidR="00C97A74" w:rsidRDefault="006B6E8F">
      <w:pPr>
        <w:keepNext/>
        <w:outlineLvl w:val="2"/>
        <w:rPr>
          <w:szCs w:val="22"/>
          <w:lang w:val="hr-HR" w:eastAsia="hr-HR"/>
        </w:rPr>
      </w:pPr>
      <w:r>
        <w:rPr>
          <w:i/>
          <w:iCs/>
          <w:szCs w:val="22"/>
          <w:lang w:val="hr-HR" w:eastAsia="hr-HR"/>
        </w:rPr>
        <w:t>Citotoksični ljekovi</w:t>
      </w:r>
    </w:p>
    <w:p w14:paraId="7814B99E" w14:textId="77777777" w:rsidR="00C97A74" w:rsidRDefault="006B6E8F">
      <w:pPr>
        <w:keepNext/>
        <w:jc w:val="both"/>
        <w:outlineLvl w:val="3"/>
        <w:rPr>
          <w:szCs w:val="22"/>
          <w:lang w:val="hr-HR" w:eastAsia="hr-HR"/>
        </w:rPr>
      </w:pPr>
      <w:r>
        <w:rPr>
          <w:szCs w:val="22"/>
          <w:lang w:val="hr-HR" w:eastAsia="hr-HR"/>
        </w:rPr>
        <w:t>Tiazidi, uključujući hidrohlortiazid, mogu smanjiti renalno izlučivanje citotoksičnih preparata i potencirati njihove mijelosupresivne efekte (npr. ciklofosfamid, metotreksat).</w:t>
      </w:r>
    </w:p>
    <w:p w14:paraId="4E21DDA8" w14:textId="77777777" w:rsidR="00C97A74" w:rsidRDefault="00C97A74">
      <w:pPr>
        <w:jc w:val="both"/>
        <w:rPr>
          <w:szCs w:val="22"/>
          <w:lang w:val="hr-HR" w:eastAsia="hr-HR"/>
        </w:rPr>
      </w:pPr>
    </w:p>
    <w:p w14:paraId="0441483B" w14:textId="77777777" w:rsidR="00C97A74" w:rsidRDefault="006B6E8F">
      <w:pPr>
        <w:jc w:val="both"/>
        <w:rPr>
          <w:szCs w:val="22"/>
          <w:lang w:val="hr-HR" w:eastAsia="hr-HR"/>
        </w:rPr>
      </w:pPr>
      <w:r>
        <w:rPr>
          <w:i/>
          <w:iCs/>
          <w:szCs w:val="22"/>
          <w:lang w:val="hr-HR" w:eastAsia="hr-HR"/>
        </w:rPr>
        <w:t xml:space="preserve">Nedepolarišući miorelaksansi </w:t>
      </w:r>
      <w:r>
        <w:rPr>
          <w:szCs w:val="22"/>
          <w:lang w:val="hr-HR" w:eastAsia="hr-HR"/>
        </w:rPr>
        <w:t>(npr. tubokurarin)</w:t>
      </w:r>
    </w:p>
    <w:p w14:paraId="577CBCE0" w14:textId="77777777" w:rsidR="00C97A74" w:rsidRDefault="006B6E8F">
      <w:pPr>
        <w:jc w:val="both"/>
        <w:rPr>
          <w:szCs w:val="22"/>
          <w:lang w:val="hr-HR" w:eastAsia="hr-HR"/>
        </w:rPr>
      </w:pPr>
      <w:r>
        <w:rPr>
          <w:szCs w:val="22"/>
          <w:lang w:val="hr-HR" w:eastAsia="hr-HR"/>
        </w:rPr>
        <w:t>Tiazidi, uključujući hidrohlortiazid, pojačavaju djelovanje derivata kurare.</w:t>
      </w:r>
    </w:p>
    <w:p w14:paraId="6766B51D" w14:textId="77777777" w:rsidR="00C97A74" w:rsidRDefault="00C97A74">
      <w:pPr>
        <w:jc w:val="both"/>
        <w:rPr>
          <w:szCs w:val="22"/>
          <w:lang w:val="hr-HR" w:eastAsia="hr-HR"/>
        </w:rPr>
      </w:pPr>
    </w:p>
    <w:p w14:paraId="6A3F0E45" w14:textId="77777777" w:rsidR="00C97A74" w:rsidRDefault="006B6E8F">
      <w:pPr>
        <w:keepNext/>
        <w:jc w:val="both"/>
        <w:outlineLvl w:val="2"/>
        <w:rPr>
          <w:i/>
          <w:iCs/>
          <w:szCs w:val="22"/>
          <w:lang w:val="hr-HR" w:eastAsia="hr-HR"/>
        </w:rPr>
      </w:pPr>
      <w:r>
        <w:rPr>
          <w:i/>
          <w:iCs/>
          <w:szCs w:val="22"/>
          <w:lang w:val="hr-HR" w:eastAsia="hr-HR"/>
        </w:rPr>
        <w:t>Ciklosporin</w:t>
      </w:r>
    </w:p>
    <w:p w14:paraId="10136D1F" w14:textId="77777777" w:rsidR="00C97A74" w:rsidRDefault="006B6E8F">
      <w:pPr>
        <w:jc w:val="both"/>
        <w:rPr>
          <w:szCs w:val="22"/>
          <w:lang w:val="hr-HR" w:eastAsia="hr-HR"/>
        </w:rPr>
      </w:pPr>
      <w:r>
        <w:rPr>
          <w:szCs w:val="22"/>
          <w:lang w:val="hr-HR" w:eastAsia="hr-HR"/>
        </w:rPr>
        <w:t>Istovremeno liječenje ciklosporinom može povećati rizik od hiperurikemije i komplikacija gihta.</w:t>
      </w:r>
    </w:p>
    <w:p w14:paraId="544E01FF" w14:textId="77777777" w:rsidR="00C97A74" w:rsidRDefault="00C97A74">
      <w:pPr>
        <w:jc w:val="both"/>
        <w:rPr>
          <w:szCs w:val="22"/>
          <w:lang w:val="hr-HR" w:eastAsia="hr-HR"/>
        </w:rPr>
      </w:pPr>
    </w:p>
    <w:p w14:paraId="4FAF7545" w14:textId="77777777" w:rsidR="00C97A74" w:rsidRDefault="006B6E8F">
      <w:pPr>
        <w:keepNext/>
        <w:jc w:val="both"/>
        <w:outlineLvl w:val="2"/>
        <w:rPr>
          <w:i/>
          <w:iCs/>
          <w:szCs w:val="22"/>
          <w:lang w:val="hr-HR" w:eastAsia="hr-HR"/>
        </w:rPr>
      </w:pPr>
      <w:r>
        <w:rPr>
          <w:i/>
          <w:iCs/>
          <w:szCs w:val="22"/>
          <w:lang w:val="hr-HR" w:eastAsia="hr-HR"/>
        </w:rPr>
        <w:t>Alkohol, barbiturati ili narkotici</w:t>
      </w:r>
    </w:p>
    <w:p w14:paraId="1932A58C" w14:textId="77777777" w:rsidR="00C97A74" w:rsidRDefault="006B6E8F">
      <w:pPr>
        <w:keepNext/>
        <w:jc w:val="both"/>
        <w:outlineLvl w:val="2"/>
        <w:rPr>
          <w:iCs/>
          <w:szCs w:val="22"/>
          <w:lang w:val="hr-HR" w:eastAsia="hr-HR"/>
        </w:rPr>
      </w:pPr>
      <w:r>
        <w:rPr>
          <w:iCs/>
          <w:szCs w:val="22"/>
          <w:lang w:val="hr-HR" w:eastAsia="hr-HR"/>
        </w:rPr>
        <w:t>Istovremena primjena tiazidnih diuretika sa supstancama koje mogu sniziti krvni pritisak (npr. smanjujući simpatičku aktivnost centralnog nervnog sistema ili direktnim vazodilatatornim dejstvom), može dovesti do ortostatske hipotenzije.</w:t>
      </w:r>
    </w:p>
    <w:p w14:paraId="4705984B" w14:textId="77777777" w:rsidR="00C97A74" w:rsidRDefault="00C97A74">
      <w:pPr>
        <w:keepNext/>
        <w:jc w:val="both"/>
        <w:outlineLvl w:val="2"/>
        <w:rPr>
          <w:iCs/>
          <w:szCs w:val="22"/>
          <w:lang w:val="hr-HR" w:eastAsia="hr-HR"/>
        </w:rPr>
      </w:pPr>
    </w:p>
    <w:p w14:paraId="3CB04412" w14:textId="77777777" w:rsidR="00C97A74" w:rsidRDefault="006B6E8F">
      <w:pPr>
        <w:keepNext/>
        <w:jc w:val="both"/>
        <w:outlineLvl w:val="2"/>
        <w:rPr>
          <w:i/>
          <w:iCs/>
          <w:szCs w:val="22"/>
          <w:lang w:val="hr-HR" w:eastAsia="hr-HR"/>
        </w:rPr>
      </w:pPr>
      <w:r>
        <w:rPr>
          <w:i/>
          <w:iCs/>
          <w:szCs w:val="22"/>
          <w:lang w:val="hr-HR" w:eastAsia="hr-HR"/>
        </w:rPr>
        <w:t>Metildopa</w:t>
      </w:r>
    </w:p>
    <w:p w14:paraId="513043AD" w14:textId="77777777" w:rsidR="00C97A74" w:rsidRDefault="006B6E8F">
      <w:pPr>
        <w:jc w:val="both"/>
        <w:rPr>
          <w:szCs w:val="22"/>
          <w:lang w:val="hr-HR" w:eastAsia="hr-HR"/>
        </w:rPr>
      </w:pPr>
      <w:r>
        <w:rPr>
          <w:szCs w:val="22"/>
          <w:lang w:val="hr-HR" w:eastAsia="hr-HR"/>
        </w:rPr>
        <w:t>Zabilježeni su pojedini slučajevi hemolitičke anemije kod pacijenta koji su se istovremeno liječili metildopom i hidrohlortiazidom.</w:t>
      </w:r>
    </w:p>
    <w:p w14:paraId="43A11538" w14:textId="77777777" w:rsidR="00C97A74" w:rsidRDefault="00C97A74">
      <w:pPr>
        <w:jc w:val="both"/>
        <w:rPr>
          <w:szCs w:val="22"/>
          <w:lang w:val="hr-HR" w:eastAsia="hr-HR"/>
        </w:rPr>
      </w:pPr>
    </w:p>
    <w:p w14:paraId="15B7E93A" w14:textId="77777777" w:rsidR="00C97A74" w:rsidRDefault="006B6E8F">
      <w:pPr>
        <w:keepNext/>
        <w:jc w:val="both"/>
        <w:outlineLvl w:val="2"/>
        <w:rPr>
          <w:i/>
          <w:iCs/>
          <w:szCs w:val="22"/>
          <w:lang w:val="hr-HR" w:eastAsia="hr-HR"/>
        </w:rPr>
      </w:pPr>
      <w:r>
        <w:rPr>
          <w:i/>
          <w:iCs/>
          <w:szCs w:val="22"/>
          <w:lang w:val="hr-HR" w:eastAsia="hr-HR"/>
        </w:rPr>
        <w:t>Jodna kontrastna sredstva</w:t>
      </w:r>
    </w:p>
    <w:p w14:paraId="4B7B0E6B" w14:textId="77777777" w:rsidR="00C97A74" w:rsidRDefault="006B6E8F">
      <w:pPr>
        <w:jc w:val="both"/>
        <w:rPr>
          <w:szCs w:val="22"/>
          <w:lang w:val="hr-HR" w:eastAsia="hr-HR"/>
        </w:rPr>
      </w:pPr>
      <w:r>
        <w:rPr>
          <w:szCs w:val="22"/>
          <w:lang w:val="hr-HR" w:eastAsia="hr-HR"/>
        </w:rPr>
        <w:t>Kod pacijenata koji su dehidrirani zbog diuretika, postoji povećani rizik za pojavu akutne bubrežne insuficijencije, naročito kod davanja velikih doza jodnih kontrastnih sredstava. Prije davanja jodnog kontrastnog sredstva pacijenta treba rehidrirati.</w:t>
      </w:r>
    </w:p>
    <w:p w14:paraId="4AE4E920" w14:textId="77777777" w:rsidR="00C97A74" w:rsidRDefault="00C97A74">
      <w:pPr>
        <w:jc w:val="both"/>
        <w:rPr>
          <w:szCs w:val="22"/>
          <w:lang w:val="hr-HR" w:eastAsia="hr-HR"/>
        </w:rPr>
      </w:pPr>
    </w:p>
    <w:p w14:paraId="4AD04AB0" w14:textId="77777777" w:rsidR="00C97A74" w:rsidRDefault="006B6E8F">
      <w:pPr>
        <w:jc w:val="both"/>
        <w:rPr>
          <w:b/>
          <w:szCs w:val="22"/>
          <w:lang w:val="hr-HR"/>
        </w:rPr>
      </w:pPr>
      <w:r>
        <w:rPr>
          <w:b/>
          <w:bCs/>
          <w:szCs w:val="22"/>
          <w:lang w:val="hr-HR" w:eastAsia="hr-HR"/>
        </w:rPr>
        <w:t>4.6</w:t>
      </w:r>
      <w:r>
        <w:rPr>
          <w:b/>
          <w:bCs/>
          <w:szCs w:val="22"/>
          <w:lang w:val="hr-HR" w:eastAsia="hr-HR"/>
        </w:rPr>
        <w:tab/>
      </w:r>
      <w:r>
        <w:rPr>
          <w:b/>
          <w:szCs w:val="22"/>
          <w:lang w:val="hr-HR"/>
        </w:rPr>
        <w:t>Plodnost, trudnoća i dojenje</w:t>
      </w:r>
    </w:p>
    <w:p w14:paraId="33CE2884" w14:textId="77777777" w:rsidR="00C97A74" w:rsidRDefault="00C97A74">
      <w:pPr>
        <w:jc w:val="both"/>
        <w:rPr>
          <w:b/>
          <w:szCs w:val="22"/>
          <w:lang w:val="hr-HR"/>
        </w:rPr>
      </w:pPr>
    </w:p>
    <w:p w14:paraId="06F51CFC" w14:textId="77777777" w:rsidR="00C97A74" w:rsidRDefault="006B6E8F">
      <w:pPr>
        <w:jc w:val="both"/>
        <w:rPr>
          <w:i/>
          <w:iCs/>
          <w:szCs w:val="22"/>
          <w:u w:val="single"/>
          <w:lang w:val="hr-HR" w:eastAsia="hr-HR"/>
        </w:rPr>
      </w:pPr>
      <w:r>
        <w:rPr>
          <w:i/>
          <w:iCs/>
          <w:szCs w:val="22"/>
          <w:u w:val="single"/>
          <w:lang w:val="hr-HR" w:eastAsia="hr-HR"/>
        </w:rPr>
        <w:t>Trudnoća</w:t>
      </w:r>
    </w:p>
    <w:p w14:paraId="04659889" w14:textId="77777777" w:rsidR="00C97A74" w:rsidRDefault="00C97A74">
      <w:pPr>
        <w:jc w:val="both"/>
        <w:rPr>
          <w:i/>
          <w:iCs/>
          <w:szCs w:val="22"/>
          <w:u w:val="single"/>
          <w:lang w:val="hr-HR" w:eastAsia="hr-HR"/>
        </w:rPr>
      </w:pPr>
    </w:p>
    <w:p w14:paraId="489980F5" w14:textId="77777777" w:rsidR="00C97A74" w:rsidRDefault="006B6E8F">
      <w:pPr>
        <w:jc w:val="both"/>
        <w:rPr>
          <w:iCs/>
          <w:szCs w:val="22"/>
          <w:lang w:val="hr-HR" w:eastAsia="hr-HR"/>
        </w:rPr>
      </w:pPr>
      <w:r>
        <w:rPr>
          <w:iCs/>
          <w:szCs w:val="22"/>
          <w:lang w:val="hr-HR" w:eastAsia="hr-HR"/>
        </w:rPr>
        <w:t>Valsartan</w:t>
      </w:r>
    </w:p>
    <w:p w14:paraId="43F511E4" w14:textId="77777777" w:rsidR="00C97A74" w:rsidRDefault="00C97A74">
      <w:pPr>
        <w:keepNext/>
        <w:jc w:val="both"/>
        <w:outlineLvl w:val="1"/>
        <w:rPr>
          <w:i/>
          <w:iCs/>
          <w:szCs w:val="22"/>
          <w:u w:val="single"/>
          <w:lang w:val="hr-HR"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C97A74" w14:paraId="6FB008EF" w14:textId="77777777">
        <w:tc>
          <w:tcPr>
            <w:tcW w:w="9287" w:type="dxa"/>
          </w:tcPr>
          <w:p w14:paraId="2BBC3E55" w14:textId="77777777" w:rsidR="00C97A74" w:rsidRPr="00CF3001" w:rsidRDefault="006B6E8F">
            <w:pPr>
              <w:jc w:val="both"/>
              <w:rPr>
                <w:szCs w:val="22"/>
                <w:lang w:val="sr-Latn-ME" w:eastAsia="hr-HR"/>
              </w:rPr>
            </w:pPr>
            <w:r w:rsidRPr="00CF3001">
              <w:rPr>
                <w:szCs w:val="22"/>
                <w:lang w:val="sr-Latn-ME" w:eastAsia="hr-HR"/>
              </w:rPr>
              <w:t xml:space="preserve">Primjena antagonista angiotenzin II receptora se ne preporučuje u toku prvog trimestra trudnoće </w:t>
            </w:r>
            <w:r w:rsidRPr="00CF3001">
              <w:rPr>
                <w:iCs/>
                <w:szCs w:val="22"/>
                <w:lang w:val="sr-Latn-ME" w:eastAsia="hr-HR"/>
              </w:rPr>
              <w:t>(vidjeti dio 4.4).</w:t>
            </w:r>
            <w:r w:rsidRPr="00CF3001">
              <w:rPr>
                <w:i/>
                <w:iCs/>
                <w:szCs w:val="22"/>
                <w:lang w:val="sr-Latn-ME" w:eastAsia="hr-HR"/>
              </w:rPr>
              <w:t xml:space="preserve"> </w:t>
            </w:r>
            <w:r w:rsidRPr="00CF3001">
              <w:rPr>
                <w:szCs w:val="22"/>
                <w:lang w:val="sr-Latn-ME" w:eastAsia="hr-HR"/>
              </w:rPr>
              <w:t xml:space="preserve">Primjena antagonista angiotenzin II receptora je kontraindikovana u toku drugog i trećeg trimestra trudnoće </w:t>
            </w:r>
            <w:r w:rsidRPr="00CF3001">
              <w:rPr>
                <w:iCs/>
                <w:szCs w:val="22"/>
                <w:lang w:val="sr-Latn-ME" w:eastAsia="hr-HR"/>
              </w:rPr>
              <w:t>(vidjeti djelove 4.3 i 4.4).</w:t>
            </w:r>
          </w:p>
        </w:tc>
      </w:tr>
    </w:tbl>
    <w:p w14:paraId="4F53B2A8" w14:textId="77777777" w:rsidR="00C97A74" w:rsidRDefault="00C97A74">
      <w:pPr>
        <w:rPr>
          <w:szCs w:val="22"/>
          <w:lang w:val="hr-HR" w:eastAsia="hr-HR"/>
        </w:rPr>
      </w:pPr>
    </w:p>
    <w:p w14:paraId="58F9BE5B" w14:textId="77777777" w:rsidR="00C97A74" w:rsidRDefault="006B6E8F">
      <w:pPr>
        <w:jc w:val="both"/>
        <w:rPr>
          <w:szCs w:val="22"/>
          <w:lang w:val="hr-HR" w:eastAsia="hr-HR"/>
        </w:rPr>
      </w:pPr>
      <w:r>
        <w:rPr>
          <w:szCs w:val="22"/>
          <w:lang w:val="hr-HR" w:eastAsia="hr-HR"/>
        </w:rPr>
        <w:lastRenderedPageBreak/>
        <w:t>Iako epidemiološki dokazi o teratogenom dejstvu ACE inhibitora tokom prvog trimestra trudnoće nisu potpuni, ipak se ne može isključiti mali porast rizika. Iako ne postoje kontrolisani epidemiološki podaci o riziku inhibitora angiotenzin II receptora, sličan rizik može postojati i za ovu grupu ljekova. Ukoliko kontinuirana terapija antagonistima angiotenzin II receptora nije neophodna, pacijentkinjama koje planiraju trudnoću treba uvesti alternativnu antihipertenzivnu terapiju koja ima dokazan bezbjednosni profil u trudnoći. Čim se trudnoća utvrdi, treba prekinuti terapiju antagonistima angiotenzin II receptora i, ukoliko je potrebno, započeti alternativnu terapiju.</w:t>
      </w:r>
    </w:p>
    <w:p w14:paraId="00089569" w14:textId="77777777" w:rsidR="00C97A74" w:rsidRDefault="00C97A74">
      <w:pPr>
        <w:jc w:val="both"/>
        <w:rPr>
          <w:szCs w:val="22"/>
          <w:lang w:val="hr-HR" w:eastAsia="hr-HR"/>
        </w:rPr>
      </w:pPr>
    </w:p>
    <w:p w14:paraId="64588348" w14:textId="77777777" w:rsidR="00C97A74" w:rsidRDefault="006B6E8F">
      <w:pPr>
        <w:jc w:val="both"/>
        <w:rPr>
          <w:i/>
          <w:iCs/>
          <w:szCs w:val="22"/>
          <w:lang w:val="hr-HR" w:eastAsia="hr-HR"/>
        </w:rPr>
      </w:pPr>
      <w:r>
        <w:rPr>
          <w:szCs w:val="22"/>
          <w:lang w:val="hr-HR" w:eastAsia="hr-HR"/>
        </w:rPr>
        <w:t xml:space="preserve">Terapija antagonistima angiotenzin II receptora u drugom i trećem trimestru trudnoće dovodi do fetotoksičnosti (smanjene bubrežne funkcije, oligohidramniona, kasne osifikacije lobanje) i neonatalne toksičnosti (bubrežne insuficijencije, hipotenzije, hiperkalijemije) </w:t>
      </w:r>
      <w:r>
        <w:rPr>
          <w:iCs/>
          <w:szCs w:val="22"/>
          <w:lang w:val="hr-HR" w:eastAsia="hr-HR"/>
        </w:rPr>
        <w:t>(vidjeti dio 5.3).</w:t>
      </w:r>
    </w:p>
    <w:p w14:paraId="32B14C75" w14:textId="77777777" w:rsidR="00C97A74" w:rsidRDefault="00C97A74">
      <w:pPr>
        <w:rPr>
          <w:szCs w:val="22"/>
          <w:lang w:val="hr-HR" w:eastAsia="hr-HR"/>
        </w:rPr>
      </w:pPr>
    </w:p>
    <w:p w14:paraId="56CEE9D0" w14:textId="77777777" w:rsidR="00C97A74" w:rsidRDefault="006B6E8F">
      <w:pPr>
        <w:rPr>
          <w:szCs w:val="22"/>
          <w:lang w:val="hr-HR" w:eastAsia="hr-HR"/>
        </w:rPr>
      </w:pPr>
      <w:r>
        <w:rPr>
          <w:szCs w:val="22"/>
          <w:lang w:val="hr-HR" w:eastAsia="hr-HR"/>
        </w:rPr>
        <w:t>Ako je antagonista angiotenzin II receptora ipak korišćen u drugom trimestru trudnoće, preporučuje se ultrazvučna kontrola lobanje i renalne funkcije.</w:t>
      </w:r>
    </w:p>
    <w:p w14:paraId="5AECAB13" w14:textId="77777777" w:rsidR="00C97A74" w:rsidRDefault="00C97A74">
      <w:pPr>
        <w:jc w:val="both"/>
        <w:rPr>
          <w:szCs w:val="22"/>
          <w:lang w:val="hr-HR" w:eastAsia="hr-HR"/>
        </w:rPr>
      </w:pPr>
    </w:p>
    <w:p w14:paraId="446BE1ED" w14:textId="77777777" w:rsidR="00C97A74" w:rsidRDefault="006B6E8F">
      <w:pPr>
        <w:jc w:val="both"/>
        <w:rPr>
          <w:szCs w:val="22"/>
          <w:lang w:val="hr-HR" w:eastAsia="hr-HR"/>
        </w:rPr>
      </w:pPr>
      <w:r>
        <w:rPr>
          <w:lang w:val="hr-HR"/>
        </w:rPr>
        <w:t>Odojčad</w:t>
      </w:r>
      <w:r>
        <w:rPr>
          <w:szCs w:val="22"/>
          <w:lang w:val="hr-HR" w:eastAsia="hr-HR"/>
        </w:rPr>
        <w:t xml:space="preserve"> majki koje su tokom trudnoće primale antagoniste angiotenzin II receptora treba kontrolisati zbog moguće pojave hipotenzije </w:t>
      </w:r>
      <w:r>
        <w:rPr>
          <w:iCs/>
          <w:szCs w:val="22"/>
          <w:lang w:val="hr-HR" w:eastAsia="hr-HR"/>
        </w:rPr>
        <w:t>(vidjeti djelove 4.3 i 4.4).</w:t>
      </w:r>
    </w:p>
    <w:p w14:paraId="79C71BC2" w14:textId="77777777" w:rsidR="00C97A74" w:rsidRDefault="00C97A74">
      <w:pPr>
        <w:rPr>
          <w:szCs w:val="22"/>
          <w:u w:val="single"/>
          <w:lang w:val="hr-HR" w:eastAsia="hr-HR"/>
        </w:rPr>
      </w:pPr>
    </w:p>
    <w:p w14:paraId="6680D96F" w14:textId="77777777" w:rsidR="00C97A74" w:rsidRDefault="006B6E8F">
      <w:pPr>
        <w:rPr>
          <w:iCs/>
          <w:szCs w:val="22"/>
          <w:lang w:val="hr-HR" w:eastAsia="hr-HR"/>
        </w:rPr>
      </w:pPr>
      <w:r>
        <w:rPr>
          <w:iCs/>
          <w:szCs w:val="22"/>
          <w:lang w:val="hr-HR" w:eastAsia="hr-HR"/>
        </w:rPr>
        <w:t>Hidrohlortiazid</w:t>
      </w:r>
    </w:p>
    <w:p w14:paraId="7822702E" w14:textId="77777777" w:rsidR="00C97A74" w:rsidRDefault="006B6E8F">
      <w:pPr>
        <w:jc w:val="both"/>
        <w:rPr>
          <w:szCs w:val="22"/>
          <w:lang w:val="hr-HR" w:eastAsia="hr-HR"/>
        </w:rPr>
      </w:pPr>
      <w:r>
        <w:rPr>
          <w:szCs w:val="22"/>
          <w:lang w:val="hr-HR" w:eastAsia="hr-HR"/>
        </w:rPr>
        <w:t>Nema dovoljno iskustava sa primjenom hidrohlortiazida tokom trudnoće, naročito u prvom trimestru. Nema dovoljno studija na životinjama. Hidrohlortiazid prolazi placentarnu barijeru. Zbog svog farmakološkog mehanizma djelovanja, njegova primjena u drugom i trećem trimestru može ugroziti fetoplacentnu perfuziju i kod fetusa i neonatusa izazvati žuticu, poremećaj elektrolitnog balansa i trombocitopeniju.</w:t>
      </w:r>
    </w:p>
    <w:p w14:paraId="5C369463" w14:textId="77777777" w:rsidR="00C97A74" w:rsidRDefault="00C97A74">
      <w:pPr>
        <w:rPr>
          <w:i/>
          <w:iCs/>
          <w:color w:val="FF0000"/>
          <w:szCs w:val="22"/>
          <w:u w:val="single"/>
          <w:lang w:val="hr-HR" w:eastAsia="hr-HR"/>
        </w:rPr>
      </w:pPr>
    </w:p>
    <w:p w14:paraId="34E78796" w14:textId="77777777" w:rsidR="00C97A74" w:rsidRDefault="006B6E8F">
      <w:pPr>
        <w:rPr>
          <w:bCs/>
          <w:i/>
          <w:iCs/>
          <w:szCs w:val="22"/>
          <w:u w:val="single"/>
          <w:lang w:val="hr-HR" w:eastAsia="hr-HR"/>
        </w:rPr>
      </w:pPr>
      <w:r>
        <w:rPr>
          <w:bCs/>
          <w:i/>
          <w:iCs/>
          <w:szCs w:val="22"/>
          <w:u w:val="single"/>
          <w:lang w:val="hr-HR" w:eastAsia="hr-HR"/>
        </w:rPr>
        <w:t>Dojenje</w:t>
      </w:r>
    </w:p>
    <w:p w14:paraId="3149555E" w14:textId="77777777" w:rsidR="00C97A74" w:rsidRDefault="006B6E8F">
      <w:pPr>
        <w:jc w:val="both"/>
        <w:rPr>
          <w:szCs w:val="22"/>
          <w:lang w:val="hr-HR" w:eastAsia="hr-HR"/>
        </w:rPr>
      </w:pPr>
      <w:r>
        <w:rPr>
          <w:szCs w:val="22"/>
          <w:lang w:val="hr-HR" w:eastAsia="hr-HR"/>
        </w:rPr>
        <w:t>Nema podataka o upotrebi valsartana kod dojilja. Hidrohlortiazid se izlučuje u mlijeko dojilja. Iz tog razloga upotreba lijeka Valsacombi</w:t>
      </w:r>
      <w:r>
        <w:rPr>
          <w:b/>
          <w:szCs w:val="22"/>
          <w:vertAlign w:val="superscript"/>
          <w:lang w:val="hr-HR" w:eastAsia="hr-HR"/>
        </w:rPr>
        <w:t xml:space="preserve"> </w:t>
      </w:r>
      <w:r>
        <w:rPr>
          <w:szCs w:val="22"/>
          <w:lang w:val="hr-HR" w:eastAsia="hr-HR"/>
        </w:rPr>
        <w:t>tokom perioda dojenja nije preporučljiva. Poželjno je, posebno kod dojenja novorođenčadi i nedonoščadi, dati alternativnu terapiju za koju je potvrđena bezbjedna upotreba u periodu dojenja.</w:t>
      </w:r>
    </w:p>
    <w:p w14:paraId="655CC2C0" w14:textId="77777777" w:rsidR="00C97A74" w:rsidRDefault="00C97A74">
      <w:pPr>
        <w:jc w:val="both"/>
        <w:rPr>
          <w:szCs w:val="22"/>
          <w:lang w:val="hr-HR" w:eastAsia="hr-HR"/>
        </w:rPr>
      </w:pPr>
    </w:p>
    <w:p w14:paraId="32A82428" w14:textId="77777777" w:rsidR="00C97A74" w:rsidRDefault="006B6E8F">
      <w:pPr>
        <w:numPr>
          <w:ilvl w:val="12"/>
          <w:numId w:val="0"/>
        </w:numPr>
        <w:ind w:right="1"/>
        <w:jc w:val="both"/>
        <w:rPr>
          <w:b/>
          <w:szCs w:val="22"/>
          <w:lang w:val="hr-HR"/>
        </w:rPr>
      </w:pPr>
      <w:r>
        <w:rPr>
          <w:b/>
          <w:szCs w:val="22"/>
          <w:lang w:val="hr-HR"/>
        </w:rPr>
        <w:t>4.7</w:t>
      </w:r>
      <w:r>
        <w:rPr>
          <w:b/>
          <w:szCs w:val="22"/>
          <w:lang w:val="hr-HR"/>
        </w:rPr>
        <w:tab/>
        <w:t>Uticaj na sposobnost upravljanja vozilima i rukovanje mašinama</w:t>
      </w:r>
    </w:p>
    <w:p w14:paraId="777FD54A" w14:textId="77777777" w:rsidR="00C97A74" w:rsidRDefault="00C97A74">
      <w:pPr>
        <w:jc w:val="both"/>
        <w:rPr>
          <w:szCs w:val="22"/>
          <w:lang w:val="hr-HR" w:eastAsia="hr-HR"/>
        </w:rPr>
      </w:pPr>
    </w:p>
    <w:p w14:paraId="7E267203" w14:textId="77777777" w:rsidR="00C97A74" w:rsidRDefault="006B6E8F">
      <w:pPr>
        <w:jc w:val="both"/>
        <w:rPr>
          <w:szCs w:val="22"/>
          <w:lang w:val="hr-HR" w:eastAsia="hr-HR"/>
        </w:rPr>
      </w:pPr>
      <w:r>
        <w:rPr>
          <w:szCs w:val="22"/>
          <w:lang w:val="hr-HR" w:eastAsia="hr-HR"/>
        </w:rPr>
        <w:t>Ispitivanja o uticaju kombinacije valsartana i hidrohlortiazida na sposobnost prilikom upravljenja motornim vozilom ili rukovanja mašinama nisu sprovedena. Prilikom upravljanja vozilima i rukovanjama mašinama treba uzeti u obzir da se povremeno mogu pojaviti omaglica ili umor.</w:t>
      </w:r>
    </w:p>
    <w:p w14:paraId="23F0E04B" w14:textId="77777777" w:rsidR="00C97A74" w:rsidRDefault="00C97A74">
      <w:pPr>
        <w:jc w:val="both"/>
        <w:rPr>
          <w:szCs w:val="22"/>
          <w:lang w:val="hr-HR" w:eastAsia="hr-HR"/>
        </w:rPr>
      </w:pPr>
    </w:p>
    <w:p w14:paraId="6AD952D1" w14:textId="77777777" w:rsidR="00C97A74" w:rsidRDefault="006B6E8F">
      <w:pPr>
        <w:jc w:val="both"/>
        <w:rPr>
          <w:b/>
          <w:bCs/>
          <w:szCs w:val="22"/>
          <w:lang w:val="hr-HR" w:eastAsia="hr-HR"/>
        </w:rPr>
      </w:pPr>
      <w:r>
        <w:rPr>
          <w:b/>
          <w:bCs/>
          <w:szCs w:val="22"/>
          <w:lang w:val="hr-HR" w:eastAsia="hr-HR"/>
        </w:rPr>
        <w:t>4.8</w:t>
      </w:r>
      <w:r>
        <w:rPr>
          <w:b/>
          <w:bCs/>
          <w:szCs w:val="22"/>
          <w:lang w:val="hr-HR" w:eastAsia="hr-HR"/>
        </w:rPr>
        <w:tab/>
        <w:t>Neželjena dejstva</w:t>
      </w:r>
    </w:p>
    <w:p w14:paraId="2E4B1742" w14:textId="77777777" w:rsidR="00C97A74" w:rsidRDefault="00C97A74">
      <w:pPr>
        <w:jc w:val="both"/>
        <w:rPr>
          <w:szCs w:val="22"/>
          <w:lang w:val="hr-HR" w:eastAsia="hr-HR"/>
        </w:rPr>
      </w:pPr>
    </w:p>
    <w:p w14:paraId="11C81838" w14:textId="77777777" w:rsidR="00C97A74" w:rsidRDefault="006B6E8F">
      <w:pPr>
        <w:jc w:val="both"/>
        <w:rPr>
          <w:bCs/>
          <w:szCs w:val="22"/>
          <w:lang w:val="hr-HR" w:eastAsia="hr-HR"/>
        </w:rPr>
      </w:pPr>
      <w:r>
        <w:rPr>
          <w:bCs/>
          <w:szCs w:val="22"/>
          <w:lang w:val="hr-HR" w:eastAsia="hr-HR"/>
        </w:rPr>
        <w:t>Neželjena dejstva</w:t>
      </w:r>
      <w:r>
        <w:rPr>
          <w:szCs w:val="22"/>
          <w:lang w:val="hr-HR" w:eastAsia="hr-HR"/>
        </w:rPr>
        <w:t xml:space="preserve"> prijavljena u kliničkim ispitivanjima, kao i laboratorijski nalazi, koji su se češće javljali sa kombinacijom valsartan/hidrohlortiazidom u poređenju s placebom, kao i pojedini postmarketinški izvještaji prikazani su u tabeli ispod, prema klasifikaciji organskih sistema. </w:t>
      </w:r>
    </w:p>
    <w:p w14:paraId="4455DCA2" w14:textId="77777777" w:rsidR="00C97A74" w:rsidRDefault="006B6E8F">
      <w:pPr>
        <w:autoSpaceDE w:val="0"/>
        <w:autoSpaceDN w:val="0"/>
        <w:adjustRightInd w:val="0"/>
        <w:jc w:val="both"/>
        <w:rPr>
          <w:szCs w:val="22"/>
          <w:lang w:val="hr-HR"/>
        </w:rPr>
      </w:pPr>
      <w:r>
        <w:rPr>
          <w:szCs w:val="22"/>
          <w:lang w:val="hr-HR"/>
        </w:rPr>
        <w:t xml:space="preserve">Iako nisu zabilježena u kliničkim ispitivanjima sa kombinacijom valsartan/hidrohlortiazid, mogu se javiti neželjena dejstva za koje je poznato da se javljaju sa svakom komponentom odvojeno. </w:t>
      </w:r>
    </w:p>
    <w:p w14:paraId="2CFE06D9" w14:textId="77777777" w:rsidR="00C97A74" w:rsidRDefault="00C97A74">
      <w:pPr>
        <w:jc w:val="both"/>
        <w:rPr>
          <w:szCs w:val="22"/>
          <w:lang w:val="hr-HR" w:eastAsia="hr-HR"/>
        </w:rPr>
      </w:pPr>
    </w:p>
    <w:p w14:paraId="28597E10" w14:textId="77777777" w:rsidR="00C97A74" w:rsidRDefault="006B6E8F">
      <w:pPr>
        <w:jc w:val="both"/>
        <w:rPr>
          <w:szCs w:val="22"/>
          <w:lang w:val="hr-HR" w:eastAsia="hr-HR"/>
        </w:rPr>
      </w:pPr>
      <w:r>
        <w:rPr>
          <w:bCs/>
          <w:szCs w:val="22"/>
          <w:lang w:val="hr-HR" w:eastAsia="hr-HR"/>
        </w:rPr>
        <w:t>Neželjena dejstva</w:t>
      </w:r>
      <w:r>
        <w:rPr>
          <w:szCs w:val="22"/>
          <w:lang w:val="hr-HR" w:eastAsia="hr-HR"/>
        </w:rPr>
        <w:t xml:space="preserve"> razvrstana su prema učestalosti u sljedeće grupe:</w:t>
      </w:r>
    </w:p>
    <w:p w14:paraId="0C45ED61" w14:textId="77777777" w:rsidR="00C97A74" w:rsidRDefault="006B6E8F">
      <w:pPr>
        <w:numPr>
          <w:ilvl w:val="0"/>
          <w:numId w:val="2"/>
        </w:numPr>
        <w:tabs>
          <w:tab w:val="clear" w:pos="567"/>
        </w:tabs>
        <w:spacing w:line="240" w:lineRule="auto"/>
        <w:jc w:val="both"/>
        <w:rPr>
          <w:szCs w:val="22"/>
          <w:lang w:val="hr-HR" w:eastAsia="hr-HR"/>
        </w:rPr>
      </w:pPr>
      <w:r>
        <w:rPr>
          <w:szCs w:val="22"/>
          <w:lang w:val="hr-HR" w:eastAsia="hr-HR"/>
        </w:rPr>
        <w:t>veoma česta (≥1/10),</w:t>
      </w:r>
    </w:p>
    <w:p w14:paraId="71B0533D" w14:textId="77777777" w:rsidR="00C97A74" w:rsidRDefault="006B6E8F">
      <w:pPr>
        <w:numPr>
          <w:ilvl w:val="0"/>
          <w:numId w:val="2"/>
        </w:numPr>
        <w:tabs>
          <w:tab w:val="clear" w:pos="567"/>
        </w:tabs>
        <w:spacing w:line="240" w:lineRule="auto"/>
        <w:jc w:val="both"/>
        <w:rPr>
          <w:szCs w:val="22"/>
          <w:lang w:val="hr-HR" w:eastAsia="hr-HR"/>
        </w:rPr>
      </w:pPr>
      <w:r>
        <w:rPr>
          <w:szCs w:val="22"/>
          <w:lang w:val="hr-HR" w:eastAsia="hr-HR"/>
        </w:rPr>
        <w:t>česta (≥1/100 do &lt;1/10),</w:t>
      </w:r>
    </w:p>
    <w:p w14:paraId="1476436C" w14:textId="77777777" w:rsidR="00C97A74" w:rsidRDefault="006B6E8F">
      <w:pPr>
        <w:numPr>
          <w:ilvl w:val="0"/>
          <w:numId w:val="2"/>
        </w:numPr>
        <w:tabs>
          <w:tab w:val="clear" w:pos="567"/>
        </w:tabs>
        <w:spacing w:line="240" w:lineRule="auto"/>
        <w:jc w:val="both"/>
        <w:rPr>
          <w:szCs w:val="22"/>
          <w:lang w:val="hr-HR" w:eastAsia="hr-HR"/>
        </w:rPr>
      </w:pPr>
      <w:r>
        <w:rPr>
          <w:szCs w:val="22"/>
          <w:lang w:val="hr-HR" w:eastAsia="hr-HR"/>
        </w:rPr>
        <w:t>povremena (≥1/1000 do &lt;1/100),</w:t>
      </w:r>
    </w:p>
    <w:p w14:paraId="18054E3E" w14:textId="77777777" w:rsidR="00C97A74" w:rsidRDefault="006B6E8F">
      <w:pPr>
        <w:numPr>
          <w:ilvl w:val="0"/>
          <w:numId w:val="2"/>
        </w:numPr>
        <w:tabs>
          <w:tab w:val="clear" w:pos="567"/>
        </w:tabs>
        <w:spacing w:line="240" w:lineRule="auto"/>
        <w:jc w:val="both"/>
        <w:rPr>
          <w:szCs w:val="22"/>
          <w:lang w:val="hr-HR" w:eastAsia="hr-HR"/>
        </w:rPr>
      </w:pPr>
      <w:r>
        <w:rPr>
          <w:szCs w:val="22"/>
          <w:lang w:val="hr-HR" w:eastAsia="hr-HR"/>
        </w:rPr>
        <w:t>rijetka (≥1/10.000 do &lt;1/1000),</w:t>
      </w:r>
    </w:p>
    <w:p w14:paraId="1E97695B" w14:textId="77777777" w:rsidR="00C97A74" w:rsidRDefault="006B6E8F">
      <w:pPr>
        <w:numPr>
          <w:ilvl w:val="0"/>
          <w:numId w:val="2"/>
        </w:numPr>
        <w:tabs>
          <w:tab w:val="clear" w:pos="567"/>
        </w:tabs>
        <w:spacing w:line="240" w:lineRule="auto"/>
        <w:jc w:val="both"/>
        <w:rPr>
          <w:szCs w:val="22"/>
          <w:lang w:val="hr-HR" w:eastAsia="hr-HR"/>
        </w:rPr>
      </w:pPr>
      <w:r>
        <w:rPr>
          <w:szCs w:val="22"/>
          <w:lang w:val="hr-HR" w:eastAsia="hr-HR"/>
        </w:rPr>
        <w:t xml:space="preserve">veoma rijetka (&lt;1/10.000), </w:t>
      </w:r>
    </w:p>
    <w:p w14:paraId="31B190D1" w14:textId="77777777" w:rsidR="00C97A74" w:rsidRDefault="006B6E8F">
      <w:pPr>
        <w:numPr>
          <w:ilvl w:val="0"/>
          <w:numId w:val="2"/>
        </w:numPr>
        <w:tabs>
          <w:tab w:val="clear" w:pos="567"/>
        </w:tabs>
        <w:spacing w:line="240" w:lineRule="auto"/>
        <w:jc w:val="both"/>
        <w:rPr>
          <w:szCs w:val="22"/>
          <w:lang w:val="hr-HR" w:eastAsia="hr-HR"/>
        </w:rPr>
      </w:pPr>
      <w:r>
        <w:rPr>
          <w:szCs w:val="22"/>
          <w:lang w:val="hr-HR" w:eastAsia="hr-HR"/>
        </w:rPr>
        <w:t>nepoznata učestalost (ne može se procijeniti iz raspoloživih podataka).</w:t>
      </w:r>
    </w:p>
    <w:p w14:paraId="040D63B8" w14:textId="77777777" w:rsidR="00C97A74" w:rsidRDefault="00C97A74">
      <w:pPr>
        <w:jc w:val="both"/>
        <w:rPr>
          <w:szCs w:val="22"/>
          <w:lang w:val="hr-HR" w:eastAsia="hr-HR"/>
        </w:rPr>
      </w:pPr>
    </w:p>
    <w:p w14:paraId="10B72964" w14:textId="77777777" w:rsidR="00C97A74" w:rsidRDefault="006B6E8F">
      <w:pPr>
        <w:jc w:val="both"/>
        <w:rPr>
          <w:szCs w:val="22"/>
          <w:lang w:val="hr-HR" w:eastAsia="hr-HR"/>
        </w:rPr>
      </w:pPr>
      <w:r>
        <w:rPr>
          <w:szCs w:val="22"/>
          <w:lang w:val="hr-HR" w:eastAsia="hr-HR"/>
        </w:rPr>
        <w:t xml:space="preserve">U okviru svake grupe učestalosti, </w:t>
      </w:r>
      <w:r>
        <w:rPr>
          <w:bCs/>
          <w:szCs w:val="22"/>
          <w:lang w:val="hr-HR" w:eastAsia="hr-HR"/>
        </w:rPr>
        <w:t>neželjena dejstva</w:t>
      </w:r>
      <w:r>
        <w:rPr>
          <w:szCs w:val="22"/>
          <w:lang w:val="hr-HR" w:eastAsia="hr-HR"/>
        </w:rPr>
        <w:t xml:space="preserve"> su navedena prema opadajućoj ozbiljnosti.</w:t>
      </w:r>
    </w:p>
    <w:p w14:paraId="5DBBA6DC" w14:textId="77777777" w:rsidR="00C97A74" w:rsidRDefault="00C97A74">
      <w:pPr>
        <w:rPr>
          <w:szCs w:val="22"/>
          <w:lang w:val="hr-HR" w:eastAsia="hr-HR"/>
        </w:rPr>
      </w:pPr>
    </w:p>
    <w:p w14:paraId="02FD3558" w14:textId="77777777" w:rsidR="00C97A74" w:rsidRDefault="006B6E8F">
      <w:pPr>
        <w:keepNext/>
        <w:outlineLvl w:val="0"/>
        <w:rPr>
          <w:szCs w:val="22"/>
          <w:u w:val="single"/>
          <w:lang w:val="hr-HR" w:eastAsia="hr-HR"/>
        </w:rPr>
      </w:pPr>
      <w:r>
        <w:rPr>
          <w:szCs w:val="22"/>
          <w:u w:val="single"/>
          <w:lang w:val="hr-HR" w:eastAsia="hr-HR"/>
        </w:rPr>
        <w:lastRenderedPageBreak/>
        <w:t xml:space="preserve">Tabela 1. Učestalost </w:t>
      </w:r>
      <w:r>
        <w:rPr>
          <w:bCs/>
          <w:szCs w:val="22"/>
          <w:u w:val="single"/>
          <w:lang w:val="hr-HR" w:eastAsia="hr-HR"/>
        </w:rPr>
        <w:t>neželjenih dejstava</w:t>
      </w:r>
      <w:r>
        <w:rPr>
          <w:szCs w:val="22"/>
          <w:u w:val="single"/>
          <w:lang w:val="hr-HR" w:eastAsia="hr-HR"/>
        </w:rPr>
        <w:t xml:space="preserve"> kombinacije valsartan/hidrohlortiazid</w:t>
      </w:r>
    </w:p>
    <w:p w14:paraId="46F42844" w14:textId="77777777" w:rsidR="00C97A74" w:rsidRDefault="00C97A74">
      <w:pPr>
        <w:rPr>
          <w:szCs w:val="22"/>
          <w:lang w:val="hr-HR" w:eastAsia="hr-HR"/>
        </w:rPr>
      </w:pPr>
    </w:p>
    <w:tbl>
      <w:tblPr>
        <w:tblW w:w="0" w:type="auto"/>
        <w:tblInd w:w="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220"/>
      </w:tblGrid>
      <w:tr w:rsidR="00C97A74" w14:paraId="2D8283CF"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1FB9947F" w14:textId="77777777" w:rsidR="00C97A74" w:rsidRDefault="006B6E8F">
            <w:pPr>
              <w:autoSpaceDE w:val="0"/>
              <w:autoSpaceDN w:val="0"/>
              <w:adjustRightInd w:val="0"/>
              <w:rPr>
                <w:szCs w:val="22"/>
                <w:lang w:val="sl-SI" w:eastAsia="sl-SI"/>
              </w:rPr>
            </w:pPr>
            <w:r>
              <w:rPr>
                <w:b/>
                <w:bCs/>
                <w:szCs w:val="22"/>
                <w:lang w:val="hr-HR" w:eastAsia="hr-HR"/>
              </w:rPr>
              <w:t xml:space="preserve">Poremećaji metabolizma i ishrane </w:t>
            </w:r>
          </w:p>
        </w:tc>
      </w:tr>
      <w:tr w:rsidR="00C97A74" w14:paraId="7084ED05"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03077478"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500BD205" w14:textId="77777777" w:rsidR="00C97A74" w:rsidRDefault="006B6E8F">
            <w:pPr>
              <w:autoSpaceDE w:val="0"/>
              <w:autoSpaceDN w:val="0"/>
              <w:adjustRightInd w:val="0"/>
              <w:rPr>
                <w:szCs w:val="22"/>
                <w:lang w:val="sl-SI" w:eastAsia="sl-SI"/>
              </w:rPr>
            </w:pPr>
            <w:r>
              <w:rPr>
                <w:szCs w:val="22"/>
                <w:lang w:val="hr-HR" w:eastAsia="hr-HR"/>
              </w:rPr>
              <w:t>dehidracija</w:t>
            </w:r>
          </w:p>
        </w:tc>
      </w:tr>
      <w:tr w:rsidR="00C97A74" w14:paraId="486A808F"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3685DC8B" w14:textId="77777777" w:rsidR="00C97A74" w:rsidRDefault="006B6E8F">
            <w:pPr>
              <w:autoSpaceDE w:val="0"/>
              <w:autoSpaceDN w:val="0"/>
              <w:adjustRightInd w:val="0"/>
              <w:rPr>
                <w:szCs w:val="22"/>
                <w:lang w:val="sl-SI" w:eastAsia="sl-SI"/>
              </w:rPr>
            </w:pPr>
            <w:r>
              <w:rPr>
                <w:b/>
                <w:bCs/>
                <w:szCs w:val="22"/>
                <w:lang w:val="hr-HR" w:eastAsia="hr-HR"/>
              </w:rPr>
              <w:t>Bolesti nervnog sistema</w:t>
            </w:r>
          </w:p>
        </w:tc>
      </w:tr>
      <w:tr w:rsidR="00C97A74" w14:paraId="572BA987"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38D2D367" w14:textId="77777777" w:rsidR="00C97A74" w:rsidRDefault="006B6E8F">
            <w:pPr>
              <w:autoSpaceDE w:val="0"/>
              <w:autoSpaceDN w:val="0"/>
              <w:adjustRightInd w:val="0"/>
              <w:rPr>
                <w:szCs w:val="22"/>
                <w:lang w:val="sl-SI" w:eastAsia="sl-SI"/>
              </w:rPr>
            </w:pPr>
            <w:r>
              <w:rPr>
                <w:szCs w:val="22"/>
                <w:lang w:val="hr-HR" w:eastAsia="hr-HR"/>
              </w:rPr>
              <w:t>veoma rijetka</w:t>
            </w:r>
          </w:p>
        </w:tc>
        <w:tc>
          <w:tcPr>
            <w:tcW w:w="5220" w:type="dxa"/>
            <w:tcBorders>
              <w:top w:val="single" w:sz="4" w:space="0" w:color="auto"/>
              <w:left w:val="single" w:sz="4" w:space="0" w:color="auto"/>
              <w:bottom w:val="single" w:sz="4" w:space="0" w:color="auto"/>
              <w:right w:val="single" w:sz="4" w:space="0" w:color="auto"/>
            </w:tcBorders>
          </w:tcPr>
          <w:p w14:paraId="0B04EE03" w14:textId="77777777" w:rsidR="00C97A74" w:rsidRDefault="006B6E8F">
            <w:pPr>
              <w:autoSpaceDE w:val="0"/>
              <w:autoSpaceDN w:val="0"/>
              <w:adjustRightInd w:val="0"/>
              <w:rPr>
                <w:szCs w:val="22"/>
                <w:lang w:val="sl-SI" w:eastAsia="sl-SI"/>
              </w:rPr>
            </w:pPr>
            <w:r>
              <w:rPr>
                <w:szCs w:val="22"/>
                <w:lang w:val="hr-HR" w:eastAsia="hr-HR"/>
              </w:rPr>
              <w:t>vertigo</w:t>
            </w:r>
          </w:p>
        </w:tc>
      </w:tr>
      <w:tr w:rsidR="00C97A74" w14:paraId="2E6DC583"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411381F9"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246E16CF" w14:textId="77777777" w:rsidR="00C97A74" w:rsidRDefault="006B6E8F">
            <w:pPr>
              <w:autoSpaceDE w:val="0"/>
              <w:autoSpaceDN w:val="0"/>
              <w:adjustRightInd w:val="0"/>
              <w:rPr>
                <w:szCs w:val="22"/>
                <w:lang w:val="sl-SI" w:eastAsia="sl-SI"/>
              </w:rPr>
            </w:pPr>
            <w:r>
              <w:rPr>
                <w:szCs w:val="22"/>
                <w:lang w:val="hr-HR" w:eastAsia="hr-HR"/>
              </w:rPr>
              <w:t>parestezija</w:t>
            </w:r>
          </w:p>
        </w:tc>
      </w:tr>
      <w:tr w:rsidR="00C97A74" w14:paraId="2EA5FD21"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443F02EA" w14:textId="77777777" w:rsidR="00C97A74" w:rsidRDefault="006B6E8F">
            <w:pPr>
              <w:autoSpaceDE w:val="0"/>
              <w:autoSpaceDN w:val="0"/>
              <w:adjustRightInd w:val="0"/>
              <w:rPr>
                <w:szCs w:val="22"/>
                <w:lang w:val="sl-SI" w:eastAsia="sl-SI"/>
              </w:rPr>
            </w:pPr>
            <w:r>
              <w:rPr>
                <w:szCs w:val="22"/>
                <w:lang w:val="hr-HR" w:eastAsia="hr-HR"/>
              </w:rPr>
              <w:t>nepoznata učestalost</w:t>
            </w:r>
          </w:p>
        </w:tc>
        <w:tc>
          <w:tcPr>
            <w:tcW w:w="5220" w:type="dxa"/>
            <w:tcBorders>
              <w:top w:val="single" w:sz="4" w:space="0" w:color="auto"/>
              <w:left w:val="single" w:sz="4" w:space="0" w:color="auto"/>
              <w:bottom w:val="single" w:sz="4" w:space="0" w:color="auto"/>
              <w:right w:val="single" w:sz="4" w:space="0" w:color="auto"/>
            </w:tcBorders>
          </w:tcPr>
          <w:p w14:paraId="405F9A0F" w14:textId="77777777" w:rsidR="00C97A74" w:rsidRDefault="006B6E8F">
            <w:pPr>
              <w:autoSpaceDE w:val="0"/>
              <w:autoSpaceDN w:val="0"/>
              <w:adjustRightInd w:val="0"/>
              <w:rPr>
                <w:szCs w:val="22"/>
                <w:lang w:val="sl-SI" w:eastAsia="sl-SI"/>
              </w:rPr>
            </w:pPr>
            <w:r>
              <w:rPr>
                <w:szCs w:val="22"/>
                <w:lang w:val="hr-HR" w:eastAsia="hr-HR"/>
              </w:rPr>
              <w:t>sinkopa</w:t>
            </w:r>
          </w:p>
        </w:tc>
      </w:tr>
      <w:tr w:rsidR="00C97A74" w14:paraId="00C2DEA5"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30ECA000" w14:textId="77777777" w:rsidR="00C97A74" w:rsidRDefault="006B6E8F">
            <w:pPr>
              <w:autoSpaceDE w:val="0"/>
              <w:autoSpaceDN w:val="0"/>
              <w:adjustRightInd w:val="0"/>
              <w:rPr>
                <w:szCs w:val="22"/>
                <w:lang w:val="sl-SI" w:eastAsia="sl-SI"/>
              </w:rPr>
            </w:pPr>
            <w:r>
              <w:rPr>
                <w:b/>
                <w:bCs/>
                <w:szCs w:val="22"/>
                <w:lang w:val="hr-HR" w:eastAsia="hr-HR"/>
              </w:rPr>
              <w:t>Poremećaji na nivou oka</w:t>
            </w:r>
          </w:p>
        </w:tc>
      </w:tr>
      <w:tr w:rsidR="00C97A74" w14:paraId="002B66AA"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4EE40DB9"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1DEF4B60" w14:textId="77777777" w:rsidR="00C97A74" w:rsidRDefault="006B6E8F">
            <w:pPr>
              <w:autoSpaceDE w:val="0"/>
              <w:autoSpaceDN w:val="0"/>
              <w:adjustRightInd w:val="0"/>
              <w:rPr>
                <w:szCs w:val="22"/>
                <w:lang w:val="sl-SI" w:eastAsia="sl-SI"/>
              </w:rPr>
            </w:pPr>
            <w:r>
              <w:rPr>
                <w:szCs w:val="22"/>
                <w:lang w:val="hr-HR" w:eastAsia="hr-HR"/>
              </w:rPr>
              <w:t>zamagljen vid</w:t>
            </w:r>
          </w:p>
        </w:tc>
      </w:tr>
      <w:tr w:rsidR="00C97A74" w14:paraId="678D8F48"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1C0E317F" w14:textId="77777777" w:rsidR="00C97A74" w:rsidRDefault="006B6E8F">
            <w:pPr>
              <w:autoSpaceDE w:val="0"/>
              <w:autoSpaceDN w:val="0"/>
              <w:adjustRightInd w:val="0"/>
              <w:rPr>
                <w:szCs w:val="22"/>
                <w:lang w:val="sl-SI" w:eastAsia="sl-SI"/>
              </w:rPr>
            </w:pPr>
            <w:r>
              <w:rPr>
                <w:b/>
                <w:color w:val="000000"/>
                <w:szCs w:val="22"/>
                <w:lang w:val="hr-HR" w:eastAsia="hr-HR"/>
              </w:rPr>
              <w:t>Poremećaj na nivou uha i centra za ravnotežu</w:t>
            </w:r>
          </w:p>
        </w:tc>
      </w:tr>
      <w:tr w:rsidR="00C97A74" w14:paraId="3E69DBB8"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3CBEA395"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78967094" w14:textId="77777777" w:rsidR="00C97A74" w:rsidRDefault="006B6E8F">
            <w:pPr>
              <w:autoSpaceDE w:val="0"/>
              <w:autoSpaceDN w:val="0"/>
              <w:adjustRightInd w:val="0"/>
              <w:rPr>
                <w:szCs w:val="22"/>
                <w:lang w:val="sl-SI" w:eastAsia="sl-SI"/>
              </w:rPr>
            </w:pPr>
            <w:r>
              <w:rPr>
                <w:szCs w:val="22"/>
                <w:lang w:val="hr-HR" w:eastAsia="hr-HR"/>
              </w:rPr>
              <w:t>tinitus</w:t>
            </w:r>
          </w:p>
        </w:tc>
      </w:tr>
      <w:tr w:rsidR="00C97A74" w14:paraId="079E63BF"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7E1F08B8" w14:textId="77777777" w:rsidR="00C97A74" w:rsidRDefault="006B6E8F">
            <w:pPr>
              <w:autoSpaceDE w:val="0"/>
              <w:autoSpaceDN w:val="0"/>
              <w:adjustRightInd w:val="0"/>
              <w:rPr>
                <w:szCs w:val="22"/>
                <w:lang w:val="sl-SI" w:eastAsia="sl-SI"/>
              </w:rPr>
            </w:pPr>
            <w:r>
              <w:rPr>
                <w:b/>
                <w:bCs/>
                <w:szCs w:val="22"/>
                <w:lang w:val="hr-HR" w:eastAsia="hr-HR"/>
              </w:rPr>
              <w:t>Vaskularni poremećaji</w:t>
            </w:r>
          </w:p>
        </w:tc>
      </w:tr>
      <w:tr w:rsidR="00C97A74" w14:paraId="459593C6"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62655540"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6484614C" w14:textId="77777777" w:rsidR="00C97A74" w:rsidRDefault="006B6E8F">
            <w:pPr>
              <w:autoSpaceDE w:val="0"/>
              <w:autoSpaceDN w:val="0"/>
              <w:adjustRightInd w:val="0"/>
              <w:rPr>
                <w:szCs w:val="22"/>
                <w:lang w:val="sl-SI" w:eastAsia="sl-SI"/>
              </w:rPr>
            </w:pPr>
            <w:r>
              <w:rPr>
                <w:szCs w:val="22"/>
                <w:lang w:val="hr-HR" w:eastAsia="hr-HR"/>
              </w:rPr>
              <w:t>hipotenzija</w:t>
            </w:r>
          </w:p>
        </w:tc>
      </w:tr>
      <w:tr w:rsidR="00C97A74" w14:paraId="075D6737"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1652F3BD" w14:textId="77777777" w:rsidR="00C97A74" w:rsidRDefault="006B6E8F">
            <w:pPr>
              <w:autoSpaceDE w:val="0"/>
              <w:autoSpaceDN w:val="0"/>
              <w:adjustRightInd w:val="0"/>
              <w:rPr>
                <w:szCs w:val="22"/>
                <w:lang w:val="sl-SI" w:eastAsia="sl-SI"/>
              </w:rPr>
            </w:pPr>
            <w:r>
              <w:rPr>
                <w:b/>
                <w:color w:val="000000"/>
                <w:szCs w:val="22"/>
                <w:lang w:val="hr-HR" w:eastAsia="hr-HR"/>
              </w:rPr>
              <w:t>Respiratorni, torakalni i medijastinalni poremećaji</w:t>
            </w:r>
          </w:p>
        </w:tc>
      </w:tr>
      <w:tr w:rsidR="00C97A74" w14:paraId="12D91BD9"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254D5C62"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23DDE64F" w14:textId="77777777" w:rsidR="00C97A74" w:rsidRDefault="006B6E8F">
            <w:pPr>
              <w:autoSpaceDE w:val="0"/>
              <w:autoSpaceDN w:val="0"/>
              <w:adjustRightInd w:val="0"/>
              <w:rPr>
                <w:szCs w:val="22"/>
                <w:lang w:val="sl-SI" w:eastAsia="sl-SI"/>
              </w:rPr>
            </w:pPr>
            <w:r>
              <w:rPr>
                <w:szCs w:val="22"/>
                <w:lang w:val="hr-HR" w:eastAsia="hr-HR"/>
              </w:rPr>
              <w:t>kašalj</w:t>
            </w:r>
          </w:p>
        </w:tc>
      </w:tr>
      <w:tr w:rsidR="00C97A74" w14:paraId="7A003669"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2E0E21AF" w14:textId="77777777" w:rsidR="00C97A74" w:rsidRDefault="006B6E8F">
            <w:pPr>
              <w:autoSpaceDE w:val="0"/>
              <w:autoSpaceDN w:val="0"/>
              <w:adjustRightInd w:val="0"/>
              <w:rPr>
                <w:szCs w:val="22"/>
                <w:lang w:val="sl-SI" w:eastAsia="sl-SI"/>
              </w:rPr>
            </w:pPr>
            <w:r>
              <w:rPr>
                <w:szCs w:val="22"/>
                <w:lang w:val="hr-HR" w:eastAsia="hr-HR"/>
              </w:rPr>
              <w:t>nepoznata učestalost</w:t>
            </w:r>
          </w:p>
        </w:tc>
        <w:tc>
          <w:tcPr>
            <w:tcW w:w="5220" w:type="dxa"/>
            <w:tcBorders>
              <w:top w:val="single" w:sz="4" w:space="0" w:color="auto"/>
              <w:left w:val="single" w:sz="4" w:space="0" w:color="auto"/>
              <w:bottom w:val="single" w:sz="4" w:space="0" w:color="auto"/>
              <w:right w:val="single" w:sz="4" w:space="0" w:color="auto"/>
            </w:tcBorders>
          </w:tcPr>
          <w:p w14:paraId="6F2F05D9" w14:textId="77777777" w:rsidR="00C97A74" w:rsidRDefault="006B6E8F">
            <w:pPr>
              <w:autoSpaceDE w:val="0"/>
              <w:autoSpaceDN w:val="0"/>
              <w:adjustRightInd w:val="0"/>
              <w:rPr>
                <w:szCs w:val="22"/>
                <w:lang w:val="sl-SI" w:eastAsia="sl-SI"/>
              </w:rPr>
            </w:pPr>
            <w:r>
              <w:rPr>
                <w:szCs w:val="22"/>
                <w:lang w:val="hr-HR" w:eastAsia="hr-HR"/>
              </w:rPr>
              <w:t>nekardiogeni plućni edem</w:t>
            </w:r>
          </w:p>
        </w:tc>
      </w:tr>
      <w:tr w:rsidR="00C97A74" w14:paraId="75441106"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75345F97" w14:textId="77777777" w:rsidR="00C97A74" w:rsidRDefault="006B6E8F">
            <w:pPr>
              <w:autoSpaceDE w:val="0"/>
              <w:autoSpaceDN w:val="0"/>
              <w:adjustRightInd w:val="0"/>
              <w:rPr>
                <w:szCs w:val="22"/>
                <w:lang w:val="sl-SI" w:eastAsia="sl-SI"/>
              </w:rPr>
            </w:pPr>
            <w:r>
              <w:rPr>
                <w:b/>
                <w:bCs/>
                <w:szCs w:val="22"/>
                <w:lang w:val="hr-HR" w:eastAsia="hr-HR"/>
              </w:rPr>
              <w:t>Gastrointestinalni poremećaji</w:t>
            </w:r>
          </w:p>
        </w:tc>
      </w:tr>
      <w:tr w:rsidR="00C97A74" w14:paraId="719C5E26"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4F4E060B" w14:textId="77777777" w:rsidR="00C97A74" w:rsidRDefault="006B6E8F">
            <w:pPr>
              <w:autoSpaceDE w:val="0"/>
              <w:autoSpaceDN w:val="0"/>
              <w:adjustRightInd w:val="0"/>
              <w:rPr>
                <w:szCs w:val="22"/>
                <w:lang w:val="sl-SI" w:eastAsia="sl-SI"/>
              </w:rPr>
            </w:pPr>
            <w:r>
              <w:rPr>
                <w:szCs w:val="22"/>
                <w:lang w:val="hr-HR" w:eastAsia="hr-HR"/>
              </w:rPr>
              <w:t>veoma rijetka</w:t>
            </w:r>
          </w:p>
        </w:tc>
        <w:tc>
          <w:tcPr>
            <w:tcW w:w="5220" w:type="dxa"/>
            <w:tcBorders>
              <w:top w:val="single" w:sz="4" w:space="0" w:color="auto"/>
              <w:left w:val="single" w:sz="4" w:space="0" w:color="auto"/>
              <w:bottom w:val="single" w:sz="4" w:space="0" w:color="auto"/>
              <w:right w:val="single" w:sz="4" w:space="0" w:color="auto"/>
            </w:tcBorders>
          </w:tcPr>
          <w:p w14:paraId="7F4ABF5D" w14:textId="77777777" w:rsidR="00C97A74" w:rsidRDefault="006B6E8F">
            <w:pPr>
              <w:autoSpaceDE w:val="0"/>
              <w:autoSpaceDN w:val="0"/>
              <w:adjustRightInd w:val="0"/>
              <w:rPr>
                <w:szCs w:val="22"/>
                <w:lang w:val="sl-SI" w:eastAsia="sl-SI"/>
              </w:rPr>
            </w:pPr>
            <w:r>
              <w:rPr>
                <w:szCs w:val="22"/>
                <w:lang w:val="hr-HR" w:eastAsia="hr-HR"/>
              </w:rPr>
              <w:t>dijareja</w:t>
            </w:r>
          </w:p>
        </w:tc>
      </w:tr>
      <w:tr w:rsidR="00C97A74" w14:paraId="7D95204C"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16D4D251" w14:textId="77777777" w:rsidR="00C97A74" w:rsidRDefault="006B6E8F">
            <w:pPr>
              <w:autoSpaceDE w:val="0"/>
              <w:autoSpaceDN w:val="0"/>
              <w:adjustRightInd w:val="0"/>
              <w:rPr>
                <w:szCs w:val="22"/>
                <w:lang w:val="sl-SI" w:eastAsia="sl-SI"/>
              </w:rPr>
            </w:pPr>
            <w:r>
              <w:rPr>
                <w:b/>
                <w:color w:val="000000"/>
                <w:szCs w:val="22"/>
                <w:lang w:val="hr-HR" w:eastAsia="hr-HR"/>
              </w:rPr>
              <w:t xml:space="preserve">Poremećaji </w:t>
            </w:r>
            <w:r>
              <w:rPr>
                <w:b/>
                <w:bCs/>
                <w:szCs w:val="22"/>
                <w:lang w:val="sr-Latn-CS" w:eastAsia="sl-SI"/>
              </w:rPr>
              <w:t>mišićno-kostnog sistema i vezivnog tkiva</w:t>
            </w:r>
          </w:p>
        </w:tc>
      </w:tr>
      <w:tr w:rsidR="00C97A74" w14:paraId="23D3963C"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5D05109F"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265B9E45" w14:textId="77777777" w:rsidR="00C97A74" w:rsidRDefault="006B6E8F">
            <w:pPr>
              <w:autoSpaceDE w:val="0"/>
              <w:autoSpaceDN w:val="0"/>
              <w:adjustRightInd w:val="0"/>
              <w:rPr>
                <w:szCs w:val="22"/>
                <w:lang w:val="sl-SI" w:eastAsia="sl-SI"/>
              </w:rPr>
            </w:pPr>
            <w:r>
              <w:rPr>
                <w:szCs w:val="22"/>
                <w:lang w:val="hr-HR" w:eastAsia="hr-HR"/>
              </w:rPr>
              <w:t>mijalgija</w:t>
            </w:r>
          </w:p>
        </w:tc>
      </w:tr>
      <w:tr w:rsidR="00C97A74" w14:paraId="7ABD9C4E"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0737351F" w14:textId="77777777" w:rsidR="00C97A74" w:rsidRDefault="006B6E8F">
            <w:pPr>
              <w:autoSpaceDE w:val="0"/>
              <w:autoSpaceDN w:val="0"/>
              <w:adjustRightInd w:val="0"/>
              <w:rPr>
                <w:szCs w:val="22"/>
                <w:lang w:val="sl-SI" w:eastAsia="sl-SI"/>
              </w:rPr>
            </w:pPr>
            <w:r>
              <w:rPr>
                <w:szCs w:val="22"/>
                <w:lang w:val="hr-HR" w:eastAsia="hr-HR"/>
              </w:rPr>
              <w:t>veoma rijetka</w:t>
            </w:r>
          </w:p>
        </w:tc>
        <w:tc>
          <w:tcPr>
            <w:tcW w:w="5220" w:type="dxa"/>
            <w:tcBorders>
              <w:top w:val="single" w:sz="4" w:space="0" w:color="auto"/>
              <w:left w:val="single" w:sz="4" w:space="0" w:color="auto"/>
              <w:bottom w:val="single" w:sz="4" w:space="0" w:color="auto"/>
              <w:right w:val="single" w:sz="4" w:space="0" w:color="auto"/>
            </w:tcBorders>
          </w:tcPr>
          <w:p w14:paraId="6BFD9803" w14:textId="77777777" w:rsidR="00C97A74" w:rsidRDefault="006B6E8F">
            <w:pPr>
              <w:autoSpaceDE w:val="0"/>
              <w:autoSpaceDN w:val="0"/>
              <w:adjustRightInd w:val="0"/>
              <w:rPr>
                <w:szCs w:val="22"/>
                <w:lang w:val="sl-SI" w:eastAsia="sl-SI"/>
              </w:rPr>
            </w:pPr>
            <w:r>
              <w:rPr>
                <w:szCs w:val="22"/>
                <w:lang w:val="hr-HR" w:eastAsia="hr-HR"/>
              </w:rPr>
              <w:t>artralgija</w:t>
            </w:r>
          </w:p>
        </w:tc>
      </w:tr>
      <w:tr w:rsidR="00C97A74" w14:paraId="592B8F93"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572247DB" w14:textId="77777777" w:rsidR="00C97A74" w:rsidRDefault="006B6E8F">
            <w:pPr>
              <w:autoSpaceDE w:val="0"/>
              <w:autoSpaceDN w:val="0"/>
              <w:adjustRightInd w:val="0"/>
              <w:rPr>
                <w:szCs w:val="22"/>
                <w:lang w:val="sl-SI" w:eastAsia="sl-SI"/>
              </w:rPr>
            </w:pPr>
            <w:r>
              <w:rPr>
                <w:b/>
                <w:bCs/>
                <w:szCs w:val="22"/>
                <w:lang w:val="hr-HR" w:eastAsia="hr-HR"/>
              </w:rPr>
              <w:t>Poremećaji na nivou bubrega i urinarnog sistema</w:t>
            </w:r>
          </w:p>
        </w:tc>
      </w:tr>
      <w:tr w:rsidR="00C97A74" w14:paraId="3AC17FCC"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772FCD45" w14:textId="77777777" w:rsidR="00C97A74" w:rsidRDefault="006B6E8F">
            <w:pPr>
              <w:autoSpaceDE w:val="0"/>
              <w:autoSpaceDN w:val="0"/>
              <w:adjustRightInd w:val="0"/>
              <w:rPr>
                <w:szCs w:val="22"/>
                <w:lang w:val="sl-SI" w:eastAsia="sl-SI"/>
              </w:rPr>
            </w:pPr>
            <w:r>
              <w:rPr>
                <w:szCs w:val="22"/>
                <w:lang w:val="hr-HR" w:eastAsia="hr-HR"/>
              </w:rPr>
              <w:t>nepoznata učestalost</w:t>
            </w:r>
          </w:p>
        </w:tc>
        <w:tc>
          <w:tcPr>
            <w:tcW w:w="5220" w:type="dxa"/>
            <w:tcBorders>
              <w:top w:val="single" w:sz="4" w:space="0" w:color="auto"/>
              <w:left w:val="single" w:sz="4" w:space="0" w:color="auto"/>
              <w:bottom w:val="single" w:sz="4" w:space="0" w:color="auto"/>
              <w:right w:val="single" w:sz="4" w:space="0" w:color="auto"/>
            </w:tcBorders>
          </w:tcPr>
          <w:p w14:paraId="7FE2CC38" w14:textId="77777777" w:rsidR="00C97A74" w:rsidRDefault="006B6E8F">
            <w:pPr>
              <w:autoSpaceDE w:val="0"/>
              <w:autoSpaceDN w:val="0"/>
              <w:adjustRightInd w:val="0"/>
              <w:rPr>
                <w:szCs w:val="22"/>
                <w:lang w:val="sl-SI" w:eastAsia="sl-SI"/>
              </w:rPr>
            </w:pPr>
            <w:r>
              <w:rPr>
                <w:szCs w:val="22"/>
                <w:lang w:val="hr-HR" w:eastAsia="hr-HR"/>
              </w:rPr>
              <w:t>oštećena funkcija bubrega</w:t>
            </w:r>
          </w:p>
        </w:tc>
      </w:tr>
      <w:tr w:rsidR="00C97A74" w14:paraId="296093C3"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2C508DE7" w14:textId="77777777" w:rsidR="00C97A74" w:rsidRDefault="006B6E8F">
            <w:pPr>
              <w:autoSpaceDE w:val="0"/>
              <w:autoSpaceDN w:val="0"/>
              <w:adjustRightInd w:val="0"/>
              <w:rPr>
                <w:szCs w:val="22"/>
                <w:lang w:val="sl-SI" w:eastAsia="sl-SI"/>
              </w:rPr>
            </w:pPr>
            <w:r>
              <w:rPr>
                <w:b/>
                <w:color w:val="000000"/>
                <w:szCs w:val="22"/>
                <w:lang w:val="hr-HR" w:eastAsia="hr-HR"/>
              </w:rPr>
              <w:t>Opšti poremećaji i reakcije na mjestu primjene</w:t>
            </w:r>
          </w:p>
        </w:tc>
      </w:tr>
      <w:tr w:rsidR="00C97A74" w14:paraId="7AB10111" w14:textId="77777777">
        <w:trPr>
          <w:trHeight w:val="288"/>
        </w:trPr>
        <w:tc>
          <w:tcPr>
            <w:tcW w:w="3708" w:type="dxa"/>
            <w:tcBorders>
              <w:top w:val="single" w:sz="4" w:space="0" w:color="auto"/>
              <w:left w:val="single" w:sz="4" w:space="0" w:color="auto"/>
              <w:bottom w:val="single" w:sz="4" w:space="0" w:color="auto"/>
              <w:right w:val="single" w:sz="4" w:space="0" w:color="auto"/>
            </w:tcBorders>
          </w:tcPr>
          <w:p w14:paraId="79116632" w14:textId="77777777" w:rsidR="00C97A74" w:rsidRDefault="006B6E8F">
            <w:pPr>
              <w:autoSpaceDE w:val="0"/>
              <w:autoSpaceDN w:val="0"/>
              <w:adjustRightInd w:val="0"/>
              <w:rPr>
                <w:szCs w:val="22"/>
                <w:lang w:val="sl-SI" w:eastAsia="sl-SI"/>
              </w:rPr>
            </w:pPr>
            <w:r>
              <w:rPr>
                <w:szCs w:val="22"/>
                <w:lang w:val="hr-HR" w:eastAsia="hr-HR"/>
              </w:rPr>
              <w:t>povremena</w:t>
            </w:r>
          </w:p>
        </w:tc>
        <w:tc>
          <w:tcPr>
            <w:tcW w:w="5220" w:type="dxa"/>
            <w:tcBorders>
              <w:top w:val="single" w:sz="4" w:space="0" w:color="auto"/>
              <w:left w:val="single" w:sz="4" w:space="0" w:color="auto"/>
              <w:bottom w:val="single" w:sz="4" w:space="0" w:color="auto"/>
              <w:right w:val="single" w:sz="4" w:space="0" w:color="auto"/>
            </w:tcBorders>
          </w:tcPr>
          <w:p w14:paraId="2B8A7B82" w14:textId="77777777" w:rsidR="00C97A74" w:rsidRDefault="006B6E8F">
            <w:pPr>
              <w:autoSpaceDE w:val="0"/>
              <w:autoSpaceDN w:val="0"/>
              <w:adjustRightInd w:val="0"/>
              <w:rPr>
                <w:szCs w:val="22"/>
                <w:lang w:val="sl-SI" w:eastAsia="sl-SI"/>
              </w:rPr>
            </w:pPr>
            <w:r>
              <w:rPr>
                <w:szCs w:val="22"/>
                <w:lang w:val="hr-HR" w:eastAsia="hr-HR"/>
              </w:rPr>
              <w:t>umor</w:t>
            </w:r>
          </w:p>
        </w:tc>
      </w:tr>
      <w:tr w:rsidR="00C97A74" w14:paraId="7D7FBFBE" w14:textId="77777777">
        <w:trPr>
          <w:trHeight w:val="292"/>
        </w:trPr>
        <w:tc>
          <w:tcPr>
            <w:tcW w:w="8928" w:type="dxa"/>
            <w:gridSpan w:val="2"/>
            <w:tcBorders>
              <w:top w:val="single" w:sz="4" w:space="0" w:color="auto"/>
              <w:left w:val="single" w:sz="4" w:space="0" w:color="auto"/>
              <w:bottom w:val="single" w:sz="4" w:space="0" w:color="auto"/>
              <w:right w:val="single" w:sz="4" w:space="0" w:color="auto"/>
            </w:tcBorders>
          </w:tcPr>
          <w:p w14:paraId="7382D705" w14:textId="77777777" w:rsidR="00C97A74" w:rsidRDefault="006B6E8F">
            <w:pPr>
              <w:autoSpaceDE w:val="0"/>
              <w:autoSpaceDN w:val="0"/>
              <w:adjustRightInd w:val="0"/>
              <w:rPr>
                <w:szCs w:val="22"/>
                <w:lang w:val="sl-SI" w:eastAsia="sl-SI"/>
              </w:rPr>
            </w:pPr>
            <w:r>
              <w:rPr>
                <w:b/>
                <w:bCs/>
                <w:szCs w:val="22"/>
                <w:lang w:val="hr-HR" w:eastAsia="hr-HR"/>
              </w:rPr>
              <w:t>Ispitivanja</w:t>
            </w:r>
          </w:p>
        </w:tc>
      </w:tr>
      <w:tr w:rsidR="00C97A74" w14:paraId="2BAEAAA7" w14:textId="77777777">
        <w:trPr>
          <w:trHeight w:val="797"/>
        </w:trPr>
        <w:tc>
          <w:tcPr>
            <w:tcW w:w="3708" w:type="dxa"/>
            <w:tcBorders>
              <w:top w:val="single" w:sz="4" w:space="0" w:color="auto"/>
              <w:left w:val="single" w:sz="4" w:space="0" w:color="auto"/>
              <w:bottom w:val="single" w:sz="4" w:space="0" w:color="auto"/>
              <w:right w:val="single" w:sz="4" w:space="0" w:color="auto"/>
            </w:tcBorders>
          </w:tcPr>
          <w:p w14:paraId="28EBCFA4" w14:textId="77777777" w:rsidR="00C97A74" w:rsidRDefault="006B6E8F">
            <w:pPr>
              <w:autoSpaceDE w:val="0"/>
              <w:autoSpaceDN w:val="0"/>
              <w:adjustRightInd w:val="0"/>
              <w:rPr>
                <w:szCs w:val="22"/>
                <w:lang w:val="sl-SI" w:eastAsia="sl-SI"/>
              </w:rPr>
            </w:pPr>
            <w:r>
              <w:rPr>
                <w:szCs w:val="22"/>
                <w:lang w:val="hr-HR" w:eastAsia="hr-HR"/>
              </w:rPr>
              <w:t>nepoznata učestalost</w:t>
            </w:r>
          </w:p>
        </w:tc>
        <w:tc>
          <w:tcPr>
            <w:tcW w:w="5220" w:type="dxa"/>
            <w:tcBorders>
              <w:top w:val="single" w:sz="4" w:space="0" w:color="auto"/>
              <w:left w:val="single" w:sz="4" w:space="0" w:color="auto"/>
              <w:bottom w:val="single" w:sz="4" w:space="0" w:color="auto"/>
              <w:right w:val="single" w:sz="4" w:space="0" w:color="auto"/>
            </w:tcBorders>
          </w:tcPr>
          <w:p w14:paraId="7989848A" w14:textId="77777777" w:rsidR="00C97A74" w:rsidRDefault="006B6E8F">
            <w:pPr>
              <w:autoSpaceDE w:val="0"/>
              <w:autoSpaceDN w:val="0"/>
              <w:adjustRightInd w:val="0"/>
              <w:rPr>
                <w:szCs w:val="22"/>
                <w:lang w:val="sl-SI" w:eastAsia="sl-SI"/>
              </w:rPr>
            </w:pPr>
            <w:r>
              <w:rPr>
                <w:color w:val="000000"/>
                <w:szCs w:val="22"/>
                <w:lang w:val="hr-HR" w:eastAsia="hr-HR"/>
              </w:rPr>
              <w:t xml:space="preserve">povišene vrijednosti mokraćne kiseline u serumu, kreatinina i bilirubina u serumu, hipokalijemija, hiponatrijemija, </w:t>
            </w:r>
            <w:r>
              <w:rPr>
                <w:szCs w:val="22"/>
                <w:lang w:val="sl-SI" w:eastAsia="hr-HR"/>
              </w:rPr>
              <w:t>porast vrijednosti azota iz uree u krvi,</w:t>
            </w:r>
            <w:r>
              <w:rPr>
                <w:szCs w:val="22"/>
                <w:lang w:val="hr-HR" w:eastAsia="hr-HR"/>
              </w:rPr>
              <w:t xml:space="preserve"> </w:t>
            </w:r>
            <w:r>
              <w:rPr>
                <w:color w:val="000000"/>
                <w:szCs w:val="22"/>
                <w:lang w:val="hr-HR" w:eastAsia="hr-HR"/>
              </w:rPr>
              <w:t>neutropenija</w:t>
            </w:r>
          </w:p>
        </w:tc>
      </w:tr>
    </w:tbl>
    <w:p w14:paraId="66D5A0B5" w14:textId="77777777" w:rsidR="00C97A74" w:rsidRDefault="00C97A74">
      <w:pPr>
        <w:rPr>
          <w:szCs w:val="22"/>
          <w:lang w:val="sl-SI"/>
        </w:rPr>
      </w:pPr>
    </w:p>
    <w:p w14:paraId="2C832A01" w14:textId="77777777" w:rsidR="00C97A74" w:rsidRDefault="006B6E8F">
      <w:pPr>
        <w:keepNext/>
        <w:jc w:val="both"/>
        <w:outlineLvl w:val="0"/>
        <w:rPr>
          <w:szCs w:val="22"/>
          <w:lang w:val="sl-SI"/>
        </w:rPr>
      </w:pPr>
      <w:r>
        <w:rPr>
          <w:szCs w:val="22"/>
          <w:u w:val="single"/>
          <w:lang w:val="sl-SI"/>
        </w:rPr>
        <w:t>Dodatne informacije o pojedinim aktivnim supstancama</w:t>
      </w:r>
    </w:p>
    <w:p w14:paraId="3EEF3192" w14:textId="77777777" w:rsidR="00C97A74" w:rsidRDefault="006B6E8F">
      <w:pPr>
        <w:jc w:val="both"/>
        <w:rPr>
          <w:szCs w:val="22"/>
          <w:lang w:val="sl-SI"/>
        </w:rPr>
      </w:pPr>
      <w:r>
        <w:rPr>
          <w:bCs/>
          <w:szCs w:val="22"/>
          <w:lang w:val="hr-HR" w:eastAsia="hr-HR"/>
        </w:rPr>
        <w:t>Neželjena dejstva</w:t>
      </w:r>
      <w:r>
        <w:rPr>
          <w:szCs w:val="22"/>
          <w:lang w:val="sl-SI"/>
        </w:rPr>
        <w:t xml:space="preserve"> koja su ranije prijavljena sa jednom od pojedinačnih komponenti mogu se javiti i za vrijeme liječenja kombinacijom valsartana/hidrohlortiazid, iako nisu zabilježena u kliničkim ispitivanjima ili nakon stavljanja lijeka u promet.</w:t>
      </w:r>
    </w:p>
    <w:p w14:paraId="794D7345" w14:textId="77777777" w:rsidR="00C97A74" w:rsidRDefault="00C97A74">
      <w:pPr>
        <w:rPr>
          <w:szCs w:val="22"/>
          <w:lang w:val="sl-SI"/>
        </w:rPr>
      </w:pPr>
    </w:p>
    <w:p w14:paraId="2B4C17FA" w14:textId="77777777" w:rsidR="00C97A74" w:rsidRPr="00CF3001" w:rsidRDefault="006B6E8F">
      <w:pPr>
        <w:keepNext/>
        <w:outlineLvl w:val="0"/>
        <w:rPr>
          <w:szCs w:val="22"/>
          <w:u w:val="single"/>
          <w:lang w:val="sr-Latn-ME"/>
        </w:rPr>
      </w:pPr>
      <w:r w:rsidRPr="00CF3001">
        <w:rPr>
          <w:szCs w:val="22"/>
          <w:u w:val="single"/>
          <w:lang w:val="sr-Latn-ME"/>
        </w:rPr>
        <w:t xml:space="preserve">Tabela 2. Učestalost </w:t>
      </w:r>
      <w:r w:rsidRPr="00CF3001">
        <w:rPr>
          <w:bCs/>
          <w:szCs w:val="22"/>
          <w:u w:val="single"/>
          <w:lang w:val="sr-Latn-ME" w:eastAsia="hr-HR"/>
        </w:rPr>
        <w:t>neželjenih dejstava</w:t>
      </w:r>
      <w:r w:rsidRPr="00CF3001">
        <w:rPr>
          <w:szCs w:val="22"/>
          <w:u w:val="single"/>
          <w:lang w:val="sr-Latn-ME"/>
        </w:rPr>
        <w:t xml:space="preserve"> valsartana</w:t>
      </w:r>
    </w:p>
    <w:p w14:paraId="214099AE" w14:textId="77777777" w:rsidR="00C97A74" w:rsidRPr="00CF3001" w:rsidRDefault="00C97A74">
      <w:pPr>
        <w:rPr>
          <w:szCs w:val="22"/>
          <w:lang w:val="sr-Latn-ME"/>
        </w:rPr>
      </w:pPr>
    </w:p>
    <w:tbl>
      <w:tblPr>
        <w:tblW w:w="892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040"/>
      </w:tblGrid>
      <w:tr w:rsidR="00C97A74" w14:paraId="2E6AD3CF" w14:textId="77777777">
        <w:trPr>
          <w:trHeight w:val="292"/>
        </w:trPr>
        <w:tc>
          <w:tcPr>
            <w:tcW w:w="8928" w:type="dxa"/>
            <w:gridSpan w:val="2"/>
          </w:tcPr>
          <w:p w14:paraId="4654631B" w14:textId="77777777" w:rsidR="00C97A74" w:rsidRDefault="006B6E8F">
            <w:pPr>
              <w:autoSpaceDE w:val="0"/>
              <w:autoSpaceDN w:val="0"/>
              <w:adjustRightInd w:val="0"/>
              <w:rPr>
                <w:szCs w:val="22"/>
                <w:lang w:val="hr-HR" w:eastAsia="hr-HR"/>
              </w:rPr>
            </w:pPr>
            <w:r>
              <w:rPr>
                <w:b/>
                <w:noProof/>
                <w:color w:val="000000"/>
                <w:szCs w:val="22"/>
                <w:lang w:val="hr-HR" w:eastAsia="hr-HR"/>
              </w:rPr>
              <w:t>Poremećaji na nivou krvi i limfnog sistema</w:t>
            </w:r>
          </w:p>
        </w:tc>
      </w:tr>
      <w:tr w:rsidR="00C97A74" w14:paraId="5A4A42EA" w14:textId="77777777">
        <w:trPr>
          <w:trHeight w:val="543"/>
        </w:trPr>
        <w:tc>
          <w:tcPr>
            <w:tcW w:w="3888" w:type="dxa"/>
          </w:tcPr>
          <w:p w14:paraId="534C6D3C"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36078A1D" w14:textId="77777777" w:rsidR="00C97A74" w:rsidRDefault="006B6E8F">
            <w:pPr>
              <w:autoSpaceDE w:val="0"/>
              <w:autoSpaceDN w:val="0"/>
              <w:adjustRightInd w:val="0"/>
              <w:rPr>
                <w:szCs w:val="22"/>
                <w:lang w:val="hr-HR" w:eastAsia="hr-HR"/>
              </w:rPr>
            </w:pPr>
            <w:r>
              <w:rPr>
                <w:szCs w:val="22"/>
                <w:lang w:val="hr-HR" w:eastAsia="hr-HR"/>
              </w:rPr>
              <w:t>snižena vrijednost hemoglobina, snižena vrijednost hematokrita, trombocitopenija</w:t>
            </w:r>
          </w:p>
        </w:tc>
      </w:tr>
      <w:tr w:rsidR="00C97A74" w14:paraId="10054BBA" w14:textId="77777777">
        <w:trPr>
          <w:trHeight w:val="292"/>
        </w:trPr>
        <w:tc>
          <w:tcPr>
            <w:tcW w:w="8928" w:type="dxa"/>
            <w:gridSpan w:val="2"/>
          </w:tcPr>
          <w:p w14:paraId="6DF5F6AD" w14:textId="77777777" w:rsidR="00C97A74" w:rsidRDefault="006B6E8F">
            <w:pPr>
              <w:autoSpaceDE w:val="0"/>
              <w:autoSpaceDN w:val="0"/>
              <w:adjustRightInd w:val="0"/>
              <w:rPr>
                <w:szCs w:val="22"/>
                <w:lang w:val="hr-HR" w:eastAsia="hr-HR"/>
              </w:rPr>
            </w:pPr>
            <w:r>
              <w:rPr>
                <w:b/>
                <w:bCs/>
                <w:szCs w:val="22"/>
                <w:lang w:val="hr-HR" w:eastAsia="hr-HR"/>
              </w:rPr>
              <w:t>Poremećaji imunog sistema</w:t>
            </w:r>
          </w:p>
        </w:tc>
      </w:tr>
      <w:tr w:rsidR="00C97A74" w14:paraId="5E4FACAD" w14:textId="77777777">
        <w:trPr>
          <w:trHeight w:val="543"/>
        </w:trPr>
        <w:tc>
          <w:tcPr>
            <w:tcW w:w="3888" w:type="dxa"/>
          </w:tcPr>
          <w:p w14:paraId="3636E23B"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7291CC18" w14:textId="77777777" w:rsidR="00C97A74" w:rsidRDefault="006B6E8F">
            <w:pPr>
              <w:autoSpaceDE w:val="0"/>
              <w:autoSpaceDN w:val="0"/>
              <w:adjustRightInd w:val="0"/>
              <w:rPr>
                <w:szCs w:val="22"/>
                <w:lang w:val="hr-HR" w:eastAsia="hr-HR"/>
              </w:rPr>
            </w:pPr>
            <w:r>
              <w:rPr>
                <w:szCs w:val="22"/>
                <w:lang w:val="hr-HR" w:eastAsia="hr-HR"/>
              </w:rPr>
              <w:t>ostale reakcije preosjetljivosti/alergijske reakcije, uključujući serumsku bolest</w:t>
            </w:r>
          </w:p>
        </w:tc>
      </w:tr>
      <w:tr w:rsidR="00C97A74" w14:paraId="70D13611" w14:textId="77777777">
        <w:trPr>
          <w:trHeight w:val="292"/>
        </w:trPr>
        <w:tc>
          <w:tcPr>
            <w:tcW w:w="8928" w:type="dxa"/>
            <w:gridSpan w:val="2"/>
          </w:tcPr>
          <w:p w14:paraId="31A061B5" w14:textId="77777777" w:rsidR="00C97A74" w:rsidRDefault="006B6E8F">
            <w:pPr>
              <w:autoSpaceDE w:val="0"/>
              <w:autoSpaceDN w:val="0"/>
              <w:adjustRightInd w:val="0"/>
              <w:rPr>
                <w:szCs w:val="22"/>
                <w:lang w:val="hr-HR" w:eastAsia="hr-HR"/>
              </w:rPr>
            </w:pPr>
            <w:r>
              <w:rPr>
                <w:b/>
                <w:bCs/>
                <w:szCs w:val="22"/>
                <w:lang w:val="hr-HR" w:eastAsia="hr-HR"/>
              </w:rPr>
              <w:t>Poremećaji metabolizma i ishrane</w:t>
            </w:r>
          </w:p>
        </w:tc>
      </w:tr>
      <w:tr w:rsidR="00C97A74" w14:paraId="051EBB06" w14:textId="77777777">
        <w:trPr>
          <w:trHeight w:val="288"/>
        </w:trPr>
        <w:tc>
          <w:tcPr>
            <w:tcW w:w="3888" w:type="dxa"/>
          </w:tcPr>
          <w:p w14:paraId="251417CC"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0EE1BD10" w14:textId="77777777" w:rsidR="00C97A74" w:rsidRDefault="006B6E8F">
            <w:pPr>
              <w:autoSpaceDE w:val="0"/>
              <w:autoSpaceDN w:val="0"/>
              <w:adjustRightInd w:val="0"/>
              <w:rPr>
                <w:szCs w:val="22"/>
                <w:lang w:val="hr-HR" w:eastAsia="hr-HR"/>
              </w:rPr>
            </w:pPr>
            <w:r>
              <w:rPr>
                <w:szCs w:val="22"/>
                <w:lang w:val="hr-HR" w:eastAsia="hr-HR"/>
              </w:rPr>
              <w:t>povišenje vrijednosti kalijuma u serumu, hiponatrijemija</w:t>
            </w:r>
          </w:p>
        </w:tc>
      </w:tr>
      <w:tr w:rsidR="00C97A74" w14:paraId="2EF39B95" w14:textId="77777777">
        <w:trPr>
          <w:trHeight w:val="292"/>
        </w:trPr>
        <w:tc>
          <w:tcPr>
            <w:tcW w:w="8928" w:type="dxa"/>
            <w:gridSpan w:val="2"/>
          </w:tcPr>
          <w:p w14:paraId="06F98F1A" w14:textId="77777777" w:rsidR="00C97A74" w:rsidRDefault="006B6E8F">
            <w:pPr>
              <w:autoSpaceDE w:val="0"/>
              <w:autoSpaceDN w:val="0"/>
              <w:adjustRightInd w:val="0"/>
              <w:rPr>
                <w:szCs w:val="22"/>
                <w:lang w:val="hr-HR" w:eastAsia="hr-HR"/>
              </w:rPr>
            </w:pPr>
            <w:r>
              <w:rPr>
                <w:b/>
                <w:noProof/>
                <w:color w:val="000000"/>
                <w:szCs w:val="22"/>
                <w:lang w:val="hr-HR" w:eastAsia="hr-HR"/>
              </w:rPr>
              <w:t>Poremećaj na nivou uha i centra za ravnotežu</w:t>
            </w:r>
          </w:p>
        </w:tc>
      </w:tr>
      <w:tr w:rsidR="00C97A74" w14:paraId="1B10D197" w14:textId="77777777">
        <w:trPr>
          <w:trHeight w:val="288"/>
        </w:trPr>
        <w:tc>
          <w:tcPr>
            <w:tcW w:w="3888" w:type="dxa"/>
          </w:tcPr>
          <w:p w14:paraId="52A47360" w14:textId="77777777" w:rsidR="00C97A74" w:rsidRDefault="006B6E8F">
            <w:pPr>
              <w:autoSpaceDE w:val="0"/>
              <w:autoSpaceDN w:val="0"/>
              <w:adjustRightInd w:val="0"/>
              <w:rPr>
                <w:szCs w:val="22"/>
                <w:lang w:val="hr-HR" w:eastAsia="hr-HR"/>
              </w:rPr>
            </w:pPr>
            <w:r>
              <w:rPr>
                <w:szCs w:val="22"/>
                <w:lang w:val="hr-HR" w:eastAsia="hr-HR"/>
              </w:rPr>
              <w:t>povremena</w:t>
            </w:r>
          </w:p>
        </w:tc>
        <w:tc>
          <w:tcPr>
            <w:tcW w:w="5040" w:type="dxa"/>
          </w:tcPr>
          <w:p w14:paraId="09EB1853" w14:textId="77777777" w:rsidR="00C97A74" w:rsidRDefault="006B6E8F">
            <w:pPr>
              <w:autoSpaceDE w:val="0"/>
              <w:autoSpaceDN w:val="0"/>
              <w:adjustRightInd w:val="0"/>
              <w:rPr>
                <w:szCs w:val="22"/>
                <w:lang w:val="hr-HR" w:eastAsia="hr-HR"/>
              </w:rPr>
            </w:pPr>
            <w:r>
              <w:rPr>
                <w:szCs w:val="22"/>
                <w:lang w:val="hr-HR" w:eastAsia="hr-HR"/>
              </w:rPr>
              <w:t>vertigo</w:t>
            </w:r>
          </w:p>
        </w:tc>
      </w:tr>
      <w:tr w:rsidR="00C97A74" w14:paraId="517A6DEF" w14:textId="77777777">
        <w:trPr>
          <w:trHeight w:val="292"/>
        </w:trPr>
        <w:tc>
          <w:tcPr>
            <w:tcW w:w="8928" w:type="dxa"/>
            <w:gridSpan w:val="2"/>
          </w:tcPr>
          <w:p w14:paraId="6F45527D" w14:textId="77777777" w:rsidR="00C97A74" w:rsidRDefault="006B6E8F">
            <w:pPr>
              <w:autoSpaceDE w:val="0"/>
              <w:autoSpaceDN w:val="0"/>
              <w:adjustRightInd w:val="0"/>
              <w:rPr>
                <w:szCs w:val="22"/>
                <w:lang w:val="hr-HR" w:eastAsia="hr-HR"/>
              </w:rPr>
            </w:pPr>
            <w:r>
              <w:rPr>
                <w:b/>
                <w:bCs/>
                <w:szCs w:val="22"/>
                <w:lang w:val="hr-HR" w:eastAsia="hr-HR"/>
              </w:rPr>
              <w:lastRenderedPageBreak/>
              <w:t>Vaskularni poremećaji</w:t>
            </w:r>
          </w:p>
        </w:tc>
      </w:tr>
      <w:tr w:rsidR="00C97A74" w14:paraId="7E6EE97B" w14:textId="77777777">
        <w:trPr>
          <w:trHeight w:val="288"/>
        </w:trPr>
        <w:tc>
          <w:tcPr>
            <w:tcW w:w="3888" w:type="dxa"/>
          </w:tcPr>
          <w:p w14:paraId="60D852A6"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65E78890" w14:textId="77777777" w:rsidR="00C97A74" w:rsidRDefault="006B6E8F">
            <w:pPr>
              <w:autoSpaceDE w:val="0"/>
              <w:autoSpaceDN w:val="0"/>
              <w:adjustRightInd w:val="0"/>
              <w:rPr>
                <w:szCs w:val="22"/>
                <w:lang w:val="hr-HR" w:eastAsia="hr-HR"/>
              </w:rPr>
            </w:pPr>
            <w:r>
              <w:rPr>
                <w:szCs w:val="22"/>
                <w:lang w:val="hr-HR" w:eastAsia="hr-HR"/>
              </w:rPr>
              <w:t>vaskulitis</w:t>
            </w:r>
          </w:p>
        </w:tc>
      </w:tr>
      <w:tr w:rsidR="00C97A74" w14:paraId="1C05344A" w14:textId="77777777">
        <w:trPr>
          <w:trHeight w:val="292"/>
        </w:trPr>
        <w:tc>
          <w:tcPr>
            <w:tcW w:w="8928" w:type="dxa"/>
            <w:gridSpan w:val="2"/>
          </w:tcPr>
          <w:p w14:paraId="0000067A" w14:textId="77777777" w:rsidR="00C97A74" w:rsidRDefault="006B6E8F">
            <w:pPr>
              <w:autoSpaceDE w:val="0"/>
              <w:autoSpaceDN w:val="0"/>
              <w:adjustRightInd w:val="0"/>
              <w:rPr>
                <w:szCs w:val="22"/>
                <w:lang w:val="hr-HR" w:eastAsia="hr-HR"/>
              </w:rPr>
            </w:pPr>
            <w:r>
              <w:rPr>
                <w:b/>
                <w:bCs/>
                <w:szCs w:val="22"/>
                <w:lang w:val="hr-HR" w:eastAsia="hr-HR"/>
              </w:rPr>
              <w:t>Gastrointestinalni poremećaji</w:t>
            </w:r>
          </w:p>
        </w:tc>
      </w:tr>
      <w:tr w:rsidR="00C97A74" w14:paraId="3DDF312D" w14:textId="77777777">
        <w:trPr>
          <w:trHeight w:val="288"/>
        </w:trPr>
        <w:tc>
          <w:tcPr>
            <w:tcW w:w="3888" w:type="dxa"/>
          </w:tcPr>
          <w:p w14:paraId="0EB3B6AE" w14:textId="77777777" w:rsidR="00C97A74" w:rsidRDefault="006B6E8F">
            <w:pPr>
              <w:autoSpaceDE w:val="0"/>
              <w:autoSpaceDN w:val="0"/>
              <w:adjustRightInd w:val="0"/>
              <w:rPr>
                <w:szCs w:val="22"/>
                <w:lang w:val="hr-HR" w:eastAsia="hr-HR"/>
              </w:rPr>
            </w:pPr>
            <w:r>
              <w:rPr>
                <w:szCs w:val="22"/>
                <w:lang w:val="hr-HR" w:eastAsia="hr-HR"/>
              </w:rPr>
              <w:t>povremena</w:t>
            </w:r>
          </w:p>
        </w:tc>
        <w:tc>
          <w:tcPr>
            <w:tcW w:w="5040" w:type="dxa"/>
          </w:tcPr>
          <w:p w14:paraId="1F73F087" w14:textId="77777777" w:rsidR="00C97A74" w:rsidRDefault="006B6E8F">
            <w:pPr>
              <w:autoSpaceDE w:val="0"/>
              <w:autoSpaceDN w:val="0"/>
              <w:adjustRightInd w:val="0"/>
              <w:rPr>
                <w:szCs w:val="22"/>
                <w:lang w:val="hr-HR" w:eastAsia="hr-HR"/>
              </w:rPr>
            </w:pPr>
            <w:r>
              <w:rPr>
                <w:szCs w:val="22"/>
                <w:lang w:val="hr-HR" w:eastAsia="hr-HR"/>
              </w:rPr>
              <w:t>abdominalni bol</w:t>
            </w:r>
          </w:p>
        </w:tc>
      </w:tr>
      <w:tr w:rsidR="00C97A74" w14:paraId="4443B313" w14:textId="77777777">
        <w:trPr>
          <w:trHeight w:val="292"/>
        </w:trPr>
        <w:tc>
          <w:tcPr>
            <w:tcW w:w="8928" w:type="dxa"/>
            <w:gridSpan w:val="2"/>
          </w:tcPr>
          <w:p w14:paraId="366E65C9" w14:textId="77777777" w:rsidR="00C97A74" w:rsidRDefault="006B6E8F">
            <w:pPr>
              <w:autoSpaceDE w:val="0"/>
              <w:autoSpaceDN w:val="0"/>
              <w:adjustRightInd w:val="0"/>
              <w:rPr>
                <w:szCs w:val="22"/>
                <w:lang w:val="hr-HR" w:eastAsia="hr-HR"/>
              </w:rPr>
            </w:pPr>
            <w:r>
              <w:rPr>
                <w:b/>
                <w:noProof/>
                <w:color w:val="000000"/>
                <w:szCs w:val="22"/>
                <w:lang w:val="hr-HR" w:eastAsia="hr-HR"/>
              </w:rPr>
              <w:t>Hepatobilijarni poremećaji</w:t>
            </w:r>
          </w:p>
        </w:tc>
      </w:tr>
      <w:tr w:rsidR="00C97A74" w14:paraId="6E31F5D6" w14:textId="77777777">
        <w:trPr>
          <w:trHeight w:val="288"/>
        </w:trPr>
        <w:tc>
          <w:tcPr>
            <w:tcW w:w="3888" w:type="dxa"/>
          </w:tcPr>
          <w:p w14:paraId="7439BEAF"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66553728" w14:textId="77777777" w:rsidR="00C97A74" w:rsidRDefault="006B6E8F">
            <w:pPr>
              <w:autoSpaceDE w:val="0"/>
              <w:autoSpaceDN w:val="0"/>
              <w:adjustRightInd w:val="0"/>
              <w:rPr>
                <w:szCs w:val="22"/>
                <w:lang w:val="hr-HR" w:eastAsia="hr-HR"/>
              </w:rPr>
            </w:pPr>
            <w:r>
              <w:rPr>
                <w:color w:val="000000"/>
                <w:szCs w:val="22"/>
                <w:lang w:val="hr-HR" w:eastAsia="hr-HR"/>
              </w:rPr>
              <w:t>povećanje vrijednosti parametara jetrene funkcije</w:t>
            </w:r>
          </w:p>
        </w:tc>
      </w:tr>
      <w:tr w:rsidR="00C97A74" w14:paraId="5967EB51" w14:textId="77777777">
        <w:trPr>
          <w:trHeight w:val="292"/>
        </w:trPr>
        <w:tc>
          <w:tcPr>
            <w:tcW w:w="8928" w:type="dxa"/>
            <w:gridSpan w:val="2"/>
          </w:tcPr>
          <w:p w14:paraId="0DB0F9B2" w14:textId="77777777" w:rsidR="00C97A74" w:rsidRDefault="006B6E8F">
            <w:pPr>
              <w:autoSpaceDE w:val="0"/>
              <w:autoSpaceDN w:val="0"/>
              <w:adjustRightInd w:val="0"/>
              <w:rPr>
                <w:szCs w:val="22"/>
                <w:lang w:val="hr-HR" w:eastAsia="hr-HR"/>
              </w:rPr>
            </w:pPr>
            <w:r>
              <w:rPr>
                <w:b/>
                <w:bCs/>
                <w:szCs w:val="22"/>
                <w:lang w:val="hr-HR" w:eastAsia="hr-HR"/>
              </w:rPr>
              <w:t>Poremećaji na nivou kože i potkožnog tkiva</w:t>
            </w:r>
          </w:p>
        </w:tc>
      </w:tr>
      <w:tr w:rsidR="00C97A74" w14:paraId="60A14153" w14:textId="77777777">
        <w:trPr>
          <w:trHeight w:val="288"/>
        </w:trPr>
        <w:tc>
          <w:tcPr>
            <w:tcW w:w="3888" w:type="dxa"/>
          </w:tcPr>
          <w:p w14:paraId="02BB7179"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6BFCE9C6" w14:textId="77777777" w:rsidR="00C97A74" w:rsidRDefault="006B6E8F">
            <w:pPr>
              <w:autoSpaceDE w:val="0"/>
              <w:autoSpaceDN w:val="0"/>
              <w:adjustRightInd w:val="0"/>
              <w:rPr>
                <w:szCs w:val="22"/>
                <w:lang w:val="hr-HR" w:eastAsia="hr-HR"/>
              </w:rPr>
            </w:pPr>
            <w:r>
              <w:rPr>
                <w:szCs w:val="22"/>
                <w:lang w:val="hr-HR" w:eastAsia="hr-HR"/>
              </w:rPr>
              <w:t xml:space="preserve">angioedem, </w:t>
            </w:r>
            <w:r>
              <w:rPr>
                <w:szCs w:val="22"/>
                <w:lang w:val="de-AT" w:eastAsia="hr-HR"/>
              </w:rPr>
              <w:t xml:space="preserve">bulozni dermatitis, </w:t>
            </w:r>
            <w:r>
              <w:rPr>
                <w:szCs w:val="22"/>
                <w:lang w:val="hr-HR" w:eastAsia="hr-HR"/>
              </w:rPr>
              <w:t>osip, pruritus</w:t>
            </w:r>
          </w:p>
        </w:tc>
      </w:tr>
      <w:tr w:rsidR="00C97A74" w14:paraId="1F2D6BCF" w14:textId="77777777">
        <w:trPr>
          <w:trHeight w:val="292"/>
        </w:trPr>
        <w:tc>
          <w:tcPr>
            <w:tcW w:w="8928" w:type="dxa"/>
            <w:gridSpan w:val="2"/>
          </w:tcPr>
          <w:p w14:paraId="2553E964" w14:textId="77777777" w:rsidR="00C97A74" w:rsidRDefault="006B6E8F">
            <w:pPr>
              <w:autoSpaceDE w:val="0"/>
              <w:autoSpaceDN w:val="0"/>
              <w:adjustRightInd w:val="0"/>
              <w:rPr>
                <w:szCs w:val="22"/>
                <w:lang w:val="hr-HR" w:eastAsia="hr-HR"/>
              </w:rPr>
            </w:pPr>
            <w:r>
              <w:rPr>
                <w:b/>
                <w:bCs/>
                <w:szCs w:val="22"/>
                <w:lang w:val="hr-HR" w:eastAsia="hr-HR"/>
              </w:rPr>
              <w:t>Poremećaji na nivou bubrega i urinarnog sistema</w:t>
            </w:r>
          </w:p>
        </w:tc>
      </w:tr>
      <w:tr w:rsidR="00C97A74" w14:paraId="5E9F01DF" w14:textId="77777777">
        <w:trPr>
          <w:trHeight w:val="288"/>
        </w:trPr>
        <w:tc>
          <w:tcPr>
            <w:tcW w:w="3888" w:type="dxa"/>
          </w:tcPr>
          <w:p w14:paraId="2C8DACCE" w14:textId="77777777" w:rsidR="00C97A74" w:rsidRDefault="006B6E8F">
            <w:pPr>
              <w:autoSpaceDE w:val="0"/>
              <w:autoSpaceDN w:val="0"/>
              <w:adjustRightInd w:val="0"/>
              <w:rPr>
                <w:szCs w:val="22"/>
                <w:lang w:val="hr-HR" w:eastAsia="hr-HR"/>
              </w:rPr>
            </w:pPr>
            <w:r>
              <w:rPr>
                <w:szCs w:val="22"/>
                <w:lang w:val="hr-HR" w:eastAsia="hr-HR"/>
              </w:rPr>
              <w:t>nepoznata učestalost</w:t>
            </w:r>
          </w:p>
        </w:tc>
        <w:tc>
          <w:tcPr>
            <w:tcW w:w="5040" w:type="dxa"/>
          </w:tcPr>
          <w:p w14:paraId="522B350C" w14:textId="77777777" w:rsidR="00C97A74" w:rsidRDefault="006B6E8F">
            <w:pPr>
              <w:autoSpaceDE w:val="0"/>
              <w:autoSpaceDN w:val="0"/>
              <w:adjustRightInd w:val="0"/>
              <w:rPr>
                <w:szCs w:val="22"/>
                <w:lang w:val="hr-HR" w:eastAsia="hr-HR"/>
              </w:rPr>
            </w:pPr>
            <w:r>
              <w:rPr>
                <w:szCs w:val="22"/>
                <w:lang w:val="hr-HR" w:eastAsia="hr-HR"/>
              </w:rPr>
              <w:t xml:space="preserve">bubrežna insuficijencija </w:t>
            </w:r>
          </w:p>
        </w:tc>
      </w:tr>
    </w:tbl>
    <w:p w14:paraId="1517B32A" w14:textId="77777777" w:rsidR="00C97A74" w:rsidRDefault="00C97A74">
      <w:pPr>
        <w:rPr>
          <w:szCs w:val="22"/>
        </w:rPr>
      </w:pPr>
    </w:p>
    <w:p w14:paraId="4940FBFE" w14:textId="77777777" w:rsidR="00C97A74" w:rsidRDefault="006B6E8F">
      <w:pPr>
        <w:keepNext/>
        <w:jc w:val="both"/>
        <w:outlineLvl w:val="0"/>
        <w:rPr>
          <w:szCs w:val="22"/>
          <w:u w:val="single"/>
          <w:lang w:val="hr-HR" w:eastAsia="hr-HR"/>
        </w:rPr>
      </w:pPr>
      <w:r>
        <w:rPr>
          <w:szCs w:val="22"/>
          <w:u w:val="single"/>
          <w:lang w:val="hr-HR" w:eastAsia="hr-HR"/>
        </w:rPr>
        <w:t xml:space="preserve">Tabela 3. Učestalost </w:t>
      </w:r>
      <w:r>
        <w:rPr>
          <w:bCs/>
          <w:szCs w:val="22"/>
          <w:u w:val="single"/>
          <w:lang w:val="hr-HR" w:eastAsia="hr-HR"/>
        </w:rPr>
        <w:t>neželjenih dejstava</w:t>
      </w:r>
      <w:r>
        <w:rPr>
          <w:szCs w:val="22"/>
          <w:u w:val="single"/>
          <w:lang w:val="hr-HR" w:eastAsia="hr-HR"/>
        </w:rPr>
        <w:t xml:space="preserve"> hidrohlortiazida</w:t>
      </w:r>
    </w:p>
    <w:p w14:paraId="5D101FC8" w14:textId="77777777" w:rsidR="00C97A74" w:rsidRDefault="00C97A74">
      <w:pPr>
        <w:jc w:val="both"/>
        <w:rPr>
          <w:szCs w:val="22"/>
          <w:u w:val="single"/>
          <w:lang w:val="hr-HR" w:eastAsia="hr-HR"/>
        </w:rPr>
      </w:pPr>
    </w:p>
    <w:p w14:paraId="4EA013B2" w14:textId="77777777" w:rsidR="00C97A74" w:rsidRDefault="006B6E8F">
      <w:pPr>
        <w:jc w:val="both"/>
        <w:rPr>
          <w:szCs w:val="22"/>
          <w:lang w:val="hr-HR" w:eastAsia="hr-HR"/>
        </w:rPr>
      </w:pPr>
      <w:r>
        <w:rPr>
          <w:szCs w:val="22"/>
          <w:lang w:val="hr-HR" w:eastAsia="hr-HR"/>
        </w:rPr>
        <w:t>Hidrohlortiazid se u velikoj mjeri propisuje dugi niz godina, često u dozama koje su veće od doza u lijeku Valsacombi. Sljedeća neželjena dejstva zabilježena su kod pacijenta liječenih samo tiazidnim diureticima, uključujući hidrohlortiazid:</w:t>
      </w:r>
    </w:p>
    <w:p w14:paraId="6E207DE9" w14:textId="77777777" w:rsidR="00C97A74" w:rsidRDefault="00C97A74">
      <w:pPr>
        <w:rPr>
          <w:szCs w:val="22"/>
          <w:lang w:val="hr-HR" w:eastAsia="hr-H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54"/>
        <w:gridCol w:w="4502"/>
      </w:tblGrid>
      <w:tr w:rsidR="00C97A74" w:rsidRPr="00653DA8" w14:paraId="4C9E5A4A" w14:textId="77777777">
        <w:trPr>
          <w:trHeight w:val="292"/>
        </w:trPr>
        <w:tc>
          <w:tcPr>
            <w:tcW w:w="9180" w:type="dxa"/>
            <w:gridSpan w:val="3"/>
          </w:tcPr>
          <w:p w14:paraId="6F8B4336" w14:textId="77777777" w:rsidR="00C97A74" w:rsidRPr="00CF3001" w:rsidRDefault="006B6E8F">
            <w:pPr>
              <w:autoSpaceDE w:val="0"/>
              <w:autoSpaceDN w:val="0"/>
              <w:adjustRightInd w:val="0"/>
              <w:rPr>
                <w:b/>
                <w:noProof/>
                <w:color w:val="000000"/>
                <w:szCs w:val="22"/>
                <w:lang w:val="sr-Latn-ME" w:eastAsia="hr-HR"/>
              </w:rPr>
            </w:pPr>
            <w:r w:rsidRPr="00CF3001">
              <w:rPr>
                <w:b/>
                <w:bCs/>
                <w:szCs w:val="22"/>
                <w:lang w:val="sr-Latn-ME"/>
              </w:rPr>
              <w:t>Neoplazme - benigne, maligne i neodređene (uključujući ciste i polipe)</w:t>
            </w:r>
          </w:p>
        </w:tc>
      </w:tr>
      <w:tr w:rsidR="00C97A74" w:rsidRPr="00653DA8" w14:paraId="31880809" w14:textId="77777777">
        <w:trPr>
          <w:trHeight w:val="292"/>
        </w:trPr>
        <w:tc>
          <w:tcPr>
            <w:tcW w:w="4678" w:type="dxa"/>
            <w:gridSpan w:val="2"/>
          </w:tcPr>
          <w:p w14:paraId="71FAA378" w14:textId="77777777" w:rsidR="00C97A74" w:rsidRPr="00CF3001" w:rsidRDefault="006B6E8F">
            <w:pPr>
              <w:autoSpaceDE w:val="0"/>
              <w:autoSpaceDN w:val="0"/>
              <w:adjustRightInd w:val="0"/>
              <w:rPr>
                <w:b/>
                <w:noProof/>
                <w:color w:val="000000"/>
                <w:szCs w:val="22"/>
                <w:lang w:val="sr-Latn-ME" w:eastAsia="hr-HR"/>
              </w:rPr>
            </w:pPr>
            <w:r w:rsidRPr="00CF3001">
              <w:rPr>
                <w:szCs w:val="22"/>
                <w:lang w:val="sr-Latn-ME" w:eastAsia="hr-HR"/>
              </w:rPr>
              <w:t>nepoznata učestalost</w:t>
            </w:r>
          </w:p>
        </w:tc>
        <w:tc>
          <w:tcPr>
            <w:tcW w:w="4502" w:type="dxa"/>
          </w:tcPr>
          <w:p w14:paraId="375E2396" w14:textId="77777777" w:rsidR="00C97A74" w:rsidRPr="00CF3001" w:rsidRDefault="006B6E8F">
            <w:pPr>
              <w:autoSpaceDE w:val="0"/>
              <w:autoSpaceDN w:val="0"/>
              <w:adjustRightInd w:val="0"/>
              <w:rPr>
                <w:b/>
                <w:noProof/>
                <w:color w:val="000000"/>
                <w:szCs w:val="22"/>
                <w:lang w:val="sr-Latn-ME" w:eastAsia="hr-HR"/>
              </w:rPr>
            </w:pPr>
            <w:r w:rsidRPr="00CF3001">
              <w:rPr>
                <w:szCs w:val="22"/>
                <w:lang w:val="sr-Latn-ME"/>
              </w:rPr>
              <w:t>nemelanomski karcinom kože (bazocelularni karcinom i planocelularni karcinom)</w:t>
            </w:r>
          </w:p>
        </w:tc>
      </w:tr>
      <w:tr w:rsidR="00C97A74" w:rsidRPr="00653DA8" w14:paraId="5354006C" w14:textId="77777777">
        <w:trPr>
          <w:trHeight w:val="292"/>
        </w:trPr>
        <w:tc>
          <w:tcPr>
            <w:tcW w:w="9180" w:type="dxa"/>
            <w:gridSpan w:val="3"/>
          </w:tcPr>
          <w:p w14:paraId="4AA9133E" w14:textId="77777777" w:rsidR="00C97A74" w:rsidRPr="00CF3001" w:rsidRDefault="006B6E8F">
            <w:pPr>
              <w:autoSpaceDE w:val="0"/>
              <w:autoSpaceDN w:val="0"/>
              <w:adjustRightInd w:val="0"/>
              <w:rPr>
                <w:szCs w:val="22"/>
                <w:lang w:val="sr-Latn-ME" w:eastAsia="hr-HR"/>
              </w:rPr>
            </w:pPr>
            <w:r w:rsidRPr="00CF3001">
              <w:rPr>
                <w:b/>
                <w:noProof/>
                <w:color w:val="000000"/>
                <w:szCs w:val="22"/>
                <w:lang w:val="sr-Latn-ME" w:eastAsia="hr-HR"/>
              </w:rPr>
              <w:t>Poremećaji na nivou krvi i limfnog sistema</w:t>
            </w:r>
          </w:p>
        </w:tc>
      </w:tr>
      <w:tr w:rsidR="00C97A74" w:rsidRPr="00653DA8" w14:paraId="77D35ECF" w14:textId="77777777">
        <w:trPr>
          <w:trHeight w:val="288"/>
        </w:trPr>
        <w:tc>
          <w:tcPr>
            <w:tcW w:w="4678" w:type="dxa"/>
            <w:gridSpan w:val="2"/>
          </w:tcPr>
          <w:p w14:paraId="58A11356"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Pr>
          <w:p w14:paraId="366FBDDC" w14:textId="77777777" w:rsidR="00C97A74" w:rsidRPr="00CF3001" w:rsidRDefault="006B6E8F">
            <w:pPr>
              <w:autoSpaceDE w:val="0"/>
              <w:autoSpaceDN w:val="0"/>
              <w:adjustRightInd w:val="0"/>
              <w:rPr>
                <w:szCs w:val="22"/>
                <w:lang w:val="sr-Latn-ME" w:eastAsia="hr-HR"/>
              </w:rPr>
            </w:pPr>
            <w:r w:rsidRPr="00CF3001">
              <w:rPr>
                <w:szCs w:val="22"/>
                <w:lang w:val="sr-Latn-ME" w:eastAsia="hr-HR"/>
              </w:rPr>
              <w:t>trombocitopenija, ponekad sa purpurom</w:t>
            </w:r>
          </w:p>
        </w:tc>
      </w:tr>
      <w:tr w:rsidR="00C97A74" w:rsidRPr="00653DA8" w14:paraId="69C1FDA6" w14:textId="77777777">
        <w:trPr>
          <w:trHeight w:val="543"/>
        </w:trPr>
        <w:tc>
          <w:tcPr>
            <w:tcW w:w="4678" w:type="dxa"/>
            <w:gridSpan w:val="2"/>
          </w:tcPr>
          <w:p w14:paraId="02E92CC1" w14:textId="77777777" w:rsidR="00C97A74" w:rsidRPr="00CF3001" w:rsidRDefault="006B6E8F">
            <w:pPr>
              <w:autoSpaceDE w:val="0"/>
              <w:autoSpaceDN w:val="0"/>
              <w:adjustRightInd w:val="0"/>
              <w:rPr>
                <w:szCs w:val="22"/>
                <w:lang w:val="sr-Latn-ME" w:eastAsia="hr-HR"/>
              </w:rPr>
            </w:pPr>
            <w:r w:rsidRPr="00CF3001">
              <w:rPr>
                <w:szCs w:val="22"/>
                <w:lang w:val="sr-Latn-ME" w:eastAsia="hr-HR"/>
              </w:rPr>
              <w:t>veoma rijetka</w:t>
            </w:r>
          </w:p>
        </w:tc>
        <w:tc>
          <w:tcPr>
            <w:tcW w:w="4502" w:type="dxa"/>
          </w:tcPr>
          <w:p w14:paraId="46669DD6" w14:textId="77777777" w:rsidR="00C97A74" w:rsidRPr="00CF3001" w:rsidRDefault="006B6E8F">
            <w:pPr>
              <w:autoSpaceDE w:val="0"/>
              <w:autoSpaceDN w:val="0"/>
              <w:adjustRightInd w:val="0"/>
              <w:rPr>
                <w:szCs w:val="22"/>
                <w:lang w:val="sr-Latn-ME" w:eastAsia="hr-HR"/>
              </w:rPr>
            </w:pPr>
            <w:r w:rsidRPr="00CF3001">
              <w:rPr>
                <w:szCs w:val="22"/>
                <w:lang w:val="sr-Latn-ME" w:eastAsia="hr-HR"/>
              </w:rPr>
              <w:t>agranulocitoza, leukopenija, hemolitička anemija, supresija koštane srži</w:t>
            </w:r>
          </w:p>
        </w:tc>
      </w:tr>
      <w:tr w:rsidR="00C97A74" w:rsidRPr="00653DA8" w14:paraId="4E5D4F7A" w14:textId="77777777">
        <w:trPr>
          <w:trHeight w:val="543"/>
        </w:trPr>
        <w:tc>
          <w:tcPr>
            <w:tcW w:w="4678" w:type="dxa"/>
            <w:gridSpan w:val="2"/>
          </w:tcPr>
          <w:p w14:paraId="522CB128" w14:textId="77777777" w:rsidR="00C97A74" w:rsidRPr="00CF3001" w:rsidRDefault="006B6E8F">
            <w:pPr>
              <w:rPr>
                <w:szCs w:val="22"/>
                <w:lang w:val="sr-Latn-ME" w:eastAsia="hr-HR"/>
              </w:rPr>
            </w:pPr>
            <w:r w:rsidRPr="00CF3001">
              <w:rPr>
                <w:szCs w:val="22"/>
                <w:lang w:val="sr-Latn-ME" w:eastAsia="en-GB"/>
              </w:rPr>
              <w:t>nepoznata učestalost</w:t>
            </w:r>
          </w:p>
        </w:tc>
        <w:tc>
          <w:tcPr>
            <w:tcW w:w="4502" w:type="dxa"/>
          </w:tcPr>
          <w:p w14:paraId="17951BEF" w14:textId="77777777" w:rsidR="00C97A74" w:rsidRPr="00CF3001" w:rsidRDefault="006B6E8F">
            <w:pPr>
              <w:rPr>
                <w:szCs w:val="22"/>
                <w:lang w:val="sr-Latn-ME" w:eastAsia="hr-HR"/>
              </w:rPr>
            </w:pPr>
            <w:r w:rsidRPr="00CF3001">
              <w:rPr>
                <w:szCs w:val="22"/>
                <w:lang w:val="sr-Latn-ME" w:eastAsia="en-GB"/>
              </w:rPr>
              <w:t>aplastična anemija</w:t>
            </w:r>
          </w:p>
        </w:tc>
      </w:tr>
      <w:tr w:rsidR="00C97A74" w:rsidRPr="00653DA8" w14:paraId="7306B4E7" w14:textId="77777777">
        <w:trPr>
          <w:trHeight w:val="292"/>
        </w:trPr>
        <w:tc>
          <w:tcPr>
            <w:tcW w:w="9180" w:type="dxa"/>
            <w:gridSpan w:val="3"/>
          </w:tcPr>
          <w:p w14:paraId="6CBEE93D" w14:textId="77777777" w:rsidR="00C97A74" w:rsidRPr="00CF3001" w:rsidRDefault="006B6E8F">
            <w:pPr>
              <w:autoSpaceDE w:val="0"/>
              <w:autoSpaceDN w:val="0"/>
              <w:adjustRightInd w:val="0"/>
              <w:rPr>
                <w:szCs w:val="22"/>
                <w:lang w:val="sr-Latn-ME" w:eastAsia="hr-HR"/>
              </w:rPr>
            </w:pPr>
            <w:r w:rsidRPr="00CF3001">
              <w:rPr>
                <w:b/>
                <w:szCs w:val="22"/>
                <w:lang w:val="sr-Latn-ME" w:eastAsia="sl-SI"/>
              </w:rPr>
              <w:t>Poremećaji imunog</w:t>
            </w:r>
            <w:r w:rsidRPr="00653DA8">
              <w:rPr>
                <w:b/>
                <w:bCs/>
                <w:i/>
                <w:iCs/>
                <w:szCs w:val="22"/>
                <w:lang w:val="sr-Latn-ME" w:eastAsia="sr-Latn-ME"/>
              </w:rPr>
              <w:t xml:space="preserve"> </w:t>
            </w:r>
            <w:r w:rsidRPr="00CF3001">
              <w:rPr>
                <w:b/>
                <w:bCs/>
                <w:szCs w:val="22"/>
                <w:lang w:val="sr-Latn-ME" w:eastAsia="hr-HR"/>
              </w:rPr>
              <w:t>sistema</w:t>
            </w:r>
          </w:p>
        </w:tc>
      </w:tr>
      <w:tr w:rsidR="00C97A74" w:rsidRPr="00653DA8" w14:paraId="0E74FEB7" w14:textId="77777777">
        <w:trPr>
          <w:trHeight w:val="288"/>
        </w:trPr>
        <w:tc>
          <w:tcPr>
            <w:tcW w:w="4678" w:type="dxa"/>
            <w:gridSpan w:val="2"/>
          </w:tcPr>
          <w:p w14:paraId="635709E9" w14:textId="77777777" w:rsidR="00C97A74" w:rsidRPr="00CF3001" w:rsidRDefault="006B6E8F">
            <w:pPr>
              <w:autoSpaceDE w:val="0"/>
              <w:autoSpaceDN w:val="0"/>
              <w:adjustRightInd w:val="0"/>
              <w:rPr>
                <w:szCs w:val="22"/>
                <w:lang w:val="sr-Latn-ME" w:eastAsia="hr-HR"/>
              </w:rPr>
            </w:pPr>
            <w:r w:rsidRPr="00CF3001">
              <w:rPr>
                <w:szCs w:val="22"/>
                <w:lang w:val="sr-Latn-ME" w:eastAsia="hr-HR"/>
              </w:rPr>
              <w:t>veoma rijetka</w:t>
            </w:r>
          </w:p>
        </w:tc>
        <w:tc>
          <w:tcPr>
            <w:tcW w:w="4502" w:type="dxa"/>
          </w:tcPr>
          <w:p w14:paraId="1D242390" w14:textId="77777777" w:rsidR="00C97A74" w:rsidRPr="00CF3001" w:rsidRDefault="006B6E8F">
            <w:pPr>
              <w:autoSpaceDE w:val="0"/>
              <w:autoSpaceDN w:val="0"/>
              <w:adjustRightInd w:val="0"/>
              <w:rPr>
                <w:szCs w:val="22"/>
                <w:lang w:val="sr-Latn-ME" w:eastAsia="hr-HR"/>
              </w:rPr>
            </w:pPr>
            <w:r w:rsidRPr="00CF3001">
              <w:rPr>
                <w:szCs w:val="22"/>
                <w:lang w:val="sr-Latn-ME" w:eastAsia="hr-HR"/>
              </w:rPr>
              <w:t>reakcije preosjetljivosti</w:t>
            </w:r>
          </w:p>
        </w:tc>
      </w:tr>
      <w:tr w:rsidR="00C97A74" w:rsidRPr="00653DA8" w14:paraId="00270990" w14:textId="77777777">
        <w:trPr>
          <w:trHeight w:val="288"/>
        </w:trPr>
        <w:tc>
          <w:tcPr>
            <w:tcW w:w="9180" w:type="dxa"/>
            <w:gridSpan w:val="3"/>
          </w:tcPr>
          <w:p w14:paraId="395C7D2F" w14:textId="77777777" w:rsidR="00C97A74" w:rsidRPr="00CF3001" w:rsidRDefault="00C97A74">
            <w:pPr>
              <w:autoSpaceDE w:val="0"/>
              <w:autoSpaceDN w:val="0"/>
              <w:adjustRightInd w:val="0"/>
              <w:rPr>
                <w:color w:val="FF0000"/>
                <w:szCs w:val="22"/>
                <w:lang w:val="sr-Latn-ME" w:eastAsia="hr-HR"/>
              </w:rPr>
            </w:pPr>
          </w:p>
          <w:tbl>
            <w:tblPr>
              <w:tblW w:w="0" w:type="auto"/>
              <w:tblCellSpacing w:w="0" w:type="dxa"/>
              <w:tblLayout w:type="fixed"/>
              <w:tblCellMar>
                <w:left w:w="0" w:type="dxa"/>
                <w:right w:w="0" w:type="dxa"/>
              </w:tblCellMar>
              <w:tblLook w:val="04A0" w:firstRow="1" w:lastRow="0" w:firstColumn="1" w:lastColumn="0" w:noHBand="0" w:noVBand="1"/>
            </w:tblPr>
            <w:tblGrid>
              <w:gridCol w:w="3406"/>
              <w:gridCol w:w="60"/>
            </w:tblGrid>
            <w:tr w:rsidR="00C97A74" w:rsidRPr="00653DA8" w14:paraId="27FAC03F" w14:textId="77777777">
              <w:trPr>
                <w:tblCellSpacing w:w="0" w:type="dxa"/>
              </w:trPr>
              <w:tc>
                <w:tcPr>
                  <w:tcW w:w="3406" w:type="dxa"/>
                  <w:vAlign w:val="center"/>
                  <w:hideMark/>
                </w:tcPr>
                <w:p w14:paraId="2C3B5196" w14:textId="77777777" w:rsidR="00C97A74" w:rsidRPr="00CF3001" w:rsidRDefault="006B6E8F">
                  <w:pPr>
                    <w:rPr>
                      <w:b/>
                      <w:szCs w:val="22"/>
                      <w:lang w:val="sr-Latn-ME"/>
                    </w:rPr>
                  </w:pPr>
                  <w:r w:rsidRPr="00CF3001">
                    <w:rPr>
                      <w:b/>
                      <w:szCs w:val="22"/>
                      <w:lang w:val="sr-Latn-ME"/>
                    </w:rPr>
                    <w:t>Poremećaji metabolizma i ishrane</w:t>
                  </w:r>
                </w:p>
              </w:tc>
              <w:tc>
                <w:tcPr>
                  <w:tcW w:w="60" w:type="dxa"/>
                  <w:vAlign w:val="center"/>
                  <w:hideMark/>
                </w:tcPr>
                <w:p w14:paraId="7AB5B557" w14:textId="77777777" w:rsidR="00C97A74" w:rsidRPr="00CF3001" w:rsidRDefault="006B6E8F">
                  <w:pPr>
                    <w:rPr>
                      <w:b/>
                      <w:szCs w:val="22"/>
                      <w:lang w:val="sr-Latn-ME"/>
                    </w:rPr>
                  </w:pPr>
                  <w:r w:rsidRPr="00CF3001">
                    <w:rPr>
                      <w:b/>
                      <w:szCs w:val="22"/>
                      <w:lang w:val="sr-Latn-ME"/>
                    </w:rPr>
                    <w:t> </w:t>
                  </w:r>
                </w:p>
              </w:tc>
            </w:tr>
          </w:tbl>
          <w:p w14:paraId="59ADEB41" w14:textId="77777777" w:rsidR="00C97A74" w:rsidRPr="00CF3001" w:rsidRDefault="00C97A74">
            <w:pPr>
              <w:autoSpaceDE w:val="0"/>
              <w:autoSpaceDN w:val="0"/>
              <w:adjustRightInd w:val="0"/>
              <w:rPr>
                <w:color w:val="FF0000"/>
                <w:szCs w:val="22"/>
                <w:lang w:val="sr-Latn-ME" w:eastAsia="hr-HR"/>
              </w:rPr>
            </w:pPr>
          </w:p>
        </w:tc>
      </w:tr>
      <w:tr w:rsidR="00C97A74" w:rsidRPr="00653DA8" w14:paraId="221A9DF6" w14:textId="77777777">
        <w:trPr>
          <w:trHeight w:val="288"/>
        </w:trPr>
        <w:tc>
          <w:tcPr>
            <w:tcW w:w="4624" w:type="dxa"/>
          </w:tcPr>
          <w:p w14:paraId="74A690D5" w14:textId="77777777" w:rsidR="00C97A74" w:rsidRPr="00CF3001" w:rsidRDefault="006B6E8F">
            <w:pPr>
              <w:rPr>
                <w:szCs w:val="22"/>
                <w:lang w:val="sr-Latn-ME" w:eastAsia="en-GB"/>
              </w:rPr>
            </w:pPr>
            <w:r w:rsidRPr="00CF3001">
              <w:rPr>
                <w:szCs w:val="22"/>
                <w:lang w:val="sr-Latn-ME" w:eastAsia="en-GB"/>
              </w:rPr>
              <w:t>veoma česta</w:t>
            </w:r>
          </w:p>
        </w:tc>
        <w:tc>
          <w:tcPr>
            <w:tcW w:w="4556" w:type="dxa"/>
            <w:gridSpan w:val="2"/>
          </w:tcPr>
          <w:p w14:paraId="350F2C13" w14:textId="77777777" w:rsidR="00C97A74" w:rsidRPr="00CF3001" w:rsidRDefault="006B6E8F">
            <w:pPr>
              <w:rPr>
                <w:szCs w:val="22"/>
                <w:lang w:val="sr-Latn-ME" w:eastAsia="en-GB"/>
              </w:rPr>
            </w:pPr>
            <w:r w:rsidRPr="00CF3001">
              <w:rPr>
                <w:szCs w:val="22"/>
                <w:lang w:val="sr-Latn-ME" w:eastAsia="en-GB"/>
              </w:rPr>
              <w:t>hipokalijemija, povišene vrijednosti lipida u krvi (uglavnom pri većim dozama)</w:t>
            </w:r>
          </w:p>
        </w:tc>
      </w:tr>
      <w:tr w:rsidR="00C97A74" w:rsidRPr="00653DA8" w14:paraId="650AE7F7" w14:textId="77777777">
        <w:trPr>
          <w:trHeight w:val="288"/>
        </w:trPr>
        <w:tc>
          <w:tcPr>
            <w:tcW w:w="4624" w:type="dxa"/>
          </w:tcPr>
          <w:p w14:paraId="722A9DA9" w14:textId="77777777" w:rsidR="00C97A74" w:rsidRPr="00CF3001" w:rsidRDefault="006B6E8F">
            <w:pPr>
              <w:rPr>
                <w:szCs w:val="22"/>
                <w:lang w:val="sr-Latn-ME" w:eastAsia="en-GB"/>
              </w:rPr>
            </w:pPr>
            <w:r w:rsidRPr="00CF3001">
              <w:rPr>
                <w:szCs w:val="22"/>
                <w:lang w:val="sr-Latn-ME" w:eastAsia="en-GB"/>
              </w:rPr>
              <w:t>česta</w:t>
            </w:r>
          </w:p>
        </w:tc>
        <w:tc>
          <w:tcPr>
            <w:tcW w:w="4556" w:type="dxa"/>
            <w:gridSpan w:val="2"/>
          </w:tcPr>
          <w:p w14:paraId="67EF5E8B" w14:textId="77777777" w:rsidR="00C97A74" w:rsidRPr="00CF3001" w:rsidRDefault="006B6E8F">
            <w:pPr>
              <w:rPr>
                <w:szCs w:val="22"/>
                <w:lang w:val="sr-Latn-ME" w:eastAsia="en-GB"/>
              </w:rPr>
            </w:pPr>
            <w:r w:rsidRPr="00CF3001">
              <w:rPr>
                <w:szCs w:val="22"/>
                <w:lang w:val="sr-Latn-ME" w:eastAsia="en-GB"/>
              </w:rPr>
              <w:t>hiponatrijemija, hipomagnezijemija, hiperurikemija</w:t>
            </w:r>
          </w:p>
        </w:tc>
      </w:tr>
      <w:tr w:rsidR="00C97A74" w:rsidRPr="00653DA8" w14:paraId="07F98D76" w14:textId="77777777">
        <w:trPr>
          <w:trHeight w:val="288"/>
        </w:trPr>
        <w:tc>
          <w:tcPr>
            <w:tcW w:w="4624" w:type="dxa"/>
          </w:tcPr>
          <w:p w14:paraId="6E71D707" w14:textId="77777777" w:rsidR="00C97A74" w:rsidRPr="00CF3001" w:rsidRDefault="006B6E8F">
            <w:pPr>
              <w:rPr>
                <w:szCs w:val="22"/>
                <w:lang w:val="sr-Latn-ME" w:eastAsia="en-GB"/>
              </w:rPr>
            </w:pPr>
            <w:r w:rsidRPr="00CF3001">
              <w:rPr>
                <w:szCs w:val="22"/>
                <w:lang w:val="sr-Latn-ME" w:eastAsia="en-GB"/>
              </w:rPr>
              <w:t>rijetka</w:t>
            </w:r>
          </w:p>
        </w:tc>
        <w:tc>
          <w:tcPr>
            <w:tcW w:w="4556" w:type="dxa"/>
            <w:gridSpan w:val="2"/>
          </w:tcPr>
          <w:p w14:paraId="205321C1" w14:textId="77777777" w:rsidR="00C97A74" w:rsidRPr="00CF3001" w:rsidRDefault="006B6E8F">
            <w:pPr>
              <w:jc w:val="both"/>
              <w:rPr>
                <w:szCs w:val="22"/>
                <w:lang w:val="sr-Latn-ME" w:eastAsia="en-GB"/>
              </w:rPr>
            </w:pPr>
            <w:r w:rsidRPr="00CF3001">
              <w:rPr>
                <w:szCs w:val="22"/>
                <w:lang w:val="sr-Latn-ME" w:eastAsia="en-GB"/>
              </w:rPr>
              <w:t>hiperkalcijemija, hiperglikemija, glikozurija i</w:t>
            </w:r>
          </w:p>
          <w:p w14:paraId="3042A67B" w14:textId="77777777" w:rsidR="00C97A74" w:rsidRPr="00CF3001" w:rsidRDefault="006B6E8F">
            <w:pPr>
              <w:rPr>
                <w:szCs w:val="22"/>
                <w:lang w:val="sr-Latn-ME" w:eastAsia="en-GB"/>
              </w:rPr>
            </w:pPr>
            <w:r w:rsidRPr="00CF3001">
              <w:rPr>
                <w:szCs w:val="22"/>
                <w:lang w:val="sr-Latn-ME" w:eastAsia="en-GB"/>
              </w:rPr>
              <w:t>pogoršanje dijabetičkog metaboličkog statusa</w:t>
            </w:r>
          </w:p>
        </w:tc>
      </w:tr>
      <w:tr w:rsidR="00C97A74" w:rsidRPr="00653DA8" w14:paraId="4505F3AF" w14:textId="77777777">
        <w:trPr>
          <w:trHeight w:val="288"/>
        </w:trPr>
        <w:tc>
          <w:tcPr>
            <w:tcW w:w="4624" w:type="dxa"/>
          </w:tcPr>
          <w:p w14:paraId="0BB49401" w14:textId="77777777" w:rsidR="00C97A74" w:rsidRPr="00CF3001" w:rsidRDefault="006B6E8F">
            <w:pPr>
              <w:rPr>
                <w:szCs w:val="22"/>
                <w:lang w:val="sr-Latn-ME" w:eastAsia="en-GB"/>
              </w:rPr>
            </w:pPr>
            <w:r w:rsidRPr="00CF3001">
              <w:rPr>
                <w:szCs w:val="22"/>
                <w:lang w:val="sr-Latn-ME" w:eastAsia="en-GB"/>
              </w:rPr>
              <w:t>veoma rijetka</w:t>
            </w:r>
          </w:p>
        </w:tc>
        <w:tc>
          <w:tcPr>
            <w:tcW w:w="4556" w:type="dxa"/>
            <w:gridSpan w:val="2"/>
          </w:tcPr>
          <w:p w14:paraId="299E9D51" w14:textId="77777777" w:rsidR="00C97A74" w:rsidRPr="00CF3001" w:rsidRDefault="006B6E8F">
            <w:pPr>
              <w:rPr>
                <w:szCs w:val="22"/>
                <w:lang w:val="sr-Latn-ME" w:eastAsia="en-GB"/>
              </w:rPr>
            </w:pPr>
            <w:r w:rsidRPr="00CF3001">
              <w:rPr>
                <w:szCs w:val="22"/>
                <w:lang w:val="sr-Latn-ME" w:eastAsia="en-GB"/>
              </w:rPr>
              <w:t>hipohloremijska alkaloza</w:t>
            </w:r>
          </w:p>
        </w:tc>
      </w:tr>
      <w:tr w:rsidR="00C97A74" w:rsidRPr="00653DA8" w14:paraId="26B51762" w14:textId="77777777">
        <w:trPr>
          <w:trHeight w:val="292"/>
        </w:trPr>
        <w:tc>
          <w:tcPr>
            <w:tcW w:w="9180" w:type="dxa"/>
            <w:gridSpan w:val="3"/>
          </w:tcPr>
          <w:p w14:paraId="10625073" w14:textId="77777777" w:rsidR="00C97A74" w:rsidRPr="00CF3001" w:rsidRDefault="006B6E8F">
            <w:pPr>
              <w:autoSpaceDE w:val="0"/>
              <w:autoSpaceDN w:val="0"/>
              <w:adjustRightInd w:val="0"/>
              <w:rPr>
                <w:szCs w:val="22"/>
                <w:lang w:val="sr-Latn-ME" w:eastAsia="hr-HR"/>
              </w:rPr>
            </w:pPr>
            <w:r w:rsidRPr="00CF3001">
              <w:rPr>
                <w:b/>
                <w:bCs/>
                <w:szCs w:val="22"/>
                <w:lang w:val="sr-Latn-ME" w:eastAsia="hr-HR"/>
              </w:rPr>
              <w:t>Psihijatrijski poremećaji</w:t>
            </w:r>
          </w:p>
        </w:tc>
      </w:tr>
      <w:tr w:rsidR="00C97A74" w:rsidRPr="00653DA8" w14:paraId="13B0E12A" w14:textId="77777777">
        <w:trPr>
          <w:trHeight w:val="288"/>
        </w:trPr>
        <w:tc>
          <w:tcPr>
            <w:tcW w:w="4678" w:type="dxa"/>
            <w:gridSpan w:val="2"/>
          </w:tcPr>
          <w:p w14:paraId="0C4EC8A5"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Pr>
          <w:p w14:paraId="457424B4" w14:textId="77777777" w:rsidR="00C97A74" w:rsidRPr="00CF3001" w:rsidRDefault="006B6E8F">
            <w:pPr>
              <w:autoSpaceDE w:val="0"/>
              <w:autoSpaceDN w:val="0"/>
              <w:adjustRightInd w:val="0"/>
              <w:rPr>
                <w:szCs w:val="22"/>
                <w:lang w:val="sr-Latn-ME" w:eastAsia="hr-HR"/>
              </w:rPr>
            </w:pPr>
            <w:r w:rsidRPr="00CF3001">
              <w:rPr>
                <w:szCs w:val="22"/>
                <w:lang w:val="sr-Latn-ME" w:eastAsia="hr-HR"/>
              </w:rPr>
              <w:t>depresija, poremećaji spavanja</w:t>
            </w:r>
          </w:p>
        </w:tc>
      </w:tr>
      <w:tr w:rsidR="00C97A74" w:rsidRPr="00653DA8" w14:paraId="2E2E280E" w14:textId="77777777">
        <w:trPr>
          <w:trHeight w:val="292"/>
        </w:trPr>
        <w:tc>
          <w:tcPr>
            <w:tcW w:w="9180" w:type="dxa"/>
            <w:gridSpan w:val="3"/>
          </w:tcPr>
          <w:p w14:paraId="03BABE96" w14:textId="77777777" w:rsidR="00C97A74" w:rsidRPr="00CF3001" w:rsidRDefault="006B6E8F">
            <w:pPr>
              <w:autoSpaceDE w:val="0"/>
              <w:autoSpaceDN w:val="0"/>
              <w:adjustRightInd w:val="0"/>
              <w:rPr>
                <w:szCs w:val="22"/>
                <w:lang w:val="sr-Latn-ME" w:eastAsia="hr-HR"/>
              </w:rPr>
            </w:pPr>
            <w:r w:rsidRPr="00CF3001">
              <w:rPr>
                <w:b/>
                <w:bCs/>
                <w:szCs w:val="22"/>
                <w:lang w:val="sr-Latn-ME" w:eastAsia="hr-HR"/>
              </w:rPr>
              <w:t>Poremećaji nervnog sistema</w:t>
            </w:r>
          </w:p>
        </w:tc>
      </w:tr>
      <w:tr w:rsidR="00C97A74" w:rsidRPr="00653DA8" w14:paraId="3EB02F34" w14:textId="77777777">
        <w:trPr>
          <w:trHeight w:val="288"/>
        </w:trPr>
        <w:tc>
          <w:tcPr>
            <w:tcW w:w="4678" w:type="dxa"/>
            <w:gridSpan w:val="2"/>
            <w:tcBorders>
              <w:bottom w:val="single" w:sz="4" w:space="0" w:color="auto"/>
            </w:tcBorders>
          </w:tcPr>
          <w:p w14:paraId="3BC37754"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Borders>
              <w:bottom w:val="single" w:sz="4" w:space="0" w:color="auto"/>
            </w:tcBorders>
          </w:tcPr>
          <w:p w14:paraId="54C5ADFA" w14:textId="77777777" w:rsidR="00C97A74" w:rsidRPr="00CF3001" w:rsidRDefault="006B6E8F">
            <w:pPr>
              <w:autoSpaceDE w:val="0"/>
              <w:autoSpaceDN w:val="0"/>
              <w:adjustRightInd w:val="0"/>
              <w:rPr>
                <w:szCs w:val="22"/>
                <w:lang w:val="sr-Latn-ME" w:eastAsia="hr-HR"/>
              </w:rPr>
            </w:pPr>
            <w:r w:rsidRPr="00CF3001">
              <w:rPr>
                <w:szCs w:val="22"/>
                <w:lang w:val="sr-Latn-ME" w:eastAsia="hr-HR"/>
              </w:rPr>
              <w:t>glavobolja,</w:t>
            </w:r>
            <w:r w:rsidRPr="00CF3001">
              <w:rPr>
                <w:szCs w:val="22"/>
                <w:lang w:val="sr-Latn-ME" w:eastAsia="sl-SI"/>
              </w:rPr>
              <w:t xml:space="preserve"> vertigo, parestezija</w:t>
            </w:r>
          </w:p>
        </w:tc>
      </w:tr>
      <w:tr w:rsidR="00C97A74" w:rsidRPr="00653DA8" w14:paraId="5F58A3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0"/>
        </w:trPr>
        <w:tc>
          <w:tcPr>
            <w:tcW w:w="9180" w:type="dxa"/>
            <w:gridSpan w:val="3"/>
            <w:tcBorders>
              <w:top w:val="single" w:sz="4" w:space="0" w:color="auto"/>
              <w:left w:val="single" w:sz="4" w:space="0" w:color="auto"/>
              <w:bottom w:val="single" w:sz="4" w:space="0" w:color="auto"/>
              <w:right w:val="single" w:sz="4" w:space="0" w:color="auto"/>
            </w:tcBorders>
          </w:tcPr>
          <w:p w14:paraId="080FC080" w14:textId="77777777" w:rsidR="00C97A74" w:rsidRPr="00CF3001" w:rsidRDefault="006B6E8F">
            <w:pPr>
              <w:rPr>
                <w:szCs w:val="22"/>
                <w:lang w:val="sr-Latn-ME" w:eastAsia="en-GB"/>
              </w:rPr>
            </w:pPr>
            <w:r w:rsidRPr="00CF3001">
              <w:rPr>
                <w:b/>
                <w:szCs w:val="22"/>
                <w:lang w:val="sr-Latn-ME" w:eastAsia="en-GB"/>
              </w:rPr>
              <w:t>Poremećaji na nivou oka</w:t>
            </w:r>
          </w:p>
        </w:tc>
      </w:tr>
      <w:tr w:rsidR="00C97A74" w:rsidRPr="00653DA8" w14:paraId="6C77F9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0"/>
        </w:trPr>
        <w:tc>
          <w:tcPr>
            <w:tcW w:w="4678" w:type="dxa"/>
            <w:gridSpan w:val="2"/>
            <w:tcBorders>
              <w:top w:val="single" w:sz="4" w:space="0" w:color="auto"/>
              <w:left w:val="single" w:sz="4" w:space="0" w:color="auto"/>
              <w:bottom w:val="single" w:sz="4" w:space="0" w:color="auto"/>
              <w:right w:val="single" w:sz="4" w:space="0" w:color="auto"/>
            </w:tcBorders>
          </w:tcPr>
          <w:p w14:paraId="668442E7" w14:textId="77777777" w:rsidR="00C97A74" w:rsidRPr="00CF3001" w:rsidRDefault="006B6E8F">
            <w:pPr>
              <w:rPr>
                <w:szCs w:val="22"/>
                <w:lang w:val="sr-Latn-ME" w:eastAsia="en-GB"/>
              </w:rPr>
            </w:pPr>
            <w:r w:rsidRPr="00CF3001">
              <w:rPr>
                <w:szCs w:val="22"/>
                <w:lang w:val="sr-Latn-ME" w:eastAsia="hr-HR"/>
              </w:rPr>
              <w:t>rijetka</w:t>
            </w:r>
          </w:p>
        </w:tc>
        <w:tc>
          <w:tcPr>
            <w:tcW w:w="4502" w:type="dxa"/>
            <w:tcBorders>
              <w:top w:val="single" w:sz="4" w:space="0" w:color="auto"/>
              <w:left w:val="single" w:sz="4" w:space="0" w:color="auto"/>
              <w:bottom w:val="single" w:sz="4" w:space="0" w:color="auto"/>
              <w:right w:val="single" w:sz="4" w:space="0" w:color="auto"/>
            </w:tcBorders>
          </w:tcPr>
          <w:p w14:paraId="7B0791F9" w14:textId="77777777" w:rsidR="00C97A74" w:rsidRPr="00CF3001" w:rsidRDefault="006B6E8F">
            <w:pPr>
              <w:rPr>
                <w:szCs w:val="22"/>
                <w:lang w:val="sr-Latn-ME" w:eastAsia="en-GB"/>
              </w:rPr>
            </w:pPr>
            <w:r w:rsidRPr="00CF3001">
              <w:rPr>
                <w:szCs w:val="22"/>
                <w:lang w:val="sr-Latn-ME" w:eastAsia="en-GB"/>
              </w:rPr>
              <w:t>oštećenje vida</w:t>
            </w:r>
          </w:p>
        </w:tc>
      </w:tr>
      <w:tr w:rsidR="00C97A74" w:rsidRPr="00653DA8" w14:paraId="7B99DC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0"/>
        </w:trPr>
        <w:tc>
          <w:tcPr>
            <w:tcW w:w="4678" w:type="dxa"/>
            <w:gridSpan w:val="2"/>
            <w:tcBorders>
              <w:top w:val="single" w:sz="4" w:space="0" w:color="auto"/>
              <w:left w:val="single" w:sz="4" w:space="0" w:color="auto"/>
              <w:bottom w:val="single" w:sz="4" w:space="0" w:color="auto"/>
              <w:right w:val="single" w:sz="4" w:space="0" w:color="auto"/>
            </w:tcBorders>
          </w:tcPr>
          <w:p w14:paraId="51ACF52E" w14:textId="77777777" w:rsidR="00C97A74" w:rsidRPr="00CF3001" w:rsidRDefault="006B6E8F">
            <w:pPr>
              <w:rPr>
                <w:szCs w:val="22"/>
                <w:lang w:val="sr-Latn-ME" w:eastAsia="en-GB"/>
              </w:rPr>
            </w:pPr>
            <w:r w:rsidRPr="00CF3001">
              <w:rPr>
                <w:szCs w:val="22"/>
                <w:lang w:val="sr-Latn-ME" w:eastAsia="en-GB"/>
              </w:rPr>
              <w:t>nepoznata učestalost</w:t>
            </w:r>
          </w:p>
        </w:tc>
        <w:tc>
          <w:tcPr>
            <w:tcW w:w="4502" w:type="dxa"/>
            <w:tcBorders>
              <w:top w:val="single" w:sz="4" w:space="0" w:color="auto"/>
              <w:left w:val="single" w:sz="4" w:space="0" w:color="auto"/>
              <w:bottom w:val="single" w:sz="4" w:space="0" w:color="auto"/>
              <w:right w:val="single" w:sz="4" w:space="0" w:color="auto"/>
            </w:tcBorders>
          </w:tcPr>
          <w:p w14:paraId="7346BBA7" w14:textId="77777777" w:rsidR="00C97A74" w:rsidRPr="00CF3001" w:rsidRDefault="006B6E8F">
            <w:pPr>
              <w:rPr>
                <w:szCs w:val="22"/>
                <w:lang w:val="sr-Latn-ME" w:eastAsia="en-GB"/>
              </w:rPr>
            </w:pPr>
            <w:r w:rsidRPr="00CF3001">
              <w:rPr>
                <w:szCs w:val="22"/>
                <w:lang w:val="sr-Latn-ME" w:eastAsia="en-GB"/>
              </w:rPr>
              <w:t>horoidalna efuzija, akutni glaukom zatvorenog ugla</w:t>
            </w:r>
          </w:p>
        </w:tc>
      </w:tr>
      <w:tr w:rsidR="00C97A74" w:rsidRPr="00653DA8" w14:paraId="2DF196A1" w14:textId="77777777">
        <w:trPr>
          <w:trHeight w:val="292"/>
        </w:trPr>
        <w:tc>
          <w:tcPr>
            <w:tcW w:w="9180" w:type="dxa"/>
            <w:gridSpan w:val="3"/>
          </w:tcPr>
          <w:p w14:paraId="58B1896A" w14:textId="77777777" w:rsidR="00C97A74" w:rsidRPr="00CF3001" w:rsidRDefault="006B6E8F">
            <w:pPr>
              <w:autoSpaceDE w:val="0"/>
              <w:autoSpaceDN w:val="0"/>
              <w:adjustRightInd w:val="0"/>
              <w:rPr>
                <w:szCs w:val="22"/>
                <w:lang w:val="sr-Latn-ME" w:eastAsia="hr-HR"/>
              </w:rPr>
            </w:pPr>
            <w:r w:rsidRPr="00CF3001">
              <w:rPr>
                <w:b/>
                <w:bCs/>
                <w:szCs w:val="22"/>
                <w:lang w:val="sr-Latn-ME" w:eastAsia="hr-HR"/>
              </w:rPr>
              <w:t>Kardiološki poremećaji</w:t>
            </w:r>
          </w:p>
        </w:tc>
      </w:tr>
      <w:tr w:rsidR="00C97A74" w:rsidRPr="00653DA8" w14:paraId="59F643EC" w14:textId="77777777">
        <w:trPr>
          <w:trHeight w:val="288"/>
        </w:trPr>
        <w:tc>
          <w:tcPr>
            <w:tcW w:w="4678" w:type="dxa"/>
            <w:gridSpan w:val="2"/>
          </w:tcPr>
          <w:p w14:paraId="282C6047"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Pr>
          <w:p w14:paraId="497649B3" w14:textId="77777777" w:rsidR="00C97A74" w:rsidRPr="00CF3001" w:rsidRDefault="006B6E8F">
            <w:pPr>
              <w:autoSpaceDE w:val="0"/>
              <w:autoSpaceDN w:val="0"/>
              <w:adjustRightInd w:val="0"/>
              <w:rPr>
                <w:szCs w:val="22"/>
                <w:lang w:val="sr-Latn-ME" w:eastAsia="hr-HR"/>
              </w:rPr>
            </w:pPr>
            <w:r w:rsidRPr="00CF3001">
              <w:rPr>
                <w:szCs w:val="22"/>
                <w:lang w:val="sr-Latn-ME" w:eastAsia="hr-HR"/>
              </w:rPr>
              <w:t>srčane aritmije</w:t>
            </w:r>
          </w:p>
        </w:tc>
      </w:tr>
      <w:tr w:rsidR="00C97A74" w:rsidRPr="00653DA8" w14:paraId="15DE49D5" w14:textId="77777777">
        <w:trPr>
          <w:trHeight w:val="292"/>
        </w:trPr>
        <w:tc>
          <w:tcPr>
            <w:tcW w:w="9180" w:type="dxa"/>
            <w:gridSpan w:val="3"/>
          </w:tcPr>
          <w:p w14:paraId="5798A427" w14:textId="77777777" w:rsidR="00C97A74" w:rsidRPr="00CF3001" w:rsidRDefault="006B6E8F">
            <w:pPr>
              <w:autoSpaceDE w:val="0"/>
              <w:autoSpaceDN w:val="0"/>
              <w:adjustRightInd w:val="0"/>
              <w:rPr>
                <w:szCs w:val="22"/>
                <w:lang w:val="sr-Latn-ME" w:eastAsia="hr-HR"/>
              </w:rPr>
            </w:pPr>
            <w:r w:rsidRPr="00CF3001">
              <w:rPr>
                <w:b/>
                <w:bCs/>
                <w:szCs w:val="22"/>
                <w:lang w:val="sr-Latn-ME" w:eastAsia="hr-HR"/>
              </w:rPr>
              <w:t>Vaskularni poremećaji</w:t>
            </w:r>
          </w:p>
        </w:tc>
      </w:tr>
      <w:tr w:rsidR="00C97A74" w:rsidRPr="00653DA8" w14:paraId="5E1023FB" w14:textId="77777777">
        <w:trPr>
          <w:trHeight w:val="288"/>
        </w:trPr>
        <w:tc>
          <w:tcPr>
            <w:tcW w:w="4678" w:type="dxa"/>
            <w:gridSpan w:val="2"/>
          </w:tcPr>
          <w:p w14:paraId="0BC325CE" w14:textId="77777777" w:rsidR="00C97A74" w:rsidRPr="00CF3001" w:rsidRDefault="006B6E8F">
            <w:pPr>
              <w:autoSpaceDE w:val="0"/>
              <w:autoSpaceDN w:val="0"/>
              <w:adjustRightInd w:val="0"/>
              <w:rPr>
                <w:szCs w:val="22"/>
                <w:lang w:val="sr-Latn-ME" w:eastAsia="hr-HR"/>
              </w:rPr>
            </w:pPr>
            <w:r w:rsidRPr="00CF3001">
              <w:rPr>
                <w:szCs w:val="22"/>
                <w:lang w:val="sr-Latn-ME" w:eastAsia="hr-HR"/>
              </w:rPr>
              <w:t>česta</w:t>
            </w:r>
          </w:p>
        </w:tc>
        <w:tc>
          <w:tcPr>
            <w:tcW w:w="4502" w:type="dxa"/>
          </w:tcPr>
          <w:p w14:paraId="588E16DE" w14:textId="77777777" w:rsidR="00C97A74" w:rsidRPr="00CF3001" w:rsidRDefault="006B6E8F">
            <w:pPr>
              <w:autoSpaceDE w:val="0"/>
              <w:autoSpaceDN w:val="0"/>
              <w:adjustRightInd w:val="0"/>
              <w:rPr>
                <w:szCs w:val="22"/>
                <w:lang w:val="sr-Latn-ME" w:eastAsia="hr-HR"/>
              </w:rPr>
            </w:pPr>
            <w:r w:rsidRPr="00CF3001">
              <w:rPr>
                <w:szCs w:val="22"/>
                <w:lang w:val="sr-Latn-ME" w:eastAsia="hr-HR"/>
              </w:rPr>
              <w:t>posturalna hipotenzija</w:t>
            </w:r>
          </w:p>
        </w:tc>
      </w:tr>
      <w:tr w:rsidR="00C97A74" w:rsidRPr="00653DA8" w14:paraId="5B479115" w14:textId="77777777">
        <w:trPr>
          <w:trHeight w:val="292"/>
        </w:trPr>
        <w:tc>
          <w:tcPr>
            <w:tcW w:w="9180" w:type="dxa"/>
            <w:gridSpan w:val="3"/>
          </w:tcPr>
          <w:p w14:paraId="2C412C27" w14:textId="77777777" w:rsidR="00C97A74" w:rsidRPr="00CF3001" w:rsidRDefault="006B6E8F">
            <w:pPr>
              <w:autoSpaceDE w:val="0"/>
              <w:autoSpaceDN w:val="0"/>
              <w:adjustRightInd w:val="0"/>
              <w:rPr>
                <w:szCs w:val="22"/>
                <w:lang w:val="sr-Latn-ME" w:eastAsia="hr-HR"/>
              </w:rPr>
            </w:pPr>
            <w:r w:rsidRPr="00CF3001">
              <w:rPr>
                <w:b/>
                <w:noProof/>
                <w:color w:val="000000"/>
                <w:szCs w:val="22"/>
                <w:lang w:val="sr-Latn-ME" w:eastAsia="hr-HR"/>
              </w:rPr>
              <w:t>Respiratorni, torakalni i medijastinalni poremećaji</w:t>
            </w:r>
          </w:p>
        </w:tc>
      </w:tr>
      <w:tr w:rsidR="00C97A74" w:rsidRPr="00653DA8" w14:paraId="291A4360" w14:textId="77777777">
        <w:trPr>
          <w:trHeight w:val="543"/>
        </w:trPr>
        <w:tc>
          <w:tcPr>
            <w:tcW w:w="4678" w:type="dxa"/>
            <w:gridSpan w:val="2"/>
          </w:tcPr>
          <w:p w14:paraId="6395C651" w14:textId="77777777" w:rsidR="00C97A74" w:rsidRPr="00CF3001" w:rsidRDefault="006B6E8F">
            <w:pPr>
              <w:autoSpaceDE w:val="0"/>
              <w:autoSpaceDN w:val="0"/>
              <w:adjustRightInd w:val="0"/>
              <w:rPr>
                <w:szCs w:val="22"/>
                <w:lang w:val="sr-Latn-ME" w:eastAsia="hr-HR"/>
              </w:rPr>
            </w:pPr>
            <w:r w:rsidRPr="00CF3001">
              <w:rPr>
                <w:szCs w:val="22"/>
                <w:lang w:val="sr-Latn-ME" w:eastAsia="hr-HR"/>
              </w:rPr>
              <w:lastRenderedPageBreak/>
              <w:t>veoma rijetka</w:t>
            </w:r>
          </w:p>
        </w:tc>
        <w:tc>
          <w:tcPr>
            <w:tcW w:w="4502" w:type="dxa"/>
          </w:tcPr>
          <w:p w14:paraId="03E5FCA7" w14:textId="77777777" w:rsidR="00C97A74" w:rsidRPr="00CF3001" w:rsidRDefault="006B6E8F">
            <w:pPr>
              <w:autoSpaceDE w:val="0"/>
              <w:autoSpaceDN w:val="0"/>
              <w:adjustRightInd w:val="0"/>
              <w:rPr>
                <w:szCs w:val="22"/>
                <w:lang w:val="sr-Latn-ME" w:eastAsia="hr-HR"/>
              </w:rPr>
            </w:pPr>
            <w:r w:rsidRPr="00CF3001">
              <w:rPr>
                <w:szCs w:val="22"/>
                <w:lang w:val="sr-Latn-ME" w:eastAsia="hr-HR"/>
              </w:rPr>
              <w:t>respiratorni distres uključujući pneumonitis i plućni edem, akutni respiratorni distres sindrom (ARDS) (vidjeti dio 4.4)</w:t>
            </w:r>
          </w:p>
        </w:tc>
      </w:tr>
      <w:tr w:rsidR="00C97A74" w:rsidRPr="00653DA8" w14:paraId="1FACA2F9" w14:textId="77777777">
        <w:trPr>
          <w:trHeight w:val="292"/>
        </w:trPr>
        <w:tc>
          <w:tcPr>
            <w:tcW w:w="9180" w:type="dxa"/>
            <w:gridSpan w:val="3"/>
          </w:tcPr>
          <w:p w14:paraId="6F976FE5" w14:textId="77777777" w:rsidR="00C97A74" w:rsidRPr="00CF3001" w:rsidRDefault="006B6E8F">
            <w:pPr>
              <w:autoSpaceDE w:val="0"/>
              <w:autoSpaceDN w:val="0"/>
              <w:adjustRightInd w:val="0"/>
              <w:rPr>
                <w:szCs w:val="22"/>
                <w:lang w:val="sr-Latn-ME" w:eastAsia="hr-HR"/>
              </w:rPr>
            </w:pPr>
            <w:r w:rsidRPr="00CF3001">
              <w:rPr>
                <w:b/>
                <w:bCs/>
                <w:szCs w:val="22"/>
                <w:lang w:val="sr-Latn-ME" w:eastAsia="hr-HR"/>
              </w:rPr>
              <w:t>Gastrointestinalni poremećaji</w:t>
            </w:r>
          </w:p>
        </w:tc>
      </w:tr>
      <w:tr w:rsidR="00C97A74" w:rsidRPr="00653DA8" w14:paraId="519065B8" w14:textId="77777777">
        <w:trPr>
          <w:trHeight w:val="288"/>
        </w:trPr>
        <w:tc>
          <w:tcPr>
            <w:tcW w:w="4678" w:type="dxa"/>
            <w:gridSpan w:val="2"/>
          </w:tcPr>
          <w:p w14:paraId="3CF4EAD2" w14:textId="77777777" w:rsidR="00C97A74" w:rsidRPr="00CF3001" w:rsidRDefault="006B6E8F">
            <w:pPr>
              <w:autoSpaceDE w:val="0"/>
              <w:autoSpaceDN w:val="0"/>
              <w:adjustRightInd w:val="0"/>
              <w:rPr>
                <w:szCs w:val="22"/>
                <w:lang w:val="sr-Latn-ME" w:eastAsia="hr-HR"/>
              </w:rPr>
            </w:pPr>
            <w:r w:rsidRPr="00CF3001">
              <w:rPr>
                <w:szCs w:val="22"/>
                <w:lang w:val="sr-Latn-ME" w:eastAsia="hr-HR"/>
              </w:rPr>
              <w:t>česta</w:t>
            </w:r>
          </w:p>
        </w:tc>
        <w:tc>
          <w:tcPr>
            <w:tcW w:w="4502" w:type="dxa"/>
          </w:tcPr>
          <w:p w14:paraId="1AE15541" w14:textId="77777777" w:rsidR="00C97A74" w:rsidRPr="00CF3001" w:rsidRDefault="006B6E8F">
            <w:pPr>
              <w:autoSpaceDE w:val="0"/>
              <w:autoSpaceDN w:val="0"/>
              <w:adjustRightInd w:val="0"/>
              <w:rPr>
                <w:szCs w:val="22"/>
                <w:lang w:val="sr-Latn-ME" w:eastAsia="hr-HR"/>
              </w:rPr>
            </w:pPr>
            <w:r w:rsidRPr="00CF3001">
              <w:rPr>
                <w:szCs w:val="22"/>
                <w:lang w:val="sr-Latn-ME" w:eastAsia="hr-HR"/>
              </w:rPr>
              <w:t>gubitak apetita, blaga nauzeja i povraćanje</w:t>
            </w:r>
          </w:p>
        </w:tc>
      </w:tr>
      <w:tr w:rsidR="00C97A74" w:rsidRPr="00653DA8" w14:paraId="4B2FE32C" w14:textId="77777777">
        <w:trPr>
          <w:trHeight w:val="288"/>
        </w:trPr>
        <w:tc>
          <w:tcPr>
            <w:tcW w:w="4678" w:type="dxa"/>
            <w:gridSpan w:val="2"/>
          </w:tcPr>
          <w:p w14:paraId="2B9B2C25"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Pr>
          <w:p w14:paraId="7AF95B48" w14:textId="77777777" w:rsidR="00C97A74" w:rsidRPr="00CF3001" w:rsidRDefault="006B6E8F">
            <w:pPr>
              <w:autoSpaceDE w:val="0"/>
              <w:autoSpaceDN w:val="0"/>
              <w:adjustRightInd w:val="0"/>
              <w:rPr>
                <w:szCs w:val="22"/>
                <w:lang w:val="sr-Latn-ME" w:eastAsia="hr-HR"/>
              </w:rPr>
            </w:pPr>
            <w:r w:rsidRPr="00CF3001">
              <w:rPr>
                <w:szCs w:val="22"/>
                <w:lang w:val="sr-Latn-ME" w:eastAsia="hr-HR"/>
              </w:rPr>
              <w:t>konstipacija, gastrointestinalna nelagodnost, dijareja</w:t>
            </w:r>
          </w:p>
        </w:tc>
      </w:tr>
      <w:tr w:rsidR="00C97A74" w:rsidRPr="00653DA8" w14:paraId="335A38BE" w14:textId="77777777">
        <w:trPr>
          <w:trHeight w:val="288"/>
        </w:trPr>
        <w:tc>
          <w:tcPr>
            <w:tcW w:w="4678" w:type="dxa"/>
            <w:gridSpan w:val="2"/>
          </w:tcPr>
          <w:p w14:paraId="072AFF4E" w14:textId="77777777" w:rsidR="00C97A74" w:rsidRPr="00CF3001" w:rsidRDefault="006B6E8F">
            <w:pPr>
              <w:autoSpaceDE w:val="0"/>
              <w:autoSpaceDN w:val="0"/>
              <w:adjustRightInd w:val="0"/>
              <w:rPr>
                <w:szCs w:val="22"/>
                <w:lang w:val="sr-Latn-ME" w:eastAsia="hr-HR"/>
              </w:rPr>
            </w:pPr>
            <w:r w:rsidRPr="00CF3001">
              <w:rPr>
                <w:szCs w:val="22"/>
                <w:lang w:val="sr-Latn-ME" w:eastAsia="hr-HR"/>
              </w:rPr>
              <w:t>veoma rijetka</w:t>
            </w:r>
          </w:p>
        </w:tc>
        <w:tc>
          <w:tcPr>
            <w:tcW w:w="4502" w:type="dxa"/>
          </w:tcPr>
          <w:p w14:paraId="17911187" w14:textId="77777777" w:rsidR="00C97A74" w:rsidRPr="00CF3001" w:rsidRDefault="006B6E8F">
            <w:pPr>
              <w:autoSpaceDE w:val="0"/>
              <w:autoSpaceDN w:val="0"/>
              <w:adjustRightInd w:val="0"/>
              <w:rPr>
                <w:szCs w:val="22"/>
                <w:lang w:val="sr-Latn-ME" w:eastAsia="hr-HR"/>
              </w:rPr>
            </w:pPr>
            <w:r w:rsidRPr="00CF3001">
              <w:rPr>
                <w:szCs w:val="22"/>
                <w:lang w:val="sr-Latn-ME" w:eastAsia="hr-HR"/>
              </w:rPr>
              <w:t>pankreatitis</w:t>
            </w:r>
          </w:p>
        </w:tc>
      </w:tr>
      <w:tr w:rsidR="00C97A74" w:rsidRPr="00653DA8" w14:paraId="4E65AAA8" w14:textId="77777777">
        <w:trPr>
          <w:trHeight w:val="292"/>
        </w:trPr>
        <w:tc>
          <w:tcPr>
            <w:tcW w:w="9180" w:type="dxa"/>
            <w:gridSpan w:val="3"/>
          </w:tcPr>
          <w:p w14:paraId="273F9C8E" w14:textId="77777777" w:rsidR="00C97A74" w:rsidRPr="00CF3001" w:rsidRDefault="006B6E8F">
            <w:pPr>
              <w:autoSpaceDE w:val="0"/>
              <w:autoSpaceDN w:val="0"/>
              <w:adjustRightInd w:val="0"/>
              <w:rPr>
                <w:szCs w:val="22"/>
                <w:lang w:val="sr-Latn-ME" w:eastAsia="hr-HR"/>
              </w:rPr>
            </w:pPr>
            <w:r w:rsidRPr="00CF3001">
              <w:rPr>
                <w:b/>
                <w:noProof/>
                <w:color w:val="000000"/>
                <w:szCs w:val="22"/>
                <w:lang w:val="sr-Latn-ME" w:eastAsia="hr-HR"/>
              </w:rPr>
              <w:t>Hepatobilijarni poremećaji</w:t>
            </w:r>
          </w:p>
        </w:tc>
      </w:tr>
      <w:tr w:rsidR="00C97A74" w:rsidRPr="00653DA8" w14:paraId="592D08A5" w14:textId="77777777">
        <w:trPr>
          <w:trHeight w:val="288"/>
        </w:trPr>
        <w:tc>
          <w:tcPr>
            <w:tcW w:w="4678" w:type="dxa"/>
            <w:gridSpan w:val="2"/>
          </w:tcPr>
          <w:p w14:paraId="2D50DC47"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Pr>
          <w:p w14:paraId="121F6331" w14:textId="77777777" w:rsidR="00C97A74" w:rsidRPr="00CF3001" w:rsidRDefault="006B6E8F">
            <w:pPr>
              <w:autoSpaceDE w:val="0"/>
              <w:autoSpaceDN w:val="0"/>
              <w:adjustRightInd w:val="0"/>
              <w:rPr>
                <w:szCs w:val="22"/>
                <w:lang w:val="sr-Latn-ME" w:eastAsia="hr-HR"/>
              </w:rPr>
            </w:pPr>
            <w:r w:rsidRPr="00CF3001">
              <w:rPr>
                <w:szCs w:val="22"/>
                <w:lang w:val="sr-Latn-ME" w:eastAsia="hr-HR"/>
              </w:rPr>
              <w:t>intrahepatična holestaza ili žutica</w:t>
            </w:r>
          </w:p>
        </w:tc>
      </w:tr>
      <w:tr w:rsidR="00C97A74" w:rsidRPr="00653DA8" w14:paraId="4833EA53" w14:textId="77777777">
        <w:trPr>
          <w:trHeight w:val="288"/>
        </w:trPr>
        <w:tc>
          <w:tcPr>
            <w:tcW w:w="9180" w:type="dxa"/>
            <w:gridSpan w:val="3"/>
          </w:tcPr>
          <w:p w14:paraId="2FB18479" w14:textId="77777777" w:rsidR="00C97A74" w:rsidRPr="00CF3001" w:rsidRDefault="006B6E8F">
            <w:pPr>
              <w:autoSpaceDE w:val="0"/>
              <w:autoSpaceDN w:val="0"/>
              <w:adjustRightInd w:val="0"/>
              <w:rPr>
                <w:szCs w:val="22"/>
                <w:lang w:val="sr-Latn-ME" w:eastAsia="hr-HR"/>
              </w:rPr>
            </w:pPr>
            <w:r w:rsidRPr="00CF3001">
              <w:rPr>
                <w:b/>
                <w:szCs w:val="22"/>
                <w:lang w:val="sr-Latn-ME" w:eastAsia="hr-HR"/>
              </w:rPr>
              <w:t>Poremećaji na nivou bubrega i urinarnog sistema</w:t>
            </w:r>
          </w:p>
        </w:tc>
      </w:tr>
      <w:tr w:rsidR="00C97A74" w:rsidRPr="00653DA8" w14:paraId="16E96BC9" w14:textId="77777777">
        <w:trPr>
          <w:trHeight w:val="288"/>
        </w:trPr>
        <w:tc>
          <w:tcPr>
            <w:tcW w:w="4678" w:type="dxa"/>
            <w:gridSpan w:val="2"/>
          </w:tcPr>
          <w:p w14:paraId="0AB1603A" w14:textId="77777777" w:rsidR="00C97A74" w:rsidRPr="00CF3001" w:rsidRDefault="006B6E8F">
            <w:pPr>
              <w:autoSpaceDE w:val="0"/>
              <w:autoSpaceDN w:val="0"/>
              <w:adjustRightInd w:val="0"/>
              <w:rPr>
                <w:b/>
                <w:szCs w:val="22"/>
                <w:lang w:val="sr-Latn-ME" w:eastAsia="hr-HR"/>
              </w:rPr>
            </w:pPr>
            <w:r w:rsidRPr="00CF3001">
              <w:rPr>
                <w:szCs w:val="22"/>
                <w:lang w:val="sr-Latn-ME" w:eastAsia="sl-SI"/>
              </w:rPr>
              <w:t>nepoznata učestalost</w:t>
            </w:r>
          </w:p>
        </w:tc>
        <w:tc>
          <w:tcPr>
            <w:tcW w:w="4502" w:type="dxa"/>
          </w:tcPr>
          <w:p w14:paraId="51C53E07" w14:textId="77777777" w:rsidR="00C97A74" w:rsidRPr="00CF3001" w:rsidRDefault="006B6E8F">
            <w:pPr>
              <w:autoSpaceDE w:val="0"/>
              <w:autoSpaceDN w:val="0"/>
              <w:adjustRightInd w:val="0"/>
              <w:rPr>
                <w:szCs w:val="22"/>
                <w:lang w:val="sr-Latn-ME" w:eastAsia="hr-HR"/>
              </w:rPr>
            </w:pPr>
            <w:r w:rsidRPr="00CF3001">
              <w:rPr>
                <w:szCs w:val="22"/>
                <w:lang w:val="sr-Latn-ME" w:eastAsia="hr-HR"/>
              </w:rPr>
              <w:t>renalna disfunkcija, akutna bubrežna insuficijencija</w:t>
            </w:r>
          </w:p>
        </w:tc>
      </w:tr>
      <w:tr w:rsidR="00C97A74" w:rsidRPr="00653DA8" w14:paraId="7D09B0B1" w14:textId="77777777">
        <w:trPr>
          <w:trHeight w:val="292"/>
        </w:trPr>
        <w:tc>
          <w:tcPr>
            <w:tcW w:w="9180" w:type="dxa"/>
            <w:gridSpan w:val="3"/>
          </w:tcPr>
          <w:p w14:paraId="13D8BE50" w14:textId="77777777" w:rsidR="00C97A74" w:rsidRPr="00CF3001" w:rsidRDefault="006B6E8F">
            <w:pPr>
              <w:autoSpaceDE w:val="0"/>
              <w:autoSpaceDN w:val="0"/>
              <w:adjustRightInd w:val="0"/>
              <w:rPr>
                <w:szCs w:val="22"/>
                <w:lang w:val="sr-Latn-ME" w:eastAsia="hr-HR"/>
              </w:rPr>
            </w:pPr>
            <w:r w:rsidRPr="00CF3001">
              <w:rPr>
                <w:b/>
                <w:bCs/>
                <w:szCs w:val="22"/>
                <w:lang w:val="sr-Latn-ME" w:eastAsia="hr-HR"/>
              </w:rPr>
              <w:t>Poremećaji na nivou kože i potkožnog tkiva</w:t>
            </w:r>
          </w:p>
        </w:tc>
      </w:tr>
      <w:tr w:rsidR="00C97A74" w:rsidRPr="00653DA8" w14:paraId="48772C8E" w14:textId="77777777">
        <w:trPr>
          <w:trHeight w:val="288"/>
        </w:trPr>
        <w:tc>
          <w:tcPr>
            <w:tcW w:w="4678" w:type="dxa"/>
            <w:gridSpan w:val="2"/>
          </w:tcPr>
          <w:p w14:paraId="77CC67E4" w14:textId="77777777" w:rsidR="00C97A74" w:rsidRPr="00CF3001" w:rsidRDefault="006B6E8F">
            <w:pPr>
              <w:autoSpaceDE w:val="0"/>
              <w:autoSpaceDN w:val="0"/>
              <w:adjustRightInd w:val="0"/>
              <w:rPr>
                <w:szCs w:val="22"/>
                <w:lang w:val="sr-Latn-ME" w:eastAsia="hr-HR"/>
              </w:rPr>
            </w:pPr>
            <w:r w:rsidRPr="00CF3001">
              <w:rPr>
                <w:szCs w:val="22"/>
                <w:lang w:val="sr-Latn-ME" w:eastAsia="hr-HR"/>
              </w:rPr>
              <w:t>česta</w:t>
            </w:r>
          </w:p>
        </w:tc>
        <w:tc>
          <w:tcPr>
            <w:tcW w:w="4502" w:type="dxa"/>
          </w:tcPr>
          <w:p w14:paraId="77BA7DC0" w14:textId="77777777" w:rsidR="00C97A74" w:rsidRPr="00CF3001" w:rsidRDefault="006B6E8F">
            <w:pPr>
              <w:autoSpaceDE w:val="0"/>
              <w:autoSpaceDN w:val="0"/>
              <w:adjustRightInd w:val="0"/>
              <w:rPr>
                <w:szCs w:val="22"/>
                <w:lang w:val="sr-Latn-ME" w:eastAsia="hr-HR"/>
              </w:rPr>
            </w:pPr>
            <w:r w:rsidRPr="00CF3001">
              <w:rPr>
                <w:szCs w:val="22"/>
                <w:lang w:val="sr-Latn-ME" w:eastAsia="hr-HR"/>
              </w:rPr>
              <w:t>urtikarija i drugi oblici ospe</w:t>
            </w:r>
          </w:p>
        </w:tc>
      </w:tr>
      <w:tr w:rsidR="00C97A74" w:rsidRPr="00653DA8" w14:paraId="050829C6" w14:textId="77777777">
        <w:trPr>
          <w:trHeight w:val="288"/>
        </w:trPr>
        <w:tc>
          <w:tcPr>
            <w:tcW w:w="4678" w:type="dxa"/>
            <w:gridSpan w:val="2"/>
          </w:tcPr>
          <w:p w14:paraId="1EF51C87" w14:textId="77777777" w:rsidR="00C97A74" w:rsidRPr="00CF3001" w:rsidRDefault="006B6E8F">
            <w:pPr>
              <w:autoSpaceDE w:val="0"/>
              <w:autoSpaceDN w:val="0"/>
              <w:adjustRightInd w:val="0"/>
              <w:rPr>
                <w:szCs w:val="22"/>
                <w:lang w:val="sr-Latn-ME" w:eastAsia="hr-HR"/>
              </w:rPr>
            </w:pPr>
            <w:r w:rsidRPr="00CF3001">
              <w:rPr>
                <w:szCs w:val="22"/>
                <w:lang w:val="sr-Latn-ME" w:eastAsia="hr-HR"/>
              </w:rPr>
              <w:t>rijetka</w:t>
            </w:r>
          </w:p>
        </w:tc>
        <w:tc>
          <w:tcPr>
            <w:tcW w:w="4502" w:type="dxa"/>
          </w:tcPr>
          <w:p w14:paraId="3C5431D2" w14:textId="77777777" w:rsidR="00C97A74" w:rsidRPr="00CF3001" w:rsidRDefault="006B6E8F">
            <w:pPr>
              <w:autoSpaceDE w:val="0"/>
              <w:autoSpaceDN w:val="0"/>
              <w:adjustRightInd w:val="0"/>
              <w:rPr>
                <w:szCs w:val="22"/>
                <w:lang w:val="sr-Latn-ME" w:eastAsia="hr-HR"/>
              </w:rPr>
            </w:pPr>
            <w:r w:rsidRPr="00CF3001">
              <w:rPr>
                <w:szCs w:val="22"/>
                <w:lang w:val="sr-Latn-ME" w:eastAsia="hr-HR"/>
              </w:rPr>
              <w:t>fotosenzitizacija</w:t>
            </w:r>
          </w:p>
        </w:tc>
      </w:tr>
      <w:tr w:rsidR="00C97A74" w:rsidRPr="00653DA8" w14:paraId="502F1C09" w14:textId="77777777">
        <w:trPr>
          <w:trHeight w:val="1052"/>
        </w:trPr>
        <w:tc>
          <w:tcPr>
            <w:tcW w:w="4678" w:type="dxa"/>
            <w:gridSpan w:val="2"/>
          </w:tcPr>
          <w:p w14:paraId="2537344C" w14:textId="77777777" w:rsidR="00C97A74" w:rsidRPr="00CF3001" w:rsidRDefault="006B6E8F">
            <w:pPr>
              <w:autoSpaceDE w:val="0"/>
              <w:autoSpaceDN w:val="0"/>
              <w:adjustRightInd w:val="0"/>
              <w:rPr>
                <w:szCs w:val="22"/>
                <w:lang w:val="sr-Latn-ME" w:eastAsia="hr-HR"/>
              </w:rPr>
            </w:pPr>
            <w:r w:rsidRPr="00CF3001">
              <w:rPr>
                <w:szCs w:val="22"/>
                <w:lang w:val="sr-Latn-ME" w:eastAsia="hr-HR"/>
              </w:rPr>
              <w:t>veoma rijetka</w:t>
            </w:r>
          </w:p>
        </w:tc>
        <w:tc>
          <w:tcPr>
            <w:tcW w:w="4502" w:type="dxa"/>
          </w:tcPr>
          <w:p w14:paraId="51DE1742" w14:textId="77777777" w:rsidR="00C97A74" w:rsidRPr="00CF3001" w:rsidRDefault="006B6E8F">
            <w:pPr>
              <w:autoSpaceDE w:val="0"/>
              <w:autoSpaceDN w:val="0"/>
              <w:adjustRightInd w:val="0"/>
              <w:rPr>
                <w:szCs w:val="22"/>
                <w:lang w:val="sr-Latn-ME" w:eastAsia="hr-HR"/>
              </w:rPr>
            </w:pPr>
            <w:r w:rsidRPr="00CF3001">
              <w:rPr>
                <w:szCs w:val="22"/>
                <w:lang w:val="sr-Latn-ME" w:eastAsia="hr-HR"/>
              </w:rPr>
              <w:t>nekrotizirajući vaskulitis i toksična epidermalna nekroliza, reakcije slične kožnom eritematoznom lupusu, reaktivacija kožnog eritematoznog lupusa</w:t>
            </w:r>
          </w:p>
        </w:tc>
      </w:tr>
      <w:tr w:rsidR="00C97A74" w:rsidRPr="00653DA8" w14:paraId="00907868" w14:textId="77777777">
        <w:trPr>
          <w:trHeight w:val="1052"/>
        </w:trPr>
        <w:tc>
          <w:tcPr>
            <w:tcW w:w="4678" w:type="dxa"/>
            <w:gridSpan w:val="2"/>
            <w:tcBorders>
              <w:bottom w:val="single" w:sz="4" w:space="0" w:color="auto"/>
            </w:tcBorders>
          </w:tcPr>
          <w:p w14:paraId="3A53760A" w14:textId="77777777" w:rsidR="00C97A74" w:rsidRPr="00CF3001" w:rsidRDefault="006B6E8F">
            <w:pPr>
              <w:rPr>
                <w:iCs/>
                <w:szCs w:val="22"/>
                <w:lang w:val="sr-Latn-ME" w:eastAsia="en-GB"/>
              </w:rPr>
            </w:pPr>
            <w:r w:rsidRPr="00CF3001">
              <w:rPr>
                <w:iCs/>
                <w:szCs w:val="22"/>
                <w:lang w:val="sr-Latn-ME" w:eastAsia="en-GB"/>
              </w:rPr>
              <w:t>nepoznata</w:t>
            </w:r>
          </w:p>
        </w:tc>
        <w:tc>
          <w:tcPr>
            <w:tcW w:w="4502" w:type="dxa"/>
            <w:tcBorders>
              <w:bottom w:val="single" w:sz="4" w:space="0" w:color="auto"/>
            </w:tcBorders>
          </w:tcPr>
          <w:p w14:paraId="2EE41F45" w14:textId="77777777" w:rsidR="00C97A74" w:rsidRPr="00CF3001" w:rsidRDefault="006B6E8F">
            <w:pPr>
              <w:autoSpaceDE w:val="0"/>
              <w:autoSpaceDN w:val="0"/>
              <w:adjustRightInd w:val="0"/>
              <w:rPr>
                <w:szCs w:val="22"/>
                <w:lang w:val="sr-Latn-ME" w:eastAsia="hr-HR"/>
              </w:rPr>
            </w:pPr>
            <w:r w:rsidRPr="00CF3001">
              <w:rPr>
                <w:szCs w:val="22"/>
                <w:lang w:val="sr-Latn-ME" w:eastAsia="sl-SI"/>
              </w:rPr>
              <w:t>erythema multiforme</w:t>
            </w:r>
          </w:p>
        </w:tc>
      </w:tr>
      <w:tr w:rsidR="00C97A74" w:rsidRPr="00653DA8" w14:paraId="476AA7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3"/>
            <w:tcBorders>
              <w:top w:val="single" w:sz="4" w:space="0" w:color="auto"/>
              <w:left w:val="single" w:sz="4" w:space="0" w:color="auto"/>
              <w:bottom w:val="single" w:sz="4" w:space="0" w:color="auto"/>
              <w:right w:val="single" w:sz="4" w:space="0" w:color="auto"/>
            </w:tcBorders>
          </w:tcPr>
          <w:p w14:paraId="4167D532" w14:textId="77777777" w:rsidR="00C97A74" w:rsidRPr="00CF3001" w:rsidRDefault="006B6E8F">
            <w:pPr>
              <w:rPr>
                <w:b/>
                <w:iCs/>
                <w:szCs w:val="22"/>
                <w:lang w:val="sr-Latn-ME" w:eastAsia="en-GB"/>
              </w:rPr>
            </w:pPr>
            <w:r w:rsidRPr="00CF3001">
              <w:rPr>
                <w:b/>
                <w:bCs/>
                <w:iCs/>
                <w:szCs w:val="22"/>
                <w:lang w:val="sr-Latn-ME" w:eastAsia="en-GB"/>
              </w:rPr>
              <w:t>Opšti poremećaji i reakcije na mjestu primjene</w:t>
            </w:r>
          </w:p>
        </w:tc>
      </w:tr>
      <w:tr w:rsidR="00C97A74" w:rsidRPr="00653DA8" w14:paraId="07F29A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678" w:type="dxa"/>
            <w:gridSpan w:val="2"/>
            <w:tcBorders>
              <w:top w:val="single" w:sz="4" w:space="0" w:color="auto"/>
              <w:left w:val="single" w:sz="4" w:space="0" w:color="auto"/>
              <w:bottom w:val="single" w:sz="4" w:space="0" w:color="auto"/>
              <w:right w:val="single" w:sz="4" w:space="0" w:color="auto"/>
            </w:tcBorders>
          </w:tcPr>
          <w:p w14:paraId="61A796C2" w14:textId="77777777" w:rsidR="00C97A74" w:rsidRPr="00CF3001" w:rsidRDefault="006B6E8F">
            <w:pPr>
              <w:rPr>
                <w:b/>
                <w:iCs/>
                <w:szCs w:val="22"/>
                <w:lang w:val="sr-Latn-ME" w:eastAsia="en-GB"/>
              </w:rPr>
            </w:pPr>
            <w:r w:rsidRPr="00CF3001">
              <w:rPr>
                <w:iCs/>
                <w:szCs w:val="22"/>
                <w:lang w:val="sr-Latn-ME" w:eastAsia="en-GB"/>
              </w:rPr>
              <w:t>nepoznata</w:t>
            </w:r>
          </w:p>
        </w:tc>
        <w:tc>
          <w:tcPr>
            <w:tcW w:w="4502" w:type="dxa"/>
            <w:tcBorders>
              <w:top w:val="single" w:sz="4" w:space="0" w:color="auto"/>
              <w:left w:val="single" w:sz="4" w:space="0" w:color="auto"/>
              <w:bottom w:val="single" w:sz="4" w:space="0" w:color="auto"/>
              <w:right w:val="single" w:sz="4" w:space="0" w:color="auto"/>
            </w:tcBorders>
          </w:tcPr>
          <w:p w14:paraId="754F8D74" w14:textId="77777777" w:rsidR="00C97A74" w:rsidRPr="00CF3001" w:rsidRDefault="006B6E8F">
            <w:pPr>
              <w:rPr>
                <w:b/>
                <w:iCs/>
                <w:szCs w:val="22"/>
                <w:lang w:val="sr-Latn-ME" w:eastAsia="en-GB"/>
              </w:rPr>
            </w:pPr>
            <w:r w:rsidRPr="00CF3001">
              <w:rPr>
                <w:szCs w:val="22"/>
                <w:lang w:val="sr-Latn-ME" w:eastAsia="en-GB"/>
              </w:rPr>
              <w:t>pireksija, astenija</w:t>
            </w:r>
          </w:p>
        </w:tc>
      </w:tr>
      <w:tr w:rsidR="00C97A74" w:rsidRPr="00653DA8" w14:paraId="235E66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3"/>
            <w:tcBorders>
              <w:top w:val="single" w:sz="4" w:space="0" w:color="auto"/>
              <w:left w:val="single" w:sz="4" w:space="0" w:color="auto"/>
              <w:bottom w:val="single" w:sz="4" w:space="0" w:color="auto"/>
              <w:right w:val="single" w:sz="4" w:space="0" w:color="auto"/>
            </w:tcBorders>
          </w:tcPr>
          <w:p w14:paraId="011BD246" w14:textId="77777777" w:rsidR="00C97A74" w:rsidRPr="00CF3001" w:rsidRDefault="006B6E8F">
            <w:pPr>
              <w:rPr>
                <w:b/>
                <w:szCs w:val="22"/>
                <w:lang w:val="sr-Latn-ME" w:eastAsia="en-GB"/>
              </w:rPr>
            </w:pPr>
            <w:r w:rsidRPr="00CF3001">
              <w:rPr>
                <w:b/>
                <w:bCs/>
                <w:iCs/>
                <w:szCs w:val="22"/>
                <w:lang w:val="sr-Latn-ME" w:eastAsia="en-GB"/>
              </w:rPr>
              <w:t xml:space="preserve">Poremećaji </w:t>
            </w:r>
            <w:r w:rsidRPr="00CF3001">
              <w:rPr>
                <w:b/>
                <w:bCs/>
                <w:szCs w:val="22"/>
                <w:lang w:val="sr-Latn-ME" w:eastAsia="en-GB"/>
              </w:rPr>
              <w:t>mišićno-kostnog sistema i vezivnog tkiva</w:t>
            </w:r>
          </w:p>
        </w:tc>
      </w:tr>
      <w:tr w:rsidR="00C97A74" w:rsidRPr="00653DA8" w14:paraId="746956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678" w:type="dxa"/>
            <w:gridSpan w:val="2"/>
            <w:tcBorders>
              <w:top w:val="single" w:sz="4" w:space="0" w:color="auto"/>
              <w:left w:val="single" w:sz="4" w:space="0" w:color="auto"/>
              <w:bottom w:val="single" w:sz="4" w:space="0" w:color="auto"/>
              <w:right w:val="single" w:sz="4" w:space="0" w:color="auto"/>
            </w:tcBorders>
          </w:tcPr>
          <w:p w14:paraId="7781ABC6" w14:textId="77777777" w:rsidR="00C97A74" w:rsidRPr="00CF3001" w:rsidRDefault="006B6E8F">
            <w:pPr>
              <w:rPr>
                <w:iCs/>
                <w:szCs w:val="22"/>
                <w:lang w:val="sr-Latn-ME" w:eastAsia="en-GB"/>
              </w:rPr>
            </w:pPr>
            <w:r w:rsidRPr="00CF3001">
              <w:rPr>
                <w:iCs/>
                <w:szCs w:val="22"/>
                <w:lang w:val="sr-Latn-ME" w:eastAsia="en-GB"/>
              </w:rPr>
              <w:t>nepoznata</w:t>
            </w:r>
          </w:p>
        </w:tc>
        <w:tc>
          <w:tcPr>
            <w:tcW w:w="4502" w:type="dxa"/>
            <w:tcBorders>
              <w:top w:val="single" w:sz="4" w:space="0" w:color="auto"/>
              <w:left w:val="single" w:sz="4" w:space="0" w:color="auto"/>
              <w:bottom w:val="single" w:sz="4" w:space="0" w:color="auto"/>
              <w:right w:val="single" w:sz="4" w:space="0" w:color="auto"/>
            </w:tcBorders>
          </w:tcPr>
          <w:p w14:paraId="44A7CCD1" w14:textId="77777777" w:rsidR="00C97A74" w:rsidRPr="00CF3001" w:rsidRDefault="006B6E8F">
            <w:pPr>
              <w:rPr>
                <w:szCs w:val="22"/>
                <w:lang w:val="sr-Latn-ME" w:eastAsia="en-GB"/>
              </w:rPr>
            </w:pPr>
            <w:r w:rsidRPr="00CF3001">
              <w:rPr>
                <w:szCs w:val="22"/>
                <w:lang w:val="sr-Latn-ME" w:eastAsia="en-GB"/>
              </w:rPr>
              <w:t>spazam mišića</w:t>
            </w:r>
          </w:p>
        </w:tc>
      </w:tr>
      <w:tr w:rsidR="00C97A74" w:rsidRPr="00653DA8" w14:paraId="0A8504ED" w14:textId="77777777">
        <w:trPr>
          <w:trHeight w:val="292"/>
        </w:trPr>
        <w:tc>
          <w:tcPr>
            <w:tcW w:w="9180" w:type="dxa"/>
            <w:gridSpan w:val="3"/>
          </w:tcPr>
          <w:p w14:paraId="081AE30C" w14:textId="77777777" w:rsidR="00C97A74" w:rsidRPr="00CF3001" w:rsidRDefault="006B6E8F">
            <w:pPr>
              <w:autoSpaceDE w:val="0"/>
              <w:autoSpaceDN w:val="0"/>
              <w:adjustRightInd w:val="0"/>
              <w:rPr>
                <w:szCs w:val="22"/>
                <w:lang w:val="sr-Latn-ME" w:eastAsia="hr-HR"/>
              </w:rPr>
            </w:pPr>
            <w:r w:rsidRPr="00CF3001">
              <w:rPr>
                <w:b/>
                <w:bCs/>
                <w:iCs/>
                <w:noProof/>
                <w:szCs w:val="22"/>
                <w:lang w:val="sr-Latn-ME" w:eastAsia="hr-HR"/>
              </w:rPr>
              <w:t>Poremećaji reproduktivnog sistema i na nivou dojki</w:t>
            </w:r>
          </w:p>
        </w:tc>
      </w:tr>
      <w:tr w:rsidR="00C97A74" w:rsidRPr="00653DA8" w14:paraId="520A23E6" w14:textId="77777777">
        <w:trPr>
          <w:trHeight w:val="292"/>
        </w:trPr>
        <w:tc>
          <w:tcPr>
            <w:tcW w:w="4678" w:type="dxa"/>
            <w:gridSpan w:val="2"/>
          </w:tcPr>
          <w:p w14:paraId="2C1AA91A" w14:textId="77777777" w:rsidR="00C97A74" w:rsidRPr="00CF3001" w:rsidRDefault="006B6E8F">
            <w:pPr>
              <w:autoSpaceDE w:val="0"/>
              <w:autoSpaceDN w:val="0"/>
              <w:adjustRightInd w:val="0"/>
              <w:rPr>
                <w:szCs w:val="22"/>
                <w:lang w:val="sr-Latn-ME" w:eastAsia="hr-HR"/>
              </w:rPr>
            </w:pPr>
            <w:r w:rsidRPr="00CF3001">
              <w:rPr>
                <w:szCs w:val="22"/>
                <w:lang w:val="sr-Latn-ME" w:eastAsia="hr-HR"/>
              </w:rPr>
              <w:t>Česta</w:t>
            </w:r>
          </w:p>
        </w:tc>
        <w:tc>
          <w:tcPr>
            <w:tcW w:w="4502" w:type="dxa"/>
          </w:tcPr>
          <w:p w14:paraId="15D61C58" w14:textId="77777777" w:rsidR="00C97A74" w:rsidRPr="00CF3001" w:rsidRDefault="006B6E8F">
            <w:pPr>
              <w:autoSpaceDE w:val="0"/>
              <w:autoSpaceDN w:val="0"/>
              <w:adjustRightInd w:val="0"/>
              <w:rPr>
                <w:szCs w:val="22"/>
                <w:lang w:val="sr-Latn-ME" w:eastAsia="hr-HR"/>
              </w:rPr>
            </w:pPr>
            <w:r w:rsidRPr="00CF3001">
              <w:rPr>
                <w:szCs w:val="22"/>
                <w:lang w:val="sr-Latn-ME" w:eastAsia="hr-HR"/>
              </w:rPr>
              <w:t>impotencija</w:t>
            </w:r>
          </w:p>
        </w:tc>
      </w:tr>
    </w:tbl>
    <w:p w14:paraId="6A1016C7" w14:textId="77777777" w:rsidR="00C97A74" w:rsidRPr="00CF3001" w:rsidRDefault="006B6E8F">
      <w:pPr>
        <w:jc w:val="both"/>
        <w:rPr>
          <w:szCs w:val="22"/>
          <w:lang w:val="sr-Latn-ME" w:eastAsia="sl-SI"/>
        </w:rPr>
      </w:pPr>
      <w:r w:rsidRPr="00CF3001">
        <w:rPr>
          <w:szCs w:val="22"/>
          <w:vertAlign w:val="superscript"/>
          <w:lang w:val="sr-Latn-ME" w:eastAsia="sl-SI"/>
        </w:rPr>
        <w:t>1</w:t>
      </w:r>
      <w:r w:rsidRPr="00CF3001">
        <w:rPr>
          <w:lang w:val="sr-Latn-ME"/>
        </w:rPr>
        <w:t>N</w:t>
      </w:r>
      <w:r w:rsidRPr="00CF3001">
        <w:rPr>
          <w:szCs w:val="22"/>
          <w:lang w:val="sr-Latn-ME" w:eastAsia="sl-SI"/>
        </w:rPr>
        <w:t>emelanomski karcinom kože: Na osnovu dostupnih podataka iz epidemioloških studija, između hidrohlortiazida i nemelanomskog karcinoma kože (NMSC) zapažena je povezanost zavisna od kumulativne doze (vidjeti i djelove 4.4 Posebna upozorenja i mjere opreza pri upotrebi lijeka i 5.1 Farmakodinamski podaci).</w:t>
      </w:r>
    </w:p>
    <w:p w14:paraId="0646C389" w14:textId="77777777" w:rsidR="00C97A74" w:rsidRPr="00CF3001" w:rsidRDefault="00C97A74">
      <w:pPr>
        <w:rPr>
          <w:szCs w:val="22"/>
          <w:lang w:val="sr-Latn-ME" w:eastAsia="hr-HR"/>
        </w:rPr>
      </w:pPr>
    </w:p>
    <w:p w14:paraId="63C8202E" w14:textId="77777777" w:rsidR="00C97A74" w:rsidRPr="00CF3001" w:rsidRDefault="006B6E8F">
      <w:pPr>
        <w:spacing w:line="276" w:lineRule="auto"/>
        <w:jc w:val="both"/>
        <w:rPr>
          <w:rFonts w:eastAsia="Calibri"/>
          <w:szCs w:val="22"/>
          <w:u w:val="single"/>
          <w:lang w:val="sr-Latn-ME"/>
        </w:rPr>
      </w:pPr>
      <w:r w:rsidRPr="00CF3001">
        <w:rPr>
          <w:rFonts w:eastAsia="Calibri"/>
          <w:szCs w:val="22"/>
          <w:u w:val="single"/>
          <w:lang w:val="sr-Latn-ME"/>
        </w:rPr>
        <w:t>Prijavljivanje sumnji na neželjena dejstva</w:t>
      </w:r>
    </w:p>
    <w:p w14:paraId="0F877482" w14:textId="77777777" w:rsidR="00C97A74" w:rsidRPr="00CF3001" w:rsidRDefault="006B6E8F">
      <w:pPr>
        <w:jc w:val="both"/>
        <w:rPr>
          <w:rFonts w:eastAsia="Calibri"/>
          <w:szCs w:val="22"/>
          <w:lang w:val="sr-Latn-ME"/>
        </w:rPr>
      </w:pPr>
      <w:r w:rsidRPr="00CF300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A8D5300" w14:textId="77777777" w:rsidR="00653DA8" w:rsidRDefault="00653DA8">
      <w:pPr>
        <w:tabs>
          <w:tab w:val="clear" w:pos="567"/>
        </w:tabs>
        <w:spacing w:line="240" w:lineRule="auto"/>
        <w:jc w:val="both"/>
        <w:rPr>
          <w:rFonts w:eastAsia="Calibri"/>
          <w:szCs w:val="22"/>
          <w:lang w:val="sr-Latn-ME"/>
        </w:rPr>
      </w:pPr>
    </w:p>
    <w:p w14:paraId="7AB6148B" w14:textId="77777777" w:rsidR="00C97A74" w:rsidRPr="00CF3001" w:rsidRDefault="006B6E8F">
      <w:pPr>
        <w:tabs>
          <w:tab w:val="clear" w:pos="567"/>
        </w:tabs>
        <w:spacing w:line="240" w:lineRule="auto"/>
        <w:jc w:val="both"/>
        <w:rPr>
          <w:rFonts w:eastAsia="Calibri"/>
          <w:szCs w:val="22"/>
          <w:lang w:val="sr-Latn-ME"/>
        </w:rPr>
      </w:pPr>
      <w:r w:rsidRPr="00CF3001">
        <w:rPr>
          <w:rFonts w:eastAsia="Calibri"/>
          <w:szCs w:val="22"/>
          <w:lang w:val="sr-Latn-ME"/>
        </w:rPr>
        <w:t xml:space="preserve">Institut za ljekove i medicinska sredstva </w:t>
      </w:r>
    </w:p>
    <w:p w14:paraId="363F07C4" w14:textId="77777777" w:rsidR="00C97A74" w:rsidRPr="00CF3001" w:rsidRDefault="006B6E8F">
      <w:pPr>
        <w:tabs>
          <w:tab w:val="clear" w:pos="567"/>
        </w:tabs>
        <w:spacing w:line="240" w:lineRule="auto"/>
        <w:jc w:val="both"/>
        <w:rPr>
          <w:rFonts w:eastAsia="Calibri"/>
          <w:szCs w:val="22"/>
          <w:lang w:val="sr-Latn-ME"/>
        </w:rPr>
      </w:pPr>
      <w:r w:rsidRPr="00CF3001">
        <w:rPr>
          <w:rFonts w:eastAsia="Calibri"/>
          <w:szCs w:val="22"/>
          <w:lang w:val="sr-Latn-ME"/>
        </w:rPr>
        <w:t>Odjeljenje za farmakovigilancu</w:t>
      </w:r>
    </w:p>
    <w:p w14:paraId="15017D00" w14:textId="31435C67" w:rsidR="00C97A74" w:rsidRPr="00CF3001" w:rsidRDefault="006B6E8F" w:rsidP="00CF3001">
      <w:pPr>
        <w:tabs>
          <w:tab w:val="clear" w:pos="567"/>
        </w:tabs>
        <w:spacing w:line="240" w:lineRule="auto"/>
        <w:jc w:val="both"/>
        <w:rPr>
          <w:rFonts w:eastAsia="Calibri"/>
          <w:szCs w:val="22"/>
          <w:lang w:val="sr-Latn-ME"/>
        </w:rPr>
      </w:pPr>
      <w:r w:rsidRPr="00CF3001">
        <w:rPr>
          <w:rFonts w:eastAsia="Calibri"/>
          <w:szCs w:val="22"/>
          <w:lang w:val="sr-Latn-ME"/>
        </w:rPr>
        <w:t>Bulevar Ivana Crnojevića 64a, 81000 Podgorica</w:t>
      </w:r>
    </w:p>
    <w:p w14:paraId="75252B29" w14:textId="77777777" w:rsidR="00C97A74" w:rsidRDefault="006B6E8F">
      <w:pPr>
        <w:tabs>
          <w:tab w:val="clear" w:pos="567"/>
        </w:tabs>
        <w:spacing w:line="240" w:lineRule="auto"/>
        <w:jc w:val="both"/>
        <w:rPr>
          <w:rFonts w:eastAsia="Calibri"/>
          <w:szCs w:val="22"/>
          <w:lang w:val="sr-Latn-RS"/>
        </w:rPr>
      </w:pPr>
      <w:r>
        <w:rPr>
          <w:rFonts w:eastAsia="Calibri"/>
          <w:szCs w:val="22"/>
          <w:lang w:val="sr-Latn-RS"/>
        </w:rPr>
        <w:t>tel: +382 (0) 20 310 280</w:t>
      </w:r>
    </w:p>
    <w:p w14:paraId="2DF5ACA5" w14:textId="77777777" w:rsidR="00C97A74" w:rsidRDefault="006B6E8F">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14:paraId="44ED0D62" w14:textId="77777777" w:rsidR="00C97A74" w:rsidRDefault="000A7B4E">
      <w:pPr>
        <w:tabs>
          <w:tab w:val="clear" w:pos="567"/>
        </w:tabs>
        <w:spacing w:line="240" w:lineRule="auto"/>
        <w:jc w:val="both"/>
        <w:rPr>
          <w:rFonts w:eastAsia="Calibri"/>
          <w:szCs w:val="22"/>
          <w:lang w:val="sr-Latn-RS"/>
        </w:rPr>
      </w:pPr>
      <w:hyperlink r:id="rId7" w:history="1">
        <w:r w:rsidR="006B6E8F">
          <w:rPr>
            <w:rFonts w:eastAsia="Calibri"/>
            <w:color w:val="0000FF"/>
            <w:szCs w:val="22"/>
            <w:u w:val="single"/>
            <w:lang w:val="sr-Latn-RS"/>
          </w:rPr>
          <w:t>www.cinmed.me</w:t>
        </w:r>
      </w:hyperlink>
    </w:p>
    <w:p w14:paraId="55274177" w14:textId="77777777" w:rsidR="00C97A74" w:rsidRDefault="000A7B4E">
      <w:pPr>
        <w:tabs>
          <w:tab w:val="clear" w:pos="567"/>
        </w:tabs>
        <w:spacing w:line="240" w:lineRule="auto"/>
        <w:jc w:val="both"/>
        <w:rPr>
          <w:rFonts w:eastAsia="Calibri"/>
          <w:color w:val="0000FF"/>
          <w:szCs w:val="22"/>
          <w:u w:val="single"/>
          <w:lang w:val="sr-Latn-RS"/>
        </w:rPr>
      </w:pPr>
      <w:hyperlink r:id="rId8" w:history="1">
        <w:r w:rsidR="006B6E8F">
          <w:rPr>
            <w:rFonts w:eastAsia="Calibri"/>
            <w:color w:val="0000FF"/>
            <w:szCs w:val="22"/>
            <w:u w:val="single"/>
            <w:lang w:val="sr-Latn-RS"/>
          </w:rPr>
          <w:t>nezeljenadejstva@cinmed.me</w:t>
        </w:r>
      </w:hyperlink>
    </w:p>
    <w:p w14:paraId="5E075C67" w14:textId="77777777" w:rsidR="00C97A74" w:rsidRDefault="006B6E8F">
      <w:pPr>
        <w:tabs>
          <w:tab w:val="clear" w:pos="567"/>
        </w:tabs>
        <w:spacing w:line="240" w:lineRule="auto"/>
        <w:jc w:val="both"/>
        <w:rPr>
          <w:rFonts w:eastAsia="Calibri"/>
          <w:szCs w:val="22"/>
          <w:lang w:val="sr-Latn-RS"/>
        </w:rPr>
      </w:pPr>
      <w:r>
        <w:rPr>
          <w:rFonts w:eastAsia="Calibri"/>
          <w:szCs w:val="22"/>
          <w:lang w:val="sr-Latn-RS"/>
        </w:rPr>
        <w:t>putem IS zdravstvene zaštite</w:t>
      </w:r>
    </w:p>
    <w:p w14:paraId="5B70C404" w14:textId="77777777" w:rsidR="00653DA8" w:rsidRDefault="00653DA8">
      <w:pPr>
        <w:tabs>
          <w:tab w:val="clear" w:pos="567"/>
        </w:tabs>
        <w:spacing w:line="240" w:lineRule="auto"/>
        <w:jc w:val="both"/>
        <w:rPr>
          <w:rFonts w:eastAsia="Calibri"/>
          <w:szCs w:val="22"/>
          <w:lang w:val="sr-Latn-RS"/>
        </w:rPr>
      </w:pPr>
    </w:p>
    <w:p w14:paraId="101CBD2D" w14:textId="77777777" w:rsidR="00653DA8" w:rsidRDefault="00653DA8">
      <w:pPr>
        <w:tabs>
          <w:tab w:val="clear" w:pos="567"/>
        </w:tabs>
        <w:spacing w:line="240" w:lineRule="auto"/>
        <w:jc w:val="both"/>
        <w:rPr>
          <w:rFonts w:eastAsia="Calibri"/>
          <w:szCs w:val="22"/>
          <w:lang w:val="sr-Latn-RS"/>
        </w:rPr>
      </w:pPr>
    </w:p>
    <w:p w14:paraId="39921428" w14:textId="77777777" w:rsidR="00653DA8" w:rsidRDefault="00653DA8">
      <w:pPr>
        <w:tabs>
          <w:tab w:val="clear" w:pos="567"/>
        </w:tabs>
        <w:spacing w:line="240" w:lineRule="auto"/>
        <w:jc w:val="both"/>
        <w:rPr>
          <w:rFonts w:eastAsia="Calibri"/>
          <w:szCs w:val="22"/>
          <w:lang w:val="sr-Latn-RS"/>
        </w:rPr>
      </w:pPr>
    </w:p>
    <w:p w14:paraId="341C0DD6" w14:textId="77777777" w:rsidR="00653DA8" w:rsidRDefault="00653DA8">
      <w:pPr>
        <w:tabs>
          <w:tab w:val="clear" w:pos="567"/>
        </w:tabs>
        <w:spacing w:line="240" w:lineRule="auto"/>
        <w:jc w:val="both"/>
        <w:rPr>
          <w:rFonts w:eastAsia="Calibri"/>
          <w:szCs w:val="22"/>
          <w:lang w:val="sr-Latn-RS"/>
        </w:rPr>
      </w:pPr>
    </w:p>
    <w:p w14:paraId="334B9346" w14:textId="77777777" w:rsidR="00653DA8" w:rsidRDefault="00653DA8">
      <w:pPr>
        <w:tabs>
          <w:tab w:val="clear" w:pos="567"/>
        </w:tabs>
        <w:spacing w:line="240" w:lineRule="auto"/>
        <w:jc w:val="both"/>
        <w:rPr>
          <w:rFonts w:eastAsia="Calibri"/>
          <w:szCs w:val="22"/>
          <w:lang w:val="sr-Latn-RS"/>
        </w:rPr>
      </w:pPr>
    </w:p>
    <w:p w14:paraId="755DB7AC" w14:textId="77777777" w:rsidR="00653DA8" w:rsidRDefault="00653DA8">
      <w:pPr>
        <w:tabs>
          <w:tab w:val="clear" w:pos="567"/>
        </w:tabs>
        <w:spacing w:line="240" w:lineRule="auto"/>
        <w:jc w:val="both"/>
        <w:rPr>
          <w:rFonts w:eastAsia="Calibri"/>
          <w:szCs w:val="22"/>
          <w:lang w:val="sr-Latn-RS"/>
        </w:rPr>
      </w:pPr>
    </w:p>
    <w:p w14:paraId="70452CC1" w14:textId="77777777" w:rsidR="00CF3001" w:rsidRPr="00CF3001" w:rsidRDefault="00CF3001" w:rsidP="00CF3001">
      <w:pPr>
        <w:tabs>
          <w:tab w:val="clear" w:pos="567"/>
        </w:tabs>
        <w:spacing w:line="240" w:lineRule="auto"/>
        <w:jc w:val="both"/>
        <w:rPr>
          <w:rFonts w:eastAsia="Calibri"/>
          <w:szCs w:val="22"/>
          <w:lang w:val="sr-Latn-RS"/>
        </w:rPr>
      </w:pPr>
      <w:r w:rsidRPr="00CF3001">
        <w:rPr>
          <w:rFonts w:eastAsia="Calibri"/>
          <w:szCs w:val="22"/>
          <w:lang w:val="sr-Latn-RS"/>
        </w:rPr>
        <w:lastRenderedPageBreak/>
        <w:t>QR kod za online prijavu sumnje na neželjeno dejstvo lijeka:</w:t>
      </w:r>
    </w:p>
    <w:p w14:paraId="28D2E76B" w14:textId="77777777" w:rsidR="00CF3001" w:rsidRPr="00CF3001" w:rsidRDefault="00CF3001" w:rsidP="00CF3001">
      <w:pPr>
        <w:tabs>
          <w:tab w:val="clear" w:pos="567"/>
        </w:tabs>
        <w:spacing w:line="240" w:lineRule="auto"/>
        <w:rPr>
          <w:rFonts w:eastAsia="Calibri"/>
          <w:szCs w:val="22"/>
          <w:lang w:val="sr-Latn-RS"/>
        </w:rPr>
      </w:pPr>
    </w:p>
    <w:p w14:paraId="3E04BEBA" w14:textId="77777777" w:rsidR="00CF3001" w:rsidRPr="00CF3001" w:rsidRDefault="00CF3001" w:rsidP="00CF3001">
      <w:pPr>
        <w:tabs>
          <w:tab w:val="left" w:pos="540"/>
        </w:tabs>
        <w:spacing w:line="240" w:lineRule="auto"/>
        <w:rPr>
          <w:b/>
          <w:bCs/>
          <w:szCs w:val="22"/>
          <w:lang w:val="en-US"/>
        </w:rPr>
      </w:pPr>
      <w:r w:rsidRPr="00CF3001">
        <w:rPr>
          <w:b/>
          <w:bCs/>
          <w:noProof/>
          <w:szCs w:val="22"/>
          <w:lang w:val="en-US"/>
        </w:rPr>
        <w:drawing>
          <wp:inline distT="0" distB="0" distL="0" distR="0" wp14:anchorId="5715AAA7" wp14:editId="7540B4A3">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78FA551" w14:textId="77777777" w:rsidR="00CF3001" w:rsidRDefault="00CF3001">
      <w:pPr>
        <w:rPr>
          <w:b/>
          <w:bCs/>
          <w:szCs w:val="22"/>
          <w:lang w:val="hr-HR" w:eastAsia="hr-HR"/>
        </w:rPr>
      </w:pPr>
    </w:p>
    <w:p w14:paraId="58376785" w14:textId="1A206356" w:rsidR="00C97A74" w:rsidRDefault="006B6E8F">
      <w:pPr>
        <w:rPr>
          <w:b/>
          <w:bCs/>
          <w:szCs w:val="22"/>
          <w:lang w:val="hr-HR" w:eastAsia="hr-HR"/>
        </w:rPr>
      </w:pPr>
      <w:r>
        <w:rPr>
          <w:b/>
          <w:bCs/>
          <w:szCs w:val="22"/>
          <w:lang w:val="hr-HR" w:eastAsia="hr-HR"/>
        </w:rPr>
        <w:t>4.9</w:t>
      </w:r>
      <w:r>
        <w:rPr>
          <w:b/>
          <w:bCs/>
          <w:szCs w:val="22"/>
          <w:lang w:val="hr-HR" w:eastAsia="hr-HR"/>
        </w:rPr>
        <w:tab/>
        <w:t>Predoziranje</w:t>
      </w:r>
    </w:p>
    <w:p w14:paraId="608B4E21" w14:textId="77777777" w:rsidR="00C97A74" w:rsidRDefault="00C97A74">
      <w:pPr>
        <w:rPr>
          <w:i/>
          <w:iCs/>
          <w:szCs w:val="22"/>
          <w:u w:val="single"/>
          <w:lang w:val="hr-HR" w:eastAsia="hr-HR"/>
        </w:rPr>
      </w:pPr>
    </w:p>
    <w:p w14:paraId="5B4128A5" w14:textId="77777777" w:rsidR="00C97A74" w:rsidRDefault="006B6E8F">
      <w:pPr>
        <w:rPr>
          <w:b/>
          <w:bCs/>
          <w:szCs w:val="22"/>
          <w:lang w:val="hr-HR" w:eastAsia="hr-HR"/>
        </w:rPr>
      </w:pPr>
      <w:r>
        <w:rPr>
          <w:i/>
          <w:iCs/>
          <w:szCs w:val="22"/>
          <w:u w:val="single"/>
          <w:lang w:val="hr-HR" w:eastAsia="hr-HR"/>
        </w:rPr>
        <w:t>Simptomi</w:t>
      </w:r>
    </w:p>
    <w:p w14:paraId="6DC127EB" w14:textId="77777777" w:rsidR="00C97A74" w:rsidRDefault="006B6E8F">
      <w:pPr>
        <w:jc w:val="both"/>
        <w:rPr>
          <w:szCs w:val="22"/>
          <w:lang w:val="hr-HR" w:eastAsia="hr-HR"/>
        </w:rPr>
      </w:pPr>
      <w:r>
        <w:rPr>
          <w:szCs w:val="22"/>
          <w:lang w:val="hr-HR" w:eastAsia="hr-HR"/>
        </w:rPr>
        <w:t>Predoziranje valsartanom može uzrokovati izrazitu hipotenziju što može dovesti do smanjenja nivoa svijesti, cirkulatornog kolapsa i/ili šoka. Pored toga se zbog predoziranosti hidrohlortiazidom mogu pojaviti sljedeći znakovi i simptomi: nauzeja, somnolencija, hipovolemija i elektrolitni poremećaji, povezani sa poremećajima srčanog ritma i mišićnim spazmima.</w:t>
      </w:r>
    </w:p>
    <w:p w14:paraId="26254461" w14:textId="77777777" w:rsidR="00C97A74" w:rsidRDefault="00C97A74">
      <w:pPr>
        <w:jc w:val="both"/>
        <w:rPr>
          <w:szCs w:val="22"/>
          <w:lang w:val="hr-HR" w:eastAsia="hr-HR"/>
        </w:rPr>
      </w:pPr>
    </w:p>
    <w:p w14:paraId="7EBD0730" w14:textId="77777777" w:rsidR="00C97A74" w:rsidRDefault="006B6E8F">
      <w:pPr>
        <w:keepNext/>
        <w:jc w:val="both"/>
        <w:outlineLvl w:val="1"/>
        <w:rPr>
          <w:i/>
          <w:iCs/>
          <w:szCs w:val="22"/>
          <w:u w:val="single"/>
          <w:lang w:val="hr-HR" w:eastAsia="hr-HR"/>
        </w:rPr>
      </w:pPr>
      <w:r>
        <w:rPr>
          <w:i/>
          <w:iCs/>
          <w:szCs w:val="22"/>
          <w:u w:val="single"/>
          <w:lang w:val="hr-HR" w:eastAsia="hr-HR"/>
        </w:rPr>
        <w:t>Liječenje</w:t>
      </w:r>
    </w:p>
    <w:p w14:paraId="34C9C75B" w14:textId="77777777" w:rsidR="00C97A74" w:rsidRDefault="006B6E8F">
      <w:pPr>
        <w:jc w:val="both"/>
        <w:rPr>
          <w:szCs w:val="22"/>
          <w:lang w:val="hr-HR" w:eastAsia="hr-HR"/>
        </w:rPr>
      </w:pPr>
      <w:r>
        <w:rPr>
          <w:szCs w:val="22"/>
          <w:lang w:val="hr-HR" w:eastAsia="hr-HR"/>
        </w:rPr>
        <w:t xml:space="preserve">Terapijske mjere zavise od vremenu uzimanja i od vrste i težine postojećih simptoma, pri čemu je najvažnija stabilizacija cirkulatornog sistema. </w:t>
      </w:r>
    </w:p>
    <w:p w14:paraId="3BF1BEE8" w14:textId="77777777" w:rsidR="00C97A74" w:rsidRDefault="006B6E8F">
      <w:pPr>
        <w:jc w:val="both"/>
        <w:rPr>
          <w:szCs w:val="22"/>
          <w:lang w:val="hr-HR" w:eastAsia="hr-HR"/>
        </w:rPr>
      </w:pPr>
      <w:r>
        <w:rPr>
          <w:szCs w:val="22"/>
          <w:lang w:val="hr-HR" w:eastAsia="hr-HR"/>
        </w:rPr>
        <w:t xml:space="preserve">Ako se pojavi hipotenzija, pacijenta treba postaviti u ležeći položaj uz brzo davanje soli i tečnosti. </w:t>
      </w:r>
    </w:p>
    <w:p w14:paraId="4435A3BF" w14:textId="77777777" w:rsidR="00C97A74" w:rsidRDefault="006B6E8F">
      <w:pPr>
        <w:jc w:val="both"/>
        <w:rPr>
          <w:szCs w:val="22"/>
          <w:lang w:val="hr-HR" w:eastAsia="hr-HR"/>
        </w:rPr>
      </w:pPr>
      <w:r>
        <w:rPr>
          <w:szCs w:val="22"/>
          <w:lang w:val="hr-HR" w:eastAsia="hr-HR"/>
        </w:rPr>
        <w:t xml:space="preserve">Valsartan se ne može ukloniti hemodijalizom, zbog svog snažnog vezivanja za proteine plazme, dok se hidrohlortiazid može ukloniti hemodijalizom. </w:t>
      </w:r>
    </w:p>
    <w:p w14:paraId="58D7AB94" w14:textId="77777777" w:rsidR="00C97A74" w:rsidRDefault="00C97A74">
      <w:pPr>
        <w:jc w:val="both"/>
        <w:rPr>
          <w:szCs w:val="22"/>
          <w:lang w:val="hr-HR" w:eastAsia="hr-HR"/>
        </w:rPr>
      </w:pPr>
    </w:p>
    <w:p w14:paraId="64DE3AC2" w14:textId="77777777" w:rsidR="00C97A74" w:rsidRDefault="00C97A74">
      <w:pPr>
        <w:jc w:val="both"/>
        <w:rPr>
          <w:szCs w:val="22"/>
          <w:lang w:val="hr-HR" w:eastAsia="hr-HR"/>
        </w:rPr>
      </w:pPr>
    </w:p>
    <w:p w14:paraId="3C811731" w14:textId="77777777" w:rsidR="00C97A74" w:rsidRDefault="006B6E8F">
      <w:pPr>
        <w:numPr>
          <w:ilvl w:val="0"/>
          <w:numId w:val="3"/>
        </w:numPr>
        <w:ind w:left="567" w:hanging="567"/>
        <w:jc w:val="both"/>
        <w:rPr>
          <w:b/>
          <w:bCs/>
          <w:szCs w:val="22"/>
          <w:lang w:val="hr-HR" w:eastAsia="hr-HR"/>
        </w:rPr>
      </w:pPr>
      <w:r>
        <w:rPr>
          <w:b/>
          <w:bCs/>
          <w:szCs w:val="22"/>
          <w:lang w:val="hr-HR" w:eastAsia="hr-HR"/>
        </w:rPr>
        <w:t>FARMAKOLOŠKI PODACI</w:t>
      </w:r>
    </w:p>
    <w:p w14:paraId="3F639029" w14:textId="77777777" w:rsidR="00C97A74" w:rsidRDefault="00C97A74">
      <w:pPr>
        <w:jc w:val="both"/>
        <w:rPr>
          <w:b/>
          <w:bCs/>
          <w:szCs w:val="22"/>
          <w:lang w:val="hr-HR" w:eastAsia="hr-HR"/>
        </w:rPr>
      </w:pPr>
    </w:p>
    <w:p w14:paraId="699E5B2B" w14:textId="77777777" w:rsidR="00C97A74" w:rsidRDefault="006B6E8F">
      <w:pPr>
        <w:jc w:val="both"/>
        <w:rPr>
          <w:b/>
          <w:bCs/>
          <w:szCs w:val="22"/>
          <w:lang w:val="hr-HR" w:eastAsia="hr-HR"/>
        </w:rPr>
      </w:pPr>
      <w:r>
        <w:rPr>
          <w:b/>
          <w:bCs/>
          <w:szCs w:val="22"/>
          <w:lang w:val="hr-HR" w:eastAsia="hr-HR"/>
        </w:rPr>
        <w:t>5.1</w:t>
      </w:r>
      <w:r>
        <w:rPr>
          <w:b/>
          <w:bCs/>
          <w:szCs w:val="22"/>
          <w:lang w:val="hr-HR" w:eastAsia="hr-HR"/>
        </w:rPr>
        <w:tab/>
        <w:t>Farmakodinamski podaci</w:t>
      </w:r>
    </w:p>
    <w:p w14:paraId="7B1C7E7F" w14:textId="77777777" w:rsidR="00C97A74" w:rsidRDefault="00C97A74">
      <w:pPr>
        <w:ind w:left="360"/>
        <w:jc w:val="both"/>
        <w:rPr>
          <w:szCs w:val="22"/>
          <w:lang w:val="hr-HR" w:eastAsia="hr-HR"/>
        </w:rPr>
      </w:pPr>
    </w:p>
    <w:p w14:paraId="0F2DD456" w14:textId="77777777" w:rsidR="00C97A74" w:rsidRDefault="006B6E8F">
      <w:pPr>
        <w:jc w:val="both"/>
        <w:rPr>
          <w:szCs w:val="22"/>
          <w:lang w:val="hr-HR" w:eastAsia="hr-HR"/>
        </w:rPr>
      </w:pPr>
      <w:r>
        <w:rPr>
          <w:szCs w:val="22"/>
          <w:lang w:val="hr-HR" w:eastAsia="hr-HR"/>
        </w:rPr>
        <w:t>Farmakoterapijska grupa: antagonisti angiotenzin II receptora i diuretici, valsartan i diuretici</w:t>
      </w:r>
    </w:p>
    <w:p w14:paraId="6C37A701" w14:textId="77777777" w:rsidR="00C97A74" w:rsidRDefault="00C97A74">
      <w:pPr>
        <w:jc w:val="both"/>
        <w:rPr>
          <w:szCs w:val="22"/>
          <w:lang w:val="hr-HR" w:eastAsia="hr-HR"/>
        </w:rPr>
      </w:pPr>
    </w:p>
    <w:p w14:paraId="2E0EC14F" w14:textId="77777777" w:rsidR="00C97A74" w:rsidRDefault="006B6E8F">
      <w:pPr>
        <w:jc w:val="both"/>
        <w:rPr>
          <w:szCs w:val="22"/>
          <w:lang w:val="hr-HR" w:eastAsia="hr-HR"/>
        </w:rPr>
      </w:pPr>
      <w:r>
        <w:rPr>
          <w:szCs w:val="22"/>
          <w:lang w:val="hr-HR" w:eastAsia="hr-HR"/>
        </w:rPr>
        <w:t>ATC kod: C09DA03</w:t>
      </w:r>
    </w:p>
    <w:p w14:paraId="071AB591" w14:textId="77777777" w:rsidR="00C97A74" w:rsidRDefault="00C97A74">
      <w:pPr>
        <w:jc w:val="both"/>
        <w:rPr>
          <w:szCs w:val="22"/>
          <w:lang w:val="hr-HR" w:eastAsia="hr-HR"/>
        </w:rPr>
      </w:pPr>
    </w:p>
    <w:p w14:paraId="26B42231" w14:textId="77777777" w:rsidR="00C97A74" w:rsidRDefault="006B6E8F">
      <w:pPr>
        <w:keepNext/>
        <w:jc w:val="both"/>
        <w:outlineLvl w:val="1"/>
        <w:rPr>
          <w:i/>
          <w:iCs/>
          <w:szCs w:val="22"/>
          <w:u w:val="single"/>
          <w:lang w:val="hr-HR" w:eastAsia="hr-HR"/>
        </w:rPr>
      </w:pPr>
      <w:r>
        <w:rPr>
          <w:i/>
          <w:iCs/>
          <w:szCs w:val="22"/>
          <w:u w:val="single"/>
          <w:lang w:val="hr-HR" w:eastAsia="hr-HR"/>
        </w:rPr>
        <w:t>Valsartan/hidrohlortiazid</w:t>
      </w:r>
    </w:p>
    <w:p w14:paraId="67907336" w14:textId="77777777" w:rsidR="00C97A74" w:rsidRDefault="00C97A74">
      <w:pPr>
        <w:keepNext/>
        <w:jc w:val="both"/>
        <w:outlineLvl w:val="1"/>
        <w:rPr>
          <w:i/>
          <w:iCs/>
          <w:szCs w:val="22"/>
          <w:u w:val="single"/>
          <w:lang w:val="hr-HR" w:eastAsia="hr-HR"/>
        </w:rPr>
      </w:pPr>
    </w:p>
    <w:p w14:paraId="2BA0CE69" w14:textId="77777777" w:rsidR="00C97A74" w:rsidRDefault="006B6E8F">
      <w:pPr>
        <w:keepNext/>
        <w:outlineLvl w:val="1"/>
        <w:rPr>
          <w:b/>
          <w:i/>
          <w:iCs/>
          <w:szCs w:val="22"/>
          <w:lang w:val="hr-HR" w:eastAsia="hr-HR"/>
        </w:rPr>
      </w:pPr>
      <w:r>
        <w:rPr>
          <w:b/>
          <w:i/>
          <w:iCs/>
          <w:szCs w:val="22"/>
          <w:lang w:val="hr-HR" w:eastAsia="hr-HR"/>
        </w:rPr>
        <w:t>Valsartan/ hidrohlortiazid 80/12,5 mg:</w:t>
      </w:r>
    </w:p>
    <w:p w14:paraId="531B6C48" w14:textId="77777777" w:rsidR="00C97A74" w:rsidRDefault="00C97A74">
      <w:pPr>
        <w:keepNext/>
        <w:outlineLvl w:val="1"/>
        <w:rPr>
          <w:b/>
          <w:i/>
          <w:iCs/>
          <w:szCs w:val="22"/>
          <w:lang w:val="hr-HR" w:eastAsia="hr-HR"/>
        </w:rPr>
      </w:pPr>
    </w:p>
    <w:p w14:paraId="5E15F3B3" w14:textId="77777777" w:rsidR="00C97A74" w:rsidRDefault="006B6E8F">
      <w:pPr>
        <w:keepNext/>
        <w:outlineLvl w:val="1"/>
        <w:rPr>
          <w:b/>
          <w:i/>
          <w:iCs/>
          <w:szCs w:val="22"/>
          <w:u w:val="single"/>
          <w:lang w:val="hr-HR" w:eastAsia="hr-HR"/>
        </w:rPr>
      </w:pPr>
      <w:r>
        <w:rPr>
          <w:szCs w:val="22"/>
          <w:u w:val="single"/>
          <w:lang w:val="hr-HR"/>
        </w:rPr>
        <w:t>Klinička efikasnost i bezbjednost</w:t>
      </w:r>
    </w:p>
    <w:p w14:paraId="0B33094D" w14:textId="77777777" w:rsidR="00C97A74" w:rsidRDefault="00C97A74">
      <w:pPr>
        <w:keepNext/>
        <w:jc w:val="both"/>
        <w:outlineLvl w:val="1"/>
        <w:rPr>
          <w:i/>
          <w:iCs/>
          <w:szCs w:val="22"/>
          <w:u w:val="single"/>
          <w:lang w:val="hr-HR" w:eastAsia="hr-HR"/>
        </w:rPr>
      </w:pPr>
    </w:p>
    <w:p w14:paraId="3FF87855" w14:textId="77777777" w:rsidR="00C97A74" w:rsidRDefault="006B6E8F">
      <w:pPr>
        <w:jc w:val="both"/>
        <w:rPr>
          <w:szCs w:val="22"/>
          <w:lang w:val="hr-HR" w:eastAsia="hr-HR"/>
        </w:rPr>
      </w:pPr>
      <w:r>
        <w:rPr>
          <w:szCs w:val="22"/>
          <w:lang w:val="hr-HR" w:eastAsia="hr-HR"/>
        </w:rPr>
        <w:t>U duplo slijepom, randomizovanom, aktivno kontrolisanom kliničkom ispitivanju kod pacijenata kod kojih krvni pritisak nije odgovarajuće kontrolisan sa 12,5 mg hidrohlortiazida, uočeno je značajno veće sniženje srednje vrijednosti sistolnog/dijastolnog krvnog pritiska sa kombinacijom valsartan/hidrohlortiazid u dozi 80/12,5 mg (14,9/11,3 mmHg) u poređenju sa hidrohlortiazidom u dozi 12,5 mg (5,2/2,9 mmHg) i hidrohlortiazidom u dozi 25 mg (6,8/5,7 mmHg).</w:t>
      </w:r>
    </w:p>
    <w:p w14:paraId="3A2D38E9" w14:textId="77777777" w:rsidR="00C97A74" w:rsidRDefault="006B6E8F">
      <w:pPr>
        <w:jc w:val="both"/>
        <w:rPr>
          <w:szCs w:val="22"/>
          <w:lang w:val="hr-HR" w:eastAsia="hr-HR"/>
        </w:rPr>
      </w:pPr>
      <w:r>
        <w:rPr>
          <w:szCs w:val="22"/>
          <w:lang w:val="hr-HR" w:eastAsia="hr-HR"/>
        </w:rPr>
        <w:t>Pored toga, značajno veći procenat pacijenta je reagovao na kombinaciju valsartan/hidrohlortiazid u dozi 80/12,5 mg (dijastolni krvni pritisak &lt; 90 mmHg ili snižavanje za ≥ 10 mmHg) (60 %) u poređenju sa hidrohlortiazidom u dozi 12,5 mg (25 %) i hidrohlortiazidom u dozi 25 mg (27 %).</w:t>
      </w:r>
    </w:p>
    <w:p w14:paraId="73ED08ED" w14:textId="77777777" w:rsidR="00C97A74" w:rsidRDefault="00C97A74">
      <w:pPr>
        <w:jc w:val="both"/>
        <w:rPr>
          <w:szCs w:val="22"/>
          <w:lang w:val="hr-HR" w:eastAsia="hr-HR"/>
        </w:rPr>
      </w:pPr>
    </w:p>
    <w:p w14:paraId="677C5478" w14:textId="77777777" w:rsidR="00C97A74" w:rsidRDefault="006B6E8F">
      <w:pPr>
        <w:jc w:val="both"/>
        <w:rPr>
          <w:szCs w:val="22"/>
          <w:lang w:val="hr-HR" w:eastAsia="hr-HR"/>
        </w:rPr>
      </w:pPr>
      <w:r>
        <w:rPr>
          <w:szCs w:val="22"/>
          <w:lang w:val="hr-HR" w:eastAsia="hr-HR"/>
        </w:rPr>
        <w:t>U duplo slijepom, randomizovanom, aktivno kontrolisanom ispitivanju kod pacijenta koji nisu adekvatno reagovali na valsartan u dozi od 80 mg, značajno veće sniženje srednje vrijednosti sistolnog/dijastolnog krvnog pritiska bilo je sa kombinacijom valsartan/hidrohlortiazid u dozi 80/12,5 mg (9,8/8,2 mm Hg) u poređenju sa valsartanom u dozi 80 mg (3,9/5,1 mm Hg) i valsartanom u dozi 160 mg (6,3/6,2 mm Hg). Pored toga, značajno veći procenat pacijenta je reagovao na kombinaciju valsartan/hidrohlortiazid u dozi 80/12,5 mg (dijastolni krvni pritisak &lt; 90 mm Hg ili snižavanje za ≥ 10 mm Hg) (51 %) u poređenju sa valsartanom u dozi 80 mg (36 %) i valsartanom u dozi 160 mg (37 %).</w:t>
      </w:r>
    </w:p>
    <w:p w14:paraId="27C180D9" w14:textId="77777777" w:rsidR="00C97A74" w:rsidRDefault="00C97A74">
      <w:pPr>
        <w:jc w:val="both"/>
        <w:rPr>
          <w:szCs w:val="22"/>
          <w:lang w:val="hr-HR" w:eastAsia="hr-HR"/>
        </w:rPr>
      </w:pPr>
    </w:p>
    <w:p w14:paraId="4578C4F8" w14:textId="77777777" w:rsidR="00C97A74" w:rsidRDefault="006B6E8F">
      <w:pPr>
        <w:jc w:val="both"/>
        <w:rPr>
          <w:szCs w:val="22"/>
          <w:lang w:val="hr-HR" w:eastAsia="hr-HR"/>
        </w:rPr>
      </w:pPr>
      <w:r>
        <w:rPr>
          <w:szCs w:val="22"/>
          <w:lang w:val="hr-HR" w:eastAsia="hr-HR"/>
        </w:rPr>
        <w:lastRenderedPageBreak/>
        <w:t>U duplo slijepom, randomizovanom, placebo kontrolisanom, faktorijalno dizajniranom kliničkom ispitivanju u kojem su upoređivane različite doze kombinacije valsartana i hidrohlortiazida u odnosu na pojedinačne komponente, uočeno je značajno veće sniženje srednje vrijednosti sistolnog/dijastolnog krvnog pritiska sa kombinacijom valsartan/hidrohlortiazid u dozi 80/12,5 mg (16,5/11,8 mm Hg) u poređenju sa placebom (1,9/4,1 mm Hg) i odgovarajućom monoterapijom, odnosno hidrohlortiazidom u dozi 12,5 mg (7,3/7,2 mm Hg) i valsartanom u dozi 80 mg (8,8/8,6 mm Hg). Pored toga, značajno veći procenat pacijenta je reagovao na kombinaciju valsartan/hidrohlortiazid u dozi 80/12,5 mg (dijastolni krvni pritisak &lt; 90 mm Hg ili snižavanje za ≥ 10 mg Hg) (64 %) u poređenju sa placebom (29 %) i hidrohlortiazidom (41 %).</w:t>
      </w:r>
    </w:p>
    <w:p w14:paraId="45294A84" w14:textId="77777777" w:rsidR="00C97A74" w:rsidRDefault="00C97A74">
      <w:pPr>
        <w:rPr>
          <w:iCs/>
          <w:color w:val="FF0000"/>
          <w:szCs w:val="22"/>
          <w:u w:val="single"/>
          <w:lang w:val="hr-HR" w:eastAsia="hr-HR"/>
        </w:rPr>
      </w:pPr>
    </w:p>
    <w:p w14:paraId="5C1C7D6C" w14:textId="77777777" w:rsidR="00C97A74" w:rsidRDefault="006B6E8F">
      <w:pPr>
        <w:rPr>
          <w:b/>
          <w:szCs w:val="22"/>
          <w:lang w:val="hr-HR" w:eastAsia="hr-HR"/>
        </w:rPr>
      </w:pPr>
      <w:r>
        <w:rPr>
          <w:b/>
          <w:iCs/>
          <w:szCs w:val="22"/>
          <w:lang w:val="hr-HR" w:eastAsia="hr-HR"/>
        </w:rPr>
        <w:t>Valsartan/ hidrohlortiazid 160/12,5 mg i 160/25 mg:</w:t>
      </w:r>
    </w:p>
    <w:p w14:paraId="4C047F69" w14:textId="77777777" w:rsidR="00C97A74" w:rsidRDefault="00C97A74">
      <w:pPr>
        <w:keepNext/>
        <w:outlineLvl w:val="1"/>
        <w:rPr>
          <w:szCs w:val="22"/>
          <w:u w:val="single"/>
          <w:lang w:val="hr-HR"/>
        </w:rPr>
      </w:pPr>
    </w:p>
    <w:p w14:paraId="6398BD8D" w14:textId="77777777" w:rsidR="00C97A74" w:rsidRDefault="006B6E8F">
      <w:pPr>
        <w:keepNext/>
        <w:outlineLvl w:val="1"/>
        <w:rPr>
          <w:b/>
          <w:i/>
          <w:iCs/>
          <w:szCs w:val="22"/>
          <w:u w:val="single"/>
          <w:lang w:val="hr-HR" w:eastAsia="hr-HR"/>
        </w:rPr>
      </w:pPr>
      <w:r>
        <w:rPr>
          <w:szCs w:val="22"/>
          <w:u w:val="single"/>
          <w:lang w:val="hr-HR"/>
        </w:rPr>
        <w:t>Klinička efikasnost i bezbjednost</w:t>
      </w:r>
    </w:p>
    <w:p w14:paraId="75ACC554" w14:textId="77777777" w:rsidR="00C97A74" w:rsidRDefault="006B6E8F">
      <w:pPr>
        <w:jc w:val="both"/>
        <w:rPr>
          <w:szCs w:val="22"/>
          <w:lang w:val="hr-HR" w:eastAsia="hr-HR"/>
        </w:rPr>
      </w:pPr>
      <w:r>
        <w:rPr>
          <w:szCs w:val="22"/>
          <w:lang w:val="hr-HR" w:eastAsia="hr-HR"/>
        </w:rPr>
        <w:t>U duplo slijepom, aktivno kontrolisanom kliničkom ispitivanju kod pacijenata kod kojih krvni pritisak nije odgovarajuće kontrolisan hidrohlortiazidom u dozi od 12,5 mg, srednje snižavanje sistolnog/dijastolnog krvnog pritiska sa kombinacijom valsartan/hidrohlortiazid u dozi 160/12,5 mg bilo je signifikantno bolje (12,4/7,5 mm Hg) u poređenju sa hidrohlortiazidom u dozi 25 mg (5,6/2,1 mm Hg). Pored toga, značajno veći procenat pacijenta je reagovao na kombinaciju valsartan/hidrohlortiazid u dozi 160/12,5 mg (krvni pritisak &lt; 140/90 mm Hg ili snižavanje sistolni krvni pritisak za ≥20 mm Hg ili dijastolni krvni pritisak za ≥10 mm Hg) (50 %) u poređenju sa hidrohlortiazidom u dozi 25 mg (25 %).</w:t>
      </w:r>
    </w:p>
    <w:p w14:paraId="001B1211" w14:textId="77777777" w:rsidR="00C97A74" w:rsidRDefault="00C97A74">
      <w:pPr>
        <w:jc w:val="both"/>
        <w:rPr>
          <w:szCs w:val="22"/>
          <w:lang w:val="hr-HR" w:eastAsia="hr-HR"/>
        </w:rPr>
      </w:pPr>
    </w:p>
    <w:p w14:paraId="2990D50B" w14:textId="77777777" w:rsidR="00C97A74" w:rsidRDefault="006B6E8F">
      <w:pPr>
        <w:jc w:val="both"/>
        <w:rPr>
          <w:szCs w:val="22"/>
          <w:lang w:val="hr-HR" w:eastAsia="hr-HR"/>
        </w:rPr>
      </w:pPr>
      <w:r>
        <w:rPr>
          <w:szCs w:val="22"/>
          <w:lang w:val="hr-HR" w:eastAsia="hr-HR"/>
        </w:rPr>
        <w:t>U duplo slijepom, randomiziranom, aktivno kontrolisanom kliničkom ispitivanju kod pacijenata kod kojih krvni pritisak nije odgovarajuće kontrolisan valsartanom u dozi od 160 mg, srednje snižavanje sistolnog/dijastolnog krvnog pritiska je značajno veće sa kombinacijom valsartan/hidrohlortiazid u dozi 160/25 mg (14,6/11,9 mm Hg) i kombinacijom valsartan/hidrohlortiazid u dozi 160/12,5 mg (12,4/10,4 mm Hg), nego kod valsartana u dozi 160 mg (8,7/8,8 mm Hg). Statistički značajna bila je i razlika između snižavanja krvnog pritiska nakon 160/25 mg i 160/12,5 mg. Pored toga, značajno veći procenat pacijenta je reagovao na kombinaciju valsartan/hidrohlortiazid u dozama 160/25 mg i 160/12,5 mg (dijastolni krvni pritisak &lt; 90 mm Hg ili snižavanje za ≥ 10 mg Hg) (68 % odnosno 62 %) u poređenju sa valsartanom u dozi 160 mg (49 %).</w:t>
      </w:r>
    </w:p>
    <w:p w14:paraId="3449C9AF" w14:textId="77777777" w:rsidR="00C97A74" w:rsidRDefault="00C97A74">
      <w:pPr>
        <w:jc w:val="both"/>
        <w:rPr>
          <w:szCs w:val="22"/>
          <w:lang w:val="hr-HR" w:eastAsia="hr-HR"/>
        </w:rPr>
      </w:pPr>
    </w:p>
    <w:p w14:paraId="0DCB19C4" w14:textId="77777777" w:rsidR="00C97A74" w:rsidRDefault="006B6E8F">
      <w:pPr>
        <w:jc w:val="both"/>
        <w:rPr>
          <w:szCs w:val="22"/>
          <w:lang w:val="hr-HR" w:eastAsia="hr-HR"/>
        </w:rPr>
      </w:pPr>
      <w:r>
        <w:rPr>
          <w:szCs w:val="22"/>
          <w:lang w:val="hr-HR" w:eastAsia="hr-HR"/>
        </w:rPr>
        <w:t>U duplo slijepom, randomizovanom, placebo kontrolisanom, faktorijalno dizajniranom kliničkom ispitivanju koje je upoređivalo različite doze valsartana i hidrohlortiazida u kombinaciji sa pojedinačnim komponentama, srednje snižavanje sistolnog/dijastolnog krvnog pritiska bilo je značajno veće kod kombinacije valsartan/hidrohlortiazid u dozi 160/12,5 mg (17,8/13,5 mm Hg) i 160/25 mg (22,5/15,3 mm Hg) nego kod placeba (1,9/4,1 mm Hg) i hidrohlortiazida u dozi 12,5 mg (7,3/7,2 mm hg) i 25 mg (12,7/9,3 mm Hg) ili valsartana 160 mg (12,1/9,4 mm Hg). Pored toga, značajno veći broj pacijenta (81 % odnosno 76 %) je reagovao na kombinaciju valsartan/hidrohlortiazid u dozama 160/25 mg ili 160/12,5 mg (dijastolni krvni pritisak &lt; 90 mm Hg ili snižavanje za ≥ 10 mm Hg) nego na placebo (29 %), monoterapiju hidrohlortiazidom u dozi 12,5 mg (41 %) i 25 mg (54 %) ili valsartanom u dozi od 160 mg (59 %).</w:t>
      </w:r>
    </w:p>
    <w:p w14:paraId="43A829DA" w14:textId="77777777" w:rsidR="00C97A74" w:rsidRDefault="00C97A74">
      <w:pPr>
        <w:rPr>
          <w:b/>
          <w:szCs w:val="22"/>
          <w:lang w:val="sl-SI" w:eastAsia="sl-SI"/>
        </w:rPr>
      </w:pPr>
    </w:p>
    <w:p w14:paraId="255A6C22" w14:textId="77777777" w:rsidR="00C97A74" w:rsidRDefault="006B6E8F">
      <w:pPr>
        <w:rPr>
          <w:b/>
          <w:szCs w:val="22"/>
          <w:lang w:val="hr-HR" w:eastAsia="hr-HR"/>
        </w:rPr>
      </w:pPr>
      <w:r>
        <w:rPr>
          <w:b/>
          <w:szCs w:val="22"/>
          <w:lang w:val="sl-SI" w:eastAsia="sl-SI"/>
        </w:rPr>
        <w:t>Valsartan/hidrohlortiazid 80/12,5 mg, 160/12.5 mg i 160/25mg:</w:t>
      </w:r>
    </w:p>
    <w:p w14:paraId="18F32953" w14:textId="77777777" w:rsidR="00C97A74" w:rsidRDefault="00C97A74">
      <w:pPr>
        <w:jc w:val="both"/>
        <w:rPr>
          <w:szCs w:val="22"/>
          <w:lang w:val="hr-HR" w:eastAsia="hr-HR"/>
        </w:rPr>
      </w:pPr>
    </w:p>
    <w:p w14:paraId="438507E1" w14:textId="77777777" w:rsidR="00C97A74" w:rsidRDefault="006B6E8F">
      <w:pPr>
        <w:jc w:val="both"/>
        <w:rPr>
          <w:szCs w:val="22"/>
          <w:lang w:val="hr-HR" w:eastAsia="hr-HR"/>
        </w:rPr>
      </w:pPr>
      <w:r>
        <w:rPr>
          <w:szCs w:val="22"/>
          <w:lang w:val="hr-HR" w:eastAsia="hr-HR"/>
        </w:rPr>
        <w:t>U kontrolisanim kliničkim ispitivanjima sa valsartanom i hidrohlortiazidom javljala su se sniženja nivoa kalijuma u serumu zavisno od doze. Sniženje kalijuma u serumu se češće javljalo kod pacijenta koji su dobijali 25 mg hidrohlortiazida nego kod pacijenta koji su dobijali 12,5 mg hidrohlortiazida. U kontrolisanim kliničkim istpitivanjima sa kombinacijom valsartan/hidrohlortiazid efekat hidrohlortiazida na sniženje kalijuma je bio umanjen dejstvom valsartana na štednju kalijuma.</w:t>
      </w:r>
    </w:p>
    <w:p w14:paraId="618C1B74" w14:textId="77777777" w:rsidR="00C97A74" w:rsidRDefault="00C97A74">
      <w:pPr>
        <w:jc w:val="both"/>
        <w:rPr>
          <w:szCs w:val="22"/>
          <w:lang w:val="hr-HR" w:eastAsia="hr-HR"/>
        </w:rPr>
      </w:pPr>
    </w:p>
    <w:p w14:paraId="57060D60" w14:textId="77777777" w:rsidR="00C97A74" w:rsidRDefault="006B6E8F">
      <w:pPr>
        <w:jc w:val="both"/>
        <w:rPr>
          <w:szCs w:val="22"/>
          <w:lang w:val="hr-HR" w:eastAsia="hr-HR"/>
        </w:rPr>
      </w:pPr>
      <w:r>
        <w:rPr>
          <w:szCs w:val="22"/>
          <w:lang w:val="hr-HR" w:eastAsia="hr-HR"/>
        </w:rPr>
        <w:t>Korisna dejstva valsartana u kombinaciji sa hidrohlortiazidom na kardiovaskularni mortalitet i morbiditet su trenutno  nepoznati.</w:t>
      </w:r>
    </w:p>
    <w:p w14:paraId="1E3C0CB8" w14:textId="77777777" w:rsidR="00C97A74" w:rsidRDefault="006B6E8F">
      <w:pPr>
        <w:jc w:val="both"/>
        <w:rPr>
          <w:szCs w:val="22"/>
          <w:lang w:val="hr-HR" w:eastAsia="hr-HR"/>
        </w:rPr>
      </w:pPr>
      <w:r>
        <w:rPr>
          <w:szCs w:val="22"/>
          <w:lang w:val="hr-HR" w:eastAsia="hr-HR"/>
        </w:rPr>
        <w:t>Epidemiološka ispitivana su  pokazala da dugotrajno liječenje hidrohlortiazidom smanjuje rizik od kardiovaskularnog mortaliteta i morbiditeta.</w:t>
      </w:r>
    </w:p>
    <w:p w14:paraId="00C0B774" w14:textId="77777777" w:rsidR="00C97A74" w:rsidRDefault="006B6E8F">
      <w:pPr>
        <w:keepNext/>
        <w:jc w:val="both"/>
        <w:outlineLvl w:val="1"/>
        <w:rPr>
          <w:b/>
          <w:i/>
          <w:iCs/>
          <w:szCs w:val="22"/>
          <w:u w:val="single"/>
          <w:lang w:val="hr-HR" w:eastAsia="hr-HR"/>
        </w:rPr>
      </w:pPr>
      <w:r>
        <w:rPr>
          <w:b/>
          <w:i/>
          <w:iCs/>
          <w:szCs w:val="22"/>
          <w:u w:val="single"/>
          <w:lang w:val="hr-HR" w:eastAsia="hr-HR"/>
        </w:rPr>
        <w:lastRenderedPageBreak/>
        <w:t>Valsartan</w:t>
      </w:r>
    </w:p>
    <w:p w14:paraId="7C4A90FD" w14:textId="77777777" w:rsidR="00C97A74" w:rsidRDefault="00C97A74">
      <w:pPr>
        <w:keepNext/>
        <w:jc w:val="both"/>
        <w:outlineLvl w:val="1"/>
        <w:rPr>
          <w:i/>
          <w:iCs/>
          <w:szCs w:val="22"/>
          <w:u w:val="single"/>
          <w:lang w:val="hr-HR" w:eastAsia="hr-HR"/>
        </w:rPr>
      </w:pPr>
    </w:p>
    <w:p w14:paraId="53A92E6D" w14:textId="77777777" w:rsidR="00C97A74" w:rsidRDefault="006B6E8F">
      <w:pPr>
        <w:keepNext/>
        <w:jc w:val="both"/>
        <w:outlineLvl w:val="1"/>
        <w:rPr>
          <w:szCs w:val="22"/>
          <w:u w:val="single"/>
          <w:lang w:val="hr-HR"/>
        </w:rPr>
      </w:pPr>
      <w:r>
        <w:rPr>
          <w:szCs w:val="22"/>
          <w:u w:val="single"/>
          <w:lang w:val="hr-HR"/>
        </w:rPr>
        <w:t>Mehanizam djelovanja</w:t>
      </w:r>
    </w:p>
    <w:p w14:paraId="1C66DC00" w14:textId="77777777" w:rsidR="00C97A74" w:rsidRDefault="006B6E8F">
      <w:pPr>
        <w:jc w:val="both"/>
        <w:rPr>
          <w:szCs w:val="22"/>
          <w:lang w:val="hr-HR" w:eastAsia="hr-HR"/>
        </w:rPr>
      </w:pPr>
      <w:r>
        <w:rPr>
          <w:szCs w:val="22"/>
          <w:lang w:val="hr-HR" w:eastAsia="hr-HR"/>
        </w:rPr>
        <w:t>Valsartan je specifičan antagonist receptora za angiotenzin II, efikasan pri oralnoj primjeni. Selektivno djeluje na podvrstu receptora AT</w:t>
      </w:r>
      <w:r>
        <w:rPr>
          <w:szCs w:val="22"/>
          <w:vertAlign w:val="subscript"/>
          <w:lang w:val="hr-HR" w:eastAsia="hr-HR"/>
        </w:rPr>
        <w:t>1</w:t>
      </w:r>
      <w:r>
        <w:rPr>
          <w:szCs w:val="22"/>
          <w:lang w:val="hr-HR" w:eastAsia="hr-HR"/>
        </w:rPr>
        <w:t>, koji su odgovorni za poznata dejstva angiotenzina II. Povećane koncentracija angiotenzina II nakon blokade receptora AT</w:t>
      </w:r>
      <w:r>
        <w:rPr>
          <w:szCs w:val="22"/>
          <w:vertAlign w:val="subscript"/>
          <w:lang w:val="hr-HR" w:eastAsia="hr-HR"/>
        </w:rPr>
        <w:t>1</w:t>
      </w:r>
      <w:r>
        <w:rPr>
          <w:szCs w:val="22"/>
          <w:lang w:val="hr-HR" w:eastAsia="hr-HR"/>
        </w:rPr>
        <w:t xml:space="preserve"> valsartanom mogu stimulisati neblokirane receptore AT</w:t>
      </w:r>
      <w:r>
        <w:rPr>
          <w:szCs w:val="22"/>
          <w:vertAlign w:val="subscript"/>
          <w:lang w:val="hr-HR" w:eastAsia="hr-HR"/>
        </w:rPr>
        <w:t>2</w:t>
      </w:r>
      <w:r>
        <w:rPr>
          <w:szCs w:val="22"/>
          <w:lang w:val="hr-HR" w:eastAsia="hr-HR"/>
        </w:rPr>
        <w:t>, koji kako izgleda, kompenzuju dejstvo receptora AT</w:t>
      </w:r>
      <w:r>
        <w:rPr>
          <w:szCs w:val="22"/>
          <w:vertAlign w:val="subscript"/>
          <w:lang w:val="hr-HR" w:eastAsia="hr-HR"/>
        </w:rPr>
        <w:t>1</w:t>
      </w:r>
      <w:r>
        <w:rPr>
          <w:szCs w:val="22"/>
          <w:lang w:val="hr-HR" w:eastAsia="hr-HR"/>
        </w:rPr>
        <w:t>. Valsartan nema djelimično antagonističko dejstvo na receptorima AT</w:t>
      </w:r>
      <w:r>
        <w:rPr>
          <w:szCs w:val="22"/>
          <w:vertAlign w:val="subscript"/>
          <w:lang w:val="hr-HR" w:eastAsia="hr-HR"/>
        </w:rPr>
        <w:t>1</w:t>
      </w:r>
      <w:r>
        <w:rPr>
          <w:szCs w:val="22"/>
          <w:lang w:val="hr-HR" w:eastAsia="hr-HR"/>
        </w:rPr>
        <w:t xml:space="preserve"> i njegov afinitet za receptore AT</w:t>
      </w:r>
      <w:r>
        <w:rPr>
          <w:szCs w:val="22"/>
          <w:vertAlign w:val="subscript"/>
          <w:lang w:val="hr-HR" w:eastAsia="hr-HR"/>
        </w:rPr>
        <w:t>1</w:t>
      </w:r>
      <w:r>
        <w:rPr>
          <w:szCs w:val="22"/>
          <w:lang w:val="hr-HR" w:eastAsia="hr-HR"/>
        </w:rPr>
        <w:t xml:space="preserve"> je znatno veći (približno 20.000 puta) nego za receptore AT</w:t>
      </w:r>
      <w:r>
        <w:rPr>
          <w:szCs w:val="22"/>
          <w:vertAlign w:val="subscript"/>
          <w:lang w:val="hr-HR" w:eastAsia="hr-HR"/>
        </w:rPr>
        <w:t>2</w:t>
      </w:r>
      <w:r>
        <w:rPr>
          <w:szCs w:val="22"/>
          <w:lang w:val="hr-HR" w:eastAsia="hr-HR"/>
        </w:rPr>
        <w:t>.</w:t>
      </w:r>
    </w:p>
    <w:p w14:paraId="31129BA8" w14:textId="77777777" w:rsidR="00C97A74" w:rsidRDefault="006B6E8F">
      <w:pPr>
        <w:jc w:val="both"/>
        <w:rPr>
          <w:szCs w:val="22"/>
          <w:lang w:val="hr-HR" w:eastAsia="hr-HR"/>
        </w:rPr>
      </w:pPr>
      <w:r>
        <w:rPr>
          <w:szCs w:val="22"/>
          <w:lang w:val="hr-HR" w:eastAsia="hr-HR"/>
        </w:rPr>
        <w:t>Valsartan se ne vezuje, niti blokira druge hormonske receptore ili jonske kanaliće za koje je poznato da imaju važnu ulogu u kardiovaskularnoj regulaciji.</w:t>
      </w:r>
    </w:p>
    <w:p w14:paraId="31EA4397" w14:textId="77777777" w:rsidR="00C97A74" w:rsidRDefault="00C97A74">
      <w:pPr>
        <w:jc w:val="both"/>
        <w:rPr>
          <w:szCs w:val="22"/>
          <w:lang w:val="hr-HR" w:eastAsia="hr-HR"/>
        </w:rPr>
      </w:pPr>
    </w:p>
    <w:p w14:paraId="032FBD3E" w14:textId="77777777" w:rsidR="00C97A74" w:rsidRDefault="006B6E8F">
      <w:pPr>
        <w:jc w:val="both"/>
        <w:rPr>
          <w:szCs w:val="22"/>
          <w:lang w:val="hr-HR" w:eastAsia="hr-HR"/>
        </w:rPr>
      </w:pPr>
      <w:r>
        <w:rPr>
          <w:szCs w:val="22"/>
          <w:lang w:val="hr-HR" w:eastAsia="hr-HR"/>
        </w:rPr>
        <w:t>Valsartan ne inhibira ACE, poznat  kao kininaza II, koja angiotenzin I pretvara u angiotenzin II i razgrađuje bradikinin. Budući da ne utiču na ACE i ne potenciraju dejstva bradikinina i supstance P, malo je vjerovatno da antagonisti angiotenzina II uzrokuju kašalj. U kliničkim ispitivanjima, u kojima je valsartan upoređivan sa ACE inhibitorima, pojavljivanje suvog kašlja bilo je značajno manje (p &lt; 0,05) kod pacijenta liječenih valsartanom nego kod pacijenta koji su liječeni ACE inhibitorima (2,6 % prema 7,9 %). U kliničkom ispitivanju koje je obuhvatilo pacijente sa anamnezom suvog kašlja tokom liječenja ACE inhibitorom, kašalj se kod pacijenta koji su dobijali valsartan pojavio u 19,5 % pacijenta, kod pacijenta koji su dobijali jedan od tiazidnih diuretika u 19 %, a kod pacijenata koji su se liječili ACE inhibitorom kod 68,5 % pacijenata (p &lt; 0,05).</w:t>
      </w:r>
    </w:p>
    <w:p w14:paraId="597BAEA4" w14:textId="77777777" w:rsidR="00C97A74" w:rsidRDefault="00C97A74">
      <w:pPr>
        <w:jc w:val="both"/>
        <w:rPr>
          <w:szCs w:val="22"/>
          <w:lang w:val="hr-HR" w:eastAsia="hr-HR"/>
        </w:rPr>
      </w:pPr>
    </w:p>
    <w:p w14:paraId="78E7AF7B" w14:textId="77777777" w:rsidR="00C97A74" w:rsidRDefault="006B6E8F">
      <w:pPr>
        <w:jc w:val="both"/>
        <w:rPr>
          <w:szCs w:val="22"/>
          <w:lang w:val="hr-HR" w:eastAsia="hr-HR"/>
        </w:rPr>
      </w:pPr>
      <w:r>
        <w:rPr>
          <w:szCs w:val="22"/>
          <w:lang w:val="hr-HR" w:eastAsia="hr-HR"/>
        </w:rPr>
        <w:t>Primjena valsartana kod pacijenata sa hipertenzijom rezultira sniženjem krvnog pritiska bez  uticaja na srčanu frekvenciju. Antihipertenzivno dejstvo kod većine pacijenta počinje tokom 2 sata nakon pojedinačne oralne doze, a najveće snižavanje krvnog pritisaka nastupa nakon 4 do 6 sati. Antihipertenzivno dejstvo se održava više od 24 sata nakon uzete doze. Pri ponavljanom doziranju, maksimalno sniženje krvnog pritisaka pri bilo kojoj dozi postiže se unutar 2 do 4 nedjelje i ne mijenja se pri dugotrajnoj terapiji. U kombinaciji sa hidrohlortiazidom postiže se dodatno snižavanje krvnog pritisaka.</w:t>
      </w:r>
    </w:p>
    <w:p w14:paraId="6B43F3B9" w14:textId="77777777" w:rsidR="00C97A74" w:rsidRDefault="00C97A74">
      <w:pPr>
        <w:jc w:val="both"/>
        <w:rPr>
          <w:szCs w:val="22"/>
          <w:lang w:val="hr-HR" w:eastAsia="hr-HR"/>
        </w:rPr>
      </w:pPr>
    </w:p>
    <w:p w14:paraId="28E9EBBB" w14:textId="77777777" w:rsidR="00C97A74" w:rsidRDefault="006B6E8F">
      <w:pPr>
        <w:jc w:val="both"/>
        <w:rPr>
          <w:szCs w:val="22"/>
          <w:lang w:val="hr-HR" w:eastAsia="hr-HR"/>
        </w:rPr>
      </w:pPr>
      <w:r>
        <w:rPr>
          <w:szCs w:val="22"/>
          <w:lang w:val="hr-HR" w:eastAsia="hr-HR"/>
        </w:rPr>
        <w:t>Pri naglom prekidu liječenja valsartanom nije bilo pojave povratne hipertenzije, ni drugih kliničkih neželjenih događaja.</w:t>
      </w:r>
    </w:p>
    <w:p w14:paraId="31053196" w14:textId="77777777" w:rsidR="00C97A74" w:rsidRDefault="00C97A74">
      <w:pPr>
        <w:jc w:val="both"/>
        <w:rPr>
          <w:szCs w:val="22"/>
          <w:lang w:val="hr-HR" w:eastAsia="hr-HR"/>
        </w:rPr>
      </w:pPr>
    </w:p>
    <w:p w14:paraId="2F4C1A5D" w14:textId="77777777" w:rsidR="00C97A74" w:rsidRDefault="006B6E8F">
      <w:pPr>
        <w:keepNext/>
        <w:outlineLvl w:val="1"/>
        <w:rPr>
          <w:b/>
          <w:i/>
          <w:iCs/>
          <w:szCs w:val="22"/>
          <w:u w:val="single"/>
          <w:lang w:val="hr-HR" w:eastAsia="hr-HR"/>
        </w:rPr>
      </w:pPr>
      <w:r>
        <w:rPr>
          <w:szCs w:val="22"/>
          <w:u w:val="single"/>
          <w:lang w:val="hr-HR"/>
        </w:rPr>
        <w:t>Klinička efikasnost i bezbjednost</w:t>
      </w:r>
    </w:p>
    <w:p w14:paraId="159C3795" w14:textId="77777777" w:rsidR="00C97A74" w:rsidRDefault="006B6E8F">
      <w:pPr>
        <w:jc w:val="both"/>
        <w:rPr>
          <w:szCs w:val="22"/>
          <w:lang w:val="hr-HR" w:eastAsia="hr-HR"/>
        </w:rPr>
      </w:pPr>
      <w:r>
        <w:rPr>
          <w:szCs w:val="22"/>
          <w:lang w:val="hr-HR" w:eastAsia="hr-HR"/>
        </w:rPr>
        <w:t>Kod hipertenzivnih pacijenata sa diabetesom tip 2 i mikroalbuminurijom, valsartan  je smanjio izlučivanje albumina mokraćom. Klinička studija MARVAL (</w:t>
      </w:r>
      <w:r>
        <w:rPr>
          <w:i/>
          <w:szCs w:val="22"/>
          <w:lang w:val="hr-HR" w:eastAsia="hr-HR"/>
        </w:rPr>
        <w:t>Micro Reduction with Valsartan</w:t>
      </w:r>
      <w:r>
        <w:rPr>
          <w:szCs w:val="22"/>
          <w:lang w:val="hr-HR" w:eastAsia="hr-HR"/>
        </w:rPr>
        <w:t>) procjenjivala je smanjivanje izlučivanja albumina mokraćom, uzrokovano  valsartanom (80 do 160 mg jedan put na dan), u poređenju sa amlodipinom (5 do 10 mg jedan put na dan) kod 332 pacijenta sa diabetesom tip 2 (prosječne starosti: 58 godina; 265 muškaraca) i mikroalbuminurijom (valsartan: 58 μg/min; amlodipin: 55,4 μg/min), normalnim ili visokim krvnim pritiskom i očuvanom funkcijom bubrega (kreatinin u krvi &lt; 120 μmol/min). Nakon 24 nedjelje izlučivanje albumina mokraćom se kod valsartana smanjilo (-24,2 μg/min; 95 -% IP:-40,5 do –19,1) za 42 % (p &lt; 0,001), a kod amlodipina za približno 3 % (-1,7 μg/min; 95-% IP: -5,6 do 14,9), uprkos sličnom snižavanju krvnog pritiska u obje grupe.</w:t>
      </w:r>
    </w:p>
    <w:p w14:paraId="7F0A2766" w14:textId="0FC1B2C6" w:rsidR="00653DA8" w:rsidRDefault="006B6E8F">
      <w:pPr>
        <w:jc w:val="both"/>
        <w:rPr>
          <w:szCs w:val="22"/>
          <w:lang w:val="hr-HR" w:eastAsia="hr-HR"/>
        </w:rPr>
      </w:pPr>
      <w:r>
        <w:rPr>
          <w:szCs w:val="22"/>
          <w:lang w:val="hr-HR" w:eastAsia="hr-HR"/>
        </w:rPr>
        <w:t>Klinička studija DROP (</w:t>
      </w:r>
      <w:r>
        <w:rPr>
          <w:i/>
          <w:szCs w:val="22"/>
          <w:lang w:val="hr-HR" w:eastAsia="hr-HR"/>
        </w:rPr>
        <w:t>Diovan Reduction of Proteinuria</w:t>
      </w:r>
      <w:r>
        <w:rPr>
          <w:szCs w:val="22"/>
          <w:lang w:val="hr-HR" w:eastAsia="hr-HR"/>
        </w:rPr>
        <w:t>) dodatno je ispitivala efikasnost valsartana u smanjenju izlučivanja albumina mokraćom kod 391 hipertenzivnog pacijenta (KP = 150/88 mm Hg) sa diabetesom tip 2, albuminurijom (srednja vrijednost = 102 μg/min; 20 – 700 μg/min) i očuvanom bubrežnom funkcijom prosječna vrijednost serumskog kreatinina = 80 μmol/l). Pacijenti su randomizovani da primaju jednu od 3 doze valsartana (160, 320 ili 460 mg jedan put na dan) i liječeni 30 nedjelja. Cilj kliničkog ispitivanja bio je odrediti optimalnu dozu valsartana za smanjivanje izlučivanja albumina mokraćom kod hipertenzivnih pacijenta sa diabetesom tip 2. Nakon 30 nedjelja izlučivanje albumina mokraćom je značajno smanjeno za 36% od početne vrijednosti kod primjene valsartana u dozi od 160 mg  (95-% CI: 22 do 47 %), za 44 % kod primjene valsartana u dozi od 320 mg valsartana (95-% CI: 31 do 54 %). Zaključeno je da valsartan u dozama 160 do 320 mg izaziva klinički značajna smanjenja izlučivanja albumina mokraćom kod hipertenzivnih pacijenta sa diabetesom tip 2.</w:t>
      </w:r>
    </w:p>
    <w:p w14:paraId="43967AC7" w14:textId="77777777" w:rsidR="00C97A74" w:rsidRPr="00CF3001" w:rsidRDefault="006B6E8F" w:rsidP="00CF3001">
      <w:pPr>
        <w:jc w:val="both"/>
        <w:rPr>
          <w:rFonts w:eastAsia="SimSun"/>
          <w:color w:val="000000"/>
          <w:szCs w:val="22"/>
          <w:lang w:val="sr-Latn-ME" w:eastAsia="sl-SI"/>
        </w:rPr>
      </w:pPr>
      <w:r w:rsidRPr="00CF3001">
        <w:rPr>
          <w:rFonts w:eastAsia="SimSun"/>
          <w:color w:val="000000"/>
          <w:szCs w:val="22"/>
          <w:lang w:val="sr-Latn-ME" w:eastAsia="sl-SI"/>
        </w:rPr>
        <w:lastRenderedPageBreak/>
        <w:t xml:space="preserve">Dvije velike randomizovane, kontrolisane studije (ONTARGET (engl. </w:t>
      </w:r>
      <w:r w:rsidRPr="00CF3001">
        <w:rPr>
          <w:rFonts w:eastAsia="SimSun"/>
          <w:i/>
          <w:iCs/>
          <w:color w:val="000000"/>
          <w:szCs w:val="22"/>
          <w:lang w:val="sr-Latn-ME" w:eastAsia="sl-SI"/>
        </w:rPr>
        <w:t>ONgoing Telmisartan Alone and in combination with Ramipril Global Endpoint Trial</w:t>
      </w:r>
      <w:r w:rsidRPr="00CF3001">
        <w:rPr>
          <w:rFonts w:eastAsia="SimSun"/>
          <w:color w:val="000000"/>
          <w:szCs w:val="22"/>
          <w:lang w:val="sr-Latn-ME" w:eastAsia="sl-SI"/>
        </w:rPr>
        <w:t xml:space="preserve">) i VA NEPHRON-D (engl. </w:t>
      </w:r>
      <w:r w:rsidRPr="00CF3001">
        <w:rPr>
          <w:rFonts w:eastAsia="SimSun"/>
          <w:i/>
          <w:iCs/>
          <w:color w:val="000000"/>
          <w:szCs w:val="22"/>
          <w:lang w:val="sr-Latn-ME" w:eastAsia="sl-SI"/>
        </w:rPr>
        <w:t>The Veterans Affairs Nephropathy in Diabetes</w:t>
      </w:r>
      <w:r w:rsidRPr="00CF3001">
        <w:rPr>
          <w:rFonts w:eastAsia="SimSun"/>
          <w:color w:val="000000"/>
          <w:szCs w:val="22"/>
          <w:lang w:val="sr-Latn-ME" w:eastAsia="sl-SI"/>
        </w:rPr>
        <w:t xml:space="preserve">)) ispitivale su primjenu kombinacije ACE inhibitora s blokatorom angiotenzin II receptora. </w:t>
      </w:r>
    </w:p>
    <w:p w14:paraId="7EF0EE8B" w14:textId="77777777" w:rsidR="00C97A74" w:rsidRPr="00CF3001" w:rsidRDefault="00C97A74">
      <w:pPr>
        <w:tabs>
          <w:tab w:val="clear" w:pos="567"/>
          <w:tab w:val="left" w:pos="720"/>
        </w:tabs>
        <w:autoSpaceDE w:val="0"/>
        <w:autoSpaceDN w:val="0"/>
        <w:adjustRightInd w:val="0"/>
        <w:spacing w:line="240" w:lineRule="auto"/>
        <w:jc w:val="both"/>
        <w:rPr>
          <w:rFonts w:eastAsia="SimSun"/>
          <w:color w:val="000000"/>
          <w:szCs w:val="22"/>
          <w:highlight w:val="yellow"/>
          <w:lang w:val="sr-Latn-ME" w:eastAsia="sl-SI"/>
        </w:rPr>
      </w:pPr>
    </w:p>
    <w:p w14:paraId="7BFC4AEB" w14:textId="77777777" w:rsidR="00C97A74" w:rsidRPr="00CF3001" w:rsidRDefault="006B6E8F">
      <w:pPr>
        <w:tabs>
          <w:tab w:val="clear" w:pos="567"/>
          <w:tab w:val="left" w:pos="720"/>
        </w:tabs>
        <w:autoSpaceDE w:val="0"/>
        <w:autoSpaceDN w:val="0"/>
        <w:adjustRightInd w:val="0"/>
        <w:spacing w:line="240" w:lineRule="auto"/>
        <w:jc w:val="both"/>
        <w:rPr>
          <w:rFonts w:eastAsia="SimSun"/>
          <w:color w:val="000000"/>
          <w:szCs w:val="22"/>
          <w:lang w:val="sr-Latn-ME" w:eastAsia="sl-SI"/>
        </w:rPr>
      </w:pPr>
      <w:r w:rsidRPr="00CF3001">
        <w:rPr>
          <w:rFonts w:eastAsia="SimSun"/>
          <w:color w:val="000000"/>
          <w:szCs w:val="22"/>
          <w:lang w:val="sr-Latn-ME" w:eastAsia="sl-SI"/>
        </w:rPr>
        <w:t xml:space="preserve">ONTARGET je bila studija sprovedena kod pacijenata sa kardiovaskularnom ili cerebrovaskularnom bolešću u anamnezi, ili sa dijabetesom tipa 2 uz dokaze oštećenja ciljanih organa. VA NEPHRON-D je bila studija kod pacijenata sa dijabetesom tipa 2 i dijabetičkom nefropatijom. </w:t>
      </w:r>
    </w:p>
    <w:p w14:paraId="18D32677" w14:textId="77777777" w:rsidR="00C97A74" w:rsidRPr="00CF3001" w:rsidRDefault="006B6E8F">
      <w:pPr>
        <w:tabs>
          <w:tab w:val="clear" w:pos="567"/>
          <w:tab w:val="left" w:pos="720"/>
        </w:tabs>
        <w:autoSpaceDE w:val="0"/>
        <w:autoSpaceDN w:val="0"/>
        <w:adjustRightInd w:val="0"/>
        <w:spacing w:line="240" w:lineRule="auto"/>
        <w:jc w:val="both"/>
        <w:rPr>
          <w:rFonts w:eastAsia="SimSun"/>
          <w:color w:val="000000"/>
          <w:szCs w:val="22"/>
          <w:lang w:val="sr-Latn-ME" w:eastAsia="sl-SI"/>
        </w:rPr>
      </w:pPr>
      <w:r w:rsidRPr="00CF3001">
        <w:rPr>
          <w:rFonts w:eastAsia="SimSun"/>
          <w:color w:val="000000"/>
          <w:szCs w:val="22"/>
          <w:lang w:val="sr-Latn-ME" w:eastAsia="sl-SI"/>
        </w:rPr>
        <w:t xml:space="preserve">Te studije nisu pokazale nikakav značajan povoljan efekat na bubrežne i/ili kardiovaskularne ishode i smrtnost, a bio je uočen povećan rizik od hiperkalijemije, akutne ozljede bubrega i/ili hipotenzije u poređenju sa monoterapijom. S obzirom na njihova slična farmakodinamska svojstva, ti su rezultati relevantni i za druge ACE inhibitore i blokatore angiotenzin II receptora. </w:t>
      </w:r>
    </w:p>
    <w:p w14:paraId="777757E7" w14:textId="77777777" w:rsidR="00C97A74" w:rsidRPr="00CF3001" w:rsidRDefault="006B6E8F">
      <w:pPr>
        <w:tabs>
          <w:tab w:val="clear" w:pos="567"/>
          <w:tab w:val="left" w:pos="720"/>
        </w:tabs>
        <w:autoSpaceDE w:val="0"/>
        <w:autoSpaceDN w:val="0"/>
        <w:adjustRightInd w:val="0"/>
        <w:spacing w:line="240" w:lineRule="auto"/>
        <w:jc w:val="both"/>
        <w:rPr>
          <w:rFonts w:eastAsia="SimSun"/>
          <w:color w:val="000000"/>
          <w:szCs w:val="22"/>
          <w:lang w:val="sr-Latn-ME" w:eastAsia="sl-SI"/>
        </w:rPr>
      </w:pPr>
      <w:r w:rsidRPr="00CF3001">
        <w:rPr>
          <w:rFonts w:eastAsia="SimSun"/>
          <w:color w:val="000000"/>
          <w:szCs w:val="22"/>
          <w:lang w:val="sr-Latn-ME" w:eastAsia="sl-SI"/>
        </w:rPr>
        <w:t xml:space="preserve">ACE inhibitori i blokatori angiotenzin II receptora stoga se ne smiju istovremeno primjenjivati kod pacijenata sa dijabetičkom nefropatijom. </w:t>
      </w:r>
    </w:p>
    <w:p w14:paraId="38742D5B" w14:textId="77777777" w:rsidR="00C97A74" w:rsidRPr="00CF3001" w:rsidRDefault="006B6E8F">
      <w:pPr>
        <w:shd w:val="clear" w:color="auto" w:fill="FFFFFF"/>
        <w:jc w:val="both"/>
        <w:rPr>
          <w:i/>
          <w:color w:val="000000"/>
          <w:szCs w:val="22"/>
          <w:lang w:val="sr-Latn-ME"/>
        </w:rPr>
      </w:pPr>
      <w:r w:rsidRPr="00CF3001">
        <w:rPr>
          <w:rFonts w:eastAsia="SimSun"/>
          <w:color w:val="000000"/>
          <w:szCs w:val="22"/>
          <w:lang w:val="sr-Latn-ME" w:eastAsia="sl-SI"/>
        </w:rPr>
        <w:t xml:space="preserve">ALTITUDE (engl. </w:t>
      </w:r>
      <w:r w:rsidRPr="00CF3001">
        <w:rPr>
          <w:rFonts w:eastAsia="SimSun"/>
          <w:i/>
          <w:iCs/>
          <w:color w:val="000000"/>
          <w:szCs w:val="22"/>
          <w:lang w:val="sr-Latn-ME" w:eastAsia="sl-SI"/>
        </w:rPr>
        <w:t>Aliskiren Trial in Type 2 Diabetes Using Cardiovascular and Renal Disease Endpoints</w:t>
      </w:r>
      <w:r w:rsidRPr="00CF3001">
        <w:rPr>
          <w:rFonts w:eastAsia="SimSun"/>
          <w:color w:val="000000"/>
          <w:szCs w:val="22"/>
          <w:lang w:val="sr-Latn-ME" w:eastAsia="sl-SI"/>
        </w:rPr>
        <w:t>) je bila studija osmišljena za testiranje koristi dodavanja aliskirena standardnoj terapiji sa ACE inhibitorom ili blokatorom angiotenzin II receptora kod pacijenata sa dijabetesom tipa 2 i hroničnom bolešću bubrega, kardiovaskularnom bolešću ili oboje. Ispitivanje je bilo prekinuto prije predviđenog vremena zbog povećanog rizika od štetnih ishoda. Kardiovaskularna smrt i moždani udar su numerički bili učestaliji u grupi koja je primala aliskiren nego u onoj koja je primala placebo, a neželjeni događaji i ozbiljni neželjeni događaji od značaja (hiperkalijemija, hipotenzija i bubrežna disfunkcija) bili su učestalije zabilježeni u grupi koja je primala aliskiren nego u onoj koja je primala placebo.</w:t>
      </w:r>
    </w:p>
    <w:p w14:paraId="5BFCE063" w14:textId="77777777" w:rsidR="00C97A74" w:rsidRDefault="00C97A74">
      <w:pPr>
        <w:rPr>
          <w:szCs w:val="22"/>
          <w:lang w:val="hr-HR" w:eastAsia="hr-HR"/>
        </w:rPr>
      </w:pPr>
    </w:p>
    <w:p w14:paraId="0F391820" w14:textId="77777777" w:rsidR="00C97A74" w:rsidRDefault="006B6E8F">
      <w:pPr>
        <w:keepNext/>
        <w:jc w:val="both"/>
        <w:outlineLvl w:val="1"/>
        <w:rPr>
          <w:b/>
          <w:i/>
          <w:iCs/>
          <w:szCs w:val="22"/>
          <w:u w:val="single"/>
          <w:lang w:val="hr-HR" w:eastAsia="hr-HR"/>
        </w:rPr>
      </w:pPr>
      <w:r>
        <w:rPr>
          <w:b/>
          <w:i/>
          <w:iCs/>
          <w:szCs w:val="22"/>
          <w:u w:val="single"/>
          <w:lang w:val="hr-HR" w:eastAsia="hr-HR"/>
        </w:rPr>
        <w:t>Hidrohlortiazid</w:t>
      </w:r>
    </w:p>
    <w:p w14:paraId="1C5F3528" w14:textId="77777777" w:rsidR="00C97A74" w:rsidRDefault="00C97A74">
      <w:pPr>
        <w:keepNext/>
        <w:jc w:val="both"/>
        <w:outlineLvl w:val="1"/>
        <w:rPr>
          <w:i/>
          <w:iCs/>
          <w:szCs w:val="22"/>
          <w:u w:val="single"/>
          <w:lang w:val="hr-HR" w:eastAsia="hr-HR"/>
        </w:rPr>
      </w:pPr>
    </w:p>
    <w:p w14:paraId="0B86F57C" w14:textId="77777777" w:rsidR="00C97A74" w:rsidRDefault="006B6E8F">
      <w:pPr>
        <w:keepNext/>
        <w:jc w:val="both"/>
        <w:outlineLvl w:val="1"/>
        <w:rPr>
          <w:i/>
          <w:iCs/>
          <w:szCs w:val="22"/>
          <w:u w:val="single"/>
          <w:lang w:val="hr-HR" w:eastAsia="hr-HR"/>
        </w:rPr>
      </w:pPr>
      <w:r>
        <w:rPr>
          <w:szCs w:val="22"/>
          <w:u w:val="single"/>
          <w:lang w:val="hr-HR"/>
        </w:rPr>
        <w:t>Mehanizam djelovanja</w:t>
      </w:r>
    </w:p>
    <w:p w14:paraId="53844121" w14:textId="77777777" w:rsidR="00C97A74" w:rsidRDefault="006B6E8F">
      <w:pPr>
        <w:jc w:val="both"/>
        <w:rPr>
          <w:szCs w:val="22"/>
          <w:lang w:val="hr-HR" w:eastAsia="hr-HR"/>
        </w:rPr>
      </w:pPr>
      <w:r>
        <w:rPr>
          <w:szCs w:val="22"/>
          <w:lang w:val="hr-HR" w:eastAsia="hr-HR"/>
        </w:rPr>
        <w:t>Glavno mjesto djelovanja tiazidnih diuretika je u bubrežnom distalnom zavijenom tubulu. U bubrežnoj kori nalazi se receptor sa velikim afinitetom i sa primarnim mjestom vezivanja i djelovanja tiazidnih diuretika i inhibiranje transporta natriijum hlorida u distalnom zavijenom tubulu. Tiazidi djeluju putem inhibicije zajedničkog transporta Na</w:t>
      </w:r>
      <w:r>
        <w:rPr>
          <w:szCs w:val="22"/>
          <w:vertAlign w:val="superscript"/>
          <w:lang w:val="hr-HR" w:eastAsia="hr-HR"/>
        </w:rPr>
        <w:t>+</w:t>
      </w:r>
      <w:r>
        <w:rPr>
          <w:szCs w:val="22"/>
          <w:lang w:val="hr-HR" w:eastAsia="hr-HR"/>
        </w:rPr>
        <w:t>Cl</w:t>
      </w:r>
      <w:r>
        <w:rPr>
          <w:szCs w:val="22"/>
          <w:vertAlign w:val="superscript"/>
          <w:lang w:val="hr-HR" w:eastAsia="hr-HR"/>
        </w:rPr>
        <w:t>‾</w:t>
      </w:r>
      <w:r>
        <w:rPr>
          <w:szCs w:val="22"/>
          <w:lang w:val="hr-HR" w:eastAsia="hr-HR"/>
        </w:rPr>
        <w:t>, kompeticijom za hloridno mjesto, što utiče na mehanizme reapsorpcije elektrolita. Neposredno djeluju tako što povećavaju izlučivanje natrijuma i hlorida u približno jednakim količinama, a posredno zbog diuretskog dejstva smanjuju volumen plazme. Posljedično se time povećava aktivnost plazmatskog renina, izlučivanje aldosterona i gubitak kalijuma mokraćom, a koncentracija kalijuma u serumu se smanjuje. Angiotenzin II posreduje u povezivanju renin-aldosteron, zato je tokom istovremenog liječenja valsartanom smanjivanje nivoa kalijuma u serumu manje izraženo nego kod monoterapije hidrohlortiazidom.</w:t>
      </w:r>
    </w:p>
    <w:p w14:paraId="13C379D7" w14:textId="77777777" w:rsidR="00C97A74" w:rsidRDefault="00C97A74">
      <w:pPr>
        <w:jc w:val="both"/>
        <w:rPr>
          <w:szCs w:val="22"/>
          <w:lang w:val="hr-HR" w:eastAsia="hr-HR"/>
        </w:rPr>
      </w:pPr>
    </w:p>
    <w:p w14:paraId="4D25E154" w14:textId="77777777" w:rsidR="00C97A74" w:rsidRDefault="006B6E8F">
      <w:pPr>
        <w:keepNext/>
        <w:outlineLvl w:val="1"/>
        <w:rPr>
          <w:szCs w:val="22"/>
          <w:u w:val="single"/>
          <w:lang w:val="hr-HR"/>
        </w:rPr>
      </w:pPr>
      <w:r>
        <w:rPr>
          <w:szCs w:val="22"/>
          <w:u w:val="single"/>
          <w:lang w:val="hr-HR"/>
        </w:rPr>
        <w:t>Klinička efikasnost i bezbjednost</w:t>
      </w:r>
    </w:p>
    <w:p w14:paraId="41424482" w14:textId="77777777" w:rsidR="00C97A74" w:rsidRDefault="006B6E8F">
      <w:pPr>
        <w:jc w:val="both"/>
        <w:rPr>
          <w:szCs w:val="22"/>
          <w:lang w:val="hr-HR"/>
        </w:rPr>
      </w:pPr>
      <w:r>
        <w:rPr>
          <w:szCs w:val="22"/>
          <w:lang w:val="hr-HR"/>
        </w:rPr>
        <w:t xml:space="preserve">Nemelanomski karcinom kože: Na osnovu dostupnih podataka iz epidemioloških studija, između hidrohlortiazida i nemelanomskog karcinoma kože (NMSC) zapažena je povezanost zavisna od kumulativne doze. Jedna studija uključila je populaciju koja se sastojala od 71.533 slučaja bazocelularnog karcinoma (BCC) i 8.629 slučajeva planocelularnog karcinoma (SCC), usklađenih sa 1.430.833, odnosno 172.462 kontrole u populaciji. Velika upotreba hidrohlortiazida (≥50.000 mg kumulativno) bila je povezana sa prilagođenim OR od 1,29 (95% CI: 1,23-1,35) za BCC i 3,98 (95% CI: 3,68-4,31) za SCC. Primijećena je jasna povezanost odgovora i kumulativne doze i za BCC i za SCC. Druga studija pokazala je moguću povezanost između karcinoma usana (SCC) i izlaganja hidrohlortiazidu: 633 slučaja karcinoma usana usklađeno je sa 63.067 kontrola u populaciji, primjenom strategije uzorkovanja iz rizične grupe (eng. </w:t>
      </w:r>
      <w:r>
        <w:rPr>
          <w:i/>
          <w:szCs w:val="22"/>
          <w:lang w:val="hr-HR"/>
        </w:rPr>
        <w:t>risk-set sampling</w:t>
      </w:r>
      <w:r>
        <w:rPr>
          <w:szCs w:val="22"/>
          <w:lang w:val="hr-HR"/>
        </w:rPr>
        <w:t>). Pokazana je povezanost odgovora i kumulativne doze sa prilagođenim OR 2,1 (95% CI: 1,7-2,6) sa povećanjem na OR 3,9 (3,0-4,9) za veliku upotrebu hidrohlortiazida (~25.000 mg) i na OR 7,7 (5,7-10,5) za najveću kumulativnu dozu (~100.000 mg) (vidjeti dio 4.4 Posebna upozorenja i mjere opeza pri upotrebi lijeka).</w:t>
      </w:r>
    </w:p>
    <w:p w14:paraId="264B05C5" w14:textId="77777777" w:rsidR="00C97A74" w:rsidRDefault="00C97A74">
      <w:pPr>
        <w:rPr>
          <w:b/>
          <w:bCs/>
          <w:szCs w:val="22"/>
          <w:lang w:val="hr-HR" w:eastAsia="hr-HR"/>
        </w:rPr>
      </w:pPr>
    </w:p>
    <w:p w14:paraId="2729288A" w14:textId="77777777" w:rsidR="00C97A74" w:rsidRDefault="00C97A74">
      <w:pPr>
        <w:rPr>
          <w:b/>
          <w:bCs/>
          <w:szCs w:val="22"/>
          <w:lang w:val="hr-HR" w:eastAsia="hr-HR"/>
        </w:rPr>
      </w:pPr>
    </w:p>
    <w:p w14:paraId="71050508" w14:textId="77777777" w:rsidR="00C97A74" w:rsidRDefault="00C97A74">
      <w:pPr>
        <w:rPr>
          <w:b/>
          <w:bCs/>
          <w:szCs w:val="22"/>
          <w:lang w:val="hr-HR" w:eastAsia="hr-HR"/>
        </w:rPr>
      </w:pPr>
    </w:p>
    <w:p w14:paraId="689EE802" w14:textId="77777777" w:rsidR="00C97A74" w:rsidRDefault="00C97A74">
      <w:pPr>
        <w:rPr>
          <w:b/>
          <w:bCs/>
          <w:szCs w:val="22"/>
          <w:lang w:val="hr-HR" w:eastAsia="hr-HR"/>
        </w:rPr>
      </w:pPr>
    </w:p>
    <w:p w14:paraId="33378858" w14:textId="77777777" w:rsidR="00C97A74" w:rsidRDefault="006B6E8F">
      <w:pPr>
        <w:rPr>
          <w:b/>
          <w:bCs/>
          <w:szCs w:val="22"/>
          <w:lang w:val="hr-HR" w:eastAsia="hr-HR"/>
        </w:rPr>
      </w:pPr>
      <w:r>
        <w:rPr>
          <w:b/>
          <w:bCs/>
          <w:szCs w:val="22"/>
          <w:lang w:val="hr-HR" w:eastAsia="hr-HR"/>
        </w:rPr>
        <w:lastRenderedPageBreak/>
        <w:t>5.2</w:t>
      </w:r>
      <w:r>
        <w:rPr>
          <w:b/>
          <w:bCs/>
          <w:szCs w:val="22"/>
          <w:lang w:val="hr-HR" w:eastAsia="hr-HR"/>
        </w:rPr>
        <w:tab/>
        <w:t>Farmakokinetički podaci</w:t>
      </w:r>
    </w:p>
    <w:p w14:paraId="747655DB" w14:textId="77777777" w:rsidR="00C97A74" w:rsidRDefault="00C97A74">
      <w:pPr>
        <w:rPr>
          <w:szCs w:val="22"/>
          <w:lang w:val="hr-HR" w:eastAsia="hr-HR"/>
        </w:rPr>
      </w:pPr>
    </w:p>
    <w:p w14:paraId="7AC8B41B" w14:textId="77777777" w:rsidR="00C97A74" w:rsidRDefault="006B6E8F">
      <w:pPr>
        <w:keepNext/>
        <w:jc w:val="both"/>
        <w:outlineLvl w:val="1"/>
        <w:rPr>
          <w:i/>
          <w:iCs/>
          <w:szCs w:val="22"/>
          <w:u w:val="single"/>
          <w:lang w:val="hr-HR" w:eastAsia="hr-HR"/>
        </w:rPr>
      </w:pPr>
      <w:r>
        <w:rPr>
          <w:i/>
          <w:iCs/>
          <w:szCs w:val="22"/>
          <w:u w:val="single"/>
          <w:lang w:val="hr-HR" w:eastAsia="hr-HR"/>
        </w:rPr>
        <w:t>Valsartan i hidrohlortiazid</w:t>
      </w:r>
    </w:p>
    <w:p w14:paraId="00B27243" w14:textId="77777777" w:rsidR="00C97A74" w:rsidRDefault="006B6E8F">
      <w:pPr>
        <w:jc w:val="both"/>
        <w:rPr>
          <w:szCs w:val="22"/>
          <w:lang w:val="hr-HR" w:eastAsia="hr-HR"/>
        </w:rPr>
      </w:pPr>
      <w:r>
        <w:rPr>
          <w:szCs w:val="22"/>
          <w:lang w:val="hr-HR" w:eastAsia="hr-HR"/>
        </w:rPr>
        <w:t>Sistemska bioraspoloživost hidrohlortiazida se kod uzimanja istovremeno sa valsartanom smanjuje za približno 30 %. Istovremeno uzimanje hidrohlortiazida ne utiče bitno na kinetiku valsartana. Opisano međusobno djelovanje nema nikakvog uticaja na upotrebu kombinacije valsartana i hidrohlortiazida, jer se u kontrolisanim kliničkim istraživanjima pokazalo jasno antihipertenzivno dejstvo, i to veće nego kod upotrebe svakog pojedinog lijeka ili placeba.</w:t>
      </w:r>
    </w:p>
    <w:p w14:paraId="58D630F5" w14:textId="77777777" w:rsidR="00C97A74" w:rsidRDefault="00C97A74">
      <w:pPr>
        <w:keepNext/>
        <w:jc w:val="both"/>
        <w:outlineLvl w:val="1"/>
        <w:rPr>
          <w:szCs w:val="22"/>
          <w:lang w:val="hr-HR" w:eastAsia="hr-HR"/>
        </w:rPr>
      </w:pPr>
    </w:p>
    <w:p w14:paraId="2C20FED3" w14:textId="77777777" w:rsidR="00C97A74" w:rsidRDefault="006B6E8F">
      <w:pPr>
        <w:keepNext/>
        <w:jc w:val="both"/>
        <w:outlineLvl w:val="1"/>
        <w:rPr>
          <w:i/>
          <w:iCs/>
          <w:szCs w:val="22"/>
          <w:u w:val="single"/>
          <w:lang w:val="hr-HR" w:eastAsia="hr-HR"/>
        </w:rPr>
      </w:pPr>
      <w:r>
        <w:rPr>
          <w:i/>
          <w:iCs/>
          <w:szCs w:val="22"/>
          <w:u w:val="single"/>
          <w:lang w:val="hr-HR" w:eastAsia="hr-HR"/>
        </w:rPr>
        <w:t>Valsartan</w:t>
      </w:r>
    </w:p>
    <w:p w14:paraId="08DC9F1A" w14:textId="77777777" w:rsidR="00C97A74" w:rsidRDefault="006B6E8F">
      <w:pPr>
        <w:keepNext/>
        <w:jc w:val="both"/>
        <w:outlineLvl w:val="2"/>
        <w:rPr>
          <w:i/>
          <w:iCs/>
          <w:szCs w:val="22"/>
          <w:lang w:val="hr-HR" w:eastAsia="hr-HR"/>
        </w:rPr>
      </w:pPr>
      <w:r>
        <w:rPr>
          <w:i/>
          <w:iCs/>
          <w:szCs w:val="22"/>
          <w:lang w:val="hr-HR" w:eastAsia="hr-HR"/>
        </w:rPr>
        <w:t>Resorpcija</w:t>
      </w:r>
    </w:p>
    <w:p w14:paraId="12D04FA3" w14:textId="77777777" w:rsidR="00C97A74" w:rsidRDefault="006B6E8F">
      <w:pPr>
        <w:jc w:val="both"/>
        <w:rPr>
          <w:szCs w:val="22"/>
          <w:lang w:val="hr-HR" w:eastAsia="hr-HR"/>
        </w:rPr>
      </w:pPr>
      <w:r>
        <w:rPr>
          <w:szCs w:val="22"/>
          <w:lang w:val="hr-HR" w:eastAsia="hr-HR"/>
        </w:rPr>
        <w:t>Kod oralne primjene samo valsartana, najveću koncentraciju u plazmi valsartan dostiže nakon 2 do 4 sata. Njegova srednja apsolutna biološka raspoloživost je 23 %. Hrana smanjuje raspoloživost (mjereno pomoću PIK) valsartana za približno 40 %, dok se najveća koncentraciju u plazmi (C</w:t>
      </w:r>
      <w:r>
        <w:rPr>
          <w:szCs w:val="22"/>
          <w:vertAlign w:val="subscript"/>
          <w:lang w:val="hr-HR" w:eastAsia="hr-HR"/>
        </w:rPr>
        <w:t>max</w:t>
      </w:r>
      <w:r>
        <w:rPr>
          <w:szCs w:val="22"/>
          <w:lang w:val="hr-HR" w:eastAsia="hr-HR"/>
        </w:rPr>
        <w:t>) smanjuje za približno 50 %, iako su približno 8 sati nakon primjene lijeka koncentracije valsartana u plazmi u prisustvu hrane ili u stanju gladovanja slične. Budući da smanjivanje PIK ne prati klinički značajno smanjivanje terapijskog efekta, pacijenti lijek mogu uzimati sa hranom ili bez nje.</w:t>
      </w:r>
    </w:p>
    <w:p w14:paraId="5C8BD39D" w14:textId="77777777" w:rsidR="00C97A74" w:rsidRDefault="00C97A74">
      <w:pPr>
        <w:jc w:val="both"/>
        <w:rPr>
          <w:szCs w:val="22"/>
          <w:lang w:val="hr-HR" w:eastAsia="hr-HR"/>
        </w:rPr>
      </w:pPr>
    </w:p>
    <w:p w14:paraId="7B421F19" w14:textId="77777777" w:rsidR="00C97A74" w:rsidRDefault="006B6E8F">
      <w:pPr>
        <w:keepNext/>
        <w:jc w:val="both"/>
        <w:outlineLvl w:val="2"/>
        <w:rPr>
          <w:i/>
          <w:iCs/>
          <w:szCs w:val="22"/>
          <w:lang w:val="hr-HR" w:eastAsia="hr-HR"/>
        </w:rPr>
      </w:pPr>
      <w:r>
        <w:rPr>
          <w:i/>
          <w:iCs/>
          <w:szCs w:val="22"/>
          <w:lang w:val="hr-HR" w:eastAsia="hr-HR"/>
        </w:rPr>
        <w:t>Distribucija</w:t>
      </w:r>
    </w:p>
    <w:p w14:paraId="32B005F5" w14:textId="77777777" w:rsidR="00C97A74" w:rsidRDefault="006B6E8F">
      <w:pPr>
        <w:jc w:val="both"/>
        <w:rPr>
          <w:szCs w:val="22"/>
          <w:lang w:val="hr-HR" w:eastAsia="hr-HR"/>
        </w:rPr>
      </w:pPr>
      <w:r>
        <w:rPr>
          <w:szCs w:val="22"/>
          <w:lang w:val="hr-HR" w:eastAsia="hr-HR"/>
        </w:rPr>
        <w:t>Volumen distribucije valsartana u stanju dinamičke ravnoteže je nakon intravenske primjene oko 17 litara, što pokazuje da u tkiva ne prodire u većoj mjeri. Valsartan se u velikoj mjeri vezuje za serumske proteine (94 do 97 %), uglavnom za serumski albumin.</w:t>
      </w:r>
    </w:p>
    <w:p w14:paraId="25E155DB" w14:textId="77777777" w:rsidR="00C97A74" w:rsidRDefault="00C97A74">
      <w:pPr>
        <w:jc w:val="both"/>
        <w:rPr>
          <w:szCs w:val="22"/>
          <w:lang w:val="hr-HR" w:eastAsia="hr-HR"/>
        </w:rPr>
      </w:pPr>
    </w:p>
    <w:p w14:paraId="50A781D5" w14:textId="77777777" w:rsidR="00C97A74" w:rsidRDefault="006B6E8F">
      <w:pPr>
        <w:keepNext/>
        <w:jc w:val="both"/>
        <w:outlineLvl w:val="2"/>
        <w:rPr>
          <w:i/>
          <w:iCs/>
          <w:szCs w:val="22"/>
          <w:lang w:val="hr-HR" w:eastAsia="hr-HR"/>
        </w:rPr>
      </w:pPr>
      <w:r>
        <w:rPr>
          <w:i/>
          <w:iCs/>
          <w:szCs w:val="22"/>
          <w:lang w:val="hr-HR" w:eastAsia="hr-HR"/>
        </w:rPr>
        <w:t>Biotransformacija</w:t>
      </w:r>
    </w:p>
    <w:p w14:paraId="452CA8F6" w14:textId="77777777" w:rsidR="00C97A74" w:rsidRDefault="006B6E8F">
      <w:pPr>
        <w:jc w:val="both"/>
        <w:rPr>
          <w:szCs w:val="22"/>
          <w:lang w:val="hr-HR" w:eastAsia="hr-HR"/>
        </w:rPr>
      </w:pPr>
      <w:r>
        <w:rPr>
          <w:szCs w:val="22"/>
          <w:lang w:val="hr-HR" w:eastAsia="hr-HR"/>
        </w:rPr>
        <w:t>Valsartan se ne metaboliše u većoj mjeri, budući da se svega 20 % doze može naći u obliku metabolita. U plazmi je nadjen hidroksi metabolit u niskoj koncentraciji (manje od 10 % PIK-a valsartana). Taj metabolit je farmakološki neaktivan.</w:t>
      </w:r>
    </w:p>
    <w:p w14:paraId="5D5AC460" w14:textId="77777777" w:rsidR="00C97A74" w:rsidRDefault="00C97A74">
      <w:pPr>
        <w:jc w:val="both"/>
        <w:rPr>
          <w:szCs w:val="22"/>
          <w:lang w:val="hr-HR" w:eastAsia="hr-HR"/>
        </w:rPr>
      </w:pPr>
    </w:p>
    <w:p w14:paraId="7E2C7D00" w14:textId="77777777" w:rsidR="00C97A74" w:rsidRDefault="006B6E8F">
      <w:pPr>
        <w:keepNext/>
        <w:jc w:val="both"/>
        <w:outlineLvl w:val="2"/>
        <w:rPr>
          <w:i/>
          <w:iCs/>
          <w:szCs w:val="22"/>
          <w:lang w:val="hr-HR" w:eastAsia="hr-HR"/>
        </w:rPr>
      </w:pPr>
      <w:r>
        <w:rPr>
          <w:i/>
          <w:iCs/>
          <w:szCs w:val="22"/>
          <w:lang w:val="hr-HR" w:eastAsia="hr-HR"/>
        </w:rPr>
        <w:t>Eliminacija</w:t>
      </w:r>
    </w:p>
    <w:p w14:paraId="0BC458F2" w14:textId="77777777" w:rsidR="00C97A74" w:rsidRDefault="006B6E8F">
      <w:pPr>
        <w:jc w:val="both"/>
        <w:rPr>
          <w:szCs w:val="22"/>
          <w:lang w:val="hr-HR" w:eastAsia="hr-HR"/>
        </w:rPr>
      </w:pPr>
      <w:r>
        <w:rPr>
          <w:szCs w:val="22"/>
          <w:lang w:val="hr-HR" w:eastAsia="hr-HR"/>
        </w:rPr>
        <w:t>Valsartan pokazuje multieksponencijalnu kinetiku razgradnje (t</w:t>
      </w:r>
      <w:r>
        <w:rPr>
          <w:szCs w:val="22"/>
          <w:vertAlign w:val="subscript"/>
          <w:lang w:val="hr-HR" w:eastAsia="hr-HR"/>
        </w:rPr>
        <w:t>1/2α</w:t>
      </w:r>
      <w:r>
        <w:rPr>
          <w:szCs w:val="22"/>
          <w:lang w:val="hr-HR" w:eastAsia="hr-HR"/>
        </w:rPr>
        <w:t xml:space="preserve"> &lt; 1 sat i t</w:t>
      </w:r>
      <w:r>
        <w:rPr>
          <w:szCs w:val="22"/>
          <w:vertAlign w:val="subscript"/>
          <w:lang w:val="hr-HR" w:eastAsia="hr-HR"/>
        </w:rPr>
        <w:t>1/2 β</w:t>
      </w:r>
      <w:r>
        <w:rPr>
          <w:szCs w:val="22"/>
          <w:lang w:val="hr-HR" w:eastAsia="hr-HR"/>
        </w:rPr>
        <w:t xml:space="preserve"> približno 9 sati). Primarno se izlučuje fecesom (približno 83 % doze) i mokraćom (približno 13 % doze), većinom u obliku nepromijenjenog lijeka. Klirens valsartana iz plazme nakon intravenske primjene je oko 2 l/sat, dok je renalni klirens 0,62 l/sat (približno 30 % ukupnog klirensa). Poluvrijeme eliminacije valsartana je 6 sati.</w:t>
      </w:r>
    </w:p>
    <w:p w14:paraId="0694FDC8" w14:textId="77777777" w:rsidR="00C97A74" w:rsidRDefault="00C97A74">
      <w:pPr>
        <w:jc w:val="both"/>
        <w:rPr>
          <w:szCs w:val="22"/>
          <w:lang w:val="hr-HR" w:eastAsia="hr-HR"/>
        </w:rPr>
      </w:pPr>
    </w:p>
    <w:p w14:paraId="1CD8882C" w14:textId="77777777" w:rsidR="00C97A74" w:rsidRDefault="006B6E8F">
      <w:pPr>
        <w:keepNext/>
        <w:jc w:val="both"/>
        <w:outlineLvl w:val="1"/>
        <w:rPr>
          <w:i/>
          <w:iCs/>
          <w:szCs w:val="22"/>
          <w:u w:val="single"/>
          <w:lang w:val="hr-HR" w:eastAsia="hr-HR"/>
        </w:rPr>
      </w:pPr>
      <w:r>
        <w:rPr>
          <w:i/>
          <w:iCs/>
          <w:szCs w:val="22"/>
          <w:u w:val="single"/>
          <w:lang w:val="hr-HR" w:eastAsia="hr-HR"/>
        </w:rPr>
        <w:t>Hidrohlortiazid</w:t>
      </w:r>
    </w:p>
    <w:p w14:paraId="39ECC166" w14:textId="77777777" w:rsidR="00C97A74" w:rsidRDefault="00C97A74">
      <w:pPr>
        <w:keepNext/>
        <w:jc w:val="both"/>
        <w:outlineLvl w:val="1"/>
        <w:rPr>
          <w:i/>
          <w:iCs/>
          <w:szCs w:val="22"/>
          <w:lang w:val="hr-HR" w:eastAsia="hr-HR"/>
        </w:rPr>
      </w:pPr>
    </w:p>
    <w:p w14:paraId="4AC42F7C" w14:textId="77777777" w:rsidR="00C97A74" w:rsidRDefault="006B6E8F">
      <w:pPr>
        <w:rPr>
          <w:i/>
          <w:iCs/>
          <w:szCs w:val="22"/>
          <w:lang w:val="hr-HR" w:eastAsia="hr-HR"/>
        </w:rPr>
      </w:pPr>
      <w:r>
        <w:rPr>
          <w:i/>
          <w:iCs/>
          <w:szCs w:val="22"/>
          <w:lang w:val="hr-HR" w:eastAsia="hr-HR"/>
        </w:rPr>
        <w:t>Resorpcija</w:t>
      </w:r>
    </w:p>
    <w:p w14:paraId="635E822F" w14:textId="77777777" w:rsidR="00C97A74" w:rsidRDefault="006B6E8F">
      <w:pPr>
        <w:jc w:val="both"/>
        <w:rPr>
          <w:szCs w:val="22"/>
          <w:lang w:val="hr-HR" w:eastAsia="hr-HR"/>
        </w:rPr>
      </w:pPr>
      <w:r>
        <w:rPr>
          <w:szCs w:val="22"/>
          <w:lang w:val="hr-HR" w:eastAsia="hr-HR"/>
        </w:rPr>
        <w:t>Resorpcija hidrohlortiazida, nakon oralne primjene je brza (t</w:t>
      </w:r>
      <w:r>
        <w:rPr>
          <w:szCs w:val="22"/>
          <w:vertAlign w:val="subscript"/>
          <w:lang w:val="hr-HR" w:eastAsia="hr-HR"/>
        </w:rPr>
        <w:t xml:space="preserve">max </w:t>
      </w:r>
      <w:r>
        <w:rPr>
          <w:szCs w:val="22"/>
          <w:lang w:val="hr-HR" w:eastAsia="hr-HR"/>
        </w:rPr>
        <w:t>oko 2 h). Porast PIK-a je linearan i dozno zavisan u terapijskim okvirima.</w:t>
      </w:r>
    </w:p>
    <w:p w14:paraId="3BB5329F" w14:textId="77777777" w:rsidR="00C97A74" w:rsidRDefault="006B6E8F">
      <w:pPr>
        <w:jc w:val="both"/>
        <w:rPr>
          <w:szCs w:val="22"/>
          <w:lang w:val="hr-HR" w:eastAsia="hr-HR"/>
        </w:rPr>
      </w:pPr>
      <w:r>
        <w:rPr>
          <w:szCs w:val="22"/>
          <w:lang w:val="hr-HR" w:eastAsia="hr-HR"/>
        </w:rPr>
        <w:t>Uticaj hrane na resorpciju, ukoliko ga i ima, nije od kliničkog značaja. Apsolutna bioraspoloživost hidrohlortiazida je 70% nakon oralne primjene.</w:t>
      </w:r>
    </w:p>
    <w:p w14:paraId="3163C6AB" w14:textId="77777777" w:rsidR="00C97A74" w:rsidRDefault="00C97A74">
      <w:pPr>
        <w:rPr>
          <w:i/>
          <w:iCs/>
          <w:color w:val="FF0000"/>
          <w:szCs w:val="22"/>
          <w:lang w:val="hr-HR" w:eastAsia="hr-HR"/>
        </w:rPr>
      </w:pPr>
    </w:p>
    <w:p w14:paraId="5BC95DD8" w14:textId="77777777" w:rsidR="00C97A74" w:rsidRDefault="006B6E8F">
      <w:pPr>
        <w:rPr>
          <w:i/>
          <w:iCs/>
          <w:szCs w:val="22"/>
          <w:lang w:val="hr-HR" w:eastAsia="hr-HR"/>
        </w:rPr>
      </w:pPr>
      <w:r>
        <w:rPr>
          <w:i/>
          <w:iCs/>
          <w:szCs w:val="22"/>
          <w:lang w:val="hr-HR" w:eastAsia="hr-HR"/>
        </w:rPr>
        <w:t>Distribucija</w:t>
      </w:r>
    </w:p>
    <w:p w14:paraId="57220B7F" w14:textId="77777777" w:rsidR="00C97A74" w:rsidRDefault="006B6E8F">
      <w:pPr>
        <w:jc w:val="both"/>
        <w:rPr>
          <w:iCs/>
          <w:szCs w:val="22"/>
          <w:lang w:val="hr-HR" w:eastAsia="hr-HR"/>
        </w:rPr>
      </w:pPr>
      <w:r>
        <w:rPr>
          <w:iCs/>
          <w:szCs w:val="22"/>
          <w:lang w:val="hr-HR" w:eastAsia="hr-HR"/>
        </w:rPr>
        <w:t>Približni volumen distribucije je 4-8 l/kg. Cirkulišući hidrohlortiazid se vezuje za proteine plazme (40-70%), uglavnom za serumske albumine. Hidrohlortiazid se akumulira u eritrocitima u koncentraciji približno 3 puta višoj od one u plazmi.</w:t>
      </w:r>
    </w:p>
    <w:p w14:paraId="501FF3C8" w14:textId="77777777" w:rsidR="00C97A74" w:rsidRDefault="00C97A74">
      <w:pPr>
        <w:jc w:val="both"/>
        <w:rPr>
          <w:iCs/>
          <w:szCs w:val="22"/>
          <w:lang w:val="hr-HR" w:eastAsia="hr-HR"/>
        </w:rPr>
      </w:pPr>
    </w:p>
    <w:p w14:paraId="74D82807" w14:textId="77777777" w:rsidR="00C97A74" w:rsidRDefault="006B6E8F">
      <w:pPr>
        <w:rPr>
          <w:i/>
          <w:iCs/>
          <w:szCs w:val="22"/>
          <w:lang w:val="hr-HR" w:eastAsia="hr-HR"/>
        </w:rPr>
      </w:pPr>
      <w:r>
        <w:rPr>
          <w:i/>
          <w:iCs/>
          <w:szCs w:val="22"/>
          <w:lang w:val="hr-HR" w:eastAsia="hr-HR"/>
        </w:rPr>
        <w:t>Eliminacija</w:t>
      </w:r>
    </w:p>
    <w:p w14:paraId="30709361" w14:textId="6B3F437F" w:rsidR="00653DA8" w:rsidRDefault="006B6E8F" w:rsidP="00E66E4C">
      <w:pPr>
        <w:jc w:val="both"/>
        <w:rPr>
          <w:iCs/>
          <w:szCs w:val="22"/>
          <w:lang w:val="hr-HR" w:eastAsia="hr-HR"/>
        </w:rPr>
      </w:pPr>
      <w:r>
        <w:rPr>
          <w:iCs/>
          <w:szCs w:val="22"/>
          <w:lang w:val="hr-HR" w:eastAsia="hr-HR"/>
        </w:rPr>
        <w:t>Hidrohlortiazid se eliminiše za uglavnom u nepromijenjenom obliku.  Hidrohlortiazid se eliminiše iz plazme sa terminalnim poluvremenom eliminacije od 6-15 h. Nema promjena u kinetici hidrohlortiazida nakon ponovljenog doziranja i akumulacija je minimalna nakon jednodevnog doziranja. Više od 95% resorbovane doze hidrohlortiazida se izlučuje u nepromijenjenom obliku u urinu. Bubrežni klirens se sastoji i od pasivne filtracije i od aktivne sekrecije u renalnim tubulima.</w:t>
      </w:r>
    </w:p>
    <w:p w14:paraId="750D4436" w14:textId="77777777" w:rsidR="00E66E4C" w:rsidRPr="00E66E4C" w:rsidRDefault="00E66E4C" w:rsidP="00E66E4C">
      <w:pPr>
        <w:jc w:val="both"/>
        <w:rPr>
          <w:iCs/>
          <w:szCs w:val="22"/>
          <w:lang w:val="hr-HR" w:eastAsia="hr-HR"/>
        </w:rPr>
      </w:pPr>
    </w:p>
    <w:p w14:paraId="69D2BA6A" w14:textId="77777777" w:rsidR="00C97A74" w:rsidRDefault="006B6E8F">
      <w:pPr>
        <w:keepNext/>
        <w:jc w:val="both"/>
        <w:outlineLvl w:val="1"/>
        <w:rPr>
          <w:i/>
          <w:iCs/>
          <w:szCs w:val="22"/>
          <w:u w:val="single"/>
          <w:lang w:val="hr-HR" w:eastAsia="hr-HR"/>
        </w:rPr>
      </w:pPr>
      <w:r>
        <w:rPr>
          <w:i/>
          <w:iCs/>
          <w:szCs w:val="22"/>
          <w:u w:val="single"/>
          <w:lang w:val="hr-HR" w:eastAsia="hr-HR"/>
        </w:rPr>
        <w:lastRenderedPageBreak/>
        <w:t>Posebne grupe pacijenta</w:t>
      </w:r>
    </w:p>
    <w:p w14:paraId="54466DF7" w14:textId="77777777" w:rsidR="00C97A74" w:rsidRDefault="00C97A74">
      <w:pPr>
        <w:jc w:val="both"/>
        <w:rPr>
          <w:i/>
          <w:iCs/>
          <w:szCs w:val="22"/>
          <w:u w:val="single"/>
          <w:lang w:val="hr-HR" w:eastAsia="hr-HR"/>
        </w:rPr>
      </w:pPr>
    </w:p>
    <w:p w14:paraId="2CF5876E" w14:textId="77777777" w:rsidR="00C97A74" w:rsidRDefault="006B6E8F">
      <w:pPr>
        <w:keepNext/>
        <w:jc w:val="both"/>
        <w:outlineLvl w:val="2"/>
        <w:rPr>
          <w:i/>
          <w:iCs/>
          <w:szCs w:val="22"/>
          <w:lang w:val="hr-HR" w:eastAsia="hr-HR"/>
        </w:rPr>
      </w:pPr>
      <w:r>
        <w:rPr>
          <w:i/>
          <w:iCs/>
          <w:szCs w:val="22"/>
          <w:lang w:val="hr-HR" w:eastAsia="hr-HR"/>
        </w:rPr>
        <w:t>Starije osobe</w:t>
      </w:r>
    </w:p>
    <w:p w14:paraId="6259539C" w14:textId="77777777" w:rsidR="00C97A74" w:rsidRDefault="006B6E8F">
      <w:pPr>
        <w:jc w:val="both"/>
        <w:rPr>
          <w:szCs w:val="22"/>
          <w:lang w:val="hr-HR" w:eastAsia="hr-HR"/>
        </w:rPr>
      </w:pPr>
      <w:r>
        <w:rPr>
          <w:szCs w:val="22"/>
          <w:lang w:val="hr-HR" w:eastAsia="hr-HR"/>
        </w:rPr>
        <w:t>Sistemska izloženost valsartanu bila je kod nekih starijih ispitanika nešto veća nego kod mlađih osoba, međutim, to nema klinički značaj.</w:t>
      </w:r>
    </w:p>
    <w:p w14:paraId="17E980E9" w14:textId="77777777" w:rsidR="00C97A74" w:rsidRDefault="006B6E8F">
      <w:pPr>
        <w:jc w:val="both"/>
        <w:rPr>
          <w:szCs w:val="22"/>
          <w:lang w:val="hr-HR" w:eastAsia="hr-HR"/>
        </w:rPr>
      </w:pPr>
      <w:r>
        <w:rPr>
          <w:szCs w:val="22"/>
          <w:lang w:val="hr-HR" w:eastAsia="hr-HR"/>
        </w:rPr>
        <w:t>Ograničeni podaci ukazuju da je sistemski klirens hidrohlortiazida smanjen, kako kod zdravih tako i kod hipertenzivnih starijih osoba u poređenju sa mladim zdravim dobrovoljcima.</w:t>
      </w:r>
    </w:p>
    <w:p w14:paraId="74031A12" w14:textId="77777777" w:rsidR="00C97A74" w:rsidRDefault="00C97A74">
      <w:pPr>
        <w:jc w:val="both"/>
        <w:rPr>
          <w:szCs w:val="22"/>
          <w:lang w:val="hr-HR" w:eastAsia="hr-HR"/>
        </w:rPr>
      </w:pPr>
    </w:p>
    <w:p w14:paraId="360C23EB" w14:textId="77777777" w:rsidR="00C97A74" w:rsidRDefault="006B6E8F">
      <w:pPr>
        <w:keepNext/>
        <w:jc w:val="both"/>
        <w:outlineLvl w:val="2"/>
        <w:rPr>
          <w:i/>
          <w:iCs/>
          <w:szCs w:val="22"/>
          <w:lang w:val="hr-HR" w:eastAsia="hr-HR"/>
        </w:rPr>
      </w:pPr>
      <w:r>
        <w:rPr>
          <w:i/>
          <w:iCs/>
          <w:szCs w:val="22"/>
          <w:lang w:val="hr-HR" w:eastAsia="hr-HR"/>
        </w:rPr>
        <w:t>Oštećenje funkcije bubrega</w:t>
      </w:r>
    </w:p>
    <w:p w14:paraId="0ACAC01F" w14:textId="77777777" w:rsidR="00C97A74" w:rsidRDefault="006B6E8F">
      <w:pPr>
        <w:jc w:val="both"/>
        <w:rPr>
          <w:szCs w:val="22"/>
          <w:lang w:val="hr-HR" w:eastAsia="hr-HR"/>
        </w:rPr>
      </w:pPr>
      <w:r>
        <w:rPr>
          <w:szCs w:val="22"/>
          <w:lang w:val="hr-HR" w:eastAsia="hr-HR"/>
        </w:rPr>
        <w:t>Pri preporučenoj dozi kombinacije valsartan/hidrohlortiazid, nije potrebno prilagođavanje doze kod pacijenata sa brzinom glomerularne filtracije (GFR) od 30 do 70 ml/min.</w:t>
      </w:r>
    </w:p>
    <w:p w14:paraId="1F391F42" w14:textId="77777777" w:rsidR="00C97A74" w:rsidRDefault="00C97A74">
      <w:pPr>
        <w:jc w:val="both"/>
        <w:rPr>
          <w:szCs w:val="22"/>
          <w:lang w:val="hr-HR" w:eastAsia="hr-HR"/>
        </w:rPr>
      </w:pPr>
    </w:p>
    <w:p w14:paraId="6D70F114" w14:textId="77777777" w:rsidR="00C97A74" w:rsidRDefault="006B6E8F">
      <w:pPr>
        <w:jc w:val="both"/>
        <w:rPr>
          <w:szCs w:val="22"/>
          <w:lang w:val="hr-HR" w:eastAsia="hr-HR"/>
        </w:rPr>
      </w:pPr>
      <w:r>
        <w:rPr>
          <w:szCs w:val="22"/>
          <w:lang w:val="hr-HR" w:eastAsia="hr-HR"/>
        </w:rPr>
        <w:t>Nema podataka o upotrebi kombinacije valsartan/hidrohlortiazid kod pacijenata sa teškim oštećenjem funkcije bubrega (GFR &lt; 30 ml/min) i pacijenata na dijalizi. Valsartan se u velikoj mjeri vezuje za proteine plazme i dijalizom se ne može ukloniti, dok se hidrohlortiazid može ukloniti dijalizom.</w:t>
      </w:r>
    </w:p>
    <w:p w14:paraId="20DD7EC2" w14:textId="77777777" w:rsidR="00C97A74" w:rsidRDefault="00C97A74">
      <w:pPr>
        <w:rPr>
          <w:color w:val="FF0000"/>
          <w:szCs w:val="22"/>
          <w:lang w:val="hr-HR" w:eastAsia="hr-HR"/>
        </w:rPr>
      </w:pPr>
    </w:p>
    <w:p w14:paraId="6C54A0EE" w14:textId="77777777" w:rsidR="00C97A74" w:rsidRDefault="006B6E8F">
      <w:pPr>
        <w:jc w:val="both"/>
        <w:rPr>
          <w:szCs w:val="22"/>
          <w:lang w:val="hr-HR" w:eastAsia="hr-HR"/>
        </w:rPr>
      </w:pPr>
      <w:r>
        <w:rPr>
          <w:szCs w:val="22"/>
          <w:lang w:val="hr-HR" w:eastAsia="hr-HR"/>
        </w:rPr>
        <w:t xml:space="preserve">U slučaju smanjene bubrežne funkcije, prosječne maksimalne vrijednosti u plazmi i vrijednosti PIK hidrohlortiazida su povećane, a brzina urinarnog izlučivanja smanjena. Kod pacijenata sa blagim do umjerenim oštećenjem bubrega, zabilježeno je trostruko povećanje PIK-a hidrohlortiazida. Kod pacijenata sa teškim oštećenjem bubrežne funkcije zabilježena je osam puta veća vrijednost PIK-a. Hidrohlortiazid je kontraindikovan kod pacijenata sa teškim oštećenjem bubrežne funkcije </w:t>
      </w:r>
      <w:r>
        <w:rPr>
          <w:iCs/>
          <w:szCs w:val="22"/>
          <w:lang w:val="hr-HR" w:eastAsia="hr-HR"/>
        </w:rPr>
        <w:t>(vidjeti dio 4.3).</w:t>
      </w:r>
    </w:p>
    <w:p w14:paraId="05AEBD1B" w14:textId="77777777" w:rsidR="00C97A74" w:rsidRDefault="00C97A74">
      <w:pPr>
        <w:rPr>
          <w:szCs w:val="22"/>
          <w:lang w:val="hr-HR" w:eastAsia="hr-HR"/>
        </w:rPr>
      </w:pPr>
    </w:p>
    <w:p w14:paraId="1B9964FD" w14:textId="77777777" w:rsidR="00C97A74" w:rsidRDefault="006B6E8F">
      <w:pPr>
        <w:keepNext/>
        <w:jc w:val="both"/>
        <w:outlineLvl w:val="2"/>
        <w:rPr>
          <w:i/>
          <w:iCs/>
          <w:szCs w:val="22"/>
          <w:lang w:val="hr-HR" w:eastAsia="hr-HR"/>
        </w:rPr>
      </w:pPr>
      <w:r>
        <w:rPr>
          <w:i/>
          <w:iCs/>
          <w:szCs w:val="22"/>
          <w:lang w:val="hr-HR" w:eastAsia="hr-HR"/>
        </w:rPr>
        <w:t>Oštećenje funkcije jetre</w:t>
      </w:r>
    </w:p>
    <w:p w14:paraId="66C40FE1" w14:textId="77777777" w:rsidR="00C97A74" w:rsidRDefault="006B6E8F">
      <w:pPr>
        <w:jc w:val="both"/>
        <w:rPr>
          <w:szCs w:val="22"/>
          <w:lang w:val="hr-HR" w:eastAsia="hr-HR"/>
        </w:rPr>
      </w:pPr>
      <w:r>
        <w:rPr>
          <w:szCs w:val="22"/>
          <w:lang w:val="hr-HR" w:eastAsia="hr-HR"/>
        </w:rPr>
        <w:t>U farmakokinetičkim studijama rađenim kod pacijenata sa blagim (n=6) do umjerenim (n=5) poremećajem jetre, utvrđeno je da se raspoloživost valsartana približno udvostručuje u poređenju sa  zdravim dobrovoljcima (vidjeti djelove 4.2 i 4.4)</w:t>
      </w:r>
    </w:p>
    <w:p w14:paraId="0AA22001" w14:textId="77777777" w:rsidR="00C97A74" w:rsidRDefault="00C97A74">
      <w:pPr>
        <w:jc w:val="both"/>
        <w:rPr>
          <w:szCs w:val="22"/>
          <w:lang w:val="hr-HR" w:eastAsia="hr-HR"/>
        </w:rPr>
      </w:pPr>
    </w:p>
    <w:p w14:paraId="08B2841C" w14:textId="77777777" w:rsidR="00C97A74" w:rsidRDefault="006B6E8F">
      <w:pPr>
        <w:jc w:val="both"/>
        <w:rPr>
          <w:szCs w:val="22"/>
          <w:lang w:val="hr-HR" w:eastAsia="hr-HR"/>
        </w:rPr>
      </w:pPr>
      <w:r>
        <w:rPr>
          <w:szCs w:val="22"/>
          <w:lang w:val="hr-HR" w:eastAsia="hr-HR"/>
        </w:rPr>
        <w:t>Nema podataka o upotrebi valsartana kod pacijenta sa teško oštećenom funkcijom jetre (vidjeti dio 4.3). Bolest jetre ne utiče značajno na farmakokinetiku hidrohlortiazida.</w:t>
      </w:r>
    </w:p>
    <w:p w14:paraId="4382CD0F" w14:textId="77777777" w:rsidR="00C97A74" w:rsidRDefault="00C97A74">
      <w:pPr>
        <w:jc w:val="both"/>
        <w:rPr>
          <w:szCs w:val="22"/>
          <w:lang w:val="hr-HR" w:eastAsia="hr-HR"/>
        </w:rPr>
      </w:pPr>
    </w:p>
    <w:p w14:paraId="0C019CB5" w14:textId="77777777" w:rsidR="00C97A74" w:rsidRDefault="006B6E8F">
      <w:pPr>
        <w:jc w:val="both"/>
        <w:rPr>
          <w:b/>
          <w:bCs/>
          <w:szCs w:val="22"/>
          <w:lang w:val="hr-HR" w:eastAsia="hr-HR"/>
        </w:rPr>
      </w:pPr>
      <w:r>
        <w:rPr>
          <w:b/>
          <w:bCs/>
          <w:szCs w:val="22"/>
          <w:lang w:val="hr-HR" w:eastAsia="hr-HR"/>
        </w:rPr>
        <w:t>5.3</w:t>
      </w:r>
      <w:r>
        <w:rPr>
          <w:b/>
          <w:bCs/>
          <w:szCs w:val="22"/>
          <w:lang w:val="hr-HR" w:eastAsia="hr-HR"/>
        </w:rPr>
        <w:tab/>
        <w:t>Pretklinički podaci o bezbjednosti</w:t>
      </w:r>
    </w:p>
    <w:p w14:paraId="34E58094" w14:textId="77777777" w:rsidR="00C97A74" w:rsidRDefault="00C97A74">
      <w:pPr>
        <w:jc w:val="both"/>
        <w:rPr>
          <w:szCs w:val="22"/>
          <w:lang w:val="hr-HR" w:eastAsia="hr-HR"/>
        </w:rPr>
      </w:pPr>
    </w:p>
    <w:p w14:paraId="638289C7" w14:textId="77777777" w:rsidR="00C97A74" w:rsidRDefault="006B6E8F">
      <w:pPr>
        <w:jc w:val="both"/>
        <w:rPr>
          <w:szCs w:val="22"/>
          <w:lang w:val="hr-HR" w:eastAsia="hr-HR"/>
        </w:rPr>
      </w:pPr>
      <w:r>
        <w:rPr>
          <w:szCs w:val="22"/>
          <w:lang w:val="hr-HR" w:eastAsia="hr-HR"/>
        </w:rPr>
        <w:t>Potencijalna toksičnost kombinacije valsartana i hidrohlortiazida nakon oralne primjene ispitivana je na pacovima i primatima u ispitivanjima koja su trajala do 6 mjeseci. Nisu se pojavili nalazi zbog kojih bi se isključila primjena terapijskih doza kod ljudi.</w:t>
      </w:r>
    </w:p>
    <w:p w14:paraId="21EC733B" w14:textId="77777777" w:rsidR="00C97A74" w:rsidRDefault="00C97A74">
      <w:pPr>
        <w:jc w:val="both"/>
        <w:rPr>
          <w:szCs w:val="22"/>
          <w:lang w:val="hr-HR" w:eastAsia="hr-HR"/>
        </w:rPr>
      </w:pPr>
    </w:p>
    <w:p w14:paraId="070D7368" w14:textId="77777777" w:rsidR="00C97A74" w:rsidRDefault="006B6E8F">
      <w:pPr>
        <w:jc w:val="both"/>
        <w:rPr>
          <w:szCs w:val="22"/>
          <w:lang w:val="hr-HR" w:eastAsia="hr-HR"/>
        </w:rPr>
      </w:pPr>
      <w:r>
        <w:rPr>
          <w:szCs w:val="22"/>
          <w:lang w:val="hr-HR" w:eastAsia="hr-HR"/>
        </w:rPr>
        <w:t>Pretpostavlja se da su promjene nastale primjenom kombinacije u ispitivanjima hronične toksičnosti najvjerovatnije izazvane djelovanjem valsartana. Ciljni organ za ispitivanje toksičnosti bio je bubreg, a reakcija je kod primata bila izrazitija nego kod pacova. Kombinacija je dovela do oštećenja funkcije bubrega (nefropatija sa tubulnom bazofilijom, povećanje koncentracije uree, kreatinina u plazmi i kalijuma u serumu, povećanje količine mokraće i elektrolita u mokraći), vjerovatno zbog izmijenjene bubrežne hemodinamike. Kod pacova su promjene uzrokovale doze valsartana veće od 30 mg/kg tjelesne mase na dan i hidrohlortiazida veće od 9 mg/kg tjelesne mase na dan, a kod marmozeta se to dogodilo kod 10 mg/kg tjelesne mase valsartana na dan i 3 mg/kg tjelesne mase hidrohlortiazida na dan. Doze kod pacova odgovaraju 0,9 i 3,5 puta većoj dozi od najveće preporučene doze valsartana i hidrohlortiazida za čovjeka, izračunate po mg/m</w:t>
      </w:r>
      <w:r>
        <w:rPr>
          <w:szCs w:val="22"/>
          <w:vertAlign w:val="superscript"/>
          <w:lang w:val="hr-HR" w:eastAsia="hr-HR"/>
        </w:rPr>
        <w:t>2</w:t>
      </w:r>
      <w:r>
        <w:rPr>
          <w:szCs w:val="22"/>
          <w:lang w:val="hr-HR" w:eastAsia="hr-HR"/>
        </w:rPr>
        <w:t>. Doze kod primata odgovaraju 0,3 i 1,2 puta većoj dozi od najveće preporučene doze valsartana i hidrohlortiazida za čovjeka, izračunatoj po mg/m</w:t>
      </w:r>
      <w:r>
        <w:rPr>
          <w:szCs w:val="22"/>
          <w:vertAlign w:val="superscript"/>
          <w:lang w:val="hr-HR" w:eastAsia="hr-HR"/>
        </w:rPr>
        <w:t>2</w:t>
      </w:r>
      <w:r>
        <w:rPr>
          <w:szCs w:val="22"/>
          <w:lang w:val="hr-HR" w:eastAsia="hr-HR"/>
        </w:rPr>
        <w:t>. (Proračuni se temelje na primjeni oralne doze od 320 mg valsartana na dan u kombinaciji sa 25 mg hidrohlortiazida na dan i na tjelesnoj masi pacijenta od 60 kg).</w:t>
      </w:r>
    </w:p>
    <w:p w14:paraId="2A110F82" w14:textId="77777777" w:rsidR="00C97A74" w:rsidRDefault="00C97A74">
      <w:pPr>
        <w:rPr>
          <w:szCs w:val="22"/>
          <w:lang w:val="hr-HR" w:eastAsia="hr-HR"/>
        </w:rPr>
      </w:pPr>
    </w:p>
    <w:p w14:paraId="6B8CC6F0" w14:textId="77777777" w:rsidR="00C97A74" w:rsidRDefault="006B6E8F">
      <w:pPr>
        <w:jc w:val="both"/>
        <w:rPr>
          <w:szCs w:val="22"/>
          <w:lang w:val="hr-HR" w:eastAsia="hr-HR"/>
        </w:rPr>
      </w:pPr>
      <w:r>
        <w:rPr>
          <w:szCs w:val="22"/>
          <w:lang w:val="hr-HR" w:eastAsia="hr-HR"/>
        </w:rPr>
        <w:t>Visoke doze valsartana i hidrohlortiazida (veće od 100 + 31 mg/kg tjelesne mase na dan kod pacova i 30 + 9 mg/kg tjelesne mase na dan kod primata) uzrokovale su smanjivanje parametara crvenih krvnih zrnaca (broj crvenih krvnih zrnaca, hemoglobin, hematokrit). Doze kod pacova odgovaraju 3 i 12 puta većoj dozi od najveće preporučene doze valsartana i hidrohlortiazida za čovjeka, izračunatoj po mg/m</w:t>
      </w:r>
      <w:r>
        <w:rPr>
          <w:szCs w:val="22"/>
          <w:vertAlign w:val="superscript"/>
          <w:lang w:val="hr-HR" w:eastAsia="hr-HR"/>
        </w:rPr>
        <w:t>2</w:t>
      </w:r>
      <w:r>
        <w:rPr>
          <w:szCs w:val="22"/>
          <w:lang w:val="hr-HR" w:eastAsia="hr-HR"/>
        </w:rPr>
        <w:t xml:space="preserve">. Doze kod primata odgovaraju 0,9 i 3,5 puta većoj dozi od najveće preporučene doze valsartana i </w:t>
      </w:r>
      <w:r>
        <w:rPr>
          <w:szCs w:val="22"/>
          <w:lang w:val="hr-HR" w:eastAsia="hr-HR"/>
        </w:rPr>
        <w:lastRenderedPageBreak/>
        <w:t>hidrohlortiazida, izračunatoj po mg/m</w:t>
      </w:r>
      <w:r>
        <w:rPr>
          <w:szCs w:val="22"/>
          <w:vertAlign w:val="superscript"/>
          <w:lang w:val="hr-HR" w:eastAsia="hr-HR"/>
        </w:rPr>
        <w:t>2</w:t>
      </w:r>
      <w:r>
        <w:rPr>
          <w:szCs w:val="22"/>
          <w:lang w:val="hr-HR" w:eastAsia="hr-HR"/>
        </w:rPr>
        <w:t>. (Proračuni se zasnivaju na upotrebi oralne doze od 320 mg valsartana na dan u kombinaciji sa 25 mg hidrohlortiazida na dan i na tjelesnoj masi pacijenta 60 kg).</w:t>
      </w:r>
    </w:p>
    <w:p w14:paraId="12B8E7CA" w14:textId="77777777" w:rsidR="00C97A74" w:rsidRDefault="00C97A74">
      <w:pPr>
        <w:jc w:val="both"/>
        <w:rPr>
          <w:szCs w:val="22"/>
          <w:lang w:val="hr-HR" w:eastAsia="hr-HR"/>
        </w:rPr>
      </w:pPr>
    </w:p>
    <w:p w14:paraId="5AA0FAEF" w14:textId="77777777" w:rsidR="00C97A74" w:rsidRDefault="006B6E8F">
      <w:pPr>
        <w:jc w:val="both"/>
        <w:rPr>
          <w:szCs w:val="22"/>
          <w:lang w:val="hr-HR" w:eastAsia="hr-HR"/>
        </w:rPr>
      </w:pPr>
      <w:r>
        <w:rPr>
          <w:szCs w:val="22"/>
          <w:lang w:val="hr-HR" w:eastAsia="hr-HR"/>
        </w:rPr>
        <w:t>Kod primata je uočeno oštećenje želudačne sluznice (kod doza većih od 30 + 9 mg/kg tjelesne mase na dan). Kombinacija je uzrokovala i hiperplaziju aferentnih arteriola u bubrezima (kod doza od 600 + 188 mg/kg tjelesne mase na dan kod pacova i kod doza od 30 + 9 mg/kg tjelesne mase na dan kod marmozeta). Doze kod primata odgovaraju 0,9 i 3,5 puta većoj dozi od najveće preporučene doze valsartana i hidrohlortiazida za čovjeka, izračunatoj po mg/m</w:t>
      </w:r>
      <w:r>
        <w:rPr>
          <w:szCs w:val="22"/>
          <w:vertAlign w:val="superscript"/>
          <w:lang w:val="hr-HR" w:eastAsia="hr-HR"/>
        </w:rPr>
        <w:t>2</w:t>
      </w:r>
      <w:r>
        <w:rPr>
          <w:szCs w:val="22"/>
          <w:lang w:val="hr-HR" w:eastAsia="hr-HR"/>
        </w:rPr>
        <w:t>. Doze kod pacova odgovaraju 18 i 73 puta većoj dozi od najveće preporučene doze valsartana i hidrohlortiazida za čovjeka, izračunatoj po mg/m</w:t>
      </w:r>
      <w:r>
        <w:rPr>
          <w:szCs w:val="22"/>
          <w:vertAlign w:val="superscript"/>
          <w:lang w:val="hr-HR" w:eastAsia="hr-HR"/>
        </w:rPr>
        <w:t>2</w:t>
      </w:r>
      <w:r>
        <w:rPr>
          <w:szCs w:val="22"/>
          <w:lang w:val="hr-HR" w:eastAsia="hr-HR"/>
        </w:rPr>
        <w:t>. (Proračuni se baziraju na upotrebi oralne doze od 320 mg valsartana na dan u kombinaciji sa 25 mg hidrohlortiazida na dan i na tjelesnoj masi pacijenta od 60 kg).</w:t>
      </w:r>
    </w:p>
    <w:p w14:paraId="6CC798C2" w14:textId="77777777" w:rsidR="00C97A74" w:rsidRDefault="00C97A74">
      <w:pPr>
        <w:jc w:val="both"/>
        <w:rPr>
          <w:szCs w:val="22"/>
          <w:lang w:val="hr-HR" w:eastAsia="hr-HR"/>
        </w:rPr>
      </w:pPr>
    </w:p>
    <w:p w14:paraId="403C46EF" w14:textId="77777777" w:rsidR="00C97A74" w:rsidRDefault="006B6E8F">
      <w:pPr>
        <w:jc w:val="both"/>
        <w:rPr>
          <w:szCs w:val="22"/>
          <w:lang w:val="hr-HR" w:eastAsia="hr-HR"/>
        </w:rPr>
      </w:pPr>
      <w:r>
        <w:rPr>
          <w:szCs w:val="22"/>
          <w:lang w:val="hr-HR" w:eastAsia="hr-HR"/>
        </w:rPr>
        <w:t>Nabrojene promjene su vjerovatno posljedica farmakološkog dejstva velikih doza valsartana (blokada angiotenzinom II uzrokovane inhibicije oslobađanja renina, stimulacijom ćelija koje stvaraju renin) i pojavljuju se takođe i kod primjene ACE inhibitora. Izgleda da ta saznanja nisu značajna za upotrebu terapijskihh doza valsartana kod ljudi.</w:t>
      </w:r>
    </w:p>
    <w:p w14:paraId="637A0D6C" w14:textId="77777777" w:rsidR="00C97A74" w:rsidRDefault="00C97A74">
      <w:pPr>
        <w:jc w:val="both"/>
        <w:rPr>
          <w:szCs w:val="22"/>
          <w:lang w:val="hr-HR" w:eastAsia="hr-HR"/>
        </w:rPr>
      </w:pPr>
    </w:p>
    <w:p w14:paraId="5C61D6D4" w14:textId="73A34F39" w:rsidR="00C97A74" w:rsidRPr="00CF3001" w:rsidRDefault="006B6E8F">
      <w:pPr>
        <w:jc w:val="both"/>
        <w:rPr>
          <w:szCs w:val="22"/>
          <w:lang w:val="sr-Latn-ME"/>
        </w:rPr>
      </w:pPr>
      <w:r>
        <w:rPr>
          <w:szCs w:val="22"/>
          <w:lang w:val="hr-HR" w:eastAsia="hr-HR"/>
        </w:rPr>
        <w:t>Kombinacija valsartana i hidrohlortiazida nije ispitana na mutagenost, hromozomske aberacije ili karcinogenost, jer nema dokaza o interakciji između dvije supstance. Međutim, ti testovi su sprovedeni pojedinačno za valsartan i hidrohlortiazid i nije dokazano da valsartan ima mutageni ili karcinogeni potencijal, niti da ima uticaj na hromozome</w:t>
      </w:r>
      <w:r>
        <w:rPr>
          <w:szCs w:val="22"/>
          <w:lang w:val="hr-HR"/>
        </w:rPr>
        <w:t>, a za hidrohlortiazid nije dokazano mutageno dejstvo ni uticaj na hromozomske lomove</w:t>
      </w:r>
      <w:r w:rsidRPr="00CF3001">
        <w:rPr>
          <w:szCs w:val="22"/>
          <w:lang w:val="sr-Latn-ME"/>
        </w:rPr>
        <w:t>.</w:t>
      </w:r>
      <w:r w:rsidRPr="00CF3001">
        <w:rPr>
          <w:lang w:val="sr-Latn-ME"/>
        </w:rPr>
        <w:t xml:space="preserve"> </w:t>
      </w:r>
      <w:r w:rsidRPr="00CF3001">
        <w:rPr>
          <w:szCs w:val="22"/>
          <w:lang w:val="sr-Latn-ME"/>
        </w:rPr>
        <w:t>Na osnovu</w:t>
      </w:r>
      <w:r w:rsidR="00653DA8">
        <w:rPr>
          <w:szCs w:val="22"/>
          <w:lang w:val="sr-Latn-ME"/>
        </w:rPr>
        <w:t xml:space="preserve"> </w:t>
      </w:r>
      <w:r w:rsidRPr="00CF3001">
        <w:rPr>
          <w:szCs w:val="22"/>
          <w:lang w:val="sr-Latn-ME"/>
        </w:rPr>
        <w:t>nekih eksperimentalnih modela postoje izvještaji o dvosmislenim dokazima kancerogenog djelovanja hidrohlorotiazida</w:t>
      </w:r>
      <w:r w:rsidRPr="00CF3001">
        <w:rPr>
          <w:szCs w:val="22"/>
          <w:lang w:val="sr-Latn-ME" w:eastAsia="hr-HR"/>
        </w:rPr>
        <w:t xml:space="preserve">. </w:t>
      </w:r>
    </w:p>
    <w:p w14:paraId="307B60C1" w14:textId="77777777" w:rsidR="00C97A74" w:rsidRDefault="00C97A74">
      <w:pPr>
        <w:jc w:val="both"/>
        <w:rPr>
          <w:szCs w:val="22"/>
          <w:lang w:val="hr-HR" w:eastAsia="hr-HR"/>
        </w:rPr>
      </w:pPr>
    </w:p>
    <w:p w14:paraId="083B8882" w14:textId="77777777" w:rsidR="00C97A74" w:rsidRDefault="006B6E8F">
      <w:pPr>
        <w:jc w:val="both"/>
        <w:rPr>
          <w:szCs w:val="22"/>
          <w:lang w:val="hr-HR" w:eastAsia="hr-HR"/>
        </w:rPr>
      </w:pPr>
      <w:r>
        <w:rPr>
          <w:szCs w:val="22"/>
          <w:lang w:val="hr-HR" w:eastAsia="hr-HR"/>
        </w:rPr>
        <w:t>Kod pacova je davanje toksičnih doza valsartana za ženke (600 mg/kg tjelesne mase na dan) tokom zadnjih dana gestacije i za vrijeme laktacije uzrokovalo manje preživljavanje, manje povećanje tjelesne mase i zastoj u razvoju (oštećenja uha i ušnog kanala) potomaka (vidjeti dio 4.6). Doze kod pacova (600 mg/kg na dan) bile su približno 18 puta veće od najveće preporučene doze za čovjeka, izračunate po mg/m</w:t>
      </w:r>
      <w:r>
        <w:rPr>
          <w:szCs w:val="22"/>
          <w:vertAlign w:val="superscript"/>
          <w:lang w:val="hr-HR" w:eastAsia="hr-HR"/>
        </w:rPr>
        <w:t>2</w:t>
      </w:r>
      <w:r>
        <w:rPr>
          <w:szCs w:val="22"/>
          <w:lang w:val="hr-HR" w:eastAsia="hr-HR"/>
        </w:rPr>
        <w:t xml:space="preserve"> (kod proračuna je uzeta u obzir peroralna doza od 320 mg na dan i pacijent sa tjelesnom masom 60 kg). Kod pacova i kunića su saznanja o kombinaciji valsartana i hidrohlortiazida slična. U istpitivanjima embrio-fetalnog razvoja (segment II) kod pacova i kunića, nije dokazana teratogenost; međutim, u reproduktivnim studijama uočena je fetotoksičnost. </w:t>
      </w:r>
    </w:p>
    <w:p w14:paraId="6EF0A623" w14:textId="77777777" w:rsidR="00C97A74" w:rsidRDefault="00C97A74">
      <w:pPr>
        <w:rPr>
          <w:szCs w:val="22"/>
          <w:lang w:val="hr-HR" w:eastAsia="hr-HR"/>
        </w:rPr>
      </w:pPr>
    </w:p>
    <w:p w14:paraId="21226E6C" w14:textId="77777777" w:rsidR="00C97A74" w:rsidRDefault="00C97A74">
      <w:pPr>
        <w:rPr>
          <w:szCs w:val="22"/>
          <w:lang w:val="hr-HR" w:eastAsia="hr-HR"/>
        </w:rPr>
      </w:pPr>
    </w:p>
    <w:p w14:paraId="40F2F9AE" w14:textId="77777777" w:rsidR="00C97A74" w:rsidRDefault="006B6E8F">
      <w:pPr>
        <w:numPr>
          <w:ilvl w:val="0"/>
          <w:numId w:val="3"/>
        </w:numPr>
        <w:ind w:left="567" w:hanging="567"/>
        <w:rPr>
          <w:b/>
          <w:bCs/>
          <w:szCs w:val="22"/>
          <w:lang w:val="hr-HR" w:eastAsia="hr-HR"/>
        </w:rPr>
      </w:pPr>
      <w:r>
        <w:rPr>
          <w:b/>
          <w:bCs/>
          <w:szCs w:val="22"/>
          <w:lang w:val="hr-HR" w:eastAsia="hr-HR"/>
        </w:rPr>
        <w:t>FARMACEUTSKI PODACI</w:t>
      </w:r>
    </w:p>
    <w:p w14:paraId="446156E3" w14:textId="77777777" w:rsidR="00C97A74" w:rsidRDefault="00C97A74">
      <w:pPr>
        <w:rPr>
          <w:b/>
          <w:bCs/>
          <w:szCs w:val="22"/>
          <w:lang w:val="hr-HR" w:eastAsia="hr-HR"/>
        </w:rPr>
      </w:pPr>
    </w:p>
    <w:p w14:paraId="654F11A9" w14:textId="77777777" w:rsidR="00C97A74" w:rsidRDefault="006B6E8F">
      <w:pPr>
        <w:rPr>
          <w:b/>
          <w:bCs/>
          <w:szCs w:val="22"/>
          <w:lang w:val="hr-HR" w:eastAsia="hr-HR"/>
        </w:rPr>
      </w:pPr>
      <w:r>
        <w:rPr>
          <w:b/>
          <w:bCs/>
          <w:szCs w:val="22"/>
          <w:lang w:val="hr-HR" w:eastAsia="hr-HR"/>
        </w:rPr>
        <w:t>6.1</w:t>
      </w:r>
      <w:r>
        <w:rPr>
          <w:b/>
          <w:bCs/>
          <w:szCs w:val="22"/>
          <w:lang w:val="hr-HR" w:eastAsia="hr-HR"/>
        </w:rPr>
        <w:tab/>
        <w:t>Lista pomoćnih supstanci (ekscipijenasa)</w:t>
      </w:r>
    </w:p>
    <w:p w14:paraId="25658060" w14:textId="77777777" w:rsidR="00C97A74" w:rsidRDefault="00C97A74">
      <w:pPr>
        <w:ind w:left="360"/>
        <w:rPr>
          <w:szCs w:val="22"/>
          <w:lang w:val="hr-HR" w:eastAsia="hr-HR"/>
        </w:rPr>
      </w:pPr>
    </w:p>
    <w:p w14:paraId="41FA9FA4" w14:textId="77777777" w:rsidR="00C97A74" w:rsidRDefault="006B6E8F">
      <w:pPr>
        <w:tabs>
          <w:tab w:val="decimal" w:pos="5040"/>
        </w:tabs>
        <w:rPr>
          <w:szCs w:val="22"/>
          <w:u w:val="single"/>
          <w:lang w:val="hr-HR" w:eastAsia="hr-HR"/>
        </w:rPr>
      </w:pPr>
      <w:r>
        <w:rPr>
          <w:szCs w:val="22"/>
          <w:u w:val="single"/>
          <w:lang w:val="hr-HR"/>
        </w:rPr>
        <w:t>Jezgro tablete:</w:t>
      </w:r>
    </w:p>
    <w:p w14:paraId="46CB3C55" w14:textId="67EA2AE0" w:rsidR="00C97A74" w:rsidRDefault="007C0D9A">
      <w:pPr>
        <w:rPr>
          <w:szCs w:val="22"/>
          <w:lang w:val="hr-HR" w:eastAsia="hr-HR"/>
        </w:rPr>
      </w:pPr>
      <w:r>
        <w:rPr>
          <w:szCs w:val="22"/>
          <w:lang w:val="hr-HR" w:eastAsia="hr-HR"/>
        </w:rPr>
        <w:t>celuloza</w:t>
      </w:r>
      <w:r w:rsidR="006B6E8F">
        <w:rPr>
          <w:szCs w:val="22"/>
          <w:lang w:val="hr-HR" w:eastAsia="hr-HR"/>
        </w:rPr>
        <w:t xml:space="preserve"> mikrokristalna</w:t>
      </w:r>
    </w:p>
    <w:p w14:paraId="7DD655FA" w14:textId="77777777" w:rsidR="00C97A74" w:rsidRDefault="006B6E8F">
      <w:pPr>
        <w:rPr>
          <w:szCs w:val="22"/>
          <w:lang w:val="hr-HR" w:eastAsia="hr-HR"/>
        </w:rPr>
      </w:pPr>
      <w:r>
        <w:rPr>
          <w:szCs w:val="22"/>
          <w:lang w:val="hr-HR" w:eastAsia="hr-HR"/>
        </w:rPr>
        <w:t>laktoza monohidrat</w:t>
      </w:r>
    </w:p>
    <w:p w14:paraId="22AD5481" w14:textId="77777777" w:rsidR="00C97A74" w:rsidRDefault="006B6E8F">
      <w:pPr>
        <w:rPr>
          <w:szCs w:val="22"/>
          <w:lang w:val="hr-HR" w:eastAsia="hr-HR"/>
        </w:rPr>
      </w:pPr>
      <w:r>
        <w:rPr>
          <w:szCs w:val="22"/>
          <w:lang w:val="hr-HR" w:eastAsia="hr-HR"/>
        </w:rPr>
        <w:t>magnezijum stearat</w:t>
      </w:r>
    </w:p>
    <w:p w14:paraId="6E8F95ED" w14:textId="77777777" w:rsidR="00C97A74" w:rsidRDefault="006B6E8F">
      <w:pPr>
        <w:rPr>
          <w:szCs w:val="22"/>
          <w:lang w:val="hr-HR" w:eastAsia="hr-HR"/>
        </w:rPr>
      </w:pPr>
      <w:r>
        <w:rPr>
          <w:szCs w:val="22"/>
          <w:lang w:val="hr-HR" w:eastAsia="hr-HR"/>
        </w:rPr>
        <w:t xml:space="preserve">kroskarmeloza natrijum </w:t>
      </w:r>
    </w:p>
    <w:p w14:paraId="1577A6BA" w14:textId="77777777" w:rsidR="00C97A74" w:rsidRDefault="006B6E8F">
      <w:pPr>
        <w:rPr>
          <w:szCs w:val="22"/>
          <w:lang w:val="hr-HR" w:eastAsia="hr-HR"/>
        </w:rPr>
      </w:pPr>
      <w:r>
        <w:rPr>
          <w:szCs w:val="22"/>
          <w:lang w:val="hr-HR" w:eastAsia="hr-HR"/>
        </w:rPr>
        <w:t>povidon K 25</w:t>
      </w:r>
    </w:p>
    <w:p w14:paraId="2A43EA57" w14:textId="77777777" w:rsidR="00C97A74" w:rsidRDefault="006B6E8F">
      <w:pPr>
        <w:rPr>
          <w:szCs w:val="22"/>
          <w:lang w:val="hr-HR" w:eastAsia="hr-HR"/>
        </w:rPr>
      </w:pPr>
      <w:r>
        <w:rPr>
          <w:szCs w:val="22"/>
          <w:lang w:val="hr-HR" w:eastAsia="hr-HR"/>
        </w:rPr>
        <w:t>silicijum dioksid, koloidni, bezvodni</w:t>
      </w:r>
    </w:p>
    <w:p w14:paraId="0A81CB00" w14:textId="77777777" w:rsidR="00C97A74" w:rsidRDefault="00C97A74">
      <w:pPr>
        <w:rPr>
          <w:i/>
          <w:szCs w:val="22"/>
          <w:u w:val="single"/>
          <w:lang w:val="hr-HR" w:eastAsia="hr-HR"/>
        </w:rPr>
      </w:pPr>
    </w:p>
    <w:p w14:paraId="305565BD" w14:textId="5B2332D2" w:rsidR="00C97A74" w:rsidRDefault="00E7535D" w:rsidP="00E7535D">
      <w:pPr>
        <w:tabs>
          <w:tab w:val="left" w:pos="284"/>
        </w:tabs>
        <w:jc w:val="both"/>
        <w:rPr>
          <w:bCs/>
          <w:szCs w:val="22"/>
          <w:u w:val="single"/>
          <w:lang w:val="hr-HR" w:eastAsia="hr-HR"/>
        </w:rPr>
      </w:pPr>
      <w:r w:rsidRPr="00192D83">
        <w:rPr>
          <w:szCs w:val="22"/>
          <w:u w:val="single"/>
          <w:lang w:val="sr-Latn-ME"/>
        </w:rPr>
        <w:t xml:space="preserve">Film </w:t>
      </w:r>
      <w:r>
        <w:rPr>
          <w:szCs w:val="22"/>
          <w:u w:val="single"/>
          <w:lang w:val="sr-Latn-ME"/>
        </w:rPr>
        <w:t>omotač</w:t>
      </w:r>
      <w:r w:rsidRPr="00192D83">
        <w:rPr>
          <w:szCs w:val="22"/>
          <w:u w:val="single"/>
          <w:lang w:val="sr-Latn-ME"/>
        </w:rPr>
        <w:t xml:space="preserve"> tablete:</w:t>
      </w:r>
    </w:p>
    <w:p w14:paraId="572CD9FA" w14:textId="77777777" w:rsidR="00C97A74" w:rsidRDefault="006B6E8F">
      <w:pPr>
        <w:rPr>
          <w:szCs w:val="22"/>
          <w:lang w:val="hr-HR" w:eastAsia="hr-HR"/>
        </w:rPr>
      </w:pPr>
      <w:r>
        <w:rPr>
          <w:szCs w:val="22"/>
          <w:lang w:val="hr-HR" w:eastAsia="hr-HR"/>
        </w:rPr>
        <w:t>hipromeloza</w:t>
      </w:r>
    </w:p>
    <w:p w14:paraId="6EB32F3F" w14:textId="77777777" w:rsidR="00C97A74" w:rsidRDefault="006B6E8F">
      <w:pPr>
        <w:rPr>
          <w:szCs w:val="22"/>
          <w:lang w:val="hr-HR" w:eastAsia="hr-HR"/>
        </w:rPr>
      </w:pPr>
      <w:r>
        <w:rPr>
          <w:szCs w:val="22"/>
          <w:lang w:val="hr-HR" w:eastAsia="hr-HR"/>
        </w:rPr>
        <w:t>titan dioksid (E171)</w:t>
      </w:r>
    </w:p>
    <w:p w14:paraId="6B288583" w14:textId="77777777" w:rsidR="00C97A74" w:rsidRDefault="006B6E8F">
      <w:pPr>
        <w:rPr>
          <w:szCs w:val="22"/>
          <w:lang w:val="hr-HR" w:eastAsia="hr-HR"/>
        </w:rPr>
      </w:pPr>
      <w:r>
        <w:rPr>
          <w:szCs w:val="22"/>
          <w:lang w:val="hr-HR" w:eastAsia="hr-HR"/>
        </w:rPr>
        <w:t>makrogol 4000</w:t>
      </w:r>
    </w:p>
    <w:p w14:paraId="0C96D5B9" w14:textId="77777777" w:rsidR="00C97A74" w:rsidRDefault="006B6E8F">
      <w:pPr>
        <w:rPr>
          <w:bCs/>
          <w:szCs w:val="22"/>
          <w:lang w:val="hr-HR" w:eastAsia="hr-HR"/>
        </w:rPr>
      </w:pPr>
      <w:r>
        <w:rPr>
          <w:szCs w:val="22"/>
          <w:lang w:val="hr-HR" w:eastAsia="hr-HR"/>
        </w:rPr>
        <w:t>gvožđe (III) oksid, crveni (E 172)</w:t>
      </w:r>
    </w:p>
    <w:p w14:paraId="12BC6CC9" w14:textId="436DE6BD" w:rsidR="00653DA8" w:rsidRDefault="006B6E8F" w:rsidP="00E66E4C">
      <w:pPr>
        <w:tabs>
          <w:tab w:val="decimal" w:pos="5040"/>
        </w:tabs>
        <w:rPr>
          <w:szCs w:val="22"/>
          <w:lang w:val="hr-HR" w:eastAsia="hr-HR"/>
        </w:rPr>
      </w:pPr>
      <w:r>
        <w:rPr>
          <w:szCs w:val="22"/>
          <w:lang w:val="hr-HR" w:eastAsia="hr-HR"/>
        </w:rPr>
        <w:t>gvožđe (III) oksid, žuti (E172) – samo za jačine 80 mg + 12,5 mg i 160 mg + 25 mg</w:t>
      </w:r>
    </w:p>
    <w:p w14:paraId="61A61876" w14:textId="77777777" w:rsidR="00653DA8" w:rsidRDefault="00653DA8">
      <w:pPr>
        <w:rPr>
          <w:szCs w:val="22"/>
          <w:lang w:val="hr-HR" w:eastAsia="hr-HR"/>
        </w:rPr>
      </w:pPr>
    </w:p>
    <w:p w14:paraId="3C053E9C" w14:textId="77777777" w:rsidR="00C97A74" w:rsidRDefault="006B6E8F">
      <w:pPr>
        <w:rPr>
          <w:b/>
          <w:bCs/>
          <w:szCs w:val="22"/>
          <w:lang w:val="hr-HR" w:eastAsia="hr-HR"/>
        </w:rPr>
      </w:pPr>
      <w:r>
        <w:rPr>
          <w:b/>
          <w:bCs/>
          <w:szCs w:val="22"/>
          <w:lang w:val="hr-HR" w:eastAsia="hr-HR"/>
        </w:rPr>
        <w:t>6.2</w:t>
      </w:r>
      <w:r>
        <w:rPr>
          <w:b/>
          <w:bCs/>
          <w:szCs w:val="22"/>
          <w:lang w:val="hr-HR" w:eastAsia="hr-HR"/>
        </w:rPr>
        <w:tab/>
        <w:t>Inkompatibilnosti</w:t>
      </w:r>
    </w:p>
    <w:p w14:paraId="303FB50C" w14:textId="77777777" w:rsidR="00C97A74" w:rsidRDefault="00C97A74">
      <w:pPr>
        <w:rPr>
          <w:szCs w:val="22"/>
          <w:lang w:val="hr-HR" w:eastAsia="hr-HR"/>
        </w:rPr>
      </w:pPr>
    </w:p>
    <w:p w14:paraId="11AB2176" w14:textId="30076DCA" w:rsidR="00C97A74" w:rsidRDefault="006B6E8F">
      <w:pPr>
        <w:rPr>
          <w:szCs w:val="22"/>
          <w:lang w:val="hr-HR" w:eastAsia="hr-HR"/>
        </w:rPr>
      </w:pPr>
      <w:r>
        <w:rPr>
          <w:szCs w:val="22"/>
          <w:lang w:val="hr-HR" w:eastAsia="hr-HR"/>
        </w:rPr>
        <w:t>Nije primjenljivo.</w:t>
      </w:r>
    </w:p>
    <w:p w14:paraId="6D2F6722" w14:textId="77777777" w:rsidR="00C97A74" w:rsidRDefault="006B6E8F">
      <w:pPr>
        <w:rPr>
          <w:b/>
          <w:bCs/>
          <w:szCs w:val="22"/>
          <w:lang w:val="hr-HR" w:eastAsia="hr-HR"/>
        </w:rPr>
      </w:pPr>
      <w:r>
        <w:rPr>
          <w:b/>
          <w:bCs/>
          <w:szCs w:val="22"/>
          <w:lang w:val="hr-HR" w:eastAsia="hr-HR"/>
        </w:rPr>
        <w:lastRenderedPageBreak/>
        <w:t>6.3</w:t>
      </w:r>
      <w:r>
        <w:rPr>
          <w:b/>
          <w:bCs/>
          <w:szCs w:val="22"/>
          <w:lang w:val="hr-HR" w:eastAsia="hr-HR"/>
        </w:rPr>
        <w:tab/>
        <w:t>Rok upotrebe</w:t>
      </w:r>
    </w:p>
    <w:p w14:paraId="4E947731" w14:textId="77777777" w:rsidR="00C97A74" w:rsidRDefault="00C97A74">
      <w:pPr>
        <w:rPr>
          <w:szCs w:val="22"/>
          <w:lang w:val="hr-HR" w:eastAsia="hr-HR"/>
        </w:rPr>
      </w:pPr>
    </w:p>
    <w:p w14:paraId="30AD65BF" w14:textId="77777777" w:rsidR="00C97A74" w:rsidRDefault="006B6E8F">
      <w:pPr>
        <w:rPr>
          <w:szCs w:val="22"/>
          <w:lang w:val="hr-HR" w:eastAsia="hr-HR"/>
        </w:rPr>
      </w:pPr>
      <w:r>
        <w:rPr>
          <w:szCs w:val="22"/>
          <w:lang w:val="hr-HR" w:eastAsia="hr-HR"/>
        </w:rPr>
        <w:t>5 godina</w:t>
      </w:r>
    </w:p>
    <w:p w14:paraId="07252D27" w14:textId="77777777" w:rsidR="00653DA8" w:rsidRDefault="00653DA8">
      <w:pPr>
        <w:rPr>
          <w:szCs w:val="22"/>
          <w:lang w:val="hr-HR" w:eastAsia="hr-HR"/>
        </w:rPr>
      </w:pPr>
    </w:p>
    <w:p w14:paraId="3841DFB3" w14:textId="77777777" w:rsidR="00C97A74" w:rsidRDefault="006B6E8F">
      <w:pPr>
        <w:rPr>
          <w:b/>
          <w:bCs/>
          <w:szCs w:val="22"/>
          <w:lang w:val="hr-HR" w:eastAsia="hr-HR"/>
        </w:rPr>
      </w:pPr>
      <w:r>
        <w:rPr>
          <w:b/>
          <w:bCs/>
          <w:szCs w:val="22"/>
          <w:lang w:val="hr-HR" w:eastAsia="hr-HR"/>
        </w:rPr>
        <w:t>6.4</w:t>
      </w:r>
      <w:r>
        <w:rPr>
          <w:b/>
          <w:bCs/>
          <w:szCs w:val="22"/>
          <w:lang w:val="hr-HR" w:eastAsia="hr-HR"/>
        </w:rPr>
        <w:tab/>
        <w:t>Posebne mjere upozorenja pri čuvanju lijeka</w:t>
      </w:r>
    </w:p>
    <w:p w14:paraId="522FA826" w14:textId="77777777" w:rsidR="00C97A74" w:rsidRDefault="00C97A74">
      <w:pPr>
        <w:rPr>
          <w:szCs w:val="22"/>
          <w:lang w:val="hr-HR" w:eastAsia="hr-HR"/>
        </w:rPr>
      </w:pPr>
    </w:p>
    <w:p w14:paraId="095296A5" w14:textId="77777777" w:rsidR="00C97A74" w:rsidRDefault="006B6E8F">
      <w:pPr>
        <w:rPr>
          <w:szCs w:val="22"/>
          <w:lang w:val="hr-HR" w:eastAsia="hr-HR"/>
        </w:rPr>
      </w:pPr>
      <w:r>
        <w:rPr>
          <w:szCs w:val="22"/>
          <w:lang w:val="hr-HR" w:eastAsia="hr-HR"/>
        </w:rPr>
        <w:t>Lijek čuvajte na temperaturi do 30°C.</w:t>
      </w:r>
    </w:p>
    <w:p w14:paraId="4069ED71" w14:textId="735A3C5F" w:rsidR="00C97A74" w:rsidRDefault="006B6E8F">
      <w:pPr>
        <w:rPr>
          <w:szCs w:val="22"/>
          <w:lang w:val="hr-HR" w:eastAsia="hr-HR"/>
        </w:rPr>
      </w:pPr>
      <w:r>
        <w:rPr>
          <w:szCs w:val="22"/>
          <w:lang w:val="hr-HR" w:eastAsia="hr-HR"/>
        </w:rPr>
        <w:t>Čuvajte u originalnom pakovanju</w:t>
      </w:r>
      <w:r w:rsidR="009734BA">
        <w:rPr>
          <w:szCs w:val="22"/>
          <w:lang w:val="hr-HR" w:eastAsia="hr-HR"/>
        </w:rPr>
        <w:t xml:space="preserve"> </w:t>
      </w:r>
      <w:r w:rsidR="00C223ED">
        <w:rPr>
          <w:szCs w:val="22"/>
          <w:lang w:val="hr-HR" w:eastAsia="hr-HR"/>
        </w:rPr>
        <w:t>zbog</w:t>
      </w:r>
      <w:r w:rsidR="000B403C">
        <w:rPr>
          <w:szCs w:val="22"/>
          <w:lang w:val="hr-HR" w:eastAsia="hr-HR"/>
        </w:rPr>
        <w:t xml:space="preserve"> </w:t>
      </w:r>
      <w:r>
        <w:rPr>
          <w:szCs w:val="22"/>
          <w:lang w:val="hr-HR" w:eastAsia="hr-HR"/>
        </w:rPr>
        <w:t>zaštite od svjetlosti i vlage.</w:t>
      </w:r>
    </w:p>
    <w:p w14:paraId="3AC6D60D" w14:textId="77777777" w:rsidR="00C97A74" w:rsidRDefault="00C97A74">
      <w:pPr>
        <w:rPr>
          <w:szCs w:val="22"/>
          <w:lang w:val="hr-HR" w:eastAsia="hr-HR"/>
        </w:rPr>
      </w:pPr>
    </w:p>
    <w:p w14:paraId="790E8DEE" w14:textId="77777777" w:rsidR="00C97A74" w:rsidRDefault="006B6E8F">
      <w:pPr>
        <w:rPr>
          <w:b/>
          <w:bCs/>
          <w:szCs w:val="22"/>
          <w:lang w:val="hr-HR" w:eastAsia="hr-HR"/>
        </w:rPr>
      </w:pPr>
      <w:r>
        <w:rPr>
          <w:b/>
          <w:bCs/>
          <w:szCs w:val="22"/>
          <w:lang w:val="hr-HR" w:eastAsia="hr-HR"/>
        </w:rPr>
        <w:t>6.5</w:t>
      </w:r>
      <w:r>
        <w:rPr>
          <w:b/>
          <w:bCs/>
          <w:szCs w:val="22"/>
          <w:lang w:val="hr-HR" w:eastAsia="hr-HR"/>
        </w:rPr>
        <w:tab/>
        <w:t>Vrsta  i sadržaj pakovanja</w:t>
      </w:r>
    </w:p>
    <w:p w14:paraId="3E67E22A" w14:textId="77777777" w:rsidR="00653DA8" w:rsidRDefault="00653DA8">
      <w:pPr>
        <w:rPr>
          <w:b/>
          <w:bCs/>
          <w:szCs w:val="22"/>
          <w:lang w:val="hr-HR" w:eastAsia="hr-HR"/>
        </w:rPr>
      </w:pPr>
    </w:p>
    <w:p w14:paraId="325C4518" w14:textId="77777777" w:rsidR="00653DA8" w:rsidRDefault="00653DA8">
      <w:pPr>
        <w:rPr>
          <w:b/>
          <w:bCs/>
          <w:szCs w:val="22"/>
          <w:lang w:val="hr-HR" w:eastAsia="hr-HR"/>
        </w:rPr>
      </w:pPr>
      <w:r w:rsidRPr="0090329E">
        <w:rPr>
          <w:szCs w:val="22"/>
          <w:lang w:val="sr-Latn-ME"/>
        </w:rPr>
        <w:t xml:space="preserve">Unutrašnje pakovanje je </w:t>
      </w:r>
      <w:r>
        <w:rPr>
          <w:szCs w:val="22"/>
          <w:lang w:val="sr-Latn-ME"/>
        </w:rPr>
        <w:t xml:space="preserve">blister od </w:t>
      </w:r>
      <w:r>
        <w:rPr>
          <w:szCs w:val="22"/>
          <w:lang w:val="hr-HR" w:eastAsia="hr-HR"/>
        </w:rPr>
        <w:t>PVC/PE/PVDC i</w:t>
      </w:r>
      <w:r w:rsidR="00532839">
        <w:rPr>
          <w:szCs w:val="22"/>
          <w:lang w:val="hr-HR" w:eastAsia="hr-HR"/>
        </w:rPr>
        <w:t xml:space="preserve"> Al-folije</w:t>
      </w:r>
      <w:r w:rsidRPr="0090329E">
        <w:rPr>
          <w:bCs/>
          <w:szCs w:val="22"/>
          <w:lang w:val="sr-Latn-ME"/>
        </w:rPr>
        <w:t>.</w:t>
      </w:r>
    </w:p>
    <w:p w14:paraId="18D36969" w14:textId="77777777" w:rsidR="00653DA8" w:rsidRPr="00CF3001" w:rsidRDefault="00653DA8" w:rsidP="00CF3001">
      <w:pPr>
        <w:jc w:val="both"/>
        <w:rPr>
          <w:szCs w:val="22"/>
          <w:lang w:val="sr-Latn-ME"/>
        </w:rPr>
      </w:pPr>
      <w:r w:rsidRPr="003A5DCB">
        <w:rPr>
          <w:szCs w:val="22"/>
          <w:lang w:val="sr-Latn-ME"/>
        </w:rPr>
        <w:t>Spoljašnje pakovanje lijeka je složiva ka</w:t>
      </w:r>
      <w:r>
        <w:rPr>
          <w:szCs w:val="22"/>
          <w:lang w:val="sr-Latn-ME"/>
        </w:rPr>
        <w:t>rtonska kutija u kojoj se nalaze 2</w:t>
      </w:r>
      <w:r w:rsidRPr="003A5DCB">
        <w:rPr>
          <w:szCs w:val="22"/>
          <w:lang w:val="sr-Latn-ME"/>
        </w:rPr>
        <w:t xml:space="preserve"> blister</w:t>
      </w:r>
      <w:r>
        <w:rPr>
          <w:szCs w:val="22"/>
          <w:lang w:val="sr-Latn-ME"/>
        </w:rPr>
        <w:t>a sa po 14</w:t>
      </w:r>
      <w:r w:rsidRPr="003A5DCB">
        <w:rPr>
          <w:szCs w:val="22"/>
          <w:lang w:val="sr-Latn-ME"/>
        </w:rPr>
        <w:t xml:space="preserve"> </w:t>
      </w:r>
      <w:r>
        <w:rPr>
          <w:szCs w:val="22"/>
          <w:lang w:val="sr-Latn-ME"/>
        </w:rPr>
        <w:t>fim tableta</w:t>
      </w:r>
      <w:r w:rsidRPr="003A5DCB">
        <w:rPr>
          <w:szCs w:val="22"/>
          <w:lang w:val="sr-Latn-ME"/>
        </w:rPr>
        <w:t xml:space="preserve"> (ukupno</w:t>
      </w:r>
      <w:r>
        <w:rPr>
          <w:szCs w:val="22"/>
          <w:lang w:val="sr-Latn-ME"/>
        </w:rPr>
        <w:t xml:space="preserve"> 28  film tableta</w:t>
      </w:r>
      <w:r w:rsidRPr="003A5DCB">
        <w:rPr>
          <w:szCs w:val="22"/>
          <w:lang w:val="sr-Latn-ME"/>
        </w:rPr>
        <w:t>) i Uputstvo za lijek.</w:t>
      </w:r>
    </w:p>
    <w:p w14:paraId="18BA0F50" w14:textId="77777777" w:rsidR="00C97A74" w:rsidRDefault="00C97A74">
      <w:pPr>
        <w:rPr>
          <w:szCs w:val="22"/>
          <w:lang w:val="hr-HR" w:eastAsia="hr-HR"/>
        </w:rPr>
      </w:pPr>
    </w:p>
    <w:p w14:paraId="34EA2EA1" w14:textId="77777777" w:rsidR="00C97A74" w:rsidRDefault="006B6E8F">
      <w:pPr>
        <w:jc w:val="both"/>
        <w:rPr>
          <w:b/>
          <w:bCs/>
          <w:szCs w:val="22"/>
          <w:lang w:val="hr-HR" w:eastAsia="hr-HR"/>
        </w:rPr>
      </w:pPr>
      <w:r>
        <w:rPr>
          <w:b/>
          <w:bCs/>
          <w:szCs w:val="22"/>
          <w:lang w:val="hr-HR" w:eastAsia="hr-HR"/>
        </w:rPr>
        <w:t>6.6</w:t>
      </w:r>
      <w:r>
        <w:rPr>
          <w:b/>
          <w:bCs/>
          <w:szCs w:val="22"/>
          <w:lang w:val="hr-HR" w:eastAsia="hr-HR"/>
        </w:rPr>
        <w:tab/>
        <w:t>Posebne mjere opreza pri odlaganju materijala koji treba odbaciti nakon primjene</w:t>
      </w:r>
    </w:p>
    <w:p w14:paraId="170BAF2B" w14:textId="77777777" w:rsidR="00C97A74" w:rsidRDefault="006B6E8F">
      <w:pPr>
        <w:jc w:val="both"/>
        <w:rPr>
          <w:b/>
          <w:bCs/>
          <w:szCs w:val="22"/>
          <w:lang w:val="hr-HR" w:eastAsia="hr-HR"/>
        </w:rPr>
      </w:pPr>
      <w:r>
        <w:rPr>
          <w:b/>
          <w:bCs/>
          <w:szCs w:val="22"/>
          <w:lang w:val="hr-HR" w:eastAsia="hr-HR"/>
        </w:rPr>
        <w:t>lijeka (i druga uputstva za rukovanje lijekom)</w:t>
      </w:r>
    </w:p>
    <w:p w14:paraId="364BCA31" w14:textId="77777777" w:rsidR="00C97A74" w:rsidRDefault="00C97A74">
      <w:pPr>
        <w:jc w:val="both"/>
        <w:rPr>
          <w:b/>
          <w:bCs/>
          <w:szCs w:val="22"/>
          <w:lang w:val="hr-HR" w:eastAsia="hr-HR"/>
        </w:rPr>
      </w:pPr>
    </w:p>
    <w:p w14:paraId="14989986" w14:textId="77777777" w:rsidR="00C97A74" w:rsidRDefault="006B6E8F">
      <w:pPr>
        <w:jc w:val="both"/>
        <w:rPr>
          <w:bCs/>
          <w:szCs w:val="22"/>
          <w:lang w:val="hr-HR" w:eastAsia="hr-HR"/>
        </w:rPr>
      </w:pPr>
      <w:r>
        <w:rPr>
          <w:bCs/>
          <w:szCs w:val="22"/>
          <w:lang w:val="hr-HR" w:eastAsia="hr-HR"/>
        </w:rPr>
        <w:t>Neupotrijebljeni lijek se uništava u skladu sa važećim propisima.</w:t>
      </w:r>
    </w:p>
    <w:p w14:paraId="3D467210" w14:textId="77777777" w:rsidR="00C97A74" w:rsidRDefault="00C97A74">
      <w:pPr>
        <w:jc w:val="both"/>
        <w:rPr>
          <w:b/>
          <w:bCs/>
          <w:szCs w:val="22"/>
          <w:lang w:val="hr-HR" w:eastAsia="hr-HR"/>
        </w:rPr>
      </w:pPr>
    </w:p>
    <w:p w14:paraId="5292951F" w14:textId="77777777" w:rsidR="00C97A74" w:rsidRDefault="00C97A74">
      <w:pPr>
        <w:jc w:val="both"/>
        <w:rPr>
          <w:b/>
          <w:bCs/>
          <w:szCs w:val="22"/>
          <w:lang w:val="hr-HR" w:eastAsia="hr-HR"/>
        </w:rPr>
      </w:pPr>
    </w:p>
    <w:p w14:paraId="5C6FA0C6" w14:textId="77777777" w:rsidR="00C97A74" w:rsidRDefault="006B6E8F">
      <w:pPr>
        <w:jc w:val="both"/>
        <w:rPr>
          <w:b/>
          <w:bCs/>
          <w:szCs w:val="22"/>
          <w:lang w:val="hr-HR" w:eastAsia="hr-HR"/>
        </w:rPr>
      </w:pPr>
      <w:r>
        <w:rPr>
          <w:b/>
          <w:bCs/>
          <w:szCs w:val="22"/>
          <w:lang w:val="hr-HR" w:eastAsia="hr-HR"/>
        </w:rPr>
        <w:t>7.</w:t>
      </w:r>
      <w:r>
        <w:rPr>
          <w:b/>
          <w:bCs/>
          <w:szCs w:val="22"/>
          <w:lang w:val="hr-HR" w:eastAsia="hr-HR"/>
        </w:rPr>
        <w:tab/>
        <w:t>NOSILAC DOZVOLE</w:t>
      </w:r>
    </w:p>
    <w:p w14:paraId="4177B5F4" w14:textId="77777777" w:rsidR="00C97A74" w:rsidRDefault="00C97A74">
      <w:pPr>
        <w:jc w:val="both"/>
        <w:rPr>
          <w:b/>
          <w:bCs/>
          <w:szCs w:val="22"/>
          <w:lang w:val="hr-HR" w:eastAsia="hr-HR"/>
        </w:rPr>
      </w:pPr>
    </w:p>
    <w:p w14:paraId="288C2C4E" w14:textId="77777777" w:rsidR="00C97A74" w:rsidRDefault="006B6E8F">
      <w:pPr>
        <w:jc w:val="both"/>
        <w:rPr>
          <w:bCs/>
          <w:szCs w:val="22"/>
          <w:lang w:val="hr-HR" w:eastAsia="hr-HR"/>
        </w:rPr>
      </w:pPr>
      <w:r>
        <w:rPr>
          <w:bCs/>
          <w:szCs w:val="22"/>
          <w:lang w:val="hr-HR" w:eastAsia="hr-HR"/>
        </w:rPr>
        <w:t>DSD „KRKA, d.d., Novo mesto“</w:t>
      </w:r>
      <w:r w:rsidR="00653DA8">
        <w:rPr>
          <w:bCs/>
          <w:szCs w:val="22"/>
          <w:lang w:val="hr-HR" w:eastAsia="hr-HR"/>
        </w:rPr>
        <w:t xml:space="preserve"> Slovenija</w:t>
      </w:r>
      <w:r>
        <w:rPr>
          <w:bCs/>
          <w:szCs w:val="22"/>
          <w:lang w:val="hr-HR" w:eastAsia="hr-HR"/>
        </w:rPr>
        <w:t xml:space="preserve"> - predstavništvo Podgorica</w:t>
      </w:r>
    </w:p>
    <w:p w14:paraId="248C7DEF" w14:textId="77777777" w:rsidR="00C97A74" w:rsidRDefault="006B6E8F">
      <w:pPr>
        <w:jc w:val="both"/>
        <w:rPr>
          <w:bCs/>
          <w:szCs w:val="22"/>
          <w:lang w:val="hr-HR" w:eastAsia="hr-HR"/>
        </w:rPr>
      </w:pPr>
      <w:r>
        <w:rPr>
          <w:bCs/>
          <w:szCs w:val="22"/>
          <w:lang w:val="hr-HR" w:eastAsia="hr-HR"/>
        </w:rPr>
        <w:t>Svetlane Kane Radević br. 3, 81000 Podgorica, Crna Gora</w:t>
      </w:r>
    </w:p>
    <w:p w14:paraId="3CC80C3F" w14:textId="77777777" w:rsidR="00C97A74" w:rsidRDefault="00C97A74">
      <w:pPr>
        <w:jc w:val="both"/>
        <w:rPr>
          <w:b/>
          <w:bCs/>
          <w:szCs w:val="22"/>
          <w:lang w:val="hr-HR" w:eastAsia="hr-HR"/>
        </w:rPr>
      </w:pPr>
    </w:p>
    <w:p w14:paraId="618A9F3B" w14:textId="77777777" w:rsidR="00C97A74" w:rsidRDefault="00C97A74">
      <w:pPr>
        <w:jc w:val="both"/>
        <w:rPr>
          <w:b/>
          <w:bCs/>
          <w:szCs w:val="22"/>
          <w:lang w:val="hr-HR" w:eastAsia="hr-HR"/>
        </w:rPr>
      </w:pPr>
    </w:p>
    <w:p w14:paraId="1E0B8C2D" w14:textId="77777777" w:rsidR="00C97A74" w:rsidRDefault="006B6E8F">
      <w:pPr>
        <w:jc w:val="both"/>
        <w:rPr>
          <w:b/>
          <w:bCs/>
          <w:szCs w:val="22"/>
          <w:lang w:val="hr-HR" w:eastAsia="hr-HR"/>
        </w:rPr>
      </w:pPr>
      <w:r>
        <w:rPr>
          <w:b/>
          <w:bCs/>
          <w:szCs w:val="22"/>
          <w:lang w:val="hr-HR" w:eastAsia="hr-HR"/>
        </w:rPr>
        <w:t xml:space="preserve">8. </w:t>
      </w:r>
      <w:r>
        <w:rPr>
          <w:b/>
          <w:bCs/>
          <w:szCs w:val="22"/>
          <w:lang w:val="hr-HR" w:eastAsia="hr-HR"/>
        </w:rPr>
        <w:tab/>
        <w:t>BROJ DOZVOLE ZA STAVLJANJE LIJEKA U PROMET</w:t>
      </w:r>
    </w:p>
    <w:p w14:paraId="3C0D69D9" w14:textId="77777777" w:rsidR="00C97A74" w:rsidRPr="003B4CF2" w:rsidRDefault="00C97A74">
      <w:pPr>
        <w:jc w:val="both"/>
        <w:rPr>
          <w:b/>
          <w:szCs w:val="22"/>
          <w:lang w:val="hr-HR"/>
        </w:rPr>
      </w:pPr>
    </w:p>
    <w:p w14:paraId="69A278F4" w14:textId="59CC4ADA" w:rsidR="00C97A74" w:rsidRPr="003B4CF2" w:rsidRDefault="006B6E8F">
      <w:pPr>
        <w:keepNext/>
        <w:jc w:val="both"/>
        <w:outlineLvl w:val="2"/>
        <w:rPr>
          <w:bCs/>
          <w:szCs w:val="22"/>
          <w:lang w:val="hr-HR" w:eastAsia="hr-HR"/>
        </w:rPr>
      </w:pPr>
      <w:r w:rsidRPr="003B4CF2">
        <w:rPr>
          <w:bCs/>
          <w:szCs w:val="22"/>
          <w:lang w:val="hr-HR" w:eastAsia="hr-HR"/>
        </w:rPr>
        <w:t xml:space="preserve">Valsacombi, film tableta, 80 mg + 12,5 mg, blister, 28 film tableta: </w:t>
      </w:r>
      <w:r w:rsidR="00A37AA5" w:rsidRPr="003B4CF2">
        <w:rPr>
          <w:rFonts w:eastAsia="SimSun"/>
          <w:szCs w:val="22"/>
          <w:lang w:val="en-US"/>
        </w:rPr>
        <w:t>2030/25/1312 - 4098</w:t>
      </w:r>
    </w:p>
    <w:p w14:paraId="190721A7" w14:textId="3C642FE3" w:rsidR="00532839" w:rsidRPr="003B4CF2" w:rsidRDefault="006B6E8F">
      <w:pPr>
        <w:keepNext/>
        <w:jc w:val="both"/>
        <w:outlineLvl w:val="2"/>
        <w:rPr>
          <w:bCs/>
          <w:szCs w:val="22"/>
          <w:lang w:val="hr-HR" w:eastAsia="hr-HR"/>
        </w:rPr>
      </w:pPr>
      <w:r w:rsidRPr="003B4CF2">
        <w:rPr>
          <w:bCs/>
          <w:szCs w:val="22"/>
          <w:lang w:val="hr-HR" w:eastAsia="hr-HR"/>
        </w:rPr>
        <w:t xml:space="preserve">Valsacombi, film tableta, 160 mg + 12,5 mg, blister, 28 film tableta: </w:t>
      </w:r>
      <w:r w:rsidR="00A25704" w:rsidRPr="003B4CF2">
        <w:rPr>
          <w:rFonts w:eastAsia="SimSun"/>
          <w:szCs w:val="22"/>
          <w:lang w:val="sr-Latn-ME" w:eastAsia="sl-SI"/>
        </w:rPr>
        <w:t xml:space="preserve">2030/25/1311 - 4099 </w:t>
      </w:r>
    </w:p>
    <w:p w14:paraId="1C5B60F7" w14:textId="579126FD" w:rsidR="00C97A74" w:rsidRPr="003B4CF2" w:rsidRDefault="006B6E8F">
      <w:pPr>
        <w:keepNext/>
        <w:jc w:val="both"/>
        <w:outlineLvl w:val="2"/>
        <w:rPr>
          <w:bCs/>
          <w:szCs w:val="22"/>
          <w:lang w:val="hr-HR" w:eastAsia="hr-HR"/>
        </w:rPr>
      </w:pPr>
      <w:r w:rsidRPr="003B4CF2">
        <w:rPr>
          <w:bCs/>
          <w:szCs w:val="22"/>
          <w:lang w:val="hr-HR" w:eastAsia="hr-HR"/>
        </w:rPr>
        <w:t xml:space="preserve">Valsacombi, film tableta, 160 mg + 25 mg, blister, 28 film tableta: </w:t>
      </w:r>
      <w:r w:rsidR="007471D7" w:rsidRPr="003B4CF2">
        <w:rPr>
          <w:rFonts w:eastAsia="SimSun"/>
          <w:szCs w:val="22"/>
          <w:lang w:val="en-US"/>
        </w:rPr>
        <w:t>2030/25/1313 - 4100</w:t>
      </w:r>
    </w:p>
    <w:p w14:paraId="78A3B45A" w14:textId="77777777" w:rsidR="00C97A74" w:rsidRPr="003B4CF2" w:rsidRDefault="00C97A74">
      <w:pPr>
        <w:jc w:val="both"/>
        <w:rPr>
          <w:b/>
          <w:szCs w:val="22"/>
          <w:lang w:val="hr-HR"/>
        </w:rPr>
      </w:pPr>
    </w:p>
    <w:p w14:paraId="3B4ACB9E" w14:textId="77777777" w:rsidR="00C97A74" w:rsidRPr="003B4CF2" w:rsidRDefault="00C97A74">
      <w:pPr>
        <w:jc w:val="both"/>
        <w:rPr>
          <w:b/>
          <w:szCs w:val="22"/>
          <w:lang w:val="hr-HR"/>
        </w:rPr>
      </w:pPr>
      <w:bookmarkStart w:id="0" w:name="_GoBack"/>
      <w:bookmarkEnd w:id="0"/>
    </w:p>
    <w:p w14:paraId="3F724E08" w14:textId="77777777" w:rsidR="00C97A74" w:rsidRPr="003B4CF2" w:rsidRDefault="006B6E8F">
      <w:pPr>
        <w:jc w:val="both"/>
        <w:rPr>
          <w:szCs w:val="22"/>
          <w:lang w:val="hr-HR"/>
        </w:rPr>
      </w:pPr>
      <w:r w:rsidRPr="003B4CF2">
        <w:rPr>
          <w:b/>
          <w:szCs w:val="22"/>
          <w:lang w:val="hr-HR"/>
        </w:rPr>
        <w:t>9.</w:t>
      </w:r>
      <w:r w:rsidRPr="003B4CF2">
        <w:rPr>
          <w:b/>
          <w:szCs w:val="22"/>
          <w:lang w:val="hr-HR"/>
        </w:rPr>
        <w:tab/>
        <w:t>DATUM PRVE DOZVOLE / OBNOVE DOZVOLE ZA STAVLJANJE LIJEKA U PROMET</w:t>
      </w:r>
    </w:p>
    <w:p w14:paraId="1F285662" w14:textId="77777777" w:rsidR="00C97A74" w:rsidRPr="003B4CF2" w:rsidRDefault="00C97A74">
      <w:pPr>
        <w:jc w:val="both"/>
        <w:rPr>
          <w:szCs w:val="22"/>
          <w:lang w:val="hr-HR"/>
        </w:rPr>
      </w:pPr>
    </w:p>
    <w:p w14:paraId="6986C065" w14:textId="77777777" w:rsidR="00653DA8" w:rsidRPr="003B4CF2" w:rsidRDefault="00653DA8" w:rsidP="00653DA8">
      <w:pPr>
        <w:keepNext/>
        <w:jc w:val="both"/>
        <w:outlineLvl w:val="2"/>
        <w:rPr>
          <w:bCs/>
          <w:szCs w:val="22"/>
          <w:lang w:val="hr-HR" w:eastAsia="hr-HR"/>
        </w:rPr>
      </w:pPr>
      <w:r w:rsidRPr="003B4CF2">
        <w:rPr>
          <w:bCs/>
          <w:szCs w:val="22"/>
          <w:lang w:val="hr-HR" w:eastAsia="hr-HR"/>
        </w:rPr>
        <w:t>Datum prve dozvole: 10.03.2014. godine</w:t>
      </w:r>
    </w:p>
    <w:p w14:paraId="718FD7E0" w14:textId="5569EDDB" w:rsidR="00C97A74" w:rsidRPr="003B4CF2" w:rsidRDefault="00653DA8" w:rsidP="00653DA8">
      <w:pPr>
        <w:keepNext/>
        <w:jc w:val="both"/>
        <w:outlineLvl w:val="2"/>
        <w:rPr>
          <w:bCs/>
          <w:szCs w:val="22"/>
          <w:lang w:val="hr-HR" w:eastAsia="hr-HR"/>
        </w:rPr>
      </w:pPr>
      <w:r w:rsidRPr="003B4CF2">
        <w:rPr>
          <w:bCs/>
          <w:szCs w:val="22"/>
          <w:lang w:val="hr-HR" w:eastAsia="hr-HR"/>
        </w:rPr>
        <w:t>Datum posl</w:t>
      </w:r>
      <w:r w:rsidR="00E7535D" w:rsidRPr="003B4CF2">
        <w:rPr>
          <w:bCs/>
          <w:szCs w:val="22"/>
          <w:lang w:val="hr-HR" w:eastAsia="hr-HR"/>
        </w:rPr>
        <w:t>j</w:t>
      </w:r>
      <w:r w:rsidRPr="003B4CF2">
        <w:rPr>
          <w:bCs/>
          <w:szCs w:val="22"/>
          <w:lang w:val="hr-HR" w:eastAsia="hr-HR"/>
        </w:rPr>
        <w:t xml:space="preserve">ednje obnove dozvole: </w:t>
      </w:r>
      <w:r w:rsidR="00A25704" w:rsidRPr="003B4CF2">
        <w:rPr>
          <w:rFonts w:eastAsia="SimSun"/>
          <w:szCs w:val="22"/>
          <w:lang w:val="sr-Latn-ME" w:eastAsia="sl-SI"/>
        </w:rPr>
        <w:t>12.03.2025. godine</w:t>
      </w:r>
    </w:p>
    <w:p w14:paraId="3659AFE0" w14:textId="77777777" w:rsidR="00C97A74" w:rsidRDefault="00C97A74">
      <w:pPr>
        <w:jc w:val="both"/>
        <w:rPr>
          <w:b/>
          <w:szCs w:val="22"/>
          <w:lang w:val="hr-HR"/>
        </w:rPr>
      </w:pPr>
    </w:p>
    <w:p w14:paraId="29BCF5D3" w14:textId="77777777" w:rsidR="00C97A74" w:rsidRDefault="00C97A74">
      <w:pPr>
        <w:jc w:val="both"/>
        <w:rPr>
          <w:b/>
          <w:szCs w:val="22"/>
          <w:lang w:val="hr-HR"/>
        </w:rPr>
      </w:pPr>
    </w:p>
    <w:p w14:paraId="512F6423" w14:textId="43BD6D4D" w:rsidR="00C97A74" w:rsidRDefault="006B6E8F">
      <w:pPr>
        <w:rPr>
          <w:b/>
          <w:szCs w:val="22"/>
          <w:lang w:val="hr-HR"/>
        </w:rPr>
      </w:pPr>
      <w:r>
        <w:rPr>
          <w:b/>
          <w:szCs w:val="22"/>
          <w:lang w:val="hr-HR"/>
        </w:rPr>
        <w:t>10.</w:t>
      </w:r>
      <w:r>
        <w:rPr>
          <w:b/>
          <w:szCs w:val="22"/>
          <w:lang w:val="hr-HR"/>
        </w:rPr>
        <w:tab/>
        <w:t>DATUM REVIZIJE TEKSTA</w:t>
      </w:r>
    </w:p>
    <w:p w14:paraId="5516FAA3" w14:textId="380F812A" w:rsidR="00A25704" w:rsidRDefault="00A25704">
      <w:pPr>
        <w:rPr>
          <w:b/>
          <w:szCs w:val="22"/>
          <w:lang w:val="hr-HR"/>
        </w:rPr>
      </w:pPr>
    </w:p>
    <w:p w14:paraId="45DB00AC" w14:textId="5D7142EE" w:rsidR="00A25704" w:rsidRPr="00A37AA5" w:rsidRDefault="00A25704">
      <w:pPr>
        <w:rPr>
          <w:szCs w:val="22"/>
        </w:rPr>
      </w:pPr>
      <w:r w:rsidRPr="00A25704">
        <w:rPr>
          <w:szCs w:val="22"/>
          <w:lang w:val="hr-HR"/>
        </w:rPr>
        <w:t>Mart, 2025. godine</w:t>
      </w:r>
    </w:p>
    <w:p w14:paraId="22216D4E" w14:textId="77777777" w:rsidR="00C97A74" w:rsidRDefault="00C97A74">
      <w:pPr>
        <w:tabs>
          <w:tab w:val="left" w:pos="426"/>
        </w:tabs>
        <w:rPr>
          <w:szCs w:val="22"/>
          <w:highlight w:val="yellow"/>
          <w:lang w:val="hr-HR"/>
        </w:rPr>
      </w:pPr>
    </w:p>
    <w:p w14:paraId="776B13F6" w14:textId="6A996764" w:rsidR="00C97A74" w:rsidRDefault="00C97A74"/>
    <w:sectPr w:rsidR="00C97A74">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48E4" w14:textId="77777777" w:rsidR="000A7B4E" w:rsidRDefault="000A7B4E">
      <w:pPr>
        <w:spacing w:line="240" w:lineRule="auto"/>
      </w:pPr>
      <w:r>
        <w:separator/>
      </w:r>
    </w:p>
  </w:endnote>
  <w:endnote w:type="continuationSeparator" w:id="0">
    <w:p w14:paraId="404CA6C1" w14:textId="77777777" w:rsidR="000A7B4E" w:rsidRDefault="000A7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pitch w:val="variable"/>
    <w:sig w:usb0="00000003" w:usb1="00000000" w:usb2="00000000" w:usb3="00000000" w:csb0="00000001" w:csb1="00000000"/>
  </w:font>
  <w:font w:name="JOBOG I+ BI Logo">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JOOMH J+ BI Logo">
    <w:altName w:val="Arial"/>
    <w:panose1 w:val="00000000000000000000"/>
    <w:charset w:val="00"/>
    <w:family w:val="swiss"/>
    <w:notTrueType/>
    <w:pitch w:val="default"/>
    <w:sig w:usb0="00000003" w:usb1="00000000" w:usb2="00000000" w:usb3="00000000" w:csb0="00000001" w:csb1="00000000"/>
  </w:font>
  <w:font w:name="NCFJMG+Arial,Bold">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A154" w14:textId="25387EB1" w:rsidR="00653DA8" w:rsidRDefault="00653DA8">
    <w:pPr>
      <w:pStyle w:val="Footer"/>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3B4CF2">
      <w:rPr>
        <w:rFonts w:ascii="Times New Roman" w:hAnsi="Times New Roman"/>
        <w:sz w:val="22"/>
        <w:szCs w:val="22"/>
      </w:rPr>
      <w:t>20</w: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rPr>
      <w:fldChar w:fldCharType="begin"/>
    </w:r>
    <w:r>
      <w:rPr>
        <w:rFonts w:ascii="Times New Roman" w:hAnsi="Times New Roman"/>
        <w:sz w:val="22"/>
        <w:szCs w:val="22"/>
      </w:rPr>
      <w:instrText xml:space="preserve"> NUMPAGES </w:instrText>
    </w:r>
    <w:r>
      <w:rPr>
        <w:rFonts w:ascii="Times New Roman" w:hAnsi="Times New Roman"/>
        <w:sz w:val="22"/>
        <w:szCs w:val="22"/>
      </w:rPr>
      <w:fldChar w:fldCharType="separate"/>
    </w:r>
    <w:r w:rsidR="003B4CF2">
      <w:rPr>
        <w:rFonts w:ascii="Times New Roman" w:hAnsi="Times New Roman"/>
        <w:sz w:val="22"/>
        <w:szCs w:val="22"/>
      </w:rPr>
      <w:t>20</w:t>
    </w:r>
    <w:r>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3ED36" w14:textId="0C6007BB" w:rsidR="00653DA8" w:rsidRDefault="00653DA8">
    <w:pPr>
      <w:pStyle w:val="Footer"/>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3B4CF2">
      <w:rPr>
        <w:rFonts w:ascii="Times New Roman" w:hAnsi="Times New Roman"/>
        <w:sz w:val="22"/>
        <w:szCs w:val="22"/>
      </w:rPr>
      <w:t>1</w: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rPr>
      <w:fldChar w:fldCharType="begin"/>
    </w:r>
    <w:r>
      <w:rPr>
        <w:rFonts w:ascii="Times New Roman" w:hAnsi="Times New Roman"/>
        <w:sz w:val="22"/>
        <w:szCs w:val="22"/>
      </w:rPr>
      <w:instrText xml:space="preserve"> NUMPAGES </w:instrText>
    </w:r>
    <w:r>
      <w:rPr>
        <w:rFonts w:ascii="Times New Roman" w:hAnsi="Times New Roman"/>
        <w:sz w:val="22"/>
        <w:szCs w:val="22"/>
      </w:rPr>
      <w:fldChar w:fldCharType="separate"/>
    </w:r>
    <w:r w:rsidR="003B4CF2">
      <w:rPr>
        <w:rFonts w:ascii="Times New Roman" w:hAnsi="Times New Roman"/>
        <w:sz w:val="22"/>
        <w:szCs w:val="22"/>
      </w:rPr>
      <w:t>20</w:t>
    </w:r>
    <w:r>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1B4D" w14:textId="77777777" w:rsidR="000A7B4E" w:rsidRDefault="000A7B4E">
      <w:pPr>
        <w:spacing w:line="240" w:lineRule="auto"/>
      </w:pPr>
      <w:r>
        <w:separator/>
      </w:r>
    </w:p>
  </w:footnote>
  <w:footnote w:type="continuationSeparator" w:id="0">
    <w:p w14:paraId="727A9D67" w14:textId="77777777" w:rsidR="000A7B4E" w:rsidRDefault="000A7B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322"/>
    <w:multiLevelType w:val="singleLevel"/>
    <w:tmpl w:val="A8F43FF2"/>
    <w:lvl w:ilvl="0">
      <w:start w:val="1"/>
      <w:numFmt w:val="decimal"/>
      <w:pStyle w:val="Bullet0dKT"/>
      <w:lvlText w:val="Figure: %1. "/>
      <w:lvlJc w:val="left"/>
      <w:pPr>
        <w:tabs>
          <w:tab w:val="num" w:pos="1080"/>
        </w:tabs>
        <w:ind w:left="360" w:hanging="360"/>
      </w:pPr>
    </w:lvl>
  </w:abstractNum>
  <w:abstractNum w:abstractNumId="1" w15:restartNumberingAfterBreak="0">
    <w:nsid w:val="353A30AF"/>
    <w:multiLevelType w:val="hybridMultilevel"/>
    <w:tmpl w:val="A81E241E"/>
    <w:lvl w:ilvl="0" w:tplc="EB547BE6">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1949E0"/>
    <w:multiLevelType w:val="hybridMultilevel"/>
    <w:tmpl w:val="EE84E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97A74"/>
    <w:rsid w:val="000A7B4E"/>
    <w:rsid w:val="000B403C"/>
    <w:rsid w:val="000F0AA9"/>
    <w:rsid w:val="0029559F"/>
    <w:rsid w:val="00347A78"/>
    <w:rsid w:val="00391F1D"/>
    <w:rsid w:val="003B4CF2"/>
    <w:rsid w:val="00532839"/>
    <w:rsid w:val="005C00D7"/>
    <w:rsid w:val="005E7485"/>
    <w:rsid w:val="00650ACB"/>
    <w:rsid w:val="00653DA8"/>
    <w:rsid w:val="006B6E8F"/>
    <w:rsid w:val="006D302E"/>
    <w:rsid w:val="00743E61"/>
    <w:rsid w:val="007471D7"/>
    <w:rsid w:val="007C0D9A"/>
    <w:rsid w:val="008906D1"/>
    <w:rsid w:val="009734BA"/>
    <w:rsid w:val="009F5B4C"/>
    <w:rsid w:val="00A25704"/>
    <w:rsid w:val="00A37AA5"/>
    <w:rsid w:val="00B46A7F"/>
    <w:rsid w:val="00C223ED"/>
    <w:rsid w:val="00C5299A"/>
    <w:rsid w:val="00C97A74"/>
    <w:rsid w:val="00CF3001"/>
    <w:rsid w:val="00D246CD"/>
    <w:rsid w:val="00E60CE4"/>
    <w:rsid w:val="00E66E4C"/>
    <w:rsid w:val="00E75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EF44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99" w:qFormat="1"/>
    <w:lsdException w:name="Body Text"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tabs>
        <w:tab w:val="num" w:pos="567"/>
      </w:tabs>
      <w:spacing w:before="240" w:after="240" w:line="240" w:lineRule="auto"/>
      <w:jc w:val="both"/>
      <w:outlineLvl w:val="0"/>
    </w:pPr>
    <w:rPr>
      <w:b/>
      <w:caps/>
      <w:sz w:val="24"/>
    </w:rPr>
  </w:style>
  <w:style w:type="paragraph" w:styleId="Heading2">
    <w:name w:val="heading 2"/>
    <w:basedOn w:val="Normal"/>
    <w:next w:val="Normal"/>
    <w:link w:val="Heading2Char"/>
    <w:qFormat/>
    <w:pPr>
      <w:keepNext/>
      <w:tabs>
        <w:tab w:val="clear" w:pos="567"/>
      </w:tabs>
      <w:spacing w:before="240" w:after="60" w:line="240" w:lineRule="auto"/>
      <w:outlineLvl w:val="1"/>
    </w:pPr>
    <w:rPr>
      <w:rFonts w:ascii="Arial" w:hAnsi="Arial" w:cs="Arial"/>
      <w:b/>
      <w:bCs/>
      <w:i/>
      <w:iCs/>
      <w:sz w:val="28"/>
      <w:szCs w:val="28"/>
      <w:lang w:val="en-US"/>
    </w:rPr>
  </w:style>
  <w:style w:type="paragraph" w:styleId="Heading3">
    <w:name w:val="heading 3"/>
    <w:basedOn w:val="Normal"/>
    <w:next w:val="Normal"/>
    <w:link w:val="Heading3Char"/>
    <w:qFormat/>
    <w:pPr>
      <w:keepNext/>
      <w:tabs>
        <w:tab w:val="clear" w:pos="567"/>
        <w:tab w:val="num" w:pos="1985"/>
      </w:tabs>
      <w:spacing w:line="240" w:lineRule="auto"/>
      <w:ind w:left="1985" w:hanging="1985"/>
      <w:jc w:val="both"/>
      <w:outlineLvl w:val="2"/>
    </w:pPr>
    <w:rPr>
      <w:b/>
      <w:sz w:val="24"/>
    </w:rPr>
  </w:style>
  <w:style w:type="paragraph" w:styleId="Heading4">
    <w:name w:val="heading 4"/>
    <w:basedOn w:val="Normal"/>
    <w:next w:val="Normal"/>
    <w:link w:val="Heading4Char"/>
    <w:qFormat/>
    <w:pPr>
      <w:keepNext/>
      <w:tabs>
        <w:tab w:val="clear" w:pos="567"/>
        <w:tab w:val="num" w:pos="864"/>
      </w:tabs>
      <w:spacing w:line="240" w:lineRule="auto"/>
      <w:ind w:left="864" w:hanging="864"/>
      <w:jc w:val="both"/>
      <w:outlineLvl w:val="3"/>
    </w:pPr>
    <w:rPr>
      <w:b/>
      <w:sz w:val="24"/>
      <w:lang w:val="ru-RU"/>
    </w:rPr>
  </w:style>
  <w:style w:type="paragraph" w:styleId="Heading5">
    <w:name w:val="heading 5"/>
    <w:basedOn w:val="Normal"/>
    <w:next w:val="Normal"/>
    <w:link w:val="Heading5Char"/>
    <w:qFormat/>
    <w:pPr>
      <w:keepNext/>
      <w:tabs>
        <w:tab w:val="clear" w:pos="567"/>
        <w:tab w:val="num" w:pos="1008"/>
      </w:tabs>
      <w:spacing w:line="240" w:lineRule="auto"/>
      <w:ind w:left="1008" w:hanging="1008"/>
      <w:outlineLvl w:val="4"/>
    </w:pPr>
    <w:rPr>
      <w:b/>
      <w:sz w:val="24"/>
    </w:rPr>
  </w:style>
  <w:style w:type="paragraph" w:styleId="Heading6">
    <w:name w:val="heading 6"/>
    <w:basedOn w:val="Normal"/>
    <w:next w:val="Normal"/>
    <w:link w:val="Heading6Char"/>
    <w:qFormat/>
    <w:pPr>
      <w:tabs>
        <w:tab w:val="clear" w:pos="567"/>
        <w:tab w:val="num" w:pos="1152"/>
      </w:tabs>
      <w:spacing w:before="240" w:after="60" w:line="240" w:lineRule="auto"/>
      <w:ind w:left="1152" w:hanging="1152"/>
      <w:outlineLvl w:val="5"/>
    </w:pPr>
    <w:rPr>
      <w:b/>
      <w:bCs/>
      <w:szCs w:val="22"/>
      <w:lang w:val="en-AU"/>
    </w:rPr>
  </w:style>
  <w:style w:type="paragraph" w:styleId="Heading7">
    <w:name w:val="heading 7"/>
    <w:basedOn w:val="Normal"/>
    <w:next w:val="Normal"/>
    <w:link w:val="Heading7Char"/>
    <w:qFormat/>
    <w:pPr>
      <w:tabs>
        <w:tab w:val="clear" w:pos="567"/>
        <w:tab w:val="num" w:pos="1296"/>
      </w:tabs>
      <w:spacing w:before="240" w:after="60" w:line="240" w:lineRule="auto"/>
      <w:ind w:left="1296" w:hanging="1296"/>
      <w:outlineLvl w:val="6"/>
    </w:pPr>
    <w:rPr>
      <w:sz w:val="24"/>
      <w:szCs w:val="24"/>
      <w:lang w:val="en-AU"/>
    </w:rPr>
  </w:style>
  <w:style w:type="paragraph" w:styleId="Heading8">
    <w:name w:val="heading 8"/>
    <w:basedOn w:val="Normal"/>
    <w:next w:val="Normal"/>
    <w:link w:val="Heading8Char"/>
    <w:qFormat/>
    <w:pPr>
      <w:tabs>
        <w:tab w:val="clear" w:pos="567"/>
      </w:tabs>
      <w:spacing w:before="240" w:after="60" w:line="240" w:lineRule="auto"/>
      <w:outlineLvl w:val="7"/>
    </w:pPr>
    <w:rPr>
      <w:i/>
      <w:iCs/>
      <w:sz w:val="24"/>
      <w:szCs w:val="24"/>
      <w:lang w:val="en-US"/>
    </w:rPr>
  </w:style>
  <w:style w:type="paragraph" w:styleId="Heading9">
    <w:name w:val="heading 9"/>
    <w:basedOn w:val="Normal"/>
    <w:next w:val="Normal"/>
    <w:link w:val="Heading9Char"/>
    <w:qFormat/>
    <w:pPr>
      <w:tabs>
        <w:tab w:val="clear" w:pos="567"/>
        <w:tab w:val="num" w:pos="1584"/>
      </w:tabs>
      <w:spacing w:before="240" w:after="60" w:line="240" w:lineRule="auto"/>
      <w:ind w:left="1584" w:hanging="1584"/>
      <w:outlineLvl w:val="8"/>
    </w:pPr>
    <w:rPr>
      <w:rFonts w:ascii="Arial" w:hAnsi="Arial"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qFormat/>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link w:val="CommentText"/>
    <w:uiPriority w:val="99"/>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
    <w:name w:val="Heading 1 Char"/>
    <w:link w:val="Heading1"/>
    <w:rPr>
      <w:rFonts w:eastAsia="Times New Roman"/>
      <w:b/>
      <w:caps/>
      <w:sz w:val="24"/>
      <w:lang w:eastAsia="en-US"/>
    </w:rPr>
  </w:style>
  <w:style w:type="character" w:customStyle="1" w:styleId="Heading2Char">
    <w:name w:val="Heading 2 Char"/>
    <w:link w:val="Heading2"/>
    <w:rPr>
      <w:rFonts w:ascii="Arial" w:eastAsia="Times New Roman" w:hAnsi="Arial" w:cs="Arial"/>
      <w:b/>
      <w:bCs/>
      <w:i/>
      <w:iCs/>
      <w:sz w:val="28"/>
      <w:szCs w:val="28"/>
      <w:lang w:val="en-US" w:eastAsia="en-US"/>
    </w:rPr>
  </w:style>
  <w:style w:type="character" w:customStyle="1" w:styleId="Heading3Char">
    <w:name w:val="Heading 3 Char"/>
    <w:link w:val="Heading3"/>
    <w:rPr>
      <w:rFonts w:eastAsia="Times New Roman"/>
      <w:b/>
      <w:sz w:val="24"/>
      <w:lang w:eastAsia="en-US"/>
    </w:rPr>
  </w:style>
  <w:style w:type="character" w:customStyle="1" w:styleId="Heading4Char">
    <w:name w:val="Heading 4 Char"/>
    <w:link w:val="Heading4"/>
    <w:rPr>
      <w:rFonts w:eastAsia="Times New Roman"/>
      <w:b/>
      <w:sz w:val="24"/>
      <w:lang w:val="ru-RU" w:eastAsia="en-US"/>
    </w:rPr>
  </w:style>
  <w:style w:type="character" w:customStyle="1" w:styleId="Heading5Char">
    <w:name w:val="Heading 5 Char"/>
    <w:link w:val="Heading5"/>
    <w:rPr>
      <w:rFonts w:eastAsia="Times New Roman"/>
      <w:b/>
      <w:sz w:val="24"/>
      <w:lang w:eastAsia="en-US"/>
    </w:rPr>
  </w:style>
  <w:style w:type="character" w:customStyle="1" w:styleId="Heading6Char">
    <w:name w:val="Heading 6 Char"/>
    <w:link w:val="Heading6"/>
    <w:rPr>
      <w:rFonts w:eastAsia="Times New Roman"/>
      <w:b/>
      <w:bCs/>
      <w:sz w:val="22"/>
      <w:szCs w:val="22"/>
      <w:lang w:val="en-AU" w:eastAsia="en-US"/>
    </w:rPr>
  </w:style>
  <w:style w:type="character" w:customStyle="1" w:styleId="Heading7Char">
    <w:name w:val="Heading 7 Char"/>
    <w:link w:val="Heading7"/>
    <w:rPr>
      <w:rFonts w:eastAsia="Times New Roman"/>
      <w:sz w:val="24"/>
      <w:szCs w:val="24"/>
      <w:lang w:val="en-AU" w:eastAsia="en-US"/>
    </w:rPr>
  </w:style>
  <w:style w:type="character" w:customStyle="1" w:styleId="Heading8Char">
    <w:name w:val="Heading 8 Char"/>
    <w:link w:val="Heading8"/>
    <w:rPr>
      <w:rFonts w:eastAsia="Times New Roman"/>
      <w:i/>
      <w:iCs/>
      <w:sz w:val="24"/>
      <w:szCs w:val="24"/>
      <w:lang w:val="en-US" w:eastAsia="en-US"/>
    </w:rPr>
  </w:style>
  <w:style w:type="character" w:customStyle="1" w:styleId="Heading9Char">
    <w:name w:val="Heading 9 Char"/>
    <w:link w:val="Heading9"/>
    <w:rPr>
      <w:rFonts w:ascii="Arial" w:eastAsia="Times New Roman" w:hAnsi="Arial" w:cs="Arial"/>
      <w:sz w:val="22"/>
      <w:szCs w:val="22"/>
      <w:lang w:val="en-AU" w:eastAsia="en-US"/>
    </w:rPr>
  </w:style>
  <w:style w:type="paragraph" w:styleId="Title">
    <w:name w:val="Title"/>
    <w:basedOn w:val="Normal"/>
    <w:link w:val="TitleChar"/>
    <w:uiPriority w:val="99"/>
    <w:qFormat/>
    <w:pPr>
      <w:tabs>
        <w:tab w:val="clear" w:pos="567"/>
      </w:tabs>
      <w:spacing w:line="240" w:lineRule="auto"/>
      <w:jc w:val="center"/>
    </w:pPr>
    <w:rPr>
      <w:b/>
      <w:sz w:val="24"/>
      <w:szCs w:val="24"/>
      <w:lang w:val="en-US"/>
    </w:rPr>
  </w:style>
  <w:style w:type="character" w:customStyle="1" w:styleId="TitleChar">
    <w:name w:val="Title Char"/>
    <w:link w:val="Title"/>
    <w:uiPriority w:val="99"/>
    <w:rPr>
      <w:rFonts w:eastAsia="Times New Roman"/>
      <w:b/>
      <w:sz w:val="24"/>
      <w:szCs w:val="24"/>
      <w:lang w:val="en-US" w:eastAsia="en-US"/>
    </w:rPr>
  </w:style>
  <w:style w:type="paragraph" w:styleId="EndnoteText">
    <w:name w:val="endnote text"/>
    <w:basedOn w:val="Normal"/>
    <w:link w:val="EndnoteTextChar"/>
    <w:pPr>
      <w:tabs>
        <w:tab w:val="clear" w:pos="567"/>
      </w:tabs>
      <w:spacing w:line="240" w:lineRule="auto"/>
    </w:pPr>
    <w:rPr>
      <w:rFonts w:ascii="TmsRmn 12pt" w:hAnsi="TmsRmn 12pt"/>
      <w:sz w:val="24"/>
      <w:szCs w:val="24"/>
      <w:lang w:val="en-US"/>
    </w:rPr>
  </w:style>
  <w:style w:type="character" w:customStyle="1" w:styleId="EndnoteTextChar">
    <w:name w:val="Endnote Text Char"/>
    <w:link w:val="EndnoteText"/>
    <w:rPr>
      <w:rFonts w:ascii="TmsRmn 12pt" w:eastAsia="Times New Roman" w:hAnsi="TmsRmn 12pt"/>
      <w:sz w:val="24"/>
      <w:szCs w:val="24"/>
      <w:lang w:val="en-US" w:eastAsia="en-US"/>
    </w:rPr>
  </w:style>
  <w:style w:type="paragraph" w:styleId="BodyTextIndent2">
    <w:name w:val="Body Text Indent 2"/>
    <w:basedOn w:val="Normal"/>
    <w:link w:val="BodyTextIndent2Char"/>
    <w:pPr>
      <w:tabs>
        <w:tab w:val="clear" w:pos="567"/>
      </w:tabs>
      <w:spacing w:line="240" w:lineRule="auto"/>
      <w:ind w:left="1440"/>
    </w:pPr>
    <w:rPr>
      <w:i/>
      <w:sz w:val="24"/>
      <w:szCs w:val="24"/>
      <w:lang w:val="en-US"/>
    </w:rPr>
  </w:style>
  <w:style w:type="character" w:customStyle="1" w:styleId="BodyTextIndent2Char">
    <w:name w:val="Body Text Indent 2 Char"/>
    <w:link w:val="BodyTextIndent2"/>
    <w:rPr>
      <w:rFonts w:eastAsia="Times New Roman"/>
      <w:i/>
      <w:sz w:val="24"/>
      <w:szCs w:val="24"/>
      <w:lang w:val="en-US"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tabs>
        <w:tab w:val="clear" w:pos="567"/>
      </w:tabs>
      <w:spacing w:line="240" w:lineRule="auto"/>
      <w:jc w:val="both"/>
    </w:pPr>
    <w:rPr>
      <w:b/>
      <w:sz w:val="24"/>
      <w:szCs w:val="24"/>
      <w:lang w:val="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character" w:customStyle="1" w:styleId="BodyTextChar">
    <w:name w:val="Body Text Char"/>
    <w:link w:val="BodyText"/>
    <w:rPr>
      <w:rFonts w:eastAsia="Times New Roman"/>
      <w:i/>
      <w:color w:val="008000"/>
      <w:sz w:val="22"/>
      <w:lang w:eastAsia="en-US"/>
    </w:rPr>
  </w:style>
  <w:style w:type="paragraph" w:styleId="BodyTextIndent3">
    <w:name w:val="Body Text Indent 3"/>
    <w:basedOn w:val="Normal"/>
    <w:link w:val="BodyTextIndent3Char"/>
    <w:pPr>
      <w:tabs>
        <w:tab w:val="clear" w:pos="567"/>
      </w:tabs>
      <w:spacing w:after="120" w:line="240" w:lineRule="auto"/>
      <w:ind w:left="360"/>
    </w:pPr>
    <w:rPr>
      <w:sz w:val="16"/>
      <w:szCs w:val="16"/>
      <w:lang w:val="en-US"/>
    </w:rPr>
  </w:style>
  <w:style w:type="character" w:customStyle="1" w:styleId="BodyTextIndent3Char">
    <w:name w:val="Body Text Indent 3 Char"/>
    <w:link w:val="BodyTextIndent3"/>
    <w:rPr>
      <w:rFonts w:eastAsia="Times New Roman"/>
      <w:sz w:val="16"/>
      <w:szCs w:val="16"/>
      <w:lang w:val="en-US" w:eastAsia="en-US"/>
    </w:rPr>
  </w:style>
  <w:style w:type="paragraph" w:styleId="BodyTextIndent">
    <w:name w:val="Body Text Indent"/>
    <w:basedOn w:val="Normal"/>
    <w:link w:val="BodyTextIndentChar"/>
    <w:pPr>
      <w:tabs>
        <w:tab w:val="clear" w:pos="567"/>
      </w:tabs>
      <w:spacing w:after="120" w:line="240" w:lineRule="auto"/>
      <w:ind w:left="360"/>
    </w:pPr>
    <w:rPr>
      <w:sz w:val="20"/>
      <w:lang w:val="en-US"/>
    </w:rPr>
  </w:style>
  <w:style w:type="character" w:customStyle="1" w:styleId="BodyTextIndentChar">
    <w:name w:val="Body Text Indent Char"/>
    <w:link w:val="BodyTextIndent"/>
    <w:rPr>
      <w:rFonts w:eastAsia="Times New Roman"/>
      <w:lang w:val="en-US" w:eastAsia="en-US"/>
    </w:rPr>
  </w:style>
  <w:style w:type="character" w:styleId="Strong">
    <w:name w:val="Strong"/>
    <w:qFormat/>
    <w:rPr>
      <w:b/>
      <w:bCs w:val="0"/>
    </w:rPr>
  </w:style>
  <w:style w:type="paragraph" w:styleId="BodyText2">
    <w:name w:val="Body Text 2"/>
    <w:basedOn w:val="Normal"/>
    <w:link w:val="BodyText2Char"/>
    <w:pPr>
      <w:tabs>
        <w:tab w:val="clear" w:pos="567"/>
      </w:tabs>
      <w:spacing w:after="120" w:line="480" w:lineRule="auto"/>
    </w:pPr>
    <w:rPr>
      <w:sz w:val="20"/>
      <w:lang w:val="en-US"/>
    </w:rPr>
  </w:style>
  <w:style w:type="character" w:customStyle="1" w:styleId="BodyText2Char">
    <w:name w:val="Body Text 2 Char"/>
    <w:link w:val="BodyText2"/>
    <w:rPr>
      <w:rFonts w:eastAsia="Times New Roman"/>
      <w:lang w:val="en-US" w:eastAsia="en-US"/>
    </w:rPr>
  </w:style>
  <w:style w:type="paragraph" w:styleId="NormalWeb">
    <w:name w:val="Normal (Web)"/>
    <w:basedOn w:val="Normal"/>
    <w:uiPriority w:val="99"/>
    <w:pPr>
      <w:tabs>
        <w:tab w:val="clear" w:pos="567"/>
      </w:tabs>
      <w:spacing w:before="100" w:beforeAutospacing="1" w:after="100" w:afterAutospacing="1" w:line="240" w:lineRule="auto"/>
    </w:pPr>
    <w:rPr>
      <w:szCs w:val="22"/>
      <w:lang w:val="en-US"/>
    </w:rPr>
  </w:style>
  <w:style w:type="paragraph" w:styleId="NoSpacing">
    <w:name w:val="No Spacing"/>
    <w:uiPriority w:val="1"/>
    <w:qFormat/>
    <w:rPr>
      <w:rFonts w:ascii="Arial" w:eastAsia="Times New Roman" w:hAnsi="Arial"/>
      <w:sz w:val="22"/>
      <w:szCs w:val="22"/>
    </w:rPr>
  </w:style>
  <w:style w:type="character" w:styleId="Emphasis">
    <w:name w:val="Emphasis"/>
    <w:qFormat/>
    <w:rPr>
      <w:b/>
      <w:bCs/>
      <w:i w:val="0"/>
      <w:iCs w:val="0"/>
    </w:rPr>
  </w:style>
  <w:style w:type="paragraph" w:customStyle="1" w:styleId="Default">
    <w:name w:val="Default"/>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pPr>
      <w:tabs>
        <w:tab w:val="clear" w:pos="567"/>
      </w:tabs>
      <w:spacing w:line="240" w:lineRule="auto"/>
    </w:pPr>
    <w:rPr>
      <w:rFonts w:ascii="Arial" w:eastAsia="Univers Condensed" w:hAnsi="Arial"/>
      <w:sz w:val="24"/>
    </w:rPr>
  </w:style>
  <w:style w:type="paragraph" w:styleId="ListNumber">
    <w:name w:val="List Number"/>
    <w:basedOn w:val="Normal"/>
    <w:pPr>
      <w:tabs>
        <w:tab w:val="clear" w:pos="567"/>
        <w:tab w:val="num" w:pos="360"/>
      </w:tabs>
      <w:spacing w:line="240" w:lineRule="auto"/>
      <w:ind w:left="360" w:hanging="360"/>
    </w:pPr>
    <w:rPr>
      <w:rFonts w:ascii="Arial" w:hAnsi="Arial"/>
      <w:sz w:val="24"/>
      <w:lang w:val="en-AU"/>
    </w:rPr>
  </w:style>
  <w:style w:type="paragraph" w:styleId="Subtitle">
    <w:name w:val="Subtitle"/>
    <w:basedOn w:val="Normal"/>
    <w:link w:val="SubtitleChar"/>
    <w:qFormat/>
    <w:pPr>
      <w:tabs>
        <w:tab w:val="clear" w:pos="567"/>
      </w:tabs>
      <w:spacing w:line="240" w:lineRule="auto"/>
      <w:jc w:val="center"/>
    </w:pPr>
    <w:rPr>
      <w:b/>
      <w:bCs/>
      <w:sz w:val="24"/>
      <w:szCs w:val="24"/>
      <w:lang w:val="hr-HR"/>
    </w:rPr>
  </w:style>
  <w:style w:type="character" w:customStyle="1" w:styleId="SubtitleChar">
    <w:name w:val="Subtitle Char"/>
    <w:link w:val="Subtitle"/>
    <w:rPr>
      <w:rFonts w:eastAsia="Times New Roman"/>
      <w:b/>
      <w:bCs/>
      <w:sz w:val="24"/>
      <w:szCs w:val="24"/>
      <w:lang w:val="hr-HR" w:eastAsia="en-US"/>
    </w:rPr>
  </w:style>
  <w:style w:type="paragraph" w:styleId="ListParagraph">
    <w:name w:val="List Paragraph"/>
    <w:basedOn w:val="Normal"/>
    <w:uiPriority w:val="34"/>
    <w:qFormat/>
    <w:pPr>
      <w:tabs>
        <w:tab w:val="clear" w:pos="567"/>
        <w:tab w:val="left" w:pos="284"/>
      </w:tabs>
      <w:spacing w:line="240" w:lineRule="auto"/>
      <w:ind w:left="720"/>
      <w:jc w:val="both"/>
    </w:pPr>
    <w:rPr>
      <w:rFonts w:ascii="Humanist777" w:hAnsi="Humanist777"/>
      <w:sz w:val="24"/>
      <w:szCs w:val="24"/>
      <w:lang w:val="en-US"/>
    </w:rPr>
  </w:style>
  <w:style w:type="character" w:customStyle="1" w:styleId="BalloonTextChar">
    <w:name w:val="Balloon Text Char"/>
    <w:link w:val="BalloonText"/>
    <w:rPr>
      <w:rFonts w:ascii="Tahoma" w:eastAsia="Times New Roman" w:hAnsi="Tahoma" w:cs="Tahoma"/>
      <w:sz w:val="16"/>
      <w:szCs w:val="16"/>
      <w:lang w:eastAsia="en-US"/>
    </w:rPr>
  </w:style>
  <w:style w:type="character" w:customStyle="1" w:styleId="CharChar4">
    <w:name w:val="Char Char4"/>
    <w:rPr>
      <w:rFonts w:ascii="Humanist777" w:hAnsi="Humanist777"/>
      <w:sz w:val="24"/>
      <w:szCs w:val="24"/>
    </w:rPr>
  </w:style>
  <w:style w:type="paragraph" w:customStyle="1" w:styleId="lstpara1">
    <w:name w:val="lst_para1"/>
    <w:basedOn w:val="Normal"/>
    <w:pPr>
      <w:tabs>
        <w:tab w:val="clear" w:pos="567"/>
      </w:tabs>
      <w:spacing w:after="240" w:line="312" w:lineRule="atLeast"/>
      <w:ind w:left="360"/>
    </w:pPr>
    <w:rPr>
      <w:rFonts w:ascii="Times" w:hAnsi="Times"/>
      <w:sz w:val="24"/>
      <w:lang w:eastAsia="en-GB"/>
    </w:rPr>
  </w:style>
  <w:style w:type="paragraph" w:styleId="PlainText">
    <w:name w:val="Plain Text"/>
    <w:basedOn w:val="Normal"/>
    <w:link w:val="PlainTextChar"/>
    <w:unhideWhenUsed/>
    <w:pPr>
      <w:tabs>
        <w:tab w:val="clear" w:pos="567"/>
      </w:tabs>
      <w:spacing w:line="240" w:lineRule="auto"/>
    </w:pPr>
    <w:rPr>
      <w:rFonts w:ascii="Consolas" w:eastAsia="Calibri" w:hAnsi="Consolas"/>
      <w:sz w:val="21"/>
      <w:szCs w:val="21"/>
      <w:lang w:val="en-US"/>
    </w:rPr>
  </w:style>
  <w:style w:type="character" w:customStyle="1" w:styleId="PlainTextChar">
    <w:name w:val="Plain Text Char"/>
    <w:link w:val="PlainText"/>
    <w:rPr>
      <w:rFonts w:ascii="Consolas" w:eastAsia="Calibri" w:hAnsi="Consolas"/>
      <w:sz w:val="21"/>
      <w:szCs w:val="21"/>
      <w:lang w:val="en-US" w:eastAsia="en-US"/>
    </w:rPr>
  </w:style>
  <w:style w:type="paragraph" w:customStyle="1" w:styleId="Para0s">
    <w:name w:val="Para:0:s"/>
    <w:basedOn w:val="Normal"/>
    <w:pPr>
      <w:tabs>
        <w:tab w:val="clear" w:pos="567"/>
      </w:tabs>
      <w:spacing w:after="220" w:line="240" w:lineRule="auto"/>
    </w:pPr>
    <w:rPr>
      <w:sz w:val="24"/>
      <w:lang w:val="en-US" w:eastAsia="de-DE"/>
    </w:rPr>
  </w:style>
  <w:style w:type="paragraph" w:customStyle="1" w:styleId="ParaKT0sb">
    <w:name w:val="ParaKT:0:sb"/>
    <w:basedOn w:val="Normal"/>
    <w:next w:val="Para0s"/>
    <w:pPr>
      <w:keepNext/>
      <w:keepLines/>
      <w:tabs>
        <w:tab w:val="clear" w:pos="567"/>
      </w:tabs>
      <w:spacing w:after="220" w:line="240" w:lineRule="auto"/>
    </w:pPr>
    <w:rPr>
      <w:b/>
      <w:sz w:val="24"/>
      <w:lang w:val="en-US" w:eastAsia="de-DE"/>
    </w:rPr>
  </w:style>
  <w:style w:type="paragraph" w:styleId="BodyText3">
    <w:name w:val="Body Text 3"/>
    <w:basedOn w:val="Normal"/>
    <w:link w:val="BodyText3Char"/>
    <w:pPr>
      <w:tabs>
        <w:tab w:val="clear" w:pos="567"/>
        <w:tab w:val="left" w:pos="284"/>
      </w:tabs>
      <w:spacing w:after="120" w:line="240" w:lineRule="auto"/>
      <w:jc w:val="both"/>
    </w:pPr>
    <w:rPr>
      <w:rFonts w:ascii="Humanist777" w:hAnsi="Humanist777"/>
      <w:sz w:val="16"/>
      <w:szCs w:val="16"/>
      <w:lang w:val="en-US"/>
    </w:rPr>
  </w:style>
  <w:style w:type="character" w:customStyle="1" w:styleId="BodyText3Char">
    <w:name w:val="Body Text 3 Char"/>
    <w:link w:val="BodyText3"/>
    <w:rPr>
      <w:rFonts w:ascii="Humanist777" w:eastAsia="Times New Roman" w:hAnsi="Humanist777"/>
      <w:sz w:val="16"/>
      <w:szCs w:val="16"/>
      <w:lang w:val="en-US" w:eastAsia="en-US"/>
    </w:rPr>
  </w:style>
  <w:style w:type="paragraph" w:customStyle="1" w:styleId="FR1">
    <w:name w:val="FR1"/>
    <w:pPr>
      <w:widowControl w:val="0"/>
      <w:autoSpaceDE w:val="0"/>
      <w:autoSpaceDN w:val="0"/>
      <w:adjustRightInd w:val="0"/>
      <w:spacing w:line="320" w:lineRule="auto"/>
      <w:jc w:val="both"/>
    </w:pPr>
    <w:rPr>
      <w:rFonts w:eastAsia="Times New Roman"/>
      <w:sz w:val="24"/>
      <w:szCs w:val="24"/>
    </w:rPr>
  </w:style>
  <w:style w:type="character" w:customStyle="1" w:styleId="st1">
    <w:name w:val="st1"/>
  </w:style>
  <w:style w:type="character" w:customStyle="1" w:styleId="CharCharChar">
    <w:name w:val="Char Char Char"/>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Pr>
      <w:rFonts w:ascii="Humanist777" w:hAnsi="Humanist777"/>
      <w:sz w:val="24"/>
      <w:szCs w:val="24"/>
      <w:lang w:val="en-US" w:eastAsia="en-US" w:bidi="ar-SA"/>
    </w:rPr>
  </w:style>
  <w:style w:type="character" w:customStyle="1" w:styleId="CharCharChar1">
    <w:name w:val="Char Char Char1"/>
    <w:rPr>
      <w:rFonts w:ascii="Humanist777" w:hAnsi="Humanist777"/>
      <w:sz w:val="24"/>
      <w:szCs w:val="24"/>
      <w:lang w:val="en-US" w:eastAsia="en-US" w:bidi="ar-SA"/>
    </w:rPr>
  </w:style>
  <w:style w:type="paragraph" w:customStyle="1" w:styleId="Style">
    <w:name w:val="Style"/>
    <w:pPr>
      <w:widowControl w:val="0"/>
      <w:autoSpaceDE w:val="0"/>
      <w:autoSpaceDN w:val="0"/>
      <w:adjustRightInd w:val="0"/>
    </w:pPr>
    <w:rPr>
      <w:rFonts w:eastAsia="Times New Roman"/>
      <w:sz w:val="24"/>
      <w:szCs w:val="24"/>
    </w:rPr>
  </w:style>
  <w:style w:type="paragraph" w:customStyle="1" w:styleId="Bullet0dKT">
    <w:name w:val="Bullet:0:d:KT"/>
    <w:basedOn w:val="Normal"/>
    <w:pPr>
      <w:keepNext/>
      <w:keepLines/>
      <w:numPr>
        <w:numId w:val="1"/>
      </w:numPr>
      <w:tabs>
        <w:tab w:val="clear" w:pos="567"/>
      </w:tabs>
      <w:spacing w:before="40" w:after="220" w:line="240" w:lineRule="auto"/>
      <w:ind w:left="357" w:hanging="357"/>
    </w:pPr>
    <w:rPr>
      <w:rFonts w:ascii="Helvetica" w:hAnsi="Helvetica"/>
      <w:lang w:val="en-US" w:eastAsia="de-DE"/>
    </w:rPr>
  </w:style>
  <w:style w:type="paragraph" w:customStyle="1" w:styleId="Text">
    <w:name w:val="Text"/>
    <w:aliases w:val="Graphic"/>
    <w:basedOn w:val="Normal"/>
    <w:link w:val="TextChar"/>
    <w:pPr>
      <w:tabs>
        <w:tab w:val="clear" w:pos="567"/>
      </w:tabs>
      <w:spacing w:before="14" w:after="144" w:line="300" w:lineRule="atLeast"/>
      <w:ind w:left="720" w:right="360" w:hanging="720"/>
    </w:pPr>
    <w:rPr>
      <w:color w:val="000000"/>
      <w:sz w:val="24"/>
    </w:rPr>
  </w:style>
  <w:style w:type="character" w:customStyle="1" w:styleId="apple-converted-space">
    <w:name w:val="apple-converted-space"/>
  </w:style>
  <w:style w:type="character" w:customStyle="1" w:styleId="ft17">
    <w:name w:val="ft17"/>
  </w:style>
  <w:style w:type="paragraph" w:customStyle="1" w:styleId="p69">
    <w:name w:val="p69"/>
    <w:basedOn w:val="Normal"/>
    <w:pPr>
      <w:tabs>
        <w:tab w:val="clear" w:pos="567"/>
      </w:tabs>
      <w:spacing w:before="100" w:beforeAutospacing="1" w:after="100" w:afterAutospacing="1" w:line="240" w:lineRule="auto"/>
    </w:pPr>
    <w:rPr>
      <w:sz w:val="24"/>
      <w:szCs w:val="24"/>
      <w:lang w:val="en-US"/>
    </w:rPr>
  </w:style>
  <w:style w:type="paragraph" w:customStyle="1" w:styleId="p35">
    <w:name w:val="p35"/>
    <w:basedOn w:val="Normal"/>
    <w:pPr>
      <w:tabs>
        <w:tab w:val="clear" w:pos="567"/>
      </w:tabs>
      <w:spacing w:before="100" w:beforeAutospacing="1" w:after="100" w:afterAutospacing="1" w:line="240" w:lineRule="auto"/>
    </w:pPr>
    <w:rPr>
      <w:sz w:val="24"/>
      <w:szCs w:val="24"/>
      <w:lang w:val="en-US"/>
    </w:rPr>
  </w:style>
  <w:style w:type="character" w:customStyle="1" w:styleId="ft22">
    <w:name w:val="ft22"/>
  </w:style>
  <w:style w:type="numbering" w:customStyle="1" w:styleId="NoList1">
    <w:name w:val="No List1"/>
    <w:next w:val="NoList"/>
    <w:semiHidden/>
    <w:unhideWhenUsed/>
  </w:style>
  <w:style w:type="character" w:styleId="FollowedHyperlink">
    <w:name w:val="FollowedHyperlink"/>
    <w:rPr>
      <w:color w:val="800080"/>
      <w:u w:val="single"/>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tabs>
        <w:tab w:val="clear" w:pos="567"/>
      </w:tabs>
      <w:spacing w:before="0" w:after="0"/>
      <w:jc w:val="left"/>
    </w:pPr>
    <w:rPr>
      <w:caps w:val="0"/>
      <w:sz w:val="22"/>
      <w:u w:val="single"/>
      <w:lang w:val="sl-SI" w:eastAsia="sl-SI"/>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table" w:customStyle="1" w:styleId="TableGrid1">
    <w:name w:val="Table Grid1"/>
    <w:basedOn w:val="TableNormal"/>
    <w:next w:val="TableGri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1"/>
    <w:pPr>
      <w:tabs>
        <w:tab w:val="clear" w:pos="567"/>
      </w:tabs>
      <w:spacing w:after="170" w:line="280" w:lineRule="atLeast"/>
      <w:jc w:val="both"/>
    </w:pPr>
    <w:rPr>
      <w:sz w:val="24"/>
      <w:szCs w:val="24"/>
      <w:lang w:val="en-US" w:eastAsia="de-DE"/>
    </w:rPr>
  </w:style>
  <w:style w:type="character" w:customStyle="1" w:styleId="TextTi12Char1">
    <w:name w:val="Text:Ti12 Char1"/>
    <w:link w:val="TextTi12"/>
    <w:rPr>
      <w:rFonts w:eastAsia="Times New Roman"/>
      <w:sz w:val="24"/>
      <w:szCs w:val="24"/>
      <w:lang w:val="en-US" w:eastAsia="de-DE"/>
    </w:rPr>
  </w:style>
  <w:style w:type="paragraph" w:customStyle="1" w:styleId="TableLeftAlign">
    <w:name w:val="TableLeftAlign"/>
    <w:basedOn w:val="Normal"/>
    <w:pPr>
      <w:tabs>
        <w:tab w:val="clear" w:pos="567"/>
      </w:tabs>
      <w:suppressAutoHyphens/>
      <w:spacing w:before="60" w:after="60" w:line="240" w:lineRule="exact"/>
    </w:pPr>
    <w:rPr>
      <w:rFonts w:ascii="Arial" w:hAnsi="Arial" w:cs="Arial"/>
      <w:snapToGrid w:val="0"/>
      <w:sz w:val="20"/>
      <w:lang w:eastAsia="hr-HR"/>
    </w:rPr>
  </w:style>
  <w:style w:type="paragraph" w:customStyle="1" w:styleId="TableLeftBold">
    <w:name w:val="TableLeftBold"/>
    <w:basedOn w:val="Normal"/>
    <w:pPr>
      <w:tabs>
        <w:tab w:val="clear" w:pos="567"/>
      </w:tabs>
      <w:suppressAutoHyphens/>
      <w:spacing w:before="60" w:after="60" w:line="240" w:lineRule="exact"/>
    </w:pPr>
    <w:rPr>
      <w:rFonts w:ascii="Arial" w:hAnsi="Arial" w:cs="Arial"/>
      <w:b/>
      <w:bCs/>
      <w:snapToGrid w:val="0"/>
      <w:sz w:val="20"/>
      <w:lang w:eastAsia="hr-HR"/>
    </w:rPr>
  </w:style>
  <w:style w:type="paragraph" w:customStyle="1" w:styleId="TableParagraph">
    <w:name w:val="Table Paragraph"/>
    <w:basedOn w:val="Normal"/>
    <w:uiPriority w:val="1"/>
    <w:qFormat/>
    <w:pPr>
      <w:widowControl w:val="0"/>
      <w:tabs>
        <w:tab w:val="clear" w:pos="567"/>
      </w:tabs>
      <w:spacing w:line="240" w:lineRule="auto"/>
    </w:pPr>
    <w:rPr>
      <w:rFonts w:ascii="Calibri" w:eastAsia="Calibri" w:hAnsi="Calibri"/>
      <w:szCs w:val="22"/>
      <w:lang w:val="en-US"/>
    </w:rPr>
  </w:style>
  <w:style w:type="character" w:styleId="PlaceholderText">
    <w:name w:val="Placeholder Text"/>
    <w:uiPriority w:val="99"/>
    <w:semiHidden/>
    <w:rPr>
      <w:color w:val="808080"/>
    </w:rPr>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numbering" w:customStyle="1" w:styleId="NoList7">
    <w:name w:val="No List7"/>
    <w:next w:val="NoList"/>
    <w:uiPriority w:val="99"/>
    <w:semiHidden/>
    <w:unhideWhenUsed/>
  </w:style>
  <w:style w:type="table" w:customStyle="1" w:styleId="TableGrid2">
    <w:name w:val="Table Grid2"/>
    <w:basedOn w:val="TableNormal"/>
    <w:next w:val="TableGrid"/>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semiHidden/>
  </w:style>
  <w:style w:type="paragraph" w:customStyle="1" w:styleId="CTRFootNote">
    <w:name w:val="CTR:FootNote"/>
    <w:basedOn w:val="Normal"/>
    <w:pPr>
      <w:tabs>
        <w:tab w:val="clear" w:pos="567"/>
      </w:tabs>
      <w:spacing w:line="240" w:lineRule="atLeast"/>
      <w:ind w:left="432" w:hanging="432"/>
    </w:pPr>
    <w:rPr>
      <w:sz w:val="18"/>
      <w:lang w:val="en-US"/>
    </w:rPr>
  </w:style>
  <w:style w:type="paragraph" w:customStyle="1" w:styleId="CS-TextinTable10pt">
    <w:name w:val="CS-Text_in_Table:10pt"/>
    <w:basedOn w:val="Normal"/>
    <w:uiPriority w:val="99"/>
    <w:pPr>
      <w:keepNext/>
      <w:keepLines/>
      <w:tabs>
        <w:tab w:val="clear" w:pos="567"/>
        <w:tab w:val="left" w:pos="144"/>
      </w:tabs>
      <w:spacing w:before="120" w:after="120" w:line="240" w:lineRule="auto"/>
    </w:pPr>
    <w:rPr>
      <w:sz w:val="20"/>
      <w:lang w:eastAsia="de-DE"/>
    </w:rPr>
  </w:style>
  <w:style w:type="character" w:customStyle="1" w:styleId="hps">
    <w:name w:val="hps"/>
  </w:style>
  <w:style w:type="character" w:customStyle="1" w:styleId="atn">
    <w:name w:val="atn"/>
  </w:style>
  <w:style w:type="paragraph" w:styleId="FootnoteText">
    <w:name w:val="footnote text"/>
    <w:basedOn w:val="Normal"/>
    <w:link w:val="FootnoteTextChar"/>
    <w:pPr>
      <w:tabs>
        <w:tab w:val="clear" w:pos="567"/>
      </w:tabs>
      <w:spacing w:line="240" w:lineRule="auto"/>
    </w:pPr>
    <w:rPr>
      <w:sz w:val="20"/>
      <w:lang w:val="de-DE" w:eastAsia="de-DE"/>
    </w:rPr>
  </w:style>
  <w:style w:type="character" w:customStyle="1" w:styleId="FootnoteTextChar">
    <w:name w:val="Footnote Text Char"/>
    <w:link w:val="FootnoteText"/>
    <w:rPr>
      <w:rFonts w:eastAsia="Times New Roman"/>
      <w:lang w:val="de-DE" w:eastAsia="de-DE"/>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8Num4z0">
    <w:name w:val="WW8Num4z0"/>
    <w:rPr>
      <w:rFonts w:ascii="Times New Roman" w:eastAsia="Batang"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10z0">
    <w:name w:val="WW8Num10z0"/>
    <w:rPr>
      <w:rFonts w:ascii="Times New Roman" w:eastAsia="Batang"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Times New Roman" w:eastAsia="Batang"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4z0">
    <w:name w:val="WW8Num24z0"/>
    <w:rPr>
      <w:rFonts w:ascii="Times New Roman" w:eastAsia="Batang"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St7z0">
    <w:name w:val="WW8NumSt7z0"/>
    <w:rPr>
      <w:rFonts w:ascii="Symbol" w:hAnsi="Symbol"/>
    </w:rPr>
  </w:style>
  <w:style w:type="character" w:customStyle="1" w:styleId="WW-DefaultParagraphFont11111">
    <w:name w:val="WW-Default Paragraph Font11111"/>
  </w:style>
  <w:style w:type="character" w:customStyle="1" w:styleId="CharChar">
    <w:name w:val="Char Char"/>
    <w:rPr>
      <w:rFonts w:ascii="Tahoma" w:hAnsi="Tahoma" w:cs="Tahoma"/>
      <w:sz w:val="16"/>
      <w:szCs w:val="16"/>
    </w:rPr>
  </w:style>
  <w:style w:type="paragraph" w:customStyle="1" w:styleId="Heading">
    <w:name w:val="Heading"/>
    <w:basedOn w:val="Normal"/>
    <w:next w:val="BodyText"/>
    <w:pPr>
      <w:keepNext/>
      <w:tabs>
        <w:tab w:val="clear" w:pos="567"/>
        <w:tab w:val="left" w:pos="284"/>
      </w:tabs>
      <w:suppressAutoHyphens/>
      <w:spacing w:before="240" w:after="120" w:line="240" w:lineRule="auto"/>
      <w:jc w:val="both"/>
    </w:pPr>
    <w:rPr>
      <w:rFonts w:ascii="Arial" w:eastAsia="MS Mincho" w:hAnsi="Arial" w:cs="Tahoma"/>
      <w:sz w:val="28"/>
      <w:szCs w:val="28"/>
      <w:lang w:val="en-US" w:eastAsia="ar-SA"/>
    </w:rPr>
  </w:style>
  <w:style w:type="paragraph" w:styleId="List">
    <w:name w:val="List"/>
    <w:basedOn w:val="BodyText"/>
    <w:pPr>
      <w:tabs>
        <w:tab w:val="left" w:pos="284"/>
      </w:tabs>
      <w:suppressAutoHyphens/>
    </w:pPr>
    <w:rPr>
      <w:rFonts w:cs="Tahoma"/>
      <w:color w:val="auto"/>
      <w:lang w:eastAsia="ar-SA"/>
    </w:rPr>
  </w:style>
  <w:style w:type="paragraph" w:customStyle="1" w:styleId="Index">
    <w:name w:val="Index"/>
    <w:basedOn w:val="Normal"/>
    <w:pPr>
      <w:suppressLineNumbers/>
      <w:tabs>
        <w:tab w:val="clear" w:pos="567"/>
        <w:tab w:val="left" w:pos="284"/>
      </w:tabs>
      <w:suppressAutoHyphens/>
      <w:spacing w:line="240" w:lineRule="auto"/>
      <w:jc w:val="both"/>
    </w:pPr>
    <w:rPr>
      <w:rFonts w:ascii="Humanist777" w:hAnsi="Humanist777" w:cs="Tahoma"/>
      <w:sz w:val="24"/>
      <w:szCs w:val="24"/>
      <w:lang w:val="en-US" w:eastAsia="ar-SA"/>
    </w:rPr>
  </w:style>
  <w:style w:type="paragraph" w:customStyle="1" w:styleId="Smalltext90">
    <w:name w:val="Smalltext9:0"/>
    <w:basedOn w:val="Normal"/>
    <w:pPr>
      <w:tabs>
        <w:tab w:val="clear" w:pos="567"/>
        <w:tab w:val="left" w:pos="284"/>
      </w:tabs>
      <w:suppressAutoHyphens/>
      <w:spacing w:line="240" w:lineRule="auto"/>
    </w:pPr>
    <w:rPr>
      <w:sz w:val="18"/>
      <w:lang w:val="en-US" w:eastAsia="ar-SA"/>
    </w:rPr>
  </w:style>
  <w:style w:type="paragraph" w:customStyle="1" w:styleId="1Style">
    <w:name w:val="#1 Style"/>
    <w:pPr>
      <w:suppressAutoHyphens/>
      <w:spacing w:after="220"/>
    </w:pPr>
    <w:rPr>
      <w:rFonts w:eastAsia="Arial"/>
      <w:sz w:val="24"/>
      <w:lang w:eastAsia="ar-SA"/>
    </w:rPr>
  </w:style>
  <w:style w:type="paragraph" w:styleId="ListNumber4">
    <w:name w:val="List Number 4"/>
    <w:basedOn w:val="Normal"/>
    <w:pPr>
      <w:tabs>
        <w:tab w:val="clear" w:pos="567"/>
        <w:tab w:val="left" w:pos="284"/>
        <w:tab w:val="left" w:pos="1209"/>
      </w:tabs>
      <w:suppressAutoHyphens/>
      <w:spacing w:line="240" w:lineRule="auto"/>
      <w:ind w:left="1209" w:hanging="360"/>
    </w:pPr>
    <w:rPr>
      <w:lang w:eastAsia="ar-SA"/>
    </w:rPr>
  </w:style>
  <w:style w:type="paragraph" w:customStyle="1" w:styleId="titolo">
    <w:name w:val="titolo"/>
    <w:basedOn w:val="Normal"/>
    <w:pPr>
      <w:tabs>
        <w:tab w:val="clear" w:pos="567"/>
        <w:tab w:val="left" w:pos="284"/>
        <w:tab w:val="left" w:pos="851"/>
      </w:tabs>
      <w:suppressAutoHyphens/>
      <w:spacing w:line="240" w:lineRule="auto"/>
      <w:ind w:left="357"/>
      <w:jc w:val="center"/>
    </w:pPr>
    <w:rPr>
      <w:rFonts w:ascii="New York" w:hAnsi="New York"/>
      <w:b/>
      <w:lang w:eastAsia="ar-SA"/>
    </w:rPr>
  </w:style>
  <w:style w:type="paragraph" w:styleId="TOC6">
    <w:name w:val="toc 6"/>
    <w:basedOn w:val="Normal"/>
    <w:next w:val="Normal"/>
    <w:pPr>
      <w:tabs>
        <w:tab w:val="clear" w:pos="567"/>
        <w:tab w:val="left" w:pos="284"/>
      </w:tabs>
      <w:suppressAutoHyphens/>
      <w:spacing w:before="120" w:line="240" w:lineRule="auto"/>
    </w:pPr>
    <w:rPr>
      <w:lang w:eastAsia="ar-SA"/>
    </w:rPr>
  </w:style>
  <w:style w:type="paragraph" w:customStyle="1" w:styleId="listssp">
    <w:name w:val="list:ssp"/>
    <w:basedOn w:val="Normal"/>
    <w:pPr>
      <w:tabs>
        <w:tab w:val="clear" w:pos="567"/>
        <w:tab w:val="left" w:pos="284"/>
      </w:tabs>
      <w:suppressAutoHyphens/>
      <w:spacing w:line="240" w:lineRule="auto"/>
    </w:pPr>
    <w:rPr>
      <w:sz w:val="24"/>
      <w:lang w:eastAsia="ar-SA"/>
    </w:rPr>
  </w:style>
  <w:style w:type="paragraph" w:customStyle="1" w:styleId="BodyText21">
    <w:name w:val="Body Text 21"/>
    <w:basedOn w:val="Normal"/>
    <w:pPr>
      <w:tabs>
        <w:tab w:val="clear" w:pos="567"/>
        <w:tab w:val="left" w:pos="284"/>
        <w:tab w:val="left" w:pos="7920"/>
      </w:tabs>
      <w:suppressAutoHyphens/>
      <w:spacing w:line="240" w:lineRule="auto"/>
      <w:ind w:right="-141"/>
    </w:pPr>
    <w:rPr>
      <w:sz w:val="24"/>
      <w:lang w:val="de-DE" w:eastAsia="ar-SA"/>
    </w:rPr>
  </w:style>
  <w:style w:type="paragraph" w:customStyle="1" w:styleId="Smalltext120">
    <w:name w:val="Smalltext12:0"/>
    <w:basedOn w:val="Normal"/>
    <w:pPr>
      <w:tabs>
        <w:tab w:val="clear" w:pos="567"/>
        <w:tab w:val="left" w:pos="284"/>
      </w:tabs>
      <w:suppressAutoHyphens/>
      <w:spacing w:line="240" w:lineRule="auto"/>
    </w:pPr>
    <w:rPr>
      <w:sz w:val="24"/>
      <w:lang w:val="en-US" w:eastAsia="ar-SA"/>
    </w:rPr>
  </w:style>
  <w:style w:type="paragraph" w:customStyle="1" w:styleId="TableContents">
    <w:name w:val="Table Contents"/>
    <w:basedOn w:val="Normal"/>
    <w:pPr>
      <w:suppressLineNumbers/>
      <w:tabs>
        <w:tab w:val="clear" w:pos="567"/>
        <w:tab w:val="left" w:pos="284"/>
      </w:tabs>
      <w:suppressAutoHyphens/>
      <w:spacing w:line="240" w:lineRule="auto"/>
      <w:jc w:val="both"/>
    </w:pPr>
    <w:rPr>
      <w:rFonts w:ascii="Humanist777" w:hAnsi="Humanist777"/>
      <w:sz w:val="24"/>
      <w:szCs w:val="24"/>
      <w:lang w:val="en-US"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BodyText"/>
    <w:pPr>
      <w:tabs>
        <w:tab w:val="left" w:pos="284"/>
      </w:tabs>
      <w:suppressAutoHyphens/>
    </w:pPr>
    <w:rPr>
      <w:color w:val="auto"/>
      <w:lang w:eastAsia="ar-SA"/>
    </w:rPr>
  </w:style>
  <w:style w:type="paragraph" w:customStyle="1" w:styleId="CM14">
    <w:name w:val="CM14"/>
    <w:basedOn w:val="Normal"/>
    <w:next w:val="Normal"/>
    <w:pPr>
      <w:widowControl w:val="0"/>
      <w:tabs>
        <w:tab w:val="clear" w:pos="567"/>
      </w:tabs>
      <w:autoSpaceDE w:val="0"/>
      <w:autoSpaceDN w:val="0"/>
      <w:adjustRightInd w:val="0"/>
      <w:spacing w:after="100" w:line="240" w:lineRule="auto"/>
    </w:pPr>
    <w:rPr>
      <w:rFonts w:ascii="JOBOG I+ BI Logo" w:hAnsi="JOBOG I+ BI Logo" w:cs="Mangal"/>
      <w:sz w:val="24"/>
      <w:szCs w:val="24"/>
      <w:lang w:val="en-US" w:bidi="ne-NP"/>
    </w:rPr>
  </w:style>
  <w:style w:type="paragraph" w:customStyle="1" w:styleId="CM16">
    <w:name w:val="CM16"/>
    <w:basedOn w:val="Default"/>
    <w:next w:val="Default"/>
    <w:pPr>
      <w:widowControl w:val="0"/>
      <w:spacing w:after="250"/>
    </w:pPr>
    <w:rPr>
      <w:rFonts w:ascii="JOBOG I+ BI Logo" w:eastAsia="Times New Roman" w:hAnsi="JOBOG I+ BI Logo" w:cs="Mangal"/>
      <w:color w:val="auto"/>
      <w:lang w:val="en-US" w:eastAsia="en-US" w:bidi="ne-NP"/>
    </w:rPr>
  </w:style>
  <w:style w:type="paragraph" w:customStyle="1" w:styleId="CM1">
    <w:name w:val="CM1"/>
    <w:basedOn w:val="Default"/>
    <w:next w:val="Default"/>
    <w:pPr>
      <w:widowControl w:val="0"/>
      <w:spacing w:line="253" w:lineRule="atLeast"/>
    </w:pPr>
    <w:rPr>
      <w:rFonts w:ascii="JOBOG I+ BI Logo" w:eastAsia="Times New Roman" w:hAnsi="JOBOG I+ BI Logo" w:cs="Mangal"/>
      <w:color w:val="auto"/>
      <w:lang w:val="en-US" w:eastAsia="en-US" w:bidi="ne-NP"/>
    </w:rPr>
  </w:style>
  <w:style w:type="paragraph" w:customStyle="1" w:styleId="CM6">
    <w:name w:val="CM6"/>
    <w:basedOn w:val="Default"/>
    <w:next w:val="Default"/>
    <w:pPr>
      <w:widowControl w:val="0"/>
      <w:spacing w:line="253" w:lineRule="atLeast"/>
    </w:pPr>
    <w:rPr>
      <w:rFonts w:ascii="JOBOG I+ BI Logo" w:eastAsia="Times New Roman" w:hAnsi="JOBOG I+ BI Logo" w:cs="Mangal"/>
      <w:color w:val="auto"/>
      <w:lang w:val="en-US" w:eastAsia="en-US" w:bidi="ne-NP"/>
    </w:rPr>
  </w:style>
  <w:style w:type="paragraph" w:customStyle="1" w:styleId="CM17">
    <w:name w:val="CM17"/>
    <w:basedOn w:val="Default"/>
    <w:next w:val="Default"/>
    <w:pPr>
      <w:widowControl w:val="0"/>
      <w:spacing w:after="595"/>
    </w:pPr>
    <w:rPr>
      <w:rFonts w:ascii="JOBOG I+ BI Logo" w:eastAsia="Times New Roman" w:hAnsi="JOBOG I+ BI Logo" w:cs="Mangal"/>
      <w:color w:val="auto"/>
      <w:lang w:val="en-US" w:eastAsia="en-US" w:bidi="ne-NP"/>
    </w:rPr>
  </w:style>
  <w:style w:type="paragraph" w:customStyle="1" w:styleId="CM11">
    <w:name w:val="CM11"/>
    <w:basedOn w:val="Default"/>
    <w:next w:val="Default"/>
    <w:pPr>
      <w:widowControl w:val="0"/>
    </w:pPr>
    <w:rPr>
      <w:rFonts w:ascii="JOBOG I+ BI Logo" w:eastAsia="Times New Roman" w:hAnsi="JOBOG I+ BI Logo" w:cs="Mangal"/>
      <w:color w:val="auto"/>
      <w:lang w:val="en-US" w:eastAsia="en-US" w:bidi="ne-NP"/>
    </w:rPr>
  </w:style>
  <w:style w:type="paragraph" w:customStyle="1" w:styleId="CM12">
    <w:name w:val="CM12"/>
    <w:basedOn w:val="Default"/>
    <w:next w:val="Default"/>
    <w:pPr>
      <w:widowControl w:val="0"/>
      <w:spacing w:line="253" w:lineRule="atLeast"/>
    </w:pPr>
    <w:rPr>
      <w:rFonts w:ascii="JOBOG I+ BI Logo" w:eastAsia="Times New Roman" w:hAnsi="JOBOG I+ BI Logo" w:cs="Mangal"/>
      <w:color w:val="auto"/>
      <w:lang w:val="en-US" w:eastAsia="en-US" w:bidi="ne-NP"/>
    </w:rPr>
  </w:style>
  <w:style w:type="paragraph" w:customStyle="1" w:styleId="ammcorpstexte">
    <w:name w:val="ammcorpstexte"/>
    <w:basedOn w:val="Normal"/>
    <w:pPr>
      <w:tabs>
        <w:tab w:val="clear" w:pos="567"/>
      </w:tabs>
      <w:spacing w:line="240" w:lineRule="auto"/>
    </w:pPr>
    <w:rPr>
      <w:rFonts w:ascii="Verdana" w:hAnsi="Verdana" w:cs="Verdana"/>
      <w:color w:val="000000"/>
      <w:sz w:val="20"/>
      <w:lang w:val="fr-FR" w:eastAsia="fr-FR"/>
    </w:rPr>
  </w:style>
  <w:style w:type="character" w:customStyle="1" w:styleId="CS-TextChar">
    <w:name w:val="CS-Text Char"/>
    <w:link w:val="CS-Text"/>
    <w:locked/>
    <w:rPr>
      <w:sz w:val="24"/>
      <w:lang w:eastAsia="de-DE"/>
    </w:rPr>
  </w:style>
  <w:style w:type="paragraph" w:customStyle="1" w:styleId="CS-Text">
    <w:name w:val="CS-Text"/>
    <w:link w:val="CS-TextChar"/>
    <w:pPr>
      <w:spacing w:after="240"/>
    </w:pPr>
    <w:rPr>
      <w:sz w:val="24"/>
      <w:lang w:val="en-GB" w:eastAsia="de-DE"/>
    </w:rPr>
  </w:style>
  <w:style w:type="paragraph" w:customStyle="1" w:styleId="Listeafsnit">
    <w:name w:val="Listeafsnit"/>
    <w:basedOn w:val="Normal"/>
    <w:uiPriority w:val="34"/>
    <w:qFormat/>
    <w:pPr>
      <w:tabs>
        <w:tab w:val="clear" w:pos="567"/>
      </w:tabs>
      <w:spacing w:line="240" w:lineRule="auto"/>
      <w:ind w:left="720"/>
      <w:contextualSpacing/>
    </w:pPr>
    <w:rPr>
      <w:sz w:val="24"/>
      <w:szCs w:val="24"/>
      <w:lang w:val="de-DE" w:eastAsia="de-DE"/>
    </w:rPr>
  </w:style>
  <w:style w:type="paragraph" w:customStyle="1" w:styleId="IBTextChar">
    <w:name w:val="IB:Text Char"/>
    <w:basedOn w:val="Normal"/>
    <w:pPr>
      <w:tabs>
        <w:tab w:val="clear" w:pos="567"/>
      </w:tabs>
      <w:spacing w:before="120" w:after="120" w:line="360" w:lineRule="atLeast"/>
    </w:pPr>
    <w:rPr>
      <w:sz w:val="24"/>
      <w:szCs w:val="24"/>
      <w:lang w:val="en-US" w:eastAsia="de-DE"/>
    </w:rPr>
  </w:style>
  <w:style w:type="paragraph" w:customStyle="1" w:styleId="CM19">
    <w:name w:val="CM19"/>
    <w:basedOn w:val="Default"/>
    <w:next w:val="Default"/>
    <w:pPr>
      <w:widowControl w:val="0"/>
      <w:spacing w:after="253"/>
    </w:pPr>
    <w:rPr>
      <w:rFonts w:ascii="JOOMH J+ BI Logo" w:eastAsia="Times New Roman" w:hAnsi="JOOMH J+ BI Logo" w:cs="Mangal"/>
      <w:color w:val="auto"/>
      <w:lang w:val="en-US" w:eastAsia="en-US" w:bidi="ne-NP"/>
    </w:rPr>
  </w:style>
  <w:style w:type="paragraph" w:customStyle="1" w:styleId="CM5">
    <w:name w:val="CM5"/>
    <w:basedOn w:val="Default"/>
    <w:next w:val="Default"/>
    <w:pPr>
      <w:widowControl w:val="0"/>
      <w:spacing w:line="273" w:lineRule="atLeast"/>
    </w:pPr>
    <w:rPr>
      <w:rFonts w:ascii="JOOMH J+ BI Logo" w:eastAsia="Times New Roman" w:hAnsi="JOOMH J+ BI Logo" w:cs="Mangal"/>
      <w:color w:val="auto"/>
      <w:lang w:val="en-US" w:eastAsia="en-US" w:bidi="ne-NP"/>
    </w:rPr>
  </w:style>
  <w:style w:type="paragraph" w:customStyle="1" w:styleId="CM21">
    <w:name w:val="CM21"/>
    <w:basedOn w:val="Default"/>
    <w:next w:val="Default"/>
    <w:pPr>
      <w:widowControl w:val="0"/>
      <w:spacing w:after="250"/>
    </w:pPr>
    <w:rPr>
      <w:rFonts w:ascii="JOOMH J+ BI Logo" w:eastAsia="Times New Roman" w:hAnsi="JOOMH J+ BI Logo" w:cs="Mangal"/>
      <w:color w:val="auto"/>
      <w:lang w:val="en-US" w:eastAsia="en-US" w:bidi="ne-NP"/>
    </w:rPr>
  </w:style>
  <w:style w:type="paragraph" w:customStyle="1" w:styleId="CM15">
    <w:name w:val="CM15"/>
    <w:basedOn w:val="Default"/>
    <w:next w:val="Default"/>
    <w:pPr>
      <w:widowControl w:val="0"/>
      <w:spacing w:line="253" w:lineRule="atLeast"/>
    </w:pPr>
    <w:rPr>
      <w:rFonts w:ascii="JOOMH J+ BI Logo" w:eastAsia="Times New Roman" w:hAnsi="JOOMH J+ BI Logo" w:cs="Mangal"/>
      <w:color w:val="auto"/>
      <w:lang w:val="en-US" w:eastAsia="en-US" w:bidi="ne-NP"/>
    </w:rPr>
  </w:style>
  <w:style w:type="paragraph" w:customStyle="1" w:styleId="CM4">
    <w:name w:val="CM4"/>
    <w:basedOn w:val="Default"/>
    <w:next w:val="Default"/>
    <w:pPr>
      <w:widowControl w:val="0"/>
      <w:spacing w:line="256" w:lineRule="atLeast"/>
    </w:pPr>
    <w:rPr>
      <w:rFonts w:ascii="JOOMH J+ BI Logo" w:eastAsia="Times New Roman" w:hAnsi="JOOMH J+ BI Logo" w:cs="Mangal"/>
      <w:color w:val="auto"/>
      <w:lang w:val="en-US" w:eastAsia="en-US" w:bidi="ne-NP"/>
    </w:rPr>
  </w:style>
  <w:style w:type="table" w:customStyle="1" w:styleId="Tabellengitternetz1">
    <w:name w:val="Tabellengitternetz1"/>
    <w:basedOn w:val="TableNormal"/>
    <w:next w:val="TableGri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style>
  <w:style w:type="paragraph" w:styleId="NormalIndent">
    <w:name w:val="Normal Indent"/>
    <w:basedOn w:val="Normal"/>
    <w:pPr>
      <w:tabs>
        <w:tab w:val="clear" w:pos="567"/>
      </w:tabs>
      <w:spacing w:after="120" w:line="240" w:lineRule="auto"/>
      <w:ind w:left="720"/>
    </w:pPr>
    <w:rPr>
      <w:lang w:eastAsia="en-GB"/>
    </w:rPr>
  </w:style>
  <w:style w:type="numbering" w:customStyle="1" w:styleId="NoList10">
    <w:name w:val="No List10"/>
    <w:next w:val="NoList"/>
    <w:semiHidden/>
  </w:style>
  <w:style w:type="character" w:customStyle="1" w:styleId="longtext">
    <w:name w:val="long_text"/>
  </w:style>
  <w:style w:type="table" w:styleId="TableElegant">
    <w:name w:val="Table Elegant"/>
    <w:basedOn w:val="TableNormal"/>
    <w:pPr>
      <w:tabs>
        <w:tab w:val="left" w:pos="284"/>
      </w:tabs>
      <w:jc w:val="both"/>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Regular">
    <w:name w:val="Regular"/>
    <w:basedOn w:val="Normal"/>
    <w:link w:val="RegularChar"/>
    <w:pPr>
      <w:tabs>
        <w:tab w:val="clear" w:pos="567"/>
      </w:tabs>
      <w:spacing w:line="240" w:lineRule="auto"/>
      <w:jc w:val="both"/>
    </w:pPr>
    <w:rPr>
      <w:b/>
      <w:sz w:val="24"/>
      <w:szCs w:val="24"/>
      <w:lang w:val="sr-Latn-CS"/>
    </w:rPr>
  </w:style>
  <w:style w:type="paragraph" w:customStyle="1" w:styleId="LBLLevel1">
    <w:name w:val="LBLLevel 1"/>
    <w:basedOn w:val="Default"/>
    <w:next w:val="Default"/>
    <w:pPr>
      <w:spacing w:before="240"/>
    </w:pPr>
    <w:rPr>
      <w:rFonts w:ascii="NCFJMG+Arial,Bold" w:eastAsia="Times New Roman" w:hAnsi="NCFJMG+Arial,Bold"/>
      <w:color w:val="auto"/>
      <w:lang w:val="en-US" w:eastAsia="en-US"/>
    </w:rPr>
  </w:style>
  <w:style w:type="numbering" w:customStyle="1" w:styleId="NoList11">
    <w:name w:val="No List11"/>
    <w:next w:val="NoList"/>
    <w:semiHidden/>
  </w:style>
  <w:style w:type="paragraph" w:customStyle="1" w:styleId="BodyText31">
    <w:name w:val="Body Text 31"/>
    <w:basedOn w:val="Normal"/>
    <w:pPr>
      <w:jc w:val="both"/>
    </w:pPr>
    <w:rPr>
      <w:b/>
      <w:i/>
      <w:lang w:eastAsia="fr-FR"/>
    </w:rPr>
  </w:style>
  <w:style w:type="numbering" w:customStyle="1" w:styleId="NoList12">
    <w:name w:val="No List12"/>
    <w:next w:val="NoList"/>
    <w:semiHidden/>
  </w:style>
  <w:style w:type="numbering" w:customStyle="1" w:styleId="NoList13">
    <w:name w:val="No List13"/>
    <w:next w:val="NoList"/>
    <w:semiHidden/>
  </w:style>
  <w:style w:type="character" w:styleId="EndnoteReference">
    <w:name w:val="endnote reference"/>
    <w:rPr>
      <w:vertAlign w:val="superscript"/>
    </w:rPr>
  </w:style>
  <w:style w:type="character" w:customStyle="1" w:styleId="Bodytext0">
    <w:name w:val="Body text_"/>
    <w:link w:val="BodyText30"/>
    <w:rPr>
      <w:sz w:val="22"/>
      <w:szCs w:val="22"/>
      <w:shd w:val="clear" w:color="auto" w:fill="FFFFFF"/>
    </w:rPr>
  </w:style>
  <w:style w:type="paragraph" w:customStyle="1" w:styleId="BodyText30">
    <w:name w:val="Body Text3"/>
    <w:basedOn w:val="Normal"/>
    <w:link w:val="Bodytext0"/>
    <w:pPr>
      <w:shd w:val="clear" w:color="auto" w:fill="FFFFFF"/>
      <w:tabs>
        <w:tab w:val="clear" w:pos="567"/>
      </w:tabs>
      <w:spacing w:before="300" w:after="2340" w:line="293" w:lineRule="exact"/>
      <w:jc w:val="center"/>
    </w:pPr>
    <w:rPr>
      <w:rFonts w:eastAsia="SimSun"/>
      <w:szCs w:val="22"/>
      <w:lang w:eastAsia="en-GB"/>
    </w:rPr>
  </w:style>
  <w:style w:type="character" w:customStyle="1" w:styleId="Bodytext32">
    <w:name w:val="Body text (3)_"/>
    <w:link w:val="Bodytext33"/>
    <w:rPr>
      <w:sz w:val="21"/>
      <w:szCs w:val="21"/>
      <w:shd w:val="clear" w:color="auto" w:fill="FFFFFF"/>
    </w:rPr>
  </w:style>
  <w:style w:type="paragraph" w:customStyle="1" w:styleId="Bodytext33">
    <w:name w:val="Body text (3)"/>
    <w:basedOn w:val="Normal"/>
    <w:link w:val="Bodytext32"/>
    <w:pPr>
      <w:shd w:val="clear" w:color="auto" w:fill="FFFFFF"/>
      <w:tabs>
        <w:tab w:val="clear" w:pos="567"/>
      </w:tabs>
      <w:spacing w:after="120" w:line="490" w:lineRule="exact"/>
      <w:jc w:val="right"/>
    </w:pPr>
    <w:rPr>
      <w:rFonts w:eastAsia="SimSun"/>
      <w:sz w:val="21"/>
      <w:szCs w:val="21"/>
      <w:lang w:eastAsia="en-GB"/>
    </w:rPr>
  </w:style>
  <w:style w:type="character" w:customStyle="1" w:styleId="Bodytext105ptNotBold">
    <w:name w:val="Body text + 10;5 pt;Not Bol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Bodytext5">
    <w:name w:val="Body text (5)_"/>
    <w:link w:val="Bodytext50"/>
    <w:rPr>
      <w:sz w:val="21"/>
      <w:szCs w:val="21"/>
      <w:shd w:val="clear" w:color="auto" w:fill="FFFFFF"/>
    </w:rPr>
  </w:style>
  <w:style w:type="paragraph" w:customStyle="1" w:styleId="Bodytext50">
    <w:name w:val="Body text (5)"/>
    <w:basedOn w:val="Normal"/>
    <w:link w:val="Bodytext5"/>
    <w:pPr>
      <w:shd w:val="clear" w:color="auto" w:fill="FFFFFF"/>
      <w:tabs>
        <w:tab w:val="clear" w:pos="567"/>
      </w:tabs>
      <w:spacing w:before="240" w:after="360" w:line="0" w:lineRule="atLeast"/>
    </w:pPr>
    <w:rPr>
      <w:rFonts w:eastAsia="SimSun"/>
      <w:sz w:val="21"/>
      <w:szCs w:val="21"/>
      <w:lang w:eastAsia="en-GB"/>
    </w:rPr>
  </w:style>
  <w:style w:type="paragraph" w:customStyle="1" w:styleId="SmPCheading">
    <w:name w:val="SmPC heading"/>
    <w:basedOn w:val="Normal"/>
    <w:pPr>
      <w:tabs>
        <w:tab w:val="clear" w:pos="567"/>
      </w:tabs>
      <w:spacing w:before="240" w:after="120" w:line="360" w:lineRule="atLeast"/>
    </w:pPr>
    <w:rPr>
      <w:rFonts w:ascii="Arial" w:hAnsi="Arial"/>
      <w:b/>
      <w:sz w:val="24"/>
    </w:rPr>
  </w:style>
  <w:style w:type="paragraph" w:customStyle="1" w:styleId="Style2">
    <w:name w:val="Style2"/>
    <w:basedOn w:val="Normal"/>
    <w:pPr>
      <w:tabs>
        <w:tab w:val="clear" w:pos="567"/>
      </w:tabs>
      <w:spacing w:line="360" w:lineRule="atLeast"/>
      <w:ind w:left="567"/>
      <w:jc w:val="both"/>
    </w:pPr>
    <w:rPr>
      <w:rFonts w:ascii="Arial" w:hAnsi="Arial"/>
      <w:sz w:val="24"/>
      <w:lang w:eastAsia="hr-HR"/>
    </w:rPr>
  </w:style>
  <w:style w:type="paragraph" w:customStyle="1" w:styleId="Style1">
    <w:name w:val="Style1"/>
    <w:basedOn w:val="Normal"/>
    <w:pPr>
      <w:tabs>
        <w:tab w:val="clear" w:pos="567"/>
      </w:tabs>
      <w:spacing w:line="360" w:lineRule="atLeast"/>
      <w:ind w:right="-22"/>
    </w:pPr>
    <w:rPr>
      <w:rFonts w:ascii="Arial" w:hAnsi="Arial"/>
      <w:b/>
      <w:sz w:val="24"/>
      <w:lang w:val="hr-HR"/>
    </w:rPr>
  </w:style>
  <w:style w:type="paragraph" w:customStyle="1" w:styleId="podnaslovupute">
    <w:name w:val="podnaslov upute"/>
    <w:basedOn w:val="Normal"/>
    <w:pPr>
      <w:tabs>
        <w:tab w:val="clear" w:pos="567"/>
      </w:tabs>
      <w:spacing w:before="120" w:after="120" w:line="360" w:lineRule="atLeast"/>
      <w:jc w:val="both"/>
    </w:pPr>
    <w:rPr>
      <w:rFonts w:ascii="Helvetica" w:hAnsi="Helvetica"/>
      <w:i/>
      <w:sz w:val="24"/>
      <w:lang w:val="en-US"/>
    </w:rPr>
  </w:style>
  <w:style w:type="paragraph" w:customStyle="1" w:styleId="knZulassung02">
    <w:name w:val="knZulassung02"/>
    <w:pPr>
      <w:autoSpaceDE w:val="0"/>
      <w:autoSpaceDN w:val="0"/>
      <w:ind w:left="1843" w:right="284"/>
    </w:pPr>
    <w:rPr>
      <w:rFonts w:ascii="Courier" w:eastAsia="Times New Roman" w:hAnsi="Courier" w:cs="Courier"/>
      <w:sz w:val="24"/>
      <w:szCs w:val="24"/>
      <w:lang w:val="de-DE" w:eastAsia="de-DE"/>
    </w:rPr>
  </w:style>
  <w:style w:type="numbering" w:customStyle="1" w:styleId="NoList14">
    <w:name w:val="No List14"/>
    <w:next w:val="NoList"/>
    <w:semiHidden/>
  </w:style>
  <w:style w:type="paragraph" w:customStyle="1" w:styleId="MoRPTable">
    <w:name w:val="MoRP Table"/>
    <w:basedOn w:val="Default"/>
    <w:next w:val="Default"/>
    <w:rPr>
      <w:rFonts w:ascii="Arial" w:eastAsia="Times New Roman" w:hAnsi="Arial"/>
      <w:color w:val="auto"/>
      <w:lang w:eastAsia="sr-Latn-CS"/>
    </w:rPr>
  </w:style>
  <w:style w:type="paragraph" w:customStyle="1" w:styleId="EMEABodyText">
    <w:name w:val="EMEA Body Text"/>
    <w:basedOn w:val="Normal"/>
    <w:link w:val="EMEABodyTextChar"/>
    <w:pPr>
      <w:tabs>
        <w:tab w:val="clear" w:pos="567"/>
      </w:tabs>
      <w:spacing w:line="240" w:lineRule="auto"/>
    </w:pPr>
  </w:style>
  <w:style w:type="character" w:customStyle="1" w:styleId="EMEABodyTextChar">
    <w:name w:val="EMEA Body Text Char"/>
    <w:link w:val="EMEABodyText"/>
    <w:rPr>
      <w:rFonts w:eastAsia="Times New Roman"/>
      <w:sz w:val="22"/>
      <w:lang w:eastAsia="en-US"/>
    </w:rPr>
  </w:style>
  <w:style w:type="numbering" w:customStyle="1" w:styleId="NoList15">
    <w:name w:val="No List15"/>
    <w:next w:val="NoList"/>
    <w:semiHidden/>
  </w:style>
  <w:style w:type="character" w:customStyle="1" w:styleId="tw4winMark">
    <w:name w:val="tw4winMark"/>
    <w:rPr>
      <w:rFonts w:ascii="Courier New" w:hAnsi="Courier New"/>
      <w:vanish/>
      <w:color w:val="800080"/>
      <w:sz w:val="24"/>
      <w:vertAlign w:val="subscript"/>
    </w:rPr>
  </w:style>
  <w:style w:type="paragraph" w:customStyle="1" w:styleId="A-TableText">
    <w:name w:val="A-Table Text"/>
    <w:pPr>
      <w:spacing w:before="60" w:after="60"/>
    </w:pPr>
    <w:rPr>
      <w:rFonts w:eastAsia="Times New Roman"/>
      <w:sz w:val="22"/>
      <w:lang w:val="en-GB"/>
    </w:rPr>
  </w:style>
  <w:style w:type="paragraph" w:customStyle="1" w:styleId="A-TableHeader">
    <w:name w:val="A-Table Header"/>
    <w:next w:val="A-TableText"/>
    <w:pPr>
      <w:keepNext/>
      <w:spacing w:before="60" w:after="60"/>
    </w:pPr>
    <w:rPr>
      <w:rFonts w:eastAsia="Times New Roman"/>
      <w:b/>
      <w:sz w:val="22"/>
      <w:lang w:val="en-GB"/>
    </w:rPr>
  </w:style>
  <w:style w:type="paragraph" w:customStyle="1" w:styleId="A-Single">
    <w:name w:val="A-Single"/>
    <w:rPr>
      <w:rFonts w:eastAsia="Times New Roman"/>
      <w:sz w:val="24"/>
      <w:lang w:val="en-GB"/>
    </w:rPr>
  </w:style>
  <w:style w:type="paragraph" w:customStyle="1" w:styleId="A-TableTitle">
    <w:name w:val="A-Table Title"/>
    <w:next w:val="Normal"/>
    <w:pPr>
      <w:keepNext/>
      <w:tabs>
        <w:tab w:val="left" w:pos="1800"/>
      </w:tabs>
      <w:spacing w:after="120" w:line="280" w:lineRule="atLeast"/>
      <w:ind w:left="1800" w:hanging="1800"/>
    </w:pPr>
    <w:rPr>
      <w:rFonts w:eastAsia="Times New Roman"/>
      <w:b/>
      <w:sz w:val="24"/>
      <w:lang w:val="en-GB"/>
    </w:rPr>
  </w:style>
  <w:style w:type="character" w:customStyle="1" w:styleId="RegularChar">
    <w:name w:val="Regular Char"/>
    <w:link w:val="Regular"/>
    <w:locked/>
    <w:rPr>
      <w:rFonts w:eastAsia="Times New Roman"/>
      <w:b/>
      <w:sz w:val="24"/>
      <w:szCs w:val="24"/>
      <w:lang w:val="sr-Latn-CS" w:eastAsia="en-US"/>
    </w:rPr>
  </w:style>
  <w:style w:type="numbering" w:customStyle="1" w:styleId="NoList16">
    <w:name w:val="No List16"/>
    <w:next w:val="NoList"/>
    <w:semiHidden/>
  </w:style>
  <w:style w:type="numbering" w:customStyle="1" w:styleId="NoList17">
    <w:name w:val="No List17"/>
    <w:next w:val="NoList"/>
    <w:semiHidden/>
  </w:style>
  <w:style w:type="numbering" w:customStyle="1" w:styleId="Brezseznama1">
    <w:name w:val="Brez seznama1"/>
    <w:next w:val="NoList"/>
    <w:uiPriority w:val="99"/>
    <w:semiHidden/>
    <w:unhideWhenUsed/>
  </w:style>
  <w:style w:type="character" w:customStyle="1" w:styleId="TextChar">
    <w:name w:val="Text Char"/>
    <w:link w:val="Text"/>
    <w:rPr>
      <w:rFonts w:eastAsia="Times New Roman"/>
      <w:color w:val="000000"/>
      <w:sz w:val="24"/>
      <w:lang w:eastAsia="en-US"/>
    </w:rPr>
  </w:style>
  <w:style w:type="paragraph" w:customStyle="1" w:styleId="p31">
    <w:name w:val="p31"/>
    <w:basedOn w:val="Normal"/>
    <w:pPr>
      <w:tabs>
        <w:tab w:val="clear" w:pos="567"/>
      </w:tabs>
      <w:spacing w:before="100" w:beforeAutospacing="1" w:after="100" w:afterAutospacing="1" w:line="240" w:lineRule="auto"/>
    </w:pPr>
    <w:rPr>
      <w:sz w:val="24"/>
      <w:szCs w:val="24"/>
      <w:lang w:val="en-US"/>
    </w:rPr>
  </w:style>
  <w:style w:type="character" w:customStyle="1" w:styleId="ft18">
    <w:name w:val="ft18"/>
  </w:style>
  <w:style w:type="character" w:customStyle="1" w:styleId="ft5">
    <w:name w:val="ft5"/>
  </w:style>
  <w:style w:type="paragraph" w:customStyle="1" w:styleId="p32">
    <w:name w:val="p32"/>
    <w:basedOn w:val="Normal"/>
    <w:pPr>
      <w:tabs>
        <w:tab w:val="clear" w:pos="567"/>
      </w:tabs>
      <w:spacing w:before="100" w:beforeAutospacing="1" w:after="100" w:afterAutospacing="1" w:line="240" w:lineRule="auto"/>
    </w:pPr>
    <w:rPr>
      <w:sz w:val="24"/>
      <w:szCs w:val="24"/>
      <w:lang w:val="en-US"/>
    </w:rPr>
  </w:style>
  <w:style w:type="character" w:customStyle="1" w:styleId="ft20">
    <w:name w:val="ft20"/>
  </w:style>
  <w:style w:type="paragraph" w:customStyle="1" w:styleId="p19">
    <w:name w:val="p19"/>
    <w:basedOn w:val="Normal"/>
    <w:pPr>
      <w:tabs>
        <w:tab w:val="clear" w:pos="567"/>
      </w:tabs>
      <w:spacing w:before="100" w:beforeAutospacing="1" w:after="100" w:afterAutospacing="1" w:line="240" w:lineRule="auto"/>
    </w:pPr>
    <w:rPr>
      <w:sz w:val="24"/>
      <w:szCs w:val="24"/>
      <w:lang w:val="en-US"/>
    </w:rPr>
  </w:style>
  <w:style w:type="paragraph" w:customStyle="1" w:styleId="p48">
    <w:name w:val="p48"/>
    <w:basedOn w:val="Normal"/>
    <w:pPr>
      <w:tabs>
        <w:tab w:val="clear" w:pos="567"/>
      </w:tabs>
      <w:spacing w:before="100" w:beforeAutospacing="1" w:after="100" w:afterAutospacing="1" w:line="240" w:lineRule="auto"/>
    </w:pPr>
    <w:rPr>
      <w:sz w:val="24"/>
      <w:szCs w:val="24"/>
      <w:lang w:val="en-US"/>
    </w:rPr>
  </w:style>
  <w:style w:type="character" w:customStyle="1" w:styleId="ft33">
    <w:name w:val="ft33"/>
  </w:style>
  <w:style w:type="paragraph" w:customStyle="1" w:styleId="p20">
    <w:name w:val="p20"/>
    <w:basedOn w:val="Normal"/>
    <w:pPr>
      <w:tabs>
        <w:tab w:val="clear" w:pos="567"/>
      </w:tabs>
      <w:spacing w:before="100" w:beforeAutospacing="1" w:after="100" w:afterAutospacing="1" w:line="240" w:lineRule="auto"/>
    </w:pPr>
    <w:rPr>
      <w:sz w:val="24"/>
      <w:szCs w:val="24"/>
      <w:lang w:val="en-US"/>
    </w:rPr>
  </w:style>
  <w:style w:type="character" w:customStyle="1" w:styleId="ft30">
    <w:name w:val="ft30"/>
  </w:style>
  <w:style w:type="character" w:customStyle="1" w:styleId="ft36">
    <w:name w:val="ft36"/>
  </w:style>
  <w:style w:type="paragraph" w:customStyle="1" w:styleId="p87">
    <w:name w:val="p87"/>
    <w:basedOn w:val="Normal"/>
    <w:pPr>
      <w:tabs>
        <w:tab w:val="clear" w:pos="567"/>
      </w:tabs>
      <w:spacing w:before="100" w:beforeAutospacing="1" w:after="100" w:afterAutospacing="1" w:line="240" w:lineRule="auto"/>
    </w:pPr>
    <w:rPr>
      <w:sz w:val="24"/>
      <w:szCs w:val="24"/>
      <w:lang w:val="en-US"/>
    </w:rPr>
  </w:style>
  <w:style w:type="character" w:customStyle="1" w:styleId="ft60">
    <w:name w:val="ft60"/>
  </w:style>
  <w:style w:type="paragraph" w:customStyle="1" w:styleId="p38">
    <w:name w:val="p38"/>
    <w:basedOn w:val="Normal"/>
    <w:pPr>
      <w:tabs>
        <w:tab w:val="clear" w:pos="567"/>
      </w:tabs>
      <w:spacing w:before="100" w:beforeAutospacing="1" w:after="100" w:afterAutospacing="1" w:line="240" w:lineRule="auto"/>
    </w:pPr>
    <w:rPr>
      <w:sz w:val="24"/>
      <w:szCs w:val="24"/>
      <w:lang w:val="en-US"/>
    </w:rPr>
  </w:style>
  <w:style w:type="character" w:customStyle="1" w:styleId="rynqvb">
    <w:name w:val="rynqv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8820</Words>
  <Characters>50277</Characters>
  <Application>Microsoft Office Word</Application>
  <DocSecurity>0</DocSecurity>
  <Lines>418</Lines>
  <Paragraphs>117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Krlić</dc:creator>
  <cp:lastModifiedBy>Aleksandra Marijanović</cp:lastModifiedBy>
  <cp:revision>16</cp:revision>
  <dcterms:created xsi:type="dcterms:W3CDTF">2025-03-04T13:40:00Z</dcterms:created>
  <dcterms:modified xsi:type="dcterms:W3CDTF">2025-03-13T09:07:00Z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