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AADB1" w14:textId="77777777" w:rsidR="002510A5" w:rsidRPr="00950715" w:rsidRDefault="002510A5" w:rsidP="00D62C2F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950715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71AADB3" w14:textId="77777777" w:rsidR="003C17AB" w:rsidRPr="00950715" w:rsidRDefault="003C17AB" w:rsidP="00D62C2F">
      <w:pPr>
        <w:jc w:val="both"/>
        <w:rPr>
          <w:sz w:val="22"/>
          <w:szCs w:val="22"/>
          <w:lang w:val="sr-Latn-ME"/>
        </w:rPr>
      </w:pPr>
    </w:p>
    <w:p w14:paraId="271AADB6" w14:textId="77777777" w:rsidR="00C37FD7" w:rsidRPr="00950715" w:rsidRDefault="00C37FD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DB7" w14:textId="77777777" w:rsidR="00411B4B" w:rsidRPr="00950715" w:rsidRDefault="00411B4B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>1.</w:t>
      </w:r>
      <w:r w:rsidR="00F5167F" w:rsidRPr="00950715">
        <w:rPr>
          <w:b/>
          <w:bCs/>
          <w:sz w:val="22"/>
          <w:szCs w:val="22"/>
          <w:lang w:val="sr-Latn-ME"/>
        </w:rPr>
        <w:tab/>
      </w:r>
      <w:r w:rsidR="002846DB" w:rsidRPr="00950715">
        <w:rPr>
          <w:b/>
          <w:bCs/>
          <w:sz w:val="22"/>
          <w:szCs w:val="22"/>
          <w:lang w:val="sr-Latn-ME"/>
        </w:rPr>
        <w:t xml:space="preserve">NAZIV </w:t>
      </w:r>
      <w:r w:rsidRPr="00950715">
        <w:rPr>
          <w:b/>
          <w:bCs/>
          <w:sz w:val="22"/>
          <w:szCs w:val="22"/>
          <w:lang w:val="sr-Latn-ME"/>
        </w:rPr>
        <w:t>LIJEKA</w:t>
      </w:r>
    </w:p>
    <w:p w14:paraId="271AADB8" w14:textId="77777777" w:rsidR="00EC2532" w:rsidRPr="00950715" w:rsidRDefault="00EC2532" w:rsidP="00D62C2F">
      <w:pPr>
        <w:jc w:val="both"/>
        <w:rPr>
          <w:sz w:val="22"/>
          <w:szCs w:val="22"/>
          <w:lang w:val="sr-Latn-ME"/>
        </w:rPr>
      </w:pPr>
    </w:p>
    <w:p w14:paraId="1B314E97" w14:textId="1C0EFD69" w:rsidR="00503557" w:rsidRPr="00950715" w:rsidRDefault="00503557" w:rsidP="00D62C2F">
      <w:p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Hartmanov</w:t>
      </w:r>
      <w:proofErr w:type="spellEnd"/>
      <w:r w:rsidRPr="00950715">
        <w:rPr>
          <w:sz w:val="22"/>
          <w:szCs w:val="22"/>
          <w:lang w:val="sr-Latn-ME"/>
        </w:rPr>
        <w:t xml:space="preserve"> rastvor</w:t>
      </w:r>
      <w:r w:rsidR="00776BEA" w:rsidRPr="00950715">
        <w:rPr>
          <w:sz w:val="22"/>
          <w:szCs w:val="22"/>
          <w:lang w:val="sr-Latn-ME"/>
        </w:rPr>
        <w:t xml:space="preserve"> HF</w:t>
      </w:r>
      <w:r w:rsidRPr="00950715">
        <w:rPr>
          <w:sz w:val="22"/>
          <w:szCs w:val="22"/>
          <w:lang w:val="sr-Latn-ME"/>
        </w:rPr>
        <w:t xml:space="preserve">, </w:t>
      </w:r>
      <w:r w:rsidR="00F37314" w:rsidRPr="00950715">
        <w:rPr>
          <w:sz w:val="22"/>
          <w:szCs w:val="22"/>
          <w:lang w:val="sr-Latn-ME"/>
        </w:rPr>
        <w:t xml:space="preserve">6,02 g/l + 0,373 g/l + 0,294 g/l + 6,276 g/l, </w:t>
      </w:r>
      <w:r w:rsidRPr="00950715">
        <w:rPr>
          <w:sz w:val="22"/>
          <w:szCs w:val="22"/>
          <w:lang w:val="sr-Latn-ME"/>
        </w:rPr>
        <w:t>rastvor za infuziju</w:t>
      </w:r>
    </w:p>
    <w:p w14:paraId="271AADBA" w14:textId="77777777" w:rsidR="000D425A" w:rsidRPr="00950715" w:rsidRDefault="000D425A" w:rsidP="00D62C2F">
      <w:pPr>
        <w:jc w:val="both"/>
        <w:rPr>
          <w:sz w:val="22"/>
          <w:szCs w:val="22"/>
          <w:lang w:val="sr-Latn-ME"/>
        </w:rPr>
      </w:pPr>
    </w:p>
    <w:p w14:paraId="271AADBB" w14:textId="6910FA9A" w:rsidR="006D20A5" w:rsidRPr="00950715" w:rsidRDefault="006D20A5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INN:</w:t>
      </w:r>
      <w:r w:rsidR="00F37314" w:rsidRPr="00950715">
        <w:rPr>
          <w:sz w:val="22"/>
          <w:szCs w:val="22"/>
          <w:lang w:val="sr-Latn-ME"/>
        </w:rPr>
        <w:t xml:space="preserve"> </w:t>
      </w:r>
      <w:r w:rsidR="00DE1CE0" w:rsidRPr="00950715">
        <w:rPr>
          <w:sz w:val="22"/>
          <w:szCs w:val="22"/>
          <w:lang w:val="sr-Latn-ME"/>
        </w:rPr>
        <w:t>natrijum hlorid, kalijum hlorid, kalcijum hlorid, natrijum</w:t>
      </w:r>
      <w:r w:rsidR="00966F81" w:rsidRPr="00950715">
        <w:rPr>
          <w:sz w:val="22"/>
          <w:szCs w:val="22"/>
          <w:lang w:val="sr-Latn-ME"/>
        </w:rPr>
        <w:t xml:space="preserve"> </w:t>
      </w:r>
      <w:proofErr w:type="spellStart"/>
      <w:r w:rsidR="00DE1CE0" w:rsidRPr="00950715">
        <w:rPr>
          <w:sz w:val="22"/>
          <w:szCs w:val="22"/>
          <w:lang w:val="sr-Latn-ME"/>
        </w:rPr>
        <w:t>laktat</w:t>
      </w:r>
      <w:proofErr w:type="spellEnd"/>
    </w:p>
    <w:p w14:paraId="271AADBC" w14:textId="77777777" w:rsidR="006D20A5" w:rsidRPr="00950715" w:rsidRDefault="006D20A5" w:rsidP="00D62C2F">
      <w:pPr>
        <w:jc w:val="both"/>
        <w:rPr>
          <w:bCs/>
          <w:sz w:val="22"/>
          <w:szCs w:val="22"/>
          <w:lang w:val="sr-Latn-ME"/>
        </w:rPr>
      </w:pPr>
    </w:p>
    <w:p w14:paraId="271AADBD" w14:textId="77777777" w:rsidR="00530BD7" w:rsidRPr="00950715" w:rsidRDefault="00530BD7" w:rsidP="00D62C2F">
      <w:pPr>
        <w:jc w:val="both"/>
        <w:rPr>
          <w:bCs/>
          <w:sz w:val="22"/>
          <w:szCs w:val="22"/>
          <w:lang w:val="sr-Latn-ME"/>
        </w:rPr>
      </w:pPr>
    </w:p>
    <w:p w14:paraId="271AADBE" w14:textId="77777777" w:rsidR="00411B4B" w:rsidRPr="00950715" w:rsidRDefault="00411B4B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2. </w:t>
      </w:r>
      <w:r w:rsidR="00F5167F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KVALITATIVNI I KVANTITATIVNI SASTAV</w:t>
      </w:r>
    </w:p>
    <w:p w14:paraId="271AADBF" w14:textId="77777777" w:rsidR="005A0B2E" w:rsidRPr="00950715" w:rsidRDefault="005A0B2E" w:rsidP="00D62C2F">
      <w:pPr>
        <w:jc w:val="both"/>
        <w:rPr>
          <w:sz w:val="22"/>
          <w:szCs w:val="22"/>
          <w:lang w:val="sr-Latn-ME"/>
        </w:rPr>
      </w:pPr>
    </w:p>
    <w:p w14:paraId="69664399" w14:textId="396033EE" w:rsidR="00392762" w:rsidRPr="00950715" w:rsidRDefault="00EB25EA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10</w:t>
      </w:r>
      <w:r w:rsidR="00392762" w:rsidRPr="00950715">
        <w:rPr>
          <w:sz w:val="22"/>
          <w:szCs w:val="22"/>
          <w:lang w:val="sr-Latn-ME"/>
        </w:rPr>
        <w:t xml:space="preserve">00 ml rastvora </w:t>
      </w:r>
      <w:r w:rsidR="002721C9" w:rsidRPr="00950715">
        <w:rPr>
          <w:sz w:val="22"/>
          <w:szCs w:val="22"/>
          <w:lang w:val="sr-Latn-ME"/>
        </w:rPr>
        <w:t xml:space="preserve">za infuziju </w:t>
      </w:r>
      <w:r w:rsidR="00392762" w:rsidRPr="00950715">
        <w:rPr>
          <w:sz w:val="22"/>
          <w:szCs w:val="22"/>
          <w:lang w:val="sr-Latn-ME"/>
        </w:rPr>
        <w:t>sadrži:</w:t>
      </w:r>
    </w:p>
    <w:p w14:paraId="133C3E59" w14:textId="77777777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</w:p>
    <w:p w14:paraId="093086D2" w14:textId="353742D3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Natrijum hlorid</w:t>
      </w:r>
      <w:r w:rsidRPr="00950715">
        <w:rPr>
          <w:sz w:val="22"/>
          <w:szCs w:val="22"/>
          <w:lang w:val="sr-Latn-ME"/>
        </w:rPr>
        <w:tab/>
      </w:r>
      <w:r w:rsidRPr="00950715">
        <w:rPr>
          <w:sz w:val="22"/>
          <w:szCs w:val="22"/>
          <w:lang w:val="sr-Latn-ME"/>
        </w:rPr>
        <w:tab/>
      </w:r>
      <w:r w:rsidRPr="00950715">
        <w:rPr>
          <w:sz w:val="22"/>
          <w:szCs w:val="22"/>
          <w:lang w:val="sr-Latn-ME"/>
        </w:rPr>
        <w:tab/>
      </w:r>
      <w:r w:rsidRPr="00950715">
        <w:rPr>
          <w:sz w:val="22"/>
          <w:szCs w:val="22"/>
          <w:lang w:val="sr-Latn-ME"/>
        </w:rPr>
        <w:tab/>
      </w:r>
      <w:r w:rsidR="008A7644" w:rsidRPr="00950715">
        <w:rPr>
          <w:sz w:val="22"/>
          <w:szCs w:val="22"/>
          <w:lang w:val="sr-Latn-ME"/>
        </w:rPr>
        <w:t>6</w:t>
      </w:r>
      <w:r w:rsidRPr="00950715">
        <w:rPr>
          <w:sz w:val="22"/>
          <w:szCs w:val="22"/>
          <w:lang w:val="sr-Latn-ME"/>
        </w:rPr>
        <w:t>,0</w:t>
      </w:r>
      <w:r w:rsidR="008A7644" w:rsidRPr="00950715">
        <w:rPr>
          <w:sz w:val="22"/>
          <w:szCs w:val="22"/>
          <w:lang w:val="sr-Latn-ME"/>
        </w:rPr>
        <w:t>2</w:t>
      </w:r>
      <w:r w:rsidRPr="00950715">
        <w:rPr>
          <w:sz w:val="22"/>
          <w:szCs w:val="22"/>
          <w:lang w:val="sr-Latn-ME"/>
        </w:rPr>
        <w:t>0 g</w:t>
      </w:r>
    </w:p>
    <w:p w14:paraId="25B0D964" w14:textId="649BEFCF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Kalijum hlorid</w:t>
      </w:r>
      <w:r w:rsidRPr="00950715">
        <w:rPr>
          <w:sz w:val="22"/>
          <w:szCs w:val="22"/>
          <w:lang w:val="sr-Latn-ME"/>
        </w:rPr>
        <w:tab/>
      </w:r>
      <w:r w:rsidRPr="00950715">
        <w:rPr>
          <w:sz w:val="22"/>
          <w:szCs w:val="22"/>
          <w:lang w:val="sr-Latn-ME"/>
        </w:rPr>
        <w:tab/>
      </w:r>
      <w:r w:rsidRPr="00950715">
        <w:rPr>
          <w:sz w:val="22"/>
          <w:szCs w:val="22"/>
          <w:lang w:val="sr-Latn-ME"/>
        </w:rPr>
        <w:tab/>
      </w:r>
      <w:r w:rsidRPr="00950715">
        <w:rPr>
          <w:sz w:val="22"/>
          <w:szCs w:val="22"/>
          <w:lang w:val="sr-Latn-ME"/>
        </w:rPr>
        <w:tab/>
        <w:t>0,</w:t>
      </w:r>
      <w:r w:rsidR="00496512" w:rsidRPr="00950715">
        <w:rPr>
          <w:sz w:val="22"/>
          <w:szCs w:val="22"/>
          <w:lang w:val="sr-Latn-ME"/>
        </w:rPr>
        <w:t>373</w:t>
      </w:r>
      <w:r w:rsidRPr="00950715">
        <w:rPr>
          <w:sz w:val="22"/>
          <w:szCs w:val="22"/>
          <w:lang w:val="sr-Latn-ME"/>
        </w:rPr>
        <w:t xml:space="preserve"> g</w:t>
      </w:r>
    </w:p>
    <w:p w14:paraId="0C90A686" w14:textId="35CC92F3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Kalcijum hlorid </w:t>
      </w:r>
      <w:proofErr w:type="spellStart"/>
      <w:r w:rsidRPr="00950715">
        <w:rPr>
          <w:sz w:val="22"/>
          <w:szCs w:val="22"/>
          <w:lang w:val="sr-Latn-ME"/>
        </w:rPr>
        <w:t>dihidrat</w:t>
      </w:r>
      <w:proofErr w:type="spellEnd"/>
      <w:r w:rsidRPr="00950715">
        <w:rPr>
          <w:sz w:val="22"/>
          <w:szCs w:val="22"/>
          <w:lang w:val="sr-Latn-ME"/>
        </w:rPr>
        <w:tab/>
      </w:r>
      <w:r w:rsidRPr="00950715">
        <w:rPr>
          <w:sz w:val="22"/>
          <w:szCs w:val="22"/>
          <w:lang w:val="sr-Latn-ME"/>
        </w:rPr>
        <w:tab/>
      </w:r>
      <w:r w:rsidR="0003753B" w:rsidRPr="00950715">
        <w:rPr>
          <w:sz w:val="22"/>
          <w:szCs w:val="22"/>
          <w:lang w:val="sr-Latn-ME"/>
        </w:rPr>
        <w:tab/>
      </w:r>
      <w:r w:rsidRPr="00950715">
        <w:rPr>
          <w:sz w:val="22"/>
          <w:szCs w:val="22"/>
          <w:lang w:val="sr-Latn-ME"/>
        </w:rPr>
        <w:t>0,</w:t>
      </w:r>
      <w:r w:rsidR="00496512" w:rsidRPr="00950715">
        <w:rPr>
          <w:sz w:val="22"/>
          <w:szCs w:val="22"/>
          <w:lang w:val="sr-Latn-ME"/>
        </w:rPr>
        <w:t>294</w:t>
      </w:r>
      <w:r w:rsidRPr="00950715">
        <w:rPr>
          <w:sz w:val="22"/>
          <w:szCs w:val="22"/>
          <w:lang w:val="sr-Latn-ME"/>
        </w:rPr>
        <w:t xml:space="preserve"> g</w:t>
      </w:r>
    </w:p>
    <w:p w14:paraId="24512A50" w14:textId="40B56E61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Natrijum (S)</w:t>
      </w:r>
      <w:r w:rsidR="009E7EB6"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laktat</w:t>
      </w:r>
      <w:proofErr w:type="spellEnd"/>
      <w:r w:rsidR="0003753B" w:rsidRPr="00950715">
        <w:rPr>
          <w:sz w:val="22"/>
          <w:szCs w:val="22"/>
          <w:lang w:val="sr-Latn-ME"/>
        </w:rPr>
        <w:t>,</w:t>
      </w:r>
      <w:r w:rsidRPr="00950715">
        <w:rPr>
          <w:sz w:val="22"/>
          <w:szCs w:val="22"/>
          <w:lang w:val="sr-Latn-ME"/>
        </w:rPr>
        <w:t xml:space="preserve"> rastvor</w:t>
      </w:r>
      <w:r w:rsidR="0003753B" w:rsidRPr="00950715">
        <w:rPr>
          <w:sz w:val="22"/>
          <w:szCs w:val="22"/>
          <w:lang w:val="sr-Latn-ME"/>
        </w:rPr>
        <w:t xml:space="preserve"> 50%</w:t>
      </w:r>
      <w:r w:rsidRPr="00950715">
        <w:rPr>
          <w:sz w:val="22"/>
          <w:szCs w:val="22"/>
          <w:lang w:val="sr-Latn-ME"/>
        </w:rPr>
        <w:tab/>
      </w:r>
      <w:r w:rsidRPr="00950715">
        <w:rPr>
          <w:sz w:val="22"/>
          <w:szCs w:val="22"/>
          <w:lang w:val="sr-Latn-ME"/>
        </w:rPr>
        <w:tab/>
      </w:r>
      <w:r w:rsidR="00496512" w:rsidRPr="00950715">
        <w:rPr>
          <w:sz w:val="22"/>
          <w:szCs w:val="22"/>
          <w:lang w:val="sr-Latn-ME"/>
        </w:rPr>
        <w:t>6</w:t>
      </w:r>
      <w:r w:rsidRPr="00950715">
        <w:rPr>
          <w:sz w:val="22"/>
          <w:szCs w:val="22"/>
          <w:lang w:val="sr-Latn-ME"/>
        </w:rPr>
        <w:t>,</w:t>
      </w:r>
      <w:r w:rsidR="00496512" w:rsidRPr="00950715">
        <w:rPr>
          <w:sz w:val="22"/>
          <w:szCs w:val="22"/>
          <w:lang w:val="sr-Latn-ME"/>
        </w:rPr>
        <w:t>276</w:t>
      </w:r>
      <w:r w:rsidRPr="00950715">
        <w:rPr>
          <w:sz w:val="22"/>
          <w:szCs w:val="22"/>
          <w:lang w:val="sr-Latn-ME"/>
        </w:rPr>
        <w:t xml:space="preserve"> g</w:t>
      </w:r>
    </w:p>
    <w:p w14:paraId="66AFBEDE" w14:textId="77777777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</w:p>
    <w:p w14:paraId="7673CB9C" w14:textId="40AA56A6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Koncentracija </w:t>
      </w:r>
      <w:r w:rsidR="008E3695" w:rsidRPr="00950715">
        <w:rPr>
          <w:sz w:val="22"/>
          <w:szCs w:val="22"/>
          <w:lang w:val="sr-Latn-ME"/>
        </w:rPr>
        <w:t>elektrolita</w:t>
      </w:r>
      <w:r w:rsidRPr="00950715">
        <w:rPr>
          <w:sz w:val="22"/>
          <w:szCs w:val="22"/>
          <w:lang w:val="sr-Latn-ME"/>
        </w:rPr>
        <w:t>:</w:t>
      </w:r>
    </w:p>
    <w:p w14:paraId="535725DE" w14:textId="37069939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Na+</w:t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Pr="00950715">
        <w:rPr>
          <w:sz w:val="22"/>
          <w:szCs w:val="22"/>
          <w:lang w:val="sr-Latn-ME"/>
        </w:rPr>
        <w:t xml:space="preserve">131 </w:t>
      </w:r>
      <w:proofErr w:type="spellStart"/>
      <w:r w:rsidRPr="00950715">
        <w:rPr>
          <w:sz w:val="22"/>
          <w:szCs w:val="22"/>
          <w:lang w:val="sr-Latn-ME"/>
        </w:rPr>
        <w:t>mmol</w:t>
      </w:r>
      <w:proofErr w:type="spellEnd"/>
      <w:r w:rsidRPr="00950715">
        <w:rPr>
          <w:sz w:val="22"/>
          <w:szCs w:val="22"/>
          <w:lang w:val="sr-Latn-ME"/>
        </w:rPr>
        <w:t>/l</w:t>
      </w:r>
    </w:p>
    <w:p w14:paraId="51549BC6" w14:textId="4EE65F76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K+</w:t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640135" w:rsidRPr="00950715">
        <w:rPr>
          <w:sz w:val="22"/>
          <w:szCs w:val="22"/>
          <w:lang w:val="sr-Latn-ME"/>
        </w:rPr>
        <w:t xml:space="preserve">    </w:t>
      </w:r>
      <w:r w:rsidRPr="00950715">
        <w:rPr>
          <w:sz w:val="22"/>
          <w:szCs w:val="22"/>
          <w:lang w:val="sr-Latn-ME"/>
        </w:rPr>
        <w:t xml:space="preserve">5 </w:t>
      </w:r>
      <w:proofErr w:type="spellStart"/>
      <w:r w:rsidRPr="00950715">
        <w:rPr>
          <w:sz w:val="22"/>
          <w:szCs w:val="22"/>
          <w:lang w:val="sr-Latn-ME"/>
        </w:rPr>
        <w:t>mmol</w:t>
      </w:r>
      <w:proofErr w:type="spellEnd"/>
      <w:r w:rsidRPr="00950715">
        <w:rPr>
          <w:sz w:val="22"/>
          <w:szCs w:val="22"/>
          <w:lang w:val="sr-Latn-ME"/>
        </w:rPr>
        <w:t>/l</w:t>
      </w:r>
    </w:p>
    <w:p w14:paraId="35E8EAE0" w14:textId="0A346A8F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Ca</w:t>
      </w:r>
      <w:proofErr w:type="spellEnd"/>
      <w:r w:rsidRPr="00950715">
        <w:rPr>
          <w:sz w:val="22"/>
          <w:szCs w:val="22"/>
          <w:lang w:val="sr-Latn-ME"/>
        </w:rPr>
        <w:t>++</w:t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640135" w:rsidRPr="00950715">
        <w:rPr>
          <w:sz w:val="22"/>
          <w:szCs w:val="22"/>
          <w:lang w:val="sr-Latn-ME"/>
        </w:rPr>
        <w:t xml:space="preserve">    </w:t>
      </w:r>
      <w:r w:rsidRPr="00950715">
        <w:rPr>
          <w:sz w:val="22"/>
          <w:szCs w:val="22"/>
          <w:lang w:val="sr-Latn-ME"/>
        </w:rPr>
        <w:t xml:space="preserve">2 </w:t>
      </w:r>
      <w:proofErr w:type="spellStart"/>
      <w:r w:rsidRPr="00950715">
        <w:rPr>
          <w:sz w:val="22"/>
          <w:szCs w:val="22"/>
          <w:lang w:val="sr-Latn-ME"/>
        </w:rPr>
        <w:t>mmol</w:t>
      </w:r>
      <w:proofErr w:type="spellEnd"/>
      <w:r w:rsidRPr="00950715">
        <w:rPr>
          <w:sz w:val="22"/>
          <w:szCs w:val="22"/>
          <w:lang w:val="sr-Latn-ME"/>
        </w:rPr>
        <w:t>/l</w:t>
      </w:r>
    </w:p>
    <w:p w14:paraId="43875516" w14:textId="45C2745B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Cl</w:t>
      </w:r>
      <w:r w:rsidRPr="00950715">
        <w:rPr>
          <w:sz w:val="22"/>
          <w:szCs w:val="22"/>
          <w:vertAlign w:val="superscript"/>
          <w:lang w:val="sr-Latn-ME"/>
        </w:rPr>
        <w:t>-</w:t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Pr="00950715">
        <w:rPr>
          <w:sz w:val="22"/>
          <w:szCs w:val="22"/>
          <w:lang w:val="sr-Latn-ME"/>
        </w:rPr>
        <w:t xml:space="preserve">112 </w:t>
      </w:r>
      <w:proofErr w:type="spellStart"/>
      <w:r w:rsidRPr="00950715">
        <w:rPr>
          <w:sz w:val="22"/>
          <w:szCs w:val="22"/>
          <w:lang w:val="sr-Latn-ME"/>
        </w:rPr>
        <w:t>mmol</w:t>
      </w:r>
      <w:proofErr w:type="spellEnd"/>
      <w:r w:rsidRPr="00950715">
        <w:rPr>
          <w:sz w:val="22"/>
          <w:szCs w:val="22"/>
          <w:lang w:val="sr-Latn-ME"/>
        </w:rPr>
        <w:t>/l</w:t>
      </w:r>
    </w:p>
    <w:p w14:paraId="39D8124C" w14:textId="6BA3FD50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Laktat</w:t>
      </w:r>
      <w:proofErr w:type="spellEnd"/>
      <w:r w:rsidRPr="00950715">
        <w:rPr>
          <w:sz w:val="22"/>
          <w:szCs w:val="22"/>
          <w:vertAlign w:val="superscript"/>
          <w:lang w:val="sr-Latn-ME"/>
        </w:rPr>
        <w:t>-</w:t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640135" w:rsidRPr="00950715">
        <w:rPr>
          <w:sz w:val="22"/>
          <w:szCs w:val="22"/>
          <w:lang w:val="sr-Latn-ME"/>
        </w:rPr>
        <w:t xml:space="preserve">  </w:t>
      </w:r>
      <w:r w:rsidRPr="00950715">
        <w:rPr>
          <w:sz w:val="22"/>
          <w:szCs w:val="22"/>
          <w:lang w:val="sr-Latn-ME"/>
        </w:rPr>
        <w:t xml:space="preserve">28 </w:t>
      </w:r>
      <w:proofErr w:type="spellStart"/>
      <w:r w:rsidRPr="00950715">
        <w:rPr>
          <w:sz w:val="22"/>
          <w:szCs w:val="22"/>
          <w:lang w:val="sr-Latn-ME"/>
        </w:rPr>
        <w:t>mmol</w:t>
      </w:r>
      <w:proofErr w:type="spellEnd"/>
      <w:r w:rsidRPr="00950715">
        <w:rPr>
          <w:sz w:val="22"/>
          <w:szCs w:val="22"/>
          <w:lang w:val="sr-Latn-ME"/>
        </w:rPr>
        <w:t>/l</w:t>
      </w:r>
    </w:p>
    <w:p w14:paraId="3142B744" w14:textId="77777777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</w:p>
    <w:p w14:paraId="677D7462" w14:textId="0710A905" w:rsidR="00392762" w:rsidRPr="00950715" w:rsidRDefault="008E3695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Teoretska </w:t>
      </w:r>
      <w:proofErr w:type="spellStart"/>
      <w:r w:rsidR="00640135" w:rsidRPr="00950715">
        <w:rPr>
          <w:sz w:val="22"/>
          <w:szCs w:val="22"/>
          <w:lang w:val="sr-Latn-ME"/>
        </w:rPr>
        <w:t>o</w:t>
      </w:r>
      <w:r w:rsidR="00392762" w:rsidRPr="00950715">
        <w:rPr>
          <w:sz w:val="22"/>
          <w:szCs w:val="22"/>
          <w:lang w:val="sr-Latn-ME"/>
        </w:rPr>
        <w:t>smolarnost</w:t>
      </w:r>
      <w:proofErr w:type="spellEnd"/>
      <w:r w:rsidR="00BC0068" w:rsidRPr="00950715">
        <w:rPr>
          <w:sz w:val="22"/>
          <w:szCs w:val="22"/>
          <w:lang w:val="sr-Latn-ME"/>
        </w:rPr>
        <w:t xml:space="preserve"> rastvora</w:t>
      </w:r>
      <w:r w:rsidR="00392762" w:rsidRPr="00950715">
        <w:rPr>
          <w:sz w:val="22"/>
          <w:szCs w:val="22"/>
          <w:lang w:val="sr-Latn-ME"/>
        </w:rPr>
        <w:t>:</w:t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392762" w:rsidRPr="00950715">
        <w:rPr>
          <w:sz w:val="22"/>
          <w:szCs w:val="22"/>
          <w:lang w:val="sr-Latn-ME"/>
        </w:rPr>
        <w:t xml:space="preserve">278 </w:t>
      </w:r>
      <w:proofErr w:type="spellStart"/>
      <w:r w:rsidR="00392762" w:rsidRPr="00950715">
        <w:rPr>
          <w:sz w:val="22"/>
          <w:szCs w:val="22"/>
          <w:lang w:val="sr-Latn-ME"/>
        </w:rPr>
        <w:t>m</w:t>
      </w:r>
      <w:r w:rsidR="00640135" w:rsidRPr="00950715">
        <w:rPr>
          <w:sz w:val="22"/>
          <w:szCs w:val="22"/>
          <w:lang w:val="sr-Latn-ME"/>
        </w:rPr>
        <w:t>O</w:t>
      </w:r>
      <w:r w:rsidR="00392762" w:rsidRPr="00950715">
        <w:rPr>
          <w:sz w:val="22"/>
          <w:szCs w:val="22"/>
          <w:lang w:val="sr-Latn-ME"/>
        </w:rPr>
        <w:t>sm</w:t>
      </w:r>
      <w:proofErr w:type="spellEnd"/>
      <w:r w:rsidR="00392762" w:rsidRPr="00950715">
        <w:rPr>
          <w:sz w:val="22"/>
          <w:szCs w:val="22"/>
          <w:lang w:val="sr-Latn-ME"/>
        </w:rPr>
        <w:t>/</w:t>
      </w:r>
      <w:r w:rsidR="00640135" w:rsidRPr="00950715">
        <w:rPr>
          <w:sz w:val="22"/>
          <w:szCs w:val="22"/>
          <w:lang w:val="sr-Latn-ME"/>
        </w:rPr>
        <w:t>l</w:t>
      </w:r>
      <w:r w:rsidR="00392762" w:rsidRPr="00950715">
        <w:rPr>
          <w:sz w:val="22"/>
          <w:szCs w:val="22"/>
          <w:lang w:val="sr-Latn-ME"/>
        </w:rPr>
        <w:t>.</w:t>
      </w:r>
    </w:p>
    <w:p w14:paraId="52E6B4C8" w14:textId="2E3C4710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pH</w:t>
      </w:r>
      <w:proofErr w:type="spellEnd"/>
      <w:r w:rsidRPr="00950715">
        <w:rPr>
          <w:sz w:val="22"/>
          <w:szCs w:val="22"/>
          <w:lang w:val="sr-Latn-ME"/>
        </w:rPr>
        <w:t xml:space="preserve"> rastvora:</w:t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="009E7EB6" w:rsidRPr="00950715">
        <w:rPr>
          <w:sz w:val="22"/>
          <w:szCs w:val="22"/>
          <w:lang w:val="sr-Latn-ME"/>
        </w:rPr>
        <w:tab/>
      </w:r>
      <w:r w:rsidRPr="00950715">
        <w:rPr>
          <w:sz w:val="22"/>
          <w:szCs w:val="22"/>
          <w:lang w:val="sr-Latn-ME"/>
        </w:rPr>
        <w:t xml:space="preserve">5,0 </w:t>
      </w:r>
      <w:r w:rsidR="00640135" w:rsidRPr="00950715">
        <w:rPr>
          <w:sz w:val="22"/>
          <w:szCs w:val="22"/>
          <w:lang w:val="sr-Latn-ME"/>
        </w:rPr>
        <w:t>-</w:t>
      </w:r>
      <w:r w:rsidRPr="00950715">
        <w:rPr>
          <w:sz w:val="22"/>
          <w:szCs w:val="22"/>
          <w:lang w:val="sr-Latn-ME"/>
        </w:rPr>
        <w:t xml:space="preserve"> 7,0.</w:t>
      </w:r>
    </w:p>
    <w:p w14:paraId="58B8910E" w14:textId="77777777" w:rsidR="00392762" w:rsidRPr="00950715" w:rsidRDefault="00392762" w:rsidP="00D62C2F">
      <w:pPr>
        <w:jc w:val="both"/>
        <w:rPr>
          <w:sz w:val="22"/>
          <w:szCs w:val="22"/>
          <w:lang w:val="sr-Latn-ME"/>
        </w:rPr>
      </w:pPr>
    </w:p>
    <w:p w14:paraId="271AADC0" w14:textId="5130D06C" w:rsidR="0003793F" w:rsidRPr="00950715" w:rsidRDefault="0003793F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Za spisak svih </w:t>
      </w:r>
      <w:proofErr w:type="spellStart"/>
      <w:r w:rsidRPr="00950715">
        <w:rPr>
          <w:sz w:val="22"/>
          <w:szCs w:val="22"/>
          <w:lang w:val="sr-Latn-ME"/>
        </w:rPr>
        <w:t>ekscipijenasa</w:t>
      </w:r>
      <w:proofErr w:type="spellEnd"/>
      <w:r w:rsidRPr="00950715">
        <w:rPr>
          <w:sz w:val="22"/>
          <w:szCs w:val="22"/>
          <w:lang w:val="sr-Latn-ME"/>
        </w:rPr>
        <w:t>, pogledati dio 6.1.</w:t>
      </w:r>
    </w:p>
    <w:p w14:paraId="271AADC1" w14:textId="77777777" w:rsidR="0003793F" w:rsidRPr="00950715" w:rsidRDefault="0003793F" w:rsidP="00D62C2F">
      <w:pPr>
        <w:jc w:val="both"/>
        <w:rPr>
          <w:sz w:val="22"/>
          <w:szCs w:val="22"/>
          <w:lang w:val="sr-Latn-ME"/>
        </w:rPr>
      </w:pPr>
    </w:p>
    <w:p w14:paraId="271AADC2" w14:textId="77777777" w:rsidR="00C37FD7" w:rsidRPr="00950715" w:rsidRDefault="00C37FD7" w:rsidP="00D62C2F">
      <w:pPr>
        <w:jc w:val="both"/>
        <w:rPr>
          <w:sz w:val="22"/>
          <w:szCs w:val="22"/>
          <w:lang w:val="sr-Latn-ME"/>
        </w:rPr>
      </w:pPr>
    </w:p>
    <w:p w14:paraId="271AADC3" w14:textId="77777777" w:rsidR="00411B4B" w:rsidRPr="00950715" w:rsidRDefault="00411B4B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3. </w:t>
      </w:r>
      <w:r w:rsidR="00F5167F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FARMACEUTSKI OBLIK</w:t>
      </w:r>
      <w:r w:rsidR="009F2D23" w:rsidRPr="00950715">
        <w:rPr>
          <w:b/>
          <w:bCs/>
          <w:sz w:val="22"/>
          <w:szCs w:val="22"/>
          <w:lang w:val="sr-Latn-ME"/>
        </w:rPr>
        <w:t xml:space="preserve"> </w:t>
      </w:r>
    </w:p>
    <w:p w14:paraId="271AADC4" w14:textId="77777777" w:rsidR="00411B4B" w:rsidRPr="00950715" w:rsidRDefault="00411B4B" w:rsidP="00D62C2F">
      <w:pPr>
        <w:jc w:val="both"/>
        <w:rPr>
          <w:bCs/>
          <w:sz w:val="22"/>
          <w:szCs w:val="22"/>
          <w:lang w:val="sr-Latn-ME"/>
        </w:rPr>
      </w:pPr>
    </w:p>
    <w:p w14:paraId="08F7C578" w14:textId="77777777" w:rsidR="009E7EB6" w:rsidRPr="00950715" w:rsidRDefault="009E7EB6" w:rsidP="00D62C2F">
      <w:pPr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 xml:space="preserve">Rastvor za infuziju. </w:t>
      </w:r>
    </w:p>
    <w:p w14:paraId="271AADC5" w14:textId="245F3DC0" w:rsidR="00EC2532" w:rsidRPr="00950715" w:rsidRDefault="009E7EB6" w:rsidP="00D62C2F">
      <w:pPr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>Bistar, bezbojan rastvor.</w:t>
      </w:r>
    </w:p>
    <w:p w14:paraId="12AA86B3" w14:textId="77777777" w:rsidR="009E7EB6" w:rsidRPr="00950715" w:rsidRDefault="009E7EB6" w:rsidP="00D62C2F">
      <w:pPr>
        <w:jc w:val="both"/>
        <w:rPr>
          <w:bCs/>
          <w:sz w:val="22"/>
          <w:szCs w:val="22"/>
          <w:lang w:val="sr-Latn-ME"/>
        </w:rPr>
      </w:pPr>
    </w:p>
    <w:p w14:paraId="5D9E459F" w14:textId="77777777" w:rsidR="009E7EB6" w:rsidRPr="00950715" w:rsidRDefault="009E7EB6" w:rsidP="00D62C2F">
      <w:pPr>
        <w:jc w:val="both"/>
        <w:rPr>
          <w:bCs/>
          <w:sz w:val="22"/>
          <w:szCs w:val="22"/>
          <w:lang w:val="sr-Latn-ME"/>
        </w:rPr>
      </w:pPr>
    </w:p>
    <w:p w14:paraId="271AADC6" w14:textId="77777777" w:rsidR="00411B4B" w:rsidRPr="00950715" w:rsidRDefault="00411B4B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4.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KLINIČKI PODACI</w:t>
      </w:r>
    </w:p>
    <w:p w14:paraId="271AADC7" w14:textId="77777777" w:rsidR="00CD6F02" w:rsidRPr="00950715" w:rsidRDefault="00CD6F02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DC8" w14:textId="77777777" w:rsidR="00411B4B" w:rsidRPr="00950715" w:rsidRDefault="00411B4B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4.1.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Terapijske indikacije</w:t>
      </w:r>
    </w:p>
    <w:p w14:paraId="271AADC9" w14:textId="7AD822F8" w:rsidR="00411B4B" w:rsidRPr="00950715" w:rsidRDefault="00411B4B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0DEC07" w14:textId="488B14CB" w:rsidR="00695D64" w:rsidRPr="00950715" w:rsidRDefault="00695D64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 xml:space="preserve">Lijek </w:t>
      </w:r>
      <w:proofErr w:type="spellStart"/>
      <w:r w:rsidRPr="00950715">
        <w:rPr>
          <w:bCs/>
          <w:sz w:val="22"/>
          <w:szCs w:val="22"/>
          <w:lang w:val="sr-Latn-ME"/>
        </w:rPr>
        <w:t>Hartmanov</w:t>
      </w:r>
      <w:proofErr w:type="spellEnd"/>
      <w:r w:rsidRPr="00950715">
        <w:rPr>
          <w:bCs/>
          <w:sz w:val="22"/>
          <w:szCs w:val="22"/>
          <w:lang w:val="sr-Latn-ME"/>
        </w:rPr>
        <w:t xml:space="preserve"> rastvor HF, rastvor za infuziju primjenjuje se u sljedećim indikacijama:</w:t>
      </w:r>
    </w:p>
    <w:p w14:paraId="05E65721" w14:textId="597EF0E0" w:rsidR="00716DAE" w:rsidRPr="00950715" w:rsidRDefault="00716DAE" w:rsidP="00D62C2F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Nadoknada tečnosti i elektrolita u stanjima kada </w:t>
      </w:r>
      <w:proofErr w:type="spellStart"/>
      <w:r w:rsidRPr="00950715">
        <w:rPr>
          <w:sz w:val="22"/>
          <w:szCs w:val="22"/>
          <w:lang w:val="sr-Latn-ME"/>
        </w:rPr>
        <w:t>acido</w:t>
      </w:r>
      <w:proofErr w:type="spellEnd"/>
      <w:r w:rsidRPr="00950715">
        <w:rPr>
          <w:sz w:val="22"/>
          <w:szCs w:val="22"/>
          <w:lang w:val="sr-Latn-ME"/>
        </w:rPr>
        <w:t xml:space="preserve">-bazna ravnoteža nije narušena ili u slučaju blage </w:t>
      </w:r>
      <w:proofErr w:type="spellStart"/>
      <w:r w:rsidRPr="00950715">
        <w:rPr>
          <w:sz w:val="22"/>
          <w:szCs w:val="22"/>
          <w:lang w:val="sr-Latn-ME"/>
        </w:rPr>
        <w:t>acidoze</w:t>
      </w:r>
      <w:proofErr w:type="spellEnd"/>
      <w:r w:rsidR="00695D64" w:rsidRPr="00950715">
        <w:rPr>
          <w:sz w:val="22"/>
          <w:szCs w:val="22"/>
          <w:lang w:val="sr-Latn-ME"/>
        </w:rPr>
        <w:t>;</w:t>
      </w:r>
    </w:p>
    <w:p w14:paraId="70A952E5" w14:textId="75EBB536" w:rsidR="00716DAE" w:rsidRPr="00950715" w:rsidRDefault="00716DAE" w:rsidP="00D62C2F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Izotonična</w:t>
      </w:r>
      <w:proofErr w:type="spellEnd"/>
      <w:r w:rsidRPr="00950715">
        <w:rPr>
          <w:sz w:val="22"/>
          <w:szCs w:val="22"/>
          <w:lang w:val="sr-Latn-ME"/>
        </w:rPr>
        <w:t xml:space="preserve"> i </w:t>
      </w:r>
      <w:proofErr w:type="spellStart"/>
      <w:r w:rsidRPr="00950715">
        <w:rPr>
          <w:sz w:val="22"/>
          <w:szCs w:val="22"/>
          <w:lang w:val="sr-Latn-ME"/>
        </w:rPr>
        <w:t>hipotonična</w:t>
      </w:r>
      <w:proofErr w:type="spellEnd"/>
      <w:r w:rsidRPr="00950715">
        <w:rPr>
          <w:sz w:val="22"/>
          <w:szCs w:val="22"/>
          <w:lang w:val="sr-Latn-ME"/>
        </w:rPr>
        <w:t xml:space="preserve"> dehidratacija</w:t>
      </w:r>
      <w:r w:rsidR="00695D64" w:rsidRPr="00950715">
        <w:rPr>
          <w:sz w:val="22"/>
          <w:szCs w:val="22"/>
          <w:lang w:val="sr-Latn-ME"/>
        </w:rPr>
        <w:t>;</w:t>
      </w:r>
    </w:p>
    <w:p w14:paraId="2ADE0717" w14:textId="6E93D1C6" w:rsidR="00716DAE" w:rsidRPr="00950715" w:rsidRDefault="00716DAE" w:rsidP="00D62C2F">
      <w:pPr>
        <w:pStyle w:val="ListParagraph"/>
        <w:numPr>
          <w:ilvl w:val="0"/>
          <w:numId w:val="13"/>
        </w:num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Kratkotrajna </w:t>
      </w:r>
      <w:proofErr w:type="spellStart"/>
      <w:r w:rsidRPr="00950715">
        <w:rPr>
          <w:sz w:val="22"/>
          <w:szCs w:val="22"/>
          <w:lang w:val="sr-Latn-ME"/>
        </w:rPr>
        <w:t>intravaskularna</w:t>
      </w:r>
      <w:proofErr w:type="spellEnd"/>
      <w:r w:rsidRPr="00950715">
        <w:rPr>
          <w:sz w:val="22"/>
          <w:szCs w:val="22"/>
          <w:lang w:val="sr-Latn-ME"/>
        </w:rPr>
        <w:t xml:space="preserve"> nadoknada tečnosti</w:t>
      </w:r>
      <w:r w:rsidR="00695D64" w:rsidRPr="00950715">
        <w:rPr>
          <w:sz w:val="22"/>
          <w:szCs w:val="22"/>
          <w:lang w:val="sr-Latn-ME"/>
        </w:rPr>
        <w:t>;</w:t>
      </w:r>
    </w:p>
    <w:p w14:paraId="22C2C66A" w14:textId="7F455B08" w:rsidR="00716DAE" w:rsidRPr="00950715" w:rsidRDefault="00716DAE" w:rsidP="00D62C2F">
      <w:pPr>
        <w:pStyle w:val="ListParagraph"/>
        <w:numPr>
          <w:ilvl w:val="0"/>
          <w:numId w:val="13"/>
        </w:num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Rastvarač za kompatibilne koncentrate elektrolita ili ljekova.</w:t>
      </w:r>
    </w:p>
    <w:p w14:paraId="0E9F0743" w14:textId="77777777" w:rsidR="00716DAE" w:rsidRPr="00950715" w:rsidRDefault="00716DA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DCA" w14:textId="77777777" w:rsidR="00411B4B" w:rsidRPr="00950715" w:rsidRDefault="00411B4B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4.2.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Doziranje i način primjene</w:t>
      </w:r>
    </w:p>
    <w:p w14:paraId="271AADCB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DCC" w14:textId="77777777" w:rsidR="00452E9D" w:rsidRPr="00950715" w:rsidRDefault="00452E9D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50715">
        <w:rPr>
          <w:bCs/>
          <w:sz w:val="22"/>
          <w:szCs w:val="22"/>
          <w:u w:val="single"/>
          <w:lang w:val="sr-Latn-ME"/>
        </w:rPr>
        <w:t>Doziranje</w:t>
      </w:r>
    </w:p>
    <w:p w14:paraId="1293839A" w14:textId="77777777" w:rsidR="00F93C84" w:rsidRPr="00950715" w:rsidRDefault="00843578" w:rsidP="00D62C2F">
      <w:pPr>
        <w:tabs>
          <w:tab w:val="left" w:pos="1080"/>
        </w:tabs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 xml:space="preserve">Doziranje rastvora zavisi od potreba </w:t>
      </w:r>
      <w:r w:rsidR="00886C4A" w:rsidRPr="00950715">
        <w:rPr>
          <w:rFonts w:eastAsia="TimesNewRoman"/>
          <w:sz w:val="22"/>
          <w:szCs w:val="22"/>
          <w:lang w:val="sr-Latn-ME"/>
        </w:rPr>
        <w:t>organizma</w:t>
      </w:r>
      <w:r w:rsidRPr="00950715">
        <w:rPr>
          <w:rFonts w:eastAsia="TimesNewRoman"/>
          <w:sz w:val="22"/>
          <w:szCs w:val="22"/>
          <w:lang w:val="sr-Latn-ME"/>
        </w:rPr>
        <w:t xml:space="preserve"> za tečnošću i elektrolitima, </w:t>
      </w:r>
      <w:r w:rsidR="00F93C84" w:rsidRPr="00950715">
        <w:rPr>
          <w:rFonts w:eastAsia="TimesNewRoman"/>
          <w:sz w:val="22"/>
          <w:szCs w:val="22"/>
          <w:lang w:val="sr-Latn-ME"/>
        </w:rPr>
        <w:t xml:space="preserve">od kliničkog stanja i fiziološkog </w:t>
      </w:r>
      <w:proofErr w:type="spellStart"/>
      <w:r w:rsidR="00F93C84" w:rsidRPr="00950715">
        <w:rPr>
          <w:rFonts w:eastAsia="TimesNewRoman"/>
          <w:sz w:val="22"/>
          <w:szCs w:val="22"/>
          <w:lang w:val="sr-Latn-ME"/>
        </w:rPr>
        <w:t>acido</w:t>
      </w:r>
      <w:proofErr w:type="spellEnd"/>
      <w:r w:rsidR="00F93C84" w:rsidRPr="00950715">
        <w:rPr>
          <w:rFonts w:eastAsia="TimesNewRoman"/>
          <w:sz w:val="22"/>
          <w:szCs w:val="22"/>
          <w:lang w:val="sr-Latn-ME"/>
        </w:rPr>
        <w:t xml:space="preserve">-baznog statusa pacijenta, </w:t>
      </w:r>
      <w:r w:rsidRPr="00950715">
        <w:rPr>
          <w:rFonts w:eastAsia="TimesNewRoman"/>
          <w:sz w:val="22"/>
          <w:szCs w:val="22"/>
          <w:lang w:val="sr-Latn-ME"/>
        </w:rPr>
        <w:t>godina starosti</w:t>
      </w:r>
      <w:r w:rsidR="00F93C84" w:rsidRPr="00950715">
        <w:rPr>
          <w:rFonts w:eastAsia="TimesNewRoman"/>
          <w:sz w:val="22"/>
          <w:szCs w:val="22"/>
          <w:lang w:val="sr-Latn-ME"/>
        </w:rPr>
        <w:t xml:space="preserve"> i</w:t>
      </w:r>
      <w:r w:rsidRPr="00950715">
        <w:rPr>
          <w:rFonts w:eastAsia="TimesNewRoman"/>
          <w:sz w:val="22"/>
          <w:szCs w:val="22"/>
          <w:lang w:val="sr-Latn-ME"/>
        </w:rPr>
        <w:t xml:space="preserve"> tjelesne mase</w:t>
      </w:r>
      <w:r w:rsidR="00F93C84" w:rsidRPr="00950715">
        <w:rPr>
          <w:rFonts w:eastAsia="TimesNewRoman"/>
          <w:sz w:val="22"/>
          <w:szCs w:val="22"/>
          <w:lang w:val="sr-Latn-ME"/>
        </w:rPr>
        <w:t xml:space="preserve"> pacijenta.</w:t>
      </w:r>
    </w:p>
    <w:p w14:paraId="58456A92" w14:textId="2B3D003A" w:rsidR="00843578" w:rsidRPr="00950715" w:rsidRDefault="00843578" w:rsidP="00D62C2F">
      <w:pPr>
        <w:tabs>
          <w:tab w:val="left" w:pos="1080"/>
        </w:tabs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lastRenderedPageBreak/>
        <w:t xml:space="preserve">Prije i tokom primjene lijeka, može biti potrebno praćenje ravnoteže tečnosti, koncentracije elektrolita u serumu i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acido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>-bazne ravnoteže, sa posebnom pažnjom na koncentraciju natrijuma u serumu kod pacijenata sa povećan</w:t>
      </w:r>
      <w:r w:rsidR="00695D64" w:rsidRPr="00950715">
        <w:rPr>
          <w:rFonts w:eastAsia="TimesNewRoman"/>
          <w:sz w:val="22"/>
          <w:szCs w:val="22"/>
          <w:lang w:val="sr-Latn-ME"/>
        </w:rPr>
        <w:t>o</w:t>
      </w:r>
      <w:r w:rsidRPr="00950715">
        <w:rPr>
          <w:rFonts w:eastAsia="TimesNewRoman"/>
          <w:sz w:val="22"/>
          <w:szCs w:val="22"/>
          <w:lang w:val="sr-Latn-ME"/>
        </w:rPr>
        <w:t xml:space="preserve">m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neosmotsk</w:t>
      </w:r>
      <w:r w:rsidR="00776BEA" w:rsidRPr="00950715">
        <w:rPr>
          <w:rFonts w:eastAsia="TimesNewRoman"/>
          <w:sz w:val="22"/>
          <w:szCs w:val="22"/>
          <w:lang w:val="sr-Latn-ME"/>
        </w:rPr>
        <w:t>o</w:t>
      </w:r>
      <w:r w:rsidRPr="00950715">
        <w:rPr>
          <w:rFonts w:eastAsia="TimesNewRoman"/>
          <w:sz w:val="22"/>
          <w:szCs w:val="22"/>
          <w:lang w:val="sr-Latn-ME"/>
        </w:rPr>
        <w:t>m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</w:t>
      </w:r>
      <w:r w:rsidR="00776BEA" w:rsidRPr="00950715">
        <w:rPr>
          <w:rFonts w:eastAsia="TimesNewRoman"/>
          <w:sz w:val="22"/>
          <w:szCs w:val="22"/>
          <w:lang w:val="sr-Latn-ME"/>
        </w:rPr>
        <w:t>sekrecijom</w:t>
      </w:r>
      <w:r w:rsidRPr="00950715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vazopresina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(sindrom neadekvatne sekrecije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antidiuretskog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hormona; engl. </w:t>
      </w:r>
      <w:proofErr w:type="spellStart"/>
      <w:r w:rsidRPr="00950715">
        <w:rPr>
          <w:rFonts w:eastAsia="TimesNewRoman"/>
          <w:i/>
          <w:iCs/>
          <w:sz w:val="22"/>
          <w:szCs w:val="22"/>
          <w:lang w:val="sr-Latn-ME"/>
        </w:rPr>
        <w:t>syndrome</w:t>
      </w:r>
      <w:proofErr w:type="spellEnd"/>
      <w:r w:rsidRPr="00950715">
        <w:rPr>
          <w:rFonts w:eastAsia="TimesNewRoman"/>
          <w:i/>
          <w:iCs/>
          <w:sz w:val="22"/>
          <w:szCs w:val="22"/>
          <w:lang w:val="sr-Latn-ME"/>
        </w:rPr>
        <w:t xml:space="preserve"> </w:t>
      </w:r>
      <w:proofErr w:type="spellStart"/>
      <w:r w:rsidRPr="00950715">
        <w:rPr>
          <w:rFonts w:eastAsia="TimesNewRoman"/>
          <w:i/>
          <w:iCs/>
          <w:sz w:val="22"/>
          <w:szCs w:val="22"/>
          <w:lang w:val="sr-Latn-ME"/>
        </w:rPr>
        <w:t>of</w:t>
      </w:r>
      <w:proofErr w:type="spellEnd"/>
      <w:r w:rsidRPr="00950715">
        <w:rPr>
          <w:rFonts w:eastAsia="TimesNewRoman"/>
          <w:i/>
          <w:iCs/>
          <w:sz w:val="22"/>
          <w:szCs w:val="22"/>
          <w:lang w:val="sr-Latn-ME"/>
        </w:rPr>
        <w:t xml:space="preserve"> </w:t>
      </w:r>
      <w:proofErr w:type="spellStart"/>
      <w:r w:rsidRPr="00950715">
        <w:rPr>
          <w:rFonts w:eastAsia="TimesNewRoman"/>
          <w:i/>
          <w:iCs/>
          <w:sz w:val="22"/>
          <w:szCs w:val="22"/>
          <w:lang w:val="sr-Latn-ME"/>
        </w:rPr>
        <w:t>inappropriate</w:t>
      </w:r>
      <w:proofErr w:type="spellEnd"/>
      <w:r w:rsidRPr="00950715">
        <w:rPr>
          <w:rFonts w:eastAsia="TimesNewRoman"/>
          <w:i/>
          <w:iCs/>
          <w:sz w:val="22"/>
          <w:szCs w:val="22"/>
          <w:lang w:val="sr-Latn-ME"/>
        </w:rPr>
        <w:t xml:space="preserve"> </w:t>
      </w:r>
      <w:proofErr w:type="spellStart"/>
      <w:r w:rsidRPr="00950715">
        <w:rPr>
          <w:rFonts w:eastAsia="TimesNewRoman"/>
          <w:i/>
          <w:iCs/>
          <w:sz w:val="22"/>
          <w:szCs w:val="22"/>
          <w:lang w:val="sr-Latn-ME"/>
        </w:rPr>
        <w:t>antidiuretic</w:t>
      </w:r>
      <w:proofErr w:type="spellEnd"/>
      <w:r w:rsidRPr="00950715">
        <w:rPr>
          <w:rFonts w:eastAsia="TimesNewRoman"/>
          <w:i/>
          <w:iCs/>
          <w:sz w:val="22"/>
          <w:szCs w:val="22"/>
          <w:lang w:val="sr-Latn-ME"/>
        </w:rPr>
        <w:t xml:space="preserve"> hormone </w:t>
      </w:r>
      <w:proofErr w:type="spellStart"/>
      <w:r w:rsidRPr="00950715">
        <w:rPr>
          <w:rFonts w:eastAsia="TimesNewRoman"/>
          <w:i/>
          <w:iCs/>
          <w:sz w:val="22"/>
          <w:szCs w:val="22"/>
          <w:lang w:val="sr-Latn-ME"/>
        </w:rPr>
        <w:t>secretion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, SIADH) i kod pacijenata koji istovremeno primjenjuju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agoniste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vazopresina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, zbog rizika od bolnički stečene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hiponatr</w:t>
      </w:r>
      <w:r w:rsidR="008E3695" w:rsidRPr="00950715">
        <w:rPr>
          <w:rFonts w:eastAsia="TimesNewRoman"/>
          <w:sz w:val="22"/>
          <w:szCs w:val="22"/>
          <w:lang w:val="sr-Latn-ME"/>
        </w:rPr>
        <w:t>ij</w:t>
      </w:r>
      <w:r w:rsidRPr="00950715">
        <w:rPr>
          <w:rFonts w:eastAsia="TimesNewRoman"/>
          <w:sz w:val="22"/>
          <w:szCs w:val="22"/>
          <w:lang w:val="sr-Latn-ME"/>
        </w:rPr>
        <w:t>emije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(pogledati djelove 4.4, 4.5 i 4.8). </w:t>
      </w:r>
    </w:p>
    <w:p w14:paraId="159CDD72" w14:textId="16B14909" w:rsidR="00843578" w:rsidRPr="00950715" w:rsidRDefault="00843578" w:rsidP="00D62C2F">
      <w:pPr>
        <w:tabs>
          <w:tab w:val="left" w:pos="1080"/>
        </w:tabs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 xml:space="preserve">Praćenje koncentracije natrijuma u serumu je posebno važno u slučaju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hipotoničnih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</w:t>
      </w:r>
      <w:r w:rsidR="00776BEA" w:rsidRPr="00950715">
        <w:rPr>
          <w:rFonts w:eastAsia="TimesNewRoman"/>
          <w:sz w:val="22"/>
          <w:szCs w:val="22"/>
          <w:lang w:val="sr-Latn-ME"/>
        </w:rPr>
        <w:t>rastvora</w:t>
      </w:r>
      <w:r w:rsidRPr="00950715">
        <w:rPr>
          <w:rFonts w:eastAsia="TimesNewRoman"/>
          <w:sz w:val="22"/>
          <w:szCs w:val="22"/>
          <w:lang w:val="sr-Latn-ME"/>
        </w:rPr>
        <w:t xml:space="preserve">. </w:t>
      </w:r>
    </w:p>
    <w:p w14:paraId="51CCE953" w14:textId="0C090E49" w:rsidR="00843578" w:rsidRPr="00950715" w:rsidRDefault="00843578" w:rsidP="00D62C2F">
      <w:pPr>
        <w:tabs>
          <w:tab w:val="left" w:pos="1080"/>
        </w:tabs>
        <w:jc w:val="both"/>
        <w:rPr>
          <w:rFonts w:eastAsia="TimesNewRoman"/>
          <w:sz w:val="22"/>
          <w:szCs w:val="22"/>
          <w:lang w:val="sr-Latn-ME"/>
        </w:rPr>
      </w:pPr>
    </w:p>
    <w:p w14:paraId="714E3D87" w14:textId="04C8D7D2" w:rsidR="00FB53B5" w:rsidRPr="00950715" w:rsidRDefault="00843578" w:rsidP="00D62C2F">
      <w:pPr>
        <w:tabs>
          <w:tab w:val="left" w:pos="1080"/>
        </w:tabs>
        <w:jc w:val="both"/>
        <w:rPr>
          <w:rFonts w:eastAsia="TimesNewRoman"/>
          <w:sz w:val="22"/>
          <w:szCs w:val="22"/>
          <w:lang w:val="sr-Latn-ME"/>
        </w:rPr>
      </w:pPr>
      <w:proofErr w:type="spellStart"/>
      <w:r w:rsidRPr="00950715">
        <w:rPr>
          <w:rFonts w:eastAsia="TimesNewRoman"/>
          <w:sz w:val="22"/>
          <w:szCs w:val="22"/>
          <w:lang w:val="sr-Latn-ME"/>
        </w:rPr>
        <w:t>Osmolarnost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lijeka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Hartmanov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rastvor</w:t>
      </w:r>
      <w:r w:rsidR="00776BEA" w:rsidRPr="00950715">
        <w:rPr>
          <w:rFonts w:eastAsia="TimesNewRoman"/>
          <w:sz w:val="22"/>
          <w:szCs w:val="22"/>
          <w:lang w:val="sr-Latn-ME"/>
        </w:rPr>
        <w:t xml:space="preserve"> HF</w:t>
      </w:r>
      <w:r w:rsidR="007A62DC" w:rsidRPr="00950715">
        <w:rPr>
          <w:rFonts w:eastAsia="TimesNewRoman"/>
          <w:sz w:val="22"/>
          <w:szCs w:val="22"/>
          <w:lang w:val="sr-Latn-ME"/>
        </w:rPr>
        <w:t xml:space="preserve">, kada </w:t>
      </w:r>
      <w:r w:rsidRPr="00950715">
        <w:rPr>
          <w:rFonts w:eastAsia="TimesNewRoman"/>
          <w:sz w:val="22"/>
          <w:szCs w:val="22"/>
          <w:lang w:val="sr-Latn-ME"/>
        </w:rPr>
        <w:t>je</w:t>
      </w:r>
      <w:r w:rsidR="007A62DC" w:rsidRPr="00950715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="007A62DC" w:rsidRPr="00950715">
        <w:rPr>
          <w:rFonts w:eastAsia="TimesNewRoman"/>
          <w:sz w:val="22"/>
          <w:szCs w:val="22"/>
          <w:lang w:val="sr-Latn-ME"/>
        </w:rPr>
        <w:t>infundiran</w:t>
      </w:r>
      <w:proofErr w:type="spellEnd"/>
      <w:r w:rsidR="007A62DC" w:rsidRPr="00950715">
        <w:rPr>
          <w:rFonts w:eastAsia="TimesNewRoman"/>
          <w:sz w:val="22"/>
          <w:szCs w:val="22"/>
          <w:lang w:val="sr-Latn-ME"/>
        </w:rPr>
        <w:t xml:space="preserve"> je</w:t>
      </w:r>
      <w:r w:rsidRPr="00950715">
        <w:rPr>
          <w:rFonts w:eastAsia="TimesNewRoman"/>
          <w:sz w:val="22"/>
          <w:szCs w:val="22"/>
          <w:lang w:val="sr-Latn-ME"/>
        </w:rPr>
        <w:t>: 27</w:t>
      </w:r>
      <w:r w:rsidR="00A569AA" w:rsidRPr="00950715">
        <w:rPr>
          <w:rFonts w:eastAsia="TimesNewRoman"/>
          <w:sz w:val="22"/>
          <w:szCs w:val="22"/>
          <w:lang w:val="sr-Latn-ME"/>
        </w:rPr>
        <w:t>8</w:t>
      </w:r>
      <w:r w:rsidRPr="00950715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mOsm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>/</w:t>
      </w:r>
      <w:r w:rsidR="00BC0068" w:rsidRPr="00950715">
        <w:rPr>
          <w:rFonts w:eastAsia="TimesNewRoman"/>
          <w:sz w:val="22"/>
          <w:szCs w:val="22"/>
          <w:lang w:val="sr-Latn-ME"/>
        </w:rPr>
        <w:t>l</w:t>
      </w:r>
      <w:r w:rsidRPr="00950715">
        <w:rPr>
          <w:rFonts w:eastAsia="TimesNewRoman"/>
          <w:sz w:val="22"/>
          <w:szCs w:val="22"/>
          <w:lang w:val="sr-Latn-ME"/>
        </w:rPr>
        <w:t>.</w:t>
      </w:r>
    </w:p>
    <w:p w14:paraId="6691B9C1" w14:textId="77777777" w:rsidR="00843578" w:rsidRPr="00950715" w:rsidRDefault="00843578" w:rsidP="00D62C2F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1E551930" w14:textId="563B16D1" w:rsidR="00562F58" w:rsidRPr="00950715" w:rsidRDefault="00562F58" w:rsidP="00D62C2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Brzina i volumen infuzije </w:t>
      </w:r>
      <w:r w:rsidR="00E56E71" w:rsidRPr="00950715">
        <w:rPr>
          <w:sz w:val="22"/>
          <w:szCs w:val="22"/>
          <w:lang w:val="sr-Latn-ME"/>
        </w:rPr>
        <w:t>zavise od godina starosti, tjelesne m</w:t>
      </w:r>
      <w:r w:rsidR="008D7831" w:rsidRPr="00950715">
        <w:rPr>
          <w:sz w:val="22"/>
          <w:szCs w:val="22"/>
          <w:lang w:val="sr-Latn-ME"/>
        </w:rPr>
        <w:t>a</w:t>
      </w:r>
      <w:r w:rsidR="00E56E71" w:rsidRPr="00950715">
        <w:rPr>
          <w:sz w:val="22"/>
          <w:szCs w:val="22"/>
          <w:lang w:val="sr-Latn-ME"/>
        </w:rPr>
        <w:t>se, kliničkog stanja</w:t>
      </w:r>
      <w:r w:rsidR="00730BD4" w:rsidRPr="00950715">
        <w:rPr>
          <w:sz w:val="22"/>
          <w:szCs w:val="22"/>
          <w:lang w:val="sr-Latn-ME"/>
        </w:rPr>
        <w:t xml:space="preserve"> (npr. opekotine, operacije, </w:t>
      </w:r>
      <w:proofErr w:type="spellStart"/>
      <w:r w:rsidR="00730BD4" w:rsidRPr="00950715">
        <w:rPr>
          <w:sz w:val="22"/>
          <w:szCs w:val="22"/>
          <w:lang w:val="sr-Latn-ME"/>
        </w:rPr>
        <w:t>povrede</w:t>
      </w:r>
      <w:proofErr w:type="spellEnd"/>
      <w:r w:rsidR="00730BD4" w:rsidRPr="00950715">
        <w:rPr>
          <w:sz w:val="22"/>
          <w:szCs w:val="22"/>
          <w:lang w:val="sr-Latn-ME"/>
        </w:rPr>
        <w:t xml:space="preserve"> glave, infekcije), a istovremenu terapiju treba </w:t>
      </w:r>
      <w:r w:rsidR="008D7831" w:rsidRPr="00950715">
        <w:rPr>
          <w:sz w:val="22"/>
          <w:szCs w:val="22"/>
          <w:lang w:val="sr-Latn-ME"/>
        </w:rPr>
        <w:t>da odredi ljekar koji ima iskustva u pedijatrijskoj primjeni terapije</w:t>
      </w:r>
      <w:r w:rsidR="00CC45AD" w:rsidRPr="00950715">
        <w:rPr>
          <w:sz w:val="22"/>
          <w:szCs w:val="22"/>
          <w:lang w:val="sr-Latn-ME"/>
        </w:rPr>
        <w:t xml:space="preserve"> </w:t>
      </w:r>
      <w:proofErr w:type="spellStart"/>
      <w:r w:rsidR="00CC45AD" w:rsidRPr="00950715">
        <w:rPr>
          <w:sz w:val="22"/>
          <w:szCs w:val="22"/>
          <w:lang w:val="sr-Latn-ME"/>
        </w:rPr>
        <w:t>intravenskim</w:t>
      </w:r>
      <w:proofErr w:type="spellEnd"/>
      <w:r w:rsidR="00CC45AD" w:rsidRPr="00950715">
        <w:rPr>
          <w:sz w:val="22"/>
          <w:szCs w:val="22"/>
          <w:lang w:val="sr-Latn-ME"/>
        </w:rPr>
        <w:t xml:space="preserve"> tečnostima (pogledati djelove 4.4 i 4.8).</w:t>
      </w:r>
    </w:p>
    <w:p w14:paraId="75B25A32" w14:textId="77777777" w:rsidR="00CC45AD" w:rsidRPr="00950715" w:rsidRDefault="00CC45AD" w:rsidP="00D62C2F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619B6033" w14:textId="77777777" w:rsidR="00FB53B5" w:rsidRPr="00950715" w:rsidRDefault="00FB53B5" w:rsidP="00D62C2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Preporučeno doziranje:</w:t>
      </w:r>
    </w:p>
    <w:p w14:paraId="20C65D9F" w14:textId="77777777" w:rsidR="00FB53B5" w:rsidRPr="00950715" w:rsidRDefault="00FB53B5" w:rsidP="00D62C2F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74A1E7C5" w14:textId="6A076872" w:rsidR="00FB53B5" w:rsidRPr="00950715" w:rsidRDefault="007A62DC" w:rsidP="00D62C2F">
      <w:pPr>
        <w:tabs>
          <w:tab w:val="left" w:pos="1080"/>
        </w:tabs>
        <w:jc w:val="both"/>
        <w:rPr>
          <w:b/>
          <w:i/>
          <w:sz w:val="22"/>
          <w:szCs w:val="22"/>
          <w:lang w:val="sr-Latn-ME"/>
        </w:rPr>
      </w:pPr>
      <w:r w:rsidRPr="00950715">
        <w:rPr>
          <w:b/>
          <w:i/>
          <w:sz w:val="22"/>
          <w:szCs w:val="22"/>
          <w:lang w:val="sr-Latn-ME"/>
        </w:rPr>
        <w:t>Odrasli i adolescenti</w:t>
      </w:r>
      <w:r w:rsidR="00FB53B5" w:rsidRPr="00950715">
        <w:rPr>
          <w:b/>
          <w:i/>
          <w:sz w:val="22"/>
          <w:szCs w:val="22"/>
          <w:lang w:val="sr-Latn-ME"/>
        </w:rPr>
        <w:t>:</w:t>
      </w:r>
    </w:p>
    <w:p w14:paraId="7E7D06B9" w14:textId="78C579DB" w:rsidR="00FB53B5" w:rsidRPr="00950715" w:rsidRDefault="00FB53B5" w:rsidP="00D62C2F">
      <w:pPr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950715">
        <w:rPr>
          <w:rFonts w:eastAsia="TimesNewRoman"/>
          <w:i/>
          <w:iCs/>
          <w:sz w:val="22"/>
          <w:szCs w:val="22"/>
          <w:lang w:val="sr-Latn-ME"/>
        </w:rPr>
        <w:t>Maksimalna dnevna doza</w:t>
      </w:r>
    </w:p>
    <w:p w14:paraId="1D77EEFB" w14:textId="479952F6" w:rsidR="00FB53B5" w:rsidRPr="00950715" w:rsidRDefault="00FB53B5" w:rsidP="00D62C2F">
      <w:pPr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 xml:space="preserve">Do 40 ml po kilogramu tjelesne mase na dan, što odgovara 5,24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mmol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natrijuma po kilogramu tjelesne mase na dan i 0,2</w:t>
      </w:r>
      <w:r w:rsidR="007F1ACC" w:rsidRPr="00950715">
        <w:rPr>
          <w:rFonts w:eastAsia="TimesNewRoman"/>
          <w:sz w:val="22"/>
          <w:szCs w:val="22"/>
          <w:lang w:val="sr-Latn-ME"/>
        </w:rPr>
        <w:t>2</w:t>
      </w:r>
      <w:r w:rsidRPr="00950715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mmol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kalijuma po kilogramu tjelesne mase na dan.</w:t>
      </w:r>
    </w:p>
    <w:p w14:paraId="1D17CBC2" w14:textId="77777777" w:rsidR="00FB53B5" w:rsidRPr="00950715" w:rsidRDefault="00FB53B5" w:rsidP="00D62C2F">
      <w:pPr>
        <w:jc w:val="both"/>
        <w:rPr>
          <w:rFonts w:eastAsia="TimesNewRoman"/>
          <w:sz w:val="22"/>
          <w:szCs w:val="22"/>
          <w:lang w:val="sr-Latn-ME"/>
        </w:rPr>
      </w:pPr>
    </w:p>
    <w:p w14:paraId="34F08A46" w14:textId="77777777" w:rsidR="00FB53B5" w:rsidRPr="00950715" w:rsidRDefault="00FB53B5" w:rsidP="00D62C2F">
      <w:pPr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950715">
        <w:rPr>
          <w:rFonts w:eastAsia="TimesNewRoman"/>
          <w:i/>
          <w:iCs/>
          <w:sz w:val="22"/>
          <w:szCs w:val="22"/>
          <w:lang w:val="sr-Latn-ME"/>
        </w:rPr>
        <w:t>Maksimalna brzina infuzije</w:t>
      </w:r>
    </w:p>
    <w:p w14:paraId="75EBAC65" w14:textId="77777777" w:rsidR="00D81ED7" w:rsidRPr="00950715" w:rsidRDefault="00FB53B5" w:rsidP="00D62C2F">
      <w:pPr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>Brzinu infuzije treba prilagoditi kliničkom stanju pacijenta</w:t>
      </w:r>
    </w:p>
    <w:p w14:paraId="3604B2C3" w14:textId="1F16FF80" w:rsidR="00FB53B5" w:rsidRPr="00950715" w:rsidRDefault="00D81ED7" w:rsidP="00D62C2F">
      <w:pPr>
        <w:jc w:val="both"/>
        <w:rPr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>B</w:t>
      </w:r>
      <w:r w:rsidR="00FB53B5" w:rsidRPr="00950715">
        <w:rPr>
          <w:rFonts w:eastAsia="TimesNewRoman"/>
          <w:sz w:val="22"/>
          <w:szCs w:val="22"/>
          <w:lang w:val="sr-Latn-ME"/>
        </w:rPr>
        <w:t>rzina infuzije ne bi trebala da pređe</w:t>
      </w:r>
      <w:r w:rsidR="00822692" w:rsidRPr="00950715">
        <w:rPr>
          <w:rFonts w:eastAsia="TimesNewRoman"/>
          <w:sz w:val="22"/>
          <w:szCs w:val="22"/>
          <w:lang w:val="sr-Latn-ME"/>
        </w:rPr>
        <w:t xml:space="preserve"> </w:t>
      </w:r>
      <w:r w:rsidR="00FB53B5" w:rsidRPr="00950715">
        <w:rPr>
          <w:rFonts w:eastAsia="TimesNewRoman"/>
          <w:sz w:val="22"/>
          <w:szCs w:val="22"/>
          <w:lang w:val="sr-Latn-ME"/>
        </w:rPr>
        <w:t>vrijednosti</w:t>
      </w:r>
      <w:r w:rsidR="007B51F2" w:rsidRPr="00950715">
        <w:rPr>
          <w:rFonts w:eastAsia="TimesNewRoman"/>
          <w:sz w:val="22"/>
          <w:szCs w:val="22"/>
          <w:lang w:val="sr-Latn-ME"/>
        </w:rPr>
        <w:t xml:space="preserve"> od </w:t>
      </w:r>
      <w:r w:rsidR="00FB53B5" w:rsidRPr="00950715">
        <w:rPr>
          <w:rFonts w:eastAsia="TimesNewRoman"/>
          <w:sz w:val="22"/>
          <w:szCs w:val="22"/>
          <w:lang w:val="sr-Latn-ME"/>
        </w:rPr>
        <w:t>5 ml po kg tjelesne mase na sat.</w:t>
      </w:r>
    </w:p>
    <w:p w14:paraId="6D4AC119" w14:textId="77777777" w:rsidR="00FB53B5" w:rsidRPr="00950715" w:rsidRDefault="00FB53B5" w:rsidP="00D62C2F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68DB8F1D" w14:textId="75398496" w:rsidR="00FB53B5" w:rsidRPr="00950715" w:rsidRDefault="00FB53B5" w:rsidP="00D62C2F">
      <w:pPr>
        <w:tabs>
          <w:tab w:val="left" w:pos="1080"/>
        </w:tabs>
        <w:jc w:val="both"/>
        <w:rPr>
          <w:b/>
          <w:i/>
          <w:sz w:val="22"/>
          <w:szCs w:val="22"/>
          <w:lang w:val="sr-Latn-ME"/>
        </w:rPr>
      </w:pPr>
      <w:r w:rsidRPr="00950715">
        <w:rPr>
          <w:b/>
          <w:bCs/>
          <w:i/>
          <w:iCs/>
          <w:sz w:val="22"/>
          <w:szCs w:val="22"/>
          <w:lang w:val="sr-Latn-ME"/>
        </w:rPr>
        <w:t>Pedijatrijski pacijenti</w:t>
      </w:r>
    </w:p>
    <w:p w14:paraId="05EBE411" w14:textId="4599263C" w:rsidR="00D5479A" w:rsidRPr="00950715" w:rsidRDefault="00D5479A" w:rsidP="00D62C2F">
      <w:pPr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950715">
        <w:rPr>
          <w:rFonts w:eastAsia="TimesNewRoman"/>
          <w:i/>
          <w:iCs/>
          <w:sz w:val="22"/>
          <w:szCs w:val="22"/>
          <w:lang w:val="sr-Latn-ME"/>
        </w:rPr>
        <w:t>Preporučeno doziranje za odojčad i djecu</w:t>
      </w:r>
    </w:p>
    <w:p w14:paraId="4A0E36D5" w14:textId="5054A1F9" w:rsidR="00FB53B5" w:rsidRPr="00950715" w:rsidRDefault="00FB53B5" w:rsidP="00D62C2F">
      <w:pPr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 xml:space="preserve">20-100 ml po kilogramu tjelesne mase na dan, što odgovara 2,6-13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mmol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natrijuma po kilogramu tjelesne mase i 0,</w:t>
      </w:r>
      <w:r w:rsidR="00561C6B" w:rsidRPr="00950715">
        <w:rPr>
          <w:rFonts w:eastAsia="TimesNewRoman"/>
          <w:sz w:val="22"/>
          <w:szCs w:val="22"/>
          <w:lang w:val="sr-Latn-ME"/>
        </w:rPr>
        <w:t>08</w:t>
      </w:r>
      <w:r w:rsidRPr="00950715">
        <w:rPr>
          <w:rFonts w:eastAsia="TimesNewRoman"/>
          <w:sz w:val="22"/>
          <w:szCs w:val="22"/>
          <w:lang w:val="sr-Latn-ME"/>
        </w:rPr>
        <w:t xml:space="preserve">-0,54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mmol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kalijuma po kilogramu tjelesne mase na dan.</w:t>
      </w:r>
    </w:p>
    <w:p w14:paraId="1E5A676B" w14:textId="77777777" w:rsidR="00FB53B5" w:rsidRPr="00950715" w:rsidRDefault="00FB53B5" w:rsidP="00D62C2F">
      <w:pPr>
        <w:jc w:val="both"/>
        <w:rPr>
          <w:rFonts w:eastAsia="TimesNewRoman"/>
          <w:sz w:val="22"/>
          <w:szCs w:val="22"/>
          <w:lang w:val="sr-Latn-ME"/>
        </w:rPr>
      </w:pPr>
    </w:p>
    <w:p w14:paraId="0D3E25C7" w14:textId="77777777" w:rsidR="00FB53B5" w:rsidRPr="00950715" w:rsidRDefault="00FB53B5" w:rsidP="00D62C2F">
      <w:pPr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950715">
        <w:rPr>
          <w:rFonts w:eastAsia="TimesNewRoman"/>
          <w:i/>
          <w:iCs/>
          <w:sz w:val="22"/>
          <w:szCs w:val="22"/>
          <w:lang w:val="sr-Latn-ME"/>
        </w:rPr>
        <w:t>Maksimalna brzina infuzije</w:t>
      </w:r>
    </w:p>
    <w:p w14:paraId="243BF5B9" w14:textId="385737E5" w:rsidR="00FB53B5" w:rsidRPr="00950715" w:rsidRDefault="00E30FF9" w:rsidP="00D62C2F">
      <w:pPr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>Brzina infuzije je p</w:t>
      </w:r>
      <w:r w:rsidR="00FB53B5" w:rsidRPr="00950715">
        <w:rPr>
          <w:rFonts w:eastAsia="TimesNewRoman"/>
          <w:sz w:val="22"/>
          <w:szCs w:val="22"/>
          <w:lang w:val="sr-Latn-ME"/>
        </w:rPr>
        <w:t>rosječno 5 ml po kilogramu tjelesne mase na sat</w:t>
      </w:r>
      <w:r w:rsidRPr="00950715">
        <w:rPr>
          <w:rFonts w:eastAsia="TimesNewRoman"/>
          <w:sz w:val="22"/>
          <w:szCs w:val="22"/>
          <w:lang w:val="sr-Latn-ME"/>
        </w:rPr>
        <w:t>, ali</w:t>
      </w:r>
      <w:r w:rsidR="00FB53B5" w:rsidRPr="00950715">
        <w:rPr>
          <w:rFonts w:eastAsia="TimesNewRoman"/>
          <w:sz w:val="22"/>
          <w:szCs w:val="22"/>
          <w:lang w:val="sr-Latn-ME"/>
        </w:rPr>
        <w:t xml:space="preserve"> </w:t>
      </w:r>
      <w:r w:rsidRPr="00950715">
        <w:rPr>
          <w:rFonts w:eastAsia="TimesNewRoman"/>
          <w:sz w:val="22"/>
          <w:szCs w:val="22"/>
          <w:lang w:val="sr-Latn-ME"/>
        </w:rPr>
        <w:t>p</w:t>
      </w:r>
      <w:r w:rsidR="00FB53B5" w:rsidRPr="00950715">
        <w:rPr>
          <w:rFonts w:eastAsia="TimesNewRoman"/>
          <w:sz w:val="22"/>
          <w:szCs w:val="22"/>
          <w:lang w:val="sr-Latn-ME"/>
        </w:rPr>
        <w:t>rim</w:t>
      </w:r>
      <w:r w:rsidR="00822692" w:rsidRPr="00950715">
        <w:rPr>
          <w:rFonts w:eastAsia="TimesNewRoman"/>
          <w:sz w:val="22"/>
          <w:szCs w:val="22"/>
          <w:lang w:val="sr-Latn-ME"/>
        </w:rPr>
        <w:t>i</w:t>
      </w:r>
      <w:r w:rsidR="00FB53B5" w:rsidRPr="00950715">
        <w:rPr>
          <w:rFonts w:eastAsia="TimesNewRoman"/>
          <w:sz w:val="22"/>
          <w:szCs w:val="22"/>
          <w:lang w:val="sr-Latn-ME"/>
        </w:rPr>
        <w:t>jenjena količina zavisi od uzrasta pacijenta:</w:t>
      </w:r>
    </w:p>
    <w:p w14:paraId="2B4E770D" w14:textId="3FA28D42" w:rsidR="00FB53B5" w:rsidRPr="00950715" w:rsidRDefault="00FB53B5" w:rsidP="00D62C2F">
      <w:pPr>
        <w:pStyle w:val="ListParagraph"/>
        <w:numPr>
          <w:ilvl w:val="0"/>
          <w:numId w:val="17"/>
        </w:numPr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>6-8 ml po kg tjelesne mase na sat za odojčad</w:t>
      </w:r>
      <w:r w:rsidR="005827D7" w:rsidRPr="00950715">
        <w:rPr>
          <w:rFonts w:eastAsia="TimesNewRoman"/>
          <w:sz w:val="22"/>
          <w:szCs w:val="22"/>
          <w:lang w:val="sr-Latn-ME"/>
        </w:rPr>
        <w:t xml:space="preserve"> i malu djecu</w:t>
      </w:r>
      <w:r w:rsidRPr="00950715">
        <w:rPr>
          <w:rFonts w:eastAsia="TimesNewRoman"/>
          <w:sz w:val="22"/>
          <w:szCs w:val="22"/>
          <w:vertAlign w:val="superscript"/>
          <w:lang w:val="sr-Latn-ME"/>
        </w:rPr>
        <w:t>1</w:t>
      </w:r>
    </w:p>
    <w:p w14:paraId="7C39F414" w14:textId="45CE5E67" w:rsidR="00FB53B5" w:rsidRPr="00950715" w:rsidRDefault="00FB53B5" w:rsidP="00D62C2F">
      <w:pPr>
        <w:pStyle w:val="ListParagraph"/>
        <w:numPr>
          <w:ilvl w:val="0"/>
          <w:numId w:val="17"/>
        </w:numPr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>4-6 ml po kg tjelesne mase na sat za djecu</w:t>
      </w:r>
      <w:r w:rsidR="005827D7" w:rsidRPr="00950715">
        <w:rPr>
          <w:rFonts w:eastAsia="TimesNewRoman"/>
          <w:sz w:val="22"/>
          <w:szCs w:val="22"/>
          <w:lang w:val="sr-Latn-ME"/>
        </w:rPr>
        <w:t xml:space="preserve"> od 1 do 2 godine</w:t>
      </w:r>
      <w:r w:rsidRPr="00950715">
        <w:rPr>
          <w:rFonts w:eastAsia="TimesNewRoman"/>
          <w:sz w:val="22"/>
          <w:szCs w:val="22"/>
          <w:vertAlign w:val="superscript"/>
          <w:lang w:val="sr-Latn-ME"/>
        </w:rPr>
        <w:t>1</w:t>
      </w:r>
    </w:p>
    <w:p w14:paraId="5655929C" w14:textId="77777777" w:rsidR="00FB53B5" w:rsidRPr="00950715" w:rsidRDefault="00FB53B5" w:rsidP="00D62C2F">
      <w:pPr>
        <w:pStyle w:val="ListParagraph"/>
        <w:numPr>
          <w:ilvl w:val="0"/>
          <w:numId w:val="17"/>
        </w:numPr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>2-4 ml po kilogramu tjelesne mase na sat za školsku djecu</w:t>
      </w:r>
      <w:r w:rsidRPr="00950715">
        <w:rPr>
          <w:rFonts w:eastAsia="TimesNewRoman"/>
          <w:sz w:val="22"/>
          <w:szCs w:val="22"/>
          <w:vertAlign w:val="superscript"/>
          <w:lang w:val="sr-Latn-ME"/>
        </w:rPr>
        <w:t>2</w:t>
      </w:r>
    </w:p>
    <w:p w14:paraId="2BE64184" w14:textId="36B8FA21" w:rsidR="00FB53B5" w:rsidRPr="00950715" w:rsidRDefault="00FB53B5" w:rsidP="00D62C2F">
      <w:pPr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vertAlign w:val="superscript"/>
          <w:lang w:val="sr-Latn-ME"/>
        </w:rPr>
        <w:t>1</w:t>
      </w:r>
      <w:r w:rsidRPr="00950715">
        <w:rPr>
          <w:rFonts w:eastAsia="TimesNewRoman"/>
          <w:sz w:val="22"/>
          <w:szCs w:val="22"/>
          <w:lang w:val="sr-Latn-ME"/>
        </w:rPr>
        <w:t xml:space="preserve"> odojčad i mala djeca: uzrast od 28 dana do 23 mjeseca</w:t>
      </w:r>
    </w:p>
    <w:p w14:paraId="3B6C2C6F" w14:textId="71765375" w:rsidR="00FB53B5" w:rsidRPr="00950715" w:rsidRDefault="00FB53B5" w:rsidP="00D62C2F">
      <w:pPr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vertAlign w:val="superscript"/>
          <w:lang w:val="sr-Latn-ME"/>
        </w:rPr>
        <w:t>2</w:t>
      </w:r>
      <w:r w:rsidRPr="00950715">
        <w:rPr>
          <w:rFonts w:eastAsia="TimesNewRoman"/>
          <w:sz w:val="22"/>
          <w:szCs w:val="22"/>
          <w:lang w:val="sr-Latn-ME"/>
        </w:rPr>
        <w:t xml:space="preserve"> školska djeca: uzrast od 2</w:t>
      </w:r>
      <w:r w:rsidR="00822692" w:rsidRPr="00950715">
        <w:rPr>
          <w:rFonts w:eastAsia="TimesNewRoman"/>
          <w:sz w:val="22"/>
          <w:szCs w:val="22"/>
          <w:lang w:val="sr-Latn-ME"/>
        </w:rPr>
        <w:t>-</w:t>
      </w:r>
      <w:r w:rsidRPr="00950715">
        <w:rPr>
          <w:rFonts w:eastAsia="TimesNewRoman"/>
          <w:sz w:val="22"/>
          <w:szCs w:val="22"/>
          <w:lang w:val="sr-Latn-ME"/>
        </w:rPr>
        <w:t>11 godina.</w:t>
      </w:r>
    </w:p>
    <w:p w14:paraId="3FF1831A" w14:textId="77777777" w:rsidR="00FB53B5" w:rsidRPr="00950715" w:rsidRDefault="00FB53B5" w:rsidP="00D62C2F">
      <w:pPr>
        <w:jc w:val="both"/>
        <w:rPr>
          <w:rFonts w:eastAsia="TimesNewRoman"/>
          <w:sz w:val="22"/>
          <w:szCs w:val="22"/>
          <w:lang w:val="sr-Latn-ME"/>
        </w:rPr>
      </w:pPr>
    </w:p>
    <w:p w14:paraId="72419FD7" w14:textId="68CDB1C3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b/>
          <w:bCs/>
          <w:i/>
          <w:iCs/>
          <w:sz w:val="22"/>
          <w:szCs w:val="22"/>
          <w:lang w:val="sr-Latn-ME"/>
        </w:rPr>
      </w:pPr>
      <w:r w:rsidRPr="00950715">
        <w:rPr>
          <w:rFonts w:eastAsia="TimesNewRoman"/>
          <w:b/>
          <w:bCs/>
          <w:i/>
          <w:iCs/>
          <w:sz w:val="22"/>
          <w:szCs w:val="22"/>
          <w:lang w:val="sr-Latn-ME"/>
        </w:rPr>
        <w:t>Stariji pacijenti</w:t>
      </w:r>
    </w:p>
    <w:p w14:paraId="19E6B60D" w14:textId="51B1D75F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 xml:space="preserve">U osnovi se primjenjuju iste doze kao za odrasle, ali treba obratiti pažnju na pacijente koji boluju od drugih bolesti kao što su srčana ili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renalna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insuficijencija</w:t>
      </w:r>
      <w:proofErr w:type="spellEnd"/>
      <w:r w:rsidR="00695D64" w:rsidRPr="00950715">
        <w:rPr>
          <w:rFonts w:eastAsia="TimesNewRoman"/>
          <w:sz w:val="22"/>
          <w:szCs w:val="22"/>
          <w:lang w:val="sr-Latn-ME"/>
        </w:rPr>
        <w:t>,</w:t>
      </w:r>
      <w:r w:rsidRPr="00950715">
        <w:rPr>
          <w:rFonts w:eastAsia="TimesNewRoman"/>
          <w:sz w:val="22"/>
          <w:szCs w:val="22"/>
          <w:lang w:val="sr-Latn-ME"/>
        </w:rPr>
        <w:t xml:space="preserve"> koje se češće javljaju kod starijih osoba.</w:t>
      </w:r>
    </w:p>
    <w:p w14:paraId="42E2C5FF" w14:textId="77777777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7C612D4A" w14:textId="2C5065B1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b/>
          <w:bCs/>
          <w:i/>
          <w:iCs/>
          <w:sz w:val="22"/>
          <w:szCs w:val="22"/>
          <w:lang w:val="sr-Latn-ME"/>
        </w:rPr>
      </w:pPr>
      <w:r w:rsidRPr="00950715">
        <w:rPr>
          <w:rFonts w:eastAsia="TimesNewRoman"/>
          <w:b/>
          <w:bCs/>
          <w:i/>
          <w:iCs/>
          <w:sz w:val="22"/>
          <w:szCs w:val="22"/>
          <w:lang w:val="sr-Latn-ME"/>
        </w:rPr>
        <w:t>Pacijenti sa opekotinama</w:t>
      </w:r>
    </w:p>
    <w:p w14:paraId="0FD2A516" w14:textId="7603F8D5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 xml:space="preserve">Kako bi se izračunale potrebe za tečnošću pacijenta sa opekotinama prema </w:t>
      </w:r>
      <w:proofErr w:type="spellStart"/>
      <w:r w:rsidRPr="00950715">
        <w:rPr>
          <w:rFonts w:eastAsia="TimesNewRoman"/>
          <w:i/>
          <w:iCs/>
          <w:sz w:val="22"/>
          <w:szCs w:val="22"/>
          <w:lang w:val="sr-Latn-ME"/>
        </w:rPr>
        <w:t>Parkland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>-u, sl</w:t>
      </w:r>
      <w:r w:rsidR="00695D64" w:rsidRPr="00950715">
        <w:rPr>
          <w:rFonts w:eastAsia="TimesNewRoman"/>
          <w:sz w:val="22"/>
          <w:szCs w:val="22"/>
          <w:lang w:val="sr-Latn-ME"/>
        </w:rPr>
        <w:t>j</w:t>
      </w:r>
      <w:r w:rsidRPr="00950715">
        <w:rPr>
          <w:rFonts w:eastAsia="TimesNewRoman"/>
          <w:sz w:val="22"/>
          <w:szCs w:val="22"/>
          <w:lang w:val="sr-Latn-ME"/>
        </w:rPr>
        <w:t>edeće vrijednosti se mogu koristiti kao smjernice:</w:t>
      </w:r>
    </w:p>
    <w:p w14:paraId="48D8F750" w14:textId="77777777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5C308F6D" w14:textId="6413047B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950715">
        <w:rPr>
          <w:rFonts w:eastAsia="TimesNewRoman"/>
          <w:i/>
          <w:iCs/>
          <w:sz w:val="22"/>
          <w:szCs w:val="22"/>
          <w:lang w:val="sr-Latn-ME"/>
        </w:rPr>
        <w:t xml:space="preserve">Odrasli </w:t>
      </w:r>
    </w:p>
    <w:p w14:paraId="4DFB3565" w14:textId="050A48E9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 xml:space="preserve">U toku prvih 24 sata, lijek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Hartmanov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rastvor</w:t>
      </w:r>
      <w:r w:rsidR="00776BEA" w:rsidRPr="00950715">
        <w:rPr>
          <w:rFonts w:eastAsia="TimesNewRoman"/>
          <w:sz w:val="22"/>
          <w:szCs w:val="22"/>
          <w:lang w:val="sr-Latn-ME"/>
        </w:rPr>
        <w:t xml:space="preserve"> HF</w:t>
      </w:r>
      <w:r w:rsidRPr="00950715">
        <w:rPr>
          <w:rFonts w:eastAsia="TimesNewRoman"/>
          <w:sz w:val="22"/>
          <w:szCs w:val="22"/>
          <w:lang w:val="sr-Latn-ME"/>
        </w:rPr>
        <w:t xml:space="preserve"> se primjenjuje u količini od 4 ml/kg tjelesne mase po % površine pod opekotinama. </w:t>
      </w:r>
    </w:p>
    <w:p w14:paraId="73B7AB16" w14:textId="4AA542C5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61553605" w14:textId="2E24CBC9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950715">
        <w:rPr>
          <w:rFonts w:eastAsia="TimesNewRoman"/>
          <w:i/>
          <w:iCs/>
          <w:sz w:val="22"/>
          <w:szCs w:val="22"/>
          <w:lang w:val="sr-Latn-ME"/>
        </w:rPr>
        <w:t>D</w:t>
      </w:r>
      <w:r w:rsidR="00C0093A" w:rsidRPr="00950715">
        <w:rPr>
          <w:rFonts w:eastAsia="TimesNewRoman"/>
          <w:i/>
          <w:iCs/>
          <w:sz w:val="22"/>
          <w:szCs w:val="22"/>
          <w:lang w:val="sr-Latn-ME"/>
        </w:rPr>
        <w:t>j</w:t>
      </w:r>
      <w:r w:rsidRPr="00950715">
        <w:rPr>
          <w:rFonts w:eastAsia="TimesNewRoman"/>
          <w:i/>
          <w:iCs/>
          <w:sz w:val="22"/>
          <w:szCs w:val="22"/>
          <w:lang w:val="sr-Latn-ME"/>
        </w:rPr>
        <w:t>eca</w:t>
      </w:r>
    </w:p>
    <w:p w14:paraId="0D39B9A5" w14:textId="0B1E1369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 xml:space="preserve">U toku prvih 24 sata, lijek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Hartmanov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rastvor </w:t>
      </w:r>
      <w:r w:rsidR="00776BEA" w:rsidRPr="00950715">
        <w:rPr>
          <w:rFonts w:eastAsia="TimesNewRoman"/>
          <w:sz w:val="22"/>
          <w:szCs w:val="22"/>
          <w:lang w:val="sr-Latn-ME"/>
        </w:rPr>
        <w:t xml:space="preserve">HF </w:t>
      </w:r>
      <w:r w:rsidRPr="00950715">
        <w:rPr>
          <w:rFonts w:eastAsia="TimesNewRoman"/>
          <w:sz w:val="22"/>
          <w:szCs w:val="22"/>
          <w:lang w:val="sr-Latn-ME"/>
        </w:rPr>
        <w:t>se primjenjuje u količini od 3 ml/kg tjelesne mase po % površine pod opekotinama. Sljedeća zapremina za održavanje se dodaje za d</w:t>
      </w:r>
      <w:r w:rsidR="00DB0B32" w:rsidRPr="00950715">
        <w:rPr>
          <w:rFonts w:eastAsia="TimesNewRoman"/>
          <w:sz w:val="22"/>
          <w:szCs w:val="22"/>
          <w:lang w:val="sr-Latn-ME"/>
        </w:rPr>
        <w:t>j</w:t>
      </w:r>
      <w:r w:rsidRPr="00950715">
        <w:rPr>
          <w:rFonts w:eastAsia="TimesNewRoman"/>
          <w:sz w:val="22"/>
          <w:szCs w:val="22"/>
          <w:lang w:val="sr-Latn-ME"/>
        </w:rPr>
        <w:t xml:space="preserve">ecu u zavisnosti od njihove tjelesne mase: </w:t>
      </w:r>
    </w:p>
    <w:p w14:paraId="0F099AAE" w14:textId="2C92CA0E" w:rsidR="006766C2" w:rsidRPr="00950715" w:rsidRDefault="006766C2" w:rsidP="00D62C2F">
      <w:pPr>
        <w:pStyle w:val="ListParagraph"/>
        <w:numPr>
          <w:ilvl w:val="0"/>
          <w:numId w:val="16"/>
        </w:num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lastRenderedPageBreak/>
        <w:t>za djecu tjelesne mase od 0-10 kg, količina iznosi 4 ml</w:t>
      </w:r>
      <w:r w:rsidR="00790A2C" w:rsidRPr="00950715">
        <w:rPr>
          <w:rFonts w:eastAsia="TimesNewRoman"/>
          <w:sz w:val="22"/>
          <w:szCs w:val="22"/>
          <w:lang w:val="sr-Latn-ME"/>
        </w:rPr>
        <w:t>/</w:t>
      </w:r>
      <w:r w:rsidRPr="00950715">
        <w:rPr>
          <w:rFonts w:eastAsia="TimesNewRoman"/>
          <w:sz w:val="22"/>
          <w:szCs w:val="22"/>
          <w:lang w:val="sr-Latn-ME"/>
        </w:rPr>
        <w:t xml:space="preserve">kg tjelesne mase na sat; </w:t>
      </w:r>
    </w:p>
    <w:p w14:paraId="07C867FD" w14:textId="21FA9E46" w:rsidR="006766C2" w:rsidRPr="00950715" w:rsidRDefault="006766C2" w:rsidP="00D62C2F">
      <w:pPr>
        <w:pStyle w:val="ListParagraph"/>
        <w:numPr>
          <w:ilvl w:val="0"/>
          <w:numId w:val="16"/>
        </w:num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>za djecu tjelesne mase od 10-20 kg, količina iznosi 40 ml na sat + 2 ml</w:t>
      </w:r>
      <w:r w:rsidR="00790A2C" w:rsidRPr="00950715">
        <w:rPr>
          <w:rFonts w:eastAsia="TimesNewRoman"/>
          <w:sz w:val="22"/>
          <w:szCs w:val="22"/>
          <w:lang w:val="sr-Latn-ME"/>
        </w:rPr>
        <w:t>/</w:t>
      </w:r>
      <w:r w:rsidRPr="00950715">
        <w:rPr>
          <w:rFonts w:eastAsia="TimesNewRoman"/>
          <w:sz w:val="22"/>
          <w:szCs w:val="22"/>
          <w:lang w:val="sr-Latn-ME"/>
        </w:rPr>
        <w:t xml:space="preserve">kg tjelesne mase na sat; </w:t>
      </w:r>
    </w:p>
    <w:p w14:paraId="2E4A0AC9" w14:textId="078A2014" w:rsidR="006766C2" w:rsidRPr="00950715" w:rsidRDefault="006766C2" w:rsidP="00D62C2F">
      <w:pPr>
        <w:pStyle w:val="ListParagraph"/>
        <w:numPr>
          <w:ilvl w:val="0"/>
          <w:numId w:val="16"/>
        </w:num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>za djecu tjelesne mase veće od 20 kg, količina iznosi 60 ml na sat + 1 ml</w:t>
      </w:r>
      <w:r w:rsidR="00790A2C" w:rsidRPr="00950715">
        <w:rPr>
          <w:rFonts w:eastAsia="TimesNewRoman"/>
          <w:sz w:val="22"/>
          <w:szCs w:val="22"/>
          <w:lang w:val="sr-Latn-ME"/>
        </w:rPr>
        <w:t>/</w:t>
      </w:r>
      <w:r w:rsidRPr="00950715">
        <w:rPr>
          <w:rFonts w:eastAsia="TimesNewRoman"/>
          <w:sz w:val="22"/>
          <w:szCs w:val="22"/>
          <w:lang w:val="sr-Latn-ME"/>
        </w:rPr>
        <w:t>kg tjelesne mase na sat.</w:t>
      </w:r>
    </w:p>
    <w:p w14:paraId="0B4FC407" w14:textId="097A5472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7920C9A9" w14:textId="62EDDB5C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b/>
          <w:bCs/>
          <w:i/>
          <w:iCs/>
          <w:sz w:val="22"/>
          <w:szCs w:val="22"/>
          <w:lang w:val="sr-Latn-ME"/>
        </w:rPr>
      </w:pPr>
      <w:r w:rsidRPr="00950715">
        <w:rPr>
          <w:rFonts w:eastAsia="TimesNewRoman"/>
          <w:b/>
          <w:bCs/>
          <w:i/>
          <w:iCs/>
          <w:sz w:val="22"/>
          <w:szCs w:val="22"/>
          <w:lang w:val="sr-Latn-ME"/>
        </w:rPr>
        <w:t xml:space="preserve">Primjena lijeka </w:t>
      </w:r>
      <w:proofErr w:type="spellStart"/>
      <w:r w:rsidRPr="00950715">
        <w:rPr>
          <w:rFonts w:eastAsia="TimesNewRoman"/>
          <w:b/>
          <w:bCs/>
          <w:i/>
          <w:iCs/>
          <w:sz w:val="22"/>
          <w:szCs w:val="22"/>
          <w:lang w:val="sr-Latn-ME"/>
        </w:rPr>
        <w:t>Hartmanov</w:t>
      </w:r>
      <w:proofErr w:type="spellEnd"/>
      <w:r w:rsidRPr="00950715">
        <w:rPr>
          <w:rFonts w:eastAsia="TimesNewRoman"/>
          <w:b/>
          <w:bCs/>
          <w:i/>
          <w:iCs/>
          <w:sz w:val="22"/>
          <w:szCs w:val="22"/>
          <w:lang w:val="sr-Latn-ME"/>
        </w:rPr>
        <w:t xml:space="preserve"> rastvor </w:t>
      </w:r>
      <w:r w:rsidR="00776BEA" w:rsidRPr="00950715">
        <w:rPr>
          <w:rFonts w:eastAsia="TimesNewRoman"/>
          <w:b/>
          <w:bCs/>
          <w:i/>
          <w:iCs/>
          <w:sz w:val="22"/>
          <w:szCs w:val="22"/>
          <w:lang w:val="sr-Latn-ME"/>
        </w:rPr>
        <w:t xml:space="preserve">HF </w:t>
      </w:r>
      <w:r w:rsidRPr="00950715">
        <w:rPr>
          <w:rFonts w:eastAsia="TimesNewRoman"/>
          <w:b/>
          <w:bCs/>
          <w:i/>
          <w:iCs/>
          <w:sz w:val="22"/>
          <w:szCs w:val="22"/>
          <w:lang w:val="sr-Latn-ME"/>
        </w:rPr>
        <w:t xml:space="preserve">kao sredstva za razblaživanje/rastvaranje </w:t>
      </w:r>
    </w:p>
    <w:p w14:paraId="79E54EDA" w14:textId="5004349C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 xml:space="preserve">Ukoliko se lijek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Hartmanov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rastvor</w:t>
      </w:r>
      <w:r w:rsidR="00776BEA" w:rsidRPr="00950715">
        <w:rPr>
          <w:rFonts w:eastAsia="TimesNewRoman"/>
          <w:sz w:val="22"/>
          <w:szCs w:val="22"/>
          <w:lang w:val="sr-Latn-ME"/>
        </w:rPr>
        <w:t xml:space="preserve"> HF</w:t>
      </w:r>
      <w:r w:rsidRPr="00950715">
        <w:rPr>
          <w:rFonts w:eastAsia="TimesNewRoman"/>
          <w:sz w:val="22"/>
          <w:szCs w:val="22"/>
          <w:lang w:val="sr-Latn-ME"/>
        </w:rPr>
        <w:t xml:space="preserve"> koristi kao sredstvo za razblaživanje/rastvaranje kompatibilnih koncentrata elektrolita i ljekova, mora se slijediti uputstvo za upotrebu koje se odnosi na lijek koji se dodaje. </w:t>
      </w:r>
    </w:p>
    <w:p w14:paraId="58830E10" w14:textId="4CE13A28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</w:p>
    <w:p w14:paraId="6905CE25" w14:textId="4E66F0A6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b/>
          <w:bCs/>
          <w:i/>
          <w:iCs/>
          <w:sz w:val="22"/>
          <w:szCs w:val="22"/>
          <w:lang w:val="sr-Latn-ME"/>
        </w:rPr>
      </w:pPr>
      <w:r w:rsidRPr="00950715">
        <w:rPr>
          <w:rFonts w:eastAsia="TimesNewRoman"/>
          <w:b/>
          <w:bCs/>
          <w:i/>
          <w:iCs/>
          <w:sz w:val="22"/>
          <w:szCs w:val="22"/>
          <w:lang w:val="sr-Latn-ME"/>
        </w:rPr>
        <w:t xml:space="preserve">Kratkoročna nadoknada volumena </w:t>
      </w:r>
    </w:p>
    <w:p w14:paraId="271AADCD" w14:textId="5C15E62A" w:rsidR="00452E9D" w:rsidRPr="00950715" w:rsidRDefault="006766C2" w:rsidP="00D62C2F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>Kako bi se ponovo uspostavile normalne vrijednosti zapremine krvi, moraju se prim</w:t>
      </w:r>
      <w:r w:rsidR="00B1697A" w:rsidRPr="00950715">
        <w:rPr>
          <w:rFonts w:eastAsia="TimesNewRoman"/>
          <w:sz w:val="22"/>
          <w:szCs w:val="22"/>
          <w:lang w:val="sr-Latn-ME"/>
        </w:rPr>
        <w:t>i</w:t>
      </w:r>
      <w:r w:rsidRPr="00950715">
        <w:rPr>
          <w:rFonts w:eastAsia="TimesNewRoman"/>
          <w:sz w:val="22"/>
          <w:szCs w:val="22"/>
          <w:lang w:val="sr-Latn-ME"/>
        </w:rPr>
        <w:t>jeniti zapremine koje su otprilike 3-5 puta veće od količine izgubljene krvi.</w:t>
      </w:r>
    </w:p>
    <w:p w14:paraId="33142FBD" w14:textId="77777777" w:rsidR="006766C2" w:rsidRPr="00950715" w:rsidRDefault="006766C2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71AADCE" w14:textId="77777777" w:rsidR="00452E9D" w:rsidRPr="00950715" w:rsidRDefault="00452E9D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50715">
        <w:rPr>
          <w:bCs/>
          <w:sz w:val="22"/>
          <w:szCs w:val="22"/>
          <w:u w:val="single"/>
          <w:lang w:val="sr-Latn-ME"/>
        </w:rPr>
        <w:t>Način primjene</w:t>
      </w:r>
    </w:p>
    <w:p w14:paraId="04DFDCB5" w14:textId="68C75EA9" w:rsidR="00E63213" w:rsidRPr="00950715" w:rsidRDefault="00BD60CF" w:rsidP="00D62C2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Intravenska</w:t>
      </w:r>
      <w:proofErr w:type="spellEnd"/>
      <w:r w:rsidRPr="00950715">
        <w:rPr>
          <w:sz w:val="22"/>
          <w:szCs w:val="22"/>
          <w:lang w:val="sr-Latn-ME"/>
        </w:rPr>
        <w:t xml:space="preserve"> primjena</w:t>
      </w:r>
      <w:r w:rsidR="00201006" w:rsidRPr="00950715">
        <w:rPr>
          <w:sz w:val="22"/>
          <w:szCs w:val="22"/>
          <w:lang w:val="sr-Latn-ME"/>
        </w:rPr>
        <w:t xml:space="preserve">. </w:t>
      </w:r>
    </w:p>
    <w:p w14:paraId="5D31E3E3" w14:textId="669D1FB9" w:rsidR="00201006" w:rsidRPr="00950715" w:rsidRDefault="00201006" w:rsidP="00D62C2F">
      <w:pPr>
        <w:tabs>
          <w:tab w:val="left" w:pos="1080"/>
        </w:tabs>
        <w:jc w:val="both"/>
        <w:rPr>
          <w:i/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Za </w:t>
      </w:r>
      <w:r w:rsidR="00844A85" w:rsidRPr="00950715">
        <w:rPr>
          <w:sz w:val="22"/>
          <w:szCs w:val="22"/>
          <w:lang w:val="sr-Latn-ME"/>
        </w:rPr>
        <w:t>mjere opreza</w:t>
      </w:r>
      <w:r w:rsidRPr="00950715">
        <w:rPr>
          <w:sz w:val="22"/>
          <w:szCs w:val="22"/>
          <w:lang w:val="sr-Latn-ME"/>
        </w:rPr>
        <w:t xml:space="preserve"> u vezi davanja infuzije pod pritiskom </w:t>
      </w:r>
      <w:r w:rsidR="00822692" w:rsidRPr="00950715">
        <w:rPr>
          <w:iCs/>
          <w:sz w:val="22"/>
          <w:szCs w:val="22"/>
          <w:lang w:val="sr-Latn-ME"/>
        </w:rPr>
        <w:t>pogledati dio 4.4</w:t>
      </w:r>
      <w:r w:rsidRPr="00950715">
        <w:rPr>
          <w:iCs/>
          <w:sz w:val="22"/>
          <w:szCs w:val="22"/>
          <w:lang w:val="sr-Latn-ME"/>
        </w:rPr>
        <w:t>.</w:t>
      </w:r>
    </w:p>
    <w:p w14:paraId="271AADCF" w14:textId="77777777" w:rsidR="00452E9D" w:rsidRPr="00950715" w:rsidRDefault="00452E9D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DD0" w14:textId="77777777" w:rsidR="00411B4B" w:rsidRPr="00950715" w:rsidRDefault="00411B4B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4.3.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proofErr w:type="spellStart"/>
      <w:r w:rsidRPr="00950715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271AADD1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70D170" w14:textId="0F48B40B" w:rsidR="007F4BA0" w:rsidRPr="00950715" w:rsidRDefault="007F4BA0" w:rsidP="00D62C2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Primjena rastvora je kontraindikovana kod pacijenata sa sl</w:t>
      </w:r>
      <w:r w:rsidR="00B1697A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>edećim stanjima:</w:t>
      </w:r>
    </w:p>
    <w:p w14:paraId="295ED961" w14:textId="76791D5A" w:rsidR="007F4BA0" w:rsidRPr="00950715" w:rsidRDefault="00543E45" w:rsidP="00D62C2F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smanjenje iskorišćenosti </w:t>
      </w:r>
      <w:proofErr w:type="spellStart"/>
      <w:r w:rsidRPr="00950715">
        <w:rPr>
          <w:sz w:val="22"/>
          <w:szCs w:val="22"/>
          <w:lang w:val="sr-Latn-ME"/>
        </w:rPr>
        <w:t>laktata</w:t>
      </w:r>
      <w:proofErr w:type="spellEnd"/>
      <w:r w:rsidRPr="00950715">
        <w:rPr>
          <w:sz w:val="22"/>
          <w:szCs w:val="22"/>
          <w:lang w:val="sr-Latn-ME"/>
        </w:rPr>
        <w:t xml:space="preserve"> sa </w:t>
      </w:r>
      <w:proofErr w:type="spellStart"/>
      <w:r w:rsidRPr="00950715">
        <w:rPr>
          <w:sz w:val="22"/>
          <w:szCs w:val="22"/>
          <w:lang w:val="sr-Latn-ME"/>
        </w:rPr>
        <w:t>hiperlaktatemijom</w:t>
      </w:r>
      <w:proofErr w:type="spellEnd"/>
      <w:r w:rsidRPr="00950715">
        <w:rPr>
          <w:sz w:val="22"/>
          <w:szCs w:val="22"/>
          <w:lang w:val="sr-Latn-ME"/>
        </w:rPr>
        <w:t xml:space="preserve"> (pogledati takođe dio 4.4);</w:t>
      </w:r>
    </w:p>
    <w:p w14:paraId="36C62D97" w14:textId="0E38B48F" w:rsidR="007F4BA0" w:rsidRPr="00950715" w:rsidRDefault="007F4BA0" w:rsidP="00D62C2F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hiperhidracija</w:t>
      </w:r>
      <w:proofErr w:type="spellEnd"/>
      <w:r w:rsidR="00F819EE" w:rsidRPr="00950715">
        <w:rPr>
          <w:sz w:val="22"/>
          <w:szCs w:val="22"/>
          <w:lang w:val="sr-Latn-ME"/>
        </w:rPr>
        <w:t>.</w:t>
      </w:r>
    </w:p>
    <w:p w14:paraId="4DC6BDEB" w14:textId="77777777" w:rsidR="007F4BA0" w:rsidRPr="00950715" w:rsidRDefault="007F4BA0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C61D76C" w14:textId="77777777" w:rsidR="00E61E0C" w:rsidRPr="00950715" w:rsidRDefault="00E61E0C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 xml:space="preserve">Rastvor nije </w:t>
      </w:r>
      <w:proofErr w:type="spellStart"/>
      <w:r w:rsidRPr="00950715">
        <w:rPr>
          <w:bCs/>
          <w:sz w:val="22"/>
          <w:szCs w:val="22"/>
          <w:lang w:val="sr-Latn-ME"/>
        </w:rPr>
        <w:t>indikovan</w:t>
      </w:r>
      <w:proofErr w:type="spellEnd"/>
      <w:r w:rsidRPr="00950715">
        <w:rPr>
          <w:bCs/>
          <w:sz w:val="22"/>
          <w:szCs w:val="22"/>
          <w:lang w:val="sr-Latn-ME"/>
        </w:rPr>
        <w:t xml:space="preserve"> za terapiju teške </w:t>
      </w:r>
      <w:proofErr w:type="spellStart"/>
      <w:r w:rsidRPr="00950715">
        <w:rPr>
          <w:bCs/>
          <w:sz w:val="22"/>
          <w:szCs w:val="22"/>
          <w:lang w:val="sr-Latn-ME"/>
        </w:rPr>
        <w:t>metaboličke</w:t>
      </w:r>
      <w:proofErr w:type="spellEnd"/>
      <w:r w:rsidRPr="00950715">
        <w:rPr>
          <w:bCs/>
          <w:sz w:val="22"/>
          <w:szCs w:val="22"/>
          <w:lang w:val="sr-Latn-ME"/>
        </w:rPr>
        <w:t xml:space="preserve"> </w:t>
      </w:r>
      <w:proofErr w:type="spellStart"/>
      <w:r w:rsidRPr="00950715">
        <w:rPr>
          <w:bCs/>
          <w:sz w:val="22"/>
          <w:szCs w:val="22"/>
          <w:lang w:val="sr-Latn-ME"/>
        </w:rPr>
        <w:t>acidoze</w:t>
      </w:r>
      <w:proofErr w:type="spellEnd"/>
      <w:r w:rsidRPr="00950715">
        <w:rPr>
          <w:bCs/>
          <w:sz w:val="22"/>
          <w:szCs w:val="22"/>
          <w:lang w:val="sr-Latn-ME"/>
        </w:rPr>
        <w:t xml:space="preserve">. </w:t>
      </w:r>
    </w:p>
    <w:p w14:paraId="71A41CE4" w14:textId="77777777" w:rsidR="00E61E0C" w:rsidRPr="00950715" w:rsidRDefault="00E61E0C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3DD846" w14:textId="75B31B7E" w:rsidR="00F819EE" w:rsidRPr="00950715" w:rsidRDefault="00F819E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 xml:space="preserve">Istovremena primjena lijeka </w:t>
      </w:r>
      <w:proofErr w:type="spellStart"/>
      <w:r w:rsidRPr="00950715">
        <w:rPr>
          <w:bCs/>
          <w:sz w:val="22"/>
          <w:szCs w:val="22"/>
          <w:lang w:val="sr-Latn-ME"/>
        </w:rPr>
        <w:t>Hartmanov</w:t>
      </w:r>
      <w:proofErr w:type="spellEnd"/>
      <w:r w:rsidRPr="00950715">
        <w:rPr>
          <w:bCs/>
          <w:sz w:val="22"/>
          <w:szCs w:val="22"/>
          <w:lang w:val="sr-Latn-ME"/>
        </w:rPr>
        <w:t xml:space="preserve"> rastvor </w:t>
      </w:r>
      <w:r w:rsidR="000A10C1" w:rsidRPr="00950715">
        <w:rPr>
          <w:bCs/>
          <w:sz w:val="22"/>
          <w:szCs w:val="22"/>
          <w:lang w:val="sr-Latn-ME"/>
        </w:rPr>
        <w:t xml:space="preserve">HF </w:t>
      </w:r>
      <w:r w:rsidRPr="00950715">
        <w:rPr>
          <w:bCs/>
          <w:sz w:val="22"/>
          <w:szCs w:val="22"/>
          <w:lang w:val="sr-Latn-ME"/>
        </w:rPr>
        <w:t xml:space="preserve">i </w:t>
      </w:r>
      <w:proofErr w:type="spellStart"/>
      <w:r w:rsidRPr="00950715">
        <w:rPr>
          <w:bCs/>
          <w:sz w:val="22"/>
          <w:szCs w:val="22"/>
          <w:lang w:val="sr-Latn-ME"/>
        </w:rPr>
        <w:t>ceftriaksona</w:t>
      </w:r>
      <w:proofErr w:type="spellEnd"/>
      <w:r w:rsidRPr="00950715">
        <w:rPr>
          <w:bCs/>
          <w:sz w:val="22"/>
          <w:szCs w:val="22"/>
          <w:lang w:val="sr-Latn-ME"/>
        </w:rPr>
        <w:t xml:space="preserve"> je kontraindikovana kod </w:t>
      </w:r>
      <w:r w:rsidR="0014083A" w:rsidRPr="00950715">
        <w:rPr>
          <w:bCs/>
          <w:sz w:val="22"/>
          <w:szCs w:val="22"/>
          <w:lang w:val="sr-Latn-ME"/>
        </w:rPr>
        <w:t>novorođenčadi (</w:t>
      </w:r>
      <w:r w:rsidR="00C85515" w:rsidRPr="00950715">
        <w:rPr>
          <w:bCs/>
          <w:sz w:val="22"/>
          <w:szCs w:val="22"/>
          <w:lang w:val="sr-Latn-ME"/>
        </w:rPr>
        <w:t xml:space="preserve">uzrasta od 28 dana) zbog opasnosti od </w:t>
      </w:r>
      <w:proofErr w:type="spellStart"/>
      <w:r w:rsidR="00C85515" w:rsidRPr="00950715">
        <w:rPr>
          <w:bCs/>
          <w:sz w:val="22"/>
          <w:szCs w:val="22"/>
          <w:lang w:val="sr-Latn-ME"/>
        </w:rPr>
        <w:t>precipitacije</w:t>
      </w:r>
      <w:proofErr w:type="spellEnd"/>
      <w:r w:rsidR="00C85515" w:rsidRPr="00950715">
        <w:rPr>
          <w:bCs/>
          <w:sz w:val="22"/>
          <w:szCs w:val="22"/>
          <w:lang w:val="sr-Latn-ME"/>
        </w:rPr>
        <w:t xml:space="preserve"> </w:t>
      </w:r>
      <w:proofErr w:type="spellStart"/>
      <w:r w:rsidR="00C85515" w:rsidRPr="00950715">
        <w:rPr>
          <w:bCs/>
          <w:sz w:val="22"/>
          <w:szCs w:val="22"/>
          <w:lang w:val="sr-Latn-ME"/>
        </w:rPr>
        <w:t>ceftriakson</w:t>
      </w:r>
      <w:proofErr w:type="spellEnd"/>
      <w:r w:rsidR="001067E4" w:rsidRPr="00950715">
        <w:rPr>
          <w:bCs/>
          <w:sz w:val="22"/>
          <w:szCs w:val="22"/>
          <w:lang w:val="sr-Latn-ME"/>
        </w:rPr>
        <w:t xml:space="preserve"> </w:t>
      </w:r>
      <w:r w:rsidR="00C85515" w:rsidRPr="00950715">
        <w:rPr>
          <w:bCs/>
          <w:sz w:val="22"/>
          <w:szCs w:val="22"/>
          <w:lang w:val="sr-Latn-ME"/>
        </w:rPr>
        <w:t xml:space="preserve">kalcijuma (pogledati djelove </w:t>
      </w:r>
      <w:r w:rsidR="00203FEB" w:rsidRPr="00950715">
        <w:rPr>
          <w:bCs/>
          <w:sz w:val="22"/>
          <w:szCs w:val="22"/>
          <w:lang w:val="sr-Latn-ME"/>
        </w:rPr>
        <w:t>4.5, 4.8 i 6.2).</w:t>
      </w:r>
    </w:p>
    <w:p w14:paraId="2C518E99" w14:textId="77777777" w:rsidR="00203FEB" w:rsidRPr="00950715" w:rsidRDefault="00203FEB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DD2" w14:textId="77777777" w:rsidR="00411B4B" w:rsidRPr="00950715" w:rsidRDefault="00411B4B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4.4.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144591B" w14:textId="77777777" w:rsidR="005B6143" w:rsidRPr="00950715" w:rsidRDefault="005B6143" w:rsidP="00D62C2F">
      <w:pPr>
        <w:jc w:val="both"/>
        <w:rPr>
          <w:sz w:val="22"/>
          <w:szCs w:val="22"/>
          <w:lang w:val="sr-Latn-ME"/>
        </w:rPr>
      </w:pPr>
    </w:p>
    <w:p w14:paraId="6826C42E" w14:textId="32F06083" w:rsidR="00FB5E28" w:rsidRPr="00950715" w:rsidRDefault="00FB5E28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Ov</w:t>
      </w:r>
      <w:r w:rsidR="00B1697A" w:rsidRPr="00950715">
        <w:rPr>
          <w:sz w:val="22"/>
          <w:szCs w:val="22"/>
          <w:lang w:val="sr-Latn-ME"/>
        </w:rPr>
        <w:t>aj</w:t>
      </w:r>
      <w:r w:rsidRPr="00950715">
        <w:rPr>
          <w:sz w:val="22"/>
          <w:szCs w:val="22"/>
          <w:lang w:val="sr-Latn-ME"/>
        </w:rPr>
        <w:t xml:space="preserve"> </w:t>
      </w:r>
      <w:r w:rsidR="00B1697A" w:rsidRPr="00950715">
        <w:rPr>
          <w:sz w:val="22"/>
          <w:szCs w:val="22"/>
          <w:lang w:val="sr-Latn-ME"/>
        </w:rPr>
        <w:t>rastvor</w:t>
      </w:r>
      <w:r w:rsidRPr="00950715">
        <w:rPr>
          <w:sz w:val="22"/>
          <w:szCs w:val="22"/>
          <w:lang w:val="sr-Latn-ME"/>
        </w:rPr>
        <w:t xml:space="preserve"> potrebno je primijeniti s</w:t>
      </w:r>
      <w:r w:rsidR="00B1697A" w:rsidRPr="00950715">
        <w:rPr>
          <w:sz w:val="22"/>
          <w:szCs w:val="22"/>
          <w:lang w:val="sr-Latn-ME"/>
        </w:rPr>
        <w:t>a</w:t>
      </w:r>
      <w:r w:rsidRPr="00950715">
        <w:rPr>
          <w:sz w:val="22"/>
          <w:szCs w:val="22"/>
          <w:lang w:val="sr-Latn-ME"/>
        </w:rPr>
        <w:t xml:space="preserve"> posebnim oprezom u sljedećim stanjima:</w:t>
      </w:r>
    </w:p>
    <w:p w14:paraId="324104C2" w14:textId="4CBE7EE8" w:rsidR="00FB5E28" w:rsidRPr="00950715" w:rsidRDefault="00FB5E28" w:rsidP="00D62C2F">
      <w:pPr>
        <w:pStyle w:val="ListParagraph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hipertonične dehidracije,</w:t>
      </w:r>
    </w:p>
    <w:p w14:paraId="03605D79" w14:textId="13B963A0" w:rsidR="00FB5E28" w:rsidRPr="00950715" w:rsidRDefault="00FB5E28" w:rsidP="00D62C2F">
      <w:pPr>
        <w:pStyle w:val="ListParagraph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hiperkal</w:t>
      </w:r>
      <w:r w:rsidR="001067E4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emije</w:t>
      </w:r>
      <w:proofErr w:type="spellEnd"/>
      <w:r w:rsidRPr="00950715">
        <w:rPr>
          <w:sz w:val="22"/>
          <w:szCs w:val="22"/>
          <w:lang w:val="sr-Latn-ME"/>
        </w:rPr>
        <w:t>,</w:t>
      </w:r>
    </w:p>
    <w:p w14:paraId="22EE9A04" w14:textId="379389A6" w:rsidR="00FB5E28" w:rsidRPr="00950715" w:rsidRDefault="00FB5E28" w:rsidP="00D62C2F">
      <w:pPr>
        <w:pStyle w:val="ListParagraph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hiper</w:t>
      </w:r>
      <w:r w:rsidR="008A0A04" w:rsidRPr="00950715">
        <w:rPr>
          <w:sz w:val="22"/>
          <w:szCs w:val="22"/>
          <w:lang w:val="sr-Latn-ME"/>
        </w:rPr>
        <w:t>h</w:t>
      </w:r>
      <w:r w:rsidRPr="00950715">
        <w:rPr>
          <w:sz w:val="22"/>
          <w:szCs w:val="22"/>
          <w:lang w:val="sr-Latn-ME"/>
        </w:rPr>
        <w:t>loremije</w:t>
      </w:r>
      <w:proofErr w:type="spellEnd"/>
      <w:r w:rsidRPr="00950715">
        <w:rPr>
          <w:sz w:val="22"/>
          <w:szCs w:val="22"/>
          <w:lang w:val="sr-Latn-ME"/>
        </w:rPr>
        <w:t>,</w:t>
      </w:r>
    </w:p>
    <w:p w14:paraId="369741A1" w14:textId="4EB358E8" w:rsidR="00FB5E28" w:rsidRPr="00950715" w:rsidRDefault="00FB5E28" w:rsidP="00D62C2F">
      <w:pPr>
        <w:pStyle w:val="ListParagraph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hipernatrijemije</w:t>
      </w:r>
      <w:proofErr w:type="spellEnd"/>
      <w:r w:rsidRPr="00950715">
        <w:rPr>
          <w:sz w:val="22"/>
          <w:szCs w:val="22"/>
          <w:lang w:val="sr-Latn-ME"/>
        </w:rPr>
        <w:t>,</w:t>
      </w:r>
    </w:p>
    <w:p w14:paraId="63BD7D7A" w14:textId="3C8C385A" w:rsidR="00FB5E28" w:rsidRPr="00950715" w:rsidRDefault="00FB5E28" w:rsidP="00D62C2F">
      <w:pPr>
        <w:pStyle w:val="ListParagraph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hiperkalcijemije</w:t>
      </w:r>
      <w:proofErr w:type="spellEnd"/>
      <w:r w:rsidRPr="00950715">
        <w:rPr>
          <w:sz w:val="22"/>
          <w:szCs w:val="22"/>
          <w:lang w:val="sr-Latn-ME"/>
        </w:rPr>
        <w:t>,</w:t>
      </w:r>
    </w:p>
    <w:p w14:paraId="284F7F3E" w14:textId="050C3479" w:rsidR="00FB5E28" w:rsidRPr="00950715" w:rsidRDefault="00FB5E28" w:rsidP="00D62C2F">
      <w:pPr>
        <w:pStyle w:val="ListParagraph"/>
        <w:numPr>
          <w:ilvl w:val="0"/>
          <w:numId w:val="16"/>
        </w:num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insuficijencije</w:t>
      </w:r>
      <w:proofErr w:type="spellEnd"/>
      <w:r w:rsidR="008A0A04" w:rsidRPr="00950715">
        <w:rPr>
          <w:sz w:val="22"/>
          <w:szCs w:val="22"/>
          <w:lang w:val="sr-Latn-ME"/>
        </w:rPr>
        <w:t xml:space="preserve"> jetre</w:t>
      </w:r>
      <w:r w:rsidRPr="00950715">
        <w:rPr>
          <w:sz w:val="22"/>
          <w:szCs w:val="22"/>
          <w:lang w:val="sr-Latn-ME"/>
        </w:rPr>
        <w:t xml:space="preserve">. </w:t>
      </w:r>
    </w:p>
    <w:p w14:paraId="50BD4E36" w14:textId="77777777" w:rsidR="00FB5E28" w:rsidRPr="00950715" w:rsidRDefault="00FB5E28" w:rsidP="00D62C2F">
      <w:pPr>
        <w:jc w:val="both"/>
        <w:rPr>
          <w:sz w:val="22"/>
          <w:szCs w:val="22"/>
          <w:lang w:val="sr-Latn-ME"/>
        </w:rPr>
      </w:pPr>
    </w:p>
    <w:p w14:paraId="37EE9D4C" w14:textId="5B181867" w:rsidR="00971A0A" w:rsidRPr="00950715" w:rsidRDefault="00181EF7" w:rsidP="00D62C2F">
      <w:pPr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Infuzije velikih zapremina</w:t>
      </w:r>
      <w:r w:rsidR="00971A0A" w:rsidRPr="00950715">
        <w:rPr>
          <w:sz w:val="22"/>
          <w:szCs w:val="22"/>
          <w:lang w:val="sr-Latn-ME"/>
        </w:rPr>
        <w:t xml:space="preserve"> mora</w:t>
      </w:r>
      <w:r w:rsidRPr="00950715">
        <w:rPr>
          <w:sz w:val="22"/>
          <w:szCs w:val="22"/>
          <w:lang w:val="sr-Latn-ME"/>
        </w:rPr>
        <w:t>ju</w:t>
      </w:r>
      <w:r w:rsidR="00971A0A" w:rsidRPr="00950715">
        <w:rPr>
          <w:sz w:val="22"/>
          <w:szCs w:val="22"/>
          <w:lang w:val="sr-Latn-ME"/>
        </w:rPr>
        <w:t xml:space="preserve"> se prim</w:t>
      </w:r>
      <w:r w:rsidR="00B1697A" w:rsidRPr="00950715">
        <w:rPr>
          <w:sz w:val="22"/>
          <w:szCs w:val="22"/>
          <w:lang w:val="sr-Latn-ME"/>
        </w:rPr>
        <w:t>i</w:t>
      </w:r>
      <w:r w:rsidR="00971A0A" w:rsidRPr="00950715">
        <w:rPr>
          <w:sz w:val="22"/>
          <w:szCs w:val="22"/>
          <w:lang w:val="sr-Latn-ME"/>
        </w:rPr>
        <w:t xml:space="preserve">jeniti </w:t>
      </w:r>
      <w:r w:rsidRPr="00950715">
        <w:rPr>
          <w:sz w:val="22"/>
          <w:szCs w:val="22"/>
          <w:lang w:val="sr-Latn-ME"/>
        </w:rPr>
        <w:t>uz oprez i pod posebnim</w:t>
      </w:r>
      <w:r w:rsidR="00971A0A" w:rsidRPr="00950715">
        <w:rPr>
          <w:sz w:val="22"/>
          <w:szCs w:val="22"/>
          <w:lang w:val="sr-Latn-ME"/>
        </w:rPr>
        <w:t xml:space="preserve"> nadzor</w:t>
      </w:r>
      <w:r w:rsidR="00820A5E" w:rsidRPr="00950715">
        <w:rPr>
          <w:sz w:val="22"/>
          <w:szCs w:val="22"/>
          <w:lang w:val="sr-Latn-ME"/>
        </w:rPr>
        <w:t>om</w:t>
      </w:r>
      <w:r w:rsidR="00971A0A" w:rsidRPr="00950715">
        <w:rPr>
          <w:sz w:val="22"/>
          <w:szCs w:val="22"/>
          <w:lang w:val="sr-Latn-ME"/>
        </w:rPr>
        <w:t xml:space="preserve"> kod pacijenata sa </w:t>
      </w:r>
      <w:proofErr w:type="spellStart"/>
      <w:r w:rsidR="00971A0A" w:rsidRPr="00950715">
        <w:rPr>
          <w:sz w:val="22"/>
          <w:szCs w:val="22"/>
          <w:lang w:val="sr-Latn-ME"/>
        </w:rPr>
        <w:t>insuficijencijom</w:t>
      </w:r>
      <w:proofErr w:type="spellEnd"/>
      <w:r w:rsidR="00971A0A" w:rsidRPr="00950715">
        <w:rPr>
          <w:sz w:val="22"/>
          <w:szCs w:val="22"/>
          <w:lang w:val="sr-Latn-ME"/>
        </w:rPr>
        <w:t xml:space="preserve"> srca ili pluća</w:t>
      </w:r>
      <w:r w:rsidR="003E5D1F" w:rsidRPr="00950715">
        <w:rPr>
          <w:sz w:val="22"/>
          <w:szCs w:val="22"/>
          <w:lang w:val="sr-Latn-ME"/>
        </w:rPr>
        <w:t xml:space="preserve">, kao i kod pacijenata sa </w:t>
      </w:r>
      <w:proofErr w:type="spellStart"/>
      <w:r w:rsidR="003E5D1F" w:rsidRPr="00950715">
        <w:rPr>
          <w:sz w:val="22"/>
          <w:szCs w:val="22"/>
          <w:lang w:val="sr-Latn-ME"/>
        </w:rPr>
        <w:t>edemom</w:t>
      </w:r>
      <w:proofErr w:type="spellEnd"/>
      <w:r w:rsidR="003E5D1F" w:rsidRPr="00950715">
        <w:rPr>
          <w:sz w:val="22"/>
          <w:szCs w:val="22"/>
          <w:lang w:val="sr-Latn-ME"/>
        </w:rPr>
        <w:t xml:space="preserve"> pluća</w:t>
      </w:r>
      <w:r w:rsidR="0027362B" w:rsidRPr="00950715">
        <w:rPr>
          <w:sz w:val="22"/>
          <w:szCs w:val="22"/>
          <w:lang w:val="sr-Latn-ME"/>
        </w:rPr>
        <w:t xml:space="preserve"> ili mozga, sa </w:t>
      </w:r>
      <w:proofErr w:type="spellStart"/>
      <w:r w:rsidR="00753E40" w:rsidRPr="00950715">
        <w:rPr>
          <w:sz w:val="22"/>
          <w:szCs w:val="22"/>
          <w:lang w:val="sr-Latn-ME"/>
        </w:rPr>
        <w:t>neosmotskom</w:t>
      </w:r>
      <w:proofErr w:type="spellEnd"/>
      <w:r w:rsidR="00753E40" w:rsidRPr="00950715">
        <w:rPr>
          <w:sz w:val="22"/>
          <w:szCs w:val="22"/>
          <w:lang w:val="sr-Latn-ME"/>
        </w:rPr>
        <w:t xml:space="preserve"> sekrecijom </w:t>
      </w:r>
      <w:proofErr w:type="spellStart"/>
      <w:r w:rsidR="0027362B" w:rsidRPr="00950715">
        <w:rPr>
          <w:sz w:val="22"/>
          <w:szCs w:val="22"/>
          <w:lang w:val="sr-Latn-ME"/>
        </w:rPr>
        <w:t>vazopresina</w:t>
      </w:r>
      <w:proofErr w:type="spellEnd"/>
      <w:r w:rsidR="0027362B" w:rsidRPr="00950715">
        <w:rPr>
          <w:sz w:val="22"/>
          <w:szCs w:val="22"/>
          <w:lang w:val="sr-Latn-ME"/>
        </w:rPr>
        <w:t xml:space="preserve"> (uključujući </w:t>
      </w:r>
      <w:r w:rsidR="00697B7D" w:rsidRPr="00950715">
        <w:rPr>
          <w:rFonts w:eastAsia="TimesNewRoman"/>
          <w:sz w:val="22"/>
          <w:szCs w:val="22"/>
          <w:lang w:val="sr-Latn-ME"/>
        </w:rPr>
        <w:t>SIADH</w:t>
      </w:r>
      <w:r w:rsidR="00B62AEF" w:rsidRPr="00950715">
        <w:rPr>
          <w:rFonts w:eastAsia="TimesNewRoman"/>
          <w:sz w:val="22"/>
          <w:szCs w:val="22"/>
          <w:lang w:val="sr-Latn-ME"/>
        </w:rPr>
        <w:t>)</w:t>
      </w:r>
      <w:r w:rsidR="00160E17" w:rsidRPr="00950715">
        <w:rPr>
          <w:rFonts w:eastAsia="TimesNewRoman"/>
          <w:sz w:val="22"/>
          <w:szCs w:val="22"/>
          <w:lang w:val="sr-Latn-ME"/>
        </w:rPr>
        <w:t xml:space="preserve"> zbog rizika od bolnički stečene </w:t>
      </w:r>
      <w:proofErr w:type="spellStart"/>
      <w:r w:rsidR="00160E17" w:rsidRPr="00950715">
        <w:rPr>
          <w:rFonts w:eastAsia="TimesNewRoman"/>
          <w:sz w:val="22"/>
          <w:szCs w:val="22"/>
          <w:lang w:val="sr-Latn-ME"/>
        </w:rPr>
        <w:t>hiponatrijemije</w:t>
      </w:r>
      <w:proofErr w:type="spellEnd"/>
      <w:r w:rsidR="00160E17" w:rsidRPr="00950715">
        <w:rPr>
          <w:rFonts w:eastAsia="TimesNewRoman"/>
          <w:sz w:val="22"/>
          <w:szCs w:val="22"/>
          <w:lang w:val="sr-Latn-ME"/>
        </w:rPr>
        <w:t xml:space="preserve"> (vidjeti </w:t>
      </w:r>
      <w:r w:rsidR="00697B7D" w:rsidRPr="00950715">
        <w:rPr>
          <w:rFonts w:eastAsia="TimesNewRoman"/>
          <w:sz w:val="22"/>
          <w:szCs w:val="22"/>
          <w:lang w:val="sr-Latn-ME"/>
        </w:rPr>
        <w:t>ispod</w:t>
      </w:r>
      <w:r w:rsidR="00160E17" w:rsidRPr="00950715">
        <w:rPr>
          <w:rFonts w:eastAsia="TimesNewRoman"/>
          <w:sz w:val="22"/>
          <w:szCs w:val="22"/>
          <w:lang w:val="sr-Latn-ME"/>
        </w:rPr>
        <w:t>).</w:t>
      </w:r>
    </w:p>
    <w:p w14:paraId="392AFA67" w14:textId="77777777" w:rsidR="008F18F9" w:rsidRPr="00950715" w:rsidRDefault="008F18F9" w:rsidP="00D62C2F">
      <w:pPr>
        <w:jc w:val="both"/>
        <w:rPr>
          <w:rFonts w:eastAsia="TimesNewRoman"/>
          <w:sz w:val="22"/>
          <w:szCs w:val="22"/>
          <w:lang w:val="sr-Latn-ME"/>
        </w:rPr>
      </w:pPr>
    </w:p>
    <w:p w14:paraId="58152EEB" w14:textId="38F2572F" w:rsidR="00971A0A" w:rsidRPr="00950715" w:rsidRDefault="008F18F9" w:rsidP="00D62C2F">
      <w:pPr>
        <w:jc w:val="both"/>
        <w:rPr>
          <w:i/>
          <w:iCs/>
          <w:sz w:val="22"/>
          <w:szCs w:val="22"/>
          <w:lang w:val="sr-Latn-ME"/>
        </w:rPr>
      </w:pPr>
      <w:proofErr w:type="spellStart"/>
      <w:r w:rsidRPr="00950715">
        <w:rPr>
          <w:i/>
          <w:iCs/>
          <w:sz w:val="22"/>
          <w:szCs w:val="22"/>
          <w:lang w:val="sr-Latn-ME"/>
        </w:rPr>
        <w:t>Hiponatrijemija</w:t>
      </w:r>
      <w:proofErr w:type="spellEnd"/>
    </w:p>
    <w:p w14:paraId="09FF3F74" w14:textId="0EEAF5EF" w:rsidR="00F4653B" w:rsidRPr="00950715" w:rsidRDefault="00F4653B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Kod pacijenata sa </w:t>
      </w:r>
      <w:proofErr w:type="spellStart"/>
      <w:r w:rsidRPr="00950715">
        <w:rPr>
          <w:sz w:val="22"/>
          <w:szCs w:val="22"/>
          <w:lang w:val="sr-Latn-ME"/>
        </w:rPr>
        <w:t>neosmotsk</w:t>
      </w:r>
      <w:r w:rsidR="00753E40" w:rsidRPr="00950715">
        <w:rPr>
          <w:sz w:val="22"/>
          <w:szCs w:val="22"/>
          <w:lang w:val="sr-Latn-ME"/>
        </w:rPr>
        <w:t>o</w:t>
      </w:r>
      <w:r w:rsidRPr="00950715">
        <w:rPr>
          <w:sz w:val="22"/>
          <w:szCs w:val="22"/>
          <w:lang w:val="sr-Latn-ME"/>
        </w:rPr>
        <w:t>m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r w:rsidR="00753E40" w:rsidRPr="00950715">
        <w:rPr>
          <w:sz w:val="22"/>
          <w:szCs w:val="22"/>
          <w:lang w:val="sr-Latn-ME"/>
        </w:rPr>
        <w:t>sekrecijom</w:t>
      </w:r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vazopresina</w:t>
      </w:r>
      <w:proofErr w:type="spellEnd"/>
      <w:r w:rsidRPr="00950715">
        <w:rPr>
          <w:sz w:val="22"/>
          <w:szCs w:val="22"/>
          <w:lang w:val="sr-Latn-ME"/>
        </w:rPr>
        <w:t xml:space="preserve"> (npr. kod akutne bolesti, bola, </w:t>
      </w:r>
      <w:proofErr w:type="spellStart"/>
      <w:r w:rsidRPr="00950715">
        <w:rPr>
          <w:sz w:val="22"/>
          <w:szCs w:val="22"/>
          <w:lang w:val="sr-Latn-ME"/>
        </w:rPr>
        <w:t>postoperativnog</w:t>
      </w:r>
      <w:proofErr w:type="spellEnd"/>
      <w:r w:rsidRPr="00950715">
        <w:rPr>
          <w:sz w:val="22"/>
          <w:szCs w:val="22"/>
          <w:lang w:val="sr-Latn-ME"/>
        </w:rPr>
        <w:t xml:space="preserve"> stresa, infekcija, opekotina i bolesti centralnog nervnog sistema), pacijenata s bolestima srca, jetre i bubrega, i pacijenata </w:t>
      </w:r>
      <w:r w:rsidR="001F4D23" w:rsidRPr="00950715">
        <w:rPr>
          <w:sz w:val="22"/>
          <w:szCs w:val="22"/>
          <w:lang w:val="sr-Latn-ME"/>
        </w:rPr>
        <w:t>koji primaju</w:t>
      </w:r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agonist</w:t>
      </w:r>
      <w:r w:rsidR="001F4D23" w:rsidRPr="00950715">
        <w:rPr>
          <w:sz w:val="22"/>
          <w:szCs w:val="22"/>
          <w:lang w:val="sr-Latn-ME"/>
        </w:rPr>
        <w:t>e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vazopresina</w:t>
      </w:r>
      <w:proofErr w:type="spellEnd"/>
      <w:r w:rsidRPr="00950715">
        <w:rPr>
          <w:sz w:val="22"/>
          <w:szCs w:val="22"/>
          <w:lang w:val="sr-Latn-ME"/>
        </w:rPr>
        <w:t xml:space="preserve"> (pogledati dio 4.5) postoji poseban rizik od razvoja akutne </w:t>
      </w:r>
      <w:proofErr w:type="spellStart"/>
      <w:r w:rsidRPr="00950715">
        <w:rPr>
          <w:sz w:val="22"/>
          <w:szCs w:val="22"/>
          <w:lang w:val="sr-Latn-ME"/>
        </w:rPr>
        <w:t>hiponatrijemije</w:t>
      </w:r>
      <w:proofErr w:type="spellEnd"/>
      <w:r w:rsidRPr="00950715">
        <w:rPr>
          <w:sz w:val="22"/>
          <w:szCs w:val="22"/>
          <w:lang w:val="sr-Latn-ME"/>
        </w:rPr>
        <w:t xml:space="preserve"> nakon infuzije </w:t>
      </w:r>
      <w:proofErr w:type="spellStart"/>
      <w:r w:rsidRPr="00950715">
        <w:rPr>
          <w:sz w:val="22"/>
          <w:szCs w:val="22"/>
          <w:lang w:val="sr-Latn-ME"/>
        </w:rPr>
        <w:t>hipotoničn</w:t>
      </w:r>
      <w:r w:rsidR="001F4D23" w:rsidRPr="00950715">
        <w:rPr>
          <w:sz w:val="22"/>
          <w:szCs w:val="22"/>
          <w:lang w:val="sr-Latn-ME"/>
        </w:rPr>
        <w:t>ih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r w:rsidR="001F4D23" w:rsidRPr="00950715">
        <w:rPr>
          <w:sz w:val="22"/>
          <w:szCs w:val="22"/>
          <w:lang w:val="sr-Latn-ME"/>
        </w:rPr>
        <w:t>rastvora</w:t>
      </w:r>
      <w:r w:rsidRPr="00950715">
        <w:rPr>
          <w:sz w:val="22"/>
          <w:szCs w:val="22"/>
          <w:lang w:val="sr-Latn-ME"/>
        </w:rPr>
        <w:t>.</w:t>
      </w:r>
    </w:p>
    <w:p w14:paraId="736E5CA9" w14:textId="77777777" w:rsidR="00580888" w:rsidRPr="00950715" w:rsidRDefault="00580888" w:rsidP="00D62C2F">
      <w:pPr>
        <w:jc w:val="both"/>
        <w:rPr>
          <w:sz w:val="22"/>
          <w:szCs w:val="22"/>
          <w:lang w:val="sr-Latn-ME"/>
        </w:rPr>
      </w:pPr>
    </w:p>
    <w:p w14:paraId="20320030" w14:textId="79274AD2" w:rsidR="00F4653B" w:rsidRPr="00950715" w:rsidRDefault="00F4653B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Akutna </w:t>
      </w:r>
      <w:proofErr w:type="spellStart"/>
      <w:r w:rsidRPr="00950715">
        <w:rPr>
          <w:sz w:val="22"/>
          <w:szCs w:val="22"/>
          <w:lang w:val="sr-Latn-ME"/>
        </w:rPr>
        <w:t>hiponatrijemija</w:t>
      </w:r>
      <w:proofErr w:type="spellEnd"/>
      <w:r w:rsidRPr="00950715">
        <w:rPr>
          <w:sz w:val="22"/>
          <w:szCs w:val="22"/>
          <w:lang w:val="sr-Latn-ME"/>
        </w:rPr>
        <w:t xml:space="preserve"> može prouzro</w:t>
      </w:r>
      <w:r w:rsidR="002133B3" w:rsidRPr="00950715">
        <w:rPr>
          <w:sz w:val="22"/>
          <w:szCs w:val="22"/>
          <w:lang w:val="sr-Latn-ME"/>
        </w:rPr>
        <w:t>kovati</w:t>
      </w:r>
      <w:r w:rsidRPr="00950715">
        <w:rPr>
          <w:sz w:val="22"/>
          <w:szCs w:val="22"/>
          <w:lang w:val="sr-Latn-ME"/>
        </w:rPr>
        <w:t xml:space="preserve"> akutnu </w:t>
      </w:r>
      <w:proofErr w:type="spellStart"/>
      <w:r w:rsidRPr="00950715">
        <w:rPr>
          <w:sz w:val="22"/>
          <w:szCs w:val="22"/>
          <w:lang w:val="sr-Latn-ME"/>
        </w:rPr>
        <w:t>hiponatrijemi</w:t>
      </w:r>
      <w:r w:rsidR="001F4D23" w:rsidRPr="00950715">
        <w:rPr>
          <w:sz w:val="22"/>
          <w:szCs w:val="22"/>
          <w:lang w:val="sr-Latn-ME"/>
        </w:rPr>
        <w:t>s</w:t>
      </w:r>
      <w:r w:rsidRPr="00950715">
        <w:rPr>
          <w:sz w:val="22"/>
          <w:szCs w:val="22"/>
          <w:lang w:val="sr-Latn-ME"/>
        </w:rPr>
        <w:t>ku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encefalopatiju</w:t>
      </w:r>
      <w:proofErr w:type="spellEnd"/>
      <w:r w:rsidRPr="00950715">
        <w:rPr>
          <w:sz w:val="22"/>
          <w:szCs w:val="22"/>
          <w:lang w:val="sr-Latn-ME"/>
        </w:rPr>
        <w:t xml:space="preserve"> (cerebralni </w:t>
      </w:r>
      <w:proofErr w:type="spellStart"/>
      <w:r w:rsidRPr="00950715">
        <w:rPr>
          <w:sz w:val="22"/>
          <w:szCs w:val="22"/>
          <w:lang w:val="sr-Latn-ME"/>
        </w:rPr>
        <w:t>edem</w:t>
      </w:r>
      <w:proofErr w:type="spellEnd"/>
      <w:r w:rsidRPr="00950715">
        <w:rPr>
          <w:sz w:val="22"/>
          <w:szCs w:val="22"/>
          <w:lang w:val="sr-Latn-ME"/>
        </w:rPr>
        <w:t xml:space="preserve">) koju obilježavaju glavobolja, mučnina, napadi, letargija i povraćanje. </w:t>
      </w:r>
      <w:r w:rsidR="00B1205A" w:rsidRPr="00950715">
        <w:rPr>
          <w:sz w:val="22"/>
          <w:szCs w:val="22"/>
          <w:lang w:val="sr-Latn-ME"/>
        </w:rPr>
        <w:t>Kod pacijenata</w:t>
      </w:r>
      <w:r w:rsidRPr="00950715">
        <w:rPr>
          <w:sz w:val="22"/>
          <w:szCs w:val="22"/>
          <w:lang w:val="sr-Latn-ME"/>
        </w:rPr>
        <w:t xml:space="preserve"> s cerebralnim </w:t>
      </w:r>
      <w:proofErr w:type="spellStart"/>
      <w:r w:rsidRPr="00950715">
        <w:rPr>
          <w:sz w:val="22"/>
          <w:szCs w:val="22"/>
          <w:lang w:val="sr-Latn-ME"/>
        </w:rPr>
        <w:t>edemom</w:t>
      </w:r>
      <w:proofErr w:type="spellEnd"/>
      <w:r w:rsidRPr="00950715">
        <w:rPr>
          <w:sz w:val="22"/>
          <w:szCs w:val="22"/>
          <w:lang w:val="sr-Latn-ME"/>
        </w:rPr>
        <w:t xml:space="preserve"> postoji </w:t>
      </w:r>
      <w:r w:rsidR="00B1205A" w:rsidRPr="00950715">
        <w:rPr>
          <w:sz w:val="22"/>
          <w:szCs w:val="22"/>
          <w:lang w:val="sr-Latn-ME"/>
        </w:rPr>
        <w:t>poseban</w:t>
      </w:r>
      <w:r w:rsidRPr="00950715">
        <w:rPr>
          <w:sz w:val="22"/>
          <w:szCs w:val="22"/>
          <w:lang w:val="sr-Latn-ME"/>
        </w:rPr>
        <w:t xml:space="preserve"> rizik od nastanka tešk</w:t>
      </w:r>
      <w:r w:rsidR="00A343EA" w:rsidRPr="00950715">
        <w:rPr>
          <w:sz w:val="22"/>
          <w:szCs w:val="22"/>
          <w:lang w:val="sr-Latn-ME"/>
        </w:rPr>
        <w:t>og</w:t>
      </w:r>
      <w:r w:rsidRPr="00950715">
        <w:rPr>
          <w:sz w:val="22"/>
          <w:szCs w:val="22"/>
          <w:lang w:val="sr-Latn-ME"/>
        </w:rPr>
        <w:t>, ireverzibiln</w:t>
      </w:r>
      <w:r w:rsidR="00A343EA" w:rsidRPr="00950715">
        <w:rPr>
          <w:sz w:val="22"/>
          <w:szCs w:val="22"/>
          <w:lang w:val="sr-Latn-ME"/>
        </w:rPr>
        <w:t>og</w:t>
      </w:r>
      <w:r w:rsidRPr="00950715">
        <w:rPr>
          <w:sz w:val="22"/>
          <w:szCs w:val="22"/>
          <w:lang w:val="sr-Latn-ME"/>
        </w:rPr>
        <w:t xml:space="preserve"> </w:t>
      </w:r>
      <w:r w:rsidR="00A343EA" w:rsidRPr="00950715">
        <w:rPr>
          <w:sz w:val="22"/>
          <w:szCs w:val="22"/>
          <w:lang w:val="sr-Latn-ME"/>
        </w:rPr>
        <w:t>oštećenja</w:t>
      </w:r>
      <w:r w:rsidRPr="00950715">
        <w:rPr>
          <w:sz w:val="22"/>
          <w:szCs w:val="22"/>
          <w:lang w:val="sr-Latn-ME"/>
        </w:rPr>
        <w:t xml:space="preserve"> mozga</w:t>
      </w:r>
      <w:r w:rsidR="00A343EA" w:rsidRPr="00950715">
        <w:rPr>
          <w:sz w:val="22"/>
          <w:szCs w:val="22"/>
          <w:lang w:val="sr-Latn-ME"/>
        </w:rPr>
        <w:t>,</w:t>
      </w:r>
      <w:r w:rsidRPr="00950715">
        <w:rPr>
          <w:sz w:val="22"/>
          <w:szCs w:val="22"/>
          <w:lang w:val="sr-Latn-ME"/>
        </w:rPr>
        <w:t xml:space="preserve"> opasn</w:t>
      </w:r>
      <w:r w:rsidR="00A343EA" w:rsidRPr="00950715">
        <w:rPr>
          <w:sz w:val="22"/>
          <w:szCs w:val="22"/>
          <w:lang w:val="sr-Latn-ME"/>
        </w:rPr>
        <w:t>og</w:t>
      </w:r>
      <w:r w:rsidRPr="00950715">
        <w:rPr>
          <w:sz w:val="22"/>
          <w:szCs w:val="22"/>
          <w:lang w:val="sr-Latn-ME"/>
        </w:rPr>
        <w:t xml:space="preserve"> po život.</w:t>
      </w:r>
    </w:p>
    <w:p w14:paraId="5245E707" w14:textId="77777777" w:rsidR="00B1205A" w:rsidRPr="00950715" w:rsidRDefault="00B1205A" w:rsidP="00D62C2F">
      <w:pPr>
        <w:jc w:val="both"/>
        <w:rPr>
          <w:sz w:val="22"/>
          <w:szCs w:val="22"/>
          <w:lang w:val="sr-Latn-ME"/>
        </w:rPr>
      </w:pPr>
    </w:p>
    <w:p w14:paraId="393DEA02" w14:textId="2217AFB7" w:rsidR="00F4653B" w:rsidRPr="00950715" w:rsidRDefault="00B1205A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lastRenderedPageBreak/>
        <w:t>Kod</w:t>
      </w:r>
      <w:r w:rsidR="00F4653B" w:rsidRPr="00950715">
        <w:rPr>
          <w:sz w:val="22"/>
          <w:szCs w:val="22"/>
          <w:lang w:val="sr-Latn-ME"/>
        </w:rPr>
        <w:t xml:space="preserve"> djece, žena u reproduktivnoj dobi i </w:t>
      </w:r>
      <w:r w:rsidRPr="00950715">
        <w:rPr>
          <w:sz w:val="22"/>
          <w:szCs w:val="22"/>
          <w:lang w:val="sr-Latn-ME"/>
        </w:rPr>
        <w:t>paci</w:t>
      </w:r>
      <w:r w:rsidR="00A343EA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>enata</w:t>
      </w:r>
      <w:r w:rsidR="00F4653B" w:rsidRPr="00950715">
        <w:rPr>
          <w:sz w:val="22"/>
          <w:szCs w:val="22"/>
          <w:lang w:val="sr-Latn-ME"/>
        </w:rPr>
        <w:t xml:space="preserve"> sa smanjenom cerebralnom rezervom elastičnosti (npr. meningitis, </w:t>
      </w:r>
      <w:proofErr w:type="spellStart"/>
      <w:r w:rsidR="00F4653B" w:rsidRPr="00950715">
        <w:rPr>
          <w:sz w:val="22"/>
          <w:szCs w:val="22"/>
          <w:lang w:val="sr-Latn-ME"/>
        </w:rPr>
        <w:t>intrakranijalno</w:t>
      </w:r>
      <w:proofErr w:type="spellEnd"/>
      <w:r w:rsidR="00F4653B" w:rsidRPr="00950715">
        <w:rPr>
          <w:sz w:val="22"/>
          <w:szCs w:val="22"/>
          <w:lang w:val="sr-Latn-ME"/>
        </w:rPr>
        <w:t xml:space="preserve"> krvarenje, cerebralna kontuzija i </w:t>
      </w:r>
      <w:proofErr w:type="spellStart"/>
      <w:r w:rsidR="00F4653B" w:rsidRPr="00950715">
        <w:rPr>
          <w:sz w:val="22"/>
          <w:szCs w:val="22"/>
          <w:lang w:val="sr-Latn-ME"/>
        </w:rPr>
        <w:t>edem</w:t>
      </w:r>
      <w:proofErr w:type="spellEnd"/>
      <w:r w:rsidR="00F4653B" w:rsidRPr="00950715">
        <w:rPr>
          <w:sz w:val="22"/>
          <w:szCs w:val="22"/>
          <w:lang w:val="sr-Latn-ME"/>
        </w:rPr>
        <w:t xml:space="preserve"> mozga) postoji </w:t>
      </w:r>
      <w:r w:rsidRPr="00950715">
        <w:rPr>
          <w:sz w:val="22"/>
          <w:szCs w:val="22"/>
          <w:lang w:val="sr-Latn-ME"/>
        </w:rPr>
        <w:t>poseban</w:t>
      </w:r>
      <w:r w:rsidR="00F4653B" w:rsidRPr="00950715">
        <w:rPr>
          <w:sz w:val="22"/>
          <w:szCs w:val="22"/>
          <w:lang w:val="sr-Latn-ME"/>
        </w:rPr>
        <w:t xml:space="preserve"> rizik od teškog oticanja mozga</w:t>
      </w:r>
      <w:r w:rsidR="00776BEA" w:rsidRPr="00950715">
        <w:rPr>
          <w:sz w:val="22"/>
          <w:szCs w:val="22"/>
          <w:lang w:val="sr-Latn-ME"/>
        </w:rPr>
        <w:t>,</w:t>
      </w:r>
      <w:r w:rsidR="00F4653B" w:rsidRPr="00950715">
        <w:rPr>
          <w:sz w:val="22"/>
          <w:szCs w:val="22"/>
          <w:lang w:val="sr-Latn-ME"/>
        </w:rPr>
        <w:t xml:space="preserve"> opasnog po život</w:t>
      </w:r>
      <w:r w:rsidR="00776BEA" w:rsidRPr="00950715">
        <w:rPr>
          <w:sz w:val="22"/>
          <w:szCs w:val="22"/>
          <w:lang w:val="sr-Latn-ME"/>
        </w:rPr>
        <w:t>,</w:t>
      </w:r>
      <w:r w:rsidR="00F4653B" w:rsidRPr="00950715">
        <w:rPr>
          <w:sz w:val="22"/>
          <w:szCs w:val="22"/>
          <w:lang w:val="sr-Latn-ME"/>
        </w:rPr>
        <w:t xml:space="preserve"> prouzro</w:t>
      </w:r>
      <w:r w:rsidRPr="00950715">
        <w:rPr>
          <w:sz w:val="22"/>
          <w:szCs w:val="22"/>
          <w:lang w:val="sr-Latn-ME"/>
        </w:rPr>
        <w:t>kova</w:t>
      </w:r>
      <w:r w:rsidR="00F4653B" w:rsidRPr="00950715">
        <w:rPr>
          <w:sz w:val="22"/>
          <w:szCs w:val="22"/>
          <w:lang w:val="sr-Latn-ME"/>
        </w:rPr>
        <w:t xml:space="preserve">nog akutnom </w:t>
      </w:r>
      <w:proofErr w:type="spellStart"/>
      <w:r w:rsidR="00F4653B" w:rsidRPr="00950715">
        <w:rPr>
          <w:sz w:val="22"/>
          <w:szCs w:val="22"/>
          <w:lang w:val="sr-Latn-ME"/>
        </w:rPr>
        <w:t>hiponatrijemijom</w:t>
      </w:r>
      <w:proofErr w:type="spellEnd"/>
      <w:r w:rsidR="00F4653B" w:rsidRPr="00950715">
        <w:rPr>
          <w:sz w:val="22"/>
          <w:szCs w:val="22"/>
          <w:lang w:val="sr-Latn-ME"/>
        </w:rPr>
        <w:t>.</w:t>
      </w:r>
    </w:p>
    <w:p w14:paraId="33FB3660" w14:textId="77777777" w:rsidR="00B1205A" w:rsidRPr="00950715" w:rsidRDefault="00B1205A" w:rsidP="00D62C2F">
      <w:pPr>
        <w:jc w:val="both"/>
        <w:rPr>
          <w:sz w:val="22"/>
          <w:szCs w:val="22"/>
          <w:lang w:val="sr-Latn-ME"/>
        </w:rPr>
      </w:pPr>
    </w:p>
    <w:p w14:paraId="26C6C63B" w14:textId="4AB348FF" w:rsidR="00F4653B" w:rsidRPr="00950715" w:rsidRDefault="00F4653B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Iskoriš</w:t>
      </w:r>
      <w:r w:rsidR="00B1205A" w:rsidRPr="00950715">
        <w:rPr>
          <w:sz w:val="22"/>
          <w:szCs w:val="22"/>
          <w:lang w:val="sr-Latn-ME"/>
        </w:rPr>
        <w:t>ć</w:t>
      </w:r>
      <w:r w:rsidR="00776BEA" w:rsidRPr="00950715">
        <w:rPr>
          <w:sz w:val="22"/>
          <w:szCs w:val="22"/>
          <w:lang w:val="sr-Latn-ME"/>
        </w:rPr>
        <w:t>avanje</w:t>
      </w:r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laktata</w:t>
      </w:r>
      <w:proofErr w:type="spellEnd"/>
      <w:r w:rsidRPr="00950715">
        <w:rPr>
          <w:sz w:val="22"/>
          <w:szCs w:val="22"/>
          <w:lang w:val="sr-Latn-ME"/>
        </w:rPr>
        <w:t xml:space="preserve"> može biti smanjen</w:t>
      </w:r>
      <w:r w:rsidR="00B1697A" w:rsidRPr="00950715">
        <w:rPr>
          <w:sz w:val="22"/>
          <w:szCs w:val="22"/>
          <w:lang w:val="sr-Latn-ME"/>
        </w:rPr>
        <w:t>o</w:t>
      </w:r>
      <w:r w:rsidRPr="00950715">
        <w:rPr>
          <w:sz w:val="22"/>
          <w:szCs w:val="22"/>
          <w:lang w:val="sr-Latn-ME"/>
        </w:rPr>
        <w:t xml:space="preserve"> u prisu</w:t>
      </w:r>
      <w:r w:rsidR="00B1205A" w:rsidRPr="00950715">
        <w:rPr>
          <w:sz w:val="22"/>
          <w:szCs w:val="22"/>
          <w:lang w:val="sr-Latn-ME"/>
        </w:rPr>
        <w:t>stvu</w:t>
      </w:r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hipoksije</w:t>
      </w:r>
      <w:proofErr w:type="spellEnd"/>
      <w:r w:rsidRPr="00950715">
        <w:rPr>
          <w:sz w:val="22"/>
          <w:szCs w:val="22"/>
          <w:lang w:val="sr-Latn-ME"/>
        </w:rPr>
        <w:t xml:space="preserve"> ili </w:t>
      </w:r>
      <w:proofErr w:type="spellStart"/>
      <w:r w:rsidRPr="00950715">
        <w:rPr>
          <w:sz w:val="22"/>
          <w:szCs w:val="22"/>
          <w:lang w:val="sr-Latn-ME"/>
        </w:rPr>
        <w:t>insuficijencije</w:t>
      </w:r>
      <w:proofErr w:type="spellEnd"/>
      <w:r w:rsidR="00B1205A" w:rsidRPr="00950715">
        <w:rPr>
          <w:sz w:val="22"/>
          <w:szCs w:val="22"/>
          <w:lang w:val="sr-Latn-ME"/>
        </w:rPr>
        <w:t xml:space="preserve"> jetre</w:t>
      </w:r>
      <w:r w:rsidRPr="00950715">
        <w:rPr>
          <w:sz w:val="22"/>
          <w:szCs w:val="22"/>
          <w:lang w:val="sr-Latn-ME"/>
        </w:rPr>
        <w:t xml:space="preserve">. </w:t>
      </w:r>
    </w:p>
    <w:p w14:paraId="10E0D2C5" w14:textId="77777777" w:rsidR="00F4653B" w:rsidRPr="00950715" w:rsidRDefault="00F4653B" w:rsidP="00D62C2F">
      <w:pPr>
        <w:jc w:val="both"/>
        <w:rPr>
          <w:sz w:val="22"/>
          <w:szCs w:val="22"/>
          <w:lang w:val="sr-Latn-ME"/>
        </w:rPr>
      </w:pPr>
    </w:p>
    <w:p w14:paraId="169688B4" w14:textId="3C4133A6" w:rsidR="00C64D8A" w:rsidRPr="00950715" w:rsidRDefault="00776BEA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Lijek </w:t>
      </w:r>
      <w:proofErr w:type="spellStart"/>
      <w:r w:rsidR="00C64D8A" w:rsidRPr="00950715">
        <w:rPr>
          <w:sz w:val="22"/>
          <w:szCs w:val="22"/>
          <w:lang w:val="sr-Latn-ME"/>
        </w:rPr>
        <w:t>Hartmanov</w:t>
      </w:r>
      <w:proofErr w:type="spellEnd"/>
      <w:r w:rsidR="00C64D8A" w:rsidRPr="00950715">
        <w:rPr>
          <w:sz w:val="22"/>
          <w:szCs w:val="22"/>
          <w:lang w:val="sr-Latn-ME"/>
        </w:rPr>
        <w:t xml:space="preserve"> rastvor </w:t>
      </w:r>
      <w:r w:rsidR="000A10C1" w:rsidRPr="00950715">
        <w:rPr>
          <w:sz w:val="22"/>
          <w:szCs w:val="22"/>
          <w:lang w:val="sr-Latn-ME"/>
        </w:rPr>
        <w:t xml:space="preserve">HF </w:t>
      </w:r>
      <w:r w:rsidR="00C64D8A" w:rsidRPr="00950715">
        <w:rPr>
          <w:sz w:val="22"/>
          <w:szCs w:val="22"/>
          <w:lang w:val="sr-Latn-ME"/>
        </w:rPr>
        <w:t>sadrži</w:t>
      </w:r>
      <w:r w:rsidR="00692850" w:rsidRPr="00950715">
        <w:rPr>
          <w:sz w:val="22"/>
          <w:szCs w:val="22"/>
          <w:lang w:val="sr-Latn-ME"/>
        </w:rPr>
        <w:t xml:space="preserve"> količinu kalijuma koja je slična fiziološkoj koncentraciji kalijuma u humanoj krvi. </w:t>
      </w:r>
      <w:r w:rsidR="007F08AB" w:rsidRPr="00950715">
        <w:rPr>
          <w:sz w:val="22"/>
          <w:szCs w:val="22"/>
          <w:lang w:val="sr-Latn-ME"/>
        </w:rPr>
        <w:t xml:space="preserve">Međutim, lijek </w:t>
      </w:r>
      <w:proofErr w:type="spellStart"/>
      <w:r w:rsidR="00BE01CE" w:rsidRPr="00950715">
        <w:rPr>
          <w:sz w:val="22"/>
          <w:szCs w:val="22"/>
          <w:lang w:val="sr-Latn-ME"/>
        </w:rPr>
        <w:t>Hartmanov</w:t>
      </w:r>
      <w:proofErr w:type="spellEnd"/>
      <w:r w:rsidR="00BE01CE" w:rsidRPr="00950715">
        <w:rPr>
          <w:sz w:val="22"/>
          <w:szCs w:val="22"/>
          <w:lang w:val="sr-Latn-ME"/>
        </w:rPr>
        <w:t xml:space="preserve"> rastvor </w:t>
      </w:r>
      <w:r w:rsidR="000A10C1" w:rsidRPr="00950715">
        <w:rPr>
          <w:sz w:val="22"/>
          <w:szCs w:val="22"/>
          <w:lang w:val="sr-Latn-ME"/>
        </w:rPr>
        <w:t xml:space="preserve">HF </w:t>
      </w:r>
      <w:r w:rsidR="00BE01CE" w:rsidRPr="00950715">
        <w:rPr>
          <w:sz w:val="22"/>
          <w:szCs w:val="22"/>
          <w:lang w:val="sr-Latn-ME"/>
        </w:rPr>
        <w:t>nije prikladan za liječenje pacijenata sa teškim nedostatkom kalijuma.</w:t>
      </w:r>
    </w:p>
    <w:p w14:paraId="34228A07" w14:textId="77777777" w:rsidR="00C64D8A" w:rsidRPr="00950715" w:rsidRDefault="00C64D8A" w:rsidP="00D62C2F">
      <w:pPr>
        <w:jc w:val="both"/>
        <w:rPr>
          <w:sz w:val="22"/>
          <w:szCs w:val="22"/>
          <w:lang w:val="sr-Latn-ME"/>
        </w:rPr>
      </w:pPr>
    </w:p>
    <w:p w14:paraId="22744495" w14:textId="6C1A9F03" w:rsidR="00CC7B9E" w:rsidRPr="00950715" w:rsidRDefault="00CC7B9E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Kako rastvor sadrži jone koji se </w:t>
      </w:r>
      <w:proofErr w:type="spellStart"/>
      <w:r w:rsidRPr="00950715">
        <w:rPr>
          <w:sz w:val="22"/>
          <w:szCs w:val="22"/>
          <w:lang w:val="sr-Latn-ME"/>
        </w:rPr>
        <w:t>metabolišu</w:t>
      </w:r>
      <w:proofErr w:type="spellEnd"/>
      <w:r w:rsidRPr="00950715">
        <w:rPr>
          <w:sz w:val="22"/>
          <w:szCs w:val="22"/>
          <w:lang w:val="sr-Latn-ME"/>
        </w:rPr>
        <w:t xml:space="preserve"> (npr. </w:t>
      </w:r>
      <w:proofErr w:type="spellStart"/>
      <w:r w:rsidRPr="00950715">
        <w:rPr>
          <w:sz w:val="22"/>
          <w:szCs w:val="22"/>
          <w:lang w:val="sr-Latn-ME"/>
        </w:rPr>
        <w:t>laktat</w:t>
      </w:r>
      <w:proofErr w:type="spellEnd"/>
      <w:r w:rsidRPr="00950715">
        <w:rPr>
          <w:sz w:val="22"/>
          <w:szCs w:val="22"/>
          <w:lang w:val="sr-Latn-ME"/>
        </w:rPr>
        <w:t xml:space="preserve">), to može prouzrokovati </w:t>
      </w:r>
      <w:proofErr w:type="spellStart"/>
      <w:r w:rsidRPr="00950715">
        <w:rPr>
          <w:sz w:val="22"/>
          <w:szCs w:val="22"/>
          <w:lang w:val="sr-Latn-ME"/>
        </w:rPr>
        <w:t>metaboličku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alkalozu</w:t>
      </w:r>
      <w:proofErr w:type="spellEnd"/>
      <w:r w:rsidRPr="00950715">
        <w:rPr>
          <w:sz w:val="22"/>
          <w:szCs w:val="22"/>
          <w:lang w:val="sr-Latn-ME"/>
        </w:rPr>
        <w:t xml:space="preserve">. Zbog toga, rastvor treba primjenjivati sa oprezom kod pacijenata sa </w:t>
      </w:r>
      <w:proofErr w:type="spellStart"/>
      <w:r w:rsidRPr="00950715">
        <w:rPr>
          <w:sz w:val="22"/>
          <w:szCs w:val="22"/>
          <w:lang w:val="sr-Latn-ME"/>
        </w:rPr>
        <w:t>metaboličkom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alkalozom</w:t>
      </w:r>
      <w:proofErr w:type="spellEnd"/>
      <w:r w:rsidRPr="00950715">
        <w:rPr>
          <w:sz w:val="22"/>
          <w:szCs w:val="22"/>
          <w:lang w:val="sr-Latn-ME"/>
        </w:rPr>
        <w:t>.</w:t>
      </w:r>
    </w:p>
    <w:p w14:paraId="4C6FF7EF" w14:textId="77777777" w:rsidR="00CC7B9E" w:rsidRPr="00950715" w:rsidRDefault="00CC7B9E" w:rsidP="00D62C2F">
      <w:pPr>
        <w:jc w:val="both"/>
        <w:rPr>
          <w:sz w:val="22"/>
          <w:szCs w:val="22"/>
          <w:lang w:val="sr-Latn-ME"/>
        </w:rPr>
      </w:pPr>
    </w:p>
    <w:p w14:paraId="32062258" w14:textId="5B043C72" w:rsidR="00F94D73" w:rsidRPr="00950715" w:rsidRDefault="00BE01CE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Rastvor</w:t>
      </w:r>
      <w:r w:rsidR="00744B5C" w:rsidRPr="00950715">
        <w:rPr>
          <w:sz w:val="22"/>
          <w:szCs w:val="22"/>
          <w:lang w:val="sr-Latn-ME"/>
        </w:rPr>
        <w:t>i</w:t>
      </w:r>
      <w:r w:rsidRPr="00950715">
        <w:rPr>
          <w:sz w:val="22"/>
          <w:szCs w:val="22"/>
          <w:lang w:val="sr-Latn-ME"/>
        </w:rPr>
        <w:t xml:space="preserve"> koji sadrže</w:t>
      </w:r>
      <w:r w:rsidR="00971A0A" w:rsidRPr="00950715">
        <w:rPr>
          <w:sz w:val="22"/>
          <w:szCs w:val="22"/>
          <w:lang w:val="sr-Latn-ME"/>
        </w:rPr>
        <w:t xml:space="preserve"> </w:t>
      </w:r>
      <w:r w:rsidR="00971A0A" w:rsidRPr="00950715">
        <w:rPr>
          <w:b/>
          <w:bCs/>
          <w:sz w:val="22"/>
          <w:szCs w:val="22"/>
          <w:lang w:val="sr-Latn-ME"/>
        </w:rPr>
        <w:t>natrijum-hlorid</w:t>
      </w:r>
      <w:r w:rsidR="00971A0A" w:rsidRPr="00950715">
        <w:rPr>
          <w:sz w:val="22"/>
          <w:szCs w:val="22"/>
          <w:lang w:val="sr-Latn-ME"/>
        </w:rPr>
        <w:t xml:space="preserve"> treba da se prim</w:t>
      </w:r>
      <w:r w:rsidR="00744B5C" w:rsidRPr="00950715">
        <w:rPr>
          <w:sz w:val="22"/>
          <w:szCs w:val="22"/>
          <w:lang w:val="sr-Latn-ME"/>
        </w:rPr>
        <w:t>i</w:t>
      </w:r>
      <w:r w:rsidR="00971A0A" w:rsidRPr="00950715">
        <w:rPr>
          <w:sz w:val="22"/>
          <w:szCs w:val="22"/>
          <w:lang w:val="sr-Latn-ME"/>
        </w:rPr>
        <w:t>jene oprezno kod pacijenata sa</w:t>
      </w:r>
      <w:r w:rsidR="00F94D73" w:rsidRPr="00950715">
        <w:rPr>
          <w:sz w:val="22"/>
          <w:szCs w:val="22"/>
          <w:lang w:val="sr-Latn-ME"/>
        </w:rPr>
        <w:t>:</w:t>
      </w:r>
    </w:p>
    <w:p w14:paraId="3FB5E40F" w14:textId="0D4E81FC" w:rsidR="00971A0A" w:rsidRPr="00950715" w:rsidRDefault="00971A0A" w:rsidP="00D62C2F">
      <w:pPr>
        <w:pStyle w:val="ListParagraph"/>
        <w:numPr>
          <w:ilvl w:val="0"/>
          <w:numId w:val="16"/>
        </w:numPr>
        <w:jc w:val="both"/>
        <w:rPr>
          <w:i/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srčanom </w:t>
      </w:r>
      <w:proofErr w:type="spellStart"/>
      <w:r w:rsidRPr="00950715">
        <w:rPr>
          <w:sz w:val="22"/>
          <w:szCs w:val="22"/>
          <w:lang w:val="sr-Latn-ME"/>
        </w:rPr>
        <w:t>insuficijencijom</w:t>
      </w:r>
      <w:proofErr w:type="spellEnd"/>
      <w:r w:rsidRPr="00950715">
        <w:rPr>
          <w:sz w:val="22"/>
          <w:szCs w:val="22"/>
          <w:lang w:val="sr-Latn-ME"/>
        </w:rPr>
        <w:t xml:space="preserve">, perifernim </w:t>
      </w:r>
      <w:proofErr w:type="spellStart"/>
      <w:r w:rsidRPr="00950715">
        <w:rPr>
          <w:sz w:val="22"/>
          <w:szCs w:val="22"/>
          <w:lang w:val="sr-Latn-ME"/>
        </w:rPr>
        <w:t>edemima</w:t>
      </w:r>
      <w:proofErr w:type="spellEnd"/>
      <w:r w:rsidR="00CD6F43" w:rsidRPr="00950715">
        <w:rPr>
          <w:sz w:val="22"/>
          <w:szCs w:val="22"/>
          <w:lang w:val="sr-Latn-ME"/>
        </w:rPr>
        <w:t xml:space="preserve"> ili </w:t>
      </w:r>
      <w:proofErr w:type="spellStart"/>
      <w:r w:rsidR="00FF0A65" w:rsidRPr="00950715">
        <w:rPr>
          <w:sz w:val="22"/>
          <w:szCs w:val="22"/>
          <w:lang w:val="sr-Latn-ME"/>
        </w:rPr>
        <w:t>ekstracelularnom</w:t>
      </w:r>
      <w:proofErr w:type="spellEnd"/>
      <w:r w:rsidR="00CD6F43" w:rsidRPr="00950715">
        <w:rPr>
          <w:sz w:val="22"/>
          <w:szCs w:val="22"/>
          <w:lang w:val="sr-Latn-ME"/>
        </w:rPr>
        <w:t xml:space="preserve"> </w:t>
      </w:r>
      <w:proofErr w:type="spellStart"/>
      <w:r w:rsidR="00CD6F43" w:rsidRPr="00950715">
        <w:rPr>
          <w:sz w:val="22"/>
          <w:szCs w:val="22"/>
          <w:lang w:val="sr-Latn-ME"/>
        </w:rPr>
        <w:t>hiperhidracijom</w:t>
      </w:r>
      <w:proofErr w:type="spellEnd"/>
      <w:r w:rsidRPr="00950715">
        <w:rPr>
          <w:sz w:val="22"/>
          <w:szCs w:val="22"/>
          <w:lang w:val="sr-Latn-ME"/>
        </w:rPr>
        <w:t>,</w:t>
      </w:r>
      <w:r w:rsidR="00F94D73" w:rsidRPr="00950715">
        <w:rPr>
          <w:sz w:val="22"/>
          <w:szCs w:val="22"/>
          <w:lang w:val="sr-Latn-ME"/>
        </w:rPr>
        <w:t xml:space="preserve"> hipertenzijom,</w:t>
      </w:r>
      <w:r w:rsidRPr="00950715">
        <w:rPr>
          <w:sz w:val="22"/>
          <w:szCs w:val="22"/>
          <w:lang w:val="sr-Latn-ME"/>
        </w:rPr>
        <w:t xml:space="preserve"> oštećenom funkcijom bubrega, </w:t>
      </w:r>
      <w:r w:rsidR="00CD6F43" w:rsidRPr="00950715">
        <w:rPr>
          <w:sz w:val="22"/>
          <w:szCs w:val="22"/>
          <w:lang w:val="sr-Latn-ME"/>
        </w:rPr>
        <w:t xml:space="preserve">postojećom ili </w:t>
      </w:r>
      <w:r w:rsidR="00FF0A65" w:rsidRPr="00950715">
        <w:rPr>
          <w:sz w:val="22"/>
          <w:szCs w:val="22"/>
          <w:lang w:val="sr-Latn-ME"/>
        </w:rPr>
        <w:t>pratećom</w:t>
      </w:r>
      <w:r w:rsidR="00CD6F43"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eklampsijom</w:t>
      </w:r>
      <w:proofErr w:type="spellEnd"/>
      <w:r w:rsidRPr="00950715">
        <w:rPr>
          <w:sz w:val="22"/>
          <w:szCs w:val="22"/>
          <w:lang w:val="sr-Latn-ME"/>
        </w:rPr>
        <w:t xml:space="preserve">, </w:t>
      </w:r>
      <w:proofErr w:type="spellStart"/>
      <w:r w:rsidRPr="00950715">
        <w:rPr>
          <w:sz w:val="22"/>
          <w:szCs w:val="22"/>
          <w:lang w:val="sr-Latn-ME"/>
        </w:rPr>
        <w:t>aldosteronizmom</w:t>
      </w:r>
      <w:proofErr w:type="spellEnd"/>
      <w:r w:rsidRPr="00950715">
        <w:rPr>
          <w:sz w:val="22"/>
          <w:szCs w:val="22"/>
          <w:lang w:val="sr-Latn-ME"/>
        </w:rPr>
        <w:t xml:space="preserve"> ili drugim stanjima ili terapijama (npr. </w:t>
      </w:r>
      <w:proofErr w:type="spellStart"/>
      <w:r w:rsidRPr="00950715">
        <w:rPr>
          <w:sz w:val="22"/>
          <w:szCs w:val="22"/>
          <w:lang w:val="sr-Latn-ME"/>
        </w:rPr>
        <w:t>kortikosteroidi</w:t>
      </w:r>
      <w:proofErr w:type="spellEnd"/>
      <w:r w:rsidR="00F17A59" w:rsidRPr="00950715">
        <w:rPr>
          <w:sz w:val="22"/>
          <w:szCs w:val="22"/>
          <w:lang w:val="sr-Latn-ME"/>
        </w:rPr>
        <w:t>/</w:t>
      </w:r>
      <w:proofErr w:type="spellStart"/>
      <w:r w:rsidR="00F17A59" w:rsidRPr="00950715">
        <w:rPr>
          <w:sz w:val="22"/>
          <w:szCs w:val="22"/>
          <w:lang w:val="sr-Latn-ME"/>
        </w:rPr>
        <w:t>steroidi</w:t>
      </w:r>
      <w:proofErr w:type="spellEnd"/>
      <w:r w:rsidRPr="00950715">
        <w:rPr>
          <w:sz w:val="22"/>
          <w:szCs w:val="22"/>
          <w:lang w:val="sr-Latn-ME"/>
        </w:rPr>
        <w:t>) koji su praćeni retencijom natrijuma (</w:t>
      </w:r>
      <w:r w:rsidR="00C52B00" w:rsidRPr="00950715">
        <w:rPr>
          <w:sz w:val="22"/>
          <w:szCs w:val="22"/>
          <w:lang w:val="sr-Latn-ME"/>
        </w:rPr>
        <w:t xml:space="preserve">pogledati </w:t>
      </w:r>
      <w:r w:rsidR="00F17A59" w:rsidRPr="00950715">
        <w:rPr>
          <w:sz w:val="22"/>
          <w:szCs w:val="22"/>
          <w:lang w:val="sr-Latn-ME"/>
        </w:rPr>
        <w:t xml:space="preserve">takođe </w:t>
      </w:r>
      <w:r w:rsidR="00C52B00" w:rsidRPr="00950715">
        <w:rPr>
          <w:sz w:val="22"/>
          <w:szCs w:val="22"/>
          <w:lang w:val="sr-Latn-ME"/>
        </w:rPr>
        <w:t>dio</w:t>
      </w:r>
      <w:r w:rsidRPr="00950715">
        <w:rPr>
          <w:sz w:val="22"/>
          <w:szCs w:val="22"/>
          <w:lang w:val="sr-Latn-ME"/>
        </w:rPr>
        <w:t xml:space="preserve"> 4.5).</w:t>
      </w:r>
    </w:p>
    <w:p w14:paraId="3FFAE280" w14:textId="77777777" w:rsidR="00971A0A" w:rsidRPr="00950715" w:rsidRDefault="00971A0A" w:rsidP="00D62C2F">
      <w:pPr>
        <w:jc w:val="both"/>
        <w:rPr>
          <w:i/>
          <w:sz w:val="22"/>
          <w:szCs w:val="22"/>
          <w:lang w:val="sr-Latn-ME"/>
        </w:rPr>
      </w:pPr>
    </w:p>
    <w:p w14:paraId="16D0142E" w14:textId="15250ECD" w:rsidR="00971A0A" w:rsidRPr="00950715" w:rsidRDefault="00971A0A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Rastvori koji sadrže </w:t>
      </w:r>
      <w:r w:rsidRPr="00950715">
        <w:rPr>
          <w:b/>
          <w:bCs/>
          <w:sz w:val="22"/>
          <w:szCs w:val="22"/>
          <w:lang w:val="sr-Latn-ME"/>
        </w:rPr>
        <w:t>soli kalijuma</w:t>
      </w:r>
      <w:r w:rsidRPr="00950715">
        <w:rPr>
          <w:sz w:val="22"/>
          <w:szCs w:val="22"/>
          <w:lang w:val="sr-Latn-ME"/>
        </w:rPr>
        <w:t xml:space="preserve"> treba da se prim</w:t>
      </w:r>
      <w:r w:rsidR="00744B5C" w:rsidRPr="00950715">
        <w:rPr>
          <w:sz w:val="22"/>
          <w:szCs w:val="22"/>
          <w:lang w:val="sr-Latn-ME"/>
        </w:rPr>
        <w:t>i</w:t>
      </w:r>
      <w:r w:rsidRPr="00950715">
        <w:rPr>
          <w:sz w:val="22"/>
          <w:szCs w:val="22"/>
          <w:lang w:val="sr-Latn-ME"/>
        </w:rPr>
        <w:t xml:space="preserve">jene oprezno kod pacijenata sa oboljenjem srca ili stanjima koja </w:t>
      </w:r>
      <w:proofErr w:type="spellStart"/>
      <w:r w:rsidRPr="00950715">
        <w:rPr>
          <w:sz w:val="22"/>
          <w:szCs w:val="22"/>
          <w:lang w:val="sr-Latn-ME"/>
        </w:rPr>
        <w:t>predisponiraju</w:t>
      </w:r>
      <w:proofErr w:type="spellEnd"/>
      <w:r w:rsidRPr="00950715">
        <w:rPr>
          <w:sz w:val="22"/>
          <w:szCs w:val="22"/>
          <w:lang w:val="sr-Latn-ME"/>
        </w:rPr>
        <w:t xml:space="preserve"> nastanak </w:t>
      </w:r>
      <w:proofErr w:type="spellStart"/>
      <w:r w:rsidRPr="00950715">
        <w:rPr>
          <w:sz w:val="22"/>
          <w:szCs w:val="22"/>
          <w:lang w:val="sr-Latn-ME"/>
        </w:rPr>
        <w:t>hiperkalijemije</w:t>
      </w:r>
      <w:proofErr w:type="spellEnd"/>
      <w:r w:rsidRPr="00950715">
        <w:rPr>
          <w:sz w:val="22"/>
          <w:szCs w:val="22"/>
          <w:lang w:val="sr-Latn-ME"/>
        </w:rPr>
        <w:t xml:space="preserve"> kao što su </w:t>
      </w:r>
      <w:proofErr w:type="spellStart"/>
      <w:r w:rsidRPr="00950715">
        <w:rPr>
          <w:sz w:val="22"/>
          <w:szCs w:val="22"/>
          <w:lang w:val="sr-Latn-ME"/>
        </w:rPr>
        <w:t>insuficijencija</w:t>
      </w:r>
      <w:proofErr w:type="spellEnd"/>
      <w:r w:rsidRPr="00950715">
        <w:rPr>
          <w:sz w:val="22"/>
          <w:szCs w:val="22"/>
          <w:lang w:val="sr-Latn-ME"/>
        </w:rPr>
        <w:t xml:space="preserve"> bubrega ili </w:t>
      </w:r>
      <w:proofErr w:type="spellStart"/>
      <w:r w:rsidRPr="00950715">
        <w:rPr>
          <w:sz w:val="22"/>
          <w:szCs w:val="22"/>
          <w:lang w:val="sr-Latn-ME"/>
        </w:rPr>
        <w:t>adrenokortikalna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insuficijencija</w:t>
      </w:r>
      <w:proofErr w:type="spellEnd"/>
      <w:r w:rsidRPr="00950715">
        <w:rPr>
          <w:sz w:val="22"/>
          <w:szCs w:val="22"/>
          <w:lang w:val="sr-Latn-ME"/>
        </w:rPr>
        <w:t>, akutna dehidratacija ili ekstenzivno razaranje tkiva koje se dešava kod teških opekotina.</w:t>
      </w:r>
    </w:p>
    <w:p w14:paraId="47A2EDB8" w14:textId="77777777" w:rsidR="00971A0A" w:rsidRPr="00950715" w:rsidRDefault="00971A0A" w:rsidP="00D62C2F">
      <w:pPr>
        <w:jc w:val="both"/>
        <w:rPr>
          <w:sz w:val="22"/>
          <w:szCs w:val="22"/>
          <w:lang w:val="sr-Latn-ME"/>
        </w:rPr>
      </w:pPr>
    </w:p>
    <w:p w14:paraId="556FA8FA" w14:textId="3BD386A1" w:rsidR="00971A0A" w:rsidRPr="00950715" w:rsidRDefault="00971A0A" w:rsidP="00D62C2F">
      <w:p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Usljed</w:t>
      </w:r>
      <w:proofErr w:type="spellEnd"/>
      <w:r w:rsidRPr="00950715">
        <w:rPr>
          <w:sz w:val="22"/>
          <w:szCs w:val="22"/>
          <w:lang w:val="sr-Latn-ME"/>
        </w:rPr>
        <w:t xml:space="preserve"> prisustva </w:t>
      </w:r>
      <w:r w:rsidRPr="00950715">
        <w:rPr>
          <w:b/>
          <w:bCs/>
          <w:sz w:val="22"/>
          <w:szCs w:val="22"/>
          <w:lang w:val="sr-Latn-ME"/>
        </w:rPr>
        <w:t>kalcijuma</w:t>
      </w:r>
      <w:r w:rsidRPr="00950715">
        <w:rPr>
          <w:sz w:val="22"/>
          <w:szCs w:val="22"/>
          <w:lang w:val="sr-Latn-ME"/>
        </w:rPr>
        <w:t xml:space="preserve"> u ovom rastvoru:</w:t>
      </w:r>
    </w:p>
    <w:p w14:paraId="37B257FC" w14:textId="77777777" w:rsidR="00971A0A" w:rsidRPr="00950715" w:rsidRDefault="00971A0A" w:rsidP="00D62C2F">
      <w:pPr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Treba voditi računa da se spriječi </w:t>
      </w:r>
      <w:proofErr w:type="spellStart"/>
      <w:r w:rsidRPr="00950715">
        <w:rPr>
          <w:sz w:val="22"/>
          <w:szCs w:val="22"/>
          <w:lang w:val="sr-Latn-ME"/>
        </w:rPr>
        <w:t>ekstravazacija</w:t>
      </w:r>
      <w:proofErr w:type="spellEnd"/>
      <w:r w:rsidRPr="00950715">
        <w:rPr>
          <w:sz w:val="22"/>
          <w:szCs w:val="22"/>
          <w:lang w:val="sr-Latn-ME"/>
        </w:rPr>
        <w:t xml:space="preserve"> tokom </w:t>
      </w:r>
      <w:proofErr w:type="spellStart"/>
      <w:r w:rsidRPr="00950715">
        <w:rPr>
          <w:sz w:val="22"/>
          <w:szCs w:val="22"/>
          <w:lang w:val="sr-Latn-ME"/>
        </w:rPr>
        <w:t>intravenske</w:t>
      </w:r>
      <w:proofErr w:type="spellEnd"/>
      <w:r w:rsidRPr="00950715">
        <w:rPr>
          <w:sz w:val="22"/>
          <w:szCs w:val="22"/>
          <w:lang w:val="sr-Latn-ME"/>
        </w:rPr>
        <w:t xml:space="preserve"> infuzije.</w:t>
      </w:r>
    </w:p>
    <w:p w14:paraId="3CE971EF" w14:textId="41EE1D7D" w:rsidR="00044A1C" w:rsidRPr="00950715" w:rsidRDefault="00971A0A" w:rsidP="00D62C2F">
      <w:pPr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Rastvor treba oprezno primjenjivati kod pacijenata sa oštećenom funkcijom bubrega ili oboljenjima praćenim povišenim koncentracijama vitamina D, kao što je </w:t>
      </w:r>
      <w:proofErr w:type="spellStart"/>
      <w:r w:rsidRPr="00950715">
        <w:rPr>
          <w:sz w:val="22"/>
          <w:szCs w:val="22"/>
          <w:lang w:val="sr-Latn-ME"/>
        </w:rPr>
        <w:t>sarkoidoza</w:t>
      </w:r>
      <w:proofErr w:type="spellEnd"/>
      <w:r w:rsidRPr="00950715">
        <w:rPr>
          <w:sz w:val="22"/>
          <w:szCs w:val="22"/>
          <w:lang w:val="sr-Latn-ME"/>
        </w:rPr>
        <w:t>.</w:t>
      </w:r>
      <w:r w:rsidR="002E2B6D" w:rsidRPr="00950715">
        <w:rPr>
          <w:sz w:val="22"/>
          <w:szCs w:val="22"/>
          <w:lang w:val="sr-Latn-ME"/>
        </w:rPr>
        <w:t xml:space="preserve"> </w:t>
      </w:r>
    </w:p>
    <w:p w14:paraId="3F0BC3D3" w14:textId="77777777" w:rsidR="00F145B7" w:rsidRPr="00950715" w:rsidRDefault="00F145B7" w:rsidP="00D62C2F">
      <w:pPr>
        <w:jc w:val="both"/>
        <w:rPr>
          <w:sz w:val="22"/>
          <w:szCs w:val="22"/>
          <w:lang w:val="sr-Latn-ME"/>
        </w:rPr>
      </w:pPr>
    </w:p>
    <w:p w14:paraId="4EEE358C" w14:textId="4370E2DE" w:rsidR="00971A0A" w:rsidRPr="00950715" w:rsidRDefault="00F145B7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Zbog toga</w:t>
      </w:r>
      <w:r w:rsidR="006218E5" w:rsidRPr="00950715">
        <w:rPr>
          <w:sz w:val="22"/>
          <w:szCs w:val="22"/>
          <w:lang w:val="sr-Latn-ME"/>
        </w:rPr>
        <w:t xml:space="preserve">, primjenu rastvora koji sadrže kalcijum potrebno je izbjegavati kod pacijenata sa </w:t>
      </w:r>
      <w:r w:rsidR="001656D7" w:rsidRPr="00950715">
        <w:rPr>
          <w:sz w:val="22"/>
          <w:szCs w:val="22"/>
          <w:lang w:val="sr-Latn-ME"/>
        </w:rPr>
        <w:t>postojećim</w:t>
      </w:r>
      <w:r w:rsidRPr="00950715">
        <w:rPr>
          <w:sz w:val="22"/>
          <w:szCs w:val="22"/>
          <w:lang w:val="sr-Latn-ME"/>
        </w:rPr>
        <w:t xml:space="preserve"> bubrežnim kamen</w:t>
      </w:r>
      <w:r w:rsidR="00744B5C" w:rsidRPr="00950715">
        <w:rPr>
          <w:sz w:val="22"/>
          <w:szCs w:val="22"/>
          <w:lang w:val="sr-Latn-ME"/>
        </w:rPr>
        <w:t>cima</w:t>
      </w:r>
      <w:r w:rsidR="001656D7" w:rsidRPr="00950715">
        <w:rPr>
          <w:sz w:val="22"/>
          <w:szCs w:val="22"/>
          <w:lang w:val="sr-Latn-ME"/>
        </w:rPr>
        <w:t xml:space="preserve"> ili sa bubrežnim </w:t>
      </w:r>
      <w:r w:rsidR="00D72079" w:rsidRPr="00950715">
        <w:rPr>
          <w:sz w:val="22"/>
          <w:szCs w:val="22"/>
          <w:lang w:val="sr-Latn-ME"/>
        </w:rPr>
        <w:t>kamen</w:t>
      </w:r>
      <w:r w:rsidR="00744B5C" w:rsidRPr="00950715">
        <w:rPr>
          <w:sz w:val="22"/>
          <w:szCs w:val="22"/>
          <w:lang w:val="sr-Latn-ME"/>
        </w:rPr>
        <w:t>cima</w:t>
      </w:r>
      <w:r w:rsidR="00D72079" w:rsidRPr="00950715">
        <w:rPr>
          <w:sz w:val="22"/>
          <w:szCs w:val="22"/>
          <w:lang w:val="sr-Latn-ME"/>
        </w:rPr>
        <w:t xml:space="preserve"> </w:t>
      </w:r>
      <w:r w:rsidR="001656D7" w:rsidRPr="00950715">
        <w:rPr>
          <w:sz w:val="22"/>
          <w:szCs w:val="22"/>
          <w:lang w:val="sr-Latn-ME"/>
        </w:rPr>
        <w:t>u istoriji bolesti.</w:t>
      </w:r>
      <w:r w:rsidR="00F15874" w:rsidRPr="00950715">
        <w:rPr>
          <w:sz w:val="22"/>
          <w:szCs w:val="22"/>
          <w:lang w:val="sr-Latn-ME"/>
        </w:rPr>
        <w:t xml:space="preserve"> U</w:t>
      </w:r>
      <w:r w:rsidR="00971A0A" w:rsidRPr="00950715">
        <w:rPr>
          <w:sz w:val="22"/>
          <w:szCs w:val="22"/>
          <w:lang w:val="sr-Latn-ME"/>
        </w:rPr>
        <w:t xml:space="preserve"> slučaju istovremene transfuzije</w:t>
      </w:r>
      <w:r w:rsidRPr="00950715">
        <w:rPr>
          <w:sz w:val="22"/>
          <w:szCs w:val="22"/>
          <w:lang w:val="sr-Latn-ME"/>
        </w:rPr>
        <w:t xml:space="preserve"> krvi</w:t>
      </w:r>
      <w:r w:rsidR="00971A0A" w:rsidRPr="00950715">
        <w:rPr>
          <w:sz w:val="22"/>
          <w:szCs w:val="22"/>
          <w:lang w:val="sr-Latn-ME"/>
        </w:rPr>
        <w:t>, rastvor ne smije biti prim</w:t>
      </w:r>
      <w:r w:rsidR="00F15874" w:rsidRPr="00950715">
        <w:rPr>
          <w:sz w:val="22"/>
          <w:szCs w:val="22"/>
          <w:lang w:val="sr-Latn-ME"/>
        </w:rPr>
        <w:t>i</w:t>
      </w:r>
      <w:r w:rsidR="00971A0A" w:rsidRPr="00950715">
        <w:rPr>
          <w:sz w:val="22"/>
          <w:szCs w:val="22"/>
          <w:lang w:val="sr-Latn-ME"/>
        </w:rPr>
        <w:t>jenjen istim setom za infuziju.</w:t>
      </w:r>
    </w:p>
    <w:p w14:paraId="5037B9D7" w14:textId="77777777" w:rsidR="00CA52B0" w:rsidRPr="00950715" w:rsidRDefault="00CA52B0" w:rsidP="00D62C2F">
      <w:pPr>
        <w:jc w:val="both"/>
        <w:rPr>
          <w:sz w:val="22"/>
          <w:szCs w:val="22"/>
          <w:lang w:val="sr-Latn-ME"/>
        </w:rPr>
      </w:pPr>
    </w:p>
    <w:p w14:paraId="5035118D" w14:textId="500970DF" w:rsidR="00CA52B0" w:rsidRPr="00950715" w:rsidRDefault="00CA52B0" w:rsidP="00D62C2F">
      <w:pPr>
        <w:jc w:val="both"/>
        <w:rPr>
          <w:i/>
          <w:iCs/>
          <w:sz w:val="22"/>
          <w:szCs w:val="22"/>
          <w:lang w:val="sr-Latn-ME"/>
        </w:rPr>
      </w:pPr>
      <w:r w:rsidRPr="00950715">
        <w:rPr>
          <w:i/>
          <w:iCs/>
          <w:sz w:val="22"/>
          <w:szCs w:val="22"/>
          <w:lang w:val="sr-Latn-ME"/>
        </w:rPr>
        <w:t xml:space="preserve">Pacijenti sa hroničnom </w:t>
      </w:r>
      <w:proofErr w:type="spellStart"/>
      <w:r w:rsidRPr="00950715">
        <w:rPr>
          <w:i/>
          <w:iCs/>
          <w:sz w:val="22"/>
          <w:szCs w:val="22"/>
          <w:lang w:val="sr-Latn-ME"/>
        </w:rPr>
        <w:t>hiponatrijemijom</w:t>
      </w:r>
      <w:proofErr w:type="spellEnd"/>
    </w:p>
    <w:p w14:paraId="37BFE5C8" w14:textId="4AE3F136" w:rsidR="00CA52B0" w:rsidRPr="00950715" w:rsidRDefault="006D6A5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Prebrza korekcija koncentracije natrijuma u serumu mora se izbjegavati kod pacijenata sa hroničnom </w:t>
      </w:r>
      <w:proofErr w:type="spellStart"/>
      <w:r w:rsidRPr="00950715">
        <w:rPr>
          <w:sz w:val="22"/>
          <w:szCs w:val="22"/>
          <w:lang w:val="sr-Latn-ME"/>
        </w:rPr>
        <w:t>hiponatrijemijom</w:t>
      </w:r>
      <w:proofErr w:type="spellEnd"/>
      <w:r w:rsidRPr="00950715">
        <w:rPr>
          <w:sz w:val="22"/>
          <w:szCs w:val="22"/>
          <w:lang w:val="sr-Latn-ME"/>
        </w:rPr>
        <w:t xml:space="preserve"> jer brzi porast koncentracije natrijuma u serumu može u rijetkim slučajevima dovesti do štetnih osmotskih </w:t>
      </w:r>
      <w:r w:rsidR="009C0262" w:rsidRPr="00950715">
        <w:rPr>
          <w:sz w:val="22"/>
          <w:szCs w:val="22"/>
          <w:lang w:val="sr-Latn-ME"/>
        </w:rPr>
        <w:t>efekata</w:t>
      </w:r>
      <w:r w:rsidRPr="00950715">
        <w:rPr>
          <w:sz w:val="22"/>
          <w:szCs w:val="22"/>
          <w:lang w:val="sr-Latn-ME"/>
        </w:rPr>
        <w:t xml:space="preserve">, npr. do sindroma osmotske </w:t>
      </w:r>
      <w:proofErr w:type="spellStart"/>
      <w:r w:rsidRPr="00950715">
        <w:rPr>
          <w:sz w:val="22"/>
          <w:szCs w:val="22"/>
          <w:lang w:val="sr-Latn-ME"/>
        </w:rPr>
        <w:t>demijelinizacije</w:t>
      </w:r>
      <w:proofErr w:type="spellEnd"/>
      <w:r w:rsidRPr="00950715">
        <w:rPr>
          <w:sz w:val="22"/>
          <w:szCs w:val="22"/>
          <w:lang w:val="sr-Latn-ME"/>
        </w:rPr>
        <w:t>.</w:t>
      </w:r>
    </w:p>
    <w:p w14:paraId="322EAE11" w14:textId="77777777" w:rsidR="0057281B" w:rsidRPr="00950715" w:rsidRDefault="0057281B" w:rsidP="00D62C2F">
      <w:pPr>
        <w:jc w:val="both"/>
        <w:rPr>
          <w:sz w:val="22"/>
          <w:szCs w:val="22"/>
          <w:lang w:val="sr-Latn-ME"/>
        </w:rPr>
      </w:pPr>
    </w:p>
    <w:p w14:paraId="6833B3A2" w14:textId="6B05F773" w:rsidR="0057281B" w:rsidRPr="00950715" w:rsidRDefault="0057281B" w:rsidP="00D62C2F">
      <w:pPr>
        <w:jc w:val="both"/>
        <w:rPr>
          <w:i/>
          <w:iCs/>
          <w:sz w:val="22"/>
          <w:szCs w:val="22"/>
          <w:lang w:val="sr-Latn-ME"/>
        </w:rPr>
      </w:pPr>
      <w:r w:rsidRPr="00950715">
        <w:rPr>
          <w:i/>
          <w:iCs/>
          <w:sz w:val="22"/>
          <w:szCs w:val="22"/>
          <w:lang w:val="sr-Latn-ME"/>
        </w:rPr>
        <w:t>Pedijatrijski pacijenti</w:t>
      </w:r>
    </w:p>
    <w:p w14:paraId="23892D14" w14:textId="0B7FFDCD" w:rsidR="00971A0A" w:rsidRPr="00950715" w:rsidRDefault="00A62BE1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Rastvor se može primjenjivati samo uz poseban oprez kod odojčadi mlađe od 3 mjeseca.</w:t>
      </w:r>
    </w:p>
    <w:p w14:paraId="59412191" w14:textId="77777777" w:rsidR="00A62BE1" w:rsidRPr="00950715" w:rsidRDefault="00A62BE1" w:rsidP="00D62C2F">
      <w:pPr>
        <w:jc w:val="both"/>
        <w:rPr>
          <w:sz w:val="22"/>
          <w:szCs w:val="22"/>
          <w:lang w:val="sr-Latn-ME"/>
        </w:rPr>
      </w:pPr>
    </w:p>
    <w:p w14:paraId="27177ECC" w14:textId="3C27C8A8" w:rsidR="00455BBD" w:rsidRPr="00950715" w:rsidRDefault="00455BBD" w:rsidP="00D62C2F">
      <w:pPr>
        <w:jc w:val="both"/>
        <w:rPr>
          <w:i/>
          <w:iCs/>
          <w:sz w:val="22"/>
          <w:szCs w:val="22"/>
          <w:lang w:val="sr-Latn-ME"/>
        </w:rPr>
      </w:pPr>
      <w:r w:rsidRPr="00950715">
        <w:rPr>
          <w:i/>
          <w:iCs/>
          <w:sz w:val="22"/>
          <w:szCs w:val="22"/>
          <w:lang w:val="sr-Latn-ME"/>
        </w:rPr>
        <w:t>Primjena kao sredstva za razblaživanje/rastvaranje</w:t>
      </w:r>
    </w:p>
    <w:p w14:paraId="2DD3FDAA" w14:textId="381F9D4E" w:rsidR="00191E00" w:rsidRPr="00950715" w:rsidRDefault="00191E00" w:rsidP="00D62C2F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/>
        </w:rPr>
      </w:pPr>
      <w:r w:rsidRPr="00950715">
        <w:rPr>
          <w:rFonts w:eastAsia="TimesNewRoman"/>
          <w:sz w:val="22"/>
          <w:szCs w:val="22"/>
          <w:lang w:val="sr-Latn-ME"/>
        </w:rPr>
        <w:t xml:space="preserve">Ukoliko se lijek </w:t>
      </w:r>
      <w:proofErr w:type="spellStart"/>
      <w:r w:rsidRPr="00950715">
        <w:rPr>
          <w:rFonts w:eastAsia="TimesNewRoman"/>
          <w:sz w:val="22"/>
          <w:szCs w:val="22"/>
          <w:lang w:val="sr-Latn-ME"/>
        </w:rPr>
        <w:t>Hartmanov</w:t>
      </w:r>
      <w:proofErr w:type="spellEnd"/>
      <w:r w:rsidRPr="00950715">
        <w:rPr>
          <w:rFonts w:eastAsia="TimesNewRoman"/>
          <w:sz w:val="22"/>
          <w:szCs w:val="22"/>
          <w:lang w:val="sr-Latn-ME"/>
        </w:rPr>
        <w:t xml:space="preserve"> rastvor </w:t>
      </w:r>
      <w:r w:rsidR="00BA6A42" w:rsidRPr="00950715">
        <w:rPr>
          <w:rFonts w:eastAsia="TimesNewRoman"/>
          <w:sz w:val="22"/>
          <w:szCs w:val="22"/>
          <w:lang w:val="sr-Latn-ME"/>
        </w:rPr>
        <w:t xml:space="preserve">HF </w:t>
      </w:r>
      <w:r w:rsidRPr="00950715">
        <w:rPr>
          <w:rFonts w:eastAsia="TimesNewRoman"/>
          <w:sz w:val="22"/>
          <w:szCs w:val="22"/>
          <w:lang w:val="sr-Latn-ME"/>
        </w:rPr>
        <w:t>koristi kao sredstvo za razblaživanje/rastvaranje, mora</w:t>
      </w:r>
      <w:r w:rsidR="000504E2" w:rsidRPr="00950715">
        <w:rPr>
          <w:rFonts w:eastAsia="TimesNewRoman"/>
          <w:sz w:val="22"/>
          <w:szCs w:val="22"/>
          <w:lang w:val="sr-Latn-ME"/>
        </w:rPr>
        <w:t>ju</w:t>
      </w:r>
      <w:r w:rsidRPr="00950715">
        <w:rPr>
          <w:rFonts w:eastAsia="TimesNewRoman"/>
          <w:sz w:val="22"/>
          <w:szCs w:val="22"/>
          <w:lang w:val="sr-Latn-ME"/>
        </w:rPr>
        <w:t xml:space="preserve"> se </w:t>
      </w:r>
      <w:r w:rsidR="000504E2" w:rsidRPr="00950715">
        <w:rPr>
          <w:rFonts w:eastAsia="TimesNewRoman"/>
          <w:sz w:val="22"/>
          <w:szCs w:val="22"/>
          <w:lang w:val="sr-Latn-ME"/>
        </w:rPr>
        <w:t>uzeti u obzir</w:t>
      </w:r>
      <w:r w:rsidRPr="00950715">
        <w:rPr>
          <w:rFonts w:eastAsia="TimesNewRoman"/>
          <w:sz w:val="22"/>
          <w:szCs w:val="22"/>
          <w:lang w:val="sr-Latn-ME"/>
        </w:rPr>
        <w:t xml:space="preserve"> </w:t>
      </w:r>
      <w:r w:rsidR="00AC012C" w:rsidRPr="00950715">
        <w:rPr>
          <w:rFonts w:eastAsia="TimesNewRoman"/>
          <w:sz w:val="22"/>
          <w:szCs w:val="22"/>
          <w:lang w:val="sr-Latn-ME"/>
        </w:rPr>
        <w:t>informacije o bezbjednosti dodatog lijeka, obezbeđene od strane proizvođača</w:t>
      </w:r>
      <w:r w:rsidRPr="00950715">
        <w:rPr>
          <w:rFonts w:eastAsia="TimesNewRoman"/>
          <w:sz w:val="22"/>
          <w:szCs w:val="22"/>
          <w:lang w:val="sr-Latn-ME"/>
        </w:rPr>
        <w:t xml:space="preserve">. </w:t>
      </w:r>
    </w:p>
    <w:p w14:paraId="68492F01" w14:textId="77777777" w:rsidR="00191E00" w:rsidRPr="00950715" w:rsidRDefault="00191E00" w:rsidP="00D62C2F">
      <w:pPr>
        <w:jc w:val="both"/>
        <w:rPr>
          <w:sz w:val="22"/>
          <w:szCs w:val="22"/>
          <w:lang w:val="sr-Latn-ME"/>
        </w:rPr>
      </w:pPr>
    </w:p>
    <w:p w14:paraId="728FC729" w14:textId="5EA4FBB7" w:rsidR="00725EA0" w:rsidRPr="00950715" w:rsidRDefault="00725EA0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Kliničko praćenje pacijenata mora uključivati provjeru koncentracije elektrolita u serumu, </w:t>
      </w:r>
      <w:proofErr w:type="spellStart"/>
      <w:r w:rsidRPr="00950715">
        <w:rPr>
          <w:sz w:val="22"/>
          <w:szCs w:val="22"/>
          <w:lang w:val="sr-Latn-ME"/>
        </w:rPr>
        <w:t>acido</w:t>
      </w:r>
      <w:proofErr w:type="spellEnd"/>
      <w:r w:rsidRPr="00950715">
        <w:rPr>
          <w:sz w:val="22"/>
          <w:szCs w:val="22"/>
          <w:lang w:val="sr-Latn-ME"/>
        </w:rPr>
        <w:t xml:space="preserve">-bazne ravnoteže i ravnoteže </w:t>
      </w:r>
      <w:r w:rsidR="00AC012C" w:rsidRPr="00950715">
        <w:rPr>
          <w:sz w:val="22"/>
          <w:szCs w:val="22"/>
          <w:lang w:val="sr-Latn-ME"/>
        </w:rPr>
        <w:t>vode</w:t>
      </w:r>
      <w:r w:rsidRPr="00950715">
        <w:rPr>
          <w:sz w:val="22"/>
          <w:szCs w:val="22"/>
          <w:lang w:val="sr-Latn-ME"/>
        </w:rPr>
        <w:t>.</w:t>
      </w:r>
    </w:p>
    <w:p w14:paraId="51169107" w14:textId="77777777" w:rsidR="00580888" w:rsidRPr="00950715" w:rsidRDefault="00580888" w:rsidP="00D62C2F">
      <w:pPr>
        <w:jc w:val="both"/>
        <w:rPr>
          <w:sz w:val="22"/>
          <w:szCs w:val="22"/>
          <w:lang w:val="sr-Latn-ME"/>
        </w:rPr>
      </w:pPr>
    </w:p>
    <w:p w14:paraId="64DE1D99" w14:textId="2B8965E3" w:rsidR="00725EA0" w:rsidRPr="00950715" w:rsidRDefault="00AC012C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Koncentracij</w:t>
      </w:r>
      <w:r w:rsidR="00CA0994" w:rsidRPr="00950715">
        <w:rPr>
          <w:sz w:val="22"/>
          <w:szCs w:val="22"/>
          <w:lang w:val="sr-Latn-ME"/>
        </w:rPr>
        <w:t>a</w:t>
      </w:r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l</w:t>
      </w:r>
      <w:r w:rsidR="00725EA0" w:rsidRPr="00950715">
        <w:rPr>
          <w:sz w:val="22"/>
          <w:szCs w:val="22"/>
          <w:lang w:val="sr-Latn-ME"/>
        </w:rPr>
        <w:t>aktat</w:t>
      </w:r>
      <w:r w:rsidRPr="00950715">
        <w:rPr>
          <w:sz w:val="22"/>
          <w:szCs w:val="22"/>
          <w:lang w:val="sr-Latn-ME"/>
        </w:rPr>
        <w:t>a</w:t>
      </w:r>
      <w:proofErr w:type="spellEnd"/>
      <w:r w:rsidR="00725EA0" w:rsidRPr="00950715">
        <w:rPr>
          <w:sz w:val="22"/>
          <w:szCs w:val="22"/>
          <w:lang w:val="sr-Latn-ME"/>
        </w:rPr>
        <w:t xml:space="preserve"> u serumu se mora pažljivo pratiti</w:t>
      </w:r>
      <w:r w:rsidR="00BF513C" w:rsidRPr="00950715">
        <w:rPr>
          <w:sz w:val="22"/>
          <w:szCs w:val="22"/>
          <w:lang w:val="sr-Latn-ME"/>
        </w:rPr>
        <w:t xml:space="preserve"> i, ako dođe do njegove akumulacije prilikom primjene infuzije, dozu i brzinu infuzije potrebno je smanjiti</w:t>
      </w:r>
      <w:r w:rsidR="004C2E69" w:rsidRPr="00950715">
        <w:rPr>
          <w:sz w:val="22"/>
          <w:szCs w:val="22"/>
          <w:lang w:val="sr-Latn-ME"/>
        </w:rPr>
        <w:t xml:space="preserve"> ili, ako je neophodno, prekinuti primjenu rastvora.</w:t>
      </w:r>
    </w:p>
    <w:p w14:paraId="36E085F6" w14:textId="77777777" w:rsidR="00971A0A" w:rsidRPr="00950715" w:rsidRDefault="00971A0A" w:rsidP="00D62C2F">
      <w:pPr>
        <w:jc w:val="both"/>
        <w:rPr>
          <w:sz w:val="22"/>
          <w:szCs w:val="22"/>
          <w:lang w:val="sr-Latn-ME"/>
        </w:rPr>
      </w:pPr>
    </w:p>
    <w:p w14:paraId="5E800A9A" w14:textId="437277C8" w:rsidR="00971A0A" w:rsidRPr="00950715" w:rsidRDefault="00971A0A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U slučaju davanja infuzije pod pritiskom, što može biti neophodno u stanjima životne ugroženosti, sav vazduh se mora ukloniti iz boce i </w:t>
      </w:r>
      <w:proofErr w:type="spellStart"/>
      <w:r w:rsidRPr="00950715">
        <w:rPr>
          <w:sz w:val="22"/>
          <w:szCs w:val="22"/>
          <w:lang w:val="sr-Latn-ME"/>
        </w:rPr>
        <w:t>infuzionog</w:t>
      </w:r>
      <w:proofErr w:type="spellEnd"/>
      <w:r w:rsidRPr="00950715">
        <w:rPr>
          <w:sz w:val="22"/>
          <w:szCs w:val="22"/>
          <w:lang w:val="sr-Latn-ME"/>
        </w:rPr>
        <w:t xml:space="preserve"> seta prije primjene rastvora.</w:t>
      </w:r>
    </w:p>
    <w:p w14:paraId="271AADD5" w14:textId="77777777" w:rsidR="00057E35" w:rsidRPr="00950715" w:rsidRDefault="00057E35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DD6" w14:textId="77777777" w:rsidR="00411B4B" w:rsidRPr="00950715" w:rsidRDefault="00411B4B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lastRenderedPageBreak/>
        <w:t>4.5.</w:t>
      </w:r>
      <w:r w:rsidR="000D60CC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271AADD7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541EE6B" w14:textId="09F02C43" w:rsidR="002E6284" w:rsidRPr="00950715" w:rsidRDefault="002E6284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 xml:space="preserve">Primjena </w:t>
      </w:r>
      <w:r w:rsidR="00291507" w:rsidRPr="00950715">
        <w:rPr>
          <w:bCs/>
          <w:sz w:val="22"/>
          <w:szCs w:val="22"/>
          <w:lang w:val="sr-Latn-ME"/>
        </w:rPr>
        <w:t xml:space="preserve">lijeka </w:t>
      </w:r>
      <w:proofErr w:type="spellStart"/>
      <w:r w:rsidR="00291507" w:rsidRPr="00950715">
        <w:rPr>
          <w:bCs/>
          <w:sz w:val="22"/>
          <w:szCs w:val="22"/>
          <w:lang w:val="sr-Latn-ME"/>
        </w:rPr>
        <w:t>Hartmanov</w:t>
      </w:r>
      <w:proofErr w:type="spellEnd"/>
      <w:r w:rsidR="00291507" w:rsidRPr="00950715">
        <w:rPr>
          <w:bCs/>
          <w:sz w:val="22"/>
          <w:szCs w:val="22"/>
          <w:lang w:val="sr-Latn-ME"/>
        </w:rPr>
        <w:t xml:space="preserve"> rastvor</w:t>
      </w:r>
      <w:r w:rsidR="00A65341" w:rsidRPr="00950715">
        <w:rPr>
          <w:bCs/>
          <w:sz w:val="22"/>
          <w:szCs w:val="22"/>
          <w:lang w:val="sr-Latn-ME"/>
        </w:rPr>
        <w:t xml:space="preserve"> HF</w:t>
      </w:r>
      <w:r w:rsidR="00E924F1" w:rsidRPr="00950715">
        <w:rPr>
          <w:bCs/>
          <w:sz w:val="22"/>
          <w:szCs w:val="22"/>
          <w:lang w:val="sr-Latn-ME"/>
        </w:rPr>
        <w:t xml:space="preserve">, u skladu sa preporučenim indikacijama i </w:t>
      </w:r>
      <w:proofErr w:type="spellStart"/>
      <w:r w:rsidR="00E924F1" w:rsidRPr="00950715">
        <w:rPr>
          <w:bCs/>
          <w:sz w:val="22"/>
          <w:szCs w:val="22"/>
          <w:lang w:val="sr-Latn-ME"/>
        </w:rPr>
        <w:t>kontraindikacijama</w:t>
      </w:r>
      <w:proofErr w:type="spellEnd"/>
      <w:r w:rsidR="00E924F1" w:rsidRPr="00950715">
        <w:rPr>
          <w:bCs/>
          <w:sz w:val="22"/>
          <w:szCs w:val="22"/>
          <w:lang w:val="sr-Latn-ME"/>
        </w:rPr>
        <w:t xml:space="preserve">, ne </w:t>
      </w:r>
      <w:r w:rsidR="0098738B" w:rsidRPr="00950715">
        <w:rPr>
          <w:bCs/>
          <w:sz w:val="22"/>
          <w:szCs w:val="22"/>
          <w:lang w:val="sr-Latn-ME"/>
        </w:rPr>
        <w:t xml:space="preserve">dovodi do </w:t>
      </w:r>
      <w:r w:rsidR="00E924F1" w:rsidRPr="00950715">
        <w:rPr>
          <w:bCs/>
          <w:sz w:val="22"/>
          <w:szCs w:val="22"/>
          <w:lang w:val="sr-Latn-ME"/>
        </w:rPr>
        <w:t>poveća</w:t>
      </w:r>
      <w:r w:rsidR="0098738B" w:rsidRPr="00950715">
        <w:rPr>
          <w:bCs/>
          <w:sz w:val="22"/>
          <w:szCs w:val="22"/>
          <w:lang w:val="sr-Latn-ME"/>
        </w:rPr>
        <w:t>nj</w:t>
      </w:r>
      <w:r w:rsidR="00E924F1" w:rsidRPr="00950715">
        <w:rPr>
          <w:bCs/>
          <w:sz w:val="22"/>
          <w:szCs w:val="22"/>
          <w:lang w:val="sr-Latn-ME"/>
        </w:rPr>
        <w:t>a koncentracij</w:t>
      </w:r>
      <w:r w:rsidR="0098738B" w:rsidRPr="00950715">
        <w:rPr>
          <w:bCs/>
          <w:sz w:val="22"/>
          <w:szCs w:val="22"/>
          <w:lang w:val="sr-Latn-ME"/>
        </w:rPr>
        <w:t>e</w:t>
      </w:r>
      <w:r w:rsidR="00E924F1" w:rsidRPr="00950715">
        <w:rPr>
          <w:bCs/>
          <w:sz w:val="22"/>
          <w:szCs w:val="22"/>
          <w:lang w:val="sr-Latn-ME"/>
        </w:rPr>
        <w:t xml:space="preserve"> elektrolita prisutnih u plazmi</w:t>
      </w:r>
      <w:r w:rsidR="003508CC" w:rsidRPr="00950715">
        <w:rPr>
          <w:bCs/>
          <w:sz w:val="22"/>
          <w:szCs w:val="22"/>
          <w:lang w:val="sr-Latn-ME"/>
        </w:rPr>
        <w:t>. U slučaju da postoji porast koncentracije elektrolita</w:t>
      </w:r>
      <w:r w:rsidR="00BD2FF5" w:rsidRPr="00950715">
        <w:rPr>
          <w:bCs/>
          <w:sz w:val="22"/>
          <w:szCs w:val="22"/>
          <w:lang w:val="sr-Latn-ME"/>
        </w:rPr>
        <w:t xml:space="preserve">, iz bilo kog drugog razloga, </w:t>
      </w:r>
      <w:r w:rsidR="000A56E4" w:rsidRPr="00950715">
        <w:rPr>
          <w:bCs/>
          <w:sz w:val="22"/>
          <w:szCs w:val="22"/>
          <w:lang w:val="sr-Latn-ME"/>
        </w:rPr>
        <w:t>sljedeće interakcije se moraju uzeti u obzir.</w:t>
      </w:r>
    </w:p>
    <w:p w14:paraId="1B410000" w14:textId="77777777" w:rsidR="000A56E4" w:rsidRPr="00950715" w:rsidRDefault="000A56E4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85EDDC" w14:textId="5294BC16" w:rsidR="00822692" w:rsidRPr="00950715" w:rsidRDefault="00822692" w:rsidP="00D62C2F">
      <w:pPr>
        <w:jc w:val="both"/>
        <w:rPr>
          <w:i/>
          <w:sz w:val="22"/>
          <w:szCs w:val="22"/>
          <w:lang w:val="sr-Latn-ME"/>
        </w:rPr>
      </w:pPr>
      <w:r w:rsidRPr="00950715">
        <w:rPr>
          <w:i/>
          <w:sz w:val="22"/>
          <w:szCs w:val="22"/>
          <w:lang w:val="sr-Latn-ME"/>
        </w:rPr>
        <w:t xml:space="preserve">Interakcije </w:t>
      </w:r>
      <w:r w:rsidR="000A56E4" w:rsidRPr="00950715">
        <w:rPr>
          <w:i/>
          <w:sz w:val="22"/>
          <w:szCs w:val="22"/>
          <w:lang w:val="sr-Latn-ME"/>
        </w:rPr>
        <w:t>povezane sa unosom</w:t>
      </w:r>
      <w:r w:rsidRPr="00950715">
        <w:rPr>
          <w:i/>
          <w:sz w:val="22"/>
          <w:szCs w:val="22"/>
          <w:lang w:val="sr-Latn-ME"/>
        </w:rPr>
        <w:t xml:space="preserve"> natrijuma:</w:t>
      </w:r>
    </w:p>
    <w:p w14:paraId="2802D08A" w14:textId="205F1542" w:rsidR="00822692" w:rsidRPr="00950715" w:rsidRDefault="00D12242" w:rsidP="00D62C2F">
      <w:pPr>
        <w:pStyle w:val="ListParagraph"/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Primjena </w:t>
      </w:r>
      <w:proofErr w:type="spellStart"/>
      <w:r w:rsidRPr="00950715">
        <w:rPr>
          <w:sz w:val="22"/>
          <w:szCs w:val="22"/>
          <w:lang w:val="sr-Latn-ME"/>
        </w:rPr>
        <w:t>k</w:t>
      </w:r>
      <w:r w:rsidR="00822692" w:rsidRPr="00950715">
        <w:rPr>
          <w:sz w:val="22"/>
          <w:szCs w:val="22"/>
          <w:lang w:val="sr-Latn-ME"/>
        </w:rPr>
        <w:t>ortikosteroid</w:t>
      </w:r>
      <w:r w:rsidRPr="00950715">
        <w:rPr>
          <w:sz w:val="22"/>
          <w:szCs w:val="22"/>
          <w:lang w:val="sr-Latn-ME"/>
        </w:rPr>
        <w:t>a</w:t>
      </w:r>
      <w:proofErr w:type="spellEnd"/>
      <w:r w:rsidR="000A56E4" w:rsidRPr="00950715">
        <w:rPr>
          <w:sz w:val="22"/>
          <w:szCs w:val="22"/>
          <w:lang w:val="sr-Latn-ME"/>
        </w:rPr>
        <w:t>/</w:t>
      </w:r>
      <w:proofErr w:type="spellStart"/>
      <w:r w:rsidR="000A56E4" w:rsidRPr="00950715">
        <w:rPr>
          <w:sz w:val="22"/>
          <w:szCs w:val="22"/>
          <w:lang w:val="sr-Latn-ME"/>
        </w:rPr>
        <w:t>steroid</w:t>
      </w:r>
      <w:r w:rsidRPr="00950715">
        <w:rPr>
          <w:sz w:val="22"/>
          <w:szCs w:val="22"/>
          <w:lang w:val="sr-Latn-ME"/>
        </w:rPr>
        <w:t>a</w:t>
      </w:r>
      <w:proofErr w:type="spellEnd"/>
      <w:r w:rsidR="00822692" w:rsidRPr="00950715">
        <w:rPr>
          <w:sz w:val="22"/>
          <w:szCs w:val="22"/>
          <w:lang w:val="sr-Latn-ME"/>
        </w:rPr>
        <w:t xml:space="preserve"> i </w:t>
      </w:r>
      <w:proofErr w:type="spellStart"/>
      <w:r w:rsidR="00822692" w:rsidRPr="00950715">
        <w:rPr>
          <w:sz w:val="22"/>
          <w:szCs w:val="22"/>
          <w:lang w:val="sr-Latn-ME"/>
        </w:rPr>
        <w:t>karbenoksolon</w:t>
      </w:r>
      <w:r w:rsidRPr="00950715">
        <w:rPr>
          <w:sz w:val="22"/>
          <w:szCs w:val="22"/>
          <w:lang w:val="sr-Latn-ME"/>
        </w:rPr>
        <w:t>a</w:t>
      </w:r>
      <w:proofErr w:type="spellEnd"/>
      <w:r w:rsidRPr="00950715">
        <w:rPr>
          <w:sz w:val="22"/>
          <w:szCs w:val="22"/>
          <w:lang w:val="sr-Latn-ME"/>
        </w:rPr>
        <w:t xml:space="preserve"> može da</w:t>
      </w:r>
      <w:r w:rsidR="00822692" w:rsidRPr="00950715">
        <w:rPr>
          <w:sz w:val="22"/>
          <w:szCs w:val="22"/>
          <w:lang w:val="sr-Latn-ME"/>
        </w:rPr>
        <w:t xml:space="preserve"> dov</w:t>
      </w:r>
      <w:r w:rsidRPr="00950715">
        <w:rPr>
          <w:sz w:val="22"/>
          <w:szCs w:val="22"/>
          <w:lang w:val="sr-Latn-ME"/>
        </w:rPr>
        <w:t>e</w:t>
      </w:r>
      <w:r w:rsidR="00822692" w:rsidRPr="00950715">
        <w:rPr>
          <w:sz w:val="22"/>
          <w:szCs w:val="22"/>
          <w:lang w:val="sr-Latn-ME"/>
        </w:rPr>
        <w:t xml:space="preserve">de do retencije natrijuma i vode (sa </w:t>
      </w:r>
      <w:proofErr w:type="spellStart"/>
      <w:r w:rsidR="00822692" w:rsidRPr="00950715">
        <w:rPr>
          <w:sz w:val="22"/>
          <w:szCs w:val="22"/>
          <w:lang w:val="sr-Latn-ME"/>
        </w:rPr>
        <w:t>edemima</w:t>
      </w:r>
      <w:proofErr w:type="spellEnd"/>
      <w:r w:rsidR="00822692" w:rsidRPr="00950715">
        <w:rPr>
          <w:sz w:val="22"/>
          <w:szCs w:val="22"/>
          <w:lang w:val="sr-Latn-ME"/>
        </w:rPr>
        <w:t xml:space="preserve"> i hipertenzijom).</w:t>
      </w:r>
    </w:p>
    <w:p w14:paraId="0F06F9C7" w14:textId="77777777" w:rsidR="00822692" w:rsidRPr="00950715" w:rsidRDefault="00822692" w:rsidP="00D62C2F">
      <w:pPr>
        <w:jc w:val="both"/>
        <w:rPr>
          <w:sz w:val="22"/>
          <w:szCs w:val="22"/>
          <w:lang w:val="sr-Latn-ME"/>
        </w:rPr>
      </w:pPr>
    </w:p>
    <w:p w14:paraId="06078272" w14:textId="2BFBF34F" w:rsidR="00822692" w:rsidRPr="00950715" w:rsidRDefault="00822692" w:rsidP="00D62C2F">
      <w:pPr>
        <w:jc w:val="both"/>
        <w:rPr>
          <w:i/>
          <w:sz w:val="22"/>
          <w:szCs w:val="22"/>
          <w:lang w:val="sr-Latn-ME"/>
        </w:rPr>
      </w:pPr>
      <w:r w:rsidRPr="00950715">
        <w:rPr>
          <w:i/>
          <w:sz w:val="22"/>
          <w:szCs w:val="22"/>
          <w:lang w:val="sr-Latn-ME"/>
        </w:rPr>
        <w:t xml:space="preserve">Interakcije </w:t>
      </w:r>
      <w:r w:rsidR="0027311F" w:rsidRPr="00950715">
        <w:rPr>
          <w:i/>
          <w:sz w:val="22"/>
          <w:szCs w:val="22"/>
          <w:lang w:val="sr-Latn-ME"/>
        </w:rPr>
        <w:t xml:space="preserve">povezane sa unosom </w:t>
      </w:r>
      <w:r w:rsidRPr="00950715">
        <w:rPr>
          <w:i/>
          <w:sz w:val="22"/>
          <w:szCs w:val="22"/>
          <w:lang w:val="sr-Latn-ME"/>
        </w:rPr>
        <w:t>kalijuma:</w:t>
      </w:r>
    </w:p>
    <w:p w14:paraId="000E2F80" w14:textId="7777EB28" w:rsidR="00822692" w:rsidRPr="00950715" w:rsidRDefault="00886222" w:rsidP="00D62C2F">
      <w:p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Suksametonijum</w:t>
      </w:r>
      <w:proofErr w:type="spellEnd"/>
      <w:r w:rsidRPr="00950715">
        <w:rPr>
          <w:sz w:val="22"/>
          <w:szCs w:val="22"/>
          <w:lang w:val="sr-Latn-ME"/>
        </w:rPr>
        <w:t xml:space="preserve">, </w:t>
      </w:r>
      <w:proofErr w:type="spellStart"/>
      <w:r w:rsidRPr="00950715">
        <w:rPr>
          <w:sz w:val="22"/>
          <w:szCs w:val="22"/>
          <w:lang w:val="sr-Latn-ME"/>
        </w:rPr>
        <w:t>d</w:t>
      </w:r>
      <w:r w:rsidR="00822692" w:rsidRPr="00950715">
        <w:rPr>
          <w:sz w:val="22"/>
          <w:szCs w:val="22"/>
          <w:lang w:val="sr-Latn-ME"/>
        </w:rPr>
        <w:t>iuretici</w:t>
      </w:r>
      <w:proofErr w:type="spellEnd"/>
      <w:r w:rsidR="00822692" w:rsidRPr="00950715">
        <w:rPr>
          <w:sz w:val="22"/>
          <w:szCs w:val="22"/>
          <w:lang w:val="sr-Latn-ME"/>
        </w:rPr>
        <w:t xml:space="preserve"> koji </w:t>
      </w:r>
      <w:proofErr w:type="spellStart"/>
      <w:r w:rsidR="00822692" w:rsidRPr="00950715">
        <w:rPr>
          <w:sz w:val="22"/>
          <w:szCs w:val="22"/>
          <w:lang w:val="sr-Latn-ME"/>
        </w:rPr>
        <w:t>štede</w:t>
      </w:r>
      <w:proofErr w:type="spellEnd"/>
      <w:r w:rsidR="00822692" w:rsidRPr="00950715">
        <w:rPr>
          <w:sz w:val="22"/>
          <w:szCs w:val="22"/>
          <w:lang w:val="sr-Latn-ME"/>
        </w:rPr>
        <w:t xml:space="preserve"> kalijum (npr. </w:t>
      </w:r>
      <w:proofErr w:type="spellStart"/>
      <w:r w:rsidR="00822692" w:rsidRPr="00950715">
        <w:rPr>
          <w:sz w:val="22"/>
          <w:szCs w:val="22"/>
          <w:lang w:val="sr-Latn-ME"/>
        </w:rPr>
        <w:t>amilorid</w:t>
      </w:r>
      <w:proofErr w:type="spellEnd"/>
      <w:r w:rsidR="00822692" w:rsidRPr="00950715">
        <w:rPr>
          <w:sz w:val="22"/>
          <w:szCs w:val="22"/>
          <w:lang w:val="sr-Latn-ME"/>
        </w:rPr>
        <w:t xml:space="preserve">, </w:t>
      </w:r>
      <w:proofErr w:type="spellStart"/>
      <w:r w:rsidR="00822692" w:rsidRPr="00950715">
        <w:rPr>
          <w:sz w:val="22"/>
          <w:szCs w:val="22"/>
          <w:lang w:val="sr-Latn-ME"/>
        </w:rPr>
        <w:t>spir</w:t>
      </w:r>
      <w:r w:rsidR="001067E4" w:rsidRPr="00950715">
        <w:rPr>
          <w:sz w:val="22"/>
          <w:szCs w:val="22"/>
          <w:lang w:val="sr-Latn-ME"/>
        </w:rPr>
        <w:t>o</w:t>
      </w:r>
      <w:r w:rsidR="00822692" w:rsidRPr="00950715">
        <w:rPr>
          <w:sz w:val="22"/>
          <w:szCs w:val="22"/>
          <w:lang w:val="sr-Latn-ME"/>
        </w:rPr>
        <w:t>nolakton</w:t>
      </w:r>
      <w:proofErr w:type="spellEnd"/>
      <w:r w:rsidR="00822692" w:rsidRPr="00950715">
        <w:rPr>
          <w:sz w:val="22"/>
          <w:szCs w:val="22"/>
          <w:lang w:val="sr-Latn-ME"/>
        </w:rPr>
        <w:t xml:space="preserve"> i </w:t>
      </w:r>
      <w:proofErr w:type="spellStart"/>
      <w:r w:rsidR="00822692" w:rsidRPr="00950715">
        <w:rPr>
          <w:sz w:val="22"/>
          <w:szCs w:val="22"/>
          <w:lang w:val="sr-Latn-ME"/>
        </w:rPr>
        <w:t>triamteren</w:t>
      </w:r>
      <w:proofErr w:type="spellEnd"/>
      <w:r w:rsidR="00822692" w:rsidRPr="00950715">
        <w:rPr>
          <w:sz w:val="22"/>
          <w:szCs w:val="22"/>
          <w:lang w:val="sr-Latn-ME"/>
        </w:rPr>
        <w:t>, bilo sami ili u kombinaciji)</w:t>
      </w:r>
      <w:r w:rsidRPr="00950715">
        <w:rPr>
          <w:sz w:val="22"/>
          <w:szCs w:val="22"/>
          <w:lang w:val="sr-Latn-ME"/>
        </w:rPr>
        <w:t xml:space="preserve">, </w:t>
      </w:r>
      <w:proofErr w:type="spellStart"/>
      <w:r w:rsidRPr="00950715">
        <w:rPr>
          <w:sz w:val="22"/>
          <w:szCs w:val="22"/>
          <w:lang w:val="sr-Latn-ME"/>
        </w:rPr>
        <w:t>i</w:t>
      </w:r>
      <w:r w:rsidR="00822692" w:rsidRPr="00950715">
        <w:rPr>
          <w:sz w:val="22"/>
          <w:szCs w:val="22"/>
          <w:lang w:val="sr-Latn-ME"/>
        </w:rPr>
        <w:t>nhibitori</w:t>
      </w:r>
      <w:proofErr w:type="spellEnd"/>
      <w:r w:rsidR="00822692" w:rsidRPr="00950715">
        <w:rPr>
          <w:sz w:val="22"/>
          <w:szCs w:val="22"/>
          <w:lang w:val="sr-Latn-ME"/>
        </w:rPr>
        <w:t xml:space="preserve"> </w:t>
      </w:r>
      <w:proofErr w:type="spellStart"/>
      <w:r w:rsidR="00822692" w:rsidRPr="00950715">
        <w:rPr>
          <w:sz w:val="22"/>
          <w:szCs w:val="22"/>
          <w:lang w:val="sr-Latn-ME"/>
        </w:rPr>
        <w:t>angiotenzin</w:t>
      </w:r>
      <w:proofErr w:type="spellEnd"/>
      <w:r w:rsidR="00822692" w:rsidRPr="00950715">
        <w:rPr>
          <w:sz w:val="22"/>
          <w:szCs w:val="22"/>
          <w:lang w:val="sr-Latn-ME"/>
        </w:rPr>
        <w:t xml:space="preserve"> </w:t>
      </w:r>
      <w:proofErr w:type="spellStart"/>
      <w:r w:rsidR="00822692" w:rsidRPr="00950715">
        <w:rPr>
          <w:sz w:val="22"/>
          <w:szCs w:val="22"/>
          <w:lang w:val="sr-Latn-ME"/>
        </w:rPr>
        <w:t>konvertujućeg</w:t>
      </w:r>
      <w:proofErr w:type="spellEnd"/>
      <w:r w:rsidR="00822692" w:rsidRPr="00950715">
        <w:rPr>
          <w:sz w:val="22"/>
          <w:szCs w:val="22"/>
          <w:lang w:val="sr-Latn-ME"/>
        </w:rPr>
        <w:t xml:space="preserve"> enzima (ACE </w:t>
      </w:r>
      <w:proofErr w:type="spellStart"/>
      <w:r w:rsidR="00822692" w:rsidRPr="00950715">
        <w:rPr>
          <w:sz w:val="22"/>
          <w:szCs w:val="22"/>
          <w:lang w:val="sr-Latn-ME"/>
        </w:rPr>
        <w:t>inhibitori</w:t>
      </w:r>
      <w:proofErr w:type="spellEnd"/>
      <w:r w:rsidR="00DA48AA" w:rsidRPr="00950715">
        <w:rPr>
          <w:sz w:val="22"/>
          <w:szCs w:val="22"/>
          <w:lang w:val="sr-Latn-ME"/>
        </w:rPr>
        <w:t xml:space="preserve">, </w:t>
      </w:r>
      <w:r w:rsidR="00760DC1" w:rsidRPr="00950715">
        <w:rPr>
          <w:sz w:val="22"/>
          <w:szCs w:val="22"/>
          <w:lang w:val="sr-Latn-ME"/>
        </w:rPr>
        <w:t xml:space="preserve">npr. </w:t>
      </w:r>
      <w:proofErr w:type="spellStart"/>
      <w:r w:rsidR="00760DC1" w:rsidRPr="00950715">
        <w:rPr>
          <w:sz w:val="22"/>
          <w:szCs w:val="22"/>
          <w:lang w:val="sr-Latn-ME"/>
        </w:rPr>
        <w:t>kaptopril</w:t>
      </w:r>
      <w:proofErr w:type="spellEnd"/>
      <w:r w:rsidR="00760DC1" w:rsidRPr="00950715">
        <w:rPr>
          <w:sz w:val="22"/>
          <w:szCs w:val="22"/>
          <w:lang w:val="sr-Latn-ME"/>
        </w:rPr>
        <w:t xml:space="preserve">, </w:t>
      </w:r>
      <w:proofErr w:type="spellStart"/>
      <w:r w:rsidR="00760DC1" w:rsidRPr="00950715">
        <w:rPr>
          <w:sz w:val="22"/>
          <w:szCs w:val="22"/>
          <w:lang w:val="sr-Latn-ME"/>
        </w:rPr>
        <w:t>enalapril</w:t>
      </w:r>
      <w:proofErr w:type="spellEnd"/>
      <w:r w:rsidR="00DA48AA" w:rsidRPr="00950715">
        <w:rPr>
          <w:sz w:val="22"/>
          <w:szCs w:val="22"/>
          <w:lang w:val="sr-Latn-ME"/>
        </w:rPr>
        <w:t xml:space="preserve">), </w:t>
      </w:r>
      <w:r w:rsidRPr="00950715">
        <w:rPr>
          <w:sz w:val="22"/>
          <w:szCs w:val="22"/>
          <w:lang w:val="sr-Latn-ME"/>
        </w:rPr>
        <w:t xml:space="preserve">antagonisti receptora </w:t>
      </w:r>
      <w:proofErr w:type="spellStart"/>
      <w:r w:rsidRPr="00950715">
        <w:rPr>
          <w:sz w:val="22"/>
          <w:szCs w:val="22"/>
          <w:lang w:val="sr-Latn-ME"/>
        </w:rPr>
        <w:t>angiotenzina</w:t>
      </w:r>
      <w:proofErr w:type="spellEnd"/>
      <w:r w:rsidR="00822692" w:rsidRPr="00950715">
        <w:rPr>
          <w:sz w:val="22"/>
          <w:szCs w:val="22"/>
          <w:lang w:val="sr-Latn-ME"/>
        </w:rPr>
        <w:t xml:space="preserve"> II </w:t>
      </w:r>
      <w:r w:rsidR="00DA48AA" w:rsidRPr="00950715">
        <w:rPr>
          <w:sz w:val="22"/>
          <w:szCs w:val="22"/>
          <w:lang w:val="sr-Latn-ME"/>
        </w:rPr>
        <w:t xml:space="preserve">(npr. </w:t>
      </w:r>
      <w:proofErr w:type="spellStart"/>
      <w:r w:rsidRPr="00950715">
        <w:rPr>
          <w:sz w:val="22"/>
          <w:szCs w:val="22"/>
          <w:lang w:val="sr-Latn-ME"/>
        </w:rPr>
        <w:t>valsartan</w:t>
      </w:r>
      <w:proofErr w:type="spellEnd"/>
      <w:r w:rsidRPr="00950715">
        <w:rPr>
          <w:sz w:val="22"/>
          <w:szCs w:val="22"/>
          <w:lang w:val="sr-Latn-ME"/>
        </w:rPr>
        <w:t xml:space="preserve">, </w:t>
      </w:r>
      <w:proofErr w:type="spellStart"/>
      <w:r w:rsidRPr="00950715">
        <w:rPr>
          <w:sz w:val="22"/>
          <w:szCs w:val="22"/>
          <w:lang w:val="sr-Latn-ME"/>
        </w:rPr>
        <w:t>losartan</w:t>
      </w:r>
      <w:proofErr w:type="spellEnd"/>
      <w:r w:rsidRPr="00950715">
        <w:rPr>
          <w:sz w:val="22"/>
          <w:szCs w:val="22"/>
          <w:lang w:val="sr-Latn-ME"/>
        </w:rPr>
        <w:t>)</w:t>
      </w:r>
      <w:r w:rsidR="00F43303" w:rsidRPr="00950715">
        <w:rPr>
          <w:sz w:val="22"/>
          <w:szCs w:val="22"/>
          <w:lang w:val="sr-Latn-ME"/>
        </w:rPr>
        <w:t xml:space="preserve">, </w:t>
      </w:r>
      <w:proofErr w:type="spellStart"/>
      <w:r w:rsidR="00F43303" w:rsidRPr="00950715">
        <w:rPr>
          <w:sz w:val="22"/>
          <w:szCs w:val="22"/>
          <w:lang w:val="sr-Latn-ME"/>
        </w:rPr>
        <w:t>t</w:t>
      </w:r>
      <w:r w:rsidR="00822692" w:rsidRPr="00950715">
        <w:rPr>
          <w:sz w:val="22"/>
          <w:szCs w:val="22"/>
          <w:lang w:val="sr-Latn-ME"/>
        </w:rPr>
        <w:t>akrolimus</w:t>
      </w:r>
      <w:proofErr w:type="spellEnd"/>
      <w:r w:rsidR="00822692" w:rsidRPr="00950715">
        <w:rPr>
          <w:sz w:val="22"/>
          <w:szCs w:val="22"/>
          <w:lang w:val="sr-Latn-ME"/>
        </w:rPr>
        <w:t xml:space="preserve">, </w:t>
      </w:r>
      <w:proofErr w:type="spellStart"/>
      <w:r w:rsidR="00822692" w:rsidRPr="00950715">
        <w:rPr>
          <w:sz w:val="22"/>
          <w:szCs w:val="22"/>
          <w:lang w:val="sr-Latn-ME"/>
        </w:rPr>
        <w:t>ciklosporin</w:t>
      </w:r>
      <w:proofErr w:type="spellEnd"/>
      <w:r w:rsidR="00822692" w:rsidRPr="00950715">
        <w:rPr>
          <w:sz w:val="22"/>
          <w:szCs w:val="22"/>
          <w:lang w:val="sr-Latn-ME"/>
        </w:rPr>
        <w:t>,</w:t>
      </w:r>
      <w:r w:rsidR="00F43303" w:rsidRPr="00950715">
        <w:rPr>
          <w:sz w:val="22"/>
          <w:szCs w:val="22"/>
          <w:lang w:val="sr-Latn-ME"/>
        </w:rPr>
        <w:t xml:space="preserve"> mogu povećati </w:t>
      </w:r>
      <w:r w:rsidR="00822692" w:rsidRPr="00950715">
        <w:rPr>
          <w:sz w:val="22"/>
          <w:szCs w:val="22"/>
          <w:lang w:val="sr-Latn-ME"/>
        </w:rPr>
        <w:t>koncentracij</w:t>
      </w:r>
      <w:r w:rsidR="00F43303" w:rsidRPr="00950715">
        <w:rPr>
          <w:sz w:val="22"/>
          <w:szCs w:val="22"/>
          <w:lang w:val="sr-Latn-ME"/>
        </w:rPr>
        <w:t>u</w:t>
      </w:r>
      <w:r w:rsidR="00822692" w:rsidRPr="00950715">
        <w:rPr>
          <w:sz w:val="22"/>
          <w:szCs w:val="22"/>
          <w:lang w:val="sr-Latn-ME"/>
        </w:rPr>
        <w:t xml:space="preserve"> kalijuma u plazmi i mogu izazvati potencijalno fatalnu</w:t>
      </w:r>
      <w:r w:rsidR="00F43303" w:rsidRPr="00950715">
        <w:rPr>
          <w:sz w:val="22"/>
          <w:szCs w:val="22"/>
          <w:lang w:val="sr-Latn-ME"/>
        </w:rPr>
        <w:t xml:space="preserve"> </w:t>
      </w:r>
      <w:proofErr w:type="spellStart"/>
      <w:r w:rsidR="00822692" w:rsidRPr="00950715">
        <w:rPr>
          <w:sz w:val="22"/>
          <w:szCs w:val="22"/>
          <w:lang w:val="sr-Latn-ME"/>
        </w:rPr>
        <w:t>hiperkal</w:t>
      </w:r>
      <w:r w:rsidR="001067E4" w:rsidRPr="00950715">
        <w:rPr>
          <w:sz w:val="22"/>
          <w:szCs w:val="22"/>
          <w:lang w:val="sr-Latn-ME"/>
        </w:rPr>
        <w:t>ij</w:t>
      </w:r>
      <w:r w:rsidR="00822692" w:rsidRPr="00950715">
        <w:rPr>
          <w:sz w:val="22"/>
          <w:szCs w:val="22"/>
          <w:lang w:val="sr-Latn-ME"/>
        </w:rPr>
        <w:t>emiju</w:t>
      </w:r>
      <w:proofErr w:type="spellEnd"/>
      <w:r w:rsidR="00822692" w:rsidRPr="00950715">
        <w:rPr>
          <w:sz w:val="22"/>
          <w:szCs w:val="22"/>
          <w:lang w:val="sr-Latn-ME"/>
        </w:rPr>
        <w:t xml:space="preserve">, naročito u slučajevima </w:t>
      </w:r>
      <w:proofErr w:type="spellStart"/>
      <w:r w:rsidR="00822692" w:rsidRPr="00950715">
        <w:rPr>
          <w:sz w:val="22"/>
          <w:szCs w:val="22"/>
          <w:lang w:val="sr-Latn-ME"/>
        </w:rPr>
        <w:t>insuficijencije</w:t>
      </w:r>
      <w:proofErr w:type="spellEnd"/>
      <w:r w:rsidR="00822692" w:rsidRPr="00950715">
        <w:rPr>
          <w:sz w:val="22"/>
          <w:szCs w:val="22"/>
          <w:lang w:val="sr-Latn-ME"/>
        </w:rPr>
        <w:t xml:space="preserve"> bubrega, koja sa svoje strane potencira </w:t>
      </w:r>
      <w:proofErr w:type="spellStart"/>
      <w:r w:rsidR="00822692" w:rsidRPr="00950715">
        <w:rPr>
          <w:sz w:val="22"/>
          <w:szCs w:val="22"/>
          <w:lang w:val="sr-Latn-ME"/>
        </w:rPr>
        <w:t>hiperkal</w:t>
      </w:r>
      <w:r w:rsidR="001067E4" w:rsidRPr="00950715">
        <w:rPr>
          <w:sz w:val="22"/>
          <w:szCs w:val="22"/>
          <w:lang w:val="sr-Latn-ME"/>
        </w:rPr>
        <w:t>ij</w:t>
      </w:r>
      <w:r w:rsidR="00822692" w:rsidRPr="00950715">
        <w:rPr>
          <w:sz w:val="22"/>
          <w:szCs w:val="22"/>
          <w:lang w:val="sr-Latn-ME"/>
        </w:rPr>
        <w:t>emiju</w:t>
      </w:r>
      <w:proofErr w:type="spellEnd"/>
      <w:r w:rsidR="00822692" w:rsidRPr="00950715">
        <w:rPr>
          <w:sz w:val="22"/>
          <w:szCs w:val="22"/>
          <w:lang w:val="sr-Latn-ME"/>
        </w:rPr>
        <w:t>.</w:t>
      </w:r>
    </w:p>
    <w:p w14:paraId="3B40FDAB" w14:textId="77777777" w:rsidR="00822692" w:rsidRPr="00950715" w:rsidRDefault="00822692" w:rsidP="00D62C2F">
      <w:pPr>
        <w:jc w:val="both"/>
        <w:rPr>
          <w:sz w:val="22"/>
          <w:szCs w:val="22"/>
          <w:lang w:val="sr-Latn-ME"/>
        </w:rPr>
      </w:pPr>
    </w:p>
    <w:p w14:paraId="711F801D" w14:textId="0E03DCDA" w:rsidR="00822692" w:rsidRPr="00950715" w:rsidRDefault="00822692" w:rsidP="00D62C2F">
      <w:pPr>
        <w:jc w:val="both"/>
        <w:rPr>
          <w:i/>
          <w:sz w:val="22"/>
          <w:szCs w:val="22"/>
          <w:lang w:val="sr-Latn-ME"/>
        </w:rPr>
      </w:pPr>
      <w:r w:rsidRPr="00950715">
        <w:rPr>
          <w:i/>
          <w:sz w:val="22"/>
          <w:szCs w:val="22"/>
          <w:lang w:val="sr-Latn-ME"/>
        </w:rPr>
        <w:t xml:space="preserve">Interakcije </w:t>
      </w:r>
      <w:r w:rsidR="008B7B3E" w:rsidRPr="00950715">
        <w:rPr>
          <w:i/>
          <w:sz w:val="22"/>
          <w:szCs w:val="22"/>
          <w:lang w:val="sr-Latn-ME"/>
        </w:rPr>
        <w:t>povezane sa unosom</w:t>
      </w:r>
      <w:r w:rsidRPr="00950715">
        <w:rPr>
          <w:i/>
          <w:sz w:val="22"/>
          <w:szCs w:val="22"/>
          <w:lang w:val="sr-Latn-ME"/>
        </w:rPr>
        <w:t xml:space="preserve"> kalcijuma:</w:t>
      </w:r>
    </w:p>
    <w:p w14:paraId="6082D477" w14:textId="6777955B" w:rsidR="00822692" w:rsidRPr="00950715" w:rsidRDefault="00822692" w:rsidP="00D62C2F">
      <w:pPr>
        <w:pStyle w:val="ListParagraph"/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Glikozidi</w:t>
      </w:r>
      <w:proofErr w:type="spellEnd"/>
      <w:r w:rsidRPr="00950715">
        <w:rPr>
          <w:sz w:val="22"/>
          <w:szCs w:val="22"/>
          <w:lang w:val="sr-Latn-ME"/>
        </w:rPr>
        <w:t xml:space="preserve"> digitalisa (tj. </w:t>
      </w:r>
      <w:proofErr w:type="spellStart"/>
      <w:r w:rsidRPr="00950715">
        <w:rPr>
          <w:sz w:val="22"/>
          <w:szCs w:val="22"/>
          <w:lang w:val="sr-Latn-ME"/>
        </w:rPr>
        <w:t>kardiotonički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glikozidi</w:t>
      </w:r>
      <w:proofErr w:type="spellEnd"/>
      <w:r w:rsidRPr="00950715">
        <w:rPr>
          <w:sz w:val="22"/>
          <w:szCs w:val="22"/>
          <w:lang w:val="sr-Latn-ME"/>
        </w:rPr>
        <w:t>)</w:t>
      </w:r>
      <w:r w:rsidR="00744B5C" w:rsidRPr="00950715">
        <w:rPr>
          <w:sz w:val="22"/>
          <w:szCs w:val="22"/>
          <w:lang w:val="sr-Latn-ME"/>
        </w:rPr>
        <w:t>,</w:t>
      </w:r>
      <w:r w:rsidRPr="00950715">
        <w:rPr>
          <w:sz w:val="22"/>
          <w:szCs w:val="22"/>
          <w:lang w:val="sr-Latn-ME"/>
        </w:rPr>
        <w:t xml:space="preserve"> čija su dejstva pojačana u prisustvu </w:t>
      </w:r>
      <w:proofErr w:type="spellStart"/>
      <w:r w:rsidR="00455215" w:rsidRPr="00950715">
        <w:rPr>
          <w:sz w:val="22"/>
          <w:szCs w:val="22"/>
          <w:lang w:val="sr-Latn-ME"/>
        </w:rPr>
        <w:t>hiper</w:t>
      </w:r>
      <w:r w:rsidRPr="00950715">
        <w:rPr>
          <w:sz w:val="22"/>
          <w:szCs w:val="22"/>
          <w:lang w:val="sr-Latn-ME"/>
        </w:rPr>
        <w:t>kalc</w:t>
      </w:r>
      <w:r w:rsidR="001067E4" w:rsidRPr="00950715">
        <w:rPr>
          <w:sz w:val="22"/>
          <w:szCs w:val="22"/>
          <w:lang w:val="sr-Latn-ME"/>
        </w:rPr>
        <w:t>ij</w:t>
      </w:r>
      <w:r w:rsidR="00455215" w:rsidRPr="00950715">
        <w:rPr>
          <w:sz w:val="22"/>
          <w:szCs w:val="22"/>
          <w:lang w:val="sr-Latn-ME"/>
        </w:rPr>
        <w:t>emije</w:t>
      </w:r>
      <w:proofErr w:type="spellEnd"/>
      <w:r w:rsidRPr="00950715">
        <w:rPr>
          <w:sz w:val="22"/>
          <w:szCs w:val="22"/>
          <w:lang w:val="sr-Latn-ME"/>
        </w:rPr>
        <w:t xml:space="preserve"> i mogu </w:t>
      </w:r>
      <w:r w:rsidR="00985AFD" w:rsidRPr="00950715">
        <w:rPr>
          <w:sz w:val="22"/>
          <w:szCs w:val="22"/>
          <w:lang w:val="sr-Latn-ME"/>
        </w:rPr>
        <w:t xml:space="preserve">dovesti do ozbiljnih ili životno </w:t>
      </w:r>
      <w:proofErr w:type="spellStart"/>
      <w:r w:rsidR="00985AFD" w:rsidRPr="00950715">
        <w:rPr>
          <w:sz w:val="22"/>
          <w:szCs w:val="22"/>
          <w:lang w:val="sr-Latn-ME"/>
        </w:rPr>
        <w:t>ugrožavajućih</w:t>
      </w:r>
      <w:proofErr w:type="spellEnd"/>
      <w:r w:rsidR="00985AFD" w:rsidRPr="00950715">
        <w:rPr>
          <w:sz w:val="22"/>
          <w:szCs w:val="22"/>
          <w:lang w:val="sr-Latn-ME"/>
        </w:rPr>
        <w:t xml:space="preserve"> srčanih aritmija</w:t>
      </w:r>
      <w:r w:rsidRPr="00950715">
        <w:rPr>
          <w:sz w:val="22"/>
          <w:szCs w:val="22"/>
          <w:lang w:val="sr-Latn-ME"/>
        </w:rPr>
        <w:t>.</w:t>
      </w:r>
    </w:p>
    <w:p w14:paraId="161DC3DB" w14:textId="5AB3FA16" w:rsidR="00822692" w:rsidRPr="00950715" w:rsidRDefault="00822692" w:rsidP="00D62C2F">
      <w:pPr>
        <w:pStyle w:val="ListParagraph"/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Tiazidni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diuretici</w:t>
      </w:r>
      <w:proofErr w:type="spellEnd"/>
      <w:r w:rsidRPr="00950715">
        <w:rPr>
          <w:sz w:val="22"/>
          <w:szCs w:val="22"/>
          <w:lang w:val="sr-Latn-ME"/>
        </w:rPr>
        <w:t xml:space="preserve"> ili vitamin D prim</w:t>
      </w:r>
      <w:r w:rsidR="00744B5C" w:rsidRPr="00950715">
        <w:rPr>
          <w:sz w:val="22"/>
          <w:szCs w:val="22"/>
          <w:lang w:val="sr-Latn-ME"/>
        </w:rPr>
        <w:t>i</w:t>
      </w:r>
      <w:r w:rsidRPr="00950715">
        <w:rPr>
          <w:sz w:val="22"/>
          <w:szCs w:val="22"/>
          <w:lang w:val="sr-Latn-ME"/>
        </w:rPr>
        <w:t>jen</w:t>
      </w:r>
      <w:r w:rsidR="00D577CF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>e</w:t>
      </w:r>
      <w:r w:rsidR="00D577CF" w:rsidRPr="00950715">
        <w:rPr>
          <w:sz w:val="22"/>
          <w:szCs w:val="22"/>
          <w:lang w:val="sr-Latn-ME"/>
        </w:rPr>
        <w:t>ni</w:t>
      </w:r>
      <w:r w:rsidRPr="00950715">
        <w:rPr>
          <w:sz w:val="22"/>
          <w:szCs w:val="22"/>
          <w:lang w:val="sr-Latn-ME"/>
        </w:rPr>
        <w:t xml:space="preserve"> istovremeno sa kalcijumom</w:t>
      </w:r>
      <w:r w:rsidR="00D577CF" w:rsidRPr="00950715">
        <w:rPr>
          <w:sz w:val="22"/>
          <w:szCs w:val="22"/>
          <w:lang w:val="sr-Latn-ME"/>
        </w:rPr>
        <w:t xml:space="preserve"> mogu izazvati </w:t>
      </w:r>
      <w:proofErr w:type="spellStart"/>
      <w:r w:rsidR="00C356C5" w:rsidRPr="00950715">
        <w:rPr>
          <w:sz w:val="22"/>
          <w:szCs w:val="22"/>
          <w:lang w:val="sr-Latn-ME"/>
        </w:rPr>
        <w:t>hiperkalc</w:t>
      </w:r>
      <w:r w:rsidR="001067E4" w:rsidRPr="00950715">
        <w:rPr>
          <w:sz w:val="22"/>
          <w:szCs w:val="22"/>
          <w:lang w:val="sr-Latn-ME"/>
        </w:rPr>
        <w:t>ij</w:t>
      </w:r>
      <w:r w:rsidR="00C356C5" w:rsidRPr="00950715">
        <w:rPr>
          <w:sz w:val="22"/>
          <w:szCs w:val="22"/>
          <w:lang w:val="sr-Latn-ME"/>
        </w:rPr>
        <w:t>emiju</w:t>
      </w:r>
      <w:proofErr w:type="spellEnd"/>
      <w:r w:rsidRPr="00950715">
        <w:rPr>
          <w:sz w:val="22"/>
          <w:szCs w:val="22"/>
          <w:lang w:val="sr-Latn-ME"/>
        </w:rPr>
        <w:t>.</w:t>
      </w:r>
    </w:p>
    <w:p w14:paraId="1291D3FD" w14:textId="71852DED" w:rsidR="00E153FE" w:rsidRPr="00950715" w:rsidRDefault="00BD3B32" w:rsidP="00D62C2F">
      <w:pPr>
        <w:pStyle w:val="ListParagraph"/>
        <w:numPr>
          <w:ilvl w:val="0"/>
          <w:numId w:val="20"/>
        </w:num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Ukoliko se </w:t>
      </w:r>
      <w:proofErr w:type="spellStart"/>
      <w:r w:rsidRPr="00950715">
        <w:rPr>
          <w:sz w:val="22"/>
          <w:szCs w:val="22"/>
          <w:lang w:val="sr-Latn-ME"/>
        </w:rPr>
        <w:t>bisfosfonati</w:t>
      </w:r>
      <w:proofErr w:type="spellEnd"/>
      <w:r w:rsidRPr="00950715">
        <w:rPr>
          <w:sz w:val="22"/>
          <w:szCs w:val="22"/>
          <w:lang w:val="sr-Latn-ME"/>
        </w:rPr>
        <w:t xml:space="preserve">, fluoridi, neki </w:t>
      </w:r>
      <w:proofErr w:type="spellStart"/>
      <w:r w:rsidRPr="00950715">
        <w:rPr>
          <w:sz w:val="22"/>
          <w:szCs w:val="22"/>
          <w:lang w:val="sr-Latn-ME"/>
        </w:rPr>
        <w:t>fluorohinoloni</w:t>
      </w:r>
      <w:proofErr w:type="spellEnd"/>
      <w:r w:rsidRPr="00950715">
        <w:rPr>
          <w:sz w:val="22"/>
          <w:szCs w:val="22"/>
          <w:lang w:val="sr-Latn-ME"/>
        </w:rPr>
        <w:t xml:space="preserve"> i </w:t>
      </w:r>
      <w:proofErr w:type="spellStart"/>
      <w:r w:rsidRPr="00950715">
        <w:rPr>
          <w:sz w:val="22"/>
          <w:szCs w:val="22"/>
          <w:lang w:val="sr-Latn-ME"/>
        </w:rPr>
        <w:t>tetraciklini</w:t>
      </w:r>
      <w:proofErr w:type="spellEnd"/>
      <w:r w:rsidRPr="00950715">
        <w:rPr>
          <w:sz w:val="22"/>
          <w:szCs w:val="22"/>
          <w:lang w:val="sr-Latn-ME"/>
        </w:rPr>
        <w:t xml:space="preserve"> istovremeno</w:t>
      </w:r>
      <w:r w:rsidR="003D165E" w:rsidRPr="00950715">
        <w:rPr>
          <w:sz w:val="22"/>
          <w:szCs w:val="22"/>
          <w:lang w:val="sr-Latn-ME"/>
        </w:rPr>
        <w:t xml:space="preserve"> prim</w:t>
      </w:r>
      <w:r w:rsidR="00744B5C" w:rsidRPr="00950715">
        <w:rPr>
          <w:sz w:val="22"/>
          <w:szCs w:val="22"/>
          <w:lang w:val="sr-Latn-ME"/>
        </w:rPr>
        <w:t>i</w:t>
      </w:r>
      <w:r w:rsidR="003D165E" w:rsidRPr="00950715">
        <w:rPr>
          <w:sz w:val="22"/>
          <w:szCs w:val="22"/>
          <w:lang w:val="sr-Latn-ME"/>
        </w:rPr>
        <w:t>jene</w:t>
      </w:r>
      <w:r w:rsidRPr="00950715">
        <w:rPr>
          <w:sz w:val="22"/>
          <w:szCs w:val="22"/>
          <w:lang w:val="sr-Latn-ME"/>
        </w:rPr>
        <w:t xml:space="preserve"> sa</w:t>
      </w:r>
      <w:r w:rsidR="003647C4" w:rsidRPr="00950715">
        <w:rPr>
          <w:sz w:val="22"/>
          <w:szCs w:val="22"/>
          <w:lang w:val="sr-Latn-ME"/>
        </w:rPr>
        <w:t xml:space="preserve"> rastvorima koji sadrže kalcijum, </w:t>
      </w:r>
      <w:proofErr w:type="spellStart"/>
      <w:r w:rsidR="003647C4" w:rsidRPr="00950715">
        <w:rPr>
          <w:sz w:val="22"/>
          <w:szCs w:val="22"/>
          <w:lang w:val="sr-Latn-ME"/>
        </w:rPr>
        <w:t>bioraspoloživost</w:t>
      </w:r>
      <w:proofErr w:type="spellEnd"/>
      <w:r w:rsidR="00373398" w:rsidRPr="00950715">
        <w:rPr>
          <w:sz w:val="22"/>
          <w:szCs w:val="22"/>
          <w:lang w:val="sr-Latn-ME"/>
        </w:rPr>
        <w:t xml:space="preserve"> (smanjena apsorpcija) gore navedenih ljekova može </w:t>
      </w:r>
      <w:r w:rsidR="00210443" w:rsidRPr="00950715">
        <w:rPr>
          <w:sz w:val="22"/>
          <w:szCs w:val="22"/>
          <w:lang w:val="sr-Latn-ME"/>
        </w:rPr>
        <w:t>biti</w:t>
      </w:r>
      <w:r w:rsidR="00373398" w:rsidRPr="00950715">
        <w:rPr>
          <w:sz w:val="22"/>
          <w:szCs w:val="22"/>
          <w:lang w:val="sr-Latn-ME"/>
        </w:rPr>
        <w:t xml:space="preserve"> smanj</w:t>
      </w:r>
      <w:r w:rsidR="00210443" w:rsidRPr="00950715">
        <w:rPr>
          <w:sz w:val="22"/>
          <w:szCs w:val="22"/>
          <w:lang w:val="sr-Latn-ME"/>
        </w:rPr>
        <w:t>ena</w:t>
      </w:r>
      <w:r w:rsidR="00373398" w:rsidRPr="00950715">
        <w:rPr>
          <w:sz w:val="22"/>
          <w:szCs w:val="22"/>
          <w:lang w:val="sr-Latn-ME"/>
        </w:rPr>
        <w:t>.</w:t>
      </w:r>
    </w:p>
    <w:p w14:paraId="0EEF6E3F" w14:textId="77777777" w:rsidR="00822692" w:rsidRPr="00950715" w:rsidRDefault="00822692" w:rsidP="00D62C2F">
      <w:pPr>
        <w:jc w:val="both"/>
        <w:rPr>
          <w:sz w:val="22"/>
          <w:szCs w:val="22"/>
          <w:lang w:val="sr-Latn-ME"/>
        </w:rPr>
      </w:pPr>
    </w:p>
    <w:p w14:paraId="5C958AF5" w14:textId="4CB0CFF5" w:rsidR="00243901" w:rsidRPr="00950715" w:rsidRDefault="00243901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Opisani su slučajevi smrtnih ishoda sa </w:t>
      </w:r>
      <w:proofErr w:type="spellStart"/>
      <w:r w:rsidRPr="00950715">
        <w:rPr>
          <w:sz w:val="22"/>
          <w:szCs w:val="22"/>
          <w:lang w:val="sr-Latn-ME"/>
        </w:rPr>
        <w:t>precipitatima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ceftriakson</w:t>
      </w:r>
      <w:proofErr w:type="spellEnd"/>
      <w:r w:rsidR="001067E4" w:rsidRPr="00950715">
        <w:rPr>
          <w:sz w:val="22"/>
          <w:szCs w:val="22"/>
          <w:lang w:val="sr-Latn-ME"/>
        </w:rPr>
        <w:t xml:space="preserve"> </w:t>
      </w:r>
      <w:r w:rsidRPr="00950715">
        <w:rPr>
          <w:sz w:val="22"/>
          <w:szCs w:val="22"/>
          <w:lang w:val="sr-Latn-ME"/>
        </w:rPr>
        <w:t>kalcijuma u plućima i bubrezima pr</w:t>
      </w:r>
      <w:r w:rsidR="00744B5C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evremeno rođene d</w:t>
      </w:r>
      <w:r w:rsidR="00744B5C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>ece i novorođenčadi, starosti do jednog m</w:t>
      </w:r>
      <w:r w:rsidR="00E85F89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eseca. Najmanje jedno od njih je primilo </w:t>
      </w:r>
      <w:proofErr w:type="spellStart"/>
      <w:r w:rsidRPr="00950715">
        <w:rPr>
          <w:sz w:val="22"/>
          <w:szCs w:val="22"/>
          <w:lang w:val="sr-Latn-ME"/>
        </w:rPr>
        <w:t>ceftria</w:t>
      </w:r>
      <w:r w:rsidR="00E85F89" w:rsidRPr="00950715">
        <w:rPr>
          <w:sz w:val="22"/>
          <w:szCs w:val="22"/>
          <w:lang w:val="sr-Latn-ME"/>
        </w:rPr>
        <w:t>k</w:t>
      </w:r>
      <w:r w:rsidRPr="00950715">
        <w:rPr>
          <w:sz w:val="22"/>
          <w:szCs w:val="22"/>
          <w:lang w:val="sr-Latn-ME"/>
        </w:rPr>
        <w:t>son</w:t>
      </w:r>
      <w:proofErr w:type="spellEnd"/>
      <w:r w:rsidRPr="00950715">
        <w:rPr>
          <w:sz w:val="22"/>
          <w:szCs w:val="22"/>
          <w:lang w:val="sr-Latn-ME"/>
        </w:rPr>
        <w:t xml:space="preserve"> i kalcijum u različito vr</w:t>
      </w:r>
      <w:r w:rsidR="00E85F89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 xml:space="preserve">eme i kroz različite </w:t>
      </w:r>
      <w:proofErr w:type="spellStart"/>
      <w:r w:rsidRPr="00950715">
        <w:rPr>
          <w:sz w:val="22"/>
          <w:szCs w:val="22"/>
          <w:lang w:val="sr-Latn-ME"/>
        </w:rPr>
        <w:t>infuzione</w:t>
      </w:r>
      <w:proofErr w:type="spellEnd"/>
      <w:r w:rsidRPr="00950715">
        <w:rPr>
          <w:sz w:val="22"/>
          <w:szCs w:val="22"/>
          <w:lang w:val="sr-Latn-ME"/>
        </w:rPr>
        <w:t xml:space="preserve"> linije. Prema dostupnim podacima nema izv</w:t>
      </w:r>
      <w:r w:rsidR="00E85F89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eštaja o potvrđenoj </w:t>
      </w:r>
      <w:proofErr w:type="spellStart"/>
      <w:r w:rsidRPr="00950715">
        <w:rPr>
          <w:sz w:val="22"/>
          <w:szCs w:val="22"/>
          <w:lang w:val="sr-Latn-ME"/>
        </w:rPr>
        <w:t>intravaskularnoj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precipitaciji</w:t>
      </w:r>
      <w:proofErr w:type="spellEnd"/>
      <w:r w:rsidRPr="00950715">
        <w:rPr>
          <w:sz w:val="22"/>
          <w:szCs w:val="22"/>
          <w:lang w:val="sr-Latn-ME"/>
        </w:rPr>
        <w:t xml:space="preserve"> kod pacijenata koji su l</w:t>
      </w:r>
      <w:r w:rsidR="00E85F89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 xml:space="preserve">ečeni </w:t>
      </w:r>
      <w:proofErr w:type="spellStart"/>
      <w:r w:rsidRPr="00950715">
        <w:rPr>
          <w:sz w:val="22"/>
          <w:szCs w:val="22"/>
          <w:lang w:val="sr-Latn-ME"/>
        </w:rPr>
        <w:t>ceftriaksonom</w:t>
      </w:r>
      <w:proofErr w:type="spellEnd"/>
      <w:r w:rsidRPr="00950715">
        <w:rPr>
          <w:sz w:val="22"/>
          <w:szCs w:val="22"/>
          <w:lang w:val="sr-Latn-ME"/>
        </w:rPr>
        <w:t xml:space="preserve"> i rastvorima koji sadrže kalcijum ili drugim l</w:t>
      </w:r>
      <w:r w:rsidR="00104F0E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ekovima koji sadrže kalcijum, osim kod novorođenčadi. </w:t>
      </w:r>
      <w:r w:rsidRPr="00950715">
        <w:rPr>
          <w:i/>
          <w:iCs/>
          <w:sz w:val="22"/>
          <w:szCs w:val="22"/>
          <w:lang w:val="sr-Latn-ME"/>
        </w:rPr>
        <w:t xml:space="preserve">In </w:t>
      </w:r>
      <w:proofErr w:type="spellStart"/>
      <w:r w:rsidRPr="00950715">
        <w:rPr>
          <w:i/>
          <w:iCs/>
          <w:sz w:val="22"/>
          <w:szCs w:val="22"/>
          <w:lang w:val="sr-Latn-ME"/>
        </w:rPr>
        <w:t>vitro</w:t>
      </w:r>
      <w:proofErr w:type="spellEnd"/>
      <w:r w:rsidRPr="00950715">
        <w:rPr>
          <w:sz w:val="22"/>
          <w:szCs w:val="22"/>
          <w:lang w:val="sr-Latn-ME"/>
        </w:rPr>
        <w:t xml:space="preserve"> ispitivanja su pokazala da su novorođenčad pod većim rizikom od taloženja </w:t>
      </w:r>
      <w:proofErr w:type="spellStart"/>
      <w:r w:rsidRPr="00950715">
        <w:rPr>
          <w:sz w:val="22"/>
          <w:szCs w:val="22"/>
          <w:lang w:val="sr-Latn-ME"/>
        </w:rPr>
        <w:t>ceftriakson</w:t>
      </w:r>
      <w:proofErr w:type="spellEnd"/>
      <w:r w:rsidR="001067E4" w:rsidRPr="00950715">
        <w:rPr>
          <w:sz w:val="22"/>
          <w:szCs w:val="22"/>
          <w:lang w:val="sr-Latn-ME"/>
        </w:rPr>
        <w:t xml:space="preserve"> </w:t>
      </w:r>
      <w:r w:rsidRPr="00950715">
        <w:rPr>
          <w:sz w:val="22"/>
          <w:szCs w:val="22"/>
          <w:lang w:val="sr-Latn-ME"/>
        </w:rPr>
        <w:t xml:space="preserve">kalcijuma u poređenju sa drugim </w:t>
      </w:r>
      <w:r w:rsidR="00C259D9" w:rsidRPr="00950715">
        <w:rPr>
          <w:sz w:val="22"/>
          <w:szCs w:val="22"/>
          <w:lang w:val="sr-Latn-ME"/>
        </w:rPr>
        <w:t>starosnim</w:t>
      </w:r>
      <w:r w:rsidRPr="00950715">
        <w:rPr>
          <w:sz w:val="22"/>
          <w:szCs w:val="22"/>
          <w:lang w:val="sr-Latn-ME"/>
        </w:rPr>
        <w:t xml:space="preserve"> grupama. </w:t>
      </w:r>
    </w:p>
    <w:p w14:paraId="6ABC41E2" w14:textId="42FB5229" w:rsidR="00243901" w:rsidRPr="00950715" w:rsidRDefault="00243901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U svim </w:t>
      </w:r>
      <w:r w:rsidR="00C259D9" w:rsidRPr="00950715">
        <w:rPr>
          <w:sz w:val="22"/>
          <w:szCs w:val="22"/>
          <w:lang w:val="sr-Latn-ME"/>
        </w:rPr>
        <w:t>starosnim</w:t>
      </w:r>
      <w:r w:rsidRPr="00950715">
        <w:rPr>
          <w:sz w:val="22"/>
          <w:szCs w:val="22"/>
          <w:lang w:val="sr-Latn-ME"/>
        </w:rPr>
        <w:t xml:space="preserve"> grupama </w:t>
      </w:r>
      <w:proofErr w:type="spellStart"/>
      <w:r w:rsidRPr="00950715">
        <w:rPr>
          <w:sz w:val="22"/>
          <w:szCs w:val="22"/>
          <w:lang w:val="sr-Latn-ME"/>
        </w:rPr>
        <w:t>ceftriakson</w:t>
      </w:r>
      <w:proofErr w:type="spellEnd"/>
      <w:r w:rsidRPr="00950715">
        <w:rPr>
          <w:sz w:val="22"/>
          <w:szCs w:val="22"/>
          <w:lang w:val="sr-Latn-ME"/>
        </w:rPr>
        <w:t xml:space="preserve"> se ne sm</w:t>
      </w:r>
      <w:r w:rsidR="00104F0E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 m</w:t>
      </w:r>
      <w:r w:rsidR="00104F0E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ešati ili prim</w:t>
      </w:r>
      <w:r w:rsidR="00104F0E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enjivati istovremeno sa </w:t>
      </w:r>
      <w:proofErr w:type="spellStart"/>
      <w:r w:rsidRPr="00950715">
        <w:rPr>
          <w:sz w:val="22"/>
          <w:szCs w:val="22"/>
          <w:lang w:val="sr-Latn-ME"/>
        </w:rPr>
        <w:t>intravenskim</w:t>
      </w:r>
      <w:proofErr w:type="spellEnd"/>
      <w:r w:rsidRPr="00950715">
        <w:rPr>
          <w:sz w:val="22"/>
          <w:szCs w:val="22"/>
          <w:lang w:val="sr-Latn-ME"/>
        </w:rPr>
        <w:t xml:space="preserve"> rastvorima koji sadrže kalcijum, čak ni putem različitih </w:t>
      </w:r>
      <w:proofErr w:type="spellStart"/>
      <w:r w:rsidRPr="00950715">
        <w:rPr>
          <w:sz w:val="22"/>
          <w:szCs w:val="22"/>
          <w:lang w:val="sr-Latn-ME"/>
        </w:rPr>
        <w:t>infuzionih</w:t>
      </w:r>
      <w:proofErr w:type="spellEnd"/>
      <w:r w:rsidRPr="00950715">
        <w:rPr>
          <w:sz w:val="22"/>
          <w:szCs w:val="22"/>
          <w:lang w:val="sr-Latn-ME"/>
        </w:rPr>
        <w:t xml:space="preserve"> linija ili na različitim m</w:t>
      </w:r>
      <w:r w:rsidR="00104F0E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estima infuzije. </w:t>
      </w:r>
    </w:p>
    <w:p w14:paraId="02D4CE2B" w14:textId="574B57B3" w:rsidR="00243901" w:rsidRPr="00950715" w:rsidRDefault="00AB58A5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Međutim</w:t>
      </w:r>
      <w:r w:rsidR="00243901" w:rsidRPr="00950715">
        <w:rPr>
          <w:sz w:val="22"/>
          <w:szCs w:val="22"/>
          <w:lang w:val="sr-Latn-ME"/>
        </w:rPr>
        <w:t xml:space="preserve">, kod pacijenata starijih od 28 dana, </w:t>
      </w:r>
      <w:proofErr w:type="spellStart"/>
      <w:r w:rsidR="00243901" w:rsidRPr="00950715">
        <w:rPr>
          <w:sz w:val="22"/>
          <w:szCs w:val="22"/>
          <w:lang w:val="sr-Latn-ME"/>
        </w:rPr>
        <w:t>ceftriakson</w:t>
      </w:r>
      <w:proofErr w:type="spellEnd"/>
      <w:r w:rsidR="00243901" w:rsidRPr="00950715">
        <w:rPr>
          <w:sz w:val="22"/>
          <w:szCs w:val="22"/>
          <w:lang w:val="sr-Latn-ME"/>
        </w:rPr>
        <w:t xml:space="preserve"> i rastvori koji sadrže kalcijum se mogu prim</w:t>
      </w:r>
      <w:r w:rsidR="00B61203" w:rsidRPr="00950715">
        <w:rPr>
          <w:sz w:val="22"/>
          <w:szCs w:val="22"/>
          <w:lang w:val="sr-Latn-ME"/>
        </w:rPr>
        <w:t>j</w:t>
      </w:r>
      <w:r w:rsidR="00243901" w:rsidRPr="00950715">
        <w:rPr>
          <w:sz w:val="22"/>
          <w:szCs w:val="22"/>
          <w:lang w:val="sr-Latn-ME"/>
        </w:rPr>
        <w:t xml:space="preserve">enjivati uzastopno jedan za drugim ukoliko se </w:t>
      </w:r>
      <w:proofErr w:type="spellStart"/>
      <w:r w:rsidR="00243901" w:rsidRPr="00950715">
        <w:rPr>
          <w:sz w:val="22"/>
          <w:szCs w:val="22"/>
          <w:lang w:val="sr-Latn-ME"/>
        </w:rPr>
        <w:t>infuzione</w:t>
      </w:r>
      <w:proofErr w:type="spellEnd"/>
      <w:r w:rsidR="00243901" w:rsidRPr="00950715">
        <w:rPr>
          <w:sz w:val="22"/>
          <w:szCs w:val="22"/>
          <w:lang w:val="sr-Latn-ME"/>
        </w:rPr>
        <w:t xml:space="preserve"> linije koriste na različitim m</w:t>
      </w:r>
      <w:r w:rsidR="00B61203" w:rsidRPr="00950715">
        <w:rPr>
          <w:sz w:val="22"/>
          <w:szCs w:val="22"/>
          <w:lang w:val="sr-Latn-ME"/>
        </w:rPr>
        <w:t>j</w:t>
      </w:r>
      <w:r w:rsidR="00243901" w:rsidRPr="00950715">
        <w:rPr>
          <w:sz w:val="22"/>
          <w:szCs w:val="22"/>
          <w:lang w:val="sr-Latn-ME"/>
        </w:rPr>
        <w:t>estima ili ukoliko se prom</w:t>
      </w:r>
      <w:r w:rsidR="00744B5C" w:rsidRPr="00950715">
        <w:rPr>
          <w:sz w:val="22"/>
          <w:szCs w:val="22"/>
          <w:lang w:val="sr-Latn-ME"/>
        </w:rPr>
        <w:t>i</w:t>
      </w:r>
      <w:r w:rsidR="00B61203" w:rsidRPr="00950715">
        <w:rPr>
          <w:sz w:val="22"/>
          <w:szCs w:val="22"/>
          <w:lang w:val="sr-Latn-ME"/>
        </w:rPr>
        <w:t>j</w:t>
      </w:r>
      <w:r w:rsidR="00243901" w:rsidRPr="00950715">
        <w:rPr>
          <w:sz w:val="22"/>
          <w:szCs w:val="22"/>
          <w:lang w:val="sr-Latn-ME"/>
        </w:rPr>
        <w:t xml:space="preserve">ene </w:t>
      </w:r>
      <w:proofErr w:type="spellStart"/>
      <w:r w:rsidR="00243901" w:rsidRPr="00950715">
        <w:rPr>
          <w:sz w:val="22"/>
          <w:szCs w:val="22"/>
          <w:lang w:val="sr-Latn-ME"/>
        </w:rPr>
        <w:t>infuzione</w:t>
      </w:r>
      <w:proofErr w:type="spellEnd"/>
      <w:r w:rsidR="00243901" w:rsidRPr="00950715">
        <w:rPr>
          <w:sz w:val="22"/>
          <w:szCs w:val="22"/>
          <w:lang w:val="sr-Latn-ME"/>
        </w:rPr>
        <w:t xml:space="preserve"> linije ili se </w:t>
      </w:r>
      <w:proofErr w:type="spellStart"/>
      <w:r w:rsidR="00243901" w:rsidRPr="00950715">
        <w:rPr>
          <w:sz w:val="22"/>
          <w:szCs w:val="22"/>
          <w:lang w:val="sr-Latn-ME"/>
        </w:rPr>
        <w:t>infuzione</w:t>
      </w:r>
      <w:proofErr w:type="spellEnd"/>
      <w:r w:rsidR="00243901" w:rsidRPr="00950715">
        <w:rPr>
          <w:sz w:val="22"/>
          <w:szCs w:val="22"/>
          <w:lang w:val="sr-Latn-ME"/>
        </w:rPr>
        <w:t xml:space="preserve"> linije u periodu između infuzija isperu fiziološkim rastvorom. </w:t>
      </w:r>
    </w:p>
    <w:p w14:paraId="4EC02A7D" w14:textId="77777777" w:rsidR="00243901" w:rsidRPr="00950715" w:rsidRDefault="00243901" w:rsidP="00D62C2F">
      <w:pPr>
        <w:jc w:val="both"/>
        <w:rPr>
          <w:sz w:val="22"/>
          <w:szCs w:val="22"/>
          <w:lang w:val="sr-Latn-ME"/>
        </w:rPr>
      </w:pPr>
    </w:p>
    <w:p w14:paraId="6E60C491" w14:textId="35A13974" w:rsidR="008B7B3E" w:rsidRPr="00950715" w:rsidRDefault="008B7B3E" w:rsidP="00D62C2F">
      <w:pPr>
        <w:jc w:val="both"/>
        <w:rPr>
          <w:i/>
          <w:sz w:val="22"/>
          <w:szCs w:val="22"/>
          <w:lang w:val="sr-Latn-ME"/>
        </w:rPr>
      </w:pPr>
      <w:r w:rsidRPr="00950715">
        <w:rPr>
          <w:i/>
          <w:sz w:val="22"/>
          <w:szCs w:val="22"/>
          <w:lang w:val="sr-Latn-ME"/>
        </w:rPr>
        <w:t xml:space="preserve">Interakcije povezane sa unosom </w:t>
      </w:r>
      <w:proofErr w:type="spellStart"/>
      <w:r w:rsidR="002216A1" w:rsidRPr="00950715">
        <w:rPr>
          <w:i/>
          <w:sz w:val="22"/>
          <w:szCs w:val="22"/>
          <w:lang w:val="sr-Latn-ME"/>
        </w:rPr>
        <w:t>laktata</w:t>
      </w:r>
      <w:proofErr w:type="spellEnd"/>
      <w:r w:rsidRPr="00950715">
        <w:rPr>
          <w:i/>
          <w:sz w:val="22"/>
          <w:szCs w:val="22"/>
          <w:lang w:val="sr-Latn-ME"/>
        </w:rPr>
        <w:t>:</w:t>
      </w:r>
    </w:p>
    <w:p w14:paraId="5A28E833" w14:textId="5EC2B2F2" w:rsidR="008B7B3E" w:rsidRPr="00950715" w:rsidRDefault="002216A1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Prim</w:t>
      </w:r>
      <w:r w:rsidR="00744B5C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ena bikarbonata ili </w:t>
      </w:r>
      <w:proofErr w:type="spellStart"/>
      <w:r w:rsidRPr="00950715">
        <w:rPr>
          <w:sz w:val="22"/>
          <w:szCs w:val="22"/>
          <w:lang w:val="sr-Latn-ME"/>
        </w:rPr>
        <w:t>prekursora</w:t>
      </w:r>
      <w:proofErr w:type="spellEnd"/>
      <w:r w:rsidRPr="00950715">
        <w:rPr>
          <w:sz w:val="22"/>
          <w:szCs w:val="22"/>
          <w:lang w:val="sr-Latn-ME"/>
        </w:rPr>
        <w:t xml:space="preserve"> bikarbonata kao što je </w:t>
      </w:r>
      <w:proofErr w:type="spellStart"/>
      <w:r w:rsidRPr="00950715">
        <w:rPr>
          <w:sz w:val="22"/>
          <w:szCs w:val="22"/>
          <w:lang w:val="sr-Latn-ME"/>
        </w:rPr>
        <w:t>laktat</w:t>
      </w:r>
      <w:proofErr w:type="spellEnd"/>
      <w:r w:rsidRPr="00950715">
        <w:rPr>
          <w:sz w:val="22"/>
          <w:szCs w:val="22"/>
          <w:lang w:val="sr-Latn-ME"/>
        </w:rPr>
        <w:t xml:space="preserve"> dovodi do </w:t>
      </w:r>
      <w:proofErr w:type="spellStart"/>
      <w:r w:rsidRPr="00950715">
        <w:rPr>
          <w:sz w:val="22"/>
          <w:szCs w:val="22"/>
          <w:lang w:val="sr-Latn-ME"/>
        </w:rPr>
        <w:t>alkalizacije</w:t>
      </w:r>
      <w:proofErr w:type="spellEnd"/>
      <w:r w:rsidRPr="00950715">
        <w:rPr>
          <w:sz w:val="22"/>
          <w:szCs w:val="22"/>
          <w:lang w:val="sr-Latn-ME"/>
        </w:rPr>
        <w:t xml:space="preserve"> urina sa povećanim bubrežnim </w:t>
      </w:r>
      <w:proofErr w:type="spellStart"/>
      <w:r w:rsidRPr="00950715">
        <w:rPr>
          <w:sz w:val="22"/>
          <w:szCs w:val="22"/>
          <w:lang w:val="sr-Latn-ME"/>
        </w:rPr>
        <w:t>klirensom</w:t>
      </w:r>
      <w:proofErr w:type="spellEnd"/>
      <w:r w:rsidRPr="00950715">
        <w:rPr>
          <w:sz w:val="22"/>
          <w:szCs w:val="22"/>
          <w:lang w:val="sr-Latn-ME"/>
        </w:rPr>
        <w:t xml:space="preserve"> kiselih l</w:t>
      </w:r>
      <w:r w:rsidR="007C4AEE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ekova (npr. </w:t>
      </w:r>
      <w:proofErr w:type="spellStart"/>
      <w:r w:rsidRPr="00950715">
        <w:rPr>
          <w:sz w:val="22"/>
          <w:szCs w:val="22"/>
          <w:lang w:val="sr-Latn-ME"/>
        </w:rPr>
        <w:t>salicilna</w:t>
      </w:r>
      <w:proofErr w:type="spellEnd"/>
      <w:r w:rsidRPr="00950715">
        <w:rPr>
          <w:sz w:val="22"/>
          <w:szCs w:val="22"/>
          <w:lang w:val="sr-Latn-ME"/>
        </w:rPr>
        <w:t xml:space="preserve"> kiselina). Poluvr</w:t>
      </w:r>
      <w:r w:rsidR="00744B5C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eme eliminacije alkalnih l</w:t>
      </w:r>
      <w:r w:rsidR="007C4AEE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ekova, naročito </w:t>
      </w:r>
      <w:proofErr w:type="spellStart"/>
      <w:r w:rsidRPr="00950715">
        <w:rPr>
          <w:sz w:val="22"/>
          <w:szCs w:val="22"/>
          <w:lang w:val="sr-Latn-ME"/>
        </w:rPr>
        <w:t>simpatomimetika</w:t>
      </w:r>
      <w:proofErr w:type="spellEnd"/>
      <w:r w:rsidRPr="00950715">
        <w:rPr>
          <w:sz w:val="22"/>
          <w:szCs w:val="22"/>
          <w:lang w:val="sr-Latn-ME"/>
        </w:rPr>
        <w:t xml:space="preserve"> (npr. </w:t>
      </w:r>
      <w:proofErr w:type="spellStart"/>
      <w:r w:rsidRPr="00950715">
        <w:rPr>
          <w:sz w:val="22"/>
          <w:szCs w:val="22"/>
          <w:lang w:val="sr-Latn-ME"/>
        </w:rPr>
        <w:t>efedrin</w:t>
      </w:r>
      <w:proofErr w:type="spellEnd"/>
      <w:r w:rsidRPr="00950715">
        <w:rPr>
          <w:sz w:val="22"/>
          <w:szCs w:val="22"/>
          <w:lang w:val="sr-Latn-ME"/>
        </w:rPr>
        <w:t xml:space="preserve">, </w:t>
      </w:r>
      <w:proofErr w:type="spellStart"/>
      <w:r w:rsidRPr="00950715">
        <w:rPr>
          <w:sz w:val="22"/>
          <w:szCs w:val="22"/>
          <w:lang w:val="sr-Latn-ME"/>
        </w:rPr>
        <w:t>pseudoefedrin</w:t>
      </w:r>
      <w:proofErr w:type="spellEnd"/>
      <w:r w:rsidRPr="00950715">
        <w:rPr>
          <w:sz w:val="22"/>
          <w:szCs w:val="22"/>
          <w:lang w:val="sr-Latn-ME"/>
        </w:rPr>
        <w:t xml:space="preserve">) i </w:t>
      </w:r>
      <w:proofErr w:type="spellStart"/>
      <w:r w:rsidRPr="00950715">
        <w:rPr>
          <w:sz w:val="22"/>
          <w:szCs w:val="22"/>
          <w:lang w:val="sr-Latn-ME"/>
        </w:rPr>
        <w:t>stimulanasa</w:t>
      </w:r>
      <w:proofErr w:type="spellEnd"/>
      <w:r w:rsidRPr="00950715">
        <w:rPr>
          <w:sz w:val="22"/>
          <w:szCs w:val="22"/>
          <w:lang w:val="sr-Latn-ME"/>
        </w:rPr>
        <w:t xml:space="preserve"> (npr. </w:t>
      </w:r>
      <w:proofErr w:type="spellStart"/>
      <w:r w:rsidRPr="00950715">
        <w:rPr>
          <w:sz w:val="22"/>
          <w:szCs w:val="22"/>
          <w:lang w:val="sr-Latn-ME"/>
        </w:rPr>
        <w:t>deksamfetamin</w:t>
      </w:r>
      <w:proofErr w:type="spellEnd"/>
      <w:r w:rsidRPr="00950715">
        <w:rPr>
          <w:sz w:val="22"/>
          <w:szCs w:val="22"/>
          <w:lang w:val="sr-Latn-ME"/>
        </w:rPr>
        <w:t xml:space="preserve"> sulfat, </w:t>
      </w:r>
      <w:proofErr w:type="spellStart"/>
      <w:r w:rsidRPr="00950715">
        <w:rPr>
          <w:sz w:val="22"/>
          <w:szCs w:val="22"/>
          <w:lang w:val="sr-Latn-ME"/>
        </w:rPr>
        <w:t>fenfluramin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hidrohlorid</w:t>
      </w:r>
      <w:proofErr w:type="spellEnd"/>
      <w:r w:rsidRPr="00950715">
        <w:rPr>
          <w:sz w:val="22"/>
          <w:szCs w:val="22"/>
          <w:lang w:val="sr-Latn-ME"/>
        </w:rPr>
        <w:t xml:space="preserve">) se produžava ukoliko se istovremeno koriste rastvori koji sadrže </w:t>
      </w:r>
      <w:proofErr w:type="spellStart"/>
      <w:r w:rsidRPr="00950715">
        <w:rPr>
          <w:sz w:val="22"/>
          <w:szCs w:val="22"/>
          <w:lang w:val="sr-Latn-ME"/>
        </w:rPr>
        <w:t>laktat</w:t>
      </w:r>
      <w:proofErr w:type="spellEnd"/>
      <w:r w:rsidRPr="00950715">
        <w:rPr>
          <w:sz w:val="22"/>
          <w:szCs w:val="22"/>
          <w:lang w:val="sr-Latn-ME"/>
        </w:rPr>
        <w:t>.</w:t>
      </w:r>
    </w:p>
    <w:p w14:paraId="4E12FA8D" w14:textId="77777777" w:rsidR="002D1CE6" w:rsidRPr="00950715" w:rsidRDefault="002D1CE6" w:rsidP="00D62C2F">
      <w:pPr>
        <w:jc w:val="both"/>
        <w:rPr>
          <w:sz w:val="22"/>
          <w:szCs w:val="22"/>
          <w:lang w:val="sr-Latn-ME"/>
        </w:rPr>
      </w:pPr>
    </w:p>
    <w:p w14:paraId="627C6B80" w14:textId="4DD223A1" w:rsidR="002216A1" w:rsidRPr="00950715" w:rsidRDefault="002216A1" w:rsidP="00D62C2F">
      <w:pPr>
        <w:jc w:val="both"/>
        <w:rPr>
          <w:i/>
          <w:sz w:val="22"/>
          <w:szCs w:val="22"/>
          <w:lang w:val="sr-Latn-ME"/>
        </w:rPr>
      </w:pPr>
      <w:r w:rsidRPr="00950715">
        <w:rPr>
          <w:i/>
          <w:sz w:val="22"/>
          <w:szCs w:val="22"/>
          <w:lang w:val="sr-Latn-ME"/>
        </w:rPr>
        <w:t xml:space="preserve">Ljekovi koji pojačavaju dejstvo </w:t>
      </w:r>
      <w:proofErr w:type="spellStart"/>
      <w:r w:rsidRPr="00950715">
        <w:rPr>
          <w:i/>
          <w:sz w:val="22"/>
          <w:szCs w:val="22"/>
          <w:lang w:val="sr-Latn-ME"/>
        </w:rPr>
        <w:t>vazopresina</w:t>
      </w:r>
      <w:proofErr w:type="spellEnd"/>
      <w:r w:rsidRPr="00950715">
        <w:rPr>
          <w:i/>
          <w:sz w:val="22"/>
          <w:szCs w:val="22"/>
          <w:lang w:val="sr-Latn-ME"/>
        </w:rPr>
        <w:t>:</w:t>
      </w:r>
    </w:p>
    <w:p w14:paraId="4392BC63" w14:textId="3DA78645" w:rsidR="00606FB3" w:rsidRPr="00950715" w:rsidRDefault="00606FB3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Sljedeći ljekovi pojačavaju dejstvo </w:t>
      </w:r>
      <w:proofErr w:type="spellStart"/>
      <w:r w:rsidRPr="00950715">
        <w:rPr>
          <w:sz w:val="22"/>
          <w:szCs w:val="22"/>
          <w:lang w:val="sr-Latn-ME"/>
        </w:rPr>
        <w:t>vazopresina</w:t>
      </w:r>
      <w:proofErr w:type="spellEnd"/>
      <w:r w:rsidRPr="00950715">
        <w:rPr>
          <w:sz w:val="22"/>
          <w:szCs w:val="22"/>
          <w:lang w:val="sr-Latn-ME"/>
        </w:rPr>
        <w:t xml:space="preserve">, dovodeći do smanjenog </w:t>
      </w:r>
      <w:proofErr w:type="spellStart"/>
      <w:r w:rsidRPr="00950715">
        <w:rPr>
          <w:sz w:val="22"/>
          <w:szCs w:val="22"/>
          <w:lang w:val="sr-Latn-ME"/>
        </w:rPr>
        <w:t>renalnog</w:t>
      </w:r>
      <w:proofErr w:type="spellEnd"/>
      <w:r w:rsidRPr="00950715">
        <w:rPr>
          <w:sz w:val="22"/>
          <w:szCs w:val="22"/>
          <w:lang w:val="sr-Latn-ME"/>
        </w:rPr>
        <w:t xml:space="preserve"> izlučivanja vode bez elektrolita i time mogu povećati rizik od </w:t>
      </w:r>
      <w:proofErr w:type="spellStart"/>
      <w:r w:rsidRPr="00950715">
        <w:rPr>
          <w:sz w:val="22"/>
          <w:szCs w:val="22"/>
          <w:lang w:val="sr-Latn-ME"/>
        </w:rPr>
        <w:t>intrahospitalne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hiponatr</w:t>
      </w:r>
      <w:r w:rsidR="001067E4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emije</w:t>
      </w:r>
      <w:proofErr w:type="spellEnd"/>
      <w:r w:rsidRPr="00950715">
        <w:rPr>
          <w:sz w:val="22"/>
          <w:szCs w:val="22"/>
          <w:lang w:val="sr-Latn-ME"/>
        </w:rPr>
        <w:t xml:space="preserve"> nakon neadekvatno balansirane terapije sa </w:t>
      </w:r>
      <w:proofErr w:type="spellStart"/>
      <w:r w:rsidRPr="00950715">
        <w:rPr>
          <w:sz w:val="22"/>
          <w:szCs w:val="22"/>
          <w:lang w:val="sr-Latn-ME"/>
        </w:rPr>
        <w:t>intravenskim</w:t>
      </w:r>
      <w:proofErr w:type="spellEnd"/>
      <w:r w:rsidRPr="00950715">
        <w:rPr>
          <w:sz w:val="22"/>
          <w:szCs w:val="22"/>
          <w:lang w:val="sr-Latn-ME"/>
        </w:rPr>
        <w:t xml:space="preserve"> rastvorima (</w:t>
      </w:r>
      <w:r w:rsidR="00891C02" w:rsidRPr="00950715">
        <w:rPr>
          <w:sz w:val="22"/>
          <w:szCs w:val="22"/>
          <w:lang w:val="sr-Latn-ME"/>
        </w:rPr>
        <w:t>pogledati djelove</w:t>
      </w:r>
      <w:r w:rsidRPr="00950715">
        <w:rPr>
          <w:sz w:val="22"/>
          <w:szCs w:val="22"/>
          <w:lang w:val="sr-Latn-ME"/>
        </w:rPr>
        <w:t xml:space="preserve"> 4.2, 4.4 i 4.8). </w:t>
      </w:r>
    </w:p>
    <w:p w14:paraId="6F5208C4" w14:textId="77777777" w:rsidR="00606FB3" w:rsidRPr="00950715" w:rsidRDefault="00606FB3" w:rsidP="00D62C2F">
      <w:pPr>
        <w:jc w:val="both"/>
        <w:rPr>
          <w:sz w:val="22"/>
          <w:szCs w:val="22"/>
          <w:lang w:val="sr-Latn-ME"/>
        </w:rPr>
      </w:pPr>
    </w:p>
    <w:p w14:paraId="184AB89B" w14:textId="5CBC40BA" w:rsidR="00606FB3" w:rsidRPr="00950715" w:rsidRDefault="00606FB3" w:rsidP="00D62C2F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lastRenderedPageBreak/>
        <w:t>L</w:t>
      </w:r>
      <w:r w:rsidR="00891C02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ekovi koji stimulišu sekreciju </w:t>
      </w:r>
      <w:proofErr w:type="spellStart"/>
      <w:r w:rsidRPr="00950715">
        <w:rPr>
          <w:sz w:val="22"/>
          <w:szCs w:val="22"/>
          <w:lang w:val="sr-Latn-ME"/>
        </w:rPr>
        <w:t>vazopresina</w:t>
      </w:r>
      <w:proofErr w:type="spellEnd"/>
      <w:r w:rsidRPr="00950715">
        <w:rPr>
          <w:sz w:val="22"/>
          <w:szCs w:val="22"/>
          <w:lang w:val="sr-Latn-ME"/>
        </w:rPr>
        <w:t xml:space="preserve">: </w:t>
      </w:r>
      <w:proofErr w:type="spellStart"/>
      <w:r w:rsidRPr="00950715">
        <w:rPr>
          <w:sz w:val="22"/>
          <w:szCs w:val="22"/>
          <w:lang w:val="sr-Latn-ME"/>
        </w:rPr>
        <w:t>hlorpropamid</w:t>
      </w:r>
      <w:proofErr w:type="spellEnd"/>
      <w:r w:rsidRPr="00950715">
        <w:rPr>
          <w:sz w:val="22"/>
          <w:szCs w:val="22"/>
          <w:lang w:val="sr-Latn-ME"/>
        </w:rPr>
        <w:t xml:space="preserve">, </w:t>
      </w:r>
      <w:proofErr w:type="spellStart"/>
      <w:r w:rsidRPr="00950715">
        <w:rPr>
          <w:sz w:val="22"/>
          <w:szCs w:val="22"/>
          <w:lang w:val="sr-Latn-ME"/>
        </w:rPr>
        <w:t>klofibrat</w:t>
      </w:r>
      <w:proofErr w:type="spellEnd"/>
      <w:r w:rsidRPr="00950715">
        <w:rPr>
          <w:sz w:val="22"/>
          <w:szCs w:val="22"/>
          <w:lang w:val="sr-Latn-ME"/>
        </w:rPr>
        <w:t xml:space="preserve">, </w:t>
      </w:r>
      <w:proofErr w:type="spellStart"/>
      <w:r w:rsidRPr="00950715">
        <w:rPr>
          <w:sz w:val="22"/>
          <w:szCs w:val="22"/>
          <w:lang w:val="sr-Latn-ME"/>
        </w:rPr>
        <w:t>karbamazepin</w:t>
      </w:r>
      <w:proofErr w:type="spellEnd"/>
      <w:r w:rsidRPr="00950715">
        <w:rPr>
          <w:sz w:val="22"/>
          <w:szCs w:val="22"/>
          <w:lang w:val="sr-Latn-ME"/>
        </w:rPr>
        <w:t xml:space="preserve">, </w:t>
      </w:r>
      <w:proofErr w:type="spellStart"/>
      <w:r w:rsidRPr="00950715">
        <w:rPr>
          <w:sz w:val="22"/>
          <w:szCs w:val="22"/>
          <w:lang w:val="sr-Latn-ME"/>
        </w:rPr>
        <w:t>vinkristin</w:t>
      </w:r>
      <w:proofErr w:type="spellEnd"/>
      <w:r w:rsidRPr="00950715">
        <w:rPr>
          <w:sz w:val="22"/>
          <w:szCs w:val="22"/>
          <w:lang w:val="sr-Latn-ME"/>
        </w:rPr>
        <w:t xml:space="preserve">, selektivni </w:t>
      </w:r>
      <w:proofErr w:type="spellStart"/>
      <w:r w:rsidRPr="00950715">
        <w:rPr>
          <w:sz w:val="22"/>
          <w:szCs w:val="22"/>
          <w:lang w:val="sr-Latn-ME"/>
        </w:rPr>
        <w:t>inhibitori</w:t>
      </w:r>
      <w:proofErr w:type="spellEnd"/>
      <w:r w:rsidRPr="00950715">
        <w:rPr>
          <w:sz w:val="22"/>
          <w:szCs w:val="22"/>
          <w:lang w:val="sr-Latn-ME"/>
        </w:rPr>
        <w:t xml:space="preserve"> ponovnog preuzimanja </w:t>
      </w:r>
      <w:proofErr w:type="spellStart"/>
      <w:r w:rsidRPr="00950715">
        <w:rPr>
          <w:sz w:val="22"/>
          <w:szCs w:val="22"/>
          <w:lang w:val="sr-Latn-ME"/>
        </w:rPr>
        <w:t>serotonina</w:t>
      </w:r>
      <w:proofErr w:type="spellEnd"/>
      <w:r w:rsidRPr="00950715">
        <w:rPr>
          <w:sz w:val="22"/>
          <w:szCs w:val="22"/>
          <w:lang w:val="sr-Latn-ME"/>
        </w:rPr>
        <w:t xml:space="preserve">, 3,4-metilendioksi-N-metamfetamin, </w:t>
      </w:r>
      <w:proofErr w:type="spellStart"/>
      <w:r w:rsidRPr="00950715">
        <w:rPr>
          <w:sz w:val="22"/>
          <w:szCs w:val="22"/>
          <w:lang w:val="sr-Latn-ME"/>
        </w:rPr>
        <w:t>ifosfamid</w:t>
      </w:r>
      <w:proofErr w:type="spellEnd"/>
      <w:r w:rsidRPr="00950715">
        <w:rPr>
          <w:sz w:val="22"/>
          <w:szCs w:val="22"/>
          <w:lang w:val="sr-Latn-ME"/>
        </w:rPr>
        <w:t xml:space="preserve">, </w:t>
      </w:r>
      <w:proofErr w:type="spellStart"/>
      <w:r w:rsidRPr="00950715">
        <w:rPr>
          <w:sz w:val="22"/>
          <w:szCs w:val="22"/>
          <w:lang w:val="sr-Latn-ME"/>
        </w:rPr>
        <w:t>antipsihotici</w:t>
      </w:r>
      <w:proofErr w:type="spellEnd"/>
      <w:r w:rsidRPr="00950715">
        <w:rPr>
          <w:sz w:val="22"/>
          <w:szCs w:val="22"/>
          <w:lang w:val="sr-Latn-ME"/>
        </w:rPr>
        <w:t>, narkotici</w:t>
      </w:r>
      <w:r w:rsidR="00891C02" w:rsidRPr="00950715">
        <w:rPr>
          <w:sz w:val="22"/>
          <w:szCs w:val="22"/>
          <w:lang w:val="sr-Latn-ME"/>
        </w:rPr>
        <w:t>.</w:t>
      </w:r>
    </w:p>
    <w:p w14:paraId="0ED64C5D" w14:textId="3D0C16DB" w:rsidR="00606FB3" w:rsidRPr="00950715" w:rsidRDefault="00606FB3" w:rsidP="00D62C2F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L</w:t>
      </w:r>
      <w:r w:rsidR="00891C02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ekovi koji potenciraju dejstvo </w:t>
      </w:r>
      <w:proofErr w:type="spellStart"/>
      <w:r w:rsidRPr="00950715">
        <w:rPr>
          <w:sz w:val="22"/>
          <w:szCs w:val="22"/>
          <w:lang w:val="sr-Latn-ME"/>
        </w:rPr>
        <w:t>vazopresina</w:t>
      </w:r>
      <w:proofErr w:type="spellEnd"/>
      <w:r w:rsidRPr="00950715">
        <w:rPr>
          <w:sz w:val="22"/>
          <w:szCs w:val="22"/>
          <w:lang w:val="sr-Latn-ME"/>
        </w:rPr>
        <w:t xml:space="preserve">: </w:t>
      </w:r>
      <w:proofErr w:type="spellStart"/>
      <w:r w:rsidRPr="00950715">
        <w:rPr>
          <w:sz w:val="22"/>
          <w:szCs w:val="22"/>
          <w:lang w:val="sr-Latn-ME"/>
        </w:rPr>
        <w:t>hlorpropamid</w:t>
      </w:r>
      <w:proofErr w:type="spellEnd"/>
      <w:r w:rsidRPr="00950715">
        <w:rPr>
          <w:sz w:val="22"/>
          <w:szCs w:val="22"/>
          <w:lang w:val="sr-Latn-ME"/>
        </w:rPr>
        <w:t xml:space="preserve">, NSAIL, </w:t>
      </w:r>
      <w:proofErr w:type="spellStart"/>
      <w:r w:rsidRPr="00950715">
        <w:rPr>
          <w:sz w:val="22"/>
          <w:szCs w:val="22"/>
          <w:lang w:val="sr-Latn-ME"/>
        </w:rPr>
        <w:t>ciklofosfamid</w:t>
      </w:r>
      <w:proofErr w:type="spellEnd"/>
      <w:r w:rsidRPr="00950715">
        <w:rPr>
          <w:sz w:val="22"/>
          <w:szCs w:val="22"/>
          <w:lang w:val="sr-Latn-ME"/>
        </w:rPr>
        <w:t xml:space="preserve">. </w:t>
      </w:r>
    </w:p>
    <w:p w14:paraId="162F62A5" w14:textId="13D5AFFF" w:rsidR="00606FB3" w:rsidRPr="00950715" w:rsidRDefault="00606FB3" w:rsidP="00D62C2F">
      <w:pPr>
        <w:pStyle w:val="ListParagraph"/>
        <w:numPr>
          <w:ilvl w:val="0"/>
          <w:numId w:val="22"/>
        </w:num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Analozi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vazopresina</w:t>
      </w:r>
      <w:proofErr w:type="spellEnd"/>
      <w:r w:rsidRPr="00950715">
        <w:rPr>
          <w:sz w:val="22"/>
          <w:szCs w:val="22"/>
          <w:lang w:val="sr-Latn-ME"/>
        </w:rPr>
        <w:t xml:space="preserve">: </w:t>
      </w:r>
      <w:proofErr w:type="spellStart"/>
      <w:r w:rsidRPr="00950715">
        <w:rPr>
          <w:sz w:val="22"/>
          <w:szCs w:val="22"/>
          <w:lang w:val="sr-Latn-ME"/>
        </w:rPr>
        <w:t>dezmopresin</w:t>
      </w:r>
      <w:proofErr w:type="spellEnd"/>
      <w:r w:rsidRPr="00950715">
        <w:rPr>
          <w:sz w:val="22"/>
          <w:szCs w:val="22"/>
          <w:lang w:val="sr-Latn-ME"/>
        </w:rPr>
        <w:t xml:space="preserve">, </w:t>
      </w:r>
      <w:proofErr w:type="spellStart"/>
      <w:r w:rsidRPr="00950715">
        <w:rPr>
          <w:sz w:val="22"/>
          <w:szCs w:val="22"/>
          <w:lang w:val="sr-Latn-ME"/>
        </w:rPr>
        <w:t>oksitocin</w:t>
      </w:r>
      <w:proofErr w:type="spellEnd"/>
      <w:r w:rsidRPr="00950715">
        <w:rPr>
          <w:sz w:val="22"/>
          <w:szCs w:val="22"/>
          <w:lang w:val="sr-Latn-ME"/>
        </w:rPr>
        <w:t xml:space="preserve">, </w:t>
      </w:r>
      <w:proofErr w:type="spellStart"/>
      <w:r w:rsidRPr="00950715">
        <w:rPr>
          <w:sz w:val="22"/>
          <w:szCs w:val="22"/>
          <w:lang w:val="sr-Latn-ME"/>
        </w:rPr>
        <w:t>vazopresin</w:t>
      </w:r>
      <w:proofErr w:type="spellEnd"/>
      <w:r w:rsidRPr="00950715">
        <w:rPr>
          <w:sz w:val="22"/>
          <w:szCs w:val="22"/>
          <w:lang w:val="sr-Latn-ME"/>
        </w:rPr>
        <w:t xml:space="preserve">, </w:t>
      </w:r>
      <w:proofErr w:type="spellStart"/>
      <w:r w:rsidRPr="00950715">
        <w:rPr>
          <w:sz w:val="22"/>
          <w:szCs w:val="22"/>
          <w:lang w:val="sr-Latn-ME"/>
        </w:rPr>
        <w:t>terlipresin</w:t>
      </w:r>
      <w:proofErr w:type="spellEnd"/>
      <w:r w:rsidRPr="00950715">
        <w:rPr>
          <w:sz w:val="22"/>
          <w:szCs w:val="22"/>
          <w:lang w:val="sr-Latn-ME"/>
        </w:rPr>
        <w:t xml:space="preserve">. </w:t>
      </w:r>
    </w:p>
    <w:p w14:paraId="32E80F36" w14:textId="77777777" w:rsidR="00606FB3" w:rsidRPr="00950715" w:rsidRDefault="00606FB3" w:rsidP="00D62C2F">
      <w:pPr>
        <w:jc w:val="both"/>
        <w:rPr>
          <w:sz w:val="22"/>
          <w:szCs w:val="22"/>
          <w:lang w:val="sr-Latn-ME"/>
        </w:rPr>
      </w:pPr>
    </w:p>
    <w:p w14:paraId="0B9C5819" w14:textId="45C4BFDC" w:rsidR="00606FB3" w:rsidRPr="00950715" w:rsidRDefault="00606FB3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Ostali l</w:t>
      </w:r>
      <w:r w:rsidR="007C4AEE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ekovi koji povećavaju rizik od </w:t>
      </w:r>
      <w:proofErr w:type="spellStart"/>
      <w:r w:rsidRPr="00950715">
        <w:rPr>
          <w:sz w:val="22"/>
          <w:szCs w:val="22"/>
          <w:lang w:val="sr-Latn-ME"/>
        </w:rPr>
        <w:t>hiponatr</w:t>
      </w:r>
      <w:r w:rsidR="001067E4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emije</w:t>
      </w:r>
      <w:proofErr w:type="spellEnd"/>
      <w:r w:rsidRPr="00950715">
        <w:rPr>
          <w:sz w:val="22"/>
          <w:szCs w:val="22"/>
          <w:lang w:val="sr-Latn-ME"/>
        </w:rPr>
        <w:t xml:space="preserve"> takođe uključuju </w:t>
      </w:r>
      <w:proofErr w:type="spellStart"/>
      <w:r w:rsidRPr="00950715">
        <w:rPr>
          <w:sz w:val="22"/>
          <w:szCs w:val="22"/>
          <w:lang w:val="sr-Latn-ME"/>
        </w:rPr>
        <w:t>diuretike</w:t>
      </w:r>
      <w:proofErr w:type="spellEnd"/>
      <w:r w:rsidRPr="00950715">
        <w:rPr>
          <w:sz w:val="22"/>
          <w:szCs w:val="22"/>
          <w:lang w:val="sr-Latn-ME"/>
        </w:rPr>
        <w:t xml:space="preserve"> i </w:t>
      </w:r>
      <w:proofErr w:type="spellStart"/>
      <w:r w:rsidRPr="00950715">
        <w:rPr>
          <w:sz w:val="22"/>
          <w:szCs w:val="22"/>
          <w:lang w:val="sr-Latn-ME"/>
        </w:rPr>
        <w:t>antiepileptike</w:t>
      </w:r>
      <w:proofErr w:type="spellEnd"/>
      <w:r w:rsidRPr="00950715">
        <w:rPr>
          <w:sz w:val="22"/>
          <w:szCs w:val="22"/>
          <w:lang w:val="sr-Latn-ME"/>
        </w:rPr>
        <w:t xml:space="preserve"> kao što je </w:t>
      </w:r>
      <w:proofErr w:type="spellStart"/>
      <w:r w:rsidRPr="00950715">
        <w:rPr>
          <w:sz w:val="22"/>
          <w:szCs w:val="22"/>
          <w:lang w:val="sr-Latn-ME"/>
        </w:rPr>
        <w:t>okskarbazepin</w:t>
      </w:r>
      <w:proofErr w:type="spellEnd"/>
      <w:r w:rsidRPr="00950715">
        <w:rPr>
          <w:sz w:val="22"/>
          <w:szCs w:val="22"/>
          <w:lang w:val="sr-Latn-ME"/>
        </w:rPr>
        <w:t>.</w:t>
      </w:r>
    </w:p>
    <w:p w14:paraId="07EC6385" w14:textId="77777777" w:rsidR="00606FB3" w:rsidRPr="00950715" w:rsidRDefault="00606FB3" w:rsidP="00D62C2F">
      <w:pPr>
        <w:jc w:val="both"/>
        <w:rPr>
          <w:sz w:val="22"/>
          <w:szCs w:val="22"/>
          <w:lang w:val="sr-Latn-ME"/>
        </w:rPr>
      </w:pPr>
    </w:p>
    <w:p w14:paraId="271AADD8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4.6.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="006D20A5" w:rsidRPr="00950715">
        <w:rPr>
          <w:b/>
          <w:sz w:val="22"/>
          <w:szCs w:val="22"/>
          <w:lang w:val="sr-Latn-ME"/>
        </w:rPr>
        <w:t>Plodnost, trudnoća i dojenje</w:t>
      </w:r>
    </w:p>
    <w:p w14:paraId="271AADD9" w14:textId="4FA7B9A3" w:rsidR="002031B3" w:rsidRPr="00950715" w:rsidRDefault="002031B3" w:rsidP="00D62C2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0DB9287" w14:textId="77777777" w:rsidR="00AC6693" w:rsidRPr="00950715" w:rsidRDefault="00AC6693" w:rsidP="00AC669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50715">
        <w:rPr>
          <w:sz w:val="22"/>
          <w:szCs w:val="22"/>
          <w:u w:val="single"/>
          <w:lang w:val="sr-Latn-ME"/>
        </w:rPr>
        <w:t>Plodnost</w:t>
      </w:r>
    </w:p>
    <w:p w14:paraId="0290EE55" w14:textId="77777777" w:rsidR="00AC6693" w:rsidRPr="00950715" w:rsidRDefault="00AC6693" w:rsidP="00AC669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Nema posebnih mjera opreza.</w:t>
      </w:r>
    </w:p>
    <w:p w14:paraId="70898A23" w14:textId="77777777" w:rsidR="00AC6693" w:rsidRPr="00950715" w:rsidRDefault="00AC6693" w:rsidP="00D62C2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71AADDC" w14:textId="77777777" w:rsidR="007A3ECB" w:rsidRPr="00950715" w:rsidRDefault="007A3ECB" w:rsidP="00D62C2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50715">
        <w:rPr>
          <w:sz w:val="22"/>
          <w:szCs w:val="22"/>
          <w:u w:val="single"/>
          <w:lang w:val="sr-Latn-ME"/>
        </w:rPr>
        <w:t>Trudnoća</w:t>
      </w:r>
    </w:p>
    <w:p w14:paraId="2167FCD0" w14:textId="17584726" w:rsidR="00684D3B" w:rsidRPr="00950715" w:rsidRDefault="00E02917" w:rsidP="00D62C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P</w:t>
      </w:r>
      <w:r w:rsidR="00684D3B" w:rsidRPr="00950715">
        <w:rPr>
          <w:sz w:val="22"/>
          <w:szCs w:val="22"/>
          <w:lang w:val="sr-Latn-ME"/>
        </w:rPr>
        <w:t xml:space="preserve">odaci o upotrebi lijeka </w:t>
      </w:r>
      <w:proofErr w:type="spellStart"/>
      <w:r w:rsidR="00684D3B" w:rsidRPr="00950715">
        <w:rPr>
          <w:sz w:val="22"/>
          <w:szCs w:val="22"/>
          <w:lang w:val="sr-Latn-ME"/>
        </w:rPr>
        <w:t>Hartmanov</w:t>
      </w:r>
      <w:proofErr w:type="spellEnd"/>
      <w:r w:rsidR="00684D3B" w:rsidRPr="00950715">
        <w:rPr>
          <w:sz w:val="22"/>
          <w:szCs w:val="22"/>
          <w:lang w:val="sr-Latn-ME"/>
        </w:rPr>
        <w:t xml:space="preserve"> rastvor HF kod trudnica</w:t>
      </w:r>
      <w:r w:rsidRPr="00950715">
        <w:rPr>
          <w:sz w:val="22"/>
          <w:szCs w:val="22"/>
          <w:lang w:val="sr-Latn-ME"/>
        </w:rPr>
        <w:t xml:space="preserve"> su ograničeni (manje od 300 trudnoća)</w:t>
      </w:r>
      <w:r w:rsidR="00684D3B" w:rsidRPr="00950715">
        <w:rPr>
          <w:sz w:val="22"/>
          <w:szCs w:val="22"/>
          <w:lang w:val="sr-Latn-ME"/>
        </w:rPr>
        <w:t>. Studije na životinjama ni</w:t>
      </w:r>
      <w:r w:rsidR="00AC6693" w:rsidRPr="00950715">
        <w:rPr>
          <w:sz w:val="22"/>
          <w:szCs w:val="22"/>
          <w:lang w:val="sr-Latn-ME"/>
        </w:rPr>
        <w:t>je</w:t>
      </w:r>
      <w:r w:rsidR="00684D3B" w:rsidRPr="00950715">
        <w:rPr>
          <w:sz w:val="22"/>
          <w:szCs w:val="22"/>
          <w:lang w:val="sr-Latn-ME"/>
        </w:rPr>
        <w:t>su dale dovoljno podataka o uticaju</w:t>
      </w:r>
      <w:r w:rsidR="000A37E3" w:rsidRPr="00950715">
        <w:rPr>
          <w:sz w:val="22"/>
          <w:szCs w:val="22"/>
          <w:lang w:val="sr-Latn-ME"/>
        </w:rPr>
        <w:t xml:space="preserve"> </w:t>
      </w:r>
      <w:r w:rsidR="00684D3B" w:rsidRPr="00950715">
        <w:rPr>
          <w:sz w:val="22"/>
          <w:szCs w:val="22"/>
          <w:lang w:val="sr-Latn-ME"/>
        </w:rPr>
        <w:t>na reproduktivnu toksičnost (</w:t>
      </w:r>
      <w:r w:rsidR="00FC2959" w:rsidRPr="00950715">
        <w:rPr>
          <w:sz w:val="22"/>
          <w:szCs w:val="22"/>
          <w:lang w:val="sr-Latn-ME"/>
        </w:rPr>
        <w:t>pogledati dio</w:t>
      </w:r>
      <w:r w:rsidR="00684D3B" w:rsidRPr="00950715">
        <w:rPr>
          <w:sz w:val="22"/>
          <w:szCs w:val="22"/>
          <w:lang w:val="sr-Latn-ME"/>
        </w:rPr>
        <w:t xml:space="preserve"> 5.3).</w:t>
      </w:r>
      <w:r w:rsidR="000A37E3" w:rsidRPr="00950715">
        <w:rPr>
          <w:sz w:val="22"/>
          <w:szCs w:val="22"/>
          <w:lang w:val="sr-Latn-ME"/>
        </w:rPr>
        <w:t xml:space="preserve"> </w:t>
      </w:r>
      <w:r w:rsidR="00684D3B" w:rsidRPr="00950715">
        <w:rPr>
          <w:sz w:val="22"/>
          <w:szCs w:val="22"/>
          <w:lang w:val="sr-Latn-ME"/>
        </w:rPr>
        <w:t>Imajući u vidu da se svi sastojci l</w:t>
      </w:r>
      <w:r w:rsidR="000C67CF" w:rsidRPr="00950715">
        <w:rPr>
          <w:sz w:val="22"/>
          <w:szCs w:val="22"/>
          <w:lang w:val="sr-Latn-ME"/>
        </w:rPr>
        <w:t>ij</w:t>
      </w:r>
      <w:r w:rsidR="00684D3B" w:rsidRPr="00950715">
        <w:rPr>
          <w:sz w:val="22"/>
          <w:szCs w:val="22"/>
          <w:lang w:val="sr-Latn-ME"/>
        </w:rPr>
        <w:t xml:space="preserve">eka </w:t>
      </w:r>
      <w:proofErr w:type="spellStart"/>
      <w:r w:rsidR="00684D3B" w:rsidRPr="00950715">
        <w:rPr>
          <w:sz w:val="22"/>
          <w:szCs w:val="22"/>
          <w:lang w:val="sr-Latn-ME"/>
        </w:rPr>
        <w:t>Hartmanov</w:t>
      </w:r>
      <w:proofErr w:type="spellEnd"/>
      <w:r w:rsidR="00684D3B" w:rsidRPr="00950715">
        <w:rPr>
          <w:sz w:val="22"/>
          <w:szCs w:val="22"/>
          <w:lang w:val="sr-Latn-ME"/>
        </w:rPr>
        <w:t xml:space="preserve"> rastvor HF normalno nalaze u t</w:t>
      </w:r>
      <w:r w:rsidR="00AC6693" w:rsidRPr="00950715">
        <w:rPr>
          <w:sz w:val="22"/>
          <w:szCs w:val="22"/>
          <w:lang w:val="sr-Latn-ME"/>
        </w:rPr>
        <w:t>ij</w:t>
      </w:r>
      <w:r w:rsidR="00684D3B" w:rsidRPr="00950715">
        <w:rPr>
          <w:sz w:val="22"/>
          <w:szCs w:val="22"/>
          <w:lang w:val="sr-Latn-ME"/>
        </w:rPr>
        <w:t>elu i da su dobro poznate njihove biohemijske osobine, ovaj l</w:t>
      </w:r>
      <w:r w:rsidR="000C67CF" w:rsidRPr="00950715">
        <w:rPr>
          <w:sz w:val="22"/>
          <w:szCs w:val="22"/>
          <w:lang w:val="sr-Latn-ME"/>
        </w:rPr>
        <w:t>ij</w:t>
      </w:r>
      <w:r w:rsidR="00684D3B" w:rsidRPr="00950715">
        <w:rPr>
          <w:sz w:val="22"/>
          <w:szCs w:val="22"/>
          <w:lang w:val="sr-Latn-ME"/>
        </w:rPr>
        <w:t>ek se može prim</w:t>
      </w:r>
      <w:r w:rsidR="00AC6693" w:rsidRPr="00950715">
        <w:rPr>
          <w:sz w:val="22"/>
          <w:szCs w:val="22"/>
          <w:lang w:val="sr-Latn-ME"/>
        </w:rPr>
        <w:t>i</w:t>
      </w:r>
      <w:r w:rsidR="000C67CF" w:rsidRPr="00950715">
        <w:rPr>
          <w:sz w:val="22"/>
          <w:szCs w:val="22"/>
          <w:lang w:val="sr-Latn-ME"/>
        </w:rPr>
        <w:t>j</w:t>
      </w:r>
      <w:r w:rsidR="00684D3B" w:rsidRPr="00950715">
        <w:rPr>
          <w:sz w:val="22"/>
          <w:szCs w:val="22"/>
          <w:lang w:val="sr-Latn-ME"/>
        </w:rPr>
        <w:t>eniti tokom trudnoće, u skladu sa indikacijama.</w:t>
      </w:r>
      <w:r w:rsidR="000A37E3" w:rsidRPr="00950715">
        <w:rPr>
          <w:sz w:val="22"/>
          <w:szCs w:val="22"/>
          <w:lang w:val="sr-Latn-ME"/>
        </w:rPr>
        <w:t xml:space="preserve"> </w:t>
      </w:r>
    </w:p>
    <w:p w14:paraId="03EB2C3A" w14:textId="1A372677" w:rsidR="00684D3B" w:rsidRPr="00950715" w:rsidRDefault="00684D3B" w:rsidP="00D62C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L</w:t>
      </w:r>
      <w:r w:rsidR="000C67CF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 xml:space="preserve">ek </w:t>
      </w:r>
      <w:proofErr w:type="spellStart"/>
      <w:r w:rsidRPr="00950715">
        <w:rPr>
          <w:sz w:val="22"/>
          <w:szCs w:val="22"/>
          <w:lang w:val="sr-Latn-ME"/>
        </w:rPr>
        <w:t>Hartmanov</w:t>
      </w:r>
      <w:proofErr w:type="spellEnd"/>
      <w:r w:rsidRPr="00950715">
        <w:rPr>
          <w:sz w:val="22"/>
          <w:szCs w:val="22"/>
          <w:lang w:val="sr-Latn-ME"/>
        </w:rPr>
        <w:t xml:space="preserve"> rastvor HF treba prim</w:t>
      </w:r>
      <w:r w:rsidR="000C67CF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>enjivati sa posebnim oprezom tokom porođaja, posebno pri istovremenoj prim</w:t>
      </w:r>
      <w:r w:rsidR="00E10F98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eni sa </w:t>
      </w:r>
      <w:proofErr w:type="spellStart"/>
      <w:r w:rsidRPr="00950715">
        <w:rPr>
          <w:sz w:val="22"/>
          <w:szCs w:val="22"/>
          <w:lang w:val="sr-Latn-ME"/>
        </w:rPr>
        <w:t>oksitocinom</w:t>
      </w:r>
      <w:proofErr w:type="spellEnd"/>
      <w:r w:rsidRPr="00950715">
        <w:rPr>
          <w:sz w:val="22"/>
          <w:szCs w:val="22"/>
          <w:lang w:val="sr-Latn-ME"/>
        </w:rPr>
        <w:t>, imajući u vidu koncentraciju natrijuma u serumu (</w:t>
      </w:r>
      <w:r w:rsidR="00FA35D1" w:rsidRPr="00950715">
        <w:rPr>
          <w:sz w:val="22"/>
          <w:szCs w:val="22"/>
          <w:lang w:val="sr-Latn-ME"/>
        </w:rPr>
        <w:t>pogledati djelove</w:t>
      </w:r>
      <w:r w:rsidRPr="00950715">
        <w:rPr>
          <w:sz w:val="22"/>
          <w:szCs w:val="22"/>
          <w:lang w:val="sr-Latn-ME"/>
        </w:rPr>
        <w:t xml:space="preserve"> 4.4, 4.5 i 4.8). </w:t>
      </w:r>
    </w:p>
    <w:p w14:paraId="271AADDD" w14:textId="700C6138" w:rsidR="002031B3" w:rsidRPr="00950715" w:rsidRDefault="00684D3B" w:rsidP="00D62C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Treba biti oprezan kod </w:t>
      </w:r>
      <w:proofErr w:type="spellStart"/>
      <w:r w:rsidRPr="00950715">
        <w:rPr>
          <w:sz w:val="22"/>
          <w:szCs w:val="22"/>
          <w:lang w:val="sr-Latn-ME"/>
        </w:rPr>
        <w:t>toksemije</w:t>
      </w:r>
      <w:proofErr w:type="spellEnd"/>
      <w:r w:rsidRPr="00950715">
        <w:rPr>
          <w:sz w:val="22"/>
          <w:szCs w:val="22"/>
          <w:lang w:val="sr-Latn-ME"/>
        </w:rPr>
        <w:t xml:space="preserve"> u trudnoći.</w:t>
      </w:r>
    </w:p>
    <w:p w14:paraId="359AC103" w14:textId="77777777" w:rsidR="00684D3B" w:rsidRPr="00950715" w:rsidRDefault="00684D3B" w:rsidP="00D62C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71AADDE" w14:textId="77777777" w:rsidR="0072020E" w:rsidRPr="00950715" w:rsidRDefault="007A3ECB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sz w:val="22"/>
          <w:szCs w:val="22"/>
          <w:u w:val="single"/>
          <w:lang w:val="sr-Latn-ME"/>
        </w:rPr>
        <w:t xml:space="preserve">Dojenje </w:t>
      </w:r>
    </w:p>
    <w:p w14:paraId="2C3CE7BB" w14:textId="327AF1A4" w:rsidR="00A65341" w:rsidRPr="00950715" w:rsidRDefault="00A65341" w:rsidP="00DF4C70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Kalcijum se izlučuje u majčino mlijeko, ali se pri terapijskoj dozi lijeka </w:t>
      </w:r>
      <w:proofErr w:type="spellStart"/>
      <w:r w:rsidRPr="00950715">
        <w:rPr>
          <w:sz w:val="22"/>
          <w:szCs w:val="22"/>
          <w:lang w:val="sr-Latn-ME"/>
        </w:rPr>
        <w:t>Hartmanov</w:t>
      </w:r>
      <w:proofErr w:type="spellEnd"/>
      <w:r w:rsidRPr="00950715">
        <w:rPr>
          <w:sz w:val="22"/>
          <w:szCs w:val="22"/>
          <w:lang w:val="sr-Latn-ME"/>
        </w:rPr>
        <w:t xml:space="preserve"> rastvor HF ne očekuj</w:t>
      </w:r>
      <w:r w:rsidR="00213E16" w:rsidRPr="00950715">
        <w:rPr>
          <w:sz w:val="22"/>
          <w:szCs w:val="22"/>
          <w:lang w:val="sr-Latn-ME"/>
        </w:rPr>
        <w:t>e</w:t>
      </w:r>
      <w:r w:rsidRPr="00950715">
        <w:rPr>
          <w:sz w:val="22"/>
          <w:szCs w:val="22"/>
          <w:lang w:val="sr-Latn-ME"/>
        </w:rPr>
        <w:t xml:space="preserve"> </w:t>
      </w:r>
      <w:r w:rsidR="00213E16" w:rsidRPr="00950715">
        <w:rPr>
          <w:sz w:val="22"/>
          <w:szCs w:val="22"/>
          <w:lang w:val="sr-Latn-ME"/>
        </w:rPr>
        <w:t>uticaj</w:t>
      </w:r>
      <w:r w:rsidRPr="00950715">
        <w:rPr>
          <w:sz w:val="22"/>
          <w:szCs w:val="22"/>
          <w:lang w:val="sr-Latn-ME"/>
        </w:rPr>
        <w:t xml:space="preserve"> na novorođenčad/</w:t>
      </w:r>
      <w:r w:rsidR="00213E16" w:rsidRPr="00950715">
        <w:rPr>
          <w:sz w:val="22"/>
          <w:szCs w:val="22"/>
          <w:lang w:val="sr-Latn-ME"/>
        </w:rPr>
        <w:t>odojčad</w:t>
      </w:r>
      <w:r w:rsidRPr="00950715">
        <w:rPr>
          <w:sz w:val="22"/>
          <w:szCs w:val="22"/>
          <w:lang w:val="sr-Latn-ME"/>
        </w:rPr>
        <w:t xml:space="preserve">. Stoga se lijek </w:t>
      </w:r>
      <w:proofErr w:type="spellStart"/>
      <w:r w:rsidRPr="00950715">
        <w:rPr>
          <w:sz w:val="22"/>
          <w:szCs w:val="22"/>
          <w:lang w:val="sr-Latn-ME"/>
        </w:rPr>
        <w:t>Hartmanov</w:t>
      </w:r>
      <w:proofErr w:type="spellEnd"/>
      <w:r w:rsidRPr="00950715">
        <w:rPr>
          <w:sz w:val="22"/>
          <w:szCs w:val="22"/>
          <w:lang w:val="sr-Latn-ME"/>
        </w:rPr>
        <w:t xml:space="preserve"> rastvor HF može koristiti tokom dojenja.</w:t>
      </w:r>
    </w:p>
    <w:p w14:paraId="0A7148E9" w14:textId="77777777" w:rsidR="001967C7" w:rsidRPr="00950715" w:rsidRDefault="001967C7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1AADE0" w14:textId="77777777" w:rsidR="0072020E" w:rsidRPr="00950715" w:rsidRDefault="0072020E" w:rsidP="00D62C2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4.7.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 xml:space="preserve">Uticaj na </w:t>
      </w:r>
      <w:r w:rsidR="002031B3" w:rsidRPr="00950715">
        <w:rPr>
          <w:b/>
          <w:bCs/>
          <w:sz w:val="22"/>
          <w:szCs w:val="22"/>
          <w:lang w:val="sr-Latn-ME"/>
        </w:rPr>
        <w:t xml:space="preserve">sposobnost </w:t>
      </w:r>
      <w:r w:rsidR="00F34554" w:rsidRPr="00950715">
        <w:rPr>
          <w:b/>
          <w:bCs/>
          <w:sz w:val="22"/>
          <w:szCs w:val="22"/>
          <w:lang w:val="sr-Latn-ME"/>
        </w:rPr>
        <w:t>upravljanja vozili</w:t>
      </w:r>
      <w:r w:rsidRPr="00950715">
        <w:rPr>
          <w:b/>
          <w:bCs/>
          <w:sz w:val="22"/>
          <w:szCs w:val="22"/>
          <w:lang w:val="sr-Latn-ME"/>
        </w:rPr>
        <w:t>m</w:t>
      </w:r>
      <w:r w:rsidR="00F34554" w:rsidRPr="00950715">
        <w:rPr>
          <w:b/>
          <w:bCs/>
          <w:sz w:val="22"/>
          <w:szCs w:val="22"/>
          <w:lang w:val="sr-Latn-ME"/>
        </w:rPr>
        <w:t>a</w:t>
      </w:r>
      <w:r w:rsidRPr="00950715">
        <w:rPr>
          <w:b/>
          <w:bCs/>
          <w:sz w:val="22"/>
          <w:szCs w:val="22"/>
          <w:lang w:val="sr-Latn-ME"/>
        </w:rPr>
        <w:t xml:space="preserve"> i </w:t>
      </w:r>
      <w:r w:rsidR="000D3449" w:rsidRPr="00950715">
        <w:rPr>
          <w:b/>
          <w:bCs/>
          <w:sz w:val="22"/>
          <w:szCs w:val="22"/>
          <w:lang w:val="sr-Latn-ME"/>
        </w:rPr>
        <w:t xml:space="preserve">rukovanje </w:t>
      </w:r>
      <w:r w:rsidRPr="00950715">
        <w:rPr>
          <w:b/>
          <w:bCs/>
          <w:sz w:val="22"/>
          <w:szCs w:val="22"/>
          <w:lang w:val="sr-Latn-ME"/>
        </w:rPr>
        <w:t>mašinama</w:t>
      </w:r>
    </w:p>
    <w:p w14:paraId="271AADE1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CA664B9" w14:textId="7ED9968C" w:rsidR="00835A50" w:rsidRPr="00950715" w:rsidRDefault="00835A50" w:rsidP="00D62C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Ovaj lijek nema uticaj na sposobnost upravljanja vozilima i rukovanja mašinama.</w:t>
      </w:r>
    </w:p>
    <w:p w14:paraId="7F70130B" w14:textId="77777777" w:rsidR="00835A50" w:rsidRPr="00950715" w:rsidRDefault="00835A50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1AADE2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4.8.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Neželjena dejstva</w:t>
      </w:r>
    </w:p>
    <w:p w14:paraId="271AADE3" w14:textId="77777777" w:rsidR="004E70AD" w:rsidRPr="00950715" w:rsidRDefault="004E70AD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E33C0B4" w14:textId="31503353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Učestalost neželjenih reakcija klasifikuje se prema sl</w:t>
      </w:r>
      <w:r w:rsidR="00AC6693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>edećim kriterijumima:</w:t>
      </w:r>
      <w:r w:rsidR="000A37E3" w:rsidRPr="00950715">
        <w:rPr>
          <w:sz w:val="22"/>
          <w:szCs w:val="22"/>
          <w:lang w:val="sr-Latn-ME"/>
        </w:rPr>
        <w:t xml:space="preserve"> </w:t>
      </w:r>
    </w:p>
    <w:p w14:paraId="78F141C3" w14:textId="7485A418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Veoma često (≥1/10) </w:t>
      </w:r>
    </w:p>
    <w:p w14:paraId="50A8A5B5" w14:textId="7C4A57A0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Često (≥1/100 do &lt;1/10) </w:t>
      </w:r>
    </w:p>
    <w:p w14:paraId="57FC44D9" w14:textId="7EBABE46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Povremeno (≥1/1000 do &lt;1/100) </w:t>
      </w:r>
    </w:p>
    <w:p w14:paraId="475C50D4" w14:textId="06AE8789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R</w:t>
      </w:r>
      <w:r w:rsidR="00805736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 xml:space="preserve">etko (≥1/10000 do &lt;1/1000) </w:t>
      </w:r>
    </w:p>
    <w:p w14:paraId="760BF421" w14:textId="06C9A6BD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Veoma r</w:t>
      </w:r>
      <w:r w:rsidR="00805736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etko (&lt; 1/10000),</w:t>
      </w:r>
      <w:r w:rsidR="000A37E3" w:rsidRPr="00950715">
        <w:rPr>
          <w:sz w:val="22"/>
          <w:szCs w:val="22"/>
          <w:lang w:val="sr-Latn-ME"/>
        </w:rPr>
        <w:t xml:space="preserve"> </w:t>
      </w:r>
    </w:p>
    <w:p w14:paraId="43A17C91" w14:textId="1FCF7C98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Nepoznata učestalost (ne može se proc</w:t>
      </w:r>
      <w:r w:rsidR="00805736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eniti</w:t>
      </w:r>
      <w:r w:rsidR="000A37E3" w:rsidRPr="00950715">
        <w:rPr>
          <w:sz w:val="22"/>
          <w:szCs w:val="22"/>
          <w:lang w:val="sr-Latn-ME"/>
        </w:rPr>
        <w:t xml:space="preserve"> </w:t>
      </w:r>
      <w:r w:rsidRPr="00950715">
        <w:rPr>
          <w:sz w:val="22"/>
          <w:szCs w:val="22"/>
          <w:lang w:val="sr-Latn-ME"/>
        </w:rPr>
        <w:t xml:space="preserve">na osnovu dostupnih podataka). </w:t>
      </w:r>
    </w:p>
    <w:p w14:paraId="0261B71B" w14:textId="29F88BFB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</w:p>
    <w:p w14:paraId="7894519B" w14:textId="72369C60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Poremećaji metabolizma i ishrane </w:t>
      </w:r>
    </w:p>
    <w:p w14:paraId="6D0B9214" w14:textId="1A491E8D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Nepoznata učestalost: </w:t>
      </w:r>
      <w:proofErr w:type="spellStart"/>
      <w:r w:rsidRPr="00950715">
        <w:rPr>
          <w:sz w:val="22"/>
          <w:szCs w:val="22"/>
          <w:lang w:val="sr-Latn-ME"/>
        </w:rPr>
        <w:t>intrahospitalna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hiponatr</w:t>
      </w:r>
      <w:r w:rsidR="001067E4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emija</w:t>
      </w:r>
      <w:proofErr w:type="spellEnd"/>
      <w:r w:rsidRPr="00950715">
        <w:rPr>
          <w:sz w:val="22"/>
          <w:szCs w:val="22"/>
          <w:lang w:val="sr-Latn-ME"/>
        </w:rPr>
        <w:t xml:space="preserve">⃰ </w:t>
      </w:r>
    </w:p>
    <w:p w14:paraId="06468902" w14:textId="0101543F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</w:p>
    <w:p w14:paraId="14290F81" w14:textId="61C40C79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Poremećaji nervnog sistema </w:t>
      </w:r>
    </w:p>
    <w:p w14:paraId="06449259" w14:textId="77777777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Nepoznata učestalost: akutna </w:t>
      </w:r>
      <w:proofErr w:type="spellStart"/>
      <w:r w:rsidRPr="00950715">
        <w:rPr>
          <w:sz w:val="22"/>
          <w:szCs w:val="22"/>
          <w:lang w:val="sr-Latn-ME"/>
        </w:rPr>
        <w:t>hiponatremijska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encefalopatija</w:t>
      </w:r>
      <w:proofErr w:type="spellEnd"/>
      <w:r w:rsidRPr="00950715">
        <w:rPr>
          <w:sz w:val="22"/>
          <w:szCs w:val="22"/>
          <w:lang w:val="sr-Latn-ME"/>
        </w:rPr>
        <w:t xml:space="preserve">⃰. </w:t>
      </w:r>
    </w:p>
    <w:p w14:paraId="2718CA8D" w14:textId="04E2D197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</w:p>
    <w:p w14:paraId="7D1F4801" w14:textId="27A36FF5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*</w:t>
      </w:r>
      <w:proofErr w:type="spellStart"/>
      <w:r w:rsidRPr="00950715">
        <w:rPr>
          <w:sz w:val="22"/>
          <w:szCs w:val="22"/>
          <w:lang w:val="sr-Latn-ME"/>
        </w:rPr>
        <w:t>Intrahospitalna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hiponatr</w:t>
      </w:r>
      <w:r w:rsidR="001067E4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emija</w:t>
      </w:r>
      <w:proofErr w:type="spellEnd"/>
      <w:r w:rsidRPr="00950715">
        <w:rPr>
          <w:sz w:val="22"/>
          <w:szCs w:val="22"/>
          <w:lang w:val="sr-Latn-ME"/>
        </w:rPr>
        <w:t xml:space="preserve"> može uzrokovati ireverzibilno oštećenje mozga i smrt, </w:t>
      </w:r>
      <w:proofErr w:type="spellStart"/>
      <w:r w:rsidRPr="00950715">
        <w:rPr>
          <w:sz w:val="22"/>
          <w:szCs w:val="22"/>
          <w:lang w:val="sr-Latn-ME"/>
        </w:rPr>
        <w:t>usl</w:t>
      </w:r>
      <w:r w:rsidR="00805736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>ed</w:t>
      </w:r>
      <w:proofErr w:type="spellEnd"/>
      <w:r w:rsidRPr="00950715">
        <w:rPr>
          <w:sz w:val="22"/>
          <w:szCs w:val="22"/>
          <w:lang w:val="sr-Latn-ME"/>
        </w:rPr>
        <w:t xml:space="preserve"> razvoja akutne </w:t>
      </w:r>
      <w:proofErr w:type="spellStart"/>
      <w:r w:rsidRPr="00950715">
        <w:rPr>
          <w:sz w:val="22"/>
          <w:szCs w:val="22"/>
          <w:lang w:val="sr-Latn-ME"/>
        </w:rPr>
        <w:t>hiponatr</w:t>
      </w:r>
      <w:r w:rsidR="001067E4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emijske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encefalopatije</w:t>
      </w:r>
      <w:proofErr w:type="spellEnd"/>
      <w:r w:rsidRPr="00950715">
        <w:rPr>
          <w:sz w:val="22"/>
          <w:szCs w:val="22"/>
          <w:lang w:val="sr-Latn-ME"/>
        </w:rPr>
        <w:t xml:space="preserve"> (</w:t>
      </w:r>
      <w:r w:rsidR="00805736" w:rsidRPr="00950715">
        <w:rPr>
          <w:sz w:val="22"/>
          <w:szCs w:val="22"/>
          <w:lang w:val="sr-Latn-ME"/>
        </w:rPr>
        <w:t>pogledati djelove</w:t>
      </w:r>
      <w:r w:rsidRPr="00950715">
        <w:rPr>
          <w:sz w:val="22"/>
          <w:szCs w:val="22"/>
          <w:lang w:val="sr-Latn-ME"/>
        </w:rPr>
        <w:t xml:space="preserve"> 4.2, 4.4</w:t>
      </w:r>
      <w:r w:rsidR="00AC1B84" w:rsidRPr="00950715">
        <w:rPr>
          <w:sz w:val="22"/>
          <w:szCs w:val="22"/>
          <w:lang w:val="sr-Latn-ME"/>
        </w:rPr>
        <w:t xml:space="preserve"> i 4.5</w:t>
      </w:r>
      <w:r w:rsidRPr="00950715">
        <w:rPr>
          <w:sz w:val="22"/>
          <w:szCs w:val="22"/>
          <w:lang w:val="sr-Latn-ME"/>
        </w:rPr>
        <w:t xml:space="preserve">). </w:t>
      </w:r>
    </w:p>
    <w:p w14:paraId="17A9BC50" w14:textId="177906E2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</w:p>
    <w:p w14:paraId="02BFF975" w14:textId="20BA7432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lastRenderedPageBreak/>
        <w:t>R</w:t>
      </w:r>
      <w:r w:rsidR="00AC1B84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etka, teška i ponekad smrtonosna neželjena dejstva zab</w:t>
      </w:r>
      <w:r w:rsidR="00AC1B84" w:rsidRPr="00950715">
        <w:rPr>
          <w:sz w:val="22"/>
          <w:szCs w:val="22"/>
          <w:lang w:val="sr-Latn-ME"/>
        </w:rPr>
        <w:t>i</w:t>
      </w:r>
      <w:r w:rsidRPr="00950715">
        <w:rPr>
          <w:sz w:val="22"/>
          <w:szCs w:val="22"/>
          <w:lang w:val="sr-Latn-ME"/>
        </w:rPr>
        <w:t>l</w:t>
      </w:r>
      <w:r w:rsidR="00AC1B84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ežena su kod </w:t>
      </w:r>
      <w:r w:rsidR="00097675" w:rsidRPr="00950715">
        <w:rPr>
          <w:sz w:val="22"/>
          <w:szCs w:val="22"/>
          <w:lang w:val="sr-Latn-ME"/>
        </w:rPr>
        <w:t xml:space="preserve">nedonoščadi i </w:t>
      </w:r>
      <w:r w:rsidRPr="00950715">
        <w:rPr>
          <w:sz w:val="22"/>
          <w:szCs w:val="22"/>
          <w:lang w:val="sr-Latn-ME"/>
        </w:rPr>
        <w:t>novorođenčadi (mlađe od 28 dana), koj</w:t>
      </w:r>
      <w:r w:rsidR="00097675" w:rsidRPr="00950715">
        <w:rPr>
          <w:sz w:val="22"/>
          <w:szCs w:val="22"/>
          <w:lang w:val="sr-Latn-ME"/>
        </w:rPr>
        <w:t>i</w:t>
      </w:r>
      <w:r w:rsidRPr="00950715">
        <w:rPr>
          <w:sz w:val="22"/>
          <w:szCs w:val="22"/>
          <w:lang w:val="sr-Latn-ME"/>
        </w:rPr>
        <w:t xml:space="preserve"> su bil</w:t>
      </w:r>
      <w:r w:rsidR="00097675" w:rsidRPr="00950715">
        <w:rPr>
          <w:sz w:val="22"/>
          <w:szCs w:val="22"/>
          <w:lang w:val="sr-Latn-ME"/>
        </w:rPr>
        <w:t>i</w:t>
      </w:r>
      <w:r w:rsidRPr="00950715">
        <w:rPr>
          <w:sz w:val="22"/>
          <w:szCs w:val="22"/>
          <w:lang w:val="sr-Latn-ME"/>
        </w:rPr>
        <w:t xml:space="preserve"> l</w:t>
      </w:r>
      <w:r w:rsidR="00AC1B84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>ečen</w:t>
      </w:r>
      <w:r w:rsidR="00097675" w:rsidRPr="00950715">
        <w:rPr>
          <w:sz w:val="22"/>
          <w:szCs w:val="22"/>
          <w:lang w:val="sr-Latn-ME"/>
        </w:rPr>
        <w:t xml:space="preserve">i </w:t>
      </w:r>
      <w:proofErr w:type="spellStart"/>
      <w:r w:rsidRPr="00950715">
        <w:rPr>
          <w:sz w:val="22"/>
          <w:szCs w:val="22"/>
          <w:lang w:val="sr-Latn-ME"/>
        </w:rPr>
        <w:t>intravenskim</w:t>
      </w:r>
      <w:proofErr w:type="spellEnd"/>
      <w:r w:rsidRPr="00950715">
        <w:rPr>
          <w:sz w:val="22"/>
          <w:szCs w:val="22"/>
          <w:lang w:val="sr-Latn-ME"/>
        </w:rPr>
        <w:t xml:space="preserve"> </w:t>
      </w:r>
      <w:proofErr w:type="spellStart"/>
      <w:r w:rsidRPr="00950715">
        <w:rPr>
          <w:sz w:val="22"/>
          <w:szCs w:val="22"/>
          <w:lang w:val="sr-Latn-ME"/>
        </w:rPr>
        <w:t>ceftriaksonom</w:t>
      </w:r>
      <w:proofErr w:type="spellEnd"/>
      <w:r w:rsidRPr="00950715">
        <w:rPr>
          <w:sz w:val="22"/>
          <w:szCs w:val="22"/>
          <w:lang w:val="sr-Latn-ME"/>
        </w:rPr>
        <w:t xml:space="preserve"> i kalcijumom. P</w:t>
      </w:r>
      <w:r w:rsidR="0061480C" w:rsidRPr="00950715">
        <w:rPr>
          <w:sz w:val="22"/>
          <w:szCs w:val="22"/>
          <w:lang w:val="sr-Latn-ME"/>
        </w:rPr>
        <w:t>osmrtno su p</w:t>
      </w:r>
      <w:r w:rsidRPr="00950715">
        <w:rPr>
          <w:sz w:val="22"/>
          <w:szCs w:val="22"/>
          <w:lang w:val="sr-Latn-ME"/>
        </w:rPr>
        <w:t>rim</w:t>
      </w:r>
      <w:r w:rsidR="00AC6693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 xml:space="preserve">ećeni </w:t>
      </w:r>
      <w:proofErr w:type="spellStart"/>
      <w:r w:rsidRPr="00950715">
        <w:rPr>
          <w:sz w:val="22"/>
          <w:szCs w:val="22"/>
          <w:lang w:val="sr-Latn-ME"/>
        </w:rPr>
        <w:t>precipitati</w:t>
      </w:r>
      <w:proofErr w:type="spellEnd"/>
      <w:r w:rsidRPr="00950715">
        <w:rPr>
          <w:sz w:val="22"/>
          <w:szCs w:val="22"/>
          <w:lang w:val="sr-Latn-ME"/>
        </w:rPr>
        <w:t xml:space="preserve"> soli </w:t>
      </w:r>
      <w:proofErr w:type="spellStart"/>
      <w:r w:rsidRPr="00950715">
        <w:rPr>
          <w:sz w:val="22"/>
          <w:szCs w:val="22"/>
          <w:lang w:val="sr-Latn-ME"/>
        </w:rPr>
        <w:t>ceftriakson</w:t>
      </w:r>
      <w:proofErr w:type="spellEnd"/>
      <w:r w:rsidR="001067E4" w:rsidRPr="00950715">
        <w:rPr>
          <w:sz w:val="22"/>
          <w:szCs w:val="22"/>
          <w:lang w:val="sr-Latn-ME"/>
        </w:rPr>
        <w:t xml:space="preserve"> </w:t>
      </w:r>
      <w:r w:rsidRPr="00950715">
        <w:rPr>
          <w:sz w:val="22"/>
          <w:szCs w:val="22"/>
          <w:lang w:val="sr-Latn-ME"/>
        </w:rPr>
        <w:t xml:space="preserve">kalcijuma u plućima i bubrezima. Visoki rizik od </w:t>
      </w:r>
      <w:proofErr w:type="spellStart"/>
      <w:r w:rsidRPr="00950715">
        <w:rPr>
          <w:sz w:val="22"/>
          <w:szCs w:val="22"/>
          <w:lang w:val="sr-Latn-ME"/>
        </w:rPr>
        <w:t>precipitacije</w:t>
      </w:r>
      <w:proofErr w:type="spellEnd"/>
      <w:r w:rsidRPr="00950715">
        <w:rPr>
          <w:sz w:val="22"/>
          <w:szCs w:val="22"/>
          <w:lang w:val="sr-Latn-ME"/>
        </w:rPr>
        <w:t xml:space="preserve"> kod novorođenčadi povezan je sa njihovim malim volumenom krvi i dužim </w:t>
      </w:r>
      <w:proofErr w:type="spellStart"/>
      <w:r w:rsidRPr="00950715">
        <w:rPr>
          <w:sz w:val="22"/>
          <w:szCs w:val="22"/>
          <w:lang w:val="sr-Latn-ME"/>
        </w:rPr>
        <w:t>poluvremenom</w:t>
      </w:r>
      <w:proofErr w:type="spellEnd"/>
      <w:r w:rsidRPr="00950715">
        <w:rPr>
          <w:sz w:val="22"/>
          <w:szCs w:val="22"/>
          <w:lang w:val="sr-Latn-ME"/>
        </w:rPr>
        <w:t xml:space="preserve"> eliminacije </w:t>
      </w:r>
      <w:proofErr w:type="spellStart"/>
      <w:r w:rsidRPr="00950715">
        <w:rPr>
          <w:sz w:val="22"/>
          <w:szCs w:val="22"/>
          <w:lang w:val="sr-Latn-ME"/>
        </w:rPr>
        <w:t>ceftriaksona</w:t>
      </w:r>
      <w:proofErr w:type="spellEnd"/>
      <w:r w:rsidRPr="00950715">
        <w:rPr>
          <w:sz w:val="22"/>
          <w:szCs w:val="22"/>
          <w:lang w:val="sr-Latn-ME"/>
        </w:rPr>
        <w:t xml:space="preserve"> u poređenju sa odraslima.</w:t>
      </w:r>
    </w:p>
    <w:p w14:paraId="2C811E7D" w14:textId="77777777" w:rsidR="00957CE6" w:rsidRPr="00950715" w:rsidRDefault="00957CE6" w:rsidP="00D62C2F">
      <w:pPr>
        <w:jc w:val="both"/>
        <w:rPr>
          <w:sz w:val="22"/>
          <w:szCs w:val="22"/>
          <w:lang w:val="sr-Latn-ME"/>
        </w:rPr>
      </w:pPr>
    </w:p>
    <w:p w14:paraId="271AADE4" w14:textId="0F4813C4" w:rsidR="005A23D2" w:rsidRPr="00950715" w:rsidRDefault="005A23D2" w:rsidP="00D62C2F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950715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271AADE5" w14:textId="64328796" w:rsidR="005A23D2" w:rsidRPr="00950715" w:rsidRDefault="005A23D2" w:rsidP="00D62C2F">
      <w:pPr>
        <w:jc w:val="both"/>
        <w:rPr>
          <w:rFonts w:eastAsia="Calibri"/>
          <w:sz w:val="22"/>
          <w:szCs w:val="22"/>
          <w:lang w:val="sr-Latn-ME"/>
        </w:rPr>
      </w:pPr>
      <w:r w:rsidRPr="00950715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950715">
        <w:rPr>
          <w:rFonts w:eastAsia="Calibri"/>
          <w:sz w:val="22"/>
          <w:szCs w:val="22"/>
          <w:lang w:val="sr-Latn-ME"/>
        </w:rPr>
        <w:t>inuirano praćenje odnosa korist</w:t>
      </w:r>
      <w:r w:rsidRPr="00950715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950715">
        <w:rPr>
          <w:rFonts w:eastAsia="Calibri"/>
          <w:sz w:val="22"/>
          <w:szCs w:val="22"/>
          <w:lang w:val="sr-Latn-ME"/>
        </w:rPr>
        <w:t xml:space="preserve"> </w:t>
      </w:r>
      <w:r w:rsidRPr="00950715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950715">
        <w:rPr>
          <w:rFonts w:eastAsia="Calibri"/>
          <w:sz w:val="22"/>
          <w:szCs w:val="22"/>
          <w:lang w:val="sr-Latn-ME"/>
        </w:rPr>
        <w:t>Institutu</w:t>
      </w:r>
      <w:r w:rsidRPr="00950715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950715">
        <w:rPr>
          <w:rFonts w:eastAsia="Calibri"/>
          <w:sz w:val="22"/>
          <w:szCs w:val="22"/>
          <w:lang w:val="sr-Latn-ME"/>
        </w:rPr>
        <w:t xml:space="preserve"> </w:t>
      </w:r>
      <w:r w:rsidRPr="00950715">
        <w:rPr>
          <w:rFonts w:eastAsia="Calibri"/>
          <w:sz w:val="22"/>
          <w:szCs w:val="22"/>
          <w:lang w:val="sr-Latn-ME"/>
        </w:rPr>
        <w:t>(</w:t>
      </w:r>
      <w:proofErr w:type="spellStart"/>
      <w:r w:rsidR="004E70AD" w:rsidRPr="00950715">
        <w:rPr>
          <w:rFonts w:eastAsia="Calibri"/>
          <w:sz w:val="22"/>
          <w:szCs w:val="22"/>
          <w:lang w:val="sr-Latn-ME"/>
        </w:rPr>
        <w:t>CInMED</w:t>
      </w:r>
      <w:proofErr w:type="spellEnd"/>
      <w:r w:rsidRPr="00950715">
        <w:rPr>
          <w:rFonts w:eastAsia="Calibri"/>
          <w:sz w:val="22"/>
          <w:szCs w:val="22"/>
          <w:lang w:val="sr-Latn-ME"/>
        </w:rPr>
        <w:t>):</w:t>
      </w:r>
    </w:p>
    <w:p w14:paraId="018863FB" w14:textId="77777777" w:rsidR="00AC6693" w:rsidRPr="00950715" w:rsidRDefault="00AC6693" w:rsidP="00D62C2F">
      <w:pPr>
        <w:jc w:val="both"/>
        <w:rPr>
          <w:rFonts w:eastAsia="Calibri"/>
          <w:sz w:val="22"/>
          <w:szCs w:val="22"/>
          <w:lang w:val="sr-Latn-ME"/>
        </w:rPr>
      </w:pPr>
    </w:p>
    <w:p w14:paraId="271AADE6" w14:textId="77777777" w:rsidR="005A23D2" w:rsidRPr="00950715" w:rsidRDefault="004E70AD" w:rsidP="00D62C2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50715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950715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271AADE7" w14:textId="77777777" w:rsidR="005A23D2" w:rsidRPr="00950715" w:rsidRDefault="005A23D2" w:rsidP="00D62C2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50715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950715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271AADE8" w14:textId="77777777" w:rsidR="00EA5765" w:rsidRPr="00950715" w:rsidRDefault="005A23D2" w:rsidP="00D62C2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50715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71AADE9" w14:textId="77777777" w:rsidR="00EA5765" w:rsidRPr="00950715" w:rsidRDefault="00EA5765" w:rsidP="00D62C2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71AADEA" w14:textId="77777777" w:rsidR="005A23D2" w:rsidRPr="00950715" w:rsidRDefault="005A23D2" w:rsidP="00D62C2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50715">
        <w:rPr>
          <w:rFonts w:eastAsia="Calibri"/>
          <w:sz w:val="22"/>
          <w:szCs w:val="22"/>
          <w:lang w:val="sr-Latn-ME"/>
        </w:rPr>
        <w:t>tel: +382 (0) 20 310 280</w:t>
      </w:r>
    </w:p>
    <w:p w14:paraId="271AADEB" w14:textId="77777777" w:rsidR="00EA5765" w:rsidRPr="00950715" w:rsidRDefault="005A23D2" w:rsidP="00D62C2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950715">
        <w:rPr>
          <w:rFonts w:eastAsia="Calibri"/>
          <w:sz w:val="22"/>
          <w:szCs w:val="22"/>
          <w:lang w:val="sr-Latn-ME"/>
        </w:rPr>
        <w:t>fax</w:t>
      </w:r>
      <w:proofErr w:type="spellEnd"/>
      <w:r w:rsidRPr="00950715">
        <w:rPr>
          <w:rFonts w:eastAsia="Calibri"/>
          <w:sz w:val="22"/>
          <w:szCs w:val="22"/>
          <w:lang w:val="sr-Latn-ME"/>
        </w:rPr>
        <w:t>:</w:t>
      </w:r>
      <w:r w:rsidR="00EA5765" w:rsidRPr="00950715">
        <w:rPr>
          <w:rFonts w:eastAsia="Calibri"/>
          <w:sz w:val="22"/>
          <w:szCs w:val="22"/>
          <w:lang w:val="sr-Latn-ME"/>
        </w:rPr>
        <w:t xml:space="preserve"> </w:t>
      </w:r>
      <w:r w:rsidRPr="00950715">
        <w:rPr>
          <w:rFonts w:eastAsia="Calibri"/>
          <w:sz w:val="22"/>
          <w:szCs w:val="22"/>
          <w:lang w:val="sr-Latn-ME"/>
        </w:rPr>
        <w:t>+382 (0) 20 310 581</w:t>
      </w:r>
      <w:r w:rsidR="00FF3EDF" w:rsidRPr="00950715">
        <w:rPr>
          <w:rFonts w:eastAsia="Calibri"/>
          <w:sz w:val="22"/>
          <w:szCs w:val="22"/>
          <w:lang w:val="sr-Latn-ME"/>
        </w:rPr>
        <w:tab/>
      </w:r>
    </w:p>
    <w:p w14:paraId="271AADEC" w14:textId="77777777" w:rsidR="005A23D2" w:rsidRPr="00950715" w:rsidRDefault="00943368" w:rsidP="00D62C2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4E70AD" w:rsidRPr="00950715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71AADED" w14:textId="77777777" w:rsidR="00EA5765" w:rsidRPr="00950715" w:rsidRDefault="00943368" w:rsidP="00D62C2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4E70AD" w:rsidRPr="00950715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71AADEE" w14:textId="77777777" w:rsidR="005A23D2" w:rsidRPr="00950715" w:rsidRDefault="005A23D2" w:rsidP="00D62C2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50715">
        <w:rPr>
          <w:rFonts w:eastAsia="Calibri"/>
          <w:sz w:val="22"/>
          <w:szCs w:val="22"/>
          <w:lang w:val="sr-Latn-ME"/>
        </w:rPr>
        <w:t>putem IS zdravstvene zaštite</w:t>
      </w:r>
    </w:p>
    <w:p w14:paraId="271AADEF" w14:textId="77777777" w:rsidR="007E31E9" w:rsidRPr="00950715" w:rsidRDefault="007E31E9" w:rsidP="00D62C2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50715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950715">
        <w:rPr>
          <w:rFonts w:eastAsia="Calibri"/>
          <w:sz w:val="22"/>
          <w:szCs w:val="22"/>
          <w:lang w:val="sr-Latn-ME"/>
        </w:rPr>
        <w:t>online</w:t>
      </w:r>
      <w:proofErr w:type="spellEnd"/>
      <w:r w:rsidRPr="00950715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950715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950715">
        <w:rPr>
          <w:rFonts w:eastAsia="Calibri"/>
          <w:sz w:val="22"/>
          <w:szCs w:val="22"/>
          <w:lang w:val="sr-Latn-ME"/>
        </w:rPr>
        <w:t>:</w:t>
      </w:r>
    </w:p>
    <w:p w14:paraId="271AADF0" w14:textId="6BC0DD4D" w:rsidR="007E31E9" w:rsidRPr="00950715" w:rsidRDefault="007E31E9" w:rsidP="00D62C2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0F6B56D" w14:textId="0D06DE89" w:rsidR="00AC6693" w:rsidRPr="00950715" w:rsidRDefault="00AC6693" w:rsidP="00D62C2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50715">
        <w:rPr>
          <w:b/>
          <w:bCs/>
          <w:noProof/>
          <w:sz w:val="22"/>
          <w:szCs w:val="22"/>
        </w:rPr>
        <w:drawing>
          <wp:inline distT="0" distB="0" distL="0" distR="0" wp14:anchorId="5B93EFB4" wp14:editId="1B099F17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AADF2" w14:textId="77777777" w:rsidR="00836B35" w:rsidRPr="00950715" w:rsidRDefault="00836B35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1AADF3" w14:textId="77777777" w:rsidR="00CD6F02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4.9.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proofErr w:type="spellStart"/>
      <w:r w:rsidRPr="00950715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950715">
        <w:rPr>
          <w:b/>
          <w:bCs/>
          <w:sz w:val="22"/>
          <w:szCs w:val="22"/>
          <w:lang w:val="sr-Latn-ME"/>
        </w:rPr>
        <w:t xml:space="preserve"> </w:t>
      </w:r>
    </w:p>
    <w:p w14:paraId="271AADF5" w14:textId="77777777" w:rsidR="00227BDB" w:rsidRPr="00950715" w:rsidRDefault="00227BDB" w:rsidP="00D62C2F">
      <w:pPr>
        <w:jc w:val="both"/>
        <w:rPr>
          <w:sz w:val="22"/>
          <w:szCs w:val="22"/>
          <w:lang w:val="sr-Latn-ME"/>
        </w:rPr>
      </w:pPr>
    </w:p>
    <w:p w14:paraId="7F99E5B6" w14:textId="77777777" w:rsidR="00184052" w:rsidRPr="00950715" w:rsidRDefault="00184052" w:rsidP="00D62C2F">
      <w:pPr>
        <w:jc w:val="both"/>
        <w:rPr>
          <w:b/>
          <w:bCs/>
          <w:i/>
          <w:iCs/>
          <w:sz w:val="22"/>
          <w:szCs w:val="22"/>
          <w:lang w:val="sr-Latn-ME"/>
        </w:rPr>
      </w:pPr>
      <w:r w:rsidRPr="00950715">
        <w:rPr>
          <w:b/>
          <w:bCs/>
          <w:i/>
          <w:iCs/>
          <w:sz w:val="22"/>
          <w:szCs w:val="22"/>
          <w:lang w:val="sr-Latn-ME"/>
        </w:rPr>
        <w:t xml:space="preserve">Simptomi </w:t>
      </w:r>
    </w:p>
    <w:p w14:paraId="1C8E5055" w14:textId="68E2E918" w:rsidR="00184052" w:rsidRPr="00950715" w:rsidRDefault="00184052" w:rsidP="00D62C2F">
      <w:p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Predoziranje</w:t>
      </w:r>
      <w:proofErr w:type="spellEnd"/>
      <w:r w:rsidRPr="00950715">
        <w:rPr>
          <w:sz w:val="22"/>
          <w:szCs w:val="22"/>
          <w:lang w:val="sr-Latn-ME"/>
        </w:rPr>
        <w:t xml:space="preserve"> može dovesti do </w:t>
      </w:r>
      <w:proofErr w:type="spellStart"/>
      <w:r w:rsidRPr="00950715">
        <w:rPr>
          <w:sz w:val="22"/>
          <w:szCs w:val="22"/>
          <w:lang w:val="sr-Latn-ME"/>
        </w:rPr>
        <w:t>hiperhidra</w:t>
      </w:r>
      <w:r w:rsidR="00386963" w:rsidRPr="00950715">
        <w:rPr>
          <w:sz w:val="22"/>
          <w:szCs w:val="22"/>
          <w:lang w:val="sr-Latn-ME"/>
        </w:rPr>
        <w:t>c</w:t>
      </w:r>
      <w:r w:rsidRPr="00950715">
        <w:rPr>
          <w:sz w:val="22"/>
          <w:szCs w:val="22"/>
          <w:lang w:val="sr-Latn-ME"/>
        </w:rPr>
        <w:t>ije</w:t>
      </w:r>
      <w:proofErr w:type="spellEnd"/>
      <w:r w:rsidRPr="00950715">
        <w:rPr>
          <w:sz w:val="22"/>
          <w:szCs w:val="22"/>
          <w:lang w:val="sr-Latn-ME"/>
        </w:rPr>
        <w:t xml:space="preserve"> sa povećanjem napetosti kože, venskom kongestijom, </w:t>
      </w:r>
      <w:proofErr w:type="spellStart"/>
      <w:r w:rsidRPr="00950715">
        <w:rPr>
          <w:sz w:val="22"/>
          <w:szCs w:val="22"/>
          <w:lang w:val="sr-Latn-ME"/>
        </w:rPr>
        <w:t>edemom</w:t>
      </w:r>
      <w:proofErr w:type="spellEnd"/>
      <w:r w:rsidRPr="00950715">
        <w:rPr>
          <w:sz w:val="22"/>
          <w:szCs w:val="22"/>
          <w:lang w:val="sr-Latn-ME"/>
        </w:rPr>
        <w:t xml:space="preserve">, takođe mogućim plućnim ili moždanim </w:t>
      </w:r>
      <w:proofErr w:type="spellStart"/>
      <w:r w:rsidRPr="00950715">
        <w:rPr>
          <w:sz w:val="22"/>
          <w:szCs w:val="22"/>
          <w:lang w:val="sr-Latn-ME"/>
        </w:rPr>
        <w:t>edemom</w:t>
      </w:r>
      <w:proofErr w:type="spellEnd"/>
      <w:r w:rsidRPr="00950715">
        <w:rPr>
          <w:sz w:val="22"/>
          <w:szCs w:val="22"/>
          <w:lang w:val="sr-Latn-ME"/>
        </w:rPr>
        <w:t xml:space="preserve">, poremećajem ravnoteže elektrolita i </w:t>
      </w:r>
      <w:proofErr w:type="spellStart"/>
      <w:r w:rsidRPr="00950715">
        <w:rPr>
          <w:sz w:val="22"/>
          <w:szCs w:val="22"/>
          <w:lang w:val="sr-Latn-ME"/>
        </w:rPr>
        <w:t>acido</w:t>
      </w:r>
      <w:proofErr w:type="spellEnd"/>
      <w:r w:rsidRPr="00950715">
        <w:rPr>
          <w:sz w:val="22"/>
          <w:szCs w:val="22"/>
          <w:lang w:val="sr-Latn-ME"/>
        </w:rPr>
        <w:t xml:space="preserve">-bazne ravnoteže kao i </w:t>
      </w:r>
      <w:proofErr w:type="spellStart"/>
      <w:r w:rsidRPr="00950715">
        <w:rPr>
          <w:sz w:val="22"/>
          <w:szCs w:val="22"/>
          <w:lang w:val="sr-Latn-ME"/>
        </w:rPr>
        <w:t>hiperosmolarnošću</w:t>
      </w:r>
      <w:proofErr w:type="spellEnd"/>
      <w:r w:rsidRPr="00950715">
        <w:rPr>
          <w:sz w:val="22"/>
          <w:szCs w:val="22"/>
          <w:lang w:val="sr-Latn-ME"/>
        </w:rPr>
        <w:t xml:space="preserve"> seruma.</w:t>
      </w:r>
      <w:r w:rsidR="000A37E3" w:rsidRPr="00950715">
        <w:rPr>
          <w:sz w:val="22"/>
          <w:szCs w:val="22"/>
          <w:lang w:val="sr-Latn-ME"/>
        </w:rPr>
        <w:t xml:space="preserve"> </w:t>
      </w:r>
    </w:p>
    <w:p w14:paraId="1AAC80E2" w14:textId="77777777" w:rsidR="00184052" w:rsidRPr="00950715" w:rsidRDefault="00184052" w:rsidP="00D62C2F">
      <w:pPr>
        <w:jc w:val="both"/>
        <w:rPr>
          <w:sz w:val="22"/>
          <w:szCs w:val="22"/>
          <w:lang w:val="sr-Latn-ME"/>
        </w:rPr>
      </w:pPr>
    </w:p>
    <w:p w14:paraId="66D913D3" w14:textId="77777777" w:rsidR="00184052" w:rsidRPr="00950715" w:rsidRDefault="00184052" w:rsidP="00D62C2F">
      <w:pPr>
        <w:jc w:val="both"/>
        <w:rPr>
          <w:b/>
          <w:bCs/>
          <w:i/>
          <w:iCs/>
          <w:sz w:val="22"/>
          <w:szCs w:val="22"/>
          <w:lang w:val="sr-Latn-ME"/>
        </w:rPr>
      </w:pPr>
      <w:r w:rsidRPr="00950715">
        <w:rPr>
          <w:b/>
          <w:bCs/>
          <w:i/>
          <w:iCs/>
          <w:sz w:val="22"/>
          <w:szCs w:val="22"/>
          <w:lang w:val="sr-Latn-ME"/>
        </w:rPr>
        <w:t xml:space="preserve">Terapija </w:t>
      </w:r>
    </w:p>
    <w:p w14:paraId="45EA06CC" w14:textId="18ED9259" w:rsidR="00184052" w:rsidRPr="00950715" w:rsidRDefault="00184052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Prekid infuzije, prim</w:t>
      </w:r>
      <w:r w:rsidR="00B07362" w:rsidRPr="00950715">
        <w:rPr>
          <w:sz w:val="22"/>
          <w:szCs w:val="22"/>
          <w:lang w:val="sr-Latn-ME"/>
        </w:rPr>
        <w:t>j</w:t>
      </w:r>
      <w:r w:rsidRPr="00950715">
        <w:rPr>
          <w:sz w:val="22"/>
          <w:szCs w:val="22"/>
          <w:lang w:val="sr-Latn-ME"/>
        </w:rPr>
        <w:t xml:space="preserve">ena </w:t>
      </w:r>
      <w:proofErr w:type="spellStart"/>
      <w:r w:rsidRPr="00950715">
        <w:rPr>
          <w:sz w:val="22"/>
          <w:szCs w:val="22"/>
          <w:lang w:val="sr-Latn-ME"/>
        </w:rPr>
        <w:t>diuretika</w:t>
      </w:r>
      <w:proofErr w:type="spellEnd"/>
      <w:r w:rsidRPr="00950715">
        <w:rPr>
          <w:sz w:val="22"/>
          <w:szCs w:val="22"/>
          <w:lang w:val="sr-Latn-ME"/>
        </w:rPr>
        <w:t xml:space="preserve"> sa kontinuiranim praćenjem koncentracije elektrolita u serumu, korekcija elektrolita i </w:t>
      </w:r>
      <w:proofErr w:type="spellStart"/>
      <w:r w:rsidRPr="00950715">
        <w:rPr>
          <w:sz w:val="22"/>
          <w:szCs w:val="22"/>
          <w:lang w:val="sr-Latn-ME"/>
        </w:rPr>
        <w:t>acido</w:t>
      </w:r>
      <w:proofErr w:type="spellEnd"/>
      <w:r w:rsidRPr="00950715">
        <w:rPr>
          <w:sz w:val="22"/>
          <w:szCs w:val="22"/>
          <w:lang w:val="sr-Latn-ME"/>
        </w:rPr>
        <w:t>-bazne ravnoteže.</w:t>
      </w:r>
      <w:r w:rsidR="000A37E3" w:rsidRPr="00950715">
        <w:rPr>
          <w:sz w:val="22"/>
          <w:szCs w:val="22"/>
          <w:lang w:val="sr-Latn-ME"/>
        </w:rPr>
        <w:t xml:space="preserve"> </w:t>
      </w:r>
    </w:p>
    <w:p w14:paraId="3E139993" w14:textId="77777777" w:rsidR="00184052" w:rsidRPr="00950715" w:rsidRDefault="00184052" w:rsidP="00D62C2F">
      <w:pPr>
        <w:jc w:val="both"/>
        <w:rPr>
          <w:sz w:val="22"/>
          <w:szCs w:val="22"/>
          <w:lang w:val="sr-Latn-ME"/>
        </w:rPr>
      </w:pPr>
    </w:p>
    <w:p w14:paraId="7CB58CBF" w14:textId="10F77199" w:rsidR="00184052" w:rsidRPr="00950715" w:rsidRDefault="00184052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U teškim slučajevima </w:t>
      </w:r>
      <w:proofErr w:type="spellStart"/>
      <w:r w:rsidRPr="00950715">
        <w:rPr>
          <w:sz w:val="22"/>
          <w:szCs w:val="22"/>
          <w:lang w:val="sr-Latn-ME"/>
        </w:rPr>
        <w:t>predoziranja</w:t>
      </w:r>
      <w:proofErr w:type="spellEnd"/>
      <w:r w:rsidRPr="00950715">
        <w:rPr>
          <w:sz w:val="22"/>
          <w:szCs w:val="22"/>
          <w:lang w:val="sr-Latn-ME"/>
        </w:rPr>
        <w:t>, dijaliza može biti neophodna.</w:t>
      </w:r>
    </w:p>
    <w:p w14:paraId="0EB1B6F2" w14:textId="77777777" w:rsidR="00184052" w:rsidRPr="00950715" w:rsidRDefault="00184052" w:rsidP="00D62C2F">
      <w:pPr>
        <w:jc w:val="both"/>
        <w:rPr>
          <w:sz w:val="22"/>
          <w:szCs w:val="22"/>
          <w:lang w:val="sr-Latn-ME"/>
        </w:rPr>
      </w:pPr>
    </w:p>
    <w:p w14:paraId="1588F4CD" w14:textId="77777777" w:rsidR="00184052" w:rsidRPr="00950715" w:rsidRDefault="00184052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1AADF6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5.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FARMAKOLOŠK</w:t>
      </w:r>
      <w:r w:rsidR="000D425A" w:rsidRPr="00950715">
        <w:rPr>
          <w:b/>
          <w:bCs/>
          <w:sz w:val="22"/>
          <w:szCs w:val="22"/>
          <w:lang w:val="sr-Latn-ME"/>
        </w:rPr>
        <w:t>I</w:t>
      </w:r>
      <w:r w:rsidRPr="00950715">
        <w:rPr>
          <w:b/>
          <w:bCs/>
          <w:sz w:val="22"/>
          <w:szCs w:val="22"/>
          <w:lang w:val="sr-Latn-ME"/>
        </w:rPr>
        <w:t xml:space="preserve"> PODACI</w:t>
      </w:r>
    </w:p>
    <w:p w14:paraId="271AADF7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1AADF8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5.1.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proofErr w:type="spellStart"/>
      <w:r w:rsidRPr="00950715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950715">
        <w:rPr>
          <w:b/>
          <w:bCs/>
          <w:sz w:val="22"/>
          <w:szCs w:val="22"/>
          <w:lang w:val="sr-Latn-ME"/>
        </w:rPr>
        <w:t xml:space="preserve"> podaci</w:t>
      </w:r>
      <w:r w:rsidR="003A7059" w:rsidRPr="00950715">
        <w:rPr>
          <w:b/>
          <w:bCs/>
          <w:sz w:val="22"/>
          <w:szCs w:val="22"/>
          <w:lang w:val="sr-Latn-ME"/>
        </w:rPr>
        <w:t xml:space="preserve"> </w:t>
      </w:r>
    </w:p>
    <w:p w14:paraId="271AADF9" w14:textId="77777777" w:rsidR="00F45F77" w:rsidRPr="00950715" w:rsidRDefault="00F45F77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C0B25C7" w14:textId="5061EE8A" w:rsidR="000D4688" w:rsidRPr="00950715" w:rsidRDefault="0072020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50715">
        <w:rPr>
          <w:b/>
          <w:sz w:val="22"/>
          <w:szCs w:val="22"/>
          <w:lang w:val="sr-Latn-ME"/>
        </w:rPr>
        <w:t>Farmakoterapijska</w:t>
      </w:r>
      <w:proofErr w:type="spellEnd"/>
      <w:r w:rsidRPr="00950715">
        <w:rPr>
          <w:b/>
          <w:sz w:val="22"/>
          <w:szCs w:val="22"/>
          <w:lang w:val="sr-Latn-ME"/>
        </w:rPr>
        <w:t xml:space="preserve"> grupa</w:t>
      </w:r>
      <w:r w:rsidRPr="00950715">
        <w:rPr>
          <w:bCs/>
          <w:sz w:val="22"/>
          <w:szCs w:val="22"/>
          <w:lang w:val="sr-Latn-ME"/>
        </w:rPr>
        <w:t>:</w:t>
      </w:r>
      <w:r w:rsidR="001459DB" w:rsidRPr="00950715">
        <w:rPr>
          <w:bCs/>
          <w:sz w:val="22"/>
          <w:szCs w:val="22"/>
          <w:lang w:val="sr-Latn-ME"/>
        </w:rPr>
        <w:t xml:space="preserve"> </w:t>
      </w:r>
      <w:r w:rsidR="00AC6693" w:rsidRPr="00950715">
        <w:rPr>
          <w:bCs/>
          <w:sz w:val="22"/>
          <w:szCs w:val="22"/>
          <w:lang w:val="sr-Latn-ME"/>
        </w:rPr>
        <w:t>S</w:t>
      </w:r>
      <w:r w:rsidR="001459DB" w:rsidRPr="00950715">
        <w:rPr>
          <w:bCs/>
          <w:sz w:val="22"/>
          <w:szCs w:val="22"/>
          <w:lang w:val="sr-Latn-ME"/>
        </w:rPr>
        <w:t xml:space="preserve">redstva za zamjenu krvi i </w:t>
      </w:r>
      <w:proofErr w:type="spellStart"/>
      <w:r w:rsidR="001459DB" w:rsidRPr="00950715">
        <w:rPr>
          <w:bCs/>
          <w:sz w:val="22"/>
          <w:szCs w:val="22"/>
          <w:lang w:val="sr-Latn-ME"/>
        </w:rPr>
        <w:t>perfuzioni</w:t>
      </w:r>
      <w:proofErr w:type="spellEnd"/>
      <w:r w:rsidR="001459DB" w:rsidRPr="00950715">
        <w:rPr>
          <w:bCs/>
          <w:sz w:val="22"/>
          <w:szCs w:val="22"/>
          <w:lang w:val="sr-Latn-ME"/>
        </w:rPr>
        <w:t xml:space="preserve"> rastvori; rastvori koji utiču na ravnotežu elektrolita.</w:t>
      </w:r>
    </w:p>
    <w:p w14:paraId="285B15EF" w14:textId="77777777" w:rsidR="001067E4" w:rsidRPr="00950715" w:rsidRDefault="001067E4" w:rsidP="00D62C2F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14:paraId="271AADFC" w14:textId="34CFF0F1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/>
          <w:sz w:val="22"/>
          <w:szCs w:val="22"/>
          <w:lang w:val="sr-Latn-ME"/>
        </w:rPr>
        <w:t>ATC kod</w:t>
      </w:r>
      <w:r w:rsidRPr="00950715">
        <w:rPr>
          <w:bCs/>
          <w:sz w:val="22"/>
          <w:szCs w:val="22"/>
          <w:lang w:val="sr-Latn-ME"/>
        </w:rPr>
        <w:t>:</w:t>
      </w:r>
      <w:r w:rsidR="001459DB" w:rsidRPr="00950715">
        <w:rPr>
          <w:sz w:val="22"/>
          <w:szCs w:val="22"/>
          <w:lang w:val="sr-Latn-ME"/>
        </w:rPr>
        <w:t xml:space="preserve"> </w:t>
      </w:r>
      <w:r w:rsidR="001459DB" w:rsidRPr="00950715">
        <w:rPr>
          <w:bCs/>
          <w:sz w:val="22"/>
          <w:szCs w:val="22"/>
          <w:lang w:val="sr-Latn-ME"/>
        </w:rPr>
        <w:t>B05BB01</w:t>
      </w:r>
    </w:p>
    <w:p w14:paraId="70307B46" w14:textId="77777777" w:rsidR="001459DB" w:rsidRPr="00950715" w:rsidRDefault="001459DB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A98B2D" w14:textId="4A785CD3" w:rsidR="00EC33AE" w:rsidRPr="00950715" w:rsidRDefault="00EC33A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50715">
        <w:rPr>
          <w:bCs/>
          <w:sz w:val="22"/>
          <w:szCs w:val="22"/>
          <w:u w:val="single"/>
          <w:lang w:val="sr-Latn-ME"/>
        </w:rPr>
        <w:t xml:space="preserve">Mehanizam dejstva </w:t>
      </w:r>
    </w:p>
    <w:p w14:paraId="664D245F" w14:textId="77777777" w:rsidR="00EC33AE" w:rsidRPr="00950715" w:rsidRDefault="00EC33A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lastRenderedPageBreak/>
        <w:t xml:space="preserve">Rastvor sadrži esencijalne jone koji su prisutni u </w:t>
      </w:r>
      <w:proofErr w:type="spellStart"/>
      <w:r w:rsidRPr="00950715">
        <w:rPr>
          <w:bCs/>
          <w:sz w:val="22"/>
          <w:szCs w:val="22"/>
          <w:lang w:val="sr-Latn-ME"/>
        </w:rPr>
        <w:t>ekstracelularnoj</w:t>
      </w:r>
      <w:proofErr w:type="spellEnd"/>
      <w:r w:rsidRPr="00950715">
        <w:rPr>
          <w:bCs/>
          <w:sz w:val="22"/>
          <w:szCs w:val="22"/>
          <w:lang w:val="sr-Latn-ME"/>
        </w:rPr>
        <w:t xml:space="preserve"> tečnosti. Zbog toga, </w:t>
      </w:r>
      <w:proofErr w:type="spellStart"/>
      <w:r w:rsidRPr="00950715">
        <w:rPr>
          <w:bCs/>
          <w:sz w:val="22"/>
          <w:szCs w:val="22"/>
          <w:lang w:val="sr-Latn-ME"/>
        </w:rPr>
        <w:t>farmakodinamska</w:t>
      </w:r>
      <w:proofErr w:type="spellEnd"/>
      <w:r w:rsidRPr="00950715">
        <w:rPr>
          <w:bCs/>
          <w:sz w:val="22"/>
          <w:szCs w:val="22"/>
          <w:lang w:val="sr-Latn-ME"/>
        </w:rPr>
        <w:t xml:space="preserve"> svojstva jona koji se nalaze u njemu (natrijum, kalijum, kalcijum, hlorid, </w:t>
      </w:r>
      <w:proofErr w:type="spellStart"/>
      <w:r w:rsidRPr="00950715">
        <w:rPr>
          <w:bCs/>
          <w:sz w:val="22"/>
          <w:szCs w:val="22"/>
          <w:lang w:val="sr-Latn-ME"/>
        </w:rPr>
        <w:t>laktat</w:t>
      </w:r>
      <w:proofErr w:type="spellEnd"/>
      <w:r w:rsidRPr="00950715">
        <w:rPr>
          <w:bCs/>
          <w:sz w:val="22"/>
          <w:szCs w:val="22"/>
          <w:lang w:val="sr-Latn-ME"/>
        </w:rPr>
        <w:t xml:space="preserve">) su ista kao i u normalnoj fiziologiji. </w:t>
      </w:r>
    </w:p>
    <w:p w14:paraId="38794759" w14:textId="77777777" w:rsidR="00EC33AE" w:rsidRPr="00950715" w:rsidRDefault="00EC33A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B2FE52" w14:textId="36EF765F" w:rsidR="00EC33AE" w:rsidRPr="00950715" w:rsidRDefault="00EC33A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50715">
        <w:rPr>
          <w:bCs/>
          <w:sz w:val="22"/>
          <w:szCs w:val="22"/>
          <w:lang w:val="sr-Latn-ME"/>
        </w:rPr>
        <w:t>Laktat</w:t>
      </w:r>
      <w:proofErr w:type="spellEnd"/>
      <w:r w:rsidRPr="00950715">
        <w:rPr>
          <w:bCs/>
          <w:sz w:val="22"/>
          <w:szCs w:val="22"/>
          <w:lang w:val="sr-Latn-ME"/>
        </w:rPr>
        <w:t xml:space="preserve"> je ključni supstrat </w:t>
      </w:r>
      <w:proofErr w:type="spellStart"/>
      <w:r w:rsidRPr="00950715">
        <w:rPr>
          <w:bCs/>
          <w:sz w:val="22"/>
          <w:szCs w:val="22"/>
          <w:lang w:val="sr-Latn-ME"/>
        </w:rPr>
        <w:t>intermedijarnog</w:t>
      </w:r>
      <w:proofErr w:type="spellEnd"/>
      <w:r w:rsidRPr="00950715">
        <w:rPr>
          <w:bCs/>
          <w:sz w:val="22"/>
          <w:szCs w:val="22"/>
          <w:lang w:val="sr-Latn-ME"/>
        </w:rPr>
        <w:t xml:space="preserve"> metabolizma. Između ostalog, on </w:t>
      </w:r>
      <w:proofErr w:type="spellStart"/>
      <w:r w:rsidRPr="00950715">
        <w:rPr>
          <w:bCs/>
          <w:sz w:val="22"/>
          <w:szCs w:val="22"/>
          <w:lang w:val="sr-Latn-ME"/>
        </w:rPr>
        <w:t>oksiduje</w:t>
      </w:r>
      <w:proofErr w:type="spellEnd"/>
      <w:r w:rsidRPr="00950715">
        <w:rPr>
          <w:bCs/>
          <w:sz w:val="22"/>
          <w:szCs w:val="22"/>
          <w:lang w:val="sr-Latn-ME"/>
        </w:rPr>
        <w:t xml:space="preserve"> i do bikarbonata, ispoljavajući blago </w:t>
      </w:r>
      <w:proofErr w:type="spellStart"/>
      <w:r w:rsidRPr="00950715">
        <w:rPr>
          <w:bCs/>
          <w:sz w:val="22"/>
          <w:szCs w:val="22"/>
          <w:lang w:val="sr-Latn-ME"/>
        </w:rPr>
        <w:t>alkalizirajući</w:t>
      </w:r>
      <w:proofErr w:type="spellEnd"/>
      <w:r w:rsidRPr="00950715">
        <w:rPr>
          <w:bCs/>
          <w:sz w:val="22"/>
          <w:szCs w:val="22"/>
          <w:lang w:val="sr-Latn-ME"/>
        </w:rPr>
        <w:t xml:space="preserve"> efekat.</w:t>
      </w:r>
      <w:r w:rsidR="000A37E3" w:rsidRPr="00950715">
        <w:rPr>
          <w:bCs/>
          <w:sz w:val="22"/>
          <w:szCs w:val="22"/>
          <w:lang w:val="sr-Latn-ME"/>
        </w:rPr>
        <w:t xml:space="preserve"> </w:t>
      </w:r>
    </w:p>
    <w:p w14:paraId="68AFABF9" w14:textId="503F17FB" w:rsidR="00EC33AE" w:rsidRPr="00950715" w:rsidRDefault="00EC33A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31C6CF" w14:textId="1EC5F19C" w:rsidR="00EC33AE" w:rsidRPr="00950715" w:rsidRDefault="00EC33A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950715">
        <w:rPr>
          <w:bCs/>
          <w:sz w:val="22"/>
          <w:szCs w:val="22"/>
          <w:u w:val="single"/>
          <w:lang w:val="sr-Latn-ME"/>
        </w:rPr>
        <w:t>Farmakodinamsko</w:t>
      </w:r>
      <w:proofErr w:type="spellEnd"/>
      <w:r w:rsidRPr="00950715">
        <w:rPr>
          <w:bCs/>
          <w:sz w:val="22"/>
          <w:szCs w:val="22"/>
          <w:u w:val="single"/>
          <w:lang w:val="sr-Latn-ME"/>
        </w:rPr>
        <w:t xml:space="preserve"> dejstvo </w:t>
      </w:r>
    </w:p>
    <w:p w14:paraId="35E1EEE4" w14:textId="57FB4536" w:rsidR="00EC33AE" w:rsidRPr="00950715" w:rsidRDefault="00EC33A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>L</w:t>
      </w:r>
      <w:r w:rsidR="007C2A58" w:rsidRPr="00950715">
        <w:rPr>
          <w:bCs/>
          <w:sz w:val="22"/>
          <w:szCs w:val="22"/>
          <w:lang w:val="sr-Latn-ME"/>
        </w:rPr>
        <w:t>ij</w:t>
      </w:r>
      <w:r w:rsidRPr="00950715">
        <w:rPr>
          <w:bCs/>
          <w:sz w:val="22"/>
          <w:szCs w:val="22"/>
          <w:lang w:val="sr-Latn-ME"/>
        </w:rPr>
        <w:t xml:space="preserve">ek </w:t>
      </w:r>
      <w:proofErr w:type="spellStart"/>
      <w:r w:rsidRPr="00950715">
        <w:rPr>
          <w:bCs/>
          <w:sz w:val="22"/>
          <w:szCs w:val="22"/>
          <w:lang w:val="sr-Latn-ME"/>
        </w:rPr>
        <w:t>Hartmanov</w:t>
      </w:r>
      <w:proofErr w:type="spellEnd"/>
      <w:r w:rsidRPr="00950715">
        <w:rPr>
          <w:bCs/>
          <w:sz w:val="22"/>
          <w:szCs w:val="22"/>
          <w:lang w:val="sr-Latn-ME"/>
        </w:rPr>
        <w:t xml:space="preserve"> rastvor HF ima sličan sadržaj elektrolita kao </w:t>
      </w:r>
      <w:proofErr w:type="spellStart"/>
      <w:r w:rsidRPr="00950715">
        <w:rPr>
          <w:bCs/>
          <w:sz w:val="22"/>
          <w:szCs w:val="22"/>
          <w:lang w:val="sr-Latn-ME"/>
        </w:rPr>
        <w:t>ekstracelularna</w:t>
      </w:r>
      <w:proofErr w:type="spellEnd"/>
      <w:r w:rsidRPr="00950715">
        <w:rPr>
          <w:bCs/>
          <w:sz w:val="22"/>
          <w:szCs w:val="22"/>
          <w:lang w:val="sr-Latn-ME"/>
        </w:rPr>
        <w:t xml:space="preserve"> tečnost (zanemarujući neke veoma male razlike). Koristi se za korekciju poremećaja ravnoteže elektrolita u serumu i </w:t>
      </w:r>
      <w:proofErr w:type="spellStart"/>
      <w:r w:rsidRPr="00950715">
        <w:rPr>
          <w:bCs/>
          <w:sz w:val="22"/>
          <w:szCs w:val="22"/>
          <w:lang w:val="sr-Latn-ME"/>
        </w:rPr>
        <w:t>acido</w:t>
      </w:r>
      <w:proofErr w:type="spellEnd"/>
      <w:r w:rsidRPr="00950715">
        <w:rPr>
          <w:bCs/>
          <w:sz w:val="22"/>
          <w:szCs w:val="22"/>
          <w:lang w:val="sr-Latn-ME"/>
        </w:rPr>
        <w:t xml:space="preserve">-bazne ravnoteže. Elektroliti se daju u cilju postizanja ili održavanja normalnog osmotskog statusa kako u </w:t>
      </w:r>
      <w:proofErr w:type="spellStart"/>
      <w:r w:rsidRPr="00950715">
        <w:rPr>
          <w:bCs/>
          <w:sz w:val="22"/>
          <w:szCs w:val="22"/>
          <w:lang w:val="sr-Latn-ME"/>
        </w:rPr>
        <w:t>ekstracelularnom</w:t>
      </w:r>
      <w:proofErr w:type="spellEnd"/>
      <w:r w:rsidRPr="00950715">
        <w:rPr>
          <w:bCs/>
          <w:sz w:val="22"/>
          <w:szCs w:val="22"/>
          <w:lang w:val="sr-Latn-ME"/>
        </w:rPr>
        <w:t xml:space="preserve"> tako i u </w:t>
      </w:r>
      <w:proofErr w:type="spellStart"/>
      <w:r w:rsidRPr="00950715">
        <w:rPr>
          <w:bCs/>
          <w:sz w:val="22"/>
          <w:szCs w:val="22"/>
          <w:lang w:val="sr-Latn-ME"/>
        </w:rPr>
        <w:t>intracelularnom</w:t>
      </w:r>
      <w:proofErr w:type="spellEnd"/>
      <w:r w:rsidRPr="00950715">
        <w:rPr>
          <w:bCs/>
          <w:sz w:val="22"/>
          <w:szCs w:val="22"/>
          <w:lang w:val="sr-Latn-ME"/>
        </w:rPr>
        <w:t xml:space="preserve"> prostoru. </w:t>
      </w:r>
    </w:p>
    <w:p w14:paraId="22B0C687" w14:textId="77777777" w:rsidR="004349E4" w:rsidRPr="00950715" w:rsidRDefault="004349E4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FB75F3" w14:textId="5230A05E" w:rsidR="001459DB" w:rsidRPr="00950715" w:rsidRDefault="00EC33A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50715">
        <w:rPr>
          <w:bCs/>
          <w:sz w:val="22"/>
          <w:szCs w:val="22"/>
          <w:lang w:val="sr-Latn-ME"/>
        </w:rPr>
        <w:t>Usl</w:t>
      </w:r>
      <w:r w:rsidR="004349E4" w:rsidRPr="00950715">
        <w:rPr>
          <w:bCs/>
          <w:sz w:val="22"/>
          <w:szCs w:val="22"/>
          <w:lang w:val="sr-Latn-ME"/>
        </w:rPr>
        <w:t>j</w:t>
      </w:r>
      <w:r w:rsidRPr="00950715">
        <w:rPr>
          <w:bCs/>
          <w:sz w:val="22"/>
          <w:szCs w:val="22"/>
          <w:lang w:val="sr-Latn-ME"/>
        </w:rPr>
        <w:t>ed</w:t>
      </w:r>
      <w:proofErr w:type="spellEnd"/>
      <w:r w:rsidRPr="00950715">
        <w:rPr>
          <w:bCs/>
          <w:sz w:val="22"/>
          <w:szCs w:val="22"/>
          <w:lang w:val="sr-Latn-ME"/>
        </w:rPr>
        <w:t xml:space="preserve"> distribucije (vid</w:t>
      </w:r>
      <w:r w:rsidR="004349E4" w:rsidRPr="00950715">
        <w:rPr>
          <w:bCs/>
          <w:sz w:val="22"/>
          <w:szCs w:val="22"/>
          <w:lang w:val="sr-Latn-ME"/>
        </w:rPr>
        <w:t>j</w:t>
      </w:r>
      <w:r w:rsidRPr="00950715">
        <w:rPr>
          <w:bCs/>
          <w:sz w:val="22"/>
          <w:szCs w:val="22"/>
          <w:lang w:val="sr-Latn-ME"/>
        </w:rPr>
        <w:t xml:space="preserve">eti ispod), rastvor ima kratkotrajan </w:t>
      </w:r>
      <w:proofErr w:type="spellStart"/>
      <w:r w:rsidRPr="00950715">
        <w:rPr>
          <w:bCs/>
          <w:sz w:val="22"/>
          <w:szCs w:val="22"/>
          <w:lang w:val="sr-Latn-ME"/>
        </w:rPr>
        <w:t>hemodinamski</w:t>
      </w:r>
      <w:proofErr w:type="spellEnd"/>
      <w:r w:rsidRPr="00950715">
        <w:rPr>
          <w:bCs/>
          <w:sz w:val="22"/>
          <w:szCs w:val="22"/>
          <w:lang w:val="sr-Latn-ME"/>
        </w:rPr>
        <w:t xml:space="preserve"> efekat.</w:t>
      </w:r>
    </w:p>
    <w:p w14:paraId="50C916C2" w14:textId="77777777" w:rsidR="00EC33AE" w:rsidRPr="00950715" w:rsidRDefault="00EC33A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566D46" w14:textId="1D5E5E29" w:rsidR="00EC33AE" w:rsidRPr="00950715" w:rsidRDefault="00EC33A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 xml:space="preserve">Zbog </w:t>
      </w:r>
      <w:proofErr w:type="spellStart"/>
      <w:r w:rsidRPr="00950715">
        <w:rPr>
          <w:bCs/>
          <w:sz w:val="22"/>
          <w:szCs w:val="22"/>
          <w:lang w:val="sr-Latn-ME"/>
        </w:rPr>
        <w:t>ud</w:t>
      </w:r>
      <w:r w:rsidR="00AC6693" w:rsidRPr="00950715">
        <w:rPr>
          <w:bCs/>
          <w:sz w:val="22"/>
          <w:szCs w:val="22"/>
          <w:lang w:val="sr-Latn-ME"/>
        </w:rPr>
        <w:t>j</w:t>
      </w:r>
      <w:r w:rsidRPr="00950715">
        <w:rPr>
          <w:bCs/>
          <w:sz w:val="22"/>
          <w:szCs w:val="22"/>
          <w:lang w:val="sr-Latn-ME"/>
        </w:rPr>
        <w:t>ela</w:t>
      </w:r>
      <w:proofErr w:type="spellEnd"/>
      <w:r w:rsidRPr="00950715">
        <w:rPr>
          <w:bCs/>
          <w:sz w:val="22"/>
          <w:szCs w:val="22"/>
          <w:lang w:val="sr-Latn-ME"/>
        </w:rPr>
        <w:t xml:space="preserve"> anjona koji se mogu </w:t>
      </w:r>
      <w:proofErr w:type="spellStart"/>
      <w:r w:rsidRPr="00950715">
        <w:rPr>
          <w:bCs/>
          <w:sz w:val="22"/>
          <w:szCs w:val="22"/>
          <w:lang w:val="sr-Latn-ME"/>
        </w:rPr>
        <w:t>metabolisati</w:t>
      </w:r>
      <w:proofErr w:type="spellEnd"/>
      <w:r w:rsidRPr="00950715">
        <w:rPr>
          <w:bCs/>
          <w:sz w:val="22"/>
          <w:szCs w:val="22"/>
          <w:lang w:val="sr-Latn-ME"/>
        </w:rPr>
        <w:t>, l</w:t>
      </w:r>
      <w:r w:rsidR="004349E4" w:rsidRPr="00950715">
        <w:rPr>
          <w:bCs/>
          <w:sz w:val="22"/>
          <w:szCs w:val="22"/>
          <w:lang w:val="sr-Latn-ME"/>
        </w:rPr>
        <w:t>ij</w:t>
      </w:r>
      <w:r w:rsidRPr="00950715">
        <w:rPr>
          <w:bCs/>
          <w:sz w:val="22"/>
          <w:szCs w:val="22"/>
          <w:lang w:val="sr-Latn-ME"/>
        </w:rPr>
        <w:t xml:space="preserve">ek </w:t>
      </w:r>
      <w:proofErr w:type="spellStart"/>
      <w:r w:rsidRPr="00950715">
        <w:rPr>
          <w:bCs/>
          <w:sz w:val="22"/>
          <w:szCs w:val="22"/>
          <w:lang w:val="sr-Latn-ME"/>
        </w:rPr>
        <w:t>Hartmanov</w:t>
      </w:r>
      <w:proofErr w:type="spellEnd"/>
      <w:r w:rsidRPr="00950715">
        <w:rPr>
          <w:bCs/>
          <w:sz w:val="22"/>
          <w:szCs w:val="22"/>
          <w:lang w:val="sr-Latn-ME"/>
        </w:rPr>
        <w:t xml:space="preserve"> rastvor HF je posebno </w:t>
      </w:r>
      <w:proofErr w:type="spellStart"/>
      <w:r w:rsidRPr="00950715">
        <w:rPr>
          <w:bCs/>
          <w:sz w:val="22"/>
          <w:szCs w:val="22"/>
          <w:lang w:val="sr-Latn-ME"/>
        </w:rPr>
        <w:t>indikovan</w:t>
      </w:r>
      <w:proofErr w:type="spellEnd"/>
      <w:r w:rsidRPr="00950715">
        <w:rPr>
          <w:bCs/>
          <w:sz w:val="22"/>
          <w:szCs w:val="22"/>
          <w:lang w:val="sr-Latn-ME"/>
        </w:rPr>
        <w:t xml:space="preserve"> kod pacijenata koji imaju tendenciju ka </w:t>
      </w:r>
      <w:proofErr w:type="spellStart"/>
      <w:r w:rsidRPr="00950715">
        <w:rPr>
          <w:bCs/>
          <w:sz w:val="22"/>
          <w:szCs w:val="22"/>
          <w:lang w:val="sr-Latn-ME"/>
        </w:rPr>
        <w:t>acidozi</w:t>
      </w:r>
      <w:proofErr w:type="spellEnd"/>
      <w:r w:rsidRPr="00950715">
        <w:rPr>
          <w:bCs/>
          <w:sz w:val="22"/>
          <w:szCs w:val="22"/>
          <w:lang w:val="sr-Latn-ME"/>
        </w:rPr>
        <w:t>.</w:t>
      </w:r>
    </w:p>
    <w:p w14:paraId="271AADFD" w14:textId="77777777" w:rsidR="002E37A5" w:rsidRPr="00950715" w:rsidRDefault="002E37A5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1AADFE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5.2.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proofErr w:type="spellStart"/>
      <w:r w:rsidRPr="00950715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950715">
        <w:rPr>
          <w:b/>
          <w:bCs/>
          <w:sz w:val="22"/>
          <w:szCs w:val="22"/>
          <w:lang w:val="sr-Latn-ME"/>
        </w:rPr>
        <w:t xml:space="preserve"> podaci</w:t>
      </w:r>
      <w:r w:rsidR="003A7059" w:rsidRPr="00950715">
        <w:rPr>
          <w:b/>
          <w:bCs/>
          <w:sz w:val="22"/>
          <w:szCs w:val="22"/>
          <w:lang w:val="sr-Latn-ME"/>
        </w:rPr>
        <w:t xml:space="preserve"> </w:t>
      </w:r>
    </w:p>
    <w:p w14:paraId="271AADFF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EAE6AB" w14:textId="0471E08F" w:rsidR="00E43F37" w:rsidRPr="00950715" w:rsidRDefault="00E43F3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50715">
        <w:rPr>
          <w:bCs/>
          <w:sz w:val="22"/>
          <w:szCs w:val="22"/>
          <w:u w:val="single"/>
          <w:lang w:val="sr-Latn-ME"/>
        </w:rPr>
        <w:t xml:space="preserve">Resorpcija </w:t>
      </w:r>
    </w:p>
    <w:p w14:paraId="65B93452" w14:textId="03F3BC27" w:rsidR="00E43F37" w:rsidRPr="00950715" w:rsidRDefault="00E43F3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>S obzirom na to da se sastojci l</w:t>
      </w:r>
      <w:r w:rsidR="008719FB" w:rsidRPr="00950715">
        <w:rPr>
          <w:bCs/>
          <w:sz w:val="22"/>
          <w:szCs w:val="22"/>
          <w:lang w:val="sr-Latn-ME"/>
        </w:rPr>
        <w:t>ij</w:t>
      </w:r>
      <w:r w:rsidRPr="00950715">
        <w:rPr>
          <w:bCs/>
          <w:sz w:val="22"/>
          <w:szCs w:val="22"/>
          <w:lang w:val="sr-Latn-ME"/>
        </w:rPr>
        <w:t xml:space="preserve">eka </w:t>
      </w:r>
      <w:proofErr w:type="spellStart"/>
      <w:r w:rsidRPr="00950715">
        <w:rPr>
          <w:bCs/>
          <w:sz w:val="22"/>
          <w:szCs w:val="22"/>
          <w:lang w:val="sr-Latn-ME"/>
        </w:rPr>
        <w:t>Hartmanov</w:t>
      </w:r>
      <w:proofErr w:type="spellEnd"/>
      <w:r w:rsidRPr="00950715">
        <w:rPr>
          <w:bCs/>
          <w:sz w:val="22"/>
          <w:szCs w:val="22"/>
          <w:lang w:val="sr-Latn-ME"/>
        </w:rPr>
        <w:t xml:space="preserve"> rastvor HF prim</w:t>
      </w:r>
      <w:r w:rsidR="008719FB" w:rsidRPr="00950715">
        <w:rPr>
          <w:bCs/>
          <w:sz w:val="22"/>
          <w:szCs w:val="22"/>
          <w:lang w:val="sr-Latn-ME"/>
        </w:rPr>
        <w:t>j</w:t>
      </w:r>
      <w:r w:rsidRPr="00950715">
        <w:rPr>
          <w:bCs/>
          <w:sz w:val="22"/>
          <w:szCs w:val="22"/>
          <w:lang w:val="sr-Latn-ME"/>
        </w:rPr>
        <w:t xml:space="preserve">enjuju </w:t>
      </w:r>
      <w:proofErr w:type="spellStart"/>
      <w:r w:rsidRPr="00950715">
        <w:rPr>
          <w:bCs/>
          <w:sz w:val="22"/>
          <w:szCs w:val="22"/>
          <w:lang w:val="sr-Latn-ME"/>
        </w:rPr>
        <w:t>intravenskom</w:t>
      </w:r>
      <w:proofErr w:type="spellEnd"/>
      <w:r w:rsidRPr="00950715">
        <w:rPr>
          <w:bCs/>
          <w:sz w:val="22"/>
          <w:szCs w:val="22"/>
          <w:lang w:val="sr-Latn-ME"/>
        </w:rPr>
        <w:t xml:space="preserve"> infuzijom, njihova </w:t>
      </w:r>
      <w:proofErr w:type="spellStart"/>
      <w:r w:rsidRPr="00950715">
        <w:rPr>
          <w:bCs/>
          <w:sz w:val="22"/>
          <w:szCs w:val="22"/>
          <w:lang w:val="sr-Latn-ME"/>
        </w:rPr>
        <w:t>bioraspoloživost</w:t>
      </w:r>
      <w:proofErr w:type="spellEnd"/>
      <w:r w:rsidRPr="00950715">
        <w:rPr>
          <w:bCs/>
          <w:sz w:val="22"/>
          <w:szCs w:val="22"/>
          <w:lang w:val="sr-Latn-ME"/>
        </w:rPr>
        <w:t xml:space="preserve"> je 100%. </w:t>
      </w:r>
    </w:p>
    <w:p w14:paraId="0D190C21" w14:textId="77777777" w:rsidR="00E43F37" w:rsidRPr="00950715" w:rsidRDefault="00E43F3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BD38B9" w14:textId="0D5C9D80" w:rsidR="00E43F37" w:rsidRPr="00950715" w:rsidRDefault="00E43F3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50715">
        <w:rPr>
          <w:bCs/>
          <w:sz w:val="22"/>
          <w:szCs w:val="22"/>
          <w:u w:val="single"/>
          <w:lang w:val="sr-Latn-ME"/>
        </w:rPr>
        <w:t xml:space="preserve">Distribucija </w:t>
      </w:r>
    </w:p>
    <w:p w14:paraId="4135F5E9" w14:textId="7D0645D0" w:rsidR="00E43F37" w:rsidRPr="00950715" w:rsidRDefault="00E43F3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>Prim</w:t>
      </w:r>
      <w:r w:rsidR="008719FB" w:rsidRPr="00950715">
        <w:rPr>
          <w:bCs/>
          <w:sz w:val="22"/>
          <w:szCs w:val="22"/>
          <w:lang w:val="sr-Latn-ME"/>
        </w:rPr>
        <w:t>j</w:t>
      </w:r>
      <w:r w:rsidRPr="00950715">
        <w:rPr>
          <w:bCs/>
          <w:sz w:val="22"/>
          <w:szCs w:val="22"/>
          <w:lang w:val="sr-Latn-ME"/>
        </w:rPr>
        <w:t>ena l</w:t>
      </w:r>
      <w:r w:rsidR="008719FB" w:rsidRPr="00950715">
        <w:rPr>
          <w:bCs/>
          <w:sz w:val="22"/>
          <w:szCs w:val="22"/>
          <w:lang w:val="sr-Latn-ME"/>
        </w:rPr>
        <w:t>ij</w:t>
      </w:r>
      <w:r w:rsidRPr="00950715">
        <w:rPr>
          <w:bCs/>
          <w:sz w:val="22"/>
          <w:szCs w:val="22"/>
          <w:lang w:val="sr-Latn-ME"/>
        </w:rPr>
        <w:t xml:space="preserve">eka </w:t>
      </w:r>
      <w:proofErr w:type="spellStart"/>
      <w:r w:rsidRPr="00950715">
        <w:rPr>
          <w:bCs/>
          <w:sz w:val="22"/>
          <w:szCs w:val="22"/>
          <w:lang w:val="sr-Latn-ME"/>
        </w:rPr>
        <w:t>Hartmanov</w:t>
      </w:r>
      <w:proofErr w:type="spellEnd"/>
      <w:r w:rsidRPr="00950715">
        <w:rPr>
          <w:bCs/>
          <w:sz w:val="22"/>
          <w:szCs w:val="22"/>
          <w:lang w:val="sr-Latn-ME"/>
        </w:rPr>
        <w:t xml:space="preserve"> rastvor HF, direktno dovodi do popunjavanja </w:t>
      </w:r>
      <w:proofErr w:type="spellStart"/>
      <w:r w:rsidRPr="00950715">
        <w:rPr>
          <w:bCs/>
          <w:sz w:val="22"/>
          <w:szCs w:val="22"/>
          <w:lang w:val="sr-Latn-ME"/>
        </w:rPr>
        <w:t>intersticijalnog</w:t>
      </w:r>
      <w:proofErr w:type="spellEnd"/>
      <w:r w:rsidRPr="00950715">
        <w:rPr>
          <w:bCs/>
          <w:sz w:val="22"/>
          <w:szCs w:val="22"/>
          <w:lang w:val="sr-Latn-ME"/>
        </w:rPr>
        <w:t xml:space="preserve"> prostora koji čini oko 2/3 </w:t>
      </w:r>
      <w:proofErr w:type="spellStart"/>
      <w:r w:rsidRPr="00950715">
        <w:rPr>
          <w:bCs/>
          <w:sz w:val="22"/>
          <w:szCs w:val="22"/>
          <w:lang w:val="sr-Latn-ME"/>
        </w:rPr>
        <w:t>ekstracelularnog</w:t>
      </w:r>
      <w:proofErr w:type="spellEnd"/>
      <w:r w:rsidRPr="00950715">
        <w:rPr>
          <w:bCs/>
          <w:sz w:val="22"/>
          <w:szCs w:val="22"/>
          <w:lang w:val="sr-Latn-ME"/>
        </w:rPr>
        <w:t xml:space="preserve"> prostora. Samo 1/3 date količine ostaje u </w:t>
      </w:r>
      <w:proofErr w:type="spellStart"/>
      <w:r w:rsidRPr="00950715">
        <w:rPr>
          <w:bCs/>
          <w:sz w:val="22"/>
          <w:szCs w:val="22"/>
          <w:lang w:val="sr-Latn-ME"/>
        </w:rPr>
        <w:t>intravaskularnom</w:t>
      </w:r>
      <w:proofErr w:type="spellEnd"/>
      <w:r w:rsidRPr="00950715">
        <w:rPr>
          <w:bCs/>
          <w:sz w:val="22"/>
          <w:szCs w:val="22"/>
          <w:lang w:val="sr-Latn-ME"/>
        </w:rPr>
        <w:t xml:space="preserve"> prostoru. Zbog toga rastvor ima samo kratkotrajan </w:t>
      </w:r>
      <w:proofErr w:type="spellStart"/>
      <w:r w:rsidRPr="00950715">
        <w:rPr>
          <w:bCs/>
          <w:sz w:val="22"/>
          <w:szCs w:val="22"/>
          <w:lang w:val="sr-Latn-ME"/>
        </w:rPr>
        <w:t>hemodinamski</w:t>
      </w:r>
      <w:proofErr w:type="spellEnd"/>
      <w:r w:rsidRPr="00950715">
        <w:rPr>
          <w:bCs/>
          <w:sz w:val="22"/>
          <w:szCs w:val="22"/>
          <w:lang w:val="sr-Latn-ME"/>
        </w:rPr>
        <w:t xml:space="preserve"> efekat.</w:t>
      </w:r>
      <w:r w:rsidR="000A37E3" w:rsidRPr="00950715">
        <w:rPr>
          <w:bCs/>
          <w:sz w:val="22"/>
          <w:szCs w:val="22"/>
          <w:lang w:val="sr-Latn-ME"/>
        </w:rPr>
        <w:t xml:space="preserve"> </w:t>
      </w:r>
    </w:p>
    <w:p w14:paraId="64F9A03C" w14:textId="57337B33" w:rsidR="00E43F37" w:rsidRPr="00950715" w:rsidRDefault="00E43F3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F7448D" w14:textId="5B136CBC" w:rsidR="00E43F37" w:rsidRPr="00950715" w:rsidRDefault="00E43F3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950715">
        <w:rPr>
          <w:bCs/>
          <w:sz w:val="22"/>
          <w:szCs w:val="22"/>
          <w:u w:val="single"/>
          <w:lang w:val="sr-Latn-ME"/>
        </w:rPr>
        <w:t>Biotransformacija</w:t>
      </w:r>
      <w:proofErr w:type="spellEnd"/>
      <w:r w:rsidRPr="00950715">
        <w:rPr>
          <w:bCs/>
          <w:sz w:val="22"/>
          <w:szCs w:val="22"/>
          <w:u w:val="single"/>
          <w:lang w:val="sr-Latn-ME"/>
        </w:rPr>
        <w:t xml:space="preserve">, eliminacija </w:t>
      </w:r>
    </w:p>
    <w:p w14:paraId="211280A7" w14:textId="2E83D3B9" w:rsidR="00E43F37" w:rsidRPr="00950715" w:rsidRDefault="00E43F3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>Kalijum, natrijum i hlorid se uglavnom izlučuju urinom, ali male količine se takođe gube putem kože i intestinalnog trakta. Posebno kod operacija dolazi do povećanog izlučivanja kalijuma putem urina, dok se voda i natrijum zadržavaju u organizmu. Kalcijum se uglavnom izlučuje putem bubrega. Male količine se gube putem kože, kose i noktiju. Kalcijum prolazi kroz placentu i izlučuje se u majčino ml</w:t>
      </w:r>
      <w:r w:rsidR="0097745D" w:rsidRPr="00950715">
        <w:rPr>
          <w:bCs/>
          <w:sz w:val="22"/>
          <w:szCs w:val="22"/>
          <w:lang w:val="sr-Latn-ME"/>
        </w:rPr>
        <w:t>ij</w:t>
      </w:r>
      <w:r w:rsidRPr="00950715">
        <w:rPr>
          <w:bCs/>
          <w:sz w:val="22"/>
          <w:szCs w:val="22"/>
          <w:lang w:val="sr-Latn-ME"/>
        </w:rPr>
        <w:t xml:space="preserve">eko. </w:t>
      </w:r>
    </w:p>
    <w:p w14:paraId="22FFD1B6" w14:textId="3370797F" w:rsidR="00E43F37" w:rsidRPr="00950715" w:rsidRDefault="00E43F3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08D6F2" w14:textId="045B784B" w:rsidR="00E43F37" w:rsidRPr="00950715" w:rsidRDefault="00E43F3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50715">
        <w:rPr>
          <w:bCs/>
          <w:sz w:val="22"/>
          <w:szCs w:val="22"/>
          <w:lang w:val="sr-Latn-ME"/>
        </w:rPr>
        <w:t>Laktat</w:t>
      </w:r>
      <w:proofErr w:type="spellEnd"/>
      <w:r w:rsidRPr="00950715">
        <w:rPr>
          <w:bCs/>
          <w:sz w:val="22"/>
          <w:szCs w:val="22"/>
          <w:lang w:val="sr-Latn-ME"/>
        </w:rPr>
        <w:t xml:space="preserve"> se pretvara u bikarbonat i ugljen-dioksid, koji su normalni sastojci organizma. Koncentracije bikarbonata i </w:t>
      </w:r>
      <w:proofErr w:type="spellStart"/>
      <w:r w:rsidRPr="00950715">
        <w:rPr>
          <w:bCs/>
          <w:sz w:val="22"/>
          <w:szCs w:val="22"/>
          <w:lang w:val="sr-Latn-ME"/>
        </w:rPr>
        <w:t>laktata</w:t>
      </w:r>
      <w:proofErr w:type="spellEnd"/>
      <w:r w:rsidRPr="00950715">
        <w:rPr>
          <w:bCs/>
          <w:sz w:val="22"/>
          <w:szCs w:val="22"/>
          <w:lang w:val="sr-Latn-ME"/>
        </w:rPr>
        <w:t xml:space="preserve"> u plazmi su regulisane radom bubrega, a koncentracije ugljen-dioksida u plazmi radom pluća. Metabolizam </w:t>
      </w:r>
      <w:proofErr w:type="spellStart"/>
      <w:r w:rsidRPr="00950715">
        <w:rPr>
          <w:bCs/>
          <w:sz w:val="22"/>
          <w:szCs w:val="22"/>
          <w:lang w:val="sr-Latn-ME"/>
        </w:rPr>
        <w:t>laktata</w:t>
      </w:r>
      <w:proofErr w:type="spellEnd"/>
      <w:r w:rsidRPr="00950715">
        <w:rPr>
          <w:bCs/>
          <w:sz w:val="22"/>
          <w:szCs w:val="22"/>
          <w:lang w:val="sr-Latn-ME"/>
        </w:rPr>
        <w:t xml:space="preserve"> je oslabljen u stanjima </w:t>
      </w:r>
      <w:proofErr w:type="spellStart"/>
      <w:r w:rsidRPr="00950715">
        <w:rPr>
          <w:bCs/>
          <w:sz w:val="22"/>
          <w:szCs w:val="22"/>
          <w:lang w:val="sr-Latn-ME"/>
        </w:rPr>
        <w:t>hipoksije</w:t>
      </w:r>
      <w:proofErr w:type="spellEnd"/>
      <w:r w:rsidRPr="00950715">
        <w:rPr>
          <w:bCs/>
          <w:sz w:val="22"/>
          <w:szCs w:val="22"/>
          <w:lang w:val="sr-Latn-ME"/>
        </w:rPr>
        <w:t xml:space="preserve"> i </w:t>
      </w:r>
      <w:proofErr w:type="spellStart"/>
      <w:r w:rsidRPr="00950715">
        <w:rPr>
          <w:bCs/>
          <w:sz w:val="22"/>
          <w:szCs w:val="22"/>
          <w:lang w:val="sr-Latn-ME"/>
        </w:rPr>
        <w:t>insuficijencije</w:t>
      </w:r>
      <w:proofErr w:type="spellEnd"/>
      <w:r w:rsidRPr="00950715">
        <w:rPr>
          <w:bCs/>
          <w:sz w:val="22"/>
          <w:szCs w:val="22"/>
          <w:lang w:val="sr-Latn-ME"/>
        </w:rPr>
        <w:t xml:space="preserve"> jetre.</w:t>
      </w:r>
      <w:r w:rsidR="000A37E3" w:rsidRPr="00950715">
        <w:rPr>
          <w:bCs/>
          <w:sz w:val="22"/>
          <w:szCs w:val="22"/>
          <w:lang w:val="sr-Latn-ME"/>
        </w:rPr>
        <w:t xml:space="preserve"> </w:t>
      </w:r>
    </w:p>
    <w:p w14:paraId="3F7D8F00" w14:textId="77777777" w:rsidR="00E43F37" w:rsidRPr="00950715" w:rsidRDefault="00E43F3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E00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5.3.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proofErr w:type="spellStart"/>
      <w:r w:rsidRPr="00950715">
        <w:rPr>
          <w:b/>
          <w:bCs/>
          <w:sz w:val="22"/>
          <w:szCs w:val="22"/>
          <w:lang w:val="sr-Latn-ME"/>
        </w:rPr>
        <w:t>Pretklinički</w:t>
      </w:r>
      <w:proofErr w:type="spellEnd"/>
      <w:r w:rsidRPr="00950715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271AAE01" w14:textId="77777777" w:rsidR="00836B35" w:rsidRPr="00950715" w:rsidRDefault="00836B35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E02" w14:textId="770BA196" w:rsidR="00396DFD" w:rsidRPr="00950715" w:rsidRDefault="00BB2691" w:rsidP="00D62C2F">
      <w:pPr>
        <w:jc w:val="both"/>
        <w:rPr>
          <w:sz w:val="22"/>
          <w:szCs w:val="22"/>
          <w:lang w:val="sr-Latn-ME"/>
        </w:rPr>
      </w:pPr>
      <w:proofErr w:type="spellStart"/>
      <w:r w:rsidRPr="00950715">
        <w:rPr>
          <w:sz w:val="22"/>
          <w:szCs w:val="22"/>
          <w:lang w:val="sr-Latn-ME"/>
        </w:rPr>
        <w:t>P</w:t>
      </w:r>
      <w:r w:rsidR="008719FB" w:rsidRPr="00950715">
        <w:rPr>
          <w:sz w:val="22"/>
          <w:szCs w:val="22"/>
          <w:lang w:val="sr-Latn-ME"/>
        </w:rPr>
        <w:t>retklinički</w:t>
      </w:r>
      <w:proofErr w:type="spellEnd"/>
      <w:r w:rsidR="008719FB" w:rsidRPr="00950715">
        <w:rPr>
          <w:sz w:val="22"/>
          <w:szCs w:val="22"/>
          <w:lang w:val="sr-Latn-ME"/>
        </w:rPr>
        <w:t xml:space="preserve"> podaci </w:t>
      </w:r>
      <w:r w:rsidR="00751045" w:rsidRPr="00950715">
        <w:rPr>
          <w:sz w:val="22"/>
          <w:szCs w:val="22"/>
          <w:lang w:val="sr-Latn-ME"/>
        </w:rPr>
        <w:t xml:space="preserve">ne ukazuju na poseban rizik </w:t>
      </w:r>
      <w:r w:rsidR="008719FB" w:rsidRPr="00950715">
        <w:rPr>
          <w:sz w:val="22"/>
          <w:szCs w:val="22"/>
          <w:lang w:val="sr-Latn-ME"/>
        </w:rPr>
        <w:t xml:space="preserve">za </w:t>
      </w:r>
      <w:proofErr w:type="spellStart"/>
      <w:r w:rsidR="008719FB" w:rsidRPr="00950715">
        <w:rPr>
          <w:sz w:val="22"/>
          <w:szCs w:val="22"/>
          <w:lang w:val="sr-Latn-ME"/>
        </w:rPr>
        <w:t>ljude</w:t>
      </w:r>
      <w:proofErr w:type="spellEnd"/>
      <w:r w:rsidR="00751045" w:rsidRPr="00950715">
        <w:rPr>
          <w:sz w:val="22"/>
          <w:szCs w:val="22"/>
          <w:lang w:val="sr-Latn-ME"/>
        </w:rPr>
        <w:t xml:space="preserve">, na osnovu konvencionalnih studija </w:t>
      </w:r>
      <w:proofErr w:type="spellStart"/>
      <w:r w:rsidR="00751045" w:rsidRPr="00950715">
        <w:rPr>
          <w:sz w:val="22"/>
          <w:szCs w:val="22"/>
          <w:lang w:val="sr-Latn-ME"/>
        </w:rPr>
        <w:t>bezbjednosne</w:t>
      </w:r>
      <w:proofErr w:type="spellEnd"/>
      <w:r w:rsidR="00751045" w:rsidRPr="00950715">
        <w:rPr>
          <w:sz w:val="22"/>
          <w:szCs w:val="22"/>
          <w:lang w:val="sr-Latn-ME"/>
        </w:rPr>
        <w:t xml:space="preserve"> farmakologije</w:t>
      </w:r>
      <w:r w:rsidR="00DA5A2B" w:rsidRPr="00950715">
        <w:rPr>
          <w:sz w:val="22"/>
          <w:szCs w:val="22"/>
          <w:lang w:val="sr-Latn-ME"/>
        </w:rPr>
        <w:t xml:space="preserve">, toksičnosti ponovljenih doza, </w:t>
      </w:r>
      <w:proofErr w:type="spellStart"/>
      <w:r w:rsidR="00DA5A2B" w:rsidRPr="00950715">
        <w:rPr>
          <w:sz w:val="22"/>
          <w:szCs w:val="22"/>
          <w:lang w:val="sr-Latn-ME"/>
        </w:rPr>
        <w:t>genotoksičnosti</w:t>
      </w:r>
      <w:proofErr w:type="spellEnd"/>
      <w:r w:rsidR="00DA5A2B" w:rsidRPr="00950715">
        <w:rPr>
          <w:sz w:val="22"/>
          <w:szCs w:val="22"/>
          <w:lang w:val="sr-Latn-ME"/>
        </w:rPr>
        <w:t>, kancerogenog potencijala, reproduktivne i razvojne toksičnosti</w:t>
      </w:r>
      <w:r w:rsidR="008719FB" w:rsidRPr="00950715">
        <w:rPr>
          <w:sz w:val="22"/>
          <w:szCs w:val="22"/>
          <w:lang w:val="sr-Latn-ME"/>
        </w:rPr>
        <w:t>.</w:t>
      </w:r>
    </w:p>
    <w:p w14:paraId="7C79454B" w14:textId="77777777" w:rsidR="008719FB" w:rsidRPr="00950715" w:rsidRDefault="008719FB" w:rsidP="00D62C2F">
      <w:pPr>
        <w:jc w:val="both"/>
        <w:rPr>
          <w:sz w:val="22"/>
          <w:szCs w:val="22"/>
          <w:lang w:val="sr-Latn-ME"/>
        </w:rPr>
      </w:pPr>
    </w:p>
    <w:p w14:paraId="6F1254DC" w14:textId="77777777" w:rsidR="008719FB" w:rsidRPr="00950715" w:rsidRDefault="008719FB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1AAE03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6.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FARMACEUTSKI PODACI</w:t>
      </w:r>
    </w:p>
    <w:p w14:paraId="271AAE04" w14:textId="77777777" w:rsidR="00836B35" w:rsidRPr="00950715" w:rsidRDefault="00836B35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E05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6.1.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Lista pomoćnih supstanci</w:t>
      </w:r>
      <w:r w:rsidR="002E0135" w:rsidRPr="00950715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950715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950715">
        <w:rPr>
          <w:b/>
          <w:bCs/>
          <w:sz w:val="22"/>
          <w:szCs w:val="22"/>
          <w:lang w:val="sr-Latn-ME"/>
        </w:rPr>
        <w:t>)</w:t>
      </w:r>
    </w:p>
    <w:p w14:paraId="56F10A99" w14:textId="77777777" w:rsidR="00592569" w:rsidRPr="00950715" w:rsidRDefault="00592569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B5E894" w14:textId="59EBF307" w:rsidR="00592569" w:rsidRPr="00950715" w:rsidRDefault="00592569" w:rsidP="0072080F">
      <w:pPr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 xml:space="preserve">Hlorovodonična kiselina, </w:t>
      </w:r>
      <w:proofErr w:type="spellStart"/>
      <w:r w:rsidRPr="00950715">
        <w:rPr>
          <w:bCs/>
          <w:sz w:val="22"/>
          <w:szCs w:val="22"/>
          <w:lang w:val="sr-Latn-ME"/>
        </w:rPr>
        <w:t>koncentrovana</w:t>
      </w:r>
      <w:proofErr w:type="spellEnd"/>
      <w:r w:rsidRPr="00950715">
        <w:rPr>
          <w:bCs/>
          <w:sz w:val="22"/>
          <w:szCs w:val="22"/>
          <w:lang w:val="sr-Latn-ME"/>
        </w:rPr>
        <w:t xml:space="preserve"> (za podešavanje </w:t>
      </w:r>
      <w:proofErr w:type="spellStart"/>
      <w:r w:rsidRPr="00950715">
        <w:rPr>
          <w:bCs/>
          <w:sz w:val="22"/>
          <w:szCs w:val="22"/>
          <w:lang w:val="sr-Latn-ME"/>
        </w:rPr>
        <w:t>pH</w:t>
      </w:r>
      <w:proofErr w:type="spellEnd"/>
      <w:r w:rsidRPr="00950715">
        <w:rPr>
          <w:bCs/>
          <w:sz w:val="22"/>
          <w:szCs w:val="22"/>
          <w:lang w:val="sr-Latn-ME"/>
        </w:rPr>
        <w:t>)</w:t>
      </w:r>
      <w:r w:rsidR="00C92F21" w:rsidRPr="00950715">
        <w:rPr>
          <w:bCs/>
          <w:sz w:val="22"/>
          <w:szCs w:val="22"/>
          <w:lang w:val="sr-Latn-ME"/>
        </w:rPr>
        <w:t>.</w:t>
      </w:r>
    </w:p>
    <w:p w14:paraId="271AAE06" w14:textId="4BD73E77" w:rsidR="0072020E" w:rsidRPr="00950715" w:rsidRDefault="00592569" w:rsidP="0072080F">
      <w:pPr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>Voda za injekcije</w:t>
      </w:r>
      <w:r w:rsidR="00C92F21" w:rsidRPr="00950715">
        <w:rPr>
          <w:bCs/>
          <w:sz w:val="22"/>
          <w:szCs w:val="22"/>
          <w:lang w:val="sr-Latn-ME"/>
        </w:rPr>
        <w:t>.</w:t>
      </w:r>
    </w:p>
    <w:p w14:paraId="67DF8082" w14:textId="77777777" w:rsidR="00592569" w:rsidRPr="00950715" w:rsidRDefault="00592569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E07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6.2.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Inkompatibilnost</w:t>
      </w:r>
      <w:r w:rsidR="002846DB" w:rsidRPr="00950715">
        <w:rPr>
          <w:b/>
          <w:bCs/>
          <w:sz w:val="22"/>
          <w:szCs w:val="22"/>
          <w:lang w:val="sr-Latn-ME"/>
        </w:rPr>
        <w:t>i</w:t>
      </w:r>
    </w:p>
    <w:p w14:paraId="271AAE08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DEC6BE" w14:textId="4F00066B" w:rsidR="00592569" w:rsidRPr="00950715" w:rsidRDefault="00592569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>L</w:t>
      </w:r>
      <w:r w:rsidR="00C45275" w:rsidRPr="00950715">
        <w:rPr>
          <w:bCs/>
          <w:sz w:val="22"/>
          <w:szCs w:val="22"/>
          <w:lang w:val="sr-Latn-ME"/>
        </w:rPr>
        <w:t>j</w:t>
      </w:r>
      <w:r w:rsidRPr="00950715">
        <w:rPr>
          <w:bCs/>
          <w:sz w:val="22"/>
          <w:szCs w:val="22"/>
          <w:lang w:val="sr-Latn-ME"/>
        </w:rPr>
        <w:t xml:space="preserve">ekovi koji sadrže </w:t>
      </w:r>
      <w:proofErr w:type="spellStart"/>
      <w:r w:rsidRPr="00950715">
        <w:rPr>
          <w:bCs/>
          <w:sz w:val="22"/>
          <w:szCs w:val="22"/>
          <w:lang w:val="sr-Latn-ME"/>
        </w:rPr>
        <w:t>oksalate</w:t>
      </w:r>
      <w:proofErr w:type="spellEnd"/>
      <w:r w:rsidRPr="00950715">
        <w:rPr>
          <w:bCs/>
          <w:sz w:val="22"/>
          <w:szCs w:val="22"/>
          <w:lang w:val="sr-Latn-ME"/>
        </w:rPr>
        <w:t xml:space="preserve">, fosfate ili karbonate/bikarbonate mogu izazvati taloženje nakon </w:t>
      </w:r>
      <w:r w:rsidR="001067E4" w:rsidRPr="00950715">
        <w:rPr>
          <w:bCs/>
          <w:sz w:val="22"/>
          <w:szCs w:val="22"/>
          <w:lang w:val="sr-Latn-ME"/>
        </w:rPr>
        <w:t xml:space="preserve">miješanja </w:t>
      </w:r>
      <w:r w:rsidRPr="00950715">
        <w:rPr>
          <w:bCs/>
          <w:sz w:val="22"/>
          <w:szCs w:val="22"/>
          <w:lang w:val="sr-Latn-ME"/>
        </w:rPr>
        <w:t>sa l</w:t>
      </w:r>
      <w:r w:rsidR="00C45275" w:rsidRPr="00950715">
        <w:rPr>
          <w:bCs/>
          <w:sz w:val="22"/>
          <w:szCs w:val="22"/>
          <w:lang w:val="sr-Latn-ME"/>
        </w:rPr>
        <w:t>ij</w:t>
      </w:r>
      <w:r w:rsidRPr="00950715">
        <w:rPr>
          <w:bCs/>
          <w:sz w:val="22"/>
          <w:szCs w:val="22"/>
          <w:lang w:val="sr-Latn-ME"/>
        </w:rPr>
        <w:t xml:space="preserve">ekom </w:t>
      </w:r>
      <w:proofErr w:type="spellStart"/>
      <w:r w:rsidRPr="00950715">
        <w:rPr>
          <w:bCs/>
          <w:sz w:val="22"/>
          <w:szCs w:val="22"/>
          <w:lang w:val="sr-Latn-ME"/>
        </w:rPr>
        <w:t>Hartmanov</w:t>
      </w:r>
      <w:proofErr w:type="spellEnd"/>
      <w:r w:rsidRPr="00950715">
        <w:rPr>
          <w:bCs/>
          <w:sz w:val="22"/>
          <w:szCs w:val="22"/>
          <w:lang w:val="sr-Latn-ME"/>
        </w:rPr>
        <w:t xml:space="preserve"> rastvor HF. </w:t>
      </w:r>
    </w:p>
    <w:p w14:paraId="75EAE04B" w14:textId="785E155A" w:rsidR="00592569" w:rsidRPr="00950715" w:rsidRDefault="00592569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660EC3" w14:textId="19B02738" w:rsidR="001067E4" w:rsidRPr="00950715" w:rsidRDefault="001067E4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50715">
        <w:rPr>
          <w:bCs/>
          <w:sz w:val="22"/>
          <w:szCs w:val="22"/>
          <w:lang w:val="sr-Latn-ME"/>
        </w:rPr>
        <w:t>Ceftriakson</w:t>
      </w:r>
      <w:proofErr w:type="spellEnd"/>
      <w:r w:rsidRPr="00950715">
        <w:rPr>
          <w:bCs/>
          <w:sz w:val="22"/>
          <w:szCs w:val="22"/>
          <w:lang w:val="sr-Latn-ME"/>
        </w:rPr>
        <w:t xml:space="preserve"> i rastvori koji sadrže kalcijum </w:t>
      </w:r>
      <w:r w:rsidR="00984976" w:rsidRPr="00950715">
        <w:rPr>
          <w:bCs/>
          <w:sz w:val="22"/>
          <w:szCs w:val="22"/>
          <w:lang w:val="sr-Latn-ME"/>
        </w:rPr>
        <w:t xml:space="preserve">se </w:t>
      </w:r>
      <w:r w:rsidRPr="00950715">
        <w:rPr>
          <w:bCs/>
          <w:sz w:val="22"/>
          <w:szCs w:val="22"/>
          <w:lang w:val="sr-Latn-ME"/>
        </w:rPr>
        <w:t>ne smiju miješati niti primjenjivati istovremeno (vidjeti djelove 4.5 i 4.8).</w:t>
      </w:r>
    </w:p>
    <w:p w14:paraId="066EAB11" w14:textId="77777777" w:rsidR="001067E4" w:rsidRPr="00950715" w:rsidRDefault="001067E4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AD3ED9" w14:textId="1FB5F5E5" w:rsidR="00592569" w:rsidRPr="00950715" w:rsidRDefault="001067E4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 xml:space="preserve">Rastvoru se ne </w:t>
      </w:r>
      <w:r w:rsidR="00592569" w:rsidRPr="00950715">
        <w:rPr>
          <w:bCs/>
          <w:sz w:val="22"/>
          <w:szCs w:val="22"/>
          <w:lang w:val="sr-Latn-ME"/>
        </w:rPr>
        <w:t>sm</w:t>
      </w:r>
      <w:r w:rsidR="000D4688" w:rsidRPr="00950715">
        <w:rPr>
          <w:bCs/>
          <w:sz w:val="22"/>
          <w:szCs w:val="22"/>
          <w:lang w:val="sr-Latn-ME"/>
        </w:rPr>
        <w:t>i</w:t>
      </w:r>
      <w:r w:rsidR="00592569" w:rsidRPr="00950715">
        <w:rPr>
          <w:bCs/>
          <w:sz w:val="22"/>
          <w:szCs w:val="22"/>
          <w:lang w:val="sr-Latn-ME"/>
        </w:rPr>
        <w:t>ju dodavati drugi l</w:t>
      </w:r>
      <w:r w:rsidR="00C45275" w:rsidRPr="00950715">
        <w:rPr>
          <w:bCs/>
          <w:sz w:val="22"/>
          <w:szCs w:val="22"/>
          <w:lang w:val="sr-Latn-ME"/>
        </w:rPr>
        <w:t>j</w:t>
      </w:r>
      <w:r w:rsidR="00592569" w:rsidRPr="00950715">
        <w:rPr>
          <w:bCs/>
          <w:sz w:val="22"/>
          <w:szCs w:val="22"/>
          <w:lang w:val="sr-Latn-ME"/>
        </w:rPr>
        <w:t>ekovi ili supstance ukoliko nije potvrđena njihova kompatibilnost i ukoliko se rastvaranje ne vrši u aseptičnim uslovima.</w:t>
      </w:r>
    </w:p>
    <w:p w14:paraId="59864805" w14:textId="77777777" w:rsidR="00592569" w:rsidRPr="00950715" w:rsidRDefault="00592569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E09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>6.3.</w:t>
      </w:r>
      <w:r w:rsidR="00C05DF8" w:rsidRPr="00950715">
        <w:rPr>
          <w:b/>
          <w:bCs/>
          <w:sz w:val="22"/>
          <w:szCs w:val="22"/>
          <w:lang w:val="sr-Latn-ME"/>
        </w:rPr>
        <w:t xml:space="preserve">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Rok upotrebe</w:t>
      </w:r>
    </w:p>
    <w:p w14:paraId="271AAE0A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A692E3" w14:textId="380CD322" w:rsidR="00C45275" w:rsidRPr="00950715" w:rsidRDefault="00C45275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>Rok upotrebe: 3 godine</w:t>
      </w:r>
      <w:r w:rsidR="00C03E9D" w:rsidRPr="00950715">
        <w:rPr>
          <w:bCs/>
          <w:sz w:val="22"/>
          <w:szCs w:val="22"/>
          <w:lang w:val="sr-Latn-ME"/>
        </w:rPr>
        <w:t>.</w:t>
      </w:r>
    </w:p>
    <w:p w14:paraId="5FA6766D" w14:textId="09A392DF" w:rsidR="00C45275" w:rsidRPr="00950715" w:rsidRDefault="00C45275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 xml:space="preserve">Rok upotrebe nakon prvog otvaranja: </w:t>
      </w:r>
      <w:r w:rsidR="00C03E9D" w:rsidRPr="00950715">
        <w:rPr>
          <w:bCs/>
          <w:sz w:val="22"/>
          <w:szCs w:val="22"/>
          <w:lang w:val="sr-Latn-ME"/>
        </w:rPr>
        <w:t>upotrijebiti</w:t>
      </w:r>
      <w:r w:rsidRPr="00950715">
        <w:rPr>
          <w:bCs/>
          <w:sz w:val="22"/>
          <w:szCs w:val="22"/>
          <w:lang w:val="sr-Latn-ME"/>
        </w:rPr>
        <w:t xml:space="preserve"> odmah</w:t>
      </w:r>
      <w:r w:rsidR="00C03E9D" w:rsidRPr="00950715">
        <w:rPr>
          <w:bCs/>
          <w:sz w:val="22"/>
          <w:szCs w:val="22"/>
          <w:lang w:val="sr-Latn-ME"/>
        </w:rPr>
        <w:t>.</w:t>
      </w:r>
    </w:p>
    <w:p w14:paraId="54A47AC9" w14:textId="77777777" w:rsidR="00C45275" w:rsidRPr="00950715" w:rsidRDefault="00C45275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E0B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6.4.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950715">
        <w:rPr>
          <w:b/>
          <w:bCs/>
          <w:sz w:val="22"/>
          <w:szCs w:val="22"/>
          <w:lang w:val="sr-Latn-ME"/>
        </w:rPr>
        <w:t xml:space="preserve"> lijeka</w:t>
      </w:r>
    </w:p>
    <w:p w14:paraId="271AAE0C" w14:textId="77777777" w:rsidR="00EC2532" w:rsidRPr="00950715" w:rsidRDefault="00EC2532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FC9D8D" w14:textId="3885DB77" w:rsidR="00C03E9D" w:rsidRPr="00950715" w:rsidRDefault="00C03E9D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>Lijek čuvati na temperaturi do 25°C.</w:t>
      </w:r>
      <w:r w:rsidR="000A37E3" w:rsidRPr="00950715">
        <w:rPr>
          <w:bCs/>
          <w:sz w:val="22"/>
          <w:szCs w:val="22"/>
          <w:lang w:val="sr-Latn-ME"/>
        </w:rPr>
        <w:t xml:space="preserve"> </w:t>
      </w:r>
    </w:p>
    <w:p w14:paraId="00B9E5D9" w14:textId="2BFA129E" w:rsidR="00C03E9D" w:rsidRPr="00950715" w:rsidRDefault="00C03E9D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 xml:space="preserve">Za uslove čuvanja </w:t>
      </w:r>
      <w:r w:rsidR="00984976" w:rsidRPr="00950715">
        <w:rPr>
          <w:bCs/>
          <w:sz w:val="22"/>
          <w:szCs w:val="22"/>
          <w:lang w:val="sr-Latn-ME"/>
        </w:rPr>
        <w:t xml:space="preserve">lijeka </w:t>
      </w:r>
      <w:r w:rsidRPr="00950715">
        <w:rPr>
          <w:bCs/>
          <w:sz w:val="22"/>
          <w:szCs w:val="22"/>
          <w:lang w:val="sr-Latn-ME"/>
        </w:rPr>
        <w:t>nakon prvog otvaranja, pogledati dio 6.3.</w:t>
      </w:r>
    </w:p>
    <w:p w14:paraId="5C7FA600" w14:textId="77777777" w:rsidR="00C03E9D" w:rsidRPr="00950715" w:rsidRDefault="00C03E9D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E0D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6.5.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="002846DB" w:rsidRPr="00950715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950715">
        <w:rPr>
          <w:b/>
          <w:bCs/>
          <w:sz w:val="22"/>
          <w:szCs w:val="22"/>
          <w:lang w:val="sr-Latn-ME"/>
        </w:rPr>
        <w:t>pakovanja</w:t>
      </w:r>
      <w:r w:rsidR="00C06864" w:rsidRPr="00950715">
        <w:rPr>
          <w:b/>
          <w:bCs/>
          <w:sz w:val="22"/>
          <w:szCs w:val="22"/>
          <w:lang w:val="sr-Latn-ME"/>
        </w:rPr>
        <w:t xml:space="preserve"> </w:t>
      </w:r>
    </w:p>
    <w:p w14:paraId="271AAE0E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4A258E" w14:textId="1853EDE6" w:rsidR="00984976" w:rsidRPr="00950715" w:rsidRDefault="00DD418F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 xml:space="preserve">Unutrašnje pakovanje lijeka je boca od </w:t>
      </w:r>
      <w:proofErr w:type="spellStart"/>
      <w:r w:rsidRPr="00950715">
        <w:rPr>
          <w:bCs/>
          <w:sz w:val="22"/>
          <w:szCs w:val="22"/>
          <w:lang w:val="sr-Latn-ME"/>
        </w:rPr>
        <w:t>polietilena</w:t>
      </w:r>
      <w:proofErr w:type="spellEnd"/>
      <w:r w:rsidRPr="00950715">
        <w:rPr>
          <w:bCs/>
          <w:sz w:val="22"/>
          <w:szCs w:val="22"/>
          <w:lang w:val="sr-Latn-ME"/>
        </w:rPr>
        <w:t xml:space="preserve"> niske gustine</w:t>
      </w:r>
      <w:r w:rsidR="00984976" w:rsidRPr="00950715">
        <w:rPr>
          <w:bCs/>
          <w:sz w:val="22"/>
          <w:szCs w:val="22"/>
          <w:lang w:val="sr-Latn-ME"/>
        </w:rPr>
        <w:t xml:space="preserve"> zatvorena</w:t>
      </w:r>
      <w:r w:rsidRPr="00950715">
        <w:rPr>
          <w:bCs/>
          <w:sz w:val="22"/>
          <w:szCs w:val="22"/>
          <w:lang w:val="sr-Latn-ME"/>
        </w:rPr>
        <w:t xml:space="preserve"> plastični</w:t>
      </w:r>
      <w:r w:rsidR="00984976" w:rsidRPr="00950715">
        <w:rPr>
          <w:bCs/>
          <w:sz w:val="22"/>
          <w:szCs w:val="22"/>
          <w:lang w:val="sr-Latn-ME"/>
        </w:rPr>
        <w:t>m</w:t>
      </w:r>
      <w:r w:rsidRPr="00950715">
        <w:rPr>
          <w:bCs/>
          <w:sz w:val="22"/>
          <w:szCs w:val="22"/>
          <w:lang w:val="sr-Latn-ME"/>
        </w:rPr>
        <w:t xml:space="preserve"> zatvarač</w:t>
      </w:r>
      <w:r w:rsidR="00984976" w:rsidRPr="00950715">
        <w:rPr>
          <w:bCs/>
          <w:sz w:val="22"/>
          <w:szCs w:val="22"/>
          <w:lang w:val="sr-Latn-ME"/>
        </w:rPr>
        <w:t>em</w:t>
      </w:r>
      <w:r w:rsidRPr="00950715">
        <w:rPr>
          <w:bCs/>
          <w:sz w:val="22"/>
          <w:szCs w:val="22"/>
          <w:lang w:val="sr-Latn-ME"/>
        </w:rPr>
        <w:t xml:space="preserve"> sa gumenim umetkom (SEBS)</w:t>
      </w:r>
      <w:r w:rsidR="00984976" w:rsidRPr="00950715">
        <w:rPr>
          <w:bCs/>
          <w:sz w:val="22"/>
          <w:szCs w:val="22"/>
          <w:lang w:val="sr-Latn-ME"/>
        </w:rPr>
        <w:t>, koja sadrži 500 ml rastvora za infuziju</w:t>
      </w:r>
      <w:r w:rsidRPr="00950715">
        <w:rPr>
          <w:bCs/>
          <w:sz w:val="22"/>
          <w:szCs w:val="22"/>
          <w:lang w:val="sr-Latn-ME"/>
        </w:rPr>
        <w:t xml:space="preserve">. </w:t>
      </w:r>
    </w:p>
    <w:p w14:paraId="1EB884F9" w14:textId="3EE34F4A" w:rsidR="00DD418F" w:rsidRPr="00950715" w:rsidRDefault="00DD418F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>Unutrašnje pakovanje je istovremeno i spoljašnje pakovanje. Uz bocu je priloženo Uputstvo za lijek.</w:t>
      </w:r>
    </w:p>
    <w:p w14:paraId="3D8BB8B6" w14:textId="77777777" w:rsidR="00DD418F" w:rsidRPr="00950715" w:rsidRDefault="00DD418F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E0F" w14:textId="77777777" w:rsidR="002846DB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6.6.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950715">
        <w:rPr>
          <w:b/>
          <w:bCs/>
          <w:sz w:val="22"/>
          <w:szCs w:val="22"/>
          <w:lang w:val="sr-Latn-ME"/>
        </w:rPr>
        <w:t xml:space="preserve"> </w:t>
      </w:r>
      <w:r w:rsidR="00310F03" w:rsidRPr="00950715">
        <w:rPr>
          <w:b/>
          <w:bCs/>
          <w:sz w:val="22"/>
          <w:szCs w:val="22"/>
          <w:lang w:val="sr-Latn-ME"/>
        </w:rPr>
        <w:t>(i druga uputs</w:t>
      </w:r>
      <w:r w:rsidR="004109FA" w:rsidRPr="00950715">
        <w:rPr>
          <w:b/>
          <w:bCs/>
          <w:sz w:val="22"/>
          <w:szCs w:val="22"/>
          <w:lang w:val="sr-Latn-ME"/>
        </w:rPr>
        <w:t>t</w:t>
      </w:r>
      <w:r w:rsidR="00310F03" w:rsidRPr="00950715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71AAE10" w14:textId="77777777" w:rsidR="00B66A70" w:rsidRPr="00950715" w:rsidRDefault="00B66A70" w:rsidP="00D62C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33A8E89" w14:textId="3EFFC4BE" w:rsidR="00DD418F" w:rsidRPr="00950715" w:rsidRDefault="00DD418F" w:rsidP="00D62C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Koristiti samo ako je rastvor bistar, bezbojan, a boca i njen zatvarač ne pokazuju vidljive znake oštećenja. Boce su </w:t>
      </w:r>
      <w:r w:rsidR="00984976" w:rsidRPr="00950715">
        <w:rPr>
          <w:sz w:val="22"/>
          <w:szCs w:val="22"/>
          <w:lang w:val="sr-Latn-ME"/>
        </w:rPr>
        <w:t xml:space="preserve">namijenjene </w:t>
      </w:r>
      <w:r w:rsidRPr="00950715">
        <w:rPr>
          <w:sz w:val="22"/>
          <w:szCs w:val="22"/>
          <w:lang w:val="sr-Latn-ME"/>
        </w:rPr>
        <w:t>samo za jednokratnu upotrebu. Posl</w:t>
      </w:r>
      <w:r w:rsidR="00031DE5" w:rsidRPr="00950715">
        <w:rPr>
          <w:sz w:val="22"/>
          <w:szCs w:val="22"/>
          <w:lang w:val="sr-Latn-ME"/>
        </w:rPr>
        <w:t>ij</w:t>
      </w:r>
      <w:r w:rsidRPr="00950715">
        <w:rPr>
          <w:sz w:val="22"/>
          <w:szCs w:val="22"/>
          <w:lang w:val="sr-Latn-ME"/>
        </w:rPr>
        <w:t xml:space="preserve">e upotrebe, baciti bocu i eventualno neiskorišćeni sadržaj. Djelimično korišćena boca ne smije se ponovo spajati sa </w:t>
      </w:r>
      <w:proofErr w:type="spellStart"/>
      <w:r w:rsidRPr="00950715">
        <w:rPr>
          <w:sz w:val="22"/>
          <w:szCs w:val="22"/>
          <w:lang w:val="sr-Latn-ME"/>
        </w:rPr>
        <w:t>infuzionim</w:t>
      </w:r>
      <w:proofErr w:type="spellEnd"/>
      <w:r w:rsidRPr="00950715">
        <w:rPr>
          <w:sz w:val="22"/>
          <w:szCs w:val="22"/>
          <w:lang w:val="sr-Latn-ME"/>
        </w:rPr>
        <w:t xml:space="preserve"> sistemom. </w:t>
      </w:r>
    </w:p>
    <w:p w14:paraId="49740688" w14:textId="2B6BF1E8" w:rsidR="00DD418F" w:rsidRPr="00950715" w:rsidRDefault="00DD418F" w:rsidP="00D62C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30784BA" w14:textId="7EE52EC2" w:rsidR="00DD418F" w:rsidRPr="00950715" w:rsidRDefault="00DD418F" w:rsidP="00D62C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09FE11C2" w14:textId="77777777" w:rsidR="00DD418F" w:rsidRPr="00950715" w:rsidRDefault="00DD418F" w:rsidP="00D62C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71AAE11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E12" w14:textId="77777777" w:rsidR="00F8570A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7.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NOSILAC DOZVOLE</w:t>
      </w:r>
      <w:r w:rsidR="00483928" w:rsidRPr="00950715">
        <w:rPr>
          <w:b/>
          <w:bCs/>
          <w:sz w:val="22"/>
          <w:szCs w:val="22"/>
          <w:lang w:val="sr-Latn-ME"/>
        </w:rPr>
        <w:t xml:space="preserve"> </w:t>
      </w:r>
    </w:p>
    <w:p w14:paraId="271AAE13" w14:textId="77777777" w:rsidR="00C61BE0" w:rsidRPr="00950715" w:rsidRDefault="00C61BE0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5B6306" w14:textId="40AA1466" w:rsidR="00113970" w:rsidRPr="00950715" w:rsidRDefault="00113970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 xml:space="preserve">Hemofarm A.D. </w:t>
      </w:r>
      <w:r w:rsidR="00984976" w:rsidRPr="00950715">
        <w:rPr>
          <w:bCs/>
          <w:sz w:val="22"/>
          <w:szCs w:val="22"/>
          <w:lang w:val="sr-Latn-ME"/>
        </w:rPr>
        <w:t>Vršac P.J.</w:t>
      </w:r>
      <w:r w:rsidRPr="00950715">
        <w:rPr>
          <w:bCs/>
          <w:sz w:val="22"/>
          <w:szCs w:val="22"/>
          <w:lang w:val="sr-Latn-ME"/>
        </w:rPr>
        <w:t xml:space="preserve"> Podgorica</w:t>
      </w:r>
      <w:r w:rsidR="00984976" w:rsidRPr="00950715">
        <w:rPr>
          <w:bCs/>
          <w:sz w:val="22"/>
          <w:szCs w:val="22"/>
          <w:lang w:val="sr-Latn-ME"/>
        </w:rPr>
        <w:t>,</w:t>
      </w:r>
    </w:p>
    <w:p w14:paraId="5ABDBA26" w14:textId="59360856" w:rsidR="00113970" w:rsidRPr="00950715" w:rsidRDefault="00113970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>8 marta 55A, Podgorica, Crna Gora</w:t>
      </w:r>
    </w:p>
    <w:p w14:paraId="4845FAB1" w14:textId="77777777" w:rsidR="00113970" w:rsidRPr="00950715" w:rsidRDefault="00113970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E14" w14:textId="77777777" w:rsidR="00C37FD7" w:rsidRPr="00950715" w:rsidRDefault="00C37FD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E15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8.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>BROJ DOZVOLE</w:t>
      </w:r>
      <w:r w:rsidR="008A6D43" w:rsidRPr="00950715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71AAE17" w14:textId="77777777" w:rsidR="00F45F77" w:rsidRPr="00950715" w:rsidRDefault="00F45F77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033973" w14:textId="0F43008C" w:rsidR="00950715" w:rsidRPr="00950715" w:rsidRDefault="00950715" w:rsidP="00950715">
      <w:pPr>
        <w:jc w:val="both"/>
        <w:rPr>
          <w:b/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 xml:space="preserve">2030/25/1375 – 8948 </w:t>
      </w:r>
    </w:p>
    <w:p w14:paraId="61873503" w14:textId="77777777" w:rsidR="00962468" w:rsidRPr="00950715" w:rsidRDefault="00962468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D9C31A" w14:textId="77777777" w:rsidR="00DF3FBA" w:rsidRPr="00950715" w:rsidRDefault="00DF3FBA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54244C" w14:textId="15D2012C" w:rsidR="00F05724" w:rsidRPr="00950715" w:rsidRDefault="0072020E" w:rsidP="00D62C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9.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Pr="00950715">
        <w:rPr>
          <w:b/>
          <w:bCs/>
          <w:sz w:val="22"/>
          <w:szCs w:val="22"/>
          <w:lang w:val="sr-Latn-ME"/>
        </w:rPr>
        <w:t xml:space="preserve">DATUM </w:t>
      </w:r>
      <w:r w:rsidR="00C05DF8" w:rsidRPr="00950715">
        <w:rPr>
          <w:b/>
          <w:bCs/>
          <w:sz w:val="22"/>
          <w:szCs w:val="22"/>
          <w:lang w:val="sr-Latn-ME"/>
        </w:rPr>
        <w:t xml:space="preserve">PRVE </w:t>
      </w:r>
      <w:r w:rsidR="008A6D43" w:rsidRPr="00950715">
        <w:rPr>
          <w:b/>
          <w:bCs/>
          <w:sz w:val="22"/>
          <w:szCs w:val="22"/>
          <w:lang w:val="sr-Latn-ME"/>
        </w:rPr>
        <w:t>DOZVOLE</w:t>
      </w:r>
      <w:r w:rsidR="00C05DF8" w:rsidRPr="00950715">
        <w:rPr>
          <w:b/>
          <w:bCs/>
          <w:sz w:val="22"/>
          <w:szCs w:val="22"/>
          <w:lang w:val="sr-Latn-ME"/>
        </w:rPr>
        <w:t>/OBNOVE DOZVOLE</w:t>
      </w:r>
      <w:r w:rsidR="008A6D43" w:rsidRPr="00950715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71AAE19" w14:textId="77777777" w:rsidR="0072020E" w:rsidRPr="00950715" w:rsidRDefault="0072020E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01A496" w14:textId="45F80C0A" w:rsidR="00F05724" w:rsidRPr="00950715" w:rsidRDefault="00984976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>Datum prve dozvole</w:t>
      </w:r>
      <w:r w:rsidR="00DF3FBA" w:rsidRPr="00950715">
        <w:rPr>
          <w:bCs/>
          <w:sz w:val="22"/>
          <w:szCs w:val="22"/>
          <w:lang w:val="sr-Latn-ME"/>
        </w:rPr>
        <w:t>: 27.06.2013. godine</w:t>
      </w:r>
    </w:p>
    <w:p w14:paraId="7751D72B" w14:textId="3EBE4DFC" w:rsidR="00984976" w:rsidRPr="00950715" w:rsidRDefault="00984976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50715">
        <w:rPr>
          <w:bCs/>
          <w:sz w:val="22"/>
          <w:szCs w:val="22"/>
          <w:lang w:val="sr-Latn-ME"/>
        </w:rPr>
        <w:t>Datum posljednje obnove dozvole:</w:t>
      </w:r>
      <w:r w:rsidR="00950715" w:rsidRPr="00950715">
        <w:rPr>
          <w:sz w:val="22"/>
          <w:szCs w:val="22"/>
          <w:lang w:val="sr-Latn-ME"/>
        </w:rPr>
        <w:t xml:space="preserve"> </w:t>
      </w:r>
      <w:r w:rsidR="00950715" w:rsidRPr="00950715">
        <w:rPr>
          <w:sz w:val="22"/>
          <w:szCs w:val="22"/>
          <w:lang w:val="sr-Latn-ME"/>
        </w:rPr>
        <w:t>17.03.2025. godine</w:t>
      </w:r>
    </w:p>
    <w:p w14:paraId="271AAE1A" w14:textId="77777777" w:rsidR="00836B35" w:rsidRPr="00950715" w:rsidRDefault="00836B35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352B5B41" w14:textId="77777777" w:rsidR="00DF3FBA" w:rsidRPr="00950715" w:rsidRDefault="00DF3FBA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E1B" w14:textId="77777777" w:rsidR="003F6A59" w:rsidRPr="00950715" w:rsidRDefault="0072020E" w:rsidP="00D62C2F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950715">
        <w:rPr>
          <w:b/>
          <w:bCs/>
          <w:sz w:val="22"/>
          <w:szCs w:val="22"/>
          <w:lang w:val="sr-Latn-ME"/>
        </w:rPr>
        <w:t xml:space="preserve">10. </w:t>
      </w:r>
      <w:r w:rsidR="00480FB1" w:rsidRPr="00950715">
        <w:rPr>
          <w:b/>
          <w:bCs/>
          <w:sz w:val="22"/>
          <w:szCs w:val="22"/>
          <w:lang w:val="sr-Latn-ME"/>
        </w:rPr>
        <w:tab/>
      </w:r>
      <w:r w:rsidR="002846DB" w:rsidRPr="00950715">
        <w:rPr>
          <w:b/>
          <w:bCs/>
          <w:sz w:val="22"/>
          <w:szCs w:val="22"/>
          <w:lang w:val="sr-Latn-ME"/>
        </w:rPr>
        <w:t>D</w:t>
      </w:r>
      <w:r w:rsidR="00EC2532" w:rsidRPr="00950715">
        <w:rPr>
          <w:b/>
          <w:bCs/>
          <w:sz w:val="22"/>
          <w:szCs w:val="22"/>
          <w:lang w:val="sr-Latn-ME"/>
        </w:rPr>
        <w:t xml:space="preserve">ATUM REVIZIJE TEKSTA </w:t>
      </w:r>
    </w:p>
    <w:p w14:paraId="271AAE1C" w14:textId="77777777" w:rsidR="003F6A59" w:rsidRPr="00950715" w:rsidRDefault="003F6A59" w:rsidP="00D62C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AAE24" w14:textId="6A546446" w:rsidR="003F6A59" w:rsidRPr="00950715" w:rsidRDefault="00950715" w:rsidP="00D62C2F">
      <w:pPr>
        <w:jc w:val="both"/>
        <w:rPr>
          <w:sz w:val="22"/>
          <w:szCs w:val="22"/>
          <w:lang w:val="sr-Latn-ME"/>
        </w:rPr>
      </w:pPr>
      <w:r w:rsidRPr="00950715">
        <w:rPr>
          <w:sz w:val="22"/>
          <w:szCs w:val="22"/>
          <w:lang w:val="sr-Latn-ME"/>
        </w:rPr>
        <w:t>Mart, 2025. godine</w:t>
      </w:r>
    </w:p>
    <w:sectPr w:rsidR="003F6A59" w:rsidRPr="00950715" w:rsidSect="00E511C6">
      <w:footerReference w:type="default" r:id="rId14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7E9CB" w14:textId="77777777" w:rsidR="00943368" w:rsidRDefault="00943368">
      <w:r>
        <w:separator/>
      </w:r>
    </w:p>
  </w:endnote>
  <w:endnote w:type="continuationSeparator" w:id="0">
    <w:p w14:paraId="1C8C66FF" w14:textId="77777777" w:rsidR="00943368" w:rsidRDefault="0094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AE2D" w14:textId="528DE288" w:rsidR="00EF3B86" w:rsidRPr="00950715" w:rsidRDefault="00EF3B86" w:rsidP="00B23F69">
    <w:pPr>
      <w:pStyle w:val="Footer"/>
      <w:jc w:val="center"/>
      <w:rPr>
        <w:sz w:val="22"/>
        <w:szCs w:val="22"/>
      </w:rPr>
    </w:pPr>
    <w:r w:rsidRPr="00950715">
      <w:rPr>
        <w:sz w:val="22"/>
        <w:szCs w:val="22"/>
      </w:rPr>
      <w:fldChar w:fldCharType="begin"/>
    </w:r>
    <w:r w:rsidRPr="00950715">
      <w:rPr>
        <w:sz w:val="22"/>
        <w:szCs w:val="22"/>
      </w:rPr>
      <w:instrText xml:space="preserve"> PAGE </w:instrText>
    </w:r>
    <w:r w:rsidRPr="00950715">
      <w:rPr>
        <w:sz w:val="22"/>
        <w:szCs w:val="22"/>
      </w:rPr>
      <w:fldChar w:fldCharType="separate"/>
    </w:r>
    <w:r w:rsidR="00950715">
      <w:rPr>
        <w:noProof/>
        <w:sz w:val="22"/>
        <w:szCs w:val="22"/>
      </w:rPr>
      <w:t>10</w:t>
    </w:r>
    <w:r w:rsidRPr="00950715">
      <w:rPr>
        <w:sz w:val="22"/>
        <w:szCs w:val="22"/>
      </w:rPr>
      <w:fldChar w:fldCharType="end"/>
    </w:r>
    <w:r w:rsidRPr="00950715">
      <w:rPr>
        <w:sz w:val="22"/>
        <w:szCs w:val="22"/>
      </w:rPr>
      <w:t xml:space="preserve"> / </w:t>
    </w:r>
    <w:r w:rsidRPr="00950715">
      <w:rPr>
        <w:sz w:val="22"/>
        <w:szCs w:val="22"/>
      </w:rPr>
      <w:fldChar w:fldCharType="begin"/>
    </w:r>
    <w:r w:rsidRPr="00950715">
      <w:rPr>
        <w:sz w:val="22"/>
        <w:szCs w:val="22"/>
      </w:rPr>
      <w:instrText xml:space="preserve"> NUMPAGES </w:instrText>
    </w:r>
    <w:r w:rsidRPr="00950715">
      <w:rPr>
        <w:sz w:val="22"/>
        <w:szCs w:val="22"/>
      </w:rPr>
      <w:fldChar w:fldCharType="separate"/>
    </w:r>
    <w:r w:rsidR="00950715">
      <w:rPr>
        <w:noProof/>
        <w:sz w:val="22"/>
        <w:szCs w:val="22"/>
      </w:rPr>
      <w:t>10</w:t>
    </w:r>
    <w:r w:rsidRPr="00950715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7BBFC" w14:textId="77777777" w:rsidR="00943368" w:rsidRDefault="00943368">
      <w:r>
        <w:separator/>
      </w:r>
    </w:p>
  </w:footnote>
  <w:footnote w:type="continuationSeparator" w:id="0">
    <w:p w14:paraId="18CA1CFD" w14:textId="77777777" w:rsidR="00943368" w:rsidRDefault="0094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4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5E1A48"/>
    <w:multiLevelType w:val="hybridMultilevel"/>
    <w:tmpl w:val="E3168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4F2279"/>
    <w:multiLevelType w:val="hybridMultilevel"/>
    <w:tmpl w:val="4DEE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D0B"/>
    <w:multiLevelType w:val="hybridMultilevel"/>
    <w:tmpl w:val="C816A82E"/>
    <w:lvl w:ilvl="0" w:tplc="0AE42428">
      <w:numFmt w:val="bullet"/>
      <w:lvlText w:val="-"/>
      <w:lvlJc w:val="left"/>
      <w:pPr>
        <w:ind w:left="36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5725E2"/>
    <w:multiLevelType w:val="hybridMultilevel"/>
    <w:tmpl w:val="EED050B0"/>
    <w:lvl w:ilvl="0" w:tplc="397A60C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D381F"/>
    <w:multiLevelType w:val="hybridMultilevel"/>
    <w:tmpl w:val="7CCE7A9E"/>
    <w:lvl w:ilvl="0" w:tplc="0AE42428">
      <w:numFmt w:val="bullet"/>
      <w:lvlText w:val="-"/>
      <w:lvlJc w:val="left"/>
      <w:pPr>
        <w:ind w:left="36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13A5216"/>
    <w:multiLevelType w:val="hybridMultilevel"/>
    <w:tmpl w:val="99FE298E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6821469"/>
    <w:multiLevelType w:val="hybridMultilevel"/>
    <w:tmpl w:val="4B00D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25E4A"/>
    <w:multiLevelType w:val="hybridMultilevel"/>
    <w:tmpl w:val="83D86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4E0D05"/>
    <w:multiLevelType w:val="hybridMultilevel"/>
    <w:tmpl w:val="5F989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746D0C"/>
    <w:multiLevelType w:val="hybridMultilevel"/>
    <w:tmpl w:val="7BE697BA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81A0C"/>
    <w:multiLevelType w:val="hybridMultilevel"/>
    <w:tmpl w:val="2BF6F816"/>
    <w:lvl w:ilvl="0" w:tplc="0AE42428">
      <w:numFmt w:val="bullet"/>
      <w:lvlText w:val="-"/>
      <w:lvlJc w:val="left"/>
      <w:pPr>
        <w:ind w:left="36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DE3C4A"/>
    <w:multiLevelType w:val="hybridMultilevel"/>
    <w:tmpl w:val="3BC6AE42"/>
    <w:lvl w:ilvl="0" w:tplc="8166BAC8">
      <w:start w:val="2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14"/>
  </w:num>
  <w:num w:numId="5">
    <w:abstractNumId w:val="7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20"/>
  </w:num>
  <w:num w:numId="11">
    <w:abstractNumId w:val="8"/>
  </w:num>
  <w:num w:numId="12">
    <w:abstractNumId w:val="10"/>
  </w:num>
  <w:num w:numId="13">
    <w:abstractNumId w:val="1"/>
  </w:num>
  <w:num w:numId="14">
    <w:abstractNumId w:val="17"/>
  </w:num>
  <w:num w:numId="15">
    <w:abstractNumId w:val="3"/>
  </w:num>
  <w:num w:numId="16">
    <w:abstractNumId w:val="21"/>
  </w:num>
  <w:num w:numId="17">
    <w:abstractNumId w:val="11"/>
  </w:num>
  <w:num w:numId="18">
    <w:abstractNumId w:val="4"/>
  </w:num>
  <w:num w:numId="19">
    <w:abstractNumId w:val="22"/>
  </w:num>
  <w:num w:numId="20">
    <w:abstractNumId w:val="16"/>
  </w:num>
  <w:num w:numId="21">
    <w:abstractNumId w:val="15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1DE5"/>
    <w:rsid w:val="00033469"/>
    <w:rsid w:val="00036FA0"/>
    <w:rsid w:val="0003753B"/>
    <w:rsid w:val="0003793F"/>
    <w:rsid w:val="00044A1C"/>
    <w:rsid w:val="00045130"/>
    <w:rsid w:val="000504E2"/>
    <w:rsid w:val="00057E35"/>
    <w:rsid w:val="00060F79"/>
    <w:rsid w:val="00075E28"/>
    <w:rsid w:val="00076726"/>
    <w:rsid w:val="00080303"/>
    <w:rsid w:val="00083D02"/>
    <w:rsid w:val="00097675"/>
    <w:rsid w:val="000A10C1"/>
    <w:rsid w:val="000A37E3"/>
    <w:rsid w:val="000A3F58"/>
    <w:rsid w:val="000A56E4"/>
    <w:rsid w:val="000C67CF"/>
    <w:rsid w:val="000D2343"/>
    <w:rsid w:val="000D3449"/>
    <w:rsid w:val="000D425A"/>
    <w:rsid w:val="000D4688"/>
    <w:rsid w:val="000D60CC"/>
    <w:rsid w:val="000E2084"/>
    <w:rsid w:val="000E6F55"/>
    <w:rsid w:val="000F77FA"/>
    <w:rsid w:val="00103E07"/>
    <w:rsid w:val="00104F0E"/>
    <w:rsid w:val="001067E4"/>
    <w:rsid w:val="001079A3"/>
    <w:rsid w:val="00107BF7"/>
    <w:rsid w:val="00113970"/>
    <w:rsid w:val="00114EBC"/>
    <w:rsid w:val="00126F53"/>
    <w:rsid w:val="0014083A"/>
    <w:rsid w:val="001459DB"/>
    <w:rsid w:val="0014766D"/>
    <w:rsid w:val="001536CC"/>
    <w:rsid w:val="00160E17"/>
    <w:rsid w:val="001656D7"/>
    <w:rsid w:val="00181EF7"/>
    <w:rsid w:val="00184052"/>
    <w:rsid w:val="00191E00"/>
    <w:rsid w:val="001967C7"/>
    <w:rsid w:val="001A1646"/>
    <w:rsid w:val="001A3FBA"/>
    <w:rsid w:val="001A5518"/>
    <w:rsid w:val="001B1C6A"/>
    <w:rsid w:val="001C1263"/>
    <w:rsid w:val="001C1417"/>
    <w:rsid w:val="001E390B"/>
    <w:rsid w:val="001F42FB"/>
    <w:rsid w:val="001F4D23"/>
    <w:rsid w:val="001F719A"/>
    <w:rsid w:val="00201006"/>
    <w:rsid w:val="002031B3"/>
    <w:rsid w:val="00203FEB"/>
    <w:rsid w:val="00210443"/>
    <w:rsid w:val="002133B3"/>
    <w:rsid w:val="00213E16"/>
    <w:rsid w:val="00215931"/>
    <w:rsid w:val="002216A1"/>
    <w:rsid w:val="00224C91"/>
    <w:rsid w:val="00227BDB"/>
    <w:rsid w:val="00234CB1"/>
    <w:rsid w:val="002352F8"/>
    <w:rsid w:val="00243901"/>
    <w:rsid w:val="002510A5"/>
    <w:rsid w:val="00251882"/>
    <w:rsid w:val="00254A0A"/>
    <w:rsid w:val="00266046"/>
    <w:rsid w:val="002721C9"/>
    <w:rsid w:val="0027311F"/>
    <w:rsid w:val="0027362B"/>
    <w:rsid w:val="002846DB"/>
    <w:rsid w:val="00284CCD"/>
    <w:rsid w:val="00291507"/>
    <w:rsid w:val="002A561E"/>
    <w:rsid w:val="002C6637"/>
    <w:rsid w:val="002D1CE6"/>
    <w:rsid w:val="002E0135"/>
    <w:rsid w:val="002E2B6D"/>
    <w:rsid w:val="002E37A5"/>
    <w:rsid w:val="002E6284"/>
    <w:rsid w:val="002F0571"/>
    <w:rsid w:val="00310F03"/>
    <w:rsid w:val="003247D2"/>
    <w:rsid w:val="00336FE5"/>
    <w:rsid w:val="003445C1"/>
    <w:rsid w:val="00347845"/>
    <w:rsid w:val="003508CC"/>
    <w:rsid w:val="00352B0F"/>
    <w:rsid w:val="00353F88"/>
    <w:rsid w:val="00355B61"/>
    <w:rsid w:val="00362686"/>
    <w:rsid w:val="003647C4"/>
    <w:rsid w:val="00371510"/>
    <w:rsid w:val="00373398"/>
    <w:rsid w:val="00381C43"/>
    <w:rsid w:val="00386963"/>
    <w:rsid w:val="00392762"/>
    <w:rsid w:val="00396DFD"/>
    <w:rsid w:val="003A7059"/>
    <w:rsid w:val="003B7A36"/>
    <w:rsid w:val="003C17AB"/>
    <w:rsid w:val="003C74E8"/>
    <w:rsid w:val="003C7823"/>
    <w:rsid w:val="003D165E"/>
    <w:rsid w:val="003E1DCC"/>
    <w:rsid w:val="003E5D1F"/>
    <w:rsid w:val="003F11A1"/>
    <w:rsid w:val="003F1767"/>
    <w:rsid w:val="003F1E7F"/>
    <w:rsid w:val="003F6A59"/>
    <w:rsid w:val="004065C8"/>
    <w:rsid w:val="004109FA"/>
    <w:rsid w:val="00411B4B"/>
    <w:rsid w:val="00415BEE"/>
    <w:rsid w:val="004254E9"/>
    <w:rsid w:val="00427F85"/>
    <w:rsid w:val="004349E4"/>
    <w:rsid w:val="00436F42"/>
    <w:rsid w:val="004378B4"/>
    <w:rsid w:val="00451314"/>
    <w:rsid w:val="0045157B"/>
    <w:rsid w:val="00452560"/>
    <w:rsid w:val="00452E9D"/>
    <w:rsid w:val="004534C7"/>
    <w:rsid w:val="00455215"/>
    <w:rsid w:val="00455BBD"/>
    <w:rsid w:val="004671AA"/>
    <w:rsid w:val="00471DF8"/>
    <w:rsid w:val="00480FB1"/>
    <w:rsid w:val="00483928"/>
    <w:rsid w:val="00495EF7"/>
    <w:rsid w:val="00496512"/>
    <w:rsid w:val="004B7680"/>
    <w:rsid w:val="004C2E69"/>
    <w:rsid w:val="004C331F"/>
    <w:rsid w:val="004C7CA2"/>
    <w:rsid w:val="004D2330"/>
    <w:rsid w:val="004D6103"/>
    <w:rsid w:val="004E3BCE"/>
    <w:rsid w:val="004E70AD"/>
    <w:rsid w:val="004F0E97"/>
    <w:rsid w:val="004F17E2"/>
    <w:rsid w:val="00501DD1"/>
    <w:rsid w:val="00503557"/>
    <w:rsid w:val="00515C21"/>
    <w:rsid w:val="00530BD7"/>
    <w:rsid w:val="00543E45"/>
    <w:rsid w:val="00545CD2"/>
    <w:rsid w:val="005476F3"/>
    <w:rsid w:val="00561C6B"/>
    <w:rsid w:val="00562F58"/>
    <w:rsid w:val="00572527"/>
    <w:rsid w:val="0057281B"/>
    <w:rsid w:val="00573E40"/>
    <w:rsid w:val="00576348"/>
    <w:rsid w:val="00580888"/>
    <w:rsid w:val="005827D7"/>
    <w:rsid w:val="00592569"/>
    <w:rsid w:val="005A0B2E"/>
    <w:rsid w:val="005A23D2"/>
    <w:rsid w:val="005A36CB"/>
    <w:rsid w:val="005B49B8"/>
    <w:rsid w:val="005B6143"/>
    <w:rsid w:val="005B7114"/>
    <w:rsid w:val="005C0741"/>
    <w:rsid w:val="005C298A"/>
    <w:rsid w:val="005C5EF4"/>
    <w:rsid w:val="005E2E0B"/>
    <w:rsid w:val="005E67AD"/>
    <w:rsid w:val="005E7A7D"/>
    <w:rsid w:val="00602457"/>
    <w:rsid w:val="00606FB3"/>
    <w:rsid w:val="0061480C"/>
    <w:rsid w:val="006218E5"/>
    <w:rsid w:val="00640135"/>
    <w:rsid w:val="00644FC3"/>
    <w:rsid w:val="00646BD1"/>
    <w:rsid w:val="006561C2"/>
    <w:rsid w:val="00671CB3"/>
    <w:rsid w:val="00674BAF"/>
    <w:rsid w:val="006766C2"/>
    <w:rsid w:val="00682200"/>
    <w:rsid w:val="00684D3B"/>
    <w:rsid w:val="00692850"/>
    <w:rsid w:val="00692BF6"/>
    <w:rsid w:val="00695D64"/>
    <w:rsid w:val="00697B7D"/>
    <w:rsid w:val="006A1351"/>
    <w:rsid w:val="006A1497"/>
    <w:rsid w:val="006A5D0F"/>
    <w:rsid w:val="006B0BD1"/>
    <w:rsid w:val="006B256A"/>
    <w:rsid w:val="006B5404"/>
    <w:rsid w:val="006D20A5"/>
    <w:rsid w:val="006D37BF"/>
    <w:rsid w:val="006D6A56"/>
    <w:rsid w:val="00702E22"/>
    <w:rsid w:val="00716DAE"/>
    <w:rsid w:val="0072020E"/>
    <w:rsid w:val="0072080F"/>
    <w:rsid w:val="00725EA0"/>
    <w:rsid w:val="00730BD4"/>
    <w:rsid w:val="00744B5C"/>
    <w:rsid w:val="00751045"/>
    <w:rsid w:val="00753E40"/>
    <w:rsid w:val="00754902"/>
    <w:rsid w:val="00760DC1"/>
    <w:rsid w:val="00776BEA"/>
    <w:rsid w:val="007800A7"/>
    <w:rsid w:val="00781236"/>
    <w:rsid w:val="00786071"/>
    <w:rsid w:val="00790A2C"/>
    <w:rsid w:val="007A3ECB"/>
    <w:rsid w:val="007A62DC"/>
    <w:rsid w:val="007B51F2"/>
    <w:rsid w:val="007C069F"/>
    <w:rsid w:val="007C2A58"/>
    <w:rsid w:val="007C4AEE"/>
    <w:rsid w:val="007D7BB3"/>
    <w:rsid w:val="007E31E9"/>
    <w:rsid w:val="007F08AB"/>
    <w:rsid w:val="007F1ACC"/>
    <w:rsid w:val="007F4BA0"/>
    <w:rsid w:val="00805736"/>
    <w:rsid w:val="00820A5E"/>
    <w:rsid w:val="00822692"/>
    <w:rsid w:val="00824AB9"/>
    <w:rsid w:val="008359F9"/>
    <w:rsid w:val="00835A50"/>
    <w:rsid w:val="00836B35"/>
    <w:rsid w:val="00843578"/>
    <w:rsid w:val="00843BDE"/>
    <w:rsid w:val="00844A85"/>
    <w:rsid w:val="00846048"/>
    <w:rsid w:val="00867A8C"/>
    <w:rsid w:val="008719FB"/>
    <w:rsid w:val="0087588C"/>
    <w:rsid w:val="00886222"/>
    <w:rsid w:val="00886C4A"/>
    <w:rsid w:val="00891C02"/>
    <w:rsid w:val="0089705C"/>
    <w:rsid w:val="008A0A04"/>
    <w:rsid w:val="008A6D43"/>
    <w:rsid w:val="008A7644"/>
    <w:rsid w:val="008B491E"/>
    <w:rsid w:val="008B7B3E"/>
    <w:rsid w:val="008C1A28"/>
    <w:rsid w:val="008C2E98"/>
    <w:rsid w:val="008D7831"/>
    <w:rsid w:val="008E3695"/>
    <w:rsid w:val="008E49BD"/>
    <w:rsid w:val="008E53E9"/>
    <w:rsid w:val="008E5771"/>
    <w:rsid w:val="008F18F9"/>
    <w:rsid w:val="008F4ACF"/>
    <w:rsid w:val="009203CC"/>
    <w:rsid w:val="00924166"/>
    <w:rsid w:val="00940B9B"/>
    <w:rsid w:val="00943368"/>
    <w:rsid w:val="00950715"/>
    <w:rsid w:val="00953573"/>
    <w:rsid w:val="0095676E"/>
    <w:rsid w:val="00956983"/>
    <w:rsid w:val="00957CE6"/>
    <w:rsid w:val="00962468"/>
    <w:rsid w:val="00963CF0"/>
    <w:rsid w:val="00964BB1"/>
    <w:rsid w:val="00966F81"/>
    <w:rsid w:val="00971A0A"/>
    <w:rsid w:val="0097745D"/>
    <w:rsid w:val="009775D9"/>
    <w:rsid w:val="00984976"/>
    <w:rsid w:val="00985AFD"/>
    <w:rsid w:val="0098738B"/>
    <w:rsid w:val="00997175"/>
    <w:rsid w:val="009A1847"/>
    <w:rsid w:val="009B062A"/>
    <w:rsid w:val="009C0262"/>
    <w:rsid w:val="009C34A3"/>
    <w:rsid w:val="009C7856"/>
    <w:rsid w:val="009E7C6F"/>
    <w:rsid w:val="009E7EB6"/>
    <w:rsid w:val="009F03FA"/>
    <w:rsid w:val="009F1793"/>
    <w:rsid w:val="009F2D23"/>
    <w:rsid w:val="00A01D69"/>
    <w:rsid w:val="00A02335"/>
    <w:rsid w:val="00A10DA7"/>
    <w:rsid w:val="00A343EA"/>
    <w:rsid w:val="00A46C9A"/>
    <w:rsid w:val="00A569AA"/>
    <w:rsid w:val="00A619F3"/>
    <w:rsid w:val="00A62A73"/>
    <w:rsid w:val="00A62BE1"/>
    <w:rsid w:val="00A65341"/>
    <w:rsid w:val="00A663D7"/>
    <w:rsid w:val="00A75360"/>
    <w:rsid w:val="00A87FF6"/>
    <w:rsid w:val="00AA0A3B"/>
    <w:rsid w:val="00AA2763"/>
    <w:rsid w:val="00AA33B6"/>
    <w:rsid w:val="00AA6296"/>
    <w:rsid w:val="00AB50CA"/>
    <w:rsid w:val="00AB58A5"/>
    <w:rsid w:val="00AB6D64"/>
    <w:rsid w:val="00AC012C"/>
    <w:rsid w:val="00AC1B84"/>
    <w:rsid w:val="00AC53CE"/>
    <w:rsid w:val="00AC6693"/>
    <w:rsid w:val="00AD2193"/>
    <w:rsid w:val="00AF19F4"/>
    <w:rsid w:val="00AF2AC7"/>
    <w:rsid w:val="00AF74CE"/>
    <w:rsid w:val="00AF7867"/>
    <w:rsid w:val="00B07362"/>
    <w:rsid w:val="00B1205A"/>
    <w:rsid w:val="00B1697A"/>
    <w:rsid w:val="00B208DB"/>
    <w:rsid w:val="00B23F69"/>
    <w:rsid w:val="00B31372"/>
    <w:rsid w:val="00B45525"/>
    <w:rsid w:val="00B60619"/>
    <w:rsid w:val="00B61203"/>
    <w:rsid w:val="00B62AEF"/>
    <w:rsid w:val="00B66A70"/>
    <w:rsid w:val="00B67366"/>
    <w:rsid w:val="00B80EE1"/>
    <w:rsid w:val="00B84135"/>
    <w:rsid w:val="00BA6A42"/>
    <w:rsid w:val="00BB25D0"/>
    <w:rsid w:val="00BB2691"/>
    <w:rsid w:val="00BB2E42"/>
    <w:rsid w:val="00BC0068"/>
    <w:rsid w:val="00BC6F1A"/>
    <w:rsid w:val="00BD2FF5"/>
    <w:rsid w:val="00BD3B32"/>
    <w:rsid w:val="00BD60CF"/>
    <w:rsid w:val="00BE01CE"/>
    <w:rsid w:val="00BF513C"/>
    <w:rsid w:val="00C0093A"/>
    <w:rsid w:val="00C03E9D"/>
    <w:rsid w:val="00C04D34"/>
    <w:rsid w:val="00C05DF8"/>
    <w:rsid w:val="00C06864"/>
    <w:rsid w:val="00C10F54"/>
    <w:rsid w:val="00C23D8D"/>
    <w:rsid w:val="00C259D9"/>
    <w:rsid w:val="00C32103"/>
    <w:rsid w:val="00C356C5"/>
    <w:rsid w:val="00C35834"/>
    <w:rsid w:val="00C35C0E"/>
    <w:rsid w:val="00C37AA3"/>
    <w:rsid w:val="00C37FD7"/>
    <w:rsid w:val="00C43419"/>
    <w:rsid w:val="00C44CF3"/>
    <w:rsid w:val="00C45275"/>
    <w:rsid w:val="00C52B00"/>
    <w:rsid w:val="00C537BF"/>
    <w:rsid w:val="00C61BE0"/>
    <w:rsid w:val="00C64D8A"/>
    <w:rsid w:val="00C65D9E"/>
    <w:rsid w:val="00C6707E"/>
    <w:rsid w:val="00C70B0E"/>
    <w:rsid w:val="00C773CA"/>
    <w:rsid w:val="00C77C94"/>
    <w:rsid w:val="00C80D34"/>
    <w:rsid w:val="00C83785"/>
    <w:rsid w:val="00C85515"/>
    <w:rsid w:val="00C92F21"/>
    <w:rsid w:val="00C94C0D"/>
    <w:rsid w:val="00CA0994"/>
    <w:rsid w:val="00CA1FEB"/>
    <w:rsid w:val="00CA52B0"/>
    <w:rsid w:val="00CA65CD"/>
    <w:rsid w:val="00CC45AD"/>
    <w:rsid w:val="00CC7B9E"/>
    <w:rsid w:val="00CD4F85"/>
    <w:rsid w:val="00CD6F02"/>
    <w:rsid w:val="00CD6F43"/>
    <w:rsid w:val="00CE246D"/>
    <w:rsid w:val="00CF07A0"/>
    <w:rsid w:val="00CF3E03"/>
    <w:rsid w:val="00D0082A"/>
    <w:rsid w:val="00D12242"/>
    <w:rsid w:val="00D1331E"/>
    <w:rsid w:val="00D21455"/>
    <w:rsid w:val="00D35B7D"/>
    <w:rsid w:val="00D47634"/>
    <w:rsid w:val="00D5479A"/>
    <w:rsid w:val="00D577CF"/>
    <w:rsid w:val="00D62C2F"/>
    <w:rsid w:val="00D709B3"/>
    <w:rsid w:val="00D72079"/>
    <w:rsid w:val="00D74CD2"/>
    <w:rsid w:val="00D81ED7"/>
    <w:rsid w:val="00D86733"/>
    <w:rsid w:val="00D97B8E"/>
    <w:rsid w:val="00DA2ED6"/>
    <w:rsid w:val="00DA48AA"/>
    <w:rsid w:val="00DA5A2B"/>
    <w:rsid w:val="00DB0B32"/>
    <w:rsid w:val="00DB1D55"/>
    <w:rsid w:val="00DB76B8"/>
    <w:rsid w:val="00DC2EA1"/>
    <w:rsid w:val="00DD418F"/>
    <w:rsid w:val="00DD6AAF"/>
    <w:rsid w:val="00DE1CE0"/>
    <w:rsid w:val="00DE3F5C"/>
    <w:rsid w:val="00DF1D20"/>
    <w:rsid w:val="00DF3FBA"/>
    <w:rsid w:val="00DF4C70"/>
    <w:rsid w:val="00E02917"/>
    <w:rsid w:val="00E10F98"/>
    <w:rsid w:val="00E153FE"/>
    <w:rsid w:val="00E21324"/>
    <w:rsid w:val="00E246B9"/>
    <w:rsid w:val="00E30FF9"/>
    <w:rsid w:val="00E31FEA"/>
    <w:rsid w:val="00E370F6"/>
    <w:rsid w:val="00E43F37"/>
    <w:rsid w:val="00E45169"/>
    <w:rsid w:val="00E47787"/>
    <w:rsid w:val="00E511C6"/>
    <w:rsid w:val="00E51C30"/>
    <w:rsid w:val="00E56E71"/>
    <w:rsid w:val="00E61E0C"/>
    <w:rsid w:val="00E63213"/>
    <w:rsid w:val="00E64180"/>
    <w:rsid w:val="00E658DB"/>
    <w:rsid w:val="00E7235D"/>
    <w:rsid w:val="00E74AEE"/>
    <w:rsid w:val="00E85F89"/>
    <w:rsid w:val="00E868E5"/>
    <w:rsid w:val="00E9237A"/>
    <w:rsid w:val="00E924F1"/>
    <w:rsid w:val="00E939FA"/>
    <w:rsid w:val="00EA5765"/>
    <w:rsid w:val="00EB25EA"/>
    <w:rsid w:val="00EB408F"/>
    <w:rsid w:val="00EC2532"/>
    <w:rsid w:val="00EC33AE"/>
    <w:rsid w:val="00ED7812"/>
    <w:rsid w:val="00EF3B86"/>
    <w:rsid w:val="00F05724"/>
    <w:rsid w:val="00F145B7"/>
    <w:rsid w:val="00F15874"/>
    <w:rsid w:val="00F17A59"/>
    <w:rsid w:val="00F200F4"/>
    <w:rsid w:val="00F317E9"/>
    <w:rsid w:val="00F34554"/>
    <w:rsid w:val="00F35B68"/>
    <w:rsid w:val="00F37314"/>
    <w:rsid w:val="00F43303"/>
    <w:rsid w:val="00F45F77"/>
    <w:rsid w:val="00F4653B"/>
    <w:rsid w:val="00F5167F"/>
    <w:rsid w:val="00F52258"/>
    <w:rsid w:val="00F735C1"/>
    <w:rsid w:val="00F819EE"/>
    <w:rsid w:val="00F8570A"/>
    <w:rsid w:val="00F87D01"/>
    <w:rsid w:val="00F91C7B"/>
    <w:rsid w:val="00F93C84"/>
    <w:rsid w:val="00F94D73"/>
    <w:rsid w:val="00FA35D1"/>
    <w:rsid w:val="00FB53B5"/>
    <w:rsid w:val="00FB5E28"/>
    <w:rsid w:val="00FC2959"/>
    <w:rsid w:val="00FF0A65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AADAF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692"/>
    <w:pPr>
      <w:ind w:left="720"/>
      <w:contextualSpacing/>
    </w:pPr>
  </w:style>
  <w:style w:type="paragraph" w:styleId="Revision">
    <w:name w:val="Revision"/>
    <w:hidden/>
    <w:uiPriority w:val="99"/>
    <w:semiHidden/>
    <w:rsid w:val="00EB408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C66F8-4253-4FC3-A977-C78E1E68A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CF018-0114-4D47-A347-4D606026E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0281C-B152-46B0-AE35-4964D5DC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3350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22404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7</cp:revision>
  <cp:lastPrinted>2023-02-09T08:16:00Z</cp:lastPrinted>
  <dcterms:created xsi:type="dcterms:W3CDTF">2025-02-21T07:48:00Z</dcterms:created>
  <dcterms:modified xsi:type="dcterms:W3CDTF">2025-03-17T12:27:00Z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