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E5FE35" w14:textId="77777777" w:rsidR="002510A5" w:rsidRPr="00B8307D" w:rsidRDefault="002510A5" w:rsidP="000A067B">
      <w:pPr>
        <w:widowControl w:val="0"/>
        <w:jc w:val="center"/>
        <w:rPr>
          <w:b/>
          <w:bCs/>
          <w:iCs/>
          <w:sz w:val="22"/>
          <w:szCs w:val="22"/>
          <w:u w:val="single"/>
          <w:lang w:val="sr-Latn-ME"/>
        </w:rPr>
      </w:pPr>
      <w:r w:rsidRPr="00B8307D">
        <w:rPr>
          <w:b/>
          <w:bCs/>
          <w:iCs/>
          <w:sz w:val="22"/>
          <w:szCs w:val="22"/>
          <w:u w:val="single"/>
          <w:lang w:val="sr-Latn-ME"/>
        </w:rPr>
        <w:t>SAŽETAK KARAKTERISTIKA LIJEKA</w:t>
      </w:r>
    </w:p>
    <w:p w14:paraId="1FE5FE36" w14:textId="77777777" w:rsidR="002510A5" w:rsidRPr="00B8307D" w:rsidRDefault="002510A5" w:rsidP="000A067B">
      <w:pPr>
        <w:widowControl w:val="0"/>
        <w:rPr>
          <w:b/>
          <w:bCs/>
          <w:i/>
          <w:iCs/>
          <w:sz w:val="22"/>
          <w:szCs w:val="22"/>
          <w:u w:val="single"/>
          <w:lang w:val="sr-Latn-ME"/>
        </w:rPr>
      </w:pPr>
    </w:p>
    <w:p w14:paraId="1FE5FE37" w14:textId="77777777" w:rsidR="003C17AB" w:rsidRPr="00B8307D" w:rsidRDefault="003C17AB" w:rsidP="000A067B">
      <w:pPr>
        <w:widowControl w:val="0"/>
        <w:rPr>
          <w:sz w:val="22"/>
          <w:szCs w:val="22"/>
          <w:lang w:val="sr-Latn-ME"/>
        </w:rPr>
      </w:pPr>
    </w:p>
    <w:p w14:paraId="1FE5FE3B" w14:textId="77777777" w:rsidR="00411B4B" w:rsidRPr="00B8307D" w:rsidRDefault="00411B4B" w:rsidP="000A067B">
      <w:pPr>
        <w:widowControl w:val="0"/>
        <w:tabs>
          <w:tab w:val="left" w:pos="540"/>
          <w:tab w:val="left" w:pos="569"/>
        </w:tabs>
        <w:rPr>
          <w:b/>
          <w:bCs/>
          <w:sz w:val="22"/>
          <w:szCs w:val="22"/>
          <w:lang w:val="sr-Latn-ME"/>
        </w:rPr>
      </w:pPr>
      <w:r w:rsidRPr="00B8307D">
        <w:rPr>
          <w:b/>
          <w:bCs/>
          <w:sz w:val="22"/>
          <w:szCs w:val="22"/>
          <w:lang w:val="sr-Latn-ME"/>
        </w:rPr>
        <w:t>1.</w:t>
      </w:r>
      <w:r w:rsidR="00F5167F" w:rsidRPr="00B8307D">
        <w:rPr>
          <w:b/>
          <w:bCs/>
          <w:sz w:val="22"/>
          <w:szCs w:val="22"/>
          <w:lang w:val="sr-Latn-ME"/>
        </w:rPr>
        <w:tab/>
      </w:r>
      <w:r w:rsidR="002846DB" w:rsidRPr="00B8307D">
        <w:rPr>
          <w:b/>
          <w:bCs/>
          <w:sz w:val="22"/>
          <w:szCs w:val="22"/>
          <w:lang w:val="sr-Latn-ME"/>
        </w:rPr>
        <w:t xml:space="preserve">NAZIV </w:t>
      </w:r>
      <w:r w:rsidRPr="00B8307D">
        <w:rPr>
          <w:b/>
          <w:bCs/>
          <w:sz w:val="22"/>
          <w:szCs w:val="22"/>
          <w:lang w:val="sr-Latn-ME"/>
        </w:rPr>
        <w:t>LIJEKA</w:t>
      </w:r>
    </w:p>
    <w:p w14:paraId="1FE5FE3C" w14:textId="77777777" w:rsidR="00EC2532" w:rsidRPr="00B8307D" w:rsidRDefault="00EC2532" w:rsidP="000A067B">
      <w:pPr>
        <w:widowControl w:val="0"/>
        <w:rPr>
          <w:sz w:val="22"/>
          <w:szCs w:val="22"/>
          <w:lang w:val="sr-Latn-ME"/>
        </w:rPr>
      </w:pPr>
    </w:p>
    <w:p w14:paraId="1FE5FE3E" w14:textId="124BEC7F" w:rsidR="000D425A" w:rsidRPr="00B8307D" w:rsidRDefault="00370785" w:rsidP="000A067B">
      <w:pPr>
        <w:widowControl w:val="0"/>
        <w:rPr>
          <w:iCs/>
          <w:sz w:val="22"/>
          <w:szCs w:val="22"/>
          <w:lang w:val="sr-Latn-ME"/>
        </w:rPr>
      </w:pPr>
      <w:r w:rsidRPr="00B8307D">
        <w:rPr>
          <w:iCs/>
          <w:sz w:val="22"/>
          <w:szCs w:val="22"/>
          <w:lang w:val="sr-Latn-ME"/>
        </w:rPr>
        <w:t>Herceptin</w:t>
      </w:r>
      <w:r w:rsidR="004F6368" w:rsidRPr="00B8307D">
        <w:rPr>
          <w:iCs/>
          <w:sz w:val="22"/>
          <w:szCs w:val="22"/>
          <w:lang w:val="sr-Latn-ME"/>
        </w:rPr>
        <w:t>, 600 mg, rastvor za injekciju</w:t>
      </w:r>
    </w:p>
    <w:p w14:paraId="79E4DFE9" w14:textId="77777777" w:rsidR="00323C4D" w:rsidRPr="00B8307D" w:rsidRDefault="00323C4D" w:rsidP="000A067B">
      <w:pPr>
        <w:widowControl w:val="0"/>
        <w:rPr>
          <w:sz w:val="22"/>
          <w:szCs w:val="22"/>
          <w:lang w:val="sr-Latn-ME"/>
        </w:rPr>
      </w:pPr>
    </w:p>
    <w:p w14:paraId="1FE5FE3F" w14:textId="0690BE65" w:rsidR="006D20A5" w:rsidRPr="00B8307D" w:rsidRDefault="006D20A5" w:rsidP="000A067B">
      <w:pPr>
        <w:widowControl w:val="0"/>
        <w:rPr>
          <w:sz w:val="22"/>
          <w:szCs w:val="22"/>
          <w:lang w:val="sr-Latn-ME"/>
        </w:rPr>
      </w:pPr>
      <w:r w:rsidRPr="00B8307D">
        <w:rPr>
          <w:sz w:val="22"/>
          <w:szCs w:val="22"/>
          <w:lang w:val="sr-Latn-ME"/>
        </w:rPr>
        <w:t>INN:</w:t>
      </w:r>
      <w:r w:rsidR="004F6368" w:rsidRPr="00B8307D">
        <w:rPr>
          <w:sz w:val="22"/>
          <w:szCs w:val="22"/>
          <w:lang w:val="sr-Latn-ME"/>
        </w:rPr>
        <w:t xml:space="preserve"> trastuzumab</w:t>
      </w:r>
    </w:p>
    <w:p w14:paraId="1FE5FE40" w14:textId="77777777" w:rsidR="006D20A5" w:rsidRPr="00B8307D" w:rsidRDefault="006D20A5" w:rsidP="000A067B">
      <w:pPr>
        <w:widowControl w:val="0"/>
        <w:rPr>
          <w:bCs/>
          <w:sz w:val="22"/>
          <w:szCs w:val="22"/>
          <w:lang w:val="sr-Latn-ME"/>
        </w:rPr>
      </w:pPr>
    </w:p>
    <w:p w14:paraId="1FE5FE41" w14:textId="77777777" w:rsidR="00530BD7" w:rsidRPr="00B8307D" w:rsidRDefault="00530BD7" w:rsidP="000A067B">
      <w:pPr>
        <w:widowControl w:val="0"/>
        <w:rPr>
          <w:bCs/>
          <w:sz w:val="22"/>
          <w:szCs w:val="22"/>
          <w:lang w:val="sr-Latn-ME"/>
        </w:rPr>
      </w:pPr>
    </w:p>
    <w:p w14:paraId="1FE5FE42" w14:textId="1F676634" w:rsidR="00411B4B" w:rsidRPr="00B8307D" w:rsidRDefault="00411B4B" w:rsidP="000A067B">
      <w:pPr>
        <w:widowControl w:val="0"/>
        <w:tabs>
          <w:tab w:val="left" w:pos="540"/>
          <w:tab w:val="left" w:pos="569"/>
        </w:tabs>
        <w:rPr>
          <w:b/>
          <w:bCs/>
          <w:sz w:val="22"/>
          <w:szCs w:val="22"/>
          <w:lang w:val="sr-Latn-ME"/>
        </w:rPr>
      </w:pPr>
      <w:r w:rsidRPr="00B8307D">
        <w:rPr>
          <w:b/>
          <w:bCs/>
          <w:sz w:val="22"/>
          <w:szCs w:val="22"/>
          <w:lang w:val="sr-Latn-ME"/>
        </w:rPr>
        <w:t xml:space="preserve">2. </w:t>
      </w:r>
      <w:r w:rsidR="00F5167F" w:rsidRPr="00B8307D">
        <w:rPr>
          <w:b/>
          <w:bCs/>
          <w:sz w:val="22"/>
          <w:szCs w:val="22"/>
          <w:lang w:val="sr-Latn-ME"/>
        </w:rPr>
        <w:tab/>
      </w:r>
      <w:r w:rsidRPr="00B8307D">
        <w:rPr>
          <w:b/>
          <w:bCs/>
          <w:sz w:val="22"/>
          <w:szCs w:val="22"/>
          <w:lang w:val="sr-Latn-ME"/>
        </w:rPr>
        <w:t>KVALITATIVNI I KVANTITATIVNI SASTAV</w:t>
      </w:r>
    </w:p>
    <w:p w14:paraId="5CC89B5A" w14:textId="77777777" w:rsidR="004F6368" w:rsidRPr="00B8307D" w:rsidRDefault="004F6368" w:rsidP="000A067B">
      <w:pPr>
        <w:widowControl w:val="0"/>
        <w:tabs>
          <w:tab w:val="left" w:pos="540"/>
          <w:tab w:val="left" w:pos="569"/>
        </w:tabs>
        <w:rPr>
          <w:b/>
          <w:bCs/>
          <w:sz w:val="22"/>
          <w:szCs w:val="22"/>
          <w:lang w:val="sr-Latn-ME"/>
        </w:rPr>
      </w:pPr>
    </w:p>
    <w:p w14:paraId="198C9A33" w14:textId="77777777" w:rsidR="004F6368" w:rsidRPr="00B8307D" w:rsidRDefault="004F6368" w:rsidP="000A067B">
      <w:pPr>
        <w:widowControl w:val="0"/>
        <w:jc w:val="both"/>
        <w:rPr>
          <w:sz w:val="22"/>
          <w:szCs w:val="22"/>
          <w:lang w:val="sr-Latn-ME"/>
        </w:rPr>
      </w:pPr>
      <w:r w:rsidRPr="00B8307D">
        <w:rPr>
          <w:sz w:val="22"/>
          <w:szCs w:val="22"/>
          <w:lang w:val="sr-Latn-ME"/>
        </w:rPr>
        <w:t xml:space="preserve">Jedna bočica od 5ml sadrži 600 mg trastuzumaba, humanizovanog IgG1 monoklonskog antitijela koje se proizvodi iz ćelijske linije sisara (jajnici kineskog hrčka, </w:t>
      </w:r>
      <w:r w:rsidRPr="00B8307D">
        <w:rPr>
          <w:i/>
          <w:sz w:val="22"/>
          <w:szCs w:val="22"/>
          <w:lang w:val="sr-Latn-ME"/>
        </w:rPr>
        <w:t>CHO</w:t>
      </w:r>
      <w:r w:rsidRPr="00B8307D">
        <w:rPr>
          <w:sz w:val="22"/>
          <w:szCs w:val="22"/>
          <w:lang w:val="sr-Latn-ME"/>
        </w:rPr>
        <w:t>) i prečišćava afinitetnom i jonoizmjenjivačkom hromatografijom uključujući specifičnu inaktivaciju virusa i postupke uklanjanja.</w:t>
      </w:r>
    </w:p>
    <w:p w14:paraId="1FE5FE43" w14:textId="5EFBAECD" w:rsidR="005A0B2E" w:rsidRPr="00B8307D" w:rsidRDefault="005A0B2E" w:rsidP="000A067B">
      <w:pPr>
        <w:widowControl w:val="0"/>
        <w:rPr>
          <w:sz w:val="22"/>
          <w:szCs w:val="22"/>
          <w:lang w:val="sr-Latn-ME"/>
        </w:rPr>
      </w:pPr>
    </w:p>
    <w:p w14:paraId="1FE5FE44" w14:textId="77777777" w:rsidR="0003793F" w:rsidRPr="00B8307D" w:rsidRDefault="0003793F" w:rsidP="000A067B">
      <w:pPr>
        <w:widowControl w:val="0"/>
        <w:rPr>
          <w:sz w:val="22"/>
          <w:szCs w:val="22"/>
          <w:lang w:val="sr-Latn-ME"/>
        </w:rPr>
      </w:pPr>
      <w:r w:rsidRPr="00B8307D">
        <w:rPr>
          <w:sz w:val="22"/>
          <w:szCs w:val="22"/>
          <w:lang w:val="sr-Latn-ME"/>
        </w:rPr>
        <w:t>Za spisak svih ekscipijenasa, pogledati dio 6.1.</w:t>
      </w:r>
    </w:p>
    <w:p w14:paraId="1FE5FE45" w14:textId="77777777" w:rsidR="0003793F" w:rsidRPr="00B8307D" w:rsidRDefault="0003793F" w:rsidP="000A067B">
      <w:pPr>
        <w:widowControl w:val="0"/>
        <w:rPr>
          <w:sz w:val="22"/>
          <w:szCs w:val="22"/>
          <w:lang w:val="sr-Latn-ME"/>
        </w:rPr>
      </w:pPr>
    </w:p>
    <w:p w14:paraId="1FE5FE46" w14:textId="77777777" w:rsidR="00C37FD7" w:rsidRPr="00B8307D" w:rsidRDefault="00C37FD7" w:rsidP="000A067B">
      <w:pPr>
        <w:widowControl w:val="0"/>
        <w:rPr>
          <w:sz w:val="22"/>
          <w:szCs w:val="22"/>
          <w:lang w:val="sr-Latn-ME"/>
        </w:rPr>
      </w:pPr>
    </w:p>
    <w:p w14:paraId="1FE5FE47" w14:textId="77777777" w:rsidR="00411B4B" w:rsidRPr="00B8307D" w:rsidRDefault="00411B4B" w:rsidP="000A067B">
      <w:pPr>
        <w:widowControl w:val="0"/>
        <w:tabs>
          <w:tab w:val="left" w:pos="540"/>
          <w:tab w:val="left" w:pos="569"/>
        </w:tabs>
        <w:rPr>
          <w:b/>
          <w:bCs/>
          <w:sz w:val="22"/>
          <w:szCs w:val="22"/>
          <w:lang w:val="sr-Latn-ME"/>
        </w:rPr>
      </w:pPr>
      <w:r w:rsidRPr="00B8307D">
        <w:rPr>
          <w:b/>
          <w:bCs/>
          <w:sz w:val="22"/>
          <w:szCs w:val="22"/>
          <w:lang w:val="sr-Latn-ME"/>
        </w:rPr>
        <w:t xml:space="preserve">3. </w:t>
      </w:r>
      <w:r w:rsidR="00F5167F" w:rsidRPr="00B8307D">
        <w:rPr>
          <w:b/>
          <w:bCs/>
          <w:sz w:val="22"/>
          <w:szCs w:val="22"/>
          <w:lang w:val="sr-Latn-ME"/>
        </w:rPr>
        <w:tab/>
      </w:r>
      <w:r w:rsidRPr="00B8307D">
        <w:rPr>
          <w:b/>
          <w:bCs/>
          <w:sz w:val="22"/>
          <w:szCs w:val="22"/>
          <w:lang w:val="sr-Latn-ME"/>
        </w:rPr>
        <w:t>FARMACEUTSKI OBLIK</w:t>
      </w:r>
      <w:r w:rsidR="009F2D23" w:rsidRPr="00B8307D">
        <w:rPr>
          <w:b/>
          <w:bCs/>
          <w:sz w:val="22"/>
          <w:szCs w:val="22"/>
          <w:lang w:val="sr-Latn-ME"/>
        </w:rPr>
        <w:t xml:space="preserve"> </w:t>
      </w:r>
    </w:p>
    <w:p w14:paraId="1FE5FE48" w14:textId="77777777" w:rsidR="00411B4B" w:rsidRPr="00B8307D" w:rsidRDefault="00411B4B" w:rsidP="000A067B">
      <w:pPr>
        <w:widowControl w:val="0"/>
        <w:rPr>
          <w:bCs/>
          <w:sz w:val="22"/>
          <w:szCs w:val="22"/>
          <w:lang w:val="sr-Latn-ME"/>
        </w:rPr>
      </w:pPr>
    </w:p>
    <w:p w14:paraId="412BE6E4" w14:textId="77777777" w:rsidR="004F6368" w:rsidRPr="00B8307D" w:rsidRDefault="004F6368" w:rsidP="000A067B">
      <w:pPr>
        <w:widowControl w:val="0"/>
        <w:rPr>
          <w:sz w:val="22"/>
          <w:szCs w:val="22"/>
          <w:lang w:val="sr-Latn-ME"/>
        </w:rPr>
      </w:pPr>
      <w:r w:rsidRPr="00B8307D">
        <w:rPr>
          <w:sz w:val="22"/>
          <w:szCs w:val="22"/>
          <w:lang w:val="sr-Latn-ME"/>
        </w:rPr>
        <w:t>Rastvor za injekciju.</w:t>
      </w:r>
    </w:p>
    <w:p w14:paraId="4C45973D" w14:textId="77777777" w:rsidR="004F6368" w:rsidRPr="00B8307D" w:rsidRDefault="004F6368" w:rsidP="000A067B">
      <w:pPr>
        <w:widowControl w:val="0"/>
        <w:rPr>
          <w:sz w:val="22"/>
          <w:szCs w:val="22"/>
          <w:lang w:val="sr-Latn-ME"/>
        </w:rPr>
      </w:pPr>
    </w:p>
    <w:p w14:paraId="1FE5FE49" w14:textId="16F151A5" w:rsidR="00EC2532" w:rsidRPr="00B8307D" w:rsidRDefault="004F6368" w:rsidP="000A067B">
      <w:pPr>
        <w:widowControl w:val="0"/>
        <w:rPr>
          <w:sz w:val="22"/>
          <w:szCs w:val="22"/>
          <w:lang w:val="sr-Latn-ME"/>
        </w:rPr>
      </w:pPr>
      <w:r w:rsidRPr="00B8307D">
        <w:rPr>
          <w:sz w:val="22"/>
          <w:szCs w:val="22"/>
          <w:lang w:val="sr-Latn-ME"/>
        </w:rPr>
        <w:t>Bistar do opalescentan rastvor, bezbojan do žućkast.</w:t>
      </w:r>
    </w:p>
    <w:p w14:paraId="42D5D70C" w14:textId="77777777" w:rsidR="00F07BE3" w:rsidRPr="00B8307D" w:rsidRDefault="00F07BE3" w:rsidP="000A067B">
      <w:pPr>
        <w:widowControl w:val="0"/>
        <w:rPr>
          <w:sz w:val="22"/>
          <w:szCs w:val="22"/>
          <w:lang w:val="sr-Latn-ME"/>
        </w:rPr>
      </w:pPr>
    </w:p>
    <w:p w14:paraId="12C528DB" w14:textId="77777777" w:rsidR="004F6368" w:rsidRPr="00B8307D" w:rsidRDefault="004F6368" w:rsidP="000A067B">
      <w:pPr>
        <w:widowControl w:val="0"/>
        <w:rPr>
          <w:bCs/>
          <w:sz w:val="22"/>
          <w:szCs w:val="22"/>
          <w:lang w:val="sr-Latn-ME"/>
        </w:rPr>
      </w:pPr>
    </w:p>
    <w:p w14:paraId="5C5505A7" w14:textId="5DB9E044" w:rsidR="004F6368" w:rsidRPr="00B8307D" w:rsidRDefault="00411B4B" w:rsidP="000A067B">
      <w:pPr>
        <w:widowControl w:val="0"/>
        <w:tabs>
          <w:tab w:val="left" w:pos="540"/>
          <w:tab w:val="left" w:pos="569"/>
        </w:tabs>
        <w:rPr>
          <w:b/>
          <w:bCs/>
          <w:sz w:val="22"/>
          <w:szCs w:val="22"/>
          <w:lang w:val="sr-Latn-ME"/>
        </w:rPr>
      </w:pPr>
      <w:r w:rsidRPr="00B8307D">
        <w:rPr>
          <w:b/>
          <w:bCs/>
          <w:sz w:val="22"/>
          <w:szCs w:val="22"/>
          <w:lang w:val="sr-Latn-ME"/>
        </w:rPr>
        <w:t xml:space="preserve">4. </w:t>
      </w:r>
      <w:r w:rsidR="00480FB1" w:rsidRPr="00B8307D">
        <w:rPr>
          <w:b/>
          <w:bCs/>
          <w:sz w:val="22"/>
          <w:szCs w:val="22"/>
          <w:lang w:val="sr-Latn-ME"/>
        </w:rPr>
        <w:tab/>
      </w:r>
      <w:r w:rsidRPr="00B8307D">
        <w:rPr>
          <w:b/>
          <w:bCs/>
          <w:sz w:val="22"/>
          <w:szCs w:val="22"/>
          <w:lang w:val="sr-Latn-ME"/>
        </w:rPr>
        <w:t>KLINIČKI PODACI</w:t>
      </w:r>
    </w:p>
    <w:p w14:paraId="3EDD80DF" w14:textId="3324BC4D" w:rsidR="004F4A8B" w:rsidRPr="00B8307D" w:rsidRDefault="004F4A8B" w:rsidP="000A067B">
      <w:pPr>
        <w:widowControl w:val="0"/>
        <w:tabs>
          <w:tab w:val="left" w:pos="540"/>
          <w:tab w:val="left" w:pos="569"/>
        </w:tabs>
        <w:rPr>
          <w:b/>
          <w:bCs/>
          <w:sz w:val="22"/>
          <w:szCs w:val="22"/>
          <w:lang w:val="sr-Latn-ME"/>
        </w:rPr>
      </w:pPr>
    </w:p>
    <w:p w14:paraId="235892BE" w14:textId="6601B5E8" w:rsidR="004F4A8B" w:rsidRPr="00B8307D" w:rsidRDefault="004F4A8B" w:rsidP="000A067B">
      <w:pPr>
        <w:widowControl w:val="0"/>
        <w:tabs>
          <w:tab w:val="left" w:pos="540"/>
          <w:tab w:val="left" w:pos="569"/>
        </w:tabs>
        <w:rPr>
          <w:b/>
          <w:bCs/>
          <w:sz w:val="22"/>
          <w:szCs w:val="22"/>
          <w:lang w:val="sr-Latn-ME"/>
        </w:rPr>
      </w:pPr>
      <w:r w:rsidRPr="00B8307D">
        <w:rPr>
          <w:b/>
          <w:bCs/>
          <w:sz w:val="22"/>
          <w:szCs w:val="22"/>
          <w:lang w:val="sr-Latn-ME"/>
        </w:rPr>
        <w:t>4.1. Terapijske indikacije</w:t>
      </w:r>
    </w:p>
    <w:p w14:paraId="305A5578" w14:textId="02533DFB" w:rsidR="004F6368" w:rsidRPr="00B8307D" w:rsidRDefault="004F6368" w:rsidP="000A067B">
      <w:pPr>
        <w:widowControl w:val="0"/>
        <w:tabs>
          <w:tab w:val="left" w:pos="540"/>
          <w:tab w:val="left" w:pos="569"/>
        </w:tabs>
        <w:jc w:val="both"/>
        <w:rPr>
          <w:b/>
          <w:bCs/>
          <w:sz w:val="22"/>
          <w:szCs w:val="22"/>
          <w:lang w:val="sr-Latn-ME"/>
        </w:rPr>
      </w:pPr>
    </w:p>
    <w:p w14:paraId="28B55E9E" w14:textId="77777777" w:rsidR="004F4A8B" w:rsidRPr="00B8307D" w:rsidRDefault="004F4A8B" w:rsidP="000A067B">
      <w:pPr>
        <w:widowControl w:val="0"/>
        <w:jc w:val="both"/>
        <w:rPr>
          <w:sz w:val="22"/>
          <w:szCs w:val="22"/>
          <w:u w:val="single"/>
          <w:lang w:val="sr-Latn-ME" w:eastAsia="de-AT"/>
        </w:rPr>
      </w:pPr>
      <w:r w:rsidRPr="00B8307D">
        <w:rPr>
          <w:sz w:val="22"/>
          <w:szCs w:val="22"/>
          <w:u w:val="single"/>
          <w:lang w:val="sr-Latn-ME" w:eastAsia="de-AT"/>
        </w:rPr>
        <w:t>Karcinom dojke</w:t>
      </w:r>
    </w:p>
    <w:p w14:paraId="50FB9B2E" w14:textId="77777777" w:rsidR="004F4A8B" w:rsidRPr="00B8307D" w:rsidRDefault="004F4A8B" w:rsidP="000A067B">
      <w:pPr>
        <w:widowControl w:val="0"/>
        <w:jc w:val="both"/>
        <w:rPr>
          <w:sz w:val="22"/>
          <w:szCs w:val="22"/>
          <w:lang w:val="sr-Latn-ME" w:eastAsia="de-AT"/>
        </w:rPr>
      </w:pPr>
    </w:p>
    <w:p w14:paraId="5F7D0DFF" w14:textId="77777777" w:rsidR="004F4A8B" w:rsidRPr="00B8307D" w:rsidRDefault="004F4A8B" w:rsidP="000A067B">
      <w:pPr>
        <w:widowControl w:val="0"/>
        <w:jc w:val="both"/>
        <w:rPr>
          <w:i/>
          <w:sz w:val="22"/>
          <w:szCs w:val="22"/>
          <w:u w:val="single"/>
          <w:lang w:val="sr-Latn-ME" w:eastAsia="de-AT"/>
        </w:rPr>
      </w:pPr>
      <w:r w:rsidRPr="00B8307D">
        <w:rPr>
          <w:i/>
          <w:sz w:val="22"/>
          <w:szCs w:val="22"/>
          <w:u w:val="single"/>
          <w:lang w:val="sr-Latn-ME" w:eastAsia="de-AT"/>
        </w:rPr>
        <w:t xml:space="preserve">Metastatski karcinom dojke </w:t>
      </w:r>
    </w:p>
    <w:p w14:paraId="5B8EEB1E" w14:textId="77777777" w:rsidR="004F4A8B" w:rsidRPr="00B8307D" w:rsidRDefault="004F4A8B" w:rsidP="000A067B">
      <w:pPr>
        <w:widowControl w:val="0"/>
        <w:jc w:val="both"/>
        <w:rPr>
          <w:i/>
          <w:sz w:val="22"/>
          <w:szCs w:val="22"/>
          <w:u w:val="single"/>
          <w:lang w:val="sr-Latn-ME" w:eastAsia="de-AT"/>
        </w:rPr>
      </w:pPr>
    </w:p>
    <w:p w14:paraId="14DEC4EE" w14:textId="77777777" w:rsidR="004F4A8B" w:rsidRPr="00B8307D" w:rsidRDefault="004F4A8B" w:rsidP="000A067B">
      <w:pPr>
        <w:widowControl w:val="0"/>
        <w:jc w:val="both"/>
        <w:rPr>
          <w:sz w:val="22"/>
          <w:szCs w:val="22"/>
          <w:lang w:val="sr-Latn-ME" w:eastAsia="de-AT"/>
        </w:rPr>
      </w:pPr>
      <w:r w:rsidRPr="00B8307D">
        <w:rPr>
          <w:sz w:val="22"/>
          <w:szCs w:val="22"/>
          <w:lang w:val="sr-Latn-ME" w:eastAsia="de-AT"/>
        </w:rPr>
        <w:t xml:space="preserve">Lijek Herceptin je indikovan za liječenje odraslih pacijenata sa HER2 pozitivnim metastatskim karcinomom dojke: </w:t>
      </w:r>
    </w:p>
    <w:p w14:paraId="41358892" w14:textId="77777777" w:rsidR="004F4A8B" w:rsidRPr="00B8307D" w:rsidRDefault="004F4A8B" w:rsidP="000A067B">
      <w:pPr>
        <w:widowControl w:val="0"/>
        <w:numPr>
          <w:ilvl w:val="0"/>
          <w:numId w:val="13"/>
        </w:numPr>
        <w:tabs>
          <w:tab w:val="num" w:pos="426"/>
        </w:tabs>
        <w:ind w:left="426" w:hanging="284"/>
        <w:jc w:val="both"/>
        <w:rPr>
          <w:sz w:val="22"/>
          <w:szCs w:val="22"/>
          <w:lang w:val="sr-Latn-ME" w:eastAsia="de-AT"/>
        </w:rPr>
      </w:pPr>
      <w:r w:rsidRPr="00B8307D">
        <w:rPr>
          <w:sz w:val="22"/>
          <w:szCs w:val="22"/>
          <w:lang w:val="sr-Latn-ME" w:eastAsia="de-AT"/>
        </w:rPr>
        <w:t>kao monoterapija za liječenje onih pacijenata koji su primili bar dva hemoterapijska režima zbog metastatske bolesti. Prethodna hemoterapija je morala uključiti najmanje barem jedan antraciklin i jedan taksan, osim kod pacijenata koji nijesu pogodni za liječenje navedenim ljekovima. Pacijenati koji su hormon zavisni moraju se prethodno podvrgnuti hormonskoj terapiji, osim ukoliko nijesu pogodni kandidati za nju.</w:t>
      </w:r>
    </w:p>
    <w:p w14:paraId="3DC52607" w14:textId="77777777" w:rsidR="004F4A8B" w:rsidRPr="00B8307D" w:rsidRDefault="004F4A8B" w:rsidP="000A067B">
      <w:pPr>
        <w:widowControl w:val="0"/>
        <w:ind w:left="426"/>
        <w:jc w:val="both"/>
        <w:rPr>
          <w:sz w:val="22"/>
          <w:szCs w:val="22"/>
          <w:lang w:val="sr-Latn-ME" w:eastAsia="de-AT"/>
        </w:rPr>
      </w:pPr>
    </w:p>
    <w:p w14:paraId="4F509DFA" w14:textId="77777777" w:rsidR="004F4A8B" w:rsidRPr="00B8307D" w:rsidRDefault="004F4A8B" w:rsidP="000A067B">
      <w:pPr>
        <w:widowControl w:val="0"/>
        <w:numPr>
          <w:ilvl w:val="0"/>
          <w:numId w:val="13"/>
        </w:numPr>
        <w:tabs>
          <w:tab w:val="num" w:pos="426"/>
        </w:tabs>
        <w:ind w:left="426" w:hanging="284"/>
        <w:jc w:val="both"/>
        <w:rPr>
          <w:sz w:val="22"/>
          <w:szCs w:val="22"/>
          <w:lang w:val="sr-Latn-ME" w:eastAsia="de-AT"/>
        </w:rPr>
      </w:pPr>
      <w:r w:rsidRPr="00B8307D">
        <w:rPr>
          <w:sz w:val="22"/>
          <w:szCs w:val="22"/>
          <w:lang w:val="sr-Latn-ME" w:eastAsia="de-AT"/>
        </w:rPr>
        <w:t xml:space="preserve">u kombinaciji sa paklitakselom za liječenje onih pacijenata koji nijesu primili hemoterapiju zbog metastatske bolesti i za koje antraciklin nije odgovarajući lijek. </w:t>
      </w:r>
    </w:p>
    <w:p w14:paraId="62C96BF1" w14:textId="77777777" w:rsidR="004F4A8B" w:rsidRPr="00B8307D" w:rsidRDefault="004F4A8B" w:rsidP="000A067B">
      <w:pPr>
        <w:widowControl w:val="0"/>
        <w:ind w:left="426"/>
        <w:jc w:val="both"/>
        <w:rPr>
          <w:sz w:val="22"/>
          <w:szCs w:val="22"/>
          <w:lang w:val="sr-Latn-ME" w:eastAsia="de-AT"/>
        </w:rPr>
      </w:pPr>
    </w:p>
    <w:p w14:paraId="643EDA82" w14:textId="77777777" w:rsidR="004F4A8B" w:rsidRPr="00B8307D" w:rsidRDefault="004F4A8B" w:rsidP="000A067B">
      <w:pPr>
        <w:widowControl w:val="0"/>
        <w:numPr>
          <w:ilvl w:val="0"/>
          <w:numId w:val="13"/>
        </w:numPr>
        <w:tabs>
          <w:tab w:val="num" w:pos="426"/>
        </w:tabs>
        <w:ind w:left="426" w:right="-111" w:hanging="284"/>
        <w:jc w:val="both"/>
        <w:rPr>
          <w:sz w:val="22"/>
          <w:szCs w:val="22"/>
          <w:lang w:val="sr-Latn-ME" w:eastAsia="de-AT"/>
        </w:rPr>
      </w:pPr>
      <w:r w:rsidRPr="00B8307D">
        <w:rPr>
          <w:sz w:val="22"/>
          <w:szCs w:val="22"/>
          <w:lang w:val="sr-Latn-ME" w:eastAsia="de-AT"/>
        </w:rPr>
        <w:t xml:space="preserve">u kombinaciji sa docetakselom za liječenje onih pacijenata koji nijesu primali hemoterapiju zbog svoje metastatske bolesti. </w:t>
      </w:r>
    </w:p>
    <w:p w14:paraId="5A51A4E3" w14:textId="77777777" w:rsidR="004F4A8B" w:rsidRPr="00B8307D" w:rsidRDefault="004F4A8B" w:rsidP="000A067B">
      <w:pPr>
        <w:widowControl w:val="0"/>
        <w:ind w:left="426"/>
        <w:jc w:val="both"/>
        <w:rPr>
          <w:sz w:val="22"/>
          <w:szCs w:val="22"/>
          <w:lang w:val="sr-Latn-ME" w:eastAsia="de-AT"/>
        </w:rPr>
      </w:pPr>
    </w:p>
    <w:p w14:paraId="092F7561" w14:textId="7A7D9433" w:rsidR="004F4A8B" w:rsidRPr="00B8307D" w:rsidRDefault="004F4A8B" w:rsidP="000A067B">
      <w:pPr>
        <w:widowControl w:val="0"/>
        <w:numPr>
          <w:ilvl w:val="0"/>
          <w:numId w:val="13"/>
        </w:numPr>
        <w:tabs>
          <w:tab w:val="num" w:pos="426"/>
        </w:tabs>
        <w:ind w:left="426" w:hanging="284"/>
        <w:jc w:val="both"/>
        <w:rPr>
          <w:sz w:val="22"/>
          <w:szCs w:val="22"/>
          <w:lang w:val="sr-Latn-ME" w:eastAsia="de-AT"/>
        </w:rPr>
      </w:pPr>
      <w:r w:rsidRPr="00B8307D">
        <w:rPr>
          <w:sz w:val="22"/>
          <w:szCs w:val="22"/>
          <w:lang w:val="sr-Latn-ME" w:eastAsia="de-AT"/>
        </w:rPr>
        <w:t xml:space="preserve"> u kombinaciji  sa inhibitorom aromataze za liječenje postmenopauzalnih žena sa hormon receptor pozitivnim metastatskim karcinomom dojke MBC, koje ranije nijesu bile liječene lijekom trastuzumab.</w:t>
      </w:r>
    </w:p>
    <w:p w14:paraId="3EAB646C" w14:textId="77777777" w:rsidR="004F4A8B" w:rsidRPr="00B8307D" w:rsidRDefault="004F4A8B" w:rsidP="000A067B">
      <w:pPr>
        <w:widowControl w:val="0"/>
        <w:ind w:left="426"/>
        <w:jc w:val="both"/>
        <w:rPr>
          <w:sz w:val="22"/>
          <w:szCs w:val="22"/>
          <w:lang w:val="sr-Latn-ME" w:eastAsia="de-AT"/>
        </w:rPr>
      </w:pPr>
    </w:p>
    <w:p w14:paraId="5BE49D5A" w14:textId="77777777" w:rsidR="004F4A8B" w:rsidRPr="00B8307D" w:rsidRDefault="004F4A8B" w:rsidP="000A067B">
      <w:pPr>
        <w:widowControl w:val="0"/>
        <w:tabs>
          <w:tab w:val="left" w:pos="708"/>
        </w:tabs>
        <w:jc w:val="both"/>
        <w:rPr>
          <w:i/>
          <w:sz w:val="22"/>
          <w:szCs w:val="22"/>
          <w:u w:val="single"/>
          <w:lang w:val="sr-Latn-ME" w:eastAsia="de-AT"/>
        </w:rPr>
      </w:pPr>
      <w:r w:rsidRPr="00B8307D">
        <w:rPr>
          <w:i/>
          <w:sz w:val="22"/>
          <w:szCs w:val="22"/>
          <w:u w:val="single"/>
          <w:lang w:val="sr-Latn-ME" w:eastAsia="de-AT"/>
        </w:rPr>
        <w:t xml:space="preserve">Rani karcinom dojke </w:t>
      </w:r>
    </w:p>
    <w:p w14:paraId="6C755E2F" w14:textId="77777777" w:rsidR="004F4A8B" w:rsidRPr="00B8307D" w:rsidRDefault="004F4A8B" w:rsidP="000A067B">
      <w:pPr>
        <w:widowControl w:val="0"/>
        <w:tabs>
          <w:tab w:val="left" w:pos="708"/>
        </w:tabs>
        <w:jc w:val="both"/>
        <w:rPr>
          <w:sz w:val="22"/>
          <w:szCs w:val="22"/>
          <w:lang w:val="sr-Latn-ME" w:eastAsia="de-AT"/>
        </w:rPr>
      </w:pPr>
      <w:r w:rsidRPr="00B8307D">
        <w:rPr>
          <w:sz w:val="22"/>
          <w:szCs w:val="22"/>
          <w:lang w:val="sr-Latn-ME" w:eastAsia="de-AT"/>
        </w:rPr>
        <w:t>Lijek Herceptin je indikovan za terapiju odraslih pacijenata sa HER2 pozitivnim ranim karcinomom dojke (EBC):</w:t>
      </w:r>
    </w:p>
    <w:p w14:paraId="6DAB1EC4" w14:textId="77777777" w:rsidR="004F4A8B" w:rsidRPr="00B8307D" w:rsidRDefault="004F4A8B" w:rsidP="000A067B">
      <w:pPr>
        <w:widowControl w:val="0"/>
        <w:numPr>
          <w:ilvl w:val="0"/>
          <w:numId w:val="12"/>
        </w:numPr>
        <w:tabs>
          <w:tab w:val="left" w:pos="708"/>
        </w:tabs>
        <w:jc w:val="both"/>
        <w:rPr>
          <w:sz w:val="22"/>
          <w:szCs w:val="22"/>
          <w:lang w:val="sr-Latn-ME" w:eastAsia="de-AT"/>
        </w:rPr>
      </w:pPr>
      <w:r w:rsidRPr="00B8307D">
        <w:rPr>
          <w:sz w:val="22"/>
          <w:szCs w:val="22"/>
          <w:lang w:val="sr-Latn-ME" w:eastAsia="de-AT"/>
        </w:rPr>
        <w:t>nakon hirurške intervencije, hemoterapije (neoadjuvantne ili adjuvantne) i radioterapije (ukoliko je primjenjljiva) (vidjeti dio 5.1)</w:t>
      </w:r>
    </w:p>
    <w:p w14:paraId="58C84268" w14:textId="77777777" w:rsidR="004F4A8B" w:rsidRPr="00B8307D" w:rsidRDefault="004F4A8B" w:rsidP="000A067B">
      <w:pPr>
        <w:widowControl w:val="0"/>
        <w:tabs>
          <w:tab w:val="left" w:pos="708"/>
        </w:tabs>
        <w:ind w:left="720"/>
        <w:jc w:val="both"/>
        <w:rPr>
          <w:sz w:val="22"/>
          <w:szCs w:val="22"/>
          <w:lang w:val="sr-Latn-ME" w:eastAsia="de-AT"/>
        </w:rPr>
      </w:pPr>
    </w:p>
    <w:p w14:paraId="15A87DB4" w14:textId="77777777" w:rsidR="004F4A8B" w:rsidRPr="00B8307D" w:rsidRDefault="004F4A8B" w:rsidP="000A067B">
      <w:pPr>
        <w:widowControl w:val="0"/>
        <w:numPr>
          <w:ilvl w:val="0"/>
          <w:numId w:val="12"/>
        </w:numPr>
        <w:tabs>
          <w:tab w:val="left" w:pos="708"/>
        </w:tabs>
        <w:jc w:val="both"/>
        <w:rPr>
          <w:sz w:val="22"/>
          <w:szCs w:val="22"/>
          <w:lang w:val="sr-Latn-ME" w:eastAsia="de-AT"/>
        </w:rPr>
      </w:pPr>
      <w:r w:rsidRPr="00B8307D">
        <w:rPr>
          <w:sz w:val="22"/>
          <w:szCs w:val="22"/>
          <w:lang w:val="sr-Latn-ME" w:eastAsia="de-AT"/>
        </w:rPr>
        <w:t>nakon adjuvantne hemoterapije sa doksorubicinom i ciklofosfamidom, u kombinaciji sa paklitakselom ili docetakselom</w:t>
      </w:r>
    </w:p>
    <w:p w14:paraId="7BEB27C5" w14:textId="77777777" w:rsidR="004F4A8B" w:rsidRPr="00B8307D" w:rsidRDefault="004F4A8B" w:rsidP="000A067B">
      <w:pPr>
        <w:widowControl w:val="0"/>
        <w:tabs>
          <w:tab w:val="left" w:pos="708"/>
        </w:tabs>
        <w:ind w:left="720"/>
        <w:jc w:val="both"/>
        <w:rPr>
          <w:sz w:val="22"/>
          <w:szCs w:val="22"/>
          <w:lang w:val="sr-Latn-ME" w:eastAsia="de-AT"/>
        </w:rPr>
      </w:pPr>
    </w:p>
    <w:p w14:paraId="0761B86A" w14:textId="77777777" w:rsidR="004F4A8B" w:rsidRPr="00B8307D" w:rsidRDefault="004F4A8B" w:rsidP="000A067B">
      <w:pPr>
        <w:widowControl w:val="0"/>
        <w:numPr>
          <w:ilvl w:val="0"/>
          <w:numId w:val="12"/>
        </w:numPr>
        <w:tabs>
          <w:tab w:val="left" w:pos="708"/>
        </w:tabs>
        <w:jc w:val="both"/>
        <w:rPr>
          <w:sz w:val="22"/>
          <w:szCs w:val="22"/>
          <w:lang w:val="sr-Latn-ME" w:eastAsia="de-AT"/>
        </w:rPr>
      </w:pPr>
      <w:r w:rsidRPr="00B8307D">
        <w:rPr>
          <w:sz w:val="22"/>
          <w:szCs w:val="22"/>
          <w:lang w:val="sr-Latn-ME" w:eastAsia="de-AT"/>
        </w:rPr>
        <w:t>u kombinaciji sa adjuvantnom hemoterapijom koja uključuje docetaksel i karboplatin</w:t>
      </w:r>
    </w:p>
    <w:p w14:paraId="4AEC7A1F" w14:textId="77777777" w:rsidR="004F4A8B" w:rsidRPr="00B8307D" w:rsidRDefault="004F4A8B" w:rsidP="000A067B">
      <w:pPr>
        <w:widowControl w:val="0"/>
        <w:tabs>
          <w:tab w:val="left" w:pos="708"/>
        </w:tabs>
        <w:ind w:left="720"/>
        <w:jc w:val="both"/>
        <w:rPr>
          <w:sz w:val="22"/>
          <w:szCs w:val="22"/>
          <w:lang w:val="sr-Latn-ME" w:eastAsia="de-AT"/>
        </w:rPr>
      </w:pPr>
    </w:p>
    <w:p w14:paraId="6D15D944" w14:textId="77777777" w:rsidR="004F4A8B" w:rsidRPr="00B8307D" w:rsidRDefault="004F4A8B" w:rsidP="000A067B">
      <w:pPr>
        <w:widowControl w:val="0"/>
        <w:numPr>
          <w:ilvl w:val="0"/>
          <w:numId w:val="12"/>
        </w:numPr>
        <w:tabs>
          <w:tab w:val="left" w:pos="708"/>
        </w:tabs>
        <w:jc w:val="both"/>
        <w:rPr>
          <w:sz w:val="22"/>
          <w:szCs w:val="22"/>
          <w:lang w:val="sr-Latn-ME" w:eastAsia="de-AT"/>
        </w:rPr>
      </w:pPr>
      <w:r w:rsidRPr="00B8307D">
        <w:rPr>
          <w:sz w:val="22"/>
          <w:szCs w:val="22"/>
          <w:lang w:val="sr-Latn-ME" w:eastAsia="de-AT"/>
        </w:rPr>
        <w:t>u kombinaciji sa neoadjuvantnom hemoterapijom nakon čega slijedi adjuvantna terapija lijekom Herceptinom, za lokalno uznapredovalu (uključujući inflamatornu) bolest ili tumore promjera &gt; 2cm  (vidjeti djelove 4.4 i 5.1)</w:t>
      </w:r>
    </w:p>
    <w:p w14:paraId="7A3CF604" w14:textId="77777777" w:rsidR="004F4A8B" w:rsidRPr="00B8307D" w:rsidRDefault="004F4A8B" w:rsidP="000A067B">
      <w:pPr>
        <w:widowControl w:val="0"/>
        <w:tabs>
          <w:tab w:val="left" w:pos="708"/>
        </w:tabs>
        <w:ind w:left="720"/>
        <w:jc w:val="both"/>
        <w:rPr>
          <w:sz w:val="22"/>
          <w:szCs w:val="22"/>
          <w:lang w:val="sr-Latn-ME" w:eastAsia="de-AT"/>
        </w:rPr>
      </w:pPr>
    </w:p>
    <w:p w14:paraId="4E7D7FF4" w14:textId="4FEC2E49" w:rsidR="004F4A8B" w:rsidRPr="00B8307D" w:rsidRDefault="004F4A8B" w:rsidP="000A067B">
      <w:pPr>
        <w:widowControl w:val="0"/>
        <w:tabs>
          <w:tab w:val="left" w:pos="540"/>
          <w:tab w:val="left" w:pos="569"/>
        </w:tabs>
        <w:jc w:val="both"/>
        <w:rPr>
          <w:b/>
          <w:bCs/>
          <w:sz w:val="22"/>
          <w:szCs w:val="22"/>
          <w:lang w:val="sr-Latn-ME"/>
        </w:rPr>
      </w:pPr>
      <w:r w:rsidRPr="00B8307D">
        <w:rPr>
          <w:sz w:val="22"/>
          <w:szCs w:val="22"/>
          <w:lang w:val="sr-Latn-ME" w:eastAsia="de-AT"/>
        </w:rPr>
        <w:t>Herceptin treba da se daje samo pacijenatima sa metastatskim ili ranim karcinomom dojke čije tumorske ćelije pokazuju prekomjernu ekspresiju HER2 ili amplifikaciju HER2 gena, što je potvrđeno preciznim i validiranim testom</w:t>
      </w:r>
      <w:r w:rsidRPr="00B8307D">
        <w:rPr>
          <w:sz w:val="22"/>
          <w:szCs w:val="22"/>
          <w:lang w:val="sr-Latn-ME"/>
        </w:rPr>
        <w:t>. (</w:t>
      </w:r>
      <w:r w:rsidRPr="00B8307D">
        <w:rPr>
          <w:sz w:val="22"/>
          <w:szCs w:val="22"/>
          <w:lang w:val="sr-Latn-ME" w:eastAsia="de-AT"/>
        </w:rPr>
        <w:t>vidjeti djelove 4.4 i 5.1).</w:t>
      </w:r>
    </w:p>
    <w:p w14:paraId="3C6EEB18" w14:textId="77777777" w:rsidR="004F4A8B" w:rsidRPr="00B8307D" w:rsidRDefault="004F4A8B" w:rsidP="000A067B">
      <w:pPr>
        <w:widowControl w:val="0"/>
        <w:tabs>
          <w:tab w:val="left" w:pos="540"/>
          <w:tab w:val="left" w:pos="569"/>
        </w:tabs>
        <w:jc w:val="both"/>
        <w:rPr>
          <w:b/>
          <w:bCs/>
          <w:sz w:val="22"/>
          <w:szCs w:val="22"/>
          <w:lang w:val="sr-Latn-ME"/>
        </w:rPr>
      </w:pPr>
    </w:p>
    <w:p w14:paraId="1FE5FE4E" w14:textId="77777777" w:rsidR="00411B4B" w:rsidRPr="00B8307D" w:rsidRDefault="00411B4B" w:rsidP="000A067B">
      <w:pPr>
        <w:widowControl w:val="0"/>
        <w:tabs>
          <w:tab w:val="left" w:pos="540"/>
          <w:tab w:val="left" w:pos="569"/>
        </w:tabs>
        <w:jc w:val="both"/>
        <w:rPr>
          <w:b/>
          <w:bCs/>
          <w:sz w:val="22"/>
          <w:szCs w:val="22"/>
          <w:lang w:val="sr-Latn-ME"/>
        </w:rPr>
      </w:pPr>
      <w:r w:rsidRPr="00B8307D">
        <w:rPr>
          <w:b/>
          <w:bCs/>
          <w:sz w:val="22"/>
          <w:szCs w:val="22"/>
          <w:lang w:val="sr-Latn-ME"/>
        </w:rPr>
        <w:t xml:space="preserve">4.2. </w:t>
      </w:r>
      <w:r w:rsidR="00480FB1" w:rsidRPr="00B8307D">
        <w:rPr>
          <w:b/>
          <w:bCs/>
          <w:sz w:val="22"/>
          <w:szCs w:val="22"/>
          <w:lang w:val="sr-Latn-ME"/>
        </w:rPr>
        <w:tab/>
      </w:r>
      <w:r w:rsidRPr="00B8307D">
        <w:rPr>
          <w:b/>
          <w:bCs/>
          <w:sz w:val="22"/>
          <w:szCs w:val="22"/>
          <w:lang w:val="sr-Latn-ME"/>
        </w:rPr>
        <w:t>Doziranje i način primjene</w:t>
      </w:r>
    </w:p>
    <w:p w14:paraId="1FE5FE4F" w14:textId="77777777" w:rsidR="0072020E" w:rsidRPr="00B8307D" w:rsidRDefault="0072020E" w:rsidP="000A067B">
      <w:pPr>
        <w:widowControl w:val="0"/>
        <w:tabs>
          <w:tab w:val="left" w:pos="540"/>
          <w:tab w:val="left" w:pos="569"/>
        </w:tabs>
        <w:jc w:val="both"/>
        <w:rPr>
          <w:bCs/>
          <w:sz w:val="22"/>
          <w:szCs w:val="22"/>
          <w:lang w:val="sr-Latn-ME"/>
        </w:rPr>
      </w:pPr>
    </w:p>
    <w:p w14:paraId="0D8830DD" w14:textId="32B8878E" w:rsidR="004F6368" w:rsidRPr="00B8307D" w:rsidRDefault="004F6368" w:rsidP="000A067B">
      <w:pPr>
        <w:widowControl w:val="0"/>
        <w:jc w:val="both"/>
        <w:rPr>
          <w:sz w:val="22"/>
          <w:szCs w:val="22"/>
          <w:lang w:val="sr-Latn-ME"/>
        </w:rPr>
      </w:pPr>
      <w:r w:rsidRPr="00B8307D">
        <w:rPr>
          <w:sz w:val="22"/>
          <w:szCs w:val="22"/>
          <w:lang w:val="sr-Latn-ME"/>
        </w:rPr>
        <w:t xml:space="preserve">Testiranje ekspresije HER2 je obavezno prije započinjanja terapije </w:t>
      </w:r>
      <w:r w:rsidR="00F36F2F" w:rsidRPr="00B8307D">
        <w:rPr>
          <w:sz w:val="22"/>
          <w:szCs w:val="22"/>
          <w:lang w:val="sr-Latn-ME"/>
        </w:rPr>
        <w:t xml:space="preserve">lijekom </w:t>
      </w:r>
      <w:r w:rsidRPr="00B8307D">
        <w:rPr>
          <w:sz w:val="22"/>
          <w:szCs w:val="22"/>
          <w:lang w:val="sr-Latn-ME"/>
        </w:rPr>
        <w:t xml:space="preserve">Herceptinom (vidjeti djelove 4.4 i 5.1). Terapiju </w:t>
      </w:r>
      <w:r w:rsidR="00F36F2F" w:rsidRPr="00B8307D">
        <w:rPr>
          <w:sz w:val="22"/>
          <w:szCs w:val="22"/>
          <w:lang w:val="sr-Latn-ME"/>
        </w:rPr>
        <w:t xml:space="preserve">lijekom </w:t>
      </w:r>
      <w:r w:rsidRPr="00B8307D">
        <w:rPr>
          <w:sz w:val="22"/>
          <w:szCs w:val="22"/>
          <w:lang w:val="sr-Latn-ME"/>
        </w:rPr>
        <w:t>Herceptin treba da započinje samo ljekar koji je iskusan u davanju cititoksične hemoterapije (vidjeti dio 4.4), a lijek smije primjenjivati samo zdravstveni radnik.</w:t>
      </w:r>
    </w:p>
    <w:p w14:paraId="3CC7467B" w14:textId="77777777" w:rsidR="004F6368" w:rsidRPr="00B8307D" w:rsidRDefault="004F6368" w:rsidP="000A067B">
      <w:pPr>
        <w:widowControl w:val="0"/>
        <w:jc w:val="both"/>
        <w:rPr>
          <w:sz w:val="22"/>
          <w:szCs w:val="22"/>
          <w:lang w:val="sr-Latn-ME"/>
        </w:rPr>
      </w:pPr>
    </w:p>
    <w:p w14:paraId="43E7BF5D" w14:textId="6C350EAD" w:rsidR="004F6368" w:rsidRPr="00B8307D" w:rsidRDefault="004F6368" w:rsidP="000A067B">
      <w:pPr>
        <w:widowControl w:val="0"/>
        <w:jc w:val="both"/>
        <w:rPr>
          <w:sz w:val="22"/>
          <w:szCs w:val="22"/>
          <w:lang w:val="sr-Latn-ME"/>
        </w:rPr>
      </w:pPr>
      <w:r w:rsidRPr="00B8307D">
        <w:rPr>
          <w:sz w:val="22"/>
          <w:szCs w:val="22"/>
          <w:lang w:val="sr-Latn-ME"/>
        </w:rPr>
        <w:t xml:space="preserve">Važno je provjeriti podatke na pakovanju lijeka kako bi se </w:t>
      </w:r>
      <w:r w:rsidR="00F36F2F" w:rsidRPr="00B8307D">
        <w:rPr>
          <w:sz w:val="22"/>
          <w:szCs w:val="22"/>
          <w:lang w:val="sr-Latn-ME"/>
        </w:rPr>
        <w:t xml:space="preserve">obezbjedilo </w:t>
      </w:r>
      <w:r w:rsidRPr="00B8307D">
        <w:rPr>
          <w:sz w:val="22"/>
          <w:szCs w:val="22"/>
          <w:lang w:val="sr-Latn-ME"/>
        </w:rPr>
        <w:t xml:space="preserve">da pacijent primi odgovarajuću formulaciju lijeka (intravensku ili subkutanu u fiksnoj dozi) koja mu je propisana. </w:t>
      </w:r>
      <w:r w:rsidR="00F36F2F" w:rsidRPr="00B8307D">
        <w:rPr>
          <w:sz w:val="22"/>
          <w:szCs w:val="22"/>
          <w:lang w:val="sr-Latn-ME"/>
        </w:rPr>
        <w:t xml:space="preserve">Lijek </w:t>
      </w:r>
      <w:r w:rsidRPr="00B8307D">
        <w:rPr>
          <w:sz w:val="22"/>
          <w:szCs w:val="22"/>
          <w:lang w:val="sr-Latn-ME"/>
        </w:rPr>
        <w:t>Herceptin u subkutanoj formulaciji nije namijenjen za intravensku primjenu i smije se primijeniti isključivo subkutanom injekcijom.</w:t>
      </w:r>
    </w:p>
    <w:p w14:paraId="64ECFE65" w14:textId="77777777" w:rsidR="00B22B2E" w:rsidRPr="00B8307D" w:rsidRDefault="00B22B2E" w:rsidP="000A067B">
      <w:pPr>
        <w:widowControl w:val="0"/>
        <w:jc w:val="both"/>
        <w:rPr>
          <w:sz w:val="22"/>
          <w:szCs w:val="22"/>
          <w:lang w:val="sr-Latn-ME"/>
        </w:rPr>
      </w:pPr>
    </w:p>
    <w:p w14:paraId="2CA53518" w14:textId="4A80F69D" w:rsidR="004F6368" w:rsidRPr="00B8307D" w:rsidRDefault="004F6368" w:rsidP="000A067B">
      <w:pPr>
        <w:widowControl w:val="0"/>
        <w:tabs>
          <w:tab w:val="left" w:pos="0"/>
        </w:tabs>
        <w:jc w:val="both"/>
        <w:rPr>
          <w:sz w:val="22"/>
          <w:szCs w:val="22"/>
          <w:lang w:val="sr-Latn-ME"/>
        </w:rPr>
      </w:pPr>
      <w:r w:rsidRPr="00B8307D">
        <w:rPr>
          <w:sz w:val="22"/>
          <w:szCs w:val="22"/>
          <w:lang w:val="sr-Latn-ME"/>
        </w:rPr>
        <w:t xml:space="preserve">Prelazak sa liječenja intravenskom formulacijom lijeka Herceptin na subkutanu formulaciju lijeka Herceptin i obrnuto, uz tronedjeljni režim doziranja (q3w), </w:t>
      </w:r>
      <w:r w:rsidR="00F36F2F" w:rsidRPr="00B8307D">
        <w:rPr>
          <w:sz w:val="22"/>
          <w:szCs w:val="22"/>
          <w:lang w:val="sr-Latn-ME"/>
        </w:rPr>
        <w:t xml:space="preserve">ispitivao </w:t>
      </w:r>
      <w:r w:rsidRPr="00B8307D">
        <w:rPr>
          <w:sz w:val="22"/>
          <w:szCs w:val="22"/>
          <w:lang w:val="sr-Latn-ME"/>
        </w:rPr>
        <w:t>se u Studiji  MO22982 (vidjeti dio 4.8).</w:t>
      </w:r>
    </w:p>
    <w:p w14:paraId="58F2992F" w14:textId="77777777" w:rsidR="004F6368" w:rsidRPr="00B8307D" w:rsidRDefault="004F6368" w:rsidP="000A067B">
      <w:pPr>
        <w:widowControl w:val="0"/>
        <w:jc w:val="both"/>
        <w:rPr>
          <w:sz w:val="22"/>
          <w:szCs w:val="22"/>
          <w:lang w:val="sr-Latn-ME"/>
        </w:rPr>
      </w:pPr>
    </w:p>
    <w:p w14:paraId="7CD381A2" w14:textId="7E524779" w:rsidR="004F6368" w:rsidRPr="00B8307D" w:rsidRDefault="004F6368" w:rsidP="000A067B">
      <w:pPr>
        <w:widowControl w:val="0"/>
        <w:jc w:val="both"/>
        <w:rPr>
          <w:sz w:val="22"/>
          <w:szCs w:val="22"/>
          <w:lang w:val="sr-Latn-ME"/>
        </w:rPr>
      </w:pPr>
      <w:r w:rsidRPr="00B8307D">
        <w:rPr>
          <w:sz w:val="22"/>
          <w:szCs w:val="22"/>
          <w:lang w:val="sr-Latn-ME"/>
        </w:rPr>
        <w:t xml:space="preserve">U cilju sprečavanja medikacijskih grešaka, važno je provjeriti naljepnice na bočicama kako biste bili sigurni da je lijek koji se priprema i primjenjuje </w:t>
      </w:r>
      <w:r w:rsidR="00F36F2F" w:rsidRPr="00B8307D">
        <w:rPr>
          <w:sz w:val="22"/>
          <w:szCs w:val="22"/>
          <w:lang w:val="sr-Latn-ME"/>
        </w:rPr>
        <w:t xml:space="preserve">lijek </w:t>
      </w:r>
      <w:r w:rsidRPr="00B8307D">
        <w:rPr>
          <w:sz w:val="22"/>
          <w:szCs w:val="22"/>
          <w:lang w:val="sr-Latn-ME"/>
        </w:rPr>
        <w:t xml:space="preserve">Herceptin (trastuzumab), a ne </w:t>
      </w:r>
      <w:r w:rsidR="009E3548" w:rsidRPr="00B8307D">
        <w:rPr>
          <w:sz w:val="22"/>
          <w:szCs w:val="22"/>
          <w:lang w:val="sr-Latn-ME"/>
        </w:rPr>
        <w:t>neki drugi lijek koji sadrži trastuzumab (npr. trastuzumab emtanzin ili trastuzumab derukstekan).</w:t>
      </w:r>
    </w:p>
    <w:p w14:paraId="3430CD31" w14:textId="77777777" w:rsidR="00F36F2F" w:rsidRPr="00B8307D" w:rsidRDefault="00F36F2F" w:rsidP="000A067B">
      <w:pPr>
        <w:widowControl w:val="0"/>
        <w:jc w:val="both"/>
        <w:rPr>
          <w:sz w:val="22"/>
          <w:szCs w:val="22"/>
          <w:lang w:val="sr-Latn-ME"/>
        </w:rPr>
      </w:pPr>
    </w:p>
    <w:p w14:paraId="59212E18" w14:textId="77777777" w:rsidR="004F6368" w:rsidRPr="00B8307D" w:rsidRDefault="004F6368" w:rsidP="000A067B">
      <w:pPr>
        <w:widowControl w:val="0"/>
        <w:jc w:val="both"/>
        <w:rPr>
          <w:sz w:val="22"/>
          <w:szCs w:val="22"/>
          <w:u w:val="single"/>
          <w:lang w:val="sr-Latn-ME"/>
        </w:rPr>
      </w:pPr>
      <w:r w:rsidRPr="00B8307D">
        <w:rPr>
          <w:sz w:val="22"/>
          <w:szCs w:val="22"/>
          <w:u w:val="single"/>
          <w:lang w:val="sr-Latn-ME"/>
        </w:rPr>
        <w:t>Doziranje</w:t>
      </w:r>
    </w:p>
    <w:p w14:paraId="68F22D80" w14:textId="77777777" w:rsidR="004F6368" w:rsidRPr="00B8307D" w:rsidRDefault="004F6368" w:rsidP="000A067B">
      <w:pPr>
        <w:widowControl w:val="0"/>
        <w:jc w:val="both"/>
        <w:rPr>
          <w:sz w:val="22"/>
          <w:szCs w:val="22"/>
          <w:u w:val="single"/>
          <w:lang w:val="sr-Latn-ME"/>
        </w:rPr>
      </w:pPr>
    </w:p>
    <w:p w14:paraId="2DC87F16" w14:textId="5081B0F0" w:rsidR="004F6368" w:rsidRPr="00B8307D" w:rsidRDefault="004F6368" w:rsidP="000A067B">
      <w:pPr>
        <w:widowControl w:val="0"/>
        <w:jc w:val="both"/>
        <w:rPr>
          <w:sz w:val="22"/>
          <w:szCs w:val="22"/>
          <w:lang w:val="sr-Latn-ME"/>
        </w:rPr>
      </w:pPr>
      <w:r w:rsidRPr="00B8307D">
        <w:rPr>
          <w:sz w:val="22"/>
          <w:szCs w:val="22"/>
          <w:lang w:val="sr-Latn-ME"/>
        </w:rPr>
        <w:t xml:space="preserve">Preporučena doza formulacije lijeka Herceptin za subkutanu primjenu iznosi 600 mg/5 ml, nezavisno od tjelese mase pacijenta. Nije potrebna </w:t>
      </w:r>
      <w:r w:rsidR="00F36F2F" w:rsidRPr="00B8307D">
        <w:rPr>
          <w:sz w:val="22"/>
          <w:szCs w:val="22"/>
          <w:lang w:val="sr-Latn-ME"/>
        </w:rPr>
        <w:t xml:space="preserve">udarna </w:t>
      </w:r>
      <w:r w:rsidRPr="00B8307D">
        <w:rPr>
          <w:sz w:val="22"/>
          <w:szCs w:val="22"/>
          <w:lang w:val="sr-Latn-ME"/>
        </w:rPr>
        <w:t>doza. Dozu treba primijeniti subkutano tokom 2-5 minuta svake tri nedjelje.</w:t>
      </w:r>
    </w:p>
    <w:p w14:paraId="7FC044EE" w14:textId="77777777" w:rsidR="004F6368" w:rsidRPr="00B8307D" w:rsidRDefault="004F6368" w:rsidP="000A067B">
      <w:pPr>
        <w:widowControl w:val="0"/>
        <w:jc w:val="both"/>
        <w:rPr>
          <w:sz w:val="22"/>
          <w:szCs w:val="22"/>
          <w:lang w:val="sr-Latn-ME"/>
        </w:rPr>
      </w:pPr>
    </w:p>
    <w:p w14:paraId="0E216BC7" w14:textId="4C67A7EE" w:rsidR="004F6368" w:rsidRPr="00B8307D" w:rsidRDefault="004F6368" w:rsidP="000A067B">
      <w:pPr>
        <w:widowControl w:val="0"/>
        <w:jc w:val="both"/>
        <w:rPr>
          <w:sz w:val="22"/>
          <w:szCs w:val="22"/>
          <w:lang w:val="sr-Latn-ME"/>
        </w:rPr>
      </w:pPr>
      <w:r w:rsidRPr="00B8307D">
        <w:rPr>
          <w:sz w:val="22"/>
          <w:szCs w:val="22"/>
          <w:lang w:val="sr-Latn-ME"/>
        </w:rPr>
        <w:t>U pivotalnom ispitivanju (BO22227)</w:t>
      </w:r>
      <w:r w:rsidR="00F36F2F" w:rsidRPr="00B8307D">
        <w:rPr>
          <w:sz w:val="22"/>
          <w:szCs w:val="22"/>
          <w:lang w:val="sr-Latn-ME"/>
        </w:rPr>
        <w:t xml:space="preserve"> lijek</w:t>
      </w:r>
      <w:r w:rsidRPr="00B8307D">
        <w:rPr>
          <w:sz w:val="22"/>
          <w:szCs w:val="22"/>
          <w:lang w:val="sr-Latn-ME"/>
        </w:rPr>
        <w:t xml:space="preserve"> Herceptin u subkutanoj formulaciji davao se u sklopu neoadjuvantnog/adjuvantnog liječenja pacijentkinja sa ranim karcinomom dojke. Preoperativni hemoterapijski protokol obuhvatao je docetaksel (75 mg/m</w:t>
      </w:r>
      <w:r w:rsidRPr="00B8307D">
        <w:rPr>
          <w:sz w:val="22"/>
          <w:szCs w:val="22"/>
          <w:vertAlign w:val="superscript"/>
          <w:lang w:val="sr-Latn-ME"/>
        </w:rPr>
        <w:t>2</w:t>
      </w:r>
      <w:r w:rsidRPr="00B8307D">
        <w:rPr>
          <w:sz w:val="22"/>
          <w:szCs w:val="22"/>
          <w:lang w:val="sr-Latn-ME"/>
        </w:rPr>
        <w:t>), a nakon njega FEC (5FU, epirubicin i ciklofosfamid) u standardnoj dozi.</w:t>
      </w:r>
    </w:p>
    <w:p w14:paraId="33307AF3" w14:textId="77777777" w:rsidR="004F6368" w:rsidRPr="00B8307D" w:rsidRDefault="004F6368" w:rsidP="000A067B">
      <w:pPr>
        <w:widowControl w:val="0"/>
        <w:jc w:val="both"/>
        <w:rPr>
          <w:sz w:val="22"/>
          <w:szCs w:val="22"/>
          <w:lang w:val="sr-Latn-ME"/>
        </w:rPr>
      </w:pPr>
    </w:p>
    <w:p w14:paraId="65E984F5" w14:textId="0AD54CF5" w:rsidR="004F6368" w:rsidRPr="00B8307D" w:rsidRDefault="004F6368" w:rsidP="000A067B">
      <w:pPr>
        <w:widowControl w:val="0"/>
        <w:jc w:val="both"/>
        <w:rPr>
          <w:sz w:val="22"/>
          <w:szCs w:val="22"/>
          <w:lang w:val="sr-Latn-ME"/>
        </w:rPr>
      </w:pPr>
      <w:r w:rsidRPr="00B8307D">
        <w:rPr>
          <w:sz w:val="22"/>
          <w:szCs w:val="22"/>
          <w:lang w:val="sr-Latn-ME"/>
        </w:rPr>
        <w:t>Vidjeti dio 5.1 za doziranje u kombinaciji sa hemoterapijom.</w:t>
      </w:r>
    </w:p>
    <w:p w14:paraId="33F61BE9" w14:textId="77777777" w:rsidR="004F6368" w:rsidRPr="00B8307D" w:rsidRDefault="004F6368" w:rsidP="000A067B">
      <w:pPr>
        <w:widowControl w:val="0"/>
        <w:jc w:val="both"/>
        <w:rPr>
          <w:sz w:val="22"/>
          <w:szCs w:val="22"/>
          <w:lang w:val="sr-Latn-ME"/>
        </w:rPr>
      </w:pPr>
    </w:p>
    <w:p w14:paraId="4A9E8C30" w14:textId="77777777" w:rsidR="004F6368" w:rsidRPr="00B8307D" w:rsidRDefault="004F6368" w:rsidP="000A067B">
      <w:pPr>
        <w:widowControl w:val="0"/>
        <w:jc w:val="both"/>
        <w:rPr>
          <w:i/>
          <w:sz w:val="22"/>
          <w:szCs w:val="22"/>
          <w:lang w:val="sr-Latn-ME"/>
        </w:rPr>
      </w:pPr>
      <w:r w:rsidRPr="00B8307D">
        <w:rPr>
          <w:i/>
          <w:sz w:val="22"/>
          <w:szCs w:val="22"/>
          <w:lang w:val="sr-Latn-ME"/>
        </w:rPr>
        <w:t xml:space="preserve">Trajanje liječenja </w:t>
      </w:r>
    </w:p>
    <w:p w14:paraId="68AAD3A1" w14:textId="77777777" w:rsidR="004F6368" w:rsidRPr="00B8307D" w:rsidRDefault="004F6368" w:rsidP="000A067B">
      <w:pPr>
        <w:widowControl w:val="0"/>
        <w:jc w:val="both"/>
        <w:rPr>
          <w:sz w:val="22"/>
          <w:szCs w:val="22"/>
          <w:lang w:val="sr-Latn-ME"/>
        </w:rPr>
      </w:pPr>
      <w:r w:rsidRPr="00B8307D">
        <w:rPr>
          <w:sz w:val="22"/>
          <w:szCs w:val="22"/>
          <w:lang w:val="sr-Latn-ME"/>
        </w:rPr>
        <w:t>Kod pacijenata sa metastatskim karcinomom dojke liječenje lijekom Herceptin traje do progresije bolesti. Kod pacijenata sa ranim karcinomom dojke, liječenje lijekom Herceptin traje godinu dana ili do relapsa bolesti, šta god nastupi ranije, ne preporučuje se da se produži liječenje ranog karcinoma dojke duže od jedne godine ( vidjeti dio 5.1)</w:t>
      </w:r>
    </w:p>
    <w:p w14:paraId="7C85AAB1" w14:textId="77777777" w:rsidR="004F6368" w:rsidRPr="00B8307D" w:rsidRDefault="004F6368" w:rsidP="000A067B">
      <w:pPr>
        <w:widowControl w:val="0"/>
        <w:jc w:val="both"/>
        <w:rPr>
          <w:i/>
          <w:sz w:val="22"/>
          <w:szCs w:val="22"/>
          <w:lang w:val="sr-Latn-ME"/>
        </w:rPr>
      </w:pPr>
    </w:p>
    <w:p w14:paraId="2EF23506" w14:textId="77777777" w:rsidR="004F6368" w:rsidRPr="00B8307D" w:rsidRDefault="004F6368" w:rsidP="000A067B">
      <w:pPr>
        <w:widowControl w:val="0"/>
        <w:jc w:val="both"/>
        <w:rPr>
          <w:i/>
          <w:sz w:val="22"/>
          <w:szCs w:val="22"/>
          <w:lang w:val="sr-Latn-ME"/>
        </w:rPr>
      </w:pPr>
      <w:r w:rsidRPr="00B8307D">
        <w:rPr>
          <w:i/>
          <w:sz w:val="22"/>
          <w:szCs w:val="22"/>
          <w:lang w:val="sr-Latn-ME"/>
        </w:rPr>
        <w:t>Smanjenje doze</w:t>
      </w:r>
    </w:p>
    <w:p w14:paraId="1CE8F03D" w14:textId="77777777" w:rsidR="004F6368" w:rsidRPr="00B8307D" w:rsidRDefault="004F6368" w:rsidP="000A067B">
      <w:pPr>
        <w:widowControl w:val="0"/>
        <w:jc w:val="both"/>
        <w:rPr>
          <w:sz w:val="22"/>
          <w:szCs w:val="22"/>
          <w:lang w:val="sr-Latn-ME"/>
        </w:rPr>
      </w:pPr>
      <w:r w:rsidRPr="00B8307D">
        <w:rPr>
          <w:sz w:val="22"/>
          <w:szCs w:val="22"/>
          <w:lang w:val="sr-Latn-ME"/>
        </w:rPr>
        <w:t xml:space="preserve">Tokom kliničkih ispitivanja doza lijeka Herceptina nije smanjivana. Liječenje se može nastaviti tokom perioda reverzibilne, hemoterapijom izazvane mijelosupresije, ali je pacijente tokom tog perioda potrebno pažljivo pratiti kako bi se pravovremeno zapazile komplikacija neutropenije. Pogledajte Sažetak karakteristika lijeka za paklitaksel, docetaksel ili inhibitore aromataze za informacije o </w:t>
      </w:r>
      <w:r w:rsidRPr="00B8307D">
        <w:rPr>
          <w:sz w:val="22"/>
          <w:szCs w:val="22"/>
          <w:lang w:val="sr-Latn-ME"/>
        </w:rPr>
        <w:lastRenderedPageBreak/>
        <w:t>smanjenju doze ili odlaganju doze.</w:t>
      </w:r>
    </w:p>
    <w:p w14:paraId="2F550B75" w14:textId="77777777" w:rsidR="004F6368" w:rsidRPr="00B8307D" w:rsidRDefault="004F6368" w:rsidP="000A067B">
      <w:pPr>
        <w:widowControl w:val="0"/>
        <w:jc w:val="both"/>
        <w:rPr>
          <w:sz w:val="22"/>
          <w:szCs w:val="22"/>
          <w:lang w:val="sr-Latn-ME"/>
        </w:rPr>
      </w:pPr>
    </w:p>
    <w:p w14:paraId="6CA5634A" w14:textId="1A6DC11B" w:rsidR="004F6368" w:rsidRPr="00B8307D" w:rsidRDefault="004F6368" w:rsidP="000A067B">
      <w:pPr>
        <w:widowControl w:val="0"/>
        <w:jc w:val="both"/>
        <w:rPr>
          <w:sz w:val="22"/>
          <w:szCs w:val="22"/>
          <w:lang w:val="sr-Latn-ME"/>
        </w:rPr>
      </w:pPr>
      <w:r w:rsidRPr="00B8307D">
        <w:rPr>
          <w:sz w:val="22"/>
          <w:szCs w:val="22"/>
          <w:lang w:val="sr-Latn-ME"/>
        </w:rPr>
        <w:t>Ako procenat ejekcione frakcije lijeve komore (engl.</w:t>
      </w:r>
      <w:r w:rsidRPr="00B8307D">
        <w:rPr>
          <w:i/>
          <w:sz w:val="22"/>
          <w:szCs w:val="22"/>
          <w:lang w:val="sr-Latn-ME"/>
        </w:rPr>
        <w:t xml:space="preserve"> left ventricular ejection fraction</w:t>
      </w:r>
      <w:r w:rsidRPr="00B8307D">
        <w:rPr>
          <w:sz w:val="22"/>
          <w:szCs w:val="22"/>
          <w:lang w:val="sr-Latn-ME"/>
        </w:rPr>
        <w:t>, LVEF)  padne za ≥ 10 od početne vrijednosti i</w:t>
      </w:r>
      <w:r w:rsidRPr="00B8307D">
        <w:rPr>
          <w:b/>
          <w:caps/>
          <w:sz w:val="22"/>
          <w:szCs w:val="22"/>
          <w:lang w:val="sr-Latn-ME"/>
        </w:rPr>
        <w:t xml:space="preserve"> </w:t>
      </w:r>
      <w:r w:rsidRPr="00B8307D">
        <w:rPr>
          <w:sz w:val="22"/>
          <w:szCs w:val="22"/>
          <w:lang w:val="sr-Latn-ME"/>
        </w:rPr>
        <w:t xml:space="preserve">na manje od 50%, terapiju treba obustaviti, a poslije otprilike 3 nedjelje ponovo izvršiti procjenu LVEF. Ako se vrijednost LVEF ne popravi ili dodatno opadne, ili ako se razvije simptomatska kongestivna srčana insuficijencija  (CHF) treba ozbiljno razmotriti mogćnost prekida terapije lijekom Herceptin, osim ako se ne smatra da je korist za pojedinačnog pacijenta veća od procijenjenog rizika.  Sve takve pacijente treba uputiti na procjenu kod kardiologa i potom pratiti.  </w:t>
      </w:r>
    </w:p>
    <w:p w14:paraId="1FDEFB48" w14:textId="77777777" w:rsidR="004F6368" w:rsidRPr="00B8307D" w:rsidRDefault="004F6368" w:rsidP="000A067B">
      <w:pPr>
        <w:widowControl w:val="0"/>
        <w:jc w:val="both"/>
        <w:rPr>
          <w:sz w:val="22"/>
          <w:szCs w:val="22"/>
          <w:lang w:val="sr-Latn-ME"/>
        </w:rPr>
      </w:pPr>
    </w:p>
    <w:p w14:paraId="485AB420" w14:textId="77777777" w:rsidR="004F6368" w:rsidRPr="00B8307D" w:rsidRDefault="004F6368" w:rsidP="000A067B">
      <w:pPr>
        <w:widowControl w:val="0"/>
        <w:jc w:val="both"/>
        <w:rPr>
          <w:i/>
          <w:sz w:val="22"/>
          <w:szCs w:val="22"/>
          <w:lang w:val="sr-Latn-ME"/>
        </w:rPr>
      </w:pPr>
      <w:r w:rsidRPr="00B8307D">
        <w:rPr>
          <w:i/>
          <w:sz w:val="22"/>
          <w:szCs w:val="22"/>
          <w:lang w:val="sr-Latn-ME"/>
        </w:rPr>
        <w:t xml:space="preserve">Propuštene doze </w:t>
      </w:r>
    </w:p>
    <w:p w14:paraId="5ABD0797" w14:textId="77777777" w:rsidR="004F6368" w:rsidRPr="00B8307D" w:rsidRDefault="004F6368" w:rsidP="000A067B">
      <w:pPr>
        <w:widowControl w:val="0"/>
        <w:jc w:val="both"/>
        <w:rPr>
          <w:sz w:val="22"/>
          <w:szCs w:val="22"/>
          <w:lang w:val="sr-Latn-ME"/>
        </w:rPr>
      </w:pPr>
      <w:r w:rsidRPr="00B8307D">
        <w:rPr>
          <w:sz w:val="22"/>
          <w:szCs w:val="22"/>
          <w:lang w:val="sr-Latn-ME"/>
        </w:rPr>
        <w:t>Ukoliko pacijent propusti dozu subkutane formulacije lijeka Herceptin, preporučuje se što prije primjeniti sljedeću dozu od 600 mg (tj. propuštenu dozu).  Razmak između dvije uzastopne primjene lijeka Herceptin u subkutanoj formulaciji ne smije biti manji od tri nedjelje.</w:t>
      </w:r>
    </w:p>
    <w:p w14:paraId="20D90F23" w14:textId="77777777" w:rsidR="004F6368" w:rsidRPr="00B8307D" w:rsidRDefault="004F6368" w:rsidP="000A067B">
      <w:pPr>
        <w:widowControl w:val="0"/>
        <w:jc w:val="both"/>
        <w:rPr>
          <w:sz w:val="22"/>
          <w:szCs w:val="22"/>
          <w:lang w:val="sr-Latn-ME"/>
        </w:rPr>
      </w:pPr>
    </w:p>
    <w:p w14:paraId="42267F0B" w14:textId="77777777" w:rsidR="004F6368" w:rsidRPr="00B8307D" w:rsidRDefault="004F6368" w:rsidP="000A067B">
      <w:pPr>
        <w:widowControl w:val="0"/>
        <w:jc w:val="both"/>
        <w:rPr>
          <w:i/>
          <w:sz w:val="22"/>
          <w:szCs w:val="22"/>
          <w:lang w:val="sr-Latn-ME"/>
        </w:rPr>
      </w:pPr>
      <w:r w:rsidRPr="00B8307D">
        <w:rPr>
          <w:i/>
          <w:sz w:val="22"/>
          <w:szCs w:val="22"/>
          <w:lang w:val="sr-Latn-ME"/>
        </w:rPr>
        <w:t>Posebne populacije pacijenata</w:t>
      </w:r>
    </w:p>
    <w:p w14:paraId="59E48DDB" w14:textId="77777777" w:rsidR="004F6368" w:rsidRPr="00B8307D" w:rsidRDefault="004F6368" w:rsidP="000A067B">
      <w:pPr>
        <w:widowControl w:val="0"/>
        <w:jc w:val="both"/>
        <w:rPr>
          <w:sz w:val="22"/>
          <w:szCs w:val="22"/>
          <w:lang w:val="sr-Latn-ME"/>
        </w:rPr>
      </w:pPr>
      <w:r w:rsidRPr="00B8307D">
        <w:rPr>
          <w:sz w:val="22"/>
          <w:szCs w:val="22"/>
          <w:lang w:val="sr-Latn-ME"/>
        </w:rPr>
        <w:t xml:space="preserve">Posebna farmakokinetička ispitivanja nijesu sprovedena kod starijih osoba niti kod pacijenata sa oštećenjem funkcije bubrega ili jetre. Međutim, u populacionoj farmakokinetičkoj analizi, pokazalo se da godine starosti i oslabljena funkcija bubrega ne utiču na dispoziciju trastuzumaba. </w:t>
      </w:r>
    </w:p>
    <w:p w14:paraId="3022E1A0" w14:textId="77777777" w:rsidR="004F6368" w:rsidRPr="00B8307D" w:rsidRDefault="004F6368" w:rsidP="000A067B">
      <w:pPr>
        <w:widowControl w:val="0"/>
        <w:jc w:val="both"/>
        <w:rPr>
          <w:sz w:val="22"/>
          <w:szCs w:val="22"/>
          <w:lang w:val="sr-Latn-ME"/>
        </w:rPr>
      </w:pPr>
    </w:p>
    <w:p w14:paraId="45369383" w14:textId="77777777" w:rsidR="004F6368" w:rsidRPr="00B8307D" w:rsidRDefault="004F6368" w:rsidP="000A067B">
      <w:pPr>
        <w:widowControl w:val="0"/>
        <w:jc w:val="both"/>
        <w:rPr>
          <w:i/>
          <w:sz w:val="22"/>
          <w:szCs w:val="22"/>
          <w:lang w:val="sr-Latn-ME"/>
        </w:rPr>
      </w:pPr>
      <w:r w:rsidRPr="00B8307D">
        <w:rPr>
          <w:i/>
          <w:sz w:val="22"/>
          <w:szCs w:val="22"/>
          <w:lang w:val="sr-Latn-ME"/>
        </w:rPr>
        <w:t>Pedijatrijska populacija</w:t>
      </w:r>
    </w:p>
    <w:p w14:paraId="1FE5FE51" w14:textId="22D13BA8" w:rsidR="00452E9D" w:rsidRPr="00B8307D" w:rsidRDefault="004F6368" w:rsidP="000A067B">
      <w:pPr>
        <w:widowControl w:val="0"/>
        <w:tabs>
          <w:tab w:val="left" w:pos="540"/>
          <w:tab w:val="left" w:pos="569"/>
        </w:tabs>
        <w:jc w:val="both"/>
        <w:rPr>
          <w:sz w:val="22"/>
          <w:szCs w:val="22"/>
          <w:lang w:val="sr-Latn-ME"/>
        </w:rPr>
      </w:pPr>
      <w:r w:rsidRPr="00B8307D">
        <w:rPr>
          <w:sz w:val="22"/>
          <w:szCs w:val="22"/>
          <w:lang w:val="sr-Latn-ME"/>
        </w:rPr>
        <w:t>Nema relevantne primjene lijeka Herceptin u pedijatrijskoj populaciji.</w:t>
      </w:r>
    </w:p>
    <w:p w14:paraId="4FEA57D3" w14:textId="77777777" w:rsidR="004F6368" w:rsidRPr="00B8307D" w:rsidRDefault="004F6368" w:rsidP="000A067B">
      <w:pPr>
        <w:widowControl w:val="0"/>
        <w:tabs>
          <w:tab w:val="left" w:pos="540"/>
          <w:tab w:val="left" w:pos="569"/>
        </w:tabs>
        <w:jc w:val="both"/>
        <w:rPr>
          <w:bCs/>
          <w:sz w:val="22"/>
          <w:szCs w:val="22"/>
          <w:u w:val="single"/>
          <w:lang w:val="sr-Latn-ME"/>
        </w:rPr>
      </w:pPr>
    </w:p>
    <w:p w14:paraId="1FE5FE52" w14:textId="77777777" w:rsidR="00452E9D" w:rsidRPr="00B8307D" w:rsidRDefault="00452E9D" w:rsidP="000A067B">
      <w:pPr>
        <w:widowControl w:val="0"/>
        <w:tabs>
          <w:tab w:val="left" w:pos="540"/>
          <w:tab w:val="left" w:pos="569"/>
        </w:tabs>
        <w:jc w:val="both"/>
        <w:rPr>
          <w:bCs/>
          <w:sz w:val="22"/>
          <w:szCs w:val="22"/>
          <w:u w:val="single"/>
          <w:lang w:val="sr-Latn-ME"/>
        </w:rPr>
      </w:pPr>
      <w:r w:rsidRPr="00B8307D">
        <w:rPr>
          <w:bCs/>
          <w:sz w:val="22"/>
          <w:szCs w:val="22"/>
          <w:u w:val="single"/>
          <w:lang w:val="sr-Latn-ME"/>
        </w:rPr>
        <w:t>Način primjene</w:t>
      </w:r>
    </w:p>
    <w:p w14:paraId="1FE5FE53" w14:textId="045421C3" w:rsidR="00452E9D" w:rsidRPr="00B8307D" w:rsidRDefault="00452E9D" w:rsidP="000A067B">
      <w:pPr>
        <w:widowControl w:val="0"/>
        <w:tabs>
          <w:tab w:val="left" w:pos="540"/>
          <w:tab w:val="left" w:pos="569"/>
        </w:tabs>
        <w:jc w:val="both"/>
        <w:rPr>
          <w:bCs/>
          <w:sz w:val="22"/>
          <w:szCs w:val="22"/>
          <w:lang w:val="sr-Latn-ME"/>
        </w:rPr>
      </w:pPr>
    </w:p>
    <w:p w14:paraId="45D63EED" w14:textId="2AB88E89" w:rsidR="004F6368" w:rsidRPr="00B8307D" w:rsidRDefault="004F6368" w:rsidP="000A067B">
      <w:pPr>
        <w:widowControl w:val="0"/>
        <w:jc w:val="both"/>
        <w:rPr>
          <w:sz w:val="22"/>
          <w:szCs w:val="22"/>
          <w:lang w:val="sr-Latn-ME"/>
        </w:rPr>
      </w:pPr>
      <w:r w:rsidRPr="00B8307D">
        <w:rPr>
          <w:sz w:val="22"/>
          <w:szCs w:val="22"/>
          <w:lang w:val="sr-Latn-ME"/>
        </w:rPr>
        <w:t xml:space="preserve">Doza od 600 mg smije se primijeniti isključivo kao subkutana injekcija tokom 2-5 minuta svake tri nedjelje. Injekciju treba naizmjenično davati u lijevu i desnu butinu. Nove injekcije treba primijeniti najmanje 2,5 cm od mjesta prethodne injekcije, ali nikada na ona područja gdje je koža crvena, sa modricama, bolna na dodir ili tvrda. Tokom ciklusa liječenja lijekom Herceptin u subkutanoj formulaciji druge ljekove za subkutanu primjenu treba po mogućnosti ubrizgavati na druga mjesta. Pacijente treba pratiti najmanje </w:t>
      </w:r>
      <w:r w:rsidR="00832089" w:rsidRPr="00B8307D">
        <w:rPr>
          <w:sz w:val="22"/>
          <w:szCs w:val="22"/>
          <w:lang w:val="sr-Latn-ME"/>
        </w:rPr>
        <w:t>30 minuta</w:t>
      </w:r>
      <w:r w:rsidRPr="00B8307D">
        <w:rPr>
          <w:sz w:val="22"/>
          <w:szCs w:val="22"/>
          <w:lang w:val="sr-Latn-ME"/>
        </w:rPr>
        <w:t xml:space="preserve"> nakon prve injekcije i </w:t>
      </w:r>
      <w:r w:rsidR="00832089" w:rsidRPr="00B8307D">
        <w:rPr>
          <w:sz w:val="22"/>
          <w:szCs w:val="22"/>
          <w:lang w:val="sr-Latn-ME"/>
        </w:rPr>
        <w:t>15 minuta</w:t>
      </w:r>
      <w:r w:rsidRPr="00B8307D">
        <w:rPr>
          <w:sz w:val="22"/>
          <w:szCs w:val="22"/>
          <w:lang w:val="sr-Latn-ME"/>
        </w:rPr>
        <w:t xml:space="preserve"> nakon svake sljedeće injekcije kako bi se uočili mogući znaci ili simptomi reakcija povezanih sa primjenom lijeka (vidjeti dio 4.4 i 4.8). </w:t>
      </w:r>
    </w:p>
    <w:p w14:paraId="1E73F055" w14:textId="77777777" w:rsidR="00B22B2E" w:rsidRPr="00B8307D" w:rsidRDefault="00B22B2E" w:rsidP="000A067B">
      <w:pPr>
        <w:widowControl w:val="0"/>
        <w:jc w:val="both"/>
        <w:rPr>
          <w:sz w:val="22"/>
          <w:szCs w:val="22"/>
          <w:lang w:val="sr-Latn-ME"/>
        </w:rPr>
      </w:pPr>
    </w:p>
    <w:p w14:paraId="2A9FEBDD" w14:textId="3DA35861" w:rsidR="004F6368" w:rsidRPr="00B8307D" w:rsidRDefault="004F6368" w:rsidP="000A067B">
      <w:pPr>
        <w:widowControl w:val="0"/>
        <w:tabs>
          <w:tab w:val="left" w:pos="540"/>
          <w:tab w:val="left" w:pos="569"/>
        </w:tabs>
        <w:jc w:val="both"/>
        <w:rPr>
          <w:sz w:val="22"/>
          <w:szCs w:val="22"/>
          <w:lang w:val="sr-Latn-ME"/>
        </w:rPr>
      </w:pPr>
      <w:r w:rsidRPr="00B8307D">
        <w:rPr>
          <w:sz w:val="22"/>
          <w:szCs w:val="22"/>
          <w:lang w:val="sr-Latn-ME"/>
        </w:rPr>
        <w:t>Za instrukcije o upotrebi i rukovanju lijekom Herceptin, vidjeti dio 6.6.</w:t>
      </w:r>
    </w:p>
    <w:p w14:paraId="3E8258AE" w14:textId="77777777" w:rsidR="004F6368" w:rsidRPr="00B8307D" w:rsidRDefault="004F6368" w:rsidP="000A067B">
      <w:pPr>
        <w:widowControl w:val="0"/>
        <w:tabs>
          <w:tab w:val="left" w:pos="540"/>
          <w:tab w:val="left" w:pos="569"/>
        </w:tabs>
        <w:rPr>
          <w:bCs/>
          <w:sz w:val="22"/>
          <w:szCs w:val="22"/>
          <w:lang w:val="sr-Latn-ME"/>
        </w:rPr>
      </w:pPr>
    </w:p>
    <w:p w14:paraId="1FE5FE54" w14:textId="20411034" w:rsidR="00411B4B" w:rsidRPr="00B8307D" w:rsidRDefault="00411B4B" w:rsidP="000A067B">
      <w:pPr>
        <w:widowControl w:val="0"/>
        <w:tabs>
          <w:tab w:val="left" w:pos="540"/>
          <w:tab w:val="left" w:pos="569"/>
        </w:tabs>
        <w:rPr>
          <w:b/>
          <w:bCs/>
          <w:sz w:val="22"/>
          <w:szCs w:val="22"/>
          <w:lang w:val="sr-Latn-ME"/>
        </w:rPr>
      </w:pPr>
      <w:r w:rsidRPr="00B8307D">
        <w:rPr>
          <w:b/>
          <w:bCs/>
          <w:sz w:val="22"/>
          <w:szCs w:val="22"/>
          <w:lang w:val="sr-Latn-ME"/>
        </w:rPr>
        <w:t xml:space="preserve">4.3. </w:t>
      </w:r>
      <w:r w:rsidR="00480FB1" w:rsidRPr="00B8307D">
        <w:rPr>
          <w:b/>
          <w:bCs/>
          <w:sz w:val="22"/>
          <w:szCs w:val="22"/>
          <w:lang w:val="sr-Latn-ME"/>
        </w:rPr>
        <w:tab/>
      </w:r>
      <w:r w:rsidRPr="00B8307D">
        <w:rPr>
          <w:b/>
          <w:bCs/>
          <w:sz w:val="22"/>
          <w:szCs w:val="22"/>
          <w:lang w:val="sr-Latn-ME"/>
        </w:rPr>
        <w:t>Kontraindikacije</w:t>
      </w:r>
    </w:p>
    <w:p w14:paraId="7B175E53" w14:textId="7F81E949" w:rsidR="004F6368" w:rsidRPr="00B8307D" w:rsidRDefault="004F6368" w:rsidP="000A067B">
      <w:pPr>
        <w:widowControl w:val="0"/>
        <w:tabs>
          <w:tab w:val="left" w:pos="540"/>
          <w:tab w:val="left" w:pos="569"/>
        </w:tabs>
        <w:rPr>
          <w:b/>
          <w:bCs/>
          <w:sz w:val="22"/>
          <w:szCs w:val="22"/>
          <w:lang w:val="sr-Latn-ME"/>
        </w:rPr>
      </w:pPr>
    </w:p>
    <w:p w14:paraId="37A818BA" w14:textId="77777777" w:rsidR="004F6368" w:rsidRPr="00B8307D" w:rsidRDefault="004F6368" w:rsidP="000A067B">
      <w:pPr>
        <w:widowControl w:val="0"/>
        <w:numPr>
          <w:ilvl w:val="0"/>
          <w:numId w:val="14"/>
        </w:numPr>
        <w:jc w:val="both"/>
        <w:rPr>
          <w:sz w:val="22"/>
          <w:szCs w:val="22"/>
          <w:lang w:val="sr-Latn-ME"/>
        </w:rPr>
      </w:pPr>
      <w:r w:rsidRPr="00B8307D">
        <w:rPr>
          <w:sz w:val="22"/>
          <w:szCs w:val="22"/>
          <w:lang w:val="sr-Latn-ME"/>
        </w:rPr>
        <w:t xml:space="preserve">Preosjetljivost  na trastuzumab, mišje proteine, hijaluronidazu ili bilo koju drugu pomoćnu supstancu lijeka. </w:t>
      </w:r>
    </w:p>
    <w:p w14:paraId="46C97767" w14:textId="77777777" w:rsidR="004F6368" w:rsidRPr="00B8307D" w:rsidRDefault="004F6368" w:rsidP="000A067B">
      <w:pPr>
        <w:widowControl w:val="0"/>
        <w:numPr>
          <w:ilvl w:val="0"/>
          <w:numId w:val="14"/>
        </w:numPr>
        <w:jc w:val="both"/>
        <w:rPr>
          <w:sz w:val="22"/>
          <w:szCs w:val="22"/>
          <w:lang w:val="sr-Latn-ME"/>
        </w:rPr>
      </w:pPr>
      <w:r w:rsidRPr="00B8307D">
        <w:rPr>
          <w:sz w:val="22"/>
          <w:szCs w:val="22"/>
          <w:lang w:val="sr-Latn-ME"/>
        </w:rPr>
        <w:t>Teška dispneja pri mirovanju zbog komplikacije uznapredovalog maligniteta ili kojima je potrebna dodatna kiseonična terapija.</w:t>
      </w:r>
    </w:p>
    <w:p w14:paraId="1FE5FE55" w14:textId="75DEFEC2" w:rsidR="0072020E" w:rsidRPr="00B8307D" w:rsidRDefault="0072020E" w:rsidP="000A067B">
      <w:pPr>
        <w:widowControl w:val="0"/>
        <w:tabs>
          <w:tab w:val="left" w:pos="540"/>
          <w:tab w:val="left" w:pos="569"/>
        </w:tabs>
        <w:rPr>
          <w:bCs/>
          <w:sz w:val="22"/>
          <w:szCs w:val="22"/>
          <w:lang w:val="sr-Latn-ME"/>
        </w:rPr>
      </w:pPr>
    </w:p>
    <w:p w14:paraId="1FE5FE56" w14:textId="0A56F227" w:rsidR="00411B4B" w:rsidRPr="00B8307D" w:rsidRDefault="00411B4B" w:rsidP="000A067B">
      <w:pPr>
        <w:widowControl w:val="0"/>
        <w:tabs>
          <w:tab w:val="left" w:pos="540"/>
          <w:tab w:val="left" w:pos="569"/>
        </w:tabs>
        <w:rPr>
          <w:b/>
          <w:bCs/>
          <w:sz w:val="22"/>
          <w:szCs w:val="22"/>
          <w:lang w:val="sr-Latn-ME"/>
        </w:rPr>
      </w:pPr>
      <w:r w:rsidRPr="00B8307D">
        <w:rPr>
          <w:b/>
          <w:bCs/>
          <w:sz w:val="22"/>
          <w:szCs w:val="22"/>
          <w:lang w:val="sr-Latn-ME"/>
        </w:rPr>
        <w:t xml:space="preserve">4.4. </w:t>
      </w:r>
      <w:r w:rsidR="00480FB1" w:rsidRPr="00B8307D">
        <w:rPr>
          <w:b/>
          <w:bCs/>
          <w:sz w:val="22"/>
          <w:szCs w:val="22"/>
          <w:lang w:val="sr-Latn-ME"/>
        </w:rPr>
        <w:tab/>
      </w:r>
      <w:r w:rsidRPr="00B8307D">
        <w:rPr>
          <w:b/>
          <w:bCs/>
          <w:sz w:val="22"/>
          <w:szCs w:val="22"/>
          <w:lang w:val="sr-Latn-ME"/>
        </w:rPr>
        <w:t>Posebna upozorenja i mjere opreza pri upotrebi lijeka</w:t>
      </w:r>
    </w:p>
    <w:p w14:paraId="4494678F" w14:textId="3BEA1B61" w:rsidR="004F6368" w:rsidRPr="00B8307D" w:rsidRDefault="004F6368" w:rsidP="000A067B">
      <w:pPr>
        <w:widowControl w:val="0"/>
        <w:tabs>
          <w:tab w:val="left" w:pos="540"/>
          <w:tab w:val="left" w:pos="569"/>
        </w:tabs>
        <w:rPr>
          <w:bCs/>
          <w:sz w:val="22"/>
          <w:szCs w:val="22"/>
          <w:u w:val="single"/>
          <w:lang w:val="sr-Latn-ME"/>
        </w:rPr>
      </w:pPr>
    </w:p>
    <w:p w14:paraId="41D514E4" w14:textId="77777777" w:rsidR="004F6368" w:rsidRPr="00B8307D" w:rsidRDefault="004F6368" w:rsidP="000A067B">
      <w:pPr>
        <w:widowControl w:val="0"/>
        <w:tabs>
          <w:tab w:val="left" w:pos="284"/>
          <w:tab w:val="center" w:pos="4320"/>
          <w:tab w:val="right" w:pos="8640"/>
        </w:tabs>
        <w:rPr>
          <w:bCs/>
          <w:sz w:val="22"/>
          <w:szCs w:val="22"/>
          <w:u w:val="single"/>
          <w:lang w:val="sr-Latn-ME"/>
        </w:rPr>
      </w:pPr>
      <w:r w:rsidRPr="00B8307D">
        <w:rPr>
          <w:bCs/>
          <w:sz w:val="22"/>
          <w:szCs w:val="22"/>
          <w:u w:val="single"/>
          <w:lang w:val="sr-Latn-ME"/>
        </w:rPr>
        <w:t>Sledljivost</w:t>
      </w:r>
    </w:p>
    <w:p w14:paraId="57B4E183" w14:textId="77777777" w:rsidR="004F6368" w:rsidRPr="00B8307D" w:rsidRDefault="004F6368" w:rsidP="000A067B">
      <w:pPr>
        <w:widowControl w:val="0"/>
        <w:jc w:val="both"/>
        <w:rPr>
          <w:sz w:val="22"/>
          <w:szCs w:val="22"/>
          <w:lang w:val="sr-Latn-ME"/>
        </w:rPr>
      </w:pPr>
      <w:r w:rsidRPr="00B8307D">
        <w:rPr>
          <w:sz w:val="22"/>
          <w:szCs w:val="22"/>
          <w:lang w:val="sr-Latn-ME"/>
        </w:rPr>
        <w:t>Kako bi se poboljšala sledljivost bioloških ljekova, zaštićeno ime i broj serije primijenjenog lijeka potrebno je jasno evidentirati.</w:t>
      </w:r>
    </w:p>
    <w:p w14:paraId="513C3E6C" w14:textId="77777777" w:rsidR="004F6368" w:rsidRPr="00B8307D" w:rsidRDefault="004F6368" w:rsidP="000A067B">
      <w:pPr>
        <w:widowControl w:val="0"/>
        <w:jc w:val="both"/>
        <w:rPr>
          <w:sz w:val="22"/>
          <w:szCs w:val="22"/>
          <w:lang w:val="sr-Latn-ME"/>
        </w:rPr>
      </w:pPr>
    </w:p>
    <w:p w14:paraId="0F339B4A" w14:textId="7F95DB15" w:rsidR="004F6368" w:rsidRPr="00B8307D" w:rsidRDefault="004F6368" w:rsidP="000A067B">
      <w:pPr>
        <w:widowControl w:val="0"/>
        <w:jc w:val="both"/>
        <w:rPr>
          <w:sz w:val="22"/>
          <w:szCs w:val="22"/>
          <w:lang w:val="sr-Latn-ME"/>
        </w:rPr>
      </w:pPr>
      <w:r w:rsidRPr="00B8307D">
        <w:rPr>
          <w:sz w:val="22"/>
          <w:szCs w:val="22"/>
          <w:lang w:val="sr-Latn-ME"/>
        </w:rPr>
        <w:t>Testiranje ekspresije HER2 mora se obaviti u specijalizovanoj laboratoriji koja može da obezbijedi adekvatnu validaciju postupka testiranja (vidjeti dio 5.1).</w:t>
      </w:r>
    </w:p>
    <w:p w14:paraId="49D9287E" w14:textId="77777777" w:rsidR="004F6368" w:rsidRPr="00B8307D" w:rsidRDefault="004F6368" w:rsidP="000A067B">
      <w:pPr>
        <w:widowControl w:val="0"/>
        <w:jc w:val="both"/>
        <w:rPr>
          <w:sz w:val="22"/>
          <w:szCs w:val="22"/>
          <w:lang w:val="sr-Latn-ME"/>
        </w:rPr>
      </w:pPr>
    </w:p>
    <w:p w14:paraId="2AF355F9" w14:textId="3302B043" w:rsidR="004F6368" w:rsidRPr="00B8307D" w:rsidRDefault="00F74280" w:rsidP="000A067B">
      <w:pPr>
        <w:widowControl w:val="0"/>
        <w:jc w:val="both"/>
        <w:rPr>
          <w:sz w:val="22"/>
          <w:szCs w:val="22"/>
          <w:lang w:val="sr-Latn-ME"/>
        </w:rPr>
      </w:pPr>
      <w:r w:rsidRPr="00B8307D">
        <w:rPr>
          <w:sz w:val="22"/>
          <w:szCs w:val="22"/>
          <w:lang w:val="sr-Latn-ME"/>
        </w:rPr>
        <w:t>Trenutno</w:t>
      </w:r>
      <w:r w:rsidR="004F6368" w:rsidRPr="00B8307D">
        <w:rPr>
          <w:sz w:val="22"/>
          <w:szCs w:val="22"/>
          <w:lang w:val="sr-Latn-ME"/>
        </w:rPr>
        <w:t xml:space="preserve"> nema </w:t>
      </w:r>
      <w:r w:rsidRPr="00B8307D">
        <w:rPr>
          <w:sz w:val="22"/>
          <w:szCs w:val="22"/>
          <w:lang w:val="sr-Latn-ME"/>
        </w:rPr>
        <w:t xml:space="preserve">dostupnih </w:t>
      </w:r>
      <w:r w:rsidR="004F6368" w:rsidRPr="00B8307D">
        <w:rPr>
          <w:sz w:val="22"/>
          <w:szCs w:val="22"/>
          <w:lang w:val="sr-Latn-ME"/>
        </w:rPr>
        <w:t>podataka iz kliničkih ispitivanja o ponovnoj upotrebi lijeka Herceptin kod pacijenata koji su ranije već bili izlagani lijeku Herceptin u adjuvantnom pristupu.</w:t>
      </w:r>
    </w:p>
    <w:p w14:paraId="385D6FE2" w14:textId="1404A103" w:rsidR="004F6368" w:rsidRPr="00B8307D" w:rsidRDefault="004F6368" w:rsidP="000A067B">
      <w:pPr>
        <w:widowControl w:val="0"/>
        <w:tabs>
          <w:tab w:val="left" w:pos="540"/>
          <w:tab w:val="left" w:pos="569"/>
        </w:tabs>
        <w:rPr>
          <w:b/>
          <w:bCs/>
          <w:sz w:val="22"/>
          <w:szCs w:val="22"/>
          <w:lang w:val="sr-Latn-ME"/>
        </w:rPr>
      </w:pPr>
    </w:p>
    <w:p w14:paraId="79C37533" w14:textId="77777777" w:rsidR="004F6368" w:rsidRPr="00B8307D" w:rsidRDefault="004F6368" w:rsidP="000A067B">
      <w:pPr>
        <w:widowControl w:val="0"/>
        <w:jc w:val="both"/>
        <w:rPr>
          <w:sz w:val="22"/>
          <w:szCs w:val="22"/>
          <w:u w:val="single"/>
          <w:lang w:val="sr-Latn-ME"/>
        </w:rPr>
      </w:pPr>
      <w:r w:rsidRPr="00B8307D">
        <w:rPr>
          <w:sz w:val="22"/>
          <w:szCs w:val="22"/>
          <w:u w:val="single"/>
          <w:lang w:val="sr-Latn-ME"/>
        </w:rPr>
        <w:t>Disfunkcija srca</w:t>
      </w:r>
    </w:p>
    <w:p w14:paraId="5A7426A1" w14:textId="77777777" w:rsidR="004F6368" w:rsidRPr="00B8307D" w:rsidRDefault="004F6368" w:rsidP="000A067B">
      <w:pPr>
        <w:widowControl w:val="0"/>
        <w:jc w:val="both"/>
        <w:rPr>
          <w:i/>
          <w:sz w:val="22"/>
          <w:szCs w:val="22"/>
          <w:lang w:val="sr-Latn-ME"/>
        </w:rPr>
      </w:pPr>
    </w:p>
    <w:p w14:paraId="34FAC721" w14:textId="77777777" w:rsidR="004F6368" w:rsidRPr="00B8307D" w:rsidRDefault="004F6368" w:rsidP="000A067B">
      <w:pPr>
        <w:widowControl w:val="0"/>
        <w:jc w:val="both"/>
        <w:rPr>
          <w:i/>
          <w:sz w:val="22"/>
          <w:szCs w:val="22"/>
          <w:u w:val="single"/>
          <w:lang w:val="sr-Latn-ME"/>
        </w:rPr>
      </w:pPr>
      <w:r w:rsidRPr="00B8307D">
        <w:rPr>
          <w:i/>
          <w:sz w:val="22"/>
          <w:szCs w:val="22"/>
          <w:u w:val="single"/>
          <w:lang w:val="sr-Latn-ME"/>
        </w:rPr>
        <w:t>Opšta razmatranja</w:t>
      </w:r>
    </w:p>
    <w:p w14:paraId="4AE73C93" w14:textId="0930C918" w:rsidR="004F6368" w:rsidRPr="00B8307D" w:rsidRDefault="004F6368" w:rsidP="000A067B">
      <w:pPr>
        <w:widowControl w:val="0"/>
        <w:jc w:val="both"/>
        <w:rPr>
          <w:sz w:val="22"/>
          <w:szCs w:val="22"/>
          <w:lang w:val="sr-Latn-ME"/>
        </w:rPr>
      </w:pPr>
      <w:r w:rsidRPr="00B8307D">
        <w:rPr>
          <w:sz w:val="22"/>
          <w:szCs w:val="22"/>
          <w:lang w:val="sr-Latn-ME"/>
        </w:rPr>
        <w:t xml:space="preserve">Kod pacijenata liječenih lijekom Herceptin postoji povećan rizik od razvoja kongestivne srčane </w:t>
      </w:r>
      <w:r w:rsidRPr="00B8307D">
        <w:rPr>
          <w:sz w:val="22"/>
          <w:szCs w:val="22"/>
          <w:lang w:val="sr-Latn-ME"/>
        </w:rPr>
        <w:lastRenderedPageBreak/>
        <w:t xml:space="preserve">insuficijencije (engl. </w:t>
      </w:r>
      <w:r w:rsidRPr="00B8307D">
        <w:rPr>
          <w:i/>
          <w:sz w:val="22"/>
          <w:szCs w:val="22"/>
          <w:lang w:val="sr-Latn-ME"/>
        </w:rPr>
        <w:t>congestive heart failure,</w:t>
      </w:r>
      <w:r w:rsidRPr="00B8307D">
        <w:rPr>
          <w:sz w:val="22"/>
          <w:szCs w:val="22"/>
          <w:lang w:val="sr-Latn-ME"/>
        </w:rPr>
        <w:t xml:space="preserve"> CHF) (klase II-IV prema klasifikaciji </w:t>
      </w:r>
      <w:r w:rsidRPr="00B8307D">
        <w:rPr>
          <w:i/>
          <w:sz w:val="22"/>
          <w:szCs w:val="22"/>
          <w:lang w:val="sr-Latn-ME"/>
        </w:rPr>
        <w:t xml:space="preserve">New York Heart Association </w:t>
      </w:r>
      <w:r w:rsidRPr="00B8307D">
        <w:rPr>
          <w:sz w:val="22"/>
          <w:szCs w:val="22"/>
          <w:lang w:val="sr-Latn-ME"/>
        </w:rPr>
        <w:t xml:space="preserve">–NYHA) ili asimptomatske disfunkcije srca. Ti su događaji zabilježeni kod pacijenata koji primaju terapiju lijekom Herceptin bilo samu ili u kombinaciji sa paklitakselom ili docetakselom, posebno poslije hemioterapije koja je sadržala antracikline (doksorubicin ili epirubicin). Navedeni događaji mogu biti umjereni do teški i u nekim slučajevima povezani sa smrtnim ishodom (vidjeti dio 4.8). Osim toga, neophodan je oprez pri liječenju pacijenata kod kojih postoji povećan srčani rizik, npr. hipertenzija, dokumentovana bolest koronarnih arterija, kongestivna srčana insuficijencija, ejekciona frakcija lijeve komore (LVEF) &lt; 55%, stariji </w:t>
      </w:r>
      <w:r w:rsidR="00F74280" w:rsidRPr="00B8307D">
        <w:rPr>
          <w:sz w:val="22"/>
          <w:szCs w:val="22"/>
          <w:lang w:val="sr-Latn-ME"/>
        </w:rPr>
        <w:t>pacijenti</w:t>
      </w:r>
      <w:r w:rsidRPr="00B8307D">
        <w:rPr>
          <w:sz w:val="22"/>
          <w:szCs w:val="22"/>
          <w:lang w:val="sr-Latn-ME"/>
        </w:rPr>
        <w:t>.</w:t>
      </w:r>
    </w:p>
    <w:p w14:paraId="240BC200" w14:textId="77777777" w:rsidR="004F6368" w:rsidRPr="00B8307D" w:rsidRDefault="004F6368" w:rsidP="000A067B">
      <w:pPr>
        <w:widowControl w:val="0"/>
        <w:jc w:val="both"/>
        <w:rPr>
          <w:sz w:val="22"/>
          <w:szCs w:val="22"/>
          <w:lang w:val="sr-Latn-ME"/>
        </w:rPr>
      </w:pPr>
    </w:p>
    <w:p w14:paraId="721E315F" w14:textId="77777777" w:rsidR="004F6368" w:rsidRPr="00B8307D" w:rsidRDefault="004F6368" w:rsidP="000A067B">
      <w:pPr>
        <w:widowControl w:val="0"/>
        <w:jc w:val="both"/>
        <w:rPr>
          <w:sz w:val="22"/>
          <w:szCs w:val="22"/>
          <w:lang w:val="sr-Latn-ME"/>
        </w:rPr>
      </w:pPr>
      <w:r w:rsidRPr="00B8307D">
        <w:rPr>
          <w:sz w:val="22"/>
          <w:szCs w:val="22"/>
          <w:lang w:val="sr-Latn-ME"/>
        </w:rPr>
        <w:t xml:space="preserve">Svi kandidati za terapiju lijekom Herceptin, ali posebno oni koji su prethodno izlagani antraciklinu i ciklofosfamidu (AC protokol), prije početka liječenja moraju obaviti osnovni kardiološki pregled, uključujući anamnezu i fizikalni pregled, EKG, ultrazvuk srca, radionuklidnu ventrikulografiju (MUGA), ili magnetnu rezonancu. Praćenjem je moguće uočiti pacijente koji razviju kardiotoksičnost. Kardiološke preglede, identične onom koji je obavljen u okviru početne procjene, potrebno je ponavljati svaka 3 mjeseca tokom liječenja i svakih 6 mjeseci nakon završetka liječenja do 24 mjeseca od posljednje primjene lijeka Herceptin. Prije odluke da se uvede lijek Herceptin treba pažljivo izvršiti analizu koristi i rizika. </w:t>
      </w:r>
    </w:p>
    <w:p w14:paraId="0B58EC45" w14:textId="77777777" w:rsidR="004F6368" w:rsidRPr="00B8307D" w:rsidRDefault="004F6368" w:rsidP="000A067B">
      <w:pPr>
        <w:widowControl w:val="0"/>
        <w:jc w:val="both"/>
        <w:rPr>
          <w:sz w:val="22"/>
          <w:szCs w:val="22"/>
          <w:lang w:val="sr-Latn-ME"/>
        </w:rPr>
      </w:pPr>
    </w:p>
    <w:p w14:paraId="695D8446" w14:textId="77777777" w:rsidR="004F6368" w:rsidRPr="00B8307D" w:rsidRDefault="004F6368" w:rsidP="000A067B">
      <w:pPr>
        <w:widowControl w:val="0"/>
        <w:jc w:val="both"/>
        <w:rPr>
          <w:sz w:val="22"/>
          <w:szCs w:val="22"/>
          <w:lang w:val="sr-Latn-ME"/>
        </w:rPr>
      </w:pPr>
      <w:r w:rsidRPr="00B8307D">
        <w:rPr>
          <w:sz w:val="22"/>
          <w:szCs w:val="22"/>
          <w:lang w:val="sr-Latn-ME"/>
        </w:rPr>
        <w:t>Na osnovu populacijske farmakokinetičke analize svih dostupnih podataka (vidjeti dio 5.2.), trastuzumab se može nalaziti u cirkulaciji i do 7 mjeseci nakon prestanka liječenja lijekom Herceptin. Kod pacijenata koji nakon prestanka liječenja lijekom Herceptin počnu uzimati antracikline postoji povećan rizik od kardiotoksičnosti. Ako je moguće, ljekari bi trebalo da izbjegavaju terapiju antraciklinima do 7 mjeseci nakon prestanka primjene lijeka Herceptin. Ako se antraciklini ipak koriste, potrebno je pažljivo kontrolisati srčanu funkciju pacijenta.</w:t>
      </w:r>
    </w:p>
    <w:p w14:paraId="43A85708" w14:textId="77777777" w:rsidR="004F6368" w:rsidRPr="00B8307D" w:rsidRDefault="004F6368" w:rsidP="000A067B">
      <w:pPr>
        <w:widowControl w:val="0"/>
        <w:jc w:val="both"/>
        <w:rPr>
          <w:sz w:val="22"/>
          <w:szCs w:val="22"/>
          <w:lang w:val="sr-Latn-ME"/>
        </w:rPr>
      </w:pPr>
    </w:p>
    <w:p w14:paraId="2C1FB370" w14:textId="2F9F4D86" w:rsidR="004F6368" w:rsidRPr="00B8307D" w:rsidRDefault="004F6368" w:rsidP="000A067B">
      <w:pPr>
        <w:widowControl w:val="0"/>
        <w:jc w:val="both"/>
        <w:rPr>
          <w:sz w:val="22"/>
          <w:szCs w:val="22"/>
          <w:lang w:val="sr-Latn-ME"/>
        </w:rPr>
      </w:pPr>
      <w:r w:rsidRPr="00B8307D">
        <w:rPr>
          <w:sz w:val="22"/>
          <w:szCs w:val="22"/>
          <w:lang w:val="sr-Latn-ME"/>
        </w:rPr>
        <w:t xml:space="preserve">Kod svih pacijenata kod kojih se na preliminarnom pregledu prepozna eventualno postojanje kardiovaskularnih problema treba izvršiti formalnu kardiološku procjenu. Srčanu funkciju treba dalje pratiti tokom terapije (na pr. svakih 12 nedjelja) kod svih pacijenata. Ovo praćenje može da pomogne da se identifikuju pacijenti kod kojih počne da se razvija srčana disfunkcija. Pacijenti kod kojih se razvije asimptomatska srčana disfunkcija mogu imati koristi od čestih kontrola (na pr. svakih 6-8 nedjelja). Ako pacijenti imaju kontinuirani pad funkcije lijeve komore, ali ostaju asimptomatski, ljekar treba da razmisli o prekidu terapije ako nema manifestnih kliničkih koristi od </w:t>
      </w:r>
      <w:r w:rsidR="00F74280" w:rsidRPr="00B8307D">
        <w:rPr>
          <w:sz w:val="22"/>
          <w:szCs w:val="22"/>
          <w:lang w:val="sr-Latn-ME"/>
        </w:rPr>
        <w:t xml:space="preserve">lijeka </w:t>
      </w:r>
      <w:r w:rsidRPr="00B8307D">
        <w:rPr>
          <w:sz w:val="22"/>
          <w:szCs w:val="22"/>
          <w:lang w:val="sr-Latn-ME"/>
        </w:rPr>
        <w:t xml:space="preserve">Herceptin. </w:t>
      </w:r>
    </w:p>
    <w:p w14:paraId="573387E2" w14:textId="77777777" w:rsidR="004F6368" w:rsidRPr="00B8307D" w:rsidRDefault="004F6368" w:rsidP="000A067B">
      <w:pPr>
        <w:widowControl w:val="0"/>
        <w:tabs>
          <w:tab w:val="left" w:pos="708"/>
        </w:tabs>
        <w:jc w:val="both"/>
        <w:rPr>
          <w:sz w:val="22"/>
          <w:szCs w:val="22"/>
          <w:lang w:val="sr-Latn-ME"/>
        </w:rPr>
      </w:pPr>
    </w:p>
    <w:p w14:paraId="6EF0CBC8" w14:textId="3C5BCE8F" w:rsidR="004F6368" w:rsidRPr="00B8307D" w:rsidRDefault="004F6368" w:rsidP="000A067B">
      <w:pPr>
        <w:widowControl w:val="0"/>
        <w:jc w:val="both"/>
        <w:rPr>
          <w:sz w:val="22"/>
          <w:szCs w:val="22"/>
          <w:lang w:val="sr-Latn-ME"/>
        </w:rPr>
      </w:pPr>
      <w:r w:rsidRPr="00B8307D">
        <w:rPr>
          <w:sz w:val="22"/>
          <w:szCs w:val="22"/>
          <w:lang w:val="sr-Latn-ME"/>
        </w:rPr>
        <w:t xml:space="preserve">Bezbjednost </w:t>
      </w:r>
      <w:r w:rsidR="00F74280" w:rsidRPr="00B8307D">
        <w:rPr>
          <w:sz w:val="22"/>
          <w:szCs w:val="22"/>
          <w:lang w:val="sr-Latn-ME"/>
        </w:rPr>
        <w:t xml:space="preserve">kontinuirane </w:t>
      </w:r>
      <w:r w:rsidRPr="00B8307D">
        <w:rPr>
          <w:sz w:val="22"/>
          <w:szCs w:val="22"/>
          <w:lang w:val="sr-Latn-ME"/>
        </w:rPr>
        <w:t>ili ponovn</w:t>
      </w:r>
      <w:r w:rsidR="00F74280" w:rsidRPr="00B8307D">
        <w:rPr>
          <w:sz w:val="22"/>
          <w:szCs w:val="22"/>
          <w:lang w:val="sr-Latn-ME"/>
        </w:rPr>
        <w:t>e</w:t>
      </w:r>
      <w:r w:rsidRPr="00B8307D">
        <w:rPr>
          <w:sz w:val="22"/>
          <w:szCs w:val="22"/>
          <w:lang w:val="sr-Latn-ME"/>
        </w:rPr>
        <w:t xml:space="preserve"> </w:t>
      </w:r>
      <w:r w:rsidR="00F74280" w:rsidRPr="00B8307D">
        <w:rPr>
          <w:sz w:val="22"/>
          <w:szCs w:val="22"/>
          <w:lang w:val="sr-Latn-ME"/>
        </w:rPr>
        <w:t xml:space="preserve">primjene </w:t>
      </w:r>
      <w:r w:rsidRPr="00B8307D">
        <w:rPr>
          <w:sz w:val="22"/>
          <w:szCs w:val="22"/>
          <w:lang w:val="sr-Latn-ME"/>
        </w:rPr>
        <w:t>lijeka Herceptin kod pacijenata kod kojih se razvije disfunkcija srca nije prospektivno ispitivana. Ako procenat LVEF-a padne za ≥ 10 poena ispod rezultata zabilježenog prije uvođenja terapije (bazalnog)</w:t>
      </w:r>
      <w:r w:rsidRPr="00B8307D">
        <w:rPr>
          <w:b/>
          <w:caps/>
          <w:sz w:val="22"/>
          <w:szCs w:val="22"/>
          <w:lang w:val="sr-Latn-ME"/>
        </w:rPr>
        <w:t xml:space="preserve"> </w:t>
      </w:r>
      <w:r w:rsidRPr="00B8307D">
        <w:rPr>
          <w:sz w:val="22"/>
          <w:szCs w:val="22"/>
          <w:lang w:val="sr-Latn-ME"/>
        </w:rPr>
        <w:t xml:space="preserve">i </w:t>
      </w:r>
      <w:r w:rsidR="009B7160" w:rsidRPr="00B8307D">
        <w:rPr>
          <w:sz w:val="22"/>
          <w:szCs w:val="22"/>
          <w:lang w:val="sr-Latn-ME"/>
        </w:rPr>
        <w:t xml:space="preserve">TAKOĐE </w:t>
      </w:r>
      <w:r w:rsidRPr="00B8307D">
        <w:rPr>
          <w:sz w:val="22"/>
          <w:szCs w:val="22"/>
          <w:lang w:val="sr-Latn-ME"/>
        </w:rPr>
        <w:t xml:space="preserve">na ispod 50%, terapiju treba obustaviti, a poslije otprilike 3 nedjelje ponovo izvršiti procjenu LVEF. Ako se vrijednost LVEF ne popravi ili dodatno opadne, ili ako se razvije simptomatska kongestivna srčana insuficijencija treba svakako razmisliti o prekidu terapije lijekom Herceptin, osim ako se ne smatra da je korist za pojedinačnog pacijenta veća od procijenjenog rizika.  Sve takve pacijente treba uputiti na procjenu kod kardiologa i potom pratiti. </w:t>
      </w:r>
    </w:p>
    <w:p w14:paraId="26C699F7" w14:textId="77777777" w:rsidR="004F6368" w:rsidRPr="00B8307D" w:rsidRDefault="004F6368" w:rsidP="000A067B">
      <w:pPr>
        <w:widowControl w:val="0"/>
        <w:jc w:val="both"/>
        <w:rPr>
          <w:sz w:val="22"/>
          <w:szCs w:val="22"/>
          <w:lang w:val="sr-Latn-ME"/>
        </w:rPr>
      </w:pPr>
      <w:r w:rsidRPr="00B8307D">
        <w:rPr>
          <w:sz w:val="22"/>
          <w:szCs w:val="22"/>
          <w:lang w:val="sr-Latn-ME"/>
        </w:rPr>
        <w:t xml:space="preserve"> </w:t>
      </w:r>
    </w:p>
    <w:p w14:paraId="2C0D5832" w14:textId="29102B47" w:rsidR="004F6368" w:rsidRPr="00B8307D" w:rsidRDefault="004F6368" w:rsidP="000A067B">
      <w:pPr>
        <w:widowControl w:val="0"/>
        <w:jc w:val="both"/>
        <w:rPr>
          <w:sz w:val="22"/>
          <w:szCs w:val="22"/>
          <w:lang w:val="sr-Latn-ME"/>
        </w:rPr>
      </w:pPr>
      <w:r w:rsidRPr="00B8307D">
        <w:rPr>
          <w:sz w:val="22"/>
          <w:szCs w:val="22"/>
          <w:lang w:val="sr-Latn-ME"/>
        </w:rPr>
        <w:t xml:space="preserve">Ako tokom terapije lijekom Herceptin dođe do razvoja simptomatske srčane insuficijencije, treba je liječiti standardnim ljekovima koji se propisuju za CHF. Kod većine pacijenata u pivotalnim kliničkim ispitivanjima kod kojih se razvila CHF ili asimptomatska disfunkcija srca, stanje se poboljšalo primjenom standardnog liječenja CHF-a inhibitorom angiotenzin konvertujućeg enzima (ACE inhibitorom)  ili blokatorom angiotenzinskih receptora i beta-blokatorom. Većina pacijenata sa srčanim simptomima i dokazima o kliničkoj koristi od terapije lijekom Herceptin nastavili su svoju nedjeljnu terapiju Herceptinom bez dodatnih kardioloških događaja. </w:t>
      </w:r>
    </w:p>
    <w:p w14:paraId="10A1A092" w14:textId="49C67B7B" w:rsidR="004F6368" w:rsidRPr="00B8307D" w:rsidRDefault="004F6368" w:rsidP="000A067B">
      <w:pPr>
        <w:widowControl w:val="0"/>
        <w:tabs>
          <w:tab w:val="left" w:pos="540"/>
          <w:tab w:val="left" w:pos="569"/>
        </w:tabs>
        <w:jc w:val="both"/>
        <w:rPr>
          <w:b/>
          <w:bCs/>
          <w:i/>
          <w:sz w:val="22"/>
          <w:szCs w:val="22"/>
          <w:lang w:val="sr-Latn-ME"/>
        </w:rPr>
      </w:pPr>
    </w:p>
    <w:p w14:paraId="3468386A" w14:textId="77777777" w:rsidR="004F6368" w:rsidRPr="00B8307D" w:rsidRDefault="004F6368" w:rsidP="000A067B">
      <w:pPr>
        <w:widowControl w:val="0"/>
        <w:tabs>
          <w:tab w:val="left" w:pos="708"/>
        </w:tabs>
        <w:jc w:val="both"/>
        <w:rPr>
          <w:i/>
          <w:sz w:val="22"/>
          <w:szCs w:val="22"/>
          <w:u w:val="single"/>
          <w:lang w:val="sr-Latn-ME"/>
        </w:rPr>
      </w:pPr>
      <w:r w:rsidRPr="00B8307D">
        <w:rPr>
          <w:i/>
          <w:sz w:val="22"/>
          <w:szCs w:val="22"/>
          <w:u w:val="single"/>
          <w:lang w:val="sr-Latn-ME"/>
        </w:rPr>
        <w:t>Metastatski karcinom dojke</w:t>
      </w:r>
    </w:p>
    <w:p w14:paraId="1D490297" w14:textId="77777777" w:rsidR="004F6368" w:rsidRPr="00B8307D" w:rsidRDefault="004F6368" w:rsidP="000A067B">
      <w:pPr>
        <w:widowControl w:val="0"/>
        <w:tabs>
          <w:tab w:val="left" w:pos="708"/>
        </w:tabs>
        <w:jc w:val="both"/>
        <w:rPr>
          <w:sz w:val="22"/>
          <w:szCs w:val="22"/>
          <w:u w:val="single"/>
          <w:lang w:val="sr-Latn-ME"/>
        </w:rPr>
      </w:pPr>
    </w:p>
    <w:p w14:paraId="14F52AA8" w14:textId="66A4EE44" w:rsidR="004F6368" w:rsidRPr="00B8307D" w:rsidRDefault="004F6368" w:rsidP="000A067B">
      <w:pPr>
        <w:widowControl w:val="0"/>
        <w:tabs>
          <w:tab w:val="left" w:pos="708"/>
        </w:tabs>
        <w:jc w:val="both"/>
        <w:rPr>
          <w:sz w:val="22"/>
          <w:szCs w:val="22"/>
          <w:lang w:val="sr-Latn-ME"/>
        </w:rPr>
      </w:pPr>
      <w:r w:rsidRPr="00B8307D">
        <w:rPr>
          <w:sz w:val="22"/>
          <w:szCs w:val="22"/>
          <w:lang w:val="sr-Latn-ME"/>
        </w:rPr>
        <w:t>U metastatskom karcinomu dojke, ne smiju se istovremeno primjenjivati Herceptin i antraciklini.</w:t>
      </w:r>
    </w:p>
    <w:p w14:paraId="60558EED" w14:textId="77777777" w:rsidR="006D68D6" w:rsidRPr="00B8307D" w:rsidRDefault="006D68D6" w:rsidP="000A067B">
      <w:pPr>
        <w:widowControl w:val="0"/>
        <w:tabs>
          <w:tab w:val="left" w:pos="708"/>
        </w:tabs>
        <w:jc w:val="both"/>
        <w:rPr>
          <w:sz w:val="22"/>
          <w:szCs w:val="22"/>
          <w:lang w:val="sr-Latn-ME"/>
        </w:rPr>
      </w:pPr>
    </w:p>
    <w:p w14:paraId="1C7233AB" w14:textId="24D22BB5" w:rsidR="004F6368" w:rsidRPr="00B8307D" w:rsidRDefault="004F6368" w:rsidP="000A067B">
      <w:pPr>
        <w:widowControl w:val="0"/>
        <w:tabs>
          <w:tab w:val="left" w:pos="708"/>
        </w:tabs>
        <w:jc w:val="both"/>
        <w:rPr>
          <w:sz w:val="22"/>
          <w:szCs w:val="22"/>
          <w:lang w:val="sr-Latn-ME"/>
        </w:rPr>
      </w:pPr>
      <w:r w:rsidRPr="00B8307D">
        <w:rPr>
          <w:sz w:val="22"/>
          <w:szCs w:val="22"/>
          <w:lang w:val="sr-Latn-ME"/>
        </w:rPr>
        <w:t xml:space="preserve">Pacijenti sa metastatskim karcinomom dojke, koji su prethodno primjenjivali antracikline takođe imaju rizik od razvoja kardiotoksičnosti ukoliko su na terapiji Herceptinom, iako je ovaj rizik manji nego kada se </w:t>
      </w:r>
      <w:r w:rsidR="006D68D6" w:rsidRPr="00B8307D">
        <w:rPr>
          <w:sz w:val="22"/>
          <w:szCs w:val="22"/>
          <w:lang w:val="sr-Latn-ME"/>
        </w:rPr>
        <w:t xml:space="preserve">lijek </w:t>
      </w:r>
      <w:r w:rsidRPr="00B8307D">
        <w:rPr>
          <w:sz w:val="22"/>
          <w:szCs w:val="22"/>
          <w:lang w:val="sr-Latn-ME"/>
        </w:rPr>
        <w:t>Herceptin i antraciklini istovremeno koriste.</w:t>
      </w:r>
    </w:p>
    <w:p w14:paraId="6434E948" w14:textId="77777777" w:rsidR="004F6368" w:rsidRPr="00B8307D" w:rsidRDefault="004F6368" w:rsidP="000A067B">
      <w:pPr>
        <w:widowControl w:val="0"/>
        <w:tabs>
          <w:tab w:val="left" w:pos="708"/>
        </w:tabs>
        <w:jc w:val="both"/>
        <w:rPr>
          <w:sz w:val="22"/>
          <w:szCs w:val="22"/>
          <w:lang w:val="sr-Latn-ME"/>
        </w:rPr>
      </w:pPr>
    </w:p>
    <w:p w14:paraId="5CE657E8" w14:textId="77777777" w:rsidR="004F6368" w:rsidRPr="00B8307D" w:rsidRDefault="004F6368" w:rsidP="000A067B">
      <w:pPr>
        <w:widowControl w:val="0"/>
        <w:tabs>
          <w:tab w:val="left" w:pos="708"/>
        </w:tabs>
        <w:jc w:val="both"/>
        <w:rPr>
          <w:i/>
          <w:sz w:val="22"/>
          <w:szCs w:val="22"/>
          <w:u w:val="single"/>
          <w:lang w:val="sr-Latn-ME"/>
        </w:rPr>
      </w:pPr>
      <w:r w:rsidRPr="00B8307D">
        <w:rPr>
          <w:i/>
          <w:sz w:val="22"/>
          <w:szCs w:val="22"/>
          <w:u w:val="single"/>
          <w:lang w:val="sr-Latn-ME"/>
        </w:rPr>
        <w:t>Rani karcinom dojke</w:t>
      </w:r>
    </w:p>
    <w:p w14:paraId="0BC73694" w14:textId="77777777" w:rsidR="004F6368" w:rsidRPr="00B8307D" w:rsidRDefault="004F6368" w:rsidP="000A067B">
      <w:pPr>
        <w:widowControl w:val="0"/>
        <w:tabs>
          <w:tab w:val="left" w:pos="708"/>
        </w:tabs>
        <w:jc w:val="both"/>
        <w:rPr>
          <w:sz w:val="22"/>
          <w:szCs w:val="22"/>
          <w:lang w:val="sr-Latn-ME"/>
        </w:rPr>
      </w:pPr>
    </w:p>
    <w:p w14:paraId="74857054" w14:textId="6C5908C6" w:rsidR="004F6368" w:rsidRPr="00B8307D" w:rsidRDefault="004F6368" w:rsidP="000A067B">
      <w:pPr>
        <w:widowControl w:val="0"/>
        <w:tabs>
          <w:tab w:val="left" w:pos="708"/>
        </w:tabs>
        <w:jc w:val="both"/>
        <w:rPr>
          <w:sz w:val="22"/>
          <w:szCs w:val="22"/>
          <w:lang w:val="sr-Latn-ME"/>
        </w:rPr>
      </w:pPr>
      <w:r w:rsidRPr="00B8307D">
        <w:rPr>
          <w:sz w:val="22"/>
          <w:szCs w:val="22"/>
          <w:lang w:val="sr-Latn-ME"/>
        </w:rPr>
        <w:t>Za pacijente sa ranim karcinomom dojke, kardiološke procjene koje se odrade na osnovnoj posjeti, treba ponoviti svaka 3 mjeseca tokom tretmana i svakih 6 mjeseci nakon prekida terapije, sve do 24 mjeseca od posljednje primjene lijeka Herceptin. Kod pacijenata koji primaju hemoterapiju koja sadrži antracikline, dalje praćenje je preporučeno i treba ga odraditi jednom godišnje, do 5 godina od posljednje primjene lijeka Herceptin ili duže ukoliko je primijećen pad LVEF.</w:t>
      </w:r>
    </w:p>
    <w:p w14:paraId="0CF9C4EF" w14:textId="77777777" w:rsidR="00B22B2E" w:rsidRPr="00B8307D" w:rsidRDefault="00B22B2E" w:rsidP="000A067B">
      <w:pPr>
        <w:widowControl w:val="0"/>
        <w:tabs>
          <w:tab w:val="left" w:pos="708"/>
        </w:tabs>
        <w:jc w:val="both"/>
        <w:rPr>
          <w:sz w:val="22"/>
          <w:szCs w:val="22"/>
          <w:lang w:val="sr-Latn-ME"/>
        </w:rPr>
      </w:pPr>
    </w:p>
    <w:p w14:paraId="343A204B" w14:textId="11EA051F" w:rsidR="004F6368" w:rsidRPr="00B8307D" w:rsidRDefault="004F6368" w:rsidP="000A067B">
      <w:pPr>
        <w:widowControl w:val="0"/>
        <w:tabs>
          <w:tab w:val="left" w:pos="708"/>
        </w:tabs>
        <w:jc w:val="both"/>
        <w:rPr>
          <w:sz w:val="22"/>
          <w:szCs w:val="22"/>
          <w:lang w:val="sr-Latn-ME"/>
        </w:rPr>
      </w:pPr>
      <w:r w:rsidRPr="00B8307D">
        <w:rPr>
          <w:sz w:val="22"/>
          <w:szCs w:val="22"/>
          <w:lang w:val="sr-Latn-ME"/>
        </w:rPr>
        <w:t>Pacijenti koji su imali infarkt miokarda (IM) u anamnezi, anginu pektoris koju treba liječiti, ranij</w:t>
      </w:r>
      <w:r w:rsidR="006D68D6" w:rsidRPr="00B8307D">
        <w:rPr>
          <w:sz w:val="22"/>
          <w:szCs w:val="22"/>
          <w:lang w:val="sr-Latn-ME"/>
        </w:rPr>
        <w:t>u</w:t>
      </w:r>
      <w:r w:rsidRPr="00B8307D">
        <w:rPr>
          <w:sz w:val="22"/>
          <w:szCs w:val="22"/>
          <w:lang w:val="sr-Latn-ME"/>
        </w:rPr>
        <w:t xml:space="preserve"> ili postojeć</w:t>
      </w:r>
      <w:r w:rsidR="006D68D6" w:rsidRPr="00B8307D">
        <w:rPr>
          <w:sz w:val="22"/>
          <w:szCs w:val="22"/>
          <w:lang w:val="sr-Latn-ME"/>
        </w:rPr>
        <w:t>u</w:t>
      </w:r>
      <w:r w:rsidRPr="00B8307D">
        <w:rPr>
          <w:sz w:val="22"/>
          <w:szCs w:val="22"/>
          <w:lang w:val="sr-Latn-ME"/>
        </w:rPr>
        <w:t xml:space="preserve"> kongestivnu srčani insuficijenciju (NYHA klase II-IV), LVEF &lt; 55%, neku drugu kardiomiopatiju, srčanu aritmiju koju treba liječiti, klinički značajnu bolest srčanih zalistaka, loše kontrolisanu hipertenziju (hipertenzija kontrolisana standardnim liječenjem nije predstavljala prepreku) i hemodinamički efikasan perikardijalni izliv su bili isključeni iz pivotalnih ispitivanja adjuvantnog i neoadjuvantnog liječenja ranog karcionoma dojke lijekom Herceptin, pa se liječenje za te pacijente ne može preporučiti.</w:t>
      </w:r>
    </w:p>
    <w:p w14:paraId="34F59D29" w14:textId="77777777" w:rsidR="004F6368" w:rsidRPr="00B8307D" w:rsidRDefault="004F6368" w:rsidP="000A067B">
      <w:pPr>
        <w:widowControl w:val="0"/>
        <w:tabs>
          <w:tab w:val="left" w:pos="708"/>
        </w:tabs>
        <w:jc w:val="both"/>
        <w:rPr>
          <w:sz w:val="22"/>
          <w:szCs w:val="22"/>
          <w:lang w:val="sr-Latn-ME"/>
        </w:rPr>
      </w:pPr>
    </w:p>
    <w:p w14:paraId="4D9B0569" w14:textId="77777777" w:rsidR="004F6368" w:rsidRPr="00B8307D" w:rsidRDefault="004F6368" w:rsidP="000A067B">
      <w:pPr>
        <w:widowControl w:val="0"/>
        <w:tabs>
          <w:tab w:val="left" w:pos="708"/>
        </w:tabs>
        <w:jc w:val="both"/>
        <w:rPr>
          <w:i/>
          <w:sz w:val="22"/>
          <w:szCs w:val="22"/>
          <w:lang w:val="sr-Latn-ME"/>
        </w:rPr>
      </w:pPr>
      <w:r w:rsidRPr="00B8307D">
        <w:rPr>
          <w:i/>
          <w:sz w:val="22"/>
          <w:szCs w:val="22"/>
          <w:lang w:val="sr-Latn-ME"/>
        </w:rPr>
        <w:t>Adjuvantni tretman</w:t>
      </w:r>
    </w:p>
    <w:p w14:paraId="4F2B6CFA" w14:textId="77777777" w:rsidR="004F6368" w:rsidRPr="00B8307D" w:rsidRDefault="004F6368" w:rsidP="000A067B">
      <w:pPr>
        <w:widowControl w:val="0"/>
        <w:tabs>
          <w:tab w:val="left" w:pos="708"/>
        </w:tabs>
        <w:jc w:val="both"/>
        <w:rPr>
          <w:sz w:val="22"/>
          <w:szCs w:val="22"/>
          <w:lang w:val="sr-Latn-ME"/>
        </w:rPr>
      </w:pPr>
    </w:p>
    <w:p w14:paraId="500098DF" w14:textId="063F0403" w:rsidR="004F6368" w:rsidRPr="00B8307D" w:rsidRDefault="006D68D6" w:rsidP="000A067B">
      <w:pPr>
        <w:widowControl w:val="0"/>
        <w:tabs>
          <w:tab w:val="left" w:pos="708"/>
        </w:tabs>
        <w:jc w:val="both"/>
        <w:rPr>
          <w:sz w:val="22"/>
          <w:szCs w:val="22"/>
          <w:lang w:val="sr-Latn-ME"/>
        </w:rPr>
      </w:pPr>
      <w:r w:rsidRPr="00B8307D">
        <w:rPr>
          <w:sz w:val="22"/>
          <w:szCs w:val="22"/>
          <w:lang w:val="sr-Latn-ME"/>
        </w:rPr>
        <w:t xml:space="preserve">Lijek </w:t>
      </w:r>
      <w:r w:rsidR="004F6368" w:rsidRPr="00B8307D">
        <w:rPr>
          <w:sz w:val="22"/>
          <w:szCs w:val="22"/>
          <w:lang w:val="sr-Latn-ME"/>
        </w:rPr>
        <w:t>Herceptin i antraciklini ne smiju se koristiti istovremeno u adjuvantnom tretmanu.</w:t>
      </w:r>
    </w:p>
    <w:p w14:paraId="41F58BFD" w14:textId="77777777" w:rsidR="004F6368" w:rsidRPr="00B8307D" w:rsidRDefault="004F6368" w:rsidP="000A067B">
      <w:pPr>
        <w:widowControl w:val="0"/>
        <w:tabs>
          <w:tab w:val="left" w:pos="708"/>
        </w:tabs>
        <w:jc w:val="both"/>
        <w:rPr>
          <w:sz w:val="22"/>
          <w:szCs w:val="22"/>
          <w:lang w:val="sr-Latn-ME"/>
        </w:rPr>
      </w:pPr>
    </w:p>
    <w:p w14:paraId="04082EBF" w14:textId="13CE3A1C" w:rsidR="004F6368" w:rsidRPr="00B8307D" w:rsidRDefault="004F6368" w:rsidP="000A067B">
      <w:pPr>
        <w:widowControl w:val="0"/>
        <w:tabs>
          <w:tab w:val="left" w:pos="708"/>
        </w:tabs>
        <w:jc w:val="both"/>
        <w:rPr>
          <w:sz w:val="22"/>
          <w:szCs w:val="22"/>
          <w:lang w:val="sr-Latn-ME"/>
        </w:rPr>
      </w:pPr>
      <w:r w:rsidRPr="00B8307D">
        <w:rPr>
          <w:sz w:val="22"/>
          <w:szCs w:val="22"/>
          <w:lang w:val="sr-Latn-ME"/>
        </w:rPr>
        <w:t xml:space="preserve">Kod pacijenata sa ranim karcinomom dojke, primijećena je veća incidenca pojave simptomatskih i asimptomatskih kardioloških događaja kada se lijek Herceptin primjenjuje (intravenska formulacija) nakon hemoterapije koja sadrži antracikline u poređenju sa primjenom u kombinaciji sa ne-antraciklinskim režimima kao što su docetaksel i karboplatin, a takođe je izraženija kada se </w:t>
      </w:r>
      <w:r w:rsidR="006D68D6" w:rsidRPr="00B8307D">
        <w:rPr>
          <w:sz w:val="22"/>
          <w:szCs w:val="22"/>
          <w:lang w:val="sr-Latn-ME"/>
        </w:rPr>
        <w:t xml:space="preserve">lijek </w:t>
      </w:r>
      <w:r w:rsidRPr="00B8307D">
        <w:rPr>
          <w:sz w:val="22"/>
          <w:szCs w:val="22"/>
          <w:lang w:val="sr-Latn-ME"/>
        </w:rPr>
        <w:t xml:space="preserve">Herceptin primjenjuje (intravenska formulacija) istovremeno sa taksanima nego kada se primjenjivao nakon terapije taksanima. Bez obzira na hemoterapijski režim koji se koristi, većina simptomatskih kardioloških događaja javljala se u prvih 18 mjeseci. U jednoj od 3 pivotalne studije u kojoj je srednja vrijednost </w:t>
      </w:r>
      <w:r w:rsidRPr="00B8307D">
        <w:rPr>
          <w:i/>
          <w:sz w:val="22"/>
          <w:szCs w:val="22"/>
          <w:lang w:val="sr-Latn-ME"/>
        </w:rPr>
        <w:t>follow up</w:t>
      </w:r>
      <w:r w:rsidRPr="00B8307D">
        <w:rPr>
          <w:sz w:val="22"/>
          <w:szCs w:val="22"/>
          <w:lang w:val="sr-Latn-ME"/>
        </w:rPr>
        <w:t xml:space="preserve"> perioda iznosila 5.5 godina (BCIRG006) konstantno povećanje ukupne stope simptomatskih kardioloških ili LVEF događaja primijećena je kod pacijenata koji su primali </w:t>
      </w:r>
      <w:r w:rsidR="006D68D6" w:rsidRPr="00B8307D">
        <w:rPr>
          <w:sz w:val="22"/>
          <w:szCs w:val="22"/>
          <w:lang w:val="sr-Latn-ME"/>
        </w:rPr>
        <w:t xml:space="preserve">lijek </w:t>
      </w:r>
      <w:r w:rsidRPr="00B8307D">
        <w:rPr>
          <w:sz w:val="22"/>
          <w:szCs w:val="22"/>
          <w:lang w:val="sr-Latn-ME"/>
        </w:rPr>
        <w:t>Herceptin istovremeno sa taksanima nakon antraciklinske terapije, do 2.37% u poređenju sa približno 1% u dvije komparatorske grupe (antraciklini plus ciklofosfamid nakon čega su primijenjeni taksani, te kombinacija taksana, karboplatina i lijeka Herceptin).</w:t>
      </w:r>
    </w:p>
    <w:p w14:paraId="48F613F4" w14:textId="77777777" w:rsidR="004F6368" w:rsidRPr="00B8307D" w:rsidRDefault="004F6368" w:rsidP="000A067B">
      <w:pPr>
        <w:widowControl w:val="0"/>
        <w:tabs>
          <w:tab w:val="left" w:pos="708"/>
        </w:tabs>
        <w:ind w:left="720"/>
        <w:jc w:val="both"/>
        <w:rPr>
          <w:sz w:val="22"/>
          <w:szCs w:val="22"/>
          <w:lang w:val="sr-Latn-ME"/>
        </w:rPr>
      </w:pPr>
    </w:p>
    <w:p w14:paraId="236844D2" w14:textId="090B6419" w:rsidR="004F6368" w:rsidRPr="00B8307D" w:rsidRDefault="004F6368" w:rsidP="000A067B">
      <w:pPr>
        <w:widowControl w:val="0"/>
        <w:tabs>
          <w:tab w:val="left" w:pos="708"/>
        </w:tabs>
        <w:jc w:val="both"/>
        <w:rPr>
          <w:sz w:val="22"/>
          <w:szCs w:val="22"/>
          <w:lang w:val="sr-Latn-ME"/>
        </w:rPr>
      </w:pPr>
      <w:r w:rsidRPr="00B8307D">
        <w:rPr>
          <w:sz w:val="22"/>
          <w:szCs w:val="22"/>
          <w:lang w:val="sr-Latn-ME"/>
        </w:rPr>
        <w:t xml:space="preserve">Faktori rizika za kardiološki događaj utvrđeni u četiri velika ispitivanja adjuvantnog liječenja uključivali su stariji uzrast (&gt; 50 godina), nizak LVEF (&lt; 55%) na početku liječenja, prije ili nakon početka liječenja paklitakselom, pad LVEF-a za 10-15 bodova i prethodnu ili istovremenu primjenu antihipertenziva. Kod pacijenata koji su </w:t>
      </w:r>
      <w:r w:rsidR="006D68D6" w:rsidRPr="00B8307D">
        <w:rPr>
          <w:sz w:val="22"/>
          <w:szCs w:val="22"/>
          <w:lang w:val="sr-Latn-ME"/>
        </w:rPr>
        <w:t xml:space="preserve">lijek </w:t>
      </w:r>
      <w:r w:rsidRPr="00B8307D">
        <w:rPr>
          <w:sz w:val="22"/>
          <w:szCs w:val="22"/>
          <w:lang w:val="sr-Latn-ME"/>
        </w:rPr>
        <w:t>Herceptin primali nakon završetka adjuvantne hemioterapije, rizik od disfunkcije srca povezivao se sa većom kumulativnom dozom antraciklina primijenjenog prije početka liječenja lijekom Herceptin i indeksom tjelesne mase (BMI) većim od 25 kg/m</w:t>
      </w:r>
      <w:r w:rsidRPr="00B8307D">
        <w:rPr>
          <w:sz w:val="22"/>
          <w:szCs w:val="22"/>
          <w:vertAlign w:val="superscript"/>
          <w:lang w:val="sr-Latn-ME"/>
        </w:rPr>
        <w:t>2</w:t>
      </w:r>
      <w:r w:rsidRPr="00B8307D">
        <w:rPr>
          <w:sz w:val="22"/>
          <w:szCs w:val="22"/>
          <w:lang w:val="sr-Latn-ME"/>
        </w:rPr>
        <w:t>.</w:t>
      </w:r>
    </w:p>
    <w:p w14:paraId="5E7BFC17" w14:textId="56EFDEAC" w:rsidR="004F6368" w:rsidRPr="00B8307D" w:rsidRDefault="004F6368" w:rsidP="000A067B">
      <w:pPr>
        <w:widowControl w:val="0"/>
        <w:tabs>
          <w:tab w:val="left" w:pos="540"/>
          <w:tab w:val="left" w:pos="569"/>
        </w:tabs>
        <w:jc w:val="both"/>
        <w:rPr>
          <w:b/>
          <w:bCs/>
          <w:sz w:val="22"/>
          <w:szCs w:val="22"/>
          <w:lang w:val="sr-Latn-ME"/>
        </w:rPr>
      </w:pPr>
    </w:p>
    <w:p w14:paraId="000B24FD" w14:textId="77777777" w:rsidR="004F6368" w:rsidRPr="00B8307D" w:rsidRDefault="004F6368" w:rsidP="000A067B">
      <w:pPr>
        <w:widowControl w:val="0"/>
        <w:tabs>
          <w:tab w:val="left" w:pos="708"/>
        </w:tabs>
        <w:jc w:val="both"/>
        <w:rPr>
          <w:i/>
          <w:sz w:val="22"/>
          <w:szCs w:val="22"/>
          <w:lang w:val="sr-Latn-ME"/>
        </w:rPr>
      </w:pPr>
      <w:r w:rsidRPr="00B8307D">
        <w:rPr>
          <w:i/>
          <w:sz w:val="22"/>
          <w:szCs w:val="22"/>
          <w:lang w:val="sr-Latn-ME"/>
        </w:rPr>
        <w:t>Neoadjuvantni – adjuvantni tretman</w:t>
      </w:r>
    </w:p>
    <w:p w14:paraId="4696A5B2" w14:textId="77777777" w:rsidR="004F6368" w:rsidRPr="00B8307D" w:rsidRDefault="004F6368" w:rsidP="000A067B">
      <w:pPr>
        <w:widowControl w:val="0"/>
        <w:tabs>
          <w:tab w:val="left" w:pos="708"/>
        </w:tabs>
        <w:jc w:val="both"/>
        <w:rPr>
          <w:sz w:val="22"/>
          <w:szCs w:val="22"/>
          <w:u w:val="single"/>
          <w:lang w:val="sr-Latn-ME"/>
        </w:rPr>
      </w:pPr>
    </w:p>
    <w:p w14:paraId="1C5F88D1" w14:textId="3E1A6281" w:rsidR="004F6368" w:rsidRPr="00B8307D" w:rsidRDefault="004F6368" w:rsidP="000A067B">
      <w:pPr>
        <w:widowControl w:val="0"/>
        <w:tabs>
          <w:tab w:val="left" w:pos="708"/>
        </w:tabs>
        <w:jc w:val="both"/>
        <w:rPr>
          <w:sz w:val="22"/>
          <w:szCs w:val="22"/>
          <w:lang w:val="sr-Latn-ME"/>
        </w:rPr>
      </w:pPr>
      <w:r w:rsidRPr="00B8307D">
        <w:rPr>
          <w:sz w:val="22"/>
          <w:szCs w:val="22"/>
          <w:lang w:val="sr-Latn-ME"/>
        </w:rPr>
        <w:t xml:space="preserve">Kod pacijenata sa ranim karcinomom dojke, koji su kandidati za neoadjuvantni-adjuvantni tretman, </w:t>
      </w:r>
      <w:r w:rsidR="006D68D6" w:rsidRPr="00B8307D">
        <w:rPr>
          <w:sz w:val="22"/>
          <w:szCs w:val="22"/>
          <w:lang w:val="sr-Latn-ME"/>
        </w:rPr>
        <w:t xml:space="preserve">lijek </w:t>
      </w:r>
      <w:r w:rsidRPr="00B8307D">
        <w:rPr>
          <w:sz w:val="22"/>
          <w:szCs w:val="22"/>
          <w:lang w:val="sr-Latn-ME"/>
        </w:rPr>
        <w:t>Herceptin se smije primjenjivati istovremeno sa antraciklinima isključivo kod pacijenata koji prije nijesu primali hemoterapiju i samo uz protokole sa niskim dozama antraciklina tj.  onih sa maksimalnom kumulativnom dozom: doksorubicin</w:t>
      </w:r>
      <w:r w:rsidR="009B7160" w:rsidRPr="00B8307D">
        <w:rPr>
          <w:sz w:val="22"/>
          <w:szCs w:val="22"/>
          <w:lang w:val="sr-Latn-ME"/>
        </w:rPr>
        <w:t>a</w:t>
      </w:r>
      <w:r w:rsidRPr="00B8307D">
        <w:rPr>
          <w:sz w:val="22"/>
          <w:szCs w:val="22"/>
          <w:lang w:val="sr-Latn-ME"/>
        </w:rPr>
        <w:t xml:space="preserve"> 180mg/m</w:t>
      </w:r>
      <w:r w:rsidRPr="00B8307D">
        <w:rPr>
          <w:sz w:val="22"/>
          <w:szCs w:val="22"/>
          <w:vertAlign w:val="superscript"/>
          <w:lang w:val="sr-Latn-ME"/>
        </w:rPr>
        <w:t>2.</w:t>
      </w:r>
      <w:r w:rsidRPr="00B8307D">
        <w:rPr>
          <w:sz w:val="22"/>
          <w:szCs w:val="22"/>
          <w:lang w:val="sr-Latn-ME"/>
        </w:rPr>
        <w:t xml:space="preserve"> ili epirubicin</w:t>
      </w:r>
      <w:r w:rsidR="009B7160" w:rsidRPr="00B8307D">
        <w:rPr>
          <w:sz w:val="22"/>
          <w:szCs w:val="22"/>
          <w:lang w:val="sr-Latn-ME"/>
        </w:rPr>
        <w:t>a</w:t>
      </w:r>
      <w:r w:rsidRPr="00B8307D">
        <w:rPr>
          <w:sz w:val="22"/>
          <w:szCs w:val="22"/>
          <w:lang w:val="sr-Latn-ME"/>
        </w:rPr>
        <w:t xml:space="preserve"> 360mg/m</w:t>
      </w:r>
      <w:r w:rsidRPr="00B8307D">
        <w:rPr>
          <w:sz w:val="22"/>
          <w:szCs w:val="22"/>
          <w:vertAlign w:val="superscript"/>
          <w:lang w:val="sr-Latn-ME"/>
        </w:rPr>
        <w:t>2</w:t>
      </w:r>
      <w:r w:rsidRPr="00B8307D">
        <w:rPr>
          <w:sz w:val="22"/>
          <w:szCs w:val="22"/>
          <w:lang w:val="sr-Latn-ME"/>
        </w:rPr>
        <w:t>.</w:t>
      </w:r>
    </w:p>
    <w:p w14:paraId="1810714D" w14:textId="77777777" w:rsidR="004F6368" w:rsidRPr="00B8307D" w:rsidRDefault="004F6368" w:rsidP="000A067B">
      <w:pPr>
        <w:widowControl w:val="0"/>
        <w:tabs>
          <w:tab w:val="left" w:pos="708"/>
        </w:tabs>
        <w:jc w:val="both"/>
        <w:rPr>
          <w:sz w:val="22"/>
          <w:szCs w:val="22"/>
          <w:lang w:val="sr-Latn-ME"/>
        </w:rPr>
      </w:pPr>
    </w:p>
    <w:p w14:paraId="49D7535D" w14:textId="59736C35" w:rsidR="004F6368" w:rsidRPr="00B8307D" w:rsidRDefault="004F6368" w:rsidP="000A067B">
      <w:pPr>
        <w:widowControl w:val="0"/>
        <w:jc w:val="both"/>
        <w:rPr>
          <w:sz w:val="22"/>
          <w:szCs w:val="22"/>
          <w:lang w:val="sr-Latn-ME"/>
        </w:rPr>
      </w:pPr>
      <w:r w:rsidRPr="00B8307D">
        <w:rPr>
          <w:sz w:val="22"/>
          <w:szCs w:val="22"/>
          <w:lang w:val="sr-Latn-ME"/>
        </w:rPr>
        <w:t>Ukoliko su pacijenti bili istovremeno na tretmanu niskim dozama antraciklina i lijeka Herceptin tokom neoadjuvantnog liječenja, nakon operacije ne smiju primati nikakvu dodatnu citotoksičnu hemoterapiju. U drugim se situacijama odluka o potrebi za dodatnom citotoksičnom hemioterapijom donosi na osnovu individualnih faktora.</w:t>
      </w:r>
    </w:p>
    <w:p w14:paraId="3C0B0632" w14:textId="77777777" w:rsidR="002226F3" w:rsidRPr="00B8307D" w:rsidRDefault="002226F3" w:rsidP="000A067B">
      <w:pPr>
        <w:widowControl w:val="0"/>
        <w:jc w:val="both"/>
        <w:rPr>
          <w:sz w:val="22"/>
          <w:szCs w:val="22"/>
          <w:lang w:val="sr-Latn-ME"/>
        </w:rPr>
      </w:pPr>
    </w:p>
    <w:p w14:paraId="64A6000F" w14:textId="60EB6EA4" w:rsidR="004F6368" w:rsidRPr="00B8307D" w:rsidRDefault="004F6368" w:rsidP="000A067B">
      <w:pPr>
        <w:widowControl w:val="0"/>
        <w:tabs>
          <w:tab w:val="left" w:pos="708"/>
        </w:tabs>
        <w:jc w:val="both"/>
        <w:rPr>
          <w:sz w:val="22"/>
          <w:szCs w:val="22"/>
          <w:lang w:val="sr-Latn-ME"/>
        </w:rPr>
      </w:pPr>
      <w:r w:rsidRPr="00B8307D">
        <w:rPr>
          <w:sz w:val="22"/>
          <w:szCs w:val="22"/>
          <w:lang w:val="sr-Latn-ME"/>
        </w:rPr>
        <w:t>Iskustva o istovremenoj primjeni trastuzumaba sa nižim dozama antraciklinskog hemoterapijskog režima su trenutno ograničeno na dvije studije (MO16432 i BO22227).</w:t>
      </w:r>
    </w:p>
    <w:p w14:paraId="43006CC9" w14:textId="389371C4" w:rsidR="004F6368" w:rsidRPr="00B8307D" w:rsidRDefault="004F6368" w:rsidP="000A067B">
      <w:pPr>
        <w:widowControl w:val="0"/>
        <w:tabs>
          <w:tab w:val="left" w:pos="708"/>
        </w:tabs>
        <w:jc w:val="both"/>
        <w:rPr>
          <w:sz w:val="22"/>
          <w:szCs w:val="22"/>
          <w:lang w:val="sr-Latn-ME"/>
        </w:rPr>
      </w:pPr>
    </w:p>
    <w:p w14:paraId="785B8844" w14:textId="2C497B7C" w:rsidR="004F6368" w:rsidRPr="00B8307D" w:rsidRDefault="004F6368" w:rsidP="000A067B">
      <w:pPr>
        <w:widowControl w:val="0"/>
        <w:tabs>
          <w:tab w:val="left" w:pos="708"/>
        </w:tabs>
        <w:jc w:val="both"/>
        <w:rPr>
          <w:sz w:val="22"/>
          <w:szCs w:val="22"/>
          <w:lang w:val="sr-Latn-ME"/>
        </w:rPr>
      </w:pPr>
      <w:r w:rsidRPr="00B8307D">
        <w:rPr>
          <w:sz w:val="22"/>
          <w:szCs w:val="22"/>
          <w:lang w:val="sr-Latn-ME"/>
        </w:rPr>
        <w:t xml:space="preserve">U pivotanoj studiji MO16432 </w:t>
      </w:r>
      <w:r w:rsidR="00DB4DBD" w:rsidRPr="00B8307D">
        <w:rPr>
          <w:sz w:val="22"/>
          <w:szCs w:val="22"/>
          <w:lang w:val="sr-Latn-ME"/>
        </w:rPr>
        <w:t xml:space="preserve">lijek </w:t>
      </w:r>
      <w:r w:rsidRPr="00B8307D">
        <w:rPr>
          <w:sz w:val="22"/>
          <w:szCs w:val="22"/>
          <w:lang w:val="sr-Latn-ME"/>
        </w:rPr>
        <w:t xml:space="preserve">Herceptin je primjenjivan istovremeno sa neoadjuvantnom </w:t>
      </w:r>
      <w:r w:rsidRPr="00B8307D">
        <w:rPr>
          <w:sz w:val="22"/>
          <w:szCs w:val="22"/>
          <w:lang w:val="sr-Latn-ME"/>
        </w:rPr>
        <w:lastRenderedPageBreak/>
        <w:t>hemoterapijom koja se sastojala od 3 ciklusa doksorubicina (ukupna doza 180</w:t>
      </w:r>
      <w:r w:rsidR="00DB4DBD" w:rsidRPr="00B8307D">
        <w:rPr>
          <w:sz w:val="22"/>
          <w:szCs w:val="22"/>
          <w:lang w:val="sr-Latn-ME"/>
        </w:rPr>
        <w:t xml:space="preserve"> </w:t>
      </w:r>
      <w:r w:rsidRPr="00B8307D">
        <w:rPr>
          <w:sz w:val="22"/>
          <w:szCs w:val="22"/>
          <w:lang w:val="sr-Latn-ME"/>
        </w:rPr>
        <w:t>mg/m</w:t>
      </w:r>
      <w:r w:rsidRPr="00B8307D">
        <w:rPr>
          <w:sz w:val="22"/>
          <w:szCs w:val="22"/>
          <w:vertAlign w:val="superscript"/>
          <w:lang w:val="sr-Latn-ME"/>
        </w:rPr>
        <w:t>2</w:t>
      </w:r>
      <w:r w:rsidRPr="00B8307D">
        <w:rPr>
          <w:sz w:val="22"/>
          <w:szCs w:val="22"/>
          <w:lang w:val="sr-Latn-ME"/>
        </w:rPr>
        <w:t xml:space="preserve">). </w:t>
      </w:r>
    </w:p>
    <w:p w14:paraId="6A87912F" w14:textId="7720CDEF" w:rsidR="004F6368" w:rsidRPr="00B8307D" w:rsidRDefault="004F6368" w:rsidP="000A067B">
      <w:pPr>
        <w:widowControl w:val="0"/>
        <w:tabs>
          <w:tab w:val="left" w:pos="708"/>
        </w:tabs>
        <w:jc w:val="both"/>
        <w:rPr>
          <w:sz w:val="22"/>
          <w:szCs w:val="22"/>
          <w:lang w:val="sr-Latn-ME"/>
        </w:rPr>
      </w:pPr>
      <w:r w:rsidRPr="00B8307D">
        <w:rPr>
          <w:sz w:val="22"/>
          <w:szCs w:val="22"/>
          <w:lang w:val="sr-Latn-ME"/>
        </w:rPr>
        <w:t xml:space="preserve">Incidenca pojave simptomatskih kardioloških disfunkcija je u grupama koje su primale </w:t>
      </w:r>
      <w:r w:rsidR="00DB4DBD" w:rsidRPr="00B8307D">
        <w:rPr>
          <w:sz w:val="22"/>
          <w:szCs w:val="22"/>
          <w:lang w:val="sr-Latn-ME"/>
        </w:rPr>
        <w:t xml:space="preserve">lijek </w:t>
      </w:r>
      <w:r w:rsidRPr="00B8307D">
        <w:rPr>
          <w:sz w:val="22"/>
          <w:szCs w:val="22"/>
          <w:lang w:val="sr-Latn-ME"/>
        </w:rPr>
        <w:t xml:space="preserve">Herceptin iznosila je 1.7%. </w:t>
      </w:r>
    </w:p>
    <w:p w14:paraId="6DD9BB45" w14:textId="77777777" w:rsidR="004F6368" w:rsidRPr="00B8307D" w:rsidRDefault="004F6368" w:rsidP="000A067B">
      <w:pPr>
        <w:widowControl w:val="0"/>
        <w:tabs>
          <w:tab w:val="left" w:pos="708"/>
        </w:tabs>
        <w:jc w:val="both"/>
        <w:rPr>
          <w:sz w:val="22"/>
          <w:szCs w:val="22"/>
          <w:lang w:val="sr-Latn-ME"/>
        </w:rPr>
      </w:pPr>
    </w:p>
    <w:p w14:paraId="54F2484A" w14:textId="1EDC3B07" w:rsidR="004F6368" w:rsidRPr="00B8307D" w:rsidRDefault="004F6368" w:rsidP="000A067B">
      <w:pPr>
        <w:widowControl w:val="0"/>
        <w:jc w:val="both"/>
        <w:rPr>
          <w:sz w:val="22"/>
          <w:szCs w:val="22"/>
          <w:lang w:val="sr-Latn-ME"/>
        </w:rPr>
      </w:pPr>
      <w:r w:rsidRPr="00B8307D">
        <w:rPr>
          <w:sz w:val="22"/>
          <w:szCs w:val="22"/>
          <w:lang w:val="sr-Latn-ME"/>
        </w:rPr>
        <w:t xml:space="preserve">U pivotalnoj studiji BO22227, </w:t>
      </w:r>
      <w:r w:rsidR="00DB4DBD" w:rsidRPr="00B8307D">
        <w:rPr>
          <w:sz w:val="22"/>
          <w:szCs w:val="22"/>
          <w:lang w:val="sr-Latn-ME"/>
        </w:rPr>
        <w:t xml:space="preserve">lijek </w:t>
      </w:r>
      <w:r w:rsidRPr="00B8307D">
        <w:rPr>
          <w:sz w:val="22"/>
          <w:szCs w:val="22"/>
          <w:lang w:val="sr-Latn-ME"/>
        </w:rPr>
        <w:t>Herceptin se primjenjivao istovremeno sa neoadjuvantnom hemoterapijom koja se sastojala od četiri ciklusa epirubicina (kumulativna doza: 300 mg/m</w:t>
      </w:r>
      <w:r w:rsidRPr="00B8307D">
        <w:rPr>
          <w:sz w:val="22"/>
          <w:szCs w:val="22"/>
          <w:vertAlign w:val="superscript"/>
          <w:lang w:val="sr-Latn-ME"/>
        </w:rPr>
        <w:t>2</w:t>
      </w:r>
      <w:r w:rsidRPr="00B8307D">
        <w:rPr>
          <w:sz w:val="22"/>
          <w:szCs w:val="22"/>
          <w:lang w:val="sr-Latn-ME"/>
        </w:rPr>
        <w:t>); nakon medijane praćenja od više od 70 mjeseci, incidenca srčane insuficijencije/kongestivne srčane insuficijencije iznosila je 0,3% u grupi koja je primala lijek Herceptin za intravensku primjenu te 0,7% u grupi koja je primala lijek Herceptin za subkutanu primjenu.</w:t>
      </w:r>
    </w:p>
    <w:p w14:paraId="6DCC3365" w14:textId="177B560A" w:rsidR="004F6368" w:rsidRPr="00B8307D" w:rsidRDefault="004F6368" w:rsidP="000A067B">
      <w:pPr>
        <w:widowControl w:val="0"/>
        <w:jc w:val="both"/>
        <w:rPr>
          <w:sz w:val="22"/>
          <w:szCs w:val="22"/>
          <w:lang w:val="sr-Latn-ME"/>
        </w:rPr>
      </w:pPr>
      <w:r w:rsidRPr="00B8307D">
        <w:rPr>
          <w:sz w:val="22"/>
          <w:szCs w:val="22"/>
          <w:lang w:val="sr-Latn-ME"/>
        </w:rPr>
        <w:t xml:space="preserve">Kod pacijenata manje tjelesne </w:t>
      </w:r>
      <w:r w:rsidR="00DB4DBD" w:rsidRPr="00B8307D">
        <w:rPr>
          <w:sz w:val="22"/>
          <w:szCs w:val="22"/>
          <w:lang w:val="sr-Latn-ME"/>
        </w:rPr>
        <w:t xml:space="preserve">mase </w:t>
      </w:r>
      <w:r w:rsidRPr="00B8307D">
        <w:rPr>
          <w:sz w:val="22"/>
          <w:szCs w:val="22"/>
          <w:lang w:val="sr-Latn-ME"/>
        </w:rPr>
        <w:t>(&lt;</w:t>
      </w:r>
      <w:r w:rsidR="00DB4DBD" w:rsidRPr="00B8307D">
        <w:rPr>
          <w:sz w:val="22"/>
          <w:szCs w:val="22"/>
          <w:lang w:val="sr-Latn-ME"/>
        </w:rPr>
        <w:t xml:space="preserve"> </w:t>
      </w:r>
      <w:r w:rsidRPr="00B8307D">
        <w:rPr>
          <w:sz w:val="22"/>
          <w:szCs w:val="22"/>
          <w:lang w:val="sr-Latn-ME"/>
        </w:rPr>
        <w:t xml:space="preserve">59 kg, najniži kvartil tjelesne </w:t>
      </w:r>
      <w:r w:rsidR="00DB4DBD" w:rsidRPr="00B8307D">
        <w:rPr>
          <w:sz w:val="22"/>
          <w:szCs w:val="22"/>
          <w:lang w:val="sr-Latn-ME"/>
        </w:rPr>
        <w:t>mase</w:t>
      </w:r>
      <w:r w:rsidRPr="00B8307D">
        <w:rPr>
          <w:sz w:val="22"/>
          <w:szCs w:val="22"/>
          <w:lang w:val="sr-Latn-ME"/>
        </w:rPr>
        <w:t>), fiksna doza koja se primjenjivala u grupi liječenoj lijekom Herceptin za subkutanu primjenu nije bila povezana sa povećanim rizikom od srčanih događaja niti značajnim padom LVEF</w:t>
      </w:r>
      <w:r w:rsidRPr="00B8307D">
        <w:rPr>
          <w:sz w:val="22"/>
          <w:szCs w:val="22"/>
          <w:lang w:val="sr-Latn-ME"/>
        </w:rPr>
        <w:noBreakHyphen/>
        <w:t>a.</w:t>
      </w:r>
    </w:p>
    <w:p w14:paraId="4DDC94D7" w14:textId="77777777" w:rsidR="004F6368" w:rsidRPr="00B8307D" w:rsidRDefault="004F6368" w:rsidP="000A067B">
      <w:pPr>
        <w:widowControl w:val="0"/>
        <w:tabs>
          <w:tab w:val="left" w:pos="708"/>
        </w:tabs>
        <w:jc w:val="both"/>
        <w:rPr>
          <w:sz w:val="22"/>
          <w:szCs w:val="22"/>
          <w:lang w:val="sr-Latn-ME"/>
        </w:rPr>
      </w:pPr>
    </w:p>
    <w:p w14:paraId="2246CC5B" w14:textId="77777777" w:rsidR="004F6368" w:rsidRPr="00B8307D" w:rsidRDefault="004F6368" w:rsidP="000A067B">
      <w:pPr>
        <w:widowControl w:val="0"/>
        <w:tabs>
          <w:tab w:val="left" w:pos="708"/>
        </w:tabs>
        <w:jc w:val="both"/>
        <w:rPr>
          <w:sz w:val="22"/>
          <w:szCs w:val="22"/>
          <w:lang w:val="sr-Latn-ME"/>
        </w:rPr>
      </w:pPr>
      <w:r w:rsidRPr="00B8307D">
        <w:rPr>
          <w:sz w:val="22"/>
          <w:szCs w:val="22"/>
          <w:lang w:val="sr-Latn-ME"/>
        </w:rPr>
        <w:t>Kliničko iskustvo kod pacijenata starijih od 65 godina je ograničeno.</w:t>
      </w:r>
    </w:p>
    <w:p w14:paraId="0B804C44" w14:textId="3516B89C" w:rsidR="004F6368" w:rsidRPr="00B8307D" w:rsidRDefault="004F6368" w:rsidP="000A067B">
      <w:pPr>
        <w:widowControl w:val="0"/>
        <w:tabs>
          <w:tab w:val="left" w:pos="708"/>
        </w:tabs>
        <w:jc w:val="both"/>
        <w:rPr>
          <w:sz w:val="22"/>
          <w:szCs w:val="22"/>
          <w:lang w:val="sr-Latn-ME"/>
        </w:rPr>
      </w:pPr>
    </w:p>
    <w:p w14:paraId="33C021D1" w14:textId="75B1983E" w:rsidR="004F6368" w:rsidRPr="00B8307D" w:rsidRDefault="004F6368" w:rsidP="000A067B">
      <w:pPr>
        <w:widowControl w:val="0"/>
        <w:jc w:val="both"/>
        <w:rPr>
          <w:sz w:val="22"/>
          <w:szCs w:val="22"/>
          <w:u w:val="single"/>
          <w:lang w:val="sr-Latn-ME"/>
        </w:rPr>
      </w:pPr>
      <w:r w:rsidRPr="00B8307D">
        <w:rPr>
          <w:sz w:val="22"/>
          <w:szCs w:val="22"/>
          <w:u w:val="single"/>
          <w:lang w:val="sr-Latn-ME"/>
        </w:rPr>
        <w:t>Reakcije povezane sa primjenom lijeka</w:t>
      </w:r>
    </w:p>
    <w:p w14:paraId="392A7F6E" w14:textId="77777777" w:rsidR="00B22B2E" w:rsidRPr="00B8307D" w:rsidRDefault="00B22B2E" w:rsidP="000A067B">
      <w:pPr>
        <w:widowControl w:val="0"/>
        <w:jc w:val="both"/>
        <w:rPr>
          <w:sz w:val="22"/>
          <w:szCs w:val="22"/>
          <w:u w:val="single"/>
          <w:lang w:val="sr-Latn-ME"/>
        </w:rPr>
      </w:pPr>
    </w:p>
    <w:p w14:paraId="6CDE1DF9" w14:textId="77777777" w:rsidR="004F6368" w:rsidRPr="00B8307D" w:rsidRDefault="004F6368" w:rsidP="000A067B">
      <w:pPr>
        <w:widowControl w:val="0"/>
        <w:jc w:val="both"/>
        <w:rPr>
          <w:sz w:val="22"/>
          <w:szCs w:val="22"/>
          <w:lang w:val="sr-Latn-ME"/>
        </w:rPr>
      </w:pPr>
      <w:r w:rsidRPr="00B8307D">
        <w:rPr>
          <w:sz w:val="22"/>
          <w:szCs w:val="22"/>
          <w:lang w:val="sr-Latn-ME"/>
        </w:rPr>
        <w:t>Kod primjene lijeka Herceptin u subkutanoj formulaciji znale su se pojaviti reakcije povezane sa primjenom. Rizik od pojave reakcija na primjenu lijeka može se smanjiti premedikacijom.</w:t>
      </w:r>
    </w:p>
    <w:p w14:paraId="2030CB80" w14:textId="77777777" w:rsidR="004F6368" w:rsidRPr="00B8307D" w:rsidRDefault="004F6368" w:rsidP="000A067B">
      <w:pPr>
        <w:widowControl w:val="0"/>
        <w:jc w:val="both"/>
        <w:rPr>
          <w:sz w:val="22"/>
          <w:szCs w:val="22"/>
          <w:lang w:val="sr-Latn-ME"/>
        </w:rPr>
      </w:pPr>
    </w:p>
    <w:p w14:paraId="0AFBB2AA" w14:textId="2693C7A3" w:rsidR="004F6368" w:rsidRPr="00B8307D" w:rsidRDefault="004F6368" w:rsidP="000A067B">
      <w:pPr>
        <w:widowControl w:val="0"/>
        <w:jc w:val="both"/>
        <w:rPr>
          <w:sz w:val="22"/>
          <w:szCs w:val="22"/>
          <w:lang w:val="sr-Latn-ME"/>
        </w:rPr>
      </w:pPr>
      <w:r w:rsidRPr="00B8307D">
        <w:rPr>
          <w:sz w:val="22"/>
          <w:szCs w:val="22"/>
          <w:lang w:val="sr-Latn-ME"/>
        </w:rPr>
        <w:t xml:space="preserve">Iako ozbiljne reakcije povezane sa primjenom lijeka, uključujući dispneju, hipotenziju, šištanje, bronhospazam, tahikardiju, smanjenu zasićenost kiseonikom i respiratorni distres, nijesu prijavljene u kliničkim ispitivanjima lijeka Herceptin u subkutanoj formulaciji, potreban je oprez jer su se te reakcije pojavile kod primjene intravenske formulacije lijeka. Pacijente treba pratiti </w:t>
      </w:r>
      <w:r w:rsidR="00832089" w:rsidRPr="00B8307D">
        <w:rPr>
          <w:sz w:val="22"/>
          <w:szCs w:val="22"/>
          <w:lang w:val="sr-Latn-ME"/>
        </w:rPr>
        <w:t>30 minuta</w:t>
      </w:r>
      <w:r w:rsidRPr="00B8307D">
        <w:rPr>
          <w:sz w:val="22"/>
          <w:szCs w:val="22"/>
          <w:lang w:val="sr-Latn-ME"/>
        </w:rPr>
        <w:t xml:space="preserve"> nakon prve injekcije i </w:t>
      </w:r>
      <w:r w:rsidR="00832089" w:rsidRPr="00B8307D">
        <w:rPr>
          <w:sz w:val="22"/>
          <w:szCs w:val="22"/>
          <w:lang w:val="sr-Latn-ME"/>
        </w:rPr>
        <w:t>15 minuta</w:t>
      </w:r>
      <w:r w:rsidRPr="00B8307D">
        <w:rPr>
          <w:sz w:val="22"/>
          <w:szCs w:val="22"/>
          <w:lang w:val="sr-Latn-ME"/>
        </w:rPr>
        <w:t xml:space="preserve"> nakon svake sljedeće injekcije zbog moguće pojave reakcija povezanih s primjenom lijeka. </w:t>
      </w:r>
      <w:r w:rsidR="00B27297" w:rsidRPr="00B8307D">
        <w:rPr>
          <w:sz w:val="22"/>
          <w:szCs w:val="22"/>
          <w:lang w:val="sr-Latn-ME"/>
        </w:rPr>
        <w:t xml:space="preserve">Neželjene reakcije povezane sa primjenom lijeka za koje se smatra da su blage težine </w:t>
      </w:r>
      <w:r w:rsidRPr="00B8307D">
        <w:rPr>
          <w:sz w:val="22"/>
          <w:szCs w:val="22"/>
          <w:lang w:val="sr-Latn-ME"/>
        </w:rPr>
        <w:t xml:space="preserve"> mogu</w:t>
      </w:r>
      <w:r w:rsidR="00B27297" w:rsidRPr="00B8307D">
        <w:rPr>
          <w:sz w:val="22"/>
          <w:szCs w:val="22"/>
          <w:lang w:val="sr-Latn-ME"/>
        </w:rPr>
        <w:t xml:space="preserve"> se</w:t>
      </w:r>
      <w:r w:rsidRPr="00B8307D">
        <w:rPr>
          <w:sz w:val="22"/>
          <w:szCs w:val="22"/>
          <w:lang w:val="sr-Latn-ME"/>
        </w:rPr>
        <w:t xml:space="preserve"> liječiti analgeticima/antipireticima, poput meperidina ili paracetamola, ili antihistaminicima, poput difenhidramina. Ozbiljne reakcije uspješno su liječene potpornom terapijom uključujući kiseonik, beta-agoniste i kortikosteroide. U rijetkim slučajevima, ove reakcije su praćene kliničkim tokom koji može da se završi fatalnim ishodom. Pacijenti koji imaju dispneju pri mirovanju zbog komplikacija uznapredovalog maligniteta i ko-morbiditeta mogu biti izloženi povećanom riziku od fatalne reakcije na infuziju. Prema tome, ovi pacijenti se ne smiju liječiti lijekom Herceptin (vidjeti dio 4.3). </w:t>
      </w:r>
    </w:p>
    <w:p w14:paraId="43B4F5AA" w14:textId="7C324416" w:rsidR="004F6368" w:rsidRPr="00B8307D" w:rsidRDefault="004F6368" w:rsidP="000A067B">
      <w:pPr>
        <w:widowControl w:val="0"/>
        <w:tabs>
          <w:tab w:val="left" w:pos="708"/>
        </w:tabs>
        <w:jc w:val="both"/>
        <w:rPr>
          <w:sz w:val="22"/>
          <w:szCs w:val="22"/>
          <w:lang w:val="sr-Latn-ME"/>
        </w:rPr>
      </w:pPr>
    </w:p>
    <w:p w14:paraId="3724A70F" w14:textId="5243690C" w:rsidR="004F6368" w:rsidRPr="00B8307D" w:rsidRDefault="004F6368" w:rsidP="000A067B">
      <w:pPr>
        <w:widowControl w:val="0"/>
        <w:jc w:val="both"/>
        <w:rPr>
          <w:sz w:val="22"/>
          <w:szCs w:val="22"/>
          <w:u w:val="single"/>
          <w:lang w:val="sr-Latn-ME"/>
        </w:rPr>
      </w:pPr>
      <w:r w:rsidRPr="00B8307D">
        <w:rPr>
          <w:sz w:val="22"/>
          <w:szCs w:val="22"/>
          <w:u w:val="single"/>
          <w:lang w:val="sr-Latn-ME"/>
        </w:rPr>
        <w:t>Plućni događaji</w:t>
      </w:r>
    </w:p>
    <w:p w14:paraId="7F21C3ED" w14:textId="77777777" w:rsidR="00B22B2E" w:rsidRPr="00B8307D" w:rsidRDefault="00B22B2E" w:rsidP="000A067B">
      <w:pPr>
        <w:widowControl w:val="0"/>
        <w:jc w:val="both"/>
        <w:rPr>
          <w:sz w:val="22"/>
          <w:szCs w:val="22"/>
          <w:u w:val="single"/>
          <w:lang w:val="sr-Latn-ME"/>
        </w:rPr>
      </w:pPr>
    </w:p>
    <w:p w14:paraId="1429ADD0" w14:textId="5F8561A1" w:rsidR="004F6368" w:rsidRPr="00B8307D" w:rsidRDefault="004F6368" w:rsidP="000A067B">
      <w:pPr>
        <w:widowControl w:val="0"/>
        <w:jc w:val="both"/>
        <w:rPr>
          <w:sz w:val="22"/>
          <w:szCs w:val="22"/>
          <w:lang w:val="sr-Latn-ME"/>
        </w:rPr>
      </w:pPr>
      <w:r w:rsidRPr="00B8307D">
        <w:rPr>
          <w:sz w:val="22"/>
          <w:szCs w:val="22"/>
          <w:lang w:val="sr-Latn-ME"/>
        </w:rPr>
        <w:t>Preporučuje se oprez kod primjene subkutane formulacije lijeka Herceptin, jer su pri primjeni intravenske formulacije prijavljeni teški plućni događaji u periodu nakon stavljanja lijeka u promet (vidjeti dio 4.8). Ti događaji su ponekad imali smrtan ishod, a mogu se pojaviti u sklopu infuzijskih reakcija ili sa odloženim početkom. Uz to su prijavljeni i slučajevi intersticijalne bolesti pluća, uključujući plućne infiltrate, sindroma akutnog respiratornog distresa, pneumonije, pneumonitisa, pleuralne efuzije, respiratornog distresa, akutnog plućnog edema i respiratorne insuficijencije. Faktori rizika povezani sa intersticijalnom bolesti pluća uključuju prethodnu ili konkomitantnu terapiju drugim anti-neoplastičnim agensima kao što su taksani, gemcitabin, vinorelbin i radio terapija. Pacijenti koji imaju dispneju pri mirovanju zbog komplikacija uznapredovalog maligniteta i ko-morbiditeta mogu biti izloženi povećanom riziku od fatalne reakcije na infuziju. Prema tome, ovi pacijenti se ne smiju liječiti lijekom Herceptin (vidjeti dio 4.3). Treba biti oprezan kod pneumonitisa, posebno kod pacijenata koji uporedo primaju i terapiju taksanima.</w:t>
      </w:r>
    </w:p>
    <w:p w14:paraId="1AFF492A" w14:textId="560A50EB" w:rsidR="00DB4DBD" w:rsidRPr="00B8307D" w:rsidRDefault="00DB4DBD" w:rsidP="000A067B">
      <w:pPr>
        <w:widowControl w:val="0"/>
        <w:jc w:val="both"/>
        <w:rPr>
          <w:sz w:val="22"/>
          <w:szCs w:val="22"/>
          <w:lang w:val="sr-Latn-ME"/>
        </w:rPr>
      </w:pPr>
    </w:p>
    <w:p w14:paraId="64CF2C99" w14:textId="53DA393B" w:rsidR="00DB4DBD" w:rsidRPr="00B8307D" w:rsidRDefault="00DB4DBD" w:rsidP="000A067B">
      <w:pPr>
        <w:widowControl w:val="0"/>
        <w:jc w:val="both"/>
        <w:rPr>
          <w:sz w:val="22"/>
          <w:szCs w:val="22"/>
          <w:lang w:val="sr-Latn-ME"/>
        </w:rPr>
      </w:pPr>
      <w:r w:rsidRPr="00B8307D">
        <w:rPr>
          <w:sz w:val="22"/>
          <w:szCs w:val="22"/>
          <w:lang w:val="sr-Latn-ME"/>
        </w:rPr>
        <w:t>Natrijum</w:t>
      </w:r>
    </w:p>
    <w:p w14:paraId="75D2661F" w14:textId="77777777" w:rsidR="00DB4DBD" w:rsidRPr="00B8307D" w:rsidRDefault="00DB4DBD" w:rsidP="000A067B">
      <w:pPr>
        <w:widowControl w:val="0"/>
        <w:jc w:val="both"/>
        <w:rPr>
          <w:sz w:val="22"/>
          <w:szCs w:val="22"/>
          <w:lang w:val="sr-Latn-ME"/>
        </w:rPr>
      </w:pPr>
    </w:p>
    <w:p w14:paraId="0788077F" w14:textId="485FBD1E" w:rsidR="00DB4DBD" w:rsidRPr="00B8307D" w:rsidRDefault="00DB4DBD" w:rsidP="000A067B">
      <w:pPr>
        <w:widowControl w:val="0"/>
        <w:jc w:val="both"/>
        <w:rPr>
          <w:sz w:val="22"/>
          <w:szCs w:val="22"/>
          <w:lang w:val="sr-Latn-ME"/>
        </w:rPr>
      </w:pPr>
      <w:r w:rsidRPr="00B8307D">
        <w:rPr>
          <w:sz w:val="22"/>
          <w:szCs w:val="22"/>
          <w:lang w:val="sr-Latn-ME"/>
        </w:rPr>
        <w:t>Lijek Herceptin sadrži manje od 1 mmol (23 mg) natrijuma po dozi tj. zanemarljive količine natrijuma.</w:t>
      </w:r>
    </w:p>
    <w:p w14:paraId="1FE5FE59" w14:textId="2AD5A27E" w:rsidR="00057E35" w:rsidRPr="00B8307D" w:rsidRDefault="00057E35" w:rsidP="000A067B">
      <w:pPr>
        <w:widowControl w:val="0"/>
        <w:tabs>
          <w:tab w:val="left" w:pos="708"/>
        </w:tabs>
        <w:jc w:val="both"/>
        <w:rPr>
          <w:sz w:val="22"/>
          <w:szCs w:val="22"/>
          <w:lang w:val="sr-Latn-ME"/>
        </w:rPr>
      </w:pPr>
    </w:p>
    <w:p w14:paraId="1FE5FE5A" w14:textId="77777777" w:rsidR="00411B4B" w:rsidRPr="00B8307D" w:rsidRDefault="00411B4B" w:rsidP="000A067B">
      <w:pPr>
        <w:widowControl w:val="0"/>
        <w:tabs>
          <w:tab w:val="left" w:pos="540"/>
          <w:tab w:val="left" w:pos="569"/>
        </w:tabs>
        <w:jc w:val="both"/>
        <w:rPr>
          <w:b/>
          <w:bCs/>
          <w:sz w:val="22"/>
          <w:szCs w:val="22"/>
          <w:lang w:val="sr-Latn-ME"/>
        </w:rPr>
      </w:pPr>
      <w:r w:rsidRPr="00B8307D">
        <w:rPr>
          <w:b/>
          <w:bCs/>
          <w:sz w:val="22"/>
          <w:szCs w:val="22"/>
          <w:lang w:val="sr-Latn-ME"/>
        </w:rPr>
        <w:t>4.5.</w:t>
      </w:r>
      <w:r w:rsidR="000D60CC" w:rsidRPr="00B8307D">
        <w:rPr>
          <w:b/>
          <w:bCs/>
          <w:sz w:val="22"/>
          <w:szCs w:val="22"/>
          <w:lang w:val="sr-Latn-ME"/>
        </w:rPr>
        <w:tab/>
      </w:r>
      <w:r w:rsidRPr="00B8307D">
        <w:rPr>
          <w:b/>
          <w:bCs/>
          <w:sz w:val="22"/>
          <w:szCs w:val="22"/>
          <w:lang w:val="sr-Latn-ME"/>
        </w:rPr>
        <w:t>Interakcije sa drugim ljekovima i druge vrste interakcija</w:t>
      </w:r>
    </w:p>
    <w:p w14:paraId="1FE5FE5B" w14:textId="7FEC9D2E" w:rsidR="0072020E" w:rsidRPr="00B8307D" w:rsidRDefault="0072020E" w:rsidP="000A067B">
      <w:pPr>
        <w:widowControl w:val="0"/>
        <w:tabs>
          <w:tab w:val="left" w:pos="540"/>
          <w:tab w:val="left" w:pos="569"/>
        </w:tabs>
        <w:jc w:val="both"/>
        <w:rPr>
          <w:bCs/>
          <w:sz w:val="22"/>
          <w:szCs w:val="22"/>
          <w:lang w:val="sr-Latn-ME"/>
        </w:rPr>
      </w:pPr>
    </w:p>
    <w:p w14:paraId="6CFC9988" w14:textId="77B441A9" w:rsidR="004F6368" w:rsidRPr="00B8307D" w:rsidRDefault="004F6368" w:rsidP="000A067B">
      <w:pPr>
        <w:widowControl w:val="0"/>
        <w:jc w:val="both"/>
        <w:rPr>
          <w:sz w:val="22"/>
          <w:szCs w:val="22"/>
          <w:lang w:val="sr-Latn-ME"/>
        </w:rPr>
      </w:pPr>
      <w:r w:rsidRPr="00B8307D">
        <w:rPr>
          <w:sz w:val="22"/>
          <w:szCs w:val="22"/>
          <w:lang w:val="sr-Latn-ME"/>
        </w:rPr>
        <w:t>Ispitivanja interakcija lijeka Herceptina sa drugim ljekovima ni</w:t>
      </w:r>
      <w:r w:rsidR="003D734B" w:rsidRPr="00B8307D">
        <w:rPr>
          <w:sz w:val="22"/>
          <w:szCs w:val="22"/>
          <w:lang w:val="sr-Latn-ME"/>
        </w:rPr>
        <w:t>je</w:t>
      </w:r>
      <w:r w:rsidRPr="00B8307D">
        <w:rPr>
          <w:sz w:val="22"/>
          <w:szCs w:val="22"/>
          <w:lang w:val="sr-Latn-ME"/>
        </w:rPr>
        <w:t>su sprovedena. Nijesu primijećene klinički značajne interakcije između lijeka Herceptin i istovremeno primijenjenih ljekova koji su se koristili u kliničkim ispitivanjima.</w:t>
      </w:r>
    </w:p>
    <w:p w14:paraId="2C8086D2" w14:textId="77777777" w:rsidR="004F6368" w:rsidRPr="00B8307D" w:rsidRDefault="004F6368" w:rsidP="000A067B">
      <w:pPr>
        <w:widowControl w:val="0"/>
        <w:jc w:val="both"/>
        <w:rPr>
          <w:sz w:val="22"/>
          <w:szCs w:val="22"/>
          <w:lang w:val="sr-Latn-ME"/>
        </w:rPr>
      </w:pPr>
    </w:p>
    <w:p w14:paraId="319ADDCF" w14:textId="77777777" w:rsidR="004F6368" w:rsidRPr="00B8307D" w:rsidRDefault="004F6368" w:rsidP="000A067B">
      <w:pPr>
        <w:widowControl w:val="0"/>
        <w:jc w:val="both"/>
        <w:rPr>
          <w:i/>
          <w:iCs/>
          <w:sz w:val="22"/>
          <w:szCs w:val="22"/>
          <w:lang w:val="sr-Latn-ME"/>
        </w:rPr>
      </w:pPr>
      <w:r w:rsidRPr="00B8307D">
        <w:rPr>
          <w:i/>
          <w:iCs/>
          <w:sz w:val="22"/>
          <w:szCs w:val="22"/>
          <w:lang w:val="sr-Latn-ME"/>
        </w:rPr>
        <w:t>Uticaj trastuzumaba na farmakokinetiku drugih antineoplastika</w:t>
      </w:r>
    </w:p>
    <w:p w14:paraId="1D3C1B27" w14:textId="77777777" w:rsidR="004F6368" w:rsidRPr="00B8307D" w:rsidRDefault="004F6368" w:rsidP="000A067B">
      <w:pPr>
        <w:widowControl w:val="0"/>
        <w:jc w:val="both"/>
        <w:rPr>
          <w:lang w:val="sr-Latn-ME"/>
        </w:rPr>
      </w:pPr>
    </w:p>
    <w:p w14:paraId="25EA6F8D" w14:textId="77777777" w:rsidR="004F6368" w:rsidRPr="00B8307D" w:rsidRDefault="004F6368" w:rsidP="000A067B">
      <w:pPr>
        <w:widowControl w:val="0"/>
        <w:jc w:val="both"/>
        <w:rPr>
          <w:sz w:val="22"/>
          <w:szCs w:val="22"/>
          <w:lang w:val="sr-Latn-ME"/>
        </w:rPr>
      </w:pPr>
      <w:r w:rsidRPr="00B8307D">
        <w:rPr>
          <w:sz w:val="22"/>
          <w:szCs w:val="22"/>
          <w:lang w:val="sr-Latn-ME"/>
        </w:rPr>
        <w:t>Farmakokinetički podaci iz ispitivanja BO15935 i M77004 kod žena sa HER2-pozitivnim metastatskim karcinomom dojke ukazali su da prisutnost trastuzumaba (intravenska početna doza od 8 mg/kg odnosno</w:t>
      </w:r>
    </w:p>
    <w:p w14:paraId="2DC63988" w14:textId="71A082B7" w:rsidR="004F6368" w:rsidRPr="00B8307D" w:rsidRDefault="004F6368" w:rsidP="000A067B">
      <w:pPr>
        <w:widowControl w:val="0"/>
        <w:jc w:val="both"/>
        <w:rPr>
          <w:sz w:val="22"/>
          <w:szCs w:val="22"/>
          <w:lang w:val="sr-Latn-ME"/>
        </w:rPr>
      </w:pPr>
      <w:r w:rsidRPr="00B8307D">
        <w:rPr>
          <w:sz w:val="22"/>
          <w:szCs w:val="22"/>
          <w:lang w:val="sr-Latn-ME"/>
        </w:rPr>
        <w:t xml:space="preserve">4 mg/kg, nakon koje slijedi intravenska doza od 6 mg/kg svake 3 nedjelje odnosno 2 mg/kg </w:t>
      </w:r>
      <w:r w:rsidR="003D734B" w:rsidRPr="00B8307D">
        <w:rPr>
          <w:sz w:val="22"/>
          <w:szCs w:val="22"/>
          <w:lang w:val="sr-Latn-ME"/>
        </w:rPr>
        <w:t xml:space="preserve">jednom </w:t>
      </w:r>
      <w:r w:rsidRPr="00B8307D">
        <w:rPr>
          <w:sz w:val="22"/>
          <w:szCs w:val="22"/>
          <w:lang w:val="sr-Latn-ME"/>
        </w:rPr>
        <w:t>nedjeljno) nije promijenila izloženost paklitakselu i doksorubicinu (i njihovim glavnim metabolitima 6-α hidroksil-paklitakselu, POH, i doksorubicinolu, DOL).</w:t>
      </w:r>
    </w:p>
    <w:p w14:paraId="2899F0EC" w14:textId="35C39274" w:rsidR="004F6368" w:rsidRPr="00B8307D" w:rsidRDefault="004F6368" w:rsidP="000A067B">
      <w:pPr>
        <w:widowControl w:val="0"/>
        <w:jc w:val="both"/>
        <w:rPr>
          <w:sz w:val="22"/>
          <w:szCs w:val="22"/>
          <w:lang w:val="sr-Latn-ME"/>
        </w:rPr>
      </w:pPr>
      <w:r w:rsidRPr="00B8307D">
        <w:rPr>
          <w:sz w:val="22"/>
          <w:szCs w:val="22"/>
          <w:lang w:val="sr-Latn-ME"/>
        </w:rPr>
        <w:t>Međutim, trastuzumab može povećati ukupnu izloženost jednom od metabolita doksorubicina (7-deoksi-13-dihidro-doksorubicinon, D7D). Nije bila razjašnjena bioaktivnost metabolita D7D niti klinički značaj povećanih koncentracija tog metabolita.</w:t>
      </w:r>
    </w:p>
    <w:p w14:paraId="03F1AB36" w14:textId="77777777" w:rsidR="00B22B2E" w:rsidRPr="00B8307D" w:rsidRDefault="00B22B2E" w:rsidP="000A067B">
      <w:pPr>
        <w:widowControl w:val="0"/>
        <w:jc w:val="both"/>
        <w:rPr>
          <w:sz w:val="22"/>
          <w:szCs w:val="22"/>
          <w:lang w:val="sr-Latn-ME"/>
        </w:rPr>
      </w:pPr>
    </w:p>
    <w:p w14:paraId="34BC5165" w14:textId="2AD63C3E" w:rsidR="004F6368" w:rsidRPr="00B8307D" w:rsidRDefault="004F6368" w:rsidP="000A067B">
      <w:pPr>
        <w:widowControl w:val="0"/>
        <w:jc w:val="both"/>
        <w:rPr>
          <w:sz w:val="22"/>
          <w:szCs w:val="22"/>
          <w:lang w:val="sr-Latn-ME"/>
        </w:rPr>
      </w:pPr>
      <w:r w:rsidRPr="00B8307D">
        <w:rPr>
          <w:sz w:val="22"/>
          <w:szCs w:val="22"/>
          <w:lang w:val="sr-Latn-ME"/>
        </w:rPr>
        <w:t xml:space="preserve">Podaci iz studije JP16003, ispitivanja lijeka Herceptin (intravenska početna doza od 4 mg/kg, nakon koje slijedi intravenska doza od 2 mg/kg </w:t>
      </w:r>
      <w:r w:rsidR="003D734B" w:rsidRPr="00B8307D">
        <w:rPr>
          <w:sz w:val="22"/>
          <w:szCs w:val="22"/>
          <w:lang w:val="sr-Latn-ME"/>
        </w:rPr>
        <w:t xml:space="preserve">jednom </w:t>
      </w:r>
      <w:r w:rsidRPr="00B8307D">
        <w:rPr>
          <w:sz w:val="22"/>
          <w:szCs w:val="22"/>
          <w:lang w:val="sr-Latn-ME"/>
        </w:rPr>
        <w:t>nedjeljno) i docetaksela (60 mg/m</w:t>
      </w:r>
      <w:r w:rsidRPr="00B8307D">
        <w:rPr>
          <w:sz w:val="22"/>
          <w:szCs w:val="22"/>
          <w:vertAlign w:val="superscript"/>
          <w:lang w:val="sr-Latn-ME"/>
        </w:rPr>
        <w:t>2</w:t>
      </w:r>
      <w:r w:rsidRPr="00B8307D">
        <w:rPr>
          <w:sz w:val="22"/>
          <w:szCs w:val="22"/>
          <w:lang w:val="sr-Latn-ME"/>
        </w:rPr>
        <w:t xml:space="preserve"> intravenski) sa jednom grupom žena japanskog porijekla sa HER2-pozitivnim metastatskim karcinomom dojke, ukazali su da istovremena primjena lijeka Herceptin ne utiče na farmakokinetiku jednokratne doze docetaksela.</w:t>
      </w:r>
    </w:p>
    <w:p w14:paraId="1A691577" w14:textId="77777777" w:rsidR="00346A27" w:rsidRPr="00B8307D" w:rsidRDefault="00346A27" w:rsidP="000A067B">
      <w:pPr>
        <w:widowControl w:val="0"/>
        <w:jc w:val="both"/>
        <w:rPr>
          <w:sz w:val="22"/>
          <w:szCs w:val="22"/>
          <w:lang w:val="sr-Latn-ME"/>
        </w:rPr>
      </w:pPr>
    </w:p>
    <w:p w14:paraId="378B6A5B" w14:textId="77777777" w:rsidR="004F6368" w:rsidRPr="00B8307D" w:rsidRDefault="004F6368" w:rsidP="000A067B">
      <w:pPr>
        <w:widowControl w:val="0"/>
        <w:jc w:val="both"/>
        <w:rPr>
          <w:sz w:val="22"/>
          <w:szCs w:val="22"/>
          <w:lang w:val="sr-Latn-ME"/>
        </w:rPr>
      </w:pPr>
      <w:r w:rsidRPr="00B8307D">
        <w:rPr>
          <w:sz w:val="22"/>
          <w:szCs w:val="22"/>
          <w:lang w:val="sr-Latn-ME"/>
        </w:rPr>
        <w:t>Ispitivanje JP19959 bilo je podispitivanje ispitivanja BO18255 (ToGA), sprovedenog kod muškaraca i žena japanskog porijekla sa uznapredovalim karcinomom želuca u kojem se ispitivala farmakokinetika kapecitabina i cisplatina primijenjenih u kombinaciji sa lijekom Herceptin ili bez njega. Rezultati ovog podispitivanja ukazali su da istovremena primjena cisplatina ili istovremena primjena cisplatina i lijeka Herceptin ne utiče na izloženost bioaktivnim metabolitima (npr. 5-FU) kapecitabina. Međutim, kod istovremene primjene sa lijekom Herceptin koncentracije samog kapecitabina bile su povećane, a njegovo poluvrijeme eliminacije produženo. Podaci su takođe pokazali da istovremena primjena kapecitabina ili istovremena primjena kapecitabina i lijeka Herceptin ne utiče na farmakokinetiku cisplatina.</w:t>
      </w:r>
    </w:p>
    <w:p w14:paraId="7A7BF6A7" w14:textId="77777777" w:rsidR="004F6368" w:rsidRPr="00B8307D" w:rsidRDefault="004F6368" w:rsidP="000A067B">
      <w:pPr>
        <w:widowControl w:val="0"/>
        <w:jc w:val="both"/>
        <w:rPr>
          <w:sz w:val="22"/>
          <w:szCs w:val="22"/>
          <w:lang w:val="sr-Latn-ME"/>
        </w:rPr>
      </w:pPr>
    </w:p>
    <w:p w14:paraId="00B25D75" w14:textId="77777777" w:rsidR="004F6368" w:rsidRPr="00B8307D" w:rsidRDefault="004F6368" w:rsidP="000A067B">
      <w:pPr>
        <w:widowControl w:val="0"/>
        <w:jc w:val="both"/>
        <w:rPr>
          <w:sz w:val="22"/>
          <w:szCs w:val="22"/>
          <w:lang w:val="sr-Latn-ME"/>
        </w:rPr>
      </w:pPr>
      <w:r w:rsidRPr="00B8307D">
        <w:rPr>
          <w:sz w:val="22"/>
          <w:szCs w:val="22"/>
          <w:lang w:val="sr-Latn-ME"/>
        </w:rPr>
        <w:t>Farmakokinetički podaci iz Studije H4613g/GO01305 kod pacijenata sa metastatskim ili lokalno uznapredovalim inoperabilnim HER2 pozitivnim rakom ukazali su da trastuzumab nije uticao na farmakokinetiku karboplatina.</w:t>
      </w:r>
    </w:p>
    <w:p w14:paraId="3356DEB4" w14:textId="6AA0C32D" w:rsidR="004F6368" w:rsidRPr="00B8307D" w:rsidRDefault="004F6368" w:rsidP="000A067B">
      <w:pPr>
        <w:widowControl w:val="0"/>
        <w:tabs>
          <w:tab w:val="left" w:pos="540"/>
          <w:tab w:val="left" w:pos="569"/>
        </w:tabs>
        <w:jc w:val="both"/>
        <w:rPr>
          <w:bCs/>
          <w:sz w:val="22"/>
          <w:szCs w:val="22"/>
          <w:lang w:val="sr-Latn-ME"/>
        </w:rPr>
      </w:pPr>
    </w:p>
    <w:p w14:paraId="760C45C7" w14:textId="77777777" w:rsidR="004F6368" w:rsidRPr="00B8307D" w:rsidRDefault="004F6368" w:rsidP="000A067B">
      <w:pPr>
        <w:widowControl w:val="0"/>
        <w:jc w:val="both"/>
        <w:outlineLvl w:val="1"/>
        <w:rPr>
          <w:iCs/>
          <w:sz w:val="28"/>
          <w:szCs w:val="28"/>
          <w:lang w:val="sr-Latn-ME"/>
        </w:rPr>
      </w:pPr>
      <w:r w:rsidRPr="00B8307D">
        <w:rPr>
          <w:bCs/>
          <w:i/>
          <w:sz w:val="22"/>
          <w:szCs w:val="22"/>
          <w:lang w:val="sr-Latn-ME"/>
        </w:rPr>
        <w:t>Uticaj antineoplastika na farmakokinetiku trastuzumaba</w:t>
      </w:r>
    </w:p>
    <w:p w14:paraId="4FDDEC56" w14:textId="77777777" w:rsidR="004F6368" w:rsidRPr="00B8307D" w:rsidRDefault="004F6368" w:rsidP="000A067B">
      <w:pPr>
        <w:widowControl w:val="0"/>
        <w:jc w:val="both"/>
        <w:rPr>
          <w:lang w:val="sr-Latn-ME"/>
        </w:rPr>
      </w:pPr>
    </w:p>
    <w:p w14:paraId="0FC081A0" w14:textId="77D1D0AA" w:rsidR="004F6368" w:rsidRPr="00B8307D" w:rsidRDefault="004F6368" w:rsidP="000A067B">
      <w:pPr>
        <w:widowControl w:val="0"/>
        <w:jc w:val="both"/>
        <w:rPr>
          <w:sz w:val="22"/>
          <w:szCs w:val="22"/>
          <w:lang w:val="sr-Latn-ME"/>
        </w:rPr>
      </w:pPr>
      <w:r w:rsidRPr="00B8307D">
        <w:rPr>
          <w:sz w:val="22"/>
          <w:szCs w:val="22"/>
          <w:lang w:val="sr-Latn-ME"/>
        </w:rPr>
        <w:t xml:space="preserve">Poređenjem simuliranih koncentracija trastuzumaba u serumu nakon monoterapije lijekom Herceptin (početna doza od 4 mg/kg intravenski / 2 mg/kg intravenski </w:t>
      </w:r>
      <w:r w:rsidR="00F071C3" w:rsidRPr="00B8307D">
        <w:rPr>
          <w:sz w:val="22"/>
          <w:szCs w:val="22"/>
          <w:lang w:val="sr-Latn-ME"/>
        </w:rPr>
        <w:t xml:space="preserve">jednom </w:t>
      </w:r>
      <w:r w:rsidRPr="00B8307D">
        <w:rPr>
          <w:sz w:val="22"/>
          <w:szCs w:val="22"/>
          <w:lang w:val="sr-Latn-ME"/>
        </w:rPr>
        <w:t>nedjeljno) i opaženih koncentracija u serumu žena japanskog porijekla sa HER2-pozitivnim metastatskim karcinomom dojke (ispitivanje JP16003) nijesu pronađeni dokazi farmakokinetičkog uticaja istovremene primjene docetaksela na farmakokinetiku trastuzumaba.</w:t>
      </w:r>
    </w:p>
    <w:p w14:paraId="55E07EA8" w14:textId="77777777" w:rsidR="00B22B2E" w:rsidRPr="00B8307D" w:rsidRDefault="00B22B2E" w:rsidP="000A067B">
      <w:pPr>
        <w:widowControl w:val="0"/>
        <w:jc w:val="both"/>
        <w:rPr>
          <w:sz w:val="22"/>
          <w:szCs w:val="22"/>
          <w:lang w:val="sr-Latn-ME"/>
        </w:rPr>
      </w:pPr>
    </w:p>
    <w:p w14:paraId="49C63AED" w14:textId="6D77781F" w:rsidR="004F6368" w:rsidRPr="00B8307D" w:rsidRDefault="004F6368" w:rsidP="000A067B">
      <w:pPr>
        <w:widowControl w:val="0"/>
        <w:jc w:val="both"/>
        <w:rPr>
          <w:sz w:val="22"/>
          <w:szCs w:val="22"/>
          <w:lang w:val="sr-Latn-ME"/>
        </w:rPr>
      </w:pPr>
      <w:r w:rsidRPr="00B8307D">
        <w:rPr>
          <w:sz w:val="22"/>
          <w:szCs w:val="22"/>
          <w:lang w:val="sr-Latn-ME"/>
        </w:rPr>
        <w:t xml:space="preserve">Poređenjem farmakokinetičkih rezultata iz dva ispitivanja faze II (BO15935 i M77004), jednog ispitivanja faze III (H0648g) u kojem su pacijenti istovremeno liječeni lijekom Herceptin i paklitakselom te dva ispitivanja faze II u kojima je </w:t>
      </w:r>
      <w:r w:rsidR="003D734B" w:rsidRPr="00B8307D">
        <w:rPr>
          <w:sz w:val="22"/>
          <w:szCs w:val="22"/>
          <w:lang w:val="sr-Latn-ME"/>
        </w:rPr>
        <w:t xml:space="preserve">lijek </w:t>
      </w:r>
      <w:r w:rsidRPr="00B8307D">
        <w:rPr>
          <w:sz w:val="22"/>
          <w:szCs w:val="22"/>
          <w:lang w:val="sr-Latn-ME"/>
        </w:rPr>
        <w:t xml:space="preserve">Herceptin primjenjivan u monoterapiji (W016229 i MO16982) kod žena sa HER2-pozitivnim metastatskim karcinomom dojke, utvrđeno je da pojedinačne i srednje najniže koncentracije trastuzumaba u serumu variraju unutar svakog ispitivanja i između svih ispitivanja, ali nije utvrđen jasan uticaj istovremene primjene paklitaksela na farmakokinetiku trastuzumaba. Poređenje podataka o farmakokinetici trastuzumaba iz Studije M77004, u kojem su žene sa HER2 pozitivnim metastatskim rakom dojke bile istovremeno liječene lijekom Herceptin, paklitakselom i doksorubicinom, sa podacima o farmakokinetici trastuzumaba iz Studije u kojima se </w:t>
      </w:r>
      <w:r w:rsidR="003D734B" w:rsidRPr="00B8307D">
        <w:rPr>
          <w:sz w:val="22"/>
          <w:szCs w:val="22"/>
          <w:lang w:val="sr-Latn-ME"/>
        </w:rPr>
        <w:t xml:space="preserve">lijek </w:t>
      </w:r>
      <w:r w:rsidRPr="00B8307D">
        <w:rPr>
          <w:sz w:val="22"/>
          <w:szCs w:val="22"/>
          <w:lang w:val="sr-Latn-ME"/>
        </w:rPr>
        <w:t>Herceptin primjenjivao u monoterapiji (H0649g) ili u kombinaciji sa antraciklinom plus ciklofosfamidom ili paklitakselom (ispitivanje H0648g), ukazala je na to da doksorubicin i paklitaksel nemaju uticaja na farmakokinetiku trastuzumaba.</w:t>
      </w:r>
    </w:p>
    <w:p w14:paraId="54CF71E2" w14:textId="77777777" w:rsidR="004F6368" w:rsidRPr="00B8307D" w:rsidRDefault="004F6368" w:rsidP="000A067B">
      <w:pPr>
        <w:widowControl w:val="0"/>
        <w:jc w:val="both"/>
        <w:rPr>
          <w:sz w:val="22"/>
          <w:szCs w:val="22"/>
          <w:lang w:val="sr-Latn-ME"/>
        </w:rPr>
      </w:pPr>
    </w:p>
    <w:p w14:paraId="3550D87F" w14:textId="77777777" w:rsidR="004F6368" w:rsidRPr="00B8307D" w:rsidRDefault="004F6368" w:rsidP="000A067B">
      <w:pPr>
        <w:widowControl w:val="0"/>
        <w:jc w:val="both"/>
        <w:rPr>
          <w:sz w:val="22"/>
          <w:szCs w:val="22"/>
          <w:lang w:val="sr-Latn-ME"/>
        </w:rPr>
      </w:pPr>
      <w:r w:rsidRPr="00B8307D">
        <w:rPr>
          <w:sz w:val="22"/>
          <w:szCs w:val="22"/>
          <w:lang w:val="sr-Latn-ME"/>
        </w:rPr>
        <w:t>Farmakokinetički podaci iz Studije H4613g/GO01305 ukazali su da karboplatin ne utiče na farmakokinetiku trastuzumaba.</w:t>
      </w:r>
    </w:p>
    <w:p w14:paraId="798E6177" w14:textId="77777777" w:rsidR="004F6368" w:rsidRPr="00B8307D" w:rsidRDefault="004F6368" w:rsidP="000A067B">
      <w:pPr>
        <w:widowControl w:val="0"/>
        <w:jc w:val="both"/>
        <w:rPr>
          <w:sz w:val="22"/>
          <w:szCs w:val="22"/>
          <w:lang w:val="sr-Latn-ME"/>
        </w:rPr>
      </w:pPr>
    </w:p>
    <w:p w14:paraId="663E108F" w14:textId="77777777" w:rsidR="004F6368" w:rsidRPr="00B8307D" w:rsidRDefault="004F6368" w:rsidP="000A067B">
      <w:pPr>
        <w:widowControl w:val="0"/>
        <w:jc w:val="both"/>
        <w:rPr>
          <w:sz w:val="22"/>
          <w:szCs w:val="22"/>
          <w:lang w:val="sr-Latn-ME"/>
        </w:rPr>
      </w:pPr>
      <w:r w:rsidRPr="00B8307D">
        <w:rPr>
          <w:sz w:val="22"/>
          <w:szCs w:val="22"/>
          <w:lang w:val="sr-Latn-ME"/>
        </w:rPr>
        <w:t>Čini se da istovremena primjena anastrozola ne utiče na farmakokinetiku trastuzumaba.</w:t>
      </w:r>
    </w:p>
    <w:p w14:paraId="6B2B5A78" w14:textId="77777777" w:rsidR="004F6368" w:rsidRPr="00B8307D" w:rsidRDefault="004F6368" w:rsidP="000A067B">
      <w:pPr>
        <w:widowControl w:val="0"/>
        <w:tabs>
          <w:tab w:val="left" w:pos="540"/>
          <w:tab w:val="left" w:pos="569"/>
        </w:tabs>
        <w:jc w:val="both"/>
        <w:rPr>
          <w:b/>
          <w:bCs/>
          <w:sz w:val="22"/>
          <w:szCs w:val="22"/>
          <w:lang w:val="sr-Latn-ME"/>
        </w:rPr>
      </w:pPr>
    </w:p>
    <w:p w14:paraId="1FE5FE5C" w14:textId="769FCA93" w:rsidR="0072020E" w:rsidRPr="00B8307D" w:rsidRDefault="0072020E" w:rsidP="000A067B">
      <w:pPr>
        <w:widowControl w:val="0"/>
        <w:tabs>
          <w:tab w:val="left" w:pos="540"/>
          <w:tab w:val="left" w:pos="569"/>
        </w:tabs>
        <w:jc w:val="both"/>
        <w:rPr>
          <w:b/>
          <w:sz w:val="22"/>
          <w:szCs w:val="22"/>
          <w:lang w:val="sr-Latn-ME"/>
        </w:rPr>
      </w:pPr>
      <w:r w:rsidRPr="00B8307D">
        <w:rPr>
          <w:b/>
          <w:bCs/>
          <w:sz w:val="22"/>
          <w:szCs w:val="22"/>
          <w:lang w:val="sr-Latn-ME"/>
        </w:rPr>
        <w:lastRenderedPageBreak/>
        <w:t xml:space="preserve">4.6. </w:t>
      </w:r>
      <w:r w:rsidR="00480FB1" w:rsidRPr="00B8307D">
        <w:rPr>
          <w:b/>
          <w:bCs/>
          <w:sz w:val="22"/>
          <w:szCs w:val="22"/>
          <w:lang w:val="sr-Latn-ME"/>
        </w:rPr>
        <w:tab/>
      </w:r>
      <w:r w:rsidR="006D20A5" w:rsidRPr="00B8307D">
        <w:rPr>
          <w:b/>
          <w:sz w:val="22"/>
          <w:szCs w:val="22"/>
          <w:lang w:val="sr-Latn-ME"/>
        </w:rPr>
        <w:t>Plodnost, trudnoća i dojenje</w:t>
      </w:r>
    </w:p>
    <w:p w14:paraId="1FE5FE5D" w14:textId="77777777" w:rsidR="002031B3" w:rsidRPr="00B8307D" w:rsidRDefault="002031B3" w:rsidP="000A067B">
      <w:pPr>
        <w:widowControl w:val="0"/>
        <w:tabs>
          <w:tab w:val="left" w:pos="540"/>
          <w:tab w:val="left" w:pos="569"/>
        </w:tabs>
        <w:jc w:val="both"/>
        <w:rPr>
          <w:sz w:val="22"/>
          <w:szCs w:val="22"/>
          <w:u w:val="single"/>
          <w:lang w:val="sr-Latn-ME"/>
        </w:rPr>
      </w:pPr>
    </w:p>
    <w:p w14:paraId="0B84CFAC" w14:textId="2C07DCF3" w:rsidR="004F6368" w:rsidRPr="00B8307D" w:rsidRDefault="004F6368" w:rsidP="000A067B">
      <w:pPr>
        <w:widowControl w:val="0"/>
        <w:tabs>
          <w:tab w:val="left" w:pos="540"/>
          <w:tab w:val="left" w:pos="569"/>
        </w:tabs>
        <w:jc w:val="both"/>
        <w:rPr>
          <w:sz w:val="22"/>
          <w:szCs w:val="22"/>
          <w:u w:val="single"/>
          <w:lang w:val="sr-Latn-ME"/>
        </w:rPr>
      </w:pPr>
      <w:r w:rsidRPr="00B8307D">
        <w:rPr>
          <w:sz w:val="22"/>
          <w:szCs w:val="22"/>
          <w:u w:val="single"/>
          <w:lang w:val="sr-Latn-ME"/>
        </w:rPr>
        <w:t>Žene u reproduktivnom periodu</w:t>
      </w:r>
    </w:p>
    <w:p w14:paraId="5E9327D4" w14:textId="473F0829" w:rsidR="004F6368" w:rsidRPr="00B8307D" w:rsidRDefault="004F6368" w:rsidP="000A067B">
      <w:pPr>
        <w:widowControl w:val="0"/>
        <w:tabs>
          <w:tab w:val="left" w:pos="284"/>
          <w:tab w:val="center" w:pos="4320"/>
          <w:tab w:val="right" w:pos="8640"/>
        </w:tabs>
        <w:jc w:val="both"/>
        <w:rPr>
          <w:sz w:val="22"/>
          <w:szCs w:val="22"/>
          <w:lang w:val="sr-Latn-ME"/>
        </w:rPr>
      </w:pPr>
      <w:r w:rsidRPr="00B8307D">
        <w:rPr>
          <w:sz w:val="22"/>
          <w:szCs w:val="22"/>
          <w:lang w:val="sr-Latn-ME"/>
        </w:rPr>
        <w:t xml:space="preserve">Žene generativne dobi treba savjetovati da koriste </w:t>
      </w:r>
      <w:r w:rsidR="003D734B" w:rsidRPr="00B8307D">
        <w:rPr>
          <w:sz w:val="22"/>
          <w:szCs w:val="22"/>
          <w:lang w:val="sr-Latn-ME"/>
        </w:rPr>
        <w:t xml:space="preserve">efikasnu </w:t>
      </w:r>
      <w:r w:rsidRPr="00B8307D">
        <w:rPr>
          <w:sz w:val="22"/>
          <w:szCs w:val="22"/>
          <w:lang w:val="sr-Latn-ME"/>
        </w:rPr>
        <w:t>kontracepciju tokom terapije lijekom Herceptin i 7 mjeseci nakon prestanka liječenja (vidjeti dio 5.2).</w:t>
      </w:r>
    </w:p>
    <w:p w14:paraId="69A7001C" w14:textId="77777777" w:rsidR="003D734B" w:rsidRPr="00B8307D" w:rsidRDefault="003D734B" w:rsidP="000A067B">
      <w:pPr>
        <w:widowControl w:val="0"/>
        <w:tabs>
          <w:tab w:val="left" w:pos="284"/>
          <w:tab w:val="center" w:pos="4320"/>
          <w:tab w:val="right" w:pos="8640"/>
        </w:tabs>
        <w:jc w:val="both"/>
        <w:rPr>
          <w:sz w:val="22"/>
          <w:szCs w:val="22"/>
          <w:lang w:val="sr-Latn-ME"/>
        </w:rPr>
      </w:pPr>
    </w:p>
    <w:p w14:paraId="1FE5FE5E" w14:textId="0ECB0B62" w:rsidR="002031B3" w:rsidRPr="00B8307D" w:rsidRDefault="002031B3" w:rsidP="000A067B">
      <w:pPr>
        <w:widowControl w:val="0"/>
        <w:tabs>
          <w:tab w:val="left" w:pos="540"/>
          <w:tab w:val="left" w:pos="569"/>
        </w:tabs>
        <w:jc w:val="both"/>
        <w:rPr>
          <w:sz w:val="22"/>
          <w:szCs w:val="22"/>
          <w:u w:val="single"/>
          <w:lang w:val="sr-Latn-ME"/>
        </w:rPr>
      </w:pPr>
      <w:r w:rsidRPr="00B8307D">
        <w:rPr>
          <w:sz w:val="22"/>
          <w:szCs w:val="22"/>
          <w:u w:val="single"/>
          <w:lang w:val="sr-Latn-ME"/>
        </w:rPr>
        <w:t>Plodnost</w:t>
      </w:r>
    </w:p>
    <w:p w14:paraId="1E805498" w14:textId="1D40A66C" w:rsidR="004F6368" w:rsidRPr="00B8307D" w:rsidRDefault="004F6368" w:rsidP="000A067B">
      <w:pPr>
        <w:widowControl w:val="0"/>
        <w:tabs>
          <w:tab w:val="left" w:pos="540"/>
          <w:tab w:val="left" w:pos="569"/>
        </w:tabs>
        <w:jc w:val="both"/>
        <w:rPr>
          <w:sz w:val="22"/>
          <w:szCs w:val="22"/>
          <w:u w:val="single"/>
          <w:lang w:val="sr-Latn-ME"/>
        </w:rPr>
      </w:pPr>
    </w:p>
    <w:p w14:paraId="1FE5FE5F" w14:textId="60A56A8C" w:rsidR="002031B3" w:rsidRPr="00B8307D" w:rsidRDefault="004F6368" w:rsidP="000A067B">
      <w:pPr>
        <w:widowControl w:val="0"/>
        <w:tabs>
          <w:tab w:val="left" w:pos="284"/>
        </w:tabs>
        <w:jc w:val="both"/>
        <w:rPr>
          <w:sz w:val="22"/>
          <w:szCs w:val="22"/>
          <w:lang w:val="sr-Latn-ME"/>
        </w:rPr>
      </w:pPr>
      <w:r w:rsidRPr="00B8307D">
        <w:rPr>
          <w:sz w:val="22"/>
          <w:szCs w:val="22"/>
          <w:lang w:val="sr-Latn-ME"/>
        </w:rPr>
        <w:t>Nema dostupnih podataka o plodnosti.</w:t>
      </w:r>
    </w:p>
    <w:p w14:paraId="44F571AC" w14:textId="77777777" w:rsidR="004F6368" w:rsidRPr="00B8307D" w:rsidRDefault="004F6368" w:rsidP="000A067B">
      <w:pPr>
        <w:widowControl w:val="0"/>
        <w:tabs>
          <w:tab w:val="left" w:pos="284"/>
        </w:tabs>
        <w:jc w:val="both"/>
        <w:rPr>
          <w:sz w:val="22"/>
          <w:szCs w:val="22"/>
          <w:lang w:val="sr-Latn-ME"/>
        </w:rPr>
      </w:pPr>
    </w:p>
    <w:p w14:paraId="1FE5FE60" w14:textId="583B6467" w:rsidR="007A3ECB" w:rsidRPr="00B8307D" w:rsidRDefault="007A3ECB" w:rsidP="000A067B">
      <w:pPr>
        <w:widowControl w:val="0"/>
        <w:tabs>
          <w:tab w:val="left" w:pos="540"/>
          <w:tab w:val="left" w:pos="569"/>
        </w:tabs>
        <w:jc w:val="both"/>
        <w:rPr>
          <w:sz w:val="22"/>
          <w:szCs w:val="22"/>
          <w:u w:val="single"/>
          <w:lang w:val="sr-Latn-ME"/>
        </w:rPr>
      </w:pPr>
      <w:r w:rsidRPr="00B8307D">
        <w:rPr>
          <w:sz w:val="22"/>
          <w:szCs w:val="22"/>
          <w:u w:val="single"/>
          <w:lang w:val="sr-Latn-ME"/>
        </w:rPr>
        <w:t>Trudnoća</w:t>
      </w:r>
    </w:p>
    <w:p w14:paraId="6F778477" w14:textId="5828F737" w:rsidR="004F6368" w:rsidRPr="00B8307D" w:rsidRDefault="004F6368" w:rsidP="000A067B">
      <w:pPr>
        <w:widowControl w:val="0"/>
        <w:jc w:val="both"/>
        <w:rPr>
          <w:sz w:val="22"/>
          <w:szCs w:val="22"/>
          <w:lang w:val="sr-Latn-ME"/>
        </w:rPr>
      </w:pPr>
      <w:r w:rsidRPr="00B8307D">
        <w:rPr>
          <w:sz w:val="22"/>
          <w:szCs w:val="22"/>
          <w:lang w:val="sr-Latn-ME"/>
        </w:rPr>
        <w:t>Reproduktivna ispitivanja su sprovedena na cinomolgus majmunima sa dozama intravenske formulacije lijeka Herceptin koje su bile do 25 puta veće od nedjeljne doze održavanja</w:t>
      </w:r>
      <w:r w:rsidR="003D734B" w:rsidRPr="00B8307D">
        <w:rPr>
          <w:sz w:val="22"/>
          <w:szCs w:val="22"/>
          <w:lang w:val="sr-Latn-ME"/>
        </w:rPr>
        <w:t xml:space="preserve"> kod ljudi</w:t>
      </w:r>
      <w:r w:rsidRPr="00B8307D">
        <w:rPr>
          <w:sz w:val="22"/>
          <w:szCs w:val="22"/>
          <w:lang w:val="sr-Latn-ME"/>
        </w:rPr>
        <w:t xml:space="preserve"> od 2 mg/kg i nijesu otkrile dokaze oslabljene fertilnosti, niti oštećenja fetusa. Posmatran je transfer trastuzumaba kroz placentu tokom ranog (20-50 dana gestacije) i </w:t>
      </w:r>
      <w:r w:rsidR="003D734B" w:rsidRPr="00B8307D">
        <w:rPr>
          <w:sz w:val="22"/>
          <w:szCs w:val="22"/>
          <w:lang w:val="sr-Latn-ME"/>
        </w:rPr>
        <w:t xml:space="preserve">kasnog </w:t>
      </w:r>
      <w:r w:rsidRPr="00B8307D">
        <w:rPr>
          <w:sz w:val="22"/>
          <w:szCs w:val="22"/>
          <w:lang w:val="sr-Latn-ME"/>
        </w:rPr>
        <w:t>(120 – 150 dana gestacije) razvoja fetusa. Nije poznato da li</w:t>
      </w:r>
      <w:r w:rsidR="003D734B" w:rsidRPr="00B8307D">
        <w:rPr>
          <w:sz w:val="22"/>
          <w:szCs w:val="22"/>
          <w:lang w:val="sr-Latn-ME"/>
        </w:rPr>
        <w:t xml:space="preserve"> lijek</w:t>
      </w:r>
      <w:r w:rsidRPr="00B8307D">
        <w:rPr>
          <w:sz w:val="22"/>
          <w:szCs w:val="22"/>
          <w:lang w:val="sr-Latn-ME"/>
        </w:rPr>
        <w:t xml:space="preserve"> Herceptin može da utiče na reproduktivni kapacitet. Budući da ispitivanja koja se rade na životinjama ne mogu uvijek da predvide i odgovor kod ljudi, </w:t>
      </w:r>
      <w:r w:rsidR="003D734B" w:rsidRPr="00B8307D">
        <w:rPr>
          <w:sz w:val="22"/>
          <w:szCs w:val="22"/>
          <w:lang w:val="sr-Latn-ME"/>
        </w:rPr>
        <w:t xml:space="preserve">lijek </w:t>
      </w:r>
      <w:r w:rsidRPr="00B8307D">
        <w:rPr>
          <w:sz w:val="22"/>
          <w:szCs w:val="22"/>
          <w:lang w:val="sr-Latn-ME"/>
        </w:rPr>
        <w:t xml:space="preserve">Herceptin treba izbjegavati tokom trudnoće, osim ako potencijalna korist za majku nije veća od potencijalne opasnosti za fetus. </w:t>
      </w:r>
    </w:p>
    <w:p w14:paraId="5721BF64" w14:textId="77777777" w:rsidR="004F6368" w:rsidRPr="00B8307D" w:rsidRDefault="004F6368" w:rsidP="000A067B">
      <w:pPr>
        <w:widowControl w:val="0"/>
        <w:jc w:val="both"/>
        <w:rPr>
          <w:sz w:val="22"/>
          <w:szCs w:val="22"/>
          <w:lang w:val="sr-Latn-ME"/>
        </w:rPr>
      </w:pPr>
    </w:p>
    <w:p w14:paraId="44B84A67" w14:textId="5711826E" w:rsidR="004F6368" w:rsidRPr="00B8307D" w:rsidRDefault="004F6368" w:rsidP="000A067B">
      <w:pPr>
        <w:widowControl w:val="0"/>
        <w:jc w:val="both"/>
        <w:rPr>
          <w:sz w:val="22"/>
          <w:szCs w:val="22"/>
          <w:lang w:val="sr-Latn-ME"/>
        </w:rPr>
      </w:pPr>
      <w:r w:rsidRPr="00B8307D">
        <w:rPr>
          <w:sz w:val="22"/>
          <w:szCs w:val="22"/>
          <w:lang w:val="sr-Latn-ME"/>
        </w:rPr>
        <w:t xml:space="preserve">U periodu nakon stavljanja lijeka na tržište, kod trudnica koje su primale </w:t>
      </w:r>
      <w:r w:rsidR="003D734B" w:rsidRPr="00B8307D">
        <w:rPr>
          <w:sz w:val="22"/>
          <w:szCs w:val="22"/>
          <w:lang w:val="sr-Latn-ME"/>
        </w:rPr>
        <w:t xml:space="preserve">lijek </w:t>
      </w:r>
      <w:r w:rsidRPr="00B8307D">
        <w:rPr>
          <w:sz w:val="22"/>
          <w:szCs w:val="22"/>
          <w:lang w:val="sr-Latn-ME"/>
        </w:rPr>
        <w:t xml:space="preserve">Herceptin su zabilježeni slučajevi narušenog rasta i/ili funkcije bubrega kod fetusa povezani sa oligohidramnionom, od kojih su neki bili povezani sa pulmonalnom hipoplazijom fetusa sa smrtnim ishodom. Žene koje zatrudne treba upozoriti na mogućnost štetnog uticaja na fetus. Ukoliko se </w:t>
      </w:r>
      <w:r w:rsidR="003D734B" w:rsidRPr="00B8307D">
        <w:rPr>
          <w:sz w:val="22"/>
          <w:szCs w:val="22"/>
          <w:lang w:val="sr-Latn-ME"/>
        </w:rPr>
        <w:t xml:space="preserve">lijekom </w:t>
      </w:r>
      <w:r w:rsidRPr="00B8307D">
        <w:rPr>
          <w:sz w:val="22"/>
          <w:szCs w:val="22"/>
          <w:lang w:val="sr-Latn-ME"/>
        </w:rPr>
        <w:t xml:space="preserve">Herceptin liječi trudnica ili ako pacijentkinja zatrudni tokom liječenja lijekom Herceptin ili u roku od 7 mjeseci nakon posljednje doze lijeka Herceptin, poželjno je da bude pažljivo praćena od strane multidisciplinarnog tima. </w:t>
      </w:r>
    </w:p>
    <w:p w14:paraId="1FE5FE61" w14:textId="77777777" w:rsidR="002031B3" w:rsidRPr="00B8307D" w:rsidRDefault="002031B3" w:rsidP="000A067B">
      <w:pPr>
        <w:widowControl w:val="0"/>
        <w:tabs>
          <w:tab w:val="left" w:pos="540"/>
          <w:tab w:val="left" w:pos="569"/>
        </w:tabs>
        <w:jc w:val="both"/>
        <w:rPr>
          <w:sz w:val="22"/>
          <w:szCs w:val="22"/>
          <w:u w:val="single"/>
          <w:lang w:val="sr-Latn-ME"/>
        </w:rPr>
      </w:pPr>
    </w:p>
    <w:p w14:paraId="1FE5FE62" w14:textId="09C62BEC" w:rsidR="0072020E" w:rsidRPr="00B8307D" w:rsidRDefault="007A3ECB" w:rsidP="000A067B">
      <w:pPr>
        <w:widowControl w:val="0"/>
        <w:tabs>
          <w:tab w:val="left" w:pos="540"/>
          <w:tab w:val="left" w:pos="569"/>
        </w:tabs>
        <w:jc w:val="both"/>
        <w:rPr>
          <w:sz w:val="22"/>
          <w:szCs w:val="22"/>
          <w:u w:val="single"/>
          <w:lang w:val="sr-Latn-ME"/>
        </w:rPr>
      </w:pPr>
      <w:r w:rsidRPr="00B8307D">
        <w:rPr>
          <w:sz w:val="22"/>
          <w:szCs w:val="22"/>
          <w:u w:val="single"/>
          <w:lang w:val="sr-Latn-ME"/>
        </w:rPr>
        <w:t xml:space="preserve">Dojenje </w:t>
      </w:r>
    </w:p>
    <w:p w14:paraId="3D1AB073" w14:textId="1647675D" w:rsidR="004F6368" w:rsidRPr="00B8307D" w:rsidRDefault="004F6368" w:rsidP="000A067B">
      <w:pPr>
        <w:widowControl w:val="0"/>
        <w:jc w:val="both"/>
        <w:rPr>
          <w:sz w:val="22"/>
          <w:szCs w:val="22"/>
          <w:lang w:val="sr-Latn-ME"/>
        </w:rPr>
      </w:pPr>
      <w:r w:rsidRPr="00B8307D">
        <w:rPr>
          <w:sz w:val="22"/>
          <w:szCs w:val="22"/>
          <w:lang w:val="sr-Latn-ME"/>
        </w:rPr>
        <w:t xml:space="preserve">Ispitivanje sprovedeno na </w:t>
      </w:r>
      <w:r w:rsidR="00F10689" w:rsidRPr="00B8307D">
        <w:rPr>
          <w:i/>
          <w:sz w:val="22"/>
          <w:szCs w:val="22"/>
          <w:lang w:val="sr-Latn-ME"/>
        </w:rPr>
        <w:t>C</w:t>
      </w:r>
      <w:r w:rsidRPr="00B8307D">
        <w:rPr>
          <w:i/>
          <w:sz w:val="22"/>
          <w:szCs w:val="22"/>
          <w:lang w:val="sr-Latn-ME"/>
        </w:rPr>
        <w:t>inomolgus</w:t>
      </w:r>
      <w:r w:rsidRPr="00B8307D">
        <w:rPr>
          <w:sz w:val="22"/>
          <w:szCs w:val="22"/>
          <w:lang w:val="sr-Latn-ME"/>
        </w:rPr>
        <w:t xml:space="preserve"> majmunima </w:t>
      </w:r>
      <w:r w:rsidR="00F10689" w:rsidRPr="00B8307D">
        <w:rPr>
          <w:sz w:val="22"/>
          <w:szCs w:val="22"/>
          <w:lang w:val="sr-Latn-ME"/>
        </w:rPr>
        <w:t>kojima su od 120. do 150. dana graviditeta davane doze</w:t>
      </w:r>
      <w:r w:rsidRPr="00B8307D">
        <w:rPr>
          <w:sz w:val="22"/>
          <w:szCs w:val="22"/>
          <w:lang w:val="sr-Latn-ME"/>
        </w:rPr>
        <w:t xml:space="preserve"> intravenske formulacije lijeka Herceptin 25 puta veće od nedjeljne doze održavanja </w:t>
      </w:r>
      <w:r w:rsidR="00F10689" w:rsidRPr="00B8307D">
        <w:rPr>
          <w:sz w:val="22"/>
          <w:szCs w:val="22"/>
          <w:lang w:val="sr-Latn-ME"/>
        </w:rPr>
        <w:t xml:space="preserve">kod ljudi </w:t>
      </w:r>
      <w:r w:rsidRPr="00B8307D">
        <w:rPr>
          <w:sz w:val="22"/>
          <w:szCs w:val="22"/>
          <w:lang w:val="sr-Latn-ME"/>
        </w:rPr>
        <w:t>od 2 mg/kg, pokazal</w:t>
      </w:r>
      <w:r w:rsidR="00F10689" w:rsidRPr="00B8307D">
        <w:rPr>
          <w:sz w:val="22"/>
          <w:szCs w:val="22"/>
          <w:lang w:val="sr-Latn-ME"/>
        </w:rPr>
        <w:t>o</w:t>
      </w:r>
      <w:r w:rsidRPr="00B8307D">
        <w:rPr>
          <w:sz w:val="22"/>
          <w:szCs w:val="22"/>
          <w:lang w:val="sr-Latn-ME"/>
        </w:rPr>
        <w:t xml:space="preserve"> </w:t>
      </w:r>
      <w:r w:rsidR="00F10689" w:rsidRPr="00B8307D">
        <w:rPr>
          <w:sz w:val="22"/>
          <w:szCs w:val="22"/>
          <w:lang w:val="sr-Latn-ME"/>
        </w:rPr>
        <w:t>je</w:t>
      </w:r>
      <w:r w:rsidRPr="00B8307D">
        <w:rPr>
          <w:sz w:val="22"/>
          <w:szCs w:val="22"/>
          <w:lang w:val="sr-Latn-ME"/>
        </w:rPr>
        <w:t xml:space="preserve"> da se trastuzumab izlučuje u mlijeko</w:t>
      </w:r>
      <w:r w:rsidR="00F10689" w:rsidRPr="00B8307D">
        <w:rPr>
          <w:sz w:val="22"/>
          <w:szCs w:val="22"/>
          <w:lang w:val="sr-Latn-ME"/>
        </w:rPr>
        <w:t xml:space="preserve"> nakon </w:t>
      </w:r>
      <w:r w:rsidR="003D734B" w:rsidRPr="00B8307D">
        <w:rPr>
          <w:sz w:val="22"/>
          <w:szCs w:val="22"/>
          <w:lang w:val="sr-Latn-ME"/>
        </w:rPr>
        <w:t>okota</w:t>
      </w:r>
      <w:r w:rsidRPr="00B8307D">
        <w:rPr>
          <w:sz w:val="22"/>
          <w:szCs w:val="22"/>
          <w:lang w:val="sr-Latn-ME"/>
        </w:rPr>
        <w:t xml:space="preserve">. </w:t>
      </w:r>
      <w:r w:rsidR="00F10689" w:rsidRPr="00B8307D">
        <w:rPr>
          <w:sz w:val="22"/>
          <w:szCs w:val="22"/>
          <w:lang w:val="sr-Latn-ME"/>
        </w:rPr>
        <w:t xml:space="preserve">Izlaganje trastuzumabu </w:t>
      </w:r>
      <w:r w:rsidR="00F10689" w:rsidRPr="00B8307D">
        <w:rPr>
          <w:i/>
          <w:sz w:val="22"/>
          <w:szCs w:val="22"/>
          <w:lang w:val="sr-Latn-ME"/>
        </w:rPr>
        <w:t>in utero</w:t>
      </w:r>
      <w:r w:rsidR="00F10689" w:rsidRPr="00B8307D">
        <w:rPr>
          <w:sz w:val="22"/>
          <w:szCs w:val="22"/>
          <w:lang w:val="sr-Latn-ME"/>
        </w:rPr>
        <w:t xml:space="preserve"> i p</w:t>
      </w:r>
      <w:r w:rsidRPr="00B8307D">
        <w:rPr>
          <w:sz w:val="22"/>
          <w:szCs w:val="22"/>
          <w:lang w:val="sr-Latn-ME"/>
        </w:rPr>
        <w:t xml:space="preserve">risustvo trastuzumaba u serumu </w:t>
      </w:r>
      <w:r w:rsidR="00F10689" w:rsidRPr="00B8307D">
        <w:rPr>
          <w:sz w:val="22"/>
          <w:szCs w:val="22"/>
          <w:lang w:val="sr-Latn-ME"/>
        </w:rPr>
        <w:t xml:space="preserve">novorođenih </w:t>
      </w:r>
      <w:r w:rsidRPr="00B8307D">
        <w:rPr>
          <w:sz w:val="22"/>
          <w:szCs w:val="22"/>
          <w:lang w:val="sr-Latn-ME"/>
        </w:rPr>
        <w:t xml:space="preserve">majmuna nije bilo povezano ni sa kakvim neželjenim dejstvima na rast i razvoj od rođenja do uzrasta od 1 mjesec. Nije poznato da li se trastuzumab izlučuje u majčino mlijeko. Budući da se humani IgG1 luči u </w:t>
      </w:r>
      <w:r w:rsidR="003D734B" w:rsidRPr="00B8307D">
        <w:rPr>
          <w:sz w:val="22"/>
          <w:szCs w:val="22"/>
          <w:lang w:val="sr-Latn-ME"/>
        </w:rPr>
        <w:t xml:space="preserve">majčino </w:t>
      </w:r>
      <w:r w:rsidRPr="00B8307D">
        <w:rPr>
          <w:sz w:val="22"/>
          <w:szCs w:val="22"/>
          <w:lang w:val="sr-Latn-ME"/>
        </w:rPr>
        <w:t>mlijeko</w:t>
      </w:r>
      <w:r w:rsidR="00F10689" w:rsidRPr="00B8307D">
        <w:rPr>
          <w:sz w:val="22"/>
          <w:szCs w:val="22"/>
          <w:lang w:val="sr-Latn-ME"/>
        </w:rPr>
        <w:t xml:space="preserve"> kod ljudi</w:t>
      </w:r>
      <w:r w:rsidRPr="00B8307D">
        <w:rPr>
          <w:sz w:val="22"/>
          <w:szCs w:val="22"/>
          <w:lang w:val="sr-Latn-ME"/>
        </w:rPr>
        <w:t xml:space="preserve">, a potencijalna šteta za odojče nije utvrđena, žene ne bi trebalo da doje tokom terapije </w:t>
      </w:r>
      <w:r w:rsidR="002C01A9" w:rsidRPr="00B8307D">
        <w:rPr>
          <w:sz w:val="22"/>
          <w:szCs w:val="22"/>
          <w:lang w:val="sr-Latn-ME"/>
        </w:rPr>
        <w:t xml:space="preserve">lijekom </w:t>
      </w:r>
      <w:r w:rsidRPr="00B8307D">
        <w:rPr>
          <w:sz w:val="22"/>
          <w:szCs w:val="22"/>
          <w:lang w:val="sr-Latn-ME"/>
        </w:rPr>
        <w:t xml:space="preserve">Herceptin ni 7 mjeseci po primanju posljednje doze lijeka Herceptin. </w:t>
      </w:r>
    </w:p>
    <w:p w14:paraId="1FE5FE63" w14:textId="77777777" w:rsidR="00227BDB" w:rsidRPr="00B8307D" w:rsidRDefault="00227BDB" w:rsidP="000A067B">
      <w:pPr>
        <w:widowControl w:val="0"/>
        <w:tabs>
          <w:tab w:val="left" w:pos="540"/>
          <w:tab w:val="left" w:pos="569"/>
        </w:tabs>
        <w:ind w:left="540" w:hanging="540"/>
        <w:jc w:val="both"/>
        <w:rPr>
          <w:b/>
          <w:bCs/>
          <w:sz w:val="22"/>
          <w:szCs w:val="22"/>
          <w:lang w:val="sr-Latn-ME"/>
        </w:rPr>
      </w:pPr>
    </w:p>
    <w:p w14:paraId="1FE5FE64" w14:textId="77777777" w:rsidR="0072020E" w:rsidRPr="00B8307D" w:rsidRDefault="0072020E" w:rsidP="000A067B">
      <w:pPr>
        <w:widowControl w:val="0"/>
        <w:tabs>
          <w:tab w:val="left" w:pos="540"/>
          <w:tab w:val="left" w:pos="569"/>
        </w:tabs>
        <w:ind w:left="540" w:hanging="540"/>
        <w:jc w:val="both"/>
        <w:rPr>
          <w:b/>
          <w:bCs/>
          <w:sz w:val="22"/>
          <w:szCs w:val="22"/>
          <w:lang w:val="sr-Latn-ME"/>
        </w:rPr>
      </w:pPr>
      <w:r w:rsidRPr="00B8307D">
        <w:rPr>
          <w:b/>
          <w:bCs/>
          <w:sz w:val="22"/>
          <w:szCs w:val="22"/>
          <w:lang w:val="sr-Latn-ME"/>
        </w:rPr>
        <w:t xml:space="preserve">4.7. </w:t>
      </w:r>
      <w:r w:rsidR="00480FB1" w:rsidRPr="00B8307D">
        <w:rPr>
          <w:b/>
          <w:bCs/>
          <w:sz w:val="22"/>
          <w:szCs w:val="22"/>
          <w:lang w:val="sr-Latn-ME"/>
        </w:rPr>
        <w:tab/>
      </w:r>
      <w:r w:rsidRPr="00B8307D">
        <w:rPr>
          <w:b/>
          <w:bCs/>
          <w:sz w:val="22"/>
          <w:szCs w:val="22"/>
          <w:lang w:val="sr-Latn-ME"/>
        </w:rPr>
        <w:t xml:space="preserve">Uticaj na </w:t>
      </w:r>
      <w:r w:rsidR="002031B3" w:rsidRPr="00B8307D">
        <w:rPr>
          <w:b/>
          <w:bCs/>
          <w:sz w:val="22"/>
          <w:szCs w:val="22"/>
          <w:lang w:val="sr-Latn-ME"/>
        </w:rPr>
        <w:t xml:space="preserve">sposobnost </w:t>
      </w:r>
      <w:r w:rsidR="00F34554" w:rsidRPr="00B8307D">
        <w:rPr>
          <w:b/>
          <w:bCs/>
          <w:sz w:val="22"/>
          <w:szCs w:val="22"/>
          <w:lang w:val="sr-Latn-ME"/>
        </w:rPr>
        <w:t>upravljanja vozili</w:t>
      </w:r>
      <w:r w:rsidRPr="00B8307D">
        <w:rPr>
          <w:b/>
          <w:bCs/>
          <w:sz w:val="22"/>
          <w:szCs w:val="22"/>
          <w:lang w:val="sr-Latn-ME"/>
        </w:rPr>
        <w:t>m</w:t>
      </w:r>
      <w:r w:rsidR="00F34554" w:rsidRPr="00B8307D">
        <w:rPr>
          <w:b/>
          <w:bCs/>
          <w:sz w:val="22"/>
          <w:szCs w:val="22"/>
          <w:lang w:val="sr-Latn-ME"/>
        </w:rPr>
        <w:t>a</w:t>
      </w:r>
      <w:r w:rsidRPr="00B8307D">
        <w:rPr>
          <w:b/>
          <w:bCs/>
          <w:sz w:val="22"/>
          <w:szCs w:val="22"/>
          <w:lang w:val="sr-Latn-ME"/>
        </w:rPr>
        <w:t xml:space="preserve"> i </w:t>
      </w:r>
      <w:r w:rsidR="000D3449" w:rsidRPr="00B8307D">
        <w:rPr>
          <w:b/>
          <w:bCs/>
          <w:sz w:val="22"/>
          <w:szCs w:val="22"/>
          <w:lang w:val="sr-Latn-ME"/>
        </w:rPr>
        <w:t xml:space="preserve">rukovanje </w:t>
      </w:r>
      <w:r w:rsidRPr="00B8307D">
        <w:rPr>
          <w:b/>
          <w:bCs/>
          <w:sz w:val="22"/>
          <w:szCs w:val="22"/>
          <w:lang w:val="sr-Latn-ME"/>
        </w:rPr>
        <w:t>mašinama</w:t>
      </w:r>
    </w:p>
    <w:p w14:paraId="1FE5FE65" w14:textId="6086956D" w:rsidR="0072020E" w:rsidRPr="00B8307D" w:rsidRDefault="0072020E" w:rsidP="000A067B">
      <w:pPr>
        <w:widowControl w:val="0"/>
        <w:tabs>
          <w:tab w:val="left" w:pos="540"/>
          <w:tab w:val="left" w:pos="569"/>
        </w:tabs>
        <w:jc w:val="both"/>
        <w:rPr>
          <w:b/>
          <w:bCs/>
          <w:sz w:val="22"/>
          <w:szCs w:val="22"/>
          <w:lang w:val="sr-Latn-ME"/>
        </w:rPr>
      </w:pPr>
    </w:p>
    <w:p w14:paraId="1FCB2FB1" w14:textId="517FB550" w:rsidR="004F6368" w:rsidRPr="00B8307D" w:rsidRDefault="002C01A9" w:rsidP="000A067B">
      <w:pPr>
        <w:widowControl w:val="0"/>
        <w:jc w:val="both"/>
        <w:rPr>
          <w:sz w:val="22"/>
          <w:szCs w:val="22"/>
          <w:lang w:val="sr-Latn-ME"/>
        </w:rPr>
      </w:pPr>
      <w:r w:rsidRPr="00B8307D">
        <w:rPr>
          <w:sz w:val="22"/>
          <w:szCs w:val="22"/>
          <w:lang w:val="sr-Latn-ME"/>
        </w:rPr>
        <w:t xml:space="preserve">Lijek </w:t>
      </w:r>
      <w:r w:rsidR="004F6368" w:rsidRPr="00B8307D">
        <w:rPr>
          <w:sz w:val="22"/>
          <w:szCs w:val="22"/>
          <w:lang w:val="sr-Latn-ME"/>
        </w:rPr>
        <w:t xml:space="preserve">Herceptin </w:t>
      </w:r>
      <w:r w:rsidR="008674A8" w:rsidRPr="00B8307D">
        <w:rPr>
          <w:sz w:val="22"/>
          <w:szCs w:val="22"/>
          <w:lang w:val="sr-Latn-ME"/>
        </w:rPr>
        <w:t>ima</w:t>
      </w:r>
      <w:r w:rsidR="004F6368" w:rsidRPr="00B8307D">
        <w:rPr>
          <w:sz w:val="22"/>
          <w:szCs w:val="22"/>
          <w:lang w:val="sr-Latn-ME"/>
        </w:rPr>
        <w:t xml:space="preserve"> manji uticaj na sposobnost upravljanja motornim vozilima i rukovanja mašinama (vidjeti dio 4.8). </w:t>
      </w:r>
      <w:r w:rsidR="008674A8" w:rsidRPr="00B8307D">
        <w:rPr>
          <w:sz w:val="22"/>
          <w:szCs w:val="22"/>
          <w:lang w:val="sr-Latn-ME"/>
        </w:rPr>
        <w:t>Tokom liječenja lijekom Herceptin mogu se javiti vrtoglavica i s</w:t>
      </w:r>
      <w:r w:rsidR="005F6996" w:rsidRPr="00B8307D">
        <w:rPr>
          <w:sz w:val="22"/>
          <w:szCs w:val="22"/>
          <w:lang w:val="sr-Latn-ME"/>
        </w:rPr>
        <w:t>o</w:t>
      </w:r>
      <w:r w:rsidR="008674A8" w:rsidRPr="00B8307D">
        <w:rPr>
          <w:sz w:val="22"/>
          <w:szCs w:val="22"/>
          <w:lang w:val="sr-Latn-ME"/>
        </w:rPr>
        <w:t xml:space="preserve">mnolencija (vidjeti dio 4.8). </w:t>
      </w:r>
      <w:r w:rsidR="004F6368" w:rsidRPr="00B8307D">
        <w:rPr>
          <w:sz w:val="22"/>
          <w:szCs w:val="22"/>
          <w:lang w:val="sr-Latn-ME"/>
        </w:rPr>
        <w:t xml:space="preserve">Pacijentima koji imaju simptome povezane sa primjenom lijeka (vidjeti dio 4.4) treba savjetovati da ne voze i ne upravljaju mašinama dok se simptomi ne povuku.   </w:t>
      </w:r>
    </w:p>
    <w:p w14:paraId="26CF83B4" w14:textId="05D25D0C" w:rsidR="004F6368" w:rsidRPr="00B8307D" w:rsidRDefault="004F6368" w:rsidP="000A067B">
      <w:pPr>
        <w:widowControl w:val="0"/>
        <w:tabs>
          <w:tab w:val="left" w:pos="540"/>
          <w:tab w:val="left" w:pos="569"/>
        </w:tabs>
        <w:jc w:val="both"/>
        <w:rPr>
          <w:b/>
          <w:bCs/>
          <w:sz w:val="22"/>
          <w:szCs w:val="22"/>
          <w:lang w:val="sr-Latn-ME"/>
        </w:rPr>
      </w:pPr>
    </w:p>
    <w:p w14:paraId="1FE5FE66" w14:textId="703D6F87" w:rsidR="0072020E" w:rsidRPr="00B8307D" w:rsidRDefault="0072020E" w:rsidP="000A067B">
      <w:pPr>
        <w:widowControl w:val="0"/>
        <w:tabs>
          <w:tab w:val="left" w:pos="540"/>
          <w:tab w:val="left" w:pos="569"/>
        </w:tabs>
        <w:jc w:val="both"/>
        <w:rPr>
          <w:b/>
          <w:bCs/>
          <w:sz w:val="22"/>
          <w:szCs w:val="22"/>
          <w:lang w:val="sr-Latn-ME"/>
        </w:rPr>
      </w:pPr>
      <w:r w:rsidRPr="00B8307D">
        <w:rPr>
          <w:b/>
          <w:bCs/>
          <w:sz w:val="22"/>
          <w:szCs w:val="22"/>
          <w:lang w:val="sr-Latn-ME"/>
        </w:rPr>
        <w:t xml:space="preserve">4.8. </w:t>
      </w:r>
      <w:r w:rsidR="00480FB1" w:rsidRPr="00B8307D">
        <w:rPr>
          <w:b/>
          <w:bCs/>
          <w:sz w:val="22"/>
          <w:szCs w:val="22"/>
          <w:lang w:val="sr-Latn-ME"/>
        </w:rPr>
        <w:tab/>
      </w:r>
      <w:r w:rsidRPr="00B8307D">
        <w:rPr>
          <w:b/>
          <w:bCs/>
          <w:sz w:val="22"/>
          <w:szCs w:val="22"/>
          <w:lang w:val="sr-Latn-ME"/>
        </w:rPr>
        <w:t>Neželjena dejstva</w:t>
      </w:r>
    </w:p>
    <w:p w14:paraId="7FEC7E5B" w14:textId="2443AF11" w:rsidR="004F6368" w:rsidRPr="00B8307D" w:rsidRDefault="004F6368" w:rsidP="000A067B">
      <w:pPr>
        <w:widowControl w:val="0"/>
        <w:tabs>
          <w:tab w:val="left" w:pos="540"/>
          <w:tab w:val="left" w:pos="569"/>
        </w:tabs>
        <w:jc w:val="both"/>
        <w:rPr>
          <w:b/>
          <w:bCs/>
          <w:sz w:val="22"/>
          <w:szCs w:val="22"/>
          <w:lang w:val="sr-Latn-ME"/>
        </w:rPr>
      </w:pPr>
    </w:p>
    <w:p w14:paraId="75669A5A" w14:textId="77777777" w:rsidR="004F6368" w:rsidRPr="00B8307D" w:rsidRDefault="004F6368" w:rsidP="000A067B">
      <w:pPr>
        <w:widowControl w:val="0"/>
        <w:jc w:val="both"/>
        <w:rPr>
          <w:sz w:val="22"/>
          <w:szCs w:val="22"/>
          <w:u w:val="single"/>
          <w:lang w:val="sr-Latn-ME"/>
        </w:rPr>
      </w:pPr>
      <w:r w:rsidRPr="00B8307D">
        <w:rPr>
          <w:sz w:val="22"/>
          <w:szCs w:val="22"/>
          <w:u w:val="single"/>
          <w:lang w:val="sr-Latn-ME"/>
        </w:rPr>
        <w:t>Sažetak bezbjednosnog profila</w:t>
      </w:r>
    </w:p>
    <w:p w14:paraId="7C3C7051" w14:textId="77777777" w:rsidR="004F6368" w:rsidRPr="00B8307D" w:rsidRDefault="004F6368" w:rsidP="000A067B">
      <w:pPr>
        <w:widowControl w:val="0"/>
        <w:jc w:val="both"/>
        <w:rPr>
          <w:sz w:val="22"/>
          <w:szCs w:val="22"/>
          <w:lang w:val="sr-Latn-ME"/>
        </w:rPr>
      </w:pPr>
    </w:p>
    <w:p w14:paraId="35ADDCEC" w14:textId="4C552078" w:rsidR="004F6368" w:rsidRPr="00B8307D" w:rsidRDefault="004F6368" w:rsidP="000A067B">
      <w:pPr>
        <w:widowControl w:val="0"/>
        <w:jc w:val="both"/>
        <w:rPr>
          <w:sz w:val="22"/>
          <w:szCs w:val="22"/>
          <w:lang w:val="sr-Latn-ME"/>
        </w:rPr>
      </w:pPr>
      <w:r w:rsidRPr="00B8307D">
        <w:rPr>
          <w:sz w:val="22"/>
          <w:szCs w:val="22"/>
          <w:lang w:val="sr-Latn-ME"/>
        </w:rPr>
        <w:t xml:space="preserve">Među najozbiljnijim i/ili najčešćim neželjenim reakcijama prijavljenim prilikom primjene </w:t>
      </w:r>
      <w:r w:rsidR="002C01A9" w:rsidRPr="00B8307D">
        <w:rPr>
          <w:sz w:val="22"/>
          <w:szCs w:val="22"/>
          <w:lang w:val="sr-Latn-ME"/>
        </w:rPr>
        <w:t xml:space="preserve">lijeka </w:t>
      </w:r>
      <w:r w:rsidRPr="00B8307D">
        <w:rPr>
          <w:sz w:val="22"/>
          <w:szCs w:val="22"/>
          <w:lang w:val="sr-Latn-ME"/>
        </w:rPr>
        <w:t>Herceptin (u intravenskoj i subkutanoj formulaciji) do danas su disfunkcija srca, reakcije na infuziju, hematotoksičnost (posebno neutropenija) i neželjene reakcije na nivou pluća.</w:t>
      </w:r>
    </w:p>
    <w:p w14:paraId="2504DB77" w14:textId="77777777" w:rsidR="00B22B2E" w:rsidRPr="00B8307D" w:rsidRDefault="00B22B2E" w:rsidP="000A067B">
      <w:pPr>
        <w:widowControl w:val="0"/>
        <w:jc w:val="both"/>
        <w:rPr>
          <w:sz w:val="22"/>
          <w:szCs w:val="22"/>
          <w:lang w:val="sr-Latn-ME"/>
        </w:rPr>
      </w:pPr>
    </w:p>
    <w:p w14:paraId="6A010932" w14:textId="77777777" w:rsidR="004F6368" w:rsidRPr="00B8307D" w:rsidRDefault="004F6368" w:rsidP="000A067B">
      <w:pPr>
        <w:widowControl w:val="0"/>
        <w:jc w:val="both"/>
        <w:rPr>
          <w:sz w:val="22"/>
          <w:szCs w:val="22"/>
          <w:lang w:val="sr-Latn-ME"/>
        </w:rPr>
      </w:pPr>
      <w:r w:rsidRPr="00B8307D">
        <w:rPr>
          <w:sz w:val="22"/>
          <w:szCs w:val="22"/>
          <w:lang w:val="sr-Latn-ME"/>
        </w:rPr>
        <w:t>Bezbjednosni profil subkutane formulacije lijeka Herceptin (ocijenjen kod 298 pacijenata liječenih intravenskom formulacijom i 297 pacijenata liječenih subkutanom formulacijom) iz pivotalnog ispitivanja kod ranog karcinoma dojke uopšte je bio sličan poznatom bezbjednosnom profilu intravenske formulacije lijeka.</w:t>
      </w:r>
    </w:p>
    <w:p w14:paraId="44CABD99" w14:textId="77777777" w:rsidR="004F6368" w:rsidRPr="00B8307D" w:rsidRDefault="004F6368" w:rsidP="000A067B">
      <w:pPr>
        <w:widowControl w:val="0"/>
        <w:jc w:val="both"/>
        <w:rPr>
          <w:sz w:val="22"/>
          <w:szCs w:val="22"/>
          <w:lang w:val="sr-Latn-ME"/>
        </w:rPr>
      </w:pPr>
    </w:p>
    <w:p w14:paraId="30D868C8" w14:textId="77777777" w:rsidR="004F6368" w:rsidRPr="00B8307D" w:rsidRDefault="004F6368" w:rsidP="000A067B">
      <w:pPr>
        <w:widowControl w:val="0"/>
        <w:jc w:val="both"/>
        <w:rPr>
          <w:sz w:val="22"/>
          <w:szCs w:val="22"/>
          <w:lang w:val="sr-Latn-ME"/>
        </w:rPr>
      </w:pPr>
      <w:r w:rsidRPr="00B8307D">
        <w:rPr>
          <w:sz w:val="22"/>
          <w:szCs w:val="22"/>
          <w:lang w:val="sr-Latn-ME"/>
        </w:rPr>
        <w:t xml:space="preserve">Teški neželjeni događaji (definisani prema verziji 3.0 Opštih terminoloških kriterijuma za neželjene </w:t>
      </w:r>
      <w:r w:rsidRPr="00B8307D">
        <w:rPr>
          <w:sz w:val="22"/>
          <w:szCs w:val="22"/>
          <w:lang w:val="sr-Latn-ME"/>
        </w:rPr>
        <w:lastRenderedPageBreak/>
        <w:t>događaje Nacionalnog instituta za kancer (NCI CTCAE ≥ 3)) bili su jednako zastupljeni prilikom primjene obje formulacije lijeka Herceptin (52,3% prilikom primjene intravenske formulacije, naspram 53,5% prilikom primjene subkutane formulacije).</w:t>
      </w:r>
    </w:p>
    <w:p w14:paraId="79387E18" w14:textId="77777777" w:rsidR="004F6368" w:rsidRPr="00B8307D" w:rsidRDefault="004F6368" w:rsidP="000A067B">
      <w:pPr>
        <w:widowControl w:val="0"/>
        <w:jc w:val="both"/>
        <w:rPr>
          <w:sz w:val="22"/>
          <w:szCs w:val="22"/>
          <w:lang w:val="sr-Latn-ME"/>
        </w:rPr>
      </w:pPr>
    </w:p>
    <w:p w14:paraId="074A5CD4" w14:textId="77777777" w:rsidR="004F6368" w:rsidRPr="00B8307D" w:rsidRDefault="004F6368" w:rsidP="000A067B">
      <w:pPr>
        <w:widowControl w:val="0"/>
        <w:jc w:val="both"/>
        <w:rPr>
          <w:sz w:val="22"/>
          <w:szCs w:val="22"/>
          <w:lang w:val="sr-Latn-ME"/>
        </w:rPr>
      </w:pPr>
      <w:r w:rsidRPr="00B8307D">
        <w:rPr>
          <w:sz w:val="22"/>
          <w:szCs w:val="22"/>
          <w:lang w:val="sr-Latn-ME"/>
        </w:rPr>
        <w:t>Neki neželjeni događaji/reakcije prijavljeni su sa većom učestalošću prilikom primjene subkutane formulacije:</w:t>
      </w:r>
    </w:p>
    <w:p w14:paraId="4AD7D91A" w14:textId="78CB7295" w:rsidR="004F6368" w:rsidRPr="00B8307D" w:rsidRDefault="004F6368" w:rsidP="000A067B">
      <w:pPr>
        <w:widowControl w:val="0"/>
        <w:numPr>
          <w:ilvl w:val="0"/>
          <w:numId w:val="15"/>
        </w:numPr>
        <w:jc w:val="both"/>
        <w:rPr>
          <w:sz w:val="22"/>
          <w:szCs w:val="22"/>
          <w:lang w:val="sr-Latn-ME"/>
        </w:rPr>
      </w:pPr>
      <w:r w:rsidRPr="00B8307D">
        <w:rPr>
          <w:sz w:val="22"/>
          <w:szCs w:val="22"/>
          <w:lang w:val="sr-Latn-ME"/>
        </w:rPr>
        <w:t>ozbiljni neželjeni događaji (većina je identifikovana zahvaljujući hospitalizaciji pacijenata ili produženju postojeće hospitalizacije): 14,1% prilikom primjene intravenske naspram 21,5% prilikom primjene subkutane formulacije. Razlika u stopama ozbiljnih neželjenih događaja između te dvije formulacije uglavnom je bila posljedica infekcija, praćenih neutropenijom ili bez nje (4,4% naspram 8,1%) i kardioloških poremećaja (0,7% naspram 1,7%);</w:t>
      </w:r>
    </w:p>
    <w:p w14:paraId="55B09B1A" w14:textId="77777777" w:rsidR="004F6368" w:rsidRPr="00B8307D" w:rsidRDefault="004F6368" w:rsidP="000A067B">
      <w:pPr>
        <w:widowControl w:val="0"/>
        <w:numPr>
          <w:ilvl w:val="0"/>
          <w:numId w:val="15"/>
        </w:numPr>
        <w:jc w:val="both"/>
        <w:rPr>
          <w:sz w:val="22"/>
          <w:szCs w:val="22"/>
          <w:lang w:val="sr-Latn-ME"/>
        </w:rPr>
      </w:pPr>
      <w:r w:rsidRPr="00B8307D">
        <w:rPr>
          <w:sz w:val="22"/>
          <w:szCs w:val="22"/>
          <w:lang w:val="sr-Latn-ME"/>
        </w:rPr>
        <w:t>postoperativne infekcije rane (teške i/ili ozbiljne): 1,7% prilikom primjene intravenske formulacije, naspram 3,0% prilikom primjene subkutane formulacije);</w:t>
      </w:r>
    </w:p>
    <w:p w14:paraId="733B1A6B" w14:textId="2FF7B9E9" w:rsidR="004F6368" w:rsidRPr="00B8307D" w:rsidRDefault="004F6368" w:rsidP="000A067B">
      <w:pPr>
        <w:widowControl w:val="0"/>
        <w:numPr>
          <w:ilvl w:val="0"/>
          <w:numId w:val="15"/>
        </w:numPr>
        <w:jc w:val="both"/>
        <w:rPr>
          <w:sz w:val="22"/>
          <w:szCs w:val="22"/>
          <w:lang w:val="sr-Latn-ME"/>
        </w:rPr>
      </w:pPr>
      <w:r w:rsidRPr="00B8307D">
        <w:rPr>
          <w:sz w:val="22"/>
          <w:szCs w:val="22"/>
          <w:lang w:val="sr-Latn-ME"/>
        </w:rPr>
        <w:t>reakcije povezane sa primjenom lijeka tokom perioda liječenja: 37,2% prilikom primjene intravenske naspram 47,8% prilikom primjene subkutane formulacije;</w:t>
      </w:r>
    </w:p>
    <w:p w14:paraId="3D71833E" w14:textId="77777777" w:rsidR="004F6368" w:rsidRPr="00B8307D" w:rsidRDefault="004F6368" w:rsidP="000A067B">
      <w:pPr>
        <w:widowControl w:val="0"/>
        <w:numPr>
          <w:ilvl w:val="0"/>
          <w:numId w:val="15"/>
        </w:numPr>
        <w:jc w:val="both"/>
        <w:rPr>
          <w:sz w:val="22"/>
          <w:szCs w:val="22"/>
          <w:lang w:val="sr-Latn-ME"/>
        </w:rPr>
      </w:pPr>
      <w:r w:rsidRPr="00B8307D">
        <w:rPr>
          <w:sz w:val="22"/>
          <w:szCs w:val="22"/>
          <w:lang w:val="sr-Latn-ME"/>
        </w:rPr>
        <w:t>hipertenzija: 4,7% prilikom primjene intravenske, naspram 9,8% prilikom primjene subkutane formulacije.</w:t>
      </w:r>
    </w:p>
    <w:p w14:paraId="46C4AB7A" w14:textId="77777777" w:rsidR="004F6368" w:rsidRPr="00B8307D" w:rsidRDefault="004F6368" w:rsidP="000A067B">
      <w:pPr>
        <w:widowControl w:val="0"/>
        <w:jc w:val="both"/>
        <w:rPr>
          <w:sz w:val="22"/>
          <w:szCs w:val="22"/>
          <w:lang w:val="sr-Latn-ME"/>
        </w:rPr>
      </w:pPr>
    </w:p>
    <w:p w14:paraId="01F34BE1" w14:textId="77777777" w:rsidR="004F6368" w:rsidRPr="00B8307D" w:rsidRDefault="004F6368" w:rsidP="000A067B">
      <w:pPr>
        <w:widowControl w:val="0"/>
        <w:jc w:val="both"/>
        <w:rPr>
          <w:sz w:val="22"/>
          <w:szCs w:val="22"/>
          <w:u w:val="single"/>
          <w:lang w:val="sr-Latn-ME"/>
        </w:rPr>
      </w:pPr>
      <w:r w:rsidRPr="00B8307D">
        <w:rPr>
          <w:sz w:val="22"/>
          <w:szCs w:val="22"/>
          <w:u w:val="single"/>
          <w:lang w:val="sr-Latn-ME"/>
        </w:rPr>
        <w:t>Tabelarni prikaz neželjenih reakcija prilikom primjene intravenske formulacije</w:t>
      </w:r>
    </w:p>
    <w:p w14:paraId="6DB2A112" w14:textId="77777777" w:rsidR="004F6368" w:rsidRPr="00B8307D" w:rsidRDefault="004F6368" w:rsidP="000A067B">
      <w:pPr>
        <w:widowControl w:val="0"/>
        <w:jc w:val="both"/>
        <w:rPr>
          <w:sz w:val="22"/>
          <w:szCs w:val="22"/>
          <w:lang w:val="sr-Latn-ME"/>
        </w:rPr>
      </w:pPr>
    </w:p>
    <w:p w14:paraId="78DA216E" w14:textId="77777777" w:rsidR="004F6368" w:rsidRPr="00B8307D" w:rsidRDefault="004F6368" w:rsidP="000A067B">
      <w:pPr>
        <w:widowControl w:val="0"/>
        <w:jc w:val="both"/>
        <w:rPr>
          <w:sz w:val="22"/>
          <w:szCs w:val="22"/>
          <w:lang w:val="sr-Latn-ME"/>
        </w:rPr>
      </w:pPr>
      <w:r w:rsidRPr="00B8307D">
        <w:rPr>
          <w:sz w:val="22"/>
          <w:szCs w:val="22"/>
          <w:lang w:val="sr-Latn-ME"/>
        </w:rPr>
        <w:t>U ovom dijelu, za prikaz neželjenih reakcija prema učestalosti korišćene su sljedeće kategorije: vrlo često (≥1/10), često (≥1/100, &lt;1/10), povremeno (≥1/1000, &lt;1/100), rijetko (≥1/10000, &lt;1/1000), vrlo rijetko (&lt;1/10000), nepoznato (ne može se odrediti na osnovu dostupnih podataka). Unutar svake grupe učestalosti, neželjene reakcije su prikazane u opadajućem nizu prema ozbiljnosti.</w:t>
      </w:r>
    </w:p>
    <w:p w14:paraId="63416D79" w14:textId="77777777" w:rsidR="004F6368" w:rsidRPr="00B8307D" w:rsidRDefault="004F6368" w:rsidP="000A067B">
      <w:pPr>
        <w:widowControl w:val="0"/>
        <w:jc w:val="both"/>
        <w:rPr>
          <w:sz w:val="22"/>
          <w:szCs w:val="22"/>
          <w:lang w:val="sr-Latn-ME"/>
        </w:rPr>
      </w:pPr>
    </w:p>
    <w:p w14:paraId="6011A62E" w14:textId="77777777" w:rsidR="004F6368" w:rsidRPr="00B8307D" w:rsidRDefault="004F6368" w:rsidP="000A067B">
      <w:pPr>
        <w:widowControl w:val="0"/>
        <w:jc w:val="both"/>
        <w:rPr>
          <w:sz w:val="22"/>
          <w:szCs w:val="22"/>
          <w:lang w:val="sr-Latn-ME"/>
        </w:rPr>
      </w:pPr>
      <w:r w:rsidRPr="00B8307D">
        <w:rPr>
          <w:sz w:val="22"/>
          <w:szCs w:val="22"/>
          <w:lang w:val="sr-Latn-ME"/>
        </w:rPr>
        <w:t xml:space="preserve">U Tabeli 1 prikazane su neželjene reakcije koje su prijavljene kao povezane sa upotrebom intravenske formulacije lijeka Herceptin samog ili u kombinaciji sa hemoterapijom u pivotalnim kliničkim studijama i nakon stavljanja lijeka u promet. </w:t>
      </w:r>
    </w:p>
    <w:p w14:paraId="202109C8" w14:textId="77777777" w:rsidR="004F6368" w:rsidRPr="00B8307D" w:rsidRDefault="004F6368" w:rsidP="000A067B">
      <w:pPr>
        <w:widowControl w:val="0"/>
        <w:jc w:val="both"/>
        <w:rPr>
          <w:sz w:val="22"/>
          <w:szCs w:val="22"/>
          <w:lang w:val="sr-Latn-ME"/>
        </w:rPr>
      </w:pPr>
    </w:p>
    <w:p w14:paraId="2E80F3AE" w14:textId="4DA3FC2E" w:rsidR="004F6368" w:rsidRPr="00B8307D" w:rsidRDefault="004F6368" w:rsidP="000A067B">
      <w:pPr>
        <w:widowControl w:val="0"/>
        <w:jc w:val="both"/>
        <w:rPr>
          <w:sz w:val="22"/>
          <w:szCs w:val="22"/>
          <w:lang w:val="sr-Latn-ME"/>
        </w:rPr>
      </w:pPr>
      <w:r w:rsidRPr="00B8307D">
        <w:rPr>
          <w:sz w:val="22"/>
          <w:szCs w:val="22"/>
          <w:lang w:val="sr-Latn-ME"/>
        </w:rPr>
        <w:t xml:space="preserve">Svi uključeni podaci </w:t>
      </w:r>
      <w:r w:rsidR="002C01A9" w:rsidRPr="00B8307D">
        <w:rPr>
          <w:sz w:val="22"/>
          <w:szCs w:val="22"/>
          <w:lang w:val="sr-Latn-ME"/>
        </w:rPr>
        <w:t xml:space="preserve">zasnivaju </w:t>
      </w:r>
      <w:r w:rsidRPr="00B8307D">
        <w:rPr>
          <w:sz w:val="22"/>
          <w:szCs w:val="22"/>
          <w:lang w:val="sr-Latn-ME"/>
        </w:rPr>
        <w:t>se na najvišim zabilježenim procentima iz pivotalnih kliničkih studija.</w:t>
      </w:r>
      <w:r w:rsidR="00C94075" w:rsidRPr="00B8307D">
        <w:rPr>
          <w:sz w:val="22"/>
          <w:szCs w:val="22"/>
          <w:lang w:val="sr-Latn-ME"/>
        </w:rPr>
        <w:t xml:space="preserve"> Dodatno, u Tabeli 1 navedene su i neželjene reakcije prijavljene nakon stavljanja lijeka u promet.</w:t>
      </w:r>
    </w:p>
    <w:p w14:paraId="241132A1" w14:textId="77777777" w:rsidR="004F6368" w:rsidRPr="00B8307D" w:rsidRDefault="004F6368" w:rsidP="000A067B">
      <w:pPr>
        <w:widowControl w:val="0"/>
        <w:jc w:val="both"/>
        <w:rPr>
          <w:sz w:val="22"/>
          <w:szCs w:val="22"/>
          <w:lang w:val="sr-Latn-ME"/>
        </w:rPr>
      </w:pPr>
    </w:p>
    <w:p w14:paraId="3F3A7400" w14:textId="6C2EDF4B" w:rsidR="004F6368" w:rsidRPr="00B8307D" w:rsidRDefault="004F6368" w:rsidP="000A067B">
      <w:pPr>
        <w:widowControl w:val="0"/>
        <w:jc w:val="both"/>
        <w:rPr>
          <w:sz w:val="22"/>
          <w:szCs w:val="22"/>
          <w:lang w:val="sr-Latn-ME"/>
        </w:rPr>
      </w:pPr>
      <w:r w:rsidRPr="00B8307D">
        <w:rPr>
          <w:sz w:val="22"/>
          <w:szCs w:val="22"/>
          <w:lang w:val="sr-Latn-ME"/>
        </w:rPr>
        <w:t>Tabela 1: Neželjene reakcije koje su prijavljene k</w:t>
      </w:r>
      <w:r w:rsidR="002C01A9" w:rsidRPr="00B8307D">
        <w:rPr>
          <w:sz w:val="22"/>
          <w:szCs w:val="22"/>
          <w:lang w:val="sr-Latn-ME"/>
        </w:rPr>
        <w:t xml:space="preserve">od primjene </w:t>
      </w:r>
      <w:r w:rsidRPr="00B8307D">
        <w:rPr>
          <w:sz w:val="22"/>
          <w:szCs w:val="22"/>
          <w:lang w:val="sr-Latn-ME"/>
        </w:rPr>
        <w:t xml:space="preserve">intravenske formulacije lijeka Herceptin samog ili u kombinaciji sa hemoterapijom u pivotalnim kliničkim studijama (N = 8386) i nakon stavljanja lijeka u promet. </w:t>
      </w:r>
    </w:p>
    <w:tbl>
      <w:tblPr>
        <w:tblpPr w:leftFromText="180" w:rightFromText="180" w:vertAnchor="text" w:tblpY="1"/>
        <w:tblOverlap w:val="neve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4"/>
        <w:gridCol w:w="3554"/>
        <w:gridCol w:w="2316"/>
      </w:tblGrid>
      <w:tr w:rsidR="004F6368" w:rsidRPr="00B8307D" w14:paraId="27BF9FEF" w14:textId="77777777" w:rsidTr="000A067B">
        <w:trPr>
          <w:cantSplit/>
          <w:trHeight w:val="128"/>
          <w:tblHeader/>
        </w:trPr>
        <w:tc>
          <w:tcPr>
            <w:tcW w:w="1733" w:type="pct"/>
            <w:tcBorders>
              <w:top w:val="single" w:sz="4" w:space="0" w:color="auto"/>
              <w:left w:val="single" w:sz="4" w:space="0" w:color="auto"/>
              <w:bottom w:val="single" w:sz="4" w:space="0" w:color="auto"/>
              <w:right w:val="single" w:sz="4" w:space="0" w:color="auto"/>
            </w:tcBorders>
            <w:hideMark/>
          </w:tcPr>
          <w:p w14:paraId="40810C4D" w14:textId="77777777" w:rsidR="004F6368" w:rsidRPr="00B8307D" w:rsidRDefault="004F6368" w:rsidP="000A067B">
            <w:pPr>
              <w:widowControl w:val="0"/>
              <w:rPr>
                <w:b/>
                <w:sz w:val="22"/>
                <w:szCs w:val="22"/>
                <w:lang w:val="sr-Latn-ME" w:eastAsia="ja-JP"/>
              </w:rPr>
            </w:pPr>
            <w:r w:rsidRPr="00B8307D">
              <w:rPr>
                <w:b/>
                <w:sz w:val="22"/>
                <w:szCs w:val="22"/>
                <w:lang w:val="sr-Latn-ME" w:eastAsia="ja-JP"/>
              </w:rPr>
              <w:t>Klasifikacija sistema organa</w:t>
            </w:r>
          </w:p>
        </w:tc>
        <w:tc>
          <w:tcPr>
            <w:tcW w:w="1978" w:type="pct"/>
            <w:tcBorders>
              <w:top w:val="single" w:sz="4" w:space="0" w:color="auto"/>
              <w:left w:val="single" w:sz="4" w:space="0" w:color="auto"/>
              <w:bottom w:val="single" w:sz="4" w:space="0" w:color="auto"/>
              <w:right w:val="single" w:sz="4" w:space="0" w:color="auto"/>
            </w:tcBorders>
            <w:hideMark/>
          </w:tcPr>
          <w:p w14:paraId="31C1B9D2" w14:textId="77777777" w:rsidR="004F6368" w:rsidRPr="00B8307D" w:rsidRDefault="004F6368" w:rsidP="000A067B">
            <w:pPr>
              <w:widowControl w:val="0"/>
              <w:rPr>
                <w:b/>
                <w:sz w:val="22"/>
                <w:szCs w:val="22"/>
                <w:lang w:val="sr-Latn-ME" w:eastAsia="ja-JP"/>
              </w:rPr>
            </w:pPr>
            <w:r w:rsidRPr="00B8307D">
              <w:rPr>
                <w:b/>
                <w:sz w:val="22"/>
                <w:szCs w:val="22"/>
                <w:lang w:val="sr-Latn-ME" w:eastAsia="ja-JP"/>
              </w:rPr>
              <w:t>Neželjeni događaj</w:t>
            </w:r>
          </w:p>
        </w:tc>
        <w:tc>
          <w:tcPr>
            <w:tcW w:w="1289" w:type="pct"/>
            <w:tcBorders>
              <w:top w:val="single" w:sz="4" w:space="0" w:color="auto"/>
              <w:left w:val="single" w:sz="4" w:space="0" w:color="auto"/>
              <w:bottom w:val="single" w:sz="4" w:space="0" w:color="auto"/>
              <w:right w:val="single" w:sz="4" w:space="0" w:color="auto"/>
            </w:tcBorders>
            <w:hideMark/>
          </w:tcPr>
          <w:p w14:paraId="70026A94" w14:textId="77777777" w:rsidR="004F6368" w:rsidRPr="00B8307D" w:rsidRDefault="004F6368" w:rsidP="000A067B">
            <w:pPr>
              <w:widowControl w:val="0"/>
              <w:rPr>
                <w:b/>
                <w:sz w:val="22"/>
                <w:szCs w:val="22"/>
                <w:lang w:val="sr-Latn-ME" w:eastAsia="ja-JP"/>
              </w:rPr>
            </w:pPr>
            <w:r w:rsidRPr="00B8307D">
              <w:rPr>
                <w:b/>
                <w:sz w:val="22"/>
                <w:szCs w:val="22"/>
                <w:lang w:val="sr-Latn-ME" w:eastAsia="ja-JP"/>
              </w:rPr>
              <w:t>Učestalost</w:t>
            </w:r>
          </w:p>
        </w:tc>
      </w:tr>
      <w:tr w:rsidR="004F6368" w:rsidRPr="00B8307D" w14:paraId="67780767" w14:textId="77777777" w:rsidTr="000A067B">
        <w:trPr>
          <w:cantSplit/>
          <w:trHeight w:val="128"/>
          <w:tblHeader/>
        </w:trPr>
        <w:tc>
          <w:tcPr>
            <w:tcW w:w="1733" w:type="pct"/>
            <w:vMerge w:val="restart"/>
            <w:tcBorders>
              <w:top w:val="single" w:sz="4" w:space="0" w:color="auto"/>
              <w:left w:val="single" w:sz="4" w:space="0" w:color="auto"/>
              <w:right w:val="single" w:sz="4" w:space="0" w:color="auto"/>
            </w:tcBorders>
          </w:tcPr>
          <w:p w14:paraId="7D676A83" w14:textId="77777777" w:rsidR="004F6368" w:rsidRPr="00B8307D" w:rsidRDefault="004F6368" w:rsidP="000A067B">
            <w:pPr>
              <w:widowControl w:val="0"/>
              <w:rPr>
                <w:b/>
                <w:sz w:val="22"/>
                <w:szCs w:val="22"/>
                <w:lang w:val="sr-Latn-ME" w:eastAsia="ja-JP"/>
              </w:rPr>
            </w:pPr>
            <w:r w:rsidRPr="00B8307D">
              <w:rPr>
                <w:sz w:val="22"/>
                <w:szCs w:val="22"/>
                <w:lang w:val="sr-Latn-ME" w:eastAsia="ja-JP"/>
              </w:rPr>
              <w:t>Infekcije i infestacije</w:t>
            </w:r>
          </w:p>
        </w:tc>
        <w:tc>
          <w:tcPr>
            <w:tcW w:w="1978" w:type="pct"/>
            <w:tcBorders>
              <w:top w:val="single" w:sz="4" w:space="0" w:color="auto"/>
              <w:left w:val="single" w:sz="4" w:space="0" w:color="auto"/>
              <w:bottom w:val="single" w:sz="4" w:space="0" w:color="auto"/>
              <w:right w:val="single" w:sz="4" w:space="0" w:color="auto"/>
            </w:tcBorders>
          </w:tcPr>
          <w:p w14:paraId="036E29DE" w14:textId="77777777" w:rsidR="004F6368" w:rsidRPr="00B8307D" w:rsidRDefault="004F6368" w:rsidP="000A067B">
            <w:pPr>
              <w:widowControl w:val="0"/>
              <w:rPr>
                <w:sz w:val="22"/>
                <w:szCs w:val="22"/>
                <w:lang w:val="sr-Latn-ME" w:eastAsia="ja-JP"/>
              </w:rPr>
            </w:pPr>
            <w:r w:rsidRPr="00B8307D">
              <w:rPr>
                <w:sz w:val="22"/>
                <w:szCs w:val="22"/>
                <w:lang w:val="sr-Latn-ME" w:eastAsia="ja-JP"/>
              </w:rPr>
              <w:t>Infekcija</w:t>
            </w:r>
          </w:p>
        </w:tc>
        <w:tc>
          <w:tcPr>
            <w:tcW w:w="1289" w:type="pct"/>
            <w:tcBorders>
              <w:top w:val="single" w:sz="4" w:space="0" w:color="auto"/>
              <w:left w:val="single" w:sz="4" w:space="0" w:color="auto"/>
              <w:bottom w:val="single" w:sz="4" w:space="0" w:color="auto"/>
              <w:right w:val="single" w:sz="4" w:space="0" w:color="auto"/>
            </w:tcBorders>
          </w:tcPr>
          <w:p w14:paraId="3448C9F2" w14:textId="77777777" w:rsidR="004F6368" w:rsidRPr="00B8307D" w:rsidRDefault="004F6368" w:rsidP="000A067B">
            <w:pPr>
              <w:widowControl w:val="0"/>
              <w:rPr>
                <w:sz w:val="22"/>
                <w:szCs w:val="22"/>
                <w:lang w:val="sr-Latn-ME" w:eastAsia="ja-JP"/>
              </w:rPr>
            </w:pPr>
            <w:r w:rsidRPr="00B8307D">
              <w:rPr>
                <w:sz w:val="22"/>
                <w:szCs w:val="22"/>
                <w:lang w:val="sr-Latn-ME" w:eastAsia="ja-JP"/>
              </w:rPr>
              <w:t>Vrlo često</w:t>
            </w:r>
          </w:p>
        </w:tc>
      </w:tr>
      <w:tr w:rsidR="004F6368" w:rsidRPr="00B8307D" w14:paraId="4CB15A95" w14:textId="77777777" w:rsidTr="000A067B">
        <w:trPr>
          <w:cantSplit/>
          <w:trHeight w:val="341"/>
          <w:tblHeader/>
        </w:trPr>
        <w:tc>
          <w:tcPr>
            <w:tcW w:w="1733" w:type="pct"/>
            <w:vMerge/>
            <w:tcBorders>
              <w:top w:val="single" w:sz="4" w:space="0" w:color="auto"/>
              <w:left w:val="single" w:sz="4" w:space="0" w:color="auto"/>
              <w:right w:val="single" w:sz="4" w:space="0" w:color="auto"/>
            </w:tcBorders>
          </w:tcPr>
          <w:p w14:paraId="02C0E6FE" w14:textId="77777777" w:rsidR="004F6368" w:rsidRPr="00B8307D" w:rsidRDefault="004F6368" w:rsidP="000A067B">
            <w:pPr>
              <w:widowControl w:val="0"/>
              <w:rPr>
                <w:sz w:val="22"/>
                <w:szCs w:val="22"/>
                <w:lang w:val="sr-Latn-ME" w:eastAsia="ja-JP"/>
              </w:rPr>
            </w:pPr>
          </w:p>
        </w:tc>
        <w:tc>
          <w:tcPr>
            <w:tcW w:w="1978" w:type="pct"/>
            <w:tcBorders>
              <w:top w:val="single" w:sz="4" w:space="0" w:color="auto"/>
              <w:left w:val="single" w:sz="4" w:space="0" w:color="auto"/>
              <w:right w:val="single" w:sz="4" w:space="0" w:color="auto"/>
            </w:tcBorders>
          </w:tcPr>
          <w:p w14:paraId="3D6A5951" w14:textId="77777777" w:rsidR="004F6368" w:rsidRPr="00B8307D" w:rsidRDefault="004F6368" w:rsidP="000A067B">
            <w:pPr>
              <w:widowControl w:val="0"/>
              <w:rPr>
                <w:sz w:val="22"/>
                <w:szCs w:val="22"/>
                <w:lang w:val="sr-Latn-ME" w:eastAsia="ja-JP"/>
              </w:rPr>
            </w:pPr>
            <w:r w:rsidRPr="00B8307D">
              <w:rPr>
                <w:sz w:val="22"/>
                <w:szCs w:val="22"/>
                <w:lang w:val="sr-Latn-ME" w:eastAsia="ja-JP"/>
              </w:rPr>
              <w:t>Nazofaringitis</w:t>
            </w:r>
          </w:p>
        </w:tc>
        <w:tc>
          <w:tcPr>
            <w:tcW w:w="1289" w:type="pct"/>
            <w:tcBorders>
              <w:top w:val="single" w:sz="4" w:space="0" w:color="auto"/>
              <w:left w:val="single" w:sz="4" w:space="0" w:color="auto"/>
              <w:right w:val="single" w:sz="4" w:space="0" w:color="auto"/>
            </w:tcBorders>
          </w:tcPr>
          <w:p w14:paraId="33F1575D" w14:textId="77777777" w:rsidR="004F6368" w:rsidRPr="00B8307D" w:rsidRDefault="004F6368" w:rsidP="000A067B">
            <w:pPr>
              <w:widowControl w:val="0"/>
              <w:rPr>
                <w:sz w:val="22"/>
                <w:szCs w:val="22"/>
                <w:lang w:val="sr-Latn-ME" w:eastAsia="ja-JP"/>
              </w:rPr>
            </w:pPr>
            <w:r w:rsidRPr="00B8307D">
              <w:rPr>
                <w:sz w:val="22"/>
                <w:szCs w:val="22"/>
                <w:lang w:val="sr-Latn-ME" w:eastAsia="ja-JP"/>
              </w:rPr>
              <w:t>Vrlo često</w:t>
            </w:r>
          </w:p>
        </w:tc>
      </w:tr>
      <w:tr w:rsidR="004F6368" w:rsidRPr="00B8307D" w14:paraId="08731A08" w14:textId="77777777" w:rsidTr="000A067B">
        <w:trPr>
          <w:trHeight w:val="206"/>
        </w:trPr>
        <w:tc>
          <w:tcPr>
            <w:tcW w:w="1733" w:type="pct"/>
            <w:vMerge/>
            <w:tcBorders>
              <w:left w:val="single" w:sz="4" w:space="0" w:color="auto"/>
              <w:right w:val="single" w:sz="4" w:space="0" w:color="auto"/>
            </w:tcBorders>
            <w:vAlign w:val="center"/>
            <w:hideMark/>
          </w:tcPr>
          <w:p w14:paraId="4AECF120" w14:textId="77777777" w:rsidR="004F6368" w:rsidRPr="00B8307D" w:rsidRDefault="004F6368" w:rsidP="000A067B">
            <w:pPr>
              <w:widowControl w:val="0"/>
              <w:rPr>
                <w:sz w:val="22"/>
                <w:szCs w:val="22"/>
                <w:lang w:val="sr-Latn-ME" w:eastAsia="ja-JP"/>
              </w:rPr>
            </w:pPr>
          </w:p>
        </w:tc>
        <w:tc>
          <w:tcPr>
            <w:tcW w:w="1978" w:type="pct"/>
            <w:tcBorders>
              <w:top w:val="single" w:sz="4" w:space="0" w:color="auto"/>
              <w:left w:val="single" w:sz="4" w:space="0" w:color="auto"/>
              <w:bottom w:val="single" w:sz="4" w:space="0" w:color="auto"/>
              <w:right w:val="single" w:sz="4" w:space="0" w:color="auto"/>
            </w:tcBorders>
            <w:hideMark/>
          </w:tcPr>
          <w:p w14:paraId="7EEB4125" w14:textId="77777777" w:rsidR="004F6368" w:rsidRPr="00B8307D" w:rsidRDefault="004F6368" w:rsidP="000A067B">
            <w:pPr>
              <w:widowControl w:val="0"/>
              <w:rPr>
                <w:sz w:val="22"/>
                <w:szCs w:val="22"/>
                <w:lang w:val="sr-Latn-ME" w:eastAsia="ja-JP"/>
              </w:rPr>
            </w:pPr>
            <w:r w:rsidRPr="00B8307D">
              <w:rPr>
                <w:sz w:val="22"/>
                <w:szCs w:val="22"/>
                <w:lang w:val="sr-Latn-ME" w:eastAsia="ja-JP"/>
              </w:rPr>
              <w:t>Neutropenijska sepsa</w:t>
            </w:r>
          </w:p>
        </w:tc>
        <w:tc>
          <w:tcPr>
            <w:tcW w:w="1289" w:type="pct"/>
            <w:tcBorders>
              <w:top w:val="single" w:sz="4" w:space="0" w:color="auto"/>
              <w:left w:val="single" w:sz="4" w:space="0" w:color="auto"/>
              <w:bottom w:val="single" w:sz="4" w:space="0" w:color="auto"/>
              <w:right w:val="single" w:sz="4" w:space="0" w:color="auto"/>
            </w:tcBorders>
            <w:hideMark/>
          </w:tcPr>
          <w:p w14:paraId="222F378E" w14:textId="77777777" w:rsidR="004F6368" w:rsidRPr="00B8307D" w:rsidRDefault="004F6368" w:rsidP="000A067B">
            <w:pPr>
              <w:widowControl w:val="0"/>
              <w:rPr>
                <w:sz w:val="22"/>
                <w:szCs w:val="22"/>
                <w:lang w:val="sr-Latn-ME" w:eastAsia="ja-JP"/>
              </w:rPr>
            </w:pPr>
            <w:r w:rsidRPr="00B8307D">
              <w:rPr>
                <w:sz w:val="22"/>
                <w:szCs w:val="22"/>
                <w:lang w:val="sr-Latn-ME" w:eastAsia="ja-JP"/>
              </w:rPr>
              <w:t>Često</w:t>
            </w:r>
          </w:p>
        </w:tc>
      </w:tr>
      <w:tr w:rsidR="004F6368" w:rsidRPr="00B8307D" w14:paraId="7EC372E1" w14:textId="77777777" w:rsidTr="000A067B">
        <w:trPr>
          <w:trHeight w:val="206"/>
        </w:trPr>
        <w:tc>
          <w:tcPr>
            <w:tcW w:w="1733" w:type="pct"/>
            <w:vMerge/>
            <w:tcBorders>
              <w:left w:val="single" w:sz="4" w:space="0" w:color="auto"/>
              <w:right w:val="single" w:sz="4" w:space="0" w:color="auto"/>
            </w:tcBorders>
            <w:vAlign w:val="center"/>
            <w:hideMark/>
          </w:tcPr>
          <w:p w14:paraId="42BA5768" w14:textId="77777777" w:rsidR="004F6368" w:rsidRPr="00B8307D" w:rsidRDefault="004F6368" w:rsidP="000A067B">
            <w:pPr>
              <w:widowControl w:val="0"/>
              <w:rPr>
                <w:sz w:val="22"/>
                <w:szCs w:val="22"/>
                <w:lang w:val="sr-Latn-ME" w:eastAsia="ja-JP"/>
              </w:rPr>
            </w:pPr>
          </w:p>
        </w:tc>
        <w:tc>
          <w:tcPr>
            <w:tcW w:w="1978" w:type="pct"/>
            <w:tcBorders>
              <w:top w:val="single" w:sz="4" w:space="0" w:color="auto"/>
              <w:left w:val="single" w:sz="4" w:space="0" w:color="auto"/>
              <w:bottom w:val="single" w:sz="4" w:space="0" w:color="auto"/>
              <w:right w:val="single" w:sz="4" w:space="0" w:color="auto"/>
            </w:tcBorders>
            <w:hideMark/>
          </w:tcPr>
          <w:p w14:paraId="01B81AF5" w14:textId="77777777" w:rsidR="004F6368" w:rsidRPr="00B8307D" w:rsidRDefault="004F6368" w:rsidP="000A067B">
            <w:pPr>
              <w:widowControl w:val="0"/>
              <w:rPr>
                <w:sz w:val="22"/>
                <w:szCs w:val="22"/>
                <w:lang w:val="sr-Latn-ME" w:eastAsia="ja-JP"/>
              </w:rPr>
            </w:pPr>
            <w:r w:rsidRPr="00B8307D">
              <w:rPr>
                <w:sz w:val="22"/>
                <w:szCs w:val="22"/>
                <w:lang w:val="sr-Latn-ME" w:eastAsia="ja-JP"/>
              </w:rPr>
              <w:t>Cistitis</w:t>
            </w:r>
          </w:p>
        </w:tc>
        <w:tc>
          <w:tcPr>
            <w:tcW w:w="1289" w:type="pct"/>
            <w:tcBorders>
              <w:top w:val="single" w:sz="4" w:space="0" w:color="auto"/>
              <w:left w:val="single" w:sz="4" w:space="0" w:color="auto"/>
              <w:bottom w:val="single" w:sz="4" w:space="0" w:color="auto"/>
              <w:right w:val="single" w:sz="4" w:space="0" w:color="auto"/>
            </w:tcBorders>
            <w:hideMark/>
          </w:tcPr>
          <w:p w14:paraId="0EEEEB3E" w14:textId="77777777" w:rsidR="004F6368" w:rsidRPr="00B8307D" w:rsidRDefault="004F6368" w:rsidP="000A067B">
            <w:pPr>
              <w:widowControl w:val="0"/>
              <w:rPr>
                <w:sz w:val="22"/>
                <w:szCs w:val="22"/>
                <w:lang w:val="sr-Latn-ME" w:eastAsia="ja-JP"/>
              </w:rPr>
            </w:pPr>
            <w:r w:rsidRPr="00B8307D">
              <w:rPr>
                <w:sz w:val="22"/>
                <w:szCs w:val="22"/>
                <w:lang w:val="sr-Latn-ME" w:eastAsia="ja-JP"/>
              </w:rPr>
              <w:t>Često</w:t>
            </w:r>
          </w:p>
        </w:tc>
      </w:tr>
      <w:tr w:rsidR="004F6368" w:rsidRPr="00B8307D" w14:paraId="1B3A5DD0" w14:textId="77777777" w:rsidTr="000A067B">
        <w:trPr>
          <w:trHeight w:val="303"/>
        </w:trPr>
        <w:tc>
          <w:tcPr>
            <w:tcW w:w="1733" w:type="pct"/>
            <w:vMerge/>
            <w:tcBorders>
              <w:left w:val="single" w:sz="4" w:space="0" w:color="auto"/>
              <w:right w:val="single" w:sz="4" w:space="0" w:color="auto"/>
            </w:tcBorders>
            <w:vAlign w:val="center"/>
            <w:hideMark/>
          </w:tcPr>
          <w:p w14:paraId="7157F52B" w14:textId="77777777" w:rsidR="004F6368" w:rsidRPr="00B8307D" w:rsidRDefault="004F6368" w:rsidP="000A067B">
            <w:pPr>
              <w:widowControl w:val="0"/>
              <w:rPr>
                <w:sz w:val="22"/>
                <w:szCs w:val="22"/>
                <w:lang w:val="sr-Latn-ME" w:eastAsia="ja-JP"/>
              </w:rPr>
            </w:pPr>
          </w:p>
        </w:tc>
        <w:tc>
          <w:tcPr>
            <w:tcW w:w="1978" w:type="pct"/>
            <w:tcBorders>
              <w:top w:val="single" w:sz="4" w:space="0" w:color="auto"/>
              <w:left w:val="single" w:sz="4" w:space="0" w:color="auto"/>
              <w:right w:val="single" w:sz="4" w:space="0" w:color="auto"/>
            </w:tcBorders>
            <w:hideMark/>
          </w:tcPr>
          <w:p w14:paraId="56655DFE" w14:textId="77777777" w:rsidR="004F6368" w:rsidRPr="00B8307D" w:rsidRDefault="004F6368" w:rsidP="000A067B">
            <w:pPr>
              <w:widowControl w:val="0"/>
              <w:rPr>
                <w:sz w:val="22"/>
                <w:szCs w:val="22"/>
                <w:lang w:val="sr-Latn-ME" w:eastAsia="ja-JP"/>
              </w:rPr>
            </w:pPr>
            <w:r w:rsidRPr="00B8307D">
              <w:rPr>
                <w:sz w:val="22"/>
                <w:szCs w:val="22"/>
                <w:lang w:val="sr-Latn-ME" w:eastAsia="ja-JP"/>
              </w:rPr>
              <w:t>Influenca</w:t>
            </w:r>
          </w:p>
        </w:tc>
        <w:tc>
          <w:tcPr>
            <w:tcW w:w="1289" w:type="pct"/>
            <w:tcBorders>
              <w:top w:val="single" w:sz="4" w:space="0" w:color="auto"/>
              <w:left w:val="single" w:sz="4" w:space="0" w:color="auto"/>
              <w:right w:val="single" w:sz="4" w:space="0" w:color="auto"/>
            </w:tcBorders>
            <w:hideMark/>
          </w:tcPr>
          <w:p w14:paraId="09D3BE5B" w14:textId="77777777" w:rsidR="004F6368" w:rsidRPr="00B8307D" w:rsidRDefault="004F6368" w:rsidP="000A067B">
            <w:pPr>
              <w:widowControl w:val="0"/>
              <w:rPr>
                <w:sz w:val="22"/>
                <w:szCs w:val="22"/>
                <w:lang w:val="sr-Latn-ME" w:eastAsia="ja-JP"/>
              </w:rPr>
            </w:pPr>
            <w:r w:rsidRPr="00B8307D">
              <w:rPr>
                <w:sz w:val="22"/>
                <w:szCs w:val="22"/>
                <w:lang w:val="sr-Latn-ME" w:eastAsia="ja-JP"/>
              </w:rPr>
              <w:t>Često</w:t>
            </w:r>
          </w:p>
        </w:tc>
      </w:tr>
      <w:tr w:rsidR="004F6368" w:rsidRPr="00B8307D" w14:paraId="748346D1" w14:textId="77777777" w:rsidTr="000A067B">
        <w:trPr>
          <w:trHeight w:val="120"/>
        </w:trPr>
        <w:tc>
          <w:tcPr>
            <w:tcW w:w="1733" w:type="pct"/>
            <w:vMerge/>
            <w:tcBorders>
              <w:left w:val="single" w:sz="4" w:space="0" w:color="auto"/>
              <w:right w:val="single" w:sz="4" w:space="0" w:color="auto"/>
            </w:tcBorders>
            <w:vAlign w:val="center"/>
            <w:hideMark/>
          </w:tcPr>
          <w:p w14:paraId="292DA33F" w14:textId="77777777" w:rsidR="004F6368" w:rsidRPr="00B8307D" w:rsidRDefault="004F6368" w:rsidP="000A067B">
            <w:pPr>
              <w:widowControl w:val="0"/>
              <w:rPr>
                <w:sz w:val="22"/>
                <w:szCs w:val="22"/>
                <w:lang w:val="sr-Latn-ME" w:eastAsia="ja-JP"/>
              </w:rPr>
            </w:pPr>
          </w:p>
        </w:tc>
        <w:tc>
          <w:tcPr>
            <w:tcW w:w="1978" w:type="pct"/>
            <w:tcBorders>
              <w:top w:val="single" w:sz="4" w:space="0" w:color="auto"/>
              <w:left w:val="single" w:sz="4" w:space="0" w:color="auto"/>
              <w:bottom w:val="single" w:sz="4" w:space="0" w:color="auto"/>
              <w:right w:val="single" w:sz="4" w:space="0" w:color="auto"/>
            </w:tcBorders>
            <w:hideMark/>
          </w:tcPr>
          <w:p w14:paraId="56DC6195" w14:textId="77777777" w:rsidR="004F6368" w:rsidRPr="00B8307D" w:rsidRDefault="004F6368" w:rsidP="000A067B">
            <w:pPr>
              <w:widowControl w:val="0"/>
              <w:rPr>
                <w:sz w:val="22"/>
                <w:szCs w:val="22"/>
                <w:lang w:val="sr-Latn-ME" w:eastAsia="ja-JP"/>
              </w:rPr>
            </w:pPr>
            <w:r w:rsidRPr="00B8307D">
              <w:rPr>
                <w:sz w:val="22"/>
                <w:szCs w:val="22"/>
                <w:lang w:val="sr-Latn-ME" w:eastAsia="ja-JP"/>
              </w:rPr>
              <w:t>Sinuzitis</w:t>
            </w:r>
          </w:p>
        </w:tc>
        <w:tc>
          <w:tcPr>
            <w:tcW w:w="1289" w:type="pct"/>
            <w:tcBorders>
              <w:top w:val="single" w:sz="4" w:space="0" w:color="auto"/>
              <w:left w:val="single" w:sz="4" w:space="0" w:color="auto"/>
              <w:bottom w:val="single" w:sz="4" w:space="0" w:color="auto"/>
              <w:right w:val="single" w:sz="4" w:space="0" w:color="auto"/>
            </w:tcBorders>
            <w:hideMark/>
          </w:tcPr>
          <w:p w14:paraId="5F9865B9" w14:textId="77777777" w:rsidR="004F6368" w:rsidRPr="00B8307D" w:rsidRDefault="004F6368" w:rsidP="000A067B">
            <w:pPr>
              <w:widowControl w:val="0"/>
              <w:rPr>
                <w:sz w:val="22"/>
                <w:szCs w:val="22"/>
                <w:lang w:val="sr-Latn-ME" w:eastAsia="ja-JP"/>
              </w:rPr>
            </w:pPr>
            <w:r w:rsidRPr="00B8307D">
              <w:rPr>
                <w:sz w:val="22"/>
                <w:szCs w:val="22"/>
                <w:lang w:val="sr-Latn-ME" w:eastAsia="ja-JP"/>
              </w:rPr>
              <w:t>Često</w:t>
            </w:r>
          </w:p>
        </w:tc>
      </w:tr>
      <w:tr w:rsidR="004F6368" w:rsidRPr="00B8307D" w14:paraId="1AE81AE9" w14:textId="77777777" w:rsidTr="000A067B">
        <w:trPr>
          <w:trHeight w:val="120"/>
        </w:trPr>
        <w:tc>
          <w:tcPr>
            <w:tcW w:w="1733" w:type="pct"/>
            <w:vMerge/>
            <w:tcBorders>
              <w:left w:val="single" w:sz="4" w:space="0" w:color="auto"/>
              <w:right w:val="single" w:sz="4" w:space="0" w:color="auto"/>
            </w:tcBorders>
            <w:vAlign w:val="center"/>
            <w:hideMark/>
          </w:tcPr>
          <w:p w14:paraId="6B40AD3E" w14:textId="77777777" w:rsidR="004F6368" w:rsidRPr="00B8307D" w:rsidRDefault="004F6368" w:rsidP="000A067B">
            <w:pPr>
              <w:widowControl w:val="0"/>
              <w:rPr>
                <w:sz w:val="22"/>
                <w:szCs w:val="22"/>
                <w:lang w:val="sr-Latn-ME" w:eastAsia="ja-JP"/>
              </w:rPr>
            </w:pPr>
          </w:p>
        </w:tc>
        <w:tc>
          <w:tcPr>
            <w:tcW w:w="1978" w:type="pct"/>
            <w:tcBorders>
              <w:top w:val="single" w:sz="4" w:space="0" w:color="auto"/>
              <w:left w:val="single" w:sz="4" w:space="0" w:color="auto"/>
              <w:bottom w:val="single" w:sz="4" w:space="0" w:color="auto"/>
              <w:right w:val="single" w:sz="4" w:space="0" w:color="auto"/>
            </w:tcBorders>
            <w:hideMark/>
          </w:tcPr>
          <w:p w14:paraId="2B432454" w14:textId="77777777" w:rsidR="004F6368" w:rsidRPr="00B8307D" w:rsidRDefault="004F6368" w:rsidP="000A067B">
            <w:pPr>
              <w:widowControl w:val="0"/>
              <w:rPr>
                <w:sz w:val="22"/>
                <w:szCs w:val="22"/>
                <w:lang w:val="sr-Latn-ME" w:eastAsia="ja-JP"/>
              </w:rPr>
            </w:pPr>
            <w:r w:rsidRPr="00B8307D">
              <w:rPr>
                <w:sz w:val="22"/>
                <w:szCs w:val="22"/>
                <w:lang w:val="sr-Latn-ME" w:eastAsia="ja-JP"/>
              </w:rPr>
              <w:t>Kožna infekcija</w:t>
            </w:r>
          </w:p>
        </w:tc>
        <w:tc>
          <w:tcPr>
            <w:tcW w:w="1289" w:type="pct"/>
            <w:tcBorders>
              <w:top w:val="single" w:sz="4" w:space="0" w:color="auto"/>
              <w:left w:val="single" w:sz="4" w:space="0" w:color="auto"/>
              <w:bottom w:val="single" w:sz="4" w:space="0" w:color="auto"/>
              <w:right w:val="single" w:sz="4" w:space="0" w:color="auto"/>
            </w:tcBorders>
            <w:hideMark/>
          </w:tcPr>
          <w:p w14:paraId="49D56748" w14:textId="77777777" w:rsidR="004F6368" w:rsidRPr="00B8307D" w:rsidRDefault="004F6368" w:rsidP="000A067B">
            <w:pPr>
              <w:widowControl w:val="0"/>
              <w:rPr>
                <w:sz w:val="22"/>
                <w:szCs w:val="22"/>
                <w:lang w:val="sr-Latn-ME" w:eastAsia="ja-JP"/>
              </w:rPr>
            </w:pPr>
            <w:r w:rsidRPr="00B8307D">
              <w:rPr>
                <w:sz w:val="22"/>
                <w:szCs w:val="22"/>
                <w:lang w:val="sr-Latn-ME" w:eastAsia="ja-JP"/>
              </w:rPr>
              <w:t>Često</w:t>
            </w:r>
          </w:p>
        </w:tc>
      </w:tr>
      <w:tr w:rsidR="004F6368" w:rsidRPr="00B8307D" w14:paraId="5B16E9A0" w14:textId="77777777" w:rsidTr="000A067B">
        <w:trPr>
          <w:trHeight w:val="120"/>
        </w:trPr>
        <w:tc>
          <w:tcPr>
            <w:tcW w:w="1733" w:type="pct"/>
            <w:vMerge/>
            <w:tcBorders>
              <w:left w:val="single" w:sz="4" w:space="0" w:color="auto"/>
              <w:right w:val="single" w:sz="4" w:space="0" w:color="auto"/>
            </w:tcBorders>
            <w:vAlign w:val="center"/>
            <w:hideMark/>
          </w:tcPr>
          <w:p w14:paraId="555D29BF" w14:textId="77777777" w:rsidR="004F6368" w:rsidRPr="00B8307D" w:rsidRDefault="004F6368" w:rsidP="000A067B">
            <w:pPr>
              <w:widowControl w:val="0"/>
              <w:rPr>
                <w:sz w:val="22"/>
                <w:szCs w:val="22"/>
                <w:lang w:val="sr-Latn-ME" w:eastAsia="ja-JP"/>
              </w:rPr>
            </w:pPr>
          </w:p>
        </w:tc>
        <w:tc>
          <w:tcPr>
            <w:tcW w:w="1978" w:type="pct"/>
            <w:tcBorders>
              <w:top w:val="single" w:sz="4" w:space="0" w:color="auto"/>
              <w:left w:val="single" w:sz="4" w:space="0" w:color="auto"/>
              <w:bottom w:val="single" w:sz="4" w:space="0" w:color="auto"/>
              <w:right w:val="single" w:sz="4" w:space="0" w:color="auto"/>
            </w:tcBorders>
            <w:hideMark/>
          </w:tcPr>
          <w:p w14:paraId="72175AB4" w14:textId="77777777" w:rsidR="004F6368" w:rsidRPr="00B8307D" w:rsidRDefault="004F6368" w:rsidP="000A067B">
            <w:pPr>
              <w:widowControl w:val="0"/>
              <w:rPr>
                <w:sz w:val="22"/>
                <w:szCs w:val="22"/>
                <w:lang w:val="sr-Latn-ME" w:eastAsia="ja-JP"/>
              </w:rPr>
            </w:pPr>
            <w:r w:rsidRPr="00B8307D">
              <w:rPr>
                <w:sz w:val="22"/>
                <w:szCs w:val="22"/>
                <w:lang w:val="sr-Latn-ME" w:eastAsia="ja-JP"/>
              </w:rPr>
              <w:t>Rinitis</w:t>
            </w:r>
          </w:p>
        </w:tc>
        <w:tc>
          <w:tcPr>
            <w:tcW w:w="1289" w:type="pct"/>
            <w:tcBorders>
              <w:top w:val="single" w:sz="4" w:space="0" w:color="auto"/>
              <w:left w:val="single" w:sz="4" w:space="0" w:color="auto"/>
              <w:bottom w:val="single" w:sz="4" w:space="0" w:color="auto"/>
              <w:right w:val="single" w:sz="4" w:space="0" w:color="auto"/>
            </w:tcBorders>
            <w:hideMark/>
          </w:tcPr>
          <w:p w14:paraId="04FF8ED3" w14:textId="77777777" w:rsidR="004F6368" w:rsidRPr="00B8307D" w:rsidRDefault="004F6368" w:rsidP="000A067B">
            <w:pPr>
              <w:widowControl w:val="0"/>
              <w:rPr>
                <w:sz w:val="22"/>
                <w:szCs w:val="22"/>
                <w:lang w:val="sr-Latn-ME" w:eastAsia="ja-JP"/>
              </w:rPr>
            </w:pPr>
            <w:r w:rsidRPr="00B8307D">
              <w:rPr>
                <w:sz w:val="22"/>
                <w:szCs w:val="22"/>
                <w:lang w:val="sr-Latn-ME" w:eastAsia="ja-JP"/>
              </w:rPr>
              <w:t>Često</w:t>
            </w:r>
          </w:p>
        </w:tc>
      </w:tr>
      <w:tr w:rsidR="004F6368" w:rsidRPr="00B8307D" w14:paraId="669DEC04" w14:textId="77777777" w:rsidTr="000A067B">
        <w:trPr>
          <w:trHeight w:val="120"/>
        </w:trPr>
        <w:tc>
          <w:tcPr>
            <w:tcW w:w="1733" w:type="pct"/>
            <w:vMerge/>
            <w:tcBorders>
              <w:left w:val="single" w:sz="4" w:space="0" w:color="auto"/>
              <w:right w:val="single" w:sz="4" w:space="0" w:color="auto"/>
            </w:tcBorders>
            <w:vAlign w:val="center"/>
            <w:hideMark/>
          </w:tcPr>
          <w:p w14:paraId="190D8914" w14:textId="77777777" w:rsidR="004F6368" w:rsidRPr="00B8307D" w:rsidRDefault="004F6368" w:rsidP="000A067B">
            <w:pPr>
              <w:widowControl w:val="0"/>
              <w:rPr>
                <w:sz w:val="22"/>
                <w:szCs w:val="22"/>
                <w:lang w:val="sr-Latn-ME" w:eastAsia="ja-JP"/>
              </w:rPr>
            </w:pPr>
          </w:p>
        </w:tc>
        <w:tc>
          <w:tcPr>
            <w:tcW w:w="1978" w:type="pct"/>
            <w:tcBorders>
              <w:top w:val="single" w:sz="4" w:space="0" w:color="auto"/>
              <w:left w:val="single" w:sz="4" w:space="0" w:color="auto"/>
              <w:bottom w:val="single" w:sz="4" w:space="0" w:color="auto"/>
              <w:right w:val="single" w:sz="4" w:space="0" w:color="auto"/>
            </w:tcBorders>
            <w:hideMark/>
          </w:tcPr>
          <w:p w14:paraId="37507199" w14:textId="77777777" w:rsidR="004F6368" w:rsidRPr="00B8307D" w:rsidRDefault="004F6368" w:rsidP="000A067B">
            <w:pPr>
              <w:widowControl w:val="0"/>
              <w:rPr>
                <w:sz w:val="22"/>
                <w:szCs w:val="22"/>
                <w:lang w:val="sr-Latn-ME" w:eastAsia="ja-JP"/>
              </w:rPr>
            </w:pPr>
            <w:r w:rsidRPr="00B8307D">
              <w:rPr>
                <w:sz w:val="22"/>
                <w:szCs w:val="22"/>
                <w:lang w:val="sr-Latn-ME" w:eastAsia="ja-JP"/>
              </w:rPr>
              <w:t>Infekcija gornjih disajnih puteva</w:t>
            </w:r>
          </w:p>
        </w:tc>
        <w:tc>
          <w:tcPr>
            <w:tcW w:w="1289" w:type="pct"/>
            <w:tcBorders>
              <w:top w:val="single" w:sz="4" w:space="0" w:color="auto"/>
              <w:left w:val="single" w:sz="4" w:space="0" w:color="auto"/>
              <w:bottom w:val="single" w:sz="4" w:space="0" w:color="auto"/>
              <w:right w:val="single" w:sz="4" w:space="0" w:color="auto"/>
            </w:tcBorders>
            <w:hideMark/>
          </w:tcPr>
          <w:p w14:paraId="2422D04D" w14:textId="77777777" w:rsidR="004F6368" w:rsidRPr="00B8307D" w:rsidRDefault="004F6368" w:rsidP="000A067B">
            <w:pPr>
              <w:widowControl w:val="0"/>
              <w:rPr>
                <w:sz w:val="22"/>
                <w:szCs w:val="22"/>
                <w:lang w:val="sr-Latn-ME" w:eastAsia="ja-JP"/>
              </w:rPr>
            </w:pPr>
            <w:r w:rsidRPr="00B8307D">
              <w:rPr>
                <w:sz w:val="22"/>
                <w:szCs w:val="22"/>
                <w:lang w:val="sr-Latn-ME" w:eastAsia="ja-JP"/>
              </w:rPr>
              <w:t>Često</w:t>
            </w:r>
          </w:p>
        </w:tc>
      </w:tr>
      <w:tr w:rsidR="004F6368" w:rsidRPr="00B8307D" w14:paraId="25098D23" w14:textId="77777777" w:rsidTr="000A067B">
        <w:trPr>
          <w:trHeight w:val="120"/>
        </w:trPr>
        <w:tc>
          <w:tcPr>
            <w:tcW w:w="1733" w:type="pct"/>
            <w:vMerge/>
            <w:tcBorders>
              <w:left w:val="single" w:sz="4" w:space="0" w:color="auto"/>
              <w:right w:val="single" w:sz="4" w:space="0" w:color="auto"/>
            </w:tcBorders>
            <w:vAlign w:val="center"/>
            <w:hideMark/>
          </w:tcPr>
          <w:p w14:paraId="537451AF" w14:textId="77777777" w:rsidR="004F6368" w:rsidRPr="00B8307D" w:rsidRDefault="004F6368" w:rsidP="000A067B">
            <w:pPr>
              <w:widowControl w:val="0"/>
              <w:rPr>
                <w:sz w:val="22"/>
                <w:szCs w:val="22"/>
                <w:lang w:val="sr-Latn-ME" w:eastAsia="ja-JP"/>
              </w:rPr>
            </w:pPr>
          </w:p>
        </w:tc>
        <w:tc>
          <w:tcPr>
            <w:tcW w:w="1978" w:type="pct"/>
            <w:tcBorders>
              <w:top w:val="single" w:sz="4" w:space="0" w:color="auto"/>
              <w:left w:val="single" w:sz="4" w:space="0" w:color="auto"/>
              <w:bottom w:val="single" w:sz="4" w:space="0" w:color="auto"/>
              <w:right w:val="single" w:sz="4" w:space="0" w:color="auto"/>
            </w:tcBorders>
            <w:hideMark/>
          </w:tcPr>
          <w:p w14:paraId="306E868F" w14:textId="77777777" w:rsidR="004F6368" w:rsidRPr="00B8307D" w:rsidRDefault="004F6368" w:rsidP="000A067B">
            <w:pPr>
              <w:widowControl w:val="0"/>
              <w:rPr>
                <w:sz w:val="22"/>
                <w:szCs w:val="22"/>
                <w:lang w:val="sr-Latn-ME" w:eastAsia="ja-JP"/>
              </w:rPr>
            </w:pPr>
            <w:r w:rsidRPr="00B8307D">
              <w:rPr>
                <w:sz w:val="22"/>
                <w:szCs w:val="22"/>
                <w:lang w:val="sr-Latn-ME" w:eastAsia="ja-JP"/>
              </w:rPr>
              <w:t>Infekcija mokraćnih puteva</w:t>
            </w:r>
          </w:p>
        </w:tc>
        <w:tc>
          <w:tcPr>
            <w:tcW w:w="1289" w:type="pct"/>
            <w:tcBorders>
              <w:top w:val="single" w:sz="4" w:space="0" w:color="auto"/>
              <w:left w:val="single" w:sz="4" w:space="0" w:color="auto"/>
              <w:bottom w:val="single" w:sz="4" w:space="0" w:color="auto"/>
              <w:right w:val="single" w:sz="4" w:space="0" w:color="auto"/>
            </w:tcBorders>
            <w:hideMark/>
          </w:tcPr>
          <w:p w14:paraId="1B2CE994" w14:textId="77777777" w:rsidR="004F6368" w:rsidRPr="00B8307D" w:rsidRDefault="004F6368" w:rsidP="000A067B">
            <w:pPr>
              <w:widowControl w:val="0"/>
              <w:rPr>
                <w:sz w:val="22"/>
                <w:szCs w:val="22"/>
                <w:lang w:val="sr-Latn-ME" w:eastAsia="ja-JP"/>
              </w:rPr>
            </w:pPr>
            <w:r w:rsidRPr="00B8307D">
              <w:rPr>
                <w:sz w:val="22"/>
                <w:szCs w:val="22"/>
                <w:lang w:val="sr-Latn-ME" w:eastAsia="ja-JP"/>
              </w:rPr>
              <w:t>Često</w:t>
            </w:r>
          </w:p>
        </w:tc>
      </w:tr>
      <w:tr w:rsidR="004F6368" w:rsidRPr="00B8307D" w14:paraId="6880FDED" w14:textId="77777777" w:rsidTr="000A067B">
        <w:trPr>
          <w:trHeight w:val="193"/>
        </w:trPr>
        <w:tc>
          <w:tcPr>
            <w:tcW w:w="1733" w:type="pct"/>
            <w:vMerge/>
            <w:tcBorders>
              <w:left w:val="single" w:sz="4" w:space="0" w:color="auto"/>
              <w:right w:val="single" w:sz="4" w:space="0" w:color="auto"/>
            </w:tcBorders>
            <w:vAlign w:val="center"/>
          </w:tcPr>
          <w:p w14:paraId="531C2FBF" w14:textId="77777777" w:rsidR="004F6368" w:rsidRPr="00B8307D" w:rsidRDefault="004F6368" w:rsidP="000A067B">
            <w:pPr>
              <w:widowControl w:val="0"/>
              <w:rPr>
                <w:sz w:val="22"/>
                <w:szCs w:val="22"/>
                <w:lang w:val="sr-Latn-ME" w:eastAsia="ja-JP"/>
              </w:rPr>
            </w:pPr>
          </w:p>
        </w:tc>
        <w:tc>
          <w:tcPr>
            <w:tcW w:w="1978" w:type="pct"/>
            <w:tcBorders>
              <w:top w:val="single" w:sz="4" w:space="0" w:color="auto"/>
              <w:left w:val="single" w:sz="4" w:space="0" w:color="auto"/>
              <w:bottom w:val="single" w:sz="4" w:space="0" w:color="auto"/>
              <w:right w:val="single" w:sz="4" w:space="0" w:color="auto"/>
            </w:tcBorders>
          </w:tcPr>
          <w:p w14:paraId="7B609DE8" w14:textId="77777777" w:rsidR="004F6368" w:rsidRPr="00B8307D" w:rsidRDefault="004F6368" w:rsidP="000A067B">
            <w:pPr>
              <w:widowControl w:val="0"/>
              <w:rPr>
                <w:sz w:val="22"/>
                <w:szCs w:val="22"/>
                <w:lang w:val="sr-Latn-ME" w:eastAsia="ja-JP"/>
              </w:rPr>
            </w:pPr>
            <w:r w:rsidRPr="00B8307D">
              <w:rPr>
                <w:sz w:val="22"/>
                <w:szCs w:val="22"/>
                <w:lang w:val="sr-Latn-ME" w:eastAsia="ja-JP"/>
              </w:rPr>
              <w:t>Faringitis</w:t>
            </w:r>
          </w:p>
        </w:tc>
        <w:tc>
          <w:tcPr>
            <w:tcW w:w="1289" w:type="pct"/>
            <w:tcBorders>
              <w:top w:val="single" w:sz="4" w:space="0" w:color="auto"/>
              <w:left w:val="single" w:sz="4" w:space="0" w:color="auto"/>
              <w:bottom w:val="single" w:sz="4" w:space="0" w:color="auto"/>
              <w:right w:val="single" w:sz="4" w:space="0" w:color="auto"/>
            </w:tcBorders>
          </w:tcPr>
          <w:p w14:paraId="4496CE9C" w14:textId="77777777" w:rsidR="004F6368" w:rsidRPr="00B8307D" w:rsidRDefault="004F6368" w:rsidP="000A067B">
            <w:pPr>
              <w:widowControl w:val="0"/>
              <w:rPr>
                <w:sz w:val="22"/>
                <w:szCs w:val="22"/>
                <w:lang w:val="sr-Latn-ME" w:eastAsia="ja-JP"/>
              </w:rPr>
            </w:pPr>
            <w:r w:rsidRPr="00B8307D">
              <w:rPr>
                <w:sz w:val="22"/>
                <w:szCs w:val="22"/>
                <w:lang w:val="sr-Latn-ME" w:eastAsia="ja-JP"/>
              </w:rPr>
              <w:t>Često</w:t>
            </w:r>
          </w:p>
        </w:tc>
      </w:tr>
      <w:tr w:rsidR="004F6368" w:rsidRPr="00B8307D" w14:paraId="0DB110F4" w14:textId="77777777" w:rsidTr="000A067B">
        <w:trPr>
          <w:trHeight w:val="193"/>
        </w:trPr>
        <w:tc>
          <w:tcPr>
            <w:tcW w:w="1733" w:type="pct"/>
            <w:vMerge w:val="restart"/>
            <w:tcBorders>
              <w:top w:val="single" w:sz="4" w:space="0" w:color="auto"/>
              <w:left w:val="single" w:sz="4" w:space="0" w:color="auto"/>
              <w:bottom w:val="single" w:sz="4" w:space="0" w:color="auto"/>
              <w:right w:val="single" w:sz="4" w:space="0" w:color="auto"/>
            </w:tcBorders>
            <w:hideMark/>
          </w:tcPr>
          <w:p w14:paraId="3DF1A17C" w14:textId="77777777" w:rsidR="004F6368" w:rsidRPr="00B8307D" w:rsidRDefault="004F6368" w:rsidP="000A067B">
            <w:pPr>
              <w:widowControl w:val="0"/>
              <w:rPr>
                <w:sz w:val="22"/>
                <w:szCs w:val="22"/>
                <w:lang w:val="sr-Latn-ME" w:eastAsia="ja-JP"/>
              </w:rPr>
            </w:pPr>
            <w:r w:rsidRPr="00B8307D">
              <w:rPr>
                <w:sz w:val="22"/>
                <w:szCs w:val="22"/>
                <w:lang w:val="sr-Latn-ME" w:eastAsia="ja-JP"/>
              </w:rPr>
              <w:t>Benigne, maligne i nespecifične neoplazme (uključujući ciste i polipe)</w:t>
            </w:r>
          </w:p>
        </w:tc>
        <w:tc>
          <w:tcPr>
            <w:tcW w:w="1978" w:type="pct"/>
            <w:tcBorders>
              <w:top w:val="single" w:sz="4" w:space="0" w:color="auto"/>
              <w:left w:val="single" w:sz="4" w:space="0" w:color="auto"/>
              <w:bottom w:val="single" w:sz="4" w:space="0" w:color="auto"/>
              <w:right w:val="single" w:sz="4" w:space="0" w:color="auto"/>
            </w:tcBorders>
            <w:hideMark/>
          </w:tcPr>
          <w:p w14:paraId="79CCEEBB" w14:textId="77777777" w:rsidR="004F6368" w:rsidRPr="00B8307D" w:rsidRDefault="004F6368" w:rsidP="000A067B">
            <w:pPr>
              <w:widowControl w:val="0"/>
              <w:rPr>
                <w:sz w:val="22"/>
                <w:szCs w:val="22"/>
                <w:lang w:val="sr-Latn-ME" w:eastAsia="ja-JP"/>
              </w:rPr>
            </w:pPr>
            <w:r w:rsidRPr="00B8307D">
              <w:rPr>
                <w:sz w:val="22"/>
                <w:szCs w:val="22"/>
                <w:lang w:val="sr-Latn-ME" w:eastAsia="ja-JP"/>
              </w:rPr>
              <w:t>Progresija malignih neoplazmi</w:t>
            </w:r>
          </w:p>
        </w:tc>
        <w:tc>
          <w:tcPr>
            <w:tcW w:w="1289" w:type="pct"/>
            <w:tcBorders>
              <w:top w:val="single" w:sz="4" w:space="0" w:color="auto"/>
              <w:left w:val="single" w:sz="4" w:space="0" w:color="auto"/>
              <w:bottom w:val="single" w:sz="4" w:space="0" w:color="auto"/>
              <w:right w:val="single" w:sz="4" w:space="0" w:color="auto"/>
            </w:tcBorders>
            <w:hideMark/>
          </w:tcPr>
          <w:p w14:paraId="45EF7039" w14:textId="77777777" w:rsidR="004F6368" w:rsidRPr="00B8307D" w:rsidRDefault="004F6368" w:rsidP="000A067B">
            <w:pPr>
              <w:widowControl w:val="0"/>
              <w:rPr>
                <w:sz w:val="22"/>
                <w:szCs w:val="22"/>
                <w:lang w:val="sr-Latn-ME" w:eastAsia="ja-JP"/>
              </w:rPr>
            </w:pPr>
            <w:r w:rsidRPr="00B8307D">
              <w:rPr>
                <w:sz w:val="22"/>
                <w:szCs w:val="22"/>
                <w:lang w:val="sr-Latn-ME" w:eastAsia="ja-JP"/>
              </w:rPr>
              <w:t>Nepoznato</w:t>
            </w:r>
          </w:p>
        </w:tc>
      </w:tr>
      <w:tr w:rsidR="004F6368" w:rsidRPr="00B8307D" w14:paraId="46820748" w14:textId="77777777" w:rsidTr="000A067B">
        <w:trPr>
          <w:trHeight w:val="212"/>
        </w:trPr>
        <w:tc>
          <w:tcPr>
            <w:tcW w:w="1733" w:type="pct"/>
            <w:vMerge/>
            <w:tcBorders>
              <w:top w:val="single" w:sz="4" w:space="0" w:color="auto"/>
              <w:left w:val="single" w:sz="4" w:space="0" w:color="auto"/>
              <w:bottom w:val="single" w:sz="4" w:space="0" w:color="auto"/>
              <w:right w:val="single" w:sz="4" w:space="0" w:color="auto"/>
            </w:tcBorders>
            <w:vAlign w:val="center"/>
            <w:hideMark/>
          </w:tcPr>
          <w:p w14:paraId="5CE416BD" w14:textId="77777777" w:rsidR="004F6368" w:rsidRPr="00B8307D" w:rsidRDefault="004F6368" w:rsidP="000A067B">
            <w:pPr>
              <w:widowControl w:val="0"/>
              <w:rPr>
                <w:sz w:val="22"/>
                <w:szCs w:val="22"/>
                <w:lang w:val="sr-Latn-ME" w:eastAsia="ja-JP"/>
              </w:rPr>
            </w:pPr>
          </w:p>
        </w:tc>
        <w:tc>
          <w:tcPr>
            <w:tcW w:w="1978" w:type="pct"/>
            <w:tcBorders>
              <w:top w:val="single" w:sz="4" w:space="0" w:color="auto"/>
              <w:left w:val="single" w:sz="4" w:space="0" w:color="auto"/>
              <w:bottom w:val="single" w:sz="4" w:space="0" w:color="auto"/>
              <w:right w:val="single" w:sz="4" w:space="0" w:color="auto"/>
            </w:tcBorders>
            <w:hideMark/>
          </w:tcPr>
          <w:p w14:paraId="3549300B" w14:textId="77777777" w:rsidR="004F6368" w:rsidRPr="00B8307D" w:rsidRDefault="004F6368" w:rsidP="000A067B">
            <w:pPr>
              <w:widowControl w:val="0"/>
              <w:rPr>
                <w:sz w:val="22"/>
                <w:szCs w:val="22"/>
                <w:lang w:val="sr-Latn-ME" w:eastAsia="ja-JP"/>
              </w:rPr>
            </w:pPr>
            <w:r w:rsidRPr="00B8307D">
              <w:rPr>
                <w:sz w:val="22"/>
                <w:szCs w:val="22"/>
                <w:lang w:val="sr-Latn-ME" w:eastAsia="ja-JP"/>
              </w:rPr>
              <w:t>Progresija neoplazmi</w:t>
            </w:r>
          </w:p>
        </w:tc>
        <w:tc>
          <w:tcPr>
            <w:tcW w:w="1289" w:type="pct"/>
            <w:tcBorders>
              <w:top w:val="single" w:sz="4" w:space="0" w:color="auto"/>
              <w:left w:val="single" w:sz="4" w:space="0" w:color="auto"/>
              <w:bottom w:val="single" w:sz="4" w:space="0" w:color="auto"/>
              <w:right w:val="single" w:sz="4" w:space="0" w:color="auto"/>
            </w:tcBorders>
            <w:hideMark/>
          </w:tcPr>
          <w:p w14:paraId="53C4F89A" w14:textId="77777777" w:rsidR="004F6368" w:rsidRPr="00B8307D" w:rsidRDefault="004F6368" w:rsidP="000A067B">
            <w:pPr>
              <w:widowControl w:val="0"/>
              <w:rPr>
                <w:sz w:val="22"/>
                <w:szCs w:val="22"/>
                <w:lang w:val="sr-Latn-ME" w:eastAsia="ja-JP"/>
              </w:rPr>
            </w:pPr>
            <w:r w:rsidRPr="00B8307D">
              <w:rPr>
                <w:sz w:val="22"/>
                <w:szCs w:val="22"/>
                <w:lang w:val="sr-Latn-ME" w:eastAsia="ja-JP"/>
              </w:rPr>
              <w:t>Nepoznato</w:t>
            </w:r>
          </w:p>
        </w:tc>
      </w:tr>
      <w:tr w:rsidR="004F6368" w:rsidRPr="00B8307D" w14:paraId="7AFFBA2C" w14:textId="77777777" w:rsidTr="000A067B">
        <w:trPr>
          <w:trHeight w:val="319"/>
        </w:trPr>
        <w:tc>
          <w:tcPr>
            <w:tcW w:w="1733" w:type="pct"/>
            <w:vMerge w:val="restart"/>
            <w:tcBorders>
              <w:top w:val="single" w:sz="4" w:space="0" w:color="auto"/>
              <w:left w:val="single" w:sz="4" w:space="0" w:color="auto"/>
              <w:right w:val="single" w:sz="4" w:space="0" w:color="auto"/>
            </w:tcBorders>
            <w:hideMark/>
          </w:tcPr>
          <w:p w14:paraId="055E3F1C" w14:textId="77777777" w:rsidR="004F6368" w:rsidRPr="00B8307D" w:rsidRDefault="004F6368" w:rsidP="000A067B">
            <w:pPr>
              <w:widowControl w:val="0"/>
              <w:rPr>
                <w:sz w:val="22"/>
                <w:szCs w:val="22"/>
                <w:lang w:val="sr-Latn-ME" w:eastAsia="ja-JP"/>
              </w:rPr>
            </w:pPr>
            <w:r w:rsidRPr="00B8307D">
              <w:rPr>
                <w:sz w:val="22"/>
                <w:szCs w:val="22"/>
                <w:lang w:val="sr-Latn-ME" w:eastAsia="ja-JP"/>
              </w:rPr>
              <w:t>Poremećaji krvi i limfnog sistema</w:t>
            </w:r>
          </w:p>
        </w:tc>
        <w:tc>
          <w:tcPr>
            <w:tcW w:w="1978" w:type="pct"/>
            <w:tcBorders>
              <w:top w:val="single" w:sz="4" w:space="0" w:color="auto"/>
              <w:left w:val="single" w:sz="4" w:space="0" w:color="auto"/>
              <w:bottom w:val="single" w:sz="4" w:space="0" w:color="auto"/>
              <w:right w:val="single" w:sz="4" w:space="0" w:color="auto"/>
            </w:tcBorders>
            <w:hideMark/>
          </w:tcPr>
          <w:p w14:paraId="0BA7C282" w14:textId="77777777" w:rsidR="004F6368" w:rsidRPr="00B8307D" w:rsidRDefault="004F6368" w:rsidP="000A067B">
            <w:pPr>
              <w:widowControl w:val="0"/>
              <w:rPr>
                <w:sz w:val="22"/>
                <w:szCs w:val="22"/>
                <w:lang w:val="sr-Latn-ME" w:eastAsia="ja-JP"/>
              </w:rPr>
            </w:pPr>
            <w:r w:rsidRPr="00B8307D">
              <w:rPr>
                <w:sz w:val="22"/>
                <w:szCs w:val="22"/>
                <w:lang w:val="sr-Latn-ME" w:eastAsia="ja-JP"/>
              </w:rPr>
              <w:t>Febrilna neutropenija</w:t>
            </w:r>
          </w:p>
        </w:tc>
        <w:tc>
          <w:tcPr>
            <w:tcW w:w="1289" w:type="pct"/>
            <w:tcBorders>
              <w:top w:val="single" w:sz="4" w:space="0" w:color="auto"/>
              <w:left w:val="single" w:sz="4" w:space="0" w:color="auto"/>
              <w:bottom w:val="single" w:sz="4" w:space="0" w:color="auto"/>
              <w:right w:val="single" w:sz="4" w:space="0" w:color="auto"/>
            </w:tcBorders>
            <w:hideMark/>
          </w:tcPr>
          <w:p w14:paraId="3DDDA495" w14:textId="77777777" w:rsidR="004F6368" w:rsidRPr="00B8307D" w:rsidRDefault="004F6368" w:rsidP="000A067B">
            <w:pPr>
              <w:widowControl w:val="0"/>
              <w:rPr>
                <w:sz w:val="22"/>
                <w:szCs w:val="22"/>
                <w:lang w:val="sr-Latn-ME" w:eastAsia="ja-JP"/>
              </w:rPr>
            </w:pPr>
            <w:r w:rsidRPr="00B8307D">
              <w:rPr>
                <w:sz w:val="22"/>
                <w:szCs w:val="22"/>
                <w:lang w:val="sr-Latn-ME" w:eastAsia="ja-JP"/>
              </w:rPr>
              <w:t xml:space="preserve">Vrlo često </w:t>
            </w:r>
          </w:p>
        </w:tc>
      </w:tr>
      <w:tr w:rsidR="004F6368" w:rsidRPr="00B8307D" w14:paraId="1861C7BA" w14:textId="77777777" w:rsidTr="000A067B">
        <w:trPr>
          <w:trHeight w:val="319"/>
        </w:trPr>
        <w:tc>
          <w:tcPr>
            <w:tcW w:w="1733" w:type="pct"/>
            <w:vMerge/>
            <w:tcBorders>
              <w:left w:val="single" w:sz="4" w:space="0" w:color="auto"/>
              <w:right w:val="single" w:sz="4" w:space="0" w:color="auto"/>
            </w:tcBorders>
            <w:vAlign w:val="center"/>
            <w:hideMark/>
          </w:tcPr>
          <w:p w14:paraId="3F962637" w14:textId="77777777" w:rsidR="004F6368" w:rsidRPr="00B8307D" w:rsidRDefault="004F6368" w:rsidP="000A067B">
            <w:pPr>
              <w:widowControl w:val="0"/>
              <w:rPr>
                <w:sz w:val="22"/>
                <w:szCs w:val="22"/>
                <w:lang w:val="sr-Latn-ME" w:eastAsia="ja-JP"/>
              </w:rPr>
            </w:pPr>
          </w:p>
        </w:tc>
        <w:tc>
          <w:tcPr>
            <w:tcW w:w="1978" w:type="pct"/>
            <w:tcBorders>
              <w:top w:val="single" w:sz="4" w:space="0" w:color="auto"/>
              <w:left w:val="single" w:sz="4" w:space="0" w:color="auto"/>
              <w:bottom w:val="single" w:sz="4" w:space="0" w:color="auto"/>
              <w:right w:val="single" w:sz="4" w:space="0" w:color="auto"/>
            </w:tcBorders>
            <w:hideMark/>
          </w:tcPr>
          <w:p w14:paraId="7E44EC1C" w14:textId="77777777" w:rsidR="004F6368" w:rsidRPr="00B8307D" w:rsidRDefault="004F6368" w:rsidP="000A067B">
            <w:pPr>
              <w:widowControl w:val="0"/>
              <w:rPr>
                <w:sz w:val="22"/>
                <w:szCs w:val="22"/>
                <w:lang w:val="sr-Latn-ME" w:eastAsia="ja-JP"/>
              </w:rPr>
            </w:pPr>
            <w:r w:rsidRPr="00B8307D">
              <w:rPr>
                <w:sz w:val="22"/>
                <w:szCs w:val="22"/>
                <w:lang w:val="sr-Latn-ME" w:eastAsia="ja-JP"/>
              </w:rPr>
              <w:t>Anemija</w:t>
            </w:r>
          </w:p>
        </w:tc>
        <w:tc>
          <w:tcPr>
            <w:tcW w:w="1289" w:type="pct"/>
            <w:tcBorders>
              <w:top w:val="single" w:sz="4" w:space="0" w:color="auto"/>
              <w:left w:val="single" w:sz="4" w:space="0" w:color="auto"/>
              <w:bottom w:val="single" w:sz="4" w:space="0" w:color="auto"/>
              <w:right w:val="single" w:sz="4" w:space="0" w:color="auto"/>
            </w:tcBorders>
            <w:hideMark/>
          </w:tcPr>
          <w:p w14:paraId="3522F019" w14:textId="77777777" w:rsidR="004F6368" w:rsidRPr="00B8307D" w:rsidRDefault="004F6368" w:rsidP="000A067B">
            <w:pPr>
              <w:widowControl w:val="0"/>
              <w:rPr>
                <w:sz w:val="20"/>
                <w:szCs w:val="20"/>
                <w:lang w:val="sr-Latn-ME"/>
              </w:rPr>
            </w:pPr>
            <w:r w:rsidRPr="00B8307D">
              <w:rPr>
                <w:sz w:val="22"/>
                <w:szCs w:val="22"/>
                <w:lang w:val="sr-Latn-ME"/>
              </w:rPr>
              <w:t xml:space="preserve">Vrlo često </w:t>
            </w:r>
          </w:p>
        </w:tc>
      </w:tr>
      <w:tr w:rsidR="004F6368" w:rsidRPr="00B8307D" w14:paraId="2975B557" w14:textId="77777777" w:rsidTr="000A067B">
        <w:trPr>
          <w:trHeight w:val="258"/>
        </w:trPr>
        <w:tc>
          <w:tcPr>
            <w:tcW w:w="1733" w:type="pct"/>
            <w:vMerge/>
            <w:tcBorders>
              <w:left w:val="single" w:sz="4" w:space="0" w:color="auto"/>
              <w:right w:val="single" w:sz="4" w:space="0" w:color="auto"/>
            </w:tcBorders>
            <w:vAlign w:val="center"/>
            <w:hideMark/>
          </w:tcPr>
          <w:p w14:paraId="7A37D979" w14:textId="77777777" w:rsidR="004F6368" w:rsidRPr="00B8307D" w:rsidRDefault="004F6368" w:rsidP="000A067B">
            <w:pPr>
              <w:widowControl w:val="0"/>
              <w:rPr>
                <w:sz w:val="22"/>
                <w:szCs w:val="22"/>
                <w:lang w:val="sr-Latn-ME" w:eastAsia="ja-JP"/>
              </w:rPr>
            </w:pPr>
          </w:p>
        </w:tc>
        <w:tc>
          <w:tcPr>
            <w:tcW w:w="1978" w:type="pct"/>
            <w:tcBorders>
              <w:top w:val="single" w:sz="4" w:space="0" w:color="auto"/>
              <w:left w:val="single" w:sz="4" w:space="0" w:color="auto"/>
              <w:bottom w:val="single" w:sz="4" w:space="0" w:color="auto"/>
              <w:right w:val="single" w:sz="4" w:space="0" w:color="auto"/>
            </w:tcBorders>
            <w:hideMark/>
          </w:tcPr>
          <w:p w14:paraId="4B9EEBEB" w14:textId="77777777" w:rsidR="004F6368" w:rsidRPr="00B8307D" w:rsidRDefault="004F6368" w:rsidP="000A067B">
            <w:pPr>
              <w:widowControl w:val="0"/>
              <w:rPr>
                <w:sz w:val="22"/>
                <w:szCs w:val="22"/>
                <w:lang w:val="sr-Latn-ME" w:eastAsia="ja-JP"/>
              </w:rPr>
            </w:pPr>
            <w:r w:rsidRPr="00B8307D">
              <w:rPr>
                <w:sz w:val="22"/>
                <w:szCs w:val="22"/>
                <w:lang w:val="sr-Latn-ME" w:eastAsia="ja-JP"/>
              </w:rPr>
              <w:t>Neutropenija</w:t>
            </w:r>
          </w:p>
        </w:tc>
        <w:tc>
          <w:tcPr>
            <w:tcW w:w="1289" w:type="pct"/>
            <w:tcBorders>
              <w:top w:val="single" w:sz="4" w:space="0" w:color="auto"/>
              <w:left w:val="single" w:sz="4" w:space="0" w:color="auto"/>
              <w:bottom w:val="single" w:sz="4" w:space="0" w:color="auto"/>
              <w:right w:val="single" w:sz="4" w:space="0" w:color="auto"/>
            </w:tcBorders>
            <w:hideMark/>
          </w:tcPr>
          <w:p w14:paraId="2ACD850B" w14:textId="77777777" w:rsidR="004F6368" w:rsidRPr="00B8307D" w:rsidRDefault="004F6368" w:rsidP="000A067B">
            <w:pPr>
              <w:widowControl w:val="0"/>
              <w:rPr>
                <w:sz w:val="20"/>
                <w:szCs w:val="20"/>
                <w:lang w:val="sr-Latn-ME"/>
              </w:rPr>
            </w:pPr>
            <w:r w:rsidRPr="00B8307D">
              <w:rPr>
                <w:sz w:val="22"/>
                <w:szCs w:val="22"/>
                <w:lang w:val="sr-Latn-ME"/>
              </w:rPr>
              <w:t xml:space="preserve">Vrlo često </w:t>
            </w:r>
          </w:p>
        </w:tc>
      </w:tr>
      <w:tr w:rsidR="004F6368" w:rsidRPr="00B8307D" w14:paraId="75B526FC" w14:textId="77777777" w:rsidTr="000A067B">
        <w:trPr>
          <w:trHeight w:val="128"/>
        </w:trPr>
        <w:tc>
          <w:tcPr>
            <w:tcW w:w="1733" w:type="pct"/>
            <w:vMerge/>
            <w:tcBorders>
              <w:left w:val="single" w:sz="4" w:space="0" w:color="auto"/>
              <w:right w:val="single" w:sz="4" w:space="0" w:color="auto"/>
            </w:tcBorders>
            <w:vAlign w:val="center"/>
            <w:hideMark/>
          </w:tcPr>
          <w:p w14:paraId="23BA82E1" w14:textId="77777777" w:rsidR="004F6368" w:rsidRPr="00B8307D" w:rsidRDefault="004F6368" w:rsidP="000A067B">
            <w:pPr>
              <w:widowControl w:val="0"/>
              <w:rPr>
                <w:sz w:val="22"/>
                <w:szCs w:val="22"/>
                <w:lang w:val="sr-Latn-ME" w:eastAsia="ja-JP"/>
              </w:rPr>
            </w:pPr>
          </w:p>
        </w:tc>
        <w:tc>
          <w:tcPr>
            <w:tcW w:w="1978" w:type="pct"/>
            <w:tcBorders>
              <w:top w:val="single" w:sz="4" w:space="0" w:color="auto"/>
              <w:left w:val="single" w:sz="4" w:space="0" w:color="auto"/>
              <w:bottom w:val="single" w:sz="4" w:space="0" w:color="auto"/>
              <w:right w:val="single" w:sz="4" w:space="0" w:color="auto"/>
            </w:tcBorders>
          </w:tcPr>
          <w:p w14:paraId="453BB506" w14:textId="77777777" w:rsidR="004F6368" w:rsidRPr="00B8307D" w:rsidRDefault="004F6368" w:rsidP="000A067B">
            <w:pPr>
              <w:widowControl w:val="0"/>
              <w:rPr>
                <w:sz w:val="22"/>
                <w:szCs w:val="22"/>
                <w:lang w:val="sr-Latn-ME" w:eastAsia="ja-JP"/>
              </w:rPr>
            </w:pPr>
            <w:r w:rsidRPr="00B8307D">
              <w:rPr>
                <w:sz w:val="22"/>
                <w:szCs w:val="22"/>
                <w:lang w:val="sr-Latn-ME" w:eastAsia="ja-JP"/>
              </w:rPr>
              <w:t>Smanjen broj bijelih krvnih ćelija/leukopenija</w:t>
            </w:r>
          </w:p>
        </w:tc>
        <w:tc>
          <w:tcPr>
            <w:tcW w:w="1289" w:type="pct"/>
            <w:tcBorders>
              <w:top w:val="single" w:sz="4" w:space="0" w:color="auto"/>
              <w:left w:val="single" w:sz="4" w:space="0" w:color="auto"/>
              <w:bottom w:val="single" w:sz="4" w:space="0" w:color="auto"/>
              <w:right w:val="single" w:sz="4" w:space="0" w:color="auto"/>
            </w:tcBorders>
          </w:tcPr>
          <w:p w14:paraId="1E9C855E" w14:textId="77777777" w:rsidR="004F6368" w:rsidRPr="00B8307D" w:rsidRDefault="004F6368" w:rsidP="000A067B">
            <w:pPr>
              <w:widowControl w:val="0"/>
              <w:rPr>
                <w:sz w:val="20"/>
                <w:szCs w:val="20"/>
                <w:lang w:val="sr-Latn-ME"/>
              </w:rPr>
            </w:pPr>
            <w:r w:rsidRPr="00B8307D">
              <w:rPr>
                <w:sz w:val="20"/>
                <w:szCs w:val="20"/>
                <w:lang w:val="sr-Latn-ME"/>
              </w:rPr>
              <w:t>Vrlo često</w:t>
            </w:r>
          </w:p>
        </w:tc>
      </w:tr>
      <w:tr w:rsidR="004F6368" w:rsidRPr="00B8307D" w14:paraId="6ED6A518" w14:textId="77777777" w:rsidTr="000A067B">
        <w:trPr>
          <w:trHeight w:val="248"/>
        </w:trPr>
        <w:tc>
          <w:tcPr>
            <w:tcW w:w="1733" w:type="pct"/>
            <w:vMerge/>
            <w:tcBorders>
              <w:left w:val="single" w:sz="4" w:space="0" w:color="auto"/>
              <w:right w:val="single" w:sz="4" w:space="0" w:color="auto"/>
            </w:tcBorders>
            <w:vAlign w:val="center"/>
            <w:hideMark/>
          </w:tcPr>
          <w:p w14:paraId="41A58875" w14:textId="77777777" w:rsidR="004F6368" w:rsidRPr="00B8307D" w:rsidRDefault="004F6368" w:rsidP="000A067B">
            <w:pPr>
              <w:widowControl w:val="0"/>
              <w:rPr>
                <w:sz w:val="22"/>
                <w:szCs w:val="22"/>
                <w:lang w:val="sr-Latn-ME" w:eastAsia="ja-JP"/>
              </w:rPr>
            </w:pPr>
          </w:p>
        </w:tc>
        <w:tc>
          <w:tcPr>
            <w:tcW w:w="1978" w:type="pct"/>
            <w:tcBorders>
              <w:top w:val="single" w:sz="4" w:space="0" w:color="auto"/>
              <w:left w:val="single" w:sz="4" w:space="0" w:color="auto"/>
              <w:bottom w:val="single" w:sz="4" w:space="0" w:color="auto"/>
              <w:right w:val="single" w:sz="4" w:space="0" w:color="auto"/>
            </w:tcBorders>
          </w:tcPr>
          <w:p w14:paraId="0670D489" w14:textId="77777777" w:rsidR="004F6368" w:rsidRPr="00B8307D" w:rsidRDefault="004F6368" w:rsidP="000A067B">
            <w:pPr>
              <w:widowControl w:val="0"/>
              <w:rPr>
                <w:sz w:val="22"/>
                <w:szCs w:val="22"/>
                <w:lang w:val="sr-Latn-ME" w:eastAsia="ja-JP"/>
              </w:rPr>
            </w:pPr>
            <w:r w:rsidRPr="00B8307D">
              <w:rPr>
                <w:sz w:val="22"/>
                <w:szCs w:val="22"/>
                <w:lang w:val="sr-Latn-ME" w:eastAsia="ja-JP"/>
              </w:rPr>
              <w:t>Trombocitopenija</w:t>
            </w:r>
          </w:p>
        </w:tc>
        <w:tc>
          <w:tcPr>
            <w:tcW w:w="1289" w:type="pct"/>
            <w:tcBorders>
              <w:top w:val="single" w:sz="4" w:space="0" w:color="auto"/>
              <w:left w:val="single" w:sz="4" w:space="0" w:color="auto"/>
              <w:bottom w:val="single" w:sz="4" w:space="0" w:color="auto"/>
              <w:right w:val="single" w:sz="4" w:space="0" w:color="auto"/>
            </w:tcBorders>
          </w:tcPr>
          <w:p w14:paraId="3196520E" w14:textId="77777777" w:rsidR="004F6368" w:rsidRPr="00B8307D" w:rsidRDefault="004F6368" w:rsidP="000A067B">
            <w:pPr>
              <w:widowControl w:val="0"/>
              <w:rPr>
                <w:sz w:val="20"/>
                <w:szCs w:val="20"/>
                <w:lang w:val="sr-Latn-ME"/>
              </w:rPr>
            </w:pPr>
            <w:r w:rsidRPr="00B8307D">
              <w:rPr>
                <w:sz w:val="22"/>
                <w:szCs w:val="22"/>
                <w:lang w:val="sr-Latn-ME"/>
              </w:rPr>
              <w:t xml:space="preserve">Vrlo često </w:t>
            </w:r>
          </w:p>
        </w:tc>
      </w:tr>
      <w:tr w:rsidR="004F6368" w:rsidRPr="00B8307D" w14:paraId="13FC5FDA" w14:textId="77777777" w:rsidTr="000A067B">
        <w:trPr>
          <w:trHeight w:val="260"/>
        </w:trPr>
        <w:tc>
          <w:tcPr>
            <w:tcW w:w="1733" w:type="pct"/>
            <w:vMerge/>
            <w:tcBorders>
              <w:left w:val="single" w:sz="4" w:space="0" w:color="auto"/>
              <w:right w:val="single" w:sz="4" w:space="0" w:color="auto"/>
            </w:tcBorders>
            <w:vAlign w:val="center"/>
            <w:hideMark/>
          </w:tcPr>
          <w:p w14:paraId="3B888AE5" w14:textId="77777777" w:rsidR="004F6368" w:rsidRPr="00B8307D" w:rsidRDefault="004F6368" w:rsidP="000A067B">
            <w:pPr>
              <w:widowControl w:val="0"/>
              <w:rPr>
                <w:sz w:val="22"/>
                <w:szCs w:val="22"/>
                <w:lang w:val="sr-Latn-ME" w:eastAsia="ja-JP"/>
              </w:rPr>
            </w:pPr>
          </w:p>
        </w:tc>
        <w:tc>
          <w:tcPr>
            <w:tcW w:w="1978" w:type="pct"/>
            <w:tcBorders>
              <w:top w:val="single" w:sz="4" w:space="0" w:color="auto"/>
              <w:left w:val="single" w:sz="4" w:space="0" w:color="auto"/>
              <w:bottom w:val="single" w:sz="4" w:space="0" w:color="auto"/>
              <w:right w:val="single" w:sz="4" w:space="0" w:color="auto"/>
            </w:tcBorders>
            <w:hideMark/>
          </w:tcPr>
          <w:p w14:paraId="004552BB" w14:textId="77777777" w:rsidR="004F6368" w:rsidRPr="00B8307D" w:rsidRDefault="004F6368" w:rsidP="000A067B">
            <w:pPr>
              <w:widowControl w:val="0"/>
              <w:rPr>
                <w:sz w:val="22"/>
                <w:szCs w:val="22"/>
                <w:lang w:val="sr-Latn-ME" w:eastAsia="ja-JP"/>
              </w:rPr>
            </w:pPr>
            <w:r w:rsidRPr="00B8307D">
              <w:rPr>
                <w:sz w:val="22"/>
                <w:szCs w:val="22"/>
                <w:lang w:val="sr-Latn-ME" w:eastAsia="ja-JP"/>
              </w:rPr>
              <w:t>Hipoprotrombinemija</w:t>
            </w:r>
          </w:p>
        </w:tc>
        <w:tc>
          <w:tcPr>
            <w:tcW w:w="1289" w:type="pct"/>
            <w:tcBorders>
              <w:top w:val="single" w:sz="4" w:space="0" w:color="auto"/>
              <w:left w:val="single" w:sz="4" w:space="0" w:color="auto"/>
              <w:bottom w:val="single" w:sz="4" w:space="0" w:color="auto"/>
              <w:right w:val="single" w:sz="4" w:space="0" w:color="auto"/>
            </w:tcBorders>
            <w:hideMark/>
          </w:tcPr>
          <w:p w14:paraId="7E8373BF" w14:textId="77777777" w:rsidR="004F6368" w:rsidRPr="00B8307D" w:rsidRDefault="004F6368" w:rsidP="000A067B">
            <w:pPr>
              <w:widowControl w:val="0"/>
              <w:rPr>
                <w:sz w:val="22"/>
                <w:szCs w:val="22"/>
                <w:lang w:val="sr-Latn-ME" w:eastAsia="ja-JP"/>
              </w:rPr>
            </w:pPr>
            <w:r w:rsidRPr="00B8307D">
              <w:rPr>
                <w:sz w:val="22"/>
                <w:szCs w:val="22"/>
                <w:lang w:val="sr-Latn-ME" w:eastAsia="ja-JP"/>
              </w:rPr>
              <w:t>Nepoznato</w:t>
            </w:r>
          </w:p>
        </w:tc>
      </w:tr>
      <w:tr w:rsidR="004F6368" w:rsidRPr="00B8307D" w14:paraId="6D0790E6" w14:textId="77777777" w:rsidTr="000A067B">
        <w:trPr>
          <w:trHeight w:val="260"/>
        </w:trPr>
        <w:tc>
          <w:tcPr>
            <w:tcW w:w="1733" w:type="pct"/>
            <w:vMerge/>
            <w:tcBorders>
              <w:left w:val="single" w:sz="4" w:space="0" w:color="auto"/>
              <w:bottom w:val="single" w:sz="4" w:space="0" w:color="auto"/>
              <w:right w:val="single" w:sz="4" w:space="0" w:color="auto"/>
            </w:tcBorders>
            <w:vAlign w:val="center"/>
          </w:tcPr>
          <w:p w14:paraId="53F5DAA0" w14:textId="77777777" w:rsidR="004F6368" w:rsidRPr="00B8307D" w:rsidRDefault="004F6368" w:rsidP="000A067B">
            <w:pPr>
              <w:widowControl w:val="0"/>
              <w:rPr>
                <w:sz w:val="22"/>
                <w:szCs w:val="22"/>
                <w:lang w:val="sr-Latn-ME" w:eastAsia="ja-JP"/>
              </w:rPr>
            </w:pPr>
          </w:p>
        </w:tc>
        <w:tc>
          <w:tcPr>
            <w:tcW w:w="1978" w:type="pct"/>
            <w:tcBorders>
              <w:top w:val="single" w:sz="4" w:space="0" w:color="auto"/>
              <w:left w:val="single" w:sz="4" w:space="0" w:color="auto"/>
              <w:bottom w:val="single" w:sz="4" w:space="0" w:color="auto"/>
              <w:right w:val="single" w:sz="4" w:space="0" w:color="auto"/>
            </w:tcBorders>
          </w:tcPr>
          <w:p w14:paraId="19D12151" w14:textId="77777777" w:rsidR="004F6368" w:rsidRPr="00B8307D" w:rsidRDefault="004F6368" w:rsidP="000A067B">
            <w:pPr>
              <w:widowControl w:val="0"/>
              <w:rPr>
                <w:sz w:val="22"/>
                <w:szCs w:val="22"/>
                <w:lang w:val="sr-Latn-ME" w:eastAsia="ja-JP"/>
              </w:rPr>
            </w:pPr>
            <w:r w:rsidRPr="00B8307D">
              <w:rPr>
                <w:sz w:val="22"/>
                <w:szCs w:val="22"/>
                <w:lang w:val="sr-Latn-ME" w:eastAsia="ja-JP"/>
              </w:rPr>
              <w:t>Imunološka trombocitopenija</w:t>
            </w:r>
          </w:p>
        </w:tc>
        <w:tc>
          <w:tcPr>
            <w:tcW w:w="1289" w:type="pct"/>
            <w:tcBorders>
              <w:top w:val="single" w:sz="4" w:space="0" w:color="auto"/>
              <w:left w:val="single" w:sz="4" w:space="0" w:color="auto"/>
              <w:bottom w:val="single" w:sz="4" w:space="0" w:color="auto"/>
              <w:right w:val="single" w:sz="4" w:space="0" w:color="auto"/>
            </w:tcBorders>
          </w:tcPr>
          <w:p w14:paraId="06F7D734" w14:textId="77777777" w:rsidR="004F6368" w:rsidRPr="00B8307D" w:rsidRDefault="004F6368" w:rsidP="000A067B">
            <w:pPr>
              <w:widowControl w:val="0"/>
              <w:rPr>
                <w:sz w:val="22"/>
                <w:szCs w:val="22"/>
                <w:lang w:val="sr-Latn-ME" w:eastAsia="ja-JP"/>
              </w:rPr>
            </w:pPr>
            <w:r w:rsidRPr="00B8307D">
              <w:rPr>
                <w:sz w:val="22"/>
                <w:szCs w:val="22"/>
                <w:lang w:val="sr-Latn-ME" w:eastAsia="ja-JP"/>
              </w:rPr>
              <w:t>Nepoznato</w:t>
            </w:r>
          </w:p>
        </w:tc>
      </w:tr>
      <w:tr w:rsidR="004F6368" w:rsidRPr="00B8307D" w14:paraId="5E44AFA2" w14:textId="77777777" w:rsidTr="000A067B">
        <w:trPr>
          <w:trHeight w:val="214"/>
        </w:trPr>
        <w:tc>
          <w:tcPr>
            <w:tcW w:w="1733" w:type="pct"/>
            <w:vMerge w:val="restart"/>
            <w:tcBorders>
              <w:top w:val="single" w:sz="4" w:space="0" w:color="auto"/>
              <w:left w:val="single" w:sz="4" w:space="0" w:color="auto"/>
              <w:bottom w:val="single" w:sz="4" w:space="0" w:color="auto"/>
              <w:right w:val="single" w:sz="4" w:space="0" w:color="auto"/>
            </w:tcBorders>
            <w:hideMark/>
          </w:tcPr>
          <w:p w14:paraId="564EAB6F" w14:textId="77777777" w:rsidR="004F6368" w:rsidRPr="00B8307D" w:rsidRDefault="004F6368" w:rsidP="000A067B">
            <w:pPr>
              <w:widowControl w:val="0"/>
              <w:rPr>
                <w:sz w:val="22"/>
                <w:szCs w:val="22"/>
                <w:lang w:val="sr-Latn-ME" w:eastAsia="ja-JP"/>
              </w:rPr>
            </w:pPr>
            <w:r w:rsidRPr="00B8307D">
              <w:rPr>
                <w:sz w:val="22"/>
                <w:szCs w:val="22"/>
                <w:lang w:val="sr-Latn-ME" w:eastAsia="ja-JP"/>
              </w:rPr>
              <w:t>Poremećaji imunog sistema</w:t>
            </w:r>
          </w:p>
        </w:tc>
        <w:tc>
          <w:tcPr>
            <w:tcW w:w="1978" w:type="pct"/>
            <w:tcBorders>
              <w:top w:val="single" w:sz="4" w:space="0" w:color="auto"/>
              <w:left w:val="single" w:sz="4" w:space="0" w:color="auto"/>
              <w:bottom w:val="single" w:sz="4" w:space="0" w:color="auto"/>
              <w:right w:val="single" w:sz="4" w:space="0" w:color="auto"/>
            </w:tcBorders>
            <w:hideMark/>
          </w:tcPr>
          <w:p w14:paraId="2313A01C" w14:textId="77777777" w:rsidR="004F6368" w:rsidRPr="00B8307D" w:rsidRDefault="004F6368" w:rsidP="000A067B">
            <w:pPr>
              <w:widowControl w:val="0"/>
              <w:rPr>
                <w:sz w:val="22"/>
                <w:szCs w:val="22"/>
                <w:lang w:val="sr-Latn-ME" w:eastAsia="ja-JP"/>
              </w:rPr>
            </w:pPr>
            <w:r w:rsidRPr="00B8307D">
              <w:rPr>
                <w:sz w:val="22"/>
                <w:szCs w:val="22"/>
                <w:lang w:val="sr-Latn-ME" w:eastAsia="ja-JP"/>
              </w:rPr>
              <w:t xml:space="preserve">Preosjetljivost </w:t>
            </w:r>
          </w:p>
        </w:tc>
        <w:tc>
          <w:tcPr>
            <w:tcW w:w="1289" w:type="pct"/>
            <w:tcBorders>
              <w:top w:val="single" w:sz="4" w:space="0" w:color="auto"/>
              <w:left w:val="single" w:sz="4" w:space="0" w:color="auto"/>
              <w:bottom w:val="single" w:sz="4" w:space="0" w:color="auto"/>
              <w:right w:val="single" w:sz="4" w:space="0" w:color="auto"/>
            </w:tcBorders>
            <w:hideMark/>
          </w:tcPr>
          <w:p w14:paraId="42F22365" w14:textId="77777777" w:rsidR="004F6368" w:rsidRPr="00B8307D" w:rsidRDefault="004F6368" w:rsidP="000A067B">
            <w:pPr>
              <w:widowControl w:val="0"/>
              <w:rPr>
                <w:sz w:val="22"/>
                <w:szCs w:val="22"/>
                <w:lang w:val="sr-Latn-ME" w:eastAsia="ja-JP"/>
              </w:rPr>
            </w:pPr>
            <w:r w:rsidRPr="00B8307D">
              <w:rPr>
                <w:sz w:val="22"/>
                <w:szCs w:val="22"/>
                <w:lang w:val="sr-Latn-ME" w:eastAsia="ja-JP"/>
              </w:rPr>
              <w:t>Često</w:t>
            </w:r>
          </w:p>
        </w:tc>
      </w:tr>
      <w:tr w:rsidR="004F6368" w:rsidRPr="00B8307D" w14:paraId="56FAD98A" w14:textId="77777777" w:rsidTr="000A067B">
        <w:trPr>
          <w:trHeight w:val="233"/>
        </w:trPr>
        <w:tc>
          <w:tcPr>
            <w:tcW w:w="1733" w:type="pct"/>
            <w:vMerge/>
            <w:tcBorders>
              <w:top w:val="single" w:sz="4" w:space="0" w:color="auto"/>
              <w:left w:val="single" w:sz="4" w:space="0" w:color="auto"/>
              <w:bottom w:val="single" w:sz="4" w:space="0" w:color="auto"/>
              <w:right w:val="single" w:sz="4" w:space="0" w:color="auto"/>
            </w:tcBorders>
            <w:vAlign w:val="center"/>
            <w:hideMark/>
          </w:tcPr>
          <w:p w14:paraId="0C12C0CE" w14:textId="77777777" w:rsidR="004F6368" w:rsidRPr="00B8307D" w:rsidRDefault="004F6368" w:rsidP="000A067B">
            <w:pPr>
              <w:widowControl w:val="0"/>
              <w:rPr>
                <w:sz w:val="22"/>
                <w:szCs w:val="22"/>
                <w:lang w:val="sr-Latn-ME" w:eastAsia="ja-JP"/>
              </w:rPr>
            </w:pPr>
          </w:p>
        </w:tc>
        <w:tc>
          <w:tcPr>
            <w:tcW w:w="1978" w:type="pct"/>
            <w:tcBorders>
              <w:top w:val="single" w:sz="4" w:space="0" w:color="auto"/>
              <w:left w:val="single" w:sz="4" w:space="0" w:color="auto"/>
              <w:bottom w:val="single" w:sz="4" w:space="0" w:color="auto"/>
              <w:right w:val="single" w:sz="4" w:space="0" w:color="auto"/>
            </w:tcBorders>
            <w:hideMark/>
          </w:tcPr>
          <w:p w14:paraId="467B6857" w14:textId="77777777" w:rsidR="004F6368" w:rsidRPr="00B8307D" w:rsidRDefault="004F6368" w:rsidP="000A067B">
            <w:pPr>
              <w:widowControl w:val="0"/>
              <w:rPr>
                <w:sz w:val="22"/>
                <w:szCs w:val="22"/>
                <w:lang w:val="sr-Latn-ME" w:eastAsia="ja-JP"/>
              </w:rPr>
            </w:pPr>
            <w:r w:rsidRPr="00B8307D">
              <w:rPr>
                <w:sz w:val="22"/>
                <w:szCs w:val="22"/>
                <w:vertAlign w:val="superscript"/>
                <w:lang w:val="sr-Latn-ME" w:eastAsia="ja-JP"/>
              </w:rPr>
              <w:t>+</w:t>
            </w:r>
            <w:r w:rsidRPr="00B8307D">
              <w:rPr>
                <w:sz w:val="22"/>
                <w:szCs w:val="22"/>
                <w:lang w:val="sr-Latn-ME" w:eastAsia="ja-JP"/>
              </w:rPr>
              <w:t>Anafilaktička reakcija</w:t>
            </w:r>
          </w:p>
        </w:tc>
        <w:tc>
          <w:tcPr>
            <w:tcW w:w="1289" w:type="pct"/>
            <w:tcBorders>
              <w:top w:val="single" w:sz="4" w:space="0" w:color="auto"/>
              <w:left w:val="single" w:sz="4" w:space="0" w:color="auto"/>
              <w:bottom w:val="single" w:sz="4" w:space="0" w:color="auto"/>
              <w:right w:val="single" w:sz="4" w:space="0" w:color="auto"/>
            </w:tcBorders>
            <w:hideMark/>
          </w:tcPr>
          <w:p w14:paraId="075EB2B7" w14:textId="4F6A0AAE" w:rsidR="004F6368" w:rsidRPr="00B8307D" w:rsidRDefault="008674A8" w:rsidP="000A067B">
            <w:pPr>
              <w:widowControl w:val="0"/>
              <w:rPr>
                <w:sz w:val="22"/>
                <w:szCs w:val="22"/>
                <w:lang w:val="sr-Latn-ME" w:eastAsia="ja-JP"/>
              </w:rPr>
            </w:pPr>
            <w:r w:rsidRPr="00B8307D">
              <w:rPr>
                <w:sz w:val="22"/>
                <w:szCs w:val="22"/>
                <w:lang w:val="sr-Latn-ME" w:eastAsia="ja-JP"/>
              </w:rPr>
              <w:t>Rijetko</w:t>
            </w:r>
          </w:p>
        </w:tc>
      </w:tr>
      <w:tr w:rsidR="004F6368" w:rsidRPr="00B8307D" w14:paraId="1E269F57" w14:textId="77777777" w:rsidTr="000A067B">
        <w:trPr>
          <w:trHeight w:val="233"/>
        </w:trPr>
        <w:tc>
          <w:tcPr>
            <w:tcW w:w="1733" w:type="pct"/>
            <w:vMerge/>
            <w:tcBorders>
              <w:top w:val="single" w:sz="4" w:space="0" w:color="auto"/>
              <w:left w:val="single" w:sz="4" w:space="0" w:color="auto"/>
              <w:bottom w:val="single" w:sz="4" w:space="0" w:color="auto"/>
              <w:right w:val="single" w:sz="4" w:space="0" w:color="auto"/>
            </w:tcBorders>
            <w:vAlign w:val="center"/>
            <w:hideMark/>
          </w:tcPr>
          <w:p w14:paraId="707872C6" w14:textId="77777777" w:rsidR="004F6368" w:rsidRPr="00B8307D" w:rsidRDefault="004F6368" w:rsidP="000A067B">
            <w:pPr>
              <w:widowControl w:val="0"/>
              <w:rPr>
                <w:sz w:val="22"/>
                <w:szCs w:val="22"/>
                <w:lang w:val="sr-Latn-ME" w:eastAsia="ja-JP"/>
              </w:rPr>
            </w:pPr>
          </w:p>
        </w:tc>
        <w:tc>
          <w:tcPr>
            <w:tcW w:w="1978" w:type="pct"/>
            <w:tcBorders>
              <w:top w:val="single" w:sz="4" w:space="0" w:color="auto"/>
              <w:left w:val="single" w:sz="4" w:space="0" w:color="auto"/>
              <w:bottom w:val="single" w:sz="4" w:space="0" w:color="auto"/>
              <w:right w:val="single" w:sz="4" w:space="0" w:color="auto"/>
            </w:tcBorders>
            <w:hideMark/>
          </w:tcPr>
          <w:p w14:paraId="57D8087E" w14:textId="77777777" w:rsidR="004F6368" w:rsidRPr="00B8307D" w:rsidRDefault="004F6368" w:rsidP="000A067B">
            <w:pPr>
              <w:widowControl w:val="0"/>
              <w:rPr>
                <w:sz w:val="22"/>
                <w:szCs w:val="22"/>
                <w:lang w:val="sr-Latn-ME" w:eastAsia="ja-JP"/>
              </w:rPr>
            </w:pPr>
            <w:r w:rsidRPr="00B8307D">
              <w:rPr>
                <w:sz w:val="22"/>
                <w:szCs w:val="22"/>
                <w:vertAlign w:val="superscript"/>
                <w:lang w:val="sr-Latn-ME" w:eastAsia="ja-JP"/>
              </w:rPr>
              <w:t>+</w:t>
            </w:r>
            <w:r w:rsidRPr="00B8307D">
              <w:rPr>
                <w:sz w:val="22"/>
                <w:szCs w:val="22"/>
                <w:lang w:val="sr-Latn-ME" w:eastAsia="ja-JP"/>
              </w:rPr>
              <w:t>Anafilaktički šok</w:t>
            </w:r>
          </w:p>
        </w:tc>
        <w:tc>
          <w:tcPr>
            <w:tcW w:w="1289" w:type="pct"/>
            <w:tcBorders>
              <w:top w:val="single" w:sz="4" w:space="0" w:color="auto"/>
              <w:left w:val="single" w:sz="4" w:space="0" w:color="auto"/>
              <w:bottom w:val="single" w:sz="4" w:space="0" w:color="auto"/>
              <w:right w:val="single" w:sz="4" w:space="0" w:color="auto"/>
            </w:tcBorders>
            <w:hideMark/>
          </w:tcPr>
          <w:p w14:paraId="15CABFA3" w14:textId="3228A41B" w:rsidR="004F6368" w:rsidRPr="00B8307D" w:rsidRDefault="008674A8" w:rsidP="000A067B">
            <w:pPr>
              <w:widowControl w:val="0"/>
              <w:rPr>
                <w:sz w:val="22"/>
                <w:szCs w:val="22"/>
                <w:lang w:val="sr-Latn-ME" w:eastAsia="ja-JP"/>
              </w:rPr>
            </w:pPr>
            <w:r w:rsidRPr="00B8307D">
              <w:rPr>
                <w:sz w:val="22"/>
                <w:szCs w:val="22"/>
                <w:lang w:val="sr-Latn-ME" w:eastAsia="ja-JP"/>
              </w:rPr>
              <w:t>Rijetko</w:t>
            </w:r>
          </w:p>
        </w:tc>
      </w:tr>
      <w:tr w:rsidR="004F6368" w:rsidRPr="00B8307D" w14:paraId="3138785D" w14:textId="77777777" w:rsidTr="000A067B">
        <w:trPr>
          <w:trHeight w:val="233"/>
        </w:trPr>
        <w:tc>
          <w:tcPr>
            <w:tcW w:w="1733" w:type="pct"/>
            <w:vMerge w:val="restart"/>
            <w:tcBorders>
              <w:top w:val="single" w:sz="4" w:space="0" w:color="auto"/>
              <w:left w:val="single" w:sz="4" w:space="0" w:color="auto"/>
              <w:bottom w:val="single" w:sz="4" w:space="0" w:color="auto"/>
              <w:right w:val="single" w:sz="4" w:space="0" w:color="auto"/>
            </w:tcBorders>
            <w:hideMark/>
          </w:tcPr>
          <w:p w14:paraId="4ABB9F40" w14:textId="77777777" w:rsidR="004F6368" w:rsidRPr="00B8307D" w:rsidRDefault="004F6368" w:rsidP="000A067B">
            <w:pPr>
              <w:widowControl w:val="0"/>
              <w:rPr>
                <w:sz w:val="22"/>
                <w:szCs w:val="22"/>
                <w:lang w:val="sr-Latn-ME" w:eastAsia="ja-JP"/>
              </w:rPr>
            </w:pPr>
            <w:r w:rsidRPr="00B8307D">
              <w:rPr>
                <w:sz w:val="22"/>
                <w:szCs w:val="22"/>
                <w:lang w:val="sr-Latn-ME" w:eastAsia="ja-JP"/>
              </w:rPr>
              <w:t>Poremećaji metabolizma i ishrane</w:t>
            </w:r>
          </w:p>
        </w:tc>
        <w:tc>
          <w:tcPr>
            <w:tcW w:w="1978" w:type="pct"/>
            <w:tcBorders>
              <w:top w:val="single" w:sz="4" w:space="0" w:color="auto"/>
              <w:left w:val="single" w:sz="4" w:space="0" w:color="auto"/>
              <w:bottom w:val="single" w:sz="4" w:space="0" w:color="auto"/>
              <w:right w:val="single" w:sz="4" w:space="0" w:color="auto"/>
            </w:tcBorders>
            <w:hideMark/>
          </w:tcPr>
          <w:p w14:paraId="1AD94181" w14:textId="77777777" w:rsidR="004F6368" w:rsidRPr="00B8307D" w:rsidRDefault="004F6368" w:rsidP="000A067B">
            <w:pPr>
              <w:widowControl w:val="0"/>
              <w:rPr>
                <w:sz w:val="22"/>
                <w:szCs w:val="22"/>
                <w:lang w:val="sr-Latn-ME" w:eastAsia="ja-JP"/>
              </w:rPr>
            </w:pPr>
            <w:r w:rsidRPr="00B8307D">
              <w:rPr>
                <w:sz w:val="22"/>
                <w:szCs w:val="22"/>
                <w:lang w:val="sr-Latn-ME" w:eastAsia="ja-JP"/>
              </w:rPr>
              <w:t xml:space="preserve">Smanjenje tjelesne mase/gubitak tjelesne mase </w:t>
            </w:r>
          </w:p>
        </w:tc>
        <w:tc>
          <w:tcPr>
            <w:tcW w:w="1289" w:type="pct"/>
            <w:tcBorders>
              <w:top w:val="single" w:sz="4" w:space="0" w:color="auto"/>
              <w:left w:val="single" w:sz="4" w:space="0" w:color="auto"/>
              <w:bottom w:val="single" w:sz="4" w:space="0" w:color="auto"/>
              <w:right w:val="single" w:sz="4" w:space="0" w:color="auto"/>
            </w:tcBorders>
            <w:hideMark/>
          </w:tcPr>
          <w:p w14:paraId="1BB2B0E1" w14:textId="77777777" w:rsidR="004F6368" w:rsidRPr="00B8307D" w:rsidRDefault="004F6368" w:rsidP="000A067B">
            <w:pPr>
              <w:widowControl w:val="0"/>
              <w:rPr>
                <w:sz w:val="22"/>
                <w:szCs w:val="22"/>
                <w:lang w:val="sr-Latn-ME" w:eastAsia="ja-JP"/>
              </w:rPr>
            </w:pPr>
            <w:r w:rsidRPr="00B8307D">
              <w:rPr>
                <w:sz w:val="22"/>
                <w:szCs w:val="22"/>
                <w:lang w:val="sr-Latn-ME" w:eastAsia="ja-JP"/>
              </w:rPr>
              <w:t xml:space="preserve">Vrlo često </w:t>
            </w:r>
          </w:p>
        </w:tc>
      </w:tr>
      <w:tr w:rsidR="004F6368" w:rsidRPr="00B8307D" w14:paraId="38D12A24" w14:textId="77777777" w:rsidTr="000A067B">
        <w:trPr>
          <w:trHeight w:val="233"/>
        </w:trPr>
        <w:tc>
          <w:tcPr>
            <w:tcW w:w="1733" w:type="pct"/>
            <w:vMerge/>
            <w:tcBorders>
              <w:top w:val="single" w:sz="4" w:space="0" w:color="auto"/>
              <w:left w:val="single" w:sz="4" w:space="0" w:color="auto"/>
              <w:bottom w:val="single" w:sz="4" w:space="0" w:color="auto"/>
              <w:right w:val="single" w:sz="4" w:space="0" w:color="auto"/>
            </w:tcBorders>
            <w:vAlign w:val="center"/>
            <w:hideMark/>
          </w:tcPr>
          <w:p w14:paraId="5E6E4C58" w14:textId="77777777" w:rsidR="004F6368" w:rsidRPr="00B8307D" w:rsidRDefault="004F6368" w:rsidP="000A067B">
            <w:pPr>
              <w:widowControl w:val="0"/>
              <w:rPr>
                <w:sz w:val="22"/>
                <w:szCs w:val="22"/>
                <w:lang w:val="sr-Latn-ME" w:eastAsia="ja-JP"/>
              </w:rPr>
            </w:pPr>
          </w:p>
        </w:tc>
        <w:tc>
          <w:tcPr>
            <w:tcW w:w="1978" w:type="pct"/>
            <w:tcBorders>
              <w:top w:val="single" w:sz="4" w:space="0" w:color="auto"/>
              <w:left w:val="single" w:sz="4" w:space="0" w:color="auto"/>
              <w:bottom w:val="single" w:sz="4" w:space="0" w:color="auto"/>
              <w:right w:val="single" w:sz="4" w:space="0" w:color="auto"/>
            </w:tcBorders>
            <w:hideMark/>
          </w:tcPr>
          <w:p w14:paraId="4873AD86" w14:textId="77777777" w:rsidR="004F6368" w:rsidRPr="00B8307D" w:rsidRDefault="004F6368" w:rsidP="000A067B">
            <w:pPr>
              <w:widowControl w:val="0"/>
              <w:rPr>
                <w:sz w:val="22"/>
                <w:szCs w:val="22"/>
                <w:lang w:val="sr-Latn-ME" w:eastAsia="ja-JP"/>
              </w:rPr>
            </w:pPr>
            <w:r w:rsidRPr="00B8307D">
              <w:rPr>
                <w:sz w:val="22"/>
                <w:szCs w:val="22"/>
                <w:lang w:val="sr-Latn-ME" w:eastAsia="ja-JP"/>
              </w:rPr>
              <w:t>Anoreksija</w:t>
            </w:r>
          </w:p>
        </w:tc>
        <w:tc>
          <w:tcPr>
            <w:tcW w:w="1289" w:type="pct"/>
            <w:tcBorders>
              <w:top w:val="single" w:sz="4" w:space="0" w:color="auto"/>
              <w:left w:val="single" w:sz="4" w:space="0" w:color="auto"/>
              <w:bottom w:val="single" w:sz="4" w:space="0" w:color="auto"/>
              <w:right w:val="single" w:sz="4" w:space="0" w:color="auto"/>
            </w:tcBorders>
            <w:hideMark/>
          </w:tcPr>
          <w:p w14:paraId="18D4DA8E" w14:textId="77777777" w:rsidR="004F6368" w:rsidRPr="00B8307D" w:rsidRDefault="004F6368" w:rsidP="000A067B">
            <w:pPr>
              <w:widowControl w:val="0"/>
              <w:rPr>
                <w:sz w:val="22"/>
                <w:szCs w:val="22"/>
                <w:lang w:val="sr-Latn-ME" w:eastAsia="ja-JP"/>
              </w:rPr>
            </w:pPr>
            <w:r w:rsidRPr="00B8307D">
              <w:rPr>
                <w:sz w:val="22"/>
                <w:szCs w:val="22"/>
                <w:lang w:val="sr-Latn-ME" w:eastAsia="ja-JP"/>
              </w:rPr>
              <w:t xml:space="preserve">Vrlo često </w:t>
            </w:r>
          </w:p>
        </w:tc>
      </w:tr>
      <w:tr w:rsidR="00C94075" w:rsidRPr="00B8307D" w14:paraId="503CC549" w14:textId="77777777" w:rsidTr="000A067B">
        <w:trPr>
          <w:trHeight w:val="233"/>
        </w:trPr>
        <w:tc>
          <w:tcPr>
            <w:tcW w:w="1733" w:type="pct"/>
            <w:vMerge/>
            <w:tcBorders>
              <w:top w:val="single" w:sz="4" w:space="0" w:color="auto"/>
              <w:left w:val="single" w:sz="4" w:space="0" w:color="auto"/>
              <w:bottom w:val="single" w:sz="4" w:space="0" w:color="auto"/>
              <w:right w:val="single" w:sz="4" w:space="0" w:color="auto"/>
            </w:tcBorders>
            <w:vAlign w:val="center"/>
          </w:tcPr>
          <w:p w14:paraId="41B1A80E" w14:textId="77777777" w:rsidR="00C94075" w:rsidRPr="00B8307D" w:rsidRDefault="00C94075" w:rsidP="000A067B">
            <w:pPr>
              <w:widowControl w:val="0"/>
              <w:rPr>
                <w:sz w:val="22"/>
                <w:szCs w:val="22"/>
                <w:lang w:val="sr-Latn-ME" w:eastAsia="ja-JP"/>
              </w:rPr>
            </w:pPr>
          </w:p>
        </w:tc>
        <w:tc>
          <w:tcPr>
            <w:tcW w:w="1978" w:type="pct"/>
            <w:tcBorders>
              <w:top w:val="single" w:sz="4" w:space="0" w:color="auto"/>
              <w:left w:val="single" w:sz="4" w:space="0" w:color="auto"/>
              <w:bottom w:val="single" w:sz="4" w:space="0" w:color="auto"/>
              <w:right w:val="single" w:sz="4" w:space="0" w:color="auto"/>
            </w:tcBorders>
          </w:tcPr>
          <w:p w14:paraId="5788FF7F" w14:textId="68E42D9B" w:rsidR="00C94075" w:rsidRPr="00B8307D" w:rsidRDefault="00C94075" w:rsidP="000A067B">
            <w:pPr>
              <w:widowControl w:val="0"/>
              <w:rPr>
                <w:sz w:val="22"/>
                <w:szCs w:val="22"/>
                <w:lang w:val="sr-Latn-ME" w:eastAsia="ja-JP"/>
              </w:rPr>
            </w:pPr>
            <w:r w:rsidRPr="00B8307D">
              <w:rPr>
                <w:sz w:val="22"/>
                <w:szCs w:val="22"/>
                <w:lang w:val="sr-Latn-ME" w:eastAsia="ja-JP"/>
              </w:rPr>
              <w:t>Sindrom lize tumora</w:t>
            </w:r>
          </w:p>
        </w:tc>
        <w:tc>
          <w:tcPr>
            <w:tcW w:w="1289" w:type="pct"/>
            <w:tcBorders>
              <w:top w:val="single" w:sz="4" w:space="0" w:color="auto"/>
              <w:left w:val="single" w:sz="4" w:space="0" w:color="auto"/>
              <w:bottom w:val="single" w:sz="4" w:space="0" w:color="auto"/>
              <w:right w:val="single" w:sz="4" w:space="0" w:color="auto"/>
            </w:tcBorders>
          </w:tcPr>
          <w:p w14:paraId="3DBE7FE2" w14:textId="1129930E" w:rsidR="00C94075" w:rsidRPr="00B8307D" w:rsidRDefault="00C94075" w:rsidP="000A067B">
            <w:pPr>
              <w:widowControl w:val="0"/>
              <w:rPr>
                <w:sz w:val="22"/>
                <w:szCs w:val="22"/>
                <w:lang w:val="sr-Latn-ME" w:eastAsia="ja-JP"/>
              </w:rPr>
            </w:pPr>
            <w:r w:rsidRPr="00B8307D">
              <w:rPr>
                <w:sz w:val="22"/>
                <w:szCs w:val="22"/>
                <w:lang w:val="sr-Latn-ME" w:eastAsia="ja-JP"/>
              </w:rPr>
              <w:t>Nepoznato</w:t>
            </w:r>
          </w:p>
        </w:tc>
      </w:tr>
      <w:tr w:rsidR="004F6368" w:rsidRPr="00B8307D" w14:paraId="53BAB95F" w14:textId="77777777" w:rsidTr="000A067B">
        <w:trPr>
          <w:trHeight w:val="232"/>
        </w:trPr>
        <w:tc>
          <w:tcPr>
            <w:tcW w:w="1733" w:type="pct"/>
            <w:vMerge/>
            <w:tcBorders>
              <w:top w:val="single" w:sz="4" w:space="0" w:color="auto"/>
              <w:left w:val="single" w:sz="4" w:space="0" w:color="auto"/>
              <w:bottom w:val="single" w:sz="4" w:space="0" w:color="auto"/>
              <w:right w:val="single" w:sz="4" w:space="0" w:color="auto"/>
            </w:tcBorders>
            <w:vAlign w:val="center"/>
            <w:hideMark/>
          </w:tcPr>
          <w:p w14:paraId="4B4A7587" w14:textId="77777777" w:rsidR="004F6368" w:rsidRPr="00B8307D" w:rsidRDefault="004F6368" w:rsidP="000A067B">
            <w:pPr>
              <w:widowControl w:val="0"/>
              <w:rPr>
                <w:sz w:val="22"/>
                <w:szCs w:val="22"/>
                <w:lang w:val="sr-Latn-ME" w:eastAsia="ja-JP"/>
              </w:rPr>
            </w:pPr>
          </w:p>
        </w:tc>
        <w:tc>
          <w:tcPr>
            <w:tcW w:w="1978" w:type="pct"/>
            <w:tcBorders>
              <w:top w:val="single" w:sz="4" w:space="0" w:color="auto"/>
              <w:left w:val="single" w:sz="4" w:space="0" w:color="auto"/>
              <w:bottom w:val="single" w:sz="4" w:space="0" w:color="auto"/>
              <w:right w:val="single" w:sz="4" w:space="0" w:color="auto"/>
            </w:tcBorders>
            <w:hideMark/>
          </w:tcPr>
          <w:p w14:paraId="028B9CB4" w14:textId="77777777" w:rsidR="004F6368" w:rsidRPr="00B8307D" w:rsidRDefault="004F6368" w:rsidP="000A067B">
            <w:pPr>
              <w:widowControl w:val="0"/>
              <w:rPr>
                <w:sz w:val="22"/>
                <w:szCs w:val="22"/>
                <w:lang w:val="sr-Latn-ME" w:eastAsia="ja-JP"/>
              </w:rPr>
            </w:pPr>
            <w:r w:rsidRPr="00B8307D">
              <w:rPr>
                <w:sz w:val="22"/>
                <w:szCs w:val="22"/>
                <w:lang w:val="sr-Latn-ME" w:eastAsia="ja-JP"/>
              </w:rPr>
              <w:t>Hiperkalemija</w:t>
            </w:r>
          </w:p>
        </w:tc>
        <w:tc>
          <w:tcPr>
            <w:tcW w:w="1289" w:type="pct"/>
            <w:tcBorders>
              <w:top w:val="single" w:sz="4" w:space="0" w:color="auto"/>
              <w:left w:val="single" w:sz="4" w:space="0" w:color="auto"/>
              <w:bottom w:val="single" w:sz="4" w:space="0" w:color="auto"/>
              <w:right w:val="single" w:sz="4" w:space="0" w:color="auto"/>
            </w:tcBorders>
            <w:hideMark/>
          </w:tcPr>
          <w:p w14:paraId="41076501" w14:textId="77777777" w:rsidR="004F6368" w:rsidRPr="00B8307D" w:rsidRDefault="004F6368" w:rsidP="000A067B">
            <w:pPr>
              <w:widowControl w:val="0"/>
              <w:rPr>
                <w:sz w:val="22"/>
                <w:szCs w:val="22"/>
                <w:lang w:val="sr-Latn-ME" w:eastAsia="ja-JP"/>
              </w:rPr>
            </w:pPr>
            <w:r w:rsidRPr="00B8307D">
              <w:rPr>
                <w:sz w:val="22"/>
                <w:szCs w:val="22"/>
                <w:lang w:val="sr-Latn-ME" w:eastAsia="ja-JP"/>
              </w:rPr>
              <w:t>Nepoznato</w:t>
            </w:r>
          </w:p>
        </w:tc>
      </w:tr>
      <w:tr w:rsidR="004F6368" w:rsidRPr="00B8307D" w14:paraId="008AC7A0" w14:textId="77777777" w:rsidTr="000A067B">
        <w:trPr>
          <w:trHeight w:val="232"/>
        </w:trPr>
        <w:tc>
          <w:tcPr>
            <w:tcW w:w="1733" w:type="pct"/>
            <w:vMerge w:val="restart"/>
            <w:tcBorders>
              <w:top w:val="single" w:sz="4" w:space="0" w:color="auto"/>
              <w:left w:val="single" w:sz="4" w:space="0" w:color="auto"/>
              <w:right w:val="single" w:sz="4" w:space="0" w:color="auto"/>
            </w:tcBorders>
            <w:vAlign w:val="center"/>
          </w:tcPr>
          <w:p w14:paraId="3D665278" w14:textId="77777777" w:rsidR="004F6368" w:rsidRPr="00B8307D" w:rsidRDefault="004F6368" w:rsidP="000A067B">
            <w:pPr>
              <w:widowControl w:val="0"/>
              <w:rPr>
                <w:sz w:val="22"/>
                <w:szCs w:val="22"/>
                <w:lang w:val="sr-Latn-ME" w:eastAsia="ja-JP"/>
              </w:rPr>
            </w:pPr>
            <w:r w:rsidRPr="00B8307D">
              <w:rPr>
                <w:sz w:val="22"/>
                <w:szCs w:val="22"/>
                <w:lang w:val="sr-Latn-ME" w:eastAsia="ja-JP"/>
              </w:rPr>
              <w:t>Psihijatrijski poremećaji</w:t>
            </w:r>
          </w:p>
        </w:tc>
        <w:tc>
          <w:tcPr>
            <w:tcW w:w="1978" w:type="pct"/>
            <w:tcBorders>
              <w:top w:val="single" w:sz="4" w:space="0" w:color="auto"/>
              <w:left w:val="single" w:sz="4" w:space="0" w:color="auto"/>
              <w:bottom w:val="single" w:sz="4" w:space="0" w:color="auto"/>
              <w:right w:val="single" w:sz="4" w:space="0" w:color="auto"/>
            </w:tcBorders>
          </w:tcPr>
          <w:p w14:paraId="1976A115" w14:textId="77777777" w:rsidR="004F6368" w:rsidRPr="00B8307D" w:rsidRDefault="004F6368" w:rsidP="000A067B">
            <w:pPr>
              <w:widowControl w:val="0"/>
              <w:rPr>
                <w:sz w:val="22"/>
                <w:szCs w:val="22"/>
                <w:lang w:val="sr-Latn-ME" w:eastAsia="ja-JP"/>
              </w:rPr>
            </w:pPr>
            <w:r w:rsidRPr="00B8307D">
              <w:rPr>
                <w:sz w:val="22"/>
                <w:szCs w:val="22"/>
                <w:lang w:val="sr-Latn-ME" w:eastAsia="ja-JP"/>
              </w:rPr>
              <w:t>Nesanica</w:t>
            </w:r>
          </w:p>
        </w:tc>
        <w:tc>
          <w:tcPr>
            <w:tcW w:w="1289" w:type="pct"/>
            <w:tcBorders>
              <w:top w:val="single" w:sz="4" w:space="0" w:color="auto"/>
              <w:left w:val="single" w:sz="4" w:space="0" w:color="auto"/>
              <w:bottom w:val="single" w:sz="4" w:space="0" w:color="auto"/>
              <w:right w:val="single" w:sz="4" w:space="0" w:color="auto"/>
            </w:tcBorders>
          </w:tcPr>
          <w:p w14:paraId="770E7426" w14:textId="77777777" w:rsidR="004F6368" w:rsidRPr="00B8307D" w:rsidRDefault="004F6368" w:rsidP="000A067B">
            <w:pPr>
              <w:widowControl w:val="0"/>
              <w:rPr>
                <w:sz w:val="22"/>
                <w:szCs w:val="22"/>
                <w:lang w:val="sr-Latn-ME" w:eastAsia="ja-JP"/>
              </w:rPr>
            </w:pPr>
            <w:r w:rsidRPr="00B8307D">
              <w:rPr>
                <w:sz w:val="22"/>
                <w:szCs w:val="22"/>
                <w:lang w:val="sr-Latn-ME" w:eastAsia="ja-JP"/>
              </w:rPr>
              <w:t>Vrlo često</w:t>
            </w:r>
          </w:p>
        </w:tc>
      </w:tr>
      <w:tr w:rsidR="004F6368" w:rsidRPr="00B8307D" w14:paraId="6B6A69E6" w14:textId="77777777" w:rsidTr="000A067B">
        <w:trPr>
          <w:trHeight w:val="120"/>
        </w:trPr>
        <w:tc>
          <w:tcPr>
            <w:tcW w:w="1733" w:type="pct"/>
            <w:vMerge/>
            <w:tcBorders>
              <w:left w:val="single" w:sz="4" w:space="0" w:color="auto"/>
              <w:right w:val="single" w:sz="4" w:space="0" w:color="auto"/>
            </w:tcBorders>
            <w:hideMark/>
          </w:tcPr>
          <w:p w14:paraId="6718F54D" w14:textId="77777777" w:rsidR="004F6368" w:rsidRPr="00B8307D" w:rsidRDefault="004F6368" w:rsidP="000A067B">
            <w:pPr>
              <w:widowControl w:val="0"/>
              <w:rPr>
                <w:sz w:val="22"/>
                <w:szCs w:val="22"/>
                <w:lang w:val="sr-Latn-ME" w:eastAsia="ja-JP"/>
              </w:rPr>
            </w:pPr>
          </w:p>
        </w:tc>
        <w:tc>
          <w:tcPr>
            <w:tcW w:w="1978" w:type="pct"/>
            <w:tcBorders>
              <w:top w:val="single" w:sz="4" w:space="0" w:color="auto"/>
              <w:left w:val="single" w:sz="4" w:space="0" w:color="auto"/>
              <w:bottom w:val="single" w:sz="4" w:space="0" w:color="auto"/>
              <w:right w:val="single" w:sz="4" w:space="0" w:color="auto"/>
            </w:tcBorders>
            <w:hideMark/>
          </w:tcPr>
          <w:p w14:paraId="4387834F" w14:textId="77777777" w:rsidR="004F6368" w:rsidRPr="00B8307D" w:rsidRDefault="004F6368" w:rsidP="000A067B">
            <w:pPr>
              <w:widowControl w:val="0"/>
              <w:rPr>
                <w:sz w:val="22"/>
                <w:szCs w:val="22"/>
                <w:lang w:val="sr-Latn-ME" w:eastAsia="ja-JP"/>
              </w:rPr>
            </w:pPr>
            <w:r w:rsidRPr="00B8307D">
              <w:rPr>
                <w:sz w:val="22"/>
                <w:szCs w:val="22"/>
                <w:lang w:val="sr-Latn-ME" w:eastAsia="ja-JP"/>
              </w:rPr>
              <w:t>Anksioznost</w:t>
            </w:r>
          </w:p>
        </w:tc>
        <w:tc>
          <w:tcPr>
            <w:tcW w:w="1289" w:type="pct"/>
            <w:tcBorders>
              <w:top w:val="single" w:sz="4" w:space="0" w:color="auto"/>
              <w:left w:val="single" w:sz="4" w:space="0" w:color="auto"/>
              <w:bottom w:val="single" w:sz="4" w:space="0" w:color="auto"/>
              <w:right w:val="single" w:sz="4" w:space="0" w:color="auto"/>
            </w:tcBorders>
            <w:hideMark/>
          </w:tcPr>
          <w:p w14:paraId="40C54810" w14:textId="77777777" w:rsidR="004F6368" w:rsidRPr="00B8307D" w:rsidRDefault="004F6368" w:rsidP="000A067B">
            <w:pPr>
              <w:widowControl w:val="0"/>
              <w:rPr>
                <w:sz w:val="22"/>
                <w:szCs w:val="22"/>
                <w:lang w:val="sr-Latn-ME" w:eastAsia="ja-JP"/>
              </w:rPr>
            </w:pPr>
            <w:r w:rsidRPr="00B8307D">
              <w:rPr>
                <w:sz w:val="22"/>
                <w:szCs w:val="22"/>
                <w:lang w:val="sr-Latn-ME" w:eastAsia="ja-JP"/>
              </w:rPr>
              <w:t>Često</w:t>
            </w:r>
          </w:p>
        </w:tc>
      </w:tr>
      <w:tr w:rsidR="004F6368" w:rsidRPr="00B8307D" w14:paraId="59233BFA" w14:textId="77777777" w:rsidTr="000A067B">
        <w:trPr>
          <w:trHeight w:val="303"/>
        </w:trPr>
        <w:tc>
          <w:tcPr>
            <w:tcW w:w="1733" w:type="pct"/>
            <w:vMerge/>
            <w:tcBorders>
              <w:left w:val="single" w:sz="4" w:space="0" w:color="auto"/>
              <w:right w:val="single" w:sz="4" w:space="0" w:color="auto"/>
            </w:tcBorders>
            <w:vAlign w:val="center"/>
            <w:hideMark/>
          </w:tcPr>
          <w:p w14:paraId="6C6D7F75" w14:textId="77777777" w:rsidR="004F6368" w:rsidRPr="00B8307D" w:rsidRDefault="004F6368" w:rsidP="000A067B">
            <w:pPr>
              <w:widowControl w:val="0"/>
              <w:rPr>
                <w:sz w:val="22"/>
                <w:szCs w:val="22"/>
                <w:lang w:val="sr-Latn-ME" w:eastAsia="ja-JP"/>
              </w:rPr>
            </w:pPr>
          </w:p>
        </w:tc>
        <w:tc>
          <w:tcPr>
            <w:tcW w:w="1978" w:type="pct"/>
            <w:tcBorders>
              <w:top w:val="single" w:sz="4" w:space="0" w:color="auto"/>
              <w:left w:val="single" w:sz="4" w:space="0" w:color="auto"/>
              <w:right w:val="single" w:sz="4" w:space="0" w:color="auto"/>
            </w:tcBorders>
            <w:hideMark/>
          </w:tcPr>
          <w:p w14:paraId="3FBFA2B7" w14:textId="77777777" w:rsidR="004F6368" w:rsidRPr="00B8307D" w:rsidRDefault="004F6368" w:rsidP="000A067B">
            <w:pPr>
              <w:widowControl w:val="0"/>
              <w:rPr>
                <w:sz w:val="22"/>
                <w:szCs w:val="22"/>
                <w:lang w:val="sr-Latn-ME" w:eastAsia="ja-JP"/>
              </w:rPr>
            </w:pPr>
            <w:r w:rsidRPr="00B8307D">
              <w:rPr>
                <w:sz w:val="22"/>
                <w:szCs w:val="22"/>
                <w:lang w:val="sr-Latn-ME" w:eastAsia="ja-JP"/>
              </w:rPr>
              <w:t>Depresija</w:t>
            </w:r>
          </w:p>
        </w:tc>
        <w:tc>
          <w:tcPr>
            <w:tcW w:w="1289" w:type="pct"/>
            <w:tcBorders>
              <w:top w:val="single" w:sz="4" w:space="0" w:color="auto"/>
              <w:left w:val="single" w:sz="4" w:space="0" w:color="auto"/>
              <w:right w:val="single" w:sz="4" w:space="0" w:color="auto"/>
            </w:tcBorders>
            <w:hideMark/>
          </w:tcPr>
          <w:p w14:paraId="35D22005" w14:textId="77777777" w:rsidR="004F6368" w:rsidRPr="00B8307D" w:rsidRDefault="004F6368" w:rsidP="000A067B">
            <w:pPr>
              <w:widowControl w:val="0"/>
              <w:rPr>
                <w:sz w:val="22"/>
                <w:szCs w:val="22"/>
                <w:lang w:val="sr-Latn-ME" w:eastAsia="ja-JP"/>
              </w:rPr>
            </w:pPr>
            <w:r w:rsidRPr="00B8307D">
              <w:rPr>
                <w:sz w:val="22"/>
                <w:szCs w:val="22"/>
                <w:lang w:val="sr-Latn-ME" w:eastAsia="ja-JP"/>
              </w:rPr>
              <w:t>Često</w:t>
            </w:r>
          </w:p>
        </w:tc>
      </w:tr>
      <w:tr w:rsidR="004F6368" w:rsidRPr="00B8307D" w14:paraId="1320722F" w14:textId="77777777" w:rsidTr="000A067B">
        <w:trPr>
          <w:trHeight w:val="224"/>
        </w:trPr>
        <w:tc>
          <w:tcPr>
            <w:tcW w:w="1733" w:type="pct"/>
            <w:vMerge w:val="restart"/>
            <w:tcBorders>
              <w:top w:val="single" w:sz="4" w:space="0" w:color="auto"/>
              <w:left w:val="single" w:sz="4" w:space="0" w:color="auto"/>
              <w:bottom w:val="single" w:sz="4" w:space="0" w:color="auto"/>
              <w:right w:val="single" w:sz="4" w:space="0" w:color="auto"/>
            </w:tcBorders>
            <w:hideMark/>
          </w:tcPr>
          <w:p w14:paraId="5DE4AF81" w14:textId="77777777" w:rsidR="004F6368" w:rsidRPr="00B8307D" w:rsidRDefault="004F6368" w:rsidP="000A067B">
            <w:pPr>
              <w:widowControl w:val="0"/>
              <w:rPr>
                <w:sz w:val="22"/>
                <w:szCs w:val="22"/>
                <w:lang w:val="sr-Latn-ME" w:eastAsia="ja-JP"/>
              </w:rPr>
            </w:pPr>
            <w:r w:rsidRPr="00B8307D">
              <w:rPr>
                <w:sz w:val="22"/>
                <w:szCs w:val="22"/>
                <w:lang w:val="sr-Latn-ME" w:eastAsia="ja-JP"/>
              </w:rPr>
              <w:t>Poremećaji nervnog sistema</w:t>
            </w:r>
          </w:p>
        </w:tc>
        <w:tc>
          <w:tcPr>
            <w:tcW w:w="1978" w:type="pct"/>
            <w:tcBorders>
              <w:top w:val="single" w:sz="4" w:space="0" w:color="auto"/>
              <w:left w:val="single" w:sz="4" w:space="0" w:color="auto"/>
              <w:bottom w:val="single" w:sz="4" w:space="0" w:color="auto"/>
              <w:right w:val="single" w:sz="4" w:space="0" w:color="auto"/>
            </w:tcBorders>
            <w:hideMark/>
          </w:tcPr>
          <w:p w14:paraId="292DD855" w14:textId="77777777" w:rsidR="004F6368" w:rsidRPr="00B8307D" w:rsidRDefault="004F6368" w:rsidP="000A067B">
            <w:pPr>
              <w:widowControl w:val="0"/>
              <w:rPr>
                <w:sz w:val="22"/>
                <w:szCs w:val="22"/>
                <w:lang w:val="sr-Latn-ME" w:eastAsia="ja-JP"/>
              </w:rPr>
            </w:pPr>
            <w:r w:rsidRPr="00B8307D">
              <w:rPr>
                <w:sz w:val="22"/>
                <w:szCs w:val="22"/>
                <w:vertAlign w:val="superscript"/>
                <w:lang w:val="sr-Latn-ME" w:eastAsia="ja-JP"/>
              </w:rPr>
              <w:t>1</w:t>
            </w:r>
            <w:r w:rsidRPr="00B8307D">
              <w:rPr>
                <w:sz w:val="22"/>
                <w:szCs w:val="22"/>
                <w:lang w:val="sr-Latn-ME" w:eastAsia="ja-JP"/>
              </w:rPr>
              <w:t>Tremor</w:t>
            </w:r>
          </w:p>
        </w:tc>
        <w:tc>
          <w:tcPr>
            <w:tcW w:w="1289" w:type="pct"/>
            <w:tcBorders>
              <w:top w:val="single" w:sz="4" w:space="0" w:color="auto"/>
              <w:left w:val="single" w:sz="4" w:space="0" w:color="auto"/>
              <w:bottom w:val="single" w:sz="4" w:space="0" w:color="auto"/>
              <w:right w:val="single" w:sz="4" w:space="0" w:color="auto"/>
            </w:tcBorders>
            <w:hideMark/>
          </w:tcPr>
          <w:p w14:paraId="5ED10101" w14:textId="77777777" w:rsidR="004F6368" w:rsidRPr="00B8307D" w:rsidRDefault="004F6368" w:rsidP="000A067B">
            <w:pPr>
              <w:widowControl w:val="0"/>
              <w:rPr>
                <w:sz w:val="22"/>
                <w:szCs w:val="22"/>
                <w:lang w:val="sr-Latn-ME" w:eastAsia="ja-JP"/>
              </w:rPr>
            </w:pPr>
            <w:r w:rsidRPr="00B8307D">
              <w:rPr>
                <w:sz w:val="22"/>
                <w:szCs w:val="22"/>
                <w:lang w:val="sr-Latn-ME" w:eastAsia="ja-JP"/>
              </w:rPr>
              <w:t>Vrlo često</w:t>
            </w:r>
          </w:p>
        </w:tc>
      </w:tr>
      <w:tr w:rsidR="004F6368" w:rsidRPr="00B8307D" w14:paraId="23ABE179" w14:textId="77777777" w:rsidTr="000A067B">
        <w:trPr>
          <w:cantSplit/>
          <w:trHeight w:val="281"/>
        </w:trPr>
        <w:tc>
          <w:tcPr>
            <w:tcW w:w="1733" w:type="pct"/>
            <w:vMerge/>
            <w:tcBorders>
              <w:top w:val="single" w:sz="4" w:space="0" w:color="auto"/>
              <w:left w:val="single" w:sz="4" w:space="0" w:color="auto"/>
              <w:bottom w:val="single" w:sz="4" w:space="0" w:color="auto"/>
              <w:right w:val="single" w:sz="4" w:space="0" w:color="auto"/>
            </w:tcBorders>
            <w:vAlign w:val="center"/>
            <w:hideMark/>
          </w:tcPr>
          <w:p w14:paraId="5EC9415A" w14:textId="77777777" w:rsidR="004F6368" w:rsidRPr="00B8307D" w:rsidRDefault="004F6368" w:rsidP="000A067B">
            <w:pPr>
              <w:widowControl w:val="0"/>
              <w:rPr>
                <w:sz w:val="22"/>
                <w:szCs w:val="22"/>
                <w:lang w:val="sr-Latn-ME" w:eastAsia="ja-JP"/>
              </w:rPr>
            </w:pPr>
          </w:p>
        </w:tc>
        <w:tc>
          <w:tcPr>
            <w:tcW w:w="1978" w:type="pct"/>
            <w:tcBorders>
              <w:top w:val="single" w:sz="4" w:space="0" w:color="auto"/>
              <w:left w:val="single" w:sz="4" w:space="0" w:color="auto"/>
              <w:bottom w:val="single" w:sz="4" w:space="0" w:color="auto"/>
              <w:right w:val="single" w:sz="4" w:space="0" w:color="auto"/>
            </w:tcBorders>
            <w:hideMark/>
          </w:tcPr>
          <w:p w14:paraId="69DCF016" w14:textId="77777777" w:rsidR="004F6368" w:rsidRPr="00B8307D" w:rsidRDefault="004F6368" w:rsidP="000A067B">
            <w:pPr>
              <w:widowControl w:val="0"/>
              <w:rPr>
                <w:sz w:val="22"/>
                <w:szCs w:val="22"/>
                <w:lang w:val="sr-Latn-ME" w:eastAsia="ja-JP"/>
              </w:rPr>
            </w:pPr>
            <w:r w:rsidRPr="00B8307D">
              <w:rPr>
                <w:sz w:val="22"/>
                <w:szCs w:val="22"/>
                <w:lang w:val="sr-Latn-ME" w:eastAsia="ja-JP"/>
              </w:rPr>
              <w:t>Vrtoglavica</w:t>
            </w:r>
          </w:p>
        </w:tc>
        <w:tc>
          <w:tcPr>
            <w:tcW w:w="1289" w:type="pct"/>
            <w:tcBorders>
              <w:top w:val="single" w:sz="4" w:space="0" w:color="auto"/>
              <w:left w:val="single" w:sz="4" w:space="0" w:color="auto"/>
              <w:bottom w:val="single" w:sz="4" w:space="0" w:color="auto"/>
              <w:right w:val="single" w:sz="4" w:space="0" w:color="auto"/>
            </w:tcBorders>
            <w:hideMark/>
          </w:tcPr>
          <w:p w14:paraId="5BF36664" w14:textId="77777777" w:rsidR="004F6368" w:rsidRPr="00B8307D" w:rsidRDefault="004F6368" w:rsidP="000A067B">
            <w:pPr>
              <w:widowControl w:val="0"/>
              <w:rPr>
                <w:sz w:val="22"/>
                <w:szCs w:val="22"/>
                <w:lang w:val="sr-Latn-ME" w:eastAsia="ja-JP"/>
              </w:rPr>
            </w:pPr>
            <w:r w:rsidRPr="00B8307D">
              <w:rPr>
                <w:sz w:val="22"/>
                <w:szCs w:val="22"/>
                <w:lang w:val="sr-Latn-ME" w:eastAsia="ja-JP"/>
              </w:rPr>
              <w:t xml:space="preserve">Vrlo često </w:t>
            </w:r>
          </w:p>
        </w:tc>
      </w:tr>
      <w:tr w:rsidR="004F6368" w:rsidRPr="00B8307D" w14:paraId="1CB89986" w14:textId="77777777" w:rsidTr="000A067B">
        <w:trPr>
          <w:cantSplit/>
          <w:trHeight w:val="128"/>
        </w:trPr>
        <w:tc>
          <w:tcPr>
            <w:tcW w:w="1733" w:type="pct"/>
            <w:vMerge/>
            <w:tcBorders>
              <w:top w:val="single" w:sz="4" w:space="0" w:color="auto"/>
              <w:left w:val="single" w:sz="4" w:space="0" w:color="auto"/>
              <w:bottom w:val="single" w:sz="4" w:space="0" w:color="auto"/>
              <w:right w:val="single" w:sz="4" w:space="0" w:color="auto"/>
            </w:tcBorders>
            <w:vAlign w:val="center"/>
            <w:hideMark/>
          </w:tcPr>
          <w:p w14:paraId="13F59BF4" w14:textId="77777777" w:rsidR="004F6368" w:rsidRPr="00B8307D" w:rsidRDefault="004F6368" w:rsidP="000A067B">
            <w:pPr>
              <w:widowControl w:val="0"/>
              <w:rPr>
                <w:sz w:val="22"/>
                <w:szCs w:val="22"/>
                <w:lang w:val="sr-Latn-ME" w:eastAsia="ja-JP"/>
              </w:rPr>
            </w:pPr>
          </w:p>
        </w:tc>
        <w:tc>
          <w:tcPr>
            <w:tcW w:w="1978" w:type="pct"/>
            <w:tcBorders>
              <w:top w:val="single" w:sz="4" w:space="0" w:color="auto"/>
              <w:left w:val="single" w:sz="4" w:space="0" w:color="auto"/>
              <w:bottom w:val="single" w:sz="4" w:space="0" w:color="auto"/>
              <w:right w:val="single" w:sz="4" w:space="0" w:color="auto"/>
            </w:tcBorders>
            <w:hideMark/>
          </w:tcPr>
          <w:p w14:paraId="506C8D92" w14:textId="77777777" w:rsidR="004F6368" w:rsidRPr="00B8307D" w:rsidRDefault="004F6368" w:rsidP="000A067B">
            <w:pPr>
              <w:widowControl w:val="0"/>
              <w:rPr>
                <w:sz w:val="22"/>
                <w:szCs w:val="22"/>
                <w:lang w:val="sr-Latn-ME" w:eastAsia="ja-JP"/>
              </w:rPr>
            </w:pPr>
            <w:r w:rsidRPr="00B8307D">
              <w:rPr>
                <w:sz w:val="22"/>
                <w:szCs w:val="22"/>
                <w:lang w:val="sr-Latn-ME" w:eastAsia="ja-JP"/>
              </w:rPr>
              <w:t>Glavobolja</w:t>
            </w:r>
          </w:p>
        </w:tc>
        <w:tc>
          <w:tcPr>
            <w:tcW w:w="1289" w:type="pct"/>
            <w:tcBorders>
              <w:top w:val="single" w:sz="4" w:space="0" w:color="auto"/>
              <w:left w:val="single" w:sz="4" w:space="0" w:color="auto"/>
              <w:bottom w:val="single" w:sz="4" w:space="0" w:color="auto"/>
              <w:right w:val="single" w:sz="4" w:space="0" w:color="auto"/>
            </w:tcBorders>
            <w:hideMark/>
          </w:tcPr>
          <w:p w14:paraId="6F800123" w14:textId="77777777" w:rsidR="004F6368" w:rsidRPr="00B8307D" w:rsidRDefault="004F6368" w:rsidP="000A067B">
            <w:pPr>
              <w:widowControl w:val="0"/>
              <w:rPr>
                <w:sz w:val="22"/>
                <w:szCs w:val="22"/>
                <w:lang w:val="sr-Latn-ME" w:eastAsia="ja-JP"/>
              </w:rPr>
            </w:pPr>
            <w:r w:rsidRPr="00B8307D">
              <w:rPr>
                <w:sz w:val="22"/>
                <w:szCs w:val="22"/>
                <w:lang w:val="sr-Latn-ME" w:eastAsia="ja-JP"/>
              </w:rPr>
              <w:t xml:space="preserve">Vrlo često </w:t>
            </w:r>
          </w:p>
        </w:tc>
      </w:tr>
      <w:tr w:rsidR="004F6368" w:rsidRPr="00B8307D" w14:paraId="03DE4AB2" w14:textId="77777777" w:rsidTr="000A067B">
        <w:trPr>
          <w:cantSplit/>
          <w:trHeight w:val="128"/>
        </w:trPr>
        <w:tc>
          <w:tcPr>
            <w:tcW w:w="1733" w:type="pct"/>
            <w:vMerge/>
            <w:tcBorders>
              <w:top w:val="single" w:sz="4" w:space="0" w:color="auto"/>
              <w:left w:val="single" w:sz="4" w:space="0" w:color="auto"/>
              <w:bottom w:val="single" w:sz="4" w:space="0" w:color="auto"/>
              <w:right w:val="single" w:sz="4" w:space="0" w:color="auto"/>
            </w:tcBorders>
            <w:vAlign w:val="center"/>
          </w:tcPr>
          <w:p w14:paraId="70E65C41" w14:textId="77777777" w:rsidR="004F6368" w:rsidRPr="00B8307D" w:rsidRDefault="004F6368" w:rsidP="000A067B">
            <w:pPr>
              <w:widowControl w:val="0"/>
              <w:rPr>
                <w:sz w:val="22"/>
                <w:szCs w:val="22"/>
                <w:lang w:val="sr-Latn-ME" w:eastAsia="ja-JP"/>
              </w:rPr>
            </w:pPr>
          </w:p>
        </w:tc>
        <w:tc>
          <w:tcPr>
            <w:tcW w:w="1978" w:type="pct"/>
            <w:tcBorders>
              <w:top w:val="single" w:sz="4" w:space="0" w:color="auto"/>
              <w:left w:val="single" w:sz="4" w:space="0" w:color="auto"/>
              <w:bottom w:val="single" w:sz="4" w:space="0" w:color="auto"/>
              <w:right w:val="single" w:sz="4" w:space="0" w:color="auto"/>
            </w:tcBorders>
          </w:tcPr>
          <w:p w14:paraId="506E1AC1" w14:textId="77777777" w:rsidR="004F6368" w:rsidRPr="00B8307D" w:rsidRDefault="004F6368" w:rsidP="000A067B">
            <w:pPr>
              <w:widowControl w:val="0"/>
              <w:rPr>
                <w:sz w:val="22"/>
                <w:szCs w:val="22"/>
                <w:lang w:val="sr-Latn-ME" w:eastAsia="ja-JP"/>
              </w:rPr>
            </w:pPr>
            <w:r w:rsidRPr="00B8307D">
              <w:rPr>
                <w:sz w:val="22"/>
                <w:szCs w:val="22"/>
                <w:lang w:val="sr-Latn-ME" w:eastAsia="ja-JP"/>
              </w:rPr>
              <w:t xml:space="preserve">Parestezija </w:t>
            </w:r>
          </w:p>
        </w:tc>
        <w:tc>
          <w:tcPr>
            <w:tcW w:w="1289" w:type="pct"/>
            <w:tcBorders>
              <w:top w:val="single" w:sz="4" w:space="0" w:color="auto"/>
              <w:left w:val="single" w:sz="4" w:space="0" w:color="auto"/>
              <w:bottom w:val="single" w:sz="4" w:space="0" w:color="auto"/>
              <w:right w:val="single" w:sz="4" w:space="0" w:color="auto"/>
            </w:tcBorders>
          </w:tcPr>
          <w:p w14:paraId="2B0542BE" w14:textId="77777777" w:rsidR="004F6368" w:rsidRPr="00B8307D" w:rsidRDefault="004F6368" w:rsidP="000A067B">
            <w:pPr>
              <w:widowControl w:val="0"/>
              <w:rPr>
                <w:sz w:val="22"/>
                <w:szCs w:val="22"/>
                <w:lang w:val="sr-Latn-ME" w:eastAsia="ja-JP"/>
              </w:rPr>
            </w:pPr>
            <w:r w:rsidRPr="00B8307D">
              <w:rPr>
                <w:sz w:val="22"/>
                <w:szCs w:val="22"/>
                <w:lang w:val="sr-Latn-ME" w:eastAsia="ja-JP"/>
              </w:rPr>
              <w:t>Vrlo često</w:t>
            </w:r>
          </w:p>
        </w:tc>
      </w:tr>
      <w:tr w:rsidR="004F6368" w:rsidRPr="00B8307D" w14:paraId="3BA5AB6D" w14:textId="77777777" w:rsidTr="000A067B">
        <w:trPr>
          <w:cantSplit/>
          <w:trHeight w:val="128"/>
        </w:trPr>
        <w:tc>
          <w:tcPr>
            <w:tcW w:w="1733" w:type="pct"/>
            <w:vMerge/>
            <w:tcBorders>
              <w:top w:val="single" w:sz="4" w:space="0" w:color="auto"/>
              <w:left w:val="single" w:sz="4" w:space="0" w:color="auto"/>
              <w:bottom w:val="single" w:sz="4" w:space="0" w:color="auto"/>
              <w:right w:val="single" w:sz="4" w:space="0" w:color="auto"/>
            </w:tcBorders>
            <w:vAlign w:val="center"/>
          </w:tcPr>
          <w:p w14:paraId="01E42FB6" w14:textId="77777777" w:rsidR="004F6368" w:rsidRPr="00B8307D" w:rsidRDefault="004F6368" w:rsidP="000A067B">
            <w:pPr>
              <w:widowControl w:val="0"/>
              <w:rPr>
                <w:sz w:val="22"/>
                <w:szCs w:val="22"/>
                <w:lang w:val="sr-Latn-ME" w:eastAsia="ja-JP"/>
              </w:rPr>
            </w:pPr>
          </w:p>
        </w:tc>
        <w:tc>
          <w:tcPr>
            <w:tcW w:w="1978" w:type="pct"/>
            <w:tcBorders>
              <w:top w:val="single" w:sz="4" w:space="0" w:color="auto"/>
              <w:left w:val="single" w:sz="4" w:space="0" w:color="auto"/>
              <w:bottom w:val="single" w:sz="4" w:space="0" w:color="auto"/>
              <w:right w:val="single" w:sz="4" w:space="0" w:color="auto"/>
            </w:tcBorders>
          </w:tcPr>
          <w:p w14:paraId="2A071091" w14:textId="77777777" w:rsidR="004F6368" w:rsidRPr="00B8307D" w:rsidRDefault="004F6368" w:rsidP="000A067B">
            <w:pPr>
              <w:widowControl w:val="0"/>
              <w:rPr>
                <w:sz w:val="22"/>
                <w:szCs w:val="22"/>
                <w:lang w:val="sr-Latn-ME" w:eastAsia="ja-JP"/>
              </w:rPr>
            </w:pPr>
            <w:r w:rsidRPr="00B8307D">
              <w:rPr>
                <w:sz w:val="22"/>
                <w:szCs w:val="22"/>
                <w:lang w:val="sr-Latn-ME" w:eastAsia="ja-JP"/>
              </w:rPr>
              <w:t>Poremećaj ukusa</w:t>
            </w:r>
          </w:p>
        </w:tc>
        <w:tc>
          <w:tcPr>
            <w:tcW w:w="1289" w:type="pct"/>
            <w:tcBorders>
              <w:top w:val="single" w:sz="4" w:space="0" w:color="auto"/>
              <w:left w:val="single" w:sz="4" w:space="0" w:color="auto"/>
              <w:bottom w:val="single" w:sz="4" w:space="0" w:color="auto"/>
              <w:right w:val="single" w:sz="4" w:space="0" w:color="auto"/>
            </w:tcBorders>
          </w:tcPr>
          <w:p w14:paraId="6C134E09" w14:textId="77777777" w:rsidR="004F6368" w:rsidRPr="00B8307D" w:rsidRDefault="004F6368" w:rsidP="000A067B">
            <w:pPr>
              <w:widowControl w:val="0"/>
              <w:rPr>
                <w:sz w:val="22"/>
                <w:szCs w:val="22"/>
                <w:lang w:val="sr-Latn-ME" w:eastAsia="ja-JP"/>
              </w:rPr>
            </w:pPr>
            <w:r w:rsidRPr="00B8307D">
              <w:rPr>
                <w:sz w:val="22"/>
                <w:szCs w:val="22"/>
                <w:lang w:val="sr-Latn-ME" w:eastAsia="ja-JP"/>
              </w:rPr>
              <w:t>Vrlo često</w:t>
            </w:r>
          </w:p>
        </w:tc>
      </w:tr>
      <w:tr w:rsidR="004F6368" w:rsidRPr="00B8307D" w14:paraId="1D3121C4" w14:textId="77777777" w:rsidTr="000A067B">
        <w:trPr>
          <w:cantSplit/>
          <w:trHeight w:val="306"/>
        </w:trPr>
        <w:tc>
          <w:tcPr>
            <w:tcW w:w="1733" w:type="pct"/>
            <w:vMerge/>
            <w:tcBorders>
              <w:top w:val="single" w:sz="4" w:space="0" w:color="auto"/>
              <w:left w:val="single" w:sz="4" w:space="0" w:color="auto"/>
              <w:bottom w:val="single" w:sz="4" w:space="0" w:color="auto"/>
              <w:right w:val="single" w:sz="4" w:space="0" w:color="auto"/>
            </w:tcBorders>
            <w:vAlign w:val="center"/>
            <w:hideMark/>
          </w:tcPr>
          <w:p w14:paraId="5DAE4DB0" w14:textId="77777777" w:rsidR="004F6368" w:rsidRPr="00B8307D" w:rsidRDefault="004F6368" w:rsidP="000A067B">
            <w:pPr>
              <w:widowControl w:val="0"/>
              <w:rPr>
                <w:sz w:val="22"/>
                <w:szCs w:val="22"/>
                <w:lang w:val="sr-Latn-ME" w:eastAsia="ja-JP"/>
              </w:rPr>
            </w:pPr>
          </w:p>
        </w:tc>
        <w:tc>
          <w:tcPr>
            <w:tcW w:w="1978" w:type="pct"/>
            <w:tcBorders>
              <w:top w:val="single" w:sz="4" w:space="0" w:color="auto"/>
              <w:left w:val="single" w:sz="4" w:space="0" w:color="auto"/>
              <w:right w:val="single" w:sz="4" w:space="0" w:color="auto"/>
            </w:tcBorders>
            <w:hideMark/>
          </w:tcPr>
          <w:p w14:paraId="02E731A8" w14:textId="77777777" w:rsidR="004F6368" w:rsidRPr="00B8307D" w:rsidRDefault="004F6368" w:rsidP="000A067B">
            <w:pPr>
              <w:widowControl w:val="0"/>
              <w:rPr>
                <w:sz w:val="22"/>
                <w:szCs w:val="22"/>
                <w:lang w:val="sr-Latn-ME" w:eastAsia="ja-JP"/>
              </w:rPr>
            </w:pPr>
            <w:r w:rsidRPr="00B8307D">
              <w:rPr>
                <w:sz w:val="22"/>
                <w:szCs w:val="22"/>
                <w:lang w:val="sr-Latn-ME" w:eastAsia="ja-JP"/>
              </w:rPr>
              <w:t>Periferna neuropatija</w:t>
            </w:r>
          </w:p>
        </w:tc>
        <w:tc>
          <w:tcPr>
            <w:tcW w:w="1289" w:type="pct"/>
            <w:tcBorders>
              <w:top w:val="single" w:sz="4" w:space="0" w:color="auto"/>
              <w:left w:val="single" w:sz="4" w:space="0" w:color="auto"/>
              <w:right w:val="single" w:sz="4" w:space="0" w:color="auto"/>
            </w:tcBorders>
            <w:hideMark/>
          </w:tcPr>
          <w:p w14:paraId="7A68AFE7" w14:textId="77777777" w:rsidR="004F6368" w:rsidRPr="00B8307D" w:rsidRDefault="004F6368" w:rsidP="000A067B">
            <w:pPr>
              <w:widowControl w:val="0"/>
              <w:rPr>
                <w:sz w:val="22"/>
                <w:szCs w:val="22"/>
                <w:lang w:val="sr-Latn-ME" w:eastAsia="ja-JP"/>
              </w:rPr>
            </w:pPr>
            <w:r w:rsidRPr="00B8307D">
              <w:rPr>
                <w:sz w:val="22"/>
                <w:szCs w:val="22"/>
                <w:lang w:val="sr-Latn-ME" w:eastAsia="ja-JP"/>
              </w:rPr>
              <w:t>Često</w:t>
            </w:r>
          </w:p>
        </w:tc>
      </w:tr>
      <w:tr w:rsidR="004F6368" w:rsidRPr="00B8307D" w14:paraId="04A4F552" w14:textId="77777777" w:rsidTr="000A067B">
        <w:trPr>
          <w:cantSplit/>
          <w:trHeight w:val="120"/>
        </w:trPr>
        <w:tc>
          <w:tcPr>
            <w:tcW w:w="1733" w:type="pct"/>
            <w:vMerge/>
            <w:tcBorders>
              <w:top w:val="single" w:sz="4" w:space="0" w:color="auto"/>
              <w:left w:val="single" w:sz="4" w:space="0" w:color="auto"/>
              <w:bottom w:val="single" w:sz="4" w:space="0" w:color="auto"/>
              <w:right w:val="single" w:sz="4" w:space="0" w:color="auto"/>
            </w:tcBorders>
            <w:vAlign w:val="center"/>
            <w:hideMark/>
          </w:tcPr>
          <w:p w14:paraId="00E91587" w14:textId="77777777" w:rsidR="004F6368" w:rsidRPr="00B8307D" w:rsidRDefault="004F6368" w:rsidP="000A067B">
            <w:pPr>
              <w:widowControl w:val="0"/>
              <w:rPr>
                <w:sz w:val="22"/>
                <w:szCs w:val="22"/>
                <w:lang w:val="sr-Latn-ME" w:eastAsia="ja-JP"/>
              </w:rPr>
            </w:pPr>
          </w:p>
        </w:tc>
        <w:tc>
          <w:tcPr>
            <w:tcW w:w="1978" w:type="pct"/>
            <w:tcBorders>
              <w:top w:val="single" w:sz="4" w:space="0" w:color="auto"/>
              <w:left w:val="single" w:sz="4" w:space="0" w:color="auto"/>
              <w:bottom w:val="single" w:sz="4" w:space="0" w:color="auto"/>
              <w:right w:val="single" w:sz="4" w:space="0" w:color="auto"/>
            </w:tcBorders>
            <w:hideMark/>
          </w:tcPr>
          <w:p w14:paraId="08EB8DCD" w14:textId="77777777" w:rsidR="004F6368" w:rsidRPr="00B8307D" w:rsidRDefault="004F6368" w:rsidP="000A067B">
            <w:pPr>
              <w:widowControl w:val="0"/>
              <w:rPr>
                <w:sz w:val="22"/>
                <w:szCs w:val="22"/>
                <w:lang w:val="sr-Latn-ME" w:eastAsia="ja-JP"/>
              </w:rPr>
            </w:pPr>
            <w:r w:rsidRPr="00B8307D">
              <w:rPr>
                <w:sz w:val="22"/>
                <w:szCs w:val="22"/>
                <w:lang w:val="sr-Latn-ME" w:eastAsia="ja-JP"/>
              </w:rPr>
              <w:t>Hipertonija</w:t>
            </w:r>
          </w:p>
        </w:tc>
        <w:tc>
          <w:tcPr>
            <w:tcW w:w="1289" w:type="pct"/>
            <w:tcBorders>
              <w:top w:val="single" w:sz="4" w:space="0" w:color="auto"/>
              <w:left w:val="single" w:sz="4" w:space="0" w:color="auto"/>
              <w:bottom w:val="single" w:sz="4" w:space="0" w:color="auto"/>
              <w:right w:val="single" w:sz="4" w:space="0" w:color="auto"/>
            </w:tcBorders>
            <w:hideMark/>
          </w:tcPr>
          <w:p w14:paraId="4FAB95F7" w14:textId="77777777" w:rsidR="004F6368" w:rsidRPr="00B8307D" w:rsidRDefault="004F6368" w:rsidP="000A067B">
            <w:pPr>
              <w:widowControl w:val="0"/>
              <w:rPr>
                <w:sz w:val="22"/>
                <w:szCs w:val="22"/>
                <w:lang w:val="sr-Latn-ME" w:eastAsia="ja-JP"/>
              </w:rPr>
            </w:pPr>
            <w:r w:rsidRPr="00B8307D">
              <w:rPr>
                <w:sz w:val="22"/>
                <w:szCs w:val="22"/>
                <w:lang w:val="sr-Latn-ME" w:eastAsia="ja-JP"/>
              </w:rPr>
              <w:t>Često</w:t>
            </w:r>
          </w:p>
        </w:tc>
      </w:tr>
      <w:tr w:rsidR="004F6368" w:rsidRPr="00B8307D" w14:paraId="2476D3B9" w14:textId="77777777" w:rsidTr="000A067B">
        <w:trPr>
          <w:cantSplit/>
          <w:trHeight w:val="258"/>
        </w:trPr>
        <w:tc>
          <w:tcPr>
            <w:tcW w:w="1733" w:type="pct"/>
            <w:vMerge/>
            <w:tcBorders>
              <w:top w:val="single" w:sz="4" w:space="0" w:color="auto"/>
              <w:left w:val="single" w:sz="4" w:space="0" w:color="auto"/>
              <w:bottom w:val="single" w:sz="4" w:space="0" w:color="auto"/>
              <w:right w:val="single" w:sz="4" w:space="0" w:color="auto"/>
            </w:tcBorders>
            <w:vAlign w:val="center"/>
            <w:hideMark/>
          </w:tcPr>
          <w:p w14:paraId="4763F8A5" w14:textId="77777777" w:rsidR="004F6368" w:rsidRPr="00B8307D" w:rsidRDefault="004F6368" w:rsidP="000A067B">
            <w:pPr>
              <w:widowControl w:val="0"/>
              <w:rPr>
                <w:sz w:val="22"/>
                <w:szCs w:val="22"/>
                <w:lang w:val="sr-Latn-ME" w:eastAsia="ja-JP"/>
              </w:rPr>
            </w:pPr>
          </w:p>
        </w:tc>
        <w:tc>
          <w:tcPr>
            <w:tcW w:w="1978" w:type="pct"/>
            <w:tcBorders>
              <w:top w:val="single" w:sz="4" w:space="0" w:color="auto"/>
              <w:left w:val="single" w:sz="4" w:space="0" w:color="auto"/>
              <w:right w:val="single" w:sz="4" w:space="0" w:color="auto"/>
            </w:tcBorders>
            <w:hideMark/>
          </w:tcPr>
          <w:p w14:paraId="6146B213" w14:textId="77777777" w:rsidR="004F6368" w:rsidRPr="00B8307D" w:rsidRDefault="004F6368" w:rsidP="000A067B">
            <w:pPr>
              <w:widowControl w:val="0"/>
              <w:rPr>
                <w:sz w:val="22"/>
                <w:szCs w:val="22"/>
                <w:lang w:val="sr-Latn-ME" w:eastAsia="ja-JP"/>
              </w:rPr>
            </w:pPr>
            <w:r w:rsidRPr="00B8307D">
              <w:rPr>
                <w:sz w:val="22"/>
                <w:szCs w:val="22"/>
                <w:lang w:val="sr-Latn-ME" w:eastAsia="ja-JP"/>
              </w:rPr>
              <w:t>Somnolencija</w:t>
            </w:r>
          </w:p>
        </w:tc>
        <w:tc>
          <w:tcPr>
            <w:tcW w:w="1289" w:type="pct"/>
            <w:tcBorders>
              <w:top w:val="single" w:sz="4" w:space="0" w:color="auto"/>
              <w:left w:val="single" w:sz="4" w:space="0" w:color="auto"/>
              <w:right w:val="single" w:sz="4" w:space="0" w:color="auto"/>
            </w:tcBorders>
            <w:hideMark/>
          </w:tcPr>
          <w:p w14:paraId="702A5E76" w14:textId="77777777" w:rsidR="004F6368" w:rsidRPr="00B8307D" w:rsidRDefault="004F6368" w:rsidP="000A067B">
            <w:pPr>
              <w:widowControl w:val="0"/>
              <w:rPr>
                <w:sz w:val="22"/>
                <w:szCs w:val="22"/>
                <w:lang w:val="sr-Latn-ME" w:eastAsia="ja-JP"/>
              </w:rPr>
            </w:pPr>
            <w:r w:rsidRPr="00B8307D">
              <w:rPr>
                <w:sz w:val="22"/>
                <w:szCs w:val="22"/>
                <w:lang w:val="sr-Latn-ME" w:eastAsia="ja-JP"/>
              </w:rPr>
              <w:t>Često</w:t>
            </w:r>
          </w:p>
        </w:tc>
      </w:tr>
      <w:tr w:rsidR="004F6368" w:rsidRPr="00B8307D" w14:paraId="227FFA23" w14:textId="77777777" w:rsidTr="000A067B">
        <w:trPr>
          <w:trHeight w:val="128"/>
        </w:trPr>
        <w:tc>
          <w:tcPr>
            <w:tcW w:w="1733" w:type="pct"/>
            <w:vMerge w:val="restart"/>
            <w:tcBorders>
              <w:top w:val="single" w:sz="4" w:space="0" w:color="auto"/>
              <w:left w:val="single" w:sz="4" w:space="0" w:color="auto"/>
              <w:bottom w:val="nil"/>
              <w:right w:val="single" w:sz="4" w:space="0" w:color="auto"/>
            </w:tcBorders>
            <w:hideMark/>
          </w:tcPr>
          <w:p w14:paraId="2411A3DB" w14:textId="77777777" w:rsidR="004F6368" w:rsidRPr="00B8307D" w:rsidRDefault="004F6368" w:rsidP="000A067B">
            <w:pPr>
              <w:widowControl w:val="0"/>
              <w:rPr>
                <w:sz w:val="22"/>
                <w:szCs w:val="22"/>
                <w:lang w:val="sr-Latn-ME" w:eastAsia="ja-JP"/>
              </w:rPr>
            </w:pPr>
            <w:r w:rsidRPr="00B8307D">
              <w:rPr>
                <w:sz w:val="22"/>
                <w:szCs w:val="22"/>
                <w:lang w:val="sr-Latn-ME" w:eastAsia="ja-JP"/>
              </w:rPr>
              <w:t>Poremećaji oka</w:t>
            </w:r>
          </w:p>
        </w:tc>
        <w:tc>
          <w:tcPr>
            <w:tcW w:w="1978" w:type="pct"/>
            <w:tcBorders>
              <w:top w:val="single" w:sz="4" w:space="0" w:color="auto"/>
              <w:left w:val="single" w:sz="4" w:space="0" w:color="auto"/>
              <w:bottom w:val="single" w:sz="4" w:space="0" w:color="auto"/>
              <w:right w:val="single" w:sz="4" w:space="0" w:color="auto"/>
            </w:tcBorders>
            <w:hideMark/>
          </w:tcPr>
          <w:p w14:paraId="53C7C8EC" w14:textId="77777777" w:rsidR="004F6368" w:rsidRPr="00B8307D" w:rsidRDefault="004F6368" w:rsidP="000A067B">
            <w:pPr>
              <w:widowControl w:val="0"/>
              <w:rPr>
                <w:sz w:val="22"/>
                <w:szCs w:val="22"/>
                <w:lang w:val="sr-Latn-ME" w:eastAsia="ja-JP"/>
              </w:rPr>
            </w:pPr>
            <w:r w:rsidRPr="00B8307D">
              <w:rPr>
                <w:sz w:val="22"/>
                <w:szCs w:val="22"/>
                <w:lang w:val="sr-Latn-ME" w:eastAsia="ja-JP"/>
              </w:rPr>
              <w:t xml:space="preserve">Konjunktivitis </w:t>
            </w:r>
          </w:p>
        </w:tc>
        <w:tc>
          <w:tcPr>
            <w:tcW w:w="1289" w:type="pct"/>
            <w:tcBorders>
              <w:top w:val="single" w:sz="4" w:space="0" w:color="auto"/>
              <w:left w:val="single" w:sz="4" w:space="0" w:color="auto"/>
              <w:bottom w:val="single" w:sz="4" w:space="0" w:color="auto"/>
              <w:right w:val="single" w:sz="4" w:space="0" w:color="auto"/>
            </w:tcBorders>
            <w:hideMark/>
          </w:tcPr>
          <w:p w14:paraId="3273E0B3" w14:textId="77777777" w:rsidR="004F6368" w:rsidRPr="00B8307D" w:rsidRDefault="004F6368" w:rsidP="000A067B">
            <w:pPr>
              <w:widowControl w:val="0"/>
              <w:rPr>
                <w:sz w:val="22"/>
                <w:szCs w:val="22"/>
                <w:lang w:val="sr-Latn-ME" w:eastAsia="ja-JP"/>
              </w:rPr>
            </w:pPr>
            <w:r w:rsidRPr="00B8307D">
              <w:rPr>
                <w:sz w:val="22"/>
                <w:szCs w:val="22"/>
                <w:lang w:val="sr-Latn-ME" w:eastAsia="ja-JP"/>
              </w:rPr>
              <w:t>Vrlo često</w:t>
            </w:r>
          </w:p>
        </w:tc>
      </w:tr>
      <w:tr w:rsidR="004F6368" w:rsidRPr="00B8307D" w14:paraId="31B9CFB1" w14:textId="77777777" w:rsidTr="000A067B">
        <w:trPr>
          <w:trHeight w:val="127"/>
        </w:trPr>
        <w:tc>
          <w:tcPr>
            <w:tcW w:w="1733" w:type="pct"/>
            <w:vMerge/>
            <w:tcBorders>
              <w:top w:val="single" w:sz="4" w:space="0" w:color="auto"/>
              <w:left w:val="single" w:sz="4" w:space="0" w:color="auto"/>
              <w:bottom w:val="nil"/>
              <w:right w:val="single" w:sz="4" w:space="0" w:color="auto"/>
            </w:tcBorders>
            <w:vAlign w:val="center"/>
            <w:hideMark/>
          </w:tcPr>
          <w:p w14:paraId="22ABD2A7" w14:textId="77777777" w:rsidR="004F6368" w:rsidRPr="00B8307D" w:rsidRDefault="004F6368" w:rsidP="000A067B">
            <w:pPr>
              <w:widowControl w:val="0"/>
              <w:rPr>
                <w:sz w:val="22"/>
                <w:szCs w:val="22"/>
                <w:lang w:val="sr-Latn-ME" w:eastAsia="ja-JP"/>
              </w:rPr>
            </w:pPr>
          </w:p>
        </w:tc>
        <w:tc>
          <w:tcPr>
            <w:tcW w:w="1978" w:type="pct"/>
            <w:tcBorders>
              <w:top w:val="single" w:sz="4" w:space="0" w:color="auto"/>
              <w:left w:val="single" w:sz="4" w:space="0" w:color="auto"/>
              <w:bottom w:val="single" w:sz="4" w:space="0" w:color="auto"/>
              <w:right w:val="single" w:sz="4" w:space="0" w:color="auto"/>
            </w:tcBorders>
            <w:hideMark/>
          </w:tcPr>
          <w:p w14:paraId="34BD2484" w14:textId="77777777" w:rsidR="004F6368" w:rsidRPr="00B8307D" w:rsidRDefault="004F6368" w:rsidP="000A067B">
            <w:pPr>
              <w:widowControl w:val="0"/>
              <w:rPr>
                <w:strike/>
                <w:sz w:val="22"/>
                <w:szCs w:val="22"/>
                <w:lang w:val="sr-Latn-ME" w:eastAsia="ja-JP"/>
              </w:rPr>
            </w:pPr>
            <w:r w:rsidRPr="00B8307D">
              <w:rPr>
                <w:sz w:val="22"/>
                <w:szCs w:val="22"/>
                <w:lang w:val="sr-Latn-ME" w:eastAsia="ja-JP"/>
              </w:rPr>
              <w:t xml:space="preserve">Povećano lučenje suza </w:t>
            </w:r>
          </w:p>
        </w:tc>
        <w:tc>
          <w:tcPr>
            <w:tcW w:w="1289" w:type="pct"/>
            <w:tcBorders>
              <w:top w:val="single" w:sz="4" w:space="0" w:color="auto"/>
              <w:left w:val="single" w:sz="4" w:space="0" w:color="auto"/>
              <w:bottom w:val="single" w:sz="4" w:space="0" w:color="auto"/>
              <w:right w:val="single" w:sz="4" w:space="0" w:color="auto"/>
            </w:tcBorders>
            <w:hideMark/>
          </w:tcPr>
          <w:p w14:paraId="572E993E" w14:textId="77777777" w:rsidR="004F6368" w:rsidRPr="00B8307D" w:rsidRDefault="004F6368" w:rsidP="000A067B">
            <w:pPr>
              <w:widowControl w:val="0"/>
              <w:rPr>
                <w:sz w:val="22"/>
                <w:szCs w:val="22"/>
                <w:lang w:val="sr-Latn-ME" w:eastAsia="ja-JP"/>
              </w:rPr>
            </w:pPr>
            <w:r w:rsidRPr="00B8307D">
              <w:rPr>
                <w:sz w:val="22"/>
                <w:szCs w:val="22"/>
                <w:lang w:val="sr-Latn-ME" w:eastAsia="ja-JP"/>
              </w:rPr>
              <w:t>Vrlo često</w:t>
            </w:r>
          </w:p>
        </w:tc>
      </w:tr>
      <w:tr w:rsidR="004F6368" w:rsidRPr="00B8307D" w14:paraId="3BE3C2BC" w14:textId="77777777" w:rsidTr="000A067B">
        <w:trPr>
          <w:trHeight w:val="260"/>
        </w:trPr>
        <w:tc>
          <w:tcPr>
            <w:tcW w:w="1733" w:type="pct"/>
            <w:vMerge/>
            <w:tcBorders>
              <w:top w:val="single" w:sz="4" w:space="0" w:color="auto"/>
              <w:left w:val="single" w:sz="4" w:space="0" w:color="auto"/>
              <w:bottom w:val="nil"/>
              <w:right w:val="single" w:sz="4" w:space="0" w:color="auto"/>
            </w:tcBorders>
            <w:vAlign w:val="center"/>
            <w:hideMark/>
          </w:tcPr>
          <w:p w14:paraId="40618FEB" w14:textId="77777777" w:rsidR="004F6368" w:rsidRPr="00B8307D" w:rsidRDefault="004F6368" w:rsidP="000A067B">
            <w:pPr>
              <w:widowControl w:val="0"/>
              <w:rPr>
                <w:sz w:val="22"/>
                <w:szCs w:val="22"/>
                <w:lang w:val="sr-Latn-ME" w:eastAsia="ja-JP"/>
              </w:rPr>
            </w:pPr>
          </w:p>
        </w:tc>
        <w:tc>
          <w:tcPr>
            <w:tcW w:w="1978" w:type="pct"/>
            <w:tcBorders>
              <w:top w:val="single" w:sz="4" w:space="0" w:color="auto"/>
              <w:left w:val="single" w:sz="4" w:space="0" w:color="auto"/>
              <w:bottom w:val="single" w:sz="4" w:space="0" w:color="auto"/>
              <w:right w:val="single" w:sz="4" w:space="0" w:color="auto"/>
            </w:tcBorders>
            <w:hideMark/>
          </w:tcPr>
          <w:p w14:paraId="79DB034F" w14:textId="78B22A37" w:rsidR="004F6368" w:rsidRPr="00B8307D" w:rsidRDefault="004F6368" w:rsidP="000A067B">
            <w:pPr>
              <w:widowControl w:val="0"/>
              <w:rPr>
                <w:sz w:val="22"/>
                <w:szCs w:val="22"/>
                <w:lang w:val="sr-Latn-ME" w:eastAsia="ja-JP"/>
              </w:rPr>
            </w:pPr>
            <w:r w:rsidRPr="00B8307D">
              <w:rPr>
                <w:sz w:val="22"/>
                <w:szCs w:val="22"/>
                <w:lang w:val="sr-Latn-ME" w:eastAsia="ja-JP"/>
              </w:rPr>
              <w:t>Suvo ok</w:t>
            </w:r>
            <w:r w:rsidR="002C01A9" w:rsidRPr="00B8307D">
              <w:rPr>
                <w:sz w:val="22"/>
                <w:szCs w:val="22"/>
                <w:lang w:val="sr-Latn-ME" w:eastAsia="ja-JP"/>
              </w:rPr>
              <w:t>o</w:t>
            </w:r>
          </w:p>
        </w:tc>
        <w:tc>
          <w:tcPr>
            <w:tcW w:w="1289" w:type="pct"/>
            <w:tcBorders>
              <w:top w:val="single" w:sz="4" w:space="0" w:color="auto"/>
              <w:left w:val="single" w:sz="4" w:space="0" w:color="auto"/>
              <w:bottom w:val="single" w:sz="4" w:space="0" w:color="auto"/>
              <w:right w:val="single" w:sz="4" w:space="0" w:color="auto"/>
            </w:tcBorders>
            <w:hideMark/>
          </w:tcPr>
          <w:p w14:paraId="621ADED7" w14:textId="77777777" w:rsidR="004F6368" w:rsidRPr="00B8307D" w:rsidRDefault="004F6368" w:rsidP="000A067B">
            <w:pPr>
              <w:widowControl w:val="0"/>
              <w:rPr>
                <w:sz w:val="22"/>
                <w:szCs w:val="22"/>
                <w:lang w:val="sr-Latn-ME" w:eastAsia="ja-JP"/>
              </w:rPr>
            </w:pPr>
            <w:r w:rsidRPr="00B8307D">
              <w:rPr>
                <w:sz w:val="22"/>
                <w:szCs w:val="22"/>
                <w:lang w:val="sr-Latn-ME" w:eastAsia="ja-JP"/>
              </w:rPr>
              <w:t>Često</w:t>
            </w:r>
          </w:p>
        </w:tc>
      </w:tr>
      <w:tr w:rsidR="004F6368" w:rsidRPr="00B8307D" w14:paraId="05F8FE68" w14:textId="77777777" w:rsidTr="000A067B">
        <w:trPr>
          <w:trHeight w:val="260"/>
        </w:trPr>
        <w:tc>
          <w:tcPr>
            <w:tcW w:w="1733" w:type="pct"/>
            <w:vMerge/>
            <w:tcBorders>
              <w:top w:val="single" w:sz="4" w:space="0" w:color="auto"/>
              <w:left w:val="single" w:sz="4" w:space="0" w:color="auto"/>
              <w:bottom w:val="nil"/>
              <w:right w:val="single" w:sz="4" w:space="0" w:color="auto"/>
            </w:tcBorders>
            <w:vAlign w:val="center"/>
            <w:hideMark/>
          </w:tcPr>
          <w:p w14:paraId="2BB27DF7" w14:textId="77777777" w:rsidR="004F6368" w:rsidRPr="00B8307D" w:rsidRDefault="004F6368" w:rsidP="000A067B">
            <w:pPr>
              <w:widowControl w:val="0"/>
              <w:rPr>
                <w:sz w:val="22"/>
                <w:szCs w:val="22"/>
                <w:lang w:val="sr-Latn-ME" w:eastAsia="ja-JP"/>
              </w:rPr>
            </w:pPr>
          </w:p>
        </w:tc>
        <w:tc>
          <w:tcPr>
            <w:tcW w:w="1978" w:type="pct"/>
            <w:tcBorders>
              <w:top w:val="single" w:sz="4" w:space="0" w:color="auto"/>
              <w:left w:val="single" w:sz="4" w:space="0" w:color="auto"/>
              <w:bottom w:val="single" w:sz="4" w:space="0" w:color="auto"/>
              <w:right w:val="single" w:sz="4" w:space="0" w:color="auto"/>
            </w:tcBorders>
            <w:hideMark/>
          </w:tcPr>
          <w:p w14:paraId="79973422" w14:textId="77777777" w:rsidR="004F6368" w:rsidRPr="00B8307D" w:rsidRDefault="004F6368" w:rsidP="000A067B">
            <w:pPr>
              <w:widowControl w:val="0"/>
              <w:rPr>
                <w:sz w:val="22"/>
                <w:szCs w:val="22"/>
                <w:lang w:val="sr-Latn-ME" w:eastAsia="ja-JP"/>
              </w:rPr>
            </w:pPr>
            <w:r w:rsidRPr="00B8307D">
              <w:rPr>
                <w:sz w:val="22"/>
                <w:szCs w:val="22"/>
                <w:lang w:val="sr-Latn-ME" w:eastAsia="ja-JP"/>
              </w:rPr>
              <w:t>Papiloedem</w:t>
            </w:r>
          </w:p>
        </w:tc>
        <w:tc>
          <w:tcPr>
            <w:tcW w:w="1289" w:type="pct"/>
            <w:tcBorders>
              <w:top w:val="single" w:sz="4" w:space="0" w:color="auto"/>
              <w:left w:val="single" w:sz="4" w:space="0" w:color="auto"/>
              <w:bottom w:val="single" w:sz="4" w:space="0" w:color="auto"/>
              <w:right w:val="single" w:sz="4" w:space="0" w:color="auto"/>
            </w:tcBorders>
            <w:hideMark/>
          </w:tcPr>
          <w:p w14:paraId="38B80087" w14:textId="77777777" w:rsidR="004F6368" w:rsidRPr="00B8307D" w:rsidRDefault="004F6368" w:rsidP="000A067B">
            <w:pPr>
              <w:widowControl w:val="0"/>
              <w:rPr>
                <w:sz w:val="22"/>
                <w:szCs w:val="22"/>
                <w:lang w:val="sr-Latn-ME" w:eastAsia="ja-JP"/>
              </w:rPr>
            </w:pPr>
            <w:r w:rsidRPr="00B8307D">
              <w:rPr>
                <w:sz w:val="22"/>
                <w:szCs w:val="22"/>
                <w:lang w:val="sr-Latn-ME" w:eastAsia="ja-JP"/>
              </w:rPr>
              <w:t>Nepoznato</w:t>
            </w:r>
          </w:p>
        </w:tc>
      </w:tr>
      <w:tr w:rsidR="004F6368" w:rsidRPr="00B8307D" w14:paraId="30D8E682" w14:textId="77777777" w:rsidTr="000A067B">
        <w:trPr>
          <w:trHeight w:val="260"/>
        </w:trPr>
        <w:tc>
          <w:tcPr>
            <w:tcW w:w="1733" w:type="pct"/>
            <w:tcBorders>
              <w:top w:val="nil"/>
              <w:left w:val="single" w:sz="4" w:space="0" w:color="auto"/>
              <w:bottom w:val="single" w:sz="4" w:space="0" w:color="auto"/>
              <w:right w:val="single" w:sz="4" w:space="0" w:color="auto"/>
            </w:tcBorders>
          </w:tcPr>
          <w:p w14:paraId="3C449A92" w14:textId="77777777" w:rsidR="004F6368" w:rsidRPr="00B8307D" w:rsidRDefault="004F6368" w:rsidP="000A067B">
            <w:pPr>
              <w:widowControl w:val="0"/>
              <w:rPr>
                <w:sz w:val="22"/>
                <w:szCs w:val="22"/>
                <w:lang w:val="sr-Latn-ME" w:eastAsia="ja-JP"/>
              </w:rPr>
            </w:pPr>
          </w:p>
        </w:tc>
        <w:tc>
          <w:tcPr>
            <w:tcW w:w="1978" w:type="pct"/>
            <w:tcBorders>
              <w:top w:val="single" w:sz="4" w:space="0" w:color="auto"/>
              <w:left w:val="single" w:sz="4" w:space="0" w:color="auto"/>
              <w:bottom w:val="single" w:sz="4" w:space="0" w:color="auto"/>
              <w:right w:val="single" w:sz="4" w:space="0" w:color="auto"/>
            </w:tcBorders>
            <w:hideMark/>
          </w:tcPr>
          <w:p w14:paraId="2EEAB51F" w14:textId="77777777" w:rsidR="004F6368" w:rsidRPr="00B8307D" w:rsidRDefault="004F6368" w:rsidP="000A067B">
            <w:pPr>
              <w:widowControl w:val="0"/>
              <w:rPr>
                <w:sz w:val="22"/>
                <w:szCs w:val="22"/>
                <w:lang w:val="sr-Latn-ME" w:eastAsia="ja-JP"/>
              </w:rPr>
            </w:pPr>
            <w:r w:rsidRPr="00B8307D">
              <w:rPr>
                <w:sz w:val="22"/>
                <w:szCs w:val="22"/>
                <w:lang w:val="sr-Latn-ME" w:eastAsia="ja-JP"/>
              </w:rPr>
              <w:t>Hemoragija retine</w:t>
            </w:r>
          </w:p>
        </w:tc>
        <w:tc>
          <w:tcPr>
            <w:tcW w:w="1289" w:type="pct"/>
            <w:tcBorders>
              <w:top w:val="single" w:sz="4" w:space="0" w:color="auto"/>
              <w:left w:val="single" w:sz="4" w:space="0" w:color="auto"/>
              <w:bottom w:val="single" w:sz="4" w:space="0" w:color="auto"/>
              <w:right w:val="single" w:sz="4" w:space="0" w:color="auto"/>
            </w:tcBorders>
            <w:hideMark/>
          </w:tcPr>
          <w:p w14:paraId="7D33372E" w14:textId="77777777" w:rsidR="004F6368" w:rsidRPr="00B8307D" w:rsidRDefault="004F6368" w:rsidP="000A067B">
            <w:pPr>
              <w:widowControl w:val="0"/>
              <w:rPr>
                <w:sz w:val="22"/>
                <w:szCs w:val="22"/>
                <w:lang w:val="sr-Latn-ME" w:eastAsia="ja-JP"/>
              </w:rPr>
            </w:pPr>
            <w:r w:rsidRPr="00B8307D">
              <w:rPr>
                <w:sz w:val="22"/>
                <w:szCs w:val="22"/>
                <w:lang w:val="sr-Latn-ME" w:eastAsia="ja-JP"/>
              </w:rPr>
              <w:t>Nepoznato</w:t>
            </w:r>
          </w:p>
        </w:tc>
      </w:tr>
      <w:tr w:rsidR="004F6368" w:rsidRPr="00B8307D" w14:paraId="70509B69" w14:textId="77777777" w:rsidTr="000A067B">
        <w:trPr>
          <w:trHeight w:val="311"/>
        </w:trPr>
        <w:tc>
          <w:tcPr>
            <w:tcW w:w="1733" w:type="pct"/>
            <w:tcBorders>
              <w:top w:val="single" w:sz="4" w:space="0" w:color="auto"/>
              <w:left w:val="single" w:sz="4" w:space="0" w:color="auto"/>
              <w:right w:val="single" w:sz="4" w:space="0" w:color="auto"/>
            </w:tcBorders>
          </w:tcPr>
          <w:p w14:paraId="0C0FDA61" w14:textId="77777777" w:rsidR="004F6368" w:rsidRPr="00B8307D" w:rsidRDefault="004F6368" w:rsidP="000A067B">
            <w:pPr>
              <w:widowControl w:val="0"/>
              <w:rPr>
                <w:sz w:val="22"/>
                <w:szCs w:val="22"/>
                <w:lang w:val="sr-Latn-ME" w:eastAsia="ja-JP"/>
              </w:rPr>
            </w:pPr>
            <w:r w:rsidRPr="00B8307D">
              <w:rPr>
                <w:sz w:val="22"/>
                <w:szCs w:val="22"/>
                <w:lang w:val="sr-Latn-ME" w:eastAsia="ja-JP"/>
              </w:rPr>
              <w:t>Poremećaji uha i labirinta</w:t>
            </w:r>
          </w:p>
        </w:tc>
        <w:tc>
          <w:tcPr>
            <w:tcW w:w="1978" w:type="pct"/>
            <w:tcBorders>
              <w:top w:val="single" w:sz="4" w:space="0" w:color="auto"/>
              <w:left w:val="single" w:sz="4" w:space="0" w:color="auto"/>
              <w:right w:val="single" w:sz="4" w:space="0" w:color="auto"/>
            </w:tcBorders>
          </w:tcPr>
          <w:p w14:paraId="573963D9" w14:textId="77777777" w:rsidR="004F6368" w:rsidRPr="00B8307D" w:rsidRDefault="004F6368" w:rsidP="000A067B">
            <w:pPr>
              <w:widowControl w:val="0"/>
              <w:rPr>
                <w:sz w:val="22"/>
                <w:szCs w:val="22"/>
                <w:lang w:val="sr-Latn-ME" w:eastAsia="ja-JP"/>
              </w:rPr>
            </w:pPr>
            <w:r w:rsidRPr="00B8307D">
              <w:rPr>
                <w:sz w:val="22"/>
                <w:szCs w:val="22"/>
                <w:lang w:val="sr-Latn-ME" w:eastAsia="ja-JP"/>
              </w:rPr>
              <w:t>Gluvoća</w:t>
            </w:r>
          </w:p>
        </w:tc>
        <w:tc>
          <w:tcPr>
            <w:tcW w:w="1289" w:type="pct"/>
            <w:tcBorders>
              <w:top w:val="single" w:sz="4" w:space="0" w:color="auto"/>
              <w:left w:val="single" w:sz="4" w:space="0" w:color="auto"/>
              <w:bottom w:val="single" w:sz="4" w:space="0" w:color="auto"/>
              <w:right w:val="single" w:sz="4" w:space="0" w:color="auto"/>
            </w:tcBorders>
          </w:tcPr>
          <w:p w14:paraId="4FB866E7" w14:textId="77777777" w:rsidR="004F6368" w:rsidRPr="00B8307D" w:rsidRDefault="004F6368" w:rsidP="000A067B">
            <w:pPr>
              <w:widowControl w:val="0"/>
              <w:rPr>
                <w:sz w:val="22"/>
                <w:szCs w:val="22"/>
                <w:lang w:val="sr-Latn-ME" w:eastAsia="ja-JP"/>
              </w:rPr>
            </w:pPr>
            <w:r w:rsidRPr="00B8307D">
              <w:rPr>
                <w:sz w:val="22"/>
                <w:szCs w:val="22"/>
                <w:lang w:val="sr-Latn-ME" w:eastAsia="ja-JP"/>
              </w:rPr>
              <w:t xml:space="preserve">Povremeno </w:t>
            </w:r>
          </w:p>
        </w:tc>
      </w:tr>
      <w:tr w:rsidR="004F6368" w:rsidRPr="00B8307D" w14:paraId="6AFC1B9C" w14:textId="77777777" w:rsidTr="000A067B">
        <w:trPr>
          <w:trHeight w:val="261"/>
        </w:trPr>
        <w:tc>
          <w:tcPr>
            <w:tcW w:w="1733" w:type="pct"/>
            <w:vMerge w:val="restart"/>
            <w:tcBorders>
              <w:top w:val="single" w:sz="4" w:space="0" w:color="auto"/>
              <w:left w:val="single" w:sz="4" w:space="0" w:color="auto"/>
              <w:bottom w:val="single" w:sz="4" w:space="0" w:color="auto"/>
              <w:right w:val="single" w:sz="4" w:space="0" w:color="auto"/>
            </w:tcBorders>
            <w:hideMark/>
          </w:tcPr>
          <w:p w14:paraId="5F66EFC6" w14:textId="77777777" w:rsidR="004F6368" w:rsidRPr="00B8307D" w:rsidRDefault="004F6368" w:rsidP="000A067B">
            <w:pPr>
              <w:widowControl w:val="0"/>
              <w:rPr>
                <w:sz w:val="22"/>
                <w:szCs w:val="22"/>
                <w:lang w:val="sr-Latn-ME" w:eastAsia="ja-JP"/>
              </w:rPr>
            </w:pPr>
            <w:r w:rsidRPr="00B8307D">
              <w:rPr>
                <w:sz w:val="22"/>
                <w:szCs w:val="22"/>
                <w:lang w:val="sr-Latn-ME" w:eastAsia="ja-JP"/>
              </w:rPr>
              <w:t>Kardiološki poremećaji</w:t>
            </w:r>
          </w:p>
        </w:tc>
        <w:tc>
          <w:tcPr>
            <w:tcW w:w="1978" w:type="pct"/>
            <w:tcBorders>
              <w:top w:val="single" w:sz="4" w:space="0" w:color="auto"/>
              <w:left w:val="single" w:sz="4" w:space="0" w:color="auto"/>
              <w:bottom w:val="single" w:sz="4" w:space="0" w:color="auto"/>
              <w:right w:val="single" w:sz="4" w:space="0" w:color="auto"/>
            </w:tcBorders>
            <w:hideMark/>
          </w:tcPr>
          <w:p w14:paraId="0B0956AD" w14:textId="77777777" w:rsidR="004F6368" w:rsidRPr="00B8307D" w:rsidRDefault="004F6368" w:rsidP="000A067B">
            <w:pPr>
              <w:widowControl w:val="0"/>
              <w:rPr>
                <w:sz w:val="22"/>
                <w:szCs w:val="22"/>
                <w:lang w:val="sr-Latn-ME" w:eastAsia="ja-JP"/>
              </w:rPr>
            </w:pPr>
            <w:r w:rsidRPr="00B8307D">
              <w:rPr>
                <w:sz w:val="22"/>
                <w:szCs w:val="22"/>
                <w:vertAlign w:val="superscript"/>
                <w:lang w:val="sr-Latn-ME" w:eastAsia="ja-JP"/>
              </w:rPr>
              <w:t>1</w:t>
            </w:r>
            <w:r w:rsidRPr="00B8307D">
              <w:rPr>
                <w:sz w:val="22"/>
                <w:szCs w:val="22"/>
                <w:lang w:val="sr-Latn-ME" w:eastAsia="ja-JP"/>
              </w:rPr>
              <w:t>Sniženi krvni pritisak</w:t>
            </w:r>
          </w:p>
        </w:tc>
        <w:tc>
          <w:tcPr>
            <w:tcW w:w="1289" w:type="pct"/>
            <w:tcBorders>
              <w:top w:val="single" w:sz="4" w:space="0" w:color="auto"/>
              <w:left w:val="single" w:sz="4" w:space="0" w:color="auto"/>
              <w:bottom w:val="single" w:sz="4" w:space="0" w:color="auto"/>
              <w:right w:val="single" w:sz="4" w:space="0" w:color="auto"/>
            </w:tcBorders>
            <w:hideMark/>
          </w:tcPr>
          <w:p w14:paraId="004ED2DD" w14:textId="77777777" w:rsidR="004F6368" w:rsidRPr="00B8307D" w:rsidRDefault="004F6368" w:rsidP="000A067B">
            <w:pPr>
              <w:widowControl w:val="0"/>
              <w:rPr>
                <w:sz w:val="22"/>
                <w:szCs w:val="22"/>
                <w:vertAlign w:val="superscript"/>
                <w:lang w:val="sr-Latn-ME" w:eastAsia="ja-JP"/>
              </w:rPr>
            </w:pPr>
            <w:r w:rsidRPr="00B8307D">
              <w:rPr>
                <w:sz w:val="22"/>
                <w:szCs w:val="22"/>
                <w:lang w:val="sr-Latn-ME" w:eastAsia="ja-JP"/>
              </w:rPr>
              <w:t>Vrlo često</w:t>
            </w:r>
          </w:p>
        </w:tc>
      </w:tr>
      <w:tr w:rsidR="004F6368" w:rsidRPr="00B8307D" w14:paraId="30C02A2B" w14:textId="77777777" w:rsidTr="000A067B">
        <w:trPr>
          <w:trHeight w:val="261"/>
        </w:trPr>
        <w:tc>
          <w:tcPr>
            <w:tcW w:w="1733" w:type="pct"/>
            <w:vMerge/>
            <w:tcBorders>
              <w:top w:val="single" w:sz="4" w:space="0" w:color="auto"/>
              <w:left w:val="single" w:sz="4" w:space="0" w:color="auto"/>
              <w:bottom w:val="single" w:sz="4" w:space="0" w:color="auto"/>
              <w:right w:val="single" w:sz="4" w:space="0" w:color="auto"/>
            </w:tcBorders>
            <w:vAlign w:val="center"/>
            <w:hideMark/>
          </w:tcPr>
          <w:p w14:paraId="64BC19C5" w14:textId="77777777" w:rsidR="004F6368" w:rsidRPr="00B8307D" w:rsidRDefault="004F6368" w:rsidP="000A067B">
            <w:pPr>
              <w:widowControl w:val="0"/>
              <w:rPr>
                <w:sz w:val="22"/>
                <w:szCs w:val="22"/>
                <w:lang w:val="sr-Latn-ME" w:eastAsia="ja-JP"/>
              </w:rPr>
            </w:pPr>
          </w:p>
        </w:tc>
        <w:tc>
          <w:tcPr>
            <w:tcW w:w="1978" w:type="pct"/>
            <w:tcBorders>
              <w:top w:val="single" w:sz="4" w:space="0" w:color="auto"/>
              <w:left w:val="single" w:sz="4" w:space="0" w:color="auto"/>
              <w:bottom w:val="single" w:sz="4" w:space="0" w:color="auto"/>
              <w:right w:val="single" w:sz="4" w:space="0" w:color="auto"/>
            </w:tcBorders>
            <w:hideMark/>
          </w:tcPr>
          <w:p w14:paraId="1F358A96" w14:textId="77777777" w:rsidR="004F6368" w:rsidRPr="00B8307D" w:rsidRDefault="004F6368" w:rsidP="000A067B">
            <w:pPr>
              <w:widowControl w:val="0"/>
              <w:rPr>
                <w:sz w:val="22"/>
                <w:szCs w:val="22"/>
                <w:lang w:val="sr-Latn-ME" w:eastAsia="ja-JP"/>
              </w:rPr>
            </w:pPr>
            <w:r w:rsidRPr="00B8307D">
              <w:rPr>
                <w:sz w:val="22"/>
                <w:szCs w:val="22"/>
                <w:vertAlign w:val="superscript"/>
                <w:lang w:val="sr-Latn-ME" w:eastAsia="ja-JP"/>
              </w:rPr>
              <w:t>1</w:t>
            </w:r>
            <w:r w:rsidRPr="00B8307D">
              <w:rPr>
                <w:sz w:val="22"/>
                <w:szCs w:val="22"/>
                <w:lang w:val="sr-Latn-ME" w:eastAsia="ja-JP"/>
              </w:rPr>
              <w:t>Povišeni krvni pritisak</w:t>
            </w:r>
          </w:p>
        </w:tc>
        <w:tc>
          <w:tcPr>
            <w:tcW w:w="1289" w:type="pct"/>
            <w:tcBorders>
              <w:top w:val="single" w:sz="4" w:space="0" w:color="auto"/>
              <w:left w:val="single" w:sz="4" w:space="0" w:color="auto"/>
              <w:bottom w:val="single" w:sz="4" w:space="0" w:color="auto"/>
              <w:right w:val="single" w:sz="4" w:space="0" w:color="auto"/>
            </w:tcBorders>
            <w:hideMark/>
          </w:tcPr>
          <w:p w14:paraId="6412652C" w14:textId="77777777" w:rsidR="004F6368" w:rsidRPr="00B8307D" w:rsidRDefault="004F6368" w:rsidP="000A067B">
            <w:pPr>
              <w:widowControl w:val="0"/>
              <w:rPr>
                <w:sz w:val="22"/>
                <w:szCs w:val="22"/>
                <w:vertAlign w:val="superscript"/>
                <w:lang w:val="sr-Latn-ME" w:eastAsia="ja-JP"/>
              </w:rPr>
            </w:pPr>
            <w:r w:rsidRPr="00B8307D">
              <w:rPr>
                <w:sz w:val="22"/>
                <w:szCs w:val="22"/>
                <w:lang w:val="sr-Latn-ME" w:eastAsia="ja-JP"/>
              </w:rPr>
              <w:t>Vrlo često</w:t>
            </w:r>
          </w:p>
        </w:tc>
      </w:tr>
      <w:tr w:rsidR="004F6368" w:rsidRPr="00B8307D" w14:paraId="50A6141F" w14:textId="77777777" w:rsidTr="000A067B">
        <w:trPr>
          <w:trHeight w:val="261"/>
        </w:trPr>
        <w:tc>
          <w:tcPr>
            <w:tcW w:w="1733" w:type="pct"/>
            <w:vMerge/>
            <w:tcBorders>
              <w:top w:val="single" w:sz="4" w:space="0" w:color="auto"/>
              <w:left w:val="single" w:sz="4" w:space="0" w:color="auto"/>
              <w:bottom w:val="single" w:sz="4" w:space="0" w:color="auto"/>
              <w:right w:val="single" w:sz="4" w:space="0" w:color="auto"/>
            </w:tcBorders>
            <w:vAlign w:val="center"/>
            <w:hideMark/>
          </w:tcPr>
          <w:p w14:paraId="571E7DA6" w14:textId="77777777" w:rsidR="004F6368" w:rsidRPr="00B8307D" w:rsidRDefault="004F6368" w:rsidP="000A067B">
            <w:pPr>
              <w:widowControl w:val="0"/>
              <w:rPr>
                <w:sz w:val="22"/>
                <w:szCs w:val="22"/>
                <w:lang w:val="sr-Latn-ME" w:eastAsia="ja-JP"/>
              </w:rPr>
            </w:pPr>
          </w:p>
        </w:tc>
        <w:tc>
          <w:tcPr>
            <w:tcW w:w="1978" w:type="pct"/>
            <w:tcBorders>
              <w:top w:val="single" w:sz="4" w:space="0" w:color="auto"/>
              <w:left w:val="single" w:sz="4" w:space="0" w:color="auto"/>
              <w:bottom w:val="single" w:sz="4" w:space="0" w:color="auto"/>
              <w:right w:val="single" w:sz="4" w:space="0" w:color="auto"/>
            </w:tcBorders>
            <w:hideMark/>
          </w:tcPr>
          <w:p w14:paraId="47C734D4" w14:textId="77777777" w:rsidR="004F6368" w:rsidRPr="00B8307D" w:rsidRDefault="004F6368" w:rsidP="000A067B">
            <w:pPr>
              <w:widowControl w:val="0"/>
              <w:rPr>
                <w:sz w:val="22"/>
                <w:szCs w:val="22"/>
                <w:lang w:val="sr-Latn-ME" w:eastAsia="ja-JP"/>
              </w:rPr>
            </w:pPr>
            <w:r w:rsidRPr="00B8307D">
              <w:rPr>
                <w:sz w:val="22"/>
                <w:szCs w:val="22"/>
                <w:vertAlign w:val="superscript"/>
                <w:lang w:val="sr-Latn-ME" w:eastAsia="ja-JP"/>
              </w:rPr>
              <w:t>1</w:t>
            </w:r>
            <w:r w:rsidRPr="00B8307D">
              <w:rPr>
                <w:sz w:val="22"/>
                <w:szCs w:val="22"/>
                <w:lang w:val="sr-Latn-ME" w:eastAsia="ja-JP"/>
              </w:rPr>
              <w:t>Nepravilni otkucaji srca</w:t>
            </w:r>
          </w:p>
        </w:tc>
        <w:tc>
          <w:tcPr>
            <w:tcW w:w="1289" w:type="pct"/>
            <w:tcBorders>
              <w:top w:val="single" w:sz="4" w:space="0" w:color="auto"/>
              <w:left w:val="single" w:sz="4" w:space="0" w:color="auto"/>
              <w:bottom w:val="single" w:sz="4" w:space="0" w:color="auto"/>
              <w:right w:val="single" w:sz="4" w:space="0" w:color="auto"/>
            </w:tcBorders>
            <w:hideMark/>
          </w:tcPr>
          <w:p w14:paraId="40427598" w14:textId="77777777" w:rsidR="004F6368" w:rsidRPr="00B8307D" w:rsidRDefault="004F6368" w:rsidP="000A067B">
            <w:pPr>
              <w:widowControl w:val="0"/>
              <w:rPr>
                <w:sz w:val="22"/>
                <w:szCs w:val="22"/>
                <w:vertAlign w:val="superscript"/>
                <w:lang w:val="sr-Latn-ME" w:eastAsia="ja-JP"/>
              </w:rPr>
            </w:pPr>
            <w:r w:rsidRPr="00B8307D">
              <w:rPr>
                <w:sz w:val="22"/>
                <w:szCs w:val="22"/>
                <w:lang w:val="sr-Latn-ME" w:eastAsia="ja-JP"/>
              </w:rPr>
              <w:t>Vrlo često</w:t>
            </w:r>
          </w:p>
        </w:tc>
      </w:tr>
      <w:tr w:rsidR="004F6368" w:rsidRPr="00B8307D" w14:paraId="47FAE176" w14:textId="77777777" w:rsidTr="000A067B">
        <w:trPr>
          <w:trHeight w:val="259"/>
        </w:trPr>
        <w:tc>
          <w:tcPr>
            <w:tcW w:w="1733" w:type="pct"/>
            <w:vMerge/>
            <w:tcBorders>
              <w:top w:val="single" w:sz="4" w:space="0" w:color="auto"/>
              <w:left w:val="single" w:sz="4" w:space="0" w:color="auto"/>
              <w:bottom w:val="single" w:sz="4" w:space="0" w:color="auto"/>
              <w:right w:val="single" w:sz="4" w:space="0" w:color="auto"/>
            </w:tcBorders>
            <w:vAlign w:val="center"/>
            <w:hideMark/>
          </w:tcPr>
          <w:p w14:paraId="6311E44B" w14:textId="77777777" w:rsidR="004F6368" w:rsidRPr="00B8307D" w:rsidRDefault="004F6368" w:rsidP="000A067B">
            <w:pPr>
              <w:widowControl w:val="0"/>
              <w:rPr>
                <w:sz w:val="22"/>
                <w:szCs w:val="22"/>
                <w:lang w:val="sr-Latn-ME" w:eastAsia="ja-JP"/>
              </w:rPr>
            </w:pPr>
          </w:p>
        </w:tc>
        <w:tc>
          <w:tcPr>
            <w:tcW w:w="1978" w:type="pct"/>
            <w:tcBorders>
              <w:top w:val="single" w:sz="4" w:space="0" w:color="auto"/>
              <w:left w:val="single" w:sz="4" w:space="0" w:color="auto"/>
              <w:bottom w:val="single" w:sz="4" w:space="0" w:color="auto"/>
              <w:right w:val="single" w:sz="4" w:space="0" w:color="auto"/>
            </w:tcBorders>
            <w:hideMark/>
          </w:tcPr>
          <w:p w14:paraId="406FEEFB" w14:textId="77777777" w:rsidR="004F6368" w:rsidRPr="00B8307D" w:rsidRDefault="004F6368" w:rsidP="000A067B">
            <w:pPr>
              <w:widowControl w:val="0"/>
              <w:rPr>
                <w:sz w:val="22"/>
                <w:szCs w:val="22"/>
                <w:lang w:val="sr-Latn-ME" w:eastAsia="ja-JP"/>
              </w:rPr>
            </w:pPr>
            <w:r w:rsidRPr="00B8307D">
              <w:rPr>
                <w:sz w:val="22"/>
                <w:szCs w:val="22"/>
                <w:vertAlign w:val="superscript"/>
                <w:lang w:val="sr-Latn-ME" w:eastAsia="ja-JP"/>
              </w:rPr>
              <w:t>1</w:t>
            </w:r>
            <w:r w:rsidRPr="00B8307D">
              <w:rPr>
                <w:sz w:val="22"/>
                <w:szCs w:val="22"/>
                <w:lang w:val="sr-Latn-ME" w:eastAsia="ja-JP"/>
              </w:rPr>
              <w:t>Treperenje srca</w:t>
            </w:r>
          </w:p>
        </w:tc>
        <w:tc>
          <w:tcPr>
            <w:tcW w:w="1289" w:type="pct"/>
            <w:tcBorders>
              <w:top w:val="single" w:sz="4" w:space="0" w:color="auto"/>
              <w:left w:val="single" w:sz="4" w:space="0" w:color="auto"/>
              <w:bottom w:val="single" w:sz="4" w:space="0" w:color="auto"/>
              <w:right w:val="single" w:sz="4" w:space="0" w:color="auto"/>
            </w:tcBorders>
            <w:hideMark/>
          </w:tcPr>
          <w:p w14:paraId="212FF5F1" w14:textId="77777777" w:rsidR="004F6368" w:rsidRPr="00B8307D" w:rsidRDefault="004F6368" w:rsidP="000A067B">
            <w:pPr>
              <w:widowControl w:val="0"/>
              <w:rPr>
                <w:sz w:val="22"/>
                <w:szCs w:val="22"/>
                <w:lang w:val="sr-Latn-ME" w:eastAsia="ja-JP"/>
              </w:rPr>
            </w:pPr>
            <w:r w:rsidRPr="00B8307D">
              <w:rPr>
                <w:sz w:val="22"/>
                <w:szCs w:val="22"/>
                <w:lang w:val="sr-Latn-ME" w:eastAsia="ja-JP"/>
              </w:rPr>
              <w:t>Vrlo često</w:t>
            </w:r>
          </w:p>
        </w:tc>
      </w:tr>
      <w:tr w:rsidR="004F6368" w:rsidRPr="00B8307D" w14:paraId="106AC54D" w14:textId="77777777" w:rsidTr="000A067B">
        <w:trPr>
          <w:trHeight w:val="259"/>
        </w:trPr>
        <w:tc>
          <w:tcPr>
            <w:tcW w:w="1733" w:type="pct"/>
            <w:vMerge/>
            <w:tcBorders>
              <w:top w:val="single" w:sz="4" w:space="0" w:color="auto"/>
              <w:left w:val="single" w:sz="4" w:space="0" w:color="auto"/>
              <w:bottom w:val="single" w:sz="4" w:space="0" w:color="auto"/>
              <w:right w:val="single" w:sz="4" w:space="0" w:color="auto"/>
            </w:tcBorders>
            <w:vAlign w:val="center"/>
          </w:tcPr>
          <w:p w14:paraId="7EA84D92" w14:textId="77777777" w:rsidR="004F6368" w:rsidRPr="00B8307D" w:rsidRDefault="004F6368" w:rsidP="000A067B">
            <w:pPr>
              <w:widowControl w:val="0"/>
              <w:rPr>
                <w:sz w:val="22"/>
                <w:szCs w:val="22"/>
                <w:lang w:val="sr-Latn-ME" w:eastAsia="ja-JP"/>
              </w:rPr>
            </w:pPr>
          </w:p>
        </w:tc>
        <w:tc>
          <w:tcPr>
            <w:tcW w:w="1978" w:type="pct"/>
            <w:tcBorders>
              <w:top w:val="single" w:sz="4" w:space="0" w:color="auto"/>
              <w:left w:val="single" w:sz="4" w:space="0" w:color="auto"/>
              <w:bottom w:val="single" w:sz="4" w:space="0" w:color="auto"/>
              <w:right w:val="single" w:sz="4" w:space="0" w:color="auto"/>
            </w:tcBorders>
          </w:tcPr>
          <w:p w14:paraId="19B4D4D9" w14:textId="77777777" w:rsidR="004F6368" w:rsidRPr="00B8307D" w:rsidRDefault="004F6368" w:rsidP="000A067B">
            <w:pPr>
              <w:widowControl w:val="0"/>
              <w:rPr>
                <w:sz w:val="22"/>
                <w:szCs w:val="22"/>
                <w:vertAlign w:val="superscript"/>
                <w:lang w:val="sr-Latn-ME" w:eastAsia="ja-JP"/>
              </w:rPr>
            </w:pPr>
            <w:r w:rsidRPr="00B8307D">
              <w:rPr>
                <w:sz w:val="22"/>
                <w:szCs w:val="22"/>
                <w:lang w:val="sr-Latn-ME" w:eastAsia="ja-JP"/>
              </w:rPr>
              <w:t>Smanjena ejekciona frakcija*</w:t>
            </w:r>
          </w:p>
        </w:tc>
        <w:tc>
          <w:tcPr>
            <w:tcW w:w="1289" w:type="pct"/>
            <w:tcBorders>
              <w:top w:val="single" w:sz="4" w:space="0" w:color="auto"/>
              <w:left w:val="single" w:sz="4" w:space="0" w:color="auto"/>
              <w:bottom w:val="single" w:sz="4" w:space="0" w:color="auto"/>
              <w:right w:val="single" w:sz="4" w:space="0" w:color="auto"/>
            </w:tcBorders>
          </w:tcPr>
          <w:p w14:paraId="49565795" w14:textId="77777777" w:rsidR="004F6368" w:rsidRPr="00B8307D" w:rsidRDefault="004F6368" w:rsidP="000A067B">
            <w:pPr>
              <w:widowControl w:val="0"/>
              <w:rPr>
                <w:sz w:val="22"/>
                <w:szCs w:val="22"/>
                <w:lang w:val="sr-Latn-ME" w:eastAsia="ja-JP"/>
              </w:rPr>
            </w:pPr>
            <w:r w:rsidRPr="00B8307D">
              <w:rPr>
                <w:sz w:val="22"/>
                <w:szCs w:val="22"/>
                <w:lang w:val="sr-Latn-ME" w:eastAsia="ja-JP"/>
              </w:rPr>
              <w:t>Vrlo često</w:t>
            </w:r>
          </w:p>
        </w:tc>
      </w:tr>
      <w:tr w:rsidR="004F6368" w:rsidRPr="00B8307D" w14:paraId="1494F017" w14:textId="77777777" w:rsidTr="000A067B">
        <w:trPr>
          <w:trHeight w:val="231"/>
        </w:trPr>
        <w:tc>
          <w:tcPr>
            <w:tcW w:w="1733" w:type="pct"/>
            <w:vMerge/>
            <w:tcBorders>
              <w:top w:val="single" w:sz="4" w:space="0" w:color="auto"/>
              <w:left w:val="single" w:sz="4" w:space="0" w:color="auto"/>
              <w:bottom w:val="single" w:sz="4" w:space="0" w:color="auto"/>
              <w:right w:val="single" w:sz="4" w:space="0" w:color="auto"/>
            </w:tcBorders>
            <w:vAlign w:val="center"/>
            <w:hideMark/>
          </w:tcPr>
          <w:p w14:paraId="6B1FCA1A" w14:textId="77777777" w:rsidR="004F6368" w:rsidRPr="00B8307D" w:rsidRDefault="004F6368" w:rsidP="000A067B">
            <w:pPr>
              <w:widowControl w:val="0"/>
              <w:rPr>
                <w:sz w:val="22"/>
                <w:szCs w:val="22"/>
                <w:lang w:val="sr-Latn-ME" w:eastAsia="ja-JP"/>
              </w:rPr>
            </w:pPr>
          </w:p>
        </w:tc>
        <w:tc>
          <w:tcPr>
            <w:tcW w:w="1978" w:type="pct"/>
            <w:tcBorders>
              <w:top w:val="single" w:sz="4" w:space="0" w:color="auto"/>
              <w:left w:val="single" w:sz="4" w:space="0" w:color="auto"/>
              <w:bottom w:val="single" w:sz="4" w:space="0" w:color="auto"/>
              <w:right w:val="single" w:sz="4" w:space="0" w:color="auto"/>
            </w:tcBorders>
            <w:hideMark/>
          </w:tcPr>
          <w:p w14:paraId="3D992AF3" w14:textId="77777777" w:rsidR="004F6368" w:rsidRPr="00B8307D" w:rsidRDefault="004F6368" w:rsidP="000A067B">
            <w:pPr>
              <w:widowControl w:val="0"/>
              <w:rPr>
                <w:sz w:val="22"/>
                <w:szCs w:val="22"/>
                <w:lang w:val="sr-Latn-ME" w:eastAsia="ja-JP"/>
              </w:rPr>
            </w:pPr>
            <w:r w:rsidRPr="00B8307D">
              <w:rPr>
                <w:sz w:val="22"/>
                <w:szCs w:val="22"/>
                <w:vertAlign w:val="superscript"/>
                <w:lang w:val="sr-Latn-ME" w:eastAsia="ja-JP"/>
              </w:rPr>
              <w:t>+</w:t>
            </w:r>
            <w:r w:rsidRPr="00B8307D">
              <w:rPr>
                <w:sz w:val="22"/>
                <w:szCs w:val="22"/>
                <w:lang w:val="sr-Latn-ME" w:eastAsia="ja-JP"/>
              </w:rPr>
              <w:t>Srčana insuficijencija (kongestivna)</w:t>
            </w:r>
          </w:p>
        </w:tc>
        <w:tc>
          <w:tcPr>
            <w:tcW w:w="1289" w:type="pct"/>
            <w:tcBorders>
              <w:top w:val="single" w:sz="4" w:space="0" w:color="auto"/>
              <w:left w:val="single" w:sz="4" w:space="0" w:color="auto"/>
              <w:bottom w:val="single" w:sz="4" w:space="0" w:color="auto"/>
              <w:right w:val="single" w:sz="4" w:space="0" w:color="auto"/>
            </w:tcBorders>
            <w:hideMark/>
          </w:tcPr>
          <w:p w14:paraId="38118E82" w14:textId="77777777" w:rsidR="004F6368" w:rsidRPr="00B8307D" w:rsidRDefault="004F6368" w:rsidP="000A067B">
            <w:pPr>
              <w:widowControl w:val="0"/>
              <w:rPr>
                <w:sz w:val="22"/>
                <w:szCs w:val="22"/>
                <w:lang w:val="sr-Latn-ME" w:eastAsia="ja-JP"/>
              </w:rPr>
            </w:pPr>
            <w:r w:rsidRPr="00B8307D">
              <w:rPr>
                <w:sz w:val="22"/>
                <w:szCs w:val="22"/>
                <w:lang w:val="sr-Latn-ME" w:eastAsia="ja-JP"/>
              </w:rPr>
              <w:t xml:space="preserve">Često </w:t>
            </w:r>
          </w:p>
        </w:tc>
      </w:tr>
      <w:tr w:rsidR="004F6368" w:rsidRPr="00B8307D" w14:paraId="17346C4D" w14:textId="77777777" w:rsidTr="000A067B">
        <w:trPr>
          <w:trHeight w:val="127"/>
        </w:trPr>
        <w:tc>
          <w:tcPr>
            <w:tcW w:w="1733" w:type="pct"/>
            <w:vMerge/>
            <w:tcBorders>
              <w:top w:val="single" w:sz="4" w:space="0" w:color="auto"/>
              <w:left w:val="single" w:sz="4" w:space="0" w:color="auto"/>
              <w:bottom w:val="single" w:sz="4" w:space="0" w:color="auto"/>
              <w:right w:val="single" w:sz="4" w:space="0" w:color="auto"/>
            </w:tcBorders>
            <w:vAlign w:val="center"/>
            <w:hideMark/>
          </w:tcPr>
          <w:p w14:paraId="30CB542F" w14:textId="77777777" w:rsidR="004F6368" w:rsidRPr="00B8307D" w:rsidRDefault="004F6368" w:rsidP="000A067B">
            <w:pPr>
              <w:widowControl w:val="0"/>
              <w:rPr>
                <w:sz w:val="22"/>
                <w:szCs w:val="22"/>
                <w:lang w:val="sr-Latn-ME" w:eastAsia="ja-JP"/>
              </w:rPr>
            </w:pPr>
          </w:p>
        </w:tc>
        <w:tc>
          <w:tcPr>
            <w:tcW w:w="1978" w:type="pct"/>
            <w:tcBorders>
              <w:top w:val="single" w:sz="4" w:space="0" w:color="auto"/>
              <w:left w:val="single" w:sz="4" w:space="0" w:color="auto"/>
              <w:bottom w:val="single" w:sz="4" w:space="0" w:color="auto"/>
              <w:right w:val="single" w:sz="4" w:space="0" w:color="auto"/>
            </w:tcBorders>
            <w:hideMark/>
          </w:tcPr>
          <w:p w14:paraId="036960E6" w14:textId="77777777" w:rsidR="004F6368" w:rsidRPr="00B8307D" w:rsidRDefault="004F6368" w:rsidP="000A067B">
            <w:pPr>
              <w:widowControl w:val="0"/>
              <w:rPr>
                <w:sz w:val="22"/>
                <w:szCs w:val="22"/>
                <w:lang w:val="sr-Latn-ME" w:eastAsia="ja-JP"/>
              </w:rPr>
            </w:pPr>
            <w:r w:rsidRPr="00B8307D">
              <w:rPr>
                <w:sz w:val="22"/>
                <w:szCs w:val="22"/>
                <w:vertAlign w:val="superscript"/>
                <w:lang w:val="sr-Latn-ME" w:eastAsia="ja-JP"/>
              </w:rPr>
              <w:t>+1</w:t>
            </w:r>
            <w:r w:rsidRPr="00B8307D">
              <w:rPr>
                <w:sz w:val="22"/>
                <w:szCs w:val="22"/>
                <w:lang w:val="sr-Latn-ME" w:eastAsia="ja-JP"/>
              </w:rPr>
              <w:t>Supraventrikularna tahiaritmija</w:t>
            </w:r>
          </w:p>
        </w:tc>
        <w:tc>
          <w:tcPr>
            <w:tcW w:w="1289" w:type="pct"/>
            <w:tcBorders>
              <w:top w:val="single" w:sz="4" w:space="0" w:color="auto"/>
              <w:left w:val="single" w:sz="4" w:space="0" w:color="auto"/>
              <w:bottom w:val="single" w:sz="4" w:space="0" w:color="auto"/>
              <w:right w:val="single" w:sz="4" w:space="0" w:color="auto"/>
            </w:tcBorders>
            <w:hideMark/>
          </w:tcPr>
          <w:p w14:paraId="7CB71884" w14:textId="77777777" w:rsidR="004F6368" w:rsidRPr="00B8307D" w:rsidRDefault="004F6368" w:rsidP="000A067B">
            <w:pPr>
              <w:widowControl w:val="0"/>
              <w:rPr>
                <w:sz w:val="22"/>
                <w:szCs w:val="22"/>
                <w:lang w:val="sr-Latn-ME" w:eastAsia="ja-JP"/>
              </w:rPr>
            </w:pPr>
            <w:r w:rsidRPr="00B8307D">
              <w:rPr>
                <w:sz w:val="22"/>
                <w:szCs w:val="22"/>
                <w:lang w:val="sr-Latn-ME" w:eastAsia="ja-JP"/>
              </w:rPr>
              <w:t>Često</w:t>
            </w:r>
          </w:p>
        </w:tc>
      </w:tr>
      <w:tr w:rsidR="004F6368" w:rsidRPr="00B8307D" w14:paraId="34DAB6FA" w14:textId="77777777" w:rsidTr="000A067B">
        <w:trPr>
          <w:trHeight w:val="201"/>
        </w:trPr>
        <w:tc>
          <w:tcPr>
            <w:tcW w:w="1733" w:type="pct"/>
            <w:vMerge/>
            <w:tcBorders>
              <w:top w:val="single" w:sz="4" w:space="0" w:color="auto"/>
              <w:left w:val="single" w:sz="4" w:space="0" w:color="auto"/>
              <w:bottom w:val="single" w:sz="4" w:space="0" w:color="auto"/>
              <w:right w:val="single" w:sz="4" w:space="0" w:color="auto"/>
            </w:tcBorders>
            <w:vAlign w:val="center"/>
            <w:hideMark/>
          </w:tcPr>
          <w:p w14:paraId="512B92A0" w14:textId="77777777" w:rsidR="004F6368" w:rsidRPr="00B8307D" w:rsidRDefault="004F6368" w:rsidP="000A067B">
            <w:pPr>
              <w:widowControl w:val="0"/>
              <w:rPr>
                <w:sz w:val="22"/>
                <w:szCs w:val="22"/>
                <w:lang w:val="sr-Latn-ME" w:eastAsia="ja-JP"/>
              </w:rPr>
            </w:pPr>
          </w:p>
        </w:tc>
        <w:tc>
          <w:tcPr>
            <w:tcW w:w="1978" w:type="pct"/>
            <w:tcBorders>
              <w:top w:val="single" w:sz="4" w:space="0" w:color="auto"/>
              <w:left w:val="single" w:sz="4" w:space="0" w:color="auto"/>
              <w:bottom w:val="single" w:sz="4" w:space="0" w:color="auto"/>
              <w:right w:val="single" w:sz="4" w:space="0" w:color="auto"/>
            </w:tcBorders>
            <w:hideMark/>
          </w:tcPr>
          <w:p w14:paraId="0FA4D700" w14:textId="77777777" w:rsidR="004F6368" w:rsidRPr="00B8307D" w:rsidRDefault="004F6368" w:rsidP="000A067B">
            <w:pPr>
              <w:widowControl w:val="0"/>
              <w:rPr>
                <w:sz w:val="22"/>
                <w:szCs w:val="22"/>
                <w:lang w:val="sr-Latn-ME" w:eastAsia="ja-JP"/>
              </w:rPr>
            </w:pPr>
            <w:r w:rsidRPr="00B8307D">
              <w:rPr>
                <w:sz w:val="22"/>
                <w:szCs w:val="22"/>
                <w:lang w:val="sr-Latn-ME" w:eastAsia="ja-JP"/>
              </w:rPr>
              <w:t>Kardiomiopatija</w:t>
            </w:r>
          </w:p>
        </w:tc>
        <w:tc>
          <w:tcPr>
            <w:tcW w:w="1289" w:type="pct"/>
            <w:tcBorders>
              <w:top w:val="single" w:sz="4" w:space="0" w:color="auto"/>
              <w:left w:val="single" w:sz="4" w:space="0" w:color="auto"/>
              <w:bottom w:val="single" w:sz="4" w:space="0" w:color="auto"/>
              <w:right w:val="single" w:sz="4" w:space="0" w:color="auto"/>
            </w:tcBorders>
            <w:hideMark/>
          </w:tcPr>
          <w:p w14:paraId="41D8CA6E" w14:textId="77777777" w:rsidR="004F6368" w:rsidRPr="00B8307D" w:rsidRDefault="004F6368" w:rsidP="000A067B">
            <w:pPr>
              <w:widowControl w:val="0"/>
              <w:rPr>
                <w:sz w:val="22"/>
                <w:szCs w:val="22"/>
                <w:lang w:val="sr-Latn-ME" w:eastAsia="ja-JP"/>
              </w:rPr>
            </w:pPr>
            <w:r w:rsidRPr="00B8307D">
              <w:rPr>
                <w:sz w:val="22"/>
                <w:szCs w:val="22"/>
                <w:lang w:val="sr-Latn-ME" w:eastAsia="ja-JP"/>
              </w:rPr>
              <w:t>Često</w:t>
            </w:r>
          </w:p>
        </w:tc>
      </w:tr>
      <w:tr w:rsidR="008674A8" w:rsidRPr="00B8307D" w14:paraId="5146EDBE" w14:textId="77777777" w:rsidTr="000A067B">
        <w:trPr>
          <w:trHeight w:val="255"/>
        </w:trPr>
        <w:tc>
          <w:tcPr>
            <w:tcW w:w="1733" w:type="pct"/>
            <w:vMerge/>
            <w:tcBorders>
              <w:top w:val="single" w:sz="4" w:space="0" w:color="auto"/>
              <w:left w:val="single" w:sz="4" w:space="0" w:color="auto"/>
              <w:bottom w:val="single" w:sz="4" w:space="0" w:color="auto"/>
              <w:right w:val="single" w:sz="4" w:space="0" w:color="auto"/>
            </w:tcBorders>
            <w:vAlign w:val="center"/>
          </w:tcPr>
          <w:p w14:paraId="1C200F44" w14:textId="77777777" w:rsidR="008674A8" w:rsidRPr="00B8307D" w:rsidRDefault="008674A8" w:rsidP="000A067B">
            <w:pPr>
              <w:widowControl w:val="0"/>
              <w:rPr>
                <w:sz w:val="22"/>
                <w:szCs w:val="22"/>
                <w:lang w:val="sr-Latn-ME" w:eastAsia="ja-JP"/>
              </w:rPr>
            </w:pPr>
          </w:p>
        </w:tc>
        <w:tc>
          <w:tcPr>
            <w:tcW w:w="1978" w:type="pct"/>
            <w:tcBorders>
              <w:top w:val="single" w:sz="4" w:space="0" w:color="auto"/>
              <w:left w:val="single" w:sz="4" w:space="0" w:color="auto"/>
              <w:right w:val="single" w:sz="4" w:space="0" w:color="auto"/>
            </w:tcBorders>
          </w:tcPr>
          <w:p w14:paraId="14F676E0" w14:textId="0339CD32" w:rsidR="008674A8" w:rsidRPr="00B8307D" w:rsidRDefault="008674A8" w:rsidP="000A067B">
            <w:pPr>
              <w:widowControl w:val="0"/>
              <w:rPr>
                <w:sz w:val="22"/>
                <w:szCs w:val="22"/>
                <w:lang w:val="sr-Latn-ME" w:eastAsia="ja-JP"/>
              </w:rPr>
            </w:pPr>
            <w:r w:rsidRPr="00B8307D">
              <w:rPr>
                <w:sz w:val="22"/>
                <w:szCs w:val="22"/>
                <w:vertAlign w:val="superscript"/>
                <w:lang w:val="sr-Latn-ME" w:eastAsia="ja-JP"/>
              </w:rPr>
              <w:t>1</w:t>
            </w:r>
            <w:r w:rsidRPr="00B8307D">
              <w:rPr>
                <w:sz w:val="22"/>
                <w:szCs w:val="22"/>
                <w:lang w:val="sr-Latn-ME" w:eastAsia="ja-JP"/>
              </w:rPr>
              <w:t>Palpitacija</w:t>
            </w:r>
          </w:p>
        </w:tc>
        <w:tc>
          <w:tcPr>
            <w:tcW w:w="1289" w:type="pct"/>
            <w:tcBorders>
              <w:top w:val="single" w:sz="4" w:space="0" w:color="auto"/>
              <w:left w:val="single" w:sz="4" w:space="0" w:color="auto"/>
              <w:right w:val="single" w:sz="4" w:space="0" w:color="auto"/>
            </w:tcBorders>
          </w:tcPr>
          <w:p w14:paraId="4E3B3AAD" w14:textId="0F3C54C4" w:rsidR="008674A8" w:rsidRPr="00B8307D" w:rsidRDefault="008674A8" w:rsidP="000A067B">
            <w:pPr>
              <w:widowControl w:val="0"/>
              <w:rPr>
                <w:sz w:val="22"/>
                <w:szCs w:val="22"/>
                <w:lang w:val="sr-Latn-ME" w:eastAsia="ja-JP"/>
              </w:rPr>
            </w:pPr>
            <w:r w:rsidRPr="00B8307D">
              <w:rPr>
                <w:sz w:val="22"/>
                <w:szCs w:val="22"/>
                <w:lang w:val="sr-Latn-ME" w:eastAsia="ja-JP"/>
              </w:rPr>
              <w:t>Često</w:t>
            </w:r>
          </w:p>
        </w:tc>
      </w:tr>
      <w:tr w:rsidR="004F6368" w:rsidRPr="00B8307D" w14:paraId="160E9701" w14:textId="77777777" w:rsidTr="000A067B">
        <w:trPr>
          <w:trHeight w:val="255"/>
        </w:trPr>
        <w:tc>
          <w:tcPr>
            <w:tcW w:w="1733" w:type="pct"/>
            <w:vMerge/>
            <w:tcBorders>
              <w:top w:val="single" w:sz="4" w:space="0" w:color="auto"/>
              <w:left w:val="single" w:sz="4" w:space="0" w:color="auto"/>
              <w:bottom w:val="single" w:sz="4" w:space="0" w:color="auto"/>
              <w:right w:val="single" w:sz="4" w:space="0" w:color="auto"/>
            </w:tcBorders>
            <w:vAlign w:val="center"/>
            <w:hideMark/>
          </w:tcPr>
          <w:p w14:paraId="45AA6691" w14:textId="77777777" w:rsidR="004F6368" w:rsidRPr="00B8307D" w:rsidRDefault="004F6368" w:rsidP="000A067B">
            <w:pPr>
              <w:widowControl w:val="0"/>
              <w:rPr>
                <w:sz w:val="22"/>
                <w:szCs w:val="22"/>
                <w:lang w:val="sr-Latn-ME" w:eastAsia="ja-JP"/>
              </w:rPr>
            </w:pPr>
          </w:p>
        </w:tc>
        <w:tc>
          <w:tcPr>
            <w:tcW w:w="1978" w:type="pct"/>
            <w:tcBorders>
              <w:top w:val="single" w:sz="4" w:space="0" w:color="auto"/>
              <w:left w:val="single" w:sz="4" w:space="0" w:color="auto"/>
              <w:right w:val="single" w:sz="4" w:space="0" w:color="auto"/>
            </w:tcBorders>
          </w:tcPr>
          <w:p w14:paraId="352DA909" w14:textId="77777777" w:rsidR="004F6368" w:rsidRPr="00B8307D" w:rsidRDefault="004F6368" w:rsidP="000A067B">
            <w:pPr>
              <w:widowControl w:val="0"/>
              <w:rPr>
                <w:sz w:val="22"/>
                <w:szCs w:val="22"/>
                <w:lang w:val="sr-Latn-ME" w:eastAsia="ja-JP"/>
              </w:rPr>
            </w:pPr>
            <w:r w:rsidRPr="00B8307D">
              <w:rPr>
                <w:sz w:val="22"/>
                <w:szCs w:val="22"/>
                <w:lang w:val="sr-Latn-ME" w:eastAsia="ja-JP"/>
              </w:rPr>
              <w:t>Perikardijalni izliv</w:t>
            </w:r>
          </w:p>
        </w:tc>
        <w:tc>
          <w:tcPr>
            <w:tcW w:w="1289" w:type="pct"/>
            <w:tcBorders>
              <w:top w:val="single" w:sz="4" w:space="0" w:color="auto"/>
              <w:left w:val="single" w:sz="4" w:space="0" w:color="auto"/>
              <w:right w:val="single" w:sz="4" w:space="0" w:color="auto"/>
            </w:tcBorders>
          </w:tcPr>
          <w:p w14:paraId="33BA8860" w14:textId="77777777" w:rsidR="004F6368" w:rsidRPr="00B8307D" w:rsidRDefault="004F6368" w:rsidP="000A067B">
            <w:pPr>
              <w:widowControl w:val="0"/>
              <w:rPr>
                <w:sz w:val="22"/>
                <w:szCs w:val="22"/>
                <w:lang w:val="sr-Latn-ME" w:eastAsia="ja-JP"/>
              </w:rPr>
            </w:pPr>
            <w:r w:rsidRPr="00B8307D">
              <w:rPr>
                <w:sz w:val="22"/>
                <w:szCs w:val="22"/>
                <w:lang w:val="sr-Latn-ME" w:eastAsia="ja-JP"/>
              </w:rPr>
              <w:t xml:space="preserve">Povremeno </w:t>
            </w:r>
          </w:p>
        </w:tc>
      </w:tr>
      <w:tr w:rsidR="004F6368" w:rsidRPr="00B8307D" w14:paraId="63F47492" w14:textId="77777777" w:rsidTr="000A067B">
        <w:trPr>
          <w:trHeight w:val="120"/>
        </w:trPr>
        <w:tc>
          <w:tcPr>
            <w:tcW w:w="1733" w:type="pct"/>
            <w:vMerge/>
            <w:tcBorders>
              <w:top w:val="single" w:sz="4" w:space="0" w:color="auto"/>
              <w:left w:val="single" w:sz="4" w:space="0" w:color="auto"/>
              <w:bottom w:val="single" w:sz="4" w:space="0" w:color="auto"/>
              <w:right w:val="single" w:sz="4" w:space="0" w:color="auto"/>
            </w:tcBorders>
            <w:vAlign w:val="center"/>
            <w:hideMark/>
          </w:tcPr>
          <w:p w14:paraId="48C3C9D2" w14:textId="77777777" w:rsidR="004F6368" w:rsidRPr="00B8307D" w:rsidRDefault="004F6368" w:rsidP="000A067B">
            <w:pPr>
              <w:widowControl w:val="0"/>
              <w:rPr>
                <w:sz w:val="22"/>
                <w:szCs w:val="22"/>
                <w:lang w:val="sr-Latn-ME" w:eastAsia="ja-JP"/>
              </w:rPr>
            </w:pPr>
          </w:p>
        </w:tc>
        <w:tc>
          <w:tcPr>
            <w:tcW w:w="1978" w:type="pct"/>
            <w:tcBorders>
              <w:top w:val="single" w:sz="4" w:space="0" w:color="auto"/>
              <w:left w:val="single" w:sz="4" w:space="0" w:color="auto"/>
              <w:bottom w:val="single" w:sz="4" w:space="0" w:color="auto"/>
              <w:right w:val="single" w:sz="4" w:space="0" w:color="auto"/>
            </w:tcBorders>
            <w:hideMark/>
          </w:tcPr>
          <w:p w14:paraId="1A224992" w14:textId="77777777" w:rsidR="004F6368" w:rsidRPr="00B8307D" w:rsidRDefault="004F6368" w:rsidP="000A067B">
            <w:pPr>
              <w:widowControl w:val="0"/>
              <w:rPr>
                <w:sz w:val="22"/>
                <w:szCs w:val="22"/>
                <w:lang w:val="sr-Latn-ME" w:eastAsia="ja-JP"/>
              </w:rPr>
            </w:pPr>
            <w:r w:rsidRPr="00B8307D">
              <w:rPr>
                <w:sz w:val="22"/>
                <w:szCs w:val="22"/>
                <w:lang w:val="sr-Latn-ME" w:eastAsia="ja-JP"/>
              </w:rPr>
              <w:t>Kardiogeni šok</w:t>
            </w:r>
          </w:p>
        </w:tc>
        <w:tc>
          <w:tcPr>
            <w:tcW w:w="1289" w:type="pct"/>
            <w:tcBorders>
              <w:top w:val="single" w:sz="4" w:space="0" w:color="auto"/>
              <w:left w:val="single" w:sz="4" w:space="0" w:color="auto"/>
              <w:bottom w:val="single" w:sz="4" w:space="0" w:color="auto"/>
              <w:right w:val="single" w:sz="4" w:space="0" w:color="auto"/>
            </w:tcBorders>
            <w:hideMark/>
          </w:tcPr>
          <w:p w14:paraId="306D1612" w14:textId="77777777" w:rsidR="004F6368" w:rsidRPr="00B8307D" w:rsidRDefault="004F6368" w:rsidP="000A067B">
            <w:pPr>
              <w:widowControl w:val="0"/>
              <w:rPr>
                <w:sz w:val="22"/>
                <w:szCs w:val="22"/>
                <w:lang w:val="sr-Latn-ME" w:eastAsia="ja-JP"/>
              </w:rPr>
            </w:pPr>
            <w:r w:rsidRPr="00B8307D">
              <w:rPr>
                <w:sz w:val="22"/>
                <w:szCs w:val="22"/>
                <w:lang w:val="sr-Latn-ME" w:eastAsia="ja-JP"/>
              </w:rPr>
              <w:t>Nepoznato</w:t>
            </w:r>
          </w:p>
        </w:tc>
      </w:tr>
      <w:tr w:rsidR="004F6368" w:rsidRPr="00B8307D" w14:paraId="4E6BDFF7" w14:textId="77777777" w:rsidTr="000A067B">
        <w:trPr>
          <w:trHeight w:val="120"/>
        </w:trPr>
        <w:tc>
          <w:tcPr>
            <w:tcW w:w="1733" w:type="pct"/>
            <w:vMerge/>
            <w:tcBorders>
              <w:top w:val="single" w:sz="4" w:space="0" w:color="auto"/>
              <w:left w:val="single" w:sz="4" w:space="0" w:color="auto"/>
              <w:bottom w:val="single" w:sz="4" w:space="0" w:color="auto"/>
              <w:right w:val="single" w:sz="4" w:space="0" w:color="auto"/>
            </w:tcBorders>
            <w:vAlign w:val="center"/>
            <w:hideMark/>
          </w:tcPr>
          <w:p w14:paraId="3FC10FB2" w14:textId="77777777" w:rsidR="004F6368" w:rsidRPr="00B8307D" w:rsidRDefault="004F6368" w:rsidP="000A067B">
            <w:pPr>
              <w:widowControl w:val="0"/>
              <w:rPr>
                <w:sz w:val="22"/>
                <w:szCs w:val="22"/>
                <w:lang w:val="sr-Latn-ME" w:eastAsia="ja-JP"/>
              </w:rPr>
            </w:pPr>
          </w:p>
        </w:tc>
        <w:tc>
          <w:tcPr>
            <w:tcW w:w="1978" w:type="pct"/>
            <w:tcBorders>
              <w:top w:val="single" w:sz="4" w:space="0" w:color="auto"/>
              <w:left w:val="single" w:sz="4" w:space="0" w:color="auto"/>
              <w:bottom w:val="single" w:sz="4" w:space="0" w:color="auto"/>
              <w:right w:val="single" w:sz="4" w:space="0" w:color="auto"/>
            </w:tcBorders>
            <w:hideMark/>
          </w:tcPr>
          <w:p w14:paraId="6C83F2D5" w14:textId="77777777" w:rsidR="004F6368" w:rsidRPr="00B8307D" w:rsidRDefault="004F6368" w:rsidP="000A067B">
            <w:pPr>
              <w:widowControl w:val="0"/>
              <w:rPr>
                <w:sz w:val="22"/>
                <w:szCs w:val="22"/>
                <w:lang w:val="sr-Latn-ME" w:eastAsia="ja-JP"/>
              </w:rPr>
            </w:pPr>
            <w:r w:rsidRPr="00B8307D">
              <w:rPr>
                <w:sz w:val="22"/>
                <w:szCs w:val="22"/>
                <w:lang w:val="sr-Latn-ME" w:eastAsia="ja-JP"/>
              </w:rPr>
              <w:t>Galopni ritam srca</w:t>
            </w:r>
          </w:p>
        </w:tc>
        <w:tc>
          <w:tcPr>
            <w:tcW w:w="1289" w:type="pct"/>
            <w:tcBorders>
              <w:top w:val="single" w:sz="4" w:space="0" w:color="auto"/>
              <w:left w:val="single" w:sz="4" w:space="0" w:color="auto"/>
              <w:bottom w:val="single" w:sz="4" w:space="0" w:color="auto"/>
              <w:right w:val="single" w:sz="4" w:space="0" w:color="auto"/>
            </w:tcBorders>
            <w:hideMark/>
          </w:tcPr>
          <w:p w14:paraId="1D07C70C" w14:textId="77777777" w:rsidR="004F6368" w:rsidRPr="00B8307D" w:rsidRDefault="004F6368" w:rsidP="000A067B">
            <w:pPr>
              <w:widowControl w:val="0"/>
              <w:rPr>
                <w:sz w:val="22"/>
                <w:szCs w:val="22"/>
                <w:lang w:val="sr-Latn-ME" w:eastAsia="ja-JP"/>
              </w:rPr>
            </w:pPr>
            <w:r w:rsidRPr="00B8307D">
              <w:rPr>
                <w:sz w:val="22"/>
                <w:szCs w:val="22"/>
                <w:lang w:val="sr-Latn-ME" w:eastAsia="ja-JP"/>
              </w:rPr>
              <w:t>Nepoznato</w:t>
            </w:r>
          </w:p>
        </w:tc>
      </w:tr>
      <w:tr w:rsidR="004F6368" w:rsidRPr="00B8307D" w14:paraId="27DE3F9E" w14:textId="77777777" w:rsidTr="000A067B">
        <w:trPr>
          <w:trHeight w:val="120"/>
        </w:trPr>
        <w:tc>
          <w:tcPr>
            <w:tcW w:w="1733" w:type="pct"/>
            <w:vMerge w:val="restart"/>
            <w:tcBorders>
              <w:top w:val="single" w:sz="4" w:space="0" w:color="auto"/>
              <w:left w:val="single" w:sz="4" w:space="0" w:color="auto"/>
              <w:bottom w:val="single" w:sz="4" w:space="0" w:color="auto"/>
              <w:right w:val="single" w:sz="4" w:space="0" w:color="auto"/>
            </w:tcBorders>
            <w:hideMark/>
          </w:tcPr>
          <w:p w14:paraId="1B7BE0F2" w14:textId="77777777" w:rsidR="004F6368" w:rsidRPr="00B8307D" w:rsidRDefault="004F6368" w:rsidP="000A067B">
            <w:pPr>
              <w:widowControl w:val="0"/>
              <w:rPr>
                <w:sz w:val="22"/>
                <w:szCs w:val="22"/>
                <w:lang w:val="sr-Latn-ME" w:eastAsia="ja-JP"/>
              </w:rPr>
            </w:pPr>
            <w:r w:rsidRPr="00B8307D">
              <w:rPr>
                <w:sz w:val="22"/>
                <w:szCs w:val="22"/>
                <w:lang w:val="sr-Latn-ME" w:eastAsia="ja-JP"/>
              </w:rPr>
              <w:t>Vaskularni poremećaji</w:t>
            </w:r>
          </w:p>
        </w:tc>
        <w:tc>
          <w:tcPr>
            <w:tcW w:w="1978" w:type="pct"/>
            <w:tcBorders>
              <w:top w:val="single" w:sz="4" w:space="0" w:color="auto"/>
              <w:left w:val="single" w:sz="4" w:space="0" w:color="auto"/>
              <w:bottom w:val="single" w:sz="4" w:space="0" w:color="auto"/>
              <w:right w:val="single" w:sz="4" w:space="0" w:color="auto"/>
            </w:tcBorders>
            <w:hideMark/>
          </w:tcPr>
          <w:p w14:paraId="7A717210" w14:textId="77777777" w:rsidR="004F6368" w:rsidRPr="00B8307D" w:rsidRDefault="004F6368" w:rsidP="000A067B">
            <w:pPr>
              <w:widowControl w:val="0"/>
              <w:rPr>
                <w:sz w:val="22"/>
                <w:szCs w:val="22"/>
                <w:lang w:val="sr-Latn-ME" w:eastAsia="ja-JP"/>
              </w:rPr>
            </w:pPr>
            <w:r w:rsidRPr="00B8307D">
              <w:rPr>
                <w:sz w:val="22"/>
                <w:szCs w:val="22"/>
                <w:lang w:val="sr-Latn-ME" w:eastAsia="ja-JP"/>
              </w:rPr>
              <w:t xml:space="preserve">Valunzi </w:t>
            </w:r>
          </w:p>
        </w:tc>
        <w:tc>
          <w:tcPr>
            <w:tcW w:w="1289" w:type="pct"/>
            <w:tcBorders>
              <w:top w:val="single" w:sz="4" w:space="0" w:color="auto"/>
              <w:left w:val="single" w:sz="4" w:space="0" w:color="auto"/>
              <w:bottom w:val="single" w:sz="4" w:space="0" w:color="auto"/>
              <w:right w:val="single" w:sz="4" w:space="0" w:color="auto"/>
            </w:tcBorders>
            <w:hideMark/>
          </w:tcPr>
          <w:p w14:paraId="6D31BAF5" w14:textId="77777777" w:rsidR="004F6368" w:rsidRPr="00B8307D" w:rsidRDefault="004F6368" w:rsidP="000A067B">
            <w:pPr>
              <w:widowControl w:val="0"/>
              <w:rPr>
                <w:sz w:val="22"/>
                <w:szCs w:val="22"/>
                <w:lang w:val="sr-Latn-ME" w:eastAsia="ja-JP"/>
              </w:rPr>
            </w:pPr>
            <w:r w:rsidRPr="00B8307D">
              <w:rPr>
                <w:sz w:val="22"/>
                <w:szCs w:val="22"/>
                <w:lang w:val="sr-Latn-ME" w:eastAsia="ja-JP"/>
              </w:rPr>
              <w:t>Vrlo često</w:t>
            </w:r>
          </w:p>
        </w:tc>
      </w:tr>
      <w:tr w:rsidR="004F6368" w:rsidRPr="00B8307D" w14:paraId="084306F1" w14:textId="77777777" w:rsidTr="000A067B">
        <w:trPr>
          <w:trHeight w:val="120"/>
        </w:trPr>
        <w:tc>
          <w:tcPr>
            <w:tcW w:w="1733" w:type="pct"/>
            <w:vMerge/>
            <w:tcBorders>
              <w:top w:val="single" w:sz="4" w:space="0" w:color="auto"/>
              <w:left w:val="single" w:sz="4" w:space="0" w:color="auto"/>
              <w:bottom w:val="single" w:sz="4" w:space="0" w:color="auto"/>
              <w:right w:val="single" w:sz="4" w:space="0" w:color="auto"/>
            </w:tcBorders>
            <w:vAlign w:val="center"/>
            <w:hideMark/>
          </w:tcPr>
          <w:p w14:paraId="143B588F" w14:textId="77777777" w:rsidR="004F6368" w:rsidRPr="00B8307D" w:rsidRDefault="004F6368" w:rsidP="000A067B">
            <w:pPr>
              <w:widowControl w:val="0"/>
              <w:rPr>
                <w:sz w:val="22"/>
                <w:szCs w:val="22"/>
                <w:lang w:val="sr-Latn-ME" w:eastAsia="ja-JP"/>
              </w:rPr>
            </w:pPr>
          </w:p>
        </w:tc>
        <w:tc>
          <w:tcPr>
            <w:tcW w:w="1978" w:type="pct"/>
            <w:tcBorders>
              <w:top w:val="single" w:sz="4" w:space="0" w:color="auto"/>
              <w:left w:val="single" w:sz="4" w:space="0" w:color="auto"/>
              <w:bottom w:val="single" w:sz="4" w:space="0" w:color="auto"/>
              <w:right w:val="single" w:sz="4" w:space="0" w:color="auto"/>
            </w:tcBorders>
            <w:hideMark/>
          </w:tcPr>
          <w:p w14:paraId="43C1165A" w14:textId="77777777" w:rsidR="004F6368" w:rsidRPr="00B8307D" w:rsidRDefault="004F6368" w:rsidP="000A067B">
            <w:pPr>
              <w:widowControl w:val="0"/>
              <w:rPr>
                <w:sz w:val="22"/>
                <w:szCs w:val="22"/>
                <w:vertAlign w:val="superscript"/>
                <w:lang w:val="sr-Latn-ME" w:eastAsia="ja-JP"/>
              </w:rPr>
            </w:pPr>
            <w:r w:rsidRPr="00B8307D">
              <w:rPr>
                <w:sz w:val="22"/>
                <w:szCs w:val="22"/>
                <w:vertAlign w:val="superscript"/>
                <w:lang w:val="sr-Latn-ME" w:eastAsia="ja-JP"/>
              </w:rPr>
              <w:t>+1</w:t>
            </w:r>
            <w:r w:rsidRPr="00B8307D">
              <w:rPr>
                <w:sz w:val="22"/>
                <w:szCs w:val="22"/>
                <w:lang w:val="sr-Latn-ME" w:eastAsia="ja-JP"/>
              </w:rPr>
              <w:t>Sniženi krvni pritisak</w:t>
            </w:r>
          </w:p>
        </w:tc>
        <w:tc>
          <w:tcPr>
            <w:tcW w:w="1289" w:type="pct"/>
            <w:tcBorders>
              <w:top w:val="single" w:sz="4" w:space="0" w:color="auto"/>
              <w:left w:val="single" w:sz="4" w:space="0" w:color="auto"/>
              <w:bottom w:val="single" w:sz="4" w:space="0" w:color="auto"/>
              <w:right w:val="single" w:sz="4" w:space="0" w:color="auto"/>
            </w:tcBorders>
            <w:hideMark/>
          </w:tcPr>
          <w:p w14:paraId="61836192" w14:textId="77777777" w:rsidR="004F6368" w:rsidRPr="00B8307D" w:rsidRDefault="004F6368" w:rsidP="000A067B">
            <w:pPr>
              <w:widowControl w:val="0"/>
              <w:rPr>
                <w:sz w:val="22"/>
                <w:szCs w:val="22"/>
                <w:lang w:val="sr-Latn-ME" w:eastAsia="ja-JP"/>
              </w:rPr>
            </w:pPr>
            <w:r w:rsidRPr="00B8307D">
              <w:rPr>
                <w:sz w:val="22"/>
                <w:szCs w:val="22"/>
                <w:lang w:val="sr-Latn-ME" w:eastAsia="ja-JP"/>
              </w:rPr>
              <w:t>Često</w:t>
            </w:r>
          </w:p>
        </w:tc>
      </w:tr>
      <w:tr w:rsidR="004F6368" w:rsidRPr="00B8307D" w14:paraId="09A54D90" w14:textId="77777777" w:rsidTr="000A067B">
        <w:trPr>
          <w:trHeight w:val="120"/>
        </w:trPr>
        <w:tc>
          <w:tcPr>
            <w:tcW w:w="1733" w:type="pct"/>
            <w:vMerge/>
            <w:tcBorders>
              <w:top w:val="single" w:sz="4" w:space="0" w:color="auto"/>
              <w:left w:val="single" w:sz="4" w:space="0" w:color="auto"/>
              <w:bottom w:val="single" w:sz="4" w:space="0" w:color="auto"/>
              <w:right w:val="single" w:sz="4" w:space="0" w:color="auto"/>
            </w:tcBorders>
            <w:vAlign w:val="center"/>
            <w:hideMark/>
          </w:tcPr>
          <w:p w14:paraId="0E6E0A6B" w14:textId="77777777" w:rsidR="004F6368" w:rsidRPr="00B8307D" w:rsidRDefault="004F6368" w:rsidP="000A067B">
            <w:pPr>
              <w:widowControl w:val="0"/>
              <w:rPr>
                <w:sz w:val="22"/>
                <w:szCs w:val="22"/>
                <w:lang w:val="sr-Latn-ME" w:eastAsia="ja-JP"/>
              </w:rPr>
            </w:pPr>
          </w:p>
        </w:tc>
        <w:tc>
          <w:tcPr>
            <w:tcW w:w="1978" w:type="pct"/>
            <w:tcBorders>
              <w:top w:val="single" w:sz="4" w:space="0" w:color="auto"/>
              <w:left w:val="single" w:sz="4" w:space="0" w:color="auto"/>
              <w:bottom w:val="single" w:sz="4" w:space="0" w:color="auto"/>
              <w:right w:val="single" w:sz="4" w:space="0" w:color="auto"/>
            </w:tcBorders>
            <w:hideMark/>
          </w:tcPr>
          <w:p w14:paraId="2E926D8F" w14:textId="77777777" w:rsidR="004F6368" w:rsidRPr="00B8307D" w:rsidRDefault="004F6368" w:rsidP="000A067B">
            <w:pPr>
              <w:widowControl w:val="0"/>
              <w:rPr>
                <w:sz w:val="22"/>
                <w:szCs w:val="22"/>
                <w:lang w:val="sr-Latn-ME" w:eastAsia="ja-JP"/>
              </w:rPr>
            </w:pPr>
            <w:r w:rsidRPr="00B8307D">
              <w:rPr>
                <w:sz w:val="22"/>
                <w:szCs w:val="22"/>
                <w:lang w:val="sr-Latn-ME" w:eastAsia="ja-JP"/>
              </w:rPr>
              <w:t>Vazodilatacija</w:t>
            </w:r>
          </w:p>
        </w:tc>
        <w:tc>
          <w:tcPr>
            <w:tcW w:w="1289" w:type="pct"/>
            <w:tcBorders>
              <w:top w:val="single" w:sz="4" w:space="0" w:color="auto"/>
              <w:left w:val="single" w:sz="4" w:space="0" w:color="auto"/>
              <w:bottom w:val="single" w:sz="4" w:space="0" w:color="auto"/>
              <w:right w:val="single" w:sz="4" w:space="0" w:color="auto"/>
            </w:tcBorders>
            <w:hideMark/>
          </w:tcPr>
          <w:p w14:paraId="4281D3C0" w14:textId="77777777" w:rsidR="004F6368" w:rsidRPr="00B8307D" w:rsidRDefault="004F6368" w:rsidP="000A067B">
            <w:pPr>
              <w:widowControl w:val="0"/>
              <w:rPr>
                <w:sz w:val="22"/>
                <w:szCs w:val="22"/>
                <w:lang w:val="sr-Latn-ME" w:eastAsia="ja-JP"/>
              </w:rPr>
            </w:pPr>
            <w:r w:rsidRPr="00B8307D">
              <w:rPr>
                <w:sz w:val="22"/>
                <w:szCs w:val="22"/>
                <w:lang w:val="sr-Latn-ME" w:eastAsia="ja-JP"/>
              </w:rPr>
              <w:t>Često</w:t>
            </w:r>
          </w:p>
        </w:tc>
      </w:tr>
      <w:tr w:rsidR="00522F86" w:rsidRPr="00B8307D" w14:paraId="49FD8119" w14:textId="77777777" w:rsidTr="000A067B">
        <w:trPr>
          <w:trHeight w:val="255"/>
        </w:trPr>
        <w:tc>
          <w:tcPr>
            <w:tcW w:w="1733" w:type="pct"/>
            <w:vMerge w:val="restart"/>
            <w:tcBorders>
              <w:top w:val="single" w:sz="4" w:space="0" w:color="auto"/>
              <w:left w:val="single" w:sz="4" w:space="0" w:color="auto"/>
              <w:right w:val="single" w:sz="4" w:space="0" w:color="auto"/>
            </w:tcBorders>
          </w:tcPr>
          <w:p w14:paraId="259D3480" w14:textId="3837D94E" w:rsidR="00522F86" w:rsidRPr="00B8307D" w:rsidRDefault="00522F86" w:rsidP="000A067B">
            <w:pPr>
              <w:widowControl w:val="0"/>
              <w:rPr>
                <w:sz w:val="22"/>
                <w:szCs w:val="22"/>
                <w:lang w:val="sr-Latn-ME" w:eastAsia="ja-JP"/>
              </w:rPr>
            </w:pPr>
            <w:r w:rsidRPr="00B8307D">
              <w:rPr>
                <w:sz w:val="22"/>
                <w:szCs w:val="22"/>
                <w:lang w:val="sr-Latn-ME" w:eastAsia="ja-JP"/>
              </w:rPr>
              <w:t>Respiratorni, torakalni i medijastinalni poremećaji</w:t>
            </w:r>
          </w:p>
          <w:p w14:paraId="7B9FD07A" w14:textId="77777777" w:rsidR="00522F86" w:rsidRPr="00B8307D" w:rsidRDefault="00522F86" w:rsidP="000A067B">
            <w:pPr>
              <w:widowControl w:val="0"/>
              <w:rPr>
                <w:sz w:val="22"/>
                <w:szCs w:val="22"/>
                <w:lang w:val="sr-Latn-ME" w:eastAsia="ja-JP"/>
              </w:rPr>
            </w:pPr>
          </w:p>
          <w:p w14:paraId="399B1A77" w14:textId="77777777" w:rsidR="00522F86" w:rsidRPr="00B8307D" w:rsidRDefault="00522F86" w:rsidP="000A067B">
            <w:pPr>
              <w:widowControl w:val="0"/>
              <w:rPr>
                <w:sz w:val="22"/>
                <w:szCs w:val="22"/>
                <w:lang w:val="sr-Latn-ME" w:eastAsia="ja-JP"/>
              </w:rPr>
            </w:pPr>
          </w:p>
          <w:p w14:paraId="1AF3EC44" w14:textId="5FE043EF" w:rsidR="00522F86" w:rsidRPr="00B8307D" w:rsidRDefault="00522F86" w:rsidP="000A067B">
            <w:pPr>
              <w:widowControl w:val="0"/>
              <w:rPr>
                <w:sz w:val="22"/>
                <w:szCs w:val="22"/>
                <w:lang w:val="sr-Latn-ME" w:eastAsia="ja-JP"/>
              </w:rPr>
            </w:pPr>
          </w:p>
        </w:tc>
        <w:tc>
          <w:tcPr>
            <w:tcW w:w="1978" w:type="pct"/>
            <w:tcBorders>
              <w:top w:val="single" w:sz="4" w:space="0" w:color="auto"/>
              <w:left w:val="single" w:sz="4" w:space="0" w:color="auto"/>
              <w:right w:val="single" w:sz="4" w:space="0" w:color="auto"/>
            </w:tcBorders>
          </w:tcPr>
          <w:p w14:paraId="1ABBB769" w14:textId="4C88FC7B" w:rsidR="00522F86" w:rsidRPr="00B8307D" w:rsidRDefault="00522F86" w:rsidP="000A067B">
            <w:pPr>
              <w:widowControl w:val="0"/>
              <w:rPr>
                <w:sz w:val="22"/>
                <w:szCs w:val="22"/>
                <w:lang w:val="sr-Latn-ME" w:eastAsia="ja-JP"/>
              </w:rPr>
            </w:pPr>
            <w:r w:rsidRPr="00B8307D">
              <w:rPr>
                <w:sz w:val="22"/>
                <w:szCs w:val="22"/>
                <w:vertAlign w:val="superscript"/>
                <w:lang w:val="sr-Latn-ME" w:eastAsia="ja-JP"/>
              </w:rPr>
              <w:t>+</w:t>
            </w:r>
            <w:r w:rsidRPr="00B8307D">
              <w:rPr>
                <w:sz w:val="22"/>
                <w:szCs w:val="22"/>
                <w:lang w:val="sr-Latn-ME" w:eastAsia="ja-JP"/>
              </w:rPr>
              <w:t>Dispnea</w:t>
            </w:r>
          </w:p>
        </w:tc>
        <w:tc>
          <w:tcPr>
            <w:tcW w:w="1289" w:type="pct"/>
            <w:tcBorders>
              <w:top w:val="single" w:sz="4" w:space="0" w:color="auto"/>
              <w:left w:val="single" w:sz="4" w:space="0" w:color="auto"/>
              <w:right w:val="single" w:sz="4" w:space="0" w:color="auto"/>
            </w:tcBorders>
          </w:tcPr>
          <w:p w14:paraId="2E77EE4B" w14:textId="17B7EACB" w:rsidR="00522F86" w:rsidRPr="00B8307D" w:rsidRDefault="00522F86" w:rsidP="000A067B">
            <w:pPr>
              <w:widowControl w:val="0"/>
              <w:rPr>
                <w:sz w:val="22"/>
                <w:szCs w:val="22"/>
                <w:lang w:val="sr-Latn-ME" w:eastAsia="ja-JP"/>
              </w:rPr>
            </w:pPr>
            <w:r w:rsidRPr="00B8307D">
              <w:rPr>
                <w:sz w:val="22"/>
                <w:szCs w:val="22"/>
                <w:lang w:val="sr-Latn-ME" w:eastAsia="ja-JP"/>
              </w:rPr>
              <w:t xml:space="preserve">Vrlo često </w:t>
            </w:r>
          </w:p>
        </w:tc>
      </w:tr>
      <w:tr w:rsidR="00522F86" w:rsidRPr="00B8307D" w14:paraId="62216F9B" w14:textId="77777777" w:rsidTr="000A067B">
        <w:trPr>
          <w:trHeight w:val="179"/>
        </w:trPr>
        <w:tc>
          <w:tcPr>
            <w:tcW w:w="1733" w:type="pct"/>
            <w:vMerge/>
            <w:tcBorders>
              <w:left w:val="single" w:sz="4" w:space="0" w:color="auto"/>
              <w:right w:val="single" w:sz="4" w:space="0" w:color="auto"/>
            </w:tcBorders>
            <w:vAlign w:val="center"/>
            <w:hideMark/>
          </w:tcPr>
          <w:p w14:paraId="4BBDE957" w14:textId="77777777" w:rsidR="00522F86" w:rsidRPr="00B8307D" w:rsidRDefault="00522F86" w:rsidP="000A067B">
            <w:pPr>
              <w:widowControl w:val="0"/>
              <w:rPr>
                <w:sz w:val="22"/>
                <w:szCs w:val="22"/>
                <w:lang w:val="sr-Latn-ME" w:eastAsia="ja-JP"/>
              </w:rPr>
            </w:pPr>
          </w:p>
        </w:tc>
        <w:tc>
          <w:tcPr>
            <w:tcW w:w="1978" w:type="pct"/>
            <w:tcBorders>
              <w:top w:val="single" w:sz="4" w:space="0" w:color="auto"/>
              <w:left w:val="single" w:sz="4" w:space="0" w:color="auto"/>
              <w:bottom w:val="single" w:sz="4" w:space="0" w:color="auto"/>
              <w:right w:val="single" w:sz="4" w:space="0" w:color="auto"/>
            </w:tcBorders>
            <w:hideMark/>
          </w:tcPr>
          <w:p w14:paraId="4FAD96AE" w14:textId="77777777" w:rsidR="00522F86" w:rsidRPr="00B8307D" w:rsidRDefault="00522F86" w:rsidP="000A067B">
            <w:pPr>
              <w:widowControl w:val="0"/>
              <w:rPr>
                <w:sz w:val="22"/>
                <w:szCs w:val="22"/>
                <w:lang w:val="sr-Latn-ME" w:eastAsia="ja-JP"/>
              </w:rPr>
            </w:pPr>
            <w:r w:rsidRPr="00B8307D">
              <w:rPr>
                <w:sz w:val="22"/>
                <w:szCs w:val="22"/>
                <w:lang w:val="sr-Latn-ME" w:eastAsia="ja-JP"/>
              </w:rPr>
              <w:t>Kašalj</w:t>
            </w:r>
          </w:p>
        </w:tc>
        <w:tc>
          <w:tcPr>
            <w:tcW w:w="1289" w:type="pct"/>
            <w:tcBorders>
              <w:top w:val="single" w:sz="4" w:space="0" w:color="auto"/>
              <w:left w:val="single" w:sz="4" w:space="0" w:color="auto"/>
              <w:bottom w:val="single" w:sz="4" w:space="0" w:color="auto"/>
              <w:right w:val="single" w:sz="4" w:space="0" w:color="auto"/>
            </w:tcBorders>
            <w:hideMark/>
          </w:tcPr>
          <w:p w14:paraId="517A7683" w14:textId="77777777" w:rsidR="00522F86" w:rsidRPr="00B8307D" w:rsidRDefault="00522F86" w:rsidP="000A067B">
            <w:pPr>
              <w:widowControl w:val="0"/>
              <w:rPr>
                <w:sz w:val="22"/>
                <w:szCs w:val="22"/>
                <w:lang w:val="sr-Latn-ME" w:eastAsia="ja-JP"/>
              </w:rPr>
            </w:pPr>
            <w:r w:rsidRPr="00B8307D">
              <w:rPr>
                <w:sz w:val="22"/>
                <w:szCs w:val="22"/>
                <w:lang w:val="sr-Latn-ME" w:eastAsia="ja-JP"/>
              </w:rPr>
              <w:t xml:space="preserve">Vrlo često </w:t>
            </w:r>
          </w:p>
        </w:tc>
      </w:tr>
      <w:tr w:rsidR="00522F86" w:rsidRPr="00B8307D" w14:paraId="074298BB" w14:textId="77777777" w:rsidTr="000A067B">
        <w:trPr>
          <w:trHeight w:val="127"/>
        </w:trPr>
        <w:tc>
          <w:tcPr>
            <w:tcW w:w="1733" w:type="pct"/>
            <w:vMerge/>
            <w:tcBorders>
              <w:left w:val="single" w:sz="4" w:space="0" w:color="auto"/>
              <w:right w:val="single" w:sz="4" w:space="0" w:color="auto"/>
            </w:tcBorders>
            <w:vAlign w:val="center"/>
            <w:hideMark/>
          </w:tcPr>
          <w:p w14:paraId="37C37C5A" w14:textId="77777777" w:rsidR="00522F86" w:rsidRPr="00B8307D" w:rsidRDefault="00522F86" w:rsidP="000A067B">
            <w:pPr>
              <w:widowControl w:val="0"/>
              <w:rPr>
                <w:sz w:val="22"/>
                <w:szCs w:val="22"/>
                <w:lang w:val="sr-Latn-ME" w:eastAsia="ja-JP"/>
              </w:rPr>
            </w:pPr>
          </w:p>
        </w:tc>
        <w:tc>
          <w:tcPr>
            <w:tcW w:w="1978" w:type="pct"/>
            <w:tcBorders>
              <w:top w:val="single" w:sz="4" w:space="0" w:color="auto"/>
              <w:left w:val="single" w:sz="4" w:space="0" w:color="auto"/>
              <w:bottom w:val="single" w:sz="4" w:space="0" w:color="auto"/>
              <w:right w:val="single" w:sz="4" w:space="0" w:color="auto"/>
            </w:tcBorders>
            <w:hideMark/>
          </w:tcPr>
          <w:p w14:paraId="618669E0" w14:textId="77777777" w:rsidR="00522F86" w:rsidRPr="00B8307D" w:rsidRDefault="00522F86" w:rsidP="000A067B">
            <w:pPr>
              <w:widowControl w:val="0"/>
              <w:rPr>
                <w:sz w:val="22"/>
                <w:szCs w:val="22"/>
                <w:lang w:val="sr-Latn-ME" w:eastAsia="ja-JP"/>
              </w:rPr>
            </w:pPr>
            <w:r w:rsidRPr="00B8307D">
              <w:rPr>
                <w:sz w:val="22"/>
                <w:szCs w:val="22"/>
                <w:lang w:val="sr-Latn-ME" w:eastAsia="ja-JP"/>
              </w:rPr>
              <w:t>Epistaksa</w:t>
            </w:r>
          </w:p>
        </w:tc>
        <w:tc>
          <w:tcPr>
            <w:tcW w:w="1289" w:type="pct"/>
            <w:tcBorders>
              <w:top w:val="single" w:sz="4" w:space="0" w:color="auto"/>
              <w:left w:val="single" w:sz="4" w:space="0" w:color="auto"/>
              <w:bottom w:val="single" w:sz="4" w:space="0" w:color="auto"/>
              <w:right w:val="single" w:sz="4" w:space="0" w:color="auto"/>
            </w:tcBorders>
            <w:hideMark/>
          </w:tcPr>
          <w:p w14:paraId="7C98A6C4" w14:textId="77777777" w:rsidR="00522F86" w:rsidRPr="00B8307D" w:rsidRDefault="00522F86" w:rsidP="000A067B">
            <w:pPr>
              <w:widowControl w:val="0"/>
              <w:rPr>
                <w:sz w:val="22"/>
                <w:szCs w:val="22"/>
                <w:lang w:val="sr-Latn-ME" w:eastAsia="ja-JP"/>
              </w:rPr>
            </w:pPr>
            <w:r w:rsidRPr="00B8307D">
              <w:rPr>
                <w:sz w:val="22"/>
                <w:szCs w:val="22"/>
                <w:lang w:val="sr-Latn-ME" w:eastAsia="ja-JP"/>
              </w:rPr>
              <w:t>Vrlo često</w:t>
            </w:r>
          </w:p>
        </w:tc>
      </w:tr>
      <w:tr w:rsidR="00522F86" w:rsidRPr="00B8307D" w14:paraId="606CD6F6" w14:textId="77777777" w:rsidTr="000A067B">
        <w:trPr>
          <w:trHeight w:val="127"/>
        </w:trPr>
        <w:tc>
          <w:tcPr>
            <w:tcW w:w="1733" w:type="pct"/>
            <w:vMerge/>
            <w:tcBorders>
              <w:left w:val="single" w:sz="4" w:space="0" w:color="auto"/>
              <w:right w:val="single" w:sz="4" w:space="0" w:color="auto"/>
            </w:tcBorders>
            <w:vAlign w:val="center"/>
            <w:hideMark/>
          </w:tcPr>
          <w:p w14:paraId="20E9E439" w14:textId="77777777" w:rsidR="00522F86" w:rsidRPr="00B8307D" w:rsidRDefault="00522F86" w:rsidP="000A067B">
            <w:pPr>
              <w:widowControl w:val="0"/>
              <w:rPr>
                <w:sz w:val="22"/>
                <w:szCs w:val="22"/>
                <w:lang w:val="sr-Latn-ME" w:eastAsia="ja-JP"/>
              </w:rPr>
            </w:pPr>
          </w:p>
        </w:tc>
        <w:tc>
          <w:tcPr>
            <w:tcW w:w="1978" w:type="pct"/>
            <w:tcBorders>
              <w:top w:val="single" w:sz="4" w:space="0" w:color="auto"/>
              <w:left w:val="single" w:sz="4" w:space="0" w:color="auto"/>
              <w:bottom w:val="single" w:sz="4" w:space="0" w:color="auto"/>
              <w:right w:val="single" w:sz="4" w:space="0" w:color="auto"/>
            </w:tcBorders>
            <w:hideMark/>
          </w:tcPr>
          <w:p w14:paraId="47E53194" w14:textId="77777777" w:rsidR="00522F86" w:rsidRPr="00B8307D" w:rsidRDefault="00522F86" w:rsidP="000A067B">
            <w:pPr>
              <w:widowControl w:val="0"/>
              <w:rPr>
                <w:sz w:val="22"/>
                <w:szCs w:val="22"/>
                <w:lang w:val="sr-Latn-ME" w:eastAsia="ja-JP"/>
              </w:rPr>
            </w:pPr>
            <w:r w:rsidRPr="00B8307D">
              <w:rPr>
                <w:sz w:val="22"/>
                <w:szCs w:val="22"/>
                <w:lang w:val="sr-Latn-ME" w:eastAsia="ja-JP"/>
              </w:rPr>
              <w:t xml:space="preserve">Rinoreja </w:t>
            </w:r>
          </w:p>
        </w:tc>
        <w:tc>
          <w:tcPr>
            <w:tcW w:w="1289" w:type="pct"/>
            <w:tcBorders>
              <w:top w:val="single" w:sz="4" w:space="0" w:color="auto"/>
              <w:left w:val="single" w:sz="4" w:space="0" w:color="auto"/>
              <w:bottom w:val="single" w:sz="4" w:space="0" w:color="auto"/>
              <w:right w:val="single" w:sz="4" w:space="0" w:color="auto"/>
            </w:tcBorders>
            <w:hideMark/>
          </w:tcPr>
          <w:p w14:paraId="3EABD08F" w14:textId="77777777" w:rsidR="00522F86" w:rsidRPr="00B8307D" w:rsidRDefault="00522F86" w:rsidP="000A067B">
            <w:pPr>
              <w:widowControl w:val="0"/>
              <w:rPr>
                <w:sz w:val="22"/>
                <w:szCs w:val="22"/>
                <w:lang w:val="sr-Latn-ME" w:eastAsia="ja-JP"/>
              </w:rPr>
            </w:pPr>
            <w:r w:rsidRPr="00B8307D">
              <w:rPr>
                <w:sz w:val="22"/>
                <w:szCs w:val="22"/>
                <w:lang w:val="sr-Latn-ME" w:eastAsia="ja-JP"/>
              </w:rPr>
              <w:t>Vrlo često</w:t>
            </w:r>
          </w:p>
        </w:tc>
      </w:tr>
      <w:tr w:rsidR="00522F86" w:rsidRPr="00B8307D" w14:paraId="29597F8E" w14:textId="77777777" w:rsidTr="000A067B">
        <w:trPr>
          <w:trHeight w:val="127"/>
        </w:trPr>
        <w:tc>
          <w:tcPr>
            <w:tcW w:w="1733" w:type="pct"/>
            <w:vMerge/>
            <w:tcBorders>
              <w:left w:val="single" w:sz="4" w:space="0" w:color="auto"/>
              <w:right w:val="single" w:sz="4" w:space="0" w:color="auto"/>
            </w:tcBorders>
            <w:vAlign w:val="center"/>
          </w:tcPr>
          <w:p w14:paraId="4A7F937A" w14:textId="77777777" w:rsidR="00522F86" w:rsidRPr="00B8307D" w:rsidRDefault="00522F86" w:rsidP="000A067B">
            <w:pPr>
              <w:widowControl w:val="0"/>
              <w:rPr>
                <w:sz w:val="22"/>
                <w:szCs w:val="22"/>
                <w:lang w:val="sr-Latn-ME" w:eastAsia="ja-JP"/>
              </w:rPr>
            </w:pPr>
          </w:p>
        </w:tc>
        <w:tc>
          <w:tcPr>
            <w:tcW w:w="1978" w:type="pct"/>
            <w:tcBorders>
              <w:top w:val="single" w:sz="4" w:space="0" w:color="auto"/>
              <w:left w:val="single" w:sz="4" w:space="0" w:color="auto"/>
              <w:bottom w:val="single" w:sz="4" w:space="0" w:color="auto"/>
              <w:right w:val="single" w:sz="4" w:space="0" w:color="auto"/>
            </w:tcBorders>
          </w:tcPr>
          <w:p w14:paraId="1B498FAE" w14:textId="77777777" w:rsidR="00522F86" w:rsidRPr="00B8307D" w:rsidRDefault="00522F86" w:rsidP="000A067B">
            <w:pPr>
              <w:widowControl w:val="0"/>
              <w:rPr>
                <w:sz w:val="22"/>
                <w:szCs w:val="22"/>
                <w:lang w:val="sr-Latn-ME" w:eastAsia="ja-JP"/>
              </w:rPr>
            </w:pPr>
            <w:r w:rsidRPr="00B8307D">
              <w:rPr>
                <w:sz w:val="22"/>
                <w:szCs w:val="22"/>
                <w:vertAlign w:val="superscript"/>
                <w:lang w:val="sr-Latn-ME" w:eastAsia="ja-JP"/>
              </w:rPr>
              <w:t>+</w:t>
            </w:r>
            <w:r w:rsidRPr="00B8307D">
              <w:rPr>
                <w:sz w:val="22"/>
                <w:szCs w:val="22"/>
                <w:lang w:val="sr-Latn-ME" w:eastAsia="ja-JP"/>
              </w:rPr>
              <w:t>Pneumonija</w:t>
            </w:r>
          </w:p>
        </w:tc>
        <w:tc>
          <w:tcPr>
            <w:tcW w:w="1289" w:type="pct"/>
            <w:tcBorders>
              <w:top w:val="single" w:sz="4" w:space="0" w:color="auto"/>
              <w:left w:val="single" w:sz="4" w:space="0" w:color="auto"/>
              <w:bottom w:val="single" w:sz="4" w:space="0" w:color="auto"/>
              <w:right w:val="single" w:sz="4" w:space="0" w:color="auto"/>
            </w:tcBorders>
          </w:tcPr>
          <w:p w14:paraId="7019D050" w14:textId="07F6F94D" w:rsidR="00522F86" w:rsidRPr="00B8307D" w:rsidRDefault="00522F86" w:rsidP="000A067B">
            <w:pPr>
              <w:widowControl w:val="0"/>
              <w:rPr>
                <w:sz w:val="22"/>
                <w:szCs w:val="22"/>
                <w:lang w:val="sr-Latn-ME" w:eastAsia="ja-JP"/>
              </w:rPr>
            </w:pPr>
            <w:r w:rsidRPr="00B8307D">
              <w:rPr>
                <w:sz w:val="22"/>
                <w:szCs w:val="22"/>
                <w:lang w:val="sr-Latn-ME" w:eastAsia="ja-JP"/>
              </w:rPr>
              <w:t>Često</w:t>
            </w:r>
          </w:p>
        </w:tc>
      </w:tr>
      <w:tr w:rsidR="00522F86" w:rsidRPr="00B8307D" w14:paraId="57CD0AB0" w14:textId="77777777" w:rsidTr="000A067B">
        <w:trPr>
          <w:trHeight w:val="127"/>
        </w:trPr>
        <w:tc>
          <w:tcPr>
            <w:tcW w:w="1733" w:type="pct"/>
            <w:vMerge/>
            <w:tcBorders>
              <w:left w:val="single" w:sz="4" w:space="0" w:color="auto"/>
              <w:right w:val="single" w:sz="4" w:space="0" w:color="auto"/>
            </w:tcBorders>
            <w:vAlign w:val="center"/>
            <w:hideMark/>
          </w:tcPr>
          <w:p w14:paraId="697F330A" w14:textId="77777777" w:rsidR="00522F86" w:rsidRPr="00B8307D" w:rsidRDefault="00522F86" w:rsidP="000A067B">
            <w:pPr>
              <w:widowControl w:val="0"/>
              <w:rPr>
                <w:sz w:val="22"/>
                <w:szCs w:val="22"/>
                <w:lang w:val="sr-Latn-ME" w:eastAsia="ja-JP"/>
              </w:rPr>
            </w:pPr>
          </w:p>
        </w:tc>
        <w:tc>
          <w:tcPr>
            <w:tcW w:w="1978" w:type="pct"/>
            <w:tcBorders>
              <w:top w:val="single" w:sz="4" w:space="0" w:color="auto"/>
              <w:left w:val="single" w:sz="4" w:space="0" w:color="auto"/>
              <w:bottom w:val="single" w:sz="4" w:space="0" w:color="auto"/>
              <w:right w:val="single" w:sz="4" w:space="0" w:color="auto"/>
            </w:tcBorders>
            <w:hideMark/>
          </w:tcPr>
          <w:p w14:paraId="4FD5F946" w14:textId="77777777" w:rsidR="00522F86" w:rsidRPr="00B8307D" w:rsidRDefault="00522F86" w:rsidP="000A067B">
            <w:pPr>
              <w:widowControl w:val="0"/>
              <w:rPr>
                <w:sz w:val="22"/>
                <w:szCs w:val="22"/>
                <w:lang w:val="sr-Latn-ME" w:eastAsia="ja-JP"/>
              </w:rPr>
            </w:pPr>
            <w:r w:rsidRPr="00B8307D">
              <w:rPr>
                <w:sz w:val="22"/>
                <w:szCs w:val="22"/>
                <w:lang w:val="sr-Latn-ME" w:eastAsia="ja-JP"/>
              </w:rPr>
              <w:t xml:space="preserve">Astma </w:t>
            </w:r>
          </w:p>
        </w:tc>
        <w:tc>
          <w:tcPr>
            <w:tcW w:w="1289" w:type="pct"/>
            <w:tcBorders>
              <w:top w:val="single" w:sz="4" w:space="0" w:color="auto"/>
              <w:left w:val="single" w:sz="4" w:space="0" w:color="auto"/>
              <w:bottom w:val="single" w:sz="4" w:space="0" w:color="auto"/>
              <w:right w:val="single" w:sz="4" w:space="0" w:color="auto"/>
            </w:tcBorders>
            <w:hideMark/>
          </w:tcPr>
          <w:p w14:paraId="5EC8C8D2" w14:textId="77777777" w:rsidR="00522F86" w:rsidRPr="00B8307D" w:rsidRDefault="00522F86" w:rsidP="000A067B">
            <w:pPr>
              <w:widowControl w:val="0"/>
              <w:rPr>
                <w:sz w:val="22"/>
                <w:szCs w:val="22"/>
                <w:lang w:val="sr-Latn-ME" w:eastAsia="ja-JP"/>
              </w:rPr>
            </w:pPr>
            <w:r w:rsidRPr="00B8307D">
              <w:rPr>
                <w:sz w:val="22"/>
                <w:szCs w:val="22"/>
                <w:lang w:val="sr-Latn-ME" w:eastAsia="ja-JP"/>
              </w:rPr>
              <w:t>Često</w:t>
            </w:r>
          </w:p>
        </w:tc>
      </w:tr>
      <w:tr w:rsidR="00522F86" w:rsidRPr="00B8307D" w14:paraId="6CCF76ED" w14:textId="77777777" w:rsidTr="000A067B">
        <w:trPr>
          <w:trHeight w:val="308"/>
        </w:trPr>
        <w:tc>
          <w:tcPr>
            <w:tcW w:w="1733" w:type="pct"/>
            <w:vMerge/>
            <w:tcBorders>
              <w:left w:val="single" w:sz="4" w:space="0" w:color="auto"/>
              <w:right w:val="single" w:sz="4" w:space="0" w:color="auto"/>
            </w:tcBorders>
            <w:vAlign w:val="center"/>
            <w:hideMark/>
          </w:tcPr>
          <w:p w14:paraId="701FD914" w14:textId="77777777" w:rsidR="00522F86" w:rsidRPr="00B8307D" w:rsidRDefault="00522F86" w:rsidP="000A067B">
            <w:pPr>
              <w:widowControl w:val="0"/>
              <w:rPr>
                <w:sz w:val="22"/>
                <w:szCs w:val="22"/>
                <w:lang w:val="sr-Latn-ME" w:eastAsia="ja-JP"/>
              </w:rPr>
            </w:pPr>
          </w:p>
        </w:tc>
        <w:tc>
          <w:tcPr>
            <w:tcW w:w="1978" w:type="pct"/>
            <w:tcBorders>
              <w:top w:val="single" w:sz="4" w:space="0" w:color="auto"/>
              <w:left w:val="single" w:sz="4" w:space="0" w:color="auto"/>
              <w:right w:val="single" w:sz="4" w:space="0" w:color="auto"/>
            </w:tcBorders>
            <w:hideMark/>
          </w:tcPr>
          <w:p w14:paraId="10D7B7A0" w14:textId="77777777" w:rsidR="00522F86" w:rsidRPr="00B8307D" w:rsidRDefault="00522F86" w:rsidP="000A067B">
            <w:pPr>
              <w:widowControl w:val="0"/>
              <w:rPr>
                <w:sz w:val="22"/>
                <w:szCs w:val="22"/>
                <w:lang w:val="sr-Latn-ME" w:eastAsia="ja-JP"/>
              </w:rPr>
            </w:pPr>
            <w:r w:rsidRPr="00B8307D">
              <w:rPr>
                <w:sz w:val="22"/>
                <w:szCs w:val="22"/>
                <w:lang w:val="sr-Latn-ME" w:eastAsia="ja-JP"/>
              </w:rPr>
              <w:t>Plućni poremećaji</w:t>
            </w:r>
          </w:p>
        </w:tc>
        <w:tc>
          <w:tcPr>
            <w:tcW w:w="1289" w:type="pct"/>
            <w:tcBorders>
              <w:top w:val="single" w:sz="4" w:space="0" w:color="auto"/>
              <w:left w:val="single" w:sz="4" w:space="0" w:color="auto"/>
              <w:right w:val="single" w:sz="4" w:space="0" w:color="auto"/>
            </w:tcBorders>
            <w:hideMark/>
          </w:tcPr>
          <w:p w14:paraId="3EAC2335" w14:textId="77777777" w:rsidR="00522F86" w:rsidRPr="00B8307D" w:rsidRDefault="00522F86" w:rsidP="000A067B">
            <w:pPr>
              <w:widowControl w:val="0"/>
              <w:rPr>
                <w:sz w:val="22"/>
                <w:szCs w:val="22"/>
                <w:lang w:val="sr-Latn-ME" w:eastAsia="ja-JP"/>
              </w:rPr>
            </w:pPr>
            <w:r w:rsidRPr="00B8307D">
              <w:rPr>
                <w:sz w:val="22"/>
                <w:szCs w:val="22"/>
                <w:lang w:val="sr-Latn-ME" w:eastAsia="ja-JP"/>
              </w:rPr>
              <w:t>Često</w:t>
            </w:r>
          </w:p>
        </w:tc>
      </w:tr>
      <w:tr w:rsidR="00522F86" w:rsidRPr="00B8307D" w14:paraId="14C11C13" w14:textId="77777777" w:rsidTr="000A067B">
        <w:trPr>
          <w:trHeight w:val="266"/>
        </w:trPr>
        <w:tc>
          <w:tcPr>
            <w:tcW w:w="1733" w:type="pct"/>
            <w:vMerge/>
            <w:tcBorders>
              <w:left w:val="single" w:sz="4" w:space="0" w:color="auto"/>
              <w:right w:val="single" w:sz="4" w:space="0" w:color="auto"/>
            </w:tcBorders>
            <w:vAlign w:val="center"/>
            <w:hideMark/>
          </w:tcPr>
          <w:p w14:paraId="6E1257A8" w14:textId="77777777" w:rsidR="00522F86" w:rsidRPr="00B8307D" w:rsidRDefault="00522F86" w:rsidP="000A067B">
            <w:pPr>
              <w:widowControl w:val="0"/>
              <w:rPr>
                <w:sz w:val="22"/>
                <w:szCs w:val="22"/>
                <w:lang w:val="sr-Latn-ME" w:eastAsia="ja-JP"/>
              </w:rPr>
            </w:pPr>
          </w:p>
        </w:tc>
        <w:tc>
          <w:tcPr>
            <w:tcW w:w="1978" w:type="pct"/>
            <w:tcBorders>
              <w:top w:val="single" w:sz="4" w:space="0" w:color="auto"/>
              <w:left w:val="single" w:sz="4" w:space="0" w:color="auto"/>
              <w:bottom w:val="single" w:sz="4" w:space="0" w:color="auto"/>
              <w:right w:val="single" w:sz="4" w:space="0" w:color="auto"/>
            </w:tcBorders>
            <w:hideMark/>
          </w:tcPr>
          <w:p w14:paraId="50B9C815" w14:textId="77777777" w:rsidR="00522F86" w:rsidRPr="00B8307D" w:rsidRDefault="00522F86" w:rsidP="000A067B">
            <w:pPr>
              <w:widowControl w:val="0"/>
              <w:rPr>
                <w:sz w:val="22"/>
                <w:szCs w:val="22"/>
                <w:lang w:val="sr-Latn-ME" w:eastAsia="ja-JP"/>
              </w:rPr>
            </w:pPr>
            <w:r w:rsidRPr="00B8307D">
              <w:rPr>
                <w:sz w:val="22"/>
                <w:szCs w:val="22"/>
                <w:vertAlign w:val="superscript"/>
                <w:lang w:val="sr-Latn-ME" w:eastAsia="ja-JP"/>
              </w:rPr>
              <w:t>+</w:t>
            </w:r>
            <w:r w:rsidRPr="00B8307D">
              <w:rPr>
                <w:sz w:val="22"/>
                <w:szCs w:val="22"/>
                <w:lang w:val="sr-Latn-ME" w:eastAsia="ja-JP"/>
              </w:rPr>
              <w:t>Pleuralni izliv</w:t>
            </w:r>
          </w:p>
        </w:tc>
        <w:tc>
          <w:tcPr>
            <w:tcW w:w="1289" w:type="pct"/>
            <w:tcBorders>
              <w:top w:val="single" w:sz="4" w:space="0" w:color="auto"/>
              <w:left w:val="single" w:sz="4" w:space="0" w:color="auto"/>
              <w:bottom w:val="single" w:sz="4" w:space="0" w:color="auto"/>
              <w:right w:val="single" w:sz="4" w:space="0" w:color="auto"/>
            </w:tcBorders>
            <w:hideMark/>
          </w:tcPr>
          <w:p w14:paraId="023DB7CE" w14:textId="77777777" w:rsidR="00522F86" w:rsidRPr="00B8307D" w:rsidRDefault="00522F86" w:rsidP="000A067B">
            <w:pPr>
              <w:widowControl w:val="0"/>
              <w:rPr>
                <w:sz w:val="22"/>
                <w:szCs w:val="22"/>
                <w:lang w:val="sr-Latn-ME" w:eastAsia="ja-JP"/>
              </w:rPr>
            </w:pPr>
            <w:r w:rsidRPr="00B8307D">
              <w:rPr>
                <w:sz w:val="22"/>
                <w:szCs w:val="22"/>
                <w:lang w:val="sr-Latn-ME" w:eastAsia="ja-JP"/>
              </w:rPr>
              <w:t>Često</w:t>
            </w:r>
          </w:p>
        </w:tc>
      </w:tr>
      <w:tr w:rsidR="00522F86" w:rsidRPr="00B8307D" w14:paraId="5FB9E330" w14:textId="77777777" w:rsidTr="000A067B">
        <w:trPr>
          <w:trHeight w:val="269"/>
        </w:trPr>
        <w:tc>
          <w:tcPr>
            <w:tcW w:w="1733" w:type="pct"/>
            <w:vMerge/>
            <w:tcBorders>
              <w:left w:val="single" w:sz="4" w:space="0" w:color="auto"/>
              <w:right w:val="single" w:sz="4" w:space="0" w:color="auto"/>
            </w:tcBorders>
            <w:vAlign w:val="center"/>
          </w:tcPr>
          <w:p w14:paraId="1C2DB9E7" w14:textId="77777777" w:rsidR="00522F86" w:rsidRPr="00B8307D" w:rsidRDefault="00522F86" w:rsidP="000A067B">
            <w:pPr>
              <w:widowControl w:val="0"/>
              <w:rPr>
                <w:sz w:val="22"/>
                <w:szCs w:val="22"/>
                <w:lang w:val="sr-Latn-ME" w:eastAsia="ja-JP"/>
              </w:rPr>
            </w:pPr>
          </w:p>
        </w:tc>
        <w:tc>
          <w:tcPr>
            <w:tcW w:w="1978" w:type="pct"/>
            <w:tcBorders>
              <w:top w:val="single" w:sz="4" w:space="0" w:color="auto"/>
              <w:left w:val="single" w:sz="4" w:space="0" w:color="auto"/>
              <w:bottom w:val="single" w:sz="4" w:space="0" w:color="auto"/>
              <w:right w:val="single" w:sz="4" w:space="0" w:color="auto"/>
            </w:tcBorders>
          </w:tcPr>
          <w:p w14:paraId="21418246" w14:textId="4160587D" w:rsidR="00522F86" w:rsidRPr="00B8307D" w:rsidRDefault="00522F86" w:rsidP="000A067B">
            <w:pPr>
              <w:widowControl w:val="0"/>
              <w:rPr>
                <w:sz w:val="22"/>
                <w:szCs w:val="22"/>
                <w:lang w:val="sr-Latn-ME" w:eastAsia="ja-JP"/>
              </w:rPr>
            </w:pPr>
            <w:r w:rsidRPr="00B8307D">
              <w:rPr>
                <w:sz w:val="22"/>
                <w:szCs w:val="22"/>
                <w:lang w:val="sr-Latn-ME" w:eastAsia="ja-JP"/>
              </w:rPr>
              <w:t xml:space="preserve"> </w:t>
            </w:r>
            <w:r w:rsidRPr="00B8307D">
              <w:rPr>
                <w:sz w:val="22"/>
                <w:szCs w:val="22"/>
                <w:vertAlign w:val="superscript"/>
                <w:lang w:val="sr-Latn-ME" w:eastAsia="ja-JP"/>
              </w:rPr>
              <w:t>+1</w:t>
            </w:r>
            <w:r w:rsidRPr="00B8307D">
              <w:rPr>
                <w:sz w:val="22"/>
                <w:szCs w:val="22"/>
                <w:lang w:val="sr-Latn-ME" w:eastAsia="ja-JP"/>
              </w:rPr>
              <w:t>Šištanje (vizing)</w:t>
            </w:r>
          </w:p>
        </w:tc>
        <w:tc>
          <w:tcPr>
            <w:tcW w:w="1289" w:type="pct"/>
            <w:tcBorders>
              <w:top w:val="single" w:sz="4" w:space="0" w:color="auto"/>
              <w:left w:val="single" w:sz="4" w:space="0" w:color="auto"/>
              <w:bottom w:val="single" w:sz="4" w:space="0" w:color="auto"/>
              <w:right w:val="single" w:sz="4" w:space="0" w:color="auto"/>
            </w:tcBorders>
          </w:tcPr>
          <w:p w14:paraId="692F8979" w14:textId="55D018E0" w:rsidR="00522F86" w:rsidRPr="00B8307D" w:rsidRDefault="00522F86" w:rsidP="000A067B">
            <w:pPr>
              <w:widowControl w:val="0"/>
              <w:rPr>
                <w:sz w:val="22"/>
                <w:szCs w:val="22"/>
                <w:lang w:val="sr-Latn-ME" w:eastAsia="ja-JP"/>
              </w:rPr>
            </w:pPr>
            <w:r w:rsidRPr="00B8307D">
              <w:rPr>
                <w:sz w:val="22"/>
                <w:szCs w:val="22"/>
                <w:lang w:val="sr-Latn-ME" w:eastAsia="ja-JP"/>
              </w:rPr>
              <w:t>Povremeno</w:t>
            </w:r>
          </w:p>
        </w:tc>
      </w:tr>
      <w:tr w:rsidR="00522F86" w:rsidRPr="00B8307D" w14:paraId="68821523" w14:textId="77777777" w:rsidTr="000A067B">
        <w:trPr>
          <w:trHeight w:val="269"/>
        </w:trPr>
        <w:tc>
          <w:tcPr>
            <w:tcW w:w="1733" w:type="pct"/>
            <w:vMerge/>
            <w:tcBorders>
              <w:left w:val="single" w:sz="4" w:space="0" w:color="auto"/>
              <w:right w:val="single" w:sz="4" w:space="0" w:color="auto"/>
            </w:tcBorders>
            <w:vAlign w:val="center"/>
            <w:hideMark/>
          </w:tcPr>
          <w:p w14:paraId="4F5ECE42" w14:textId="77777777" w:rsidR="00522F86" w:rsidRPr="00B8307D" w:rsidRDefault="00522F86" w:rsidP="000A067B">
            <w:pPr>
              <w:widowControl w:val="0"/>
              <w:rPr>
                <w:sz w:val="22"/>
                <w:szCs w:val="22"/>
                <w:lang w:val="sr-Latn-ME" w:eastAsia="ja-JP"/>
              </w:rPr>
            </w:pPr>
          </w:p>
        </w:tc>
        <w:tc>
          <w:tcPr>
            <w:tcW w:w="1978" w:type="pct"/>
            <w:tcBorders>
              <w:top w:val="single" w:sz="4" w:space="0" w:color="auto"/>
              <w:left w:val="single" w:sz="4" w:space="0" w:color="auto"/>
              <w:bottom w:val="single" w:sz="4" w:space="0" w:color="auto"/>
              <w:right w:val="single" w:sz="4" w:space="0" w:color="auto"/>
            </w:tcBorders>
            <w:hideMark/>
          </w:tcPr>
          <w:p w14:paraId="031BA427" w14:textId="77777777" w:rsidR="00522F86" w:rsidRPr="00B8307D" w:rsidRDefault="00522F86" w:rsidP="000A067B">
            <w:pPr>
              <w:widowControl w:val="0"/>
              <w:rPr>
                <w:sz w:val="22"/>
                <w:szCs w:val="22"/>
                <w:lang w:val="sr-Latn-ME" w:eastAsia="ja-JP"/>
              </w:rPr>
            </w:pPr>
            <w:r w:rsidRPr="00B8307D">
              <w:rPr>
                <w:sz w:val="22"/>
                <w:szCs w:val="22"/>
                <w:lang w:val="sr-Latn-ME" w:eastAsia="ja-JP"/>
              </w:rPr>
              <w:t>Pneumonitis</w:t>
            </w:r>
          </w:p>
        </w:tc>
        <w:tc>
          <w:tcPr>
            <w:tcW w:w="1289" w:type="pct"/>
            <w:tcBorders>
              <w:top w:val="single" w:sz="4" w:space="0" w:color="auto"/>
              <w:left w:val="single" w:sz="4" w:space="0" w:color="auto"/>
              <w:bottom w:val="single" w:sz="4" w:space="0" w:color="auto"/>
              <w:right w:val="single" w:sz="4" w:space="0" w:color="auto"/>
            </w:tcBorders>
            <w:hideMark/>
          </w:tcPr>
          <w:p w14:paraId="56752E67" w14:textId="63A31E12" w:rsidR="00522F86" w:rsidRPr="00B8307D" w:rsidRDefault="00522F86" w:rsidP="000A067B">
            <w:pPr>
              <w:widowControl w:val="0"/>
              <w:rPr>
                <w:sz w:val="22"/>
                <w:szCs w:val="22"/>
                <w:lang w:val="sr-Latn-ME" w:eastAsia="ja-JP"/>
              </w:rPr>
            </w:pPr>
            <w:r w:rsidRPr="00B8307D">
              <w:rPr>
                <w:sz w:val="22"/>
                <w:szCs w:val="22"/>
                <w:lang w:val="sr-Latn-ME" w:eastAsia="ja-JP"/>
              </w:rPr>
              <w:t>Povremeno</w:t>
            </w:r>
          </w:p>
        </w:tc>
      </w:tr>
      <w:tr w:rsidR="00522F86" w:rsidRPr="00B8307D" w14:paraId="7D631793" w14:textId="77777777" w:rsidTr="000A067B">
        <w:trPr>
          <w:trHeight w:val="209"/>
        </w:trPr>
        <w:tc>
          <w:tcPr>
            <w:tcW w:w="1733" w:type="pct"/>
            <w:vMerge/>
            <w:tcBorders>
              <w:left w:val="single" w:sz="4" w:space="0" w:color="auto"/>
              <w:right w:val="single" w:sz="4" w:space="0" w:color="auto"/>
            </w:tcBorders>
            <w:vAlign w:val="center"/>
            <w:hideMark/>
          </w:tcPr>
          <w:p w14:paraId="6171C9E3" w14:textId="77777777" w:rsidR="00522F86" w:rsidRPr="00B8307D" w:rsidRDefault="00522F86" w:rsidP="000A067B">
            <w:pPr>
              <w:widowControl w:val="0"/>
              <w:rPr>
                <w:sz w:val="22"/>
                <w:szCs w:val="22"/>
                <w:lang w:val="sr-Latn-ME" w:eastAsia="ja-JP"/>
              </w:rPr>
            </w:pPr>
          </w:p>
        </w:tc>
        <w:tc>
          <w:tcPr>
            <w:tcW w:w="1978" w:type="pct"/>
            <w:tcBorders>
              <w:top w:val="single" w:sz="4" w:space="0" w:color="auto"/>
              <w:left w:val="single" w:sz="4" w:space="0" w:color="auto"/>
              <w:bottom w:val="single" w:sz="4" w:space="0" w:color="auto"/>
              <w:right w:val="single" w:sz="4" w:space="0" w:color="auto"/>
            </w:tcBorders>
            <w:hideMark/>
          </w:tcPr>
          <w:p w14:paraId="655AF210" w14:textId="77777777" w:rsidR="00522F86" w:rsidRPr="00B8307D" w:rsidRDefault="00522F86" w:rsidP="000A067B">
            <w:pPr>
              <w:widowControl w:val="0"/>
              <w:rPr>
                <w:sz w:val="22"/>
                <w:szCs w:val="22"/>
                <w:lang w:val="sr-Latn-ME" w:eastAsia="ja-JP"/>
              </w:rPr>
            </w:pPr>
            <w:r w:rsidRPr="00B8307D">
              <w:rPr>
                <w:sz w:val="22"/>
                <w:szCs w:val="22"/>
                <w:vertAlign w:val="superscript"/>
                <w:lang w:val="sr-Latn-ME" w:eastAsia="ja-JP"/>
              </w:rPr>
              <w:t>+</w:t>
            </w:r>
            <w:r w:rsidRPr="00B8307D">
              <w:rPr>
                <w:sz w:val="22"/>
                <w:szCs w:val="22"/>
                <w:lang w:val="sr-Latn-ME" w:eastAsia="ja-JP"/>
              </w:rPr>
              <w:t>Plućna fibroza</w:t>
            </w:r>
          </w:p>
        </w:tc>
        <w:tc>
          <w:tcPr>
            <w:tcW w:w="1289" w:type="pct"/>
            <w:tcBorders>
              <w:top w:val="single" w:sz="4" w:space="0" w:color="auto"/>
              <w:left w:val="single" w:sz="4" w:space="0" w:color="auto"/>
              <w:bottom w:val="single" w:sz="4" w:space="0" w:color="auto"/>
              <w:right w:val="single" w:sz="4" w:space="0" w:color="auto"/>
            </w:tcBorders>
            <w:hideMark/>
          </w:tcPr>
          <w:p w14:paraId="6D053F87" w14:textId="77777777" w:rsidR="00522F86" w:rsidRPr="00B8307D" w:rsidRDefault="00522F86" w:rsidP="000A067B">
            <w:pPr>
              <w:widowControl w:val="0"/>
              <w:rPr>
                <w:sz w:val="22"/>
                <w:szCs w:val="22"/>
                <w:lang w:val="sr-Latn-ME" w:eastAsia="ja-JP"/>
              </w:rPr>
            </w:pPr>
            <w:r w:rsidRPr="00B8307D">
              <w:rPr>
                <w:sz w:val="22"/>
                <w:szCs w:val="22"/>
                <w:lang w:val="sr-Latn-ME" w:eastAsia="ja-JP"/>
              </w:rPr>
              <w:t>Nepoznato</w:t>
            </w:r>
          </w:p>
        </w:tc>
      </w:tr>
      <w:tr w:rsidR="00522F86" w:rsidRPr="00B8307D" w14:paraId="55BF83BC" w14:textId="77777777" w:rsidTr="000A067B">
        <w:trPr>
          <w:trHeight w:val="258"/>
        </w:trPr>
        <w:tc>
          <w:tcPr>
            <w:tcW w:w="1733" w:type="pct"/>
            <w:vMerge/>
            <w:tcBorders>
              <w:left w:val="single" w:sz="4" w:space="0" w:color="auto"/>
              <w:right w:val="single" w:sz="4" w:space="0" w:color="auto"/>
            </w:tcBorders>
            <w:vAlign w:val="center"/>
            <w:hideMark/>
          </w:tcPr>
          <w:p w14:paraId="5D8C5438" w14:textId="77777777" w:rsidR="00522F86" w:rsidRPr="00B8307D" w:rsidRDefault="00522F86" w:rsidP="000A067B">
            <w:pPr>
              <w:widowControl w:val="0"/>
              <w:rPr>
                <w:sz w:val="22"/>
                <w:szCs w:val="22"/>
                <w:lang w:val="sr-Latn-ME" w:eastAsia="ja-JP"/>
              </w:rPr>
            </w:pPr>
          </w:p>
        </w:tc>
        <w:tc>
          <w:tcPr>
            <w:tcW w:w="1978" w:type="pct"/>
            <w:tcBorders>
              <w:top w:val="single" w:sz="4" w:space="0" w:color="auto"/>
              <w:left w:val="single" w:sz="4" w:space="0" w:color="auto"/>
              <w:bottom w:val="single" w:sz="4" w:space="0" w:color="auto"/>
              <w:right w:val="single" w:sz="4" w:space="0" w:color="auto"/>
            </w:tcBorders>
            <w:hideMark/>
          </w:tcPr>
          <w:p w14:paraId="6B87BEE2" w14:textId="77777777" w:rsidR="00522F86" w:rsidRPr="00B8307D" w:rsidRDefault="00522F86" w:rsidP="000A067B">
            <w:pPr>
              <w:widowControl w:val="0"/>
              <w:rPr>
                <w:sz w:val="22"/>
                <w:szCs w:val="22"/>
                <w:lang w:val="sr-Latn-ME" w:eastAsia="ja-JP"/>
              </w:rPr>
            </w:pPr>
            <w:r w:rsidRPr="00B8307D">
              <w:rPr>
                <w:sz w:val="22"/>
                <w:szCs w:val="22"/>
                <w:vertAlign w:val="superscript"/>
                <w:lang w:val="sr-Latn-ME" w:eastAsia="ja-JP"/>
              </w:rPr>
              <w:t>+</w:t>
            </w:r>
            <w:r w:rsidRPr="00B8307D">
              <w:rPr>
                <w:sz w:val="22"/>
                <w:szCs w:val="22"/>
                <w:lang w:val="sr-Latn-ME" w:eastAsia="ja-JP"/>
              </w:rPr>
              <w:t>Respiratorni distres</w:t>
            </w:r>
          </w:p>
        </w:tc>
        <w:tc>
          <w:tcPr>
            <w:tcW w:w="1289" w:type="pct"/>
            <w:tcBorders>
              <w:top w:val="single" w:sz="4" w:space="0" w:color="auto"/>
              <w:left w:val="single" w:sz="4" w:space="0" w:color="auto"/>
              <w:bottom w:val="single" w:sz="4" w:space="0" w:color="auto"/>
              <w:right w:val="single" w:sz="4" w:space="0" w:color="auto"/>
            </w:tcBorders>
            <w:hideMark/>
          </w:tcPr>
          <w:p w14:paraId="51B2DC70" w14:textId="77777777" w:rsidR="00522F86" w:rsidRPr="00B8307D" w:rsidRDefault="00522F86" w:rsidP="000A067B">
            <w:pPr>
              <w:widowControl w:val="0"/>
              <w:rPr>
                <w:sz w:val="22"/>
                <w:szCs w:val="22"/>
                <w:lang w:val="sr-Latn-ME" w:eastAsia="ja-JP"/>
              </w:rPr>
            </w:pPr>
            <w:r w:rsidRPr="00B8307D">
              <w:rPr>
                <w:sz w:val="22"/>
                <w:szCs w:val="22"/>
                <w:lang w:val="sr-Latn-ME" w:eastAsia="ja-JP"/>
              </w:rPr>
              <w:t>Nepoznato</w:t>
            </w:r>
          </w:p>
        </w:tc>
      </w:tr>
      <w:tr w:rsidR="00522F86" w:rsidRPr="00B8307D" w14:paraId="35F6D6C7" w14:textId="77777777" w:rsidTr="000A067B">
        <w:trPr>
          <w:trHeight w:val="275"/>
        </w:trPr>
        <w:tc>
          <w:tcPr>
            <w:tcW w:w="1733" w:type="pct"/>
            <w:vMerge/>
            <w:tcBorders>
              <w:left w:val="single" w:sz="4" w:space="0" w:color="auto"/>
              <w:right w:val="single" w:sz="4" w:space="0" w:color="auto"/>
            </w:tcBorders>
            <w:vAlign w:val="center"/>
            <w:hideMark/>
          </w:tcPr>
          <w:p w14:paraId="2F2DB557" w14:textId="77777777" w:rsidR="00522F86" w:rsidRPr="00B8307D" w:rsidRDefault="00522F86" w:rsidP="000A067B">
            <w:pPr>
              <w:widowControl w:val="0"/>
              <w:rPr>
                <w:sz w:val="22"/>
                <w:szCs w:val="22"/>
                <w:lang w:val="sr-Latn-ME" w:eastAsia="ja-JP"/>
              </w:rPr>
            </w:pPr>
          </w:p>
        </w:tc>
        <w:tc>
          <w:tcPr>
            <w:tcW w:w="1978" w:type="pct"/>
            <w:tcBorders>
              <w:top w:val="single" w:sz="4" w:space="0" w:color="auto"/>
              <w:left w:val="single" w:sz="4" w:space="0" w:color="auto"/>
              <w:bottom w:val="single" w:sz="4" w:space="0" w:color="auto"/>
              <w:right w:val="single" w:sz="4" w:space="0" w:color="auto"/>
            </w:tcBorders>
            <w:hideMark/>
          </w:tcPr>
          <w:p w14:paraId="07928F9E" w14:textId="77777777" w:rsidR="00522F86" w:rsidRPr="00B8307D" w:rsidRDefault="00522F86" w:rsidP="000A067B">
            <w:pPr>
              <w:widowControl w:val="0"/>
              <w:rPr>
                <w:sz w:val="22"/>
                <w:szCs w:val="22"/>
                <w:lang w:val="sr-Latn-ME" w:eastAsia="ja-JP"/>
              </w:rPr>
            </w:pPr>
            <w:r w:rsidRPr="00B8307D">
              <w:rPr>
                <w:sz w:val="22"/>
                <w:szCs w:val="22"/>
                <w:vertAlign w:val="superscript"/>
                <w:lang w:val="sr-Latn-ME" w:eastAsia="ja-JP"/>
              </w:rPr>
              <w:t>+</w:t>
            </w:r>
            <w:r w:rsidRPr="00B8307D">
              <w:rPr>
                <w:sz w:val="22"/>
                <w:szCs w:val="22"/>
                <w:lang w:val="sr-Latn-ME" w:eastAsia="ja-JP"/>
              </w:rPr>
              <w:t>Respiratorna insuficijenca</w:t>
            </w:r>
          </w:p>
        </w:tc>
        <w:tc>
          <w:tcPr>
            <w:tcW w:w="1289" w:type="pct"/>
            <w:tcBorders>
              <w:top w:val="single" w:sz="4" w:space="0" w:color="auto"/>
              <w:left w:val="single" w:sz="4" w:space="0" w:color="auto"/>
              <w:bottom w:val="single" w:sz="4" w:space="0" w:color="auto"/>
              <w:right w:val="single" w:sz="4" w:space="0" w:color="auto"/>
            </w:tcBorders>
            <w:hideMark/>
          </w:tcPr>
          <w:p w14:paraId="1C9C5F0A" w14:textId="77777777" w:rsidR="00522F86" w:rsidRPr="00B8307D" w:rsidRDefault="00522F86" w:rsidP="000A067B">
            <w:pPr>
              <w:widowControl w:val="0"/>
              <w:rPr>
                <w:sz w:val="22"/>
                <w:szCs w:val="22"/>
                <w:lang w:val="sr-Latn-ME" w:eastAsia="ja-JP"/>
              </w:rPr>
            </w:pPr>
            <w:r w:rsidRPr="00B8307D">
              <w:rPr>
                <w:sz w:val="22"/>
                <w:szCs w:val="22"/>
                <w:lang w:val="sr-Latn-ME" w:eastAsia="ja-JP"/>
              </w:rPr>
              <w:t>Nepoznato</w:t>
            </w:r>
          </w:p>
        </w:tc>
      </w:tr>
      <w:tr w:rsidR="00522F86" w:rsidRPr="00B8307D" w14:paraId="2D730C71" w14:textId="77777777" w:rsidTr="000A067B">
        <w:trPr>
          <w:trHeight w:val="120"/>
        </w:trPr>
        <w:tc>
          <w:tcPr>
            <w:tcW w:w="1733" w:type="pct"/>
            <w:vMerge/>
            <w:tcBorders>
              <w:left w:val="single" w:sz="4" w:space="0" w:color="auto"/>
              <w:right w:val="single" w:sz="4" w:space="0" w:color="auto"/>
            </w:tcBorders>
            <w:vAlign w:val="center"/>
            <w:hideMark/>
          </w:tcPr>
          <w:p w14:paraId="599A6975" w14:textId="77777777" w:rsidR="00522F86" w:rsidRPr="00B8307D" w:rsidRDefault="00522F86" w:rsidP="000A067B">
            <w:pPr>
              <w:widowControl w:val="0"/>
              <w:rPr>
                <w:sz w:val="22"/>
                <w:szCs w:val="22"/>
                <w:lang w:val="sr-Latn-ME" w:eastAsia="ja-JP"/>
              </w:rPr>
            </w:pPr>
          </w:p>
        </w:tc>
        <w:tc>
          <w:tcPr>
            <w:tcW w:w="1978" w:type="pct"/>
            <w:tcBorders>
              <w:top w:val="single" w:sz="4" w:space="0" w:color="auto"/>
              <w:left w:val="single" w:sz="4" w:space="0" w:color="auto"/>
              <w:bottom w:val="single" w:sz="4" w:space="0" w:color="auto"/>
              <w:right w:val="single" w:sz="4" w:space="0" w:color="auto"/>
            </w:tcBorders>
            <w:hideMark/>
          </w:tcPr>
          <w:p w14:paraId="13CC8D31" w14:textId="77777777" w:rsidR="00522F86" w:rsidRPr="00B8307D" w:rsidRDefault="00522F86" w:rsidP="000A067B">
            <w:pPr>
              <w:widowControl w:val="0"/>
              <w:rPr>
                <w:sz w:val="22"/>
                <w:szCs w:val="22"/>
                <w:lang w:val="sr-Latn-ME" w:eastAsia="ja-JP"/>
              </w:rPr>
            </w:pPr>
            <w:r w:rsidRPr="00B8307D">
              <w:rPr>
                <w:sz w:val="22"/>
                <w:szCs w:val="22"/>
                <w:vertAlign w:val="superscript"/>
                <w:lang w:val="sr-Latn-ME" w:eastAsia="ja-JP"/>
              </w:rPr>
              <w:t>+</w:t>
            </w:r>
            <w:r w:rsidRPr="00B8307D">
              <w:rPr>
                <w:sz w:val="22"/>
                <w:szCs w:val="22"/>
                <w:lang w:val="sr-Latn-ME" w:eastAsia="ja-JP"/>
              </w:rPr>
              <w:t>Plućni infiltrati</w:t>
            </w:r>
          </w:p>
        </w:tc>
        <w:tc>
          <w:tcPr>
            <w:tcW w:w="1289" w:type="pct"/>
            <w:tcBorders>
              <w:top w:val="single" w:sz="4" w:space="0" w:color="auto"/>
              <w:left w:val="single" w:sz="4" w:space="0" w:color="auto"/>
              <w:bottom w:val="single" w:sz="4" w:space="0" w:color="auto"/>
              <w:right w:val="single" w:sz="4" w:space="0" w:color="auto"/>
            </w:tcBorders>
            <w:hideMark/>
          </w:tcPr>
          <w:p w14:paraId="2951428E" w14:textId="77777777" w:rsidR="00522F86" w:rsidRPr="00B8307D" w:rsidRDefault="00522F86" w:rsidP="000A067B">
            <w:pPr>
              <w:widowControl w:val="0"/>
              <w:rPr>
                <w:sz w:val="22"/>
                <w:szCs w:val="22"/>
                <w:lang w:val="sr-Latn-ME" w:eastAsia="ja-JP"/>
              </w:rPr>
            </w:pPr>
            <w:r w:rsidRPr="00B8307D">
              <w:rPr>
                <w:sz w:val="22"/>
                <w:szCs w:val="22"/>
                <w:lang w:val="sr-Latn-ME" w:eastAsia="ja-JP"/>
              </w:rPr>
              <w:t>Nepoznato</w:t>
            </w:r>
          </w:p>
        </w:tc>
      </w:tr>
      <w:tr w:rsidR="00522F86" w:rsidRPr="00B8307D" w14:paraId="39CE4BE3" w14:textId="77777777" w:rsidTr="000A067B">
        <w:trPr>
          <w:trHeight w:val="120"/>
        </w:trPr>
        <w:tc>
          <w:tcPr>
            <w:tcW w:w="1733" w:type="pct"/>
            <w:vMerge/>
            <w:tcBorders>
              <w:left w:val="single" w:sz="4" w:space="0" w:color="auto"/>
              <w:right w:val="single" w:sz="4" w:space="0" w:color="auto"/>
            </w:tcBorders>
            <w:vAlign w:val="center"/>
            <w:hideMark/>
          </w:tcPr>
          <w:p w14:paraId="31B11023" w14:textId="77777777" w:rsidR="00522F86" w:rsidRPr="00B8307D" w:rsidRDefault="00522F86" w:rsidP="000A067B">
            <w:pPr>
              <w:widowControl w:val="0"/>
              <w:rPr>
                <w:sz w:val="22"/>
                <w:szCs w:val="22"/>
                <w:lang w:val="sr-Latn-ME" w:eastAsia="ja-JP"/>
              </w:rPr>
            </w:pPr>
          </w:p>
        </w:tc>
        <w:tc>
          <w:tcPr>
            <w:tcW w:w="1978" w:type="pct"/>
            <w:tcBorders>
              <w:top w:val="single" w:sz="4" w:space="0" w:color="auto"/>
              <w:left w:val="single" w:sz="4" w:space="0" w:color="auto"/>
              <w:bottom w:val="single" w:sz="4" w:space="0" w:color="auto"/>
              <w:right w:val="single" w:sz="4" w:space="0" w:color="auto"/>
            </w:tcBorders>
            <w:hideMark/>
          </w:tcPr>
          <w:p w14:paraId="70C4D452" w14:textId="77777777" w:rsidR="00522F86" w:rsidRPr="00B8307D" w:rsidRDefault="00522F86" w:rsidP="000A067B">
            <w:pPr>
              <w:widowControl w:val="0"/>
              <w:rPr>
                <w:sz w:val="22"/>
                <w:szCs w:val="22"/>
                <w:lang w:val="sr-Latn-ME" w:eastAsia="ja-JP"/>
              </w:rPr>
            </w:pPr>
            <w:r w:rsidRPr="00B8307D">
              <w:rPr>
                <w:sz w:val="22"/>
                <w:szCs w:val="22"/>
                <w:vertAlign w:val="superscript"/>
                <w:lang w:val="sr-Latn-ME" w:eastAsia="ja-JP"/>
              </w:rPr>
              <w:t>+</w:t>
            </w:r>
            <w:r w:rsidRPr="00B8307D">
              <w:rPr>
                <w:sz w:val="22"/>
                <w:szCs w:val="22"/>
                <w:lang w:val="sr-Latn-ME" w:eastAsia="ja-JP"/>
              </w:rPr>
              <w:t>Akutni plućni edem</w:t>
            </w:r>
          </w:p>
        </w:tc>
        <w:tc>
          <w:tcPr>
            <w:tcW w:w="1289" w:type="pct"/>
            <w:tcBorders>
              <w:top w:val="single" w:sz="4" w:space="0" w:color="auto"/>
              <w:left w:val="single" w:sz="4" w:space="0" w:color="auto"/>
              <w:bottom w:val="single" w:sz="4" w:space="0" w:color="auto"/>
              <w:right w:val="single" w:sz="4" w:space="0" w:color="auto"/>
            </w:tcBorders>
            <w:hideMark/>
          </w:tcPr>
          <w:p w14:paraId="4A12442D" w14:textId="77777777" w:rsidR="00522F86" w:rsidRPr="00B8307D" w:rsidRDefault="00522F86" w:rsidP="000A067B">
            <w:pPr>
              <w:widowControl w:val="0"/>
              <w:rPr>
                <w:sz w:val="22"/>
                <w:szCs w:val="22"/>
                <w:lang w:val="sr-Latn-ME" w:eastAsia="ja-JP"/>
              </w:rPr>
            </w:pPr>
            <w:r w:rsidRPr="00B8307D">
              <w:rPr>
                <w:sz w:val="22"/>
                <w:szCs w:val="22"/>
                <w:lang w:val="sr-Latn-ME" w:eastAsia="ja-JP"/>
              </w:rPr>
              <w:t>Nepoznato</w:t>
            </w:r>
          </w:p>
        </w:tc>
      </w:tr>
      <w:tr w:rsidR="00522F86" w:rsidRPr="00B8307D" w14:paraId="55E47469" w14:textId="77777777" w:rsidTr="000A067B">
        <w:trPr>
          <w:trHeight w:val="120"/>
        </w:trPr>
        <w:tc>
          <w:tcPr>
            <w:tcW w:w="1733" w:type="pct"/>
            <w:vMerge/>
            <w:tcBorders>
              <w:left w:val="single" w:sz="4" w:space="0" w:color="auto"/>
              <w:right w:val="single" w:sz="4" w:space="0" w:color="auto"/>
            </w:tcBorders>
            <w:vAlign w:val="center"/>
            <w:hideMark/>
          </w:tcPr>
          <w:p w14:paraId="3A421FA1" w14:textId="77777777" w:rsidR="00522F86" w:rsidRPr="00B8307D" w:rsidRDefault="00522F86" w:rsidP="000A067B">
            <w:pPr>
              <w:widowControl w:val="0"/>
              <w:rPr>
                <w:sz w:val="22"/>
                <w:szCs w:val="22"/>
                <w:lang w:val="sr-Latn-ME" w:eastAsia="ja-JP"/>
              </w:rPr>
            </w:pPr>
          </w:p>
        </w:tc>
        <w:tc>
          <w:tcPr>
            <w:tcW w:w="1978" w:type="pct"/>
            <w:tcBorders>
              <w:top w:val="single" w:sz="4" w:space="0" w:color="auto"/>
              <w:left w:val="single" w:sz="4" w:space="0" w:color="auto"/>
              <w:bottom w:val="single" w:sz="4" w:space="0" w:color="auto"/>
              <w:right w:val="single" w:sz="4" w:space="0" w:color="auto"/>
            </w:tcBorders>
            <w:hideMark/>
          </w:tcPr>
          <w:p w14:paraId="15C42700" w14:textId="77777777" w:rsidR="00522F86" w:rsidRPr="00B8307D" w:rsidRDefault="00522F86" w:rsidP="000A067B">
            <w:pPr>
              <w:widowControl w:val="0"/>
              <w:rPr>
                <w:sz w:val="22"/>
                <w:szCs w:val="22"/>
                <w:lang w:val="sr-Latn-ME" w:eastAsia="ja-JP"/>
              </w:rPr>
            </w:pPr>
            <w:r w:rsidRPr="00B8307D">
              <w:rPr>
                <w:sz w:val="22"/>
                <w:szCs w:val="22"/>
                <w:vertAlign w:val="superscript"/>
                <w:lang w:val="sr-Latn-ME" w:eastAsia="ja-JP"/>
              </w:rPr>
              <w:t>+</w:t>
            </w:r>
            <w:r w:rsidRPr="00B8307D">
              <w:rPr>
                <w:sz w:val="22"/>
                <w:szCs w:val="22"/>
                <w:lang w:val="sr-Latn-ME" w:eastAsia="ja-JP"/>
              </w:rPr>
              <w:t>Akutni respiratorni distres sindrom</w:t>
            </w:r>
          </w:p>
        </w:tc>
        <w:tc>
          <w:tcPr>
            <w:tcW w:w="1289" w:type="pct"/>
            <w:tcBorders>
              <w:top w:val="single" w:sz="4" w:space="0" w:color="auto"/>
              <w:left w:val="single" w:sz="4" w:space="0" w:color="auto"/>
              <w:bottom w:val="single" w:sz="4" w:space="0" w:color="auto"/>
              <w:right w:val="single" w:sz="4" w:space="0" w:color="auto"/>
            </w:tcBorders>
            <w:hideMark/>
          </w:tcPr>
          <w:p w14:paraId="2118F7BB" w14:textId="77777777" w:rsidR="00522F86" w:rsidRPr="00B8307D" w:rsidRDefault="00522F86" w:rsidP="000A067B">
            <w:pPr>
              <w:widowControl w:val="0"/>
              <w:rPr>
                <w:sz w:val="22"/>
                <w:szCs w:val="22"/>
                <w:lang w:val="sr-Latn-ME" w:eastAsia="ja-JP"/>
              </w:rPr>
            </w:pPr>
            <w:r w:rsidRPr="00B8307D">
              <w:rPr>
                <w:sz w:val="22"/>
                <w:szCs w:val="22"/>
                <w:lang w:val="sr-Latn-ME" w:eastAsia="ja-JP"/>
              </w:rPr>
              <w:t>Nepoznato</w:t>
            </w:r>
          </w:p>
        </w:tc>
      </w:tr>
      <w:tr w:rsidR="00522F86" w:rsidRPr="00B8307D" w14:paraId="444D976C" w14:textId="77777777" w:rsidTr="000A067B">
        <w:trPr>
          <w:trHeight w:val="120"/>
        </w:trPr>
        <w:tc>
          <w:tcPr>
            <w:tcW w:w="1733" w:type="pct"/>
            <w:vMerge/>
            <w:tcBorders>
              <w:left w:val="single" w:sz="4" w:space="0" w:color="auto"/>
              <w:right w:val="single" w:sz="4" w:space="0" w:color="auto"/>
            </w:tcBorders>
            <w:vAlign w:val="center"/>
            <w:hideMark/>
          </w:tcPr>
          <w:p w14:paraId="3852B1D1" w14:textId="77777777" w:rsidR="00522F86" w:rsidRPr="00B8307D" w:rsidRDefault="00522F86" w:rsidP="000A067B">
            <w:pPr>
              <w:widowControl w:val="0"/>
              <w:rPr>
                <w:sz w:val="22"/>
                <w:szCs w:val="22"/>
                <w:lang w:val="sr-Latn-ME" w:eastAsia="ja-JP"/>
              </w:rPr>
            </w:pPr>
          </w:p>
        </w:tc>
        <w:tc>
          <w:tcPr>
            <w:tcW w:w="1978" w:type="pct"/>
            <w:tcBorders>
              <w:top w:val="single" w:sz="4" w:space="0" w:color="auto"/>
              <w:left w:val="single" w:sz="4" w:space="0" w:color="auto"/>
              <w:bottom w:val="single" w:sz="4" w:space="0" w:color="auto"/>
              <w:right w:val="single" w:sz="4" w:space="0" w:color="auto"/>
            </w:tcBorders>
            <w:hideMark/>
          </w:tcPr>
          <w:p w14:paraId="577C7850" w14:textId="77777777" w:rsidR="00522F86" w:rsidRPr="00B8307D" w:rsidRDefault="00522F86" w:rsidP="000A067B">
            <w:pPr>
              <w:widowControl w:val="0"/>
              <w:rPr>
                <w:sz w:val="22"/>
                <w:szCs w:val="22"/>
                <w:lang w:val="sr-Latn-ME" w:eastAsia="ja-JP"/>
              </w:rPr>
            </w:pPr>
            <w:r w:rsidRPr="00B8307D">
              <w:rPr>
                <w:sz w:val="22"/>
                <w:szCs w:val="22"/>
                <w:vertAlign w:val="superscript"/>
                <w:lang w:val="sr-Latn-ME" w:eastAsia="ja-JP"/>
              </w:rPr>
              <w:t>+</w:t>
            </w:r>
            <w:r w:rsidRPr="00B8307D">
              <w:rPr>
                <w:sz w:val="22"/>
                <w:szCs w:val="22"/>
                <w:lang w:val="sr-Latn-ME" w:eastAsia="ja-JP"/>
              </w:rPr>
              <w:t>Bronhospazam</w:t>
            </w:r>
          </w:p>
        </w:tc>
        <w:tc>
          <w:tcPr>
            <w:tcW w:w="1289" w:type="pct"/>
            <w:tcBorders>
              <w:top w:val="single" w:sz="4" w:space="0" w:color="auto"/>
              <w:left w:val="single" w:sz="4" w:space="0" w:color="auto"/>
              <w:bottom w:val="single" w:sz="4" w:space="0" w:color="auto"/>
              <w:right w:val="single" w:sz="4" w:space="0" w:color="auto"/>
            </w:tcBorders>
            <w:hideMark/>
          </w:tcPr>
          <w:p w14:paraId="5D2089A6" w14:textId="77777777" w:rsidR="00522F86" w:rsidRPr="00B8307D" w:rsidRDefault="00522F86" w:rsidP="000A067B">
            <w:pPr>
              <w:widowControl w:val="0"/>
              <w:rPr>
                <w:sz w:val="22"/>
                <w:szCs w:val="22"/>
                <w:lang w:val="sr-Latn-ME" w:eastAsia="ja-JP"/>
              </w:rPr>
            </w:pPr>
            <w:r w:rsidRPr="00B8307D">
              <w:rPr>
                <w:sz w:val="22"/>
                <w:szCs w:val="22"/>
                <w:lang w:val="sr-Latn-ME" w:eastAsia="ja-JP"/>
              </w:rPr>
              <w:t>Nepoznato</w:t>
            </w:r>
          </w:p>
        </w:tc>
      </w:tr>
      <w:tr w:rsidR="00522F86" w:rsidRPr="00B8307D" w14:paraId="64747254" w14:textId="77777777" w:rsidTr="000A067B">
        <w:trPr>
          <w:trHeight w:val="120"/>
        </w:trPr>
        <w:tc>
          <w:tcPr>
            <w:tcW w:w="1733" w:type="pct"/>
            <w:vMerge/>
            <w:tcBorders>
              <w:left w:val="single" w:sz="4" w:space="0" w:color="auto"/>
              <w:right w:val="single" w:sz="4" w:space="0" w:color="auto"/>
            </w:tcBorders>
            <w:vAlign w:val="center"/>
            <w:hideMark/>
          </w:tcPr>
          <w:p w14:paraId="6FB6D636" w14:textId="77777777" w:rsidR="00522F86" w:rsidRPr="00B8307D" w:rsidRDefault="00522F86" w:rsidP="000A067B">
            <w:pPr>
              <w:widowControl w:val="0"/>
              <w:rPr>
                <w:sz w:val="22"/>
                <w:szCs w:val="22"/>
                <w:lang w:val="sr-Latn-ME" w:eastAsia="ja-JP"/>
              </w:rPr>
            </w:pPr>
          </w:p>
        </w:tc>
        <w:tc>
          <w:tcPr>
            <w:tcW w:w="1978" w:type="pct"/>
            <w:tcBorders>
              <w:top w:val="single" w:sz="4" w:space="0" w:color="auto"/>
              <w:left w:val="single" w:sz="4" w:space="0" w:color="auto"/>
              <w:bottom w:val="single" w:sz="4" w:space="0" w:color="auto"/>
              <w:right w:val="single" w:sz="4" w:space="0" w:color="auto"/>
            </w:tcBorders>
            <w:hideMark/>
          </w:tcPr>
          <w:p w14:paraId="5444B680" w14:textId="77777777" w:rsidR="00522F86" w:rsidRPr="00B8307D" w:rsidRDefault="00522F86" w:rsidP="000A067B">
            <w:pPr>
              <w:widowControl w:val="0"/>
              <w:rPr>
                <w:sz w:val="22"/>
                <w:szCs w:val="22"/>
                <w:lang w:val="sr-Latn-ME" w:eastAsia="ja-JP"/>
              </w:rPr>
            </w:pPr>
            <w:r w:rsidRPr="00B8307D">
              <w:rPr>
                <w:sz w:val="22"/>
                <w:szCs w:val="22"/>
                <w:vertAlign w:val="superscript"/>
                <w:lang w:val="sr-Latn-ME" w:eastAsia="ja-JP"/>
              </w:rPr>
              <w:t>+</w:t>
            </w:r>
            <w:r w:rsidRPr="00B8307D">
              <w:rPr>
                <w:sz w:val="22"/>
                <w:szCs w:val="22"/>
                <w:lang w:val="sr-Latn-ME" w:eastAsia="ja-JP"/>
              </w:rPr>
              <w:t>Hipoksija</w:t>
            </w:r>
          </w:p>
        </w:tc>
        <w:tc>
          <w:tcPr>
            <w:tcW w:w="1289" w:type="pct"/>
            <w:tcBorders>
              <w:top w:val="single" w:sz="4" w:space="0" w:color="auto"/>
              <w:left w:val="single" w:sz="4" w:space="0" w:color="auto"/>
              <w:bottom w:val="single" w:sz="4" w:space="0" w:color="auto"/>
              <w:right w:val="single" w:sz="4" w:space="0" w:color="auto"/>
            </w:tcBorders>
            <w:hideMark/>
          </w:tcPr>
          <w:p w14:paraId="6B1A2117" w14:textId="77777777" w:rsidR="00522F86" w:rsidRPr="00B8307D" w:rsidRDefault="00522F86" w:rsidP="000A067B">
            <w:pPr>
              <w:widowControl w:val="0"/>
              <w:rPr>
                <w:sz w:val="22"/>
                <w:szCs w:val="22"/>
                <w:lang w:val="sr-Latn-ME" w:eastAsia="ja-JP"/>
              </w:rPr>
            </w:pPr>
            <w:r w:rsidRPr="00B8307D">
              <w:rPr>
                <w:sz w:val="22"/>
                <w:szCs w:val="22"/>
                <w:lang w:val="sr-Latn-ME" w:eastAsia="ja-JP"/>
              </w:rPr>
              <w:t>Nepoznato</w:t>
            </w:r>
          </w:p>
        </w:tc>
      </w:tr>
      <w:tr w:rsidR="00522F86" w:rsidRPr="00B8307D" w14:paraId="12E50C1A" w14:textId="77777777" w:rsidTr="000A067B">
        <w:trPr>
          <w:trHeight w:val="120"/>
        </w:trPr>
        <w:tc>
          <w:tcPr>
            <w:tcW w:w="1733" w:type="pct"/>
            <w:vMerge/>
            <w:tcBorders>
              <w:left w:val="single" w:sz="4" w:space="0" w:color="auto"/>
              <w:right w:val="single" w:sz="4" w:space="0" w:color="auto"/>
            </w:tcBorders>
            <w:vAlign w:val="center"/>
            <w:hideMark/>
          </w:tcPr>
          <w:p w14:paraId="6252EDD6" w14:textId="77777777" w:rsidR="00522F86" w:rsidRPr="00B8307D" w:rsidRDefault="00522F86" w:rsidP="000A067B">
            <w:pPr>
              <w:widowControl w:val="0"/>
              <w:rPr>
                <w:sz w:val="22"/>
                <w:szCs w:val="22"/>
                <w:lang w:val="sr-Latn-ME" w:eastAsia="ja-JP"/>
              </w:rPr>
            </w:pPr>
          </w:p>
        </w:tc>
        <w:tc>
          <w:tcPr>
            <w:tcW w:w="1978" w:type="pct"/>
            <w:tcBorders>
              <w:top w:val="single" w:sz="4" w:space="0" w:color="auto"/>
              <w:left w:val="single" w:sz="4" w:space="0" w:color="auto"/>
              <w:bottom w:val="single" w:sz="4" w:space="0" w:color="auto"/>
              <w:right w:val="single" w:sz="4" w:space="0" w:color="auto"/>
            </w:tcBorders>
            <w:hideMark/>
          </w:tcPr>
          <w:p w14:paraId="227B051C" w14:textId="77777777" w:rsidR="00522F86" w:rsidRPr="00B8307D" w:rsidRDefault="00522F86" w:rsidP="000A067B">
            <w:pPr>
              <w:widowControl w:val="0"/>
              <w:rPr>
                <w:sz w:val="22"/>
                <w:szCs w:val="22"/>
                <w:lang w:val="sr-Latn-ME" w:eastAsia="ja-JP"/>
              </w:rPr>
            </w:pPr>
            <w:r w:rsidRPr="00B8307D">
              <w:rPr>
                <w:sz w:val="22"/>
                <w:szCs w:val="22"/>
                <w:vertAlign w:val="superscript"/>
                <w:lang w:val="sr-Latn-ME" w:eastAsia="ja-JP"/>
              </w:rPr>
              <w:t>+</w:t>
            </w:r>
            <w:r w:rsidRPr="00B8307D">
              <w:rPr>
                <w:sz w:val="22"/>
                <w:szCs w:val="22"/>
                <w:lang w:val="sr-Latn-ME" w:eastAsia="ja-JP"/>
              </w:rPr>
              <w:t>Smanjena zasićenost kiseonikom</w:t>
            </w:r>
          </w:p>
        </w:tc>
        <w:tc>
          <w:tcPr>
            <w:tcW w:w="1289" w:type="pct"/>
            <w:tcBorders>
              <w:top w:val="single" w:sz="4" w:space="0" w:color="auto"/>
              <w:left w:val="single" w:sz="4" w:space="0" w:color="auto"/>
              <w:bottom w:val="single" w:sz="4" w:space="0" w:color="auto"/>
              <w:right w:val="single" w:sz="4" w:space="0" w:color="auto"/>
            </w:tcBorders>
            <w:hideMark/>
          </w:tcPr>
          <w:p w14:paraId="647FB8E5" w14:textId="77777777" w:rsidR="00522F86" w:rsidRPr="00B8307D" w:rsidRDefault="00522F86" w:rsidP="000A067B">
            <w:pPr>
              <w:widowControl w:val="0"/>
              <w:rPr>
                <w:sz w:val="22"/>
                <w:szCs w:val="22"/>
                <w:lang w:val="sr-Latn-ME" w:eastAsia="ja-JP"/>
              </w:rPr>
            </w:pPr>
            <w:r w:rsidRPr="00B8307D">
              <w:rPr>
                <w:sz w:val="22"/>
                <w:szCs w:val="22"/>
                <w:lang w:val="sr-Latn-ME" w:eastAsia="ja-JP"/>
              </w:rPr>
              <w:t>Nepoznato</w:t>
            </w:r>
          </w:p>
        </w:tc>
      </w:tr>
      <w:tr w:rsidR="00522F86" w:rsidRPr="00B8307D" w14:paraId="788F8B9E" w14:textId="77777777" w:rsidTr="000A067B">
        <w:trPr>
          <w:trHeight w:val="120"/>
        </w:trPr>
        <w:tc>
          <w:tcPr>
            <w:tcW w:w="1733" w:type="pct"/>
            <w:vMerge/>
            <w:tcBorders>
              <w:left w:val="single" w:sz="4" w:space="0" w:color="auto"/>
              <w:right w:val="single" w:sz="4" w:space="0" w:color="auto"/>
            </w:tcBorders>
            <w:vAlign w:val="center"/>
            <w:hideMark/>
          </w:tcPr>
          <w:p w14:paraId="780DEBED" w14:textId="77777777" w:rsidR="00522F86" w:rsidRPr="00B8307D" w:rsidRDefault="00522F86" w:rsidP="000A067B">
            <w:pPr>
              <w:widowControl w:val="0"/>
              <w:rPr>
                <w:sz w:val="22"/>
                <w:szCs w:val="22"/>
                <w:lang w:val="sr-Latn-ME" w:eastAsia="ja-JP"/>
              </w:rPr>
            </w:pPr>
          </w:p>
        </w:tc>
        <w:tc>
          <w:tcPr>
            <w:tcW w:w="1978" w:type="pct"/>
            <w:tcBorders>
              <w:top w:val="single" w:sz="4" w:space="0" w:color="auto"/>
              <w:left w:val="single" w:sz="4" w:space="0" w:color="auto"/>
              <w:bottom w:val="single" w:sz="4" w:space="0" w:color="auto"/>
              <w:right w:val="single" w:sz="4" w:space="0" w:color="auto"/>
            </w:tcBorders>
            <w:hideMark/>
          </w:tcPr>
          <w:p w14:paraId="4920E2ED" w14:textId="77777777" w:rsidR="00522F86" w:rsidRPr="00B8307D" w:rsidRDefault="00522F86" w:rsidP="000A067B">
            <w:pPr>
              <w:widowControl w:val="0"/>
              <w:rPr>
                <w:sz w:val="22"/>
                <w:szCs w:val="22"/>
                <w:lang w:val="sr-Latn-ME" w:eastAsia="ja-JP"/>
              </w:rPr>
            </w:pPr>
            <w:r w:rsidRPr="00B8307D">
              <w:rPr>
                <w:sz w:val="22"/>
                <w:szCs w:val="22"/>
                <w:lang w:val="sr-Latn-ME" w:eastAsia="ja-JP"/>
              </w:rPr>
              <w:t>Edem larinksa</w:t>
            </w:r>
          </w:p>
        </w:tc>
        <w:tc>
          <w:tcPr>
            <w:tcW w:w="1289" w:type="pct"/>
            <w:tcBorders>
              <w:top w:val="single" w:sz="4" w:space="0" w:color="auto"/>
              <w:left w:val="single" w:sz="4" w:space="0" w:color="auto"/>
              <w:bottom w:val="single" w:sz="4" w:space="0" w:color="auto"/>
              <w:right w:val="single" w:sz="4" w:space="0" w:color="auto"/>
            </w:tcBorders>
            <w:hideMark/>
          </w:tcPr>
          <w:p w14:paraId="0DAE7372" w14:textId="77777777" w:rsidR="00522F86" w:rsidRPr="00B8307D" w:rsidRDefault="00522F86" w:rsidP="000A067B">
            <w:pPr>
              <w:widowControl w:val="0"/>
              <w:rPr>
                <w:sz w:val="22"/>
                <w:szCs w:val="22"/>
                <w:lang w:val="sr-Latn-ME" w:eastAsia="ja-JP"/>
              </w:rPr>
            </w:pPr>
            <w:r w:rsidRPr="00B8307D">
              <w:rPr>
                <w:sz w:val="22"/>
                <w:szCs w:val="22"/>
                <w:lang w:val="sr-Latn-ME" w:eastAsia="ja-JP"/>
              </w:rPr>
              <w:t>Nepoznato</w:t>
            </w:r>
          </w:p>
        </w:tc>
      </w:tr>
      <w:tr w:rsidR="00522F86" w:rsidRPr="00B8307D" w14:paraId="1363F9B3" w14:textId="77777777" w:rsidTr="000A067B">
        <w:trPr>
          <w:trHeight w:val="120"/>
        </w:trPr>
        <w:tc>
          <w:tcPr>
            <w:tcW w:w="1733" w:type="pct"/>
            <w:vMerge/>
            <w:tcBorders>
              <w:left w:val="single" w:sz="4" w:space="0" w:color="auto"/>
              <w:right w:val="single" w:sz="4" w:space="0" w:color="auto"/>
            </w:tcBorders>
            <w:vAlign w:val="center"/>
            <w:hideMark/>
          </w:tcPr>
          <w:p w14:paraId="35EC16DF" w14:textId="77777777" w:rsidR="00522F86" w:rsidRPr="00B8307D" w:rsidRDefault="00522F86" w:rsidP="000A067B">
            <w:pPr>
              <w:widowControl w:val="0"/>
              <w:rPr>
                <w:sz w:val="22"/>
                <w:szCs w:val="22"/>
                <w:lang w:val="sr-Latn-ME" w:eastAsia="ja-JP"/>
              </w:rPr>
            </w:pPr>
          </w:p>
        </w:tc>
        <w:tc>
          <w:tcPr>
            <w:tcW w:w="1978" w:type="pct"/>
            <w:tcBorders>
              <w:top w:val="single" w:sz="4" w:space="0" w:color="auto"/>
              <w:left w:val="single" w:sz="4" w:space="0" w:color="auto"/>
              <w:bottom w:val="single" w:sz="4" w:space="0" w:color="auto"/>
              <w:right w:val="single" w:sz="4" w:space="0" w:color="auto"/>
            </w:tcBorders>
            <w:hideMark/>
          </w:tcPr>
          <w:p w14:paraId="3D364732" w14:textId="77777777" w:rsidR="00522F86" w:rsidRPr="00B8307D" w:rsidRDefault="00522F86" w:rsidP="000A067B">
            <w:pPr>
              <w:widowControl w:val="0"/>
              <w:rPr>
                <w:sz w:val="22"/>
                <w:szCs w:val="22"/>
                <w:lang w:val="sr-Latn-ME" w:eastAsia="ja-JP"/>
              </w:rPr>
            </w:pPr>
            <w:r w:rsidRPr="00B8307D">
              <w:rPr>
                <w:sz w:val="22"/>
                <w:szCs w:val="22"/>
                <w:lang w:val="sr-Latn-ME" w:eastAsia="ja-JP"/>
              </w:rPr>
              <w:t>Ortopnea</w:t>
            </w:r>
          </w:p>
        </w:tc>
        <w:tc>
          <w:tcPr>
            <w:tcW w:w="1289" w:type="pct"/>
            <w:tcBorders>
              <w:top w:val="single" w:sz="4" w:space="0" w:color="auto"/>
              <w:left w:val="single" w:sz="4" w:space="0" w:color="auto"/>
              <w:bottom w:val="single" w:sz="4" w:space="0" w:color="auto"/>
              <w:right w:val="single" w:sz="4" w:space="0" w:color="auto"/>
            </w:tcBorders>
            <w:hideMark/>
          </w:tcPr>
          <w:p w14:paraId="66562F5D" w14:textId="77777777" w:rsidR="00522F86" w:rsidRPr="00B8307D" w:rsidRDefault="00522F86" w:rsidP="000A067B">
            <w:pPr>
              <w:widowControl w:val="0"/>
              <w:rPr>
                <w:sz w:val="22"/>
                <w:szCs w:val="22"/>
                <w:lang w:val="sr-Latn-ME" w:eastAsia="ja-JP"/>
              </w:rPr>
            </w:pPr>
            <w:r w:rsidRPr="00B8307D">
              <w:rPr>
                <w:sz w:val="22"/>
                <w:szCs w:val="22"/>
                <w:lang w:val="sr-Latn-ME" w:eastAsia="ja-JP"/>
              </w:rPr>
              <w:t>Nepoznato</w:t>
            </w:r>
          </w:p>
        </w:tc>
      </w:tr>
      <w:tr w:rsidR="00522F86" w:rsidRPr="00B8307D" w14:paraId="1269185E" w14:textId="77777777" w:rsidTr="000A067B">
        <w:trPr>
          <w:trHeight w:val="120"/>
        </w:trPr>
        <w:tc>
          <w:tcPr>
            <w:tcW w:w="1733" w:type="pct"/>
            <w:vMerge/>
            <w:tcBorders>
              <w:left w:val="single" w:sz="4" w:space="0" w:color="auto"/>
              <w:right w:val="single" w:sz="4" w:space="0" w:color="auto"/>
            </w:tcBorders>
            <w:vAlign w:val="center"/>
            <w:hideMark/>
          </w:tcPr>
          <w:p w14:paraId="7D6F059D" w14:textId="77777777" w:rsidR="00522F86" w:rsidRPr="00B8307D" w:rsidRDefault="00522F86" w:rsidP="000A067B">
            <w:pPr>
              <w:widowControl w:val="0"/>
              <w:rPr>
                <w:sz w:val="22"/>
                <w:szCs w:val="22"/>
                <w:lang w:val="sr-Latn-ME" w:eastAsia="ja-JP"/>
              </w:rPr>
            </w:pPr>
          </w:p>
        </w:tc>
        <w:tc>
          <w:tcPr>
            <w:tcW w:w="1978" w:type="pct"/>
            <w:tcBorders>
              <w:top w:val="single" w:sz="4" w:space="0" w:color="auto"/>
              <w:left w:val="single" w:sz="4" w:space="0" w:color="auto"/>
              <w:bottom w:val="single" w:sz="4" w:space="0" w:color="auto"/>
              <w:right w:val="single" w:sz="4" w:space="0" w:color="auto"/>
            </w:tcBorders>
            <w:hideMark/>
          </w:tcPr>
          <w:p w14:paraId="27376414" w14:textId="77777777" w:rsidR="00522F86" w:rsidRPr="00B8307D" w:rsidRDefault="00522F86" w:rsidP="000A067B">
            <w:pPr>
              <w:widowControl w:val="0"/>
              <w:rPr>
                <w:sz w:val="22"/>
                <w:szCs w:val="22"/>
                <w:lang w:val="sr-Latn-ME" w:eastAsia="ja-JP"/>
              </w:rPr>
            </w:pPr>
            <w:r w:rsidRPr="00B8307D">
              <w:rPr>
                <w:sz w:val="22"/>
                <w:szCs w:val="22"/>
                <w:lang w:val="sr-Latn-ME" w:eastAsia="ja-JP"/>
              </w:rPr>
              <w:t>Edem pluća</w:t>
            </w:r>
          </w:p>
        </w:tc>
        <w:tc>
          <w:tcPr>
            <w:tcW w:w="1289" w:type="pct"/>
            <w:tcBorders>
              <w:top w:val="single" w:sz="4" w:space="0" w:color="auto"/>
              <w:left w:val="single" w:sz="4" w:space="0" w:color="auto"/>
              <w:bottom w:val="single" w:sz="4" w:space="0" w:color="auto"/>
              <w:right w:val="single" w:sz="4" w:space="0" w:color="auto"/>
            </w:tcBorders>
            <w:hideMark/>
          </w:tcPr>
          <w:p w14:paraId="1307197A" w14:textId="77777777" w:rsidR="00522F86" w:rsidRPr="00B8307D" w:rsidRDefault="00522F86" w:rsidP="000A067B">
            <w:pPr>
              <w:widowControl w:val="0"/>
              <w:rPr>
                <w:sz w:val="22"/>
                <w:szCs w:val="22"/>
                <w:lang w:val="sr-Latn-ME" w:eastAsia="ja-JP"/>
              </w:rPr>
            </w:pPr>
            <w:r w:rsidRPr="00B8307D">
              <w:rPr>
                <w:sz w:val="22"/>
                <w:szCs w:val="22"/>
                <w:lang w:val="sr-Latn-ME" w:eastAsia="ja-JP"/>
              </w:rPr>
              <w:t xml:space="preserve">Nepoznato </w:t>
            </w:r>
          </w:p>
        </w:tc>
      </w:tr>
      <w:tr w:rsidR="00522F86" w:rsidRPr="00B8307D" w14:paraId="2AD21184" w14:textId="77777777" w:rsidTr="000A067B">
        <w:trPr>
          <w:trHeight w:val="120"/>
        </w:trPr>
        <w:tc>
          <w:tcPr>
            <w:tcW w:w="1733" w:type="pct"/>
            <w:vMerge/>
            <w:tcBorders>
              <w:left w:val="single" w:sz="4" w:space="0" w:color="auto"/>
              <w:bottom w:val="single" w:sz="4" w:space="0" w:color="auto"/>
              <w:right w:val="single" w:sz="4" w:space="0" w:color="auto"/>
            </w:tcBorders>
            <w:vAlign w:val="center"/>
          </w:tcPr>
          <w:p w14:paraId="64D886B8" w14:textId="77777777" w:rsidR="00522F86" w:rsidRPr="00B8307D" w:rsidRDefault="00522F86" w:rsidP="000A067B">
            <w:pPr>
              <w:widowControl w:val="0"/>
              <w:rPr>
                <w:sz w:val="22"/>
                <w:szCs w:val="22"/>
                <w:lang w:val="sr-Latn-ME" w:eastAsia="ja-JP"/>
              </w:rPr>
            </w:pPr>
          </w:p>
        </w:tc>
        <w:tc>
          <w:tcPr>
            <w:tcW w:w="1978" w:type="pct"/>
            <w:tcBorders>
              <w:top w:val="single" w:sz="4" w:space="0" w:color="auto"/>
              <w:left w:val="single" w:sz="4" w:space="0" w:color="auto"/>
              <w:bottom w:val="single" w:sz="4" w:space="0" w:color="auto"/>
              <w:right w:val="single" w:sz="4" w:space="0" w:color="auto"/>
            </w:tcBorders>
          </w:tcPr>
          <w:p w14:paraId="61B52000" w14:textId="77777777" w:rsidR="00522F86" w:rsidRPr="00B8307D" w:rsidRDefault="00522F86" w:rsidP="000A067B">
            <w:pPr>
              <w:widowControl w:val="0"/>
              <w:rPr>
                <w:sz w:val="22"/>
                <w:szCs w:val="22"/>
                <w:lang w:val="sr-Latn-ME" w:eastAsia="ja-JP"/>
              </w:rPr>
            </w:pPr>
            <w:r w:rsidRPr="00B8307D">
              <w:rPr>
                <w:sz w:val="22"/>
                <w:szCs w:val="22"/>
                <w:lang w:val="sr-Latn-ME" w:eastAsia="ja-JP"/>
              </w:rPr>
              <w:t>Intestinalna bolest pluća</w:t>
            </w:r>
          </w:p>
        </w:tc>
        <w:tc>
          <w:tcPr>
            <w:tcW w:w="1289" w:type="pct"/>
            <w:tcBorders>
              <w:top w:val="single" w:sz="4" w:space="0" w:color="auto"/>
              <w:left w:val="single" w:sz="4" w:space="0" w:color="auto"/>
              <w:bottom w:val="single" w:sz="4" w:space="0" w:color="auto"/>
              <w:right w:val="single" w:sz="4" w:space="0" w:color="auto"/>
            </w:tcBorders>
          </w:tcPr>
          <w:p w14:paraId="7C999410" w14:textId="77777777" w:rsidR="00522F86" w:rsidRPr="00B8307D" w:rsidRDefault="00522F86" w:rsidP="000A067B">
            <w:pPr>
              <w:widowControl w:val="0"/>
              <w:rPr>
                <w:sz w:val="22"/>
                <w:szCs w:val="22"/>
                <w:lang w:val="sr-Latn-ME" w:eastAsia="ja-JP"/>
              </w:rPr>
            </w:pPr>
            <w:r w:rsidRPr="00B8307D">
              <w:rPr>
                <w:sz w:val="22"/>
                <w:szCs w:val="22"/>
                <w:lang w:val="sr-Latn-ME" w:eastAsia="ja-JP"/>
              </w:rPr>
              <w:t>Nepoznato</w:t>
            </w:r>
          </w:p>
        </w:tc>
      </w:tr>
      <w:tr w:rsidR="008674A8" w:rsidRPr="00B8307D" w14:paraId="4FDD1E4D" w14:textId="77777777" w:rsidTr="000A067B">
        <w:trPr>
          <w:trHeight w:val="120"/>
        </w:trPr>
        <w:tc>
          <w:tcPr>
            <w:tcW w:w="1733" w:type="pct"/>
            <w:vMerge w:val="restart"/>
            <w:tcBorders>
              <w:top w:val="single" w:sz="4" w:space="0" w:color="auto"/>
              <w:left w:val="single" w:sz="4" w:space="0" w:color="auto"/>
              <w:bottom w:val="single" w:sz="4" w:space="0" w:color="auto"/>
              <w:right w:val="single" w:sz="4" w:space="0" w:color="auto"/>
            </w:tcBorders>
            <w:hideMark/>
          </w:tcPr>
          <w:p w14:paraId="57F6B76A" w14:textId="77777777" w:rsidR="008674A8" w:rsidRPr="00B8307D" w:rsidRDefault="008674A8" w:rsidP="000A067B">
            <w:pPr>
              <w:widowControl w:val="0"/>
              <w:rPr>
                <w:sz w:val="22"/>
                <w:szCs w:val="22"/>
                <w:lang w:val="sr-Latn-ME" w:eastAsia="ja-JP"/>
              </w:rPr>
            </w:pPr>
            <w:r w:rsidRPr="00B8307D">
              <w:rPr>
                <w:sz w:val="22"/>
                <w:szCs w:val="22"/>
                <w:lang w:val="sr-Latn-ME" w:eastAsia="ja-JP"/>
              </w:rPr>
              <w:t>Gastrointestinalni poremećaji</w:t>
            </w:r>
          </w:p>
        </w:tc>
        <w:tc>
          <w:tcPr>
            <w:tcW w:w="1978" w:type="pct"/>
            <w:tcBorders>
              <w:top w:val="single" w:sz="4" w:space="0" w:color="auto"/>
              <w:left w:val="single" w:sz="4" w:space="0" w:color="auto"/>
              <w:bottom w:val="single" w:sz="4" w:space="0" w:color="auto"/>
              <w:right w:val="single" w:sz="4" w:space="0" w:color="auto"/>
            </w:tcBorders>
            <w:hideMark/>
          </w:tcPr>
          <w:p w14:paraId="2EE73BC5" w14:textId="77777777" w:rsidR="008674A8" w:rsidRPr="00B8307D" w:rsidRDefault="008674A8" w:rsidP="000A067B">
            <w:pPr>
              <w:widowControl w:val="0"/>
              <w:rPr>
                <w:sz w:val="22"/>
                <w:szCs w:val="22"/>
                <w:lang w:val="sr-Latn-ME" w:eastAsia="ja-JP"/>
              </w:rPr>
            </w:pPr>
            <w:r w:rsidRPr="00B8307D">
              <w:rPr>
                <w:sz w:val="22"/>
                <w:szCs w:val="22"/>
                <w:lang w:val="sr-Latn-ME" w:eastAsia="ja-JP"/>
              </w:rPr>
              <w:t>Dijareja</w:t>
            </w:r>
          </w:p>
        </w:tc>
        <w:tc>
          <w:tcPr>
            <w:tcW w:w="1289" w:type="pct"/>
            <w:tcBorders>
              <w:top w:val="single" w:sz="4" w:space="0" w:color="auto"/>
              <w:left w:val="single" w:sz="4" w:space="0" w:color="auto"/>
              <w:bottom w:val="single" w:sz="4" w:space="0" w:color="auto"/>
              <w:right w:val="single" w:sz="4" w:space="0" w:color="auto"/>
            </w:tcBorders>
            <w:hideMark/>
          </w:tcPr>
          <w:p w14:paraId="77ECBB5F" w14:textId="77777777" w:rsidR="008674A8" w:rsidRPr="00B8307D" w:rsidRDefault="008674A8" w:rsidP="000A067B">
            <w:pPr>
              <w:widowControl w:val="0"/>
              <w:rPr>
                <w:sz w:val="22"/>
                <w:szCs w:val="22"/>
                <w:lang w:val="sr-Latn-ME" w:eastAsia="ja-JP"/>
              </w:rPr>
            </w:pPr>
            <w:r w:rsidRPr="00B8307D">
              <w:rPr>
                <w:sz w:val="22"/>
                <w:szCs w:val="22"/>
                <w:lang w:val="sr-Latn-ME" w:eastAsia="ja-JP"/>
              </w:rPr>
              <w:t xml:space="preserve">Vrlo često </w:t>
            </w:r>
          </w:p>
        </w:tc>
      </w:tr>
      <w:tr w:rsidR="008674A8" w:rsidRPr="00B8307D" w14:paraId="286AC8CB" w14:textId="77777777" w:rsidTr="000A067B">
        <w:trPr>
          <w:trHeight w:val="120"/>
        </w:trPr>
        <w:tc>
          <w:tcPr>
            <w:tcW w:w="1733" w:type="pct"/>
            <w:vMerge/>
            <w:tcBorders>
              <w:top w:val="single" w:sz="4" w:space="0" w:color="auto"/>
              <w:left w:val="single" w:sz="4" w:space="0" w:color="auto"/>
              <w:bottom w:val="single" w:sz="4" w:space="0" w:color="auto"/>
              <w:right w:val="single" w:sz="4" w:space="0" w:color="auto"/>
            </w:tcBorders>
            <w:vAlign w:val="center"/>
            <w:hideMark/>
          </w:tcPr>
          <w:p w14:paraId="70E0544D" w14:textId="77777777" w:rsidR="008674A8" w:rsidRPr="00B8307D" w:rsidRDefault="008674A8" w:rsidP="000A067B">
            <w:pPr>
              <w:widowControl w:val="0"/>
              <w:rPr>
                <w:sz w:val="22"/>
                <w:szCs w:val="22"/>
                <w:lang w:val="sr-Latn-ME" w:eastAsia="ja-JP"/>
              </w:rPr>
            </w:pPr>
          </w:p>
        </w:tc>
        <w:tc>
          <w:tcPr>
            <w:tcW w:w="1978" w:type="pct"/>
            <w:tcBorders>
              <w:top w:val="single" w:sz="4" w:space="0" w:color="auto"/>
              <w:left w:val="single" w:sz="4" w:space="0" w:color="auto"/>
              <w:bottom w:val="single" w:sz="4" w:space="0" w:color="auto"/>
              <w:right w:val="single" w:sz="4" w:space="0" w:color="auto"/>
            </w:tcBorders>
            <w:hideMark/>
          </w:tcPr>
          <w:p w14:paraId="690EF020" w14:textId="77777777" w:rsidR="008674A8" w:rsidRPr="00B8307D" w:rsidRDefault="008674A8" w:rsidP="000A067B">
            <w:pPr>
              <w:widowControl w:val="0"/>
              <w:rPr>
                <w:sz w:val="22"/>
                <w:szCs w:val="22"/>
                <w:lang w:val="sr-Latn-ME" w:eastAsia="ja-JP"/>
              </w:rPr>
            </w:pPr>
            <w:r w:rsidRPr="00B8307D">
              <w:rPr>
                <w:sz w:val="22"/>
                <w:szCs w:val="22"/>
                <w:lang w:val="sr-Latn-ME" w:eastAsia="ja-JP"/>
              </w:rPr>
              <w:t xml:space="preserve">Povraćanje </w:t>
            </w:r>
          </w:p>
        </w:tc>
        <w:tc>
          <w:tcPr>
            <w:tcW w:w="1289" w:type="pct"/>
            <w:tcBorders>
              <w:top w:val="single" w:sz="4" w:space="0" w:color="auto"/>
              <w:left w:val="single" w:sz="4" w:space="0" w:color="auto"/>
              <w:bottom w:val="single" w:sz="4" w:space="0" w:color="auto"/>
              <w:right w:val="single" w:sz="4" w:space="0" w:color="auto"/>
            </w:tcBorders>
            <w:hideMark/>
          </w:tcPr>
          <w:p w14:paraId="7D1EFA07" w14:textId="77777777" w:rsidR="008674A8" w:rsidRPr="00B8307D" w:rsidRDefault="008674A8" w:rsidP="000A067B">
            <w:pPr>
              <w:widowControl w:val="0"/>
              <w:rPr>
                <w:sz w:val="22"/>
                <w:szCs w:val="22"/>
                <w:lang w:val="sr-Latn-ME" w:eastAsia="ja-JP"/>
              </w:rPr>
            </w:pPr>
            <w:r w:rsidRPr="00B8307D">
              <w:rPr>
                <w:sz w:val="22"/>
                <w:szCs w:val="22"/>
                <w:lang w:val="sr-Latn-ME" w:eastAsia="ja-JP"/>
              </w:rPr>
              <w:t xml:space="preserve">Vrlo često </w:t>
            </w:r>
          </w:p>
        </w:tc>
      </w:tr>
      <w:tr w:rsidR="008674A8" w:rsidRPr="00B8307D" w14:paraId="2F1522EC" w14:textId="77777777" w:rsidTr="000A067B">
        <w:trPr>
          <w:trHeight w:val="120"/>
        </w:trPr>
        <w:tc>
          <w:tcPr>
            <w:tcW w:w="1733" w:type="pct"/>
            <w:vMerge/>
            <w:tcBorders>
              <w:top w:val="single" w:sz="4" w:space="0" w:color="auto"/>
              <w:left w:val="single" w:sz="4" w:space="0" w:color="auto"/>
              <w:bottom w:val="single" w:sz="4" w:space="0" w:color="auto"/>
              <w:right w:val="single" w:sz="4" w:space="0" w:color="auto"/>
            </w:tcBorders>
            <w:vAlign w:val="center"/>
            <w:hideMark/>
          </w:tcPr>
          <w:p w14:paraId="23A5DD1A" w14:textId="77777777" w:rsidR="008674A8" w:rsidRPr="00B8307D" w:rsidRDefault="008674A8" w:rsidP="000A067B">
            <w:pPr>
              <w:widowControl w:val="0"/>
              <w:rPr>
                <w:sz w:val="22"/>
                <w:szCs w:val="22"/>
                <w:lang w:val="sr-Latn-ME" w:eastAsia="ja-JP"/>
              </w:rPr>
            </w:pPr>
          </w:p>
        </w:tc>
        <w:tc>
          <w:tcPr>
            <w:tcW w:w="1978" w:type="pct"/>
            <w:tcBorders>
              <w:top w:val="single" w:sz="4" w:space="0" w:color="auto"/>
              <w:left w:val="single" w:sz="4" w:space="0" w:color="auto"/>
              <w:bottom w:val="single" w:sz="4" w:space="0" w:color="auto"/>
              <w:right w:val="single" w:sz="4" w:space="0" w:color="auto"/>
            </w:tcBorders>
            <w:hideMark/>
          </w:tcPr>
          <w:p w14:paraId="2D20019E" w14:textId="77777777" w:rsidR="008674A8" w:rsidRPr="00B8307D" w:rsidRDefault="008674A8" w:rsidP="000A067B">
            <w:pPr>
              <w:widowControl w:val="0"/>
              <w:rPr>
                <w:sz w:val="22"/>
                <w:szCs w:val="22"/>
                <w:lang w:val="sr-Latn-ME" w:eastAsia="ja-JP"/>
              </w:rPr>
            </w:pPr>
            <w:r w:rsidRPr="00B8307D">
              <w:rPr>
                <w:sz w:val="22"/>
                <w:szCs w:val="22"/>
                <w:lang w:val="sr-Latn-ME" w:eastAsia="ja-JP"/>
              </w:rPr>
              <w:t>Mučnina</w:t>
            </w:r>
          </w:p>
        </w:tc>
        <w:tc>
          <w:tcPr>
            <w:tcW w:w="1289" w:type="pct"/>
            <w:tcBorders>
              <w:top w:val="single" w:sz="4" w:space="0" w:color="auto"/>
              <w:left w:val="single" w:sz="4" w:space="0" w:color="auto"/>
              <w:bottom w:val="single" w:sz="4" w:space="0" w:color="auto"/>
              <w:right w:val="single" w:sz="4" w:space="0" w:color="auto"/>
            </w:tcBorders>
            <w:hideMark/>
          </w:tcPr>
          <w:p w14:paraId="3FEAD5B4" w14:textId="77777777" w:rsidR="008674A8" w:rsidRPr="00B8307D" w:rsidRDefault="008674A8" w:rsidP="000A067B">
            <w:pPr>
              <w:widowControl w:val="0"/>
              <w:rPr>
                <w:sz w:val="22"/>
                <w:szCs w:val="22"/>
                <w:lang w:val="sr-Latn-ME" w:eastAsia="ja-JP"/>
              </w:rPr>
            </w:pPr>
            <w:r w:rsidRPr="00B8307D">
              <w:rPr>
                <w:sz w:val="22"/>
                <w:szCs w:val="22"/>
                <w:lang w:val="sr-Latn-ME" w:eastAsia="ja-JP"/>
              </w:rPr>
              <w:t xml:space="preserve">Vrlo često </w:t>
            </w:r>
          </w:p>
        </w:tc>
      </w:tr>
      <w:tr w:rsidR="008674A8" w:rsidRPr="00B8307D" w14:paraId="4A6559A1" w14:textId="77777777" w:rsidTr="000A067B">
        <w:trPr>
          <w:trHeight w:val="386"/>
        </w:trPr>
        <w:tc>
          <w:tcPr>
            <w:tcW w:w="1733" w:type="pct"/>
            <w:vMerge/>
            <w:tcBorders>
              <w:top w:val="single" w:sz="4" w:space="0" w:color="auto"/>
              <w:left w:val="single" w:sz="4" w:space="0" w:color="auto"/>
              <w:bottom w:val="single" w:sz="4" w:space="0" w:color="auto"/>
              <w:right w:val="single" w:sz="4" w:space="0" w:color="auto"/>
            </w:tcBorders>
            <w:vAlign w:val="center"/>
            <w:hideMark/>
          </w:tcPr>
          <w:p w14:paraId="58E98AFA" w14:textId="77777777" w:rsidR="008674A8" w:rsidRPr="00B8307D" w:rsidRDefault="008674A8" w:rsidP="000A067B">
            <w:pPr>
              <w:widowControl w:val="0"/>
              <w:rPr>
                <w:sz w:val="22"/>
                <w:szCs w:val="22"/>
                <w:lang w:val="sr-Latn-ME" w:eastAsia="ja-JP"/>
              </w:rPr>
            </w:pPr>
          </w:p>
        </w:tc>
        <w:tc>
          <w:tcPr>
            <w:tcW w:w="1978" w:type="pct"/>
            <w:tcBorders>
              <w:top w:val="single" w:sz="4" w:space="0" w:color="auto"/>
              <w:left w:val="single" w:sz="4" w:space="0" w:color="auto"/>
              <w:bottom w:val="single" w:sz="4" w:space="0" w:color="auto"/>
              <w:right w:val="single" w:sz="4" w:space="0" w:color="auto"/>
            </w:tcBorders>
            <w:hideMark/>
          </w:tcPr>
          <w:p w14:paraId="12859175" w14:textId="77777777" w:rsidR="008674A8" w:rsidRPr="00B8307D" w:rsidRDefault="008674A8" w:rsidP="000A067B">
            <w:pPr>
              <w:widowControl w:val="0"/>
              <w:rPr>
                <w:sz w:val="22"/>
                <w:szCs w:val="22"/>
                <w:lang w:val="sr-Latn-ME" w:eastAsia="ja-JP"/>
              </w:rPr>
            </w:pPr>
            <w:r w:rsidRPr="00B8307D">
              <w:rPr>
                <w:sz w:val="22"/>
                <w:szCs w:val="22"/>
                <w:vertAlign w:val="superscript"/>
                <w:lang w:val="sr-Latn-ME" w:eastAsia="ja-JP"/>
              </w:rPr>
              <w:t>1</w:t>
            </w:r>
            <w:r w:rsidRPr="00B8307D">
              <w:rPr>
                <w:sz w:val="22"/>
                <w:szCs w:val="22"/>
                <w:lang w:val="sr-Latn-ME" w:eastAsia="ja-JP"/>
              </w:rPr>
              <w:t>Oticanje  usana</w:t>
            </w:r>
          </w:p>
        </w:tc>
        <w:tc>
          <w:tcPr>
            <w:tcW w:w="1289" w:type="pct"/>
            <w:tcBorders>
              <w:top w:val="single" w:sz="4" w:space="0" w:color="auto"/>
              <w:left w:val="single" w:sz="4" w:space="0" w:color="auto"/>
              <w:bottom w:val="single" w:sz="4" w:space="0" w:color="auto"/>
              <w:right w:val="single" w:sz="4" w:space="0" w:color="auto"/>
            </w:tcBorders>
            <w:hideMark/>
          </w:tcPr>
          <w:p w14:paraId="2929F9EA" w14:textId="77777777" w:rsidR="008674A8" w:rsidRPr="00B8307D" w:rsidRDefault="008674A8" w:rsidP="000A067B">
            <w:pPr>
              <w:widowControl w:val="0"/>
              <w:rPr>
                <w:sz w:val="22"/>
                <w:szCs w:val="22"/>
                <w:lang w:val="sr-Latn-ME" w:eastAsia="ja-JP"/>
              </w:rPr>
            </w:pPr>
            <w:r w:rsidRPr="00B8307D">
              <w:rPr>
                <w:sz w:val="22"/>
                <w:szCs w:val="22"/>
                <w:lang w:val="sr-Latn-ME" w:eastAsia="ja-JP"/>
              </w:rPr>
              <w:t>Vrlo često</w:t>
            </w:r>
          </w:p>
        </w:tc>
      </w:tr>
      <w:tr w:rsidR="008674A8" w:rsidRPr="00B8307D" w14:paraId="40220A3B" w14:textId="77777777" w:rsidTr="000A067B">
        <w:trPr>
          <w:trHeight w:val="394"/>
        </w:trPr>
        <w:tc>
          <w:tcPr>
            <w:tcW w:w="1733" w:type="pct"/>
            <w:vMerge/>
            <w:tcBorders>
              <w:top w:val="single" w:sz="4" w:space="0" w:color="auto"/>
              <w:left w:val="single" w:sz="4" w:space="0" w:color="auto"/>
              <w:bottom w:val="single" w:sz="4" w:space="0" w:color="auto"/>
              <w:right w:val="single" w:sz="4" w:space="0" w:color="auto"/>
            </w:tcBorders>
            <w:vAlign w:val="center"/>
            <w:hideMark/>
          </w:tcPr>
          <w:p w14:paraId="2D2C443D" w14:textId="77777777" w:rsidR="008674A8" w:rsidRPr="00B8307D" w:rsidRDefault="008674A8" w:rsidP="000A067B">
            <w:pPr>
              <w:widowControl w:val="0"/>
              <w:rPr>
                <w:sz w:val="22"/>
                <w:szCs w:val="22"/>
                <w:lang w:val="sr-Latn-ME" w:eastAsia="ja-JP"/>
              </w:rPr>
            </w:pPr>
          </w:p>
        </w:tc>
        <w:tc>
          <w:tcPr>
            <w:tcW w:w="1978" w:type="pct"/>
            <w:tcBorders>
              <w:top w:val="single" w:sz="4" w:space="0" w:color="auto"/>
              <w:left w:val="single" w:sz="4" w:space="0" w:color="auto"/>
              <w:bottom w:val="single" w:sz="4" w:space="0" w:color="auto"/>
              <w:right w:val="single" w:sz="4" w:space="0" w:color="auto"/>
            </w:tcBorders>
            <w:hideMark/>
          </w:tcPr>
          <w:p w14:paraId="1642AE55" w14:textId="77777777" w:rsidR="008674A8" w:rsidRPr="00B8307D" w:rsidRDefault="008674A8" w:rsidP="000A067B">
            <w:pPr>
              <w:widowControl w:val="0"/>
              <w:rPr>
                <w:sz w:val="22"/>
                <w:szCs w:val="22"/>
                <w:lang w:val="sr-Latn-ME" w:eastAsia="ja-JP"/>
              </w:rPr>
            </w:pPr>
            <w:r w:rsidRPr="00B8307D">
              <w:rPr>
                <w:sz w:val="22"/>
                <w:szCs w:val="22"/>
                <w:lang w:val="sr-Latn-ME" w:eastAsia="ja-JP"/>
              </w:rPr>
              <w:t>Abdominalni bol</w:t>
            </w:r>
          </w:p>
        </w:tc>
        <w:tc>
          <w:tcPr>
            <w:tcW w:w="1289" w:type="pct"/>
            <w:tcBorders>
              <w:top w:val="single" w:sz="4" w:space="0" w:color="auto"/>
              <w:left w:val="single" w:sz="4" w:space="0" w:color="auto"/>
              <w:bottom w:val="single" w:sz="4" w:space="0" w:color="auto"/>
              <w:right w:val="single" w:sz="4" w:space="0" w:color="auto"/>
            </w:tcBorders>
            <w:hideMark/>
          </w:tcPr>
          <w:p w14:paraId="1726A203" w14:textId="77777777" w:rsidR="008674A8" w:rsidRPr="00B8307D" w:rsidRDefault="008674A8" w:rsidP="000A067B">
            <w:pPr>
              <w:widowControl w:val="0"/>
              <w:rPr>
                <w:sz w:val="22"/>
                <w:szCs w:val="22"/>
                <w:lang w:val="sr-Latn-ME" w:eastAsia="ja-JP"/>
              </w:rPr>
            </w:pPr>
            <w:r w:rsidRPr="00B8307D">
              <w:rPr>
                <w:sz w:val="22"/>
                <w:szCs w:val="22"/>
                <w:lang w:val="sr-Latn-ME" w:eastAsia="ja-JP"/>
              </w:rPr>
              <w:t xml:space="preserve">Vrlo često </w:t>
            </w:r>
          </w:p>
        </w:tc>
      </w:tr>
      <w:tr w:rsidR="008674A8" w:rsidRPr="00B8307D" w14:paraId="7403626A" w14:textId="77777777" w:rsidTr="000A067B">
        <w:trPr>
          <w:trHeight w:val="252"/>
        </w:trPr>
        <w:tc>
          <w:tcPr>
            <w:tcW w:w="1733" w:type="pct"/>
            <w:vMerge/>
            <w:tcBorders>
              <w:top w:val="single" w:sz="4" w:space="0" w:color="auto"/>
              <w:left w:val="single" w:sz="4" w:space="0" w:color="auto"/>
              <w:bottom w:val="single" w:sz="4" w:space="0" w:color="auto"/>
              <w:right w:val="single" w:sz="4" w:space="0" w:color="auto"/>
            </w:tcBorders>
            <w:vAlign w:val="center"/>
            <w:hideMark/>
          </w:tcPr>
          <w:p w14:paraId="74EF5BA9" w14:textId="77777777" w:rsidR="008674A8" w:rsidRPr="00B8307D" w:rsidRDefault="008674A8" w:rsidP="000A067B">
            <w:pPr>
              <w:widowControl w:val="0"/>
              <w:rPr>
                <w:sz w:val="22"/>
                <w:szCs w:val="22"/>
                <w:lang w:val="sr-Latn-ME" w:eastAsia="ja-JP"/>
              </w:rPr>
            </w:pPr>
          </w:p>
        </w:tc>
        <w:tc>
          <w:tcPr>
            <w:tcW w:w="1978" w:type="pct"/>
            <w:tcBorders>
              <w:top w:val="single" w:sz="4" w:space="0" w:color="auto"/>
              <w:left w:val="single" w:sz="4" w:space="0" w:color="auto"/>
              <w:bottom w:val="single" w:sz="4" w:space="0" w:color="auto"/>
              <w:right w:val="single" w:sz="4" w:space="0" w:color="auto"/>
            </w:tcBorders>
          </w:tcPr>
          <w:p w14:paraId="1D9C679F" w14:textId="77777777" w:rsidR="008674A8" w:rsidRPr="00B8307D" w:rsidRDefault="008674A8" w:rsidP="000A067B">
            <w:pPr>
              <w:widowControl w:val="0"/>
              <w:rPr>
                <w:sz w:val="22"/>
                <w:szCs w:val="22"/>
                <w:lang w:val="sr-Latn-ME" w:eastAsia="ja-JP"/>
              </w:rPr>
            </w:pPr>
            <w:r w:rsidRPr="00B8307D">
              <w:rPr>
                <w:sz w:val="22"/>
                <w:szCs w:val="22"/>
                <w:lang w:val="sr-Latn-ME" w:eastAsia="ja-JP"/>
              </w:rPr>
              <w:t xml:space="preserve">Konstipacija </w:t>
            </w:r>
          </w:p>
        </w:tc>
        <w:tc>
          <w:tcPr>
            <w:tcW w:w="1289" w:type="pct"/>
            <w:tcBorders>
              <w:top w:val="single" w:sz="4" w:space="0" w:color="auto"/>
              <w:left w:val="single" w:sz="4" w:space="0" w:color="auto"/>
              <w:bottom w:val="single" w:sz="4" w:space="0" w:color="auto"/>
              <w:right w:val="single" w:sz="4" w:space="0" w:color="auto"/>
            </w:tcBorders>
          </w:tcPr>
          <w:p w14:paraId="143FF0BE" w14:textId="77777777" w:rsidR="008674A8" w:rsidRPr="00B8307D" w:rsidRDefault="008674A8" w:rsidP="000A067B">
            <w:pPr>
              <w:widowControl w:val="0"/>
              <w:rPr>
                <w:sz w:val="22"/>
                <w:szCs w:val="22"/>
                <w:lang w:val="sr-Latn-ME" w:eastAsia="ja-JP"/>
              </w:rPr>
            </w:pPr>
            <w:r w:rsidRPr="00B8307D">
              <w:rPr>
                <w:sz w:val="22"/>
                <w:szCs w:val="22"/>
                <w:lang w:val="sr-Latn-ME" w:eastAsia="ja-JP"/>
              </w:rPr>
              <w:t>Vrlo često</w:t>
            </w:r>
          </w:p>
        </w:tc>
      </w:tr>
      <w:tr w:rsidR="008674A8" w:rsidRPr="00B8307D" w14:paraId="7B33333C" w14:textId="77777777" w:rsidTr="000A067B">
        <w:trPr>
          <w:trHeight w:val="252"/>
        </w:trPr>
        <w:tc>
          <w:tcPr>
            <w:tcW w:w="1733" w:type="pct"/>
            <w:vMerge/>
            <w:tcBorders>
              <w:top w:val="single" w:sz="4" w:space="0" w:color="auto"/>
              <w:left w:val="single" w:sz="4" w:space="0" w:color="auto"/>
              <w:bottom w:val="single" w:sz="4" w:space="0" w:color="auto"/>
              <w:right w:val="single" w:sz="4" w:space="0" w:color="auto"/>
            </w:tcBorders>
            <w:vAlign w:val="center"/>
          </w:tcPr>
          <w:p w14:paraId="40E381F5" w14:textId="77777777" w:rsidR="008674A8" w:rsidRPr="00B8307D" w:rsidRDefault="008674A8" w:rsidP="000A067B">
            <w:pPr>
              <w:widowControl w:val="0"/>
              <w:rPr>
                <w:sz w:val="22"/>
                <w:szCs w:val="22"/>
                <w:lang w:val="sr-Latn-ME" w:eastAsia="ja-JP"/>
              </w:rPr>
            </w:pPr>
          </w:p>
        </w:tc>
        <w:tc>
          <w:tcPr>
            <w:tcW w:w="1978" w:type="pct"/>
            <w:tcBorders>
              <w:top w:val="single" w:sz="4" w:space="0" w:color="auto"/>
              <w:left w:val="single" w:sz="4" w:space="0" w:color="auto"/>
              <w:bottom w:val="single" w:sz="4" w:space="0" w:color="auto"/>
              <w:right w:val="single" w:sz="4" w:space="0" w:color="auto"/>
            </w:tcBorders>
          </w:tcPr>
          <w:p w14:paraId="72FD5ACF" w14:textId="77777777" w:rsidR="008674A8" w:rsidRPr="00B8307D" w:rsidRDefault="008674A8" w:rsidP="000A067B">
            <w:pPr>
              <w:widowControl w:val="0"/>
              <w:rPr>
                <w:sz w:val="22"/>
                <w:szCs w:val="22"/>
                <w:lang w:val="sr-Latn-ME" w:eastAsia="ja-JP"/>
              </w:rPr>
            </w:pPr>
            <w:r w:rsidRPr="00B8307D">
              <w:rPr>
                <w:sz w:val="22"/>
                <w:szCs w:val="22"/>
                <w:lang w:val="sr-Latn-ME" w:eastAsia="ja-JP"/>
              </w:rPr>
              <w:t>Stomatitis</w:t>
            </w:r>
          </w:p>
        </w:tc>
        <w:tc>
          <w:tcPr>
            <w:tcW w:w="1289" w:type="pct"/>
            <w:tcBorders>
              <w:top w:val="single" w:sz="4" w:space="0" w:color="auto"/>
              <w:left w:val="single" w:sz="4" w:space="0" w:color="auto"/>
              <w:bottom w:val="single" w:sz="4" w:space="0" w:color="auto"/>
              <w:right w:val="single" w:sz="4" w:space="0" w:color="auto"/>
            </w:tcBorders>
          </w:tcPr>
          <w:p w14:paraId="7C91A9FC" w14:textId="77777777" w:rsidR="008674A8" w:rsidRPr="00B8307D" w:rsidRDefault="008674A8" w:rsidP="000A067B">
            <w:pPr>
              <w:widowControl w:val="0"/>
              <w:rPr>
                <w:sz w:val="22"/>
                <w:szCs w:val="22"/>
                <w:lang w:val="sr-Latn-ME" w:eastAsia="ja-JP"/>
              </w:rPr>
            </w:pPr>
            <w:r w:rsidRPr="00B8307D">
              <w:rPr>
                <w:sz w:val="22"/>
                <w:szCs w:val="22"/>
                <w:lang w:val="sr-Latn-ME" w:eastAsia="ja-JP"/>
              </w:rPr>
              <w:t>Vrlo često</w:t>
            </w:r>
          </w:p>
        </w:tc>
      </w:tr>
      <w:tr w:rsidR="008674A8" w:rsidRPr="00B8307D" w14:paraId="54093512" w14:textId="77777777" w:rsidTr="000A067B">
        <w:trPr>
          <w:trHeight w:val="128"/>
        </w:trPr>
        <w:tc>
          <w:tcPr>
            <w:tcW w:w="1733" w:type="pct"/>
            <w:vMerge/>
            <w:tcBorders>
              <w:top w:val="single" w:sz="4" w:space="0" w:color="auto"/>
              <w:left w:val="single" w:sz="4" w:space="0" w:color="auto"/>
              <w:bottom w:val="single" w:sz="4" w:space="0" w:color="auto"/>
              <w:right w:val="single" w:sz="4" w:space="0" w:color="auto"/>
            </w:tcBorders>
            <w:vAlign w:val="center"/>
            <w:hideMark/>
          </w:tcPr>
          <w:p w14:paraId="76418D63" w14:textId="77777777" w:rsidR="008674A8" w:rsidRPr="00B8307D" w:rsidRDefault="008674A8" w:rsidP="000A067B">
            <w:pPr>
              <w:widowControl w:val="0"/>
              <w:rPr>
                <w:sz w:val="22"/>
                <w:szCs w:val="22"/>
                <w:lang w:val="sr-Latn-ME" w:eastAsia="ja-JP"/>
              </w:rPr>
            </w:pPr>
          </w:p>
        </w:tc>
        <w:tc>
          <w:tcPr>
            <w:tcW w:w="1978" w:type="pct"/>
            <w:tcBorders>
              <w:top w:val="single" w:sz="4" w:space="0" w:color="auto"/>
              <w:left w:val="single" w:sz="4" w:space="0" w:color="auto"/>
              <w:bottom w:val="single" w:sz="4" w:space="0" w:color="auto"/>
              <w:right w:val="single" w:sz="4" w:space="0" w:color="auto"/>
            </w:tcBorders>
            <w:hideMark/>
          </w:tcPr>
          <w:p w14:paraId="4BDA1443" w14:textId="77777777" w:rsidR="008674A8" w:rsidRPr="00B8307D" w:rsidRDefault="008674A8" w:rsidP="000A067B">
            <w:pPr>
              <w:widowControl w:val="0"/>
              <w:rPr>
                <w:sz w:val="22"/>
                <w:szCs w:val="22"/>
                <w:lang w:val="sr-Latn-ME" w:eastAsia="ja-JP"/>
              </w:rPr>
            </w:pPr>
            <w:r w:rsidRPr="00B8307D">
              <w:rPr>
                <w:sz w:val="22"/>
                <w:szCs w:val="22"/>
                <w:lang w:val="sr-Latn-ME" w:eastAsia="ja-JP"/>
              </w:rPr>
              <w:t>Dispepsija</w:t>
            </w:r>
          </w:p>
        </w:tc>
        <w:tc>
          <w:tcPr>
            <w:tcW w:w="1289" w:type="pct"/>
            <w:tcBorders>
              <w:top w:val="single" w:sz="4" w:space="0" w:color="auto"/>
              <w:left w:val="single" w:sz="4" w:space="0" w:color="auto"/>
              <w:bottom w:val="single" w:sz="4" w:space="0" w:color="auto"/>
              <w:right w:val="single" w:sz="4" w:space="0" w:color="auto"/>
            </w:tcBorders>
            <w:hideMark/>
          </w:tcPr>
          <w:p w14:paraId="08482D94" w14:textId="77777777" w:rsidR="008674A8" w:rsidRPr="00B8307D" w:rsidRDefault="008674A8" w:rsidP="000A067B">
            <w:pPr>
              <w:widowControl w:val="0"/>
              <w:rPr>
                <w:sz w:val="22"/>
                <w:szCs w:val="22"/>
                <w:lang w:val="sr-Latn-ME" w:eastAsia="ja-JP"/>
              </w:rPr>
            </w:pPr>
            <w:r w:rsidRPr="00B8307D">
              <w:rPr>
                <w:sz w:val="22"/>
                <w:szCs w:val="22"/>
                <w:lang w:val="sr-Latn-ME" w:eastAsia="ja-JP"/>
              </w:rPr>
              <w:t>Vrlo često</w:t>
            </w:r>
          </w:p>
        </w:tc>
      </w:tr>
      <w:tr w:rsidR="008674A8" w:rsidRPr="00B8307D" w14:paraId="5FB1CF38" w14:textId="77777777" w:rsidTr="000A067B">
        <w:trPr>
          <w:trHeight w:val="128"/>
        </w:trPr>
        <w:tc>
          <w:tcPr>
            <w:tcW w:w="1733" w:type="pct"/>
            <w:vMerge/>
            <w:tcBorders>
              <w:top w:val="single" w:sz="4" w:space="0" w:color="auto"/>
              <w:left w:val="single" w:sz="4" w:space="0" w:color="auto"/>
              <w:bottom w:val="single" w:sz="4" w:space="0" w:color="auto"/>
              <w:right w:val="single" w:sz="4" w:space="0" w:color="auto"/>
            </w:tcBorders>
            <w:vAlign w:val="center"/>
            <w:hideMark/>
          </w:tcPr>
          <w:p w14:paraId="0045D71F" w14:textId="77777777" w:rsidR="008674A8" w:rsidRPr="00B8307D" w:rsidRDefault="008674A8" w:rsidP="000A067B">
            <w:pPr>
              <w:widowControl w:val="0"/>
              <w:rPr>
                <w:sz w:val="22"/>
                <w:szCs w:val="22"/>
                <w:lang w:val="sr-Latn-ME" w:eastAsia="ja-JP"/>
              </w:rPr>
            </w:pPr>
          </w:p>
        </w:tc>
        <w:tc>
          <w:tcPr>
            <w:tcW w:w="1978" w:type="pct"/>
            <w:tcBorders>
              <w:top w:val="single" w:sz="4" w:space="0" w:color="auto"/>
              <w:left w:val="single" w:sz="4" w:space="0" w:color="auto"/>
              <w:bottom w:val="single" w:sz="4" w:space="0" w:color="auto"/>
              <w:right w:val="single" w:sz="4" w:space="0" w:color="auto"/>
            </w:tcBorders>
            <w:hideMark/>
          </w:tcPr>
          <w:p w14:paraId="125A831A" w14:textId="77777777" w:rsidR="008674A8" w:rsidRPr="00B8307D" w:rsidRDefault="008674A8" w:rsidP="000A067B">
            <w:pPr>
              <w:widowControl w:val="0"/>
              <w:rPr>
                <w:sz w:val="22"/>
                <w:szCs w:val="22"/>
                <w:lang w:val="sr-Latn-ME" w:eastAsia="ja-JP"/>
              </w:rPr>
            </w:pPr>
            <w:r w:rsidRPr="00B8307D">
              <w:rPr>
                <w:sz w:val="22"/>
                <w:szCs w:val="22"/>
                <w:lang w:val="sr-Latn-ME" w:eastAsia="ja-JP"/>
              </w:rPr>
              <w:t>Hemoroidi</w:t>
            </w:r>
          </w:p>
        </w:tc>
        <w:tc>
          <w:tcPr>
            <w:tcW w:w="1289" w:type="pct"/>
            <w:tcBorders>
              <w:top w:val="single" w:sz="4" w:space="0" w:color="auto"/>
              <w:left w:val="single" w:sz="4" w:space="0" w:color="auto"/>
              <w:bottom w:val="single" w:sz="4" w:space="0" w:color="auto"/>
              <w:right w:val="single" w:sz="4" w:space="0" w:color="auto"/>
            </w:tcBorders>
            <w:hideMark/>
          </w:tcPr>
          <w:p w14:paraId="356430D3" w14:textId="77777777" w:rsidR="008674A8" w:rsidRPr="00B8307D" w:rsidRDefault="008674A8" w:rsidP="000A067B">
            <w:pPr>
              <w:widowControl w:val="0"/>
              <w:rPr>
                <w:sz w:val="22"/>
                <w:szCs w:val="22"/>
                <w:lang w:val="sr-Latn-ME" w:eastAsia="ja-JP"/>
              </w:rPr>
            </w:pPr>
            <w:r w:rsidRPr="00B8307D">
              <w:rPr>
                <w:sz w:val="22"/>
                <w:szCs w:val="22"/>
                <w:lang w:val="sr-Latn-ME" w:eastAsia="ja-JP"/>
              </w:rPr>
              <w:t>Često</w:t>
            </w:r>
          </w:p>
        </w:tc>
      </w:tr>
      <w:tr w:rsidR="008674A8" w:rsidRPr="00B8307D" w14:paraId="194D2A6D" w14:textId="77777777" w:rsidTr="000A067B">
        <w:trPr>
          <w:trHeight w:val="128"/>
        </w:trPr>
        <w:tc>
          <w:tcPr>
            <w:tcW w:w="1733" w:type="pct"/>
            <w:vMerge/>
            <w:tcBorders>
              <w:top w:val="single" w:sz="4" w:space="0" w:color="auto"/>
              <w:left w:val="single" w:sz="4" w:space="0" w:color="auto"/>
              <w:bottom w:val="single" w:sz="4" w:space="0" w:color="auto"/>
              <w:right w:val="single" w:sz="4" w:space="0" w:color="auto"/>
            </w:tcBorders>
            <w:vAlign w:val="center"/>
            <w:hideMark/>
          </w:tcPr>
          <w:p w14:paraId="43678F14" w14:textId="77777777" w:rsidR="008674A8" w:rsidRPr="00B8307D" w:rsidRDefault="008674A8" w:rsidP="000A067B">
            <w:pPr>
              <w:widowControl w:val="0"/>
              <w:rPr>
                <w:sz w:val="22"/>
                <w:szCs w:val="22"/>
                <w:lang w:val="sr-Latn-ME" w:eastAsia="ja-JP"/>
              </w:rPr>
            </w:pPr>
          </w:p>
        </w:tc>
        <w:tc>
          <w:tcPr>
            <w:tcW w:w="1978" w:type="pct"/>
            <w:tcBorders>
              <w:top w:val="single" w:sz="4" w:space="0" w:color="auto"/>
              <w:left w:val="single" w:sz="4" w:space="0" w:color="auto"/>
              <w:bottom w:val="single" w:sz="4" w:space="0" w:color="auto"/>
              <w:right w:val="single" w:sz="4" w:space="0" w:color="auto"/>
            </w:tcBorders>
            <w:hideMark/>
          </w:tcPr>
          <w:p w14:paraId="76E8D624" w14:textId="660A656E" w:rsidR="008674A8" w:rsidRPr="00B8307D" w:rsidRDefault="008674A8" w:rsidP="000A067B">
            <w:pPr>
              <w:widowControl w:val="0"/>
              <w:rPr>
                <w:sz w:val="22"/>
                <w:szCs w:val="22"/>
                <w:lang w:val="sr-Latn-ME" w:eastAsia="ja-JP"/>
              </w:rPr>
            </w:pPr>
            <w:r w:rsidRPr="00B8307D">
              <w:rPr>
                <w:sz w:val="22"/>
                <w:szCs w:val="22"/>
                <w:lang w:val="sr-Latn-ME" w:eastAsia="ja-JP"/>
              </w:rPr>
              <w:t>Suv</w:t>
            </w:r>
            <w:r w:rsidR="000A0860" w:rsidRPr="00B8307D">
              <w:rPr>
                <w:sz w:val="22"/>
                <w:szCs w:val="22"/>
                <w:lang w:val="sr-Latn-ME" w:eastAsia="ja-JP"/>
              </w:rPr>
              <w:t>a</w:t>
            </w:r>
            <w:r w:rsidRPr="00B8307D">
              <w:rPr>
                <w:sz w:val="22"/>
                <w:szCs w:val="22"/>
                <w:lang w:val="sr-Latn-ME" w:eastAsia="ja-JP"/>
              </w:rPr>
              <w:t xml:space="preserve"> usta</w:t>
            </w:r>
          </w:p>
        </w:tc>
        <w:tc>
          <w:tcPr>
            <w:tcW w:w="1289" w:type="pct"/>
            <w:tcBorders>
              <w:top w:val="single" w:sz="4" w:space="0" w:color="auto"/>
              <w:left w:val="single" w:sz="4" w:space="0" w:color="auto"/>
              <w:bottom w:val="single" w:sz="4" w:space="0" w:color="auto"/>
              <w:right w:val="single" w:sz="4" w:space="0" w:color="auto"/>
            </w:tcBorders>
            <w:hideMark/>
          </w:tcPr>
          <w:p w14:paraId="5D6C2826" w14:textId="77777777" w:rsidR="008674A8" w:rsidRPr="00B8307D" w:rsidRDefault="008674A8" w:rsidP="000A067B">
            <w:pPr>
              <w:widowControl w:val="0"/>
              <w:rPr>
                <w:sz w:val="22"/>
                <w:szCs w:val="22"/>
                <w:lang w:val="sr-Latn-ME" w:eastAsia="ja-JP"/>
              </w:rPr>
            </w:pPr>
            <w:r w:rsidRPr="00B8307D">
              <w:rPr>
                <w:sz w:val="22"/>
                <w:szCs w:val="22"/>
                <w:lang w:val="sr-Latn-ME" w:eastAsia="ja-JP"/>
              </w:rPr>
              <w:t>Često</w:t>
            </w:r>
          </w:p>
        </w:tc>
      </w:tr>
      <w:tr w:rsidR="008674A8" w:rsidRPr="00B8307D" w14:paraId="69487B94" w14:textId="77777777" w:rsidTr="000A067B">
        <w:trPr>
          <w:trHeight w:val="290"/>
        </w:trPr>
        <w:tc>
          <w:tcPr>
            <w:tcW w:w="1733" w:type="pct"/>
            <w:vMerge w:val="restart"/>
            <w:tcBorders>
              <w:top w:val="single" w:sz="4" w:space="0" w:color="auto"/>
              <w:left w:val="single" w:sz="4" w:space="0" w:color="auto"/>
              <w:bottom w:val="single" w:sz="4" w:space="0" w:color="auto"/>
              <w:right w:val="single" w:sz="4" w:space="0" w:color="auto"/>
            </w:tcBorders>
            <w:hideMark/>
          </w:tcPr>
          <w:p w14:paraId="40614B4C" w14:textId="77777777" w:rsidR="008674A8" w:rsidRPr="00B8307D" w:rsidRDefault="008674A8" w:rsidP="000A067B">
            <w:pPr>
              <w:widowControl w:val="0"/>
              <w:rPr>
                <w:sz w:val="22"/>
                <w:szCs w:val="22"/>
                <w:lang w:val="sr-Latn-ME" w:eastAsia="ja-JP"/>
              </w:rPr>
            </w:pPr>
            <w:r w:rsidRPr="00B8307D">
              <w:rPr>
                <w:sz w:val="22"/>
                <w:szCs w:val="22"/>
                <w:lang w:val="sr-Latn-ME" w:eastAsia="ja-JP"/>
              </w:rPr>
              <w:t>Poremećaji jetre i žuči</w:t>
            </w:r>
          </w:p>
        </w:tc>
        <w:tc>
          <w:tcPr>
            <w:tcW w:w="1978" w:type="pct"/>
            <w:tcBorders>
              <w:top w:val="single" w:sz="4" w:space="0" w:color="auto"/>
              <w:left w:val="single" w:sz="4" w:space="0" w:color="auto"/>
              <w:bottom w:val="single" w:sz="4" w:space="0" w:color="auto"/>
              <w:right w:val="single" w:sz="4" w:space="0" w:color="auto"/>
            </w:tcBorders>
            <w:hideMark/>
          </w:tcPr>
          <w:p w14:paraId="6F92892F" w14:textId="77777777" w:rsidR="008674A8" w:rsidRPr="00B8307D" w:rsidRDefault="008674A8" w:rsidP="000A067B">
            <w:pPr>
              <w:widowControl w:val="0"/>
              <w:rPr>
                <w:sz w:val="22"/>
                <w:szCs w:val="22"/>
                <w:lang w:val="sr-Latn-ME" w:eastAsia="ja-JP"/>
              </w:rPr>
            </w:pPr>
            <w:r w:rsidRPr="00B8307D">
              <w:rPr>
                <w:sz w:val="22"/>
                <w:szCs w:val="22"/>
                <w:lang w:val="sr-Latn-ME" w:eastAsia="ja-JP"/>
              </w:rPr>
              <w:t>Hepatocelularne povrede</w:t>
            </w:r>
          </w:p>
        </w:tc>
        <w:tc>
          <w:tcPr>
            <w:tcW w:w="1289" w:type="pct"/>
            <w:tcBorders>
              <w:top w:val="single" w:sz="4" w:space="0" w:color="auto"/>
              <w:left w:val="single" w:sz="4" w:space="0" w:color="auto"/>
              <w:bottom w:val="single" w:sz="4" w:space="0" w:color="auto"/>
              <w:right w:val="single" w:sz="4" w:space="0" w:color="auto"/>
            </w:tcBorders>
            <w:hideMark/>
          </w:tcPr>
          <w:p w14:paraId="63A5C376" w14:textId="77777777" w:rsidR="008674A8" w:rsidRPr="00B8307D" w:rsidRDefault="008674A8" w:rsidP="000A067B">
            <w:pPr>
              <w:widowControl w:val="0"/>
              <w:rPr>
                <w:sz w:val="22"/>
                <w:szCs w:val="22"/>
                <w:lang w:val="sr-Latn-ME" w:eastAsia="ja-JP"/>
              </w:rPr>
            </w:pPr>
            <w:r w:rsidRPr="00B8307D">
              <w:rPr>
                <w:sz w:val="22"/>
                <w:szCs w:val="22"/>
                <w:lang w:val="sr-Latn-ME" w:eastAsia="ja-JP"/>
              </w:rPr>
              <w:t xml:space="preserve">Često </w:t>
            </w:r>
          </w:p>
        </w:tc>
      </w:tr>
      <w:tr w:rsidR="008674A8" w:rsidRPr="00B8307D" w14:paraId="1DC539BC" w14:textId="77777777" w:rsidTr="000A067B">
        <w:trPr>
          <w:trHeight w:val="290"/>
        </w:trPr>
        <w:tc>
          <w:tcPr>
            <w:tcW w:w="1733" w:type="pct"/>
            <w:vMerge/>
            <w:tcBorders>
              <w:top w:val="single" w:sz="4" w:space="0" w:color="auto"/>
              <w:left w:val="single" w:sz="4" w:space="0" w:color="auto"/>
              <w:bottom w:val="single" w:sz="4" w:space="0" w:color="auto"/>
              <w:right w:val="single" w:sz="4" w:space="0" w:color="auto"/>
            </w:tcBorders>
            <w:vAlign w:val="center"/>
            <w:hideMark/>
          </w:tcPr>
          <w:p w14:paraId="1CB9C452" w14:textId="77777777" w:rsidR="008674A8" w:rsidRPr="00B8307D" w:rsidRDefault="008674A8" w:rsidP="000A067B">
            <w:pPr>
              <w:widowControl w:val="0"/>
              <w:rPr>
                <w:sz w:val="22"/>
                <w:szCs w:val="22"/>
                <w:lang w:val="sr-Latn-ME" w:eastAsia="ja-JP"/>
              </w:rPr>
            </w:pPr>
          </w:p>
        </w:tc>
        <w:tc>
          <w:tcPr>
            <w:tcW w:w="1978" w:type="pct"/>
            <w:tcBorders>
              <w:top w:val="single" w:sz="4" w:space="0" w:color="auto"/>
              <w:left w:val="single" w:sz="4" w:space="0" w:color="auto"/>
              <w:bottom w:val="single" w:sz="4" w:space="0" w:color="auto"/>
              <w:right w:val="single" w:sz="4" w:space="0" w:color="auto"/>
            </w:tcBorders>
            <w:hideMark/>
          </w:tcPr>
          <w:p w14:paraId="1DAD3251" w14:textId="77777777" w:rsidR="008674A8" w:rsidRPr="00B8307D" w:rsidRDefault="008674A8" w:rsidP="000A067B">
            <w:pPr>
              <w:widowControl w:val="0"/>
              <w:rPr>
                <w:sz w:val="22"/>
                <w:szCs w:val="22"/>
                <w:lang w:val="sr-Latn-ME" w:eastAsia="ja-JP"/>
              </w:rPr>
            </w:pPr>
            <w:r w:rsidRPr="00B8307D">
              <w:rPr>
                <w:sz w:val="22"/>
                <w:szCs w:val="22"/>
                <w:lang w:val="sr-Latn-ME" w:eastAsia="ja-JP"/>
              </w:rPr>
              <w:t>Hepatitis</w:t>
            </w:r>
          </w:p>
        </w:tc>
        <w:tc>
          <w:tcPr>
            <w:tcW w:w="1289" w:type="pct"/>
            <w:tcBorders>
              <w:top w:val="single" w:sz="4" w:space="0" w:color="auto"/>
              <w:left w:val="single" w:sz="4" w:space="0" w:color="auto"/>
              <w:bottom w:val="single" w:sz="4" w:space="0" w:color="auto"/>
              <w:right w:val="single" w:sz="4" w:space="0" w:color="auto"/>
            </w:tcBorders>
            <w:hideMark/>
          </w:tcPr>
          <w:p w14:paraId="18700D91" w14:textId="77777777" w:rsidR="008674A8" w:rsidRPr="00B8307D" w:rsidRDefault="008674A8" w:rsidP="000A067B">
            <w:pPr>
              <w:widowControl w:val="0"/>
              <w:rPr>
                <w:sz w:val="22"/>
                <w:szCs w:val="22"/>
                <w:lang w:val="sr-Latn-ME" w:eastAsia="ja-JP"/>
              </w:rPr>
            </w:pPr>
            <w:r w:rsidRPr="00B8307D">
              <w:rPr>
                <w:sz w:val="22"/>
                <w:szCs w:val="22"/>
                <w:lang w:val="sr-Latn-ME" w:eastAsia="ja-JP"/>
              </w:rPr>
              <w:t>Često</w:t>
            </w:r>
          </w:p>
        </w:tc>
      </w:tr>
      <w:tr w:rsidR="008674A8" w:rsidRPr="00B8307D" w14:paraId="4D3A9A0C" w14:textId="77777777" w:rsidTr="000A067B">
        <w:trPr>
          <w:trHeight w:val="258"/>
        </w:trPr>
        <w:tc>
          <w:tcPr>
            <w:tcW w:w="1733" w:type="pct"/>
            <w:vMerge/>
            <w:tcBorders>
              <w:top w:val="single" w:sz="4" w:space="0" w:color="auto"/>
              <w:left w:val="single" w:sz="4" w:space="0" w:color="auto"/>
              <w:bottom w:val="single" w:sz="4" w:space="0" w:color="auto"/>
              <w:right w:val="single" w:sz="4" w:space="0" w:color="auto"/>
            </w:tcBorders>
            <w:vAlign w:val="center"/>
            <w:hideMark/>
          </w:tcPr>
          <w:p w14:paraId="3244B4C5" w14:textId="77777777" w:rsidR="008674A8" w:rsidRPr="00B8307D" w:rsidRDefault="008674A8" w:rsidP="000A067B">
            <w:pPr>
              <w:widowControl w:val="0"/>
              <w:rPr>
                <w:sz w:val="22"/>
                <w:szCs w:val="22"/>
                <w:lang w:val="sr-Latn-ME" w:eastAsia="ja-JP"/>
              </w:rPr>
            </w:pPr>
          </w:p>
        </w:tc>
        <w:tc>
          <w:tcPr>
            <w:tcW w:w="1978" w:type="pct"/>
            <w:tcBorders>
              <w:top w:val="single" w:sz="4" w:space="0" w:color="auto"/>
              <w:left w:val="single" w:sz="4" w:space="0" w:color="auto"/>
              <w:bottom w:val="single" w:sz="4" w:space="0" w:color="auto"/>
              <w:right w:val="single" w:sz="4" w:space="0" w:color="auto"/>
            </w:tcBorders>
            <w:hideMark/>
          </w:tcPr>
          <w:p w14:paraId="10D7AA62" w14:textId="77777777" w:rsidR="008674A8" w:rsidRPr="00B8307D" w:rsidRDefault="008674A8" w:rsidP="000A067B">
            <w:pPr>
              <w:widowControl w:val="0"/>
              <w:rPr>
                <w:sz w:val="22"/>
                <w:szCs w:val="22"/>
                <w:lang w:val="sr-Latn-ME" w:eastAsia="ja-JP"/>
              </w:rPr>
            </w:pPr>
            <w:r w:rsidRPr="00B8307D">
              <w:rPr>
                <w:sz w:val="22"/>
                <w:szCs w:val="22"/>
                <w:lang w:val="sr-Latn-ME" w:eastAsia="ja-JP"/>
              </w:rPr>
              <w:t>Osjetljivost jetre</w:t>
            </w:r>
          </w:p>
        </w:tc>
        <w:tc>
          <w:tcPr>
            <w:tcW w:w="1289" w:type="pct"/>
            <w:tcBorders>
              <w:top w:val="single" w:sz="4" w:space="0" w:color="auto"/>
              <w:left w:val="single" w:sz="4" w:space="0" w:color="auto"/>
              <w:bottom w:val="single" w:sz="4" w:space="0" w:color="auto"/>
              <w:right w:val="single" w:sz="4" w:space="0" w:color="auto"/>
            </w:tcBorders>
            <w:hideMark/>
          </w:tcPr>
          <w:p w14:paraId="3CB029A6" w14:textId="77777777" w:rsidR="008674A8" w:rsidRPr="00B8307D" w:rsidRDefault="008674A8" w:rsidP="000A067B">
            <w:pPr>
              <w:widowControl w:val="0"/>
              <w:rPr>
                <w:sz w:val="22"/>
                <w:szCs w:val="22"/>
                <w:lang w:val="sr-Latn-ME" w:eastAsia="ja-JP"/>
              </w:rPr>
            </w:pPr>
            <w:r w:rsidRPr="00B8307D">
              <w:rPr>
                <w:sz w:val="22"/>
                <w:szCs w:val="22"/>
                <w:lang w:val="sr-Latn-ME" w:eastAsia="ja-JP"/>
              </w:rPr>
              <w:t>Često</w:t>
            </w:r>
          </w:p>
        </w:tc>
      </w:tr>
      <w:tr w:rsidR="008674A8" w:rsidRPr="00B8307D" w14:paraId="6F9EE9D0" w14:textId="77777777" w:rsidTr="000A067B">
        <w:trPr>
          <w:trHeight w:val="120"/>
        </w:trPr>
        <w:tc>
          <w:tcPr>
            <w:tcW w:w="1733" w:type="pct"/>
            <w:vMerge/>
            <w:tcBorders>
              <w:top w:val="single" w:sz="4" w:space="0" w:color="auto"/>
              <w:left w:val="single" w:sz="4" w:space="0" w:color="auto"/>
              <w:bottom w:val="single" w:sz="4" w:space="0" w:color="auto"/>
              <w:right w:val="single" w:sz="4" w:space="0" w:color="auto"/>
            </w:tcBorders>
            <w:vAlign w:val="center"/>
            <w:hideMark/>
          </w:tcPr>
          <w:p w14:paraId="5C34A8E8" w14:textId="77777777" w:rsidR="008674A8" w:rsidRPr="00B8307D" w:rsidRDefault="008674A8" w:rsidP="000A067B">
            <w:pPr>
              <w:widowControl w:val="0"/>
              <w:rPr>
                <w:sz w:val="22"/>
                <w:szCs w:val="22"/>
                <w:lang w:val="sr-Latn-ME" w:eastAsia="ja-JP"/>
              </w:rPr>
            </w:pPr>
          </w:p>
        </w:tc>
        <w:tc>
          <w:tcPr>
            <w:tcW w:w="1978" w:type="pct"/>
            <w:tcBorders>
              <w:top w:val="single" w:sz="4" w:space="0" w:color="auto"/>
              <w:left w:val="single" w:sz="4" w:space="0" w:color="auto"/>
              <w:bottom w:val="single" w:sz="4" w:space="0" w:color="auto"/>
              <w:right w:val="single" w:sz="4" w:space="0" w:color="auto"/>
            </w:tcBorders>
            <w:hideMark/>
          </w:tcPr>
          <w:p w14:paraId="6B40B15B" w14:textId="77777777" w:rsidR="008674A8" w:rsidRPr="00B8307D" w:rsidRDefault="008674A8" w:rsidP="000A067B">
            <w:pPr>
              <w:widowControl w:val="0"/>
              <w:rPr>
                <w:sz w:val="22"/>
                <w:szCs w:val="22"/>
                <w:lang w:val="sr-Latn-ME" w:eastAsia="ja-JP"/>
              </w:rPr>
            </w:pPr>
            <w:r w:rsidRPr="00B8307D">
              <w:rPr>
                <w:sz w:val="22"/>
                <w:szCs w:val="22"/>
                <w:lang w:val="sr-Latn-ME" w:eastAsia="ja-JP"/>
              </w:rPr>
              <w:t xml:space="preserve">Žutica </w:t>
            </w:r>
          </w:p>
        </w:tc>
        <w:tc>
          <w:tcPr>
            <w:tcW w:w="1289" w:type="pct"/>
            <w:tcBorders>
              <w:top w:val="single" w:sz="4" w:space="0" w:color="auto"/>
              <w:left w:val="single" w:sz="4" w:space="0" w:color="auto"/>
              <w:bottom w:val="single" w:sz="4" w:space="0" w:color="auto"/>
              <w:right w:val="single" w:sz="4" w:space="0" w:color="auto"/>
            </w:tcBorders>
            <w:hideMark/>
          </w:tcPr>
          <w:p w14:paraId="2BE0F189" w14:textId="77777777" w:rsidR="008674A8" w:rsidRPr="00B8307D" w:rsidRDefault="008674A8" w:rsidP="000A067B">
            <w:pPr>
              <w:widowControl w:val="0"/>
              <w:rPr>
                <w:sz w:val="22"/>
                <w:szCs w:val="22"/>
                <w:lang w:val="sr-Latn-ME" w:eastAsia="ja-JP"/>
              </w:rPr>
            </w:pPr>
            <w:r w:rsidRPr="00B8307D">
              <w:rPr>
                <w:sz w:val="22"/>
                <w:szCs w:val="22"/>
                <w:lang w:val="sr-Latn-ME" w:eastAsia="ja-JP"/>
              </w:rPr>
              <w:t>Rijetko</w:t>
            </w:r>
          </w:p>
        </w:tc>
      </w:tr>
      <w:tr w:rsidR="008674A8" w:rsidRPr="00B8307D" w14:paraId="717E81C7" w14:textId="77777777" w:rsidTr="000A067B">
        <w:trPr>
          <w:trHeight w:val="120"/>
        </w:trPr>
        <w:tc>
          <w:tcPr>
            <w:tcW w:w="1733" w:type="pct"/>
            <w:vMerge w:val="restart"/>
            <w:tcBorders>
              <w:top w:val="single" w:sz="4" w:space="0" w:color="auto"/>
              <w:left w:val="single" w:sz="4" w:space="0" w:color="auto"/>
              <w:bottom w:val="single" w:sz="4" w:space="0" w:color="auto"/>
              <w:right w:val="single" w:sz="4" w:space="0" w:color="auto"/>
            </w:tcBorders>
            <w:hideMark/>
          </w:tcPr>
          <w:p w14:paraId="21C951D2" w14:textId="77777777" w:rsidR="008674A8" w:rsidRPr="00B8307D" w:rsidRDefault="008674A8" w:rsidP="000A067B">
            <w:pPr>
              <w:widowControl w:val="0"/>
              <w:rPr>
                <w:sz w:val="22"/>
                <w:szCs w:val="22"/>
                <w:lang w:val="sr-Latn-ME" w:eastAsia="ja-JP"/>
              </w:rPr>
            </w:pPr>
            <w:r w:rsidRPr="00B8307D">
              <w:rPr>
                <w:sz w:val="22"/>
                <w:szCs w:val="22"/>
                <w:lang w:val="sr-Latn-ME" w:eastAsia="ja-JP"/>
              </w:rPr>
              <w:t>Poremećaji kože i potkožnog tkiva</w:t>
            </w:r>
          </w:p>
        </w:tc>
        <w:tc>
          <w:tcPr>
            <w:tcW w:w="1978" w:type="pct"/>
            <w:tcBorders>
              <w:top w:val="single" w:sz="4" w:space="0" w:color="auto"/>
              <w:left w:val="single" w:sz="4" w:space="0" w:color="auto"/>
              <w:bottom w:val="single" w:sz="4" w:space="0" w:color="auto"/>
              <w:right w:val="single" w:sz="4" w:space="0" w:color="auto"/>
            </w:tcBorders>
            <w:hideMark/>
          </w:tcPr>
          <w:p w14:paraId="4354BA55" w14:textId="77777777" w:rsidR="008674A8" w:rsidRPr="00B8307D" w:rsidRDefault="008674A8" w:rsidP="000A067B">
            <w:pPr>
              <w:widowControl w:val="0"/>
              <w:rPr>
                <w:sz w:val="22"/>
                <w:szCs w:val="22"/>
                <w:lang w:val="sr-Latn-ME" w:eastAsia="ja-JP"/>
              </w:rPr>
            </w:pPr>
            <w:r w:rsidRPr="00B8307D">
              <w:rPr>
                <w:sz w:val="22"/>
                <w:szCs w:val="22"/>
                <w:lang w:val="sr-Latn-ME" w:eastAsia="ja-JP"/>
              </w:rPr>
              <w:t>Eitem</w:t>
            </w:r>
          </w:p>
        </w:tc>
        <w:tc>
          <w:tcPr>
            <w:tcW w:w="1289" w:type="pct"/>
            <w:tcBorders>
              <w:top w:val="single" w:sz="4" w:space="0" w:color="auto"/>
              <w:left w:val="single" w:sz="4" w:space="0" w:color="auto"/>
              <w:bottom w:val="single" w:sz="4" w:space="0" w:color="auto"/>
              <w:right w:val="single" w:sz="4" w:space="0" w:color="auto"/>
            </w:tcBorders>
            <w:hideMark/>
          </w:tcPr>
          <w:p w14:paraId="247D2EF0" w14:textId="77777777" w:rsidR="008674A8" w:rsidRPr="00B8307D" w:rsidRDefault="008674A8" w:rsidP="000A067B">
            <w:pPr>
              <w:widowControl w:val="0"/>
              <w:rPr>
                <w:sz w:val="22"/>
                <w:szCs w:val="22"/>
                <w:lang w:val="sr-Latn-ME" w:eastAsia="ja-JP"/>
              </w:rPr>
            </w:pPr>
            <w:r w:rsidRPr="00B8307D">
              <w:rPr>
                <w:sz w:val="22"/>
                <w:szCs w:val="22"/>
                <w:lang w:val="sr-Latn-ME" w:eastAsia="ja-JP"/>
              </w:rPr>
              <w:t>Vrlo često</w:t>
            </w:r>
          </w:p>
        </w:tc>
      </w:tr>
      <w:tr w:rsidR="008674A8" w:rsidRPr="00B8307D" w14:paraId="6D597895" w14:textId="77777777" w:rsidTr="000A067B">
        <w:trPr>
          <w:trHeight w:val="120"/>
        </w:trPr>
        <w:tc>
          <w:tcPr>
            <w:tcW w:w="1733" w:type="pct"/>
            <w:vMerge/>
            <w:tcBorders>
              <w:top w:val="single" w:sz="4" w:space="0" w:color="auto"/>
              <w:left w:val="single" w:sz="4" w:space="0" w:color="auto"/>
              <w:bottom w:val="single" w:sz="4" w:space="0" w:color="auto"/>
              <w:right w:val="single" w:sz="4" w:space="0" w:color="auto"/>
            </w:tcBorders>
            <w:vAlign w:val="center"/>
            <w:hideMark/>
          </w:tcPr>
          <w:p w14:paraId="1D45B245" w14:textId="77777777" w:rsidR="008674A8" w:rsidRPr="00B8307D" w:rsidRDefault="008674A8" w:rsidP="000A067B">
            <w:pPr>
              <w:widowControl w:val="0"/>
              <w:rPr>
                <w:sz w:val="22"/>
                <w:szCs w:val="22"/>
                <w:lang w:val="sr-Latn-ME" w:eastAsia="ja-JP"/>
              </w:rPr>
            </w:pPr>
          </w:p>
        </w:tc>
        <w:tc>
          <w:tcPr>
            <w:tcW w:w="1978" w:type="pct"/>
            <w:tcBorders>
              <w:top w:val="single" w:sz="4" w:space="0" w:color="auto"/>
              <w:left w:val="single" w:sz="4" w:space="0" w:color="auto"/>
              <w:bottom w:val="single" w:sz="4" w:space="0" w:color="auto"/>
              <w:right w:val="single" w:sz="4" w:space="0" w:color="auto"/>
            </w:tcBorders>
            <w:hideMark/>
          </w:tcPr>
          <w:p w14:paraId="15D4C807" w14:textId="77777777" w:rsidR="008674A8" w:rsidRPr="00B8307D" w:rsidRDefault="008674A8" w:rsidP="000A067B">
            <w:pPr>
              <w:widowControl w:val="0"/>
              <w:rPr>
                <w:sz w:val="22"/>
                <w:szCs w:val="22"/>
                <w:lang w:val="sr-Latn-ME" w:eastAsia="ja-JP"/>
              </w:rPr>
            </w:pPr>
            <w:r w:rsidRPr="00B8307D">
              <w:rPr>
                <w:sz w:val="22"/>
                <w:szCs w:val="22"/>
                <w:lang w:val="sr-Latn-ME" w:eastAsia="ja-JP"/>
              </w:rPr>
              <w:t>Osip</w:t>
            </w:r>
          </w:p>
        </w:tc>
        <w:tc>
          <w:tcPr>
            <w:tcW w:w="1289" w:type="pct"/>
            <w:tcBorders>
              <w:top w:val="single" w:sz="4" w:space="0" w:color="auto"/>
              <w:left w:val="single" w:sz="4" w:space="0" w:color="auto"/>
              <w:bottom w:val="single" w:sz="4" w:space="0" w:color="auto"/>
              <w:right w:val="single" w:sz="4" w:space="0" w:color="auto"/>
            </w:tcBorders>
            <w:hideMark/>
          </w:tcPr>
          <w:p w14:paraId="1F0A688C" w14:textId="77777777" w:rsidR="008674A8" w:rsidRPr="00B8307D" w:rsidRDefault="008674A8" w:rsidP="000A067B">
            <w:pPr>
              <w:widowControl w:val="0"/>
              <w:rPr>
                <w:sz w:val="22"/>
                <w:szCs w:val="22"/>
                <w:lang w:val="sr-Latn-ME" w:eastAsia="ja-JP"/>
              </w:rPr>
            </w:pPr>
            <w:r w:rsidRPr="00B8307D">
              <w:rPr>
                <w:sz w:val="22"/>
                <w:szCs w:val="22"/>
                <w:lang w:val="sr-Latn-ME" w:eastAsia="ja-JP"/>
              </w:rPr>
              <w:t>Vrlo često</w:t>
            </w:r>
          </w:p>
        </w:tc>
      </w:tr>
      <w:tr w:rsidR="008674A8" w:rsidRPr="00B8307D" w14:paraId="3193C1FB" w14:textId="77777777" w:rsidTr="000A067B">
        <w:trPr>
          <w:trHeight w:val="127"/>
        </w:trPr>
        <w:tc>
          <w:tcPr>
            <w:tcW w:w="1733" w:type="pct"/>
            <w:vMerge/>
            <w:tcBorders>
              <w:top w:val="single" w:sz="4" w:space="0" w:color="auto"/>
              <w:left w:val="single" w:sz="4" w:space="0" w:color="auto"/>
              <w:bottom w:val="single" w:sz="4" w:space="0" w:color="auto"/>
              <w:right w:val="single" w:sz="4" w:space="0" w:color="auto"/>
            </w:tcBorders>
            <w:vAlign w:val="center"/>
            <w:hideMark/>
          </w:tcPr>
          <w:p w14:paraId="1C73CF09" w14:textId="77777777" w:rsidR="008674A8" w:rsidRPr="00B8307D" w:rsidRDefault="008674A8" w:rsidP="000A067B">
            <w:pPr>
              <w:widowControl w:val="0"/>
              <w:rPr>
                <w:sz w:val="22"/>
                <w:szCs w:val="22"/>
                <w:lang w:val="sr-Latn-ME" w:eastAsia="ja-JP"/>
              </w:rPr>
            </w:pPr>
          </w:p>
        </w:tc>
        <w:tc>
          <w:tcPr>
            <w:tcW w:w="1978" w:type="pct"/>
            <w:tcBorders>
              <w:top w:val="single" w:sz="4" w:space="0" w:color="auto"/>
              <w:left w:val="single" w:sz="4" w:space="0" w:color="auto"/>
              <w:bottom w:val="single" w:sz="4" w:space="0" w:color="auto"/>
              <w:right w:val="single" w:sz="4" w:space="0" w:color="auto"/>
            </w:tcBorders>
            <w:hideMark/>
          </w:tcPr>
          <w:p w14:paraId="21DA5D1F" w14:textId="77777777" w:rsidR="008674A8" w:rsidRPr="00B8307D" w:rsidRDefault="008674A8" w:rsidP="000A067B">
            <w:pPr>
              <w:widowControl w:val="0"/>
              <w:rPr>
                <w:sz w:val="22"/>
                <w:szCs w:val="22"/>
                <w:lang w:val="sr-Latn-ME" w:eastAsia="ja-JP"/>
              </w:rPr>
            </w:pPr>
            <w:r w:rsidRPr="00B8307D">
              <w:rPr>
                <w:sz w:val="22"/>
                <w:szCs w:val="22"/>
                <w:vertAlign w:val="superscript"/>
                <w:lang w:val="sr-Latn-ME" w:eastAsia="ja-JP"/>
              </w:rPr>
              <w:t>1</w:t>
            </w:r>
            <w:r w:rsidRPr="00B8307D">
              <w:rPr>
                <w:sz w:val="22"/>
                <w:szCs w:val="22"/>
                <w:lang w:val="sr-Latn-ME" w:eastAsia="ja-JP"/>
              </w:rPr>
              <w:t>Oticanje lica</w:t>
            </w:r>
          </w:p>
        </w:tc>
        <w:tc>
          <w:tcPr>
            <w:tcW w:w="1289" w:type="pct"/>
            <w:tcBorders>
              <w:top w:val="single" w:sz="4" w:space="0" w:color="auto"/>
              <w:left w:val="single" w:sz="4" w:space="0" w:color="auto"/>
              <w:bottom w:val="single" w:sz="4" w:space="0" w:color="auto"/>
              <w:right w:val="single" w:sz="4" w:space="0" w:color="auto"/>
            </w:tcBorders>
            <w:hideMark/>
          </w:tcPr>
          <w:p w14:paraId="5133215D" w14:textId="77777777" w:rsidR="008674A8" w:rsidRPr="00B8307D" w:rsidRDefault="008674A8" w:rsidP="000A067B">
            <w:pPr>
              <w:widowControl w:val="0"/>
              <w:rPr>
                <w:sz w:val="22"/>
                <w:szCs w:val="22"/>
                <w:lang w:val="sr-Latn-ME" w:eastAsia="ja-JP"/>
              </w:rPr>
            </w:pPr>
            <w:r w:rsidRPr="00B8307D">
              <w:rPr>
                <w:sz w:val="22"/>
                <w:szCs w:val="22"/>
                <w:lang w:val="sr-Latn-ME" w:eastAsia="ja-JP"/>
              </w:rPr>
              <w:t>Vrlo često</w:t>
            </w:r>
          </w:p>
        </w:tc>
      </w:tr>
      <w:tr w:rsidR="008674A8" w:rsidRPr="00B8307D" w14:paraId="17EFAE99" w14:textId="77777777" w:rsidTr="000A067B">
        <w:trPr>
          <w:trHeight w:val="127"/>
        </w:trPr>
        <w:tc>
          <w:tcPr>
            <w:tcW w:w="1733" w:type="pct"/>
            <w:vMerge/>
            <w:tcBorders>
              <w:top w:val="single" w:sz="4" w:space="0" w:color="auto"/>
              <w:left w:val="single" w:sz="4" w:space="0" w:color="auto"/>
              <w:bottom w:val="single" w:sz="4" w:space="0" w:color="auto"/>
              <w:right w:val="single" w:sz="4" w:space="0" w:color="auto"/>
            </w:tcBorders>
            <w:vAlign w:val="center"/>
          </w:tcPr>
          <w:p w14:paraId="0C8581D2" w14:textId="77777777" w:rsidR="008674A8" w:rsidRPr="00B8307D" w:rsidRDefault="008674A8" w:rsidP="000A067B">
            <w:pPr>
              <w:widowControl w:val="0"/>
              <w:rPr>
                <w:sz w:val="22"/>
                <w:szCs w:val="22"/>
                <w:lang w:val="sr-Latn-ME" w:eastAsia="ja-JP"/>
              </w:rPr>
            </w:pPr>
          </w:p>
        </w:tc>
        <w:tc>
          <w:tcPr>
            <w:tcW w:w="1978" w:type="pct"/>
            <w:tcBorders>
              <w:top w:val="single" w:sz="4" w:space="0" w:color="auto"/>
              <w:left w:val="single" w:sz="4" w:space="0" w:color="auto"/>
              <w:bottom w:val="single" w:sz="4" w:space="0" w:color="auto"/>
              <w:right w:val="single" w:sz="4" w:space="0" w:color="auto"/>
            </w:tcBorders>
          </w:tcPr>
          <w:p w14:paraId="78D1FB46" w14:textId="77777777" w:rsidR="008674A8" w:rsidRPr="00B8307D" w:rsidRDefault="008674A8" w:rsidP="000A067B">
            <w:pPr>
              <w:widowControl w:val="0"/>
              <w:rPr>
                <w:sz w:val="22"/>
                <w:szCs w:val="22"/>
                <w:lang w:val="sr-Latn-ME" w:eastAsia="ja-JP"/>
              </w:rPr>
            </w:pPr>
            <w:r w:rsidRPr="00B8307D">
              <w:rPr>
                <w:sz w:val="22"/>
                <w:szCs w:val="22"/>
                <w:lang w:val="sr-Latn-ME" w:eastAsia="ja-JP"/>
              </w:rPr>
              <w:t>Alopecija</w:t>
            </w:r>
          </w:p>
        </w:tc>
        <w:tc>
          <w:tcPr>
            <w:tcW w:w="1289" w:type="pct"/>
            <w:tcBorders>
              <w:top w:val="single" w:sz="4" w:space="0" w:color="auto"/>
              <w:left w:val="single" w:sz="4" w:space="0" w:color="auto"/>
              <w:bottom w:val="single" w:sz="4" w:space="0" w:color="auto"/>
              <w:right w:val="single" w:sz="4" w:space="0" w:color="auto"/>
            </w:tcBorders>
          </w:tcPr>
          <w:p w14:paraId="2AA1B028" w14:textId="77777777" w:rsidR="008674A8" w:rsidRPr="00B8307D" w:rsidRDefault="008674A8" w:rsidP="000A067B">
            <w:pPr>
              <w:widowControl w:val="0"/>
              <w:rPr>
                <w:sz w:val="22"/>
                <w:szCs w:val="22"/>
                <w:lang w:val="sr-Latn-ME" w:eastAsia="ja-JP"/>
              </w:rPr>
            </w:pPr>
            <w:r w:rsidRPr="00B8307D">
              <w:rPr>
                <w:sz w:val="22"/>
                <w:szCs w:val="22"/>
                <w:lang w:val="sr-Latn-ME" w:eastAsia="ja-JP"/>
              </w:rPr>
              <w:t>Vrlo često</w:t>
            </w:r>
          </w:p>
        </w:tc>
      </w:tr>
      <w:tr w:rsidR="008674A8" w:rsidRPr="00B8307D" w14:paraId="5FF3B652" w14:textId="77777777" w:rsidTr="000A067B">
        <w:trPr>
          <w:trHeight w:val="127"/>
        </w:trPr>
        <w:tc>
          <w:tcPr>
            <w:tcW w:w="1733" w:type="pct"/>
            <w:vMerge/>
            <w:tcBorders>
              <w:top w:val="single" w:sz="4" w:space="0" w:color="auto"/>
              <w:left w:val="single" w:sz="4" w:space="0" w:color="auto"/>
              <w:bottom w:val="single" w:sz="4" w:space="0" w:color="auto"/>
              <w:right w:val="single" w:sz="4" w:space="0" w:color="auto"/>
            </w:tcBorders>
            <w:vAlign w:val="center"/>
          </w:tcPr>
          <w:p w14:paraId="6109E2AC" w14:textId="77777777" w:rsidR="008674A8" w:rsidRPr="00B8307D" w:rsidRDefault="008674A8" w:rsidP="000A067B">
            <w:pPr>
              <w:widowControl w:val="0"/>
              <w:rPr>
                <w:sz w:val="22"/>
                <w:szCs w:val="22"/>
                <w:lang w:val="sr-Latn-ME" w:eastAsia="ja-JP"/>
              </w:rPr>
            </w:pPr>
          </w:p>
        </w:tc>
        <w:tc>
          <w:tcPr>
            <w:tcW w:w="1978" w:type="pct"/>
            <w:tcBorders>
              <w:top w:val="single" w:sz="4" w:space="0" w:color="auto"/>
              <w:left w:val="single" w:sz="4" w:space="0" w:color="auto"/>
              <w:bottom w:val="single" w:sz="4" w:space="0" w:color="auto"/>
              <w:right w:val="single" w:sz="4" w:space="0" w:color="auto"/>
            </w:tcBorders>
          </w:tcPr>
          <w:p w14:paraId="5349B813" w14:textId="77777777" w:rsidR="008674A8" w:rsidRPr="00B8307D" w:rsidRDefault="008674A8" w:rsidP="000A067B">
            <w:pPr>
              <w:widowControl w:val="0"/>
              <w:rPr>
                <w:sz w:val="22"/>
                <w:szCs w:val="22"/>
                <w:lang w:val="sr-Latn-ME" w:eastAsia="ja-JP"/>
              </w:rPr>
            </w:pPr>
            <w:r w:rsidRPr="00B8307D">
              <w:rPr>
                <w:sz w:val="22"/>
                <w:szCs w:val="22"/>
                <w:lang w:val="sr-Latn-ME" w:eastAsia="ja-JP"/>
              </w:rPr>
              <w:t>Promjene na noktima</w:t>
            </w:r>
          </w:p>
        </w:tc>
        <w:tc>
          <w:tcPr>
            <w:tcW w:w="1289" w:type="pct"/>
            <w:tcBorders>
              <w:top w:val="single" w:sz="4" w:space="0" w:color="auto"/>
              <w:left w:val="single" w:sz="4" w:space="0" w:color="auto"/>
              <w:bottom w:val="single" w:sz="4" w:space="0" w:color="auto"/>
              <w:right w:val="single" w:sz="4" w:space="0" w:color="auto"/>
            </w:tcBorders>
          </w:tcPr>
          <w:p w14:paraId="4E2797B4" w14:textId="77777777" w:rsidR="008674A8" w:rsidRPr="00B8307D" w:rsidRDefault="008674A8" w:rsidP="000A067B">
            <w:pPr>
              <w:widowControl w:val="0"/>
              <w:rPr>
                <w:sz w:val="22"/>
                <w:szCs w:val="22"/>
                <w:lang w:val="sr-Latn-ME" w:eastAsia="ja-JP"/>
              </w:rPr>
            </w:pPr>
            <w:r w:rsidRPr="00B8307D">
              <w:rPr>
                <w:sz w:val="22"/>
                <w:szCs w:val="22"/>
                <w:lang w:val="sr-Latn-ME" w:eastAsia="ja-JP"/>
              </w:rPr>
              <w:t>Vrlo često</w:t>
            </w:r>
          </w:p>
        </w:tc>
      </w:tr>
      <w:tr w:rsidR="008674A8" w:rsidRPr="00B8307D" w14:paraId="3A1A25B8" w14:textId="77777777" w:rsidTr="000A067B">
        <w:trPr>
          <w:trHeight w:val="127"/>
        </w:trPr>
        <w:tc>
          <w:tcPr>
            <w:tcW w:w="1733" w:type="pct"/>
            <w:vMerge/>
            <w:tcBorders>
              <w:top w:val="single" w:sz="4" w:space="0" w:color="auto"/>
              <w:left w:val="single" w:sz="4" w:space="0" w:color="auto"/>
              <w:bottom w:val="single" w:sz="4" w:space="0" w:color="auto"/>
              <w:right w:val="single" w:sz="4" w:space="0" w:color="auto"/>
            </w:tcBorders>
            <w:vAlign w:val="center"/>
          </w:tcPr>
          <w:p w14:paraId="23A65124" w14:textId="77777777" w:rsidR="008674A8" w:rsidRPr="00B8307D" w:rsidRDefault="008674A8" w:rsidP="000A067B">
            <w:pPr>
              <w:widowControl w:val="0"/>
              <w:rPr>
                <w:sz w:val="22"/>
                <w:szCs w:val="22"/>
                <w:lang w:val="sr-Latn-ME" w:eastAsia="ja-JP"/>
              </w:rPr>
            </w:pPr>
          </w:p>
        </w:tc>
        <w:tc>
          <w:tcPr>
            <w:tcW w:w="1978" w:type="pct"/>
            <w:tcBorders>
              <w:top w:val="single" w:sz="4" w:space="0" w:color="auto"/>
              <w:left w:val="single" w:sz="4" w:space="0" w:color="auto"/>
              <w:bottom w:val="single" w:sz="4" w:space="0" w:color="auto"/>
              <w:right w:val="single" w:sz="4" w:space="0" w:color="auto"/>
            </w:tcBorders>
          </w:tcPr>
          <w:p w14:paraId="3E839464" w14:textId="77777777" w:rsidR="008674A8" w:rsidRPr="00B8307D" w:rsidRDefault="008674A8" w:rsidP="000A067B">
            <w:pPr>
              <w:widowControl w:val="0"/>
              <w:rPr>
                <w:sz w:val="22"/>
                <w:szCs w:val="22"/>
                <w:lang w:val="sr-Latn-ME" w:eastAsia="ja-JP"/>
              </w:rPr>
            </w:pPr>
            <w:r w:rsidRPr="00B8307D">
              <w:rPr>
                <w:sz w:val="22"/>
                <w:szCs w:val="22"/>
                <w:lang w:val="sr-Latn-ME" w:eastAsia="ja-JP"/>
              </w:rPr>
              <w:t>Sindrom palmarno-plantarne eritrodizestezije</w:t>
            </w:r>
          </w:p>
        </w:tc>
        <w:tc>
          <w:tcPr>
            <w:tcW w:w="1289" w:type="pct"/>
            <w:tcBorders>
              <w:top w:val="single" w:sz="4" w:space="0" w:color="auto"/>
              <w:left w:val="single" w:sz="4" w:space="0" w:color="auto"/>
              <w:bottom w:val="single" w:sz="4" w:space="0" w:color="auto"/>
              <w:right w:val="single" w:sz="4" w:space="0" w:color="auto"/>
            </w:tcBorders>
          </w:tcPr>
          <w:p w14:paraId="58E090A6" w14:textId="77777777" w:rsidR="008674A8" w:rsidRPr="00B8307D" w:rsidRDefault="008674A8" w:rsidP="000A067B">
            <w:pPr>
              <w:widowControl w:val="0"/>
              <w:rPr>
                <w:sz w:val="22"/>
                <w:szCs w:val="22"/>
                <w:lang w:val="sr-Latn-ME" w:eastAsia="ja-JP"/>
              </w:rPr>
            </w:pPr>
            <w:r w:rsidRPr="00B8307D">
              <w:rPr>
                <w:sz w:val="22"/>
                <w:szCs w:val="22"/>
                <w:lang w:val="sr-Latn-ME" w:eastAsia="ja-JP"/>
              </w:rPr>
              <w:t>Vrlo često</w:t>
            </w:r>
          </w:p>
        </w:tc>
      </w:tr>
      <w:tr w:rsidR="008674A8" w:rsidRPr="00B8307D" w14:paraId="600111B2" w14:textId="77777777" w:rsidTr="000A067B">
        <w:trPr>
          <w:trHeight w:val="120"/>
        </w:trPr>
        <w:tc>
          <w:tcPr>
            <w:tcW w:w="1733" w:type="pct"/>
            <w:vMerge/>
            <w:tcBorders>
              <w:top w:val="single" w:sz="4" w:space="0" w:color="auto"/>
              <w:left w:val="single" w:sz="4" w:space="0" w:color="auto"/>
              <w:bottom w:val="single" w:sz="4" w:space="0" w:color="auto"/>
              <w:right w:val="single" w:sz="4" w:space="0" w:color="auto"/>
            </w:tcBorders>
            <w:vAlign w:val="center"/>
            <w:hideMark/>
          </w:tcPr>
          <w:p w14:paraId="1825CF86" w14:textId="77777777" w:rsidR="008674A8" w:rsidRPr="00B8307D" w:rsidRDefault="008674A8" w:rsidP="000A067B">
            <w:pPr>
              <w:widowControl w:val="0"/>
              <w:rPr>
                <w:sz w:val="22"/>
                <w:szCs w:val="22"/>
                <w:lang w:val="sr-Latn-ME" w:eastAsia="ja-JP"/>
              </w:rPr>
            </w:pPr>
          </w:p>
        </w:tc>
        <w:tc>
          <w:tcPr>
            <w:tcW w:w="1978" w:type="pct"/>
            <w:tcBorders>
              <w:top w:val="single" w:sz="4" w:space="0" w:color="auto"/>
              <w:left w:val="single" w:sz="4" w:space="0" w:color="auto"/>
              <w:bottom w:val="single" w:sz="4" w:space="0" w:color="auto"/>
              <w:right w:val="single" w:sz="4" w:space="0" w:color="auto"/>
            </w:tcBorders>
            <w:hideMark/>
          </w:tcPr>
          <w:p w14:paraId="7D970CAF" w14:textId="77777777" w:rsidR="008674A8" w:rsidRPr="00B8307D" w:rsidRDefault="008674A8" w:rsidP="000A067B">
            <w:pPr>
              <w:widowControl w:val="0"/>
              <w:rPr>
                <w:sz w:val="22"/>
                <w:szCs w:val="22"/>
                <w:lang w:val="sr-Latn-ME" w:eastAsia="ja-JP"/>
              </w:rPr>
            </w:pPr>
            <w:r w:rsidRPr="00B8307D">
              <w:rPr>
                <w:sz w:val="22"/>
                <w:szCs w:val="22"/>
                <w:lang w:val="sr-Latn-ME" w:eastAsia="ja-JP"/>
              </w:rPr>
              <w:t>Akne</w:t>
            </w:r>
          </w:p>
        </w:tc>
        <w:tc>
          <w:tcPr>
            <w:tcW w:w="1289" w:type="pct"/>
            <w:tcBorders>
              <w:top w:val="single" w:sz="4" w:space="0" w:color="auto"/>
              <w:left w:val="single" w:sz="4" w:space="0" w:color="auto"/>
              <w:bottom w:val="single" w:sz="4" w:space="0" w:color="auto"/>
              <w:right w:val="single" w:sz="4" w:space="0" w:color="auto"/>
            </w:tcBorders>
            <w:hideMark/>
          </w:tcPr>
          <w:p w14:paraId="26CEA0F1" w14:textId="77777777" w:rsidR="008674A8" w:rsidRPr="00B8307D" w:rsidRDefault="008674A8" w:rsidP="000A067B">
            <w:pPr>
              <w:widowControl w:val="0"/>
              <w:rPr>
                <w:sz w:val="22"/>
                <w:szCs w:val="22"/>
                <w:lang w:val="sr-Latn-ME" w:eastAsia="ja-JP"/>
              </w:rPr>
            </w:pPr>
            <w:r w:rsidRPr="00B8307D">
              <w:rPr>
                <w:sz w:val="22"/>
                <w:szCs w:val="22"/>
                <w:lang w:val="sr-Latn-ME" w:eastAsia="ja-JP"/>
              </w:rPr>
              <w:t>Često</w:t>
            </w:r>
          </w:p>
        </w:tc>
      </w:tr>
      <w:tr w:rsidR="008674A8" w:rsidRPr="00B8307D" w14:paraId="7861B34B" w14:textId="77777777" w:rsidTr="000A067B">
        <w:trPr>
          <w:trHeight w:val="222"/>
        </w:trPr>
        <w:tc>
          <w:tcPr>
            <w:tcW w:w="1733" w:type="pct"/>
            <w:vMerge/>
            <w:tcBorders>
              <w:top w:val="single" w:sz="4" w:space="0" w:color="auto"/>
              <w:left w:val="single" w:sz="4" w:space="0" w:color="auto"/>
              <w:bottom w:val="single" w:sz="4" w:space="0" w:color="auto"/>
              <w:right w:val="single" w:sz="4" w:space="0" w:color="auto"/>
            </w:tcBorders>
            <w:vAlign w:val="center"/>
            <w:hideMark/>
          </w:tcPr>
          <w:p w14:paraId="2410B2D5" w14:textId="77777777" w:rsidR="008674A8" w:rsidRPr="00B8307D" w:rsidRDefault="008674A8" w:rsidP="000A067B">
            <w:pPr>
              <w:widowControl w:val="0"/>
              <w:rPr>
                <w:sz w:val="22"/>
                <w:szCs w:val="22"/>
                <w:lang w:val="sr-Latn-ME" w:eastAsia="ja-JP"/>
              </w:rPr>
            </w:pPr>
          </w:p>
        </w:tc>
        <w:tc>
          <w:tcPr>
            <w:tcW w:w="1978" w:type="pct"/>
            <w:tcBorders>
              <w:top w:val="single" w:sz="4" w:space="0" w:color="auto"/>
              <w:left w:val="single" w:sz="4" w:space="0" w:color="auto"/>
              <w:right w:val="single" w:sz="4" w:space="0" w:color="auto"/>
            </w:tcBorders>
          </w:tcPr>
          <w:p w14:paraId="2FA94EB3" w14:textId="7A9AF98C" w:rsidR="008674A8" w:rsidRPr="00B8307D" w:rsidRDefault="008674A8" w:rsidP="000A067B">
            <w:pPr>
              <w:widowControl w:val="0"/>
              <w:rPr>
                <w:sz w:val="22"/>
                <w:szCs w:val="22"/>
                <w:lang w:val="sr-Latn-ME" w:eastAsia="ja-JP"/>
              </w:rPr>
            </w:pPr>
            <w:r w:rsidRPr="00B8307D">
              <w:rPr>
                <w:sz w:val="22"/>
                <w:szCs w:val="22"/>
                <w:lang w:val="sr-Latn-ME" w:eastAsia="ja-JP"/>
              </w:rPr>
              <w:t>Suv</w:t>
            </w:r>
            <w:r w:rsidR="000A0860" w:rsidRPr="00B8307D">
              <w:rPr>
                <w:sz w:val="22"/>
                <w:szCs w:val="22"/>
                <w:lang w:val="sr-Latn-ME" w:eastAsia="ja-JP"/>
              </w:rPr>
              <w:t>a</w:t>
            </w:r>
            <w:r w:rsidRPr="00B8307D">
              <w:rPr>
                <w:sz w:val="22"/>
                <w:szCs w:val="22"/>
                <w:lang w:val="sr-Latn-ME" w:eastAsia="ja-JP"/>
              </w:rPr>
              <w:t xml:space="preserve"> kož</w:t>
            </w:r>
            <w:r w:rsidR="000A0860" w:rsidRPr="00B8307D">
              <w:rPr>
                <w:sz w:val="22"/>
                <w:szCs w:val="22"/>
                <w:lang w:val="sr-Latn-ME" w:eastAsia="ja-JP"/>
              </w:rPr>
              <w:t>a</w:t>
            </w:r>
          </w:p>
        </w:tc>
        <w:tc>
          <w:tcPr>
            <w:tcW w:w="1289" w:type="pct"/>
            <w:tcBorders>
              <w:top w:val="single" w:sz="4" w:space="0" w:color="auto"/>
              <w:left w:val="single" w:sz="4" w:space="0" w:color="auto"/>
              <w:right w:val="single" w:sz="4" w:space="0" w:color="auto"/>
            </w:tcBorders>
          </w:tcPr>
          <w:p w14:paraId="0D3D0125" w14:textId="77777777" w:rsidR="008674A8" w:rsidRPr="00B8307D" w:rsidRDefault="008674A8" w:rsidP="000A067B">
            <w:pPr>
              <w:widowControl w:val="0"/>
              <w:rPr>
                <w:sz w:val="22"/>
                <w:szCs w:val="22"/>
                <w:lang w:val="sr-Latn-ME" w:eastAsia="ja-JP"/>
              </w:rPr>
            </w:pPr>
            <w:r w:rsidRPr="00B8307D">
              <w:rPr>
                <w:sz w:val="22"/>
                <w:szCs w:val="22"/>
                <w:lang w:val="sr-Latn-ME" w:eastAsia="ja-JP"/>
              </w:rPr>
              <w:t>Često</w:t>
            </w:r>
          </w:p>
        </w:tc>
      </w:tr>
      <w:tr w:rsidR="008674A8" w:rsidRPr="00B8307D" w14:paraId="19337577" w14:textId="77777777" w:rsidTr="000A067B">
        <w:trPr>
          <w:trHeight w:val="120"/>
        </w:trPr>
        <w:tc>
          <w:tcPr>
            <w:tcW w:w="1733" w:type="pct"/>
            <w:vMerge/>
            <w:tcBorders>
              <w:top w:val="single" w:sz="4" w:space="0" w:color="auto"/>
              <w:left w:val="single" w:sz="4" w:space="0" w:color="auto"/>
              <w:bottom w:val="single" w:sz="4" w:space="0" w:color="auto"/>
              <w:right w:val="single" w:sz="4" w:space="0" w:color="auto"/>
            </w:tcBorders>
            <w:vAlign w:val="center"/>
            <w:hideMark/>
          </w:tcPr>
          <w:p w14:paraId="57282FB1" w14:textId="77777777" w:rsidR="008674A8" w:rsidRPr="00B8307D" w:rsidRDefault="008674A8" w:rsidP="000A067B">
            <w:pPr>
              <w:widowControl w:val="0"/>
              <w:rPr>
                <w:sz w:val="22"/>
                <w:szCs w:val="22"/>
                <w:lang w:val="sr-Latn-ME" w:eastAsia="ja-JP"/>
              </w:rPr>
            </w:pPr>
          </w:p>
        </w:tc>
        <w:tc>
          <w:tcPr>
            <w:tcW w:w="1978" w:type="pct"/>
            <w:tcBorders>
              <w:top w:val="single" w:sz="4" w:space="0" w:color="auto"/>
              <w:left w:val="single" w:sz="4" w:space="0" w:color="auto"/>
              <w:bottom w:val="single" w:sz="4" w:space="0" w:color="auto"/>
              <w:right w:val="single" w:sz="4" w:space="0" w:color="auto"/>
            </w:tcBorders>
            <w:hideMark/>
          </w:tcPr>
          <w:p w14:paraId="3BBA856C" w14:textId="77777777" w:rsidR="008674A8" w:rsidRPr="00B8307D" w:rsidRDefault="008674A8" w:rsidP="000A067B">
            <w:pPr>
              <w:widowControl w:val="0"/>
              <w:rPr>
                <w:sz w:val="22"/>
                <w:szCs w:val="22"/>
                <w:lang w:val="sr-Latn-ME" w:eastAsia="ja-JP"/>
              </w:rPr>
            </w:pPr>
            <w:r w:rsidRPr="00B8307D">
              <w:rPr>
                <w:sz w:val="22"/>
                <w:szCs w:val="22"/>
                <w:lang w:val="sr-Latn-ME" w:eastAsia="ja-JP"/>
              </w:rPr>
              <w:t>Ekhimoza</w:t>
            </w:r>
          </w:p>
        </w:tc>
        <w:tc>
          <w:tcPr>
            <w:tcW w:w="1289" w:type="pct"/>
            <w:tcBorders>
              <w:top w:val="single" w:sz="4" w:space="0" w:color="auto"/>
              <w:left w:val="single" w:sz="4" w:space="0" w:color="auto"/>
              <w:bottom w:val="single" w:sz="4" w:space="0" w:color="auto"/>
              <w:right w:val="single" w:sz="4" w:space="0" w:color="auto"/>
            </w:tcBorders>
            <w:hideMark/>
          </w:tcPr>
          <w:p w14:paraId="7D9D5E31" w14:textId="77777777" w:rsidR="008674A8" w:rsidRPr="00B8307D" w:rsidRDefault="008674A8" w:rsidP="000A067B">
            <w:pPr>
              <w:widowControl w:val="0"/>
              <w:rPr>
                <w:sz w:val="22"/>
                <w:szCs w:val="22"/>
                <w:lang w:val="sr-Latn-ME" w:eastAsia="ja-JP"/>
              </w:rPr>
            </w:pPr>
            <w:r w:rsidRPr="00B8307D">
              <w:rPr>
                <w:sz w:val="22"/>
                <w:szCs w:val="22"/>
                <w:lang w:val="sr-Latn-ME" w:eastAsia="ja-JP"/>
              </w:rPr>
              <w:t>Često</w:t>
            </w:r>
          </w:p>
        </w:tc>
      </w:tr>
      <w:tr w:rsidR="008674A8" w:rsidRPr="00B8307D" w14:paraId="535CFCA7" w14:textId="77777777" w:rsidTr="000A067B">
        <w:trPr>
          <w:trHeight w:val="120"/>
        </w:trPr>
        <w:tc>
          <w:tcPr>
            <w:tcW w:w="1733" w:type="pct"/>
            <w:vMerge/>
            <w:tcBorders>
              <w:top w:val="single" w:sz="4" w:space="0" w:color="auto"/>
              <w:left w:val="single" w:sz="4" w:space="0" w:color="auto"/>
              <w:bottom w:val="single" w:sz="4" w:space="0" w:color="auto"/>
              <w:right w:val="single" w:sz="4" w:space="0" w:color="auto"/>
            </w:tcBorders>
            <w:vAlign w:val="center"/>
            <w:hideMark/>
          </w:tcPr>
          <w:p w14:paraId="662E0CDA" w14:textId="77777777" w:rsidR="008674A8" w:rsidRPr="00B8307D" w:rsidRDefault="008674A8" w:rsidP="000A067B">
            <w:pPr>
              <w:widowControl w:val="0"/>
              <w:rPr>
                <w:sz w:val="22"/>
                <w:szCs w:val="22"/>
                <w:lang w:val="sr-Latn-ME" w:eastAsia="ja-JP"/>
              </w:rPr>
            </w:pPr>
          </w:p>
        </w:tc>
        <w:tc>
          <w:tcPr>
            <w:tcW w:w="1978" w:type="pct"/>
            <w:tcBorders>
              <w:top w:val="single" w:sz="4" w:space="0" w:color="auto"/>
              <w:left w:val="single" w:sz="4" w:space="0" w:color="auto"/>
              <w:bottom w:val="single" w:sz="4" w:space="0" w:color="auto"/>
              <w:right w:val="single" w:sz="4" w:space="0" w:color="auto"/>
            </w:tcBorders>
            <w:hideMark/>
          </w:tcPr>
          <w:p w14:paraId="0FAFF0FF" w14:textId="77777777" w:rsidR="008674A8" w:rsidRPr="00B8307D" w:rsidRDefault="008674A8" w:rsidP="000A067B">
            <w:pPr>
              <w:widowControl w:val="0"/>
              <w:rPr>
                <w:sz w:val="22"/>
                <w:szCs w:val="22"/>
                <w:lang w:val="sr-Latn-ME" w:eastAsia="ja-JP"/>
              </w:rPr>
            </w:pPr>
            <w:r w:rsidRPr="00B8307D">
              <w:rPr>
                <w:sz w:val="22"/>
                <w:szCs w:val="22"/>
                <w:lang w:val="sr-Latn-ME" w:eastAsia="ja-JP"/>
              </w:rPr>
              <w:t>Hiperhidroza</w:t>
            </w:r>
          </w:p>
        </w:tc>
        <w:tc>
          <w:tcPr>
            <w:tcW w:w="1289" w:type="pct"/>
            <w:tcBorders>
              <w:top w:val="single" w:sz="4" w:space="0" w:color="auto"/>
              <w:left w:val="single" w:sz="4" w:space="0" w:color="auto"/>
              <w:bottom w:val="single" w:sz="4" w:space="0" w:color="auto"/>
              <w:right w:val="single" w:sz="4" w:space="0" w:color="auto"/>
            </w:tcBorders>
            <w:hideMark/>
          </w:tcPr>
          <w:p w14:paraId="6BBD2C65" w14:textId="77777777" w:rsidR="008674A8" w:rsidRPr="00B8307D" w:rsidRDefault="008674A8" w:rsidP="000A067B">
            <w:pPr>
              <w:widowControl w:val="0"/>
              <w:rPr>
                <w:sz w:val="22"/>
                <w:szCs w:val="22"/>
                <w:lang w:val="sr-Latn-ME" w:eastAsia="ja-JP"/>
              </w:rPr>
            </w:pPr>
            <w:r w:rsidRPr="00B8307D">
              <w:rPr>
                <w:sz w:val="22"/>
                <w:szCs w:val="22"/>
                <w:lang w:val="sr-Latn-ME" w:eastAsia="ja-JP"/>
              </w:rPr>
              <w:t>Često</w:t>
            </w:r>
          </w:p>
        </w:tc>
      </w:tr>
      <w:tr w:rsidR="008674A8" w:rsidRPr="00B8307D" w14:paraId="1F60D36F" w14:textId="77777777" w:rsidTr="000A067B">
        <w:trPr>
          <w:trHeight w:val="120"/>
        </w:trPr>
        <w:tc>
          <w:tcPr>
            <w:tcW w:w="1733" w:type="pct"/>
            <w:vMerge/>
            <w:tcBorders>
              <w:top w:val="single" w:sz="4" w:space="0" w:color="auto"/>
              <w:left w:val="single" w:sz="4" w:space="0" w:color="auto"/>
              <w:bottom w:val="single" w:sz="4" w:space="0" w:color="auto"/>
              <w:right w:val="single" w:sz="4" w:space="0" w:color="auto"/>
            </w:tcBorders>
            <w:vAlign w:val="center"/>
            <w:hideMark/>
          </w:tcPr>
          <w:p w14:paraId="3155641E" w14:textId="77777777" w:rsidR="008674A8" w:rsidRPr="00B8307D" w:rsidRDefault="008674A8" w:rsidP="000A067B">
            <w:pPr>
              <w:widowControl w:val="0"/>
              <w:rPr>
                <w:sz w:val="22"/>
                <w:szCs w:val="22"/>
                <w:lang w:val="sr-Latn-ME" w:eastAsia="ja-JP"/>
              </w:rPr>
            </w:pPr>
          </w:p>
        </w:tc>
        <w:tc>
          <w:tcPr>
            <w:tcW w:w="1978" w:type="pct"/>
            <w:tcBorders>
              <w:top w:val="single" w:sz="4" w:space="0" w:color="auto"/>
              <w:left w:val="single" w:sz="4" w:space="0" w:color="auto"/>
              <w:bottom w:val="single" w:sz="4" w:space="0" w:color="auto"/>
              <w:right w:val="single" w:sz="4" w:space="0" w:color="auto"/>
            </w:tcBorders>
            <w:hideMark/>
          </w:tcPr>
          <w:p w14:paraId="33EE9762" w14:textId="77777777" w:rsidR="008674A8" w:rsidRPr="00B8307D" w:rsidRDefault="008674A8" w:rsidP="000A067B">
            <w:pPr>
              <w:widowControl w:val="0"/>
              <w:rPr>
                <w:sz w:val="22"/>
                <w:szCs w:val="22"/>
                <w:lang w:val="sr-Latn-ME" w:eastAsia="ja-JP"/>
              </w:rPr>
            </w:pPr>
            <w:r w:rsidRPr="00B8307D">
              <w:rPr>
                <w:sz w:val="22"/>
                <w:szCs w:val="22"/>
                <w:lang w:val="sr-Latn-ME" w:eastAsia="ja-JP"/>
              </w:rPr>
              <w:t>Makulopapularni osip</w:t>
            </w:r>
          </w:p>
        </w:tc>
        <w:tc>
          <w:tcPr>
            <w:tcW w:w="1289" w:type="pct"/>
            <w:tcBorders>
              <w:top w:val="single" w:sz="4" w:space="0" w:color="auto"/>
              <w:left w:val="single" w:sz="4" w:space="0" w:color="auto"/>
              <w:bottom w:val="single" w:sz="4" w:space="0" w:color="auto"/>
              <w:right w:val="single" w:sz="4" w:space="0" w:color="auto"/>
            </w:tcBorders>
            <w:hideMark/>
          </w:tcPr>
          <w:p w14:paraId="63326530" w14:textId="77777777" w:rsidR="008674A8" w:rsidRPr="00B8307D" w:rsidRDefault="008674A8" w:rsidP="000A067B">
            <w:pPr>
              <w:widowControl w:val="0"/>
              <w:rPr>
                <w:sz w:val="22"/>
                <w:szCs w:val="22"/>
                <w:lang w:val="sr-Latn-ME" w:eastAsia="ja-JP"/>
              </w:rPr>
            </w:pPr>
            <w:r w:rsidRPr="00B8307D">
              <w:rPr>
                <w:sz w:val="22"/>
                <w:szCs w:val="22"/>
                <w:lang w:val="sr-Latn-ME" w:eastAsia="ja-JP"/>
              </w:rPr>
              <w:t>Često</w:t>
            </w:r>
          </w:p>
        </w:tc>
      </w:tr>
      <w:tr w:rsidR="008674A8" w:rsidRPr="00B8307D" w14:paraId="7E928AAE" w14:textId="77777777" w:rsidTr="000A067B">
        <w:trPr>
          <w:trHeight w:val="272"/>
        </w:trPr>
        <w:tc>
          <w:tcPr>
            <w:tcW w:w="1733" w:type="pct"/>
            <w:vMerge/>
            <w:tcBorders>
              <w:top w:val="single" w:sz="4" w:space="0" w:color="auto"/>
              <w:left w:val="single" w:sz="4" w:space="0" w:color="auto"/>
              <w:bottom w:val="single" w:sz="4" w:space="0" w:color="auto"/>
              <w:right w:val="single" w:sz="4" w:space="0" w:color="auto"/>
            </w:tcBorders>
            <w:vAlign w:val="center"/>
            <w:hideMark/>
          </w:tcPr>
          <w:p w14:paraId="609BF980" w14:textId="77777777" w:rsidR="008674A8" w:rsidRPr="00B8307D" w:rsidRDefault="008674A8" w:rsidP="000A067B">
            <w:pPr>
              <w:widowControl w:val="0"/>
              <w:rPr>
                <w:sz w:val="22"/>
                <w:szCs w:val="22"/>
                <w:lang w:val="sr-Latn-ME" w:eastAsia="ja-JP"/>
              </w:rPr>
            </w:pPr>
          </w:p>
        </w:tc>
        <w:tc>
          <w:tcPr>
            <w:tcW w:w="1978" w:type="pct"/>
            <w:tcBorders>
              <w:top w:val="single" w:sz="4" w:space="0" w:color="auto"/>
              <w:left w:val="single" w:sz="4" w:space="0" w:color="auto"/>
              <w:right w:val="single" w:sz="4" w:space="0" w:color="auto"/>
            </w:tcBorders>
          </w:tcPr>
          <w:p w14:paraId="5ABF9BD5" w14:textId="77777777" w:rsidR="008674A8" w:rsidRPr="00B8307D" w:rsidRDefault="008674A8" w:rsidP="000A067B">
            <w:pPr>
              <w:widowControl w:val="0"/>
              <w:rPr>
                <w:sz w:val="22"/>
                <w:szCs w:val="22"/>
                <w:lang w:val="sr-Latn-ME" w:eastAsia="ja-JP"/>
              </w:rPr>
            </w:pPr>
            <w:r w:rsidRPr="00B8307D">
              <w:rPr>
                <w:sz w:val="22"/>
                <w:szCs w:val="22"/>
                <w:lang w:val="sr-Latn-ME" w:eastAsia="ja-JP"/>
              </w:rPr>
              <w:t>Pruritus</w:t>
            </w:r>
          </w:p>
        </w:tc>
        <w:tc>
          <w:tcPr>
            <w:tcW w:w="1289" w:type="pct"/>
            <w:tcBorders>
              <w:top w:val="single" w:sz="4" w:space="0" w:color="auto"/>
              <w:left w:val="single" w:sz="4" w:space="0" w:color="auto"/>
              <w:right w:val="single" w:sz="4" w:space="0" w:color="auto"/>
            </w:tcBorders>
          </w:tcPr>
          <w:p w14:paraId="03CA2FA5" w14:textId="77777777" w:rsidR="008674A8" w:rsidRPr="00B8307D" w:rsidRDefault="008674A8" w:rsidP="000A067B">
            <w:pPr>
              <w:widowControl w:val="0"/>
              <w:rPr>
                <w:sz w:val="22"/>
                <w:szCs w:val="22"/>
                <w:lang w:val="sr-Latn-ME" w:eastAsia="ja-JP"/>
              </w:rPr>
            </w:pPr>
            <w:r w:rsidRPr="00B8307D">
              <w:rPr>
                <w:sz w:val="22"/>
                <w:szCs w:val="22"/>
                <w:lang w:val="sr-Latn-ME" w:eastAsia="ja-JP"/>
              </w:rPr>
              <w:t>Često</w:t>
            </w:r>
          </w:p>
        </w:tc>
      </w:tr>
      <w:tr w:rsidR="008674A8" w:rsidRPr="00B8307D" w14:paraId="2CD3DE7F" w14:textId="77777777" w:rsidTr="000A067B">
        <w:trPr>
          <w:trHeight w:val="210"/>
        </w:trPr>
        <w:tc>
          <w:tcPr>
            <w:tcW w:w="1733" w:type="pct"/>
            <w:vMerge/>
            <w:tcBorders>
              <w:top w:val="single" w:sz="4" w:space="0" w:color="auto"/>
              <w:left w:val="single" w:sz="4" w:space="0" w:color="auto"/>
              <w:bottom w:val="single" w:sz="4" w:space="0" w:color="auto"/>
              <w:right w:val="single" w:sz="4" w:space="0" w:color="auto"/>
            </w:tcBorders>
            <w:vAlign w:val="center"/>
          </w:tcPr>
          <w:p w14:paraId="56DF28D3" w14:textId="77777777" w:rsidR="008674A8" w:rsidRPr="00B8307D" w:rsidRDefault="008674A8" w:rsidP="000A067B">
            <w:pPr>
              <w:widowControl w:val="0"/>
              <w:rPr>
                <w:sz w:val="22"/>
                <w:szCs w:val="22"/>
                <w:lang w:val="sr-Latn-ME" w:eastAsia="ja-JP"/>
              </w:rPr>
            </w:pPr>
          </w:p>
        </w:tc>
        <w:tc>
          <w:tcPr>
            <w:tcW w:w="1978" w:type="pct"/>
            <w:tcBorders>
              <w:top w:val="single" w:sz="4" w:space="0" w:color="auto"/>
              <w:left w:val="single" w:sz="4" w:space="0" w:color="auto"/>
              <w:bottom w:val="single" w:sz="4" w:space="0" w:color="auto"/>
              <w:right w:val="single" w:sz="4" w:space="0" w:color="auto"/>
            </w:tcBorders>
          </w:tcPr>
          <w:p w14:paraId="4A2E0AFB" w14:textId="77777777" w:rsidR="008674A8" w:rsidRPr="00B8307D" w:rsidRDefault="008674A8" w:rsidP="000A067B">
            <w:pPr>
              <w:widowControl w:val="0"/>
              <w:rPr>
                <w:sz w:val="22"/>
                <w:szCs w:val="22"/>
                <w:lang w:val="sr-Latn-ME" w:eastAsia="ja-JP"/>
              </w:rPr>
            </w:pPr>
            <w:r w:rsidRPr="00B8307D">
              <w:rPr>
                <w:sz w:val="22"/>
                <w:szCs w:val="22"/>
                <w:lang w:val="sr-Latn-ME" w:eastAsia="ja-JP"/>
              </w:rPr>
              <w:t>Onihoklaza</w:t>
            </w:r>
          </w:p>
        </w:tc>
        <w:tc>
          <w:tcPr>
            <w:tcW w:w="1289" w:type="pct"/>
            <w:tcBorders>
              <w:top w:val="single" w:sz="4" w:space="0" w:color="auto"/>
              <w:left w:val="single" w:sz="4" w:space="0" w:color="auto"/>
              <w:bottom w:val="single" w:sz="4" w:space="0" w:color="auto"/>
              <w:right w:val="single" w:sz="4" w:space="0" w:color="auto"/>
            </w:tcBorders>
          </w:tcPr>
          <w:p w14:paraId="63682156" w14:textId="77777777" w:rsidR="008674A8" w:rsidRPr="00B8307D" w:rsidRDefault="008674A8" w:rsidP="000A067B">
            <w:pPr>
              <w:widowControl w:val="0"/>
              <w:rPr>
                <w:sz w:val="22"/>
                <w:szCs w:val="22"/>
                <w:lang w:val="sr-Latn-ME" w:eastAsia="ja-JP"/>
              </w:rPr>
            </w:pPr>
            <w:r w:rsidRPr="00B8307D">
              <w:rPr>
                <w:sz w:val="22"/>
                <w:szCs w:val="22"/>
                <w:lang w:val="sr-Latn-ME" w:eastAsia="ja-JP"/>
              </w:rPr>
              <w:t>Često</w:t>
            </w:r>
          </w:p>
        </w:tc>
      </w:tr>
      <w:tr w:rsidR="008674A8" w:rsidRPr="00B8307D" w14:paraId="43868A53" w14:textId="77777777" w:rsidTr="000A067B">
        <w:trPr>
          <w:trHeight w:val="120"/>
        </w:trPr>
        <w:tc>
          <w:tcPr>
            <w:tcW w:w="1733" w:type="pct"/>
            <w:vMerge/>
            <w:tcBorders>
              <w:top w:val="single" w:sz="4" w:space="0" w:color="auto"/>
              <w:left w:val="single" w:sz="4" w:space="0" w:color="auto"/>
              <w:bottom w:val="single" w:sz="4" w:space="0" w:color="auto"/>
              <w:right w:val="single" w:sz="4" w:space="0" w:color="auto"/>
            </w:tcBorders>
            <w:vAlign w:val="center"/>
            <w:hideMark/>
          </w:tcPr>
          <w:p w14:paraId="570B8A73" w14:textId="77777777" w:rsidR="008674A8" w:rsidRPr="00B8307D" w:rsidRDefault="008674A8" w:rsidP="000A067B">
            <w:pPr>
              <w:widowControl w:val="0"/>
              <w:rPr>
                <w:sz w:val="22"/>
                <w:szCs w:val="22"/>
                <w:lang w:val="sr-Latn-ME" w:eastAsia="ja-JP"/>
              </w:rPr>
            </w:pPr>
          </w:p>
        </w:tc>
        <w:tc>
          <w:tcPr>
            <w:tcW w:w="1978" w:type="pct"/>
            <w:tcBorders>
              <w:top w:val="single" w:sz="4" w:space="0" w:color="auto"/>
              <w:left w:val="single" w:sz="4" w:space="0" w:color="auto"/>
              <w:bottom w:val="single" w:sz="4" w:space="0" w:color="auto"/>
              <w:right w:val="single" w:sz="4" w:space="0" w:color="auto"/>
            </w:tcBorders>
          </w:tcPr>
          <w:p w14:paraId="70CB2F39" w14:textId="77777777" w:rsidR="008674A8" w:rsidRPr="00B8307D" w:rsidRDefault="008674A8" w:rsidP="000A067B">
            <w:pPr>
              <w:widowControl w:val="0"/>
              <w:rPr>
                <w:sz w:val="22"/>
                <w:szCs w:val="22"/>
                <w:lang w:val="sr-Latn-ME" w:eastAsia="ja-JP"/>
              </w:rPr>
            </w:pPr>
            <w:r w:rsidRPr="00B8307D">
              <w:rPr>
                <w:sz w:val="22"/>
                <w:szCs w:val="22"/>
                <w:lang w:val="sr-Latn-ME" w:eastAsia="ja-JP"/>
              </w:rPr>
              <w:t>Dermatitis</w:t>
            </w:r>
          </w:p>
        </w:tc>
        <w:tc>
          <w:tcPr>
            <w:tcW w:w="1289" w:type="pct"/>
            <w:tcBorders>
              <w:top w:val="single" w:sz="4" w:space="0" w:color="auto"/>
              <w:left w:val="single" w:sz="4" w:space="0" w:color="auto"/>
              <w:bottom w:val="single" w:sz="4" w:space="0" w:color="auto"/>
              <w:right w:val="single" w:sz="4" w:space="0" w:color="auto"/>
            </w:tcBorders>
          </w:tcPr>
          <w:p w14:paraId="3DDF888E" w14:textId="77777777" w:rsidR="008674A8" w:rsidRPr="00B8307D" w:rsidRDefault="008674A8" w:rsidP="000A067B">
            <w:pPr>
              <w:widowControl w:val="0"/>
              <w:rPr>
                <w:sz w:val="22"/>
                <w:szCs w:val="22"/>
                <w:lang w:val="sr-Latn-ME" w:eastAsia="ja-JP"/>
              </w:rPr>
            </w:pPr>
            <w:r w:rsidRPr="00B8307D">
              <w:rPr>
                <w:sz w:val="22"/>
                <w:szCs w:val="22"/>
                <w:lang w:val="sr-Latn-ME" w:eastAsia="ja-JP"/>
              </w:rPr>
              <w:t>Često</w:t>
            </w:r>
          </w:p>
        </w:tc>
      </w:tr>
      <w:tr w:rsidR="008674A8" w:rsidRPr="00B8307D" w14:paraId="4E1F741E" w14:textId="77777777" w:rsidTr="000A067B">
        <w:trPr>
          <w:trHeight w:val="120"/>
        </w:trPr>
        <w:tc>
          <w:tcPr>
            <w:tcW w:w="1733" w:type="pct"/>
            <w:vMerge/>
            <w:tcBorders>
              <w:top w:val="single" w:sz="4" w:space="0" w:color="auto"/>
              <w:left w:val="single" w:sz="4" w:space="0" w:color="auto"/>
              <w:bottom w:val="single" w:sz="4" w:space="0" w:color="auto"/>
              <w:right w:val="single" w:sz="4" w:space="0" w:color="auto"/>
            </w:tcBorders>
            <w:vAlign w:val="center"/>
            <w:hideMark/>
          </w:tcPr>
          <w:p w14:paraId="1B756AB8" w14:textId="77777777" w:rsidR="008674A8" w:rsidRPr="00B8307D" w:rsidRDefault="008674A8" w:rsidP="000A067B">
            <w:pPr>
              <w:widowControl w:val="0"/>
              <w:rPr>
                <w:sz w:val="22"/>
                <w:szCs w:val="22"/>
                <w:lang w:val="sr-Latn-ME" w:eastAsia="ja-JP"/>
              </w:rPr>
            </w:pPr>
          </w:p>
        </w:tc>
        <w:tc>
          <w:tcPr>
            <w:tcW w:w="1978" w:type="pct"/>
            <w:tcBorders>
              <w:top w:val="single" w:sz="4" w:space="0" w:color="auto"/>
              <w:left w:val="single" w:sz="4" w:space="0" w:color="auto"/>
              <w:bottom w:val="single" w:sz="4" w:space="0" w:color="auto"/>
              <w:right w:val="single" w:sz="4" w:space="0" w:color="auto"/>
            </w:tcBorders>
          </w:tcPr>
          <w:p w14:paraId="028BE326" w14:textId="77777777" w:rsidR="008674A8" w:rsidRPr="00B8307D" w:rsidRDefault="008674A8" w:rsidP="000A067B">
            <w:pPr>
              <w:widowControl w:val="0"/>
              <w:rPr>
                <w:sz w:val="22"/>
                <w:szCs w:val="22"/>
                <w:lang w:val="sr-Latn-ME" w:eastAsia="ja-JP"/>
              </w:rPr>
            </w:pPr>
            <w:r w:rsidRPr="00B8307D">
              <w:rPr>
                <w:sz w:val="22"/>
                <w:szCs w:val="22"/>
                <w:lang w:val="sr-Latn-ME" w:eastAsia="ja-JP"/>
              </w:rPr>
              <w:t>Urtikarija</w:t>
            </w:r>
          </w:p>
        </w:tc>
        <w:tc>
          <w:tcPr>
            <w:tcW w:w="1289" w:type="pct"/>
            <w:tcBorders>
              <w:top w:val="single" w:sz="4" w:space="0" w:color="auto"/>
              <w:left w:val="single" w:sz="4" w:space="0" w:color="auto"/>
              <w:bottom w:val="single" w:sz="4" w:space="0" w:color="auto"/>
              <w:right w:val="single" w:sz="4" w:space="0" w:color="auto"/>
            </w:tcBorders>
          </w:tcPr>
          <w:p w14:paraId="4B95D529" w14:textId="77777777" w:rsidR="008674A8" w:rsidRPr="00B8307D" w:rsidRDefault="008674A8" w:rsidP="000A067B">
            <w:pPr>
              <w:widowControl w:val="0"/>
              <w:rPr>
                <w:sz w:val="22"/>
                <w:szCs w:val="22"/>
                <w:lang w:val="sr-Latn-ME" w:eastAsia="ja-JP"/>
              </w:rPr>
            </w:pPr>
            <w:r w:rsidRPr="00B8307D">
              <w:rPr>
                <w:sz w:val="22"/>
                <w:szCs w:val="22"/>
                <w:lang w:val="sr-Latn-ME" w:eastAsia="ja-JP"/>
              </w:rPr>
              <w:t>Povremeno</w:t>
            </w:r>
          </w:p>
        </w:tc>
      </w:tr>
      <w:tr w:rsidR="008674A8" w:rsidRPr="00B8307D" w14:paraId="7C5F1DCC" w14:textId="77777777" w:rsidTr="000A067B">
        <w:trPr>
          <w:trHeight w:val="120"/>
        </w:trPr>
        <w:tc>
          <w:tcPr>
            <w:tcW w:w="1733" w:type="pct"/>
            <w:vMerge/>
            <w:tcBorders>
              <w:top w:val="single" w:sz="4" w:space="0" w:color="auto"/>
              <w:left w:val="single" w:sz="4" w:space="0" w:color="auto"/>
              <w:bottom w:val="single" w:sz="4" w:space="0" w:color="auto"/>
              <w:right w:val="single" w:sz="4" w:space="0" w:color="auto"/>
            </w:tcBorders>
            <w:vAlign w:val="center"/>
            <w:hideMark/>
          </w:tcPr>
          <w:p w14:paraId="27B674CC" w14:textId="77777777" w:rsidR="008674A8" w:rsidRPr="00B8307D" w:rsidRDefault="008674A8" w:rsidP="000A067B">
            <w:pPr>
              <w:widowControl w:val="0"/>
              <w:rPr>
                <w:sz w:val="22"/>
                <w:szCs w:val="22"/>
                <w:lang w:val="sr-Latn-ME" w:eastAsia="ja-JP"/>
              </w:rPr>
            </w:pPr>
          </w:p>
        </w:tc>
        <w:tc>
          <w:tcPr>
            <w:tcW w:w="1978" w:type="pct"/>
            <w:tcBorders>
              <w:top w:val="single" w:sz="4" w:space="0" w:color="auto"/>
              <w:left w:val="single" w:sz="4" w:space="0" w:color="auto"/>
              <w:bottom w:val="single" w:sz="4" w:space="0" w:color="auto"/>
              <w:right w:val="single" w:sz="4" w:space="0" w:color="auto"/>
            </w:tcBorders>
            <w:hideMark/>
          </w:tcPr>
          <w:p w14:paraId="1DAB7E0B" w14:textId="77777777" w:rsidR="008674A8" w:rsidRPr="00B8307D" w:rsidRDefault="008674A8" w:rsidP="000A067B">
            <w:pPr>
              <w:widowControl w:val="0"/>
              <w:rPr>
                <w:sz w:val="22"/>
                <w:szCs w:val="22"/>
                <w:lang w:val="sr-Latn-ME" w:eastAsia="ja-JP"/>
              </w:rPr>
            </w:pPr>
            <w:r w:rsidRPr="00B8307D">
              <w:rPr>
                <w:sz w:val="22"/>
                <w:szCs w:val="22"/>
                <w:lang w:val="sr-Latn-ME" w:eastAsia="ja-JP"/>
              </w:rPr>
              <w:t>Angioedem</w:t>
            </w:r>
          </w:p>
        </w:tc>
        <w:tc>
          <w:tcPr>
            <w:tcW w:w="1289" w:type="pct"/>
            <w:tcBorders>
              <w:top w:val="single" w:sz="4" w:space="0" w:color="auto"/>
              <w:left w:val="single" w:sz="4" w:space="0" w:color="auto"/>
              <w:bottom w:val="single" w:sz="4" w:space="0" w:color="auto"/>
              <w:right w:val="single" w:sz="4" w:space="0" w:color="auto"/>
            </w:tcBorders>
            <w:hideMark/>
          </w:tcPr>
          <w:p w14:paraId="570F2DDB" w14:textId="77777777" w:rsidR="008674A8" w:rsidRPr="00B8307D" w:rsidRDefault="008674A8" w:rsidP="000A067B">
            <w:pPr>
              <w:widowControl w:val="0"/>
              <w:rPr>
                <w:sz w:val="22"/>
                <w:szCs w:val="22"/>
                <w:lang w:val="sr-Latn-ME" w:eastAsia="ja-JP"/>
              </w:rPr>
            </w:pPr>
            <w:r w:rsidRPr="00B8307D">
              <w:rPr>
                <w:sz w:val="22"/>
                <w:szCs w:val="22"/>
                <w:lang w:val="sr-Latn-ME" w:eastAsia="ja-JP"/>
              </w:rPr>
              <w:t>Nepoznato</w:t>
            </w:r>
          </w:p>
        </w:tc>
      </w:tr>
      <w:tr w:rsidR="008674A8" w:rsidRPr="00B8307D" w14:paraId="69AF8BF3" w14:textId="77777777" w:rsidTr="000A067B">
        <w:trPr>
          <w:trHeight w:val="173"/>
        </w:trPr>
        <w:tc>
          <w:tcPr>
            <w:tcW w:w="1733" w:type="pct"/>
            <w:vMerge w:val="restart"/>
            <w:tcBorders>
              <w:top w:val="single" w:sz="4" w:space="0" w:color="auto"/>
              <w:left w:val="single" w:sz="4" w:space="0" w:color="auto"/>
              <w:right w:val="single" w:sz="4" w:space="0" w:color="auto"/>
            </w:tcBorders>
            <w:hideMark/>
          </w:tcPr>
          <w:p w14:paraId="680702E2" w14:textId="77777777" w:rsidR="008674A8" w:rsidRPr="00B8307D" w:rsidRDefault="008674A8" w:rsidP="000A067B">
            <w:pPr>
              <w:widowControl w:val="0"/>
              <w:rPr>
                <w:sz w:val="22"/>
                <w:szCs w:val="22"/>
                <w:lang w:val="sr-Latn-ME" w:eastAsia="ja-JP"/>
              </w:rPr>
            </w:pPr>
            <w:r w:rsidRPr="00B8307D">
              <w:rPr>
                <w:sz w:val="22"/>
                <w:szCs w:val="22"/>
                <w:lang w:val="sr-Latn-ME" w:eastAsia="ja-JP"/>
              </w:rPr>
              <w:t>Poremećaji koštano-mišićnog i vezivnog tkiva</w:t>
            </w:r>
          </w:p>
        </w:tc>
        <w:tc>
          <w:tcPr>
            <w:tcW w:w="1978" w:type="pct"/>
            <w:tcBorders>
              <w:top w:val="single" w:sz="4" w:space="0" w:color="auto"/>
              <w:left w:val="single" w:sz="4" w:space="0" w:color="auto"/>
              <w:bottom w:val="single" w:sz="4" w:space="0" w:color="auto"/>
              <w:right w:val="single" w:sz="4" w:space="0" w:color="auto"/>
            </w:tcBorders>
            <w:hideMark/>
          </w:tcPr>
          <w:p w14:paraId="700687F8" w14:textId="77777777" w:rsidR="008674A8" w:rsidRPr="00B8307D" w:rsidRDefault="008674A8" w:rsidP="000A067B">
            <w:pPr>
              <w:widowControl w:val="0"/>
              <w:rPr>
                <w:sz w:val="22"/>
                <w:szCs w:val="22"/>
                <w:lang w:val="sr-Latn-ME" w:eastAsia="ja-JP"/>
              </w:rPr>
            </w:pPr>
            <w:r w:rsidRPr="00B8307D">
              <w:rPr>
                <w:sz w:val="22"/>
                <w:szCs w:val="22"/>
                <w:lang w:val="sr-Latn-ME" w:eastAsia="ja-JP"/>
              </w:rPr>
              <w:t>Artralgija</w:t>
            </w:r>
          </w:p>
        </w:tc>
        <w:tc>
          <w:tcPr>
            <w:tcW w:w="1289" w:type="pct"/>
            <w:tcBorders>
              <w:top w:val="single" w:sz="4" w:space="0" w:color="auto"/>
              <w:left w:val="single" w:sz="4" w:space="0" w:color="auto"/>
              <w:bottom w:val="single" w:sz="4" w:space="0" w:color="auto"/>
              <w:right w:val="single" w:sz="4" w:space="0" w:color="auto"/>
            </w:tcBorders>
            <w:hideMark/>
          </w:tcPr>
          <w:p w14:paraId="459B1633" w14:textId="77777777" w:rsidR="008674A8" w:rsidRPr="00B8307D" w:rsidRDefault="008674A8" w:rsidP="000A067B">
            <w:pPr>
              <w:widowControl w:val="0"/>
              <w:rPr>
                <w:sz w:val="22"/>
                <w:szCs w:val="22"/>
                <w:lang w:val="sr-Latn-ME" w:eastAsia="ja-JP"/>
              </w:rPr>
            </w:pPr>
            <w:r w:rsidRPr="00B8307D">
              <w:rPr>
                <w:sz w:val="22"/>
                <w:szCs w:val="22"/>
                <w:lang w:val="sr-Latn-ME" w:eastAsia="ja-JP"/>
              </w:rPr>
              <w:t>Vrlo često</w:t>
            </w:r>
          </w:p>
        </w:tc>
      </w:tr>
      <w:tr w:rsidR="008674A8" w:rsidRPr="00B8307D" w14:paraId="7111A630" w14:textId="77777777" w:rsidTr="000A067B">
        <w:trPr>
          <w:trHeight w:val="195"/>
        </w:trPr>
        <w:tc>
          <w:tcPr>
            <w:tcW w:w="1733" w:type="pct"/>
            <w:vMerge/>
            <w:tcBorders>
              <w:left w:val="single" w:sz="4" w:space="0" w:color="auto"/>
              <w:right w:val="single" w:sz="4" w:space="0" w:color="auto"/>
            </w:tcBorders>
            <w:vAlign w:val="center"/>
            <w:hideMark/>
          </w:tcPr>
          <w:p w14:paraId="0E98D8ED" w14:textId="77777777" w:rsidR="008674A8" w:rsidRPr="00B8307D" w:rsidRDefault="008674A8" w:rsidP="000A067B">
            <w:pPr>
              <w:widowControl w:val="0"/>
              <w:rPr>
                <w:sz w:val="22"/>
                <w:szCs w:val="22"/>
                <w:lang w:val="sr-Latn-ME" w:eastAsia="ja-JP"/>
              </w:rPr>
            </w:pPr>
          </w:p>
        </w:tc>
        <w:tc>
          <w:tcPr>
            <w:tcW w:w="1978" w:type="pct"/>
            <w:tcBorders>
              <w:top w:val="single" w:sz="4" w:space="0" w:color="auto"/>
              <w:left w:val="single" w:sz="4" w:space="0" w:color="auto"/>
              <w:bottom w:val="single" w:sz="4" w:space="0" w:color="auto"/>
              <w:right w:val="single" w:sz="4" w:space="0" w:color="auto"/>
            </w:tcBorders>
            <w:hideMark/>
          </w:tcPr>
          <w:p w14:paraId="18C6A1F0" w14:textId="77777777" w:rsidR="008674A8" w:rsidRPr="00B8307D" w:rsidRDefault="008674A8" w:rsidP="000A067B">
            <w:pPr>
              <w:widowControl w:val="0"/>
              <w:rPr>
                <w:sz w:val="22"/>
                <w:szCs w:val="22"/>
                <w:lang w:val="sr-Latn-ME" w:eastAsia="ja-JP"/>
              </w:rPr>
            </w:pPr>
            <w:r w:rsidRPr="00B8307D">
              <w:rPr>
                <w:sz w:val="22"/>
                <w:szCs w:val="22"/>
                <w:vertAlign w:val="superscript"/>
                <w:lang w:val="sr-Latn-ME" w:eastAsia="ja-JP"/>
              </w:rPr>
              <w:t>1</w:t>
            </w:r>
            <w:r w:rsidRPr="00B8307D">
              <w:rPr>
                <w:sz w:val="22"/>
                <w:szCs w:val="22"/>
                <w:lang w:val="sr-Latn-ME" w:eastAsia="ja-JP"/>
              </w:rPr>
              <w:t>Napetost mišića</w:t>
            </w:r>
          </w:p>
        </w:tc>
        <w:tc>
          <w:tcPr>
            <w:tcW w:w="1289" w:type="pct"/>
            <w:tcBorders>
              <w:top w:val="single" w:sz="4" w:space="0" w:color="auto"/>
              <w:left w:val="single" w:sz="4" w:space="0" w:color="auto"/>
              <w:bottom w:val="single" w:sz="4" w:space="0" w:color="auto"/>
              <w:right w:val="single" w:sz="4" w:space="0" w:color="auto"/>
            </w:tcBorders>
            <w:hideMark/>
          </w:tcPr>
          <w:p w14:paraId="173F439D" w14:textId="77777777" w:rsidR="008674A8" w:rsidRPr="00B8307D" w:rsidRDefault="008674A8" w:rsidP="000A067B">
            <w:pPr>
              <w:widowControl w:val="0"/>
              <w:rPr>
                <w:sz w:val="22"/>
                <w:szCs w:val="22"/>
                <w:lang w:val="sr-Latn-ME" w:eastAsia="ja-JP"/>
              </w:rPr>
            </w:pPr>
            <w:r w:rsidRPr="00B8307D">
              <w:rPr>
                <w:sz w:val="22"/>
                <w:szCs w:val="22"/>
                <w:lang w:val="sr-Latn-ME" w:eastAsia="ja-JP"/>
              </w:rPr>
              <w:t>Vrlo često</w:t>
            </w:r>
          </w:p>
        </w:tc>
      </w:tr>
      <w:tr w:rsidR="008674A8" w:rsidRPr="00B8307D" w14:paraId="3D0CD546" w14:textId="77777777" w:rsidTr="000A067B">
        <w:trPr>
          <w:trHeight w:val="120"/>
        </w:trPr>
        <w:tc>
          <w:tcPr>
            <w:tcW w:w="1733" w:type="pct"/>
            <w:vMerge/>
            <w:tcBorders>
              <w:left w:val="single" w:sz="4" w:space="0" w:color="auto"/>
              <w:right w:val="single" w:sz="4" w:space="0" w:color="auto"/>
            </w:tcBorders>
            <w:vAlign w:val="center"/>
            <w:hideMark/>
          </w:tcPr>
          <w:p w14:paraId="4D217C91" w14:textId="77777777" w:rsidR="008674A8" w:rsidRPr="00B8307D" w:rsidRDefault="008674A8" w:rsidP="000A067B">
            <w:pPr>
              <w:widowControl w:val="0"/>
              <w:rPr>
                <w:sz w:val="22"/>
                <w:szCs w:val="22"/>
                <w:lang w:val="sr-Latn-ME" w:eastAsia="ja-JP"/>
              </w:rPr>
            </w:pPr>
          </w:p>
        </w:tc>
        <w:tc>
          <w:tcPr>
            <w:tcW w:w="1978" w:type="pct"/>
            <w:tcBorders>
              <w:top w:val="single" w:sz="4" w:space="0" w:color="auto"/>
              <w:left w:val="single" w:sz="4" w:space="0" w:color="auto"/>
              <w:bottom w:val="single" w:sz="4" w:space="0" w:color="auto"/>
              <w:right w:val="single" w:sz="4" w:space="0" w:color="auto"/>
            </w:tcBorders>
            <w:hideMark/>
          </w:tcPr>
          <w:p w14:paraId="18B4ADB4" w14:textId="77777777" w:rsidR="008674A8" w:rsidRPr="00B8307D" w:rsidRDefault="008674A8" w:rsidP="000A067B">
            <w:pPr>
              <w:widowControl w:val="0"/>
              <w:rPr>
                <w:sz w:val="22"/>
                <w:szCs w:val="22"/>
                <w:lang w:val="sr-Latn-ME" w:eastAsia="ja-JP"/>
              </w:rPr>
            </w:pPr>
            <w:r w:rsidRPr="00B8307D">
              <w:rPr>
                <w:sz w:val="22"/>
                <w:szCs w:val="22"/>
                <w:lang w:val="sr-Latn-ME" w:eastAsia="ja-JP"/>
              </w:rPr>
              <w:t>Bol u mišićima</w:t>
            </w:r>
          </w:p>
        </w:tc>
        <w:tc>
          <w:tcPr>
            <w:tcW w:w="1289" w:type="pct"/>
            <w:tcBorders>
              <w:top w:val="single" w:sz="4" w:space="0" w:color="auto"/>
              <w:left w:val="single" w:sz="4" w:space="0" w:color="auto"/>
              <w:bottom w:val="single" w:sz="4" w:space="0" w:color="auto"/>
              <w:right w:val="single" w:sz="4" w:space="0" w:color="auto"/>
            </w:tcBorders>
            <w:hideMark/>
          </w:tcPr>
          <w:p w14:paraId="6678A2DD" w14:textId="77777777" w:rsidR="008674A8" w:rsidRPr="00B8307D" w:rsidRDefault="008674A8" w:rsidP="000A067B">
            <w:pPr>
              <w:widowControl w:val="0"/>
              <w:rPr>
                <w:sz w:val="22"/>
                <w:szCs w:val="22"/>
                <w:lang w:val="sr-Latn-ME" w:eastAsia="ja-JP"/>
              </w:rPr>
            </w:pPr>
            <w:r w:rsidRPr="00B8307D">
              <w:rPr>
                <w:sz w:val="22"/>
                <w:szCs w:val="22"/>
                <w:lang w:val="sr-Latn-ME" w:eastAsia="ja-JP"/>
              </w:rPr>
              <w:t>Vrlo često</w:t>
            </w:r>
          </w:p>
        </w:tc>
      </w:tr>
      <w:tr w:rsidR="008674A8" w:rsidRPr="00B8307D" w14:paraId="0ABA1053" w14:textId="77777777" w:rsidTr="000A067B">
        <w:trPr>
          <w:trHeight w:val="120"/>
        </w:trPr>
        <w:tc>
          <w:tcPr>
            <w:tcW w:w="1733" w:type="pct"/>
            <w:vMerge/>
            <w:tcBorders>
              <w:left w:val="single" w:sz="4" w:space="0" w:color="auto"/>
              <w:right w:val="single" w:sz="4" w:space="0" w:color="auto"/>
            </w:tcBorders>
            <w:vAlign w:val="center"/>
            <w:hideMark/>
          </w:tcPr>
          <w:p w14:paraId="305EA1DE" w14:textId="77777777" w:rsidR="008674A8" w:rsidRPr="00B8307D" w:rsidRDefault="008674A8" w:rsidP="000A067B">
            <w:pPr>
              <w:widowControl w:val="0"/>
              <w:rPr>
                <w:sz w:val="22"/>
                <w:szCs w:val="22"/>
                <w:lang w:val="sr-Latn-ME" w:eastAsia="ja-JP"/>
              </w:rPr>
            </w:pPr>
          </w:p>
        </w:tc>
        <w:tc>
          <w:tcPr>
            <w:tcW w:w="1978" w:type="pct"/>
            <w:tcBorders>
              <w:top w:val="single" w:sz="4" w:space="0" w:color="auto"/>
              <w:left w:val="single" w:sz="4" w:space="0" w:color="auto"/>
              <w:bottom w:val="single" w:sz="4" w:space="0" w:color="auto"/>
              <w:right w:val="single" w:sz="4" w:space="0" w:color="auto"/>
            </w:tcBorders>
            <w:hideMark/>
          </w:tcPr>
          <w:p w14:paraId="39748768" w14:textId="77777777" w:rsidR="008674A8" w:rsidRPr="00B8307D" w:rsidRDefault="008674A8" w:rsidP="000A067B">
            <w:pPr>
              <w:widowControl w:val="0"/>
              <w:rPr>
                <w:sz w:val="22"/>
                <w:szCs w:val="22"/>
                <w:lang w:val="sr-Latn-ME" w:eastAsia="ja-JP"/>
              </w:rPr>
            </w:pPr>
            <w:r w:rsidRPr="00B8307D">
              <w:rPr>
                <w:sz w:val="22"/>
                <w:szCs w:val="22"/>
                <w:lang w:val="sr-Latn-ME" w:eastAsia="ja-JP"/>
              </w:rPr>
              <w:t>Artritis</w:t>
            </w:r>
          </w:p>
        </w:tc>
        <w:tc>
          <w:tcPr>
            <w:tcW w:w="1289" w:type="pct"/>
            <w:tcBorders>
              <w:top w:val="single" w:sz="4" w:space="0" w:color="auto"/>
              <w:left w:val="single" w:sz="4" w:space="0" w:color="auto"/>
              <w:bottom w:val="single" w:sz="4" w:space="0" w:color="auto"/>
              <w:right w:val="single" w:sz="4" w:space="0" w:color="auto"/>
            </w:tcBorders>
            <w:hideMark/>
          </w:tcPr>
          <w:p w14:paraId="467B7EBE" w14:textId="77777777" w:rsidR="008674A8" w:rsidRPr="00B8307D" w:rsidRDefault="008674A8" w:rsidP="000A067B">
            <w:pPr>
              <w:widowControl w:val="0"/>
              <w:rPr>
                <w:sz w:val="22"/>
                <w:szCs w:val="22"/>
                <w:lang w:val="sr-Latn-ME" w:eastAsia="ja-JP"/>
              </w:rPr>
            </w:pPr>
            <w:r w:rsidRPr="00B8307D">
              <w:rPr>
                <w:sz w:val="22"/>
                <w:szCs w:val="22"/>
                <w:lang w:val="sr-Latn-ME" w:eastAsia="ja-JP"/>
              </w:rPr>
              <w:t>Često</w:t>
            </w:r>
          </w:p>
        </w:tc>
      </w:tr>
      <w:tr w:rsidR="008674A8" w:rsidRPr="00B8307D" w14:paraId="10C39E10" w14:textId="77777777" w:rsidTr="000A067B">
        <w:trPr>
          <w:trHeight w:val="285"/>
        </w:trPr>
        <w:tc>
          <w:tcPr>
            <w:tcW w:w="1733" w:type="pct"/>
            <w:vMerge/>
            <w:tcBorders>
              <w:left w:val="single" w:sz="4" w:space="0" w:color="auto"/>
              <w:right w:val="single" w:sz="4" w:space="0" w:color="auto"/>
            </w:tcBorders>
            <w:vAlign w:val="center"/>
            <w:hideMark/>
          </w:tcPr>
          <w:p w14:paraId="1F10F6B4" w14:textId="77777777" w:rsidR="008674A8" w:rsidRPr="00B8307D" w:rsidRDefault="008674A8" w:rsidP="000A067B">
            <w:pPr>
              <w:widowControl w:val="0"/>
              <w:rPr>
                <w:sz w:val="22"/>
                <w:szCs w:val="22"/>
                <w:lang w:val="sr-Latn-ME" w:eastAsia="ja-JP"/>
              </w:rPr>
            </w:pPr>
          </w:p>
        </w:tc>
        <w:tc>
          <w:tcPr>
            <w:tcW w:w="1978" w:type="pct"/>
            <w:tcBorders>
              <w:top w:val="single" w:sz="4" w:space="0" w:color="auto"/>
              <w:left w:val="single" w:sz="4" w:space="0" w:color="auto"/>
              <w:bottom w:val="single" w:sz="4" w:space="0" w:color="auto"/>
              <w:right w:val="single" w:sz="4" w:space="0" w:color="auto"/>
            </w:tcBorders>
            <w:hideMark/>
          </w:tcPr>
          <w:p w14:paraId="68D513DB" w14:textId="77777777" w:rsidR="008674A8" w:rsidRPr="00B8307D" w:rsidRDefault="008674A8" w:rsidP="000A067B">
            <w:pPr>
              <w:widowControl w:val="0"/>
              <w:tabs>
                <w:tab w:val="center" w:pos="1928"/>
              </w:tabs>
              <w:rPr>
                <w:sz w:val="22"/>
                <w:szCs w:val="22"/>
                <w:lang w:val="sr-Latn-ME" w:eastAsia="ja-JP"/>
              </w:rPr>
            </w:pPr>
            <w:r w:rsidRPr="00B8307D">
              <w:rPr>
                <w:sz w:val="22"/>
                <w:szCs w:val="22"/>
                <w:lang w:val="sr-Latn-ME" w:eastAsia="ja-JP"/>
              </w:rPr>
              <w:t>Bol u leđima</w:t>
            </w:r>
            <w:r w:rsidRPr="00B8307D">
              <w:rPr>
                <w:sz w:val="22"/>
                <w:szCs w:val="22"/>
                <w:lang w:val="sr-Latn-ME" w:eastAsia="ja-JP"/>
              </w:rPr>
              <w:tab/>
            </w:r>
          </w:p>
        </w:tc>
        <w:tc>
          <w:tcPr>
            <w:tcW w:w="1289" w:type="pct"/>
            <w:tcBorders>
              <w:top w:val="single" w:sz="4" w:space="0" w:color="auto"/>
              <w:left w:val="single" w:sz="4" w:space="0" w:color="auto"/>
              <w:bottom w:val="single" w:sz="4" w:space="0" w:color="auto"/>
              <w:right w:val="single" w:sz="4" w:space="0" w:color="auto"/>
            </w:tcBorders>
            <w:hideMark/>
          </w:tcPr>
          <w:p w14:paraId="5167A8CD" w14:textId="77777777" w:rsidR="008674A8" w:rsidRPr="00B8307D" w:rsidRDefault="008674A8" w:rsidP="000A067B">
            <w:pPr>
              <w:widowControl w:val="0"/>
              <w:rPr>
                <w:sz w:val="22"/>
                <w:szCs w:val="22"/>
                <w:lang w:val="sr-Latn-ME" w:eastAsia="ja-JP"/>
              </w:rPr>
            </w:pPr>
            <w:r w:rsidRPr="00B8307D">
              <w:rPr>
                <w:sz w:val="22"/>
                <w:szCs w:val="22"/>
                <w:lang w:val="sr-Latn-ME" w:eastAsia="ja-JP"/>
              </w:rPr>
              <w:t>Često</w:t>
            </w:r>
          </w:p>
        </w:tc>
      </w:tr>
      <w:tr w:rsidR="008674A8" w:rsidRPr="00B8307D" w14:paraId="40858A76" w14:textId="77777777" w:rsidTr="000A067B">
        <w:trPr>
          <w:trHeight w:val="285"/>
        </w:trPr>
        <w:tc>
          <w:tcPr>
            <w:tcW w:w="1733" w:type="pct"/>
            <w:vMerge/>
            <w:tcBorders>
              <w:left w:val="single" w:sz="4" w:space="0" w:color="auto"/>
              <w:right w:val="single" w:sz="4" w:space="0" w:color="auto"/>
            </w:tcBorders>
            <w:vAlign w:val="center"/>
            <w:hideMark/>
          </w:tcPr>
          <w:p w14:paraId="3B937A45" w14:textId="77777777" w:rsidR="008674A8" w:rsidRPr="00B8307D" w:rsidRDefault="008674A8" w:rsidP="000A067B">
            <w:pPr>
              <w:widowControl w:val="0"/>
              <w:rPr>
                <w:sz w:val="22"/>
                <w:szCs w:val="22"/>
                <w:lang w:val="sr-Latn-ME" w:eastAsia="ja-JP"/>
              </w:rPr>
            </w:pPr>
          </w:p>
        </w:tc>
        <w:tc>
          <w:tcPr>
            <w:tcW w:w="1978" w:type="pct"/>
            <w:tcBorders>
              <w:top w:val="single" w:sz="4" w:space="0" w:color="auto"/>
              <w:left w:val="single" w:sz="4" w:space="0" w:color="auto"/>
              <w:bottom w:val="single" w:sz="4" w:space="0" w:color="auto"/>
              <w:right w:val="single" w:sz="4" w:space="0" w:color="auto"/>
            </w:tcBorders>
            <w:hideMark/>
          </w:tcPr>
          <w:p w14:paraId="23C67439" w14:textId="77777777" w:rsidR="008674A8" w:rsidRPr="00B8307D" w:rsidRDefault="008674A8" w:rsidP="000A067B">
            <w:pPr>
              <w:widowControl w:val="0"/>
              <w:rPr>
                <w:sz w:val="22"/>
                <w:szCs w:val="22"/>
                <w:lang w:val="sr-Latn-ME" w:eastAsia="ja-JP"/>
              </w:rPr>
            </w:pPr>
            <w:r w:rsidRPr="00B8307D">
              <w:rPr>
                <w:sz w:val="22"/>
                <w:szCs w:val="22"/>
                <w:lang w:val="sr-Latn-ME" w:eastAsia="ja-JP"/>
              </w:rPr>
              <w:t>Bol u kostima</w:t>
            </w:r>
          </w:p>
        </w:tc>
        <w:tc>
          <w:tcPr>
            <w:tcW w:w="1289" w:type="pct"/>
            <w:tcBorders>
              <w:top w:val="single" w:sz="4" w:space="0" w:color="auto"/>
              <w:left w:val="single" w:sz="4" w:space="0" w:color="auto"/>
              <w:bottom w:val="single" w:sz="4" w:space="0" w:color="auto"/>
              <w:right w:val="single" w:sz="4" w:space="0" w:color="auto"/>
            </w:tcBorders>
            <w:hideMark/>
          </w:tcPr>
          <w:p w14:paraId="0F65694E" w14:textId="77777777" w:rsidR="008674A8" w:rsidRPr="00B8307D" w:rsidRDefault="008674A8" w:rsidP="000A067B">
            <w:pPr>
              <w:widowControl w:val="0"/>
              <w:rPr>
                <w:sz w:val="22"/>
                <w:szCs w:val="22"/>
                <w:lang w:val="sr-Latn-ME" w:eastAsia="ja-JP"/>
              </w:rPr>
            </w:pPr>
            <w:r w:rsidRPr="00B8307D">
              <w:rPr>
                <w:sz w:val="22"/>
                <w:szCs w:val="22"/>
                <w:lang w:val="sr-Latn-ME" w:eastAsia="ja-JP"/>
              </w:rPr>
              <w:t>Često</w:t>
            </w:r>
          </w:p>
        </w:tc>
      </w:tr>
      <w:tr w:rsidR="008674A8" w:rsidRPr="00B8307D" w14:paraId="1B3732A1" w14:textId="77777777" w:rsidTr="000A067B">
        <w:trPr>
          <w:trHeight w:val="285"/>
        </w:trPr>
        <w:tc>
          <w:tcPr>
            <w:tcW w:w="1733" w:type="pct"/>
            <w:vMerge/>
            <w:tcBorders>
              <w:left w:val="single" w:sz="4" w:space="0" w:color="auto"/>
              <w:right w:val="single" w:sz="4" w:space="0" w:color="auto"/>
            </w:tcBorders>
            <w:vAlign w:val="center"/>
            <w:hideMark/>
          </w:tcPr>
          <w:p w14:paraId="5E1DA263" w14:textId="77777777" w:rsidR="008674A8" w:rsidRPr="00B8307D" w:rsidRDefault="008674A8" w:rsidP="000A067B">
            <w:pPr>
              <w:widowControl w:val="0"/>
              <w:rPr>
                <w:sz w:val="22"/>
                <w:szCs w:val="22"/>
                <w:lang w:val="sr-Latn-ME" w:eastAsia="ja-JP"/>
              </w:rPr>
            </w:pPr>
          </w:p>
        </w:tc>
        <w:tc>
          <w:tcPr>
            <w:tcW w:w="1978" w:type="pct"/>
            <w:tcBorders>
              <w:top w:val="single" w:sz="4" w:space="0" w:color="auto"/>
              <w:left w:val="single" w:sz="4" w:space="0" w:color="auto"/>
              <w:bottom w:val="single" w:sz="4" w:space="0" w:color="auto"/>
              <w:right w:val="single" w:sz="4" w:space="0" w:color="auto"/>
            </w:tcBorders>
            <w:hideMark/>
          </w:tcPr>
          <w:p w14:paraId="31EBA1C8" w14:textId="77777777" w:rsidR="008674A8" w:rsidRPr="00B8307D" w:rsidRDefault="008674A8" w:rsidP="000A067B">
            <w:pPr>
              <w:widowControl w:val="0"/>
              <w:rPr>
                <w:sz w:val="22"/>
                <w:szCs w:val="22"/>
                <w:lang w:val="sr-Latn-ME" w:eastAsia="ja-JP"/>
              </w:rPr>
            </w:pPr>
            <w:r w:rsidRPr="00B8307D">
              <w:rPr>
                <w:sz w:val="22"/>
                <w:szCs w:val="22"/>
                <w:lang w:val="sr-Latn-ME" w:eastAsia="ja-JP"/>
              </w:rPr>
              <w:t>Grčevi u mišićima</w:t>
            </w:r>
          </w:p>
        </w:tc>
        <w:tc>
          <w:tcPr>
            <w:tcW w:w="1289" w:type="pct"/>
            <w:tcBorders>
              <w:top w:val="single" w:sz="4" w:space="0" w:color="auto"/>
              <w:left w:val="single" w:sz="4" w:space="0" w:color="auto"/>
              <w:bottom w:val="single" w:sz="4" w:space="0" w:color="auto"/>
              <w:right w:val="single" w:sz="4" w:space="0" w:color="auto"/>
            </w:tcBorders>
            <w:hideMark/>
          </w:tcPr>
          <w:p w14:paraId="37AA4C20" w14:textId="77777777" w:rsidR="008674A8" w:rsidRPr="00B8307D" w:rsidRDefault="008674A8" w:rsidP="000A067B">
            <w:pPr>
              <w:widowControl w:val="0"/>
              <w:rPr>
                <w:sz w:val="22"/>
                <w:szCs w:val="22"/>
                <w:lang w:val="sr-Latn-ME" w:eastAsia="ja-JP"/>
              </w:rPr>
            </w:pPr>
            <w:r w:rsidRPr="00B8307D">
              <w:rPr>
                <w:sz w:val="22"/>
                <w:szCs w:val="22"/>
                <w:lang w:val="sr-Latn-ME" w:eastAsia="ja-JP"/>
              </w:rPr>
              <w:t>Često</w:t>
            </w:r>
          </w:p>
        </w:tc>
      </w:tr>
      <w:tr w:rsidR="008674A8" w:rsidRPr="00B8307D" w14:paraId="05C10ECB" w14:textId="77777777" w:rsidTr="000A067B">
        <w:trPr>
          <w:trHeight w:val="285"/>
        </w:trPr>
        <w:tc>
          <w:tcPr>
            <w:tcW w:w="1733" w:type="pct"/>
            <w:vMerge/>
            <w:tcBorders>
              <w:left w:val="single" w:sz="4" w:space="0" w:color="auto"/>
              <w:right w:val="single" w:sz="4" w:space="0" w:color="auto"/>
            </w:tcBorders>
            <w:vAlign w:val="center"/>
            <w:hideMark/>
          </w:tcPr>
          <w:p w14:paraId="2F9E1D83" w14:textId="77777777" w:rsidR="008674A8" w:rsidRPr="00B8307D" w:rsidRDefault="008674A8" w:rsidP="000A067B">
            <w:pPr>
              <w:widowControl w:val="0"/>
              <w:rPr>
                <w:sz w:val="22"/>
                <w:szCs w:val="22"/>
                <w:lang w:val="sr-Latn-ME" w:eastAsia="ja-JP"/>
              </w:rPr>
            </w:pPr>
          </w:p>
        </w:tc>
        <w:tc>
          <w:tcPr>
            <w:tcW w:w="1978" w:type="pct"/>
            <w:tcBorders>
              <w:top w:val="single" w:sz="4" w:space="0" w:color="auto"/>
              <w:left w:val="single" w:sz="4" w:space="0" w:color="auto"/>
              <w:bottom w:val="single" w:sz="4" w:space="0" w:color="auto"/>
              <w:right w:val="single" w:sz="4" w:space="0" w:color="auto"/>
            </w:tcBorders>
            <w:hideMark/>
          </w:tcPr>
          <w:p w14:paraId="5FDEE7F4" w14:textId="77777777" w:rsidR="008674A8" w:rsidRPr="00B8307D" w:rsidRDefault="008674A8" w:rsidP="000A067B">
            <w:pPr>
              <w:widowControl w:val="0"/>
              <w:rPr>
                <w:sz w:val="22"/>
                <w:szCs w:val="22"/>
                <w:lang w:val="sr-Latn-ME" w:eastAsia="ja-JP"/>
              </w:rPr>
            </w:pPr>
            <w:r w:rsidRPr="00B8307D">
              <w:rPr>
                <w:sz w:val="22"/>
                <w:szCs w:val="22"/>
                <w:lang w:val="sr-Latn-ME" w:eastAsia="ja-JP"/>
              </w:rPr>
              <w:t>Bol u vratu</w:t>
            </w:r>
          </w:p>
        </w:tc>
        <w:tc>
          <w:tcPr>
            <w:tcW w:w="1289" w:type="pct"/>
            <w:tcBorders>
              <w:top w:val="single" w:sz="4" w:space="0" w:color="auto"/>
              <w:left w:val="single" w:sz="4" w:space="0" w:color="auto"/>
              <w:bottom w:val="single" w:sz="4" w:space="0" w:color="auto"/>
              <w:right w:val="single" w:sz="4" w:space="0" w:color="auto"/>
            </w:tcBorders>
            <w:hideMark/>
          </w:tcPr>
          <w:p w14:paraId="057572C8" w14:textId="77777777" w:rsidR="008674A8" w:rsidRPr="00B8307D" w:rsidRDefault="008674A8" w:rsidP="000A067B">
            <w:pPr>
              <w:widowControl w:val="0"/>
              <w:rPr>
                <w:sz w:val="22"/>
                <w:szCs w:val="22"/>
                <w:lang w:val="sr-Latn-ME" w:eastAsia="ja-JP"/>
              </w:rPr>
            </w:pPr>
            <w:r w:rsidRPr="00B8307D">
              <w:rPr>
                <w:sz w:val="22"/>
                <w:szCs w:val="22"/>
                <w:lang w:val="sr-Latn-ME" w:eastAsia="ja-JP"/>
              </w:rPr>
              <w:t>Često</w:t>
            </w:r>
          </w:p>
        </w:tc>
      </w:tr>
      <w:tr w:rsidR="008674A8" w:rsidRPr="00B8307D" w14:paraId="7E8C9C4A" w14:textId="77777777" w:rsidTr="000A067B">
        <w:trPr>
          <w:trHeight w:val="285"/>
        </w:trPr>
        <w:tc>
          <w:tcPr>
            <w:tcW w:w="1733" w:type="pct"/>
            <w:vMerge/>
            <w:tcBorders>
              <w:left w:val="single" w:sz="4" w:space="0" w:color="auto"/>
              <w:bottom w:val="single" w:sz="4" w:space="0" w:color="auto"/>
              <w:right w:val="single" w:sz="4" w:space="0" w:color="auto"/>
            </w:tcBorders>
            <w:vAlign w:val="center"/>
          </w:tcPr>
          <w:p w14:paraId="5A6134B2" w14:textId="77777777" w:rsidR="008674A8" w:rsidRPr="00B8307D" w:rsidRDefault="008674A8" w:rsidP="000A067B">
            <w:pPr>
              <w:widowControl w:val="0"/>
              <w:rPr>
                <w:sz w:val="22"/>
                <w:szCs w:val="22"/>
                <w:lang w:val="sr-Latn-ME" w:eastAsia="ja-JP"/>
              </w:rPr>
            </w:pPr>
          </w:p>
        </w:tc>
        <w:tc>
          <w:tcPr>
            <w:tcW w:w="1978" w:type="pct"/>
            <w:tcBorders>
              <w:top w:val="single" w:sz="4" w:space="0" w:color="auto"/>
              <w:left w:val="single" w:sz="4" w:space="0" w:color="auto"/>
              <w:bottom w:val="single" w:sz="4" w:space="0" w:color="auto"/>
              <w:right w:val="single" w:sz="4" w:space="0" w:color="auto"/>
            </w:tcBorders>
          </w:tcPr>
          <w:p w14:paraId="5E2F7E48" w14:textId="77777777" w:rsidR="008674A8" w:rsidRPr="00B8307D" w:rsidRDefault="008674A8" w:rsidP="000A067B">
            <w:pPr>
              <w:widowControl w:val="0"/>
              <w:rPr>
                <w:sz w:val="22"/>
                <w:szCs w:val="22"/>
                <w:lang w:val="sr-Latn-ME" w:eastAsia="ja-JP"/>
              </w:rPr>
            </w:pPr>
            <w:r w:rsidRPr="00B8307D">
              <w:rPr>
                <w:sz w:val="22"/>
                <w:szCs w:val="22"/>
                <w:lang w:val="sr-Latn-ME" w:eastAsia="ja-JP"/>
              </w:rPr>
              <w:t>Bol u ekstremitetima</w:t>
            </w:r>
          </w:p>
        </w:tc>
        <w:tc>
          <w:tcPr>
            <w:tcW w:w="1289" w:type="pct"/>
            <w:tcBorders>
              <w:top w:val="single" w:sz="4" w:space="0" w:color="auto"/>
              <w:left w:val="single" w:sz="4" w:space="0" w:color="auto"/>
              <w:bottom w:val="single" w:sz="4" w:space="0" w:color="auto"/>
              <w:right w:val="single" w:sz="4" w:space="0" w:color="auto"/>
            </w:tcBorders>
          </w:tcPr>
          <w:p w14:paraId="5F0C8664" w14:textId="77777777" w:rsidR="008674A8" w:rsidRPr="00B8307D" w:rsidRDefault="008674A8" w:rsidP="000A067B">
            <w:pPr>
              <w:widowControl w:val="0"/>
              <w:rPr>
                <w:sz w:val="22"/>
                <w:szCs w:val="22"/>
                <w:lang w:val="sr-Latn-ME" w:eastAsia="ja-JP"/>
              </w:rPr>
            </w:pPr>
            <w:r w:rsidRPr="00B8307D">
              <w:rPr>
                <w:sz w:val="22"/>
                <w:szCs w:val="22"/>
                <w:lang w:val="sr-Latn-ME" w:eastAsia="ja-JP"/>
              </w:rPr>
              <w:t>Često</w:t>
            </w:r>
          </w:p>
        </w:tc>
      </w:tr>
      <w:tr w:rsidR="008674A8" w:rsidRPr="00B8307D" w14:paraId="736B477D" w14:textId="77777777" w:rsidTr="000A067B">
        <w:trPr>
          <w:trHeight w:val="303"/>
        </w:trPr>
        <w:tc>
          <w:tcPr>
            <w:tcW w:w="1733" w:type="pct"/>
            <w:vMerge w:val="restart"/>
            <w:tcBorders>
              <w:top w:val="single" w:sz="4" w:space="0" w:color="auto"/>
              <w:left w:val="single" w:sz="4" w:space="0" w:color="auto"/>
              <w:bottom w:val="single" w:sz="4" w:space="0" w:color="auto"/>
              <w:right w:val="single" w:sz="4" w:space="0" w:color="auto"/>
            </w:tcBorders>
            <w:hideMark/>
          </w:tcPr>
          <w:p w14:paraId="7354CDA6" w14:textId="77777777" w:rsidR="008674A8" w:rsidRPr="00B8307D" w:rsidRDefault="008674A8" w:rsidP="000A067B">
            <w:pPr>
              <w:widowControl w:val="0"/>
              <w:rPr>
                <w:sz w:val="22"/>
                <w:szCs w:val="22"/>
                <w:lang w:val="sr-Latn-ME" w:eastAsia="ja-JP"/>
              </w:rPr>
            </w:pPr>
            <w:r w:rsidRPr="00B8307D">
              <w:rPr>
                <w:sz w:val="22"/>
                <w:szCs w:val="22"/>
                <w:lang w:val="sr-Latn-ME" w:eastAsia="ja-JP"/>
              </w:rPr>
              <w:lastRenderedPageBreak/>
              <w:t>Bubrežni i urinarni poremećaji</w:t>
            </w:r>
          </w:p>
        </w:tc>
        <w:tc>
          <w:tcPr>
            <w:tcW w:w="1978" w:type="pct"/>
            <w:tcBorders>
              <w:top w:val="single" w:sz="4" w:space="0" w:color="auto"/>
              <w:left w:val="single" w:sz="4" w:space="0" w:color="auto"/>
              <w:bottom w:val="single" w:sz="4" w:space="0" w:color="auto"/>
              <w:right w:val="single" w:sz="4" w:space="0" w:color="auto"/>
            </w:tcBorders>
            <w:hideMark/>
          </w:tcPr>
          <w:p w14:paraId="1762426F" w14:textId="77777777" w:rsidR="008674A8" w:rsidRPr="00B8307D" w:rsidRDefault="008674A8" w:rsidP="000A067B">
            <w:pPr>
              <w:widowControl w:val="0"/>
              <w:rPr>
                <w:sz w:val="22"/>
                <w:szCs w:val="22"/>
                <w:lang w:val="sr-Latn-ME" w:eastAsia="ja-JP"/>
              </w:rPr>
            </w:pPr>
            <w:r w:rsidRPr="00B8307D">
              <w:rPr>
                <w:sz w:val="22"/>
                <w:szCs w:val="22"/>
                <w:lang w:val="sr-Latn-ME" w:eastAsia="ja-JP"/>
              </w:rPr>
              <w:t>Narušena funkcija bubrega</w:t>
            </w:r>
          </w:p>
        </w:tc>
        <w:tc>
          <w:tcPr>
            <w:tcW w:w="1289" w:type="pct"/>
            <w:tcBorders>
              <w:top w:val="single" w:sz="4" w:space="0" w:color="auto"/>
              <w:left w:val="single" w:sz="4" w:space="0" w:color="auto"/>
              <w:bottom w:val="single" w:sz="4" w:space="0" w:color="auto"/>
              <w:right w:val="single" w:sz="4" w:space="0" w:color="auto"/>
            </w:tcBorders>
            <w:hideMark/>
          </w:tcPr>
          <w:p w14:paraId="2F9B49CF" w14:textId="77777777" w:rsidR="008674A8" w:rsidRPr="00B8307D" w:rsidRDefault="008674A8" w:rsidP="000A067B">
            <w:pPr>
              <w:widowControl w:val="0"/>
              <w:rPr>
                <w:sz w:val="22"/>
                <w:szCs w:val="22"/>
                <w:lang w:val="sr-Latn-ME" w:eastAsia="ja-JP"/>
              </w:rPr>
            </w:pPr>
            <w:r w:rsidRPr="00B8307D">
              <w:rPr>
                <w:sz w:val="22"/>
                <w:szCs w:val="22"/>
                <w:lang w:val="sr-Latn-ME" w:eastAsia="ja-JP"/>
              </w:rPr>
              <w:t>Često</w:t>
            </w:r>
          </w:p>
        </w:tc>
      </w:tr>
      <w:tr w:rsidR="008674A8" w:rsidRPr="00B8307D" w14:paraId="1769C31D" w14:textId="77777777" w:rsidTr="000A067B">
        <w:trPr>
          <w:trHeight w:val="142"/>
        </w:trPr>
        <w:tc>
          <w:tcPr>
            <w:tcW w:w="1733" w:type="pct"/>
            <w:vMerge/>
            <w:tcBorders>
              <w:top w:val="single" w:sz="4" w:space="0" w:color="auto"/>
              <w:left w:val="single" w:sz="4" w:space="0" w:color="auto"/>
              <w:bottom w:val="single" w:sz="4" w:space="0" w:color="auto"/>
              <w:right w:val="single" w:sz="4" w:space="0" w:color="auto"/>
            </w:tcBorders>
            <w:vAlign w:val="center"/>
            <w:hideMark/>
          </w:tcPr>
          <w:p w14:paraId="75A27693" w14:textId="77777777" w:rsidR="008674A8" w:rsidRPr="00B8307D" w:rsidRDefault="008674A8" w:rsidP="000A067B">
            <w:pPr>
              <w:widowControl w:val="0"/>
              <w:rPr>
                <w:sz w:val="22"/>
                <w:szCs w:val="22"/>
                <w:lang w:val="sr-Latn-ME" w:eastAsia="ja-JP"/>
              </w:rPr>
            </w:pPr>
          </w:p>
        </w:tc>
        <w:tc>
          <w:tcPr>
            <w:tcW w:w="1978" w:type="pct"/>
            <w:tcBorders>
              <w:top w:val="single" w:sz="4" w:space="0" w:color="auto"/>
              <w:left w:val="single" w:sz="4" w:space="0" w:color="auto"/>
              <w:bottom w:val="single" w:sz="4" w:space="0" w:color="auto"/>
              <w:right w:val="single" w:sz="4" w:space="0" w:color="auto"/>
            </w:tcBorders>
            <w:hideMark/>
          </w:tcPr>
          <w:p w14:paraId="74ABE274" w14:textId="77777777" w:rsidR="008674A8" w:rsidRPr="00B8307D" w:rsidRDefault="008674A8" w:rsidP="000A067B">
            <w:pPr>
              <w:widowControl w:val="0"/>
              <w:rPr>
                <w:sz w:val="22"/>
                <w:szCs w:val="22"/>
                <w:lang w:val="sr-Latn-ME" w:eastAsia="ja-JP"/>
              </w:rPr>
            </w:pPr>
            <w:r w:rsidRPr="00B8307D">
              <w:rPr>
                <w:sz w:val="22"/>
                <w:szCs w:val="22"/>
                <w:lang w:val="sr-Latn-ME" w:eastAsia="ja-JP"/>
              </w:rPr>
              <w:t>Membranski glomerulonefritis</w:t>
            </w:r>
          </w:p>
        </w:tc>
        <w:tc>
          <w:tcPr>
            <w:tcW w:w="1289" w:type="pct"/>
            <w:tcBorders>
              <w:top w:val="single" w:sz="4" w:space="0" w:color="auto"/>
              <w:left w:val="single" w:sz="4" w:space="0" w:color="auto"/>
              <w:bottom w:val="single" w:sz="4" w:space="0" w:color="auto"/>
              <w:right w:val="single" w:sz="4" w:space="0" w:color="auto"/>
            </w:tcBorders>
            <w:hideMark/>
          </w:tcPr>
          <w:p w14:paraId="011B827E" w14:textId="77777777" w:rsidR="008674A8" w:rsidRPr="00B8307D" w:rsidRDefault="008674A8" w:rsidP="000A067B">
            <w:pPr>
              <w:widowControl w:val="0"/>
              <w:rPr>
                <w:sz w:val="22"/>
                <w:szCs w:val="22"/>
                <w:lang w:val="sr-Latn-ME" w:eastAsia="ja-JP"/>
              </w:rPr>
            </w:pPr>
            <w:r w:rsidRPr="00B8307D">
              <w:rPr>
                <w:sz w:val="22"/>
                <w:szCs w:val="22"/>
                <w:lang w:val="sr-Latn-ME" w:eastAsia="ja-JP"/>
              </w:rPr>
              <w:t>Nepoznato</w:t>
            </w:r>
          </w:p>
        </w:tc>
      </w:tr>
      <w:tr w:rsidR="008674A8" w:rsidRPr="00B8307D" w14:paraId="458AE679" w14:textId="77777777" w:rsidTr="000A067B">
        <w:trPr>
          <w:trHeight w:val="285"/>
        </w:trPr>
        <w:tc>
          <w:tcPr>
            <w:tcW w:w="1733" w:type="pct"/>
            <w:vMerge/>
            <w:tcBorders>
              <w:top w:val="single" w:sz="4" w:space="0" w:color="auto"/>
              <w:left w:val="single" w:sz="4" w:space="0" w:color="auto"/>
              <w:bottom w:val="single" w:sz="4" w:space="0" w:color="auto"/>
              <w:right w:val="single" w:sz="4" w:space="0" w:color="auto"/>
            </w:tcBorders>
            <w:vAlign w:val="center"/>
            <w:hideMark/>
          </w:tcPr>
          <w:p w14:paraId="4F6EF0E0" w14:textId="77777777" w:rsidR="008674A8" w:rsidRPr="00B8307D" w:rsidRDefault="008674A8" w:rsidP="000A067B">
            <w:pPr>
              <w:widowControl w:val="0"/>
              <w:rPr>
                <w:sz w:val="22"/>
                <w:szCs w:val="22"/>
                <w:lang w:val="sr-Latn-ME" w:eastAsia="ja-JP"/>
              </w:rPr>
            </w:pPr>
          </w:p>
        </w:tc>
        <w:tc>
          <w:tcPr>
            <w:tcW w:w="1978" w:type="pct"/>
            <w:tcBorders>
              <w:top w:val="single" w:sz="4" w:space="0" w:color="auto"/>
              <w:left w:val="single" w:sz="4" w:space="0" w:color="auto"/>
              <w:bottom w:val="single" w:sz="4" w:space="0" w:color="auto"/>
              <w:right w:val="single" w:sz="4" w:space="0" w:color="auto"/>
            </w:tcBorders>
            <w:hideMark/>
          </w:tcPr>
          <w:p w14:paraId="6E1B8F56" w14:textId="77777777" w:rsidR="008674A8" w:rsidRPr="00B8307D" w:rsidRDefault="008674A8" w:rsidP="000A067B">
            <w:pPr>
              <w:widowControl w:val="0"/>
              <w:rPr>
                <w:sz w:val="22"/>
                <w:szCs w:val="22"/>
                <w:lang w:val="sr-Latn-ME" w:eastAsia="ja-JP"/>
              </w:rPr>
            </w:pPr>
            <w:r w:rsidRPr="00B8307D">
              <w:rPr>
                <w:sz w:val="22"/>
                <w:szCs w:val="22"/>
                <w:lang w:val="sr-Latn-ME" w:eastAsia="ja-JP"/>
              </w:rPr>
              <w:t>Glomerulonefropatija</w:t>
            </w:r>
          </w:p>
        </w:tc>
        <w:tc>
          <w:tcPr>
            <w:tcW w:w="1289" w:type="pct"/>
            <w:tcBorders>
              <w:top w:val="single" w:sz="4" w:space="0" w:color="auto"/>
              <w:left w:val="single" w:sz="4" w:space="0" w:color="auto"/>
              <w:bottom w:val="single" w:sz="4" w:space="0" w:color="auto"/>
              <w:right w:val="single" w:sz="4" w:space="0" w:color="auto"/>
            </w:tcBorders>
            <w:hideMark/>
          </w:tcPr>
          <w:p w14:paraId="3256C330" w14:textId="77777777" w:rsidR="008674A8" w:rsidRPr="00B8307D" w:rsidRDefault="008674A8" w:rsidP="000A067B">
            <w:pPr>
              <w:widowControl w:val="0"/>
              <w:rPr>
                <w:sz w:val="22"/>
                <w:szCs w:val="22"/>
                <w:lang w:val="sr-Latn-ME" w:eastAsia="ja-JP"/>
              </w:rPr>
            </w:pPr>
            <w:r w:rsidRPr="00B8307D">
              <w:rPr>
                <w:sz w:val="22"/>
                <w:szCs w:val="22"/>
                <w:lang w:val="sr-Latn-ME" w:eastAsia="ja-JP"/>
              </w:rPr>
              <w:t>Nepoznato</w:t>
            </w:r>
          </w:p>
        </w:tc>
      </w:tr>
      <w:tr w:rsidR="008674A8" w:rsidRPr="00B8307D" w14:paraId="4F539832" w14:textId="77777777" w:rsidTr="000A067B">
        <w:trPr>
          <w:trHeight w:val="285"/>
        </w:trPr>
        <w:tc>
          <w:tcPr>
            <w:tcW w:w="1733" w:type="pct"/>
            <w:vMerge/>
            <w:tcBorders>
              <w:top w:val="single" w:sz="4" w:space="0" w:color="auto"/>
              <w:left w:val="single" w:sz="4" w:space="0" w:color="auto"/>
              <w:bottom w:val="single" w:sz="4" w:space="0" w:color="auto"/>
              <w:right w:val="single" w:sz="4" w:space="0" w:color="auto"/>
            </w:tcBorders>
            <w:vAlign w:val="center"/>
            <w:hideMark/>
          </w:tcPr>
          <w:p w14:paraId="7CB88838" w14:textId="77777777" w:rsidR="008674A8" w:rsidRPr="00B8307D" w:rsidRDefault="008674A8" w:rsidP="000A067B">
            <w:pPr>
              <w:widowControl w:val="0"/>
              <w:rPr>
                <w:sz w:val="22"/>
                <w:szCs w:val="22"/>
                <w:lang w:val="sr-Latn-ME" w:eastAsia="ja-JP"/>
              </w:rPr>
            </w:pPr>
          </w:p>
        </w:tc>
        <w:tc>
          <w:tcPr>
            <w:tcW w:w="1978" w:type="pct"/>
            <w:tcBorders>
              <w:top w:val="single" w:sz="4" w:space="0" w:color="auto"/>
              <w:left w:val="single" w:sz="4" w:space="0" w:color="auto"/>
              <w:bottom w:val="single" w:sz="4" w:space="0" w:color="auto"/>
              <w:right w:val="single" w:sz="4" w:space="0" w:color="auto"/>
            </w:tcBorders>
            <w:hideMark/>
          </w:tcPr>
          <w:p w14:paraId="4E4ECB7F" w14:textId="77777777" w:rsidR="008674A8" w:rsidRPr="00B8307D" w:rsidRDefault="008674A8" w:rsidP="000A067B">
            <w:pPr>
              <w:widowControl w:val="0"/>
              <w:rPr>
                <w:sz w:val="22"/>
                <w:szCs w:val="22"/>
                <w:lang w:val="sr-Latn-ME" w:eastAsia="ja-JP"/>
              </w:rPr>
            </w:pPr>
            <w:r w:rsidRPr="00B8307D">
              <w:rPr>
                <w:sz w:val="22"/>
                <w:szCs w:val="22"/>
                <w:lang w:val="sr-Latn-ME" w:eastAsia="ja-JP"/>
              </w:rPr>
              <w:t>Insuficijencija bubrega</w:t>
            </w:r>
          </w:p>
        </w:tc>
        <w:tc>
          <w:tcPr>
            <w:tcW w:w="1289" w:type="pct"/>
            <w:tcBorders>
              <w:top w:val="single" w:sz="4" w:space="0" w:color="auto"/>
              <w:left w:val="single" w:sz="4" w:space="0" w:color="auto"/>
              <w:bottom w:val="single" w:sz="4" w:space="0" w:color="auto"/>
              <w:right w:val="single" w:sz="4" w:space="0" w:color="auto"/>
            </w:tcBorders>
            <w:hideMark/>
          </w:tcPr>
          <w:p w14:paraId="3FE1AA6B" w14:textId="77777777" w:rsidR="008674A8" w:rsidRPr="00B8307D" w:rsidRDefault="008674A8" w:rsidP="000A067B">
            <w:pPr>
              <w:widowControl w:val="0"/>
              <w:rPr>
                <w:sz w:val="22"/>
                <w:szCs w:val="22"/>
                <w:lang w:val="sr-Latn-ME" w:eastAsia="ja-JP"/>
              </w:rPr>
            </w:pPr>
            <w:r w:rsidRPr="00B8307D">
              <w:rPr>
                <w:sz w:val="22"/>
                <w:szCs w:val="22"/>
                <w:lang w:val="sr-Latn-ME" w:eastAsia="ja-JP"/>
              </w:rPr>
              <w:t>Nepoznato</w:t>
            </w:r>
          </w:p>
        </w:tc>
      </w:tr>
      <w:tr w:rsidR="008674A8" w:rsidRPr="00B8307D" w14:paraId="39B682AA" w14:textId="77777777" w:rsidTr="000A067B">
        <w:trPr>
          <w:trHeight w:val="285"/>
        </w:trPr>
        <w:tc>
          <w:tcPr>
            <w:tcW w:w="1733" w:type="pct"/>
            <w:vMerge w:val="restart"/>
            <w:tcBorders>
              <w:top w:val="single" w:sz="4" w:space="0" w:color="auto"/>
              <w:left w:val="single" w:sz="4" w:space="0" w:color="auto"/>
              <w:right w:val="single" w:sz="4" w:space="0" w:color="auto"/>
            </w:tcBorders>
            <w:hideMark/>
          </w:tcPr>
          <w:p w14:paraId="5502A163" w14:textId="77777777" w:rsidR="008674A8" w:rsidRPr="00B8307D" w:rsidRDefault="008674A8" w:rsidP="000A067B">
            <w:pPr>
              <w:widowControl w:val="0"/>
              <w:rPr>
                <w:sz w:val="22"/>
                <w:szCs w:val="22"/>
                <w:lang w:val="sr-Latn-ME" w:eastAsia="ja-JP"/>
              </w:rPr>
            </w:pPr>
            <w:r w:rsidRPr="00B8307D">
              <w:rPr>
                <w:sz w:val="22"/>
                <w:szCs w:val="22"/>
                <w:lang w:val="sr-Latn-ME" w:eastAsia="ja-JP"/>
              </w:rPr>
              <w:t>Trudnoća, babinje i perinatalni poremećaji</w:t>
            </w:r>
          </w:p>
        </w:tc>
        <w:tc>
          <w:tcPr>
            <w:tcW w:w="1978" w:type="pct"/>
            <w:tcBorders>
              <w:top w:val="single" w:sz="4" w:space="0" w:color="auto"/>
              <w:left w:val="single" w:sz="4" w:space="0" w:color="auto"/>
              <w:bottom w:val="single" w:sz="4" w:space="0" w:color="auto"/>
              <w:right w:val="single" w:sz="4" w:space="0" w:color="auto"/>
            </w:tcBorders>
            <w:hideMark/>
          </w:tcPr>
          <w:p w14:paraId="60F62A08" w14:textId="77777777" w:rsidR="008674A8" w:rsidRPr="00B8307D" w:rsidRDefault="008674A8" w:rsidP="000A067B">
            <w:pPr>
              <w:widowControl w:val="0"/>
              <w:rPr>
                <w:sz w:val="22"/>
                <w:szCs w:val="22"/>
                <w:lang w:val="sr-Latn-ME" w:eastAsia="ja-JP"/>
              </w:rPr>
            </w:pPr>
            <w:r w:rsidRPr="00B8307D">
              <w:rPr>
                <w:sz w:val="22"/>
                <w:szCs w:val="22"/>
                <w:lang w:val="sr-Latn-ME" w:eastAsia="ja-JP"/>
              </w:rPr>
              <w:t>Oligohidramnija</w:t>
            </w:r>
          </w:p>
        </w:tc>
        <w:tc>
          <w:tcPr>
            <w:tcW w:w="1289" w:type="pct"/>
            <w:tcBorders>
              <w:top w:val="single" w:sz="4" w:space="0" w:color="auto"/>
              <w:left w:val="single" w:sz="4" w:space="0" w:color="auto"/>
              <w:bottom w:val="single" w:sz="4" w:space="0" w:color="auto"/>
              <w:right w:val="single" w:sz="4" w:space="0" w:color="auto"/>
            </w:tcBorders>
            <w:hideMark/>
          </w:tcPr>
          <w:p w14:paraId="5EB7514B" w14:textId="77777777" w:rsidR="008674A8" w:rsidRPr="00B8307D" w:rsidRDefault="008674A8" w:rsidP="000A067B">
            <w:pPr>
              <w:widowControl w:val="0"/>
              <w:rPr>
                <w:sz w:val="22"/>
                <w:szCs w:val="22"/>
                <w:lang w:val="sr-Latn-ME" w:eastAsia="ja-JP"/>
              </w:rPr>
            </w:pPr>
            <w:r w:rsidRPr="00B8307D">
              <w:rPr>
                <w:sz w:val="22"/>
                <w:szCs w:val="22"/>
                <w:lang w:val="sr-Latn-ME" w:eastAsia="ja-JP"/>
              </w:rPr>
              <w:t>Nepoznato</w:t>
            </w:r>
          </w:p>
        </w:tc>
      </w:tr>
      <w:tr w:rsidR="008674A8" w:rsidRPr="00B8307D" w14:paraId="4D4B02A6" w14:textId="77777777" w:rsidTr="000A067B">
        <w:trPr>
          <w:trHeight w:val="285"/>
        </w:trPr>
        <w:tc>
          <w:tcPr>
            <w:tcW w:w="1733" w:type="pct"/>
            <w:vMerge/>
            <w:tcBorders>
              <w:left w:val="single" w:sz="4" w:space="0" w:color="auto"/>
              <w:right w:val="single" w:sz="4" w:space="0" w:color="auto"/>
            </w:tcBorders>
          </w:tcPr>
          <w:p w14:paraId="29BF741F" w14:textId="77777777" w:rsidR="008674A8" w:rsidRPr="00B8307D" w:rsidRDefault="008674A8" w:rsidP="000A067B">
            <w:pPr>
              <w:widowControl w:val="0"/>
              <w:rPr>
                <w:sz w:val="22"/>
                <w:szCs w:val="22"/>
                <w:lang w:val="sr-Latn-ME" w:eastAsia="ja-JP"/>
              </w:rPr>
            </w:pPr>
          </w:p>
        </w:tc>
        <w:tc>
          <w:tcPr>
            <w:tcW w:w="1978" w:type="pct"/>
            <w:tcBorders>
              <w:top w:val="single" w:sz="4" w:space="0" w:color="auto"/>
              <w:left w:val="single" w:sz="4" w:space="0" w:color="auto"/>
              <w:bottom w:val="single" w:sz="4" w:space="0" w:color="auto"/>
              <w:right w:val="single" w:sz="4" w:space="0" w:color="auto"/>
            </w:tcBorders>
          </w:tcPr>
          <w:p w14:paraId="30D6A43A" w14:textId="77777777" w:rsidR="008674A8" w:rsidRPr="00B8307D" w:rsidRDefault="008674A8" w:rsidP="000A067B">
            <w:pPr>
              <w:widowControl w:val="0"/>
              <w:rPr>
                <w:sz w:val="22"/>
                <w:szCs w:val="22"/>
                <w:lang w:val="sr-Latn-ME" w:eastAsia="ja-JP"/>
              </w:rPr>
            </w:pPr>
            <w:r w:rsidRPr="00B8307D">
              <w:rPr>
                <w:sz w:val="22"/>
                <w:szCs w:val="22"/>
                <w:lang w:val="sr-Latn-ME" w:eastAsia="ja-JP"/>
              </w:rPr>
              <w:t>Renalna hipolazija</w:t>
            </w:r>
            <w:r w:rsidRPr="00B8307D">
              <w:rPr>
                <w:sz w:val="22"/>
                <w:szCs w:val="22"/>
                <w:lang w:val="sr-Latn-ME" w:eastAsia="ja-JP"/>
              </w:rPr>
              <w:tab/>
            </w:r>
          </w:p>
        </w:tc>
        <w:tc>
          <w:tcPr>
            <w:tcW w:w="1289" w:type="pct"/>
            <w:tcBorders>
              <w:top w:val="single" w:sz="4" w:space="0" w:color="auto"/>
              <w:left w:val="single" w:sz="4" w:space="0" w:color="auto"/>
              <w:bottom w:val="single" w:sz="4" w:space="0" w:color="auto"/>
              <w:right w:val="single" w:sz="4" w:space="0" w:color="auto"/>
            </w:tcBorders>
          </w:tcPr>
          <w:p w14:paraId="35670C2E" w14:textId="77777777" w:rsidR="008674A8" w:rsidRPr="00B8307D" w:rsidRDefault="008674A8" w:rsidP="000A067B">
            <w:pPr>
              <w:widowControl w:val="0"/>
              <w:rPr>
                <w:sz w:val="22"/>
                <w:szCs w:val="22"/>
                <w:lang w:val="sr-Latn-ME" w:eastAsia="ja-JP"/>
              </w:rPr>
            </w:pPr>
            <w:r w:rsidRPr="00B8307D">
              <w:rPr>
                <w:sz w:val="22"/>
                <w:szCs w:val="22"/>
                <w:lang w:val="sr-Latn-ME" w:eastAsia="ja-JP"/>
              </w:rPr>
              <w:t>Nepoznato</w:t>
            </w:r>
          </w:p>
        </w:tc>
      </w:tr>
      <w:tr w:rsidR="008674A8" w:rsidRPr="00B8307D" w14:paraId="0007581B" w14:textId="77777777" w:rsidTr="000A067B">
        <w:trPr>
          <w:trHeight w:val="285"/>
        </w:trPr>
        <w:tc>
          <w:tcPr>
            <w:tcW w:w="1733" w:type="pct"/>
            <w:vMerge/>
            <w:tcBorders>
              <w:left w:val="single" w:sz="4" w:space="0" w:color="auto"/>
              <w:bottom w:val="single" w:sz="4" w:space="0" w:color="auto"/>
              <w:right w:val="single" w:sz="4" w:space="0" w:color="auto"/>
            </w:tcBorders>
          </w:tcPr>
          <w:p w14:paraId="51B16E26" w14:textId="77777777" w:rsidR="008674A8" w:rsidRPr="00B8307D" w:rsidRDefault="008674A8" w:rsidP="000A067B">
            <w:pPr>
              <w:widowControl w:val="0"/>
              <w:rPr>
                <w:sz w:val="22"/>
                <w:szCs w:val="22"/>
                <w:lang w:val="sr-Latn-ME" w:eastAsia="ja-JP"/>
              </w:rPr>
            </w:pPr>
          </w:p>
        </w:tc>
        <w:tc>
          <w:tcPr>
            <w:tcW w:w="1978" w:type="pct"/>
            <w:tcBorders>
              <w:top w:val="single" w:sz="4" w:space="0" w:color="auto"/>
              <w:left w:val="single" w:sz="4" w:space="0" w:color="auto"/>
              <w:bottom w:val="single" w:sz="4" w:space="0" w:color="auto"/>
              <w:right w:val="single" w:sz="4" w:space="0" w:color="auto"/>
            </w:tcBorders>
          </w:tcPr>
          <w:p w14:paraId="1EDB8B76" w14:textId="77777777" w:rsidR="008674A8" w:rsidRPr="00B8307D" w:rsidRDefault="008674A8" w:rsidP="000A067B">
            <w:pPr>
              <w:widowControl w:val="0"/>
              <w:rPr>
                <w:sz w:val="22"/>
                <w:szCs w:val="22"/>
                <w:lang w:val="sr-Latn-ME" w:eastAsia="ja-JP"/>
              </w:rPr>
            </w:pPr>
            <w:r w:rsidRPr="00B8307D">
              <w:rPr>
                <w:sz w:val="22"/>
                <w:szCs w:val="22"/>
                <w:lang w:val="sr-Latn-ME" w:eastAsia="ja-JP"/>
              </w:rPr>
              <w:t>Pulmonalna hipoplazija</w:t>
            </w:r>
          </w:p>
        </w:tc>
        <w:tc>
          <w:tcPr>
            <w:tcW w:w="1289" w:type="pct"/>
            <w:tcBorders>
              <w:top w:val="single" w:sz="4" w:space="0" w:color="auto"/>
              <w:left w:val="single" w:sz="4" w:space="0" w:color="auto"/>
              <w:bottom w:val="single" w:sz="4" w:space="0" w:color="auto"/>
              <w:right w:val="single" w:sz="4" w:space="0" w:color="auto"/>
            </w:tcBorders>
          </w:tcPr>
          <w:p w14:paraId="6781F7AB" w14:textId="77777777" w:rsidR="008674A8" w:rsidRPr="00B8307D" w:rsidRDefault="008674A8" w:rsidP="000A067B">
            <w:pPr>
              <w:widowControl w:val="0"/>
              <w:rPr>
                <w:sz w:val="22"/>
                <w:szCs w:val="22"/>
                <w:lang w:val="sr-Latn-ME" w:eastAsia="ja-JP"/>
              </w:rPr>
            </w:pPr>
            <w:r w:rsidRPr="00B8307D">
              <w:rPr>
                <w:sz w:val="22"/>
                <w:szCs w:val="22"/>
                <w:lang w:val="sr-Latn-ME" w:eastAsia="ja-JP"/>
              </w:rPr>
              <w:t>Nepoznato</w:t>
            </w:r>
          </w:p>
        </w:tc>
      </w:tr>
      <w:tr w:rsidR="008674A8" w:rsidRPr="00B8307D" w14:paraId="5CFB3E0E" w14:textId="77777777" w:rsidTr="000A067B">
        <w:trPr>
          <w:trHeight w:val="260"/>
        </w:trPr>
        <w:tc>
          <w:tcPr>
            <w:tcW w:w="1733" w:type="pct"/>
            <w:tcBorders>
              <w:top w:val="single" w:sz="4" w:space="0" w:color="auto"/>
              <w:left w:val="single" w:sz="4" w:space="0" w:color="auto"/>
              <w:bottom w:val="single" w:sz="4" w:space="0" w:color="auto"/>
              <w:right w:val="single" w:sz="4" w:space="0" w:color="auto"/>
            </w:tcBorders>
            <w:hideMark/>
          </w:tcPr>
          <w:p w14:paraId="34CBB663" w14:textId="77777777" w:rsidR="008674A8" w:rsidRPr="00B8307D" w:rsidRDefault="008674A8" w:rsidP="000A067B">
            <w:pPr>
              <w:widowControl w:val="0"/>
              <w:rPr>
                <w:sz w:val="22"/>
                <w:szCs w:val="22"/>
                <w:lang w:val="sr-Latn-ME" w:eastAsia="ja-JP"/>
              </w:rPr>
            </w:pPr>
            <w:r w:rsidRPr="00B8307D">
              <w:rPr>
                <w:sz w:val="22"/>
                <w:szCs w:val="22"/>
                <w:lang w:val="sr-Latn-ME" w:eastAsia="ja-JP"/>
              </w:rPr>
              <w:t>Poremećaji reproduktivnog sistema i dojki</w:t>
            </w:r>
          </w:p>
        </w:tc>
        <w:tc>
          <w:tcPr>
            <w:tcW w:w="1978" w:type="pct"/>
            <w:tcBorders>
              <w:top w:val="single" w:sz="4" w:space="0" w:color="auto"/>
              <w:left w:val="single" w:sz="4" w:space="0" w:color="auto"/>
              <w:bottom w:val="single" w:sz="4" w:space="0" w:color="auto"/>
              <w:right w:val="single" w:sz="4" w:space="0" w:color="auto"/>
            </w:tcBorders>
            <w:hideMark/>
          </w:tcPr>
          <w:p w14:paraId="0620BEC0" w14:textId="77777777" w:rsidR="008674A8" w:rsidRPr="00B8307D" w:rsidRDefault="008674A8" w:rsidP="000A067B">
            <w:pPr>
              <w:widowControl w:val="0"/>
              <w:rPr>
                <w:sz w:val="22"/>
                <w:szCs w:val="22"/>
                <w:lang w:val="sr-Latn-ME" w:eastAsia="ja-JP"/>
              </w:rPr>
            </w:pPr>
            <w:r w:rsidRPr="00B8307D">
              <w:rPr>
                <w:sz w:val="22"/>
                <w:szCs w:val="22"/>
                <w:lang w:val="sr-Latn-ME" w:eastAsia="ja-JP"/>
              </w:rPr>
              <w:t>Zapaljenje dojki/mastits</w:t>
            </w:r>
          </w:p>
        </w:tc>
        <w:tc>
          <w:tcPr>
            <w:tcW w:w="1289" w:type="pct"/>
            <w:tcBorders>
              <w:top w:val="single" w:sz="4" w:space="0" w:color="auto"/>
              <w:left w:val="single" w:sz="4" w:space="0" w:color="auto"/>
              <w:bottom w:val="single" w:sz="4" w:space="0" w:color="auto"/>
              <w:right w:val="single" w:sz="4" w:space="0" w:color="auto"/>
            </w:tcBorders>
            <w:hideMark/>
          </w:tcPr>
          <w:p w14:paraId="31427124" w14:textId="77777777" w:rsidR="008674A8" w:rsidRPr="00B8307D" w:rsidRDefault="008674A8" w:rsidP="000A067B">
            <w:pPr>
              <w:widowControl w:val="0"/>
              <w:rPr>
                <w:sz w:val="22"/>
                <w:szCs w:val="22"/>
                <w:lang w:val="sr-Latn-ME" w:eastAsia="ja-JP"/>
              </w:rPr>
            </w:pPr>
            <w:r w:rsidRPr="00B8307D">
              <w:rPr>
                <w:sz w:val="22"/>
                <w:szCs w:val="22"/>
                <w:lang w:val="sr-Latn-ME" w:eastAsia="ja-JP"/>
              </w:rPr>
              <w:t>Često</w:t>
            </w:r>
          </w:p>
        </w:tc>
      </w:tr>
      <w:tr w:rsidR="008674A8" w:rsidRPr="00B8307D" w14:paraId="55AD334A" w14:textId="77777777" w:rsidTr="000A067B">
        <w:trPr>
          <w:trHeight w:val="261"/>
        </w:trPr>
        <w:tc>
          <w:tcPr>
            <w:tcW w:w="1733" w:type="pct"/>
            <w:vMerge w:val="restart"/>
            <w:tcBorders>
              <w:top w:val="single" w:sz="4" w:space="0" w:color="auto"/>
              <w:left w:val="single" w:sz="4" w:space="0" w:color="auto"/>
              <w:bottom w:val="single" w:sz="4" w:space="0" w:color="auto"/>
              <w:right w:val="single" w:sz="4" w:space="0" w:color="auto"/>
            </w:tcBorders>
            <w:hideMark/>
          </w:tcPr>
          <w:p w14:paraId="2D887FF8" w14:textId="77777777" w:rsidR="008674A8" w:rsidRPr="00B8307D" w:rsidRDefault="008674A8" w:rsidP="000A067B">
            <w:pPr>
              <w:widowControl w:val="0"/>
              <w:rPr>
                <w:sz w:val="22"/>
                <w:szCs w:val="22"/>
                <w:lang w:val="sr-Latn-ME" w:eastAsia="ja-JP"/>
              </w:rPr>
            </w:pPr>
            <w:r w:rsidRPr="00B8307D">
              <w:rPr>
                <w:sz w:val="22"/>
                <w:szCs w:val="22"/>
                <w:lang w:val="sr-Latn-ME" w:eastAsia="ja-JP"/>
              </w:rPr>
              <w:t>Opšti poremećaji i reakcije na mjestu primjene</w:t>
            </w:r>
          </w:p>
        </w:tc>
        <w:tc>
          <w:tcPr>
            <w:tcW w:w="1978" w:type="pct"/>
            <w:tcBorders>
              <w:top w:val="single" w:sz="4" w:space="0" w:color="auto"/>
              <w:left w:val="single" w:sz="4" w:space="0" w:color="auto"/>
              <w:bottom w:val="single" w:sz="4" w:space="0" w:color="auto"/>
              <w:right w:val="single" w:sz="4" w:space="0" w:color="auto"/>
            </w:tcBorders>
            <w:hideMark/>
          </w:tcPr>
          <w:p w14:paraId="68A2219C" w14:textId="77777777" w:rsidR="008674A8" w:rsidRPr="00B8307D" w:rsidRDefault="008674A8" w:rsidP="000A067B">
            <w:pPr>
              <w:widowControl w:val="0"/>
              <w:rPr>
                <w:sz w:val="22"/>
                <w:szCs w:val="22"/>
                <w:lang w:val="sr-Latn-ME" w:eastAsia="ja-JP"/>
              </w:rPr>
            </w:pPr>
            <w:r w:rsidRPr="00B8307D">
              <w:rPr>
                <w:sz w:val="22"/>
                <w:szCs w:val="22"/>
                <w:lang w:val="sr-Latn-ME" w:eastAsia="ja-JP"/>
              </w:rPr>
              <w:t>Astenija</w:t>
            </w:r>
          </w:p>
        </w:tc>
        <w:tc>
          <w:tcPr>
            <w:tcW w:w="1289" w:type="pct"/>
            <w:tcBorders>
              <w:top w:val="single" w:sz="4" w:space="0" w:color="auto"/>
              <w:left w:val="single" w:sz="4" w:space="0" w:color="auto"/>
              <w:bottom w:val="single" w:sz="4" w:space="0" w:color="auto"/>
              <w:right w:val="single" w:sz="4" w:space="0" w:color="auto"/>
            </w:tcBorders>
            <w:hideMark/>
          </w:tcPr>
          <w:p w14:paraId="2EF059AE" w14:textId="77777777" w:rsidR="008674A8" w:rsidRPr="00B8307D" w:rsidRDefault="008674A8" w:rsidP="000A067B">
            <w:pPr>
              <w:widowControl w:val="0"/>
              <w:rPr>
                <w:sz w:val="22"/>
                <w:szCs w:val="22"/>
                <w:lang w:val="sr-Latn-ME" w:eastAsia="ja-JP"/>
              </w:rPr>
            </w:pPr>
            <w:r w:rsidRPr="00B8307D">
              <w:rPr>
                <w:sz w:val="22"/>
                <w:szCs w:val="22"/>
                <w:lang w:val="sr-Latn-ME" w:eastAsia="ja-JP"/>
              </w:rPr>
              <w:t>Vrlo često</w:t>
            </w:r>
          </w:p>
        </w:tc>
      </w:tr>
      <w:tr w:rsidR="008674A8" w:rsidRPr="00B8307D" w14:paraId="2EB4BA9F" w14:textId="77777777" w:rsidTr="000A067B">
        <w:trPr>
          <w:trHeight w:val="259"/>
        </w:trPr>
        <w:tc>
          <w:tcPr>
            <w:tcW w:w="1733" w:type="pct"/>
            <w:vMerge/>
            <w:tcBorders>
              <w:top w:val="single" w:sz="4" w:space="0" w:color="auto"/>
              <w:left w:val="single" w:sz="4" w:space="0" w:color="auto"/>
              <w:bottom w:val="single" w:sz="4" w:space="0" w:color="auto"/>
              <w:right w:val="single" w:sz="4" w:space="0" w:color="auto"/>
            </w:tcBorders>
            <w:vAlign w:val="center"/>
            <w:hideMark/>
          </w:tcPr>
          <w:p w14:paraId="709577DE" w14:textId="77777777" w:rsidR="008674A8" w:rsidRPr="00B8307D" w:rsidRDefault="008674A8" w:rsidP="000A067B">
            <w:pPr>
              <w:widowControl w:val="0"/>
              <w:rPr>
                <w:sz w:val="22"/>
                <w:szCs w:val="22"/>
                <w:lang w:val="sr-Latn-ME" w:eastAsia="ja-JP"/>
              </w:rPr>
            </w:pPr>
          </w:p>
        </w:tc>
        <w:tc>
          <w:tcPr>
            <w:tcW w:w="1978" w:type="pct"/>
            <w:tcBorders>
              <w:top w:val="single" w:sz="4" w:space="0" w:color="auto"/>
              <w:left w:val="single" w:sz="4" w:space="0" w:color="auto"/>
              <w:bottom w:val="single" w:sz="4" w:space="0" w:color="auto"/>
              <w:right w:val="single" w:sz="4" w:space="0" w:color="auto"/>
            </w:tcBorders>
            <w:hideMark/>
          </w:tcPr>
          <w:p w14:paraId="3124859F" w14:textId="77777777" w:rsidR="008674A8" w:rsidRPr="00B8307D" w:rsidRDefault="008674A8" w:rsidP="000A067B">
            <w:pPr>
              <w:widowControl w:val="0"/>
              <w:rPr>
                <w:sz w:val="22"/>
                <w:szCs w:val="22"/>
                <w:lang w:val="sr-Latn-ME" w:eastAsia="ja-JP"/>
              </w:rPr>
            </w:pPr>
            <w:r w:rsidRPr="00B8307D">
              <w:rPr>
                <w:sz w:val="22"/>
                <w:szCs w:val="22"/>
                <w:lang w:val="sr-Latn-ME" w:eastAsia="ja-JP"/>
              </w:rPr>
              <w:t>Bol u grudnom košu</w:t>
            </w:r>
          </w:p>
        </w:tc>
        <w:tc>
          <w:tcPr>
            <w:tcW w:w="1289" w:type="pct"/>
            <w:tcBorders>
              <w:top w:val="single" w:sz="4" w:space="0" w:color="auto"/>
              <w:left w:val="single" w:sz="4" w:space="0" w:color="auto"/>
              <w:bottom w:val="single" w:sz="4" w:space="0" w:color="auto"/>
              <w:right w:val="single" w:sz="4" w:space="0" w:color="auto"/>
            </w:tcBorders>
            <w:hideMark/>
          </w:tcPr>
          <w:p w14:paraId="6126F5E8" w14:textId="77777777" w:rsidR="008674A8" w:rsidRPr="00B8307D" w:rsidRDefault="008674A8" w:rsidP="000A067B">
            <w:pPr>
              <w:widowControl w:val="0"/>
              <w:rPr>
                <w:sz w:val="22"/>
                <w:szCs w:val="22"/>
                <w:lang w:val="sr-Latn-ME" w:eastAsia="ja-JP"/>
              </w:rPr>
            </w:pPr>
            <w:r w:rsidRPr="00B8307D">
              <w:rPr>
                <w:sz w:val="22"/>
                <w:szCs w:val="22"/>
                <w:lang w:val="sr-Latn-ME" w:eastAsia="ja-JP"/>
              </w:rPr>
              <w:t>Vrlo često</w:t>
            </w:r>
          </w:p>
        </w:tc>
      </w:tr>
      <w:tr w:rsidR="008674A8" w:rsidRPr="00B8307D" w14:paraId="49C4706D" w14:textId="77777777" w:rsidTr="000A067B">
        <w:trPr>
          <w:trHeight w:val="259"/>
        </w:trPr>
        <w:tc>
          <w:tcPr>
            <w:tcW w:w="1733" w:type="pct"/>
            <w:vMerge/>
            <w:tcBorders>
              <w:top w:val="single" w:sz="4" w:space="0" w:color="auto"/>
              <w:left w:val="single" w:sz="4" w:space="0" w:color="auto"/>
              <w:bottom w:val="single" w:sz="4" w:space="0" w:color="auto"/>
              <w:right w:val="single" w:sz="4" w:space="0" w:color="auto"/>
            </w:tcBorders>
            <w:vAlign w:val="center"/>
            <w:hideMark/>
          </w:tcPr>
          <w:p w14:paraId="66682A78" w14:textId="77777777" w:rsidR="008674A8" w:rsidRPr="00B8307D" w:rsidRDefault="008674A8" w:rsidP="000A067B">
            <w:pPr>
              <w:widowControl w:val="0"/>
              <w:rPr>
                <w:sz w:val="22"/>
                <w:szCs w:val="22"/>
                <w:lang w:val="sr-Latn-ME" w:eastAsia="ja-JP"/>
              </w:rPr>
            </w:pPr>
          </w:p>
        </w:tc>
        <w:tc>
          <w:tcPr>
            <w:tcW w:w="1978" w:type="pct"/>
            <w:tcBorders>
              <w:top w:val="single" w:sz="4" w:space="0" w:color="auto"/>
              <w:left w:val="single" w:sz="4" w:space="0" w:color="auto"/>
              <w:bottom w:val="single" w:sz="4" w:space="0" w:color="auto"/>
              <w:right w:val="single" w:sz="4" w:space="0" w:color="auto"/>
            </w:tcBorders>
            <w:hideMark/>
          </w:tcPr>
          <w:p w14:paraId="45322D16" w14:textId="77777777" w:rsidR="008674A8" w:rsidRPr="00B8307D" w:rsidRDefault="008674A8" w:rsidP="000A067B">
            <w:pPr>
              <w:widowControl w:val="0"/>
              <w:rPr>
                <w:sz w:val="22"/>
                <w:szCs w:val="22"/>
                <w:lang w:val="sr-Latn-ME" w:eastAsia="ja-JP"/>
              </w:rPr>
            </w:pPr>
            <w:r w:rsidRPr="00B8307D">
              <w:rPr>
                <w:sz w:val="22"/>
                <w:szCs w:val="22"/>
                <w:lang w:val="sr-Latn-ME" w:eastAsia="ja-JP"/>
              </w:rPr>
              <w:t>Groznica</w:t>
            </w:r>
          </w:p>
        </w:tc>
        <w:tc>
          <w:tcPr>
            <w:tcW w:w="1289" w:type="pct"/>
            <w:tcBorders>
              <w:top w:val="single" w:sz="4" w:space="0" w:color="auto"/>
              <w:left w:val="single" w:sz="4" w:space="0" w:color="auto"/>
              <w:bottom w:val="single" w:sz="4" w:space="0" w:color="auto"/>
              <w:right w:val="single" w:sz="4" w:space="0" w:color="auto"/>
            </w:tcBorders>
            <w:hideMark/>
          </w:tcPr>
          <w:p w14:paraId="30F8899F" w14:textId="77777777" w:rsidR="008674A8" w:rsidRPr="00B8307D" w:rsidRDefault="008674A8" w:rsidP="000A067B">
            <w:pPr>
              <w:widowControl w:val="0"/>
              <w:rPr>
                <w:sz w:val="22"/>
                <w:szCs w:val="22"/>
                <w:lang w:val="sr-Latn-ME" w:eastAsia="ja-JP"/>
              </w:rPr>
            </w:pPr>
            <w:r w:rsidRPr="00B8307D">
              <w:rPr>
                <w:sz w:val="22"/>
                <w:szCs w:val="22"/>
                <w:lang w:val="sr-Latn-ME" w:eastAsia="ja-JP"/>
              </w:rPr>
              <w:t>Vrlo često</w:t>
            </w:r>
          </w:p>
        </w:tc>
      </w:tr>
      <w:tr w:rsidR="008674A8" w:rsidRPr="00B8307D" w14:paraId="33D96EB9" w14:textId="77777777" w:rsidTr="000A067B">
        <w:trPr>
          <w:trHeight w:val="259"/>
        </w:trPr>
        <w:tc>
          <w:tcPr>
            <w:tcW w:w="1733" w:type="pct"/>
            <w:vMerge/>
            <w:tcBorders>
              <w:top w:val="single" w:sz="4" w:space="0" w:color="auto"/>
              <w:left w:val="single" w:sz="4" w:space="0" w:color="auto"/>
              <w:bottom w:val="single" w:sz="4" w:space="0" w:color="auto"/>
              <w:right w:val="single" w:sz="4" w:space="0" w:color="auto"/>
            </w:tcBorders>
            <w:vAlign w:val="center"/>
            <w:hideMark/>
          </w:tcPr>
          <w:p w14:paraId="1019F35F" w14:textId="77777777" w:rsidR="008674A8" w:rsidRPr="00B8307D" w:rsidRDefault="008674A8" w:rsidP="000A067B">
            <w:pPr>
              <w:widowControl w:val="0"/>
              <w:rPr>
                <w:sz w:val="22"/>
                <w:szCs w:val="22"/>
                <w:lang w:val="sr-Latn-ME" w:eastAsia="ja-JP"/>
              </w:rPr>
            </w:pPr>
          </w:p>
        </w:tc>
        <w:tc>
          <w:tcPr>
            <w:tcW w:w="1978" w:type="pct"/>
            <w:tcBorders>
              <w:top w:val="single" w:sz="4" w:space="0" w:color="auto"/>
              <w:left w:val="single" w:sz="4" w:space="0" w:color="auto"/>
              <w:bottom w:val="single" w:sz="4" w:space="0" w:color="auto"/>
              <w:right w:val="single" w:sz="4" w:space="0" w:color="auto"/>
            </w:tcBorders>
            <w:hideMark/>
          </w:tcPr>
          <w:p w14:paraId="4E9A3AF5" w14:textId="77777777" w:rsidR="008674A8" w:rsidRPr="00B8307D" w:rsidRDefault="008674A8" w:rsidP="000A067B">
            <w:pPr>
              <w:widowControl w:val="0"/>
              <w:rPr>
                <w:sz w:val="22"/>
                <w:szCs w:val="22"/>
                <w:lang w:val="sr-Latn-ME" w:eastAsia="ja-JP"/>
              </w:rPr>
            </w:pPr>
            <w:r w:rsidRPr="00B8307D">
              <w:rPr>
                <w:sz w:val="22"/>
                <w:szCs w:val="22"/>
                <w:lang w:val="sr-Latn-ME" w:eastAsia="ja-JP"/>
              </w:rPr>
              <w:t>Umor</w:t>
            </w:r>
          </w:p>
        </w:tc>
        <w:tc>
          <w:tcPr>
            <w:tcW w:w="1289" w:type="pct"/>
            <w:tcBorders>
              <w:top w:val="single" w:sz="4" w:space="0" w:color="auto"/>
              <w:left w:val="single" w:sz="4" w:space="0" w:color="auto"/>
              <w:bottom w:val="single" w:sz="4" w:space="0" w:color="auto"/>
              <w:right w:val="single" w:sz="4" w:space="0" w:color="auto"/>
            </w:tcBorders>
            <w:hideMark/>
          </w:tcPr>
          <w:p w14:paraId="0DD4B2BB" w14:textId="77777777" w:rsidR="008674A8" w:rsidRPr="00B8307D" w:rsidRDefault="008674A8" w:rsidP="000A067B">
            <w:pPr>
              <w:widowControl w:val="0"/>
              <w:rPr>
                <w:sz w:val="22"/>
                <w:szCs w:val="22"/>
                <w:lang w:val="sr-Latn-ME" w:eastAsia="ja-JP"/>
              </w:rPr>
            </w:pPr>
            <w:r w:rsidRPr="00B8307D">
              <w:rPr>
                <w:sz w:val="22"/>
                <w:szCs w:val="22"/>
                <w:lang w:val="sr-Latn-ME" w:eastAsia="ja-JP"/>
              </w:rPr>
              <w:t>Vrlo često</w:t>
            </w:r>
          </w:p>
        </w:tc>
      </w:tr>
      <w:tr w:rsidR="008674A8" w:rsidRPr="00B8307D" w14:paraId="4E4CBF23" w14:textId="77777777" w:rsidTr="000A067B">
        <w:trPr>
          <w:trHeight w:val="128"/>
        </w:trPr>
        <w:tc>
          <w:tcPr>
            <w:tcW w:w="1733" w:type="pct"/>
            <w:vMerge/>
            <w:tcBorders>
              <w:top w:val="single" w:sz="4" w:space="0" w:color="auto"/>
              <w:left w:val="single" w:sz="4" w:space="0" w:color="auto"/>
              <w:bottom w:val="single" w:sz="4" w:space="0" w:color="auto"/>
              <w:right w:val="single" w:sz="4" w:space="0" w:color="auto"/>
            </w:tcBorders>
            <w:vAlign w:val="center"/>
            <w:hideMark/>
          </w:tcPr>
          <w:p w14:paraId="3779914A" w14:textId="77777777" w:rsidR="008674A8" w:rsidRPr="00B8307D" w:rsidRDefault="008674A8" w:rsidP="000A067B">
            <w:pPr>
              <w:widowControl w:val="0"/>
              <w:rPr>
                <w:sz w:val="22"/>
                <w:szCs w:val="22"/>
                <w:lang w:val="sr-Latn-ME" w:eastAsia="ja-JP"/>
              </w:rPr>
            </w:pPr>
          </w:p>
        </w:tc>
        <w:tc>
          <w:tcPr>
            <w:tcW w:w="1978" w:type="pct"/>
            <w:tcBorders>
              <w:top w:val="single" w:sz="4" w:space="0" w:color="auto"/>
              <w:left w:val="single" w:sz="4" w:space="0" w:color="auto"/>
              <w:bottom w:val="single" w:sz="4" w:space="0" w:color="auto"/>
              <w:right w:val="single" w:sz="4" w:space="0" w:color="auto"/>
            </w:tcBorders>
            <w:hideMark/>
          </w:tcPr>
          <w:p w14:paraId="4DC794CE" w14:textId="77777777" w:rsidR="008674A8" w:rsidRPr="00B8307D" w:rsidRDefault="008674A8" w:rsidP="000A067B">
            <w:pPr>
              <w:widowControl w:val="0"/>
              <w:rPr>
                <w:sz w:val="22"/>
                <w:szCs w:val="22"/>
                <w:lang w:val="sr-Latn-ME" w:eastAsia="ja-JP"/>
              </w:rPr>
            </w:pPr>
            <w:r w:rsidRPr="00B8307D">
              <w:rPr>
                <w:sz w:val="22"/>
                <w:szCs w:val="22"/>
                <w:lang w:val="sr-Latn-ME" w:eastAsia="ja-JP"/>
              </w:rPr>
              <w:t>Simptomi slični gripu</w:t>
            </w:r>
          </w:p>
        </w:tc>
        <w:tc>
          <w:tcPr>
            <w:tcW w:w="1289" w:type="pct"/>
            <w:tcBorders>
              <w:top w:val="single" w:sz="4" w:space="0" w:color="auto"/>
              <w:left w:val="single" w:sz="4" w:space="0" w:color="auto"/>
              <w:bottom w:val="single" w:sz="4" w:space="0" w:color="auto"/>
              <w:right w:val="single" w:sz="4" w:space="0" w:color="auto"/>
            </w:tcBorders>
            <w:hideMark/>
          </w:tcPr>
          <w:p w14:paraId="7CA48344" w14:textId="77777777" w:rsidR="008674A8" w:rsidRPr="00B8307D" w:rsidRDefault="008674A8" w:rsidP="000A067B">
            <w:pPr>
              <w:widowControl w:val="0"/>
              <w:rPr>
                <w:sz w:val="22"/>
                <w:szCs w:val="22"/>
                <w:lang w:val="sr-Latn-ME" w:eastAsia="ja-JP"/>
              </w:rPr>
            </w:pPr>
            <w:r w:rsidRPr="00B8307D">
              <w:rPr>
                <w:sz w:val="22"/>
                <w:szCs w:val="22"/>
                <w:lang w:val="sr-Latn-ME" w:eastAsia="ja-JP"/>
              </w:rPr>
              <w:t>Vrlo često</w:t>
            </w:r>
          </w:p>
        </w:tc>
      </w:tr>
      <w:tr w:rsidR="008674A8" w:rsidRPr="00B8307D" w14:paraId="218DCD15" w14:textId="77777777" w:rsidTr="000A067B">
        <w:trPr>
          <w:trHeight w:val="120"/>
        </w:trPr>
        <w:tc>
          <w:tcPr>
            <w:tcW w:w="1733" w:type="pct"/>
            <w:vMerge/>
            <w:tcBorders>
              <w:top w:val="single" w:sz="4" w:space="0" w:color="auto"/>
              <w:left w:val="single" w:sz="4" w:space="0" w:color="auto"/>
              <w:bottom w:val="single" w:sz="4" w:space="0" w:color="auto"/>
              <w:right w:val="single" w:sz="4" w:space="0" w:color="auto"/>
            </w:tcBorders>
            <w:vAlign w:val="center"/>
            <w:hideMark/>
          </w:tcPr>
          <w:p w14:paraId="714D903B" w14:textId="77777777" w:rsidR="008674A8" w:rsidRPr="00B8307D" w:rsidRDefault="008674A8" w:rsidP="000A067B">
            <w:pPr>
              <w:widowControl w:val="0"/>
              <w:rPr>
                <w:sz w:val="22"/>
                <w:szCs w:val="22"/>
                <w:lang w:val="sr-Latn-ME" w:eastAsia="ja-JP"/>
              </w:rPr>
            </w:pPr>
          </w:p>
        </w:tc>
        <w:tc>
          <w:tcPr>
            <w:tcW w:w="1978" w:type="pct"/>
            <w:tcBorders>
              <w:top w:val="single" w:sz="4" w:space="0" w:color="auto"/>
              <w:left w:val="single" w:sz="4" w:space="0" w:color="auto"/>
              <w:bottom w:val="single" w:sz="4" w:space="0" w:color="auto"/>
              <w:right w:val="single" w:sz="4" w:space="0" w:color="auto"/>
            </w:tcBorders>
            <w:hideMark/>
          </w:tcPr>
          <w:p w14:paraId="47A32490" w14:textId="77777777" w:rsidR="008674A8" w:rsidRPr="00B8307D" w:rsidRDefault="008674A8" w:rsidP="000A067B">
            <w:pPr>
              <w:widowControl w:val="0"/>
              <w:rPr>
                <w:sz w:val="22"/>
                <w:szCs w:val="22"/>
                <w:lang w:val="sr-Latn-ME" w:eastAsia="ja-JP"/>
              </w:rPr>
            </w:pPr>
            <w:r w:rsidRPr="00B8307D">
              <w:rPr>
                <w:sz w:val="22"/>
                <w:szCs w:val="22"/>
                <w:lang w:val="sr-Latn-ME" w:eastAsia="ja-JP"/>
              </w:rPr>
              <w:t>Reakcije na infuziju</w:t>
            </w:r>
          </w:p>
        </w:tc>
        <w:tc>
          <w:tcPr>
            <w:tcW w:w="1289" w:type="pct"/>
            <w:tcBorders>
              <w:top w:val="single" w:sz="4" w:space="0" w:color="auto"/>
              <w:left w:val="single" w:sz="4" w:space="0" w:color="auto"/>
              <w:bottom w:val="single" w:sz="4" w:space="0" w:color="auto"/>
              <w:right w:val="single" w:sz="4" w:space="0" w:color="auto"/>
            </w:tcBorders>
            <w:hideMark/>
          </w:tcPr>
          <w:p w14:paraId="58BE8F56" w14:textId="77777777" w:rsidR="008674A8" w:rsidRPr="00B8307D" w:rsidRDefault="008674A8" w:rsidP="000A067B">
            <w:pPr>
              <w:widowControl w:val="0"/>
              <w:rPr>
                <w:sz w:val="22"/>
                <w:szCs w:val="22"/>
                <w:lang w:val="sr-Latn-ME" w:eastAsia="ja-JP"/>
              </w:rPr>
            </w:pPr>
            <w:r w:rsidRPr="00B8307D">
              <w:rPr>
                <w:sz w:val="22"/>
                <w:szCs w:val="22"/>
                <w:lang w:val="sr-Latn-ME" w:eastAsia="ja-JP"/>
              </w:rPr>
              <w:t>Vrlo često</w:t>
            </w:r>
          </w:p>
        </w:tc>
      </w:tr>
      <w:tr w:rsidR="008674A8" w:rsidRPr="00B8307D" w14:paraId="111F16A6" w14:textId="77777777" w:rsidTr="000A067B">
        <w:trPr>
          <w:trHeight w:val="120"/>
        </w:trPr>
        <w:tc>
          <w:tcPr>
            <w:tcW w:w="1733" w:type="pct"/>
            <w:vMerge/>
            <w:tcBorders>
              <w:top w:val="single" w:sz="4" w:space="0" w:color="auto"/>
              <w:left w:val="single" w:sz="4" w:space="0" w:color="auto"/>
              <w:bottom w:val="single" w:sz="4" w:space="0" w:color="auto"/>
              <w:right w:val="single" w:sz="4" w:space="0" w:color="auto"/>
            </w:tcBorders>
            <w:vAlign w:val="center"/>
            <w:hideMark/>
          </w:tcPr>
          <w:p w14:paraId="58015540" w14:textId="77777777" w:rsidR="008674A8" w:rsidRPr="00B8307D" w:rsidRDefault="008674A8" w:rsidP="000A067B">
            <w:pPr>
              <w:widowControl w:val="0"/>
              <w:rPr>
                <w:sz w:val="22"/>
                <w:szCs w:val="22"/>
                <w:lang w:val="sr-Latn-ME" w:eastAsia="ja-JP"/>
              </w:rPr>
            </w:pPr>
          </w:p>
        </w:tc>
        <w:tc>
          <w:tcPr>
            <w:tcW w:w="1978" w:type="pct"/>
            <w:tcBorders>
              <w:top w:val="single" w:sz="4" w:space="0" w:color="auto"/>
              <w:left w:val="single" w:sz="4" w:space="0" w:color="auto"/>
              <w:bottom w:val="single" w:sz="4" w:space="0" w:color="auto"/>
              <w:right w:val="single" w:sz="4" w:space="0" w:color="auto"/>
            </w:tcBorders>
            <w:hideMark/>
          </w:tcPr>
          <w:p w14:paraId="4630620C" w14:textId="77777777" w:rsidR="008674A8" w:rsidRPr="00B8307D" w:rsidRDefault="008674A8" w:rsidP="000A067B">
            <w:pPr>
              <w:widowControl w:val="0"/>
              <w:rPr>
                <w:sz w:val="22"/>
                <w:szCs w:val="22"/>
                <w:lang w:val="sr-Latn-ME" w:eastAsia="ja-JP"/>
              </w:rPr>
            </w:pPr>
            <w:r w:rsidRPr="00B8307D">
              <w:rPr>
                <w:sz w:val="22"/>
                <w:szCs w:val="22"/>
                <w:lang w:val="sr-Latn-ME" w:eastAsia="ja-JP"/>
              </w:rPr>
              <w:t>Bol</w:t>
            </w:r>
          </w:p>
        </w:tc>
        <w:tc>
          <w:tcPr>
            <w:tcW w:w="1289" w:type="pct"/>
            <w:tcBorders>
              <w:top w:val="single" w:sz="4" w:space="0" w:color="auto"/>
              <w:left w:val="single" w:sz="4" w:space="0" w:color="auto"/>
              <w:bottom w:val="single" w:sz="4" w:space="0" w:color="auto"/>
              <w:right w:val="single" w:sz="4" w:space="0" w:color="auto"/>
            </w:tcBorders>
            <w:hideMark/>
          </w:tcPr>
          <w:p w14:paraId="492E527B" w14:textId="77777777" w:rsidR="008674A8" w:rsidRPr="00B8307D" w:rsidRDefault="008674A8" w:rsidP="000A067B">
            <w:pPr>
              <w:widowControl w:val="0"/>
              <w:rPr>
                <w:sz w:val="22"/>
                <w:szCs w:val="22"/>
                <w:lang w:val="sr-Latn-ME" w:eastAsia="ja-JP"/>
              </w:rPr>
            </w:pPr>
            <w:r w:rsidRPr="00B8307D">
              <w:rPr>
                <w:sz w:val="22"/>
                <w:szCs w:val="22"/>
                <w:lang w:val="sr-Latn-ME" w:eastAsia="ja-JP"/>
              </w:rPr>
              <w:t>Vrlo često</w:t>
            </w:r>
          </w:p>
        </w:tc>
      </w:tr>
      <w:tr w:rsidR="008674A8" w:rsidRPr="00B8307D" w14:paraId="2B749D65" w14:textId="77777777" w:rsidTr="000A067B">
        <w:trPr>
          <w:trHeight w:val="220"/>
        </w:trPr>
        <w:tc>
          <w:tcPr>
            <w:tcW w:w="1733" w:type="pct"/>
            <w:vMerge/>
            <w:tcBorders>
              <w:top w:val="single" w:sz="4" w:space="0" w:color="auto"/>
              <w:left w:val="single" w:sz="4" w:space="0" w:color="auto"/>
              <w:bottom w:val="single" w:sz="4" w:space="0" w:color="auto"/>
              <w:right w:val="single" w:sz="4" w:space="0" w:color="auto"/>
            </w:tcBorders>
            <w:vAlign w:val="center"/>
            <w:hideMark/>
          </w:tcPr>
          <w:p w14:paraId="70B4893C" w14:textId="77777777" w:rsidR="008674A8" w:rsidRPr="00B8307D" w:rsidRDefault="008674A8" w:rsidP="000A067B">
            <w:pPr>
              <w:widowControl w:val="0"/>
              <w:rPr>
                <w:sz w:val="22"/>
                <w:szCs w:val="22"/>
                <w:lang w:val="sr-Latn-ME" w:eastAsia="ja-JP"/>
              </w:rPr>
            </w:pPr>
          </w:p>
        </w:tc>
        <w:tc>
          <w:tcPr>
            <w:tcW w:w="1978" w:type="pct"/>
            <w:tcBorders>
              <w:top w:val="single" w:sz="4" w:space="0" w:color="auto"/>
              <w:left w:val="single" w:sz="4" w:space="0" w:color="auto"/>
              <w:bottom w:val="single" w:sz="4" w:space="0" w:color="auto"/>
              <w:right w:val="single" w:sz="4" w:space="0" w:color="auto"/>
            </w:tcBorders>
            <w:hideMark/>
          </w:tcPr>
          <w:p w14:paraId="5901C612" w14:textId="77777777" w:rsidR="008674A8" w:rsidRPr="00B8307D" w:rsidRDefault="008674A8" w:rsidP="000A067B">
            <w:pPr>
              <w:widowControl w:val="0"/>
              <w:rPr>
                <w:sz w:val="22"/>
                <w:szCs w:val="22"/>
                <w:lang w:val="sr-Latn-ME" w:eastAsia="ja-JP"/>
              </w:rPr>
            </w:pPr>
            <w:r w:rsidRPr="00B8307D">
              <w:rPr>
                <w:sz w:val="22"/>
                <w:szCs w:val="22"/>
                <w:lang w:val="sr-Latn-ME" w:eastAsia="ja-JP"/>
              </w:rPr>
              <w:t>Pireksija</w:t>
            </w:r>
          </w:p>
        </w:tc>
        <w:tc>
          <w:tcPr>
            <w:tcW w:w="1289" w:type="pct"/>
            <w:tcBorders>
              <w:top w:val="single" w:sz="4" w:space="0" w:color="auto"/>
              <w:left w:val="single" w:sz="4" w:space="0" w:color="auto"/>
              <w:bottom w:val="single" w:sz="4" w:space="0" w:color="auto"/>
              <w:right w:val="single" w:sz="4" w:space="0" w:color="auto"/>
            </w:tcBorders>
            <w:hideMark/>
          </w:tcPr>
          <w:p w14:paraId="3418835F" w14:textId="77777777" w:rsidR="008674A8" w:rsidRPr="00B8307D" w:rsidRDefault="008674A8" w:rsidP="000A067B">
            <w:pPr>
              <w:widowControl w:val="0"/>
              <w:rPr>
                <w:sz w:val="22"/>
                <w:szCs w:val="22"/>
                <w:lang w:val="sr-Latn-ME" w:eastAsia="ja-JP"/>
              </w:rPr>
            </w:pPr>
            <w:r w:rsidRPr="00B8307D">
              <w:rPr>
                <w:sz w:val="22"/>
                <w:szCs w:val="22"/>
                <w:lang w:val="sr-Latn-ME" w:eastAsia="ja-JP"/>
              </w:rPr>
              <w:t>Vrlo često</w:t>
            </w:r>
          </w:p>
        </w:tc>
      </w:tr>
      <w:tr w:rsidR="008674A8" w:rsidRPr="00B8307D" w14:paraId="50C1D9A7" w14:textId="77777777" w:rsidTr="000A067B">
        <w:trPr>
          <w:trHeight w:val="176"/>
        </w:trPr>
        <w:tc>
          <w:tcPr>
            <w:tcW w:w="1733" w:type="pct"/>
            <w:vMerge/>
            <w:tcBorders>
              <w:top w:val="single" w:sz="4" w:space="0" w:color="auto"/>
              <w:left w:val="single" w:sz="4" w:space="0" w:color="auto"/>
              <w:bottom w:val="single" w:sz="4" w:space="0" w:color="auto"/>
              <w:right w:val="single" w:sz="4" w:space="0" w:color="auto"/>
            </w:tcBorders>
            <w:vAlign w:val="center"/>
            <w:hideMark/>
          </w:tcPr>
          <w:p w14:paraId="33C6E2EA" w14:textId="77777777" w:rsidR="008674A8" w:rsidRPr="00B8307D" w:rsidRDefault="008674A8" w:rsidP="000A067B">
            <w:pPr>
              <w:widowControl w:val="0"/>
              <w:rPr>
                <w:sz w:val="22"/>
                <w:szCs w:val="22"/>
                <w:lang w:val="sr-Latn-ME" w:eastAsia="ja-JP"/>
              </w:rPr>
            </w:pPr>
          </w:p>
        </w:tc>
        <w:tc>
          <w:tcPr>
            <w:tcW w:w="1978" w:type="pct"/>
            <w:tcBorders>
              <w:top w:val="single" w:sz="4" w:space="0" w:color="auto"/>
              <w:left w:val="single" w:sz="4" w:space="0" w:color="auto"/>
              <w:bottom w:val="single" w:sz="4" w:space="0" w:color="auto"/>
              <w:right w:val="single" w:sz="4" w:space="0" w:color="auto"/>
            </w:tcBorders>
            <w:hideMark/>
          </w:tcPr>
          <w:p w14:paraId="6FFBFFD3" w14:textId="77777777" w:rsidR="008674A8" w:rsidRPr="00B8307D" w:rsidRDefault="008674A8" w:rsidP="000A067B">
            <w:pPr>
              <w:widowControl w:val="0"/>
              <w:rPr>
                <w:sz w:val="22"/>
                <w:szCs w:val="22"/>
                <w:lang w:val="sr-Latn-ME" w:eastAsia="ja-JP"/>
              </w:rPr>
            </w:pPr>
            <w:r w:rsidRPr="00B8307D">
              <w:rPr>
                <w:sz w:val="22"/>
                <w:szCs w:val="22"/>
                <w:lang w:val="sr-Latn-ME" w:eastAsia="ja-JP"/>
              </w:rPr>
              <w:t>Zapaljenje sluznica</w:t>
            </w:r>
          </w:p>
        </w:tc>
        <w:tc>
          <w:tcPr>
            <w:tcW w:w="1289" w:type="pct"/>
            <w:tcBorders>
              <w:top w:val="single" w:sz="4" w:space="0" w:color="auto"/>
              <w:left w:val="single" w:sz="4" w:space="0" w:color="auto"/>
              <w:bottom w:val="single" w:sz="4" w:space="0" w:color="auto"/>
              <w:right w:val="single" w:sz="4" w:space="0" w:color="auto"/>
            </w:tcBorders>
            <w:hideMark/>
          </w:tcPr>
          <w:p w14:paraId="3192332B" w14:textId="77777777" w:rsidR="008674A8" w:rsidRPr="00B8307D" w:rsidRDefault="008674A8" w:rsidP="000A067B">
            <w:pPr>
              <w:widowControl w:val="0"/>
              <w:rPr>
                <w:sz w:val="22"/>
                <w:szCs w:val="22"/>
                <w:lang w:val="sr-Latn-ME" w:eastAsia="ja-JP"/>
              </w:rPr>
            </w:pPr>
            <w:r w:rsidRPr="00B8307D">
              <w:rPr>
                <w:sz w:val="22"/>
                <w:szCs w:val="22"/>
                <w:lang w:val="sr-Latn-ME" w:eastAsia="ja-JP"/>
              </w:rPr>
              <w:t>Vrlo često</w:t>
            </w:r>
          </w:p>
        </w:tc>
      </w:tr>
      <w:tr w:rsidR="008674A8" w:rsidRPr="00B8307D" w14:paraId="204F5E76" w14:textId="77777777" w:rsidTr="000A067B">
        <w:trPr>
          <w:trHeight w:val="80"/>
        </w:trPr>
        <w:tc>
          <w:tcPr>
            <w:tcW w:w="1733" w:type="pct"/>
            <w:vMerge/>
            <w:tcBorders>
              <w:top w:val="single" w:sz="4" w:space="0" w:color="auto"/>
              <w:left w:val="single" w:sz="4" w:space="0" w:color="auto"/>
              <w:bottom w:val="single" w:sz="4" w:space="0" w:color="auto"/>
              <w:right w:val="single" w:sz="4" w:space="0" w:color="auto"/>
            </w:tcBorders>
            <w:vAlign w:val="center"/>
            <w:hideMark/>
          </w:tcPr>
          <w:p w14:paraId="37C7BE20" w14:textId="77777777" w:rsidR="008674A8" w:rsidRPr="00B8307D" w:rsidRDefault="008674A8" w:rsidP="000A067B">
            <w:pPr>
              <w:widowControl w:val="0"/>
              <w:rPr>
                <w:sz w:val="22"/>
                <w:szCs w:val="22"/>
                <w:lang w:val="sr-Latn-ME" w:eastAsia="ja-JP"/>
              </w:rPr>
            </w:pPr>
          </w:p>
        </w:tc>
        <w:tc>
          <w:tcPr>
            <w:tcW w:w="1978" w:type="pct"/>
            <w:tcBorders>
              <w:top w:val="single" w:sz="4" w:space="0" w:color="auto"/>
              <w:left w:val="single" w:sz="4" w:space="0" w:color="auto"/>
              <w:bottom w:val="single" w:sz="4" w:space="0" w:color="auto"/>
              <w:right w:val="single" w:sz="4" w:space="0" w:color="auto"/>
            </w:tcBorders>
          </w:tcPr>
          <w:p w14:paraId="04D59F08" w14:textId="77777777" w:rsidR="008674A8" w:rsidRPr="00B8307D" w:rsidRDefault="008674A8" w:rsidP="000A067B">
            <w:pPr>
              <w:widowControl w:val="0"/>
              <w:rPr>
                <w:sz w:val="22"/>
                <w:szCs w:val="22"/>
                <w:lang w:val="sr-Latn-ME" w:eastAsia="ja-JP"/>
              </w:rPr>
            </w:pPr>
            <w:r w:rsidRPr="00B8307D">
              <w:rPr>
                <w:sz w:val="22"/>
                <w:szCs w:val="22"/>
                <w:lang w:val="sr-Latn-ME" w:eastAsia="ja-JP"/>
              </w:rPr>
              <w:t>Periferni edemi</w:t>
            </w:r>
          </w:p>
        </w:tc>
        <w:tc>
          <w:tcPr>
            <w:tcW w:w="1289" w:type="pct"/>
            <w:tcBorders>
              <w:top w:val="single" w:sz="4" w:space="0" w:color="auto"/>
              <w:left w:val="single" w:sz="4" w:space="0" w:color="auto"/>
              <w:bottom w:val="single" w:sz="4" w:space="0" w:color="auto"/>
              <w:right w:val="single" w:sz="4" w:space="0" w:color="auto"/>
            </w:tcBorders>
          </w:tcPr>
          <w:p w14:paraId="12429B60" w14:textId="77777777" w:rsidR="008674A8" w:rsidRPr="00B8307D" w:rsidRDefault="008674A8" w:rsidP="000A067B">
            <w:pPr>
              <w:widowControl w:val="0"/>
              <w:rPr>
                <w:sz w:val="22"/>
                <w:szCs w:val="22"/>
                <w:lang w:val="sr-Latn-ME" w:eastAsia="ja-JP"/>
              </w:rPr>
            </w:pPr>
            <w:r w:rsidRPr="00B8307D">
              <w:rPr>
                <w:sz w:val="22"/>
                <w:szCs w:val="22"/>
                <w:lang w:val="sr-Latn-ME" w:eastAsia="ja-JP"/>
              </w:rPr>
              <w:t>Vrlo često</w:t>
            </w:r>
          </w:p>
        </w:tc>
      </w:tr>
      <w:tr w:rsidR="008674A8" w:rsidRPr="00B8307D" w14:paraId="595FDD3A" w14:textId="77777777" w:rsidTr="000A067B">
        <w:trPr>
          <w:trHeight w:val="80"/>
        </w:trPr>
        <w:tc>
          <w:tcPr>
            <w:tcW w:w="1733" w:type="pct"/>
            <w:vMerge/>
            <w:tcBorders>
              <w:top w:val="single" w:sz="4" w:space="0" w:color="auto"/>
              <w:left w:val="single" w:sz="4" w:space="0" w:color="auto"/>
              <w:bottom w:val="single" w:sz="4" w:space="0" w:color="auto"/>
              <w:right w:val="single" w:sz="4" w:space="0" w:color="auto"/>
            </w:tcBorders>
            <w:vAlign w:val="center"/>
            <w:hideMark/>
          </w:tcPr>
          <w:p w14:paraId="1FE78B44" w14:textId="77777777" w:rsidR="008674A8" w:rsidRPr="00B8307D" w:rsidRDefault="008674A8" w:rsidP="000A067B">
            <w:pPr>
              <w:widowControl w:val="0"/>
              <w:rPr>
                <w:sz w:val="22"/>
                <w:szCs w:val="22"/>
                <w:lang w:val="sr-Latn-ME" w:eastAsia="ja-JP"/>
              </w:rPr>
            </w:pPr>
          </w:p>
        </w:tc>
        <w:tc>
          <w:tcPr>
            <w:tcW w:w="1978" w:type="pct"/>
            <w:tcBorders>
              <w:top w:val="single" w:sz="4" w:space="0" w:color="auto"/>
              <w:left w:val="single" w:sz="4" w:space="0" w:color="auto"/>
              <w:bottom w:val="single" w:sz="4" w:space="0" w:color="auto"/>
              <w:right w:val="single" w:sz="4" w:space="0" w:color="auto"/>
            </w:tcBorders>
          </w:tcPr>
          <w:p w14:paraId="10D6849A" w14:textId="77777777" w:rsidR="008674A8" w:rsidRPr="00B8307D" w:rsidRDefault="008674A8" w:rsidP="000A067B">
            <w:pPr>
              <w:widowControl w:val="0"/>
              <w:rPr>
                <w:sz w:val="22"/>
                <w:szCs w:val="22"/>
                <w:lang w:val="sr-Latn-ME" w:eastAsia="ja-JP"/>
              </w:rPr>
            </w:pPr>
            <w:r w:rsidRPr="00B8307D">
              <w:rPr>
                <w:sz w:val="22"/>
                <w:szCs w:val="22"/>
                <w:lang w:val="sr-Latn-ME" w:eastAsia="ja-JP"/>
              </w:rPr>
              <w:t>Slabost</w:t>
            </w:r>
          </w:p>
        </w:tc>
        <w:tc>
          <w:tcPr>
            <w:tcW w:w="1289" w:type="pct"/>
            <w:tcBorders>
              <w:top w:val="single" w:sz="4" w:space="0" w:color="auto"/>
              <w:left w:val="single" w:sz="4" w:space="0" w:color="auto"/>
              <w:bottom w:val="single" w:sz="4" w:space="0" w:color="auto"/>
              <w:right w:val="single" w:sz="4" w:space="0" w:color="auto"/>
            </w:tcBorders>
          </w:tcPr>
          <w:p w14:paraId="10A9B3B5" w14:textId="77777777" w:rsidR="008674A8" w:rsidRPr="00B8307D" w:rsidRDefault="008674A8" w:rsidP="000A067B">
            <w:pPr>
              <w:widowControl w:val="0"/>
              <w:rPr>
                <w:sz w:val="22"/>
                <w:szCs w:val="22"/>
                <w:lang w:val="sr-Latn-ME" w:eastAsia="ja-JP"/>
              </w:rPr>
            </w:pPr>
            <w:r w:rsidRPr="00B8307D">
              <w:rPr>
                <w:sz w:val="22"/>
                <w:szCs w:val="22"/>
                <w:lang w:val="sr-Latn-ME" w:eastAsia="ja-JP"/>
              </w:rPr>
              <w:t>Često</w:t>
            </w:r>
          </w:p>
        </w:tc>
      </w:tr>
      <w:tr w:rsidR="008674A8" w:rsidRPr="00B8307D" w14:paraId="1E64DCA1" w14:textId="77777777" w:rsidTr="000A067B">
        <w:trPr>
          <w:trHeight w:val="240"/>
        </w:trPr>
        <w:tc>
          <w:tcPr>
            <w:tcW w:w="1733" w:type="pct"/>
            <w:vMerge/>
            <w:tcBorders>
              <w:top w:val="single" w:sz="4" w:space="0" w:color="auto"/>
              <w:left w:val="single" w:sz="4" w:space="0" w:color="auto"/>
              <w:bottom w:val="single" w:sz="4" w:space="0" w:color="auto"/>
              <w:right w:val="single" w:sz="4" w:space="0" w:color="auto"/>
            </w:tcBorders>
            <w:vAlign w:val="center"/>
            <w:hideMark/>
          </w:tcPr>
          <w:p w14:paraId="4DB6D5EF" w14:textId="77777777" w:rsidR="008674A8" w:rsidRPr="00B8307D" w:rsidRDefault="008674A8" w:rsidP="000A067B">
            <w:pPr>
              <w:widowControl w:val="0"/>
              <w:rPr>
                <w:sz w:val="22"/>
                <w:szCs w:val="22"/>
                <w:lang w:val="sr-Latn-ME" w:eastAsia="ja-JP"/>
              </w:rPr>
            </w:pPr>
          </w:p>
        </w:tc>
        <w:tc>
          <w:tcPr>
            <w:tcW w:w="1978" w:type="pct"/>
            <w:tcBorders>
              <w:top w:val="single" w:sz="4" w:space="0" w:color="auto"/>
              <w:left w:val="single" w:sz="4" w:space="0" w:color="auto"/>
              <w:right w:val="single" w:sz="4" w:space="0" w:color="auto"/>
            </w:tcBorders>
            <w:hideMark/>
          </w:tcPr>
          <w:p w14:paraId="7A39FFD2" w14:textId="77777777" w:rsidR="008674A8" w:rsidRPr="00B8307D" w:rsidRDefault="008674A8" w:rsidP="000A067B">
            <w:pPr>
              <w:widowControl w:val="0"/>
              <w:rPr>
                <w:sz w:val="22"/>
                <w:szCs w:val="22"/>
                <w:lang w:val="sr-Latn-ME" w:eastAsia="ja-JP"/>
              </w:rPr>
            </w:pPr>
            <w:r w:rsidRPr="00B8307D">
              <w:rPr>
                <w:sz w:val="22"/>
                <w:szCs w:val="22"/>
                <w:lang w:val="sr-Latn-ME" w:eastAsia="ja-JP"/>
              </w:rPr>
              <w:t>Edemi</w:t>
            </w:r>
          </w:p>
        </w:tc>
        <w:tc>
          <w:tcPr>
            <w:tcW w:w="1289" w:type="pct"/>
            <w:tcBorders>
              <w:top w:val="single" w:sz="4" w:space="0" w:color="auto"/>
              <w:left w:val="single" w:sz="4" w:space="0" w:color="auto"/>
              <w:right w:val="single" w:sz="4" w:space="0" w:color="auto"/>
            </w:tcBorders>
            <w:hideMark/>
          </w:tcPr>
          <w:p w14:paraId="1E181EDE" w14:textId="77777777" w:rsidR="008674A8" w:rsidRPr="00B8307D" w:rsidRDefault="008674A8" w:rsidP="000A067B">
            <w:pPr>
              <w:widowControl w:val="0"/>
              <w:rPr>
                <w:sz w:val="22"/>
                <w:szCs w:val="22"/>
                <w:lang w:val="sr-Latn-ME" w:eastAsia="ja-JP"/>
              </w:rPr>
            </w:pPr>
            <w:r w:rsidRPr="00B8307D">
              <w:rPr>
                <w:sz w:val="22"/>
                <w:szCs w:val="22"/>
                <w:lang w:val="sr-Latn-ME" w:eastAsia="ja-JP"/>
              </w:rPr>
              <w:t>Često</w:t>
            </w:r>
          </w:p>
        </w:tc>
      </w:tr>
      <w:tr w:rsidR="008674A8" w:rsidRPr="00B8307D" w14:paraId="557BB371" w14:textId="77777777" w:rsidTr="000A067B">
        <w:tc>
          <w:tcPr>
            <w:tcW w:w="1733" w:type="pct"/>
            <w:tcBorders>
              <w:top w:val="single" w:sz="4" w:space="0" w:color="auto"/>
              <w:left w:val="single" w:sz="4" w:space="0" w:color="auto"/>
              <w:bottom w:val="single" w:sz="4" w:space="0" w:color="auto"/>
              <w:right w:val="single" w:sz="4" w:space="0" w:color="auto"/>
            </w:tcBorders>
            <w:hideMark/>
          </w:tcPr>
          <w:p w14:paraId="1E70C5E3" w14:textId="77777777" w:rsidR="008674A8" w:rsidRPr="00B8307D" w:rsidRDefault="008674A8" w:rsidP="000A067B">
            <w:pPr>
              <w:widowControl w:val="0"/>
              <w:rPr>
                <w:sz w:val="22"/>
                <w:szCs w:val="22"/>
                <w:lang w:val="sr-Latn-ME" w:eastAsia="ja-JP"/>
              </w:rPr>
            </w:pPr>
            <w:r w:rsidRPr="00B8307D">
              <w:rPr>
                <w:sz w:val="22"/>
                <w:szCs w:val="22"/>
                <w:lang w:val="sr-Latn-ME" w:eastAsia="ja-JP"/>
              </w:rPr>
              <w:t>Povrede, trovanja i proceduralne komplikacije</w:t>
            </w:r>
          </w:p>
        </w:tc>
        <w:tc>
          <w:tcPr>
            <w:tcW w:w="1978" w:type="pct"/>
            <w:tcBorders>
              <w:top w:val="single" w:sz="4" w:space="0" w:color="auto"/>
              <w:left w:val="single" w:sz="4" w:space="0" w:color="auto"/>
              <w:bottom w:val="single" w:sz="4" w:space="0" w:color="auto"/>
              <w:right w:val="single" w:sz="4" w:space="0" w:color="auto"/>
            </w:tcBorders>
            <w:hideMark/>
          </w:tcPr>
          <w:p w14:paraId="67644E2F" w14:textId="77777777" w:rsidR="008674A8" w:rsidRPr="00B8307D" w:rsidRDefault="008674A8" w:rsidP="000A067B">
            <w:pPr>
              <w:widowControl w:val="0"/>
              <w:rPr>
                <w:sz w:val="22"/>
                <w:szCs w:val="22"/>
                <w:lang w:val="sr-Latn-ME" w:eastAsia="ja-JP"/>
              </w:rPr>
            </w:pPr>
            <w:r w:rsidRPr="00B8307D">
              <w:rPr>
                <w:sz w:val="22"/>
                <w:szCs w:val="22"/>
                <w:lang w:val="sr-Latn-ME" w:eastAsia="ja-JP"/>
              </w:rPr>
              <w:t>Kontuzije</w:t>
            </w:r>
          </w:p>
        </w:tc>
        <w:tc>
          <w:tcPr>
            <w:tcW w:w="1289" w:type="pct"/>
            <w:tcBorders>
              <w:top w:val="single" w:sz="4" w:space="0" w:color="auto"/>
              <w:left w:val="single" w:sz="4" w:space="0" w:color="auto"/>
              <w:bottom w:val="single" w:sz="4" w:space="0" w:color="auto"/>
              <w:right w:val="single" w:sz="4" w:space="0" w:color="auto"/>
            </w:tcBorders>
            <w:hideMark/>
          </w:tcPr>
          <w:p w14:paraId="0E184E2C" w14:textId="77777777" w:rsidR="008674A8" w:rsidRPr="00B8307D" w:rsidRDefault="008674A8" w:rsidP="000A067B">
            <w:pPr>
              <w:widowControl w:val="0"/>
              <w:rPr>
                <w:sz w:val="22"/>
                <w:szCs w:val="22"/>
                <w:lang w:val="sr-Latn-ME" w:eastAsia="ja-JP"/>
              </w:rPr>
            </w:pPr>
            <w:r w:rsidRPr="00B8307D">
              <w:rPr>
                <w:sz w:val="22"/>
                <w:szCs w:val="22"/>
                <w:lang w:val="sr-Latn-ME" w:eastAsia="ja-JP"/>
              </w:rPr>
              <w:t>Često</w:t>
            </w:r>
          </w:p>
        </w:tc>
      </w:tr>
    </w:tbl>
    <w:p w14:paraId="059FDE81" w14:textId="5EB1A507" w:rsidR="004F6368" w:rsidRPr="00B8307D" w:rsidRDefault="004F6368" w:rsidP="000A067B">
      <w:pPr>
        <w:widowControl w:val="0"/>
        <w:jc w:val="both"/>
        <w:rPr>
          <w:sz w:val="20"/>
          <w:szCs w:val="20"/>
          <w:lang w:val="sr-Latn-ME"/>
        </w:rPr>
      </w:pPr>
      <w:r w:rsidRPr="00B8307D">
        <w:rPr>
          <w:sz w:val="20"/>
          <w:szCs w:val="20"/>
          <w:lang w:val="sr-Latn-ME"/>
        </w:rPr>
        <w:t>+ označava neželjene reakcije koje su prijavljene u vezi sa smrtnim ishodom.</w:t>
      </w:r>
    </w:p>
    <w:p w14:paraId="6127B648" w14:textId="77777777" w:rsidR="004F6368" w:rsidRPr="00B8307D" w:rsidRDefault="004F6368" w:rsidP="000A067B">
      <w:pPr>
        <w:widowControl w:val="0"/>
        <w:jc w:val="both"/>
        <w:rPr>
          <w:sz w:val="20"/>
          <w:szCs w:val="20"/>
          <w:lang w:val="sr-Latn-ME"/>
        </w:rPr>
      </w:pPr>
      <w:r w:rsidRPr="00B8307D">
        <w:rPr>
          <w:sz w:val="20"/>
          <w:szCs w:val="20"/>
          <w:vertAlign w:val="superscript"/>
          <w:lang w:val="sr-Latn-ME"/>
        </w:rPr>
        <w:t>1</w:t>
      </w:r>
      <w:r w:rsidRPr="00B8307D">
        <w:rPr>
          <w:sz w:val="20"/>
          <w:szCs w:val="20"/>
          <w:lang w:val="sr-Latn-ME"/>
        </w:rPr>
        <w:t xml:space="preserve"> označava neželjene reakcije koje su uglavnom prijavljene u vezi sa reakcijama na infuziju. Nema podataka o tačnim procentima.</w:t>
      </w:r>
    </w:p>
    <w:p w14:paraId="4B88C392" w14:textId="3AD8AAA8" w:rsidR="004F6368" w:rsidRPr="00B8307D" w:rsidRDefault="004F6368" w:rsidP="000A067B">
      <w:pPr>
        <w:widowControl w:val="0"/>
        <w:ind w:right="256"/>
        <w:jc w:val="both"/>
        <w:rPr>
          <w:sz w:val="20"/>
          <w:szCs w:val="20"/>
          <w:lang w:val="sr-Latn-ME"/>
        </w:rPr>
      </w:pPr>
      <w:r w:rsidRPr="00B8307D">
        <w:rPr>
          <w:sz w:val="20"/>
          <w:szCs w:val="20"/>
          <w:lang w:val="sr-Latn-ME"/>
        </w:rPr>
        <w:t>* zapaženo u kombinovanoj terapiji nakon antraciklina i u kombinaciji sa taksanima.</w:t>
      </w:r>
    </w:p>
    <w:p w14:paraId="58C38297" w14:textId="77777777" w:rsidR="004F6368" w:rsidRPr="00B8307D" w:rsidRDefault="004F6368" w:rsidP="000A067B">
      <w:pPr>
        <w:widowControl w:val="0"/>
        <w:jc w:val="both"/>
        <w:rPr>
          <w:sz w:val="22"/>
          <w:szCs w:val="22"/>
          <w:lang w:val="sr-Latn-ME"/>
        </w:rPr>
      </w:pPr>
    </w:p>
    <w:p w14:paraId="5F75D0CA" w14:textId="64D81556" w:rsidR="004F6368" w:rsidRPr="00B8307D" w:rsidRDefault="004F6368" w:rsidP="000A067B">
      <w:pPr>
        <w:widowControl w:val="0"/>
        <w:jc w:val="both"/>
        <w:rPr>
          <w:sz w:val="22"/>
          <w:szCs w:val="22"/>
          <w:u w:val="single"/>
          <w:lang w:val="sr-Latn-ME"/>
        </w:rPr>
      </w:pPr>
      <w:r w:rsidRPr="00B8307D">
        <w:rPr>
          <w:sz w:val="22"/>
          <w:szCs w:val="22"/>
          <w:u w:val="single"/>
          <w:lang w:val="sr-Latn-ME"/>
        </w:rPr>
        <w:t>Opis odabranih neželjenih reakcija</w:t>
      </w:r>
    </w:p>
    <w:p w14:paraId="50B77934" w14:textId="77777777" w:rsidR="00B22B2E" w:rsidRPr="00B8307D" w:rsidRDefault="00B22B2E" w:rsidP="000A067B">
      <w:pPr>
        <w:widowControl w:val="0"/>
        <w:jc w:val="both"/>
        <w:rPr>
          <w:sz w:val="22"/>
          <w:szCs w:val="22"/>
          <w:u w:val="single"/>
          <w:lang w:val="sr-Latn-ME"/>
        </w:rPr>
      </w:pPr>
    </w:p>
    <w:p w14:paraId="45D7D1D7" w14:textId="58B62384" w:rsidR="004F6368" w:rsidRPr="00B8307D" w:rsidRDefault="004F6368" w:rsidP="000A067B">
      <w:pPr>
        <w:widowControl w:val="0"/>
        <w:jc w:val="both"/>
        <w:rPr>
          <w:i/>
          <w:sz w:val="22"/>
          <w:szCs w:val="22"/>
          <w:u w:val="single"/>
          <w:lang w:val="sr-Latn-ME"/>
        </w:rPr>
      </w:pPr>
      <w:r w:rsidRPr="00B8307D">
        <w:rPr>
          <w:i/>
          <w:sz w:val="22"/>
          <w:szCs w:val="22"/>
          <w:u w:val="single"/>
          <w:lang w:val="sr-Latn-ME"/>
        </w:rPr>
        <w:t>Disfunkcija srca</w:t>
      </w:r>
    </w:p>
    <w:p w14:paraId="5E7D7051" w14:textId="77777777" w:rsidR="000A0860" w:rsidRPr="00B8307D" w:rsidRDefault="000A0860" w:rsidP="000A067B">
      <w:pPr>
        <w:widowControl w:val="0"/>
        <w:jc w:val="both"/>
        <w:rPr>
          <w:i/>
          <w:sz w:val="22"/>
          <w:szCs w:val="22"/>
          <w:u w:val="single"/>
          <w:lang w:val="sr-Latn-ME"/>
        </w:rPr>
      </w:pPr>
    </w:p>
    <w:p w14:paraId="0399F3A2" w14:textId="762627D1" w:rsidR="004F6368" w:rsidRPr="00B8307D" w:rsidRDefault="004F6368" w:rsidP="000A067B">
      <w:pPr>
        <w:widowControl w:val="0"/>
        <w:jc w:val="both"/>
        <w:rPr>
          <w:sz w:val="22"/>
          <w:szCs w:val="22"/>
          <w:lang w:val="sr-Latn-ME"/>
        </w:rPr>
      </w:pPr>
      <w:r w:rsidRPr="00B8307D">
        <w:rPr>
          <w:sz w:val="22"/>
          <w:szCs w:val="22"/>
          <w:lang w:val="sr-Latn-ME"/>
        </w:rPr>
        <w:t xml:space="preserve">Kongestivna srčana insuficijencija (NYHA klase II-IV) česta je neželjena reakcija povezana sa primjenom </w:t>
      </w:r>
      <w:r w:rsidR="000A0860" w:rsidRPr="00B8307D">
        <w:rPr>
          <w:sz w:val="22"/>
          <w:szCs w:val="22"/>
          <w:lang w:val="sr-Latn-ME"/>
        </w:rPr>
        <w:t xml:space="preserve">lijeka </w:t>
      </w:r>
      <w:r w:rsidRPr="00B8307D">
        <w:rPr>
          <w:sz w:val="22"/>
          <w:szCs w:val="22"/>
          <w:lang w:val="sr-Latn-ME"/>
        </w:rPr>
        <w:t>Herceptin koja je znala biti povezana i sa smrtnim ishodom. Kod pacijenata liječenih lijekom Herceptin primijećeni su znaci i simptomi disfunkcije srca, poput dispnee, ortopnee, pojačanog kašlja, plućnog edema, S3 galopnog zvuka ili smanjene ejekcione frakcije komore (vidjeti dio 4.4).</w:t>
      </w:r>
    </w:p>
    <w:p w14:paraId="44244F1D" w14:textId="77777777" w:rsidR="004F6368" w:rsidRPr="00B8307D" w:rsidRDefault="004F6368" w:rsidP="000A067B">
      <w:pPr>
        <w:widowControl w:val="0"/>
        <w:jc w:val="both"/>
        <w:rPr>
          <w:sz w:val="22"/>
          <w:szCs w:val="22"/>
          <w:lang w:val="sr-Latn-ME"/>
        </w:rPr>
      </w:pPr>
    </w:p>
    <w:p w14:paraId="3FFBED64" w14:textId="30D26587" w:rsidR="004F6368" w:rsidRPr="00B8307D" w:rsidRDefault="004F6368" w:rsidP="000A067B">
      <w:pPr>
        <w:widowControl w:val="0"/>
        <w:jc w:val="both"/>
        <w:rPr>
          <w:sz w:val="22"/>
          <w:szCs w:val="22"/>
          <w:lang w:val="sr-Latn-ME"/>
        </w:rPr>
      </w:pPr>
      <w:r w:rsidRPr="00B8307D">
        <w:rPr>
          <w:sz w:val="22"/>
          <w:szCs w:val="22"/>
          <w:lang w:val="sr-Latn-ME"/>
        </w:rPr>
        <w:t xml:space="preserve">U tri pivotalna klinička ispitivanja adjuvantne primjene intravenske formulacije lijeka Herceptin u kombinaciji sa hemoterapijom, incidenca disfunkcije srca stepena 3/4 (naročito simptomatska kongestivna srčana insuficijencija) je bila slična kod pacijenata koji su primali samo hemoterapiju (nijesu primali </w:t>
      </w:r>
      <w:r w:rsidR="000A0860" w:rsidRPr="00B8307D">
        <w:rPr>
          <w:sz w:val="22"/>
          <w:szCs w:val="22"/>
          <w:lang w:val="sr-Latn-ME"/>
        </w:rPr>
        <w:t xml:space="preserve">lijek </w:t>
      </w:r>
      <w:r w:rsidRPr="00B8307D">
        <w:rPr>
          <w:sz w:val="22"/>
          <w:szCs w:val="22"/>
          <w:lang w:val="sr-Latn-ME"/>
        </w:rPr>
        <w:t xml:space="preserve">Herceptin) i kod pacijenata koji su primali </w:t>
      </w:r>
      <w:r w:rsidR="000A0860" w:rsidRPr="00B8307D">
        <w:rPr>
          <w:sz w:val="22"/>
          <w:szCs w:val="22"/>
          <w:lang w:val="sr-Latn-ME"/>
        </w:rPr>
        <w:t xml:space="preserve">lijek </w:t>
      </w:r>
      <w:r w:rsidRPr="00B8307D">
        <w:rPr>
          <w:sz w:val="22"/>
          <w:szCs w:val="22"/>
          <w:lang w:val="sr-Latn-ME"/>
        </w:rPr>
        <w:t xml:space="preserve">Herceptin nakon taksana (0.3 – 0.4%). Najveća incidenca je bila kod pacijenata koji su primali </w:t>
      </w:r>
      <w:r w:rsidR="000A0860" w:rsidRPr="00B8307D">
        <w:rPr>
          <w:sz w:val="22"/>
          <w:szCs w:val="22"/>
          <w:lang w:val="sr-Latn-ME"/>
        </w:rPr>
        <w:t xml:space="preserve">lijek </w:t>
      </w:r>
      <w:r w:rsidRPr="00B8307D">
        <w:rPr>
          <w:sz w:val="22"/>
          <w:szCs w:val="22"/>
          <w:lang w:val="sr-Latn-ME"/>
        </w:rPr>
        <w:t xml:space="preserve">Herceptin konkurentno sa taksanima (2.0%). U neoadjuvantnoj primjeni, iskustvo istovremene primjene </w:t>
      </w:r>
      <w:r w:rsidR="000A0860" w:rsidRPr="00B8307D">
        <w:rPr>
          <w:sz w:val="22"/>
          <w:szCs w:val="22"/>
          <w:lang w:val="sr-Latn-ME"/>
        </w:rPr>
        <w:t xml:space="preserve">lijeka </w:t>
      </w:r>
      <w:r w:rsidRPr="00B8307D">
        <w:rPr>
          <w:sz w:val="22"/>
          <w:szCs w:val="22"/>
          <w:lang w:val="sr-Latn-ME"/>
        </w:rPr>
        <w:t>Herceptin i nižih doza antraciklina je ograničeno (vidjeti dio 4.4).</w:t>
      </w:r>
    </w:p>
    <w:p w14:paraId="3ECEF7B6" w14:textId="77777777" w:rsidR="004F6368" w:rsidRPr="00B8307D" w:rsidRDefault="004F6368" w:rsidP="000A067B">
      <w:pPr>
        <w:widowControl w:val="0"/>
        <w:jc w:val="both"/>
        <w:rPr>
          <w:sz w:val="22"/>
          <w:szCs w:val="22"/>
          <w:lang w:val="sr-Latn-ME"/>
        </w:rPr>
      </w:pPr>
    </w:p>
    <w:p w14:paraId="2501C78D" w14:textId="0B33033F" w:rsidR="004F6368" w:rsidRPr="00B8307D" w:rsidRDefault="004F6368" w:rsidP="000A067B">
      <w:pPr>
        <w:widowControl w:val="0"/>
        <w:jc w:val="both"/>
        <w:rPr>
          <w:sz w:val="22"/>
          <w:szCs w:val="22"/>
          <w:lang w:val="sr-Latn-ME"/>
        </w:rPr>
      </w:pPr>
      <w:r w:rsidRPr="00B8307D">
        <w:rPr>
          <w:sz w:val="22"/>
          <w:szCs w:val="22"/>
          <w:lang w:val="sr-Latn-ME"/>
        </w:rPr>
        <w:t xml:space="preserve">Kada se </w:t>
      </w:r>
      <w:r w:rsidR="000A0860" w:rsidRPr="00B8307D">
        <w:rPr>
          <w:sz w:val="22"/>
          <w:szCs w:val="22"/>
          <w:lang w:val="sr-Latn-ME"/>
        </w:rPr>
        <w:t xml:space="preserve">lijek </w:t>
      </w:r>
      <w:r w:rsidRPr="00B8307D">
        <w:rPr>
          <w:sz w:val="22"/>
          <w:szCs w:val="22"/>
          <w:lang w:val="sr-Latn-ME"/>
        </w:rPr>
        <w:t>Herceptin primjenjivao nakon završetka adjuvantne hemoterapije, srčana insuficijencija NYHA klase III</w:t>
      </w:r>
      <w:r w:rsidRPr="00B8307D">
        <w:rPr>
          <w:sz w:val="22"/>
          <w:szCs w:val="22"/>
          <w:lang w:val="sr-Latn-ME"/>
        </w:rPr>
        <w:noBreakHyphen/>
        <w:t xml:space="preserve">IV primijećena je kod 0,6% pacijenata iz grupe liječene godinu dana nakon medijane praćenja od 12 mjeseci. U ispitivanju BO16348 nakon medijane praćenja od 8 godina, incidenca teške kongestivne srčane insuficijencije (NYHA III i IV) </w:t>
      </w:r>
      <w:r w:rsidR="000A0860" w:rsidRPr="00B8307D">
        <w:rPr>
          <w:sz w:val="22"/>
          <w:szCs w:val="22"/>
          <w:lang w:val="sr-Latn-ME"/>
        </w:rPr>
        <w:t xml:space="preserve">u </w:t>
      </w:r>
      <w:r w:rsidRPr="00B8307D">
        <w:rPr>
          <w:sz w:val="22"/>
          <w:szCs w:val="22"/>
          <w:lang w:val="sr-Latn-ME"/>
        </w:rPr>
        <w:t>grupi liječenoj 1 godinu lijekom Herceptin  iznosila je 0,8%, dok je stopa blage simptomatske i asimptomatske disfunkcije lijeve komore iznosila 4.6%.</w:t>
      </w:r>
    </w:p>
    <w:p w14:paraId="3F103585" w14:textId="77777777" w:rsidR="002226F3" w:rsidRPr="00B8307D" w:rsidRDefault="002226F3" w:rsidP="000A067B">
      <w:pPr>
        <w:widowControl w:val="0"/>
        <w:jc w:val="both"/>
        <w:rPr>
          <w:sz w:val="22"/>
          <w:szCs w:val="22"/>
          <w:lang w:val="sr-Latn-ME"/>
        </w:rPr>
      </w:pPr>
    </w:p>
    <w:p w14:paraId="50513C2C" w14:textId="77777777" w:rsidR="004F6368" w:rsidRPr="00B8307D" w:rsidRDefault="004F6368" w:rsidP="000A067B">
      <w:pPr>
        <w:widowControl w:val="0"/>
        <w:jc w:val="both"/>
        <w:rPr>
          <w:sz w:val="22"/>
          <w:szCs w:val="22"/>
          <w:lang w:val="sr-Latn-ME"/>
        </w:rPr>
      </w:pPr>
      <w:r w:rsidRPr="00B8307D">
        <w:rPr>
          <w:sz w:val="22"/>
          <w:szCs w:val="22"/>
          <w:lang w:val="sr-Latn-ME"/>
        </w:rPr>
        <w:t>Reverzibilnost teške kongestivne srčane insuficijencije (definisana kao slijed od najmanje dvije  uzastopne vrijednosti LVEF ≥ 50% nakon događaja) bila je primjetna kod 71.4% pacijenata liječenih lijekom Herceptin. Reverzibilnost blage simptomatske i asimptomatske disfunkcije lijeve komore dokazana je kod  79.5% pacijenata liječenih lijekom Herceptin. Približno 17% ishoda povezanih sa srcem nastupilo je nakon završetka liječenja lijekom Herceptin.</w:t>
      </w:r>
    </w:p>
    <w:p w14:paraId="577E368E" w14:textId="77777777" w:rsidR="004F6368" w:rsidRPr="00B8307D" w:rsidRDefault="004F6368" w:rsidP="000A067B">
      <w:pPr>
        <w:widowControl w:val="0"/>
        <w:jc w:val="both"/>
        <w:rPr>
          <w:sz w:val="22"/>
          <w:szCs w:val="22"/>
          <w:lang w:val="sr-Latn-ME"/>
        </w:rPr>
      </w:pPr>
    </w:p>
    <w:p w14:paraId="1FFFC5DF" w14:textId="5CD5D440" w:rsidR="004F6368" w:rsidRPr="00B8307D" w:rsidRDefault="004F6368" w:rsidP="000A067B">
      <w:pPr>
        <w:widowControl w:val="0"/>
        <w:jc w:val="both"/>
        <w:rPr>
          <w:sz w:val="22"/>
          <w:szCs w:val="22"/>
          <w:lang w:val="sr-Latn-ME"/>
        </w:rPr>
      </w:pPr>
      <w:r w:rsidRPr="00B8307D">
        <w:rPr>
          <w:sz w:val="22"/>
          <w:szCs w:val="22"/>
          <w:lang w:val="sr-Latn-ME"/>
        </w:rPr>
        <w:t>U pivotalnim ispitivanjima intravenske formulacije lijeka Herceptin u metastatskoj bolesti, incidenca kardiotoksičnosti kretala se između 9% i 12% kod primjene u kombinaciji s paklitakselom, u poređenju sa 1% - 4% kod primjene samo paklitaksela. Kod primjene u monoterapiji, incidenca je iznosila 6% do 9%. Najviša incidenca kardiotoksičnosti zabilježena je kod pacijentkinja koje su primale</w:t>
      </w:r>
      <w:r w:rsidR="000A0860" w:rsidRPr="00B8307D">
        <w:rPr>
          <w:sz w:val="22"/>
          <w:szCs w:val="22"/>
          <w:lang w:val="sr-Latn-ME"/>
        </w:rPr>
        <w:t xml:space="preserve"> lijek</w:t>
      </w:r>
      <w:r w:rsidRPr="00B8307D">
        <w:rPr>
          <w:sz w:val="22"/>
          <w:szCs w:val="22"/>
          <w:lang w:val="sr-Latn-ME"/>
        </w:rPr>
        <w:t xml:space="preserve"> Herceptin istovremeno sa antraciklinom/ciklofosfamidom (27%), što je bilo značajno više nego kod primjene samo antraciklina/ciklofosfamida (7% – 10%). U kasnijem ispitivanju u kojem se prospektivno pratila srčana funkcija, incidenca simptomatske kongestivne srčane insuficijencije bila je 2,2% kod pacijentkinja koje su primale </w:t>
      </w:r>
      <w:r w:rsidR="000A0860" w:rsidRPr="00B8307D">
        <w:rPr>
          <w:sz w:val="22"/>
          <w:szCs w:val="22"/>
          <w:lang w:val="sr-Latn-ME"/>
        </w:rPr>
        <w:t xml:space="preserve">lijek </w:t>
      </w:r>
      <w:r w:rsidRPr="00B8307D">
        <w:rPr>
          <w:sz w:val="22"/>
          <w:szCs w:val="22"/>
          <w:lang w:val="sr-Latn-ME"/>
        </w:rPr>
        <w:t>Herceptin i docetaksel, u poređenju sa 0% kod pacijentkinja koje su primale samo docetaksel. Kod većine pacijentkinja (79%) kod kojih se u tim ispitivanjima razvila kardiotoksičnost došlo je do poboljšanja nakon što su primile standardnu terapiju za kongestivnu srčanu insuficijenciju.</w:t>
      </w:r>
    </w:p>
    <w:p w14:paraId="3256BF26" w14:textId="77777777" w:rsidR="004F6368" w:rsidRPr="00B8307D" w:rsidRDefault="004F6368" w:rsidP="000A067B">
      <w:pPr>
        <w:widowControl w:val="0"/>
        <w:jc w:val="both"/>
        <w:rPr>
          <w:sz w:val="22"/>
          <w:szCs w:val="22"/>
          <w:u w:val="single"/>
          <w:lang w:val="sr-Latn-ME"/>
        </w:rPr>
      </w:pPr>
    </w:p>
    <w:p w14:paraId="44EFE50E" w14:textId="47158CD3" w:rsidR="004F6368" w:rsidRPr="00B8307D" w:rsidRDefault="004F6368" w:rsidP="000A067B">
      <w:pPr>
        <w:widowControl w:val="0"/>
        <w:jc w:val="both"/>
        <w:rPr>
          <w:i/>
          <w:sz w:val="22"/>
          <w:szCs w:val="22"/>
          <w:u w:val="single"/>
          <w:lang w:val="sr-Latn-ME"/>
        </w:rPr>
      </w:pPr>
      <w:r w:rsidRPr="00B8307D">
        <w:rPr>
          <w:i/>
          <w:sz w:val="22"/>
          <w:szCs w:val="22"/>
          <w:u w:val="single"/>
          <w:lang w:val="sr-Latn-ME"/>
        </w:rPr>
        <w:t>Reakcije povezane sa primjenom lijeka/preosjetljivost</w:t>
      </w:r>
    </w:p>
    <w:p w14:paraId="20C84D13" w14:textId="77777777" w:rsidR="000A0860" w:rsidRPr="00B8307D" w:rsidRDefault="000A0860" w:rsidP="000A067B">
      <w:pPr>
        <w:widowControl w:val="0"/>
        <w:jc w:val="both"/>
        <w:rPr>
          <w:i/>
          <w:sz w:val="22"/>
          <w:szCs w:val="22"/>
          <w:u w:val="single"/>
          <w:lang w:val="sr-Latn-ME"/>
        </w:rPr>
      </w:pPr>
    </w:p>
    <w:p w14:paraId="4233122B" w14:textId="77777777" w:rsidR="004F6368" w:rsidRPr="00B8307D" w:rsidRDefault="004F6368" w:rsidP="000A067B">
      <w:pPr>
        <w:widowControl w:val="0"/>
        <w:jc w:val="both"/>
        <w:rPr>
          <w:sz w:val="22"/>
          <w:szCs w:val="22"/>
          <w:lang w:val="sr-Latn-ME"/>
        </w:rPr>
      </w:pPr>
      <w:r w:rsidRPr="00B8307D">
        <w:rPr>
          <w:sz w:val="22"/>
          <w:szCs w:val="22"/>
          <w:lang w:val="sr-Latn-ME"/>
        </w:rPr>
        <w:t>U kliničkim ispitivanjima lijeka Herceptin primijećene su reakcije povezane sa primjenom lijeka/reakcije preosjetljivosti poput drhtavice i/ili groznice, dispnee, hipotenzije, šištanja pri disanju, bronhospazma, tahikardije, smanjene zasićenosti kiseonikom, respiratornog distresa, osipa, mučnine, povraćanja i glavobolje (vidjeti dio 4.4). Incidenca reakcija povezanih sa primjenom lijeka svih stepena varirala je od ispitivanja do ispitivanja zavisno od indikacije, metodologije prikupljanja podataka i od toga da li se trastuzumab primjenjivao u kombinaciji sa hemoterapijom ili kao monoterapija.</w:t>
      </w:r>
    </w:p>
    <w:p w14:paraId="3C4CCB6C" w14:textId="77777777" w:rsidR="004F6368" w:rsidRPr="00B8307D" w:rsidRDefault="004F6368" w:rsidP="000A067B">
      <w:pPr>
        <w:widowControl w:val="0"/>
        <w:jc w:val="both"/>
        <w:rPr>
          <w:sz w:val="22"/>
          <w:szCs w:val="22"/>
          <w:lang w:val="sr-Latn-ME"/>
        </w:rPr>
      </w:pPr>
    </w:p>
    <w:p w14:paraId="6924B2DE" w14:textId="68EE9209" w:rsidR="004F6368" w:rsidRPr="00B8307D" w:rsidRDefault="004F6368" w:rsidP="000A067B">
      <w:pPr>
        <w:widowControl w:val="0"/>
        <w:jc w:val="both"/>
        <w:rPr>
          <w:sz w:val="22"/>
          <w:szCs w:val="22"/>
          <w:lang w:val="sr-Latn-ME"/>
        </w:rPr>
      </w:pPr>
      <w:r w:rsidRPr="00B8307D">
        <w:rPr>
          <w:sz w:val="22"/>
          <w:szCs w:val="22"/>
          <w:lang w:val="sr-Latn-ME"/>
        </w:rPr>
        <w:t>U izolovanim slučajevima su primijećene anafilaktoidne reakcije.</w:t>
      </w:r>
    </w:p>
    <w:p w14:paraId="2365553D" w14:textId="77777777" w:rsidR="00B22B2E" w:rsidRPr="00B8307D" w:rsidRDefault="00B22B2E" w:rsidP="000A067B">
      <w:pPr>
        <w:widowControl w:val="0"/>
        <w:jc w:val="both"/>
        <w:rPr>
          <w:sz w:val="22"/>
          <w:szCs w:val="22"/>
          <w:lang w:val="sr-Latn-ME"/>
        </w:rPr>
      </w:pPr>
    </w:p>
    <w:p w14:paraId="3FEED72C" w14:textId="30DD6C8E" w:rsidR="004F6368" w:rsidRPr="00B8307D" w:rsidRDefault="004F6368" w:rsidP="000A067B">
      <w:pPr>
        <w:widowControl w:val="0"/>
        <w:jc w:val="both"/>
        <w:rPr>
          <w:i/>
          <w:sz w:val="22"/>
          <w:szCs w:val="22"/>
          <w:u w:val="single"/>
          <w:lang w:val="sr-Latn-ME"/>
        </w:rPr>
      </w:pPr>
      <w:r w:rsidRPr="00B8307D">
        <w:rPr>
          <w:i/>
          <w:sz w:val="22"/>
          <w:szCs w:val="22"/>
          <w:u w:val="single"/>
          <w:lang w:val="sr-Latn-ME"/>
        </w:rPr>
        <w:t>Hematotoksičnost</w:t>
      </w:r>
    </w:p>
    <w:p w14:paraId="399A4825" w14:textId="77777777" w:rsidR="000A0860" w:rsidRPr="00B8307D" w:rsidRDefault="000A0860" w:rsidP="000A067B">
      <w:pPr>
        <w:widowControl w:val="0"/>
        <w:jc w:val="both"/>
        <w:rPr>
          <w:i/>
          <w:sz w:val="22"/>
          <w:szCs w:val="22"/>
          <w:u w:val="single"/>
          <w:lang w:val="sr-Latn-ME"/>
        </w:rPr>
      </w:pPr>
    </w:p>
    <w:p w14:paraId="48C19BBC" w14:textId="77777777" w:rsidR="004F6368" w:rsidRPr="00B8307D" w:rsidRDefault="004F6368" w:rsidP="000A067B">
      <w:pPr>
        <w:widowControl w:val="0"/>
        <w:jc w:val="both"/>
        <w:rPr>
          <w:sz w:val="22"/>
          <w:szCs w:val="22"/>
          <w:lang w:val="sr-Latn-ME"/>
        </w:rPr>
      </w:pPr>
      <w:r w:rsidRPr="00B8307D">
        <w:rPr>
          <w:sz w:val="22"/>
          <w:szCs w:val="22"/>
          <w:lang w:val="sr-Latn-ME"/>
        </w:rPr>
        <w:t>Febrilna neutropenija, leukopenija, anemija, trombocitopenija i neutropenija su vrlo česte. Učestalost pojave hipoprotrombinemije nije poznata. Rizik od razvoja neutropenije može biti neznatno povećan kada se trastuzumab primjenjuje sa docetakselom nakon antraciklinske terapije.</w:t>
      </w:r>
    </w:p>
    <w:p w14:paraId="46805297" w14:textId="77777777" w:rsidR="004F6368" w:rsidRPr="00B8307D" w:rsidRDefault="004F6368" w:rsidP="000A067B">
      <w:pPr>
        <w:widowControl w:val="0"/>
        <w:jc w:val="both"/>
        <w:rPr>
          <w:sz w:val="22"/>
          <w:szCs w:val="22"/>
          <w:lang w:val="sr-Latn-ME"/>
        </w:rPr>
      </w:pPr>
    </w:p>
    <w:p w14:paraId="43ED35C9" w14:textId="1DABCA13" w:rsidR="004F6368" w:rsidRPr="00B8307D" w:rsidRDefault="004F6368" w:rsidP="000A067B">
      <w:pPr>
        <w:widowControl w:val="0"/>
        <w:jc w:val="both"/>
        <w:rPr>
          <w:i/>
          <w:sz w:val="22"/>
          <w:szCs w:val="22"/>
          <w:u w:val="single"/>
          <w:lang w:val="sr-Latn-ME"/>
        </w:rPr>
      </w:pPr>
      <w:r w:rsidRPr="00B8307D">
        <w:rPr>
          <w:i/>
          <w:sz w:val="22"/>
          <w:szCs w:val="22"/>
          <w:u w:val="single"/>
          <w:lang w:val="sr-Latn-ME"/>
        </w:rPr>
        <w:t>Plućni događaji</w:t>
      </w:r>
    </w:p>
    <w:p w14:paraId="61955F23" w14:textId="77777777" w:rsidR="000A0860" w:rsidRPr="00B8307D" w:rsidRDefault="000A0860" w:rsidP="000A067B">
      <w:pPr>
        <w:widowControl w:val="0"/>
        <w:jc w:val="both"/>
        <w:rPr>
          <w:i/>
          <w:sz w:val="22"/>
          <w:szCs w:val="22"/>
          <w:u w:val="single"/>
          <w:lang w:val="sr-Latn-ME"/>
        </w:rPr>
      </w:pPr>
    </w:p>
    <w:p w14:paraId="7E352C11" w14:textId="77777777" w:rsidR="004F6368" w:rsidRPr="00B8307D" w:rsidRDefault="004F6368" w:rsidP="000A067B">
      <w:pPr>
        <w:widowControl w:val="0"/>
        <w:jc w:val="both"/>
        <w:rPr>
          <w:sz w:val="22"/>
          <w:szCs w:val="22"/>
          <w:lang w:val="sr-Latn-ME"/>
        </w:rPr>
      </w:pPr>
      <w:r w:rsidRPr="00B8307D">
        <w:rPr>
          <w:sz w:val="22"/>
          <w:szCs w:val="22"/>
          <w:lang w:val="sr-Latn-ME"/>
        </w:rPr>
        <w:t>Pri upotrebi lijeka Herceptin javljaju se teške plućne neželjene reakcije koje su se završavale smrtnim ishodom. Te reakcije, između ostalog, uključuju plućne infiltrate, sindrom akutnog respiratornog distresa, pneumoniju, pneumonitis, pleuralni izliv, respiratorni distres, akutni plućni edem i respiratornu insuficijenciju (vidjeti dio 4.4).</w:t>
      </w:r>
    </w:p>
    <w:p w14:paraId="58E89663" w14:textId="77777777" w:rsidR="004F6368" w:rsidRPr="00B8307D" w:rsidRDefault="004F6368" w:rsidP="000A067B">
      <w:pPr>
        <w:widowControl w:val="0"/>
        <w:jc w:val="both"/>
        <w:rPr>
          <w:sz w:val="22"/>
          <w:szCs w:val="22"/>
          <w:lang w:val="sr-Latn-ME"/>
        </w:rPr>
      </w:pPr>
    </w:p>
    <w:p w14:paraId="6DDE4AE0" w14:textId="77777777" w:rsidR="004F6368" w:rsidRPr="00B8307D" w:rsidRDefault="004F6368" w:rsidP="000A067B">
      <w:pPr>
        <w:widowControl w:val="0"/>
        <w:jc w:val="both"/>
        <w:rPr>
          <w:sz w:val="22"/>
          <w:szCs w:val="22"/>
          <w:u w:val="single"/>
          <w:lang w:val="sr-Latn-ME"/>
        </w:rPr>
      </w:pPr>
      <w:r w:rsidRPr="00B8307D">
        <w:rPr>
          <w:sz w:val="22"/>
          <w:szCs w:val="22"/>
          <w:u w:val="single"/>
          <w:lang w:val="sr-Latn-ME"/>
        </w:rPr>
        <w:t>Opis odabranih neželjenih reakcija kod primjene subkutane formulacije</w:t>
      </w:r>
    </w:p>
    <w:p w14:paraId="03EB5755" w14:textId="77777777" w:rsidR="004F6368" w:rsidRPr="00B8307D" w:rsidRDefault="004F6368" w:rsidP="000A067B">
      <w:pPr>
        <w:widowControl w:val="0"/>
        <w:jc w:val="both"/>
        <w:rPr>
          <w:sz w:val="22"/>
          <w:szCs w:val="22"/>
          <w:u w:val="single"/>
          <w:lang w:val="sr-Latn-ME"/>
        </w:rPr>
      </w:pPr>
    </w:p>
    <w:p w14:paraId="76821757" w14:textId="5AE44B7C" w:rsidR="004F6368" w:rsidRPr="00B8307D" w:rsidRDefault="004F6368" w:rsidP="000A067B">
      <w:pPr>
        <w:widowControl w:val="0"/>
        <w:jc w:val="both"/>
        <w:rPr>
          <w:i/>
          <w:sz w:val="22"/>
          <w:szCs w:val="22"/>
          <w:u w:val="single"/>
          <w:lang w:val="sr-Latn-ME"/>
        </w:rPr>
      </w:pPr>
      <w:r w:rsidRPr="00B8307D">
        <w:rPr>
          <w:i/>
          <w:sz w:val="22"/>
          <w:szCs w:val="22"/>
          <w:u w:val="single"/>
          <w:lang w:val="sr-Latn-ME"/>
        </w:rPr>
        <w:t>Reakcije povezane sa primjenom lijeka</w:t>
      </w:r>
    </w:p>
    <w:p w14:paraId="0330CD23" w14:textId="77777777" w:rsidR="000A0860" w:rsidRPr="00B8307D" w:rsidRDefault="000A0860" w:rsidP="000A067B">
      <w:pPr>
        <w:widowControl w:val="0"/>
        <w:jc w:val="both"/>
        <w:rPr>
          <w:i/>
          <w:sz w:val="22"/>
          <w:szCs w:val="22"/>
          <w:u w:val="single"/>
          <w:lang w:val="sr-Latn-ME"/>
        </w:rPr>
      </w:pPr>
    </w:p>
    <w:p w14:paraId="77C65F09" w14:textId="77777777" w:rsidR="004F6368" w:rsidRPr="00B8307D" w:rsidRDefault="004F6368" w:rsidP="000A067B">
      <w:pPr>
        <w:widowControl w:val="0"/>
        <w:jc w:val="both"/>
        <w:rPr>
          <w:sz w:val="22"/>
          <w:szCs w:val="22"/>
          <w:lang w:val="sr-Latn-ME"/>
        </w:rPr>
      </w:pPr>
      <w:r w:rsidRPr="00B8307D">
        <w:rPr>
          <w:sz w:val="22"/>
          <w:szCs w:val="22"/>
          <w:lang w:val="sr-Latn-ME"/>
        </w:rPr>
        <w:t>U pivotalnom ispitivanju incidenca svih stepena reakcija povezanih sa primjenom lijeka iznosila je 37,2% prilikom primjene intravenske formulacije lijeka Herceptin i 47,8% prilikom primjene subkutane formulacije lijeka Herceptin; teške reakcije stepena 3 tokom perioda liječenja prijavljene su kod 2,0% odnosno 1,7% pacijenata; nijesu zabilježene teške reakcije stepena 4 ili 5. Sve teške reakcije kod primjene subkutane formulacije lijeka Herceptin dogodile su se pri istovremenoj primjeni sa hemoterapijom. Najčešća teška reakcija bila je preosjetljivost na lijek.</w:t>
      </w:r>
    </w:p>
    <w:p w14:paraId="1038D4FB" w14:textId="77777777" w:rsidR="004F6368" w:rsidRPr="00B8307D" w:rsidRDefault="004F6368" w:rsidP="000A067B">
      <w:pPr>
        <w:widowControl w:val="0"/>
        <w:jc w:val="both"/>
        <w:rPr>
          <w:sz w:val="22"/>
          <w:szCs w:val="22"/>
          <w:lang w:val="sr-Latn-ME"/>
        </w:rPr>
      </w:pPr>
    </w:p>
    <w:p w14:paraId="6F4F6CA2" w14:textId="77777777" w:rsidR="004F6368" w:rsidRPr="00B8307D" w:rsidRDefault="004F6368" w:rsidP="000A067B">
      <w:pPr>
        <w:widowControl w:val="0"/>
        <w:jc w:val="both"/>
        <w:rPr>
          <w:sz w:val="22"/>
          <w:szCs w:val="22"/>
          <w:lang w:val="sr-Latn-ME"/>
        </w:rPr>
      </w:pPr>
      <w:r w:rsidRPr="00B8307D">
        <w:rPr>
          <w:sz w:val="22"/>
          <w:szCs w:val="22"/>
          <w:lang w:val="sr-Latn-ME"/>
        </w:rPr>
        <w:t>Sistemske reakcije uključivale su preosjetljivost, hipotenziju, tahikardiju, kašalj i dispneu. Lokalne reakcije uključivale su eritem, pruritus, edem i osip na mjestu primjene injekcije.</w:t>
      </w:r>
    </w:p>
    <w:p w14:paraId="55077FAE" w14:textId="77777777" w:rsidR="004F6368" w:rsidRPr="00B8307D" w:rsidRDefault="004F6368" w:rsidP="000A067B">
      <w:pPr>
        <w:widowControl w:val="0"/>
        <w:jc w:val="both"/>
        <w:rPr>
          <w:sz w:val="22"/>
          <w:szCs w:val="22"/>
          <w:lang w:val="sr-Latn-ME"/>
        </w:rPr>
      </w:pPr>
    </w:p>
    <w:p w14:paraId="1BBA27BB" w14:textId="23B55B46" w:rsidR="004F6368" w:rsidRPr="00B8307D" w:rsidRDefault="004F6368" w:rsidP="000A067B">
      <w:pPr>
        <w:widowControl w:val="0"/>
        <w:jc w:val="both"/>
        <w:rPr>
          <w:i/>
          <w:sz w:val="22"/>
          <w:szCs w:val="22"/>
          <w:u w:val="single"/>
          <w:lang w:val="sr-Latn-ME"/>
        </w:rPr>
      </w:pPr>
      <w:r w:rsidRPr="00B8307D">
        <w:rPr>
          <w:i/>
          <w:sz w:val="22"/>
          <w:szCs w:val="22"/>
          <w:u w:val="single"/>
          <w:lang w:val="sr-Latn-ME"/>
        </w:rPr>
        <w:t>Infekcije</w:t>
      </w:r>
    </w:p>
    <w:p w14:paraId="7F7B56E8" w14:textId="77777777" w:rsidR="000A0860" w:rsidRPr="00B8307D" w:rsidRDefault="000A0860" w:rsidP="000A067B">
      <w:pPr>
        <w:widowControl w:val="0"/>
        <w:jc w:val="both"/>
        <w:rPr>
          <w:i/>
          <w:sz w:val="22"/>
          <w:szCs w:val="22"/>
          <w:u w:val="single"/>
          <w:lang w:val="sr-Latn-ME"/>
        </w:rPr>
      </w:pPr>
    </w:p>
    <w:p w14:paraId="4F92EB87" w14:textId="77777777" w:rsidR="004F6368" w:rsidRPr="00B8307D" w:rsidRDefault="004F6368" w:rsidP="000A067B">
      <w:pPr>
        <w:widowControl w:val="0"/>
        <w:jc w:val="both"/>
        <w:rPr>
          <w:sz w:val="22"/>
          <w:szCs w:val="22"/>
          <w:lang w:val="sr-Latn-ME"/>
        </w:rPr>
      </w:pPr>
      <w:r w:rsidRPr="00B8307D">
        <w:rPr>
          <w:sz w:val="22"/>
          <w:szCs w:val="22"/>
          <w:lang w:val="sr-Latn-ME"/>
        </w:rPr>
        <w:t>Incidenca teških infekcija (NCI CTCAE stepena ≥ 3) iznosila je 5,0% u grupi koja je primala intravensku formulaciju lijeka Herceptin naspram 7,1% u grupi koja je primala subkutanu formulaciju lijeka Herceptin.</w:t>
      </w:r>
    </w:p>
    <w:p w14:paraId="52627588" w14:textId="77777777" w:rsidR="004F6368" w:rsidRPr="00B8307D" w:rsidRDefault="004F6368" w:rsidP="000A067B">
      <w:pPr>
        <w:widowControl w:val="0"/>
        <w:jc w:val="both"/>
        <w:rPr>
          <w:sz w:val="22"/>
          <w:szCs w:val="22"/>
          <w:lang w:val="sr-Latn-ME"/>
        </w:rPr>
      </w:pPr>
    </w:p>
    <w:p w14:paraId="2643B3EE" w14:textId="77777777" w:rsidR="004F6368" w:rsidRPr="00B8307D" w:rsidRDefault="004F6368" w:rsidP="000A067B">
      <w:pPr>
        <w:widowControl w:val="0"/>
        <w:jc w:val="both"/>
        <w:rPr>
          <w:sz w:val="22"/>
          <w:szCs w:val="22"/>
          <w:lang w:val="sr-Latn-ME"/>
        </w:rPr>
      </w:pPr>
      <w:r w:rsidRPr="00B8307D">
        <w:rPr>
          <w:sz w:val="22"/>
          <w:szCs w:val="22"/>
          <w:lang w:val="sr-Latn-ME"/>
        </w:rPr>
        <w:t xml:space="preserve">Incidenca ozbiljnih infekcija (većina ih je identifikovana zahvaljujući hospitalizaciji ili produženju </w:t>
      </w:r>
      <w:r w:rsidRPr="00B8307D">
        <w:rPr>
          <w:sz w:val="22"/>
          <w:szCs w:val="22"/>
          <w:lang w:val="sr-Latn-ME"/>
        </w:rPr>
        <w:lastRenderedPageBreak/>
        <w:t>postojeće hospitalizacije) iznosila je 4,4% u grupi koja je primala intravensku formulaciju lijeka Herceptin i 8,1% u grupi koja je primala subkutanu formulaciju lijeka Herceptin. Razlika između formulacija uglavnom je primijećena tokom faze adjuvantnog liječenja (monoterapija), a prvenstveno je bila posljedica postoperativnih infekcija rane, ali i raznih drugih infekcija, poput infekcija respiratornog sistema, akutnog pijelonefritisa i sepse. Sve su se neželjene reakcije povukle u okviru od  prosječno 13 dana u grupi koja je primala intravensku formulaciju lijeka Herceptin i u okviru od prosječno 17 dana u grupi koja je primala subkutanu formulaciju lijeka Herceptin.</w:t>
      </w:r>
    </w:p>
    <w:p w14:paraId="0E5A7CEB" w14:textId="77777777" w:rsidR="004F6368" w:rsidRPr="00B8307D" w:rsidRDefault="004F6368" w:rsidP="000A067B">
      <w:pPr>
        <w:widowControl w:val="0"/>
        <w:jc w:val="both"/>
        <w:rPr>
          <w:sz w:val="22"/>
          <w:szCs w:val="22"/>
          <w:lang w:val="sr-Latn-ME"/>
        </w:rPr>
      </w:pPr>
    </w:p>
    <w:p w14:paraId="4076F37A" w14:textId="128DB567" w:rsidR="004F6368" w:rsidRPr="00B8307D" w:rsidRDefault="004F6368" w:rsidP="000A067B">
      <w:pPr>
        <w:widowControl w:val="0"/>
        <w:jc w:val="both"/>
        <w:rPr>
          <w:i/>
          <w:sz w:val="22"/>
          <w:szCs w:val="22"/>
          <w:u w:val="single"/>
          <w:lang w:val="sr-Latn-ME"/>
        </w:rPr>
      </w:pPr>
      <w:r w:rsidRPr="00B8307D">
        <w:rPr>
          <w:i/>
          <w:sz w:val="22"/>
          <w:szCs w:val="22"/>
          <w:u w:val="single"/>
          <w:lang w:val="sr-Latn-ME"/>
        </w:rPr>
        <w:t xml:space="preserve">Događaji </w:t>
      </w:r>
      <w:r w:rsidR="00051311" w:rsidRPr="00B8307D">
        <w:rPr>
          <w:i/>
          <w:sz w:val="22"/>
          <w:szCs w:val="22"/>
          <w:u w:val="single"/>
          <w:lang w:val="sr-Latn-ME"/>
        </w:rPr>
        <w:t>hipertenzije</w:t>
      </w:r>
    </w:p>
    <w:p w14:paraId="11878BD8" w14:textId="77777777" w:rsidR="00051311" w:rsidRPr="00B8307D" w:rsidRDefault="00051311" w:rsidP="000A067B">
      <w:pPr>
        <w:widowControl w:val="0"/>
        <w:jc w:val="both"/>
        <w:rPr>
          <w:i/>
          <w:sz w:val="22"/>
          <w:szCs w:val="22"/>
          <w:u w:val="single"/>
          <w:lang w:val="sr-Latn-ME"/>
        </w:rPr>
      </w:pPr>
    </w:p>
    <w:p w14:paraId="2E675A53" w14:textId="77777777" w:rsidR="004F6368" w:rsidRPr="00B8307D" w:rsidRDefault="004F6368" w:rsidP="000A067B">
      <w:pPr>
        <w:widowControl w:val="0"/>
        <w:jc w:val="both"/>
        <w:rPr>
          <w:sz w:val="22"/>
          <w:szCs w:val="22"/>
          <w:lang w:val="sr-Latn-ME"/>
        </w:rPr>
      </w:pPr>
      <w:r w:rsidRPr="00B8307D">
        <w:rPr>
          <w:sz w:val="22"/>
          <w:szCs w:val="22"/>
          <w:lang w:val="sr-Latn-ME"/>
        </w:rPr>
        <w:t>U pivotalnom ispitivanju BO22227 hipertenziju je prijavio više nego dvostruko veći broj pacijentkinja koje su primale subkutanu formulaciju lijeka Herceptin (4,7% uz intravensku formulaciju naspram 9,8% uz subkutanu formulaciju), a pritom je i veći udio pacijentkinja prijavio ozbiljne događaje (NCI CTCAE stepena ≥ 3) &lt; 1% prilikom primjene intravenske formulacije naspram 2,0% prilikom primjene subkutane formulacije. Sve osim jedne pacijentkinje koje su prijavile tešku hipertenziju imale su hipertenziju u anamnezi i prije uključivanja u ispitivanje. Neki teški događaji pojavili su na dan primjene injekcije.</w:t>
      </w:r>
    </w:p>
    <w:p w14:paraId="4E00F52C" w14:textId="77777777" w:rsidR="004F6368" w:rsidRPr="00B8307D" w:rsidRDefault="004F6368" w:rsidP="000A067B">
      <w:pPr>
        <w:widowControl w:val="0"/>
        <w:jc w:val="both"/>
        <w:rPr>
          <w:sz w:val="22"/>
          <w:szCs w:val="22"/>
          <w:lang w:val="sr-Latn-ME"/>
        </w:rPr>
      </w:pPr>
    </w:p>
    <w:p w14:paraId="15CA7CB8" w14:textId="2BA8E526" w:rsidR="004F6368" w:rsidRPr="00B8307D" w:rsidRDefault="004F6368" w:rsidP="000A067B">
      <w:pPr>
        <w:widowControl w:val="0"/>
        <w:jc w:val="both"/>
        <w:rPr>
          <w:i/>
          <w:sz w:val="22"/>
          <w:szCs w:val="22"/>
          <w:u w:val="single"/>
          <w:lang w:val="sr-Latn-ME"/>
        </w:rPr>
      </w:pPr>
      <w:r w:rsidRPr="00B8307D">
        <w:rPr>
          <w:i/>
          <w:sz w:val="22"/>
          <w:szCs w:val="22"/>
          <w:u w:val="single"/>
          <w:lang w:val="sr-Latn-ME"/>
        </w:rPr>
        <w:t>Imunogenost</w:t>
      </w:r>
    </w:p>
    <w:p w14:paraId="096BB77A" w14:textId="77777777" w:rsidR="00051311" w:rsidRPr="00B8307D" w:rsidRDefault="00051311" w:rsidP="000A067B">
      <w:pPr>
        <w:widowControl w:val="0"/>
        <w:jc w:val="both"/>
        <w:rPr>
          <w:i/>
          <w:sz w:val="22"/>
          <w:szCs w:val="22"/>
          <w:u w:val="single"/>
          <w:lang w:val="sr-Latn-ME"/>
        </w:rPr>
      </w:pPr>
    </w:p>
    <w:p w14:paraId="0F4A151D" w14:textId="5B57C55F" w:rsidR="004F6368" w:rsidRPr="00B8307D" w:rsidRDefault="004F6368" w:rsidP="000A067B">
      <w:pPr>
        <w:widowControl w:val="0"/>
        <w:jc w:val="both"/>
        <w:rPr>
          <w:sz w:val="22"/>
          <w:szCs w:val="22"/>
          <w:lang w:val="sr-Latn-ME"/>
        </w:rPr>
      </w:pPr>
      <w:r w:rsidRPr="00B8307D">
        <w:rPr>
          <w:sz w:val="22"/>
          <w:szCs w:val="22"/>
          <w:lang w:val="sr-Latn-ME"/>
        </w:rPr>
        <w:t>U sklopu neoadjuvantnog-adjuvantnog liječenja ranog karcinoma dojke, studija BO22227, nakon medijane praćenja od više od 70 mjeseci, kod 10,1% (30/296) pacijenata liječenih lijekom Herceptin za intravensku primjenu i kod 15,9% (47/295) pacijenata liječenih subkutanom primjenom lijeka Herceptin u bočici</w:t>
      </w:r>
      <w:r w:rsidR="00051311" w:rsidRPr="00B8307D">
        <w:rPr>
          <w:sz w:val="22"/>
          <w:szCs w:val="22"/>
          <w:lang w:val="sr-Latn-ME"/>
        </w:rPr>
        <w:t>,</w:t>
      </w:r>
      <w:r w:rsidRPr="00B8307D">
        <w:rPr>
          <w:sz w:val="22"/>
          <w:szCs w:val="22"/>
          <w:lang w:val="sr-Latn-ME"/>
        </w:rPr>
        <w:t xml:space="preserve"> razvila su se antitijela na trastuzumab. Neutrališuća antitijela na trastuzumab pronađena su u uzorcima prikupljenima nakon početka studi</w:t>
      </w:r>
      <w:r w:rsidR="00051311" w:rsidRPr="00B8307D">
        <w:rPr>
          <w:sz w:val="22"/>
          <w:szCs w:val="22"/>
          <w:lang w:val="sr-Latn-ME"/>
        </w:rPr>
        <w:t xml:space="preserve">je </w:t>
      </w:r>
      <w:r w:rsidRPr="00B8307D">
        <w:rPr>
          <w:sz w:val="22"/>
          <w:szCs w:val="22"/>
          <w:lang w:val="sr-Latn-ME"/>
        </w:rPr>
        <w:t>kod 2 od 30 pacijenta u grupi liječenoj lijekom Herceptin za intravensku primjenu te 3 od 47 pacijenta u grupi liječenoj lijekom Herceptin za subkutanu primjenu</w:t>
      </w:r>
      <w:r w:rsidRPr="00B8307D">
        <w:rPr>
          <w:sz w:val="20"/>
          <w:lang w:val="sr-Latn-ME"/>
        </w:rPr>
        <w:t>.</w:t>
      </w:r>
    </w:p>
    <w:p w14:paraId="2818AC7D" w14:textId="104308D1" w:rsidR="004F6368" w:rsidRPr="00B8307D" w:rsidRDefault="004F6368" w:rsidP="000A067B">
      <w:pPr>
        <w:widowControl w:val="0"/>
        <w:jc w:val="both"/>
        <w:rPr>
          <w:sz w:val="22"/>
          <w:szCs w:val="22"/>
          <w:lang w:val="sr-Latn-ME"/>
        </w:rPr>
      </w:pPr>
      <w:r w:rsidRPr="00B8307D">
        <w:rPr>
          <w:sz w:val="22"/>
          <w:szCs w:val="22"/>
          <w:lang w:val="sr-Latn-ME"/>
        </w:rPr>
        <w:t>Kod 21,0% pacijenata liječenih subkutanom formulacijom lijeka Herceptin razvila su se antitijela na pomoćnu supstancu hijaluronidazu (rHuPH20).</w:t>
      </w:r>
    </w:p>
    <w:p w14:paraId="76B5F6C4" w14:textId="77777777" w:rsidR="00051311" w:rsidRPr="00B8307D" w:rsidRDefault="00051311" w:rsidP="000A067B">
      <w:pPr>
        <w:widowControl w:val="0"/>
        <w:jc w:val="both"/>
        <w:rPr>
          <w:sz w:val="22"/>
          <w:szCs w:val="22"/>
          <w:lang w:val="sr-Latn-ME"/>
        </w:rPr>
      </w:pPr>
    </w:p>
    <w:p w14:paraId="559DFEAA" w14:textId="77777777" w:rsidR="004F6368" w:rsidRPr="00B8307D" w:rsidRDefault="004F6368" w:rsidP="000A067B">
      <w:pPr>
        <w:widowControl w:val="0"/>
        <w:jc w:val="both"/>
        <w:rPr>
          <w:sz w:val="22"/>
          <w:szCs w:val="22"/>
          <w:lang w:val="sr-Latn-ME"/>
        </w:rPr>
      </w:pPr>
      <w:r w:rsidRPr="00B8307D">
        <w:rPr>
          <w:sz w:val="22"/>
          <w:szCs w:val="22"/>
          <w:lang w:val="sr-Latn-ME"/>
        </w:rPr>
        <w:t xml:space="preserve">Klinički značaj tih antitijela nije poznat. Prisutnost antitjela na trastuzumab nije uticala na farmakokinetiku, efikasnost (određenu potpunim patološkim odgovorom (engl. </w:t>
      </w:r>
      <w:r w:rsidRPr="00B8307D">
        <w:rPr>
          <w:i/>
          <w:sz w:val="22"/>
          <w:szCs w:val="22"/>
          <w:lang w:val="sr-Latn-ME"/>
        </w:rPr>
        <w:t>pathological complete response</w:t>
      </w:r>
      <w:r w:rsidRPr="00B8307D">
        <w:rPr>
          <w:sz w:val="22"/>
          <w:szCs w:val="22"/>
          <w:lang w:val="sr-Latn-ME"/>
        </w:rPr>
        <w:t xml:space="preserve">, pCR) i preživljavanjem bez pojave događaja (engl. </w:t>
      </w:r>
      <w:r w:rsidRPr="00B8307D">
        <w:rPr>
          <w:i/>
          <w:sz w:val="22"/>
          <w:szCs w:val="22"/>
          <w:lang w:val="sr-Latn-ME"/>
        </w:rPr>
        <w:t>Event-free survival</w:t>
      </w:r>
      <w:r w:rsidRPr="00B8307D">
        <w:rPr>
          <w:sz w:val="22"/>
          <w:szCs w:val="22"/>
          <w:lang w:val="sr-Latn-ME"/>
        </w:rPr>
        <w:t>, EFS )) niti bezbjednost lijeka Herceptin za intravensku primjenu niti lijeka Herceptin za subkutanu primjenu.</w:t>
      </w:r>
    </w:p>
    <w:p w14:paraId="293FB5FF" w14:textId="77777777" w:rsidR="004F6368" w:rsidRPr="00B8307D" w:rsidRDefault="004F6368" w:rsidP="000A067B">
      <w:pPr>
        <w:widowControl w:val="0"/>
        <w:jc w:val="both"/>
        <w:rPr>
          <w:sz w:val="22"/>
          <w:szCs w:val="22"/>
          <w:lang w:val="sr-Latn-ME"/>
        </w:rPr>
      </w:pPr>
    </w:p>
    <w:p w14:paraId="0C35C33E" w14:textId="77777777" w:rsidR="004F6368" w:rsidRPr="00B8307D" w:rsidRDefault="004F6368" w:rsidP="000A067B">
      <w:pPr>
        <w:widowControl w:val="0"/>
        <w:jc w:val="both"/>
        <w:rPr>
          <w:sz w:val="22"/>
          <w:szCs w:val="22"/>
          <w:lang w:val="sr-Latn-ME"/>
        </w:rPr>
      </w:pPr>
      <w:r w:rsidRPr="00B8307D">
        <w:rPr>
          <w:sz w:val="22"/>
          <w:szCs w:val="22"/>
          <w:lang w:val="sr-Latn-ME"/>
        </w:rPr>
        <w:t>Pojedinosti o mjerama minimizacije rizika u skladu s Evropskim planom upravljanja rizikom navedene su u dijelu 4.4.</w:t>
      </w:r>
    </w:p>
    <w:p w14:paraId="058FDF91" w14:textId="77777777" w:rsidR="004F6368" w:rsidRPr="00B8307D" w:rsidRDefault="004F6368" w:rsidP="000A067B">
      <w:pPr>
        <w:widowControl w:val="0"/>
        <w:jc w:val="both"/>
        <w:rPr>
          <w:sz w:val="22"/>
          <w:szCs w:val="22"/>
          <w:lang w:val="sr-Latn-ME"/>
        </w:rPr>
      </w:pPr>
    </w:p>
    <w:p w14:paraId="7B80806F" w14:textId="77777777" w:rsidR="004F6368" w:rsidRPr="00B8307D" w:rsidRDefault="004F6368" w:rsidP="000A067B">
      <w:pPr>
        <w:widowControl w:val="0"/>
        <w:jc w:val="both"/>
        <w:rPr>
          <w:sz w:val="22"/>
          <w:szCs w:val="22"/>
          <w:u w:val="single"/>
          <w:lang w:val="sr-Latn-ME"/>
        </w:rPr>
      </w:pPr>
      <w:r w:rsidRPr="00B8307D">
        <w:rPr>
          <w:sz w:val="22"/>
          <w:szCs w:val="22"/>
          <w:u w:val="single"/>
          <w:lang w:val="sr-Latn-ME"/>
        </w:rPr>
        <w:t>Prelazak sa liječenja intravenskom formulacijom lijeka Herceptin na subkutanu formulaciju lijeka Herceptin i obrnuto</w:t>
      </w:r>
    </w:p>
    <w:p w14:paraId="0BCC1C76" w14:textId="77777777" w:rsidR="004F6368" w:rsidRPr="00B8307D" w:rsidRDefault="004F6368" w:rsidP="000A067B">
      <w:pPr>
        <w:widowControl w:val="0"/>
        <w:jc w:val="both"/>
        <w:rPr>
          <w:sz w:val="22"/>
          <w:szCs w:val="22"/>
          <w:lang w:val="sr-Latn-ME"/>
        </w:rPr>
      </w:pPr>
    </w:p>
    <w:p w14:paraId="306C9157" w14:textId="7BB7B506" w:rsidR="004F6368" w:rsidRPr="00B8307D" w:rsidRDefault="004F6368" w:rsidP="000A067B">
      <w:pPr>
        <w:widowControl w:val="0"/>
        <w:jc w:val="both"/>
        <w:rPr>
          <w:sz w:val="22"/>
          <w:szCs w:val="22"/>
          <w:lang w:val="sr-Latn-ME"/>
        </w:rPr>
      </w:pPr>
      <w:r w:rsidRPr="00B8307D">
        <w:rPr>
          <w:sz w:val="22"/>
          <w:szCs w:val="22"/>
          <w:lang w:val="sr-Latn-ME"/>
        </w:rPr>
        <w:t>U Studiji MO22982 is</w:t>
      </w:r>
      <w:r w:rsidR="00051311" w:rsidRPr="00B8307D">
        <w:rPr>
          <w:sz w:val="22"/>
          <w:szCs w:val="22"/>
          <w:lang w:val="sr-Latn-ME"/>
        </w:rPr>
        <w:t>pitivao</w:t>
      </w:r>
      <w:r w:rsidRPr="00B8307D">
        <w:rPr>
          <w:sz w:val="22"/>
          <w:szCs w:val="22"/>
          <w:lang w:val="sr-Latn-ME"/>
        </w:rPr>
        <w:t xml:space="preserve"> se prelazak sa intravenske formulacije lijeka Herceptin na subkutanu formulaciju lijeka Herceptin i obrnuto, a primarni je cilj bio da se ocijeni da li p</w:t>
      </w:r>
      <w:r w:rsidR="00051311" w:rsidRPr="00B8307D">
        <w:rPr>
          <w:sz w:val="22"/>
          <w:szCs w:val="22"/>
          <w:lang w:val="sr-Latn-ME"/>
        </w:rPr>
        <w:t>a</w:t>
      </w:r>
      <w:r w:rsidRPr="00B8307D">
        <w:rPr>
          <w:sz w:val="22"/>
          <w:szCs w:val="22"/>
          <w:lang w:val="sr-Latn-ME"/>
        </w:rPr>
        <w:t>cijenti daju prednost intravenskom ili subkutanom putu primjene trastuzumaba. U ovoj Studiji su se ocjenjivale 2 kohorte (jedna je primjenjivala subkutanu formulaciju u bočici, a druga subkutanu formulaciju u sistemu za primjenu). Radilo se o ukrštenoj Studiji sa dvije grupe, u kojoj je 488 pacijenata bilo randomizovano da prima jedan od dva različita tronedjeljna sljeda liječenja lijekom Herceptin (i.v. [1.</w:t>
      </w:r>
      <w:r w:rsidRPr="00B8307D">
        <w:rPr>
          <w:sz w:val="22"/>
          <w:szCs w:val="22"/>
          <w:lang w:val="sr-Latn-ME"/>
        </w:rPr>
        <w:noBreakHyphen/>
        <w:t>4. ciklus] → s.c. [5.</w:t>
      </w:r>
      <w:r w:rsidRPr="00B8307D">
        <w:rPr>
          <w:sz w:val="22"/>
          <w:szCs w:val="22"/>
          <w:lang w:val="sr-Latn-ME"/>
        </w:rPr>
        <w:noBreakHyphen/>
        <w:t>8. ciklus] ili s.c. [1.</w:t>
      </w:r>
      <w:r w:rsidRPr="00B8307D">
        <w:rPr>
          <w:sz w:val="22"/>
          <w:szCs w:val="22"/>
          <w:lang w:val="sr-Latn-ME"/>
        </w:rPr>
        <w:noBreakHyphen/>
        <w:t>4. ciklus] → i.v. [5.</w:t>
      </w:r>
      <w:r w:rsidRPr="00B8307D">
        <w:rPr>
          <w:sz w:val="22"/>
          <w:szCs w:val="22"/>
          <w:lang w:val="sr-Latn-ME"/>
        </w:rPr>
        <w:noBreakHyphen/>
        <w:t>8. ciklus]). Pacijenti ili prethodno ni</w:t>
      </w:r>
      <w:r w:rsidR="00051311" w:rsidRPr="00B8307D">
        <w:rPr>
          <w:sz w:val="22"/>
          <w:szCs w:val="22"/>
          <w:lang w:val="sr-Latn-ME"/>
        </w:rPr>
        <w:t>je</w:t>
      </w:r>
      <w:r w:rsidRPr="00B8307D">
        <w:rPr>
          <w:sz w:val="22"/>
          <w:szCs w:val="22"/>
          <w:lang w:val="sr-Latn-ME"/>
        </w:rPr>
        <w:t>su bili liječeni intravenskom formulacijom lijeka Herceptin (20,3%) ili su već bili izloženi intravenskoj formulaciji lijeka Herceptin (79,7%). Kod slijeda i.v. → s.c. (objedinjene kohorte koje su primale s.c. formulaciju u bočici i s.c. formulaciju u sistemu za primjenu), stopa neželjenih dejstava (svih stepeni) prije prelaska (1.</w:t>
      </w:r>
      <w:r w:rsidRPr="00B8307D">
        <w:rPr>
          <w:sz w:val="22"/>
          <w:szCs w:val="22"/>
          <w:lang w:val="sr-Latn-ME"/>
        </w:rPr>
        <w:noBreakHyphen/>
        <w:t>4. ciklus) iznosila je 53,8%, a nakon prelaska (5.</w:t>
      </w:r>
      <w:r w:rsidRPr="00B8307D">
        <w:rPr>
          <w:sz w:val="22"/>
          <w:szCs w:val="22"/>
          <w:lang w:val="sr-Latn-ME"/>
        </w:rPr>
        <w:noBreakHyphen/>
        <w:t>8. ciklus) 56,4%; kod slijeda s.c. → i.v. (objedinjene kohorte koje su primale s.c. formulaciju u bočici i s.c. formulaciju u sistemu za primjenu), stopa neželjenih dejstava (svih stepeni) prije prelaska iznosila je 65,4%, a nakon prelaska 48,7%.</w:t>
      </w:r>
    </w:p>
    <w:p w14:paraId="50109278" w14:textId="77777777" w:rsidR="004F6368" w:rsidRPr="00B8307D" w:rsidRDefault="004F6368" w:rsidP="000A067B">
      <w:pPr>
        <w:widowControl w:val="0"/>
        <w:jc w:val="both"/>
        <w:rPr>
          <w:sz w:val="22"/>
          <w:szCs w:val="22"/>
          <w:lang w:val="sr-Latn-ME"/>
        </w:rPr>
      </w:pPr>
      <w:r w:rsidRPr="00B8307D">
        <w:rPr>
          <w:sz w:val="22"/>
          <w:szCs w:val="22"/>
          <w:lang w:val="sr-Latn-ME"/>
        </w:rPr>
        <w:t>Stope ozbiljnih neželjenih dejstava, neželjenih dejstava 3. stepena i prekida liječenja zbog neželjenih dejstava zabilježene prije prelaska (1.</w:t>
      </w:r>
      <w:r w:rsidRPr="00B8307D">
        <w:rPr>
          <w:sz w:val="22"/>
          <w:szCs w:val="22"/>
          <w:lang w:val="sr-Latn-ME"/>
        </w:rPr>
        <w:noBreakHyphen/>
        <w:t>4. ciklus) bile su niske (&lt;5%) i slične onima primijećenim nakon prelaska (5.</w:t>
      </w:r>
      <w:r w:rsidRPr="00B8307D">
        <w:rPr>
          <w:sz w:val="22"/>
          <w:szCs w:val="22"/>
          <w:lang w:val="sr-Latn-ME"/>
        </w:rPr>
        <w:noBreakHyphen/>
        <w:t>8. ciklus). Nije prijavljena nijedno neželjeno dejstvo 4. ili 5. stepena.</w:t>
      </w:r>
    </w:p>
    <w:p w14:paraId="539FEF33" w14:textId="77777777" w:rsidR="004F6368" w:rsidRPr="00B8307D" w:rsidRDefault="004F6368" w:rsidP="000A067B">
      <w:pPr>
        <w:widowControl w:val="0"/>
        <w:tabs>
          <w:tab w:val="left" w:pos="540"/>
          <w:tab w:val="left" w:pos="569"/>
        </w:tabs>
        <w:jc w:val="both"/>
        <w:rPr>
          <w:b/>
          <w:bCs/>
          <w:sz w:val="22"/>
          <w:szCs w:val="22"/>
          <w:lang w:val="sr-Latn-ME"/>
        </w:rPr>
      </w:pPr>
    </w:p>
    <w:p w14:paraId="1FE5FE67" w14:textId="77777777" w:rsidR="005A23D2" w:rsidRPr="00B8307D" w:rsidRDefault="005A23D2" w:rsidP="000A067B">
      <w:pPr>
        <w:widowControl w:val="0"/>
        <w:jc w:val="both"/>
        <w:rPr>
          <w:rFonts w:eastAsia="Calibri"/>
          <w:sz w:val="22"/>
          <w:szCs w:val="22"/>
          <w:u w:val="single"/>
          <w:lang w:val="sr-Latn-ME"/>
        </w:rPr>
      </w:pPr>
      <w:r w:rsidRPr="00B8307D">
        <w:rPr>
          <w:rFonts w:eastAsia="Calibri"/>
          <w:sz w:val="22"/>
          <w:szCs w:val="22"/>
          <w:u w:val="single"/>
          <w:lang w:val="sr-Latn-ME"/>
        </w:rPr>
        <w:lastRenderedPageBreak/>
        <w:t>Prijavljivanje sumnji na neželjena dejstva</w:t>
      </w:r>
    </w:p>
    <w:p w14:paraId="2F169ADC" w14:textId="77777777" w:rsidR="008F4AD0" w:rsidRPr="00B8307D" w:rsidRDefault="008F4AD0" w:rsidP="000A067B">
      <w:pPr>
        <w:widowControl w:val="0"/>
        <w:jc w:val="both"/>
        <w:rPr>
          <w:rFonts w:eastAsia="Calibri"/>
          <w:sz w:val="22"/>
          <w:szCs w:val="22"/>
          <w:lang w:val="sr-Latn-ME"/>
        </w:rPr>
      </w:pPr>
      <w:r w:rsidRPr="00B8307D">
        <w:rPr>
          <w:rFonts w:eastAsia="Calibri"/>
          <w:sz w:val="22"/>
          <w:szCs w:val="22"/>
          <w:lang w:val="sr-Latn-ME"/>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14:paraId="113FACFC" w14:textId="77777777" w:rsidR="008F4AD0" w:rsidRPr="00B8307D" w:rsidRDefault="008F4AD0" w:rsidP="000A067B">
      <w:pPr>
        <w:pStyle w:val="NoSpacing"/>
        <w:widowControl w:val="0"/>
        <w:jc w:val="both"/>
        <w:rPr>
          <w:rFonts w:eastAsia="Calibri"/>
          <w:sz w:val="22"/>
          <w:szCs w:val="22"/>
          <w:lang w:val="sr-Latn-ME"/>
        </w:rPr>
      </w:pPr>
      <w:r w:rsidRPr="00B8307D">
        <w:rPr>
          <w:rFonts w:eastAsia="Calibri"/>
          <w:sz w:val="22"/>
          <w:szCs w:val="22"/>
          <w:lang w:val="sr-Latn-ME"/>
        </w:rPr>
        <w:t xml:space="preserve">Institut za ljekove i medicinska sredstva </w:t>
      </w:r>
    </w:p>
    <w:p w14:paraId="52DC08D3" w14:textId="77777777" w:rsidR="008F4AD0" w:rsidRPr="00B8307D" w:rsidRDefault="008F4AD0" w:rsidP="000A067B">
      <w:pPr>
        <w:pStyle w:val="NoSpacing"/>
        <w:widowControl w:val="0"/>
        <w:jc w:val="both"/>
        <w:rPr>
          <w:rFonts w:eastAsia="Calibri"/>
          <w:sz w:val="22"/>
          <w:szCs w:val="22"/>
          <w:lang w:val="sr-Latn-ME"/>
        </w:rPr>
      </w:pPr>
      <w:r w:rsidRPr="00B8307D">
        <w:rPr>
          <w:rFonts w:eastAsia="Calibri"/>
          <w:sz w:val="22"/>
          <w:szCs w:val="22"/>
          <w:lang w:val="sr-Latn-ME"/>
        </w:rPr>
        <w:t>Odjeljenje za farmakovigilancu</w:t>
      </w:r>
    </w:p>
    <w:p w14:paraId="5E4B7937" w14:textId="77777777" w:rsidR="008F4AD0" w:rsidRPr="00B8307D" w:rsidRDefault="008F4AD0" w:rsidP="000A067B">
      <w:pPr>
        <w:pStyle w:val="NoSpacing"/>
        <w:widowControl w:val="0"/>
        <w:jc w:val="both"/>
        <w:rPr>
          <w:rFonts w:eastAsia="Calibri"/>
          <w:sz w:val="22"/>
          <w:szCs w:val="22"/>
          <w:lang w:val="sr-Latn-ME"/>
        </w:rPr>
      </w:pPr>
      <w:r w:rsidRPr="00B8307D">
        <w:rPr>
          <w:rFonts w:eastAsia="Calibri"/>
          <w:sz w:val="22"/>
          <w:szCs w:val="22"/>
          <w:lang w:val="sr-Latn-ME"/>
        </w:rPr>
        <w:t>Bulevar Ivana Crnojevića 64a, 81000 Podgorica</w:t>
      </w:r>
    </w:p>
    <w:p w14:paraId="107628C5" w14:textId="77777777" w:rsidR="008F4AD0" w:rsidRPr="00B8307D" w:rsidRDefault="008F4AD0" w:rsidP="000A067B">
      <w:pPr>
        <w:pStyle w:val="NoSpacing"/>
        <w:widowControl w:val="0"/>
        <w:jc w:val="both"/>
        <w:rPr>
          <w:rFonts w:eastAsia="Calibri"/>
          <w:sz w:val="22"/>
          <w:szCs w:val="22"/>
          <w:lang w:val="sr-Latn-ME"/>
        </w:rPr>
      </w:pPr>
    </w:p>
    <w:p w14:paraId="2006D5BA" w14:textId="77777777" w:rsidR="008F4AD0" w:rsidRPr="00B8307D" w:rsidRDefault="008F4AD0" w:rsidP="000A067B">
      <w:pPr>
        <w:pStyle w:val="NoSpacing"/>
        <w:widowControl w:val="0"/>
        <w:jc w:val="both"/>
        <w:rPr>
          <w:rFonts w:eastAsia="Calibri"/>
          <w:sz w:val="22"/>
          <w:szCs w:val="22"/>
          <w:lang w:val="sr-Latn-ME"/>
        </w:rPr>
      </w:pPr>
      <w:r w:rsidRPr="00B8307D">
        <w:rPr>
          <w:rFonts w:eastAsia="Calibri"/>
          <w:sz w:val="22"/>
          <w:szCs w:val="22"/>
          <w:lang w:val="sr-Latn-ME"/>
        </w:rPr>
        <w:t>tel: +382 (0) 20 310 280</w:t>
      </w:r>
    </w:p>
    <w:p w14:paraId="4141F0F9" w14:textId="77777777" w:rsidR="008F4AD0" w:rsidRPr="00B8307D" w:rsidRDefault="008F4AD0" w:rsidP="000A067B">
      <w:pPr>
        <w:pStyle w:val="NoSpacing"/>
        <w:widowControl w:val="0"/>
        <w:jc w:val="both"/>
        <w:rPr>
          <w:rFonts w:eastAsia="Calibri"/>
          <w:sz w:val="22"/>
          <w:szCs w:val="22"/>
          <w:lang w:val="sr-Latn-ME"/>
        </w:rPr>
      </w:pPr>
      <w:r w:rsidRPr="00B8307D">
        <w:rPr>
          <w:rFonts w:eastAsia="Calibri"/>
          <w:sz w:val="22"/>
          <w:szCs w:val="22"/>
          <w:lang w:val="sr-Latn-ME"/>
        </w:rPr>
        <w:t>fax: +382 (0) 20 310 581</w:t>
      </w:r>
    </w:p>
    <w:p w14:paraId="19C66756" w14:textId="4B704808" w:rsidR="008F4AD0" w:rsidRPr="00B8307D" w:rsidRDefault="00D93526" w:rsidP="000A067B">
      <w:pPr>
        <w:pStyle w:val="NoSpacing"/>
        <w:widowControl w:val="0"/>
        <w:jc w:val="both"/>
        <w:rPr>
          <w:rFonts w:eastAsia="Calibri"/>
          <w:sz w:val="22"/>
          <w:szCs w:val="22"/>
          <w:lang w:val="sr-Latn-ME"/>
        </w:rPr>
      </w:pPr>
      <w:hyperlink r:id="rId11" w:history="1">
        <w:r w:rsidR="008F4AD0" w:rsidRPr="00B8307D">
          <w:rPr>
            <w:rStyle w:val="Hyperlink"/>
            <w:rFonts w:eastAsia="Calibri"/>
            <w:sz w:val="22"/>
            <w:szCs w:val="22"/>
            <w:lang w:val="sr-Latn-ME"/>
          </w:rPr>
          <w:t>www.cinmed.me</w:t>
        </w:r>
      </w:hyperlink>
    </w:p>
    <w:p w14:paraId="6B7710C7" w14:textId="2D882D67" w:rsidR="008F4AD0" w:rsidRPr="00B8307D" w:rsidRDefault="00D93526" w:rsidP="000A067B">
      <w:pPr>
        <w:pStyle w:val="NoSpacing"/>
        <w:widowControl w:val="0"/>
        <w:jc w:val="both"/>
        <w:rPr>
          <w:rFonts w:eastAsia="Calibri"/>
          <w:color w:val="0000FF"/>
          <w:sz w:val="22"/>
          <w:szCs w:val="22"/>
          <w:u w:val="single"/>
          <w:lang w:val="sr-Latn-ME"/>
        </w:rPr>
      </w:pPr>
      <w:hyperlink r:id="rId12" w:history="1">
        <w:r w:rsidR="008F4AD0" w:rsidRPr="00B8307D">
          <w:rPr>
            <w:rStyle w:val="Hyperlink"/>
            <w:rFonts w:eastAsia="Calibri"/>
            <w:sz w:val="22"/>
            <w:szCs w:val="22"/>
            <w:lang w:val="sr-Latn-ME"/>
          </w:rPr>
          <w:t>nezeljenadejstva@cinmed.me</w:t>
        </w:r>
      </w:hyperlink>
    </w:p>
    <w:p w14:paraId="51CB8785" w14:textId="00A4ACB8" w:rsidR="008F4AD0" w:rsidRPr="00B8307D" w:rsidRDefault="008F4AD0" w:rsidP="000A067B">
      <w:pPr>
        <w:pStyle w:val="NoSpacing"/>
        <w:widowControl w:val="0"/>
        <w:jc w:val="both"/>
        <w:rPr>
          <w:rFonts w:eastAsia="Calibri"/>
          <w:sz w:val="22"/>
          <w:szCs w:val="22"/>
          <w:lang w:val="sr-Latn-ME"/>
        </w:rPr>
      </w:pPr>
      <w:r w:rsidRPr="00B8307D">
        <w:rPr>
          <w:rFonts w:eastAsia="Calibri"/>
          <w:sz w:val="22"/>
          <w:szCs w:val="22"/>
          <w:lang w:val="sr-Latn-ME"/>
        </w:rPr>
        <w:t>putem IS zdravstvene zaštite</w:t>
      </w:r>
    </w:p>
    <w:p w14:paraId="6D94DBDB" w14:textId="77777777" w:rsidR="00051311" w:rsidRPr="00B8307D" w:rsidRDefault="00051311" w:rsidP="000A067B">
      <w:pPr>
        <w:pStyle w:val="NoSpacing"/>
        <w:widowControl w:val="0"/>
        <w:jc w:val="both"/>
        <w:rPr>
          <w:rFonts w:eastAsia="Calibri"/>
          <w:sz w:val="22"/>
          <w:szCs w:val="22"/>
          <w:lang w:val="sr-Latn-ME"/>
        </w:rPr>
      </w:pPr>
      <w:r w:rsidRPr="00B8307D">
        <w:rPr>
          <w:rFonts w:eastAsia="Calibri"/>
          <w:sz w:val="22"/>
          <w:szCs w:val="22"/>
          <w:lang w:val="sr-Latn-ME"/>
        </w:rPr>
        <w:t>QR kod za online prijavu sumnje na neželjeno dejstvo lijeka:</w:t>
      </w:r>
    </w:p>
    <w:p w14:paraId="02C35706" w14:textId="77777777" w:rsidR="00051311" w:rsidRPr="00B8307D" w:rsidRDefault="00051311" w:rsidP="000A067B">
      <w:pPr>
        <w:pStyle w:val="NoSpacing"/>
        <w:widowControl w:val="0"/>
        <w:jc w:val="both"/>
        <w:rPr>
          <w:rFonts w:eastAsia="Calibri"/>
          <w:sz w:val="22"/>
          <w:szCs w:val="22"/>
          <w:lang w:val="sr-Latn-ME"/>
        </w:rPr>
      </w:pPr>
    </w:p>
    <w:p w14:paraId="4882AF83" w14:textId="4640EAF1" w:rsidR="00051311" w:rsidRPr="00B8307D" w:rsidRDefault="0042271E" w:rsidP="000A067B">
      <w:pPr>
        <w:pStyle w:val="NoSpacing"/>
        <w:widowControl w:val="0"/>
        <w:rPr>
          <w:rFonts w:eastAsia="Calibri"/>
          <w:sz w:val="22"/>
          <w:szCs w:val="22"/>
          <w:lang w:val="sr-Latn-ME"/>
        </w:rPr>
      </w:pPr>
      <w:r w:rsidRPr="00B8307D">
        <w:rPr>
          <w:b/>
          <w:bCs/>
          <w:noProof/>
          <w:sz w:val="22"/>
          <w:szCs w:val="22"/>
        </w:rPr>
        <w:drawing>
          <wp:inline distT="0" distB="0" distL="0" distR="0" wp14:anchorId="0DEAE151" wp14:editId="62304E27">
            <wp:extent cx="980796" cy="972000"/>
            <wp:effectExtent l="0" t="0" r="0" b="0"/>
            <wp:docPr id="10" name="Picture 9">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3"/>
                    </pic:cNvPr>
                    <pic:cNvPicPr>
                      <a:picLocks noChangeAspect="1"/>
                    </pic:cNvPicPr>
                  </pic:nvPicPr>
                  <pic:blipFill rotWithShape="1">
                    <a:blip r:embed="rId14"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1FE5FE72" w14:textId="77777777" w:rsidR="00836B35" w:rsidRPr="00B8307D" w:rsidRDefault="00836B35" w:rsidP="000A067B">
      <w:pPr>
        <w:widowControl w:val="0"/>
        <w:tabs>
          <w:tab w:val="left" w:pos="540"/>
          <w:tab w:val="left" w:pos="569"/>
        </w:tabs>
        <w:jc w:val="both"/>
        <w:rPr>
          <w:b/>
          <w:bCs/>
          <w:sz w:val="22"/>
          <w:szCs w:val="22"/>
          <w:lang w:val="sr-Latn-ME"/>
        </w:rPr>
      </w:pPr>
    </w:p>
    <w:p w14:paraId="1FE5FE73" w14:textId="77777777" w:rsidR="00CD6F02" w:rsidRPr="00B8307D" w:rsidRDefault="0072020E" w:rsidP="000A067B">
      <w:pPr>
        <w:widowControl w:val="0"/>
        <w:tabs>
          <w:tab w:val="left" w:pos="540"/>
          <w:tab w:val="left" w:pos="569"/>
        </w:tabs>
        <w:jc w:val="both"/>
        <w:rPr>
          <w:b/>
          <w:bCs/>
          <w:sz w:val="22"/>
          <w:szCs w:val="22"/>
          <w:lang w:val="sr-Latn-ME"/>
        </w:rPr>
      </w:pPr>
      <w:r w:rsidRPr="00B8307D">
        <w:rPr>
          <w:b/>
          <w:bCs/>
          <w:sz w:val="22"/>
          <w:szCs w:val="22"/>
          <w:lang w:val="sr-Latn-ME"/>
        </w:rPr>
        <w:t xml:space="preserve">4.9. </w:t>
      </w:r>
      <w:r w:rsidR="00480FB1" w:rsidRPr="00B8307D">
        <w:rPr>
          <w:b/>
          <w:bCs/>
          <w:sz w:val="22"/>
          <w:szCs w:val="22"/>
          <w:lang w:val="sr-Latn-ME"/>
        </w:rPr>
        <w:tab/>
      </w:r>
      <w:r w:rsidRPr="00B8307D">
        <w:rPr>
          <w:b/>
          <w:bCs/>
          <w:sz w:val="22"/>
          <w:szCs w:val="22"/>
          <w:lang w:val="sr-Latn-ME"/>
        </w:rPr>
        <w:t>Predoziranje</w:t>
      </w:r>
      <w:r w:rsidR="002846DB" w:rsidRPr="00B8307D">
        <w:rPr>
          <w:b/>
          <w:bCs/>
          <w:sz w:val="22"/>
          <w:szCs w:val="22"/>
          <w:lang w:val="sr-Latn-ME"/>
        </w:rPr>
        <w:t xml:space="preserve"> </w:t>
      </w:r>
    </w:p>
    <w:p w14:paraId="1FE5FE74" w14:textId="77777777" w:rsidR="00CD6F02" w:rsidRPr="00B8307D" w:rsidRDefault="00CD6F02" w:rsidP="000A067B">
      <w:pPr>
        <w:widowControl w:val="0"/>
        <w:tabs>
          <w:tab w:val="left" w:pos="540"/>
          <w:tab w:val="left" w:pos="569"/>
        </w:tabs>
        <w:jc w:val="both"/>
        <w:rPr>
          <w:b/>
          <w:bCs/>
          <w:sz w:val="22"/>
          <w:szCs w:val="22"/>
          <w:lang w:val="sr-Latn-ME"/>
        </w:rPr>
      </w:pPr>
    </w:p>
    <w:p w14:paraId="51F07A04" w14:textId="5921AD4E" w:rsidR="004F6368" w:rsidRPr="00B8307D" w:rsidRDefault="004F6368" w:rsidP="000A067B">
      <w:pPr>
        <w:widowControl w:val="0"/>
        <w:jc w:val="both"/>
        <w:rPr>
          <w:sz w:val="22"/>
          <w:szCs w:val="22"/>
          <w:lang w:val="sr-Latn-ME"/>
        </w:rPr>
      </w:pPr>
      <w:r w:rsidRPr="00B8307D">
        <w:rPr>
          <w:sz w:val="22"/>
          <w:szCs w:val="22"/>
          <w:lang w:val="sr-Latn-ME"/>
        </w:rPr>
        <w:t>Primjenjene su jednokratne doze do 960 mg lijeka Herceptin u subkutanoj formulaciji, pri čemu nijesu prijavljeni štetni efekti.</w:t>
      </w:r>
    </w:p>
    <w:p w14:paraId="7C02675E" w14:textId="77777777" w:rsidR="00C32AB8" w:rsidRPr="00B8307D" w:rsidRDefault="00C32AB8" w:rsidP="000A067B">
      <w:pPr>
        <w:widowControl w:val="0"/>
        <w:jc w:val="both"/>
        <w:rPr>
          <w:sz w:val="22"/>
          <w:szCs w:val="22"/>
          <w:lang w:val="sr-Latn-ME"/>
        </w:rPr>
      </w:pPr>
    </w:p>
    <w:p w14:paraId="1FE5FE75" w14:textId="77777777" w:rsidR="00227BDB" w:rsidRPr="00B8307D" w:rsidRDefault="00227BDB" w:rsidP="000A067B">
      <w:pPr>
        <w:widowControl w:val="0"/>
        <w:tabs>
          <w:tab w:val="left" w:pos="540"/>
          <w:tab w:val="left" w:pos="569"/>
        </w:tabs>
        <w:jc w:val="both"/>
        <w:rPr>
          <w:b/>
          <w:bCs/>
          <w:sz w:val="22"/>
          <w:szCs w:val="22"/>
          <w:lang w:val="sr-Latn-ME"/>
        </w:rPr>
      </w:pPr>
    </w:p>
    <w:p w14:paraId="1FE5FE76" w14:textId="77777777" w:rsidR="0072020E" w:rsidRPr="00B8307D" w:rsidRDefault="0072020E" w:rsidP="000A067B">
      <w:pPr>
        <w:widowControl w:val="0"/>
        <w:tabs>
          <w:tab w:val="left" w:pos="540"/>
          <w:tab w:val="left" w:pos="569"/>
        </w:tabs>
        <w:jc w:val="both"/>
        <w:rPr>
          <w:b/>
          <w:bCs/>
          <w:sz w:val="22"/>
          <w:szCs w:val="22"/>
          <w:lang w:val="sr-Latn-ME"/>
        </w:rPr>
      </w:pPr>
      <w:r w:rsidRPr="00B8307D">
        <w:rPr>
          <w:b/>
          <w:bCs/>
          <w:sz w:val="22"/>
          <w:szCs w:val="22"/>
          <w:lang w:val="sr-Latn-ME"/>
        </w:rPr>
        <w:t xml:space="preserve">5. </w:t>
      </w:r>
      <w:r w:rsidR="00480FB1" w:rsidRPr="00B8307D">
        <w:rPr>
          <w:b/>
          <w:bCs/>
          <w:sz w:val="22"/>
          <w:szCs w:val="22"/>
          <w:lang w:val="sr-Latn-ME"/>
        </w:rPr>
        <w:tab/>
      </w:r>
      <w:r w:rsidRPr="00B8307D">
        <w:rPr>
          <w:b/>
          <w:bCs/>
          <w:sz w:val="22"/>
          <w:szCs w:val="22"/>
          <w:lang w:val="sr-Latn-ME"/>
        </w:rPr>
        <w:t>FARMAKOLOŠK</w:t>
      </w:r>
      <w:r w:rsidR="000D425A" w:rsidRPr="00B8307D">
        <w:rPr>
          <w:b/>
          <w:bCs/>
          <w:sz w:val="22"/>
          <w:szCs w:val="22"/>
          <w:lang w:val="sr-Latn-ME"/>
        </w:rPr>
        <w:t>I</w:t>
      </w:r>
      <w:r w:rsidRPr="00B8307D">
        <w:rPr>
          <w:b/>
          <w:bCs/>
          <w:sz w:val="22"/>
          <w:szCs w:val="22"/>
          <w:lang w:val="sr-Latn-ME"/>
        </w:rPr>
        <w:t xml:space="preserve"> PODACI</w:t>
      </w:r>
    </w:p>
    <w:p w14:paraId="1FE5FE77" w14:textId="77777777" w:rsidR="0072020E" w:rsidRPr="00B8307D" w:rsidRDefault="0072020E" w:rsidP="000A067B">
      <w:pPr>
        <w:widowControl w:val="0"/>
        <w:tabs>
          <w:tab w:val="left" w:pos="540"/>
          <w:tab w:val="left" w:pos="569"/>
        </w:tabs>
        <w:jc w:val="both"/>
        <w:rPr>
          <w:b/>
          <w:bCs/>
          <w:sz w:val="22"/>
          <w:szCs w:val="22"/>
          <w:lang w:val="sr-Latn-ME"/>
        </w:rPr>
      </w:pPr>
    </w:p>
    <w:p w14:paraId="1FE5FE78" w14:textId="77777777" w:rsidR="0072020E" w:rsidRPr="00B8307D" w:rsidRDefault="0072020E" w:rsidP="000A067B">
      <w:pPr>
        <w:widowControl w:val="0"/>
        <w:tabs>
          <w:tab w:val="left" w:pos="540"/>
          <w:tab w:val="left" w:pos="569"/>
        </w:tabs>
        <w:jc w:val="both"/>
        <w:rPr>
          <w:b/>
          <w:bCs/>
          <w:sz w:val="22"/>
          <w:szCs w:val="22"/>
          <w:lang w:val="sr-Latn-ME"/>
        </w:rPr>
      </w:pPr>
      <w:r w:rsidRPr="00B8307D">
        <w:rPr>
          <w:b/>
          <w:bCs/>
          <w:sz w:val="22"/>
          <w:szCs w:val="22"/>
          <w:lang w:val="sr-Latn-ME"/>
        </w:rPr>
        <w:t xml:space="preserve">5.1. </w:t>
      </w:r>
      <w:r w:rsidR="00480FB1" w:rsidRPr="00B8307D">
        <w:rPr>
          <w:b/>
          <w:bCs/>
          <w:sz w:val="22"/>
          <w:szCs w:val="22"/>
          <w:lang w:val="sr-Latn-ME"/>
        </w:rPr>
        <w:tab/>
      </w:r>
      <w:r w:rsidRPr="00B8307D">
        <w:rPr>
          <w:b/>
          <w:bCs/>
          <w:sz w:val="22"/>
          <w:szCs w:val="22"/>
          <w:lang w:val="sr-Latn-ME"/>
        </w:rPr>
        <w:t>Farmakodinamski podaci</w:t>
      </w:r>
      <w:r w:rsidR="003A7059" w:rsidRPr="00B8307D">
        <w:rPr>
          <w:b/>
          <w:bCs/>
          <w:sz w:val="22"/>
          <w:szCs w:val="22"/>
          <w:lang w:val="sr-Latn-ME"/>
        </w:rPr>
        <w:t xml:space="preserve"> </w:t>
      </w:r>
    </w:p>
    <w:p w14:paraId="1FE5FE79" w14:textId="77777777" w:rsidR="00F45F77" w:rsidRPr="00B8307D" w:rsidRDefault="00F45F77" w:rsidP="000A067B">
      <w:pPr>
        <w:widowControl w:val="0"/>
        <w:tabs>
          <w:tab w:val="left" w:pos="540"/>
          <w:tab w:val="left" w:pos="569"/>
        </w:tabs>
        <w:jc w:val="both"/>
        <w:rPr>
          <w:b/>
          <w:bCs/>
          <w:sz w:val="22"/>
          <w:szCs w:val="22"/>
          <w:lang w:val="sr-Latn-ME"/>
        </w:rPr>
      </w:pPr>
    </w:p>
    <w:p w14:paraId="1FE5FE7A" w14:textId="064A39CD" w:rsidR="0072020E" w:rsidRPr="00B8307D" w:rsidRDefault="0072020E" w:rsidP="000A067B">
      <w:pPr>
        <w:widowControl w:val="0"/>
        <w:tabs>
          <w:tab w:val="left" w:pos="540"/>
          <w:tab w:val="left" w:pos="569"/>
        </w:tabs>
        <w:jc w:val="both"/>
        <w:rPr>
          <w:bCs/>
          <w:sz w:val="22"/>
          <w:szCs w:val="22"/>
          <w:lang w:val="sr-Latn-ME"/>
        </w:rPr>
      </w:pPr>
      <w:r w:rsidRPr="00B8307D">
        <w:rPr>
          <w:bCs/>
          <w:sz w:val="22"/>
          <w:szCs w:val="22"/>
          <w:lang w:val="sr-Latn-ME"/>
        </w:rPr>
        <w:t>Farmakoterapijska grupa:</w:t>
      </w:r>
      <w:r w:rsidR="004F6368" w:rsidRPr="00B8307D">
        <w:rPr>
          <w:bCs/>
          <w:sz w:val="22"/>
          <w:szCs w:val="22"/>
          <w:lang w:val="sr-Latn-ME"/>
        </w:rPr>
        <w:t xml:space="preserve"> </w:t>
      </w:r>
      <w:r w:rsidR="004F6368" w:rsidRPr="00B8307D">
        <w:rPr>
          <w:sz w:val="22"/>
          <w:szCs w:val="22"/>
          <w:lang w:val="sr-Latn-ME"/>
        </w:rPr>
        <w:t>antineoplastični ljekovi, monoklonska antitijela</w:t>
      </w:r>
    </w:p>
    <w:p w14:paraId="1FE5FE7B" w14:textId="77777777" w:rsidR="0072020E" w:rsidRPr="00B8307D" w:rsidRDefault="0072020E" w:rsidP="000A067B">
      <w:pPr>
        <w:widowControl w:val="0"/>
        <w:tabs>
          <w:tab w:val="left" w:pos="540"/>
          <w:tab w:val="left" w:pos="569"/>
        </w:tabs>
        <w:jc w:val="both"/>
        <w:rPr>
          <w:bCs/>
          <w:sz w:val="22"/>
          <w:szCs w:val="22"/>
          <w:lang w:val="sr-Latn-ME"/>
        </w:rPr>
      </w:pPr>
    </w:p>
    <w:p w14:paraId="1FE5FE7C" w14:textId="643E3742" w:rsidR="0072020E" w:rsidRPr="00B8307D" w:rsidRDefault="0072020E" w:rsidP="000A067B">
      <w:pPr>
        <w:widowControl w:val="0"/>
        <w:tabs>
          <w:tab w:val="left" w:pos="540"/>
          <w:tab w:val="left" w:pos="569"/>
        </w:tabs>
        <w:jc w:val="both"/>
        <w:rPr>
          <w:sz w:val="22"/>
          <w:szCs w:val="22"/>
          <w:lang w:val="sr-Latn-ME"/>
        </w:rPr>
      </w:pPr>
      <w:r w:rsidRPr="00B8307D">
        <w:rPr>
          <w:bCs/>
          <w:sz w:val="22"/>
          <w:szCs w:val="22"/>
          <w:lang w:val="sr-Latn-ME"/>
        </w:rPr>
        <w:t>ATC kod:</w:t>
      </w:r>
      <w:r w:rsidR="004F6368" w:rsidRPr="00B8307D">
        <w:rPr>
          <w:bCs/>
          <w:sz w:val="22"/>
          <w:szCs w:val="22"/>
          <w:lang w:val="sr-Latn-ME"/>
        </w:rPr>
        <w:t xml:space="preserve"> </w:t>
      </w:r>
      <w:r w:rsidR="009E545A" w:rsidRPr="00B8307D">
        <w:rPr>
          <w:sz w:val="22"/>
          <w:szCs w:val="22"/>
          <w:lang w:val="sr-Latn-ME"/>
        </w:rPr>
        <w:t>L01FD01</w:t>
      </w:r>
    </w:p>
    <w:p w14:paraId="023AA114" w14:textId="4CCFBC23" w:rsidR="004F6368" w:rsidRPr="00B8307D" w:rsidRDefault="004F6368" w:rsidP="000A067B">
      <w:pPr>
        <w:widowControl w:val="0"/>
        <w:tabs>
          <w:tab w:val="left" w:pos="540"/>
          <w:tab w:val="left" w:pos="569"/>
        </w:tabs>
        <w:jc w:val="both"/>
        <w:rPr>
          <w:sz w:val="22"/>
          <w:szCs w:val="22"/>
          <w:lang w:val="sr-Latn-ME"/>
        </w:rPr>
      </w:pPr>
    </w:p>
    <w:p w14:paraId="0CF708DF" w14:textId="60208B37" w:rsidR="004F6368" w:rsidRPr="00B8307D" w:rsidRDefault="00C32AB8" w:rsidP="000A067B">
      <w:pPr>
        <w:widowControl w:val="0"/>
        <w:jc w:val="both"/>
        <w:rPr>
          <w:sz w:val="22"/>
          <w:szCs w:val="22"/>
          <w:lang w:val="sr-Latn-ME"/>
        </w:rPr>
      </w:pPr>
      <w:r w:rsidRPr="00B8307D">
        <w:rPr>
          <w:sz w:val="22"/>
          <w:szCs w:val="22"/>
          <w:lang w:val="sr-Latn-ME"/>
        </w:rPr>
        <w:t xml:space="preserve">Lijek </w:t>
      </w:r>
      <w:r w:rsidR="004F6368" w:rsidRPr="00B8307D">
        <w:rPr>
          <w:sz w:val="22"/>
          <w:szCs w:val="22"/>
          <w:lang w:val="sr-Latn-ME"/>
        </w:rPr>
        <w:t>Herceptin u subkutanoj formulaciji sadrži rekombinantnu humanu hijaluronidazu (rHuPH20), enzim koji se koristi za povećanje disperzije i resorpcije istovremeno primijenjenih ljekova pri subkutanoj primjeni.</w:t>
      </w:r>
    </w:p>
    <w:p w14:paraId="7C1C0C2E" w14:textId="77777777" w:rsidR="004F6368" w:rsidRPr="00B8307D" w:rsidRDefault="004F6368" w:rsidP="000A067B">
      <w:pPr>
        <w:widowControl w:val="0"/>
        <w:jc w:val="both"/>
        <w:rPr>
          <w:sz w:val="22"/>
          <w:szCs w:val="22"/>
          <w:lang w:val="sr-Latn-ME"/>
        </w:rPr>
      </w:pPr>
    </w:p>
    <w:p w14:paraId="5B0C3140" w14:textId="74F02BEA" w:rsidR="004F6368" w:rsidRPr="00B8307D" w:rsidRDefault="004F6368" w:rsidP="000A067B">
      <w:pPr>
        <w:widowControl w:val="0"/>
        <w:jc w:val="both"/>
        <w:rPr>
          <w:sz w:val="22"/>
          <w:szCs w:val="22"/>
          <w:lang w:val="sr-Latn-ME"/>
        </w:rPr>
      </w:pPr>
      <w:r w:rsidRPr="00B8307D">
        <w:rPr>
          <w:sz w:val="22"/>
          <w:szCs w:val="22"/>
          <w:lang w:val="sr-Latn-ME"/>
        </w:rPr>
        <w:t xml:space="preserve">Trastuzumab je rekombinantno humanizovano IgG1 monoklonsko antitijelo protiv receptora  humanog epidermalnog faktora rasta </w:t>
      </w:r>
      <w:r w:rsidR="00C32AB8" w:rsidRPr="00B8307D">
        <w:rPr>
          <w:sz w:val="22"/>
          <w:szCs w:val="22"/>
          <w:lang w:val="sr-Latn-ME"/>
        </w:rPr>
        <w:t xml:space="preserve">2 </w:t>
      </w:r>
      <w:r w:rsidRPr="00B8307D">
        <w:rPr>
          <w:sz w:val="22"/>
          <w:szCs w:val="22"/>
          <w:lang w:val="sr-Latn-ME"/>
        </w:rPr>
        <w:t xml:space="preserve">(HER2). Prekomjerna ekspresija HER2 zabilježena je kod 20% do 30% primarnih karcinoma dojke. Ispitivanja su pokazala da pacijenti sa karcinomom dojke čije tumorske ćelije  pokazuju prekomjernu ekspresiju HER2 imaju kraće vrijeme preživljavanja bez simptoma bolesti u poređenju sa pacijentima čiji tumori ne pokazuju prekomjernu ekspresiju HER2. Ekstraćelijski domen ovog receptora (ECD, p105) može preći u krv i mjeriti se u uzorcima seruma. </w:t>
      </w:r>
    </w:p>
    <w:p w14:paraId="27EFBD9E" w14:textId="00A07A1E" w:rsidR="00C32AB8" w:rsidRPr="00B8307D" w:rsidRDefault="00C32AB8" w:rsidP="000A067B">
      <w:pPr>
        <w:widowControl w:val="0"/>
        <w:jc w:val="both"/>
        <w:rPr>
          <w:sz w:val="22"/>
          <w:szCs w:val="22"/>
          <w:u w:val="single"/>
          <w:lang w:val="sr-Latn-ME"/>
        </w:rPr>
      </w:pPr>
    </w:p>
    <w:p w14:paraId="577F9331" w14:textId="46117CDB" w:rsidR="004F6368" w:rsidRPr="00B8307D" w:rsidRDefault="004F6368" w:rsidP="000A067B">
      <w:pPr>
        <w:widowControl w:val="0"/>
        <w:jc w:val="both"/>
        <w:rPr>
          <w:sz w:val="22"/>
          <w:szCs w:val="22"/>
          <w:u w:val="single"/>
          <w:lang w:val="sr-Latn-ME"/>
        </w:rPr>
      </w:pPr>
      <w:r w:rsidRPr="00B8307D">
        <w:rPr>
          <w:sz w:val="22"/>
          <w:szCs w:val="22"/>
          <w:u w:val="single"/>
          <w:lang w:val="sr-Latn-ME"/>
        </w:rPr>
        <w:t>Mehanizam dejstva</w:t>
      </w:r>
    </w:p>
    <w:p w14:paraId="543EA9B9" w14:textId="77777777" w:rsidR="004F6368" w:rsidRPr="00B8307D" w:rsidRDefault="004F6368" w:rsidP="000A067B">
      <w:pPr>
        <w:widowControl w:val="0"/>
        <w:jc w:val="both"/>
        <w:rPr>
          <w:sz w:val="22"/>
          <w:szCs w:val="22"/>
          <w:lang w:val="sr-Latn-ME"/>
        </w:rPr>
      </w:pPr>
    </w:p>
    <w:p w14:paraId="3C52397A" w14:textId="3CD1B707" w:rsidR="004F6368" w:rsidRPr="00B8307D" w:rsidRDefault="004F6368" w:rsidP="000A067B">
      <w:pPr>
        <w:widowControl w:val="0"/>
        <w:jc w:val="both"/>
        <w:rPr>
          <w:sz w:val="22"/>
          <w:szCs w:val="22"/>
          <w:lang w:val="sr-Latn-ME"/>
        </w:rPr>
      </w:pPr>
      <w:r w:rsidRPr="00B8307D">
        <w:rPr>
          <w:sz w:val="22"/>
          <w:szCs w:val="22"/>
          <w:lang w:val="sr-Latn-ME"/>
        </w:rPr>
        <w:t xml:space="preserve">Trastuzumab se sa visokim afinitetom i specifičnošću veže za subdomen IV jukstamembranske regije  HER2 ekstracelularnog domena. Vezivanje trastuzumaba za HER2 inhibira HER 2 put signalizacije nezavistan od liganda i sprečava proteolitičko </w:t>
      </w:r>
      <w:r w:rsidR="007252D1" w:rsidRPr="00B8307D">
        <w:rPr>
          <w:sz w:val="22"/>
          <w:szCs w:val="22"/>
          <w:lang w:val="sr-Latn-ME"/>
        </w:rPr>
        <w:t xml:space="preserve">cijepanje </w:t>
      </w:r>
      <w:r w:rsidRPr="00B8307D">
        <w:rPr>
          <w:sz w:val="22"/>
          <w:szCs w:val="22"/>
          <w:lang w:val="sr-Latn-ME"/>
        </w:rPr>
        <w:t xml:space="preserve">njegovih ekstracelularnih domena, koji predstavljaju aktivacijski mehanizam HER2. Kao rezultat toga, trastuzumab u </w:t>
      </w:r>
      <w:r w:rsidRPr="00B8307D">
        <w:rPr>
          <w:i/>
          <w:sz w:val="22"/>
          <w:szCs w:val="22"/>
          <w:lang w:val="sr-Latn-ME"/>
        </w:rPr>
        <w:t>in vitro</w:t>
      </w:r>
      <w:r w:rsidRPr="00B8307D">
        <w:rPr>
          <w:sz w:val="22"/>
          <w:szCs w:val="22"/>
          <w:lang w:val="sr-Latn-ME"/>
        </w:rPr>
        <w:t xml:space="preserve"> testovima i na životinjama inhibira proliferaciju humanih tumorskih ćelija sa prekomjernom ekspresijom HER2. Uz to, trastuzumab je potencijalni medijator antitijelo-zavisne ćelijski posredovane citotoksičnosti (ADCC). </w:t>
      </w:r>
      <w:r w:rsidRPr="00B8307D">
        <w:rPr>
          <w:i/>
          <w:sz w:val="22"/>
          <w:szCs w:val="22"/>
          <w:lang w:val="sr-Latn-ME"/>
        </w:rPr>
        <w:t>In  vitro</w:t>
      </w:r>
      <w:r w:rsidRPr="00B8307D">
        <w:rPr>
          <w:sz w:val="22"/>
          <w:szCs w:val="22"/>
          <w:lang w:val="sr-Latn-ME"/>
        </w:rPr>
        <w:t xml:space="preserve">, pokazano je da trastuzumabom posredovana ADCC pretežno djeluje na kancerske ćelije sa prekomjernom ekspresijom HER2 u poređenju sa kancerskim ćelijama koje ne pokazuju prekomjernu </w:t>
      </w:r>
      <w:r w:rsidRPr="00B8307D">
        <w:rPr>
          <w:sz w:val="22"/>
          <w:szCs w:val="22"/>
          <w:lang w:val="sr-Latn-ME"/>
        </w:rPr>
        <w:lastRenderedPageBreak/>
        <w:t xml:space="preserve">ekspresiju HER2. </w:t>
      </w:r>
    </w:p>
    <w:p w14:paraId="3973E2D9" w14:textId="77777777" w:rsidR="004F6368" w:rsidRPr="00B8307D" w:rsidRDefault="004F6368" w:rsidP="000A067B">
      <w:pPr>
        <w:widowControl w:val="0"/>
        <w:jc w:val="both"/>
        <w:rPr>
          <w:b/>
          <w:sz w:val="22"/>
          <w:szCs w:val="22"/>
          <w:u w:val="single"/>
          <w:lang w:val="sr-Latn-ME"/>
        </w:rPr>
      </w:pPr>
    </w:p>
    <w:p w14:paraId="2DD27D65" w14:textId="77777777" w:rsidR="004F6368" w:rsidRPr="00B8307D" w:rsidRDefault="004F6368" w:rsidP="000A067B">
      <w:pPr>
        <w:widowControl w:val="0"/>
        <w:jc w:val="both"/>
        <w:rPr>
          <w:sz w:val="22"/>
          <w:szCs w:val="22"/>
          <w:u w:val="single"/>
          <w:lang w:val="sr-Latn-ME"/>
        </w:rPr>
      </w:pPr>
      <w:r w:rsidRPr="00B8307D">
        <w:rPr>
          <w:sz w:val="22"/>
          <w:szCs w:val="22"/>
          <w:u w:val="single"/>
          <w:lang w:val="sr-Latn-ME"/>
        </w:rPr>
        <w:t>Detekcija prekomjerne ekspresije HER2 ili genske amplifikacije HER2</w:t>
      </w:r>
    </w:p>
    <w:p w14:paraId="7F214801" w14:textId="77777777" w:rsidR="004F6368" w:rsidRPr="00B8307D" w:rsidRDefault="004F6368" w:rsidP="000A067B">
      <w:pPr>
        <w:widowControl w:val="0"/>
        <w:jc w:val="both"/>
        <w:rPr>
          <w:i/>
          <w:sz w:val="22"/>
          <w:szCs w:val="22"/>
          <w:lang w:val="sr-Latn-ME"/>
        </w:rPr>
      </w:pPr>
    </w:p>
    <w:p w14:paraId="3AD45708" w14:textId="77777777" w:rsidR="004F6368" w:rsidRPr="00B8307D" w:rsidRDefault="004F6368" w:rsidP="000A067B">
      <w:pPr>
        <w:widowControl w:val="0"/>
        <w:jc w:val="both"/>
        <w:rPr>
          <w:i/>
          <w:sz w:val="22"/>
          <w:szCs w:val="22"/>
          <w:lang w:val="sr-Latn-ME"/>
        </w:rPr>
      </w:pPr>
      <w:r w:rsidRPr="00B8307D">
        <w:rPr>
          <w:i/>
          <w:sz w:val="22"/>
          <w:szCs w:val="22"/>
          <w:lang w:val="sr-Latn-ME"/>
        </w:rPr>
        <w:t>Detekcija prekomjerne ekspresije HER2 ili genske amplifikacije HER2 kod karcinoma dojke</w:t>
      </w:r>
    </w:p>
    <w:p w14:paraId="64CB075D" w14:textId="426FEA54" w:rsidR="004F6368" w:rsidRPr="00B8307D" w:rsidRDefault="00C32AB8" w:rsidP="000A067B">
      <w:pPr>
        <w:widowControl w:val="0"/>
        <w:jc w:val="both"/>
        <w:rPr>
          <w:sz w:val="22"/>
          <w:szCs w:val="22"/>
          <w:lang w:val="sr-Latn-ME"/>
        </w:rPr>
      </w:pPr>
      <w:r w:rsidRPr="00B8307D">
        <w:rPr>
          <w:sz w:val="22"/>
          <w:szCs w:val="22"/>
          <w:lang w:val="sr-Latn-ME"/>
        </w:rPr>
        <w:t xml:space="preserve">Lijek </w:t>
      </w:r>
      <w:r w:rsidR="004F6368" w:rsidRPr="00B8307D">
        <w:rPr>
          <w:sz w:val="22"/>
          <w:szCs w:val="22"/>
          <w:lang w:val="sr-Latn-ME"/>
        </w:rPr>
        <w:t xml:space="preserve">Herceptin treba koristiti samo kod pacijenata </w:t>
      </w:r>
      <w:r w:rsidR="007252D1" w:rsidRPr="00B8307D">
        <w:rPr>
          <w:sz w:val="22"/>
          <w:szCs w:val="22"/>
          <w:lang w:val="sr-Latn-ME"/>
        </w:rPr>
        <w:t xml:space="preserve">sa </w:t>
      </w:r>
      <w:r w:rsidR="004F6368" w:rsidRPr="00B8307D">
        <w:rPr>
          <w:sz w:val="22"/>
          <w:szCs w:val="22"/>
          <w:lang w:val="sr-Latn-ME"/>
        </w:rPr>
        <w:t>tumori</w:t>
      </w:r>
      <w:r w:rsidR="007252D1" w:rsidRPr="00B8307D">
        <w:rPr>
          <w:sz w:val="22"/>
          <w:szCs w:val="22"/>
          <w:lang w:val="sr-Latn-ME"/>
        </w:rPr>
        <w:t>ma čije ćelije pokazuju</w:t>
      </w:r>
      <w:r w:rsidR="004F6368" w:rsidRPr="00B8307D">
        <w:rPr>
          <w:sz w:val="22"/>
          <w:szCs w:val="22"/>
          <w:lang w:val="sr-Latn-ME"/>
        </w:rPr>
        <w:t xml:space="preserve"> </w:t>
      </w:r>
      <w:r w:rsidR="007252D1" w:rsidRPr="00B8307D">
        <w:rPr>
          <w:sz w:val="22"/>
          <w:szCs w:val="22"/>
          <w:lang w:val="sr-Latn-ME"/>
        </w:rPr>
        <w:t xml:space="preserve">povećanu </w:t>
      </w:r>
      <w:r w:rsidR="004F6368" w:rsidRPr="00B8307D">
        <w:rPr>
          <w:sz w:val="22"/>
          <w:szCs w:val="22"/>
          <w:lang w:val="sr-Latn-ME"/>
        </w:rPr>
        <w:t>ekspr</w:t>
      </w:r>
      <w:r w:rsidR="007252D1" w:rsidRPr="00B8307D">
        <w:rPr>
          <w:sz w:val="22"/>
          <w:szCs w:val="22"/>
          <w:lang w:val="sr-Latn-ME"/>
        </w:rPr>
        <w:t>esiju</w:t>
      </w:r>
      <w:r w:rsidR="004F6368" w:rsidRPr="00B8307D">
        <w:rPr>
          <w:sz w:val="22"/>
          <w:szCs w:val="22"/>
          <w:lang w:val="sr-Latn-ME"/>
        </w:rPr>
        <w:t xml:space="preserve"> HER2 ili HER2 </w:t>
      </w:r>
      <w:r w:rsidR="007252D1" w:rsidRPr="00B8307D">
        <w:rPr>
          <w:sz w:val="22"/>
          <w:szCs w:val="22"/>
          <w:lang w:val="sr-Latn-ME"/>
        </w:rPr>
        <w:t xml:space="preserve">gensku amplifikaciju potrvđenu </w:t>
      </w:r>
      <w:r w:rsidR="004F6368" w:rsidRPr="00B8307D">
        <w:rPr>
          <w:sz w:val="22"/>
          <w:szCs w:val="22"/>
          <w:lang w:val="sr-Latn-ME"/>
        </w:rPr>
        <w:t>preciznom i validiranom metodom. Prekomjerna ekspresija HER2 se detektuje imunohistohemijsk</w:t>
      </w:r>
      <w:r w:rsidR="007252D1" w:rsidRPr="00B8307D">
        <w:rPr>
          <w:sz w:val="22"/>
          <w:szCs w:val="22"/>
          <w:lang w:val="sr-Latn-ME"/>
        </w:rPr>
        <w:t>om metodom</w:t>
      </w:r>
      <w:r w:rsidR="004F6368" w:rsidRPr="00B8307D">
        <w:rPr>
          <w:sz w:val="22"/>
          <w:szCs w:val="22"/>
          <w:lang w:val="sr-Latn-ME"/>
        </w:rPr>
        <w:t xml:space="preserve"> (ICH) </w:t>
      </w:r>
      <w:r w:rsidR="00725C36" w:rsidRPr="00B8307D">
        <w:rPr>
          <w:sz w:val="22"/>
          <w:szCs w:val="22"/>
          <w:lang w:val="sr-Latn-ME"/>
        </w:rPr>
        <w:t xml:space="preserve">određivanja </w:t>
      </w:r>
      <w:r w:rsidR="004F6368" w:rsidRPr="00B8307D">
        <w:rPr>
          <w:sz w:val="22"/>
          <w:szCs w:val="22"/>
          <w:lang w:val="sr-Latn-ME"/>
        </w:rPr>
        <w:t>fiksiranih blokova tumorskog tkiva (vidjeti dio 4.4)</w:t>
      </w:r>
      <w:r w:rsidR="00095190" w:rsidRPr="00B8307D">
        <w:rPr>
          <w:sz w:val="22"/>
          <w:szCs w:val="22"/>
          <w:lang w:val="sr-Latn-ME"/>
        </w:rPr>
        <w:t>.</w:t>
      </w:r>
      <w:r w:rsidR="004F6368" w:rsidRPr="00B8307D">
        <w:rPr>
          <w:sz w:val="22"/>
          <w:szCs w:val="22"/>
          <w:lang w:val="sr-Latn-ME"/>
        </w:rPr>
        <w:t xml:space="preserve"> Genska amplifikacija HER2 treba da se otkriva korišćenjem fluorescentne </w:t>
      </w:r>
      <w:r w:rsidR="004F6368" w:rsidRPr="00B8307D">
        <w:rPr>
          <w:i/>
          <w:sz w:val="22"/>
          <w:szCs w:val="22"/>
          <w:lang w:val="sr-Latn-ME"/>
        </w:rPr>
        <w:t>in situ</w:t>
      </w:r>
      <w:r w:rsidR="004F6368" w:rsidRPr="00B8307D">
        <w:rPr>
          <w:sz w:val="22"/>
          <w:szCs w:val="22"/>
          <w:lang w:val="sr-Latn-ME"/>
        </w:rPr>
        <w:t xml:space="preserve"> hibridizacije (FISH) ili hromogene </w:t>
      </w:r>
      <w:r w:rsidR="004F6368" w:rsidRPr="00B8307D">
        <w:rPr>
          <w:i/>
          <w:sz w:val="22"/>
          <w:szCs w:val="22"/>
          <w:lang w:val="sr-Latn-ME"/>
        </w:rPr>
        <w:t>in situ</w:t>
      </w:r>
      <w:r w:rsidR="004F6368" w:rsidRPr="00B8307D">
        <w:rPr>
          <w:sz w:val="22"/>
          <w:szCs w:val="22"/>
          <w:lang w:val="sr-Latn-ME"/>
        </w:rPr>
        <w:t xml:space="preserve"> hibridizacije (CISH)  fiksiranih </w:t>
      </w:r>
      <w:r w:rsidR="007252D1" w:rsidRPr="00B8307D">
        <w:rPr>
          <w:sz w:val="22"/>
          <w:szCs w:val="22"/>
          <w:lang w:val="sr-Latn-ME"/>
        </w:rPr>
        <w:t xml:space="preserve">blokova </w:t>
      </w:r>
      <w:r w:rsidR="004F6368" w:rsidRPr="00B8307D">
        <w:rPr>
          <w:sz w:val="22"/>
          <w:szCs w:val="22"/>
          <w:lang w:val="sr-Latn-ME"/>
        </w:rPr>
        <w:t>tumorski</w:t>
      </w:r>
      <w:r w:rsidR="007252D1" w:rsidRPr="00B8307D">
        <w:rPr>
          <w:sz w:val="22"/>
          <w:szCs w:val="22"/>
          <w:lang w:val="sr-Latn-ME"/>
        </w:rPr>
        <w:t>og tkiva</w:t>
      </w:r>
      <w:r w:rsidR="004F6368" w:rsidRPr="00B8307D">
        <w:rPr>
          <w:sz w:val="22"/>
          <w:szCs w:val="22"/>
          <w:lang w:val="sr-Latn-ME"/>
        </w:rPr>
        <w:t xml:space="preserve">. Pacijenti ispunjavaju uslove za primjenu terapije </w:t>
      </w:r>
      <w:r w:rsidR="00095190" w:rsidRPr="00B8307D">
        <w:rPr>
          <w:sz w:val="22"/>
          <w:szCs w:val="22"/>
          <w:lang w:val="sr-Latn-ME"/>
        </w:rPr>
        <w:t xml:space="preserve">lijekom </w:t>
      </w:r>
      <w:r w:rsidR="004F6368" w:rsidRPr="00B8307D">
        <w:rPr>
          <w:sz w:val="22"/>
          <w:szCs w:val="22"/>
          <w:lang w:val="sr-Latn-ME"/>
        </w:rPr>
        <w:t xml:space="preserve">Herceptin ako pokazuju snažnu prekomjernu ekspresiju HER2 što se opisuje kao skor 3+ </w:t>
      </w:r>
      <w:r w:rsidR="007252D1" w:rsidRPr="00B8307D">
        <w:rPr>
          <w:sz w:val="22"/>
          <w:szCs w:val="22"/>
          <w:lang w:val="sr-Latn-ME"/>
        </w:rPr>
        <w:t xml:space="preserve">na osnovu </w:t>
      </w:r>
      <w:r w:rsidR="004F6368" w:rsidRPr="00B8307D">
        <w:rPr>
          <w:sz w:val="22"/>
          <w:szCs w:val="22"/>
          <w:lang w:val="sr-Latn-ME"/>
        </w:rPr>
        <w:t xml:space="preserve">IHC ili pozitivni FISH ili CISH rezultat.  </w:t>
      </w:r>
    </w:p>
    <w:p w14:paraId="5BE6737E" w14:textId="77777777" w:rsidR="004F6368" w:rsidRPr="00B8307D" w:rsidRDefault="004F6368" w:rsidP="000A067B">
      <w:pPr>
        <w:widowControl w:val="0"/>
        <w:jc w:val="both"/>
        <w:rPr>
          <w:sz w:val="22"/>
          <w:szCs w:val="22"/>
          <w:lang w:val="sr-Latn-ME"/>
        </w:rPr>
      </w:pPr>
    </w:p>
    <w:p w14:paraId="32E99A84" w14:textId="5A7D6ED5" w:rsidR="004F6368" w:rsidRPr="00B8307D" w:rsidRDefault="004F6368" w:rsidP="000A067B">
      <w:pPr>
        <w:widowControl w:val="0"/>
        <w:jc w:val="both"/>
        <w:rPr>
          <w:sz w:val="22"/>
          <w:szCs w:val="22"/>
          <w:lang w:val="sr-Latn-ME"/>
        </w:rPr>
      </w:pPr>
      <w:r w:rsidRPr="00B8307D">
        <w:rPr>
          <w:sz w:val="22"/>
          <w:szCs w:val="22"/>
          <w:lang w:val="sr-Latn-ME"/>
        </w:rPr>
        <w:t xml:space="preserve">Da bi se </w:t>
      </w:r>
      <w:r w:rsidR="00725C36" w:rsidRPr="00B8307D">
        <w:rPr>
          <w:sz w:val="22"/>
          <w:szCs w:val="22"/>
          <w:lang w:val="sr-Latn-ME"/>
        </w:rPr>
        <w:t xml:space="preserve">dobili </w:t>
      </w:r>
      <w:r w:rsidRPr="00B8307D">
        <w:rPr>
          <w:sz w:val="22"/>
          <w:szCs w:val="22"/>
          <w:lang w:val="sr-Latn-ME"/>
        </w:rPr>
        <w:t xml:space="preserve">tačni i ponovljivi rezultati, testiranje se mora obaviti u specijalizovanoj laboratoriji koja može da obezbijedi validaciju procedure testiranja. </w:t>
      </w:r>
    </w:p>
    <w:p w14:paraId="46D98974" w14:textId="77777777" w:rsidR="004F6368" w:rsidRPr="00B8307D" w:rsidRDefault="004F6368" w:rsidP="000A067B">
      <w:pPr>
        <w:widowControl w:val="0"/>
        <w:jc w:val="both"/>
        <w:rPr>
          <w:sz w:val="22"/>
          <w:szCs w:val="22"/>
          <w:lang w:val="sr-Latn-ME"/>
        </w:rPr>
      </w:pPr>
    </w:p>
    <w:p w14:paraId="227AF644" w14:textId="77777777" w:rsidR="004F6368" w:rsidRPr="00B8307D" w:rsidRDefault="004F6368" w:rsidP="000A067B">
      <w:pPr>
        <w:widowControl w:val="0"/>
        <w:jc w:val="both"/>
        <w:rPr>
          <w:sz w:val="22"/>
          <w:szCs w:val="22"/>
          <w:lang w:val="sr-Latn-ME"/>
        </w:rPr>
      </w:pPr>
      <w:r w:rsidRPr="00B8307D">
        <w:rPr>
          <w:sz w:val="22"/>
          <w:szCs w:val="22"/>
          <w:lang w:val="sr-Latn-ME"/>
        </w:rPr>
        <w:t xml:space="preserve">Predlaže se sljedeći sistem bodovanja za procjenu prebojavanja uzoraka po IHC metodi u Tabeli 2: </w:t>
      </w:r>
    </w:p>
    <w:p w14:paraId="62466159" w14:textId="77777777" w:rsidR="004F6368" w:rsidRPr="00B8307D" w:rsidRDefault="004F6368" w:rsidP="000A067B">
      <w:pPr>
        <w:widowControl w:val="0"/>
        <w:jc w:val="both"/>
        <w:rPr>
          <w:sz w:val="22"/>
          <w:szCs w:val="22"/>
          <w:lang w:val="sr-Latn-ME"/>
        </w:rPr>
      </w:pPr>
    </w:p>
    <w:p w14:paraId="41117A95" w14:textId="77777777" w:rsidR="004F6368" w:rsidRPr="00B8307D" w:rsidRDefault="004F6368" w:rsidP="000A067B">
      <w:pPr>
        <w:widowControl w:val="0"/>
        <w:jc w:val="both"/>
        <w:rPr>
          <w:sz w:val="22"/>
          <w:szCs w:val="22"/>
          <w:lang w:val="sr-Latn-ME"/>
        </w:rPr>
      </w:pPr>
      <w:r w:rsidRPr="00B8307D">
        <w:rPr>
          <w:sz w:val="22"/>
          <w:szCs w:val="22"/>
          <w:lang w:val="sr-Latn-ME"/>
        </w:rPr>
        <w:t>Tabela 2: Preporučeni sistem bodovanja za procjenu prebojavanja uzoraka IHC metodom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5386"/>
        <w:gridCol w:w="2126"/>
      </w:tblGrid>
      <w:tr w:rsidR="004F6368" w:rsidRPr="00B8307D" w14:paraId="1AE01B7D" w14:textId="77777777" w:rsidTr="0042271E">
        <w:tc>
          <w:tcPr>
            <w:tcW w:w="1555" w:type="dxa"/>
            <w:tcBorders>
              <w:top w:val="single" w:sz="4" w:space="0" w:color="auto"/>
              <w:left w:val="single" w:sz="4" w:space="0" w:color="auto"/>
              <w:bottom w:val="single" w:sz="4" w:space="0" w:color="auto"/>
              <w:right w:val="single" w:sz="4" w:space="0" w:color="auto"/>
            </w:tcBorders>
            <w:hideMark/>
          </w:tcPr>
          <w:p w14:paraId="51A5583E" w14:textId="77777777" w:rsidR="004F6368" w:rsidRPr="00B8307D" w:rsidRDefault="004F6368" w:rsidP="000A067B">
            <w:pPr>
              <w:widowControl w:val="0"/>
              <w:tabs>
                <w:tab w:val="left" w:pos="284"/>
              </w:tabs>
              <w:jc w:val="both"/>
              <w:rPr>
                <w:b/>
                <w:sz w:val="22"/>
                <w:szCs w:val="22"/>
                <w:lang w:val="sr-Latn-ME"/>
              </w:rPr>
            </w:pPr>
            <w:r w:rsidRPr="00B8307D">
              <w:rPr>
                <w:b/>
                <w:sz w:val="22"/>
                <w:szCs w:val="22"/>
                <w:lang w:val="sr-Latn-ME"/>
              </w:rPr>
              <w:t>Ocjena intenziteta prebojavanja</w:t>
            </w:r>
          </w:p>
        </w:tc>
        <w:tc>
          <w:tcPr>
            <w:tcW w:w="5386" w:type="dxa"/>
            <w:tcBorders>
              <w:top w:val="single" w:sz="4" w:space="0" w:color="auto"/>
              <w:left w:val="single" w:sz="4" w:space="0" w:color="auto"/>
              <w:bottom w:val="single" w:sz="4" w:space="0" w:color="auto"/>
              <w:right w:val="single" w:sz="4" w:space="0" w:color="auto"/>
            </w:tcBorders>
            <w:hideMark/>
          </w:tcPr>
          <w:p w14:paraId="4F371937" w14:textId="77777777" w:rsidR="004F6368" w:rsidRPr="00B8307D" w:rsidRDefault="004F6368" w:rsidP="000A067B">
            <w:pPr>
              <w:widowControl w:val="0"/>
              <w:tabs>
                <w:tab w:val="left" w:pos="284"/>
              </w:tabs>
              <w:jc w:val="both"/>
              <w:rPr>
                <w:b/>
                <w:sz w:val="22"/>
                <w:szCs w:val="22"/>
                <w:lang w:val="sr-Latn-ME"/>
              </w:rPr>
            </w:pPr>
            <w:r w:rsidRPr="00B8307D">
              <w:rPr>
                <w:b/>
                <w:sz w:val="22"/>
                <w:szCs w:val="22"/>
                <w:lang w:val="sr-Latn-ME"/>
              </w:rPr>
              <w:t>Način bojenja</w:t>
            </w:r>
          </w:p>
        </w:tc>
        <w:tc>
          <w:tcPr>
            <w:tcW w:w="2126" w:type="dxa"/>
            <w:tcBorders>
              <w:top w:val="single" w:sz="4" w:space="0" w:color="auto"/>
              <w:left w:val="single" w:sz="4" w:space="0" w:color="auto"/>
              <w:bottom w:val="single" w:sz="4" w:space="0" w:color="auto"/>
              <w:right w:val="single" w:sz="4" w:space="0" w:color="auto"/>
            </w:tcBorders>
            <w:hideMark/>
          </w:tcPr>
          <w:p w14:paraId="0FCF32E4" w14:textId="77777777" w:rsidR="004F6368" w:rsidRPr="00B8307D" w:rsidRDefault="004F6368" w:rsidP="000A067B">
            <w:pPr>
              <w:widowControl w:val="0"/>
              <w:tabs>
                <w:tab w:val="left" w:pos="284"/>
              </w:tabs>
              <w:jc w:val="both"/>
              <w:rPr>
                <w:b/>
                <w:sz w:val="22"/>
                <w:szCs w:val="22"/>
                <w:lang w:val="sr-Latn-ME"/>
              </w:rPr>
            </w:pPr>
            <w:r w:rsidRPr="00B8307D">
              <w:rPr>
                <w:b/>
                <w:sz w:val="22"/>
                <w:szCs w:val="22"/>
                <w:lang w:val="sr-Latn-ME"/>
              </w:rPr>
              <w:t>Procjena prekomjerne ekspresije HER2</w:t>
            </w:r>
          </w:p>
        </w:tc>
      </w:tr>
      <w:tr w:rsidR="004F6368" w:rsidRPr="00B8307D" w14:paraId="5629D6D7" w14:textId="77777777" w:rsidTr="0042271E">
        <w:tc>
          <w:tcPr>
            <w:tcW w:w="1555" w:type="dxa"/>
            <w:tcBorders>
              <w:top w:val="single" w:sz="4" w:space="0" w:color="auto"/>
              <w:left w:val="single" w:sz="4" w:space="0" w:color="auto"/>
              <w:bottom w:val="single" w:sz="4" w:space="0" w:color="auto"/>
              <w:right w:val="single" w:sz="4" w:space="0" w:color="auto"/>
            </w:tcBorders>
            <w:hideMark/>
          </w:tcPr>
          <w:p w14:paraId="228B48E7" w14:textId="77777777" w:rsidR="004F6368" w:rsidRPr="00B8307D" w:rsidRDefault="004F6368" w:rsidP="000A067B">
            <w:pPr>
              <w:widowControl w:val="0"/>
              <w:tabs>
                <w:tab w:val="left" w:pos="284"/>
              </w:tabs>
              <w:jc w:val="both"/>
              <w:rPr>
                <w:sz w:val="22"/>
                <w:szCs w:val="22"/>
                <w:lang w:val="sr-Latn-ME"/>
              </w:rPr>
            </w:pPr>
            <w:r w:rsidRPr="00B8307D">
              <w:rPr>
                <w:sz w:val="22"/>
                <w:szCs w:val="22"/>
                <w:lang w:val="sr-Latn-ME"/>
              </w:rPr>
              <w:t>0</w:t>
            </w:r>
          </w:p>
        </w:tc>
        <w:tc>
          <w:tcPr>
            <w:tcW w:w="5386" w:type="dxa"/>
            <w:tcBorders>
              <w:top w:val="single" w:sz="4" w:space="0" w:color="auto"/>
              <w:left w:val="single" w:sz="4" w:space="0" w:color="auto"/>
              <w:bottom w:val="single" w:sz="4" w:space="0" w:color="auto"/>
              <w:right w:val="single" w:sz="4" w:space="0" w:color="auto"/>
            </w:tcBorders>
            <w:hideMark/>
          </w:tcPr>
          <w:p w14:paraId="54788C20" w14:textId="64DB6F1D" w:rsidR="004F6368" w:rsidRPr="00B8307D" w:rsidRDefault="004F6368" w:rsidP="000A067B">
            <w:pPr>
              <w:widowControl w:val="0"/>
              <w:tabs>
                <w:tab w:val="left" w:pos="284"/>
              </w:tabs>
              <w:rPr>
                <w:sz w:val="22"/>
                <w:szCs w:val="22"/>
                <w:lang w:val="sr-Latn-ME"/>
              </w:rPr>
            </w:pPr>
            <w:r w:rsidRPr="00B8307D">
              <w:rPr>
                <w:sz w:val="22"/>
                <w:szCs w:val="22"/>
                <w:lang w:val="sr-Latn-ME"/>
              </w:rPr>
              <w:t>Nikakvo prebojavanje nije primijećeno ili se prebojavanje membrane uočava kod &lt;</w:t>
            </w:r>
            <w:r w:rsidR="00095190" w:rsidRPr="00B8307D">
              <w:rPr>
                <w:sz w:val="22"/>
                <w:szCs w:val="22"/>
                <w:lang w:val="sr-Latn-ME"/>
              </w:rPr>
              <w:t xml:space="preserve"> </w:t>
            </w:r>
            <w:r w:rsidRPr="00B8307D">
              <w:rPr>
                <w:sz w:val="22"/>
                <w:szCs w:val="22"/>
                <w:lang w:val="sr-Latn-ME"/>
              </w:rPr>
              <w:t>10% tumorskih ćelija</w:t>
            </w:r>
          </w:p>
        </w:tc>
        <w:tc>
          <w:tcPr>
            <w:tcW w:w="2126" w:type="dxa"/>
            <w:tcBorders>
              <w:top w:val="single" w:sz="4" w:space="0" w:color="auto"/>
              <w:left w:val="single" w:sz="4" w:space="0" w:color="auto"/>
              <w:bottom w:val="single" w:sz="4" w:space="0" w:color="auto"/>
              <w:right w:val="single" w:sz="4" w:space="0" w:color="auto"/>
            </w:tcBorders>
            <w:hideMark/>
          </w:tcPr>
          <w:p w14:paraId="2FA48908" w14:textId="1911C4D0" w:rsidR="004F6368" w:rsidRPr="00B8307D" w:rsidRDefault="004F6368" w:rsidP="000A067B">
            <w:pPr>
              <w:widowControl w:val="0"/>
              <w:tabs>
                <w:tab w:val="left" w:pos="284"/>
              </w:tabs>
              <w:jc w:val="both"/>
              <w:rPr>
                <w:sz w:val="22"/>
                <w:szCs w:val="22"/>
                <w:lang w:val="sr-Latn-ME"/>
              </w:rPr>
            </w:pPr>
            <w:r w:rsidRPr="00B8307D">
              <w:rPr>
                <w:sz w:val="22"/>
                <w:szCs w:val="22"/>
                <w:lang w:val="sr-Latn-ME"/>
              </w:rPr>
              <w:t>Negativn</w:t>
            </w:r>
            <w:r w:rsidR="00095190" w:rsidRPr="00B8307D">
              <w:rPr>
                <w:sz w:val="22"/>
                <w:szCs w:val="22"/>
                <w:lang w:val="sr-Latn-ME"/>
              </w:rPr>
              <w:t>a</w:t>
            </w:r>
          </w:p>
        </w:tc>
      </w:tr>
      <w:tr w:rsidR="004F6368" w:rsidRPr="00B8307D" w14:paraId="0DF599BA" w14:textId="77777777" w:rsidTr="0042271E">
        <w:tc>
          <w:tcPr>
            <w:tcW w:w="1555" w:type="dxa"/>
            <w:tcBorders>
              <w:top w:val="single" w:sz="4" w:space="0" w:color="auto"/>
              <w:left w:val="single" w:sz="4" w:space="0" w:color="auto"/>
              <w:bottom w:val="single" w:sz="4" w:space="0" w:color="auto"/>
              <w:right w:val="single" w:sz="4" w:space="0" w:color="auto"/>
            </w:tcBorders>
            <w:hideMark/>
          </w:tcPr>
          <w:p w14:paraId="1E23D544" w14:textId="77777777" w:rsidR="004F6368" w:rsidRPr="00B8307D" w:rsidRDefault="004F6368" w:rsidP="000A067B">
            <w:pPr>
              <w:widowControl w:val="0"/>
              <w:tabs>
                <w:tab w:val="left" w:pos="284"/>
              </w:tabs>
              <w:jc w:val="both"/>
              <w:rPr>
                <w:sz w:val="22"/>
                <w:szCs w:val="22"/>
                <w:lang w:val="sr-Latn-ME"/>
              </w:rPr>
            </w:pPr>
            <w:r w:rsidRPr="00B8307D">
              <w:rPr>
                <w:sz w:val="22"/>
                <w:szCs w:val="22"/>
                <w:lang w:val="sr-Latn-ME"/>
              </w:rPr>
              <w:t>1+</w:t>
            </w:r>
          </w:p>
        </w:tc>
        <w:tc>
          <w:tcPr>
            <w:tcW w:w="5386" w:type="dxa"/>
            <w:tcBorders>
              <w:top w:val="single" w:sz="4" w:space="0" w:color="auto"/>
              <w:left w:val="single" w:sz="4" w:space="0" w:color="auto"/>
              <w:bottom w:val="single" w:sz="4" w:space="0" w:color="auto"/>
              <w:right w:val="single" w:sz="4" w:space="0" w:color="auto"/>
            </w:tcBorders>
            <w:hideMark/>
          </w:tcPr>
          <w:p w14:paraId="5FB95F67" w14:textId="05F5D5DA" w:rsidR="004F6368" w:rsidRPr="00B8307D" w:rsidRDefault="004F6368" w:rsidP="000A067B">
            <w:pPr>
              <w:widowControl w:val="0"/>
              <w:tabs>
                <w:tab w:val="left" w:pos="284"/>
              </w:tabs>
              <w:rPr>
                <w:sz w:val="22"/>
                <w:szCs w:val="22"/>
                <w:lang w:val="sr-Latn-ME"/>
              </w:rPr>
            </w:pPr>
            <w:r w:rsidRPr="00B8307D">
              <w:rPr>
                <w:sz w:val="22"/>
                <w:szCs w:val="22"/>
                <w:lang w:val="sr-Latn-ME"/>
              </w:rPr>
              <w:t>Blijedo/jedva primjetno prebojavanje membrane uočava se kod &gt;</w:t>
            </w:r>
            <w:r w:rsidR="00095190" w:rsidRPr="00B8307D">
              <w:rPr>
                <w:sz w:val="22"/>
                <w:szCs w:val="22"/>
                <w:lang w:val="sr-Latn-ME"/>
              </w:rPr>
              <w:t xml:space="preserve"> </w:t>
            </w:r>
            <w:r w:rsidRPr="00B8307D">
              <w:rPr>
                <w:sz w:val="22"/>
                <w:szCs w:val="22"/>
                <w:lang w:val="sr-Latn-ME"/>
              </w:rPr>
              <w:t>10% tumorskih ćelija. Prebojen</w:t>
            </w:r>
            <w:r w:rsidR="00095190" w:rsidRPr="00B8307D">
              <w:rPr>
                <w:sz w:val="22"/>
                <w:szCs w:val="22"/>
                <w:lang w:val="sr-Latn-ME"/>
              </w:rPr>
              <w:t>i</w:t>
            </w:r>
            <w:r w:rsidRPr="00B8307D">
              <w:rPr>
                <w:sz w:val="22"/>
                <w:szCs w:val="22"/>
                <w:lang w:val="sr-Latn-ME"/>
              </w:rPr>
              <w:t xml:space="preserve"> </w:t>
            </w:r>
            <w:r w:rsidR="00095190" w:rsidRPr="00B8307D">
              <w:rPr>
                <w:sz w:val="22"/>
                <w:szCs w:val="22"/>
                <w:lang w:val="sr-Latn-ME"/>
              </w:rPr>
              <w:t>su</w:t>
            </w:r>
            <w:r w:rsidRPr="00B8307D">
              <w:rPr>
                <w:sz w:val="22"/>
                <w:szCs w:val="22"/>
                <w:lang w:val="sr-Latn-ME"/>
              </w:rPr>
              <w:t xml:space="preserve"> samo d</w:t>
            </w:r>
            <w:r w:rsidR="00095190" w:rsidRPr="00B8307D">
              <w:rPr>
                <w:sz w:val="22"/>
                <w:szCs w:val="22"/>
                <w:lang w:val="sr-Latn-ME"/>
              </w:rPr>
              <w:t>jelovi</w:t>
            </w:r>
            <w:r w:rsidRPr="00B8307D">
              <w:rPr>
                <w:sz w:val="22"/>
                <w:szCs w:val="22"/>
                <w:lang w:val="sr-Latn-ME"/>
              </w:rPr>
              <w:t xml:space="preserve"> ćelijske membrane.</w:t>
            </w:r>
          </w:p>
        </w:tc>
        <w:tc>
          <w:tcPr>
            <w:tcW w:w="2126" w:type="dxa"/>
            <w:tcBorders>
              <w:top w:val="single" w:sz="4" w:space="0" w:color="auto"/>
              <w:left w:val="single" w:sz="4" w:space="0" w:color="auto"/>
              <w:bottom w:val="single" w:sz="4" w:space="0" w:color="auto"/>
              <w:right w:val="single" w:sz="4" w:space="0" w:color="auto"/>
            </w:tcBorders>
            <w:hideMark/>
          </w:tcPr>
          <w:p w14:paraId="658DDA1E" w14:textId="4319BDA6" w:rsidR="004F6368" w:rsidRPr="00B8307D" w:rsidRDefault="00095190" w:rsidP="000A067B">
            <w:pPr>
              <w:widowControl w:val="0"/>
              <w:tabs>
                <w:tab w:val="left" w:pos="284"/>
              </w:tabs>
              <w:jc w:val="both"/>
              <w:rPr>
                <w:sz w:val="22"/>
                <w:szCs w:val="22"/>
                <w:lang w:val="sr-Latn-ME"/>
              </w:rPr>
            </w:pPr>
            <w:r w:rsidRPr="00B8307D">
              <w:rPr>
                <w:sz w:val="22"/>
                <w:szCs w:val="22"/>
                <w:lang w:val="sr-Latn-ME"/>
              </w:rPr>
              <w:t>Negativna</w:t>
            </w:r>
          </w:p>
        </w:tc>
      </w:tr>
      <w:tr w:rsidR="004F6368" w:rsidRPr="00B8307D" w14:paraId="74EA7743" w14:textId="77777777" w:rsidTr="0042271E">
        <w:tc>
          <w:tcPr>
            <w:tcW w:w="1555" w:type="dxa"/>
            <w:tcBorders>
              <w:top w:val="single" w:sz="4" w:space="0" w:color="auto"/>
              <w:left w:val="single" w:sz="4" w:space="0" w:color="auto"/>
              <w:bottom w:val="single" w:sz="4" w:space="0" w:color="auto"/>
              <w:right w:val="single" w:sz="4" w:space="0" w:color="auto"/>
            </w:tcBorders>
            <w:hideMark/>
          </w:tcPr>
          <w:p w14:paraId="22172C78" w14:textId="77777777" w:rsidR="004F6368" w:rsidRPr="00B8307D" w:rsidRDefault="004F6368" w:rsidP="000A067B">
            <w:pPr>
              <w:widowControl w:val="0"/>
              <w:tabs>
                <w:tab w:val="left" w:pos="284"/>
              </w:tabs>
              <w:jc w:val="both"/>
              <w:rPr>
                <w:sz w:val="22"/>
                <w:szCs w:val="22"/>
                <w:lang w:val="sr-Latn-ME"/>
              </w:rPr>
            </w:pPr>
            <w:r w:rsidRPr="00B8307D">
              <w:rPr>
                <w:sz w:val="22"/>
                <w:szCs w:val="22"/>
                <w:lang w:val="sr-Latn-ME"/>
              </w:rPr>
              <w:t>2+</w:t>
            </w:r>
          </w:p>
        </w:tc>
        <w:tc>
          <w:tcPr>
            <w:tcW w:w="5386" w:type="dxa"/>
            <w:tcBorders>
              <w:top w:val="single" w:sz="4" w:space="0" w:color="auto"/>
              <w:left w:val="single" w:sz="4" w:space="0" w:color="auto"/>
              <w:bottom w:val="single" w:sz="4" w:space="0" w:color="auto"/>
              <w:right w:val="single" w:sz="4" w:space="0" w:color="auto"/>
            </w:tcBorders>
            <w:hideMark/>
          </w:tcPr>
          <w:p w14:paraId="6E11BE66" w14:textId="3ED6BB7F" w:rsidR="004F6368" w:rsidRPr="00B8307D" w:rsidRDefault="004F6368" w:rsidP="000A067B">
            <w:pPr>
              <w:widowControl w:val="0"/>
              <w:tabs>
                <w:tab w:val="left" w:pos="284"/>
              </w:tabs>
              <w:rPr>
                <w:sz w:val="22"/>
                <w:szCs w:val="22"/>
                <w:lang w:val="sr-Latn-ME"/>
              </w:rPr>
            </w:pPr>
            <w:r w:rsidRPr="00B8307D">
              <w:rPr>
                <w:sz w:val="22"/>
                <w:szCs w:val="22"/>
                <w:lang w:val="sr-Latn-ME"/>
              </w:rPr>
              <w:t xml:space="preserve">Blago do umjereno potpuno prebojavanje </w:t>
            </w:r>
            <w:r w:rsidR="00095190" w:rsidRPr="00B8307D">
              <w:rPr>
                <w:sz w:val="22"/>
                <w:szCs w:val="22"/>
                <w:lang w:val="sr-Latn-ME"/>
              </w:rPr>
              <w:t xml:space="preserve">cijele </w:t>
            </w:r>
            <w:r w:rsidRPr="00B8307D">
              <w:rPr>
                <w:sz w:val="22"/>
                <w:szCs w:val="22"/>
                <w:lang w:val="sr-Latn-ME"/>
              </w:rPr>
              <w:t>membrane uočava se kod &gt;</w:t>
            </w:r>
            <w:r w:rsidR="00095190" w:rsidRPr="00B8307D">
              <w:rPr>
                <w:sz w:val="22"/>
                <w:szCs w:val="22"/>
                <w:lang w:val="sr-Latn-ME"/>
              </w:rPr>
              <w:t xml:space="preserve"> </w:t>
            </w:r>
            <w:r w:rsidRPr="00B8307D">
              <w:rPr>
                <w:sz w:val="22"/>
                <w:szCs w:val="22"/>
                <w:lang w:val="sr-Latn-ME"/>
              </w:rPr>
              <w:t>10% tumorskih ćelija.</w:t>
            </w:r>
          </w:p>
        </w:tc>
        <w:tc>
          <w:tcPr>
            <w:tcW w:w="2126" w:type="dxa"/>
            <w:tcBorders>
              <w:top w:val="single" w:sz="4" w:space="0" w:color="auto"/>
              <w:left w:val="single" w:sz="4" w:space="0" w:color="auto"/>
              <w:bottom w:val="single" w:sz="4" w:space="0" w:color="auto"/>
              <w:right w:val="single" w:sz="4" w:space="0" w:color="auto"/>
            </w:tcBorders>
          </w:tcPr>
          <w:p w14:paraId="6C64DFCC" w14:textId="5A696737" w:rsidR="004F6368" w:rsidRPr="00B8307D" w:rsidRDefault="004F6368" w:rsidP="0042271E">
            <w:pPr>
              <w:widowControl w:val="0"/>
              <w:jc w:val="both"/>
              <w:rPr>
                <w:strike/>
                <w:sz w:val="22"/>
                <w:szCs w:val="22"/>
                <w:lang w:val="sr-Latn-ME"/>
              </w:rPr>
            </w:pPr>
            <w:r w:rsidRPr="00B8307D">
              <w:rPr>
                <w:sz w:val="22"/>
                <w:szCs w:val="22"/>
                <w:lang w:val="sr-Latn-ME"/>
              </w:rPr>
              <w:t>Dvoznačn</w:t>
            </w:r>
            <w:r w:rsidR="00095190" w:rsidRPr="00B8307D">
              <w:rPr>
                <w:sz w:val="22"/>
                <w:szCs w:val="22"/>
                <w:lang w:val="sr-Latn-ME"/>
              </w:rPr>
              <w:t>a/Nepouzdan rezultat</w:t>
            </w:r>
            <w:r w:rsidRPr="00B8307D">
              <w:rPr>
                <w:strike/>
                <w:sz w:val="22"/>
                <w:szCs w:val="22"/>
                <w:lang w:val="sr-Latn-ME"/>
              </w:rPr>
              <w:t xml:space="preserve"> </w:t>
            </w:r>
          </w:p>
        </w:tc>
      </w:tr>
      <w:tr w:rsidR="004F6368" w:rsidRPr="00B8307D" w14:paraId="54EE2186" w14:textId="77777777" w:rsidTr="0042271E">
        <w:tc>
          <w:tcPr>
            <w:tcW w:w="1555" w:type="dxa"/>
            <w:tcBorders>
              <w:top w:val="single" w:sz="4" w:space="0" w:color="auto"/>
              <w:left w:val="single" w:sz="4" w:space="0" w:color="auto"/>
              <w:bottom w:val="single" w:sz="4" w:space="0" w:color="auto"/>
              <w:right w:val="single" w:sz="4" w:space="0" w:color="auto"/>
            </w:tcBorders>
            <w:hideMark/>
          </w:tcPr>
          <w:p w14:paraId="61EE43BE" w14:textId="77777777" w:rsidR="004F6368" w:rsidRPr="00B8307D" w:rsidRDefault="004F6368" w:rsidP="000A067B">
            <w:pPr>
              <w:widowControl w:val="0"/>
              <w:tabs>
                <w:tab w:val="left" w:pos="284"/>
              </w:tabs>
              <w:jc w:val="both"/>
              <w:rPr>
                <w:sz w:val="22"/>
                <w:szCs w:val="22"/>
                <w:lang w:val="sr-Latn-ME"/>
              </w:rPr>
            </w:pPr>
            <w:r w:rsidRPr="00B8307D">
              <w:rPr>
                <w:sz w:val="22"/>
                <w:szCs w:val="22"/>
                <w:lang w:val="sr-Latn-ME"/>
              </w:rPr>
              <w:t>3+</w:t>
            </w:r>
          </w:p>
        </w:tc>
        <w:tc>
          <w:tcPr>
            <w:tcW w:w="5386" w:type="dxa"/>
            <w:tcBorders>
              <w:top w:val="single" w:sz="4" w:space="0" w:color="auto"/>
              <w:left w:val="single" w:sz="4" w:space="0" w:color="auto"/>
              <w:bottom w:val="single" w:sz="4" w:space="0" w:color="auto"/>
              <w:right w:val="single" w:sz="4" w:space="0" w:color="auto"/>
            </w:tcBorders>
            <w:hideMark/>
          </w:tcPr>
          <w:p w14:paraId="0CA9BA5A" w14:textId="1BF7DBA0" w:rsidR="004F6368" w:rsidRPr="00B8307D" w:rsidRDefault="004F6368" w:rsidP="000A067B">
            <w:pPr>
              <w:widowControl w:val="0"/>
              <w:tabs>
                <w:tab w:val="left" w:pos="284"/>
              </w:tabs>
              <w:jc w:val="both"/>
              <w:rPr>
                <w:sz w:val="22"/>
                <w:szCs w:val="22"/>
                <w:lang w:val="sr-Latn-ME"/>
              </w:rPr>
            </w:pPr>
            <w:r w:rsidRPr="00B8307D">
              <w:rPr>
                <w:sz w:val="22"/>
                <w:szCs w:val="22"/>
                <w:lang w:val="sr-Latn-ME"/>
              </w:rPr>
              <w:t>Jako, potpuno prebojavanje membrane uočava se kod &gt;</w:t>
            </w:r>
            <w:r w:rsidR="00095190" w:rsidRPr="00B8307D">
              <w:rPr>
                <w:sz w:val="22"/>
                <w:szCs w:val="22"/>
                <w:lang w:val="sr-Latn-ME"/>
              </w:rPr>
              <w:t xml:space="preserve"> </w:t>
            </w:r>
            <w:r w:rsidRPr="00B8307D">
              <w:rPr>
                <w:sz w:val="22"/>
                <w:szCs w:val="22"/>
                <w:lang w:val="sr-Latn-ME"/>
              </w:rPr>
              <w:t>10% tumorskih ćelija.</w:t>
            </w:r>
          </w:p>
        </w:tc>
        <w:tc>
          <w:tcPr>
            <w:tcW w:w="2126" w:type="dxa"/>
            <w:tcBorders>
              <w:top w:val="single" w:sz="4" w:space="0" w:color="auto"/>
              <w:left w:val="single" w:sz="4" w:space="0" w:color="auto"/>
              <w:bottom w:val="single" w:sz="4" w:space="0" w:color="auto"/>
              <w:right w:val="single" w:sz="4" w:space="0" w:color="auto"/>
            </w:tcBorders>
          </w:tcPr>
          <w:p w14:paraId="665EB881" w14:textId="77777777" w:rsidR="004F6368" w:rsidRPr="00B8307D" w:rsidRDefault="004F6368" w:rsidP="000A067B">
            <w:pPr>
              <w:widowControl w:val="0"/>
              <w:jc w:val="both"/>
              <w:rPr>
                <w:sz w:val="22"/>
                <w:szCs w:val="22"/>
                <w:lang w:val="sr-Latn-ME"/>
              </w:rPr>
            </w:pPr>
            <w:r w:rsidRPr="00B8307D">
              <w:rPr>
                <w:sz w:val="22"/>
                <w:szCs w:val="22"/>
                <w:lang w:val="sr-Latn-ME"/>
              </w:rPr>
              <w:t xml:space="preserve">Pozitivno </w:t>
            </w:r>
          </w:p>
          <w:p w14:paraId="5AD91457" w14:textId="77777777" w:rsidR="004F6368" w:rsidRPr="00B8307D" w:rsidRDefault="004F6368" w:rsidP="000A067B">
            <w:pPr>
              <w:widowControl w:val="0"/>
              <w:tabs>
                <w:tab w:val="left" w:pos="284"/>
              </w:tabs>
              <w:jc w:val="both"/>
              <w:rPr>
                <w:strike/>
                <w:sz w:val="22"/>
                <w:szCs w:val="22"/>
                <w:lang w:val="sr-Latn-ME"/>
              </w:rPr>
            </w:pPr>
          </w:p>
        </w:tc>
      </w:tr>
    </w:tbl>
    <w:p w14:paraId="59E1BCA5" w14:textId="77777777" w:rsidR="00095190" w:rsidRPr="00B8307D" w:rsidRDefault="00095190" w:rsidP="000A067B">
      <w:pPr>
        <w:widowControl w:val="0"/>
        <w:jc w:val="both"/>
        <w:rPr>
          <w:sz w:val="22"/>
          <w:szCs w:val="22"/>
          <w:lang w:val="sr-Latn-ME"/>
        </w:rPr>
      </w:pPr>
    </w:p>
    <w:p w14:paraId="392561C0" w14:textId="3FBD3D34" w:rsidR="004F6368" w:rsidRPr="00B8307D" w:rsidRDefault="004F6368" w:rsidP="000A067B">
      <w:pPr>
        <w:widowControl w:val="0"/>
        <w:jc w:val="both"/>
        <w:rPr>
          <w:sz w:val="22"/>
          <w:szCs w:val="22"/>
          <w:lang w:val="sr-Latn-ME"/>
        </w:rPr>
      </w:pPr>
      <w:r w:rsidRPr="00B8307D">
        <w:rPr>
          <w:sz w:val="22"/>
          <w:szCs w:val="22"/>
          <w:lang w:val="sr-Latn-ME"/>
        </w:rPr>
        <w:t xml:space="preserve">Po pravilu, FISH se smatra pozitivnim ako je odnos broja HER2 genskih kopija po tumorskoj ćeliji u odnosu na broj kopija hromozima 17 veći ili jednak 2, ili ako ima više od 4 kopije HER2 gena po tumorskoj ćeliji ako se ne koristi kontrola hromozoma 17. </w:t>
      </w:r>
    </w:p>
    <w:p w14:paraId="6A23CDD3" w14:textId="77777777" w:rsidR="004F6368" w:rsidRPr="00B8307D" w:rsidRDefault="004F6368" w:rsidP="000A067B">
      <w:pPr>
        <w:widowControl w:val="0"/>
        <w:jc w:val="both"/>
        <w:rPr>
          <w:sz w:val="22"/>
          <w:szCs w:val="22"/>
          <w:lang w:val="sr-Latn-ME"/>
        </w:rPr>
      </w:pPr>
    </w:p>
    <w:p w14:paraId="7A9C1800" w14:textId="77777777" w:rsidR="004F6368" w:rsidRPr="00B8307D" w:rsidRDefault="004F6368" w:rsidP="000A067B">
      <w:pPr>
        <w:widowControl w:val="0"/>
        <w:jc w:val="both"/>
        <w:rPr>
          <w:sz w:val="22"/>
          <w:szCs w:val="22"/>
          <w:lang w:val="sr-Latn-ME"/>
        </w:rPr>
      </w:pPr>
      <w:r w:rsidRPr="00B8307D">
        <w:rPr>
          <w:sz w:val="22"/>
          <w:szCs w:val="22"/>
          <w:lang w:val="sr-Latn-ME"/>
        </w:rPr>
        <w:t xml:space="preserve">Po pravilu, CISH se smatra pozitivnim ako ima više od 5 kopija HER2 gena po jedru u više od 50% tumorskih ćelija. </w:t>
      </w:r>
    </w:p>
    <w:p w14:paraId="5151BDF9" w14:textId="77777777" w:rsidR="004F6368" w:rsidRPr="00B8307D" w:rsidRDefault="004F6368" w:rsidP="000A067B">
      <w:pPr>
        <w:widowControl w:val="0"/>
        <w:jc w:val="both"/>
        <w:rPr>
          <w:sz w:val="22"/>
          <w:szCs w:val="22"/>
          <w:lang w:val="sr-Latn-ME"/>
        </w:rPr>
      </w:pPr>
    </w:p>
    <w:p w14:paraId="47F1CA9B" w14:textId="77777777" w:rsidR="004F6368" w:rsidRPr="00B8307D" w:rsidRDefault="004F6368" w:rsidP="000A067B">
      <w:pPr>
        <w:widowControl w:val="0"/>
        <w:jc w:val="both"/>
        <w:rPr>
          <w:sz w:val="22"/>
          <w:szCs w:val="22"/>
          <w:lang w:val="sr-Latn-ME"/>
        </w:rPr>
      </w:pPr>
      <w:r w:rsidRPr="00B8307D">
        <w:rPr>
          <w:sz w:val="22"/>
          <w:szCs w:val="22"/>
          <w:lang w:val="sr-Latn-ME"/>
        </w:rPr>
        <w:t>Za detaljna uputstva o tome kako se rade ovi testovi i kako se tumače, molimo da pročitate uputstvo za korišćenje FISH i CISH testova. Moguće je primjeniti i zvanične preporuke za testiranje HER2.</w:t>
      </w:r>
    </w:p>
    <w:p w14:paraId="21F66B49" w14:textId="77777777" w:rsidR="004F6368" w:rsidRPr="00B8307D" w:rsidRDefault="004F6368" w:rsidP="000A067B">
      <w:pPr>
        <w:widowControl w:val="0"/>
        <w:jc w:val="both"/>
        <w:rPr>
          <w:sz w:val="22"/>
          <w:szCs w:val="22"/>
          <w:lang w:val="sr-Latn-ME"/>
        </w:rPr>
      </w:pPr>
    </w:p>
    <w:p w14:paraId="057E943C" w14:textId="77777777" w:rsidR="004F6368" w:rsidRPr="00B8307D" w:rsidRDefault="004F6368" w:rsidP="000A067B">
      <w:pPr>
        <w:widowControl w:val="0"/>
        <w:jc w:val="both"/>
        <w:rPr>
          <w:sz w:val="22"/>
          <w:szCs w:val="22"/>
          <w:lang w:val="sr-Latn-ME"/>
        </w:rPr>
      </w:pPr>
      <w:r w:rsidRPr="00B8307D">
        <w:rPr>
          <w:sz w:val="22"/>
          <w:szCs w:val="22"/>
          <w:lang w:val="sr-Latn-ME"/>
        </w:rPr>
        <w:t xml:space="preserve">Za svaku drugu metodu koja se može koristiti za procjenu ekspresije HER2 proteina ili gena, analize se smiju raditi samo u laboratorijama koje obezbjeđuju najsavremenije, provjerene metode. Takve metode moraju biti nedvosmisleno precizne i dovoljno tačne da se pokaže prekomjerna ekspresija HER2 i moraju biti u stanju da naprave razliku između umjerene (što odgovara 2+) i jake (što odgovara 3+) prekomjerne ekspresije HER2. </w:t>
      </w:r>
    </w:p>
    <w:p w14:paraId="64096490" w14:textId="77777777" w:rsidR="004F6368" w:rsidRPr="00B8307D" w:rsidRDefault="004F6368" w:rsidP="000A067B">
      <w:pPr>
        <w:widowControl w:val="0"/>
        <w:jc w:val="both"/>
        <w:rPr>
          <w:sz w:val="22"/>
          <w:szCs w:val="22"/>
          <w:lang w:val="sr-Latn-ME"/>
        </w:rPr>
      </w:pPr>
      <w:r w:rsidRPr="00B8307D">
        <w:rPr>
          <w:sz w:val="22"/>
          <w:szCs w:val="22"/>
          <w:lang w:val="sr-Latn-ME"/>
        </w:rPr>
        <w:t xml:space="preserve"> </w:t>
      </w:r>
    </w:p>
    <w:p w14:paraId="5763CCF1" w14:textId="77777777" w:rsidR="004F6368" w:rsidRPr="00B8307D" w:rsidRDefault="004F6368" w:rsidP="000A067B">
      <w:pPr>
        <w:widowControl w:val="0"/>
        <w:jc w:val="both"/>
        <w:rPr>
          <w:sz w:val="22"/>
          <w:szCs w:val="22"/>
          <w:u w:val="single"/>
          <w:lang w:val="sr-Latn-ME"/>
        </w:rPr>
      </w:pPr>
      <w:r w:rsidRPr="00B8307D">
        <w:rPr>
          <w:sz w:val="22"/>
          <w:szCs w:val="22"/>
          <w:u w:val="single"/>
          <w:lang w:val="sr-Latn-ME"/>
        </w:rPr>
        <w:t>Klinička efikasnost i bezbjednost</w:t>
      </w:r>
    </w:p>
    <w:p w14:paraId="2ABA1138" w14:textId="77777777" w:rsidR="004F6368" w:rsidRPr="00B8307D" w:rsidRDefault="004F6368" w:rsidP="000A067B">
      <w:pPr>
        <w:widowControl w:val="0"/>
        <w:jc w:val="both"/>
        <w:rPr>
          <w:i/>
          <w:sz w:val="22"/>
          <w:szCs w:val="22"/>
          <w:u w:val="single"/>
          <w:lang w:val="sr-Latn-ME"/>
        </w:rPr>
      </w:pPr>
    </w:p>
    <w:p w14:paraId="5D6182B0" w14:textId="77777777" w:rsidR="004F6368" w:rsidRPr="00B8307D" w:rsidRDefault="004F6368" w:rsidP="000A067B">
      <w:pPr>
        <w:widowControl w:val="0"/>
        <w:jc w:val="both"/>
        <w:rPr>
          <w:i/>
          <w:sz w:val="22"/>
          <w:szCs w:val="22"/>
          <w:u w:val="single"/>
          <w:lang w:val="sr-Latn-ME"/>
        </w:rPr>
      </w:pPr>
      <w:r w:rsidRPr="00B8307D">
        <w:rPr>
          <w:i/>
          <w:sz w:val="22"/>
          <w:szCs w:val="22"/>
          <w:u w:val="single"/>
          <w:lang w:val="sr-Latn-ME"/>
        </w:rPr>
        <w:t>Metastatski karcinom dojke</w:t>
      </w:r>
    </w:p>
    <w:p w14:paraId="00DF81B8" w14:textId="77777777" w:rsidR="004F6368" w:rsidRPr="00B8307D" w:rsidRDefault="004F6368" w:rsidP="000A067B">
      <w:pPr>
        <w:widowControl w:val="0"/>
        <w:jc w:val="both"/>
        <w:rPr>
          <w:b/>
          <w:sz w:val="22"/>
          <w:szCs w:val="22"/>
          <w:lang w:val="sr-Latn-ME"/>
        </w:rPr>
      </w:pPr>
    </w:p>
    <w:p w14:paraId="198012EA" w14:textId="76BE00EA" w:rsidR="004F6368" w:rsidRPr="00B8307D" w:rsidRDefault="004F6368" w:rsidP="000A067B">
      <w:pPr>
        <w:widowControl w:val="0"/>
        <w:jc w:val="both"/>
        <w:rPr>
          <w:i/>
          <w:sz w:val="22"/>
          <w:szCs w:val="22"/>
          <w:lang w:val="sr-Latn-ME"/>
        </w:rPr>
      </w:pPr>
      <w:r w:rsidRPr="00B8307D">
        <w:rPr>
          <w:i/>
          <w:sz w:val="22"/>
          <w:szCs w:val="22"/>
          <w:lang w:val="sr-Latn-ME"/>
        </w:rPr>
        <w:t>Intravenska formulacija</w:t>
      </w:r>
    </w:p>
    <w:p w14:paraId="72360A50" w14:textId="77777777" w:rsidR="007252D1" w:rsidRPr="00B8307D" w:rsidRDefault="007252D1" w:rsidP="000A067B">
      <w:pPr>
        <w:widowControl w:val="0"/>
        <w:jc w:val="both"/>
        <w:rPr>
          <w:i/>
          <w:sz w:val="22"/>
          <w:szCs w:val="22"/>
          <w:lang w:val="sr-Latn-ME"/>
        </w:rPr>
      </w:pPr>
    </w:p>
    <w:p w14:paraId="61624EC8" w14:textId="4374DBDF" w:rsidR="004F6368" w:rsidRPr="00B8307D" w:rsidRDefault="00DE17BF" w:rsidP="000A067B">
      <w:pPr>
        <w:widowControl w:val="0"/>
        <w:jc w:val="both"/>
        <w:rPr>
          <w:sz w:val="22"/>
          <w:szCs w:val="22"/>
          <w:lang w:val="sr-Latn-ME"/>
        </w:rPr>
      </w:pPr>
      <w:r w:rsidRPr="00B8307D">
        <w:rPr>
          <w:sz w:val="22"/>
          <w:szCs w:val="22"/>
          <w:lang w:val="sr-Latn-ME"/>
        </w:rPr>
        <w:t xml:space="preserve">Lijek </w:t>
      </w:r>
      <w:r w:rsidR="004F6368" w:rsidRPr="00B8307D">
        <w:rPr>
          <w:sz w:val="22"/>
          <w:szCs w:val="22"/>
          <w:lang w:val="sr-Latn-ME"/>
        </w:rPr>
        <w:t xml:space="preserve">Herceptin se u kliničkim ispitivanjima primjenjivao kao monoterapija u liječenju </w:t>
      </w:r>
      <w:r w:rsidRPr="00B8307D">
        <w:rPr>
          <w:sz w:val="22"/>
          <w:szCs w:val="22"/>
          <w:lang w:val="sr-Latn-ME"/>
        </w:rPr>
        <w:t xml:space="preserve">pacijenata </w:t>
      </w:r>
      <w:r w:rsidR="004F6368" w:rsidRPr="00B8307D">
        <w:rPr>
          <w:sz w:val="22"/>
          <w:szCs w:val="22"/>
          <w:lang w:val="sr-Latn-ME"/>
        </w:rPr>
        <w:t xml:space="preserve">sa metastatskim karcinomom dojke, koji imaju povećanu ekspresiju HER2 i koji nijesu reagovali na jedan </w:t>
      </w:r>
      <w:r w:rsidR="004F6368" w:rsidRPr="00B8307D">
        <w:rPr>
          <w:sz w:val="22"/>
          <w:szCs w:val="22"/>
          <w:lang w:val="sr-Latn-ME"/>
        </w:rPr>
        <w:lastRenderedPageBreak/>
        <w:t>ili više hemoterapijskih protokola za njihovu metastatsku bolest (samo Herceptin).</w:t>
      </w:r>
    </w:p>
    <w:p w14:paraId="137547B5" w14:textId="77777777" w:rsidR="004F6368" w:rsidRPr="00B8307D" w:rsidRDefault="004F6368" w:rsidP="000A067B">
      <w:pPr>
        <w:widowControl w:val="0"/>
        <w:jc w:val="both"/>
        <w:rPr>
          <w:sz w:val="22"/>
          <w:szCs w:val="22"/>
          <w:lang w:val="sr-Latn-ME"/>
        </w:rPr>
      </w:pPr>
    </w:p>
    <w:p w14:paraId="154C9BE9" w14:textId="19D98DE7" w:rsidR="004F6368" w:rsidRPr="00B8307D" w:rsidRDefault="00DE17BF" w:rsidP="000A067B">
      <w:pPr>
        <w:widowControl w:val="0"/>
        <w:jc w:val="both"/>
        <w:rPr>
          <w:sz w:val="22"/>
          <w:szCs w:val="22"/>
          <w:lang w:val="sr-Latn-ME"/>
        </w:rPr>
      </w:pPr>
      <w:r w:rsidRPr="00B8307D">
        <w:rPr>
          <w:sz w:val="22"/>
          <w:szCs w:val="22"/>
          <w:lang w:val="sr-Latn-ME"/>
        </w:rPr>
        <w:t xml:space="preserve">Lijek </w:t>
      </w:r>
      <w:r w:rsidR="004F6368" w:rsidRPr="00B8307D">
        <w:rPr>
          <w:sz w:val="22"/>
          <w:szCs w:val="22"/>
          <w:lang w:val="sr-Latn-ME"/>
        </w:rPr>
        <w:t>Herceptin je takođe korišćen u kombinaciji sa paklitakselom ili docetakselom za liječenje bolesnika koji nijesu primali terapiju za metastatsku bolest. Pacijenti koji su prethodno primali antraciklinsku adjuvantnu hemoterapiju liječeni su paklitakselom (175 mg/m</w:t>
      </w:r>
      <w:r w:rsidR="004F6368" w:rsidRPr="00B8307D">
        <w:rPr>
          <w:sz w:val="22"/>
          <w:szCs w:val="22"/>
          <w:vertAlign w:val="superscript"/>
          <w:lang w:val="sr-Latn-ME"/>
        </w:rPr>
        <w:t>2</w:t>
      </w:r>
      <w:r w:rsidR="004F6368" w:rsidRPr="00B8307D">
        <w:rPr>
          <w:sz w:val="22"/>
          <w:szCs w:val="22"/>
          <w:lang w:val="sr-Latn-ME"/>
        </w:rPr>
        <w:t xml:space="preserve"> infuzijom u trajanju od tri sata) u kombinaciji sa lijekom Herceptin ili bez njega. U pivotalnom ispitivanju docetaksela (100 mg / m</w:t>
      </w:r>
      <w:r w:rsidR="004F6368" w:rsidRPr="00B8307D">
        <w:rPr>
          <w:sz w:val="22"/>
          <w:szCs w:val="22"/>
          <w:vertAlign w:val="superscript"/>
          <w:lang w:val="sr-Latn-ME"/>
        </w:rPr>
        <w:t>2</w:t>
      </w:r>
      <w:r w:rsidR="004F6368" w:rsidRPr="00B8307D">
        <w:rPr>
          <w:sz w:val="22"/>
          <w:szCs w:val="22"/>
          <w:lang w:val="sr-Latn-ME"/>
        </w:rPr>
        <w:t xml:space="preserve"> infuzijom u trajanju od jednog sata) u kombinaciji sa lijekom Herceptin ili bez njega, 60 % pacijenata je prethodno primalo antraciklinsku adjuvantnu terapiju. Pacijenti su primali</w:t>
      </w:r>
      <w:r w:rsidRPr="00B8307D">
        <w:rPr>
          <w:sz w:val="22"/>
          <w:szCs w:val="22"/>
          <w:lang w:val="sr-Latn-ME"/>
        </w:rPr>
        <w:t xml:space="preserve"> lijek</w:t>
      </w:r>
      <w:r w:rsidR="004F6368" w:rsidRPr="00B8307D">
        <w:rPr>
          <w:sz w:val="22"/>
          <w:szCs w:val="22"/>
          <w:lang w:val="sr-Latn-ME"/>
        </w:rPr>
        <w:t xml:space="preserve"> Herceptin do progresije bolesti.</w:t>
      </w:r>
    </w:p>
    <w:p w14:paraId="3705F31E" w14:textId="77777777" w:rsidR="004F6368" w:rsidRPr="00B8307D" w:rsidRDefault="004F6368" w:rsidP="000A067B">
      <w:pPr>
        <w:widowControl w:val="0"/>
        <w:jc w:val="both"/>
        <w:rPr>
          <w:sz w:val="22"/>
          <w:szCs w:val="22"/>
          <w:lang w:val="sr-Latn-ME"/>
        </w:rPr>
      </w:pPr>
    </w:p>
    <w:p w14:paraId="7A4C8596" w14:textId="3A905FD2" w:rsidR="004F6368" w:rsidRPr="00B8307D" w:rsidRDefault="004F6368" w:rsidP="000A067B">
      <w:pPr>
        <w:widowControl w:val="0"/>
        <w:jc w:val="both"/>
        <w:rPr>
          <w:sz w:val="22"/>
          <w:szCs w:val="22"/>
          <w:lang w:val="sr-Latn-ME"/>
        </w:rPr>
      </w:pPr>
      <w:r w:rsidRPr="00B8307D">
        <w:rPr>
          <w:sz w:val="22"/>
          <w:szCs w:val="22"/>
          <w:lang w:val="sr-Latn-ME"/>
        </w:rPr>
        <w:t xml:space="preserve">Nije ispitana efikasnost lijeka Herceptin u kombinaciji sa paklitakselom kod pacijenata koji prethodno nijesu primali adjuvantnu terapiju antraciklinima. </w:t>
      </w:r>
      <w:r w:rsidR="00DE17BF" w:rsidRPr="00B8307D">
        <w:rPr>
          <w:sz w:val="22"/>
          <w:szCs w:val="22"/>
          <w:lang w:val="sr-Latn-ME"/>
        </w:rPr>
        <w:t xml:space="preserve">Ljekovi </w:t>
      </w:r>
      <w:r w:rsidRPr="00B8307D">
        <w:rPr>
          <w:sz w:val="22"/>
          <w:szCs w:val="22"/>
          <w:lang w:val="sr-Latn-ME"/>
        </w:rPr>
        <w:t>Herceptin i docetaksel bili su, međutim, efikasni kod pacijenata bez obzira da li su prethodno dobijali adjuvantnu terapiju antraciklinima.</w:t>
      </w:r>
    </w:p>
    <w:p w14:paraId="64ADB477" w14:textId="77777777" w:rsidR="004F6368" w:rsidRPr="00B8307D" w:rsidRDefault="004F6368" w:rsidP="000A067B">
      <w:pPr>
        <w:widowControl w:val="0"/>
        <w:jc w:val="both"/>
        <w:rPr>
          <w:sz w:val="22"/>
          <w:szCs w:val="22"/>
          <w:lang w:val="sr-Latn-ME"/>
        </w:rPr>
      </w:pPr>
    </w:p>
    <w:p w14:paraId="76F12580" w14:textId="77777777" w:rsidR="004F6368" w:rsidRPr="00B8307D" w:rsidRDefault="004F6368" w:rsidP="000A067B">
      <w:pPr>
        <w:widowControl w:val="0"/>
        <w:jc w:val="both"/>
        <w:rPr>
          <w:sz w:val="22"/>
          <w:szCs w:val="22"/>
          <w:lang w:val="sr-Latn-ME"/>
        </w:rPr>
      </w:pPr>
      <w:r w:rsidRPr="00B8307D">
        <w:rPr>
          <w:sz w:val="22"/>
          <w:szCs w:val="22"/>
          <w:lang w:val="sr-Latn-ME"/>
        </w:rPr>
        <w:t>Metoda testiranja pojačane ekspresije HER2, koja se u kliničkim ispitivanjima koristila za odabir pacijenata koji se mogu podvrgnuti monoterapiji lijekom Herceptino ili kombinaciji lijeka Herceptin i paklitaksela, zasnivala se na imunohistohemijskoj metodi određivanja HER2 u fiksiranom materijalu uzetom iz tumora dojke, pomoću monoklonskih antitijela CB11i 4D5 miševa. Ova su tkiva bila fiksirana u formalinu ili Bouinovom fiksatoru. Navedene analize u kliničkom ispitivanju obavljale su se u centralnoj laboratoriji koristeći skalu od 0 do 3+. Pacijenti koji su imali intenzitet bojenja od 2+ do 3+ uključeni su u ispitivanje , a oni sa 0 do 1+ nijesu. Više od 70 % uključenih pacijenata imalo je prekomjernu ekspresiju od 3+. Ovi podaci upućuju na to da je povoljan efekat bio izraženiji kod pacijenata sa većim stepenom prekomjerne ekspresije HER2 (3+).</w:t>
      </w:r>
    </w:p>
    <w:p w14:paraId="1C388B66" w14:textId="77777777" w:rsidR="004F6368" w:rsidRPr="00B8307D" w:rsidRDefault="004F6368" w:rsidP="000A067B">
      <w:pPr>
        <w:widowControl w:val="0"/>
        <w:jc w:val="both"/>
        <w:rPr>
          <w:sz w:val="22"/>
          <w:szCs w:val="22"/>
          <w:u w:val="single"/>
          <w:lang w:val="sr-Latn-ME"/>
        </w:rPr>
      </w:pPr>
    </w:p>
    <w:p w14:paraId="7C837F13" w14:textId="77777777" w:rsidR="004F6368" w:rsidRPr="00B8307D" w:rsidRDefault="004F6368" w:rsidP="000A067B">
      <w:pPr>
        <w:widowControl w:val="0"/>
        <w:jc w:val="both"/>
        <w:rPr>
          <w:sz w:val="22"/>
          <w:szCs w:val="22"/>
          <w:lang w:val="sr-Latn-ME"/>
        </w:rPr>
      </w:pPr>
      <w:r w:rsidRPr="00B8307D">
        <w:rPr>
          <w:sz w:val="22"/>
          <w:szCs w:val="22"/>
          <w:lang w:val="sr-Latn-ME"/>
        </w:rPr>
        <w:t xml:space="preserve">Glavna metoda testiranja koja je korišćena za utvrđivanje  HER2 pozitivnosti koja se koristila u pivotalnom kliničkom ispitivanju docetaksela u kombinaciji sa lijekom Herceptin ili bez njega, bila je imunohistohemija. Kod manjeg broja pacijenata korišćena je metoda fluoroscentne </w:t>
      </w:r>
      <w:r w:rsidRPr="00B8307D">
        <w:rPr>
          <w:i/>
          <w:sz w:val="22"/>
          <w:szCs w:val="22"/>
          <w:lang w:val="sr-Latn-ME"/>
        </w:rPr>
        <w:t>in situ</w:t>
      </w:r>
      <w:r w:rsidRPr="00B8307D">
        <w:rPr>
          <w:sz w:val="22"/>
          <w:szCs w:val="22"/>
          <w:lang w:val="sr-Latn-ME"/>
        </w:rPr>
        <w:t xml:space="preserve"> hibridizacije (FISH). U ovom ispitivanju 87 % pacijenata je imalo oboljenje koje je bilo IHC3+ i 95% pacijenata je imalo oboljenje koje je bilo IHC3+ i/ili FISH pozitivno.</w:t>
      </w:r>
    </w:p>
    <w:p w14:paraId="5BAEFA74" w14:textId="77777777" w:rsidR="004F6368" w:rsidRPr="00B8307D" w:rsidRDefault="004F6368" w:rsidP="000A067B">
      <w:pPr>
        <w:widowControl w:val="0"/>
        <w:jc w:val="both"/>
        <w:rPr>
          <w:b/>
          <w:sz w:val="22"/>
          <w:szCs w:val="22"/>
          <w:lang w:val="sr-Latn-ME"/>
        </w:rPr>
      </w:pPr>
    </w:p>
    <w:p w14:paraId="62CB2C66" w14:textId="77777777" w:rsidR="004F6368" w:rsidRPr="00B8307D" w:rsidRDefault="004F6368" w:rsidP="000A067B">
      <w:pPr>
        <w:widowControl w:val="0"/>
        <w:jc w:val="both"/>
        <w:rPr>
          <w:i/>
          <w:sz w:val="22"/>
          <w:szCs w:val="22"/>
          <w:lang w:val="sr-Latn-ME"/>
        </w:rPr>
      </w:pPr>
      <w:r w:rsidRPr="00B8307D">
        <w:rPr>
          <w:i/>
          <w:sz w:val="22"/>
          <w:szCs w:val="22"/>
          <w:lang w:val="sr-Latn-ME"/>
        </w:rPr>
        <w:t>Nedjeljno doziranje kod MKD</w:t>
      </w:r>
    </w:p>
    <w:p w14:paraId="2773335A" w14:textId="77777777" w:rsidR="004F6368" w:rsidRPr="00B8307D" w:rsidRDefault="004F6368" w:rsidP="000A067B">
      <w:pPr>
        <w:widowControl w:val="0"/>
        <w:jc w:val="both"/>
        <w:rPr>
          <w:sz w:val="22"/>
          <w:szCs w:val="22"/>
          <w:lang w:val="sr-Latn-ME"/>
        </w:rPr>
      </w:pPr>
      <w:r w:rsidRPr="00B8307D">
        <w:rPr>
          <w:sz w:val="22"/>
          <w:szCs w:val="22"/>
          <w:lang w:val="sr-Latn-ME"/>
        </w:rPr>
        <w:t>Rezultati efikasnosti ispitivanja monoterapije lijekom Herceptin i kombinovane terapije rezimirani su u Tabeli 3.</w:t>
      </w:r>
    </w:p>
    <w:p w14:paraId="0985C590" w14:textId="77777777" w:rsidR="004F6368" w:rsidRPr="00B8307D" w:rsidRDefault="004F6368" w:rsidP="000A067B">
      <w:pPr>
        <w:widowControl w:val="0"/>
        <w:jc w:val="both"/>
        <w:rPr>
          <w:sz w:val="22"/>
          <w:szCs w:val="22"/>
          <w:lang w:val="sr-Latn-ME"/>
        </w:rPr>
      </w:pPr>
    </w:p>
    <w:p w14:paraId="6BF8CBD3" w14:textId="77777777" w:rsidR="004F6368" w:rsidRPr="00B8307D" w:rsidRDefault="004F6368" w:rsidP="000A067B">
      <w:pPr>
        <w:widowControl w:val="0"/>
        <w:jc w:val="both"/>
        <w:rPr>
          <w:sz w:val="22"/>
          <w:szCs w:val="22"/>
          <w:lang w:val="sr-Latn-ME"/>
        </w:rPr>
      </w:pPr>
      <w:r w:rsidRPr="00B8307D">
        <w:rPr>
          <w:sz w:val="22"/>
          <w:szCs w:val="22"/>
          <w:lang w:val="sr-Latn-ME"/>
        </w:rPr>
        <w:t>Taabela 3: Rezultati efikasnosti iz ispitivanja monoterapije i kombinovane terapije</w:t>
      </w:r>
    </w:p>
    <w:p w14:paraId="58716813" w14:textId="48FC1D2D" w:rsidR="004F6368" w:rsidRPr="00B8307D" w:rsidRDefault="004F6368" w:rsidP="000A067B">
      <w:pPr>
        <w:widowControl w:val="0"/>
        <w:tabs>
          <w:tab w:val="left" w:pos="540"/>
          <w:tab w:val="left" w:pos="569"/>
        </w:tabs>
        <w:rPr>
          <w:bCs/>
          <w:sz w:val="22"/>
          <w:szCs w:val="22"/>
          <w:lang w:val="sr-Latn-M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1"/>
        <w:gridCol w:w="1512"/>
        <w:gridCol w:w="1818"/>
        <w:gridCol w:w="1325"/>
        <w:gridCol w:w="1358"/>
        <w:gridCol w:w="1301"/>
      </w:tblGrid>
      <w:tr w:rsidR="004F6368" w:rsidRPr="00B8307D" w14:paraId="654D66DA" w14:textId="77777777" w:rsidTr="009E545A">
        <w:tc>
          <w:tcPr>
            <w:tcW w:w="1022" w:type="pct"/>
            <w:tcBorders>
              <w:top w:val="single" w:sz="4" w:space="0" w:color="auto"/>
              <w:left w:val="single" w:sz="4" w:space="0" w:color="auto"/>
              <w:bottom w:val="single" w:sz="4" w:space="0" w:color="auto"/>
              <w:right w:val="single" w:sz="4" w:space="0" w:color="auto"/>
            </w:tcBorders>
          </w:tcPr>
          <w:p w14:paraId="48EB0687" w14:textId="77777777" w:rsidR="004F6368" w:rsidRPr="00B8307D" w:rsidRDefault="004F6368" w:rsidP="000A067B">
            <w:pPr>
              <w:widowControl w:val="0"/>
              <w:tabs>
                <w:tab w:val="left" w:pos="284"/>
              </w:tabs>
              <w:jc w:val="both"/>
              <w:rPr>
                <w:b/>
                <w:sz w:val="22"/>
                <w:szCs w:val="22"/>
                <w:lang w:val="sr-Latn-ME"/>
              </w:rPr>
            </w:pPr>
          </w:p>
        </w:tc>
        <w:tc>
          <w:tcPr>
            <w:tcW w:w="833" w:type="pct"/>
            <w:tcBorders>
              <w:top w:val="single" w:sz="4" w:space="0" w:color="auto"/>
              <w:left w:val="single" w:sz="4" w:space="0" w:color="auto"/>
              <w:bottom w:val="single" w:sz="4" w:space="0" w:color="auto"/>
              <w:right w:val="single" w:sz="4" w:space="0" w:color="auto"/>
            </w:tcBorders>
            <w:hideMark/>
          </w:tcPr>
          <w:p w14:paraId="7B6651A4" w14:textId="77777777" w:rsidR="004F6368" w:rsidRPr="00B8307D" w:rsidRDefault="004F6368" w:rsidP="000A067B">
            <w:pPr>
              <w:widowControl w:val="0"/>
              <w:tabs>
                <w:tab w:val="left" w:pos="284"/>
              </w:tabs>
              <w:jc w:val="both"/>
              <w:rPr>
                <w:b/>
                <w:sz w:val="22"/>
                <w:szCs w:val="22"/>
                <w:lang w:val="sr-Latn-ME"/>
              </w:rPr>
            </w:pPr>
            <w:r w:rsidRPr="00B8307D">
              <w:rPr>
                <w:b/>
                <w:sz w:val="22"/>
                <w:szCs w:val="22"/>
                <w:lang w:val="sr-Latn-ME"/>
              </w:rPr>
              <w:t xml:space="preserve">Monoterapija </w:t>
            </w:r>
          </w:p>
        </w:tc>
        <w:tc>
          <w:tcPr>
            <w:tcW w:w="3145" w:type="pct"/>
            <w:gridSpan w:val="4"/>
            <w:tcBorders>
              <w:top w:val="single" w:sz="4" w:space="0" w:color="auto"/>
              <w:left w:val="single" w:sz="4" w:space="0" w:color="auto"/>
              <w:bottom w:val="single" w:sz="4" w:space="0" w:color="auto"/>
              <w:right w:val="single" w:sz="4" w:space="0" w:color="auto"/>
            </w:tcBorders>
            <w:hideMark/>
          </w:tcPr>
          <w:p w14:paraId="1F56F04C" w14:textId="77777777" w:rsidR="004F6368" w:rsidRPr="00B8307D" w:rsidRDefault="004F6368" w:rsidP="000A067B">
            <w:pPr>
              <w:widowControl w:val="0"/>
              <w:tabs>
                <w:tab w:val="left" w:pos="284"/>
              </w:tabs>
              <w:jc w:val="center"/>
              <w:rPr>
                <w:b/>
                <w:sz w:val="22"/>
                <w:szCs w:val="22"/>
                <w:lang w:val="sr-Latn-ME"/>
              </w:rPr>
            </w:pPr>
            <w:r w:rsidRPr="00B8307D">
              <w:rPr>
                <w:b/>
                <w:sz w:val="22"/>
                <w:szCs w:val="22"/>
                <w:lang w:val="sr-Latn-ME"/>
              </w:rPr>
              <w:t>Kombinovana terapija</w:t>
            </w:r>
          </w:p>
        </w:tc>
      </w:tr>
      <w:tr w:rsidR="004F6368" w:rsidRPr="00B8307D" w14:paraId="29F11B7A" w14:textId="77777777" w:rsidTr="009E545A">
        <w:tc>
          <w:tcPr>
            <w:tcW w:w="1022" w:type="pct"/>
            <w:tcBorders>
              <w:top w:val="single" w:sz="4" w:space="0" w:color="auto"/>
              <w:left w:val="single" w:sz="4" w:space="0" w:color="auto"/>
              <w:bottom w:val="single" w:sz="4" w:space="0" w:color="auto"/>
              <w:right w:val="single" w:sz="4" w:space="0" w:color="auto"/>
            </w:tcBorders>
            <w:hideMark/>
          </w:tcPr>
          <w:p w14:paraId="656FB1D4" w14:textId="77777777" w:rsidR="004F6368" w:rsidRPr="00B8307D" w:rsidRDefault="004F6368" w:rsidP="000A067B">
            <w:pPr>
              <w:widowControl w:val="0"/>
              <w:tabs>
                <w:tab w:val="left" w:pos="284"/>
              </w:tabs>
              <w:jc w:val="both"/>
              <w:rPr>
                <w:b/>
                <w:sz w:val="22"/>
                <w:szCs w:val="22"/>
                <w:lang w:val="sr-Latn-ME"/>
              </w:rPr>
            </w:pPr>
            <w:r w:rsidRPr="00B8307D">
              <w:rPr>
                <w:b/>
                <w:sz w:val="22"/>
                <w:szCs w:val="22"/>
                <w:lang w:val="sr-Latn-ME"/>
              </w:rPr>
              <w:t>PARAMETAR</w:t>
            </w:r>
          </w:p>
        </w:tc>
        <w:tc>
          <w:tcPr>
            <w:tcW w:w="833" w:type="pct"/>
            <w:tcBorders>
              <w:top w:val="single" w:sz="4" w:space="0" w:color="auto"/>
              <w:left w:val="single" w:sz="4" w:space="0" w:color="auto"/>
              <w:bottom w:val="single" w:sz="4" w:space="0" w:color="auto"/>
              <w:right w:val="single" w:sz="4" w:space="0" w:color="auto"/>
            </w:tcBorders>
            <w:hideMark/>
          </w:tcPr>
          <w:p w14:paraId="0905FCCB" w14:textId="77777777" w:rsidR="004F6368" w:rsidRPr="00B8307D" w:rsidRDefault="004F6368" w:rsidP="000A067B">
            <w:pPr>
              <w:widowControl w:val="0"/>
              <w:jc w:val="center"/>
              <w:rPr>
                <w:b/>
                <w:sz w:val="22"/>
                <w:szCs w:val="22"/>
                <w:lang w:val="sr-Latn-ME"/>
              </w:rPr>
            </w:pPr>
            <w:r w:rsidRPr="00B8307D">
              <w:rPr>
                <w:b/>
                <w:sz w:val="22"/>
                <w:szCs w:val="22"/>
                <w:lang w:val="sr-Latn-ME"/>
              </w:rPr>
              <w:t>Herceptin</w:t>
            </w:r>
            <w:r w:rsidRPr="00B8307D">
              <w:rPr>
                <w:b/>
                <w:sz w:val="22"/>
                <w:szCs w:val="22"/>
                <w:vertAlign w:val="superscript"/>
                <w:lang w:val="sr-Latn-ME"/>
              </w:rPr>
              <w:t>1</w:t>
            </w:r>
          </w:p>
          <w:p w14:paraId="6429E61C" w14:textId="282204BB" w:rsidR="004F6368" w:rsidRPr="00B8307D" w:rsidRDefault="004F6368" w:rsidP="009E545A">
            <w:pPr>
              <w:widowControl w:val="0"/>
              <w:tabs>
                <w:tab w:val="left" w:pos="284"/>
              </w:tabs>
              <w:rPr>
                <w:b/>
                <w:sz w:val="22"/>
                <w:szCs w:val="22"/>
                <w:lang w:val="sr-Latn-ME"/>
              </w:rPr>
            </w:pPr>
          </w:p>
          <w:p w14:paraId="366DBCB4" w14:textId="77777777" w:rsidR="004F6368" w:rsidRPr="00B8307D" w:rsidRDefault="004F6368" w:rsidP="000A067B">
            <w:pPr>
              <w:widowControl w:val="0"/>
              <w:tabs>
                <w:tab w:val="left" w:pos="284"/>
              </w:tabs>
              <w:jc w:val="center"/>
              <w:rPr>
                <w:b/>
                <w:sz w:val="22"/>
                <w:szCs w:val="22"/>
                <w:lang w:val="sr-Latn-ME"/>
              </w:rPr>
            </w:pPr>
            <w:r w:rsidRPr="00B8307D">
              <w:rPr>
                <w:b/>
                <w:sz w:val="22"/>
                <w:szCs w:val="22"/>
                <w:lang w:val="sr-Latn-ME"/>
              </w:rPr>
              <w:t>N=172</w:t>
            </w:r>
          </w:p>
        </w:tc>
        <w:tc>
          <w:tcPr>
            <w:tcW w:w="1002" w:type="pct"/>
            <w:tcBorders>
              <w:top w:val="single" w:sz="4" w:space="0" w:color="auto"/>
              <w:left w:val="single" w:sz="4" w:space="0" w:color="auto"/>
              <w:bottom w:val="single" w:sz="4" w:space="0" w:color="auto"/>
              <w:right w:val="single" w:sz="4" w:space="0" w:color="auto"/>
            </w:tcBorders>
            <w:hideMark/>
          </w:tcPr>
          <w:p w14:paraId="2AED1AE3" w14:textId="7523E47B" w:rsidR="004F6368" w:rsidRPr="00B8307D" w:rsidRDefault="004F6368" w:rsidP="000A067B">
            <w:pPr>
              <w:widowControl w:val="0"/>
              <w:tabs>
                <w:tab w:val="left" w:pos="284"/>
              </w:tabs>
              <w:jc w:val="center"/>
              <w:rPr>
                <w:b/>
                <w:sz w:val="22"/>
                <w:szCs w:val="22"/>
                <w:lang w:val="sr-Latn-ME"/>
              </w:rPr>
            </w:pPr>
            <w:r w:rsidRPr="00B8307D">
              <w:rPr>
                <w:b/>
                <w:sz w:val="22"/>
                <w:szCs w:val="22"/>
                <w:lang w:val="sr-Latn-ME"/>
              </w:rPr>
              <w:t xml:space="preserve">Herceptin </w:t>
            </w:r>
            <w:r w:rsidR="00DE17BF" w:rsidRPr="00B8307D">
              <w:rPr>
                <w:b/>
                <w:sz w:val="22"/>
                <w:szCs w:val="22"/>
                <w:lang w:val="sr-Latn-ME"/>
              </w:rPr>
              <w:t xml:space="preserve">+ </w:t>
            </w:r>
            <w:r w:rsidRPr="00B8307D">
              <w:rPr>
                <w:b/>
                <w:sz w:val="22"/>
                <w:szCs w:val="22"/>
                <w:lang w:val="sr-Latn-ME"/>
              </w:rPr>
              <w:t>paklitaksel</w:t>
            </w:r>
            <w:r w:rsidRPr="00B8307D">
              <w:rPr>
                <w:b/>
                <w:sz w:val="22"/>
                <w:szCs w:val="22"/>
                <w:vertAlign w:val="superscript"/>
                <w:lang w:val="sr-Latn-ME"/>
              </w:rPr>
              <w:t>2</w:t>
            </w:r>
            <w:r w:rsidRPr="00B8307D">
              <w:rPr>
                <w:b/>
                <w:sz w:val="22"/>
                <w:szCs w:val="22"/>
                <w:lang w:val="sr-Latn-ME"/>
              </w:rPr>
              <w:t>N=68</w:t>
            </w:r>
          </w:p>
        </w:tc>
        <w:tc>
          <w:tcPr>
            <w:tcW w:w="577" w:type="pct"/>
            <w:tcBorders>
              <w:top w:val="single" w:sz="4" w:space="0" w:color="auto"/>
              <w:left w:val="single" w:sz="4" w:space="0" w:color="auto"/>
              <w:bottom w:val="single" w:sz="4" w:space="0" w:color="auto"/>
              <w:right w:val="single" w:sz="4" w:space="0" w:color="auto"/>
            </w:tcBorders>
            <w:hideMark/>
          </w:tcPr>
          <w:p w14:paraId="652D339B" w14:textId="77777777" w:rsidR="004F6368" w:rsidRPr="00B8307D" w:rsidRDefault="004F6368" w:rsidP="000A067B">
            <w:pPr>
              <w:widowControl w:val="0"/>
              <w:jc w:val="center"/>
              <w:rPr>
                <w:b/>
                <w:sz w:val="22"/>
                <w:szCs w:val="22"/>
                <w:lang w:val="sr-Latn-ME"/>
              </w:rPr>
            </w:pPr>
            <w:r w:rsidRPr="00B8307D">
              <w:rPr>
                <w:b/>
                <w:sz w:val="22"/>
                <w:szCs w:val="22"/>
                <w:lang w:val="sr-Latn-ME"/>
              </w:rPr>
              <w:t>Paklitaksel</w:t>
            </w:r>
            <w:r w:rsidRPr="00B8307D">
              <w:rPr>
                <w:b/>
                <w:sz w:val="22"/>
                <w:szCs w:val="22"/>
                <w:vertAlign w:val="superscript"/>
                <w:lang w:val="sr-Latn-ME"/>
              </w:rPr>
              <w:t>2</w:t>
            </w:r>
          </w:p>
          <w:p w14:paraId="2F8BC3FE" w14:textId="14A4AD4F" w:rsidR="004F6368" w:rsidRPr="00B8307D" w:rsidRDefault="004F6368" w:rsidP="009E545A">
            <w:pPr>
              <w:widowControl w:val="0"/>
              <w:tabs>
                <w:tab w:val="left" w:pos="284"/>
              </w:tabs>
              <w:rPr>
                <w:b/>
                <w:sz w:val="22"/>
                <w:szCs w:val="22"/>
                <w:lang w:val="sr-Latn-ME"/>
              </w:rPr>
            </w:pPr>
          </w:p>
          <w:p w14:paraId="1FEABF77" w14:textId="77777777" w:rsidR="004F6368" w:rsidRPr="00B8307D" w:rsidRDefault="004F6368" w:rsidP="000A067B">
            <w:pPr>
              <w:widowControl w:val="0"/>
              <w:tabs>
                <w:tab w:val="left" w:pos="284"/>
              </w:tabs>
              <w:jc w:val="center"/>
              <w:rPr>
                <w:b/>
                <w:sz w:val="22"/>
                <w:szCs w:val="22"/>
                <w:lang w:val="sr-Latn-ME"/>
              </w:rPr>
            </w:pPr>
            <w:r w:rsidRPr="00B8307D">
              <w:rPr>
                <w:b/>
                <w:sz w:val="22"/>
                <w:szCs w:val="22"/>
                <w:lang w:val="sr-Latn-ME"/>
              </w:rPr>
              <w:t>N=77</w:t>
            </w:r>
          </w:p>
        </w:tc>
        <w:tc>
          <w:tcPr>
            <w:tcW w:w="850" w:type="pct"/>
            <w:tcBorders>
              <w:top w:val="single" w:sz="4" w:space="0" w:color="auto"/>
              <w:left w:val="single" w:sz="4" w:space="0" w:color="auto"/>
              <w:bottom w:val="single" w:sz="4" w:space="0" w:color="auto"/>
              <w:right w:val="single" w:sz="4" w:space="0" w:color="auto"/>
            </w:tcBorders>
            <w:hideMark/>
          </w:tcPr>
          <w:p w14:paraId="0BC00A0E" w14:textId="7D014727" w:rsidR="004F6368" w:rsidRPr="00B8307D" w:rsidRDefault="004F6368" w:rsidP="000A067B">
            <w:pPr>
              <w:widowControl w:val="0"/>
              <w:jc w:val="center"/>
              <w:rPr>
                <w:b/>
                <w:sz w:val="22"/>
                <w:szCs w:val="22"/>
                <w:lang w:val="sr-Latn-ME"/>
              </w:rPr>
            </w:pPr>
            <w:r w:rsidRPr="00B8307D">
              <w:rPr>
                <w:b/>
                <w:sz w:val="22"/>
                <w:szCs w:val="22"/>
                <w:lang w:val="sr-Latn-ME"/>
              </w:rPr>
              <w:t xml:space="preserve">Herceptin </w:t>
            </w:r>
            <w:r w:rsidR="00DE17BF" w:rsidRPr="00B8307D">
              <w:rPr>
                <w:b/>
                <w:sz w:val="22"/>
                <w:szCs w:val="22"/>
                <w:lang w:val="sr-Latn-ME"/>
              </w:rPr>
              <w:t xml:space="preserve">+ </w:t>
            </w:r>
            <w:r w:rsidRPr="00B8307D">
              <w:rPr>
                <w:b/>
                <w:sz w:val="22"/>
                <w:szCs w:val="22"/>
                <w:lang w:val="sr-Latn-ME"/>
              </w:rPr>
              <w:t>docetaksel</w:t>
            </w:r>
            <w:r w:rsidRPr="00B8307D">
              <w:rPr>
                <w:b/>
                <w:sz w:val="22"/>
                <w:szCs w:val="22"/>
                <w:vertAlign w:val="superscript"/>
                <w:lang w:val="sr-Latn-ME"/>
              </w:rPr>
              <w:t>3</w:t>
            </w:r>
          </w:p>
          <w:p w14:paraId="614E7C0C" w14:textId="77777777" w:rsidR="004F6368" w:rsidRPr="00B8307D" w:rsidRDefault="004F6368" w:rsidP="000A067B">
            <w:pPr>
              <w:widowControl w:val="0"/>
              <w:tabs>
                <w:tab w:val="left" w:pos="284"/>
              </w:tabs>
              <w:jc w:val="center"/>
              <w:rPr>
                <w:b/>
                <w:sz w:val="22"/>
                <w:szCs w:val="22"/>
                <w:lang w:val="sr-Latn-ME"/>
              </w:rPr>
            </w:pPr>
            <w:r w:rsidRPr="00B8307D">
              <w:rPr>
                <w:b/>
                <w:sz w:val="22"/>
                <w:szCs w:val="22"/>
                <w:lang w:val="sr-Latn-ME"/>
              </w:rPr>
              <w:t>N=92</w:t>
            </w:r>
          </w:p>
        </w:tc>
        <w:tc>
          <w:tcPr>
            <w:tcW w:w="717" w:type="pct"/>
            <w:tcBorders>
              <w:top w:val="single" w:sz="4" w:space="0" w:color="auto"/>
              <w:left w:val="single" w:sz="4" w:space="0" w:color="auto"/>
              <w:bottom w:val="single" w:sz="4" w:space="0" w:color="auto"/>
              <w:right w:val="single" w:sz="4" w:space="0" w:color="auto"/>
            </w:tcBorders>
            <w:hideMark/>
          </w:tcPr>
          <w:p w14:paraId="1AF9C4B5" w14:textId="77777777" w:rsidR="004F6368" w:rsidRPr="00B8307D" w:rsidRDefault="004F6368" w:rsidP="000A067B">
            <w:pPr>
              <w:widowControl w:val="0"/>
              <w:jc w:val="center"/>
              <w:rPr>
                <w:b/>
                <w:sz w:val="22"/>
                <w:szCs w:val="22"/>
                <w:lang w:val="sr-Latn-ME"/>
              </w:rPr>
            </w:pPr>
            <w:r w:rsidRPr="00B8307D">
              <w:rPr>
                <w:b/>
                <w:sz w:val="22"/>
                <w:szCs w:val="22"/>
                <w:lang w:val="sr-Latn-ME"/>
              </w:rPr>
              <w:t>Docetaksel</w:t>
            </w:r>
            <w:r w:rsidRPr="00B8307D">
              <w:rPr>
                <w:b/>
                <w:sz w:val="22"/>
                <w:szCs w:val="22"/>
                <w:vertAlign w:val="superscript"/>
                <w:lang w:val="sr-Latn-ME"/>
              </w:rPr>
              <w:t>3</w:t>
            </w:r>
          </w:p>
          <w:p w14:paraId="356E48E9" w14:textId="77ECAE87" w:rsidR="004F6368" w:rsidRPr="00B8307D" w:rsidRDefault="004F6368" w:rsidP="009E545A">
            <w:pPr>
              <w:widowControl w:val="0"/>
              <w:tabs>
                <w:tab w:val="left" w:pos="284"/>
              </w:tabs>
              <w:rPr>
                <w:b/>
                <w:sz w:val="22"/>
                <w:szCs w:val="22"/>
                <w:lang w:val="sr-Latn-ME"/>
              </w:rPr>
            </w:pPr>
          </w:p>
          <w:p w14:paraId="62EFF0AD" w14:textId="77777777" w:rsidR="004F6368" w:rsidRPr="00B8307D" w:rsidRDefault="004F6368" w:rsidP="000A067B">
            <w:pPr>
              <w:widowControl w:val="0"/>
              <w:tabs>
                <w:tab w:val="left" w:pos="284"/>
              </w:tabs>
              <w:jc w:val="center"/>
              <w:rPr>
                <w:b/>
                <w:sz w:val="22"/>
                <w:szCs w:val="22"/>
                <w:lang w:val="sr-Latn-ME"/>
              </w:rPr>
            </w:pPr>
            <w:r w:rsidRPr="00B8307D">
              <w:rPr>
                <w:b/>
                <w:sz w:val="22"/>
                <w:szCs w:val="22"/>
                <w:lang w:val="sr-Latn-ME"/>
              </w:rPr>
              <w:t>N=94</w:t>
            </w:r>
          </w:p>
        </w:tc>
      </w:tr>
      <w:tr w:rsidR="004F6368" w:rsidRPr="00B8307D" w14:paraId="658EA0B9" w14:textId="77777777" w:rsidTr="009E545A">
        <w:tc>
          <w:tcPr>
            <w:tcW w:w="1022" w:type="pct"/>
            <w:tcBorders>
              <w:top w:val="single" w:sz="4" w:space="0" w:color="auto"/>
              <w:left w:val="single" w:sz="4" w:space="0" w:color="auto"/>
              <w:bottom w:val="single" w:sz="4" w:space="0" w:color="auto"/>
              <w:right w:val="single" w:sz="4" w:space="0" w:color="auto"/>
            </w:tcBorders>
            <w:hideMark/>
          </w:tcPr>
          <w:p w14:paraId="21B7F01D" w14:textId="77777777" w:rsidR="004F6368" w:rsidRPr="00B8307D" w:rsidRDefault="004F6368" w:rsidP="000A067B">
            <w:pPr>
              <w:widowControl w:val="0"/>
              <w:tabs>
                <w:tab w:val="left" w:pos="284"/>
              </w:tabs>
              <w:rPr>
                <w:b/>
                <w:sz w:val="22"/>
                <w:szCs w:val="22"/>
                <w:lang w:val="sr-Latn-ME"/>
              </w:rPr>
            </w:pPr>
            <w:r w:rsidRPr="00B8307D">
              <w:rPr>
                <w:b/>
                <w:sz w:val="22"/>
                <w:szCs w:val="22"/>
                <w:lang w:val="sr-Latn-ME"/>
              </w:rPr>
              <w:t>Stopa odgovora (Interval pouzdanosti-IP- 95%)</w:t>
            </w:r>
          </w:p>
        </w:tc>
        <w:tc>
          <w:tcPr>
            <w:tcW w:w="833" w:type="pct"/>
            <w:tcBorders>
              <w:top w:val="single" w:sz="4" w:space="0" w:color="auto"/>
              <w:left w:val="single" w:sz="4" w:space="0" w:color="auto"/>
              <w:bottom w:val="single" w:sz="4" w:space="0" w:color="auto"/>
              <w:right w:val="single" w:sz="4" w:space="0" w:color="auto"/>
            </w:tcBorders>
            <w:hideMark/>
          </w:tcPr>
          <w:p w14:paraId="28834561" w14:textId="102ECF6D" w:rsidR="004F6368" w:rsidRPr="00B8307D" w:rsidRDefault="004F6368" w:rsidP="000A067B">
            <w:pPr>
              <w:widowControl w:val="0"/>
              <w:jc w:val="center"/>
              <w:rPr>
                <w:sz w:val="22"/>
                <w:szCs w:val="22"/>
                <w:lang w:val="sr-Latn-ME"/>
              </w:rPr>
            </w:pPr>
            <w:r w:rsidRPr="00B8307D">
              <w:rPr>
                <w:sz w:val="22"/>
                <w:szCs w:val="22"/>
                <w:lang w:val="sr-Latn-ME"/>
              </w:rPr>
              <w:t>18%</w:t>
            </w:r>
          </w:p>
          <w:p w14:paraId="4F096098" w14:textId="77777777" w:rsidR="004F6368" w:rsidRPr="00B8307D" w:rsidRDefault="004F6368" w:rsidP="000A067B">
            <w:pPr>
              <w:widowControl w:val="0"/>
              <w:tabs>
                <w:tab w:val="left" w:pos="284"/>
              </w:tabs>
              <w:jc w:val="center"/>
              <w:rPr>
                <w:sz w:val="22"/>
                <w:szCs w:val="22"/>
                <w:lang w:val="sr-Latn-ME"/>
              </w:rPr>
            </w:pPr>
            <w:r w:rsidRPr="00B8307D">
              <w:rPr>
                <w:sz w:val="22"/>
                <w:szCs w:val="22"/>
                <w:lang w:val="sr-Latn-ME"/>
              </w:rPr>
              <w:t>(13-25)</w:t>
            </w:r>
          </w:p>
        </w:tc>
        <w:tc>
          <w:tcPr>
            <w:tcW w:w="1002" w:type="pct"/>
            <w:tcBorders>
              <w:top w:val="single" w:sz="4" w:space="0" w:color="auto"/>
              <w:left w:val="single" w:sz="4" w:space="0" w:color="auto"/>
              <w:bottom w:val="single" w:sz="4" w:space="0" w:color="auto"/>
              <w:right w:val="single" w:sz="4" w:space="0" w:color="auto"/>
            </w:tcBorders>
            <w:hideMark/>
          </w:tcPr>
          <w:p w14:paraId="35CB9690" w14:textId="6ED83447" w:rsidR="004F6368" w:rsidRPr="00B8307D" w:rsidRDefault="004F6368" w:rsidP="000A067B">
            <w:pPr>
              <w:widowControl w:val="0"/>
              <w:jc w:val="center"/>
              <w:rPr>
                <w:sz w:val="22"/>
                <w:szCs w:val="22"/>
                <w:lang w:val="sr-Latn-ME"/>
              </w:rPr>
            </w:pPr>
            <w:r w:rsidRPr="00B8307D">
              <w:rPr>
                <w:sz w:val="22"/>
                <w:szCs w:val="22"/>
                <w:lang w:val="sr-Latn-ME"/>
              </w:rPr>
              <w:t>49%</w:t>
            </w:r>
          </w:p>
          <w:p w14:paraId="5E5BE901" w14:textId="77777777" w:rsidR="004F6368" w:rsidRPr="00B8307D" w:rsidRDefault="004F6368" w:rsidP="000A067B">
            <w:pPr>
              <w:widowControl w:val="0"/>
              <w:tabs>
                <w:tab w:val="left" w:pos="284"/>
              </w:tabs>
              <w:jc w:val="center"/>
              <w:rPr>
                <w:sz w:val="22"/>
                <w:szCs w:val="22"/>
                <w:lang w:val="sr-Latn-ME"/>
              </w:rPr>
            </w:pPr>
            <w:r w:rsidRPr="00B8307D">
              <w:rPr>
                <w:sz w:val="22"/>
                <w:szCs w:val="22"/>
                <w:lang w:val="sr-Latn-ME"/>
              </w:rPr>
              <w:t>(36-61)</w:t>
            </w:r>
          </w:p>
        </w:tc>
        <w:tc>
          <w:tcPr>
            <w:tcW w:w="577" w:type="pct"/>
            <w:tcBorders>
              <w:top w:val="single" w:sz="4" w:space="0" w:color="auto"/>
              <w:left w:val="single" w:sz="4" w:space="0" w:color="auto"/>
              <w:bottom w:val="single" w:sz="4" w:space="0" w:color="auto"/>
              <w:right w:val="single" w:sz="4" w:space="0" w:color="auto"/>
            </w:tcBorders>
            <w:hideMark/>
          </w:tcPr>
          <w:p w14:paraId="0706AB46" w14:textId="775A8405" w:rsidR="004F6368" w:rsidRPr="00B8307D" w:rsidRDefault="004F6368" w:rsidP="000A067B">
            <w:pPr>
              <w:widowControl w:val="0"/>
              <w:jc w:val="center"/>
              <w:rPr>
                <w:sz w:val="22"/>
                <w:szCs w:val="22"/>
                <w:lang w:val="sr-Latn-ME"/>
              </w:rPr>
            </w:pPr>
            <w:r w:rsidRPr="00B8307D">
              <w:rPr>
                <w:sz w:val="22"/>
                <w:szCs w:val="22"/>
                <w:lang w:val="sr-Latn-ME"/>
              </w:rPr>
              <w:t>17%</w:t>
            </w:r>
          </w:p>
          <w:p w14:paraId="25E56317" w14:textId="77777777" w:rsidR="004F6368" w:rsidRPr="00B8307D" w:rsidRDefault="004F6368" w:rsidP="000A067B">
            <w:pPr>
              <w:widowControl w:val="0"/>
              <w:tabs>
                <w:tab w:val="left" w:pos="284"/>
              </w:tabs>
              <w:jc w:val="center"/>
              <w:rPr>
                <w:sz w:val="22"/>
                <w:szCs w:val="22"/>
                <w:lang w:val="sr-Latn-ME"/>
              </w:rPr>
            </w:pPr>
            <w:r w:rsidRPr="00B8307D">
              <w:rPr>
                <w:sz w:val="22"/>
                <w:szCs w:val="22"/>
                <w:lang w:val="sr-Latn-ME"/>
              </w:rPr>
              <w:t>(9-27)</w:t>
            </w:r>
          </w:p>
        </w:tc>
        <w:tc>
          <w:tcPr>
            <w:tcW w:w="850" w:type="pct"/>
            <w:tcBorders>
              <w:top w:val="single" w:sz="4" w:space="0" w:color="auto"/>
              <w:left w:val="single" w:sz="4" w:space="0" w:color="auto"/>
              <w:bottom w:val="single" w:sz="4" w:space="0" w:color="auto"/>
              <w:right w:val="single" w:sz="4" w:space="0" w:color="auto"/>
            </w:tcBorders>
            <w:hideMark/>
          </w:tcPr>
          <w:p w14:paraId="6C1727D8" w14:textId="6687BA50" w:rsidR="004F6368" w:rsidRPr="00B8307D" w:rsidRDefault="004F6368" w:rsidP="000A067B">
            <w:pPr>
              <w:widowControl w:val="0"/>
              <w:jc w:val="center"/>
              <w:rPr>
                <w:sz w:val="22"/>
                <w:szCs w:val="22"/>
                <w:lang w:val="sr-Latn-ME"/>
              </w:rPr>
            </w:pPr>
            <w:r w:rsidRPr="00B8307D">
              <w:rPr>
                <w:sz w:val="22"/>
                <w:szCs w:val="22"/>
                <w:lang w:val="sr-Latn-ME"/>
              </w:rPr>
              <w:t>61%</w:t>
            </w:r>
          </w:p>
          <w:p w14:paraId="4F60760A" w14:textId="77777777" w:rsidR="004F6368" w:rsidRPr="00B8307D" w:rsidRDefault="004F6368" w:rsidP="000A067B">
            <w:pPr>
              <w:widowControl w:val="0"/>
              <w:tabs>
                <w:tab w:val="left" w:pos="284"/>
              </w:tabs>
              <w:jc w:val="center"/>
              <w:rPr>
                <w:sz w:val="22"/>
                <w:szCs w:val="22"/>
                <w:lang w:val="sr-Latn-ME"/>
              </w:rPr>
            </w:pPr>
            <w:r w:rsidRPr="00B8307D">
              <w:rPr>
                <w:sz w:val="22"/>
                <w:szCs w:val="22"/>
                <w:lang w:val="sr-Latn-ME"/>
              </w:rPr>
              <w:t>(50-71)</w:t>
            </w:r>
          </w:p>
        </w:tc>
        <w:tc>
          <w:tcPr>
            <w:tcW w:w="717" w:type="pct"/>
            <w:tcBorders>
              <w:top w:val="single" w:sz="4" w:space="0" w:color="auto"/>
              <w:left w:val="single" w:sz="4" w:space="0" w:color="auto"/>
              <w:bottom w:val="single" w:sz="4" w:space="0" w:color="auto"/>
              <w:right w:val="single" w:sz="4" w:space="0" w:color="auto"/>
            </w:tcBorders>
            <w:hideMark/>
          </w:tcPr>
          <w:p w14:paraId="429D3F1D" w14:textId="00036AB4" w:rsidR="004F6368" w:rsidRPr="00B8307D" w:rsidRDefault="004F6368" w:rsidP="000A067B">
            <w:pPr>
              <w:widowControl w:val="0"/>
              <w:jc w:val="center"/>
              <w:rPr>
                <w:sz w:val="22"/>
                <w:szCs w:val="22"/>
                <w:lang w:val="sr-Latn-ME"/>
              </w:rPr>
            </w:pPr>
            <w:r w:rsidRPr="00B8307D">
              <w:rPr>
                <w:sz w:val="22"/>
                <w:szCs w:val="22"/>
                <w:lang w:val="sr-Latn-ME"/>
              </w:rPr>
              <w:t>34%</w:t>
            </w:r>
          </w:p>
          <w:p w14:paraId="258B2171" w14:textId="77777777" w:rsidR="004F6368" w:rsidRPr="00B8307D" w:rsidRDefault="004F6368" w:rsidP="000A067B">
            <w:pPr>
              <w:widowControl w:val="0"/>
              <w:tabs>
                <w:tab w:val="left" w:pos="284"/>
              </w:tabs>
              <w:jc w:val="center"/>
              <w:rPr>
                <w:sz w:val="22"/>
                <w:szCs w:val="22"/>
                <w:lang w:val="sr-Latn-ME"/>
              </w:rPr>
            </w:pPr>
            <w:r w:rsidRPr="00B8307D">
              <w:rPr>
                <w:sz w:val="22"/>
                <w:szCs w:val="22"/>
                <w:lang w:val="sr-Latn-ME"/>
              </w:rPr>
              <w:t>(25-45)</w:t>
            </w:r>
          </w:p>
        </w:tc>
      </w:tr>
      <w:tr w:rsidR="004F6368" w:rsidRPr="00B8307D" w14:paraId="656B2F7F" w14:textId="77777777" w:rsidTr="009E545A">
        <w:tc>
          <w:tcPr>
            <w:tcW w:w="1022" w:type="pct"/>
            <w:tcBorders>
              <w:top w:val="single" w:sz="4" w:space="0" w:color="auto"/>
              <w:left w:val="single" w:sz="4" w:space="0" w:color="auto"/>
              <w:bottom w:val="single" w:sz="4" w:space="0" w:color="auto"/>
              <w:right w:val="single" w:sz="4" w:space="0" w:color="auto"/>
            </w:tcBorders>
            <w:hideMark/>
          </w:tcPr>
          <w:p w14:paraId="2BB8CDA6" w14:textId="4E3E3BF2" w:rsidR="004F6368" w:rsidRPr="00B8307D" w:rsidRDefault="00DE17BF" w:rsidP="000A067B">
            <w:pPr>
              <w:widowControl w:val="0"/>
              <w:tabs>
                <w:tab w:val="left" w:pos="284"/>
              </w:tabs>
              <w:rPr>
                <w:b/>
                <w:sz w:val="22"/>
                <w:szCs w:val="22"/>
                <w:lang w:val="sr-Latn-ME"/>
              </w:rPr>
            </w:pPr>
            <w:r w:rsidRPr="00B8307D">
              <w:rPr>
                <w:b/>
                <w:sz w:val="22"/>
                <w:szCs w:val="22"/>
                <w:lang w:val="sr-Latn-ME"/>
              </w:rPr>
              <w:t xml:space="preserve">Medijana </w:t>
            </w:r>
            <w:r w:rsidR="004F6368" w:rsidRPr="00B8307D">
              <w:rPr>
                <w:b/>
                <w:sz w:val="22"/>
                <w:szCs w:val="22"/>
                <w:lang w:val="sr-Latn-ME"/>
              </w:rPr>
              <w:t>trajanj</w:t>
            </w:r>
            <w:r w:rsidRPr="00B8307D">
              <w:rPr>
                <w:b/>
                <w:sz w:val="22"/>
                <w:szCs w:val="22"/>
                <w:lang w:val="sr-Latn-ME"/>
              </w:rPr>
              <w:t>a</w:t>
            </w:r>
            <w:r w:rsidR="004F6368" w:rsidRPr="00B8307D">
              <w:rPr>
                <w:b/>
                <w:sz w:val="22"/>
                <w:szCs w:val="22"/>
                <w:lang w:val="sr-Latn-ME"/>
              </w:rPr>
              <w:t xml:space="preserve"> odgovora (u mjesecima) (IP95%)</w:t>
            </w:r>
          </w:p>
        </w:tc>
        <w:tc>
          <w:tcPr>
            <w:tcW w:w="833" w:type="pct"/>
            <w:tcBorders>
              <w:top w:val="single" w:sz="4" w:space="0" w:color="auto"/>
              <w:left w:val="single" w:sz="4" w:space="0" w:color="auto"/>
              <w:bottom w:val="single" w:sz="4" w:space="0" w:color="auto"/>
              <w:right w:val="single" w:sz="4" w:space="0" w:color="auto"/>
            </w:tcBorders>
            <w:hideMark/>
          </w:tcPr>
          <w:p w14:paraId="6BB6171E" w14:textId="1E21347D" w:rsidR="004F6368" w:rsidRPr="00B8307D" w:rsidRDefault="004F6368" w:rsidP="000A067B">
            <w:pPr>
              <w:widowControl w:val="0"/>
              <w:jc w:val="center"/>
              <w:rPr>
                <w:sz w:val="22"/>
                <w:szCs w:val="22"/>
                <w:lang w:val="sr-Latn-ME"/>
              </w:rPr>
            </w:pPr>
            <w:r w:rsidRPr="00B8307D">
              <w:rPr>
                <w:sz w:val="22"/>
                <w:szCs w:val="22"/>
                <w:lang w:val="sr-Latn-ME"/>
              </w:rPr>
              <w:t>9,1</w:t>
            </w:r>
          </w:p>
          <w:p w14:paraId="43A1D47B" w14:textId="77777777" w:rsidR="004F6368" w:rsidRPr="00B8307D" w:rsidRDefault="004F6368" w:rsidP="000A067B">
            <w:pPr>
              <w:widowControl w:val="0"/>
              <w:tabs>
                <w:tab w:val="left" w:pos="284"/>
              </w:tabs>
              <w:jc w:val="center"/>
              <w:rPr>
                <w:sz w:val="22"/>
                <w:szCs w:val="22"/>
                <w:lang w:val="sr-Latn-ME"/>
              </w:rPr>
            </w:pPr>
            <w:r w:rsidRPr="00B8307D">
              <w:rPr>
                <w:sz w:val="22"/>
                <w:szCs w:val="22"/>
                <w:lang w:val="sr-Latn-ME"/>
              </w:rPr>
              <w:t>(5,6-10,3)</w:t>
            </w:r>
          </w:p>
        </w:tc>
        <w:tc>
          <w:tcPr>
            <w:tcW w:w="1002" w:type="pct"/>
            <w:tcBorders>
              <w:top w:val="single" w:sz="4" w:space="0" w:color="auto"/>
              <w:left w:val="single" w:sz="4" w:space="0" w:color="auto"/>
              <w:bottom w:val="single" w:sz="4" w:space="0" w:color="auto"/>
              <w:right w:val="single" w:sz="4" w:space="0" w:color="auto"/>
            </w:tcBorders>
            <w:hideMark/>
          </w:tcPr>
          <w:p w14:paraId="326152D1" w14:textId="77777777" w:rsidR="004F6368" w:rsidRPr="00B8307D" w:rsidRDefault="004F6368" w:rsidP="000A067B">
            <w:pPr>
              <w:widowControl w:val="0"/>
              <w:jc w:val="center"/>
              <w:rPr>
                <w:sz w:val="22"/>
                <w:szCs w:val="22"/>
                <w:lang w:val="sr-Latn-ME"/>
              </w:rPr>
            </w:pPr>
            <w:r w:rsidRPr="00B8307D">
              <w:rPr>
                <w:sz w:val="22"/>
                <w:szCs w:val="22"/>
                <w:lang w:val="sr-Latn-ME"/>
              </w:rPr>
              <w:t>8,3</w:t>
            </w:r>
          </w:p>
          <w:p w14:paraId="5AB2F77D" w14:textId="77777777" w:rsidR="004F6368" w:rsidRPr="00B8307D" w:rsidRDefault="004F6368" w:rsidP="000A067B">
            <w:pPr>
              <w:widowControl w:val="0"/>
              <w:tabs>
                <w:tab w:val="left" w:pos="284"/>
              </w:tabs>
              <w:jc w:val="center"/>
              <w:rPr>
                <w:sz w:val="22"/>
                <w:szCs w:val="22"/>
                <w:lang w:val="sr-Latn-ME"/>
              </w:rPr>
            </w:pPr>
            <w:r w:rsidRPr="00B8307D">
              <w:rPr>
                <w:sz w:val="22"/>
                <w:szCs w:val="22"/>
                <w:lang w:val="sr-Latn-ME"/>
              </w:rPr>
              <w:t>(7,3-8,8)</w:t>
            </w:r>
          </w:p>
        </w:tc>
        <w:tc>
          <w:tcPr>
            <w:tcW w:w="577" w:type="pct"/>
            <w:tcBorders>
              <w:top w:val="single" w:sz="4" w:space="0" w:color="auto"/>
              <w:left w:val="single" w:sz="4" w:space="0" w:color="auto"/>
              <w:bottom w:val="single" w:sz="4" w:space="0" w:color="auto"/>
              <w:right w:val="single" w:sz="4" w:space="0" w:color="auto"/>
            </w:tcBorders>
            <w:hideMark/>
          </w:tcPr>
          <w:p w14:paraId="1ECD4EE7" w14:textId="77777777" w:rsidR="004F6368" w:rsidRPr="00B8307D" w:rsidRDefault="004F6368" w:rsidP="000A067B">
            <w:pPr>
              <w:widowControl w:val="0"/>
              <w:jc w:val="center"/>
              <w:rPr>
                <w:sz w:val="22"/>
                <w:szCs w:val="22"/>
                <w:lang w:val="sr-Latn-ME"/>
              </w:rPr>
            </w:pPr>
            <w:r w:rsidRPr="00B8307D">
              <w:rPr>
                <w:sz w:val="22"/>
                <w:szCs w:val="22"/>
                <w:lang w:val="sr-Latn-ME"/>
              </w:rPr>
              <w:t>4,6</w:t>
            </w:r>
          </w:p>
          <w:p w14:paraId="4558BB40" w14:textId="77777777" w:rsidR="004F6368" w:rsidRPr="00B8307D" w:rsidRDefault="004F6368" w:rsidP="000A067B">
            <w:pPr>
              <w:widowControl w:val="0"/>
              <w:tabs>
                <w:tab w:val="left" w:pos="284"/>
              </w:tabs>
              <w:jc w:val="center"/>
              <w:rPr>
                <w:sz w:val="22"/>
                <w:szCs w:val="22"/>
                <w:lang w:val="sr-Latn-ME"/>
              </w:rPr>
            </w:pPr>
            <w:r w:rsidRPr="00B8307D">
              <w:rPr>
                <w:sz w:val="22"/>
                <w:szCs w:val="22"/>
                <w:lang w:val="sr-Latn-ME"/>
              </w:rPr>
              <w:t>(3,7-7,4)</w:t>
            </w:r>
          </w:p>
        </w:tc>
        <w:tc>
          <w:tcPr>
            <w:tcW w:w="850" w:type="pct"/>
            <w:tcBorders>
              <w:top w:val="single" w:sz="4" w:space="0" w:color="auto"/>
              <w:left w:val="single" w:sz="4" w:space="0" w:color="auto"/>
              <w:bottom w:val="single" w:sz="4" w:space="0" w:color="auto"/>
              <w:right w:val="single" w:sz="4" w:space="0" w:color="auto"/>
            </w:tcBorders>
            <w:hideMark/>
          </w:tcPr>
          <w:p w14:paraId="78145D17" w14:textId="77777777" w:rsidR="004F6368" w:rsidRPr="00B8307D" w:rsidRDefault="004F6368" w:rsidP="000A067B">
            <w:pPr>
              <w:widowControl w:val="0"/>
              <w:jc w:val="center"/>
              <w:rPr>
                <w:sz w:val="22"/>
                <w:szCs w:val="22"/>
                <w:lang w:val="sr-Latn-ME"/>
              </w:rPr>
            </w:pPr>
            <w:r w:rsidRPr="00B8307D">
              <w:rPr>
                <w:sz w:val="22"/>
                <w:szCs w:val="22"/>
                <w:lang w:val="sr-Latn-ME"/>
              </w:rPr>
              <w:t>11,7</w:t>
            </w:r>
          </w:p>
          <w:p w14:paraId="40442933" w14:textId="77777777" w:rsidR="004F6368" w:rsidRPr="00B8307D" w:rsidRDefault="004F6368" w:rsidP="000A067B">
            <w:pPr>
              <w:widowControl w:val="0"/>
              <w:tabs>
                <w:tab w:val="left" w:pos="284"/>
              </w:tabs>
              <w:jc w:val="center"/>
              <w:rPr>
                <w:sz w:val="22"/>
                <w:szCs w:val="22"/>
                <w:lang w:val="sr-Latn-ME"/>
              </w:rPr>
            </w:pPr>
            <w:r w:rsidRPr="00B8307D">
              <w:rPr>
                <w:sz w:val="22"/>
                <w:szCs w:val="22"/>
                <w:lang w:val="sr-Latn-ME"/>
              </w:rPr>
              <w:t>(9,3-15,0)</w:t>
            </w:r>
          </w:p>
        </w:tc>
        <w:tc>
          <w:tcPr>
            <w:tcW w:w="717" w:type="pct"/>
            <w:tcBorders>
              <w:top w:val="single" w:sz="4" w:space="0" w:color="auto"/>
              <w:left w:val="single" w:sz="4" w:space="0" w:color="auto"/>
              <w:bottom w:val="single" w:sz="4" w:space="0" w:color="auto"/>
              <w:right w:val="single" w:sz="4" w:space="0" w:color="auto"/>
            </w:tcBorders>
            <w:hideMark/>
          </w:tcPr>
          <w:p w14:paraId="11ED6E75" w14:textId="77777777" w:rsidR="004F6368" w:rsidRPr="00B8307D" w:rsidRDefault="004F6368" w:rsidP="000A067B">
            <w:pPr>
              <w:widowControl w:val="0"/>
              <w:jc w:val="center"/>
              <w:rPr>
                <w:sz w:val="22"/>
                <w:szCs w:val="22"/>
                <w:lang w:val="sr-Latn-ME"/>
              </w:rPr>
            </w:pPr>
            <w:r w:rsidRPr="00B8307D">
              <w:rPr>
                <w:sz w:val="22"/>
                <w:szCs w:val="22"/>
                <w:lang w:val="sr-Latn-ME"/>
              </w:rPr>
              <w:t>5,7</w:t>
            </w:r>
          </w:p>
          <w:p w14:paraId="5CB34BAE" w14:textId="77777777" w:rsidR="004F6368" w:rsidRPr="00B8307D" w:rsidRDefault="004F6368" w:rsidP="000A067B">
            <w:pPr>
              <w:widowControl w:val="0"/>
              <w:tabs>
                <w:tab w:val="left" w:pos="284"/>
              </w:tabs>
              <w:jc w:val="center"/>
              <w:rPr>
                <w:sz w:val="22"/>
                <w:szCs w:val="22"/>
                <w:lang w:val="sr-Latn-ME"/>
              </w:rPr>
            </w:pPr>
            <w:r w:rsidRPr="00B8307D">
              <w:rPr>
                <w:sz w:val="22"/>
                <w:szCs w:val="22"/>
                <w:lang w:val="sr-Latn-ME"/>
              </w:rPr>
              <w:t>(4,6-7,6)</w:t>
            </w:r>
          </w:p>
        </w:tc>
      </w:tr>
      <w:tr w:rsidR="004F6368" w:rsidRPr="00B8307D" w14:paraId="57CC99A5" w14:textId="77777777" w:rsidTr="009E545A">
        <w:tc>
          <w:tcPr>
            <w:tcW w:w="1022" w:type="pct"/>
            <w:tcBorders>
              <w:top w:val="single" w:sz="4" w:space="0" w:color="auto"/>
              <w:left w:val="single" w:sz="4" w:space="0" w:color="auto"/>
              <w:bottom w:val="single" w:sz="4" w:space="0" w:color="auto"/>
              <w:right w:val="single" w:sz="4" w:space="0" w:color="auto"/>
            </w:tcBorders>
            <w:hideMark/>
          </w:tcPr>
          <w:p w14:paraId="5C09FA72" w14:textId="448E9D76" w:rsidR="004F6368" w:rsidRPr="00B8307D" w:rsidRDefault="00DE17BF" w:rsidP="000A067B">
            <w:pPr>
              <w:widowControl w:val="0"/>
              <w:tabs>
                <w:tab w:val="left" w:pos="284"/>
              </w:tabs>
              <w:rPr>
                <w:b/>
                <w:sz w:val="22"/>
                <w:szCs w:val="22"/>
                <w:lang w:val="sr-Latn-ME"/>
              </w:rPr>
            </w:pPr>
            <w:r w:rsidRPr="00B8307D">
              <w:rPr>
                <w:b/>
                <w:sz w:val="22"/>
                <w:szCs w:val="22"/>
                <w:lang w:val="sr-Latn-ME"/>
              </w:rPr>
              <w:t>Medijana</w:t>
            </w:r>
            <w:r w:rsidR="004F6368" w:rsidRPr="00B8307D">
              <w:rPr>
                <w:b/>
                <w:sz w:val="22"/>
                <w:szCs w:val="22"/>
                <w:lang w:val="sr-Latn-ME"/>
              </w:rPr>
              <w:t xml:space="preserve"> do progresije bolesti (u mjesecima) (IP95%)</w:t>
            </w:r>
          </w:p>
        </w:tc>
        <w:tc>
          <w:tcPr>
            <w:tcW w:w="833" w:type="pct"/>
            <w:tcBorders>
              <w:top w:val="single" w:sz="4" w:space="0" w:color="auto"/>
              <w:left w:val="single" w:sz="4" w:space="0" w:color="auto"/>
              <w:bottom w:val="single" w:sz="4" w:space="0" w:color="auto"/>
              <w:right w:val="single" w:sz="4" w:space="0" w:color="auto"/>
            </w:tcBorders>
            <w:hideMark/>
          </w:tcPr>
          <w:p w14:paraId="05D9C30E" w14:textId="77777777" w:rsidR="004F6368" w:rsidRPr="00B8307D" w:rsidRDefault="004F6368" w:rsidP="000A067B">
            <w:pPr>
              <w:widowControl w:val="0"/>
              <w:jc w:val="center"/>
              <w:rPr>
                <w:sz w:val="22"/>
                <w:szCs w:val="22"/>
                <w:lang w:val="sr-Latn-ME"/>
              </w:rPr>
            </w:pPr>
            <w:r w:rsidRPr="00B8307D">
              <w:rPr>
                <w:sz w:val="22"/>
                <w:szCs w:val="22"/>
                <w:lang w:val="sr-Latn-ME"/>
              </w:rPr>
              <w:t>3,2</w:t>
            </w:r>
          </w:p>
          <w:p w14:paraId="0E1CA92F" w14:textId="77777777" w:rsidR="004F6368" w:rsidRPr="00B8307D" w:rsidRDefault="004F6368" w:rsidP="000A067B">
            <w:pPr>
              <w:widowControl w:val="0"/>
              <w:tabs>
                <w:tab w:val="left" w:pos="284"/>
              </w:tabs>
              <w:jc w:val="center"/>
              <w:rPr>
                <w:sz w:val="22"/>
                <w:szCs w:val="22"/>
                <w:lang w:val="sr-Latn-ME"/>
              </w:rPr>
            </w:pPr>
            <w:r w:rsidRPr="00B8307D">
              <w:rPr>
                <w:sz w:val="22"/>
                <w:szCs w:val="22"/>
                <w:lang w:val="sr-Latn-ME"/>
              </w:rPr>
              <w:t>(2,6-3,5)</w:t>
            </w:r>
          </w:p>
        </w:tc>
        <w:tc>
          <w:tcPr>
            <w:tcW w:w="1002" w:type="pct"/>
            <w:tcBorders>
              <w:top w:val="single" w:sz="4" w:space="0" w:color="auto"/>
              <w:left w:val="single" w:sz="4" w:space="0" w:color="auto"/>
              <w:bottom w:val="single" w:sz="4" w:space="0" w:color="auto"/>
              <w:right w:val="single" w:sz="4" w:space="0" w:color="auto"/>
            </w:tcBorders>
            <w:hideMark/>
          </w:tcPr>
          <w:p w14:paraId="7C933348" w14:textId="77777777" w:rsidR="004F6368" w:rsidRPr="00B8307D" w:rsidRDefault="004F6368" w:rsidP="000A067B">
            <w:pPr>
              <w:widowControl w:val="0"/>
              <w:jc w:val="center"/>
              <w:rPr>
                <w:sz w:val="22"/>
                <w:szCs w:val="22"/>
                <w:lang w:val="sr-Latn-ME"/>
              </w:rPr>
            </w:pPr>
            <w:r w:rsidRPr="00B8307D">
              <w:rPr>
                <w:sz w:val="22"/>
                <w:szCs w:val="22"/>
                <w:lang w:val="sr-Latn-ME"/>
              </w:rPr>
              <w:t>7,1</w:t>
            </w:r>
          </w:p>
          <w:p w14:paraId="36234EBD" w14:textId="77777777" w:rsidR="004F6368" w:rsidRPr="00B8307D" w:rsidRDefault="004F6368" w:rsidP="000A067B">
            <w:pPr>
              <w:widowControl w:val="0"/>
              <w:tabs>
                <w:tab w:val="left" w:pos="284"/>
              </w:tabs>
              <w:jc w:val="center"/>
              <w:rPr>
                <w:sz w:val="22"/>
                <w:szCs w:val="22"/>
                <w:lang w:val="sr-Latn-ME"/>
              </w:rPr>
            </w:pPr>
            <w:r w:rsidRPr="00B8307D">
              <w:rPr>
                <w:sz w:val="22"/>
                <w:szCs w:val="22"/>
                <w:lang w:val="sr-Latn-ME"/>
              </w:rPr>
              <w:t>(6,2-12,0)</w:t>
            </w:r>
          </w:p>
        </w:tc>
        <w:tc>
          <w:tcPr>
            <w:tcW w:w="577" w:type="pct"/>
            <w:tcBorders>
              <w:top w:val="single" w:sz="4" w:space="0" w:color="auto"/>
              <w:left w:val="single" w:sz="4" w:space="0" w:color="auto"/>
              <w:bottom w:val="single" w:sz="4" w:space="0" w:color="auto"/>
              <w:right w:val="single" w:sz="4" w:space="0" w:color="auto"/>
            </w:tcBorders>
            <w:hideMark/>
          </w:tcPr>
          <w:p w14:paraId="03906CA0" w14:textId="77777777" w:rsidR="004F6368" w:rsidRPr="00B8307D" w:rsidRDefault="004F6368" w:rsidP="000A067B">
            <w:pPr>
              <w:widowControl w:val="0"/>
              <w:jc w:val="center"/>
              <w:rPr>
                <w:sz w:val="22"/>
                <w:szCs w:val="22"/>
                <w:lang w:val="sr-Latn-ME"/>
              </w:rPr>
            </w:pPr>
            <w:r w:rsidRPr="00B8307D">
              <w:rPr>
                <w:sz w:val="22"/>
                <w:szCs w:val="22"/>
                <w:lang w:val="sr-Latn-ME"/>
              </w:rPr>
              <w:t>3,0</w:t>
            </w:r>
          </w:p>
          <w:p w14:paraId="56A3DFEF" w14:textId="77777777" w:rsidR="004F6368" w:rsidRPr="00B8307D" w:rsidRDefault="004F6368" w:rsidP="000A067B">
            <w:pPr>
              <w:widowControl w:val="0"/>
              <w:tabs>
                <w:tab w:val="left" w:pos="284"/>
              </w:tabs>
              <w:jc w:val="center"/>
              <w:rPr>
                <w:sz w:val="22"/>
                <w:szCs w:val="22"/>
                <w:lang w:val="sr-Latn-ME"/>
              </w:rPr>
            </w:pPr>
            <w:r w:rsidRPr="00B8307D">
              <w:rPr>
                <w:sz w:val="22"/>
                <w:szCs w:val="22"/>
                <w:lang w:val="sr-Latn-ME"/>
              </w:rPr>
              <w:t>(2,0-4,4)</w:t>
            </w:r>
          </w:p>
        </w:tc>
        <w:tc>
          <w:tcPr>
            <w:tcW w:w="850" w:type="pct"/>
            <w:tcBorders>
              <w:top w:val="single" w:sz="4" w:space="0" w:color="auto"/>
              <w:left w:val="single" w:sz="4" w:space="0" w:color="auto"/>
              <w:bottom w:val="single" w:sz="4" w:space="0" w:color="auto"/>
              <w:right w:val="single" w:sz="4" w:space="0" w:color="auto"/>
            </w:tcBorders>
            <w:hideMark/>
          </w:tcPr>
          <w:p w14:paraId="67D2BB4C" w14:textId="77777777" w:rsidR="004F6368" w:rsidRPr="00B8307D" w:rsidRDefault="004F6368" w:rsidP="000A067B">
            <w:pPr>
              <w:widowControl w:val="0"/>
              <w:jc w:val="center"/>
              <w:rPr>
                <w:sz w:val="22"/>
                <w:szCs w:val="22"/>
                <w:lang w:val="sr-Latn-ME"/>
              </w:rPr>
            </w:pPr>
            <w:r w:rsidRPr="00B8307D">
              <w:rPr>
                <w:sz w:val="22"/>
                <w:szCs w:val="22"/>
                <w:lang w:val="sr-Latn-ME"/>
              </w:rPr>
              <w:t>11.7</w:t>
            </w:r>
          </w:p>
          <w:p w14:paraId="1A684CE5" w14:textId="77777777" w:rsidR="004F6368" w:rsidRPr="00B8307D" w:rsidRDefault="004F6368" w:rsidP="000A067B">
            <w:pPr>
              <w:widowControl w:val="0"/>
              <w:tabs>
                <w:tab w:val="left" w:pos="284"/>
              </w:tabs>
              <w:jc w:val="center"/>
              <w:rPr>
                <w:sz w:val="22"/>
                <w:szCs w:val="22"/>
                <w:lang w:val="sr-Latn-ME"/>
              </w:rPr>
            </w:pPr>
            <w:r w:rsidRPr="00B8307D">
              <w:rPr>
                <w:sz w:val="22"/>
                <w:szCs w:val="22"/>
                <w:lang w:val="sr-Latn-ME"/>
              </w:rPr>
              <w:t>(9,2/13,5)</w:t>
            </w:r>
          </w:p>
        </w:tc>
        <w:tc>
          <w:tcPr>
            <w:tcW w:w="717" w:type="pct"/>
            <w:tcBorders>
              <w:top w:val="single" w:sz="4" w:space="0" w:color="auto"/>
              <w:left w:val="single" w:sz="4" w:space="0" w:color="auto"/>
              <w:bottom w:val="single" w:sz="4" w:space="0" w:color="auto"/>
              <w:right w:val="single" w:sz="4" w:space="0" w:color="auto"/>
            </w:tcBorders>
            <w:hideMark/>
          </w:tcPr>
          <w:p w14:paraId="2E5AB174" w14:textId="77777777" w:rsidR="004F6368" w:rsidRPr="00B8307D" w:rsidRDefault="004F6368" w:rsidP="000A067B">
            <w:pPr>
              <w:widowControl w:val="0"/>
              <w:jc w:val="center"/>
              <w:rPr>
                <w:sz w:val="22"/>
                <w:szCs w:val="22"/>
                <w:lang w:val="sr-Latn-ME"/>
              </w:rPr>
            </w:pPr>
            <w:r w:rsidRPr="00B8307D">
              <w:rPr>
                <w:sz w:val="22"/>
                <w:szCs w:val="22"/>
                <w:lang w:val="sr-Latn-ME"/>
              </w:rPr>
              <w:t>6,1</w:t>
            </w:r>
          </w:p>
          <w:p w14:paraId="685674D2" w14:textId="77777777" w:rsidR="004F6368" w:rsidRPr="00B8307D" w:rsidRDefault="004F6368" w:rsidP="000A067B">
            <w:pPr>
              <w:widowControl w:val="0"/>
              <w:tabs>
                <w:tab w:val="left" w:pos="284"/>
              </w:tabs>
              <w:jc w:val="center"/>
              <w:rPr>
                <w:sz w:val="22"/>
                <w:szCs w:val="22"/>
                <w:lang w:val="sr-Latn-ME"/>
              </w:rPr>
            </w:pPr>
            <w:r w:rsidRPr="00B8307D">
              <w:rPr>
                <w:sz w:val="22"/>
                <w:szCs w:val="22"/>
                <w:lang w:val="sr-Latn-ME"/>
              </w:rPr>
              <w:t>(5,4-7,2)</w:t>
            </w:r>
          </w:p>
        </w:tc>
      </w:tr>
      <w:tr w:rsidR="004F6368" w:rsidRPr="00B8307D" w14:paraId="0353917C" w14:textId="77777777" w:rsidTr="009E545A">
        <w:tc>
          <w:tcPr>
            <w:tcW w:w="1022" w:type="pct"/>
            <w:tcBorders>
              <w:top w:val="single" w:sz="4" w:space="0" w:color="auto"/>
              <w:left w:val="single" w:sz="4" w:space="0" w:color="auto"/>
              <w:bottom w:val="single" w:sz="4" w:space="0" w:color="auto"/>
              <w:right w:val="single" w:sz="4" w:space="0" w:color="auto"/>
            </w:tcBorders>
            <w:hideMark/>
          </w:tcPr>
          <w:p w14:paraId="5F2F245C" w14:textId="4000CB07" w:rsidR="004F6368" w:rsidRPr="00B8307D" w:rsidRDefault="00DE17BF" w:rsidP="000A067B">
            <w:pPr>
              <w:widowControl w:val="0"/>
              <w:tabs>
                <w:tab w:val="left" w:pos="284"/>
              </w:tabs>
              <w:rPr>
                <w:b/>
                <w:sz w:val="22"/>
                <w:szCs w:val="22"/>
                <w:lang w:val="sr-Latn-ME"/>
              </w:rPr>
            </w:pPr>
            <w:r w:rsidRPr="00B8307D">
              <w:rPr>
                <w:b/>
                <w:sz w:val="22"/>
                <w:szCs w:val="22"/>
                <w:lang w:val="sr-Latn-ME"/>
              </w:rPr>
              <w:t xml:space="preserve">Medijana </w:t>
            </w:r>
            <w:r w:rsidR="004F6368" w:rsidRPr="00B8307D">
              <w:rPr>
                <w:b/>
                <w:sz w:val="22"/>
                <w:szCs w:val="22"/>
                <w:lang w:val="sr-Latn-ME"/>
              </w:rPr>
              <w:t>(u mjesecima) (IP</w:t>
            </w:r>
            <w:r w:rsidRPr="00B8307D">
              <w:rPr>
                <w:b/>
                <w:sz w:val="22"/>
                <w:szCs w:val="22"/>
                <w:lang w:val="sr-Latn-ME"/>
              </w:rPr>
              <w:t xml:space="preserve"> </w:t>
            </w:r>
            <w:r w:rsidR="004F6368" w:rsidRPr="00B8307D">
              <w:rPr>
                <w:b/>
                <w:sz w:val="22"/>
                <w:szCs w:val="22"/>
                <w:lang w:val="sr-Latn-ME"/>
              </w:rPr>
              <w:t xml:space="preserve">95%) </w:t>
            </w:r>
            <w:r w:rsidR="004F6368" w:rsidRPr="00B8307D">
              <w:rPr>
                <w:b/>
                <w:sz w:val="22"/>
                <w:szCs w:val="22"/>
                <w:lang w:val="sr-Latn-ME"/>
              </w:rPr>
              <w:lastRenderedPageBreak/>
              <w:t>preživljavanj</w:t>
            </w:r>
            <w:r w:rsidR="005069DD" w:rsidRPr="00B8307D">
              <w:rPr>
                <w:b/>
                <w:sz w:val="22"/>
                <w:szCs w:val="22"/>
                <w:lang w:val="sr-Latn-ME"/>
              </w:rPr>
              <w:t>a</w:t>
            </w:r>
            <w:r w:rsidR="004F6368" w:rsidRPr="00B8307D">
              <w:rPr>
                <w:b/>
                <w:sz w:val="22"/>
                <w:szCs w:val="22"/>
                <w:lang w:val="sr-Latn-ME"/>
              </w:rPr>
              <w:t xml:space="preserve"> </w:t>
            </w:r>
          </w:p>
        </w:tc>
        <w:tc>
          <w:tcPr>
            <w:tcW w:w="833" w:type="pct"/>
            <w:tcBorders>
              <w:top w:val="single" w:sz="4" w:space="0" w:color="auto"/>
              <w:left w:val="single" w:sz="4" w:space="0" w:color="auto"/>
              <w:bottom w:val="single" w:sz="4" w:space="0" w:color="auto"/>
              <w:right w:val="single" w:sz="4" w:space="0" w:color="auto"/>
            </w:tcBorders>
            <w:hideMark/>
          </w:tcPr>
          <w:p w14:paraId="2E92B9F6" w14:textId="77777777" w:rsidR="004F6368" w:rsidRPr="00B8307D" w:rsidRDefault="004F6368" w:rsidP="000A067B">
            <w:pPr>
              <w:widowControl w:val="0"/>
              <w:jc w:val="center"/>
              <w:rPr>
                <w:sz w:val="22"/>
                <w:szCs w:val="22"/>
                <w:lang w:val="sr-Latn-ME"/>
              </w:rPr>
            </w:pPr>
            <w:r w:rsidRPr="00B8307D">
              <w:rPr>
                <w:sz w:val="22"/>
                <w:szCs w:val="22"/>
                <w:lang w:val="sr-Latn-ME"/>
              </w:rPr>
              <w:lastRenderedPageBreak/>
              <w:t>16,4</w:t>
            </w:r>
          </w:p>
          <w:p w14:paraId="4DF4D25B" w14:textId="77777777" w:rsidR="004F6368" w:rsidRPr="00B8307D" w:rsidRDefault="004F6368" w:rsidP="000A067B">
            <w:pPr>
              <w:widowControl w:val="0"/>
              <w:tabs>
                <w:tab w:val="left" w:pos="284"/>
              </w:tabs>
              <w:jc w:val="center"/>
              <w:rPr>
                <w:sz w:val="22"/>
                <w:szCs w:val="22"/>
                <w:lang w:val="sr-Latn-ME"/>
              </w:rPr>
            </w:pPr>
            <w:r w:rsidRPr="00B8307D">
              <w:rPr>
                <w:sz w:val="22"/>
                <w:szCs w:val="22"/>
                <w:lang w:val="sr-Latn-ME"/>
              </w:rPr>
              <w:t>(12,3-ne*)</w:t>
            </w:r>
          </w:p>
        </w:tc>
        <w:tc>
          <w:tcPr>
            <w:tcW w:w="1002" w:type="pct"/>
            <w:tcBorders>
              <w:top w:val="single" w:sz="4" w:space="0" w:color="auto"/>
              <w:left w:val="single" w:sz="4" w:space="0" w:color="auto"/>
              <w:bottom w:val="single" w:sz="4" w:space="0" w:color="auto"/>
              <w:right w:val="single" w:sz="4" w:space="0" w:color="auto"/>
            </w:tcBorders>
            <w:hideMark/>
          </w:tcPr>
          <w:p w14:paraId="4436CB8B" w14:textId="77777777" w:rsidR="004F6368" w:rsidRPr="00B8307D" w:rsidRDefault="004F6368" w:rsidP="000A067B">
            <w:pPr>
              <w:widowControl w:val="0"/>
              <w:jc w:val="center"/>
              <w:rPr>
                <w:sz w:val="22"/>
                <w:szCs w:val="22"/>
                <w:lang w:val="sr-Latn-ME"/>
              </w:rPr>
            </w:pPr>
            <w:r w:rsidRPr="00B8307D">
              <w:rPr>
                <w:sz w:val="22"/>
                <w:szCs w:val="22"/>
                <w:lang w:val="sr-Latn-ME"/>
              </w:rPr>
              <w:t>24,8</w:t>
            </w:r>
          </w:p>
          <w:p w14:paraId="052B6F36" w14:textId="77777777" w:rsidR="004F6368" w:rsidRPr="00B8307D" w:rsidRDefault="004F6368" w:rsidP="000A067B">
            <w:pPr>
              <w:widowControl w:val="0"/>
              <w:tabs>
                <w:tab w:val="left" w:pos="284"/>
              </w:tabs>
              <w:jc w:val="center"/>
              <w:rPr>
                <w:sz w:val="22"/>
                <w:szCs w:val="22"/>
                <w:lang w:val="sr-Latn-ME"/>
              </w:rPr>
            </w:pPr>
            <w:r w:rsidRPr="00B8307D">
              <w:rPr>
                <w:sz w:val="22"/>
                <w:szCs w:val="22"/>
                <w:lang w:val="sr-Latn-ME"/>
              </w:rPr>
              <w:t>(18,6-33,7)</w:t>
            </w:r>
          </w:p>
        </w:tc>
        <w:tc>
          <w:tcPr>
            <w:tcW w:w="577" w:type="pct"/>
            <w:tcBorders>
              <w:top w:val="single" w:sz="4" w:space="0" w:color="auto"/>
              <w:left w:val="single" w:sz="4" w:space="0" w:color="auto"/>
              <w:bottom w:val="single" w:sz="4" w:space="0" w:color="auto"/>
              <w:right w:val="single" w:sz="4" w:space="0" w:color="auto"/>
            </w:tcBorders>
            <w:hideMark/>
          </w:tcPr>
          <w:p w14:paraId="6E562AAE" w14:textId="77777777" w:rsidR="004F6368" w:rsidRPr="00B8307D" w:rsidRDefault="004F6368" w:rsidP="000A067B">
            <w:pPr>
              <w:widowControl w:val="0"/>
              <w:jc w:val="center"/>
              <w:rPr>
                <w:sz w:val="22"/>
                <w:szCs w:val="22"/>
                <w:lang w:val="sr-Latn-ME"/>
              </w:rPr>
            </w:pPr>
            <w:r w:rsidRPr="00B8307D">
              <w:rPr>
                <w:sz w:val="22"/>
                <w:szCs w:val="22"/>
                <w:lang w:val="sr-Latn-ME"/>
              </w:rPr>
              <w:t>17,9</w:t>
            </w:r>
          </w:p>
          <w:p w14:paraId="7AB03AA9" w14:textId="77777777" w:rsidR="004F6368" w:rsidRPr="00B8307D" w:rsidRDefault="004F6368" w:rsidP="000A067B">
            <w:pPr>
              <w:widowControl w:val="0"/>
              <w:tabs>
                <w:tab w:val="left" w:pos="284"/>
              </w:tabs>
              <w:jc w:val="center"/>
              <w:rPr>
                <w:sz w:val="22"/>
                <w:szCs w:val="22"/>
                <w:lang w:val="sr-Latn-ME"/>
              </w:rPr>
            </w:pPr>
            <w:r w:rsidRPr="00B8307D">
              <w:rPr>
                <w:sz w:val="22"/>
                <w:szCs w:val="22"/>
                <w:lang w:val="sr-Latn-ME"/>
              </w:rPr>
              <w:t>(11,2-23,8)</w:t>
            </w:r>
          </w:p>
        </w:tc>
        <w:tc>
          <w:tcPr>
            <w:tcW w:w="850" w:type="pct"/>
            <w:tcBorders>
              <w:top w:val="single" w:sz="4" w:space="0" w:color="auto"/>
              <w:left w:val="single" w:sz="4" w:space="0" w:color="auto"/>
              <w:bottom w:val="single" w:sz="4" w:space="0" w:color="auto"/>
              <w:right w:val="single" w:sz="4" w:space="0" w:color="auto"/>
            </w:tcBorders>
            <w:hideMark/>
          </w:tcPr>
          <w:p w14:paraId="55C7637F" w14:textId="77777777" w:rsidR="004F6368" w:rsidRPr="00B8307D" w:rsidRDefault="004F6368" w:rsidP="000A067B">
            <w:pPr>
              <w:widowControl w:val="0"/>
              <w:jc w:val="center"/>
              <w:rPr>
                <w:sz w:val="22"/>
                <w:szCs w:val="22"/>
                <w:lang w:val="sr-Latn-ME"/>
              </w:rPr>
            </w:pPr>
            <w:r w:rsidRPr="00B8307D">
              <w:rPr>
                <w:sz w:val="22"/>
                <w:szCs w:val="22"/>
                <w:lang w:val="sr-Latn-ME"/>
              </w:rPr>
              <w:t>31,2</w:t>
            </w:r>
          </w:p>
          <w:p w14:paraId="5D40F3F3" w14:textId="77777777" w:rsidR="004F6368" w:rsidRPr="00B8307D" w:rsidRDefault="004F6368" w:rsidP="000A067B">
            <w:pPr>
              <w:widowControl w:val="0"/>
              <w:tabs>
                <w:tab w:val="left" w:pos="284"/>
              </w:tabs>
              <w:jc w:val="center"/>
              <w:rPr>
                <w:sz w:val="22"/>
                <w:szCs w:val="22"/>
                <w:lang w:val="sr-Latn-ME"/>
              </w:rPr>
            </w:pPr>
            <w:r w:rsidRPr="00B8307D">
              <w:rPr>
                <w:sz w:val="22"/>
                <w:szCs w:val="22"/>
                <w:lang w:val="sr-Latn-ME"/>
              </w:rPr>
              <w:t>(27,3/40,8)</w:t>
            </w:r>
          </w:p>
        </w:tc>
        <w:tc>
          <w:tcPr>
            <w:tcW w:w="717" w:type="pct"/>
            <w:tcBorders>
              <w:top w:val="single" w:sz="4" w:space="0" w:color="auto"/>
              <w:left w:val="single" w:sz="4" w:space="0" w:color="auto"/>
              <w:bottom w:val="single" w:sz="4" w:space="0" w:color="auto"/>
              <w:right w:val="single" w:sz="4" w:space="0" w:color="auto"/>
            </w:tcBorders>
            <w:hideMark/>
          </w:tcPr>
          <w:p w14:paraId="1FDB91F0" w14:textId="77777777" w:rsidR="004F6368" w:rsidRPr="00B8307D" w:rsidRDefault="004F6368" w:rsidP="000A067B">
            <w:pPr>
              <w:widowControl w:val="0"/>
              <w:jc w:val="center"/>
              <w:rPr>
                <w:sz w:val="22"/>
                <w:szCs w:val="22"/>
                <w:lang w:val="sr-Latn-ME"/>
              </w:rPr>
            </w:pPr>
            <w:r w:rsidRPr="00B8307D">
              <w:rPr>
                <w:sz w:val="22"/>
                <w:szCs w:val="22"/>
                <w:lang w:val="sr-Latn-ME"/>
              </w:rPr>
              <w:t>22,74</w:t>
            </w:r>
          </w:p>
          <w:p w14:paraId="457A63CD" w14:textId="77777777" w:rsidR="004F6368" w:rsidRPr="00B8307D" w:rsidRDefault="004F6368" w:rsidP="000A067B">
            <w:pPr>
              <w:widowControl w:val="0"/>
              <w:tabs>
                <w:tab w:val="left" w:pos="284"/>
              </w:tabs>
              <w:jc w:val="center"/>
              <w:rPr>
                <w:sz w:val="22"/>
                <w:szCs w:val="22"/>
                <w:lang w:val="sr-Latn-ME"/>
              </w:rPr>
            </w:pPr>
            <w:r w:rsidRPr="00B8307D">
              <w:rPr>
                <w:sz w:val="22"/>
                <w:szCs w:val="22"/>
                <w:lang w:val="sr-Latn-ME"/>
              </w:rPr>
              <w:t>(19,1/30,8)</w:t>
            </w:r>
          </w:p>
        </w:tc>
      </w:tr>
    </w:tbl>
    <w:p w14:paraId="3AAE6C0C" w14:textId="77777777" w:rsidR="004F6368" w:rsidRPr="00B8307D" w:rsidRDefault="004F6368" w:rsidP="000A067B">
      <w:pPr>
        <w:widowControl w:val="0"/>
        <w:jc w:val="both"/>
        <w:rPr>
          <w:sz w:val="20"/>
          <w:szCs w:val="20"/>
          <w:lang w:val="sr-Latn-ME"/>
        </w:rPr>
      </w:pPr>
      <w:r w:rsidRPr="00B8307D">
        <w:rPr>
          <w:sz w:val="20"/>
          <w:szCs w:val="20"/>
          <w:lang w:val="sr-Latn-ME"/>
        </w:rPr>
        <w:t>ne* označava da se ili nije moglo procijeniti, ili da nije još dostignuto</w:t>
      </w:r>
    </w:p>
    <w:p w14:paraId="5073CD4B" w14:textId="7979A095" w:rsidR="004F6368" w:rsidRPr="00B8307D" w:rsidRDefault="004F6368" w:rsidP="000A067B">
      <w:pPr>
        <w:widowControl w:val="0"/>
        <w:numPr>
          <w:ilvl w:val="1"/>
          <w:numId w:val="16"/>
        </w:numPr>
        <w:jc w:val="both"/>
        <w:rPr>
          <w:sz w:val="20"/>
          <w:szCs w:val="20"/>
          <w:lang w:val="sr-Latn-ME"/>
        </w:rPr>
      </w:pPr>
      <w:r w:rsidRPr="00B8307D">
        <w:rPr>
          <w:sz w:val="20"/>
          <w:szCs w:val="20"/>
          <w:lang w:val="sr-Latn-ME"/>
        </w:rPr>
        <w:t xml:space="preserve">Studija H0649g: podgrupa </w:t>
      </w:r>
      <w:r w:rsidR="00DE17BF" w:rsidRPr="00B8307D">
        <w:rPr>
          <w:sz w:val="20"/>
          <w:szCs w:val="20"/>
          <w:lang w:val="sr-Latn-ME"/>
        </w:rPr>
        <w:t xml:space="preserve">pacijentkinja </w:t>
      </w:r>
      <w:r w:rsidRPr="00B8307D">
        <w:rPr>
          <w:sz w:val="20"/>
          <w:szCs w:val="20"/>
          <w:lang w:val="sr-Latn-ME"/>
        </w:rPr>
        <w:t>IHC3+</w:t>
      </w:r>
    </w:p>
    <w:p w14:paraId="05979449" w14:textId="4A127A8D" w:rsidR="004F6368" w:rsidRPr="00B8307D" w:rsidRDefault="004F6368" w:rsidP="000A067B">
      <w:pPr>
        <w:widowControl w:val="0"/>
        <w:numPr>
          <w:ilvl w:val="1"/>
          <w:numId w:val="16"/>
        </w:numPr>
        <w:jc w:val="both"/>
        <w:rPr>
          <w:sz w:val="20"/>
          <w:szCs w:val="20"/>
          <w:lang w:val="sr-Latn-ME"/>
        </w:rPr>
      </w:pPr>
      <w:r w:rsidRPr="00B8307D">
        <w:rPr>
          <w:sz w:val="20"/>
          <w:szCs w:val="20"/>
          <w:lang w:val="sr-Latn-ME"/>
        </w:rPr>
        <w:t xml:space="preserve">Studija H0648g: podgrupa </w:t>
      </w:r>
      <w:r w:rsidR="00DE17BF" w:rsidRPr="00B8307D">
        <w:rPr>
          <w:sz w:val="20"/>
          <w:szCs w:val="20"/>
          <w:lang w:val="sr-Latn-ME"/>
        </w:rPr>
        <w:t xml:space="preserve">pacijentkinja </w:t>
      </w:r>
      <w:r w:rsidRPr="00B8307D">
        <w:rPr>
          <w:sz w:val="20"/>
          <w:szCs w:val="20"/>
          <w:lang w:val="sr-Latn-ME"/>
        </w:rPr>
        <w:t>IHC3+</w:t>
      </w:r>
    </w:p>
    <w:p w14:paraId="2320666D" w14:textId="77777777" w:rsidR="004F6368" w:rsidRPr="00B8307D" w:rsidRDefault="004F6368" w:rsidP="000A067B">
      <w:pPr>
        <w:widowControl w:val="0"/>
        <w:numPr>
          <w:ilvl w:val="1"/>
          <w:numId w:val="16"/>
        </w:numPr>
        <w:jc w:val="both"/>
        <w:rPr>
          <w:sz w:val="20"/>
          <w:szCs w:val="20"/>
          <w:lang w:val="sr-Latn-ME"/>
        </w:rPr>
      </w:pPr>
      <w:r w:rsidRPr="00B8307D">
        <w:rPr>
          <w:sz w:val="20"/>
          <w:szCs w:val="20"/>
          <w:lang w:val="sr-Latn-ME"/>
        </w:rPr>
        <w:t>Studija M77001: kompletno urađene sve analize (pacijenti predviđeni za liječenje), rezultati nakon 24 mjeseca</w:t>
      </w:r>
    </w:p>
    <w:p w14:paraId="2D061607" w14:textId="77777777" w:rsidR="004F6368" w:rsidRPr="00B8307D" w:rsidRDefault="004F6368" w:rsidP="000A067B">
      <w:pPr>
        <w:widowControl w:val="0"/>
        <w:jc w:val="both"/>
        <w:rPr>
          <w:i/>
          <w:sz w:val="22"/>
          <w:szCs w:val="22"/>
          <w:lang w:val="sr-Latn-ME"/>
        </w:rPr>
      </w:pPr>
    </w:p>
    <w:p w14:paraId="5D87C762" w14:textId="77777777" w:rsidR="004F6368" w:rsidRPr="00B8307D" w:rsidRDefault="004F6368" w:rsidP="000A067B">
      <w:pPr>
        <w:widowControl w:val="0"/>
        <w:jc w:val="both"/>
        <w:rPr>
          <w:i/>
          <w:sz w:val="22"/>
          <w:szCs w:val="22"/>
          <w:lang w:val="sr-Latn-ME"/>
        </w:rPr>
      </w:pPr>
      <w:r w:rsidRPr="00B8307D">
        <w:rPr>
          <w:i/>
          <w:sz w:val="22"/>
          <w:szCs w:val="22"/>
          <w:lang w:val="sr-Latn-ME"/>
        </w:rPr>
        <w:t>Kombinovana terapija Herceptinom i anastrozolom</w:t>
      </w:r>
    </w:p>
    <w:p w14:paraId="7D7C633D" w14:textId="3318844E" w:rsidR="004F6368" w:rsidRPr="00B8307D" w:rsidRDefault="00DE17BF" w:rsidP="000A067B">
      <w:pPr>
        <w:widowControl w:val="0"/>
        <w:jc w:val="both"/>
        <w:rPr>
          <w:sz w:val="22"/>
          <w:szCs w:val="22"/>
          <w:lang w:val="sr-Latn-ME"/>
        </w:rPr>
      </w:pPr>
      <w:r w:rsidRPr="00B8307D">
        <w:rPr>
          <w:sz w:val="22"/>
          <w:szCs w:val="22"/>
          <w:lang w:val="sr-Latn-ME"/>
        </w:rPr>
        <w:t xml:space="preserve">Lijek </w:t>
      </w:r>
      <w:r w:rsidR="004F6368" w:rsidRPr="00B8307D">
        <w:rPr>
          <w:sz w:val="22"/>
          <w:szCs w:val="22"/>
          <w:lang w:val="sr-Latn-ME"/>
        </w:rPr>
        <w:t xml:space="preserve">Herceptin je ispitivan u kombinaciji sa anastrozolom za prvu liniju terapije metastatskog karcinoma dojke kod postmenopauzalnih pacijentkinja sa prekomjernom ekspresijom HER2, pozitivnih na hormonske receptore (t.j. estrogenske receptore (ER) i/ili progesteronske receptore (PR)). Preživljavanje bez progresije bolesti dvostruko je produženo kod pacijentkinja koje su primale </w:t>
      </w:r>
      <w:r w:rsidRPr="00B8307D">
        <w:rPr>
          <w:sz w:val="22"/>
          <w:szCs w:val="22"/>
          <w:lang w:val="sr-Latn-ME"/>
        </w:rPr>
        <w:t xml:space="preserve">lijek </w:t>
      </w:r>
      <w:r w:rsidR="004F6368" w:rsidRPr="00B8307D">
        <w:rPr>
          <w:sz w:val="22"/>
          <w:szCs w:val="22"/>
          <w:lang w:val="sr-Latn-ME"/>
        </w:rPr>
        <w:t xml:space="preserve">Herceptin plus anastrozol, u poređenju sa onima koje su primale samo anastrozol (4,8 mjeseci naspram 2,4 mjeseca). </w:t>
      </w:r>
      <w:r w:rsidRPr="00B8307D">
        <w:rPr>
          <w:sz w:val="22"/>
          <w:szCs w:val="22"/>
          <w:lang w:val="sr-Latn-ME"/>
        </w:rPr>
        <w:t>Od ostalih parametara</w:t>
      </w:r>
      <w:r w:rsidR="004F6368" w:rsidRPr="00B8307D">
        <w:rPr>
          <w:sz w:val="22"/>
          <w:szCs w:val="22"/>
          <w:lang w:val="sr-Latn-ME"/>
        </w:rPr>
        <w:t xml:space="preserve"> praćenja poboljšanje koje je zabilježeno za kombinaciju bilo je </w:t>
      </w:r>
      <w:r w:rsidRPr="00B8307D">
        <w:rPr>
          <w:sz w:val="22"/>
          <w:szCs w:val="22"/>
          <w:lang w:val="sr-Latn-ME"/>
        </w:rPr>
        <w:t xml:space="preserve">poboljšanje </w:t>
      </w:r>
      <w:r w:rsidR="004F6368" w:rsidRPr="00B8307D">
        <w:rPr>
          <w:sz w:val="22"/>
          <w:szCs w:val="22"/>
          <w:lang w:val="sr-Latn-ME"/>
        </w:rPr>
        <w:t>ukupn</w:t>
      </w:r>
      <w:r w:rsidRPr="00B8307D">
        <w:rPr>
          <w:sz w:val="22"/>
          <w:szCs w:val="22"/>
          <w:lang w:val="sr-Latn-ME"/>
        </w:rPr>
        <w:t>e stope</w:t>
      </w:r>
      <w:r w:rsidR="004F6368" w:rsidRPr="00B8307D">
        <w:rPr>
          <w:sz w:val="22"/>
          <w:szCs w:val="22"/>
          <w:lang w:val="sr-Latn-ME"/>
        </w:rPr>
        <w:t xml:space="preserve"> odgovor</w:t>
      </w:r>
      <w:r w:rsidRPr="00B8307D">
        <w:rPr>
          <w:sz w:val="22"/>
          <w:szCs w:val="22"/>
          <w:lang w:val="sr-Latn-ME"/>
        </w:rPr>
        <w:t>a</w:t>
      </w:r>
      <w:r w:rsidR="004F6368" w:rsidRPr="00B8307D">
        <w:rPr>
          <w:sz w:val="22"/>
          <w:szCs w:val="22"/>
          <w:lang w:val="sr-Latn-ME"/>
        </w:rPr>
        <w:t xml:space="preserve"> (16,5% naspram 6,7%), st</w:t>
      </w:r>
      <w:r w:rsidRPr="00B8307D">
        <w:rPr>
          <w:sz w:val="22"/>
          <w:szCs w:val="22"/>
          <w:lang w:val="sr-Latn-ME"/>
        </w:rPr>
        <w:t>ope</w:t>
      </w:r>
      <w:r w:rsidR="004F6368" w:rsidRPr="00B8307D">
        <w:rPr>
          <w:sz w:val="22"/>
          <w:szCs w:val="22"/>
          <w:lang w:val="sr-Latn-ME"/>
        </w:rPr>
        <w:t xml:space="preserve"> kliničke koristi (42,7%  naspram 27,9%), vr</w:t>
      </w:r>
      <w:r w:rsidRPr="00B8307D">
        <w:rPr>
          <w:sz w:val="22"/>
          <w:szCs w:val="22"/>
          <w:lang w:val="sr-Latn-ME"/>
        </w:rPr>
        <w:t>emena</w:t>
      </w:r>
      <w:r w:rsidR="004F6368" w:rsidRPr="00B8307D">
        <w:rPr>
          <w:sz w:val="22"/>
          <w:szCs w:val="22"/>
          <w:lang w:val="sr-Latn-ME"/>
        </w:rPr>
        <w:t xml:space="preserve"> do progresije </w:t>
      </w:r>
      <w:r w:rsidRPr="00B8307D">
        <w:rPr>
          <w:sz w:val="22"/>
          <w:szCs w:val="22"/>
          <w:lang w:val="sr-Latn-ME"/>
        </w:rPr>
        <w:t xml:space="preserve">bolesti </w:t>
      </w:r>
      <w:r w:rsidR="004F6368" w:rsidRPr="00B8307D">
        <w:rPr>
          <w:sz w:val="22"/>
          <w:szCs w:val="22"/>
          <w:lang w:val="sr-Latn-ME"/>
        </w:rPr>
        <w:t xml:space="preserve">(4,8 naspram 2,4 mjeseca). Što se tiče vremena do odgovora i trajanja odgovora, nije zabilježena nikakva razlika između ovih grupa. </w:t>
      </w:r>
      <w:r w:rsidRPr="00B8307D">
        <w:rPr>
          <w:sz w:val="22"/>
          <w:szCs w:val="22"/>
          <w:lang w:val="sr-Latn-ME"/>
        </w:rPr>
        <w:t xml:space="preserve">Medijana </w:t>
      </w:r>
      <w:r w:rsidR="004F6368" w:rsidRPr="00B8307D">
        <w:rPr>
          <w:sz w:val="22"/>
          <w:szCs w:val="22"/>
          <w:lang w:val="sr-Latn-ME"/>
        </w:rPr>
        <w:t>ukupno</w:t>
      </w:r>
      <w:r w:rsidRPr="00B8307D">
        <w:rPr>
          <w:sz w:val="22"/>
          <w:szCs w:val="22"/>
          <w:lang w:val="sr-Latn-ME"/>
        </w:rPr>
        <w:t>g</w:t>
      </w:r>
      <w:r w:rsidR="004F6368" w:rsidRPr="00B8307D">
        <w:rPr>
          <w:sz w:val="22"/>
          <w:szCs w:val="22"/>
          <w:lang w:val="sr-Latn-ME"/>
        </w:rPr>
        <w:t xml:space="preserve"> preživljavanj</w:t>
      </w:r>
      <w:r w:rsidRPr="00B8307D">
        <w:rPr>
          <w:sz w:val="22"/>
          <w:szCs w:val="22"/>
          <w:lang w:val="sr-Latn-ME"/>
        </w:rPr>
        <w:t>a</w:t>
      </w:r>
      <w:r w:rsidR="004F6368" w:rsidRPr="00B8307D">
        <w:rPr>
          <w:sz w:val="22"/>
          <w:szCs w:val="22"/>
          <w:lang w:val="sr-Latn-ME"/>
        </w:rPr>
        <w:t xml:space="preserve"> produžen</w:t>
      </w:r>
      <w:r w:rsidRPr="00B8307D">
        <w:rPr>
          <w:sz w:val="22"/>
          <w:szCs w:val="22"/>
          <w:lang w:val="sr-Latn-ME"/>
        </w:rPr>
        <w:t>a</w:t>
      </w:r>
      <w:r w:rsidR="004F6368" w:rsidRPr="00B8307D">
        <w:rPr>
          <w:sz w:val="22"/>
          <w:szCs w:val="22"/>
          <w:lang w:val="sr-Latn-ME"/>
        </w:rPr>
        <w:t xml:space="preserve"> je za 4,6 mjeseci kod pacijenata u grupi koja je primala kombinovanu terapiju. Ova razlika nije bila statistički značajna, međutim, više od polovine pacijenata u grupi koja je primala samo anastrozol prebačena je na režim koji je sadržao </w:t>
      </w:r>
      <w:r w:rsidRPr="00B8307D">
        <w:rPr>
          <w:sz w:val="22"/>
          <w:szCs w:val="22"/>
          <w:lang w:val="sr-Latn-ME"/>
        </w:rPr>
        <w:t xml:space="preserve">lijek </w:t>
      </w:r>
      <w:r w:rsidR="004F6368" w:rsidRPr="00B8307D">
        <w:rPr>
          <w:sz w:val="22"/>
          <w:szCs w:val="22"/>
          <w:lang w:val="sr-Latn-ME"/>
        </w:rPr>
        <w:t xml:space="preserve">Herceptin, nakon progresije bolesti. </w:t>
      </w:r>
    </w:p>
    <w:p w14:paraId="27F81EE3" w14:textId="77777777" w:rsidR="004F6368" w:rsidRPr="00B8307D" w:rsidRDefault="004F6368" w:rsidP="000A067B">
      <w:pPr>
        <w:widowControl w:val="0"/>
        <w:jc w:val="both"/>
        <w:rPr>
          <w:sz w:val="22"/>
          <w:szCs w:val="22"/>
          <w:lang w:val="sr-Latn-ME"/>
        </w:rPr>
      </w:pPr>
    </w:p>
    <w:p w14:paraId="74C5AA87" w14:textId="77777777" w:rsidR="004F6368" w:rsidRPr="00B8307D" w:rsidRDefault="004F6368" w:rsidP="000A067B">
      <w:pPr>
        <w:widowControl w:val="0"/>
        <w:jc w:val="both"/>
        <w:rPr>
          <w:i/>
          <w:sz w:val="22"/>
          <w:szCs w:val="22"/>
          <w:lang w:val="sr-Latn-ME"/>
        </w:rPr>
      </w:pPr>
      <w:r w:rsidRPr="00B8307D">
        <w:rPr>
          <w:i/>
          <w:sz w:val="22"/>
          <w:szCs w:val="22"/>
          <w:lang w:val="sr-Latn-ME"/>
        </w:rPr>
        <w:t>Tronedjeljno doziranje u liječenju kod metastatskog karcinoma dojke</w:t>
      </w:r>
    </w:p>
    <w:p w14:paraId="5E2BE27F" w14:textId="7E1F4F35" w:rsidR="004F6368" w:rsidRPr="00B8307D" w:rsidRDefault="004F6368" w:rsidP="000A067B">
      <w:pPr>
        <w:widowControl w:val="0"/>
        <w:jc w:val="both"/>
        <w:rPr>
          <w:sz w:val="22"/>
          <w:szCs w:val="22"/>
          <w:lang w:val="sr-Latn-ME"/>
        </w:rPr>
      </w:pPr>
      <w:r w:rsidRPr="00B8307D">
        <w:rPr>
          <w:sz w:val="22"/>
          <w:szCs w:val="22"/>
          <w:lang w:val="sr-Latn-ME"/>
        </w:rPr>
        <w:t xml:space="preserve">Rezultati efikasnosti is nekomparativnih studija kad je u pitanju monoterapija i kombinovana terapija, sumirani su u Tabeli 4. </w:t>
      </w:r>
    </w:p>
    <w:p w14:paraId="122EAB94" w14:textId="77777777" w:rsidR="00DE17BF" w:rsidRPr="00B8307D" w:rsidRDefault="00DE17BF" w:rsidP="000A067B">
      <w:pPr>
        <w:widowControl w:val="0"/>
        <w:jc w:val="both"/>
        <w:rPr>
          <w:sz w:val="22"/>
          <w:szCs w:val="22"/>
          <w:lang w:val="sr-Latn-ME"/>
        </w:rPr>
      </w:pPr>
    </w:p>
    <w:p w14:paraId="549CF9E0" w14:textId="77777777" w:rsidR="004F6368" w:rsidRPr="00B8307D" w:rsidRDefault="004F6368" w:rsidP="000A067B">
      <w:pPr>
        <w:widowControl w:val="0"/>
        <w:jc w:val="both"/>
        <w:rPr>
          <w:b/>
          <w:sz w:val="22"/>
          <w:szCs w:val="22"/>
          <w:lang w:val="sr-Latn-ME"/>
        </w:rPr>
      </w:pPr>
      <w:r w:rsidRPr="00B8307D">
        <w:rPr>
          <w:sz w:val="22"/>
          <w:szCs w:val="22"/>
          <w:lang w:val="sr-Latn-ME"/>
        </w:rPr>
        <w:t>Tabela 4: Rezultati efikasnosti iz nekomparativnih studija kad je u pitanju monoterapija i kombinovana terapija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6"/>
        <w:gridCol w:w="1278"/>
        <w:gridCol w:w="1557"/>
        <w:gridCol w:w="1701"/>
        <w:gridCol w:w="1993"/>
      </w:tblGrid>
      <w:tr w:rsidR="004F6368" w:rsidRPr="00B8307D" w14:paraId="265E1FF1" w14:textId="77777777" w:rsidTr="009E545A">
        <w:trPr>
          <w:cantSplit/>
        </w:trPr>
        <w:tc>
          <w:tcPr>
            <w:tcW w:w="1403" w:type="pct"/>
            <w:tcBorders>
              <w:top w:val="single" w:sz="4" w:space="0" w:color="auto"/>
              <w:left w:val="single" w:sz="4" w:space="0" w:color="auto"/>
              <w:bottom w:val="single" w:sz="4" w:space="0" w:color="auto"/>
              <w:right w:val="single" w:sz="4" w:space="0" w:color="auto"/>
            </w:tcBorders>
            <w:hideMark/>
          </w:tcPr>
          <w:p w14:paraId="0BB80E09" w14:textId="77777777" w:rsidR="004F6368" w:rsidRPr="00B8307D" w:rsidRDefault="004F6368" w:rsidP="000A067B">
            <w:pPr>
              <w:widowControl w:val="0"/>
              <w:tabs>
                <w:tab w:val="left" w:pos="284"/>
              </w:tabs>
              <w:jc w:val="center"/>
              <w:rPr>
                <w:b/>
                <w:sz w:val="22"/>
                <w:szCs w:val="22"/>
                <w:lang w:val="sr-Latn-ME"/>
              </w:rPr>
            </w:pPr>
            <w:r w:rsidRPr="00B8307D">
              <w:rPr>
                <w:b/>
                <w:sz w:val="22"/>
                <w:szCs w:val="22"/>
                <w:lang w:val="sr-Latn-ME"/>
              </w:rPr>
              <w:t>Parametar</w:t>
            </w:r>
          </w:p>
        </w:tc>
        <w:tc>
          <w:tcPr>
            <w:tcW w:w="1561" w:type="pct"/>
            <w:gridSpan w:val="2"/>
            <w:tcBorders>
              <w:top w:val="single" w:sz="4" w:space="0" w:color="auto"/>
              <w:left w:val="single" w:sz="4" w:space="0" w:color="auto"/>
              <w:bottom w:val="single" w:sz="4" w:space="0" w:color="auto"/>
              <w:right w:val="single" w:sz="4" w:space="0" w:color="auto"/>
            </w:tcBorders>
            <w:hideMark/>
          </w:tcPr>
          <w:p w14:paraId="2EFF3062" w14:textId="77777777" w:rsidR="004F6368" w:rsidRPr="00B8307D" w:rsidRDefault="004F6368" w:rsidP="000A067B">
            <w:pPr>
              <w:widowControl w:val="0"/>
              <w:tabs>
                <w:tab w:val="left" w:pos="284"/>
              </w:tabs>
              <w:jc w:val="center"/>
              <w:rPr>
                <w:b/>
                <w:sz w:val="22"/>
                <w:szCs w:val="22"/>
                <w:lang w:val="sr-Latn-ME"/>
              </w:rPr>
            </w:pPr>
            <w:r w:rsidRPr="00B8307D">
              <w:rPr>
                <w:b/>
                <w:sz w:val="22"/>
                <w:szCs w:val="22"/>
                <w:lang w:val="sr-Latn-ME"/>
              </w:rPr>
              <w:t>Monoterapija</w:t>
            </w:r>
          </w:p>
        </w:tc>
        <w:tc>
          <w:tcPr>
            <w:tcW w:w="2035" w:type="pct"/>
            <w:gridSpan w:val="2"/>
            <w:tcBorders>
              <w:top w:val="single" w:sz="4" w:space="0" w:color="auto"/>
              <w:left w:val="single" w:sz="4" w:space="0" w:color="auto"/>
              <w:bottom w:val="single" w:sz="4" w:space="0" w:color="auto"/>
              <w:right w:val="single" w:sz="4" w:space="0" w:color="auto"/>
            </w:tcBorders>
            <w:hideMark/>
          </w:tcPr>
          <w:p w14:paraId="0EEFF386" w14:textId="77777777" w:rsidR="004F6368" w:rsidRPr="00B8307D" w:rsidRDefault="004F6368" w:rsidP="000A067B">
            <w:pPr>
              <w:widowControl w:val="0"/>
              <w:tabs>
                <w:tab w:val="left" w:pos="284"/>
              </w:tabs>
              <w:jc w:val="center"/>
              <w:rPr>
                <w:b/>
                <w:sz w:val="22"/>
                <w:szCs w:val="22"/>
                <w:lang w:val="sr-Latn-ME"/>
              </w:rPr>
            </w:pPr>
            <w:r w:rsidRPr="00B8307D">
              <w:rPr>
                <w:b/>
                <w:sz w:val="22"/>
                <w:szCs w:val="22"/>
                <w:lang w:val="sr-Latn-ME"/>
              </w:rPr>
              <w:t>Kombinovana terapija</w:t>
            </w:r>
          </w:p>
        </w:tc>
      </w:tr>
      <w:tr w:rsidR="004F6368" w:rsidRPr="00B8307D" w14:paraId="21F51ADB" w14:textId="77777777" w:rsidTr="009E545A">
        <w:tc>
          <w:tcPr>
            <w:tcW w:w="1403" w:type="pct"/>
            <w:tcBorders>
              <w:top w:val="single" w:sz="4" w:space="0" w:color="auto"/>
              <w:left w:val="single" w:sz="4" w:space="0" w:color="auto"/>
              <w:bottom w:val="single" w:sz="4" w:space="0" w:color="auto"/>
              <w:right w:val="single" w:sz="4" w:space="0" w:color="auto"/>
            </w:tcBorders>
            <w:hideMark/>
          </w:tcPr>
          <w:p w14:paraId="03FC263D" w14:textId="77777777" w:rsidR="004F6368" w:rsidRPr="00B8307D" w:rsidRDefault="004F6368" w:rsidP="000A067B">
            <w:pPr>
              <w:widowControl w:val="0"/>
              <w:tabs>
                <w:tab w:val="left" w:pos="284"/>
              </w:tabs>
              <w:jc w:val="both"/>
              <w:rPr>
                <w:b/>
                <w:sz w:val="22"/>
                <w:szCs w:val="22"/>
                <w:lang w:val="sr-Latn-ME"/>
              </w:rPr>
            </w:pPr>
            <w:r w:rsidRPr="00B8307D">
              <w:rPr>
                <w:b/>
                <w:sz w:val="22"/>
                <w:szCs w:val="22"/>
                <w:lang w:val="sr-Latn-ME"/>
              </w:rPr>
              <w:t xml:space="preserve"> </w:t>
            </w:r>
          </w:p>
        </w:tc>
        <w:tc>
          <w:tcPr>
            <w:tcW w:w="704" w:type="pct"/>
            <w:tcBorders>
              <w:top w:val="single" w:sz="4" w:space="0" w:color="auto"/>
              <w:left w:val="single" w:sz="4" w:space="0" w:color="auto"/>
              <w:bottom w:val="single" w:sz="4" w:space="0" w:color="auto"/>
              <w:right w:val="single" w:sz="4" w:space="0" w:color="auto"/>
            </w:tcBorders>
          </w:tcPr>
          <w:p w14:paraId="7B53A2C9" w14:textId="77777777" w:rsidR="004F6368" w:rsidRPr="00B8307D" w:rsidRDefault="004F6368" w:rsidP="000A067B">
            <w:pPr>
              <w:widowControl w:val="0"/>
              <w:jc w:val="center"/>
              <w:rPr>
                <w:b/>
                <w:sz w:val="22"/>
                <w:szCs w:val="22"/>
                <w:lang w:val="sr-Latn-ME"/>
              </w:rPr>
            </w:pPr>
            <w:r w:rsidRPr="00B8307D">
              <w:rPr>
                <w:b/>
                <w:sz w:val="22"/>
                <w:szCs w:val="22"/>
                <w:lang w:val="sr-Latn-ME"/>
              </w:rPr>
              <w:t>Herceptin</w:t>
            </w:r>
            <w:r w:rsidRPr="00B8307D">
              <w:rPr>
                <w:b/>
                <w:sz w:val="22"/>
                <w:szCs w:val="22"/>
                <w:vertAlign w:val="superscript"/>
                <w:lang w:val="sr-Latn-ME"/>
              </w:rPr>
              <w:t>1</w:t>
            </w:r>
          </w:p>
          <w:p w14:paraId="5298F4CD" w14:textId="77777777" w:rsidR="004F6368" w:rsidRPr="00B8307D" w:rsidRDefault="004F6368" w:rsidP="000A067B">
            <w:pPr>
              <w:widowControl w:val="0"/>
              <w:jc w:val="center"/>
              <w:rPr>
                <w:b/>
                <w:sz w:val="22"/>
                <w:szCs w:val="22"/>
                <w:lang w:val="sr-Latn-ME"/>
              </w:rPr>
            </w:pPr>
          </w:p>
          <w:p w14:paraId="50F43902" w14:textId="77777777" w:rsidR="004F6368" w:rsidRPr="00B8307D" w:rsidRDefault="004F6368" w:rsidP="000A067B">
            <w:pPr>
              <w:widowControl w:val="0"/>
              <w:tabs>
                <w:tab w:val="left" w:pos="284"/>
              </w:tabs>
              <w:jc w:val="center"/>
              <w:rPr>
                <w:b/>
                <w:sz w:val="22"/>
                <w:szCs w:val="22"/>
                <w:lang w:val="sr-Latn-ME"/>
              </w:rPr>
            </w:pPr>
            <w:r w:rsidRPr="00B8307D">
              <w:rPr>
                <w:b/>
                <w:sz w:val="22"/>
                <w:szCs w:val="22"/>
                <w:lang w:val="sr-Latn-ME"/>
              </w:rPr>
              <w:t>N=105</w:t>
            </w:r>
          </w:p>
        </w:tc>
        <w:tc>
          <w:tcPr>
            <w:tcW w:w="858" w:type="pct"/>
            <w:tcBorders>
              <w:top w:val="single" w:sz="4" w:space="0" w:color="auto"/>
              <w:left w:val="single" w:sz="4" w:space="0" w:color="auto"/>
              <w:bottom w:val="single" w:sz="4" w:space="0" w:color="auto"/>
              <w:right w:val="single" w:sz="4" w:space="0" w:color="auto"/>
            </w:tcBorders>
          </w:tcPr>
          <w:p w14:paraId="443BE814" w14:textId="77777777" w:rsidR="004F6368" w:rsidRPr="00B8307D" w:rsidRDefault="004F6368" w:rsidP="000A067B">
            <w:pPr>
              <w:widowControl w:val="0"/>
              <w:jc w:val="center"/>
              <w:rPr>
                <w:b/>
                <w:sz w:val="22"/>
                <w:szCs w:val="22"/>
                <w:lang w:val="sr-Latn-ME"/>
              </w:rPr>
            </w:pPr>
            <w:r w:rsidRPr="00B8307D">
              <w:rPr>
                <w:b/>
                <w:sz w:val="22"/>
                <w:szCs w:val="22"/>
                <w:lang w:val="sr-Latn-ME"/>
              </w:rPr>
              <w:t>Herceptin</w:t>
            </w:r>
            <w:r w:rsidRPr="00B8307D">
              <w:rPr>
                <w:b/>
                <w:sz w:val="22"/>
                <w:szCs w:val="22"/>
                <w:vertAlign w:val="superscript"/>
                <w:lang w:val="sr-Latn-ME"/>
              </w:rPr>
              <w:t>2</w:t>
            </w:r>
          </w:p>
          <w:p w14:paraId="494325C0" w14:textId="77777777" w:rsidR="004F6368" w:rsidRPr="00B8307D" w:rsidRDefault="004F6368" w:rsidP="000A067B">
            <w:pPr>
              <w:widowControl w:val="0"/>
              <w:jc w:val="center"/>
              <w:rPr>
                <w:b/>
                <w:sz w:val="22"/>
                <w:szCs w:val="22"/>
                <w:lang w:val="sr-Latn-ME"/>
              </w:rPr>
            </w:pPr>
          </w:p>
          <w:p w14:paraId="300C1277" w14:textId="77777777" w:rsidR="004F6368" w:rsidRPr="00B8307D" w:rsidRDefault="004F6368" w:rsidP="000A067B">
            <w:pPr>
              <w:widowControl w:val="0"/>
              <w:tabs>
                <w:tab w:val="left" w:pos="284"/>
              </w:tabs>
              <w:jc w:val="center"/>
              <w:rPr>
                <w:b/>
                <w:sz w:val="22"/>
                <w:szCs w:val="22"/>
                <w:lang w:val="sr-Latn-ME"/>
              </w:rPr>
            </w:pPr>
            <w:r w:rsidRPr="00B8307D">
              <w:rPr>
                <w:b/>
                <w:sz w:val="22"/>
                <w:szCs w:val="22"/>
                <w:lang w:val="sr-Latn-ME"/>
              </w:rPr>
              <w:t>N=72</w:t>
            </w:r>
          </w:p>
        </w:tc>
        <w:tc>
          <w:tcPr>
            <w:tcW w:w="937" w:type="pct"/>
            <w:tcBorders>
              <w:top w:val="single" w:sz="4" w:space="0" w:color="auto"/>
              <w:left w:val="single" w:sz="4" w:space="0" w:color="auto"/>
              <w:bottom w:val="single" w:sz="4" w:space="0" w:color="auto"/>
              <w:right w:val="single" w:sz="4" w:space="0" w:color="auto"/>
            </w:tcBorders>
            <w:hideMark/>
          </w:tcPr>
          <w:p w14:paraId="5A2D1F4B" w14:textId="4E9880F2" w:rsidR="004F6368" w:rsidRPr="00B8307D" w:rsidRDefault="004F6368" w:rsidP="000A067B">
            <w:pPr>
              <w:widowControl w:val="0"/>
              <w:jc w:val="center"/>
              <w:rPr>
                <w:b/>
                <w:sz w:val="22"/>
                <w:szCs w:val="22"/>
                <w:vertAlign w:val="superscript"/>
                <w:lang w:val="sr-Latn-ME"/>
              </w:rPr>
            </w:pPr>
            <w:r w:rsidRPr="00B8307D">
              <w:rPr>
                <w:b/>
                <w:sz w:val="22"/>
                <w:szCs w:val="22"/>
                <w:lang w:val="sr-Latn-ME"/>
              </w:rPr>
              <w:t xml:space="preserve">Herceptin </w:t>
            </w:r>
            <w:r w:rsidR="00EA7BE5" w:rsidRPr="00B8307D">
              <w:rPr>
                <w:b/>
                <w:sz w:val="22"/>
                <w:szCs w:val="22"/>
                <w:lang w:val="sr-Latn-ME"/>
              </w:rPr>
              <w:t xml:space="preserve">+ </w:t>
            </w:r>
            <w:r w:rsidRPr="00B8307D">
              <w:rPr>
                <w:b/>
                <w:sz w:val="22"/>
                <w:szCs w:val="22"/>
                <w:lang w:val="sr-Latn-ME"/>
              </w:rPr>
              <w:t>paklitaksel</w:t>
            </w:r>
            <w:r w:rsidRPr="00B8307D">
              <w:rPr>
                <w:b/>
                <w:sz w:val="22"/>
                <w:szCs w:val="22"/>
                <w:vertAlign w:val="superscript"/>
                <w:lang w:val="sr-Latn-ME"/>
              </w:rPr>
              <w:t>3</w:t>
            </w:r>
          </w:p>
          <w:p w14:paraId="101665B4" w14:textId="77777777" w:rsidR="004F6368" w:rsidRPr="00B8307D" w:rsidRDefault="004F6368" w:rsidP="000A067B">
            <w:pPr>
              <w:widowControl w:val="0"/>
              <w:tabs>
                <w:tab w:val="left" w:pos="284"/>
              </w:tabs>
              <w:jc w:val="center"/>
              <w:rPr>
                <w:b/>
                <w:sz w:val="22"/>
                <w:szCs w:val="22"/>
                <w:lang w:val="sr-Latn-ME"/>
              </w:rPr>
            </w:pPr>
            <w:r w:rsidRPr="00B8307D">
              <w:rPr>
                <w:b/>
                <w:sz w:val="22"/>
                <w:szCs w:val="22"/>
                <w:lang w:val="sr-Latn-ME"/>
              </w:rPr>
              <w:t>N=32</w:t>
            </w:r>
          </w:p>
        </w:tc>
        <w:tc>
          <w:tcPr>
            <w:tcW w:w="1098" w:type="pct"/>
            <w:tcBorders>
              <w:top w:val="single" w:sz="4" w:space="0" w:color="auto"/>
              <w:left w:val="single" w:sz="4" w:space="0" w:color="auto"/>
              <w:bottom w:val="single" w:sz="4" w:space="0" w:color="auto"/>
              <w:right w:val="single" w:sz="4" w:space="0" w:color="auto"/>
            </w:tcBorders>
            <w:hideMark/>
          </w:tcPr>
          <w:p w14:paraId="46485B9E" w14:textId="4B97B13C" w:rsidR="004F6368" w:rsidRPr="00B8307D" w:rsidRDefault="004F6368" w:rsidP="000A067B">
            <w:pPr>
              <w:widowControl w:val="0"/>
              <w:jc w:val="center"/>
              <w:rPr>
                <w:b/>
                <w:sz w:val="22"/>
                <w:szCs w:val="22"/>
                <w:lang w:val="sr-Latn-ME"/>
              </w:rPr>
            </w:pPr>
            <w:r w:rsidRPr="00B8307D">
              <w:rPr>
                <w:b/>
                <w:sz w:val="22"/>
                <w:szCs w:val="22"/>
                <w:lang w:val="sr-Latn-ME"/>
              </w:rPr>
              <w:t xml:space="preserve">Herceptin </w:t>
            </w:r>
            <w:r w:rsidR="00EA7BE5" w:rsidRPr="00B8307D">
              <w:rPr>
                <w:b/>
                <w:sz w:val="22"/>
                <w:szCs w:val="22"/>
                <w:lang w:val="sr-Latn-ME"/>
              </w:rPr>
              <w:t>+</w:t>
            </w:r>
          </w:p>
          <w:p w14:paraId="60EFA333" w14:textId="77777777" w:rsidR="004F6368" w:rsidRPr="00B8307D" w:rsidRDefault="004F6368" w:rsidP="000A067B">
            <w:pPr>
              <w:widowControl w:val="0"/>
              <w:jc w:val="center"/>
              <w:rPr>
                <w:b/>
                <w:sz w:val="22"/>
                <w:szCs w:val="22"/>
                <w:lang w:val="sr-Latn-ME"/>
              </w:rPr>
            </w:pPr>
            <w:r w:rsidRPr="00B8307D">
              <w:rPr>
                <w:b/>
                <w:sz w:val="22"/>
                <w:szCs w:val="22"/>
                <w:lang w:val="sr-Latn-ME"/>
              </w:rPr>
              <w:t>Docetaksel</w:t>
            </w:r>
            <w:r w:rsidRPr="00B8307D">
              <w:rPr>
                <w:b/>
                <w:sz w:val="22"/>
                <w:szCs w:val="22"/>
                <w:vertAlign w:val="superscript"/>
                <w:lang w:val="sr-Latn-ME"/>
              </w:rPr>
              <w:t>4</w:t>
            </w:r>
          </w:p>
          <w:p w14:paraId="6454BD75" w14:textId="77777777" w:rsidR="004F6368" w:rsidRPr="00B8307D" w:rsidRDefault="004F6368" w:rsidP="000A067B">
            <w:pPr>
              <w:widowControl w:val="0"/>
              <w:tabs>
                <w:tab w:val="left" w:pos="284"/>
              </w:tabs>
              <w:jc w:val="center"/>
              <w:rPr>
                <w:b/>
                <w:sz w:val="22"/>
                <w:szCs w:val="22"/>
                <w:lang w:val="sr-Latn-ME"/>
              </w:rPr>
            </w:pPr>
            <w:r w:rsidRPr="00B8307D">
              <w:rPr>
                <w:b/>
                <w:sz w:val="22"/>
                <w:szCs w:val="22"/>
                <w:lang w:val="sr-Latn-ME"/>
              </w:rPr>
              <w:t>N=110</w:t>
            </w:r>
          </w:p>
        </w:tc>
      </w:tr>
      <w:tr w:rsidR="004F6368" w:rsidRPr="00B8307D" w14:paraId="3AAE7234" w14:textId="77777777" w:rsidTr="009E545A">
        <w:tc>
          <w:tcPr>
            <w:tcW w:w="1403" w:type="pct"/>
            <w:tcBorders>
              <w:top w:val="single" w:sz="4" w:space="0" w:color="auto"/>
              <w:left w:val="single" w:sz="4" w:space="0" w:color="auto"/>
              <w:bottom w:val="single" w:sz="4" w:space="0" w:color="auto"/>
              <w:right w:val="single" w:sz="4" w:space="0" w:color="auto"/>
            </w:tcBorders>
            <w:hideMark/>
          </w:tcPr>
          <w:p w14:paraId="531405DF" w14:textId="77777777" w:rsidR="004F6368" w:rsidRPr="00B8307D" w:rsidRDefault="004F6368" w:rsidP="000A067B">
            <w:pPr>
              <w:widowControl w:val="0"/>
              <w:tabs>
                <w:tab w:val="left" w:pos="284"/>
              </w:tabs>
              <w:rPr>
                <w:b/>
                <w:sz w:val="22"/>
                <w:szCs w:val="22"/>
                <w:lang w:val="sr-Latn-ME"/>
              </w:rPr>
            </w:pPr>
            <w:r w:rsidRPr="00B8307D">
              <w:rPr>
                <w:b/>
                <w:sz w:val="22"/>
                <w:szCs w:val="22"/>
                <w:lang w:val="sr-Latn-ME"/>
              </w:rPr>
              <w:t>Stopa odgovora (Interval pouzdanosti-IP- 95%)</w:t>
            </w:r>
          </w:p>
        </w:tc>
        <w:tc>
          <w:tcPr>
            <w:tcW w:w="704" w:type="pct"/>
            <w:tcBorders>
              <w:top w:val="single" w:sz="4" w:space="0" w:color="auto"/>
              <w:left w:val="single" w:sz="4" w:space="0" w:color="auto"/>
              <w:bottom w:val="single" w:sz="4" w:space="0" w:color="auto"/>
              <w:right w:val="single" w:sz="4" w:space="0" w:color="auto"/>
            </w:tcBorders>
            <w:hideMark/>
          </w:tcPr>
          <w:p w14:paraId="42320C56" w14:textId="77777777" w:rsidR="004F6368" w:rsidRPr="00B8307D" w:rsidRDefault="004F6368" w:rsidP="000A067B">
            <w:pPr>
              <w:widowControl w:val="0"/>
              <w:jc w:val="center"/>
              <w:rPr>
                <w:sz w:val="22"/>
                <w:szCs w:val="22"/>
                <w:lang w:val="sr-Latn-ME"/>
              </w:rPr>
            </w:pPr>
            <w:r w:rsidRPr="00B8307D">
              <w:rPr>
                <w:sz w:val="22"/>
                <w:szCs w:val="22"/>
                <w:lang w:val="sr-Latn-ME"/>
              </w:rPr>
              <w:t>24%</w:t>
            </w:r>
          </w:p>
          <w:p w14:paraId="15100E4B" w14:textId="77777777" w:rsidR="004F6368" w:rsidRPr="00B8307D" w:rsidRDefault="004F6368" w:rsidP="000A067B">
            <w:pPr>
              <w:widowControl w:val="0"/>
              <w:tabs>
                <w:tab w:val="left" w:pos="284"/>
              </w:tabs>
              <w:jc w:val="center"/>
              <w:rPr>
                <w:sz w:val="22"/>
                <w:szCs w:val="22"/>
                <w:lang w:val="sr-Latn-ME"/>
              </w:rPr>
            </w:pPr>
            <w:r w:rsidRPr="00B8307D">
              <w:rPr>
                <w:sz w:val="22"/>
                <w:szCs w:val="22"/>
                <w:lang w:val="sr-Latn-ME"/>
              </w:rPr>
              <w:t>(15 - 35)</w:t>
            </w:r>
          </w:p>
        </w:tc>
        <w:tc>
          <w:tcPr>
            <w:tcW w:w="858" w:type="pct"/>
            <w:tcBorders>
              <w:top w:val="single" w:sz="4" w:space="0" w:color="auto"/>
              <w:left w:val="single" w:sz="4" w:space="0" w:color="auto"/>
              <w:bottom w:val="single" w:sz="4" w:space="0" w:color="auto"/>
              <w:right w:val="single" w:sz="4" w:space="0" w:color="auto"/>
            </w:tcBorders>
            <w:hideMark/>
          </w:tcPr>
          <w:p w14:paraId="24011EED" w14:textId="77777777" w:rsidR="004F6368" w:rsidRPr="00B8307D" w:rsidRDefault="004F6368" w:rsidP="000A067B">
            <w:pPr>
              <w:widowControl w:val="0"/>
              <w:jc w:val="center"/>
              <w:rPr>
                <w:sz w:val="22"/>
                <w:szCs w:val="22"/>
                <w:lang w:val="sr-Latn-ME"/>
              </w:rPr>
            </w:pPr>
            <w:r w:rsidRPr="00B8307D">
              <w:rPr>
                <w:sz w:val="22"/>
                <w:szCs w:val="22"/>
                <w:lang w:val="sr-Latn-ME"/>
              </w:rPr>
              <w:t>27%</w:t>
            </w:r>
          </w:p>
          <w:p w14:paraId="5A0C2F1B" w14:textId="77777777" w:rsidR="004F6368" w:rsidRPr="00B8307D" w:rsidRDefault="004F6368" w:rsidP="000A067B">
            <w:pPr>
              <w:widowControl w:val="0"/>
              <w:tabs>
                <w:tab w:val="left" w:pos="284"/>
              </w:tabs>
              <w:jc w:val="center"/>
              <w:rPr>
                <w:sz w:val="22"/>
                <w:szCs w:val="22"/>
                <w:lang w:val="sr-Latn-ME"/>
              </w:rPr>
            </w:pPr>
            <w:r w:rsidRPr="00B8307D">
              <w:rPr>
                <w:sz w:val="22"/>
                <w:szCs w:val="22"/>
                <w:lang w:val="sr-Latn-ME"/>
              </w:rPr>
              <w:t>(14 - 43)</w:t>
            </w:r>
          </w:p>
        </w:tc>
        <w:tc>
          <w:tcPr>
            <w:tcW w:w="937" w:type="pct"/>
            <w:tcBorders>
              <w:top w:val="single" w:sz="4" w:space="0" w:color="auto"/>
              <w:left w:val="single" w:sz="4" w:space="0" w:color="auto"/>
              <w:bottom w:val="single" w:sz="4" w:space="0" w:color="auto"/>
              <w:right w:val="single" w:sz="4" w:space="0" w:color="auto"/>
            </w:tcBorders>
            <w:hideMark/>
          </w:tcPr>
          <w:p w14:paraId="207803D0" w14:textId="77777777" w:rsidR="004F6368" w:rsidRPr="00B8307D" w:rsidRDefault="004F6368" w:rsidP="000A067B">
            <w:pPr>
              <w:widowControl w:val="0"/>
              <w:jc w:val="center"/>
              <w:rPr>
                <w:sz w:val="22"/>
                <w:szCs w:val="22"/>
                <w:lang w:val="sr-Latn-ME"/>
              </w:rPr>
            </w:pPr>
            <w:r w:rsidRPr="00B8307D">
              <w:rPr>
                <w:sz w:val="22"/>
                <w:szCs w:val="22"/>
                <w:lang w:val="sr-Latn-ME"/>
              </w:rPr>
              <w:t>59%</w:t>
            </w:r>
          </w:p>
          <w:p w14:paraId="373716B5" w14:textId="77777777" w:rsidR="004F6368" w:rsidRPr="00B8307D" w:rsidRDefault="004F6368" w:rsidP="000A067B">
            <w:pPr>
              <w:widowControl w:val="0"/>
              <w:tabs>
                <w:tab w:val="left" w:pos="284"/>
              </w:tabs>
              <w:jc w:val="center"/>
              <w:rPr>
                <w:sz w:val="22"/>
                <w:szCs w:val="22"/>
                <w:lang w:val="sr-Latn-ME"/>
              </w:rPr>
            </w:pPr>
            <w:r w:rsidRPr="00B8307D">
              <w:rPr>
                <w:sz w:val="22"/>
                <w:szCs w:val="22"/>
                <w:lang w:val="sr-Latn-ME"/>
              </w:rPr>
              <w:t>(41-76)</w:t>
            </w:r>
          </w:p>
        </w:tc>
        <w:tc>
          <w:tcPr>
            <w:tcW w:w="1098" w:type="pct"/>
            <w:tcBorders>
              <w:top w:val="single" w:sz="4" w:space="0" w:color="auto"/>
              <w:left w:val="single" w:sz="4" w:space="0" w:color="auto"/>
              <w:bottom w:val="single" w:sz="4" w:space="0" w:color="auto"/>
              <w:right w:val="single" w:sz="4" w:space="0" w:color="auto"/>
            </w:tcBorders>
            <w:hideMark/>
          </w:tcPr>
          <w:p w14:paraId="576EF6EB" w14:textId="77777777" w:rsidR="004F6368" w:rsidRPr="00B8307D" w:rsidRDefault="004F6368" w:rsidP="000A067B">
            <w:pPr>
              <w:widowControl w:val="0"/>
              <w:jc w:val="center"/>
              <w:rPr>
                <w:sz w:val="22"/>
                <w:szCs w:val="22"/>
                <w:lang w:val="sr-Latn-ME"/>
              </w:rPr>
            </w:pPr>
            <w:r w:rsidRPr="00B8307D">
              <w:rPr>
                <w:sz w:val="22"/>
                <w:szCs w:val="22"/>
                <w:lang w:val="sr-Latn-ME"/>
              </w:rPr>
              <w:t>73%</w:t>
            </w:r>
          </w:p>
          <w:p w14:paraId="5703750E" w14:textId="77777777" w:rsidR="004F6368" w:rsidRPr="00B8307D" w:rsidRDefault="004F6368" w:rsidP="000A067B">
            <w:pPr>
              <w:widowControl w:val="0"/>
              <w:tabs>
                <w:tab w:val="left" w:pos="284"/>
              </w:tabs>
              <w:jc w:val="center"/>
              <w:rPr>
                <w:sz w:val="22"/>
                <w:szCs w:val="22"/>
                <w:lang w:val="sr-Latn-ME"/>
              </w:rPr>
            </w:pPr>
            <w:r w:rsidRPr="00B8307D">
              <w:rPr>
                <w:sz w:val="22"/>
                <w:szCs w:val="22"/>
                <w:lang w:val="sr-Latn-ME"/>
              </w:rPr>
              <w:t>(63-81)</w:t>
            </w:r>
          </w:p>
        </w:tc>
      </w:tr>
      <w:tr w:rsidR="004F6368" w:rsidRPr="00B8307D" w14:paraId="3B6A8F0F" w14:textId="77777777" w:rsidTr="009E545A">
        <w:tc>
          <w:tcPr>
            <w:tcW w:w="1403" w:type="pct"/>
            <w:tcBorders>
              <w:top w:val="single" w:sz="4" w:space="0" w:color="auto"/>
              <w:left w:val="single" w:sz="4" w:space="0" w:color="auto"/>
              <w:bottom w:val="single" w:sz="4" w:space="0" w:color="auto"/>
              <w:right w:val="single" w:sz="4" w:space="0" w:color="auto"/>
            </w:tcBorders>
            <w:hideMark/>
          </w:tcPr>
          <w:p w14:paraId="515FFFBE" w14:textId="16D971FC" w:rsidR="004F6368" w:rsidRPr="00B8307D" w:rsidRDefault="00DE17BF" w:rsidP="000A067B">
            <w:pPr>
              <w:widowControl w:val="0"/>
              <w:tabs>
                <w:tab w:val="left" w:pos="284"/>
              </w:tabs>
              <w:rPr>
                <w:b/>
                <w:sz w:val="22"/>
                <w:szCs w:val="22"/>
                <w:lang w:val="sr-Latn-ME"/>
              </w:rPr>
            </w:pPr>
            <w:r w:rsidRPr="00B8307D">
              <w:rPr>
                <w:b/>
                <w:sz w:val="22"/>
                <w:szCs w:val="22"/>
                <w:lang w:val="sr-Latn-ME"/>
              </w:rPr>
              <w:t xml:space="preserve">Medijana </w:t>
            </w:r>
            <w:r w:rsidR="004F6368" w:rsidRPr="00B8307D">
              <w:rPr>
                <w:b/>
                <w:sz w:val="22"/>
                <w:szCs w:val="22"/>
                <w:lang w:val="sr-Latn-ME"/>
              </w:rPr>
              <w:t>trajanj</w:t>
            </w:r>
            <w:r w:rsidRPr="00B8307D">
              <w:rPr>
                <w:b/>
                <w:sz w:val="22"/>
                <w:szCs w:val="22"/>
                <w:lang w:val="sr-Latn-ME"/>
              </w:rPr>
              <w:t>a</w:t>
            </w:r>
            <w:r w:rsidR="004F6368" w:rsidRPr="00B8307D">
              <w:rPr>
                <w:b/>
                <w:sz w:val="22"/>
                <w:szCs w:val="22"/>
                <w:lang w:val="sr-Latn-ME"/>
              </w:rPr>
              <w:t xml:space="preserve"> odgovora (u mjesecima) (opseg)</w:t>
            </w:r>
          </w:p>
        </w:tc>
        <w:tc>
          <w:tcPr>
            <w:tcW w:w="704" w:type="pct"/>
            <w:tcBorders>
              <w:top w:val="single" w:sz="4" w:space="0" w:color="auto"/>
              <w:left w:val="single" w:sz="4" w:space="0" w:color="auto"/>
              <w:bottom w:val="single" w:sz="4" w:space="0" w:color="auto"/>
              <w:right w:val="single" w:sz="4" w:space="0" w:color="auto"/>
            </w:tcBorders>
            <w:hideMark/>
          </w:tcPr>
          <w:p w14:paraId="6AE30778" w14:textId="77777777" w:rsidR="004F6368" w:rsidRPr="00B8307D" w:rsidRDefault="004F6368" w:rsidP="000A067B">
            <w:pPr>
              <w:widowControl w:val="0"/>
              <w:jc w:val="center"/>
              <w:rPr>
                <w:sz w:val="22"/>
                <w:szCs w:val="22"/>
                <w:lang w:val="sr-Latn-ME"/>
              </w:rPr>
            </w:pPr>
            <w:r w:rsidRPr="00B8307D">
              <w:rPr>
                <w:sz w:val="22"/>
                <w:szCs w:val="22"/>
                <w:lang w:val="sr-Latn-ME"/>
              </w:rPr>
              <w:t>10.1</w:t>
            </w:r>
          </w:p>
          <w:p w14:paraId="22A27291" w14:textId="77777777" w:rsidR="004F6368" w:rsidRPr="00B8307D" w:rsidRDefault="004F6368" w:rsidP="000A067B">
            <w:pPr>
              <w:widowControl w:val="0"/>
              <w:tabs>
                <w:tab w:val="left" w:pos="284"/>
              </w:tabs>
              <w:jc w:val="center"/>
              <w:rPr>
                <w:sz w:val="22"/>
                <w:szCs w:val="22"/>
                <w:lang w:val="sr-Latn-ME"/>
              </w:rPr>
            </w:pPr>
            <w:r w:rsidRPr="00B8307D">
              <w:rPr>
                <w:sz w:val="22"/>
                <w:szCs w:val="22"/>
                <w:lang w:val="sr-Latn-ME"/>
              </w:rPr>
              <w:t>(2.8-35.6)</w:t>
            </w:r>
          </w:p>
        </w:tc>
        <w:tc>
          <w:tcPr>
            <w:tcW w:w="858" w:type="pct"/>
            <w:tcBorders>
              <w:top w:val="single" w:sz="4" w:space="0" w:color="auto"/>
              <w:left w:val="single" w:sz="4" w:space="0" w:color="auto"/>
              <w:bottom w:val="single" w:sz="4" w:space="0" w:color="auto"/>
              <w:right w:val="single" w:sz="4" w:space="0" w:color="auto"/>
            </w:tcBorders>
            <w:hideMark/>
          </w:tcPr>
          <w:p w14:paraId="4D11F4C6" w14:textId="77777777" w:rsidR="004F6368" w:rsidRPr="00B8307D" w:rsidRDefault="004F6368" w:rsidP="000A067B">
            <w:pPr>
              <w:widowControl w:val="0"/>
              <w:jc w:val="center"/>
              <w:rPr>
                <w:sz w:val="22"/>
                <w:szCs w:val="22"/>
                <w:lang w:val="sr-Latn-ME"/>
              </w:rPr>
            </w:pPr>
            <w:r w:rsidRPr="00B8307D">
              <w:rPr>
                <w:sz w:val="22"/>
                <w:szCs w:val="22"/>
                <w:lang w:val="sr-Latn-ME"/>
              </w:rPr>
              <w:t>7.9</w:t>
            </w:r>
          </w:p>
          <w:p w14:paraId="44E83070" w14:textId="77777777" w:rsidR="004F6368" w:rsidRPr="00B8307D" w:rsidRDefault="004F6368" w:rsidP="000A067B">
            <w:pPr>
              <w:widowControl w:val="0"/>
              <w:tabs>
                <w:tab w:val="left" w:pos="284"/>
              </w:tabs>
              <w:jc w:val="center"/>
              <w:rPr>
                <w:sz w:val="22"/>
                <w:szCs w:val="22"/>
                <w:lang w:val="sr-Latn-ME"/>
              </w:rPr>
            </w:pPr>
            <w:r w:rsidRPr="00B8307D">
              <w:rPr>
                <w:sz w:val="22"/>
                <w:szCs w:val="22"/>
                <w:lang w:val="sr-Latn-ME"/>
              </w:rPr>
              <w:t>(2.1-18.8)</w:t>
            </w:r>
          </w:p>
        </w:tc>
        <w:tc>
          <w:tcPr>
            <w:tcW w:w="937" w:type="pct"/>
            <w:tcBorders>
              <w:top w:val="single" w:sz="4" w:space="0" w:color="auto"/>
              <w:left w:val="single" w:sz="4" w:space="0" w:color="auto"/>
              <w:bottom w:val="single" w:sz="4" w:space="0" w:color="auto"/>
              <w:right w:val="single" w:sz="4" w:space="0" w:color="auto"/>
            </w:tcBorders>
            <w:hideMark/>
          </w:tcPr>
          <w:p w14:paraId="1A9710BB" w14:textId="77777777" w:rsidR="004F6368" w:rsidRPr="00B8307D" w:rsidRDefault="004F6368" w:rsidP="000A067B">
            <w:pPr>
              <w:widowControl w:val="0"/>
              <w:jc w:val="center"/>
              <w:rPr>
                <w:sz w:val="22"/>
                <w:szCs w:val="22"/>
                <w:lang w:val="sr-Latn-ME"/>
              </w:rPr>
            </w:pPr>
            <w:r w:rsidRPr="00B8307D">
              <w:rPr>
                <w:sz w:val="22"/>
                <w:szCs w:val="22"/>
                <w:lang w:val="sr-Latn-ME"/>
              </w:rPr>
              <w:t>10.5</w:t>
            </w:r>
          </w:p>
          <w:p w14:paraId="306999D2" w14:textId="77777777" w:rsidR="004F6368" w:rsidRPr="00B8307D" w:rsidRDefault="004F6368" w:rsidP="000A067B">
            <w:pPr>
              <w:widowControl w:val="0"/>
              <w:tabs>
                <w:tab w:val="left" w:pos="284"/>
              </w:tabs>
              <w:jc w:val="center"/>
              <w:rPr>
                <w:sz w:val="22"/>
                <w:szCs w:val="22"/>
                <w:lang w:val="sr-Latn-ME"/>
              </w:rPr>
            </w:pPr>
            <w:r w:rsidRPr="00B8307D">
              <w:rPr>
                <w:sz w:val="22"/>
                <w:szCs w:val="22"/>
                <w:lang w:val="sr-Latn-ME"/>
              </w:rPr>
              <w:t>(1.8-21)</w:t>
            </w:r>
          </w:p>
        </w:tc>
        <w:tc>
          <w:tcPr>
            <w:tcW w:w="1098" w:type="pct"/>
            <w:tcBorders>
              <w:top w:val="single" w:sz="4" w:space="0" w:color="auto"/>
              <w:left w:val="single" w:sz="4" w:space="0" w:color="auto"/>
              <w:bottom w:val="single" w:sz="4" w:space="0" w:color="auto"/>
              <w:right w:val="single" w:sz="4" w:space="0" w:color="auto"/>
            </w:tcBorders>
            <w:hideMark/>
          </w:tcPr>
          <w:p w14:paraId="5E3ED67E" w14:textId="77777777" w:rsidR="004F6368" w:rsidRPr="00B8307D" w:rsidRDefault="004F6368" w:rsidP="000A067B">
            <w:pPr>
              <w:widowControl w:val="0"/>
              <w:jc w:val="center"/>
              <w:rPr>
                <w:sz w:val="22"/>
                <w:szCs w:val="22"/>
                <w:lang w:val="sr-Latn-ME"/>
              </w:rPr>
            </w:pPr>
            <w:r w:rsidRPr="00B8307D">
              <w:rPr>
                <w:sz w:val="22"/>
                <w:szCs w:val="22"/>
                <w:lang w:val="sr-Latn-ME"/>
              </w:rPr>
              <w:t>13.4</w:t>
            </w:r>
          </w:p>
          <w:p w14:paraId="2BB78B5F" w14:textId="77777777" w:rsidR="004F6368" w:rsidRPr="00B8307D" w:rsidRDefault="004F6368" w:rsidP="000A067B">
            <w:pPr>
              <w:widowControl w:val="0"/>
              <w:tabs>
                <w:tab w:val="left" w:pos="284"/>
              </w:tabs>
              <w:jc w:val="center"/>
              <w:rPr>
                <w:sz w:val="22"/>
                <w:szCs w:val="22"/>
                <w:lang w:val="sr-Latn-ME"/>
              </w:rPr>
            </w:pPr>
            <w:r w:rsidRPr="00B8307D">
              <w:rPr>
                <w:sz w:val="22"/>
                <w:szCs w:val="22"/>
                <w:lang w:val="sr-Latn-ME"/>
              </w:rPr>
              <w:t>(2.1-55.1)</w:t>
            </w:r>
          </w:p>
        </w:tc>
      </w:tr>
      <w:tr w:rsidR="004F6368" w:rsidRPr="00B8307D" w14:paraId="5DF152CF" w14:textId="77777777" w:rsidTr="009E545A">
        <w:tc>
          <w:tcPr>
            <w:tcW w:w="1403" w:type="pct"/>
            <w:tcBorders>
              <w:top w:val="single" w:sz="4" w:space="0" w:color="auto"/>
              <w:left w:val="single" w:sz="4" w:space="0" w:color="auto"/>
              <w:bottom w:val="single" w:sz="4" w:space="0" w:color="auto"/>
              <w:right w:val="single" w:sz="4" w:space="0" w:color="auto"/>
            </w:tcBorders>
            <w:hideMark/>
          </w:tcPr>
          <w:p w14:paraId="01FEFA3C" w14:textId="2EF68D17" w:rsidR="004F6368" w:rsidRPr="00B8307D" w:rsidRDefault="00DE17BF" w:rsidP="000A067B">
            <w:pPr>
              <w:widowControl w:val="0"/>
              <w:tabs>
                <w:tab w:val="left" w:pos="284"/>
              </w:tabs>
              <w:rPr>
                <w:b/>
                <w:sz w:val="22"/>
                <w:szCs w:val="22"/>
                <w:lang w:val="sr-Latn-ME"/>
              </w:rPr>
            </w:pPr>
            <w:r w:rsidRPr="00B8307D">
              <w:rPr>
                <w:b/>
                <w:sz w:val="22"/>
                <w:szCs w:val="22"/>
                <w:lang w:val="sr-Latn-ME"/>
              </w:rPr>
              <w:t>Medijana</w:t>
            </w:r>
            <w:r w:rsidR="004F6368" w:rsidRPr="00B8307D">
              <w:rPr>
                <w:b/>
                <w:sz w:val="22"/>
                <w:szCs w:val="22"/>
                <w:lang w:val="sr-Latn-ME"/>
              </w:rPr>
              <w:t xml:space="preserve"> do progresije bolesti (u mjesecima) (IP</w:t>
            </w:r>
            <w:r w:rsidRPr="00B8307D">
              <w:rPr>
                <w:b/>
                <w:sz w:val="22"/>
                <w:szCs w:val="22"/>
                <w:lang w:val="sr-Latn-ME"/>
              </w:rPr>
              <w:t xml:space="preserve"> </w:t>
            </w:r>
            <w:r w:rsidR="004F6368" w:rsidRPr="00B8307D">
              <w:rPr>
                <w:b/>
                <w:sz w:val="22"/>
                <w:szCs w:val="22"/>
                <w:lang w:val="sr-Latn-ME"/>
              </w:rPr>
              <w:t>95%)</w:t>
            </w:r>
          </w:p>
        </w:tc>
        <w:tc>
          <w:tcPr>
            <w:tcW w:w="704" w:type="pct"/>
            <w:tcBorders>
              <w:top w:val="single" w:sz="4" w:space="0" w:color="auto"/>
              <w:left w:val="single" w:sz="4" w:space="0" w:color="auto"/>
              <w:bottom w:val="single" w:sz="4" w:space="0" w:color="auto"/>
              <w:right w:val="single" w:sz="4" w:space="0" w:color="auto"/>
            </w:tcBorders>
            <w:hideMark/>
          </w:tcPr>
          <w:p w14:paraId="2DD283B9" w14:textId="77777777" w:rsidR="004F6368" w:rsidRPr="00B8307D" w:rsidRDefault="004F6368" w:rsidP="000A067B">
            <w:pPr>
              <w:widowControl w:val="0"/>
              <w:jc w:val="center"/>
              <w:rPr>
                <w:sz w:val="22"/>
                <w:szCs w:val="22"/>
                <w:lang w:val="sr-Latn-ME"/>
              </w:rPr>
            </w:pPr>
            <w:r w:rsidRPr="00B8307D">
              <w:rPr>
                <w:sz w:val="22"/>
                <w:szCs w:val="22"/>
                <w:lang w:val="sr-Latn-ME"/>
              </w:rPr>
              <w:t>3.4</w:t>
            </w:r>
          </w:p>
          <w:p w14:paraId="00142555" w14:textId="77777777" w:rsidR="004F6368" w:rsidRPr="00B8307D" w:rsidRDefault="004F6368" w:rsidP="000A067B">
            <w:pPr>
              <w:widowControl w:val="0"/>
              <w:tabs>
                <w:tab w:val="left" w:pos="284"/>
              </w:tabs>
              <w:jc w:val="center"/>
              <w:rPr>
                <w:sz w:val="22"/>
                <w:szCs w:val="22"/>
                <w:lang w:val="sr-Latn-ME"/>
              </w:rPr>
            </w:pPr>
            <w:r w:rsidRPr="00B8307D">
              <w:rPr>
                <w:sz w:val="22"/>
                <w:szCs w:val="22"/>
                <w:lang w:val="sr-Latn-ME"/>
              </w:rPr>
              <w:t>(2.8-4.1)</w:t>
            </w:r>
          </w:p>
        </w:tc>
        <w:tc>
          <w:tcPr>
            <w:tcW w:w="858" w:type="pct"/>
            <w:tcBorders>
              <w:top w:val="single" w:sz="4" w:space="0" w:color="auto"/>
              <w:left w:val="single" w:sz="4" w:space="0" w:color="auto"/>
              <w:bottom w:val="single" w:sz="4" w:space="0" w:color="auto"/>
              <w:right w:val="single" w:sz="4" w:space="0" w:color="auto"/>
            </w:tcBorders>
            <w:hideMark/>
          </w:tcPr>
          <w:p w14:paraId="1FE8DF2F" w14:textId="77777777" w:rsidR="004F6368" w:rsidRPr="00B8307D" w:rsidRDefault="004F6368" w:rsidP="000A067B">
            <w:pPr>
              <w:widowControl w:val="0"/>
              <w:jc w:val="center"/>
              <w:rPr>
                <w:sz w:val="22"/>
                <w:szCs w:val="22"/>
                <w:lang w:val="sr-Latn-ME"/>
              </w:rPr>
            </w:pPr>
            <w:r w:rsidRPr="00B8307D">
              <w:rPr>
                <w:sz w:val="22"/>
                <w:szCs w:val="22"/>
                <w:lang w:val="sr-Latn-ME"/>
              </w:rPr>
              <w:t>7.7</w:t>
            </w:r>
          </w:p>
          <w:p w14:paraId="43C6D57B" w14:textId="77777777" w:rsidR="004F6368" w:rsidRPr="00B8307D" w:rsidRDefault="004F6368" w:rsidP="000A067B">
            <w:pPr>
              <w:widowControl w:val="0"/>
              <w:tabs>
                <w:tab w:val="left" w:pos="284"/>
              </w:tabs>
              <w:jc w:val="center"/>
              <w:rPr>
                <w:sz w:val="22"/>
                <w:szCs w:val="22"/>
                <w:lang w:val="sr-Latn-ME"/>
              </w:rPr>
            </w:pPr>
            <w:r w:rsidRPr="00B8307D">
              <w:rPr>
                <w:sz w:val="22"/>
                <w:szCs w:val="22"/>
                <w:lang w:val="sr-Latn-ME"/>
              </w:rPr>
              <w:t>(4.2-8.3)</w:t>
            </w:r>
          </w:p>
        </w:tc>
        <w:tc>
          <w:tcPr>
            <w:tcW w:w="937" w:type="pct"/>
            <w:tcBorders>
              <w:top w:val="single" w:sz="4" w:space="0" w:color="auto"/>
              <w:left w:val="single" w:sz="4" w:space="0" w:color="auto"/>
              <w:bottom w:val="single" w:sz="4" w:space="0" w:color="auto"/>
              <w:right w:val="single" w:sz="4" w:space="0" w:color="auto"/>
            </w:tcBorders>
            <w:hideMark/>
          </w:tcPr>
          <w:p w14:paraId="3DF8BB22" w14:textId="77777777" w:rsidR="004F6368" w:rsidRPr="00B8307D" w:rsidRDefault="004F6368" w:rsidP="000A067B">
            <w:pPr>
              <w:widowControl w:val="0"/>
              <w:jc w:val="center"/>
              <w:rPr>
                <w:sz w:val="22"/>
                <w:szCs w:val="22"/>
                <w:lang w:val="sr-Latn-ME"/>
              </w:rPr>
            </w:pPr>
            <w:r w:rsidRPr="00B8307D">
              <w:rPr>
                <w:sz w:val="22"/>
                <w:szCs w:val="22"/>
                <w:lang w:val="sr-Latn-ME"/>
              </w:rPr>
              <w:t>12.2</w:t>
            </w:r>
          </w:p>
          <w:p w14:paraId="0A2FCCF7" w14:textId="77777777" w:rsidR="004F6368" w:rsidRPr="00B8307D" w:rsidRDefault="004F6368" w:rsidP="000A067B">
            <w:pPr>
              <w:widowControl w:val="0"/>
              <w:tabs>
                <w:tab w:val="left" w:pos="284"/>
              </w:tabs>
              <w:jc w:val="center"/>
              <w:rPr>
                <w:sz w:val="22"/>
                <w:szCs w:val="22"/>
                <w:lang w:val="sr-Latn-ME"/>
              </w:rPr>
            </w:pPr>
            <w:r w:rsidRPr="00B8307D">
              <w:rPr>
                <w:sz w:val="22"/>
                <w:szCs w:val="22"/>
                <w:lang w:val="sr-Latn-ME"/>
              </w:rPr>
              <w:t>(6.2-ne)</w:t>
            </w:r>
          </w:p>
        </w:tc>
        <w:tc>
          <w:tcPr>
            <w:tcW w:w="1098" w:type="pct"/>
            <w:tcBorders>
              <w:top w:val="single" w:sz="4" w:space="0" w:color="auto"/>
              <w:left w:val="single" w:sz="4" w:space="0" w:color="auto"/>
              <w:bottom w:val="single" w:sz="4" w:space="0" w:color="auto"/>
              <w:right w:val="single" w:sz="4" w:space="0" w:color="auto"/>
            </w:tcBorders>
            <w:hideMark/>
          </w:tcPr>
          <w:p w14:paraId="66D6C963" w14:textId="77777777" w:rsidR="004F6368" w:rsidRPr="00B8307D" w:rsidRDefault="004F6368" w:rsidP="000A067B">
            <w:pPr>
              <w:widowControl w:val="0"/>
              <w:jc w:val="center"/>
              <w:rPr>
                <w:sz w:val="22"/>
                <w:szCs w:val="22"/>
                <w:lang w:val="sr-Latn-ME"/>
              </w:rPr>
            </w:pPr>
            <w:r w:rsidRPr="00B8307D">
              <w:rPr>
                <w:sz w:val="22"/>
                <w:szCs w:val="22"/>
                <w:lang w:val="sr-Latn-ME"/>
              </w:rPr>
              <w:t>13.6</w:t>
            </w:r>
          </w:p>
          <w:p w14:paraId="58F8DADE" w14:textId="77777777" w:rsidR="004F6368" w:rsidRPr="00B8307D" w:rsidRDefault="004F6368" w:rsidP="000A067B">
            <w:pPr>
              <w:widowControl w:val="0"/>
              <w:tabs>
                <w:tab w:val="left" w:pos="284"/>
              </w:tabs>
              <w:jc w:val="center"/>
              <w:rPr>
                <w:sz w:val="22"/>
                <w:szCs w:val="22"/>
                <w:lang w:val="sr-Latn-ME"/>
              </w:rPr>
            </w:pPr>
            <w:r w:rsidRPr="00B8307D">
              <w:rPr>
                <w:sz w:val="22"/>
                <w:szCs w:val="22"/>
                <w:lang w:val="sr-Latn-ME"/>
              </w:rPr>
              <w:t>(11-16)</w:t>
            </w:r>
          </w:p>
        </w:tc>
      </w:tr>
      <w:tr w:rsidR="004F6368" w:rsidRPr="00B8307D" w14:paraId="54799C73" w14:textId="77777777" w:rsidTr="009E545A">
        <w:tc>
          <w:tcPr>
            <w:tcW w:w="1403" w:type="pct"/>
            <w:tcBorders>
              <w:top w:val="single" w:sz="4" w:space="0" w:color="auto"/>
              <w:left w:val="single" w:sz="4" w:space="0" w:color="auto"/>
              <w:bottom w:val="single" w:sz="4" w:space="0" w:color="auto"/>
              <w:right w:val="single" w:sz="4" w:space="0" w:color="auto"/>
            </w:tcBorders>
            <w:hideMark/>
          </w:tcPr>
          <w:p w14:paraId="0E02B914" w14:textId="729CB05A" w:rsidR="004F6368" w:rsidRPr="00B8307D" w:rsidRDefault="00DE17BF" w:rsidP="000A067B">
            <w:pPr>
              <w:widowControl w:val="0"/>
              <w:rPr>
                <w:b/>
                <w:sz w:val="22"/>
                <w:szCs w:val="22"/>
                <w:lang w:val="sr-Latn-ME"/>
              </w:rPr>
            </w:pPr>
            <w:r w:rsidRPr="00B8307D">
              <w:rPr>
                <w:b/>
                <w:sz w:val="22"/>
                <w:szCs w:val="22"/>
                <w:lang w:val="sr-Latn-ME"/>
              </w:rPr>
              <w:t xml:space="preserve">Medijana </w:t>
            </w:r>
            <w:r w:rsidR="004F6368" w:rsidRPr="00B8307D">
              <w:rPr>
                <w:b/>
                <w:sz w:val="22"/>
                <w:szCs w:val="22"/>
                <w:lang w:val="sr-Latn-ME"/>
              </w:rPr>
              <w:t>preživljavanj</w:t>
            </w:r>
            <w:r w:rsidRPr="00B8307D">
              <w:rPr>
                <w:b/>
                <w:sz w:val="22"/>
                <w:szCs w:val="22"/>
                <w:lang w:val="sr-Latn-ME"/>
              </w:rPr>
              <w:t>a</w:t>
            </w:r>
          </w:p>
          <w:p w14:paraId="1982DAA2" w14:textId="1A278C35" w:rsidR="004F6368" w:rsidRPr="00B8307D" w:rsidRDefault="004F6368" w:rsidP="000A067B">
            <w:pPr>
              <w:widowControl w:val="0"/>
              <w:tabs>
                <w:tab w:val="left" w:pos="284"/>
              </w:tabs>
              <w:rPr>
                <w:b/>
                <w:sz w:val="22"/>
                <w:szCs w:val="22"/>
                <w:lang w:val="sr-Latn-ME"/>
              </w:rPr>
            </w:pPr>
            <w:r w:rsidRPr="00B8307D">
              <w:rPr>
                <w:b/>
                <w:sz w:val="22"/>
                <w:szCs w:val="22"/>
                <w:lang w:val="sr-Latn-ME"/>
              </w:rPr>
              <w:t>(u mjesecima) (IP</w:t>
            </w:r>
            <w:r w:rsidR="00DE17BF" w:rsidRPr="00B8307D">
              <w:rPr>
                <w:b/>
                <w:sz w:val="22"/>
                <w:szCs w:val="22"/>
                <w:lang w:val="sr-Latn-ME"/>
              </w:rPr>
              <w:t xml:space="preserve"> </w:t>
            </w:r>
            <w:r w:rsidRPr="00B8307D">
              <w:rPr>
                <w:b/>
                <w:sz w:val="22"/>
                <w:szCs w:val="22"/>
                <w:lang w:val="sr-Latn-ME"/>
              </w:rPr>
              <w:t xml:space="preserve">95%) </w:t>
            </w:r>
          </w:p>
        </w:tc>
        <w:tc>
          <w:tcPr>
            <w:tcW w:w="704" w:type="pct"/>
            <w:tcBorders>
              <w:top w:val="single" w:sz="4" w:space="0" w:color="auto"/>
              <w:left w:val="single" w:sz="4" w:space="0" w:color="auto"/>
              <w:bottom w:val="single" w:sz="4" w:space="0" w:color="auto"/>
              <w:right w:val="single" w:sz="4" w:space="0" w:color="auto"/>
            </w:tcBorders>
            <w:hideMark/>
          </w:tcPr>
          <w:p w14:paraId="4C0A2C54" w14:textId="77777777" w:rsidR="004F6368" w:rsidRPr="00B8307D" w:rsidRDefault="004F6368" w:rsidP="000A067B">
            <w:pPr>
              <w:widowControl w:val="0"/>
              <w:tabs>
                <w:tab w:val="left" w:pos="284"/>
              </w:tabs>
              <w:jc w:val="center"/>
              <w:rPr>
                <w:sz w:val="22"/>
                <w:szCs w:val="22"/>
                <w:lang w:val="sr-Latn-ME"/>
              </w:rPr>
            </w:pPr>
            <w:r w:rsidRPr="00B8307D">
              <w:rPr>
                <w:sz w:val="22"/>
                <w:szCs w:val="22"/>
                <w:lang w:val="sr-Latn-ME"/>
              </w:rPr>
              <w:t>ne*</w:t>
            </w:r>
          </w:p>
        </w:tc>
        <w:tc>
          <w:tcPr>
            <w:tcW w:w="858" w:type="pct"/>
            <w:tcBorders>
              <w:top w:val="single" w:sz="4" w:space="0" w:color="auto"/>
              <w:left w:val="single" w:sz="4" w:space="0" w:color="auto"/>
              <w:bottom w:val="single" w:sz="4" w:space="0" w:color="auto"/>
              <w:right w:val="single" w:sz="4" w:space="0" w:color="auto"/>
            </w:tcBorders>
            <w:hideMark/>
          </w:tcPr>
          <w:p w14:paraId="3D536430" w14:textId="77777777" w:rsidR="004F6368" w:rsidRPr="00B8307D" w:rsidRDefault="004F6368" w:rsidP="000A067B">
            <w:pPr>
              <w:widowControl w:val="0"/>
              <w:tabs>
                <w:tab w:val="left" w:pos="284"/>
              </w:tabs>
              <w:jc w:val="center"/>
              <w:rPr>
                <w:sz w:val="22"/>
                <w:szCs w:val="22"/>
                <w:lang w:val="sr-Latn-ME"/>
              </w:rPr>
            </w:pPr>
            <w:r w:rsidRPr="00B8307D">
              <w:rPr>
                <w:sz w:val="22"/>
                <w:szCs w:val="22"/>
                <w:lang w:val="sr-Latn-ME"/>
              </w:rPr>
              <w:t>ne*</w:t>
            </w:r>
          </w:p>
        </w:tc>
        <w:tc>
          <w:tcPr>
            <w:tcW w:w="937" w:type="pct"/>
            <w:tcBorders>
              <w:top w:val="single" w:sz="4" w:space="0" w:color="auto"/>
              <w:left w:val="single" w:sz="4" w:space="0" w:color="auto"/>
              <w:bottom w:val="single" w:sz="4" w:space="0" w:color="auto"/>
              <w:right w:val="single" w:sz="4" w:space="0" w:color="auto"/>
            </w:tcBorders>
          </w:tcPr>
          <w:p w14:paraId="43375ED4" w14:textId="77777777" w:rsidR="004F6368" w:rsidRPr="00B8307D" w:rsidRDefault="004F6368" w:rsidP="000A067B">
            <w:pPr>
              <w:widowControl w:val="0"/>
              <w:jc w:val="center"/>
              <w:rPr>
                <w:sz w:val="22"/>
                <w:szCs w:val="22"/>
                <w:lang w:val="sr-Latn-ME"/>
              </w:rPr>
            </w:pPr>
            <w:r w:rsidRPr="00B8307D">
              <w:rPr>
                <w:sz w:val="22"/>
                <w:szCs w:val="22"/>
                <w:lang w:val="sr-Latn-ME"/>
              </w:rPr>
              <w:t>ne*</w:t>
            </w:r>
          </w:p>
          <w:p w14:paraId="3E3DB93E" w14:textId="77777777" w:rsidR="004F6368" w:rsidRPr="00B8307D" w:rsidRDefault="004F6368" w:rsidP="000A067B">
            <w:pPr>
              <w:widowControl w:val="0"/>
              <w:tabs>
                <w:tab w:val="left" w:pos="284"/>
              </w:tabs>
              <w:jc w:val="center"/>
              <w:rPr>
                <w:sz w:val="22"/>
                <w:szCs w:val="22"/>
                <w:lang w:val="sr-Latn-ME"/>
              </w:rPr>
            </w:pPr>
          </w:p>
        </w:tc>
        <w:tc>
          <w:tcPr>
            <w:tcW w:w="1098" w:type="pct"/>
            <w:tcBorders>
              <w:top w:val="single" w:sz="4" w:space="0" w:color="auto"/>
              <w:left w:val="single" w:sz="4" w:space="0" w:color="auto"/>
              <w:bottom w:val="single" w:sz="4" w:space="0" w:color="auto"/>
              <w:right w:val="single" w:sz="4" w:space="0" w:color="auto"/>
            </w:tcBorders>
            <w:hideMark/>
          </w:tcPr>
          <w:p w14:paraId="60F84B46" w14:textId="77777777" w:rsidR="004F6368" w:rsidRPr="00B8307D" w:rsidRDefault="004F6368" w:rsidP="000A067B">
            <w:pPr>
              <w:widowControl w:val="0"/>
              <w:jc w:val="center"/>
              <w:rPr>
                <w:sz w:val="22"/>
                <w:szCs w:val="22"/>
                <w:lang w:val="sr-Latn-ME"/>
              </w:rPr>
            </w:pPr>
            <w:r w:rsidRPr="00B8307D">
              <w:rPr>
                <w:sz w:val="22"/>
                <w:szCs w:val="22"/>
                <w:lang w:val="sr-Latn-ME"/>
              </w:rPr>
              <w:t>47.3</w:t>
            </w:r>
          </w:p>
          <w:p w14:paraId="306CAEC6" w14:textId="77777777" w:rsidR="004F6368" w:rsidRPr="00B8307D" w:rsidRDefault="004F6368" w:rsidP="000A067B">
            <w:pPr>
              <w:widowControl w:val="0"/>
              <w:tabs>
                <w:tab w:val="left" w:pos="284"/>
              </w:tabs>
              <w:jc w:val="center"/>
              <w:rPr>
                <w:sz w:val="22"/>
                <w:szCs w:val="22"/>
                <w:lang w:val="sr-Latn-ME"/>
              </w:rPr>
            </w:pPr>
            <w:r w:rsidRPr="00B8307D">
              <w:rPr>
                <w:sz w:val="22"/>
                <w:szCs w:val="22"/>
                <w:lang w:val="sr-Latn-ME"/>
              </w:rPr>
              <w:t>(32-ne)</w:t>
            </w:r>
          </w:p>
        </w:tc>
      </w:tr>
    </w:tbl>
    <w:p w14:paraId="3E270B87" w14:textId="77777777" w:rsidR="007253DB" w:rsidRPr="00B8307D" w:rsidRDefault="007253DB" w:rsidP="000A067B">
      <w:pPr>
        <w:widowControl w:val="0"/>
        <w:jc w:val="both"/>
        <w:rPr>
          <w:sz w:val="20"/>
          <w:szCs w:val="20"/>
          <w:lang w:val="sr-Latn-ME"/>
        </w:rPr>
      </w:pPr>
      <w:r w:rsidRPr="00B8307D">
        <w:rPr>
          <w:sz w:val="20"/>
          <w:szCs w:val="20"/>
          <w:lang w:val="sr-Latn-ME"/>
        </w:rPr>
        <w:t>*ne- označava da se ili nije moglo procijeniti, ili da nije još dostignuto</w:t>
      </w:r>
    </w:p>
    <w:p w14:paraId="7AF21EAB" w14:textId="77777777" w:rsidR="007253DB" w:rsidRPr="00B8307D" w:rsidRDefault="007253DB" w:rsidP="000A067B">
      <w:pPr>
        <w:widowControl w:val="0"/>
        <w:jc w:val="both"/>
        <w:rPr>
          <w:sz w:val="20"/>
          <w:szCs w:val="20"/>
          <w:lang w:val="sr-Latn-ME"/>
        </w:rPr>
      </w:pPr>
      <w:r w:rsidRPr="00B8307D">
        <w:rPr>
          <w:sz w:val="20"/>
          <w:szCs w:val="20"/>
          <w:lang w:val="sr-Latn-ME"/>
        </w:rPr>
        <w:t>1.</w:t>
      </w:r>
      <w:r w:rsidRPr="00B8307D">
        <w:rPr>
          <w:sz w:val="20"/>
          <w:szCs w:val="20"/>
          <w:lang w:val="sr-Latn-ME"/>
        </w:rPr>
        <w:tab/>
        <w:t>Studija WO16229: udarna doza 8 mg/kg, nakon koje je slijedilo 6 mg/kg po tronedjeljnom režimu</w:t>
      </w:r>
    </w:p>
    <w:p w14:paraId="358F8427" w14:textId="77777777" w:rsidR="007253DB" w:rsidRPr="00B8307D" w:rsidRDefault="007253DB" w:rsidP="000A067B">
      <w:pPr>
        <w:widowControl w:val="0"/>
        <w:jc w:val="both"/>
        <w:rPr>
          <w:sz w:val="20"/>
          <w:szCs w:val="20"/>
          <w:lang w:val="sr-Latn-ME"/>
        </w:rPr>
      </w:pPr>
      <w:r w:rsidRPr="00B8307D">
        <w:rPr>
          <w:sz w:val="20"/>
          <w:szCs w:val="20"/>
          <w:lang w:val="sr-Latn-ME"/>
        </w:rPr>
        <w:t>2.</w:t>
      </w:r>
      <w:r w:rsidRPr="00B8307D">
        <w:rPr>
          <w:sz w:val="20"/>
          <w:szCs w:val="20"/>
          <w:lang w:val="sr-Latn-ME"/>
        </w:rPr>
        <w:tab/>
        <w:t xml:space="preserve">Studija MO16982: udarna doza 6mg/kg nedjeljno x 3; nakon koje je slijedilo 6 mg/kg po </w:t>
      </w:r>
    </w:p>
    <w:p w14:paraId="5DCD93B9" w14:textId="3350F5FA" w:rsidR="007253DB" w:rsidRPr="00B8307D" w:rsidRDefault="007253DB" w:rsidP="000A067B">
      <w:pPr>
        <w:widowControl w:val="0"/>
        <w:jc w:val="both"/>
        <w:rPr>
          <w:sz w:val="20"/>
          <w:szCs w:val="20"/>
          <w:lang w:val="sr-Latn-ME"/>
        </w:rPr>
      </w:pPr>
      <w:r w:rsidRPr="00B8307D">
        <w:rPr>
          <w:sz w:val="20"/>
          <w:szCs w:val="20"/>
          <w:lang w:val="sr-Latn-ME"/>
        </w:rPr>
        <w:t xml:space="preserve">             </w:t>
      </w:r>
      <w:r w:rsidR="00B22B2E" w:rsidRPr="00B8307D">
        <w:rPr>
          <w:sz w:val="20"/>
          <w:szCs w:val="20"/>
          <w:lang w:val="sr-Latn-ME"/>
        </w:rPr>
        <w:t xml:space="preserve">  </w:t>
      </w:r>
      <w:r w:rsidRPr="00B8307D">
        <w:rPr>
          <w:sz w:val="20"/>
          <w:szCs w:val="20"/>
          <w:lang w:val="sr-Latn-ME"/>
        </w:rPr>
        <w:t>tronedjeljnom režimu</w:t>
      </w:r>
    </w:p>
    <w:p w14:paraId="32A90BF4" w14:textId="77777777" w:rsidR="007253DB" w:rsidRPr="00B8307D" w:rsidRDefault="007253DB" w:rsidP="000A067B">
      <w:pPr>
        <w:widowControl w:val="0"/>
        <w:jc w:val="both"/>
        <w:rPr>
          <w:sz w:val="20"/>
          <w:szCs w:val="20"/>
          <w:lang w:val="sr-Latn-ME"/>
        </w:rPr>
      </w:pPr>
      <w:r w:rsidRPr="00B8307D">
        <w:rPr>
          <w:sz w:val="20"/>
          <w:szCs w:val="20"/>
          <w:lang w:val="sr-Latn-ME"/>
        </w:rPr>
        <w:t>3.</w:t>
      </w:r>
      <w:r w:rsidRPr="00B8307D">
        <w:rPr>
          <w:sz w:val="20"/>
          <w:szCs w:val="20"/>
          <w:lang w:val="sr-Latn-ME"/>
        </w:rPr>
        <w:tab/>
        <w:t>BO15935</w:t>
      </w:r>
    </w:p>
    <w:p w14:paraId="1A3C7120" w14:textId="77777777" w:rsidR="007253DB" w:rsidRPr="00B8307D" w:rsidRDefault="007253DB" w:rsidP="000A067B">
      <w:pPr>
        <w:widowControl w:val="0"/>
        <w:jc w:val="both"/>
        <w:rPr>
          <w:b/>
          <w:sz w:val="20"/>
          <w:szCs w:val="20"/>
          <w:lang w:val="sr-Latn-ME"/>
        </w:rPr>
      </w:pPr>
      <w:r w:rsidRPr="00B8307D">
        <w:rPr>
          <w:sz w:val="20"/>
          <w:szCs w:val="20"/>
          <w:lang w:val="sr-Latn-ME"/>
        </w:rPr>
        <w:t>4.</w:t>
      </w:r>
      <w:r w:rsidRPr="00B8307D">
        <w:rPr>
          <w:sz w:val="20"/>
          <w:szCs w:val="20"/>
          <w:lang w:val="sr-Latn-ME"/>
        </w:rPr>
        <w:tab/>
        <w:t>MO16419</w:t>
      </w:r>
    </w:p>
    <w:p w14:paraId="1BCC982B" w14:textId="77777777" w:rsidR="007253DB" w:rsidRPr="00B8307D" w:rsidRDefault="007253DB" w:rsidP="000A067B">
      <w:pPr>
        <w:widowControl w:val="0"/>
        <w:jc w:val="both"/>
        <w:rPr>
          <w:i/>
          <w:sz w:val="22"/>
          <w:szCs w:val="22"/>
          <w:u w:val="single"/>
          <w:lang w:val="sr-Latn-ME"/>
        </w:rPr>
      </w:pPr>
    </w:p>
    <w:p w14:paraId="12F65E4C" w14:textId="77777777" w:rsidR="007253DB" w:rsidRPr="00B8307D" w:rsidRDefault="007253DB" w:rsidP="000A067B">
      <w:pPr>
        <w:widowControl w:val="0"/>
        <w:jc w:val="both"/>
        <w:rPr>
          <w:i/>
          <w:sz w:val="22"/>
          <w:szCs w:val="22"/>
          <w:lang w:val="sr-Latn-ME"/>
        </w:rPr>
      </w:pPr>
      <w:r w:rsidRPr="00B8307D">
        <w:rPr>
          <w:i/>
          <w:sz w:val="22"/>
          <w:szCs w:val="22"/>
          <w:lang w:val="sr-Latn-ME"/>
        </w:rPr>
        <w:t>Mjesta progresije bolesti</w:t>
      </w:r>
    </w:p>
    <w:p w14:paraId="108C57B0" w14:textId="77777777" w:rsidR="007253DB" w:rsidRPr="00B8307D" w:rsidRDefault="007253DB" w:rsidP="000A067B">
      <w:pPr>
        <w:widowControl w:val="0"/>
        <w:jc w:val="both"/>
        <w:rPr>
          <w:sz w:val="22"/>
          <w:szCs w:val="22"/>
          <w:lang w:val="sr-Latn-ME"/>
        </w:rPr>
      </w:pPr>
      <w:r w:rsidRPr="00B8307D">
        <w:rPr>
          <w:sz w:val="22"/>
          <w:szCs w:val="22"/>
          <w:lang w:val="sr-Latn-ME"/>
        </w:rPr>
        <w:t>Učestalost pojave metastaza u jetri bila je znatno smanjena kod pacijenata liječenih kombinacijom lijeka Herceptin i paklitaksela u poređenju sa samim paklitakselom (21.8% naspram 45.7%, p=0.004). Progresija bolesti u centralnom nervnom sistemu zabilježena je više kod pacijenata liječenih lijekom Herceptin i paklitakselom u odnosu na one liječene samo paklitakselom (12.6% naspram 6.5%, p=0.377).</w:t>
      </w:r>
    </w:p>
    <w:p w14:paraId="730CB8C0" w14:textId="77777777" w:rsidR="007253DB" w:rsidRPr="00B8307D" w:rsidRDefault="007253DB" w:rsidP="000A067B">
      <w:pPr>
        <w:widowControl w:val="0"/>
        <w:jc w:val="both"/>
        <w:rPr>
          <w:sz w:val="22"/>
          <w:szCs w:val="22"/>
          <w:u w:val="single"/>
          <w:lang w:val="sr-Latn-ME"/>
        </w:rPr>
      </w:pPr>
    </w:p>
    <w:p w14:paraId="6D2BFA43" w14:textId="77777777" w:rsidR="00B8307D" w:rsidRDefault="00B8307D" w:rsidP="000A067B">
      <w:pPr>
        <w:widowControl w:val="0"/>
        <w:jc w:val="both"/>
        <w:rPr>
          <w:i/>
          <w:sz w:val="22"/>
          <w:szCs w:val="22"/>
          <w:u w:val="single"/>
          <w:lang w:val="sr-Latn-ME"/>
        </w:rPr>
      </w:pPr>
    </w:p>
    <w:p w14:paraId="65DEA0AC" w14:textId="77777777" w:rsidR="00B8307D" w:rsidRDefault="00B8307D" w:rsidP="000A067B">
      <w:pPr>
        <w:widowControl w:val="0"/>
        <w:jc w:val="both"/>
        <w:rPr>
          <w:i/>
          <w:sz w:val="22"/>
          <w:szCs w:val="22"/>
          <w:u w:val="single"/>
          <w:lang w:val="sr-Latn-ME"/>
        </w:rPr>
      </w:pPr>
    </w:p>
    <w:p w14:paraId="4A189855" w14:textId="68678177" w:rsidR="007253DB" w:rsidRPr="00B8307D" w:rsidRDefault="007253DB" w:rsidP="000A067B">
      <w:pPr>
        <w:widowControl w:val="0"/>
        <w:jc w:val="both"/>
        <w:rPr>
          <w:i/>
          <w:sz w:val="22"/>
          <w:szCs w:val="22"/>
          <w:u w:val="single"/>
          <w:lang w:val="sr-Latn-ME"/>
        </w:rPr>
      </w:pPr>
      <w:r w:rsidRPr="00B8307D">
        <w:rPr>
          <w:i/>
          <w:sz w:val="22"/>
          <w:szCs w:val="22"/>
          <w:u w:val="single"/>
          <w:lang w:val="sr-Latn-ME"/>
        </w:rPr>
        <w:lastRenderedPageBreak/>
        <w:t>Rani karcinom dojke (adjuvantna terapija)</w:t>
      </w:r>
    </w:p>
    <w:p w14:paraId="2C98D503" w14:textId="77777777" w:rsidR="007253DB" w:rsidRPr="00B8307D" w:rsidRDefault="007253DB" w:rsidP="000A067B">
      <w:pPr>
        <w:widowControl w:val="0"/>
        <w:jc w:val="both"/>
        <w:rPr>
          <w:i/>
          <w:sz w:val="22"/>
          <w:szCs w:val="22"/>
          <w:lang w:val="sr-Latn-ME"/>
        </w:rPr>
      </w:pPr>
    </w:p>
    <w:p w14:paraId="7E30AFA6" w14:textId="77777777" w:rsidR="007253DB" w:rsidRPr="00B8307D" w:rsidRDefault="007253DB" w:rsidP="000A067B">
      <w:pPr>
        <w:widowControl w:val="0"/>
        <w:jc w:val="both"/>
        <w:rPr>
          <w:i/>
          <w:sz w:val="22"/>
          <w:szCs w:val="22"/>
          <w:lang w:val="sr-Latn-ME"/>
        </w:rPr>
      </w:pPr>
      <w:r w:rsidRPr="00B8307D">
        <w:rPr>
          <w:i/>
          <w:sz w:val="22"/>
          <w:szCs w:val="22"/>
          <w:lang w:val="sr-Latn-ME"/>
        </w:rPr>
        <w:t>Intravenska formulacija</w:t>
      </w:r>
    </w:p>
    <w:p w14:paraId="7736FBC0" w14:textId="77777777" w:rsidR="007253DB" w:rsidRPr="00B8307D" w:rsidRDefault="007253DB" w:rsidP="000A067B">
      <w:pPr>
        <w:widowControl w:val="0"/>
        <w:jc w:val="both"/>
        <w:rPr>
          <w:sz w:val="22"/>
          <w:szCs w:val="22"/>
          <w:lang w:val="sr-Latn-ME"/>
        </w:rPr>
      </w:pPr>
      <w:r w:rsidRPr="00B8307D">
        <w:rPr>
          <w:sz w:val="22"/>
          <w:szCs w:val="22"/>
          <w:lang w:val="sr-Latn-ME"/>
        </w:rPr>
        <w:t>Rani karcinom dojke se definiše kao nemetastatski primarni invazivni karcinom dojke. U adjuvantnom liječenju, Herceptin je  ispitivan u 4 velike multicentrične, randomizovane studije.</w:t>
      </w:r>
    </w:p>
    <w:p w14:paraId="1364DE1A" w14:textId="10DDBBF5" w:rsidR="007253DB" w:rsidRPr="00B8307D" w:rsidRDefault="007253DB" w:rsidP="000A067B">
      <w:pPr>
        <w:widowControl w:val="0"/>
        <w:numPr>
          <w:ilvl w:val="0"/>
          <w:numId w:val="17"/>
        </w:numPr>
        <w:tabs>
          <w:tab w:val="left" w:pos="284"/>
        </w:tabs>
        <w:ind w:left="284" w:hanging="284"/>
        <w:jc w:val="both"/>
        <w:rPr>
          <w:sz w:val="22"/>
          <w:szCs w:val="22"/>
          <w:lang w:val="sr-Latn-ME"/>
        </w:rPr>
      </w:pPr>
      <w:r w:rsidRPr="00B8307D">
        <w:rPr>
          <w:sz w:val="22"/>
          <w:szCs w:val="22"/>
          <w:lang w:val="sr-Latn-ME"/>
        </w:rPr>
        <w:t>Studija BO16348 je osmišljena da se uporedi  tokom jedne ili dvije godine terapije lijekom Herceptin u intervalima od tri nedjelje sa pacijentkinjama koje su imale HER2 pozitivni rani karcinom dojke poslije operacije, uvođenja hemoterapije i radioterapije (ako je bilo potrebno). Osim toga, napravljeno je poređenje dvogodišnjeg liječenja lijekom Herceptin naspram jednogodišnjeg liječenja lijekom Herceptin</w:t>
      </w:r>
      <w:r w:rsidRPr="00B8307D">
        <w:rPr>
          <w:sz w:val="20"/>
          <w:szCs w:val="22"/>
          <w:lang w:val="sr-Latn-ME"/>
        </w:rPr>
        <w:t>.</w:t>
      </w:r>
      <w:r w:rsidRPr="00B8307D">
        <w:rPr>
          <w:sz w:val="22"/>
          <w:szCs w:val="22"/>
          <w:lang w:val="sr-Latn-ME"/>
        </w:rPr>
        <w:t xml:space="preserve"> Pacijentkinje koje su dodijeljene u grupu koja je primala </w:t>
      </w:r>
      <w:r w:rsidR="00DE17BF" w:rsidRPr="00B8307D">
        <w:rPr>
          <w:sz w:val="22"/>
          <w:szCs w:val="22"/>
          <w:lang w:val="sr-Latn-ME"/>
        </w:rPr>
        <w:t xml:space="preserve">lijek </w:t>
      </w:r>
      <w:r w:rsidRPr="00B8307D">
        <w:rPr>
          <w:sz w:val="22"/>
          <w:szCs w:val="22"/>
          <w:lang w:val="sr-Latn-ME"/>
        </w:rPr>
        <w:t xml:space="preserve">Herceptin dobijale su inicijalnu udarnu dozu od 8 mg/kg poslije čega je slijedila terapija dozom od 6 mg/kg na svake tri nedjelje tokom jedne ili dvije godine. </w:t>
      </w:r>
    </w:p>
    <w:p w14:paraId="1FA94DE9" w14:textId="77777777" w:rsidR="007253DB" w:rsidRPr="00B8307D" w:rsidRDefault="007253DB" w:rsidP="000A067B">
      <w:pPr>
        <w:widowControl w:val="0"/>
        <w:numPr>
          <w:ilvl w:val="0"/>
          <w:numId w:val="17"/>
        </w:numPr>
        <w:tabs>
          <w:tab w:val="left" w:pos="284"/>
        </w:tabs>
        <w:ind w:left="284" w:hanging="284"/>
        <w:jc w:val="both"/>
        <w:rPr>
          <w:sz w:val="22"/>
          <w:szCs w:val="22"/>
          <w:lang w:val="sr-Latn-ME"/>
        </w:rPr>
      </w:pPr>
      <w:r w:rsidRPr="00B8307D">
        <w:rPr>
          <w:sz w:val="22"/>
          <w:szCs w:val="22"/>
          <w:lang w:val="sr-Latn-ME"/>
        </w:rPr>
        <w:t>Studije NSABP B-31 i NCCTG N9831 koje su obuhvaćene zajedničkom analizom, sa ciljem da se ispita klinička korist kombinacije lijeka Herceptin sa paklitakselom nakon AC hemioterapije, dodatno studija NCCTG N9831 ispitivala je dodatak lijeka Herceptin AC-P hemoterapijskom režimu kod pacijenata sa HER2 pozitivnim ranim karcinomom dojke nakon operacije.</w:t>
      </w:r>
    </w:p>
    <w:p w14:paraId="3D1E9B8B" w14:textId="77777777" w:rsidR="007253DB" w:rsidRPr="00B8307D" w:rsidRDefault="007253DB" w:rsidP="000A067B">
      <w:pPr>
        <w:widowControl w:val="0"/>
        <w:numPr>
          <w:ilvl w:val="0"/>
          <w:numId w:val="17"/>
        </w:numPr>
        <w:tabs>
          <w:tab w:val="left" w:pos="284"/>
        </w:tabs>
        <w:ind w:left="284" w:hanging="284"/>
        <w:jc w:val="both"/>
        <w:rPr>
          <w:sz w:val="22"/>
          <w:szCs w:val="22"/>
          <w:lang w:val="sr-Latn-ME"/>
        </w:rPr>
      </w:pPr>
      <w:r w:rsidRPr="00B8307D">
        <w:rPr>
          <w:sz w:val="22"/>
          <w:szCs w:val="22"/>
          <w:lang w:val="sr-Latn-ME"/>
        </w:rPr>
        <w:t>Studija BCIRG 006 dizajnirana je da ispita kombinaciju tretmana lijekom Herceptin sa docetakselom ili nakon AC hemoterapije ili u kombinaciji sa docetakselom i karboplatinom kod pacijenata sa HER2 pozitivnim ranim karcinomom dojke nakon operacije.</w:t>
      </w:r>
    </w:p>
    <w:p w14:paraId="5A41EA4D" w14:textId="77777777" w:rsidR="007253DB" w:rsidRPr="00B8307D" w:rsidRDefault="007253DB" w:rsidP="000A067B">
      <w:pPr>
        <w:widowControl w:val="0"/>
        <w:jc w:val="both"/>
        <w:rPr>
          <w:sz w:val="22"/>
          <w:szCs w:val="22"/>
          <w:lang w:val="sr-Latn-ME"/>
        </w:rPr>
      </w:pPr>
    </w:p>
    <w:p w14:paraId="2DC67EC4" w14:textId="7FB4A7BE" w:rsidR="007253DB" w:rsidRPr="00B8307D" w:rsidRDefault="007253DB" w:rsidP="000A067B">
      <w:pPr>
        <w:widowControl w:val="0"/>
        <w:jc w:val="both"/>
        <w:rPr>
          <w:sz w:val="22"/>
          <w:szCs w:val="22"/>
          <w:lang w:val="sr-Latn-ME"/>
        </w:rPr>
      </w:pPr>
      <w:r w:rsidRPr="00B8307D">
        <w:rPr>
          <w:sz w:val="22"/>
          <w:szCs w:val="22"/>
          <w:lang w:val="sr-Latn-ME"/>
        </w:rPr>
        <w:t>Rani karcinom dojke u studiji BO16348 bio je ograničen isključivo na operabilni, primarni, invazivni adenokarcinom dojke, sa pozitivnim ili negativnim aksilarnim čvorovima ako je promjer tumora iznosio najmanje 1 cm.</w:t>
      </w:r>
    </w:p>
    <w:p w14:paraId="50941FCE" w14:textId="77777777" w:rsidR="00E85A09" w:rsidRPr="00B8307D" w:rsidRDefault="00E85A09" w:rsidP="000A067B">
      <w:pPr>
        <w:widowControl w:val="0"/>
        <w:jc w:val="both"/>
        <w:rPr>
          <w:sz w:val="22"/>
          <w:szCs w:val="22"/>
          <w:lang w:val="sr-Latn-ME"/>
        </w:rPr>
      </w:pPr>
    </w:p>
    <w:p w14:paraId="32F9E32C" w14:textId="5BDBADF8" w:rsidR="007253DB" w:rsidRPr="00B8307D" w:rsidRDefault="007253DB" w:rsidP="000A067B">
      <w:pPr>
        <w:widowControl w:val="0"/>
        <w:jc w:val="both"/>
        <w:rPr>
          <w:sz w:val="22"/>
          <w:szCs w:val="22"/>
          <w:lang w:val="sr-Latn-ME"/>
        </w:rPr>
      </w:pPr>
      <w:r w:rsidRPr="00B8307D">
        <w:rPr>
          <w:sz w:val="22"/>
          <w:szCs w:val="22"/>
          <w:lang w:val="sr-Latn-ME"/>
        </w:rPr>
        <w:t>U zajedničkoj analizi studija NSABP B-31 i NCCTG N9831 i, rani karcinom dojke je bio ograničen isključivo na žene sa operabilnim karcinomom dojke visokog rizika, definisanim kao HER2 pozitivan sa aksilarnim limfnim čvorovima ili HER2 pozitivan sa negativnim aksilarnim limfnim čvorovima visokog rizika (veličina tumora &gt;</w:t>
      </w:r>
      <w:r w:rsidR="00DE17BF" w:rsidRPr="00B8307D">
        <w:rPr>
          <w:sz w:val="22"/>
          <w:szCs w:val="22"/>
          <w:lang w:val="sr-Latn-ME"/>
        </w:rPr>
        <w:t xml:space="preserve"> </w:t>
      </w:r>
      <w:r w:rsidRPr="00B8307D">
        <w:rPr>
          <w:sz w:val="22"/>
          <w:szCs w:val="22"/>
          <w:lang w:val="sr-Latn-ME"/>
        </w:rPr>
        <w:t>1cm i ER negativan ili veličina tumora &gt;</w:t>
      </w:r>
      <w:r w:rsidR="00DE17BF" w:rsidRPr="00B8307D">
        <w:rPr>
          <w:sz w:val="22"/>
          <w:szCs w:val="22"/>
          <w:lang w:val="sr-Latn-ME"/>
        </w:rPr>
        <w:t xml:space="preserve"> </w:t>
      </w:r>
      <w:r w:rsidRPr="00B8307D">
        <w:rPr>
          <w:sz w:val="22"/>
          <w:szCs w:val="22"/>
          <w:lang w:val="sr-Latn-ME"/>
        </w:rPr>
        <w:t>2cm, nezavisno od hormonskog statusa).</w:t>
      </w:r>
    </w:p>
    <w:p w14:paraId="378CCAC7" w14:textId="77777777" w:rsidR="007253DB" w:rsidRPr="00B8307D" w:rsidRDefault="007253DB" w:rsidP="000A067B">
      <w:pPr>
        <w:widowControl w:val="0"/>
        <w:jc w:val="both"/>
        <w:rPr>
          <w:sz w:val="22"/>
          <w:szCs w:val="22"/>
          <w:lang w:val="sr-Latn-ME"/>
        </w:rPr>
      </w:pPr>
    </w:p>
    <w:p w14:paraId="2F4C0C2F" w14:textId="6E3FEB7E" w:rsidR="007253DB" w:rsidRPr="00B8307D" w:rsidRDefault="007253DB" w:rsidP="000A067B">
      <w:pPr>
        <w:widowControl w:val="0"/>
        <w:jc w:val="both"/>
        <w:rPr>
          <w:sz w:val="22"/>
          <w:szCs w:val="22"/>
          <w:lang w:val="sr-Latn-ME"/>
        </w:rPr>
      </w:pPr>
      <w:r w:rsidRPr="00B8307D">
        <w:rPr>
          <w:sz w:val="22"/>
          <w:szCs w:val="22"/>
          <w:lang w:val="sr-Latn-ME"/>
        </w:rPr>
        <w:t>U studiji BCIRG 006 HER2 pozitivni, rani karcinom dojke je definisan bilo kao tumor sa pozitivnim limfnim čvorovima ili visokorizični tumor sa negativnim limfnim čvorovima i barem jednim od sljedećih faktora: veličina tumora veća od 2</w:t>
      </w:r>
      <w:r w:rsidR="00DE17BF" w:rsidRPr="00B8307D">
        <w:rPr>
          <w:sz w:val="22"/>
          <w:szCs w:val="22"/>
          <w:lang w:val="sr-Latn-ME"/>
        </w:rPr>
        <w:t xml:space="preserve"> </w:t>
      </w:r>
      <w:r w:rsidRPr="00B8307D">
        <w:rPr>
          <w:sz w:val="22"/>
          <w:szCs w:val="22"/>
          <w:lang w:val="sr-Latn-ME"/>
        </w:rPr>
        <w:t>cm, estrogen receptor i progesteron receptor negativni, histološki i/ili nuklearni stepen 2-3, i godine starosti &lt;</w:t>
      </w:r>
      <w:r w:rsidR="00DE17BF" w:rsidRPr="00B8307D">
        <w:rPr>
          <w:sz w:val="22"/>
          <w:szCs w:val="22"/>
          <w:lang w:val="sr-Latn-ME"/>
        </w:rPr>
        <w:t xml:space="preserve"> </w:t>
      </w:r>
      <w:r w:rsidRPr="00B8307D">
        <w:rPr>
          <w:sz w:val="22"/>
          <w:szCs w:val="22"/>
          <w:lang w:val="sr-Latn-ME"/>
        </w:rPr>
        <w:t>35 godina.</w:t>
      </w:r>
    </w:p>
    <w:p w14:paraId="1FE5FE7D" w14:textId="50B08E64" w:rsidR="002E37A5" w:rsidRPr="00B8307D" w:rsidRDefault="002E37A5" w:rsidP="000A067B">
      <w:pPr>
        <w:widowControl w:val="0"/>
        <w:tabs>
          <w:tab w:val="left" w:pos="540"/>
          <w:tab w:val="left" w:pos="569"/>
        </w:tabs>
        <w:jc w:val="both"/>
        <w:rPr>
          <w:b/>
          <w:bCs/>
          <w:sz w:val="22"/>
          <w:szCs w:val="22"/>
          <w:lang w:val="sr-Latn-ME"/>
        </w:rPr>
      </w:pPr>
    </w:p>
    <w:p w14:paraId="46CF00A2" w14:textId="00266842" w:rsidR="007253DB" w:rsidRPr="00B8307D" w:rsidRDefault="007253DB" w:rsidP="000A067B">
      <w:pPr>
        <w:widowControl w:val="0"/>
        <w:jc w:val="both"/>
        <w:rPr>
          <w:sz w:val="22"/>
          <w:szCs w:val="22"/>
          <w:lang w:val="sr-Latn-ME"/>
        </w:rPr>
      </w:pPr>
      <w:r w:rsidRPr="00B8307D">
        <w:rPr>
          <w:sz w:val="22"/>
          <w:szCs w:val="22"/>
          <w:lang w:val="sr-Latn-ME"/>
        </w:rPr>
        <w:t>Rezultati efikasnosti iz studije BO16348, nakon medijan</w:t>
      </w:r>
      <w:r w:rsidR="00DE17BF" w:rsidRPr="00B8307D">
        <w:rPr>
          <w:sz w:val="22"/>
          <w:szCs w:val="22"/>
          <w:lang w:val="sr-Latn-ME"/>
        </w:rPr>
        <w:t>e</w:t>
      </w:r>
      <w:r w:rsidRPr="00B8307D">
        <w:rPr>
          <w:sz w:val="22"/>
          <w:szCs w:val="22"/>
          <w:lang w:val="sr-Latn-ME"/>
        </w:rPr>
        <w:t xml:space="preserve"> praćenja od 12 mjeseci* i 8 godina**, sažeti su u Tabeli 5.</w:t>
      </w:r>
    </w:p>
    <w:p w14:paraId="0E5815C1" w14:textId="77777777" w:rsidR="007253DB" w:rsidRPr="00B8307D" w:rsidRDefault="007253DB" w:rsidP="000A067B">
      <w:pPr>
        <w:widowControl w:val="0"/>
        <w:jc w:val="both"/>
        <w:rPr>
          <w:sz w:val="22"/>
          <w:szCs w:val="22"/>
          <w:lang w:val="sr-Latn-ME"/>
        </w:rPr>
      </w:pPr>
    </w:p>
    <w:p w14:paraId="64474ADA" w14:textId="77777777" w:rsidR="007253DB" w:rsidRPr="00B8307D" w:rsidRDefault="007253DB" w:rsidP="000A067B">
      <w:pPr>
        <w:widowControl w:val="0"/>
        <w:jc w:val="both"/>
        <w:rPr>
          <w:sz w:val="22"/>
          <w:szCs w:val="22"/>
          <w:lang w:val="sr-Latn-ME"/>
        </w:rPr>
      </w:pPr>
      <w:r w:rsidRPr="00B8307D">
        <w:rPr>
          <w:sz w:val="22"/>
          <w:szCs w:val="22"/>
          <w:lang w:val="sr-Latn-ME"/>
        </w:rPr>
        <w:t>Tabela 5: Rezultati efikasnosti iz studije BO16348</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7"/>
        <w:gridCol w:w="1496"/>
        <w:gridCol w:w="1496"/>
        <w:gridCol w:w="1496"/>
        <w:gridCol w:w="1495"/>
      </w:tblGrid>
      <w:tr w:rsidR="007253DB" w:rsidRPr="00B8307D" w14:paraId="3BF00C87" w14:textId="77777777" w:rsidTr="0064695A">
        <w:tc>
          <w:tcPr>
            <w:tcW w:w="1705" w:type="pct"/>
            <w:tcBorders>
              <w:top w:val="nil"/>
              <w:left w:val="nil"/>
              <w:bottom w:val="single" w:sz="4" w:space="0" w:color="auto"/>
            </w:tcBorders>
          </w:tcPr>
          <w:p w14:paraId="1E0F80D0" w14:textId="77777777" w:rsidR="007253DB" w:rsidRPr="00B8307D" w:rsidRDefault="007253DB" w:rsidP="000A067B">
            <w:pPr>
              <w:widowControl w:val="0"/>
              <w:jc w:val="both"/>
              <w:rPr>
                <w:sz w:val="20"/>
                <w:szCs w:val="22"/>
                <w:lang w:val="sr-Latn-ME" w:eastAsia="de-DE"/>
              </w:rPr>
            </w:pPr>
          </w:p>
        </w:tc>
        <w:tc>
          <w:tcPr>
            <w:tcW w:w="1647" w:type="pct"/>
            <w:gridSpan w:val="2"/>
            <w:tcBorders>
              <w:bottom w:val="single" w:sz="4" w:space="0" w:color="auto"/>
            </w:tcBorders>
          </w:tcPr>
          <w:p w14:paraId="53CD6974" w14:textId="77777777" w:rsidR="007253DB" w:rsidRPr="00B8307D" w:rsidRDefault="007253DB" w:rsidP="000A067B">
            <w:pPr>
              <w:widowControl w:val="0"/>
              <w:jc w:val="center"/>
              <w:rPr>
                <w:sz w:val="20"/>
                <w:szCs w:val="22"/>
                <w:lang w:val="sr-Latn-ME" w:eastAsia="de-DE"/>
              </w:rPr>
            </w:pPr>
            <w:r w:rsidRPr="00B8307D">
              <w:rPr>
                <w:sz w:val="20"/>
                <w:szCs w:val="22"/>
                <w:lang w:val="sr-Latn-ME" w:eastAsia="de-DE"/>
              </w:rPr>
              <w:t xml:space="preserve">Medijana praćenja </w:t>
            </w:r>
            <w:r w:rsidRPr="00B8307D">
              <w:rPr>
                <w:sz w:val="20"/>
                <w:szCs w:val="22"/>
                <w:lang w:val="sr-Latn-ME" w:eastAsia="de-DE"/>
              </w:rPr>
              <w:br/>
              <w:t>12 mjeseci*</w:t>
            </w:r>
          </w:p>
        </w:tc>
        <w:tc>
          <w:tcPr>
            <w:tcW w:w="1648" w:type="pct"/>
            <w:gridSpan w:val="2"/>
            <w:tcBorders>
              <w:bottom w:val="single" w:sz="4" w:space="0" w:color="auto"/>
            </w:tcBorders>
          </w:tcPr>
          <w:p w14:paraId="0A536255" w14:textId="77777777" w:rsidR="007253DB" w:rsidRPr="00B8307D" w:rsidRDefault="007253DB" w:rsidP="000A067B">
            <w:pPr>
              <w:widowControl w:val="0"/>
              <w:jc w:val="center"/>
              <w:rPr>
                <w:sz w:val="20"/>
                <w:szCs w:val="22"/>
                <w:lang w:val="sr-Latn-ME" w:eastAsia="de-DE"/>
              </w:rPr>
            </w:pPr>
            <w:r w:rsidRPr="00B8307D">
              <w:rPr>
                <w:sz w:val="20"/>
                <w:szCs w:val="22"/>
                <w:lang w:val="sr-Latn-ME" w:eastAsia="de-DE"/>
              </w:rPr>
              <w:t xml:space="preserve">Medijana praćenja </w:t>
            </w:r>
            <w:r w:rsidRPr="00B8307D">
              <w:rPr>
                <w:sz w:val="20"/>
                <w:szCs w:val="22"/>
                <w:lang w:val="sr-Latn-ME" w:eastAsia="de-DE"/>
              </w:rPr>
              <w:br/>
              <w:t>8 godina**</w:t>
            </w:r>
          </w:p>
        </w:tc>
      </w:tr>
      <w:tr w:rsidR="007253DB" w:rsidRPr="00B8307D" w14:paraId="42713B11" w14:textId="77777777" w:rsidTr="0064695A">
        <w:tc>
          <w:tcPr>
            <w:tcW w:w="1705" w:type="pct"/>
            <w:tcBorders>
              <w:bottom w:val="single" w:sz="4" w:space="0" w:color="auto"/>
            </w:tcBorders>
          </w:tcPr>
          <w:p w14:paraId="031D72FC" w14:textId="77777777" w:rsidR="007253DB" w:rsidRPr="00B8307D" w:rsidRDefault="007253DB" w:rsidP="000A067B">
            <w:pPr>
              <w:widowControl w:val="0"/>
              <w:jc w:val="both"/>
              <w:rPr>
                <w:sz w:val="20"/>
                <w:szCs w:val="22"/>
                <w:lang w:val="sr-Latn-ME" w:eastAsia="de-DE"/>
              </w:rPr>
            </w:pPr>
            <w:r w:rsidRPr="00B8307D">
              <w:rPr>
                <w:sz w:val="20"/>
                <w:szCs w:val="22"/>
                <w:lang w:val="sr-Latn-ME" w:eastAsia="de-DE"/>
              </w:rPr>
              <w:t>Parametar</w:t>
            </w:r>
          </w:p>
        </w:tc>
        <w:tc>
          <w:tcPr>
            <w:tcW w:w="824" w:type="pct"/>
            <w:tcBorders>
              <w:bottom w:val="single" w:sz="4" w:space="0" w:color="auto"/>
            </w:tcBorders>
          </w:tcPr>
          <w:p w14:paraId="1BD0DC28" w14:textId="77777777" w:rsidR="007253DB" w:rsidRPr="00B8307D" w:rsidRDefault="007253DB" w:rsidP="000A067B">
            <w:pPr>
              <w:widowControl w:val="0"/>
              <w:jc w:val="center"/>
              <w:rPr>
                <w:sz w:val="20"/>
                <w:szCs w:val="22"/>
                <w:lang w:val="sr-Latn-ME" w:eastAsia="de-DE"/>
              </w:rPr>
            </w:pPr>
            <w:r w:rsidRPr="00B8307D">
              <w:rPr>
                <w:sz w:val="20"/>
                <w:szCs w:val="22"/>
                <w:lang w:val="sr-Latn-ME" w:eastAsia="de-DE"/>
              </w:rPr>
              <w:t>Opservacija</w:t>
            </w:r>
          </w:p>
          <w:p w14:paraId="369A9D43" w14:textId="77777777" w:rsidR="007253DB" w:rsidRPr="00B8307D" w:rsidRDefault="007253DB" w:rsidP="000A067B">
            <w:pPr>
              <w:widowControl w:val="0"/>
              <w:jc w:val="center"/>
              <w:rPr>
                <w:sz w:val="20"/>
                <w:szCs w:val="22"/>
                <w:lang w:val="sr-Latn-ME" w:eastAsia="de-DE"/>
              </w:rPr>
            </w:pPr>
            <w:r w:rsidRPr="00B8307D">
              <w:rPr>
                <w:sz w:val="20"/>
                <w:szCs w:val="22"/>
                <w:lang w:val="sr-Latn-ME" w:eastAsia="de-DE"/>
              </w:rPr>
              <w:t>N=1693</w:t>
            </w:r>
          </w:p>
        </w:tc>
        <w:tc>
          <w:tcPr>
            <w:tcW w:w="824" w:type="pct"/>
            <w:tcBorders>
              <w:bottom w:val="single" w:sz="4" w:space="0" w:color="auto"/>
            </w:tcBorders>
          </w:tcPr>
          <w:p w14:paraId="648FDCB1" w14:textId="77777777" w:rsidR="007253DB" w:rsidRPr="00B8307D" w:rsidRDefault="007253DB" w:rsidP="000A067B">
            <w:pPr>
              <w:widowControl w:val="0"/>
              <w:jc w:val="center"/>
              <w:rPr>
                <w:sz w:val="20"/>
                <w:szCs w:val="22"/>
                <w:lang w:val="sr-Latn-ME" w:eastAsia="de-DE"/>
              </w:rPr>
            </w:pPr>
            <w:r w:rsidRPr="00B8307D">
              <w:rPr>
                <w:sz w:val="20"/>
                <w:szCs w:val="22"/>
                <w:lang w:val="sr-Latn-ME" w:eastAsia="de-DE"/>
              </w:rPr>
              <w:t>Herceptin tokom 1 godine</w:t>
            </w:r>
          </w:p>
          <w:p w14:paraId="7E126BD5" w14:textId="77777777" w:rsidR="007253DB" w:rsidRPr="00B8307D" w:rsidRDefault="007253DB" w:rsidP="000A067B">
            <w:pPr>
              <w:widowControl w:val="0"/>
              <w:jc w:val="center"/>
              <w:rPr>
                <w:sz w:val="20"/>
                <w:szCs w:val="22"/>
                <w:lang w:val="sr-Latn-ME" w:eastAsia="de-DE"/>
              </w:rPr>
            </w:pPr>
            <w:r w:rsidRPr="00B8307D">
              <w:rPr>
                <w:sz w:val="20"/>
                <w:szCs w:val="22"/>
                <w:lang w:val="sr-Latn-ME" w:eastAsia="de-DE"/>
              </w:rPr>
              <w:t>N = 1693</w:t>
            </w:r>
          </w:p>
        </w:tc>
        <w:tc>
          <w:tcPr>
            <w:tcW w:w="824" w:type="pct"/>
            <w:tcBorders>
              <w:bottom w:val="single" w:sz="4" w:space="0" w:color="auto"/>
            </w:tcBorders>
          </w:tcPr>
          <w:p w14:paraId="23BFBC0C" w14:textId="77777777" w:rsidR="007253DB" w:rsidRPr="00B8307D" w:rsidRDefault="007253DB" w:rsidP="000A067B">
            <w:pPr>
              <w:widowControl w:val="0"/>
              <w:jc w:val="center"/>
              <w:rPr>
                <w:sz w:val="20"/>
                <w:szCs w:val="22"/>
                <w:lang w:val="sr-Latn-ME" w:eastAsia="de-DE"/>
              </w:rPr>
            </w:pPr>
            <w:r w:rsidRPr="00B8307D">
              <w:rPr>
                <w:sz w:val="20"/>
                <w:szCs w:val="22"/>
                <w:lang w:val="sr-Latn-ME" w:eastAsia="de-DE"/>
              </w:rPr>
              <w:t>Opservacija</w:t>
            </w:r>
            <w:r w:rsidRPr="00B8307D">
              <w:rPr>
                <w:sz w:val="20"/>
                <w:szCs w:val="22"/>
                <w:lang w:val="sr-Latn-ME" w:eastAsia="de-DE"/>
              </w:rPr>
              <w:br/>
              <w:t>N= 1697***</w:t>
            </w:r>
          </w:p>
        </w:tc>
        <w:tc>
          <w:tcPr>
            <w:tcW w:w="824" w:type="pct"/>
            <w:tcBorders>
              <w:bottom w:val="single" w:sz="4" w:space="0" w:color="auto"/>
            </w:tcBorders>
          </w:tcPr>
          <w:p w14:paraId="0D9DE0F8" w14:textId="77777777" w:rsidR="007253DB" w:rsidRPr="00B8307D" w:rsidRDefault="007253DB" w:rsidP="000A067B">
            <w:pPr>
              <w:widowControl w:val="0"/>
              <w:jc w:val="center"/>
              <w:rPr>
                <w:sz w:val="20"/>
                <w:szCs w:val="22"/>
                <w:lang w:val="sr-Latn-ME" w:eastAsia="de-DE"/>
              </w:rPr>
            </w:pPr>
            <w:r w:rsidRPr="00B8307D">
              <w:rPr>
                <w:sz w:val="20"/>
                <w:szCs w:val="22"/>
                <w:lang w:val="sr-Latn-ME" w:eastAsia="de-DE"/>
              </w:rPr>
              <w:t>Herceptin tokom 1 godine</w:t>
            </w:r>
          </w:p>
          <w:p w14:paraId="7CCC3DF1" w14:textId="77777777" w:rsidR="007253DB" w:rsidRPr="00B8307D" w:rsidRDefault="007253DB" w:rsidP="000A067B">
            <w:pPr>
              <w:widowControl w:val="0"/>
              <w:jc w:val="center"/>
              <w:rPr>
                <w:sz w:val="20"/>
                <w:szCs w:val="22"/>
                <w:lang w:val="sr-Latn-ME" w:eastAsia="de-DE"/>
              </w:rPr>
            </w:pPr>
            <w:r w:rsidRPr="00B8307D">
              <w:rPr>
                <w:sz w:val="20"/>
                <w:szCs w:val="22"/>
                <w:lang w:val="sr-Latn-ME" w:eastAsia="de-DE"/>
              </w:rPr>
              <w:t>N = 1702***</w:t>
            </w:r>
          </w:p>
        </w:tc>
      </w:tr>
      <w:tr w:rsidR="007253DB" w:rsidRPr="00B8307D" w14:paraId="76AC55CB" w14:textId="77777777" w:rsidTr="0064695A">
        <w:tc>
          <w:tcPr>
            <w:tcW w:w="1705" w:type="pct"/>
            <w:tcBorders>
              <w:bottom w:val="nil"/>
            </w:tcBorders>
          </w:tcPr>
          <w:p w14:paraId="0CF3C00A" w14:textId="77777777" w:rsidR="007253DB" w:rsidRPr="00B8307D" w:rsidRDefault="007253DB" w:rsidP="000A067B">
            <w:pPr>
              <w:widowControl w:val="0"/>
              <w:rPr>
                <w:sz w:val="20"/>
                <w:szCs w:val="22"/>
                <w:lang w:val="sr-Latn-ME" w:eastAsia="de-DE"/>
              </w:rPr>
            </w:pPr>
            <w:r w:rsidRPr="00B8307D">
              <w:rPr>
                <w:sz w:val="20"/>
                <w:szCs w:val="22"/>
                <w:lang w:val="sr-Latn-ME" w:eastAsia="de-DE"/>
              </w:rPr>
              <w:t>Preživljavanje bez bolesti</w:t>
            </w:r>
          </w:p>
        </w:tc>
        <w:tc>
          <w:tcPr>
            <w:tcW w:w="824" w:type="pct"/>
            <w:tcBorders>
              <w:bottom w:val="nil"/>
              <w:right w:val="nil"/>
            </w:tcBorders>
          </w:tcPr>
          <w:p w14:paraId="7E1AF055" w14:textId="77777777" w:rsidR="007253DB" w:rsidRPr="00B8307D" w:rsidRDefault="007253DB" w:rsidP="000A067B">
            <w:pPr>
              <w:widowControl w:val="0"/>
              <w:jc w:val="both"/>
              <w:rPr>
                <w:sz w:val="20"/>
                <w:szCs w:val="22"/>
                <w:lang w:val="sr-Latn-ME" w:eastAsia="de-DE"/>
              </w:rPr>
            </w:pPr>
          </w:p>
        </w:tc>
        <w:tc>
          <w:tcPr>
            <w:tcW w:w="824" w:type="pct"/>
            <w:tcBorders>
              <w:left w:val="nil"/>
              <w:bottom w:val="nil"/>
            </w:tcBorders>
          </w:tcPr>
          <w:p w14:paraId="6A82EFA0" w14:textId="77777777" w:rsidR="007253DB" w:rsidRPr="00B8307D" w:rsidRDefault="007253DB" w:rsidP="000A067B">
            <w:pPr>
              <w:widowControl w:val="0"/>
              <w:jc w:val="both"/>
              <w:rPr>
                <w:sz w:val="20"/>
                <w:szCs w:val="22"/>
                <w:lang w:val="sr-Latn-ME" w:eastAsia="de-DE"/>
              </w:rPr>
            </w:pPr>
          </w:p>
        </w:tc>
        <w:tc>
          <w:tcPr>
            <w:tcW w:w="824" w:type="pct"/>
            <w:tcBorders>
              <w:bottom w:val="nil"/>
              <w:right w:val="nil"/>
            </w:tcBorders>
          </w:tcPr>
          <w:p w14:paraId="3C2FCBFB" w14:textId="77777777" w:rsidR="007253DB" w:rsidRPr="00B8307D" w:rsidRDefault="007253DB" w:rsidP="000A067B">
            <w:pPr>
              <w:widowControl w:val="0"/>
              <w:jc w:val="both"/>
              <w:rPr>
                <w:sz w:val="20"/>
                <w:szCs w:val="22"/>
                <w:lang w:val="sr-Latn-ME" w:eastAsia="de-DE"/>
              </w:rPr>
            </w:pPr>
          </w:p>
        </w:tc>
        <w:tc>
          <w:tcPr>
            <w:tcW w:w="824" w:type="pct"/>
            <w:tcBorders>
              <w:left w:val="nil"/>
              <w:bottom w:val="nil"/>
            </w:tcBorders>
          </w:tcPr>
          <w:p w14:paraId="10B12385" w14:textId="77777777" w:rsidR="007253DB" w:rsidRPr="00B8307D" w:rsidRDefault="007253DB" w:rsidP="000A067B">
            <w:pPr>
              <w:widowControl w:val="0"/>
              <w:jc w:val="both"/>
              <w:rPr>
                <w:sz w:val="20"/>
                <w:szCs w:val="22"/>
                <w:lang w:val="sr-Latn-ME" w:eastAsia="de-DE"/>
              </w:rPr>
            </w:pPr>
          </w:p>
        </w:tc>
      </w:tr>
      <w:tr w:rsidR="007253DB" w:rsidRPr="00B8307D" w14:paraId="024A2C81" w14:textId="77777777" w:rsidTr="0064695A">
        <w:tc>
          <w:tcPr>
            <w:tcW w:w="1705" w:type="pct"/>
            <w:tcBorders>
              <w:top w:val="nil"/>
              <w:bottom w:val="nil"/>
            </w:tcBorders>
          </w:tcPr>
          <w:p w14:paraId="4C643A97" w14:textId="77777777" w:rsidR="007253DB" w:rsidRPr="00B8307D" w:rsidRDefault="007253DB" w:rsidP="000A067B">
            <w:pPr>
              <w:widowControl w:val="0"/>
              <w:rPr>
                <w:sz w:val="20"/>
                <w:szCs w:val="22"/>
                <w:lang w:val="sr-Latn-ME" w:eastAsia="de-DE"/>
              </w:rPr>
            </w:pPr>
            <w:r w:rsidRPr="00B8307D">
              <w:rPr>
                <w:sz w:val="20"/>
                <w:szCs w:val="22"/>
                <w:lang w:val="sr-Latn-ME" w:eastAsia="de-DE"/>
              </w:rPr>
              <w:t>- broj pacijentkinja sa događajem</w:t>
            </w:r>
          </w:p>
        </w:tc>
        <w:tc>
          <w:tcPr>
            <w:tcW w:w="824" w:type="pct"/>
            <w:tcBorders>
              <w:top w:val="nil"/>
              <w:bottom w:val="nil"/>
              <w:right w:val="nil"/>
            </w:tcBorders>
          </w:tcPr>
          <w:p w14:paraId="3C2897C9" w14:textId="77777777" w:rsidR="007253DB" w:rsidRPr="00B8307D" w:rsidRDefault="007253DB" w:rsidP="000A067B">
            <w:pPr>
              <w:widowControl w:val="0"/>
              <w:jc w:val="center"/>
              <w:rPr>
                <w:sz w:val="20"/>
                <w:szCs w:val="22"/>
                <w:lang w:val="sr-Latn-ME" w:eastAsia="de-DE"/>
              </w:rPr>
            </w:pPr>
            <w:r w:rsidRPr="00B8307D">
              <w:rPr>
                <w:sz w:val="20"/>
                <w:szCs w:val="22"/>
                <w:lang w:val="sr-Latn-ME" w:eastAsia="de-DE"/>
              </w:rPr>
              <w:t>219 (12,9 %)</w:t>
            </w:r>
          </w:p>
        </w:tc>
        <w:tc>
          <w:tcPr>
            <w:tcW w:w="824" w:type="pct"/>
            <w:tcBorders>
              <w:top w:val="nil"/>
              <w:left w:val="nil"/>
              <w:bottom w:val="nil"/>
            </w:tcBorders>
          </w:tcPr>
          <w:p w14:paraId="7C53C731" w14:textId="77777777" w:rsidR="007253DB" w:rsidRPr="00B8307D" w:rsidRDefault="007253DB" w:rsidP="000A067B">
            <w:pPr>
              <w:widowControl w:val="0"/>
              <w:jc w:val="center"/>
              <w:rPr>
                <w:sz w:val="20"/>
                <w:szCs w:val="22"/>
                <w:lang w:val="sr-Latn-ME" w:eastAsia="de-DE"/>
              </w:rPr>
            </w:pPr>
            <w:r w:rsidRPr="00B8307D">
              <w:rPr>
                <w:sz w:val="20"/>
                <w:szCs w:val="22"/>
                <w:lang w:val="sr-Latn-ME" w:eastAsia="de-DE"/>
              </w:rPr>
              <w:t>127 (7,5 %)</w:t>
            </w:r>
          </w:p>
        </w:tc>
        <w:tc>
          <w:tcPr>
            <w:tcW w:w="824" w:type="pct"/>
            <w:tcBorders>
              <w:top w:val="nil"/>
              <w:bottom w:val="nil"/>
              <w:right w:val="nil"/>
            </w:tcBorders>
          </w:tcPr>
          <w:p w14:paraId="350DA673" w14:textId="77777777" w:rsidR="007253DB" w:rsidRPr="00B8307D" w:rsidRDefault="007253DB" w:rsidP="000A067B">
            <w:pPr>
              <w:widowControl w:val="0"/>
              <w:jc w:val="center"/>
              <w:rPr>
                <w:sz w:val="20"/>
                <w:szCs w:val="22"/>
                <w:lang w:val="sr-Latn-ME" w:eastAsia="de-DE"/>
              </w:rPr>
            </w:pPr>
            <w:r w:rsidRPr="00B8307D">
              <w:rPr>
                <w:sz w:val="20"/>
                <w:szCs w:val="22"/>
                <w:lang w:val="sr-Latn-ME" w:eastAsia="de-DE"/>
              </w:rPr>
              <w:t>570 (33,6 %)</w:t>
            </w:r>
          </w:p>
        </w:tc>
        <w:tc>
          <w:tcPr>
            <w:tcW w:w="824" w:type="pct"/>
            <w:tcBorders>
              <w:top w:val="nil"/>
              <w:left w:val="nil"/>
              <w:bottom w:val="nil"/>
            </w:tcBorders>
          </w:tcPr>
          <w:p w14:paraId="67B76929" w14:textId="77777777" w:rsidR="007253DB" w:rsidRPr="00B8307D" w:rsidRDefault="007253DB" w:rsidP="000A067B">
            <w:pPr>
              <w:widowControl w:val="0"/>
              <w:jc w:val="center"/>
              <w:rPr>
                <w:sz w:val="20"/>
                <w:szCs w:val="22"/>
                <w:lang w:val="sr-Latn-ME" w:eastAsia="de-DE"/>
              </w:rPr>
            </w:pPr>
            <w:r w:rsidRPr="00B8307D">
              <w:rPr>
                <w:sz w:val="20"/>
                <w:szCs w:val="22"/>
                <w:lang w:val="sr-Latn-ME" w:eastAsia="de-DE"/>
              </w:rPr>
              <w:t>471 (27,7 %)</w:t>
            </w:r>
          </w:p>
        </w:tc>
      </w:tr>
      <w:tr w:rsidR="007253DB" w:rsidRPr="00B8307D" w14:paraId="3B119621" w14:textId="77777777" w:rsidTr="0064695A">
        <w:tc>
          <w:tcPr>
            <w:tcW w:w="1705" w:type="pct"/>
            <w:tcBorders>
              <w:top w:val="nil"/>
              <w:bottom w:val="nil"/>
            </w:tcBorders>
          </w:tcPr>
          <w:p w14:paraId="729A05D6" w14:textId="77777777" w:rsidR="007253DB" w:rsidRPr="00B8307D" w:rsidRDefault="007253DB" w:rsidP="000A067B">
            <w:pPr>
              <w:widowControl w:val="0"/>
              <w:rPr>
                <w:sz w:val="20"/>
                <w:szCs w:val="22"/>
                <w:lang w:val="sr-Latn-ME" w:eastAsia="de-DE"/>
              </w:rPr>
            </w:pPr>
            <w:r w:rsidRPr="00B8307D">
              <w:rPr>
                <w:sz w:val="20"/>
                <w:szCs w:val="22"/>
                <w:lang w:val="sr-Latn-ME" w:eastAsia="de-DE"/>
              </w:rPr>
              <w:t>- broj pacijentkinja bez događaja</w:t>
            </w:r>
          </w:p>
        </w:tc>
        <w:tc>
          <w:tcPr>
            <w:tcW w:w="824" w:type="pct"/>
            <w:tcBorders>
              <w:top w:val="nil"/>
              <w:bottom w:val="nil"/>
              <w:right w:val="nil"/>
            </w:tcBorders>
          </w:tcPr>
          <w:p w14:paraId="19DECCB2" w14:textId="77777777" w:rsidR="007253DB" w:rsidRPr="00B8307D" w:rsidRDefault="007253DB" w:rsidP="000A067B">
            <w:pPr>
              <w:widowControl w:val="0"/>
              <w:jc w:val="center"/>
              <w:rPr>
                <w:sz w:val="20"/>
                <w:szCs w:val="22"/>
                <w:lang w:val="sr-Latn-ME" w:eastAsia="de-DE"/>
              </w:rPr>
            </w:pPr>
            <w:r w:rsidRPr="00B8307D">
              <w:rPr>
                <w:sz w:val="20"/>
                <w:szCs w:val="22"/>
                <w:lang w:val="sr-Latn-ME" w:eastAsia="de-DE"/>
              </w:rPr>
              <w:t>1474 (87,1 %)</w:t>
            </w:r>
          </w:p>
        </w:tc>
        <w:tc>
          <w:tcPr>
            <w:tcW w:w="824" w:type="pct"/>
            <w:tcBorders>
              <w:top w:val="nil"/>
              <w:left w:val="nil"/>
              <w:bottom w:val="nil"/>
            </w:tcBorders>
          </w:tcPr>
          <w:p w14:paraId="135F8D14" w14:textId="77777777" w:rsidR="007253DB" w:rsidRPr="00B8307D" w:rsidRDefault="007253DB" w:rsidP="000A067B">
            <w:pPr>
              <w:widowControl w:val="0"/>
              <w:jc w:val="center"/>
              <w:rPr>
                <w:sz w:val="20"/>
                <w:szCs w:val="22"/>
                <w:lang w:val="sr-Latn-ME" w:eastAsia="de-DE"/>
              </w:rPr>
            </w:pPr>
            <w:r w:rsidRPr="00B8307D">
              <w:rPr>
                <w:sz w:val="20"/>
                <w:szCs w:val="22"/>
                <w:lang w:val="sr-Latn-ME" w:eastAsia="de-DE"/>
              </w:rPr>
              <w:t>1566 (92,5 %)</w:t>
            </w:r>
          </w:p>
        </w:tc>
        <w:tc>
          <w:tcPr>
            <w:tcW w:w="824" w:type="pct"/>
            <w:tcBorders>
              <w:top w:val="nil"/>
              <w:bottom w:val="nil"/>
              <w:right w:val="nil"/>
            </w:tcBorders>
          </w:tcPr>
          <w:p w14:paraId="53B3E585" w14:textId="77777777" w:rsidR="007253DB" w:rsidRPr="00B8307D" w:rsidRDefault="007253DB" w:rsidP="000A067B">
            <w:pPr>
              <w:widowControl w:val="0"/>
              <w:jc w:val="center"/>
              <w:rPr>
                <w:sz w:val="20"/>
                <w:szCs w:val="22"/>
                <w:lang w:val="sr-Latn-ME" w:eastAsia="de-DE"/>
              </w:rPr>
            </w:pPr>
            <w:r w:rsidRPr="00B8307D">
              <w:rPr>
                <w:sz w:val="20"/>
                <w:szCs w:val="22"/>
                <w:lang w:val="sr-Latn-ME" w:eastAsia="de-DE"/>
              </w:rPr>
              <w:t>1127 (66,4 %)</w:t>
            </w:r>
          </w:p>
        </w:tc>
        <w:tc>
          <w:tcPr>
            <w:tcW w:w="824" w:type="pct"/>
            <w:tcBorders>
              <w:top w:val="nil"/>
              <w:left w:val="nil"/>
              <w:bottom w:val="nil"/>
            </w:tcBorders>
          </w:tcPr>
          <w:p w14:paraId="3779146E" w14:textId="77777777" w:rsidR="007253DB" w:rsidRPr="00B8307D" w:rsidRDefault="007253DB" w:rsidP="000A067B">
            <w:pPr>
              <w:widowControl w:val="0"/>
              <w:jc w:val="center"/>
              <w:rPr>
                <w:sz w:val="20"/>
                <w:szCs w:val="22"/>
                <w:lang w:val="sr-Latn-ME" w:eastAsia="de-DE"/>
              </w:rPr>
            </w:pPr>
            <w:r w:rsidRPr="00B8307D">
              <w:rPr>
                <w:sz w:val="20"/>
                <w:szCs w:val="22"/>
                <w:lang w:val="sr-Latn-ME" w:eastAsia="de-DE"/>
              </w:rPr>
              <w:t>1231 (72,3 %)</w:t>
            </w:r>
          </w:p>
        </w:tc>
      </w:tr>
      <w:tr w:rsidR="007253DB" w:rsidRPr="00B8307D" w14:paraId="345D1586" w14:textId="77777777" w:rsidTr="0064695A">
        <w:tc>
          <w:tcPr>
            <w:tcW w:w="1705" w:type="pct"/>
            <w:tcBorders>
              <w:top w:val="nil"/>
              <w:bottom w:val="nil"/>
            </w:tcBorders>
          </w:tcPr>
          <w:p w14:paraId="5AAB6330" w14:textId="49F2DA2E" w:rsidR="007253DB" w:rsidRPr="00B8307D" w:rsidRDefault="007253DB" w:rsidP="0064695A">
            <w:pPr>
              <w:widowControl w:val="0"/>
              <w:rPr>
                <w:sz w:val="20"/>
                <w:szCs w:val="22"/>
                <w:lang w:val="sr-Latn-ME" w:eastAsia="de-DE"/>
              </w:rPr>
            </w:pPr>
            <w:r w:rsidRPr="00B8307D">
              <w:rPr>
                <w:sz w:val="20"/>
                <w:szCs w:val="22"/>
                <w:lang w:val="sr-Latn-ME" w:eastAsia="de-DE"/>
              </w:rPr>
              <w:t>P-vrijednost naspram</w:t>
            </w:r>
            <w:r w:rsidR="0064695A" w:rsidRPr="00B8307D">
              <w:rPr>
                <w:sz w:val="20"/>
                <w:szCs w:val="22"/>
                <w:lang w:val="sr-Latn-ME" w:eastAsia="de-DE"/>
              </w:rPr>
              <w:t xml:space="preserve"> </w:t>
            </w:r>
            <w:r w:rsidRPr="00B8307D">
              <w:rPr>
                <w:sz w:val="20"/>
                <w:szCs w:val="22"/>
                <w:lang w:val="sr-Latn-ME" w:eastAsia="de-DE"/>
              </w:rPr>
              <w:t>opservacije</w:t>
            </w:r>
          </w:p>
        </w:tc>
        <w:tc>
          <w:tcPr>
            <w:tcW w:w="1647" w:type="pct"/>
            <w:gridSpan w:val="2"/>
            <w:tcBorders>
              <w:top w:val="nil"/>
              <w:bottom w:val="nil"/>
              <w:right w:val="single" w:sz="4" w:space="0" w:color="auto"/>
            </w:tcBorders>
          </w:tcPr>
          <w:p w14:paraId="7C090AAA" w14:textId="77777777" w:rsidR="007253DB" w:rsidRPr="00B8307D" w:rsidRDefault="007253DB" w:rsidP="000A067B">
            <w:pPr>
              <w:widowControl w:val="0"/>
              <w:jc w:val="center"/>
              <w:rPr>
                <w:sz w:val="20"/>
                <w:szCs w:val="22"/>
                <w:lang w:val="sr-Latn-ME" w:eastAsia="de-DE"/>
              </w:rPr>
            </w:pPr>
            <w:r w:rsidRPr="00B8307D">
              <w:rPr>
                <w:sz w:val="20"/>
                <w:szCs w:val="22"/>
                <w:lang w:val="sr-Latn-ME" w:eastAsia="de-DE"/>
              </w:rPr>
              <w:t>&lt; 0,0001</w:t>
            </w:r>
          </w:p>
        </w:tc>
        <w:tc>
          <w:tcPr>
            <w:tcW w:w="1648" w:type="pct"/>
            <w:gridSpan w:val="2"/>
            <w:tcBorders>
              <w:top w:val="nil"/>
              <w:left w:val="single" w:sz="4" w:space="0" w:color="auto"/>
              <w:bottom w:val="nil"/>
            </w:tcBorders>
          </w:tcPr>
          <w:p w14:paraId="01EB20FC" w14:textId="77777777" w:rsidR="007253DB" w:rsidRPr="00B8307D" w:rsidRDefault="007253DB" w:rsidP="000A067B">
            <w:pPr>
              <w:widowControl w:val="0"/>
              <w:jc w:val="center"/>
              <w:rPr>
                <w:sz w:val="20"/>
                <w:szCs w:val="22"/>
                <w:lang w:val="sr-Latn-ME" w:eastAsia="de-DE"/>
              </w:rPr>
            </w:pPr>
            <w:r w:rsidRPr="00B8307D">
              <w:rPr>
                <w:sz w:val="20"/>
                <w:szCs w:val="22"/>
                <w:lang w:val="sr-Latn-ME" w:eastAsia="de-DE"/>
              </w:rPr>
              <w:t>&lt; 0,0001</w:t>
            </w:r>
          </w:p>
        </w:tc>
      </w:tr>
      <w:tr w:rsidR="007253DB" w:rsidRPr="00B8307D" w14:paraId="2D0DA1AE" w14:textId="77777777" w:rsidTr="0064695A">
        <w:tc>
          <w:tcPr>
            <w:tcW w:w="1705" w:type="pct"/>
            <w:tcBorders>
              <w:top w:val="nil"/>
              <w:bottom w:val="single" w:sz="4" w:space="0" w:color="auto"/>
            </w:tcBorders>
          </w:tcPr>
          <w:p w14:paraId="720F9570" w14:textId="77777777" w:rsidR="007253DB" w:rsidRPr="00B8307D" w:rsidRDefault="007253DB" w:rsidP="000A067B">
            <w:pPr>
              <w:widowControl w:val="0"/>
              <w:rPr>
                <w:sz w:val="20"/>
                <w:szCs w:val="22"/>
                <w:lang w:val="sr-Latn-ME"/>
              </w:rPr>
            </w:pPr>
            <w:r w:rsidRPr="00B8307D">
              <w:rPr>
                <w:sz w:val="20"/>
                <w:szCs w:val="22"/>
                <w:lang w:val="sr-Latn-ME"/>
              </w:rPr>
              <w:t xml:space="preserve">Odnos hazarda </w:t>
            </w:r>
            <w:r w:rsidRPr="00B8307D">
              <w:rPr>
                <w:sz w:val="20"/>
                <w:szCs w:val="22"/>
                <w:lang w:val="sr-Latn-ME" w:eastAsia="de-DE"/>
              </w:rPr>
              <w:t>naspram</w:t>
            </w:r>
            <w:r w:rsidRPr="00B8307D">
              <w:rPr>
                <w:sz w:val="20"/>
                <w:szCs w:val="22"/>
                <w:lang w:val="sr-Latn-ME"/>
              </w:rPr>
              <w:t xml:space="preserve"> </w:t>
            </w:r>
          </w:p>
          <w:p w14:paraId="5AE4DFC6" w14:textId="77777777" w:rsidR="007253DB" w:rsidRPr="00B8307D" w:rsidRDefault="007253DB" w:rsidP="000A067B">
            <w:pPr>
              <w:widowControl w:val="0"/>
              <w:rPr>
                <w:sz w:val="20"/>
                <w:szCs w:val="22"/>
                <w:lang w:val="sr-Latn-ME" w:eastAsia="de-DE"/>
              </w:rPr>
            </w:pPr>
            <w:r w:rsidRPr="00B8307D">
              <w:rPr>
                <w:sz w:val="20"/>
                <w:szCs w:val="22"/>
                <w:lang w:val="sr-Latn-ME"/>
              </w:rPr>
              <w:t>opservacije</w:t>
            </w:r>
          </w:p>
        </w:tc>
        <w:tc>
          <w:tcPr>
            <w:tcW w:w="1647" w:type="pct"/>
            <w:gridSpan w:val="2"/>
            <w:tcBorders>
              <w:top w:val="nil"/>
              <w:bottom w:val="single" w:sz="4" w:space="0" w:color="auto"/>
              <w:right w:val="single" w:sz="4" w:space="0" w:color="auto"/>
            </w:tcBorders>
          </w:tcPr>
          <w:p w14:paraId="196992F6" w14:textId="77777777" w:rsidR="007253DB" w:rsidRPr="00B8307D" w:rsidRDefault="007253DB" w:rsidP="000A067B">
            <w:pPr>
              <w:widowControl w:val="0"/>
              <w:jc w:val="center"/>
              <w:rPr>
                <w:sz w:val="20"/>
                <w:szCs w:val="22"/>
                <w:lang w:val="sr-Latn-ME" w:eastAsia="de-DE"/>
              </w:rPr>
            </w:pPr>
            <w:r w:rsidRPr="00B8307D">
              <w:rPr>
                <w:sz w:val="20"/>
                <w:szCs w:val="22"/>
                <w:lang w:val="sr-Latn-ME" w:eastAsia="de-DE"/>
              </w:rPr>
              <w:t>0,54</w:t>
            </w:r>
          </w:p>
        </w:tc>
        <w:tc>
          <w:tcPr>
            <w:tcW w:w="1648" w:type="pct"/>
            <w:gridSpan w:val="2"/>
            <w:tcBorders>
              <w:top w:val="nil"/>
              <w:left w:val="single" w:sz="4" w:space="0" w:color="auto"/>
              <w:bottom w:val="single" w:sz="4" w:space="0" w:color="auto"/>
            </w:tcBorders>
          </w:tcPr>
          <w:p w14:paraId="0237ADA7" w14:textId="77777777" w:rsidR="007253DB" w:rsidRPr="00B8307D" w:rsidRDefault="007253DB" w:rsidP="000A067B">
            <w:pPr>
              <w:widowControl w:val="0"/>
              <w:jc w:val="center"/>
              <w:rPr>
                <w:sz w:val="20"/>
                <w:szCs w:val="22"/>
                <w:lang w:val="sr-Latn-ME" w:eastAsia="de-DE"/>
              </w:rPr>
            </w:pPr>
            <w:r w:rsidRPr="00B8307D">
              <w:rPr>
                <w:sz w:val="20"/>
                <w:szCs w:val="22"/>
                <w:lang w:val="sr-Latn-ME" w:eastAsia="de-DE"/>
              </w:rPr>
              <w:t>0,76</w:t>
            </w:r>
          </w:p>
        </w:tc>
      </w:tr>
      <w:tr w:rsidR="007253DB" w:rsidRPr="00B8307D" w14:paraId="4721FB83" w14:textId="77777777" w:rsidTr="0064695A">
        <w:tc>
          <w:tcPr>
            <w:tcW w:w="1705" w:type="pct"/>
            <w:tcBorders>
              <w:bottom w:val="nil"/>
            </w:tcBorders>
          </w:tcPr>
          <w:p w14:paraId="7F006B06" w14:textId="77777777" w:rsidR="007253DB" w:rsidRPr="00B8307D" w:rsidRDefault="007253DB" w:rsidP="000A067B">
            <w:pPr>
              <w:widowControl w:val="0"/>
              <w:rPr>
                <w:sz w:val="20"/>
                <w:szCs w:val="22"/>
                <w:lang w:val="sr-Latn-ME" w:eastAsia="de-DE"/>
              </w:rPr>
            </w:pPr>
            <w:r w:rsidRPr="00B8307D">
              <w:rPr>
                <w:sz w:val="20"/>
                <w:szCs w:val="22"/>
                <w:lang w:val="sr-Latn-ME" w:eastAsia="de-DE"/>
              </w:rPr>
              <w:t>Preživljavanje bez povrata bolesti</w:t>
            </w:r>
          </w:p>
        </w:tc>
        <w:tc>
          <w:tcPr>
            <w:tcW w:w="824" w:type="pct"/>
            <w:tcBorders>
              <w:bottom w:val="nil"/>
              <w:right w:val="nil"/>
            </w:tcBorders>
          </w:tcPr>
          <w:p w14:paraId="4E16BBB7" w14:textId="77777777" w:rsidR="007253DB" w:rsidRPr="00B8307D" w:rsidRDefault="007253DB" w:rsidP="000A067B">
            <w:pPr>
              <w:widowControl w:val="0"/>
              <w:jc w:val="center"/>
              <w:rPr>
                <w:sz w:val="20"/>
                <w:szCs w:val="22"/>
                <w:lang w:val="sr-Latn-ME" w:eastAsia="de-DE"/>
              </w:rPr>
            </w:pPr>
          </w:p>
        </w:tc>
        <w:tc>
          <w:tcPr>
            <w:tcW w:w="824" w:type="pct"/>
            <w:tcBorders>
              <w:left w:val="nil"/>
              <w:bottom w:val="nil"/>
            </w:tcBorders>
          </w:tcPr>
          <w:p w14:paraId="592C431B" w14:textId="77777777" w:rsidR="007253DB" w:rsidRPr="00B8307D" w:rsidRDefault="007253DB" w:rsidP="000A067B">
            <w:pPr>
              <w:widowControl w:val="0"/>
              <w:jc w:val="center"/>
              <w:rPr>
                <w:sz w:val="20"/>
                <w:szCs w:val="22"/>
                <w:lang w:val="sr-Latn-ME" w:eastAsia="de-DE"/>
              </w:rPr>
            </w:pPr>
          </w:p>
        </w:tc>
        <w:tc>
          <w:tcPr>
            <w:tcW w:w="824" w:type="pct"/>
            <w:tcBorders>
              <w:bottom w:val="nil"/>
              <w:right w:val="nil"/>
            </w:tcBorders>
          </w:tcPr>
          <w:p w14:paraId="121744AB" w14:textId="77777777" w:rsidR="007253DB" w:rsidRPr="00B8307D" w:rsidRDefault="007253DB" w:rsidP="000A067B">
            <w:pPr>
              <w:widowControl w:val="0"/>
              <w:jc w:val="center"/>
              <w:rPr>
                <w:sz w:val="20"/>
                <w:szCs w:val="22"/>
                <w:lang w:val="sr-Latn-ME" w:eastAsia="de-DE"/>
              </w:rPr>
            </w:pPr>
          </w:p>
        </w:tc>
        <w:tc>
          <w:tcPr>
            <w:tcW w:w="824" w:type="pct"/>
            <w:tcBorders>
              <w:left w:val="nil"/>
              <w:bottom w:val="nil"/>
            </w:tcBorders>
          </w:tcPr>
          <w:p w14:paraId="21B21024" w14:textId="77777777" w:rsidR="007253DB" w:rsidRPr="00B8307D" w:rsidRDefault="007253DB" w:rsidP="000A067B">
            <w:pPr>
              <w:widowControl w:val="0"/>
              <w:jc w:val="center"/>
              <w:rPr>
                <w:sz w:val="20"/>
                <w:szCs w:val="22"/>
                <w:lang w:val="sr-Latn-ME" w:eastAsia="de-DE"/>
              </w:rPr>
            </w:pPr>
          </w:p>
        </w:tc>
      </w:tr>
      <w:tr w:rsidR="007253DB" w:rsidRPr="00B8307D" w14:paraId="3D3D0F7D" w14:textId="77777777" w:rsidTr="0064695A">
        <w:tc>
          <w:tcPr>
            <w:tcW w:w="1705" w:type="pct"/>
            <w:tcBorders>
              <w:top w:val="nil"/>
              <w:bottom w:val="nil"/>
            </w:tcBorders>
          </w:tcPr>
          <w:p w14:paraId="7DBAA089" w14:textId="77777777" w:rsidR="007253DB" w:rsidRPr="00B8307D" w:rsidRDefault="007253DB" w:rsidP="000A067B">
            <w:pPr>
              <w:widowControl w:val="0"/>
              <w:rPr>
                <w:sz w:val="20"/>
                <w:szCs w:val="22"/>
                <w:lang w:val="sr-Latn-ME" w:eastAsia="de-DE"/>
              </w:rPr>
            </w:pPr>
            <w:r w:rsidRPr="00B8307D">
              <w:rPr>
                <w:sz w:val="20"/>
                <w:szCs w:val="22"/>
                <w:lang w:val="sr-Latn-ME" w:eastAsia="de-DE"/>
              </w:rPr>
              <w:t>- broj pacijentkinja s događajem</w:t>
            </w:r>
          </w:p>
        </w:tc>
        <w:tc>
          <w:tcPr>
            <w:tcW w:w="824" w:type="pct"/>
            <w:tcBorders>
              <w:top w:val="nil"/>
              <w:bottom w:val="nil"/>
              <w:right w:val="nil"/>
            </w:tcBorders>
          </w:tcPr>
          <w:p w14:paraId="7BADA0B3" w14:textId="77777777" w:rsidR="007253DB" w:rsidRPr="00B8307D" w:rsidRDefault="007253DB" w:rsidP="000A067B">
            <w:pPr>
              <w:widowControl w:val="0"/>
              <w:jc w:val="center"/>
              <w:rPr>
                <w:sz w:val="20"/>
                <w:szCs w:val="22"/>
                <w:lang w:val="sr-Latn-ME" w:eastAsia="de-DE"/>
              </w:rPr>
            </w:pPr>
            <w:r w:rsidRPr="00B8307D">
              <w:rPr>
                <w:sz w:val="20"/>
                <w:szCs w:val="22"/>
                <w:lang w:val="sr-Latn-ME" w:eastAsia="de-DE"/>
              </w:rPr>
              <w:t>208 (12,3 %)</w:t>
            </w:r>
          </w:p>
        </w:tc>
        <w:tc>
          <w:tcPr>
            <w:tcW w:w="824" w:type="pct"/>
            <w:tcBorders>
              <w:top w:val="nil"/>
              <w:left w:val="nil"/>
              <w:bottom w:val="nil"/>
            </w:tcBorders>
          </w:tcPr>
          <w:p w14:paraId="4EFAF9D3" w14:textId="77777777" w:rsidR="007253DB" w:rsidRPr="00B8307D" w:rsidRDefault="007253DB" w:rsidP="000A067B">
            <w:pPr>
              <w:widowControl w:val="0"/>
              <w:jc w:val="center"/>
              <w:rPr>
                <w:sz w:val="20"/>
                <w:szCs w:val="22"/>
                <w:lang w:val="sr-Latn-ME" w:eastAsia="de-DE"/>
              </w:rPr>
            </w:pPr>
            <w:r w:rsidRPr="00B8307D">
              <w:rPr>
                <w:sz w:val="20"/>
                <w:szCs w:val="22"/>
                <w:lang w:val="sr-Latn-ME" w:eastAsia="de-DE"/>
              </w:rPr>
              <w:t>113 (6,7 %)</w:t>
            </w:r>
          </w:p>
        </w:tc>
        <w:tc>
          <w:tcPr>
            <w:tcW w:w="824" w:type="pct"/>
            <w:tcBorders>
              <w:top w:val="nil"/>
              <w:bottom w:val="nil"/>
              <w:right w:val="nil"/>
            </w:tcBorders>
          </w:tcPr>
          <w:p w14:paraId="0D4EE4CE" w14:textId="77777777" w:rsidR="007253DB" w:rsidRPr="00B8307D" w:rsidRDefault="007253DB" w:rsidP="000A067B">
            <w:pPr>
              <w:widowControl w:val="0"/>
              <w:jc w:val="center"/>
              <w:rPr>
                <w:sz w:val="20"/>
                <w:szCs w:val="22"/>
                <w:lang w:val="sr-Latn-ME" w:eastAsia="de-DE"/>
              </w:rPr>
            </w:pPr>
            <w:r w:rsidRPr="00B8307D">
              <w:rPr>
                <w:sz w:val="20"/>
                <w:szCs w:val="22"/>
                <w:lang w:val="sr-Latn-ME" w:eastAsia="de-DE"/>
              </w:rPr>
              <w:t>506 (29,8 %)</w:t>
            </w:r>
          </w:p>
        </w:tc>
        <w:tc>
          <w:tcPr>
            <w:tcW w:w="824" w:type="pct"/>
            <w:tcBorders>
              <w:top w:val="nil"/>
              <w:left w:val="nil"/>
              <w:bottom w:val="nil"/>
            </w:tcBorders>
          </w:tcPr>
          <w:p w14:paraId="26AC5B73" w14:textId="77777777" w:rsidR="007253DB" w:rsidRPr="00B8307D" w:rsidRDefault="007253DB" w:rsidP="000A067B">
            <w:pPr>
              <w:widowControl w:val="0"/>
              <w:jc w:val="center"/>
              <w:rPr>
                <w:sz w:val="20"/>
                <w:szCs w:val="22"/>
                <w:lang w:val="sr-Latn-ME" w:eastAsia="de-DE"/>
              </w:rPr>
            </w:pPr>
            <w:r w:rsidRPr="00B8307D">
              <w:rPr>
                <w:sz w:val="20"/>
                <w:szCs w:val="22"/>
                <w:lang w:val="sr-Latn-ME" w:eastAsia="de-DE"/>
              </w:rPr>
              <w:t>399 (23,4 %)</w:t>
            </w:r>
          </w:p>
        </w:tc>
      </w:tr>
      <w:tr w:rsidR="007253DB" w:rsidRPr="00B8307D" w14:paraId="0A5323E7" w14:textId="77777777" w:rsidTr="0064695A">
        <w:tc>
          <w:tcPr>
            <w:tcW w:w="1705" w:type="pct"/>
            <w:tcBorders>
              <w:top w:val="nil"/>
              <w:bottom w:val="nil"/>
            </w:tcBorders>
          </w:tcPr>
          <w:p w14:paraId="6A87F78A" w14:textId="77777777" w:rsidR="007253DB" w:rsidRPr="00B8307D" w:rsidRDefault="007253DB" w:rsidP="000A067B">
            <w:pPr>
              <w:widowControl w:val="0"/>
              <w:rPr>
                <w:sz w:val="20"/>
                <w:szCs w:val="22"/>
                <w:lang w:val="sr-Latn-ME" w:eastAsia="de-DE"/>
              </w:rPr>
            </w:pPr>
            <w:r w:rsidRPr="00B8307D">
              <w:rPr>
                <w:sz w:val="20"/>
                <w:szCs w:val="22"/>
                <w:lang w:val="sr-Latn-ME" w:eastAsia="de-DE"/>
              </w:rPr>
              <w:t xml:space="preserve">- </w:t>
            </w:r>
            <w:r w:rsidRPr="00B8307D">
              <w:rPr>
                <w:sz w:val="20"/>
                <w:szCs w:val="22"/>
                <w:lang w:val="sr-Latn-ME"/>
              </w:rPr>
              <w:t>broj pacijentkinja bez događaja</w:t>
            </w:r>
          </w:p>
        </w:tc>
        <w:tc>
          <w:tcPr>
            <w:tcW w:w="824" w:type="pct"/>
            <w:tcBorders>
              <w:top w:val="nil"/>
              <w:bottom w:val="nil"/>
              <w:right w:val="nil"/>
            </w:tcBorders>
          </w:tcPr>
          <w:p w14:paraId="7D304DC2" w14:textId="77777777" w:rsidR="007253DB" w:rsidRPr="00B8307D" w:rsidRDefault="007253DB" w:rsidP="000A067B">
            <w:pPr>
              <w:widowControl w:val="0"/>
              <w:jc w:val="center"/>
              <w:rPr>
                <w:sz w:val="20"/>
                <w:szCs w:val="22"/>
                <w:lang w:val="sr-Latn-ME" w:eastAsia="de-DE"/>
              </w:rPr>
            </w:pPr>
            <w:r w:rsidRPr="00B8307D">
              <w:rPr>
                <w:sz w:val="20"/>
                <w:szCs w:val="22"/>
                <w:lang w:val="sr-Latn-ME" w:eastAsia="de-DE"/>
              </w:rPr>
              <w:t>1485 (87,7 %)</w:t>
            </w:r>
          </w:p>
        </w:tc>
        <w:tc>
          <w:tcPr>
            <w:tcW w:w="824" w:type="pct"/>
            <w:tcBorders>
              <w:top w:val="nil"/>
              <w:left w:val="nil"/>
              <w:bottom w:val="nil"/>
            </w:tcBorders>
          </w:tcPr>
          <w:p w14:paraId="41240982" w14:textId="77777777" w:rsidR="007253DB" w:rsidRPr="00B8307D" w:rsidRDefault="007253DB" w:rsidP="000A067B">
            <w:pPr>
              <w:widowControl w:val="0"/>
              <w:jc w:val="center"/>
              <w:rPr>
                <w:sz w:val="20"/>
                <w:szCs w:val="22"/>
                <w:lang w:val="sr-Latn-ME" w:eastAsia="de-DE"/>
              </w:rPr>
            </w:pPr>
            <w:r w:rsidRPr="00B8307D">
              <w:rPr>
                <w:sz w:val="20"/>
                <w:szCs w:val="22"/>
                <w:lang w:val="sr-Latn-ME" w:eastAsia="de-DE"/>
              </w:rPr>
              <w:t>1580 (93,3 %)</w:t>
            </w:r>
          </w:p>
        </w:tc>
        <w:tc>
          <w:tcPr>
            <w:tcW w:w="824" w:type="pct"/>
            <w:tcBorders>
              <w:top w:val="nil"/>
              <w:bottom w:val="nil"/>
              <w:right w:val="nil"/>
            </w:tcBorders>
          </w:tcPr>
          <w:p w14:paraId="1E8D87C9" w14:textId="77777777" w:rsidR="007253DB" w:rsidRPr="00B8307D" w:rsidRDefault="007253DB" w:rsidP="000A067B">
            <w:pPr>
              <w:widowControl w:val="0"/>
              <w:jc w:val="center"/>
              <w:rPr>
                <w:sz w:val="20"/>
                <w:szCs w:val="22"/>
                <w:lang w:val="sr-Latn-ME" w:eastAsia="de-DE"/>
              </w:rPr>
            </w:pPr>
            <w:r w:rsidRPr="00B8307D">
              <w:rPr>
                <w:sz w:val="20"/>
                <w:szCs w:val="22"/>
                <w:lang w:val="sr-Latn-ME" w:eastAsia="de-DE"/>
              </w:rPr>
              <w:t>1191 (70,2 %)</w:t>
            </w:r>
          </w:p>
        </w:tc>
        <w:tc>
          <w:tcPr>
            <w:tcW w:w="824" w:type="pct"/>
            <w:tcBorders>
              <w:top w:val="nil"/>
              <w:left w:val="nil"/>
              <w:bottom w:val="nil"/>
            </w:tcBorders>
          </w:tcPr>
          <w:p w14:paraId="369EEF67" w14:textId="77777777" w:rsidR="007253DB" w:rsidRPr="00B8307D" w:rsidRDefault="007253DB" w:rsidP="000A067B">
            <w:pPr>
              <w:widowControl w:val="0"/>
              <w:jc w:val="center"/>
              <w:rPr>
                <w:sz w:val="20"/>
                <w:szCs w:val="22"/>
                <w:lang w:val="sr-Latn-ME" w:eastAsia="de-DE"/>
              </w:rPr>
            </w:pPr>
            <w:r w:rsidRPr="00B8307D">
              <w:rPr>
                <w:sz w:val="20"/>
                <w:szCs w:val="22"/>
                <w:lang w:val="sr-Latn-ME" w:eastAsia="de-DE"/>
              </w:rPr>
              <w:t>1303 (76,6 %)</w:t>
            </w:r>
          </w:p>
        </w:tc>
      </w:tr>
      <w:tr w:rsidR="007253DB" w:rsidRPr="00B8307D" w14:paraId="44A83E90" w14:textId="77777777" w:rsidTr="0064695A">
        <w:tc>
          <w:tcPr>
            <w:tcW w:w="1705" w:type="pct"/>
            <w:tcBorders>
              <w:top w:val="nil"/>
              <w:bottom w:val="nil"/>
            </w:tcBorders>
          </w:tcPr>
          <w:p w14:paraId="1C3EA78B" w14:textId="13998DD9" w:rsidR="007253DB" w:rsidRPr="00B8307D" w:rsidRDefault="007253DB" w:rsidP="0064695A">
            <w:pPr>
              <w:widowControl w:val="0"/>
              <w:rPr>
                <w:sz w:val="20"/>
                <w:szCs w:val="22"/>
                <w:lang w:val="sr-Latn-ME" w:eastAsia="de-DE"/>
              </w:rPr>
            </w:pPr>
            <w:r w:rsidRPr="00B8307D">
              <w:rPr>
                <w:sz w:val="20"/>
                <w:szCs w:val="22"/>
                <w:lang w:val="sr-Latn-ME"/>
              </w:rPr>
              <w:t xml:space="preserve">P-vrijednost </w:t>
            </w:r>
            <w:r w:rsidRPr="00B8307D">
              <w:rPr>
                <w:sz w:val="20"/>
                <w:szCs w:val="22"/>
                <w:lang w:val="sr-Latn-ME" w:eastAsia="de-DE"/>
              </w:rPr>
              <w:t>naspram</w:t>
            </w:r>
            <w:r w:rsidR="0064695A" w:rsidRPr="00B8307D">
              <w:rPr>
                <w:sz w:val="20"/>
                <w:szCs w:val="22"/>
                <w:lang w:val="sr-Latn-ME" w:eastAsia="de-DE"/>
              </w:rPr>
              <w:t xml:space="preserve"> </w:t>
            </w:r>
            <w:r w:rsidRPr="00B8307D">
              <w:rPr>
                <w:sz w:val="20"/>
                <w:szCs w:val="22"/>
                <w:lang w:val="sr-Latn-ME"/>
              </w:rPr>
              <w:t>opservacije</w:t>
            </w:r>
          </w:p>
        </w:tc>
        <w:tc>
          <w:tcPr>
            <w:tcW w:w="1647" w:type="pct"/>
            <w:gridSpan w:val="2"/>
            <w:tcBorders>
              <w:top w:val="nil"/>
              <w:bottom w:val="nil"/>
            </w:tcBorders>
          </w:tcPr>
          <w:p w14:paraId="2AAE4D93" w14:textId="77777777" w:rsidR="007253DB" w:rsidRPr="00B8307D" w:rsidRDefault="007253DB" w:rsidP="000A067B">
            <w:pPr>
              <w:widowControl w:val="0"/>
              <w:jc w:val="center"/>
              <w:rPr>
                <w:sz w:val="20"/>
                <w:szCs w:val="22"/>
                <w:lang w:val="sr-Latn-ME" w:eastAsia="de-DE"/>
              </w:rPr>
            </w:pPr>
            <w:r w:rsidRPr="00B8307D">
              <w:rPr>
                <w:sz w:val="20"/>
                <w:szCs w:val="22"/>
                <w:lang w:val="sr-Latn-ME" w:eastAsia="de-DE"/>
              </w:rPr>
              <w:t>&lt; 0,0001</w:t>
            </w:r>
          </w:p>
        </w:tc>
        <w:tc>
          <w:tcPr>
            <w:tcW w:w="1648" w:type="pct"/>
            <w:gridSpan w:val="2"/>
            <w:tcBorders>
              <w:top w:val="nil"/>
              <w:bottom w:val="nil"/>
            </w:tcBorders>
          </w:tcPr>
          <w:p w14:paraId="7BE2BE37" w14:textId="77777777" w:rsidR="007253DB" w:rsidRPr="00B8307D" w:rsidRDefault="007253DB" w:rsidP="000A067B">
            <w:pPr>
              <w:widowControl w:val="0"/>
              <w:jc w:val="center"/>
              <w:rPr>
                <w:sz w:val="20"/>
                <w:szCs w:val="22"/>
                <w:lang w:val="sr-Latn-ME" w:eastAsia="de-DE"/>
              </w:rPr>
            </w:pPr>
            <w:r w:rsidRPr="00B8307D">
              <w:rPr>
                <w:sz w:val="20"/>
                <w:szCs w:val="22"/>
                <w:lang w:val="sr-Latn-ME" w:eastAsia="de-DE"/>
              </w:rPr>
              <w:t>&lt; 0,0001</w:t>
            </w:r>
          </w:p>
        </w:tc>
      </w:tr>
      <w:tr w:rsidR="007253DB" w:rsidRPr="00B8307D" w14:paraId="1034DE68" w14:textId="77777777" w:rsidTr="0064695A">
        <w:tc>
          <w:tcPr>
            <w:tcW w:w="1705" w:type="pct"/>
            <w:tcBorders>
              <w:top w:val="nil"/>
              <w:bottom w:val="single" w:sz="4" w:space="0" w:color="auto"/>
            </w:tcBorders>
          </w:tcPr>
          <w:p w14:paraId="0574FA73" w14:textId="77777777" w:rsidR="007253DB" w:rsidRPr="00B8307D" w:rsidRDefault="007253DB" w:rsidP="000A067B">
            <w:pPr>
              <w:widowControl w:val="0"/>
              <w:rPr>
                <w:sz w:val="20"/>
                <w:szCs w:val="22"/>
                <w:lang w:val="sr-Latn-ME"/>
              </w:rPr>
            </w:pPr>
            <w:r w:rsidRPr="00B8307D">
              <w:rPr>
                <w:sz w:val="20"/>
                <w:szCs w:val="22"/>
                <w:lang w:val="sr-Latn-ME"/>
              </w:rPr>
              <w:t xml:space="preserve">Oodnos hazarda </w:t>
            </w:r>
            <w:r w:rsidRPr="00B8307D">
              <w:rPr>
                <w:sz w:val="20"/>
                <w:szCs w:val="22"/>
                <w:lang w:val="sr-Latn-ME" w:eastAsia="de-DE"/>
              </w:rPr>
              <w:t>naspram</w:t>
            </w:r>
            <w:r w:rsidRPr="00B8307D">
              <w:rPr>
                <w:sz w:val="20"/>
                <w:szCs w:val="22"/>
                <w:lang w:val="sr-Latn-ME"/>
              </w:rPr>
              <w:t xml:space="preserve"> </w:t>
            </w:r>
          </w:p>
          <w:p w14:paraId="73B8C2F9" w14:textId="77777777" w:rsidR="007253DB" w:rsidRPr="00B8307D" w:rsidRDefault="007253DB" w:rsidP="000A067B">
            <w:pPr>
              <w:widowControl w:val="0"/>
              <w:rPr>
                <w:sz w:val="20"/>
                <w:szCs w:val="22"/>
                <w:lang w:val="sr-Latn-ME" w:eastAsia="de-DE"/>
              </w:rPr>
            </w:pPr>
            <w:r w:rsidRPr="00B8307D">
              <w:rPr>
                <w:sz w:val="20"/>
                <w:szCs w:val="22"/>
                <w:lang w:val="sr-Latn-ME"/>
              </w:rPr>
              <w:t>opservacije</w:t>
            </w:r>
          </w:p>
        </w:tc>
        <w:tc>
          <w:tcPr>
            <w:tcW w:w="1647" w:type="pct"/>
            <w:gridSpan w:val="2"/>
            <w:tcBorders>
              <w:top w:val="nil"/>
              <w:bottom w:val="single" w:sz="4" w:space="0" w:color="auto"/>
            </w:tcBorders>
          </w:tcPr>
          <w:p w14:paraId="121CC950" w14:textId="77777777" w:rsidR="007253DB" w:rsidRPr="00B8307D" w:rsidRDefault="007253DB" w:rsidP="000A067B">
            <w:pPr>
              <w:widowControl w:val="0"/>
              <w:jc w:val="center"/>
              <w:rPr>
                <w:sz w:val="20"/>
                <w:szCs w:val="22"/>
                <w:lang w:val="sr-Latn-ME" w:eastAsia="de-DE"/>
              </w:rPr>
            </w:pPr>
            <w:r w:rsidRPr="00B8307D">
              <w:rPr>
                <w:sz w:val="20"/>
                <w:szCs w:val="22"/>
                <w:lang w:val="sr-Latn-ME" w:eastAsia="de-DE"/>
              </w:rPr>
              <w:t>0,51</w:t>
            </w:r>
          </w:p>
        </w:tc>
        <w:tc>
          <w:tcPr>
            <w:tcW w:w="1648" w:type="pct"/>
            <w:gridSpan w:val="2"/>
            <w:tcBorders>
              <w:top w:val="nil"/>
              <w:bottom w:val="single" w:sz="4" w:space="0" w:color="auto"/>
            </w:tcBorders>
          </w:tcPr>
          <w:p w14:paraId="7563C977" w14:textId="77777777" w:rsidR="007253DB" w:rsidRPr="00B8307D" w:rsidRDefault="007253DB" w:rsidP="000A067B">
            <w:pPr>
              <w:widowControl w:val="0"/>
              <w:jc w:val="center"/>
              <w:rPr>
                <w:sz w:val="20"/>
                <w:szCs w:val="22"/>
                <w:lang w:val="sr-Latn-ME" w:eastAsia="de-DE"/>
              </w:rPr>
            </w:pPr>
            <w:r w:rsidRPr="00B8307D">
              <w:rPr>
                <w:sz w:val="20"/>
                <w:szCs w:val="22"/>
                <w:lang w:val="sr-Latn-ME" w:eastAsia="de-DE"/>
              </w:rPr>
              <w:t>0,73</w:t>
            </w:r>
          </w:p>
        </w:tc>
      </w:tr>
      <w:tr w:rsidR="007253DB" w:rsidRPr="00B8307D" w14:paraId="1D6D5559" w14:textId="77777777" w:rsidTr="0064695A">
        <w:tc>
          <w:tcPr>
            <w:tcW w:w="1705" w:type="pct"/>
            <w:tcBorders>
              <w:bottom w:val="nil"/>
            </w:tcBorders>
          </w:tcPr>
          <w:p w14:paraId="5744FF24" w14:textId="77777777" w:rsidR="007253DB" w:rsidRPr="00B8307D" w:rsidRDefault="007253DB" w:rsidP="000A067B">
            <w:pPr>
              <w:widowControl w:val="0"/>
              <w:rPr>
                <w:sz w:val="20"/>
                <w:szCs w:val="22"/>
                <w:lang w:val="sr-Latn-ME" w:eastAsia="de-DE"/>
              </w:rPr>
            </w:pPr>
            <w:r w:rsidRPr="00B8307D">
              <w:rPr>
                <w:sz w:val="20"/>
                <w:szCs w:val="22"/>
                <w:lang w:val="sr-Latn-ME" w:eastAsia="de-DE"/>
              </w:rPr>
              <w:t>Preživljavanje bez udaljenih metastaza</w:t>
            </w:r>
          </w:p>
        </w:tc>
        <w:tc>
          <w:tcPr>
            <w:tcW w:w="824" w:type="pct"/>
            <w:tcBorders>
              <w:bottom w:val="nil"/>
              <w:right w:val="nil"/>
            </w:tcBorders>
          </w:tcPr>
          <w:p w14:paraId="0CFCED3C" w14:textId="77777777" w:rsidR="007253DB" w:rsidRPr="00B8307D" w:rsidRDefault="007253DB" w:rsidP="000A067B">
            <w:pPr>
              <w:widowControl w:val="0"/>
              <w:jc w:val="center"/>
              <w:rPr>
                <w:sz w:val="20"/>
                <w:szCs w:val="22"/>
                <w:lang w:val="sr-Latn-ME" w:eastAsia="de-DE"/>
              </w:rPr>
            </w:pPr>
          </w:p>
        </w:tc>
        <w:tc>
          <w:tcPr>
            <w:tcW w:w="824" w:type="pct"/>
            <w:tcBorders>
              <w:left w:val="nil"/>
              <w:bottom w:val="nil"/>
            </w:tcBorders>
          </w:tcPr>
          <w:p w14:paraId="5E25D283" w14:textId="77777777" w:rsidR="007253DB" w:rsidRPr="00B8307D" w:rsidRDefault="007253DB" w:rsidP="000A067B">
            <w:pPr>
              <w:widowControl w:val="0"/>
              <w:jc w:val="center"/>
              <w:rPr>
                <w:sz w:val="20"/>
                <w:szCs w:val="22"/>
                <w:lang w:val="sr-Latn-ME" w:eastAsia="de-DE"/>
              </w:rPr>
            </w:pPr>
          </w:p>
        </w:tc>
        <w:tc>
          <w:tcPr>
            <w:tcW w:w="824" w:type="pct"/>
            <w:tcBorders>
              <w:bottom w:val="nil"/>
              <w:right w:val="nil"/>
            </w:tcBorders>
          </w:tcPr>
          <w:p w14:paraId="6C09E2E0" w14:textId="77777777" w:rsidR="007253DB" w:rsidRPr="00B8307D" w:rsidRDefault="007253DB" w:rsidP="000A067B">
            <w:pPr>
              <w:widowControl w:val="0"/>
              <w:jc w:val="center"/>
              <w:rPr>
                <w:sz w:val="20"/>
                <w:szCs w:val="22"/>
                <w:lang w:val="sr-Latn-ME" w:eastAsia="de-DE"/>
              </w:rPr>
            </w:pPr>
          </w:p>
        </w:tc>
        <w:tc>
          <w:tcPr>
            <w:tcW w:w="824" w:type="pct"/>
            <w:tcBorders>
              <w:left w:val="nil"/>
              <w:bottom w:val="nil"/>
            </w:tcBorders>
          </w:tcPr>
          <w:p w14:paraId="52518BCF" w14:textId="77777777" w:rsidR="007253DB" w:rsidRPr="00B8307D" w:rsidRDefault="007253DB" w:rsidP="000A067B">
            <w:pPr>
              <w:widowControl w:val="0"/>
              <w:jc w:val="center"/>
              <w:rPr>
                <w:sz w:val="20"/>
                <w:szCs w:val="22"/>
                <w:lang w:val="sr-Latn-ME" w:eastAsia="de-DE"/>
              </w:rPr>
            </w:pPr>
          </w:p>
        </w:tc>
      </w:tr>
      <w:tr w:rsidR="007253DB" w:rsidRPr="00B8307D" w14:paraId="75B4454D" w14:textId="77777777" w:rsidTr="0064695A">
        <w:tc>
          <w:tcPr>
            <w:tcW w:w="1705" w:type="pct"/>
            <w:tcBorders>
              <w:top w:val="nil"/>
              <w:bottom w:val="nil"/>
            </w:tcBorders>
          </w:tcPr>
          <w:p w14:paraId="0670064F" w14:textId="77777777" w:rsidR="007253DB" w:rsidRPr="00B8307D" w:rsidRDefault="007253DB" w:rsidP="000A067B">
            <w:pPr>
              <w:widowControl w:val="0"/>
              <w:rPr>
                <w:sz w:val="20"/>
                <w:szCs w:val="22"/>
                <w:lang w:val="sr-Latn-ME" w:eastAsia="de-DE"/>
              </w:rPr>
            </w:pPr>
            <w:r w:rsidRPr="00B8307D">
              <w:rPr>
                <w:sz w:val="20"/>
                <w:szCs w:val="22"/>
                <w:lang w:val="sr-Latn-ME" w:eastAsia="de-DE"/>
              </w:rPr>
              <w:t>- broj pacijentkinja sa događajem</w:t>
            </w:r>
          </w:p>
        </w:tc>
        <w:tc>
          <w:tcPr>
            <w:tcW w:w="824" w:type="pct"/>
            <w:tcBorders>
              <w:top w:val="nil"/>
              <w:bottom w:val="nil"/>
              <w:right w:val="nil"/>
            </w:tcBorders>
          </w:tcPr>
          <w:p w14:paraId="12AEC969" w14:textId="77777777" w:rsidR="007253DB" w:rsidRPr="00B8307D" w:rsidRDefault="007253DB" w:rsidP="000A067B">
            <w:pPr>
              <w:widowControl w:val="0"/>
              <w:jc w:val="center"/>
              <w:rPr>
                <w:sz w:val="20"/>
                <w:szCs w:val="22"/>
                <w:lang w:val="sr-Latn-ME" w:eastAsia="de-DE"/>
              </w:rPr>
            </w:pPr>
            <w:r w:rsidRPr="00B8307D">
              <w:rPr>
                <w:sz w:val="20"/>
                <w:szCs w:val="22"/>
                <w:lang w:val="sr-Latn-ME" w:eastAsia="de-DE"/>
              </w:rPr>
              <w:t>184 (10,9 %)</w:t>
            </w:r>
          </w:p>
        </w:tc>
        <w:tc>
          <w:tcPr>
            <w:tcW w:w="824" w:type="pct"/>
            <w:tcBorders>
              <w:top w:val="nil"/>
              <w:left w:val="nil"/>
              <w:bottom w:val="nil"/>
            </w:tcBorders>
          </w:tcPr>
          <w:p w14:paraId="56718A46" w14:textId="77777777" w:rsidR="007253DB" w:rsidRPr="00B8307D" w:rsidRDefault="007253DB" w:rsidP="000A067B">
            <w:pPr>
              <w:widowControl w:val="0"/>
              <w:jc w:val="center"/>
              <w:rPr>
                <w:sz w:val="20"/>
                <w:szCs w:val="22"/>
                <w:lang w:val="sr-Latn-ME" w:eastAsia="de-DE"/>
              </w:rPr>
            </w:pPr>
            <w:r w:rsidRPr="00B8307D">
              <w:rPr>
                <w:sz w:val="20"/>
                <w:szCs w:val="22"/>
                <w:lang w:val="sr-Latn-ME" w:eastAsia="de-DE"/>
              </w:rPr>
              <w:t>99 (5,8 %)</w:t>
            </w:r>
          </w:p>
        </w:tc>
        <w:tc>
          <w:tcPr>
            <w:tcW w:w="824" w:type="pct"/>
            <w:tcBorders>
              <w:top w:val="nil"/>
              <w:bottom w:val="nil"/>
              <w:right w:val="nil"/>
            </w:tcBorders>
          </w:tcPr>
          <w:p w14:paraId="5CD2840F" w14:textId="77777777" w:rsidR="007253DB" w:rsidRPr="00B8307D" w:rsidRDefault="007253DB" w:rsidP="000A067B">
            <w:pPr>
              <w:widowControl w:val="0"/>
              <w:jc w:val="center"/>
              <w:rPr>
                <w:sz w:val="20"/>
                <w:szCs w:val="22"/>
                <w:lang w:val="sr-Latn-ME" w:eastAsia="de-DE"/>
              </w:rPr>
            </w:pPr>
            <w:r w:rsidRPr="00B8307D">
              <w:rPr>
                <w:sz w:val="20"/>
                <w:szCs w:val="22"/>
                <w:lang w:val="sr-Latn-ME" w:eastAsia="de-DE"/>
              </w:rPr>
              <w:t>488 (28,8 %)</w:t>
            </w:r>
          </w:p>
        </w:tc>
        <w:tc>
          <w:tcPr>
            <w:tcW w:w="824" w:type="pct"/>
            <w:tcBorders>
              <w:top w:val="nil"/>
              <w:left w:val="nil"/>
              <w:bottom w:val="nil"/>
            </w:tcBorders>
          </w:tcPr>
          <w:p w14:paraId="13210B1E" w14:textId="77777777" w:rsidR="007253DB" w:rsidRPr="00B8307D" w:rsidRDefault="007253DB" w:rsidP="000A067B">
            <w:pPr>
              <w:widowControl w:val="0"/>
              <w:jc w:val="center"/>
              <w:rPr>
                <w:sz w:val="20"/>
                <w:szCs w:val="22"/>
                <w:lang w:val="sr-Latn-ME" w:eastAsia="de-DE"/>
              </w:rPr>
            </w:pPr>
            <w:r w:rsidRPr="00B8307D">
              <w:rPr>
                <w:sz w:val="20"/>
                <w:szCs w:val="22"/>
                <w:lang w:val="sr-Latn-ME" w:eastAsia="de-DE"/>
              </w:rPr>
              <w:t>399 (23,4 %)</w:t>
            </w:r>
          </w:p>
        </w:tc>
      </w:tr>
      <w:tr w:rsidR="007253DB" w:rsidRPr="00B8307D" w14:paraId="1CF983B5" w14:textId="77777777" w:rsidTr="0064695A">
        <w:tc>
          <w:tcPr>
            <w:tcW w:w="1705" w:type="pct"/>
            <w:tcBorders>
              <w:top w:val="nil"/>
              <w:bottom w:val="nil"/>
            </w:tcBorders>
          </w:tcPr>
          <w:p w14:paraId="1FD39F26" w14:textId="77777777" w:rsidR="007253DB" w:rsidRPr="00B8307D" w:rsidRDefault="007253DB" w:rsidP="000A067B">
            <w:pPr>
              <w:widowControl w:val="0"/>
              <w:rPr>
                <w:sz w:val="20"/>
                <w:szCs w:val="22"/>
                <w:lang w:val="sr-Latn-ME" w:eastAsia="de-DE"/>
              </w:rPr>
            </w:pPr>
            <w:r w:rsidRPr="00B8307D">
              <w:rPr>
                <w:sz w:val="20"/>
                <w:szCs w:val="22"/>
                <w:lang w:val="sr-Latn-ME" w:eastAsia="de-DE"/>
              </w:rPr>
              <w:lastRenderedPageBreak/>
              <w:t xml:space="preserve">- </w:t>
            </w:r>
            <w:r w:rsidRPr="00B8307D">
              <w:rPr>
                <w:sz w:val="20"/>
                <w:szCs w:val="22"/>
                <w:lang w:val="sr-Latn-ME"/>
              </w:rPr>
              <w:t>broj pacijentkinja bez događaja</w:t>
            </w:r>
          </w:p>
        </w:tc>
        <w:tc>
          <w:tcPr>
            <w:tcW w:w="824" w:type="pct"/>
            <w:tcBorders>
              <w:top w:val="nil"/>
              <w:bottom w:val="nil"/>
              <w:right w:val="nil"/>
            </w:tcBorders>
          </w:tcPr>
          <w:p w14:paraId="148D382B" w14:textId="77777777" w:rsidR="007253DB" w:rsidRPr="00B8307D" w:rsidRDefault="007253DB" w:rsidP="000A067B">
            <w:pPr>
              <w:widowControl w:val="0"/>
              <w:jc w:val="center"/>
              <w:rPr>
                <w:sz w:val="20"/>
                <w:szCs w:val="22"/>
                <w:lang w:val="sr-Latn-ME" w:eastAsia="de-DE"/>
              </w:rPr>
            </w:pPr>
            <w:r w:rsidRPr="00B8307D">
              <w:rPr>
                <w:sz w:val="20"/>
                <w:szCs w:val="22"/>
                <w:lang w:val="sr-Latn-ME" w:eastAsia="de-DE"/>
              </w:rPr>
              <w:t>1508 (89,1 %)</w:t>
            </w:r>
          </w:p>
        </w:tc>
        <w:tc>
          <w:tcPr>
            <w:tcW w:w="824" w:type="pct"/>
            <w:tcBorders>
              <w:top w:val="nil"/>
              <w:left w:val="nil"/>
              <w:bottom w:val="nil"/>
            </w:tcBorders>
          </w:tcPr>
          <w:p w14:paraId="08B0886A" w14:textId="77777777" w:rsidR="007253DB" w:rsidRPr="00B8307D" w:rsidRDefault="007253DB" w:rsidP="000A067B">
            <w:pPr>
              <w:widowControl w:val="0"/>
              <w:jc w:val="center"/>
              <w:rPr>
                <w:sz w:val="20"/>
                <w:szCs w:val="22"/>
                <w:lang w:val="sr-Latn-ME" w:eastAsia="de-DE"/>
              </w:rPr>
            </w:pPr>
            <w:r w:rsidRPr="00B8307D">
              <w:rPr>
                <w:sz w:val="20"/>
                <w:szCs w:val="22"/>
                <w:lang w:val="sr-Latn-ME" w:eastAsia="de-DE"/>
              </w:rPr>
              <w:t>1594 (94,6 %)</w:t>
            </w:r>
          </w:p>
        </w:tc>
        <w:tc>
          <w:tcPr>
            <w:tcW w:w="824" w:type="pct"/>
            <w:tcBorders>
              <w:top w:val="nil"/>
              <w:bottom w:val="nil"/>
              <w:right w:val="nil"/>
            </w:tcBorders>
          </w:tcPr>
          <w:p w14:paraId="776E0639" w14:textId="77777777" w:rsidR="007253DB" w:rsidRPr="00B8307D" w:rsidRDefault="007253DB" w:rsidP="000A067B">
            <w:pPr>
              <w:widowControl w:val="0"/>
              <w:jc w:val="center"/>
              <w:rPr>
                <w:sz w:val="20"/>
                <w:szCs w:val="22"/>
                <w:lang w:val="sr-Latn-ME" w:eastAsia="de-DE"/>
              </w:rPr>
            </w:pPr>
            <w:r w:rsidRPr="00B8307D">
              <w:rPr>
                <w:sz w:val="20"/>
                <w:szCs w:val="22"/>
                <w:lang w:val="sr-Latn-ME" w:eastAsia="de-DE"/>
              </w:rPr>
              <w:t>1209 (71,2 %)</w:t>
            </w:r>
          </w:p>
        </w:tc>
        <w:tc>
          <w:tcPr>
            <w:tcW w:w="824" w:type="pct"/>
            <w:tcBorders>
              <w:top w:val="nil"/>
              <w:left w:val="nil"/>
              <w:bottom w:val="nil"/>
            </w:tcBorders>
          </w:tcPr>
          <w:p w14:paraId="52F1AFFE" w14:textId="77777777" w:rsidR="007253DB" w:rsidRPr="00B8307D" w:rsidRDefault="007253DB" w:rsidP="000A067B">
            <w:pPr>
              <w:widowControl w:val="0"/>
              <w:jc w:val="center"/>
              <w:rPr>
                <w:sz w:val="20"/>
                <w:szCs w:val="22"/>
                <w:lang w:val="sr-Latn-ME" w:eastAsia="de-DE"/>
              </w:rPr>
            </w:pPr>
            <w:r w:rsidRPr="00B8307D">
              <w:rPr>
                <w:sz w:val="20"/>
                <w:szCs w:val="22"/>
                <w:lang w:val="sr-Latn-ME" w:eastAsia="de-DE"/>
              </w:rPr>
              <w:t>1303 (76,6 %)</w:t>
            </w:r>
          </w:p>
        </w:tc>
      </w:tr>
      <w:tr w:rsidR="007253DB" w:rsidRPr="00B8307D" w14:paraId="321314B2" w14:textId="77777777" w:rsidTr="0064695A">
        <w:tc>
          <w:tcPr>
            <w:tcW w:w="1705" w:type="pct"/>
            <w:tcBorders>
              <w:top w:val="nil"/>
              <w:bottom w:val="nil"/>
            </w:tcBorders>
          </w:tcPr>
          <w:p w14:paraId="18ED9806" w14:textId="45E7DD62" w:rsidR="007253DB" w:rsidRPr="00B8307D" w:rsidRDefault="007253DB" w:rsidP="0064695A">
            <w:pPr>
              <w:widowControl w:val="0"/>
              <w:rPr>
                <w:sz w:val="20"/>
                <w:szCs w:val="22"/>
                <w:lang w:val="sr-Latn-ME" w:eastAsia="de-DE"/>
              </w:rPr>
            </w:pPr>
            <w:r w:rsidRPr="00B8307D">
              <w:rPr>
                <w:sz w:val="20"/>
                <w:szCs w:val="22"/>
                <w:lang w:val="sr-Latn-ME"/>
              </w:rPr>
              <w:t xml:space="preserve">P-vrijednost </w:t>
            </w:r>
            <w:r w:rsidRPr="00B8307D">
              <w:rPr>
                <w:sz w:val="20"/>
                <w:szCs w:val="22"/>
                <w:lang w:val="sr-Latn-ME" w:eastAsia="de-DE"/>
              </w:rPr>
              <w:t>naspram</w:t>
            </w:r>
            <w:r w:rsidR="0064695A" w:rsidRPr="00B8307D">
              <w:rPr>
                <w:sz w:val="20"/>
                <w:szCs w:val="22"/>
                <w:lang w:val="sr-Latn-ME" w:eastAsia="de-DE"/>
              </w:rPr>
              <w:t xml:space="preserve"> </w:t>
            </w:r>
            <w:r w:rsidRPr="00B8307D">
              <w:rPr>
                <w:sz w:val="20"/>
                <w:szCs w:val="22"/>
                <w:lang w:val="sr-Latn-ME"/>
              </w:rPr>
              <w:t>opservacije</w:t>
            </w:r>
          </w:p>
        </w:tc>
        <w:tc>
          <w:tcPr>
            <w:tcW w:w="1647" w:type="pct"/>
            <w:gridSpan w:val="2"/>
            <w:tcBorders>
              <w:top w:val="nil"/>
              <w:bottom w:val="nil"/>
            </w:tcBorders>
          </w:tcPr>
          <w:p w14:paraId="6DEDE702" w14:textId="77777777" w:rsidR="007253DB" w:rsidRPr="00B8307D" w:rsidRDefault="007253DB" w:rsidP="000A067B">
            <w:pPr>
              <w:widowControl w:val="0"/>
              <w:jc w:val="center"/>
              <w:rPr>
                <w:sz w:val="20"/>
                <w:szCs w:val="22"/>
                <w:lang w:val="sr-Latn-ME" w:eastAsia="de-DE"/>
              </w:rPr>
            </w:pPr>
            <w:r w:rsidRPr="00B8307D">
              <w:rPr>
                <w:sz w:val="20"/>
                <w:szCs w:val="22"/>
                <w:lang w:val="sr-Latn-ME" w:eastAsia="de-DE"/>
              </w:rPr>
              <w:t>&lt; 0,0001</w:t>
            </w:r>
          </w:p>
        </w:tc>
        <w:tc>
          <w:tcPr>
            <w:tcW w:w="1648" w:type="pct"/>
            <w:gridSpan w:val="2"/>
            <w:tcBorders>
              <w:top w:val="nil"/>
              <w:bottom w:val="nil"/>
            </w:tcBorders>
          </w:tcPr>
          <w:p w14:paraId="5AC426D8" w14:textId="77777777" w:rsidR="007253DB" w:rsidRPr="00B8307D" w:rsidRDefault="007253DB" w:rsidP="000A067B">
            <w:pPr>
              <w:widowControl w:val="0"/>
              <w:jc w:val="center"/>
              <w:rPr>
                <w:sz w:val="20"/>
                <w:szCs w:val="22"/>
                <w:lang w:val="sr-Latn-ME" w:eastAsia="de-DE"/>
              </w:rPr>
            </w:pPr>
            <w:r w:rsidRPr="00B8307D">
              <w:rPr>
                <w:sz w:val="20"/>
                <w:szCs w:val="22"/>
                <w:lang w:val="sr-Latn-ME" w:eastAsia="de-DE"/>
              </w:rPr>
              <w:t>&lt; 0,0001</w:t>
            </w:r>
          </w:p>
        </w:tc>
      </w:tr>
      <w:tr w:rsidR="007253DB" w:rsidRPr="00B8307D" w14:paraId="56FEFE2D" w14:textId="77777777" w:rsidTr="0064695A">
        <w:tc>
          <w:tcPr>
            <w:tcW w:w="1705" w:type="pct"/>
            <w:tcBorders>
              <w:top w:val="nil"/>
              <w:bottom w:val="single" w:sz="4" w:space="0" w:color="auto"/>
            </w:tcBorders>
          </w:tcPr>
          <w:p w14:paraId="210DBD8B" w14:textId="77777777" w:rsidR="007253DB" w:rsidRPr="00B8307D" w:rsidRDefault="007253DB" w:rsidP="000A067B">
            <w:pPr>
              <w:widowControl w:val="0"/>
              <w:rPr>
                <w:sz w:val="20"/>
                <w:szCs w:val="22"/>
                <w:lang w:val="sr-Latn-ME"/>
              </w:rPr>
            </w:pPr>
            <w:r w:rsidRPr="00B8307D">
              <w:rPr>
                <w:sz w:val="20"/>
                <w:szCs w:val="22"/>
                <w:lang w:val="sr-Latn-ME"/>
              </w:rPr>
              <w:t xml:space="preserve">Odnos hazarda </w:t>
            </w:r>
            <w:r w:rsidRPr="00B8307D">
              <w:rPr>
                <w:sz w:val="20"/>
                <w:szCs w:val="22"/>
                <w:lang w:val="sr-Latn-ME" w:eastAsia="de-DE"/>
              </w:rPr>
              <w:t>naspram</w:t>
            </w:r>
            <w:r w:rsidRPr="00B8307D">
              <w:rPr>
                <w:sz w:val="20"/>
                <w:szCs w:val="22"/>
                <w:lang w:val="sr-Latn-ME"/>
              </w:rPr>
              <w:t xml:space="preserve"> </w:t>
            </w:r>
          </w:p>
          <w:p w14:paraId="272D3EE9" w14:textId="77777777" w:rsidR="007253DB" w:rsidRPr="00B8307D" w:rsidRDefault="007253DB" w:rsidP="000A067B">
            <w:pPr>
              <w:widowControl w:val="0"/>
              <w:rPr>
                <w:sz w:val="20"/>
                <w:szCs w:val="22"/>
                <w:lang w:val="sr-Latn-ME" w:eastAsia="de-DE"/>
              </w:rPr>
            </w:pPr>
            <w:r w:rsidRPr="00B8307D">
              <w:rPr>
                <w:sz w:val="20"/>
                <w:szCs w:val="22"/>
                <w:lang w:val="sr-Latn-ME"/>
              </w:rPr>
              <w:t>opservacije</w:t>
            </w:r>
          </w:p>
        </w:tc>
        <w:tc>
          <w:tcPr>
            <w:tcW w:w="1647" w:type="pct"/>
            <w:gridSpan w:val="2"/>
            <w:tcBorders>
              <w:top w:val="nil"/>
              <w:bottom w:val="single" w:sz="4" w:space="0" w:color="auto"/>
            </w:tcBorders>
          </w:tcPr>
          <w:p w14:paraId="0DD33A14" w14:textId="77777777" w:rsidR="007253DB" w:rsidRPr="00B8307D" w:rsidRDefault="007253DB" w:rsidP="000A067B">
            <w:pPr>
              <w:widowControl w:val="0"/>
              <w:jc w:val="center"/>
              <w:rPr>
                <w:sz w:val="20"/>
                <w:szCs w:val="22"/>
                <w:lang w:val="sr-Latn-ME" w:eastAsia="de-DE"/>
              </w:rPr>
            </w:pPr>
            <w:r w:rsidRPr="00B8307D">
              <w:rPr>
                <w:sz w:val="20"/>
                <w:szCs w:val="22"/>
                <w:lang w:val="sr-Latn-ME" w:eastAsia="de-DE"/>
              </w:rPr>
              <w:t>0,50</w:t>
            </w:r>
          </w:p>
        </w:tc>
        <w:tc>
          <w:tcPr>
            <w:tcW w:w="1648" w:type="pct"/>
            <w:gridSpan w:val="2"/>
            <w:tcBorders>
              <w:top w:val="nil"/>
              <w:bottom w:val="single" w:sz="4" w:space="0" w:color="auto"/>
            </w:tcBorders>
          </w:tcPr>
          <w:p w14:paraId="7B67C50A" w14:textId="77777777" w:rsidR="007253DB" w:rsidRPr="00B8307D" w:rsidRDefault="007253DB" w:rsidP="000A067B">
            <w:pPr>
              <w:widowControl w:val="0"/>
              <w:jc w:val="center"/>
              <w:rPr>
                <w:sz w:val="20"/>
                <w:szCs w:val="22"/>
                <w:lang w:val="sr-Latn-ME" w:eastAsia="de-DE"/>
              </w:rPr>
            </w:pPr>
            <w:r w:rsidRPr="00B8307D">
              <w:rPr>
                <w:sz w:val="20"/>
                <w:szCs w:val="22"/>
                <w:lang w:val="sr-Latn-ME" w:eastAsia="de-DE"/>
              </w:rPr>
              <w:t>0,76</w:t>
            </w:r>
          </w:p>
        </w:tc>
      </w:tr>
      <w:tr w:rsidR="007253DB" w:rsidRPr="00B8307D" w14:paraId="777B9662" w14:textId="77777777" w:rsidTr="0064695A">
        <w:tc>
          <w:tcPr>
            <w:tcW w:w="1705" w:type="pct"/>
            <w:tcBorders>
              <w:top w:val="single" w:sz="4" w:space="0" w:color="auto"/>
              <w:bottom w:val="nil"/>
            </w:tcBorders>
          </w:tcPr>
          <w:p w14:paraId="0F69F3C5" w14:textId="5C7A4D51" w:rsidR="007253DB" w:rsidRPr="00B8307D" w:rsidRDefault="007253DB" w:rsidP="000A067B">
            <w:pPr>
              <w:widowControl w:val="0"/>
              <w:rPr>
                <w:sz w:val="20"/>
                <w:szCs w:val="22"/>
                <w:lang w:val="sr-Latn-ME" w:eastAsia="de-DE"/>
              </w:rPr>
            </w:pPr>
            <w:r w:rsidRPr="00B8307D">
              <w:rPr>
                <w:sz w:val="20"/>
                <w:szCs w:val="22"/>
                <w:lang w:val="sr-Latn-ME" w:eastAsia="de-DE"/>
              </w:rPr>
              <w:t>Ukupno preživljavanje (smrt)</w:t>
            </w:r>
          </w:p>
        </w:tc>
        <w:tc>
          <w:tcPr>
            <w:tcW w:w="824" w:type="pct"/>
            <w:tcBorders>
              <w:top w:val="single" w:sz="4" w:space="0" w:color="auto"/>
              <w:bottom w:val="nil"/>
              <w:right w:val="nil"/>
            </w:tcBorders>
          </w:tcPr>
          <w:p w14:paraId="6EB983DC" w14:textId="77777777" w:rsidR="007253DB" w:rsidRPr="00B8307D" w:rsidRDefault="007253DB" w:rsidP="000A067B">
            <w:pPr>
              <w:widowControl w:val="0"/>
              <w:jc w:val="center"/>
              <w:rPr>
                <w:sz w:val="20"/>
                <w:szCs w:val="22"/>
                <w:lang w:val="sr-Latn-ME" w:eastAsia="de-DE"/>
              </w:rPr>
            </w:pPr>
          </w:p>
        </w:tc>
        <w:tc>
          <w:tcPr>
            <w:tcW w:w="824" w:type="pct"/>
            <w:tcBorders>
              <w:top w:val="single" w:sz="4" w:space="0" w:color="auto"/>
              <w:left w:val="nil"/>
              <w:bottom w:val="nil"/>
              <w:right w:val="single" w:sz="4" w:space="0" w:color="auto"/>
            </w:tcBorders>
          </w:tcPr>
          <w:p w14:paraId="5E049112" w14:textId="77777777" w:rsidR="007253DB" w:rsidRPr="00B8307D" w:rsidRDefault="007253DB" w:rsidP="000A067B">
            <w:pPr>
              <w:widowControl w:val="0"/>
              <w:jc w:val="center"/>
              <w:rPr>
                <w:sz w:val="20"/>
                <w:szCs w:val="22"/>
                <w:lang w:val="sr-Latn-ME" w:eastAsia="de-DE"/>
              </w:rPr>
            </w:pPr>
          </w:p>
        </w:tc>
        <w:tc>
          <w:tcPr>
            <w:tcW w:w="824" w:type="pct"/>
            <w:tcBorders>
              <w:top w:val="single" w:sz="4" w:space="0" w:color="auto"/>
              <w:left w:val="single" w:sz="4" w:space="0" w:color="auto"/>
              <w:bottom w:val="nil"/>
              <w:right w:val="nil"/>
            </w:tcBorders>
          </w:tcPr>
          <w:p w14:paraId="703E4D02" w14:textId="77777777" w:rsidR="007253DB" w:rsidRPr="00B8307D" w:rsidRDefault="007253DB" w:rsidP="000A067B">
            <w:pPr>
              <w:widowControl w:val="0"/>
              <w:jc w:val="center"/>
              <w:rPr>
                <w:sz w:val="20"/>
                <w:szCs w:val="22"/>
                <w:lang w:val="sr-Latn-ME" w:eastAsia="de-DE"/>
              </w:rPr>
            </w:pPr>
          </w:p>
        </w:tc>
        <w:tc>
          <w:tcPr>
            <w:tcW w:w="824" w:type="pct"/>
            <w:tcBorders>
              <w:top w:val="single" w:sz="4" w:space="0" w:color="auto"/>
              <w:left w:val="nil"/>
              <w:bottom w:val="nil"/>
            </w:tcBorders>
          </w:tcPr>
          <w:p w14:paraId="211D2E07" w14:textId="77777777" w:rsidR="007253DB" w:rsidRPr="00B8307D" w:rsidRDefault="007253DB" w:rsidP="000A067B">
            <w:pPr>
              <w:widowControl w:val="0"/>
              <w:jc w:val="center"/>
              <w:rPr>
                <w:sz w:val="20"/>
                <w:szCs w:val="22"/>
                <w:lang w:val="sr-Latn-ME" w:eastAsia="de-DE"/>
              </w:rPr>
            </w:pPr>
          </w:p>
        </w:tc>
      </w:tr>
      <w:tr w:rsidR="007253DB" w:rsidRPr="00B8307D" w14:paraId="33A49033" w14:textId="77777777" w:rsidTr="0064695A">
        <w:tc>
          <w:tcPr>
            <w:tcW w:w="1705" w:type="pct"/>
            <w:tcBorders>
              <w:top w:val="nil"/>
              <w:bottom w:val="nil"/>
            </w:tcBorders>
          </w:tcPr>
          <w:p w14:paraId="5B45379E" w14:textId="77777777" w:rsidR="007253DB" w:rsidRPr="00B8307D" w:rsidRDefault="007253DB" w:rsidP="000A067B">
            <w:pPr>
              <w:widowControl w:val="0"/>
              <w:rPr>
                <w:sz w:val="20"/>
                <w:szCs w:val="22"/>
                <w:lang w:val="sr-Latn-ME" w:eastAsia="de-DE"/>
              </w:rPr>
            </w:pPr>
            <w:r w:rsidRPr="00B8307D">
              <w:rPr>
                <w:sz w:val="20"/>
                <w:szCs w:val="22"/>
                <w:lang w:val="sr-Latn-ME" w:eastAsia="de-DE"/>
              </w:rPr>
              <w:t>- broj pacijentkinja sa događajem</w:t>
            </w:r>
          </w:p>
        </w:tc>
        <w:tc>
          <w:tcPr>
            <w:tcW w:w="824" w:type="pct"/>
            <w:tcBorders>
              <w:top w:val="nil"/>
              <w:bottom w:val="nil"/>
              <w:right w:val="nil"/>
            </w:tcBorders>
          </w:tcPr>
          <w:p w14:paraId="097398B8" w14:textId="77777777" w:rsidR="007253DB" w:rsidRPr="00B8307D" w:rsidRDefault="007253DB" w:rsidP="000A067B">
            <w:pPr>
              <w:widowControl w:val="0"/>
              <w:jc w:val="center"/>
              <w:rPr>
                <w:sz w:val="20"/>
                <w:szCs w:val="22"/>
                <w:lang w:val="sr-Latn-ME" w:eastAsia="de-DE"/>
              </w:rPr>
            </w:pPr>
            <w:r w:rsidRPr="00B8307D">
              <w:rPr>
                <w:sz w:val="20"/>
                <w:szCs w:val="22"/>
                <w:lang w:val="sr-Latn-ME" w:eastAsia="de-DE"/>
              </w:rPr>
              <w:t>40 (2,4 %)</w:t>
            </w:r>
          </w:p>
        </w:tc>
        <w:tc>
          <w:tcPr>
            <w:tcW w:w="824" w:type="pct"/>
            <w:tcBorders>
              <w:top w:val="nil"/>
              <w:left w:val="nil"/>
              <w:bottom w:val="nil"/>
              <w:right w:val="single" w:sz="4" w:space="0" w:color="auto"/>
            </w:tcBorders>
          </w:tcPr>
          <w:p w14:paraId="32B68909" w14:textId="77777777" w:rsidR="007253DB" w:rsidRPr="00B8307D" w:rsidRDefault="007253DB" w:rsidP="000A067B">
            <w:pPr>
              <w:widowControl w:val="0"/>
              <w:jc w:val="center"/>
              <w:rPr>
                <w:sz w:val="20"/>
                <w:szCs w:val="22"/>
                <w:lang w:val="sr-Latn-ME" w:eastAsia="de-DE"/>
              </w:rPr>
            </w:pPr>
            <w:r w:rsidRPr="00B8307D">
              <w:rPr>
                <w:sz w:val="20"/>
                <w:szCs w:val="22"/>
                <w:lang w:val="sr-Latn-ME" w:eastAsia="de-DE"/>
              </w:rPr>
              <w:t>31 (1,8 %)</w:t>
            </w:r>
          </w:p>
        </w:tc>
        <w:tc>
          <w:tcPr>
            <w:tcW w:w="824" w:type="pct"/>
            <w:tcBorders>
              <w:top w:val="nil"/>
              <w:left w:val="single" w:sz="4" w:space="0" w:color="auto"/>
              <w:bottom w:val="nil"/>
              <w:right w:val="nil"/>
            </w:tcBorders>
          </w:tcPr>
          <w:p w14:paraId="1FB3EEF8" w14:textId="77777777" w:rsidR="007253DB" w:rsidRPr="00B8307D" w:rsidRDefault="007253DB" w:rsidP="000A067B">
            <w:pPr>
              <w:widowControl w:val="0"/>
              <w:jc w:val="center"/>
              <w:rPr>
                <w:sz w:val="20"/>
                <w:szCs w:val="22"/>
                <w:lang w:val="sr-Latn-ME" w:eastAsia="de-DE"/>
              </w:rPr>
            </w:pPr>
            <w:r w:rsidRPr="00B8307D">
              <w:rPr>
                <w:sz w:val="20"/>
                <w:szCs w:val="22"/>
                <w:lang w:val="sr-Latn-ME" w:eastAsia="de-DE"/>
              </w:rPr>
              <w:t>350 (20,6 %)</w:t>
            </w:r>
          </w:p>
        </w:tc>
        <w:tc>
          <w:tcPr>
            <w:tcW w:w="824" w:type="pct"/>
            <w:tcBorders>
              <w:top w:val="nil"/>
              <w:left w:val="nil"/>
              <w:bottom w:val="nil"/>
            </w:tcBorders>
          </w:tcPr>
          <w:p w14:paraId="54E36B9F" w14:textId="77777777" w:rsidR="007253DB" w:rsidRPr="00B8307D" w:rsidRDefault="007253DB" w:rsidP="000A067B">
            <w:pPr>
              <w:widowControl w:val="0"/>
              <w:jc w:val="center"/>
              <w:rPr>
                <w:sz w:val="20"/>
                <w:szCs w:val="22"/>
                <w:lang w:val="sr-Latn-ME" w:eastAsia="de-DE"/>
              </w:rPr>
            </w:pPr>
            <w:r w:rsidRPr="00B8307D">
              <w:rPr>
                <w:sz w:val="20"/>
                <w:szCs w:val="22"/>
                <w:lang w:val="sr-Latn-ME" w:eastAsia="de-DE"/>
              </w:rPr>
              <w:t>278 (16,3 %)</w:t>
            </w:r>
          </w:p>
        </w:tc>
      </w:tr>
      <w:tr w:rsidR="007253DB" w:rsidRPr="00B8307D" w14:paraId="4107EAB3" w14:textId="77777777" w:rsidTr="0064695A">
        <w:tc>
          <w:tcPr>
            <w:tcW w:w="1705" w:type="pct"/>
            <w:tcBorders>
              <w:top w:val="nil"/>
              <w:bottom w:val="nil"/>
            </w:tcBorders>
          </w:tcPr>
          <w:p w14:paraId="4B3CBB69" w14:textId="77777777" w:rsidR="007253DB" w:rsidRPr="00B8307D" w:rsidRDefault="007253DB" w:rsidP="000A067B">
            <w:pPr>
              <w:widowControl w:val="0"/>
              <w:rPr>
                <w:sz w:val="20"/>
                <w:szCs w:val="22"/>
                <w:lang w:val="sr-Latn-ME" w:eastAsia="de-DE"/>
              </w:rPr>
            </w:pPr>
            <w:r w:rsidRPr="00B8307D">
              <w:rPr>
                <w:sz w:val="20"/>
                <w:szCs w:val="22"/>
                <w:lang w:val="sr-Latn-ME" w:eastAsia="de-DE"/>
              </w:rPr>
              <w:t xml:space="preserve">- </w:t>
            </w:r>
            <w:r w:rsidRPr="00B8307D">
              <w:rPr>
                <w:sz w:val="20"/>
                <w:szCs w:val="22"/>
                <w:lang w:val="sr-Latn-ME"/>
              </w:rPr>
              <w:t>broj pacijentkinja bez događaja</w:t>
            </w:r>
          </w:p>
        </w:tc>
        <w:tc>
          <w:tcPr>
            <w:tcW w:w="824" w:type="pct"/>
            <w:tcBorders>
              <w:top w:val="nil"/>
              <w:bottom w:val="nil"/>
              <w:right w:val="nil"/>
            </w:tcBorders>
          </w:tcPr>
          <w:p w14:paraId="73EE7E89" w14:textId="77777777" w:rsidR="007253DB" w:rsidRPr="00B8307D" w:rsidRDefault="007253DB" w:rsidP="000A067B">
            <w:pPr>
              <w:widowControl w:val="0"/>
              <w:jc w:val="center"/>
              <w:rPr>
                <w:sz w:val="20"/>
                <w:szCs w:val="22"/>
                <w:lang w:val="sr-Latn-ME" w:eastAsia="de-DE"/>
              </w:rPr>
            </w:pPr>
            <w:r w:rsidRPr="00B8307D">
              <w:rPr>
                <w:sz w:val="20"/>
                <w:szCs w:val="22"/>
                <w:lang w:val="sr-Latn-ME" w:eastAsia="de-DE"/>
              </w:rPr>
              <w:t>1653 (97,6 %)</w:t>
            </w:r>
          </w:p>
        </w:tc>
        <w:tc>
          <w:tcPr>
            <w:tcW w:w="824" w:type="pct"/>
            <w:tcBorders>
              <w:top w:val="nil"/>
              <w:left w:val="nil"/>
              <w:bottom w:val="nil"/>
              <w:right w:val="single" w:sz="4" w:space="0" w:color="auto"/>
            </w:tcBorders>
          </w:tcPr>
          <w:p w14:paraId="1F795458" w14:textId="77777777" w:rsidR="007253DB" w:rsidRPr="00B8307D" w:rsidRDefault="007253DB" w:rsidP="000A067B">
            <w:pPr>
              <w:widowControl w:val="0"/>
              <w:jc w:val="center"/>
              <w:rPr>
                <w:sz w:val="20"/>
                <w:szCs w:val="22"/>
                <w:lang w:val="sr-Latn-ME" w:eastAsia="de-DE"/>
              </w:rPr>
            </w:pPr>
            <w:r w:rsidRPr="00B8307D">
              <w:rPr>
                <w:sz w:val="20"/>
                <w:szCs w:val="22"/>
                <w:lang w:val="sr-Latn-ME" w:eastAsia="de-DE"/>
              </w:rPr>
              <w:t>1662 (98,2 %)</w:t>
            </w:r>
          </w:p>
        </w:tc>
        <w:tc>
          <w:tcPr>
            <w:tcW w:w="824" w:type="pct"/>
            <w:tcBorders>
              <w:top w:val="nil"/>
              <w:left w:val="single" w:sz="4" w:space="0" w:color="auto"/>
              <w:bottom w:val="nil"/>
              <w:right w:val="nil"/>
            </w:tcBorders>
          </w:tcPr>
          <w:p w14:paraId="0CA57024" w14:textId="77777777" w:rsidR="007253DB" w:rsidRPr="00B8307D" w:rsidRDefault="007253DB" w:rsidP="000A067B">
            <w:pPr>
              <w:widowControl w:val="0"/>
              <w:jc w:val="center"/>
              <w:rPr>
                <w:sz w:val="20"/>
                <w:szCs w:val="22"/>
                <w:lang w:val="sr-Latn-ME" w:eastAsia="de-DE"/>
              </w:rPr>
            </w:pPr>
            <w:r w:rsidRPr="00B8307D">
              <w:rPr>
                <w:sz w:val="20"/>
                <w:szCs w:val="22"/>
                <w:lang w:val="sr-Latn-ME" w:eastAsia="de-DE"/>
              </w:rPr>
              <w:t>1347 (79,4 %)</w:t>
            </w:r>
          </w:p>
        </w:tc>
        <w:tc>
          <w:tcPr>
            <w:tcW w:w="824" w:type="pct"/>
            <w:tcBorders>
              <w:top w:val="nil"/>
              <w:left w:val="nil"/>
              <w:bottom w:val="nil"/>
            </w:tcBorders>
          </w:tcPr>
          <w:p w14:paraId="41CBC316" w14:textId="77777777" w:rsidR="007253DB" w:rsidRPr="00B8307D" w:rsidRDefault="007253DB" w:rsidP="000A067B">
            <w:pPr>
              <w:widowControl w:val="0"/>
              <w:jc w:val="center"/>
              <w:rPr>
                <w:sz w:val="20"/>
                <w:szCs w:val="22"/>
                <w:lang w:val="sr-Latn-ME" w:eastAsia="de-DE"/>
              </w:rPr>
            </w:pPr>
            <w:r w:rsidRPr="00B8307D">
              <w:rPr>
                <w:sz w:val="20"/>
                <w:szCs w:val="22"/>
                <w:lang w:val="sr-Latn-ME" w:eastAsia="de-DE"/>
              </w:rPr>
              <w:t>1424 (83,7 %)</w:t>
            </w:r>
          </w:p>
        </w:tc>
      </w:tr>
      <w:tr w:rsidR="007253DB" w:rsidRPr="00B8307D" w14:paraId="6C8832D6" w14:textId="77777777" w:rsidTr="0064695A">
        <w:tc>
          <w:tcPr>
            <w:tcW w:w="1705" w:type="pct"/>
            <w:tcBorders>
              <w:top w:val="nil"/>
              <w:bottom w:val="nil"/>
            </w:tcBorders>
          </w:tcPr>
          <w:p w14:paraId="581E3792" w14:textId="06A19146" w:rsidR="007253DB" w:rsidRPr="00B8307D" w:rsidRDefault="007253DB" w:rsidP="0064695A">
            <w:pPr>
              <w:widowControl w:val="0"/>
              <w:rPr>
                <w:sz w:val="20"/>
                <w:szCs w:val="22"/>
                <w:lang w:val="sr-Latn-ME" w:eastAsia="de-DE"/>
              </w:rPr>
            </w:pPr>
            <w:r w:rsidRPr="00B8307D">
              <w:rPr>
                <w:sz w:val="20"/>
                <w:szCs w:val="22"/>
                <w:lang w:val="sr-Latn-ME"/>
              </w:rPr>
              <w:t xml:space="preserve">P-vrijednost </w:t>
            </w:r>
            <w:r w:rsidRPr="00B8307D">
              <w:rPr>
                <w:sz w:val="20"/>
                <w:szCs w:val="22"/>
                <w:lang w:val="sr-Latn-ME" w:eastAsia="de-DE"/>
              </w:rPr>
              <w:t>naspram</w:t>
            </w:r>
            <w:r w:rsidR="0064695A" w:rsidRPr="00B8307D">
              <w:rPr>
                <w:sz w:val="20"/>
                <w:szCs w:val="22"/>
                <w:lang w:val="sr-Latn-ME" w:eastAsia="de-DE"/>
              </w:rPr>
              <w:t xml:space="preserve"> </w:t>
            </w:r>
            <w:r w:rsidRPr="00B8307D">
              <w:rPr>
                <w:sz w:val="20"/>
                <w:szCs w:val="22"/>
                <w:lang w:val="sr-Latn-ME"/>
              </w:rPr>
              <w:t>opservacije</w:t>
            </w:r>
          </w:p>
        </w:tc>
        <w:tc>
          <w:tcPr>
            <w:tcW w:w="1647" w:type="pct"/>
            <w:gridSpan w:val="2"/>
            <w:tcBorders>
              <w:top w:val="nil"/>
              <w:bottom w:val="nil"/>
            </w:tcBorders>
          </w:tcPr>
          <w:p w14:paraId="1A46C2B2" w14:textId="77777777" w:rsidR="007253DB" w:rsidRPr="00B8307D" w:rsidRDefault="007253DB" w:rsidP="000A067B">
            <w:pPr>
              <w:widowControl w:val="0"/>
              <w:jc w:val="center"/>
              <w:rPr>
                <w:sz w:val="20"/>
                <w:szCs w:val="22"/>
                <w:lang w:val="sr-Latn-ME" w:eastAsia="de-DE"/>
              </w:rPr>
            </w:pPr>
            <w:r w:rsidRPr="00B8307D">
              <w:rPr>
                <w:sz w:val="20"/>
                <w:szCs w:val="22"/>
                <w:lang w:val="sr-Latn-ME" w:eastAsia="de-DE"/>
              </w:rPr>
              <w:t>0,24</w:t>
            </w:r>
          </w:p>
        </w:tc>
        <w:tc>
          <w:tcPr>
            <w:tcW w:w="1648" w:type="pct"/>
            <w:gridSpan w:val="2"/>
            <w:tcBorders>
              <w:top w:val="nil"/>
              <w:bottom w:val="nil"/>
            </w:tcBorders>
          </w:tcPr>
          <w:p w14:paraId="27A7D44C" w14:textId="77777777" w:rsidR="007253DB" w:rsidRPr="00B8307D" w:rsidRDefault="007253DB" w:rsidP="000A067B">
            <w:pPr>
              <w:widowControl w:val="0"/>
              <w:jc w:val="center"/>
              <w:rPr>
                <w:sz w:val="20"/>
                <w:szCs w:val="22"/>
                <w:lang w:val="sr-Latn-ME" w:eastAsia="de-DE"/>
              </w:rPr>
            </w:pPr>
            <w:r w:rsidRPr="00B8307D">
              <w:rPr>
                <w:sz w:val="20"/>
                <w:szCs w:val="22"/>
                <w:lang w:val="sr-Latn-ME" w:eastAsia="de-DE"/>
              </w:rPr>
              <w:t>0,0005</w:t>
            </w:r>
          </w:p>
        </w:tc>
      </w:tr>
      <w:tr w:rsidR="007253DB" w:rsidRPr="00B8307D" w14:paraId="742259EA" w14:textId="77777777" w:rsidTr="0064695A">
        <w:tc>
          <w:tcPr>
            <w:tcW w:w="1705" w:type="pct"/>
            <w:tcBorders>
              <w:top w:val="nil"/>
              <w:bottom w:val="single" w:sz="4" w:space="0" w:color="auto"/>
            </w:tcBorders>
          </w:tcPr>
          <w:p w14:paraId="401323AB" w14:textId="77777777" w:rsidR="007253DB" w:rsidRPr="00B8307D" w:rsidRDefault="007253DB" w:rsidP="000A067B">
            <w:pPr>
              <w:widowControl w:val="0"/>
              <w:rPr>
                <w:sz w:val="20"/>
                <w:szCs w:val="22"/>
                <w:lang w:val="sr-Latn-ME"/>
              </w:rPr>
            </w:pPr>
            <w:r w:rsidRPr="00B8307D">
              <w:rPr>
                <w:sz w:val="20"/>
                <w:szCs w:val="22"/>
                <w:lang w:val="sr-Latn-ME"/>
              </w:rPr>
              <w:t xml:space="preserve">Odnos hazarda </w:t>
            </w:r>
            <w:r w:rsidRPr="00B8307D">
              <w:rPr>
                <w:sz w:val="20"/>
                <w:szCs w:val="22"/>
                <w:lang w:val="sr-Latn-ME" w:eastAsia="de-DE"/>
              </w:rPr>
              <w:t>naspram</w:t>
            </w:r>
            <w:r w:rsidRPr="00B8307D">
              <w:rPr>
                <w:sz w:val="20"/>
                <w:szCs w:val="22"/>
                <w:lang w:val="sr-Latn-ME"/>
              </w:rPr>
              <w:t xml:space="preserve"> </w:t>
            </w:r>
          </w:p>
          <w:p w14:paraId="394C2E90" w14:textId="77777777" w:rsidR="007253DB" w:rsidRPr="00B8307D" w:rsidRDefault="007253DB" w:rsidP="000A067B">
            <w:pPr>
              <w:widowControl w:val="0"/>
              <w:rPr>
                <w:sz w:val="20"/>
                <w:szCs w:val="22"/>
                <w:lang w:val="sr-Latn-ME" w:eastAsia="de-DE"/>
              </w:rPr>
            </w:pPr>
            <w:r w:rsidRPr="00B8307D">
              <w:rPr>
                <w:sz w:val="20"/>
                <w:szCs w:val="22"/>
                <w:lang w:val="sr-Latn-ME"/>
              </w:rPr>
              <w:t>opservacije</w:t>
            </w:r>
          </w:p>
        </w:tc>
        <w:tc>
          <w:tcPr>
            <w:tcW w:w="1647" w:type="pct"/>
            <w:gridSpan w:val="2"/>
            <w:tcBorders>
              <w:top w:val="nil"/>
              <w:bottom w:val="single" w:sz="4" w:space="0" w:color="auto"/>
            </w:tcBorders>
          </w:tcPr>
          <w:p w14:paraId="3AA3232E" w14:textId="77777777" w:rsidR="007253DB" w:rsidRPr="00B8307D" w:rsidRDefault="007253DB" w:rsidP="000A067B">
            <w:pPr>
              <w:widowControl w:val="0"/>
              <w:jc w:val="center"/>
              <w:rPr>
                <w:sz w:val="20"/>
                <w:szCs w:val="22"/>
                <w:lang w:val="sr-Latn-ME" w:eastAsia="de-DE"/>
              </w:rPr>
            </w:pPr>
            <w:r w:rsidRPr="00B8307D">
              <w:rPr>
                <w:sz w:val="20"/>
                <w:szCs w:val="22"/>
                <w:lang w:val="sr-Latn-ME" w:eastAsia="de-DE"/>
              </w:rPr>
              <w:t>0,75</w:t>
            </w:r>
          </w:p>
        </w:tc>
        <w:tc>
          <w:tcPr>
            <w:tcW w:w="1648" w:type="pct"/>
            <w:gridSpan w:val="2"/>
            <w:tcBorders>
              <w:top w:val="nil"/>
              <w:bottom w:val="single" w:sz="4" w:space="0" w:color="auto"/>
            </w:tcBorders>
          </w:tcPr>
          <w:p w14:paraId="1F895F86" w14:textId="77777777" w:rsidR="007253DB" w:rsidRPr="00B8307D" w:rsidRDefault="007253DB" w:rsidP="000A067B">
            <w:pPr>
              <w:widowControl w:val="0"/>
              <w:jc w:val="center"/>
              <w:rPr>
                <w:sz w:val="20"/>
                <w:szCs w:val="22"/>
                <w:lang w:val="sr-Latn-ME" w:eastAsia="de-DE"/>
              </w:rPr>
            </w:pPr>
            <w:r w:rsidRPr="00B8307D">
              <w:rPr>
                <w:sz w:val="20"/>
                <w:szCs w:val="22"/>
                <w:lang w:val="sr-Latn-ME" w:eastAsia="de-DE"/>
              </w:rPr>
              <w:t>0,76</w:t>
            </w:r>
          </w:p>
        </w:tc>
      </w:tr>
    </w:tbl>
    <w:p w14:paraId="64E055B9" w14:textId="77777777" w:rsidR="007253DB" w:rsidRPr="00B8307D" w:rsidRDefault="007253DB" w:rsidP="000A067B">
      <w:pPr>
        <w:widowControl w:val="0"/>
        <w:jc w:val="both"/>
        <w:rPr>
          <w:sz w:val="20"/>
          <w:szCs w:val="22"/>
          <w:lang w:val="sr-Latn-ME"/>
        </w:rPr>
      </w:pPr>
      <w:r w:rsidRPr="00B8307D">
        <w:rPr>
          <w:sz w:val="20"/>
          <w:szCs w:val="22"/>
          <w:lang w:val="sr-Latn-ME"/>
        </w:rPr>
        <w:t>*Jedan od dva primarna ishoda, preživljavanje bez simptoma bolesti tokom jedne godine naspram opservacije, dostigao je prethodno definisanu statističku graničnu vrijednost.</w:t>
      </w:r>
    </w:p>
    <w:p w14:paraId="0D4593D2" w14:textId="77777777" w:rsidR="007253DB" w:rsidRPr="00B8307D" w:rsidRDefault="007253DB" w:rsidP="000A067B">
      <w:pPr>
        <w:widowControl w:val="0"/>
        <w:jc w:val="both"/>
        <w:rPr>
          <w:sz w:val="20"/>
          <w:szCs w:val="22"/>
          <w:lang w:val="sr-Latn-ME"/>
        </w:rPr>
      </w:pPr>
      <w:r w:rsidRPr="00B8307D">
        <w:rPr>
          <w:sz w:val="20"/>
          <w:szCs w:val="22"/>
          <w:lang w:val="sr-Latn-ME"/>
        </w:rPr>
        <w:t>**Završna analiza (uključujući prelaz 52% pacijenta iz opservacijske grupe na Herceptin)</w:t>
      </w:r>
    </w:p>
    <w:p w14:paraId="41448B33" w14:textId="77777777" w:rsidR="007253DB" w:rsidRPr="00B8307D" w:rsidRDefault="007253DB" w:rsidP="000A067B">
      <w:pPr>
        <w:widowControl w:val="0"/>
        <w:jc w:val="both"/>
        <w:rPr>
          <w:sz w:val="20"/>
          <w:szCs w:val="22"/>
          <w:lang w:val="sr-Latn-ME"/>
        </w:rPr>
      </w:pPr>
      <w:r w:rsidRPr="00B8307D">
        <w:rPr>
          <w:sz w:val="20"/>
          <w:szCs w:val="22"/>
          <w:lang w:val="sr-Latn-ME"/>
        </w:rPr>
        <w:t>***Postoji nesrazmjernost u ukupnoj veličini uzorka zbog malog broja pacijenata koji su randomizovani nakon završnog datuma za analizu medijana praćenja od 12 mjeseci.</w:t>
      </w:r>
    </w:p>
    <w:p w14:paraId="7D9CE7EF" w14:textId="77777777" w:rsidR="007253DB" w:rsidRPr="00B8307D" w:rsidRDefault="007253DB" w:rsidP="000A067B">
      <w:pPr>
        <w:widowControl w:val="0"/>
        <w:jc w:val="both"/>
        <w:rPr>
          <w:sz w:val="20"/>
          <w:szCs w:val="22"/>
          <w:lang w:val="sr-Latn-ME"/>
        </w:rPr>
      </w:pPr>
    </w:p>
    <w:p w14:paraId="077AB5D0" w14:textId="77777777" w:rsidR="007253DB" w:rsidRPr="00B8307D" w:rsidRDefault="007253DB" w:rsidP="000A067B">
      <w:pPr>
        <w:widowControl w:val="0"/>
        <w:jc w:val="both"/>
        <w:rPr>
          <w:sz w:val="22"/>
          <w:szCs w:val="22"/>
          <w:lang w:val="sr-Latn-ME"/>
        </w:rPr>
      </w:pPr>
      <w:r w:rsidRPr="00B8307D">
        <w:rPr>
          <w:sz w:val="22"/>
          <w:szCs w:val="22"/>
          <w:lang w:val="sr-Latn-ME"/>
        </w:rPr>
        <w:t>Rezultati efikasnosti iz privremene analize efikasnosti nadmašili su prethodno definisanu statističku graničnu vrijednost za poređenje grupe liječene lijekom Herceptin tokom 1 godine naspram opservacija. Nakon medijana praćenja od 12 mjeseci, odnos hazarda (engl</w:t>
      </w:r>
      <w:r w:rsidRPr="00B8307D">
        <w:rPr>
          <w:i/>
          <w:sz w:val="22"/>
          <w:szCs w:val="22"/>
          <w:lang w:val="sr-Latn-ME"/>
        </w:rPr>
        <w:t>. hazard ratio</w:t>
      </w:r>
      <w:r w:rsidRPr="00B8307D">
        <w:rPr>
          <w:sz w:val="22"/>
          <w:szCs w:val="22"/>
          <w:lang w:val="sr-Latn-ME"/>
        </w:rPr>
        <w:t xml:space="preserve">, HR) za preživljavanje bez simptoma bolesti (engl. </w:t>
      </w:r>
      <w:r w:rsidRPr="00B8307D">
        <w:rPr>
          <w:i/>
          <w:sz w:val="22"/>
          <w:szCs w:val="22"/>
          <w:lang w:val="sr-Latn-ME"/>
        </w:rPr>
        <w:t>disease-free survival</w:t>
      </w:r>
      <w:r w:rsidRPr="00B8307D">
        <w:rPr>
          <w:sz w:val="22"/>
          <w:szCs w:val="22"/>
          <w:lang w:val="sr-Latn-ME"/>
        </w:rPr>
        <w:t xml:space="preserve">, DFS) iznosio je 0,54 (95% CI 0,44; 0,67) što znači da ukazuje na apsolutnu korist, a u smislu stope dvogodišnjeg preživljavanja bez simptoma bolesti 7,6 procentnih poena u korist grupe koja je primala Herceptin (85,8% prema 78,2%). </w:t>
      </w:r>
    </w:p>
    <w:p w14:paraId="20537430" w14:textId="7CFEC494" w:rsidR="007253DB" w:rsidRPr="00B8307D" w:rsidRDefault="007253DB" w:rsidP="000A067B">
      <w:pPr>
        <w:widowControl w:val="0"/>
        <w:tabs>
          <w:tab w:val="left" w:pos="540"/>
          <w:tab w:val="left" w:pos="569"/>
        </w:tabs>
        <w:jc w:val="both"/>
        <w:rPr>
          <w:b/>
          <w:bCs/>
          <w:sz w:val="22"/>
          <w:szCs w:val="22"/>
          <w:lang w:val="sr-Latn-ME"/>
        </w:rPr>
      </w:pPr>
    </w:p>
    <w:p w14:paraId="31304149" w14:textId="77777777" w:rsidR="007253DB" w:rsidRPr="00B8307D" w:rsidRDefault="007253DB" w:rsidP="000A067B">
      <w:pPr>
        <w:widowControl w:val="0"/>
        <w:jc w:val="both"/>
        <w:rPr>
          <w:sz w:val="22"/>
          <w:szCs w:val="22"/>
          <w:lang w:val="sr-Latn-ME"/>
        </w:rPr>
      </w:pPr>
      <w:r w:rsidRPr="00B8307D">
        <w:rPr>
          <w:sz w:val="22"/>
          <w:szCs w:val="22"/>
          <w:lang w:val="sr-Latn-ME"/>
        </w:rPr>
        <w:t xml:space="preserve">Završna analiza sprovedena nakon medijane praćenja od 8 godina ukazala je na smanjenje rizika od 24% u grupi liječenoj lijekom Herceptin tokom 1 godine u poređenju sa opservacijom (HR=0,76, 95% CI 0,67; 0,86). To ukazuje na apsolutnu povoljnost u smislu 8-godišnjeg preživljavanja bez simptoma bolesti sa razlikom od 6,4 procentnih bodova u korist grupe liječene 1 godinu lijekom Herceptin. </w:t>
      </w:r>
    </w:p>
    <w:p w14:paraId="234560C4" w14:textId="77777777" w:rsidR="007253DB" w:rsidRPr="00B8307D" w:rsidRDefault="007253DB" w:rsidP="000A067B">
      <w:pPr>
        <w:widowControl w:val="0"/>
        <w:jc w:val="both"/>
        <w:rPr>
          <w:sz w:val="22"/>
          <w:szCs w:val="22"/>
          <w:lang w:val="sr-Latn-ME"/>
        </w:rPr>
      </w:pPr>
    </w:p>
    <w:p w14:paraId="379E117A" w14:textId="77777777" w:rsidR="007253DB" w:rsidRPr="00B8307D" w:rsidRDefault="007253DB" w:rsidP="000A067B">
      <w:pPr>
        <w:widowControl w:val="0"/>
        <w:jc w:val="both"/>
        <w:rPr>
          <w:sz w:val="22"/>
          <w:szCs w:val="22"/>
          <w:lang w:val="sr-Latn-ME"/>
        </w:rPr>
      </w:pPr>
      <w:r w:rsidRPr="00B8307D">
        <w:rPr>
          <w:sz w:val="22"/>
          <w:szCs w:val="22"/>
          <w:lang w:val="sr-Latn-ME"/>
        </w:rPr>
        <w:t>U toj završnoj analizi produženje liječenja lijekom Herceptin na dvije godine nije pokazalo dodatne korisne efekte u odnosu na jednogodišnje liječenje [odnos hazarda za preživljavanje bez simptoma bolesti (DFS HR) u populaciji koja se namjeravala liječiti (ITT) tokom 2 godine naspram 1 godine = 0,99 (95% CI: 0,87; 1,13), p-vrijednost =0,90 i odnos hazarda za ukupno preživljavanje (OS HR) = 0,98 (0,83; 1,15); p-vrijednost= 0,78]. Stopa asimptomatske disfunkcije srca bila je povećana u grupi liječenoj tokom 2 godine (8,1% naspram 4,6% u grupi liječenoj tokom 1 godine). Barem jedno neželjeno dejstvo stepena 3 ili 4 pojavilo se kod više pacijenata u grupi liječenoj tokom 2 godine (20,4%) u poređenju sa grupom liječenoom tokom 1 godine (16,3%).</w:t>
      </w:r>
    </w:p>
    <w:p w14:paraId="2A740472" w14:textId="54C278B8" w:rsidR="007253DB" w:rsidRPr="00B8307D" w:rsidRDefault="007253DB" w:rsidP="000A067B">
      <w:pPr>
        <w:widowControl w:val="0"/>
        <w:tabs>
          <w:tab w:val="left" w:pos="540"/>
          <w:tab w:val="left" w:pos="569"/>
        </w:tabs>
        <w:jc w:val="both"/>
        <w:rPr>
          <w:b/>
          <w:bCs/>
          <w:sz w:val="22"/>
          <w:szCs w:val="22"/>
          <w:lang w:val="sr-Latn-ME"/>
        </w:rPr>
      </w:pPr>
    </w:p>
    <w:p w14:paraId="52E89D33" w14:textId="7A86EA0D" w:rsidR="007253DB" w:rsidRPr="00B8307D" w:rsidRDefault="007253DB" w:rsidP="000A067B">
      <w:pPr>
        <w:widowControl w:val="0"/>
        <w:jc w:val="both"/>
        <w:rPr>
          <w:sz w:val="22"/>
          <w:szCs w:val="22"/>
          <w:lang w:val="sr-Latn-ME"/>
        </w:rPr>
      </w:pPr>
      <w:r w:rsidRPr="00B8307D">
        <w:rPr>
          <w:sz w:val="22"/>
          <w:szCs w:val="22"/>
          <w:lang w:val="sr-Latn-ME"/>
        </w:rPr>
        <w:t xml:space="preserve">U studijama NSABP B-31 I NCCTG N9831, </w:t>
      </w:r>
      <w:r w:rsidR="0053424F" w:rsidRPr="00B8307D">
        <w:rPr>
          <w:sz w:val="22"/>
          <w:szCs w:val="22"/>
          <w:lang w:val="sr-Latn-ME"/>
        </w:rPr>
        <w:t xml:space="preserve">lijek </w:t>
      </w:r>
      <w:r w:rsidRPr="00B8307D">
        <w:rPr>
          <w:sz w:val="22"/>
          <w:szCs w:val="22"/>
          <w:lang w:val="sr-Latn-ME"/>
        </w:rPr>
        <w:t>Herceptin je primjenjivan u kombinaciji sa paklitakselom, nakon AC hemioterapije.</w:t>
      </w:r>
    </w:p>
    <w:p w14:paraId="40E396F4" w14:textId="77777777" w:rsidR="007253DB" w:rsidRPr="00B8307D" w:rsidRDefault="007253DB" w:rsidP="000A067B">
      <w:pPr>
        <w:widowControl w:val="0"/>
        <w:jc w:val="both"/>
        <w:rPr>
          <w:sz w:val="22"/>
          <w:szCs w:val="22"/>
          <w:lang w:val="sr-Latn-ME"/>
        </w:rPr>
      </w:pPr>
    </w:p>
    <w:p w14:paraId="7622D7EB" w14:textId="77777777" w:rsidR="007253DB" w:rsidRPr="00B8307D" w:rsidRDefault="007253DB" w:rsidP="000A067B">
      <w:pPr>
        <w:widowControl w:val="0"/>
        <w:jc w:val="both"/>
        <w:rPr>
          <w:sz w:val="22"/>
          <w:szCs w:val="22"/>
          <w:lang w:val="sr-Latn-ME"/>
        </w:rPr>
      </w:pPr>
      <w:r w:rsidRPr="00B8307D">
        <w:rPr>
          <w:sz w:val="22"/>
          <w:szCs w:val="22"/>
          <w:lang w:val="sr-Latn-ME"/>
        </w:rPr>
        <w:t>Doksorubicin i ciklofosfamid su primjenjivani istovremeno na sljedeći način:</w:t>
      </w:r>
    </w:p>
    <w:p w14:paraId="31C244F0" w14:textId="26A43B14" w:rsidR="007253DB" w:rsidRPr="00B8307D" w:rsidRDefault="007253DB" w:rsidP="000A067B">
      <w:pPr>
        <w:widowControl w:val="0"/>
        <w:numPr>
          <w:ilvl w:val="0"/>
          <w:numId w:val="18"/>
        </w:numPr>
        <w:tabs>
          <w:tab w:val="left" w:pos="284"/>
        </w:tabs>
        <w:jc w:val="both"/>
        <w:rPr>
          <w:sz w:val="22"/>
          <w:szCs w:val="22"/>
          <w:lang w:val="sr-Latn-ME"/>
        </w:rPr>
      </w:pPr>
      <w:r w:rsidRPr="00B8307D">
        <w:rPr>
          <w:sz w:val="22"/>
          <w:szCs w:val="22"/>
          <w:lang w:val="sr-Latn-ME"/>
        </w:rPr>
        <w:t>brza intravenska injekcija doksorubicina, u dozi od 60</w:t>
      </w:r>
      <w:r w:rsidR="008C3928" w:rsidRPr="00B8307D">
        <w:rPr>
          <w:sz w:val="22"/>
          <w:szCs w:val="22"/>
          <w:lang w:val="sr-Latn-ME"/>
        </w:rPr>
        <w:t xml:space="preserve"> </w:t>
      </w:r>
      <w:r w:rsidRPr="00B8307D">
        <w:rPr>
          <w:sz w:val="22"/>
          <w:szCs w:val="22"/>
          <w:lang w:val="sr-Latn-ME"/>
        </w:rPr>
        <w:t>mg/m</w:t>
      </w:r>
      <w:r w:rsidRPr="00B8307D">
        <w:rPr>
          <w:sz w:val="22"/>
          <w:szCs w:val="22"/>
          <w:vertAlign w:val="superscript"/>
          <w:lang w:val="sr-Latn-ME"/>
        </w:rPr>
        <w:t>2</w:t>
      </w:r>
      <w:r w:rsidRPr="00B8307D">
        <w:rPr>
          <w:sz w:val="22"/>
          <w:szCs w:val="22"/>
          <w:lang w:val="sr-Latn-ME"/>
        </w:rPr>
        <w:t>, svake 3 nedjelje, tokom 4 ciklusa</w:t>
      </w:r>
    </w:p>
    <w:p w14:paraId="04DB7AB1" w14:textId="70A5369D" w:rsidR="007253DB" w:rsidRPr="00B8307D" w:rsidRDefault="007253DB" w:rsidP="000A067B">
      <w:pPr>
        <w:widowControl w:val="0"/>
        <w:numPr>
          <w:ilvl w:val="0"/>
          <w:numId w:val="18"/>
        </w:numPr>
        <w:tabs>
          <w:tab w:val="left" w:pos="284"/>
        </w:tabs>
        <w:jc w:val="both"/>
        <w:rPr>
          <w:sz w:val="22"/>
          <w:szCs w:val="22"/>
          <w:lang w:val="sr-Latn-ME"/>
        </w:rPr>
      </w:pPr>
      <w:r w:rsidRPr="00B8307D">
        <w:rPr>
          <w:sz w:val="22"/>
          <w:szCs w:val="22"/>
          <w:lang w:val="sr-Latn-ME"/>
        </w:rPr>
        <w:t>intravenski ciklofosfamid u dozi od 600 mg/m</w:t>
      </w:r>
      <w:r w:rsidRPr="00B8307D">
        <w:rPr>
          <w:sz w:val="22"/>
          <w:szCs w:val="22"/>
          <w:vertAlign w:val="superscript"/>
          <w:lang w:val="sr-Latn-ME"/>
        </w:rPr>
        <w:t xml:space="preserve">2 </w:t>
      </w:r>
      <w:r w:rsidRPr="00B8307D">
        <w:rPr>
          <w:sz w:val="22"/>
          <w:szCs w:val="22"/>
          <w:lang w:val="sr-Latn-ME"/>
        </w:rPr>
        <w:t>tokom 30 minuta, jednom u 3 nedjelje, tokom 4 ciklusa</w:t>
      </w:r>
    </w:p>
    <w:p w14:paraId="0D2D2025" w14:textId="3E25A63F" w:rsidR="0053424F" w:rsidRPr="00B8307D" w:rsidRDefault="0053424F" w:rsidP="000A067B">
      <w:pPr>
        <w:widowControl w:val="0"/>
        <w:tabs>
          <w:tab w:val="left" w:pos="284"/>
        </w:tabs>
        <w:jc w:val="both"/>
        <w:rPr>
          <w:sz w:val="22"/>
          <w:szCs w:val="22"/>
          <w:lang w:val="sr-Latn-ME"/>
        </w:rPr>
      </w:pPr>
    </w:p>
    <w:p w14:paraId="72FE810F" w14:textId="77777777" w:rsidR="007253DB" w:rsidRPr="00B8307D" w:rsidRDefault="007253DB" w:rsidP="000A067B">
      <w:pPr>
        <w:widowControl w:val="0"/>
        <w:jc w:val="both"/>
        <w:rPr>
          <w:sz w:val="22"/>
          <w:szCs w:val="22"/>
          <w:lang w:val="sr-Latn-ME"/>
        </w:rPr>
      </w:pPr>
      <w:r w:rsidRPr="00B8307D">
        <w:rPr>
          <w:sz w:val="22"/>
          <w:szCs w:val="22"/>
          <w:lang w:val="sr-Latn-ME"/>
        </w:rPr>
        <w:t>Paklitaksel, u kombinaciji sa lijekom Herceptin, primijenjen na sljedeći način:</w:t>
      </w:r>
    </w:p>
    <w:p w14:paraId="163DCC44" w14:textId="77777777" w:rsidR="0053424F" w:rsidRPr="00B8307D" w:rsidRDefault="007253DB" w:rsidP="000A067B">
      <w:pPr>
        <w:widowControl w:val="0"/>
        <w:numPr>
          <w:ilvl w:val="0"/>
          <w:numId w:val="19"/>
        </w:numPr>
        <w:tabs>
          <w:tab w:val="left" w:pos="284"/>
        </w:tabs>
        <w:jc w:val="both"/>
        <w:rPr>
          <w:sz w:val="22"/>
          <w:szCs w:val="22"/>
          <w:lang w:val="sr-Latn-ME"/>
        </w:rPr>
      </w:pPr>
      <w:r w:rsidRPr="00B8307D">
        <w:rPr>
          <w:sz w:val="22"/>
          <w:szCs w:val="22"/>
          <w:lang w:val="sr-Latn-ME"/>
        </w:rPr>
        <w:t>intravenski paklitaksel – 80 mg/m</w:t>
      </w:r>
      <w:r w:rsidRPr="00B8307D">
        <w:rPr>
          <w:sz w:val="22"/>
          <w:szCs w:val="22"/>
          <w:vertAlign w:val="superscript"/>
          <w:lang w:val="sr-Latn-ME"/>
        </w:rPr>
        <w:t xml:space="preserve">2 </w:t>
      </w:r>
      <w:r w:rsidRPr="00B8307D">
        <w:rPr>
          <w:sz w:val="22"/>
          <w:szCs w:val="22"/>
          <w:lang w:val="sr-Latn-ME"/>
        </w:rPr>
        <w:t>, kao kontinuirana i.v. infuzija, jednom nedjeljno tokom 12 nedjelja</w:t>
      </w:r>
    </w:p>
    <w:p w14:paraId="28AA1576" w14:textId="7E1F6A4B" w:rsidR="007253DB" w:rsidRPr="00B8307D" w:rsidRDefault="007253DB" w:rsidP="000A067B">
      <w:pPr>
        <w:widowControl w:val="0"/>
        <w:tabs>
          <w:tab w:val="left" w:pos="284"/>
        </w:tabs>
        <w:ind w:left="720"/>
        <w:jc w:val="both"/>
        <w:rPr>
          <w:sz w:val="22"/>
          <w:szCs w:val="22"/>
          <w:lang w:val="sr-Latn-ME"/>
        </w:rPr>
      </w:pPr>
      <w:r w:rsidRPr="00B8307D">
        <w:rPr>
          <w:sz w:val="22"/>
          <w:szCs w:val="22"/>
          <w:lang w:val="sr-Latn-ME"/>
        </w:rPr>
        <w:t xml:space="preserve"> ili</w:t>
      </w:r>
    </w:p>
    <w:p w14:paraId="200610D5" w14:textId="45FC4221" w:rsidR="007253DB" w:rsidRPr="00B8307D" w:rsidRDefault="007253DB" w:rsidP="000A067B">
      <w:pPr>
        <w:widowControl w:val="0"/>
        <w:numPr>
          <w:ilvl w:val="0"/>
          <w:numId w:val="19"/>
        </w:numPr>
        <w:tabs>
          <w:tab w:val="left" w:pos="284"/>
        </w:tabs>
        <w:jc w:val="both"/>
        <w:rPr>
          <w:sz w:val="22"/>
          <w:szCs w:val="22"/>
          <w:lang w:val="sr-Latn-ME"/>
        </w:rPr>
      </w:pPr>
      <w:r w:rsidRPr="00B8307D">
        <w:rPr>
          <w:sz w:val="22"/>
          <w:szCs w:val="22"/>
          <w:lang w:val="sr-Latn-ME"/>
        </w:rPr>
        <w:t>intravenski paklitaksel -175</w:t>
      </w:r>
      <w:r w:rsidR="008C3928" w:rsidRPr="00B8307D">
        <w:rPr>
          <w:sz w:val="22"/>
          <w:szCs w:val="22"/>
          <w:lang w:val="sr-Latn-ME"/>
        </w:rPr>
        <w:t xml:space="preserve"> </w:t>
      </w:r>
      <w:r w:rsidRPr="00B8307D">
        <w:rPr>
          <w:sz w:val="22"/>
          <w:szCs w:val="22"/>
          <w:lang w:val="sr-Latn-ME"/>
        </w:rPr>
        <w:t>mg/m</w:t>
      </w:r>
      <w:r w:rsidRPr="00B8307D">
        <w:rPr>
          <w:sz w:val="22"/>
          <w:szCs w:val="22"/>
          <w:vertAlign w:val="superscript"/>
          <w:lang w:val="sr-Latn-ME"/>
        </w:rPr>
        <w:t>2</w:t>
      </w:r>
      <w:r w:rsidRPr="00B8307D">
        <w:rPr>
          <w:sz w:val="22"/>
          <w:szCs w:val="22"/>
          <w:lang w:val="sr-Latn-ME"/>
        </w:rPr>
        <w:t xml:space="preserve"> kao kontinuirana i.v. infuzija, svake 3 nedjelje tokom 4 ciklusa (1. dan svakog ciklusa)</w:t>
      </w:r>
    </w:p>
    <w:p w14:paraId="23C0815D" w14:textId="77777777" w:rsidR="007253DB" w:rsidRPr="00B8307D" w:rsidRDefault="007253DB" w:rsidP="000A067B">
      <w:pPr>
        <w:widowControl w:val="0"/>
        <w:jc w:val="both"/>
        <w:rPr>
          <w:sz w:val="22"/>
          <w:szCs w:val="22"/>
          <w:lang w:val="sr-Latn-ME"/>
        </w:rPr>
      </w:pPr>
    </w:p>
    <w:p w14:paraId="2B2F994A" w14:textId="075E17CD" w:rsidR="007253DB" w:rsidRPr="00B8307D" w:rsidRDefault="007253DB" w:rsidP="000A067B">
      <w:pPr>
        <w:widowControl w:val="0"/>
        <w:jc w:val="both"/>
        <w:rPr>
          <w:sz w:val="22"/>
          <w:szCs w:val="22"/>
          <w:lang w:val="sr-Latn-ME"/>
        </w:rPr>
      </w:pPr>
      <w:r w:rsidRPr="00B8307D">
        <w:rPr>
          <w:sz w:val="22"/>
          <w:szCs w:val="22"/>
          <w:lang w:val="sr-Latn-ME"/>
        </w:rPr>
        <w:t xml:space="preserve">Rezultati efikasnosti iz zajedničke analize studija NSABP B-31 i NCCTG 9831 u trenutku konačne analize preživljavanja bez bolesti* su prikazani sažeto u Tabeli 6. </w:t>
      </w:r>
      <w:r w:rsidR="0053424F" w:rsidRPr="00B8307D">
        <w:rPr>
          <w:sz w:val="22"/>
          <w:szCs w:val="22"/>
          <w:lang w:val="sr-Latn-ME"/>
        </w:rPr>
        <w:t>Medijana</w:t>
      </w:r>
      <w:r w:rsidRPr="00B8307D">
        <w:rPr>
          <w:sz w:val="22"/>
          <w:szCs w:val="22"/>
          <w:lang w:val="sr-Latn-ME"/>
        </w:rPr>
        <w:t xml:space="preserve"> trajanja perioda praćenja je bila 1.8 godina za pacijente koji su primali AC</w:t>
      </w:r>
      <w:r w:rsidRPr="00B8307D">
        <w:rPr>
          <w:sz w:val="20"/>
          <w:szCs w:val="20"/>
          <w:lang w:val="sr-Latn-ME"/>
        </w:rPr>
        <w:t>→</w:t>
      </w:r>
      <w:r w:rsidRPr="00B8307D">
        <w:rPr>
          <w:sz w:val="22"/>
          <w:szCs w:val="22"/>
          <w:lang w:val="sr-Latn-ME"/>
        </w:rPr>
        <w:t>P hemoterapiju i 2,0  godine za pacijente koji su primali AC</w:t>
      </w:r>
      <w:r w:rsidRPr="00B8307D">
        <w:rPr>
          <w:sz w:val="20"/>
          <w:szCs w:val="20"/>
          <w:lang w:val="sr-Latn-ME"/>
        </w:rPr>
        <w:t>→</w:t>
      </w:r>
      <w:r w:rsidRPr="00B8307D">
        <w:rPr>
          <w:sz w:val="22"/>
          <w:szCs w:val="22"/>
          <w:lang w:val="sr-Latn-ME"/>
        </w:rPr>
        <w:t xml:space="preserve">PH hemoterapiju. </w:t>
      </w:r>
    </w:p>
    <w:p w14:paraId="5C1870D1" w14:textId="77777777" w:rsidR="007253DB" w:rsidRPr="00B8307D" w:rsidRDefault="007253DB" w:rsidP="000A067B">
      <w:pPr>
        <w:widowControl w:val="0"/>
        <w:jc w:val="both"/>
        <w:rPr>
          <w:sz w:val="22"/>
          <w:szCs w:val="22"/>
          <w:lang w:val="sr-Latn-ME"/>
        </w:rPr>
      </w:pPr>
    </w:p>
    <w:p w14:paraId="30ACDFF6" w14:textId="77777777" w:rsidR="007253DB" w:rsidRPr="00B8307D" w:rsidRDefault="007253DB" w:rsidP="000A067B">
      <w:pPr>
        <w:widowControl w:val="0"/>
        <w:jc w:val="both"/>
        <w:rPr>
          <w:sz w:val="22"/>
          <w:szCs w:val="22"/>
          <w:lang w:val="sr-Latn-ME"/>
        </w:rPr>
      </w:pPr>
      <w:r w:rsidRPr="00B8307D">
        <w:rPr>
          <w:sz w:val="22"/>
          <w:szCs w:val="22"/>
          <w:lang w:val="sr-Latn-ME"/>
        </w:rPr>
        <w:t xml:space="preserve">Tabela 6: Sažetak rezultata efikasnosti iz zajedničke analize studija NSABP B-31 i NCCTG N9831 u </w:t>
      </w:r>
      <w:r w:rsidRPr="00B8307D">
        <w:rPr>
          <w:sz w:val="22"/>
          <w:szCs w:val="22"/>
          <w:lang w:val="sr-Latn-ME"/>
        </w:rPr>
        <w:lastRenderedPageBreak/>
        <w:t>trenutku konačne analize preživljavanja bez bolesti*</w:t>
      </w:r>
    </w:p>
    <w:p w14:paraId="5BB7B296" w14:textId="77777777" w:rsidR="007253DB" w:rsidRPr="00B8307D" w:rsidRDefault="007253DB" w:rsidP="000A067B">
      <w:pPr>
        <w:widowControl w:val="0"/>
        <w:tabs>
          <w:tab w:val="left" w:pos="540"/>
          <w:tab w:val="left" w:pos="569"/>
        </w:tabs>
        <w:jc w:val="both"/>
        <w:rPr>
          <w:b/>
          <w:bCs/>
          <w:sz w:val="22"/>
          <w:szCs w:val="22"/>
          <w:lang w:val="sr-Latn-M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7"/>
        <w:gridCol w:w="1737"/>
        <w:gridCol w:w="1652"/>
        <w:gridCol w:w="2389"/>
      </w:tblGrid>
      <w:tr w:rsidR="007253DB" w:rsidRPr="00B8307D" w14:paraId="69C00F26" w14:textId="77777777" w:rsidTr="0064695A">
        <w:tc>
          <w:tcPr>
            <w:tcW w:w="1816" w:type="pct"/>
            <w:tcBorders>
              <w:top w:val="single" w:sz="4" w:space="0" w:color="auto"/>
              <w:left w:val="single" w:sz="4" w:space="0" w:color="auto"/>
              <w:bottom w:val="single" w:sz="4" w:space="0" w:color="auto"/>
              <w:right w:val="single" w:sz="4" w:space="0" w:color="auto"/>
            </w:tcBorders>
          </w:tcPr>
          <w:p w14:paraId="33FCBCC2" w14:textId="77777777" w:rsidR="007253DB" w:rsidRPr="00B8307D" w:rsidRDefault="007253DB" w:rsidP="000A067B">
            <w:pPr>
              <w:widowControl w:val="0"/>
              <w:rPr>
                <w:sz w:val="22"/>
                <w:szCs w:val="22"/>
                <w:lang w:val="sr-Latn-ME"/>
              </w:rPr>
            </w:pPr>
          </w:p>
          <w:p w14:paraId="01E23C37" w14:textId="77777777" w:rsidR="007253DB" w:rsidRPr="00B8307D" w:rsidRDefault="007253DB" w:rsidP="000A067B">
            <w:pPr>
              <w:widowControl w:val="0"/>
              <w:rPr>
                <w:sz w:val="22"/>
                <w:szCs w:val="22"/>
                <w:lang w:val="sr-Latn-ME"/>
              </w:rPr>
            </w:pPr>
            <w:r w:rsidRPr="00B8307D">
              <w:rPr>
                <w:sz w:val="22"/>
                <w:szCs w:val="22"/>
                <w:lang w:val="sr-Latn-ME"/>
              </w:rPr>
              <w:t xml:space="preserve">Parametar </w:t>
            </w:r>
          </w:p>
          <w:p w14:paraId="5F2CC65F" w14:textId="77777777" w:rsidR="007253DB" w:rsidRPr="00B8307D" w:rsidRDefault="007253DB" w:rsidP="000A067B">
            <w:pPr>
              <w:widowControl w:val="0"/>
              <w:rPr>
                <w:sz w:val="22"/>
                <w:szCs w:val="22"/>
                <w:lang w:val="sr-Latn-ME"/>
              </w:rPr>
            </w:pPr>
          </w:p>
          <w:p w14:paraId="53C313CA" w14:textId="77777777" w:rsidR="007253DB" w:rsidRPr="00B8307D" w:rsidRDefault="007253DB" w:rsidP="000A067B">
            <w:pPr>
              <w:widowControl w:val="0"/>
              <w:tabs>
                <w:tab w:val="left" w:pos="284"/>
              </w:tabs>
              <w:rPr>
                <w:sz w:val="22"/>
                <w:szCs w:val="22"/>
                <w:lang w:val="sr-Latn-ME"/>
              </w:rPr>
            </w:pPr>
          </w:p>
        </w:tc>
        <w:tc>
          <w:tcPr>
            <w:tcW w:w="957" w:type="pct"/>
            <w:tcBorders>
              <w:top w:val="single" w:sz="4" w:space="0" w:color="auto"/>
              <w:left w:val="single" w:sz="4" w:space="0" w:color="auto"/>
              <w:bottom w:val="single" w:sz="4" w:space="0" w:color="auto"/>
              <w:right w:val="single" w:sz="4" w:space="0" w:color="auto"/>
            </w:tcBorders>
            <w:hideMark/>
          </w:tcPr>
          <w:p w14:paraId="7DDAFEBA" w14:textId="77777777" w:rsidR="007253DB" w:rsidRPr="00B8307D" w:rsidRDefault="007253DB" w:rsidP="000A067B">
            <w:pPr>
              <w:widowControl w:val="0"/>
              <w:jc w:val="center"/>
              <w:rPr>
                <w:sz w:val="22"/>
                <w:szCs w:val="22"/>
                <w:lang w:val="sr-Latn-ME"/>
              </w:rPr>
            </w:pPr>
            <w:r w:rsidRPr="00B8307D">
              <w:rPr>
                <w:sz w:val="22"/>
                <w:szCs w:val="22"/>
                <w:lang w:val="sr-Latn-ME"/>
              </w:rPr>
              <w:t>AC-P</w:t>
            </w:r>
          </w:p>
          <w:p w14:paraId="556B174F" w14:textId="77777777" w:rsidR="007253DB" w:rsidRPr="00B8307D" w:rsidRDefault="007253DB" w:rsidP="000A067B">
            <w:pPr>
              <w:widowControl w:val="0"/>
              <w:tabs>
                <w:tab w:val="left" w:pos="284"/>
              </w:tabs>
              <w:jc w:val="center"/>
              <w:rPr>
                <w:sz w:val="22"/>
                <w:szCs w:val="22"/>
                <w:lang w:val="sr-Latn-ME"/>
              </w:rPr>
            </w:pPr>
            <w:r w:rsidRPr="00B8307D">
              <w:rPr>
                <w:sz w:val="22"/>
                <w:szCs w:val="22"/>
                <w:lang w:val="sr-Latn-ME"/>
              </w:rPr>
              <w:t>(n=1679)</w:t>
            </w:r>
          </w:p>
        </w:tc>
        <w:tc>
          <w:tcPr>
            <w:tcW w:w="910" w:type="pct"/>
            <w:tcBorders>
              <w:top w:val="single" w:sz="4" w:space="0" w:color="auto"/>
              <w:left w:val="single" w:sz="4" w:space="0" w:color="auto"/>
              <w:bottom w:val="single" w:sz="4" w:space="0" w:color="auto"/>
              <w:right w:val="single" w:sz="4" w:space="0" w:color="auto"/>
            </w:tcBorders>
            <w:hideMark/>
          </w:tcPr>
          <w:p w14:paraId="086A27B7" w14:textId="77777777" w:rsidR="007253DB" w:rsidRPr="00B8307D" w:rsidRDefault="007253DB" w:rsidP="000A067B">
            <w:pPr>
              <w:widowControl w:val="0"/>
              <w:jc w:val="center"/>
              <w:rPr>
                <w:sz w:val="22"/>
                <w:szCs w:val="22"/>
                <w:lang w:val="sr-Latn-ME"/>
              </w:rPr>
            </w:pPr>
            <w:r w:rsidRPr="00B8307D">
              <w:rPr>
                <w:sz w:val="22"/>
                <w:szCs w:val="22"/>
                <w:lang w:val="sr-Latn-ME"/>
              </w:rPr>
              <w:t>AC-PH</w:t>
            </w:r>
          </w:p>
          <w:p w14:paraId="6B824E2D" w14:textId="77777777" w:rsidR="007253DB" w:rsidRPr="00B8307D" w:rsidRDefault="007253DB" w:rsidP="000A067B">
            <w:pPr>
              <w:widowControl w:val="0"/>
              <w:tabs>
                <w:tab w:val="left" w:pos="284"/>
              </w:tabs>
              <w:jc w:val="center"/>
              <w:rPr>
                <w:sz w:val="22"/>
                <w:szCs w:val="22"/>
                <w:lang w:val="sr-Latn-ME"/>
              </w:rPr>
            </w:pPr>
            <w:r w:rsidRPr="00B8307D">
              <w:rPr>
                <w:sz w:val="22"/>
                <w:szCs w:val="22"/>
                <w:lang w:val="sr-Latn-ME"/>
              </w:rPr>
              <w:t>(n=1672)</w:t>
            </w:r>
          </w:p>
        </w:tc>
        <w:tc>
          <w:tcPr>
            <w:tcW w:w="1316" w:type="pct"/>
            <w:tcBorders>
              <w:top w:val="single" w:sz="4" w:space="0" w:color="auto"/>
              <w:left w:val="single" w:sz="4" w:space="0" w:color="auto"/>
              <w:bottom w:val="single" w:sz="4" w:space="0" w:color="auto"/>
              <w:right w:val="single" w:sz="4" w:space="0" w:color="auto"/>
            </w:tcBorders>
            <w:hideMark/>
          </w:tcPr>
          <w:p w14:paraId="00FE051E" w14:textId="77777777" w:rsidR="007253DB" w:rsidRPr="00B8307D" w:rsidRDefault="007253DB" w:rsidP="000A067B">
            <w:pPr>
              <w:widowControl w:val="0"/>
              <w:jc w:val="center"/>
              <w:rPr>
                <w:sz w:val="22"/>
                <w:szCs w:val="22"/>
                <w:lang w:val="sr-Latn-ME"/>
              </w:rPr>
            </w:pPr>
            <w:r w:rsidRPr="00B8307D">
              <w:rPr>
                <w:sz w:val="22"/>
                <w:szCs w:val="22"/>
                <w:lang w:val="sr-Latn-ME"/>
              </w:rPr>
              <w:t>Odnos hazarda naspram</w:t>
            </w:r>
          </w:p>
          <w:p w14:paraId="2C17119D" w14:textId="77777777" w:rsidR="007253DB" w:rsidRPr="00B8307D" w:rsidRDefault="007253DB" w:rsidP="000A067B">
            <w:pPr>
              <w:widowControl w:val="0"/>
              <w:jc w:val="center"/>
              <w:rPr>
                <w:sz w:val="22"/>
                <w:szCs w:val="22"/>
                <w:lang w:val="sr-Latn-ME"/>
              </w:rPr>
            </w:pPr>
            <w:r w:rsidRPr="00B8307D">
              <w:rPr>
                <w:sz w:val="22"/>
                <w:szCs w:val="22"/>
                <w:lang w:val="sr-Latn-ME"/>
              </w:rPr>
              <w:t>AC-P</w:t>
            </w:r>
          </w:p>
          <w:p w14:paraId="0C0B72FB" w14:textId="77777777" w:rsidR="007253DB" w:rsidRPr="00B8307D" w:rsidRDefault="007253DB" w:rsidP="000A067B">
            <w:pPr>
              <w:widowControl w:val="0"/>
              <w:jc w:val="center"/>
              <w:rPr>
                <w:sz w:val="22"/>
                <w:szCs w:val="22"/>
                <w:lang w:val="sr-Latn-ME"/>
              </w:rPr>
            </w:pPr>
            <w:r w:rsidRPr="00B8307D">
              <w:rPr>
                <w:sz w:val="22"/>
                <w:szCs w:val="22"/>
                <w:lang w:val="sr-Latn-ME"/>
              </w:rPr>
              <w:t>(95% CI)</w:t>
            </w:r>
          </w:p>
          <w:p w14:paraId="2E46B5FA" w14:textId="77777777" w:rsidR="007253DB" w:rsidRPr="00B8307D" w:rsidRDefault="007253DB" w:rsidP="000A067B">
            <w:pPr>
              <w:widowControl w:val="0"/>
              <w:tabs>
                <w:tab w:val="left" w:pos="284"/>
              </w:tabs>
              <w:jc w:val="center"/>
              <w:rPr>
                <w:sz w:val="22"/>
                <w:szCs w:val="22"/>
                <w:lang w:val="sr-Latn-ME"/>
              </w:rPr>
            </w:pPr>
            <w:r w:rsidRPr="00B8307D">
              <w:rPr>
                <w:sz w:val="22"/>
                <w:szCs w:val="22"/>
                <w:lang w:val="sr-Latn-ME"/>
              </w:rPr>
              <w:t>p-vrijednost</w:t>
            </w:r>
          </w:p>
        </w:tc>
      </w:tr>
      <w:tr w:rsidR="007253DB" w:rsidRPr="00B8307D" w14:paraId="79EF8379" w14:textId="77777777" w:rsidTr="0064695A">
        <w:tc>
          <w:tcPr>
            <w:tcW w:w="1816" w:type="pct"/>
            <w:tcBorders>
              <w:top w:val="single" w:sz="4" w:space="0" w:color="auto"/>
              <w:left w:val="single" w:sz="4" w:space="0" w:color="auto"/>
              <w:bottom w:val="single" w:sz="4" w:space="0" w:color="auto"/>
              <w:right w:val="single" w:sz="4" w:space="0" w:color="auto"/>
            </w:tcBorders>
          </w:tcPr>
          <w:p w14:paraId="368C5444" w14:textId="77777777" w:rsidR="007253DB" w:rsidRPr="00B8307D" w:rsidRDefault="007253DB" w:rsidP="000A067B">
            <w:pPr>
              <w:widowControl w:val="0"/>
              <w:rPr>
                <w:sz w:val="22"/>
                <w:szCs w:val="22"/>
                <w:lang w:val="sr-Latn-ME"/>
              </w:rPr>
            </w:pPr>
            <w:r w:rsidRPr="00B8307D">
              <w:rPr>
                <w:sz w:val="22"/>
                <w:szCs w:val="22"/>
                <w:lang w:val="sr-Latn-ME"/>
              </w:rPr>
              <w:t>Preživljavanje bez bolesti</w:t>
            </w:r>
          </w:p>
          <w:p w14:paraId="77F4BEC0" w14:textId="38BF50DF" w:rsidR="007253DB" w:rsidRPr="00B8307D" w:rsidRDefault="007253DB" w:rsidP="0064695A">
            <w:pPr>
              <w:widowControl w:val="0"/>
              <w:rPr>
                <w:sz w:val="22"/>
                <w:szCs w:val="22"/>
                <w:lang w:val="sr-Latn-ME"/>
              </w:rPr>
            </w:pPr>
            <w:r w:rsidRPr="00B8307D">
              <w:rPr>
                <w:sz w:val="22"/>
                <w:szCs w:val="22"/>
                <w:lang w:val="sr-Latn-ME"/>
              </w:rPr>
              <w:t>Broj pacijenata sa događajem (%)</w:t>
            </w:r>
          </w:p>
        </w:tc>
        <w:tc>
          <w:tcPr>
            <w:tcW w:w="957" w:type="pct"/>
            <w:tcBorders>
              <w:top w:val="single" w:sz="4" w:space="0" w:color="auto"/>
              <w:left w:val="single" w:sz="4" w:space="0" w:color="auto"/>
              <w:bottom w:val="single" w:sz="4" w:space="0" w:color="auto"/>
              <w:right w:val="single" w:sz="4" w:space="0" w:color="auto"/>
            </w:tcBorders>
          </w:tcPr>
          <w:p w14:paraId="4ED45856" w14:textId="77777777" w:rsidR="007253DB" w:rsidRPr="00B8307D" w:rsidRDefault="007253DB" w:rsidP="000A067B">
            <w:pPr>
              <w:widowControl w:val="0"/>
              <w:tabs>
                <w:tab w:val="left" w:pos="284"/>
              </w:tabs>
              <w:jc w:val="center"/>
              <w:rPr>
                <w:sz w:val="22"/>
                <w:szCs w:val="22"/>
                <w:lang w:val="sr-Latn-ME"/>
              </w:rPr>
            </w:pPr>
            <w:r w:rsidRPr="00B8307D">
              <w:rPr>
                <w:sz w:val="22"/>
                <w:szCs w:val="22"/>
                <w:lang w:val="sr-Latn-ME"/>
              </w:rPr>
              <w:t>261 (15.4)</w:t>
            </w:r>
          </w:p>
        </w:tc>
        <w:tc>
          <w:tcPr>
            <w:tcW w:w="910" w:type="pct"/>
            <w:tcBorders>
              <w:top w:val="single" w:sz="4" w:space="0" w:color="auto"/>
              <w:left w:val="single" w:sz="4" w:space="0" w:color="auto"/>
              <w:bottom w:val="single" w:sz="4" w:space="0" w:color="auto"/>
              <w:right w:val="single" w:sz="4" w:space="0" w:color="auto"/>
            </w:tcBorders>
          </w:tcPr>
          <w:p w14:paraId="15264675" w14:textId="77777777" w:rsidR="007253DB" w:rsidRPr="00B8307D" w:rsidRDefault="007253DB" w:rsidP="000A067B">
            <w:pPr>
              <w:widowControl w:val="0"/>
              <w:tabs>
                <w:tab w:val="left" w:pos="284"/>
              </w:tabs>
              <w:jc w:val="center"/>
              <w:rPr>
                <w:sz w:val="22"/>
                <w:szCs w:val="22"/>
                <w:lang w:val="sr-Latn-ME"/>
              </w:rPr>
            </w:pPr>
            <w:r w:rsidRPr="00B8307D">
              <w:rPr>
                <w:sz w:val="22"/>
                <w:szCs w:val="22"/>
                <w:lang w:val="sr-Latn-ME"/>
              </w:rPr>
              <w:t>133 (8.0)</w:t>
            </w:r>
          </w:p>
        </w:tc>
        <w:tc>
          <w:tcPr>
            <w:tcW w:w="1316" w:type="pct"/>
            <w:tcBorders>
              <w:top w:val="single" w:sz="4" w:space="0" w:color="auto"/>
              <w:left w:val="single" w:sz="4" w:space="0" w:color="auto"/>
              <w:bottom w:val="single" w:sz="4" w:space="0" w:color="auto"/>
              <w:right w:val="single" w:sz="4" w:space="0" w:color="auto"/>
            </w:tcBorders>
          </w:tcPr>
          <w:p w14:paraId="088E1527" w14:textId="77777777" w:rsidR="007253DB" w:rsidRPr="00B8307D" w:rsidRDefault="007253DB" w:rsidP="000A067B">
            <w:pPr>
              <w:widowControl w:val="0"/>
              <w:jc w:val="center"/>
              <w:rPr>
                <w:sz w:val="22"/>
                <w:szCs w:val="22"/>
                <w:lang w:val="sr-Latn-ME"/>
              </w:rPr>
            </w:pPr>
            <w:r w:rsidRPr="00B8307D">
              <w:rPr>
                <w:sz w:val="22"/>
                <w:szCs w:val="22"/>
                <w:lang w:val="sr-Latn-ME"/>
              </w:rPr>
              <w:t>0,48 (0,39, 0,59)</w:t>
            </w:r>
          </w:p>
          <w:p w14:paraId="4DCE2F0A" w14:textId="77777777" w:rsidR="007253DB" w:rsidRPr="00B8307D" w:rsidRDefault="007253DB" w:rsidP="000A067B">
            <w:pPr>
              <w:widowControl w:val="0"/>
              <w:tabs>
                <w:tab w:val="left" w:pos="284"/>
              </w:tabs>
              <w:jc w:val="center"/>
              <w:rPr>
                <w:sz w:val="22"/>
                <w:szCs w:val="22"/>
                <w:lang w:val="sr-Latn-ME"/>
              </w:rPr>
            </w:pPr>
            <w:r w:rsidRPr="00B8307D">
              <w:rPr>
                <w:sz w:val="22"/>
                <w:szCs w:val="22"/>
                <w:lang w:val="sr-Latn-ME"/>
              </w:rPr>
              <w:t>p&lt;0.0001</w:t>
            </w:r>
          </w:p>
        </w:tc>
      </w:tr>
      <w:tr w:rsidR="007253DB" w:rsidRPr="00B8307D" w14:paraId="72C711D3" w14:textId="77777777" w:rsidTr="0064695A">
        <w:tc>
          <w:tcPr>
            <w:tcW w:w="1816" w:type="pct"/>
            <w:tcBorders>
              <w:top w:val="single" w:sz="4" w:space="0" w:color="auto"/>
              <w:left w:val="single" w:sz="4" w:space="0" w:color="auto"/>
              <w:bottom w:val="single" w:sz="4" w:space="0" w:color="auto"/>
              <w:right w:val="single" w:sz="4" w:space="0" w:color="auto"/>
            </w:tcBorders>
          </w:tcPr>
          <w:p w14:paraId="5F9E0962" w14:textId="77777777" w:rsidR="007253DB" w:rsidRPr="00B8307D" w:rsidRDefault="007253DB" w:rsidP="000A067B">
            <w:pPr>
              <w:widowControl w:val="0"/>
              <w:rPr>
                <w:sz w:val="22"/>
                <w:szCs w:val="22"/>
                <w:lang w:val="sr-Latn-ME"/>
              </w:rPr>
            </w:pPr>
            <w:r w:rsidRPr="00B8307D">
              <w:rPr>
                <w:sz w:val="22"/>
                <w:szCs w:val="22"/>
                <w:lang w:val="sr-Latn-ME"/>
              </w:rPr>
              <w:t>Pojava udaljenih metastaza</w:t>
            </w:r>
          </w:p>
          <w:p w14:paraId="063C1C88" w14:textId="4EE8E893" w:rsidR="007253DB" w:rsidRPr="00B8307D" w:rsidRDefault="007253DB" w:rsidP="0064695A">
            <w:pPr>
              <w:widowControl w:val="0"/>
              <w:rPr>
                <w:sz w:val="22"/>
                <w:szCs w:val="22"/>
                <w:lang w:val="sr-Latn-ME"/>
              </w:rPr>
            </w:pPr>
            <w:r w:rsidRPr="00B8307D">
              <w:rPr>
                <w:sz w:val="22"/>
                <w:szCs w:val="22"/>
                <w:lang w:val="sr-Latn-ME"/>
              </w:rPr>
              <w:t>Broj pacijenata sa događajem (%)</w:t>
            </w:r>
          </w:p>
        </w:tc>
        <w:tc>
          <w:tcPr>
            <w:tcW w:w="957" w:type="pct"/>
            <w:tcBorders>
              <w:top w:val="single" w:sz="4" w:space="0" w:color="auto"/>
              <w:left w:val="single" w:sz="4" w:space="0" w:color="auto"/>
              <w:bottom w:val="single" w:sz="4" w:space="0" w:color="auto"/>
              <w:right w:val="single" w:sz="4" w:space="0" w:color="auto"/>
            </w:tcBorders>
          </w:tcPr>
          <w:p w14:paraId="0703870E" w14:textId="77777777" w:rsidR="007253DB" w:rsidRPr="00B8307D" w:rsidRDefault="007253DB" w:rsidP="000A067B">
            <w:pPr>
              <w:widowControl w:val="0"/>
              <w:tabs>
                <w:tab w:val="left" w:pos="284"/>
              </w:tabs>
              <w:jc w:val="center"/>
              <w:rPr>
                <w:sz w:val="22"/>
                <w:szCs w:val="22"/>
                <w:lang w:val="sr-Latn-ME"/>
              </w:rPr>
            </w:pPr>
            <w:r w:rsidRPr="00B8307D">
              <w:rPr>
                <w:sz w:val="22"/>
                <w:szCs w:val="22"/>
                <w:lang w:val="sr-Latn-ME"/>
              </w:rPr>
              <w:t>174</w:t>
            </w:r>
          </w:p>
        </w:tc>
        <w:tc>
          <w:tcPr>
            <w:tcW w:w="910" w:type="pct"/>
            <w:tcBorders>
              <w:top w:val="single" w:sz="4" w:space="0" w:color="auto"/>
              <w:left w:val="single" w:sz="4" w:space="0" w:color="auto"/>
              <w:bottom w:val="single" w:sz="4" w:space="0" w:color="auto"/>
              <w:right w:val="single" w:sz="4" w:space="0" w:color="auto"/>
            </w:tcBorders>
          </w:tcPr>
          <w:p w14:paraId="7917AB83" w14:textId="77777777" w:rsidR="007253DB" w:rsidRPr="00B8307D" w:rsidRDefault="007253DB" w:rsidP="000A067B">
            <w:pPr>
              <w:widowControl w:val="0"/>
              <w:tabs>
                <w:tab w:val="left" w:pos="284"/>
              </w:tabs>
              <w:jc w:val="center"/>
              <w:rPr>
                <w:sz w:val="22"/>
                <w:szCs w:val="22"/>
                <w:lang w:val="sr-Latn-ME"/>
              </w:rPr>
            </w:pPr>
            <w:r w:rsidRPr="00B8307D">
              <w:rPr>
                <w:sz w:val="22"/>
                <w:szCs w:val="22"/>
                <w:lang w:val="sr-Latn-ME"/>
              </w:rPr>
              <w:t>90</w:t>
            </w:r>
          </w:p>
        </w:tc>
        <w:tc>
          <w:tcPr>
            <w:tcW w:w="1316" w:type="pct"/>
            <w:tcBorders>
              <w:top w:val="single" w:sz="4" w:space="0" w:color="auto"/>
              <w:left w:val="single" w:sz="4" w:space="0" w:color="auto"/>
              <w:bottom w:val="single" w:sz="4" w:space="0" w:color="auto"/>
              <w:right w:val="single" w:sz="4" w:space="0" w:color="auto"/>
            </w:tcBorders>
          </w:tcPr>
          <w:p w14:paraId="70A5F325" w14:textId="77777777" w:rsidR="007253DB" w:rsidRPr="00B8307D" w:rsidRDefault="007253DB" w:rsidP="000A067B">
            <w:pPr>
              <w:widowControl w:val="0"/>
              <w:jc w:val="center"/>
              <w:rPr>
                <w:sz w:val="22"/>
                <w:szCs w:val="22"/>
                <w:lang w:val="sr-Latn-ME"/>
              </w:rPr>
            </w:pPr>
            <w:r w:rsidRPr="00B8307D">
              <w:rPr>
                <w:sz w:val="22"/>
                <w:szCs w:val="22"/>
                <w:lang w:val="sr-Latn-ME"/>
              </w:rPr>
              <w:t>0.47 (0.37, 0.60)</w:t>
            </w:r>
          </w:p>
          <w:p w14:paraId="296DC263" w14:textId="77777777" w:rsidR="007253DB" w:rsidRPr="00B8307D" w:rsidRDefault="007253DB" w:rsidP="000A067B">
            <w:pPr>
              <w:widowControl w:val="0"/>
              <w:tabs>
                <w:tab w:val="left" w:pos="284"/>
              </w:tabs>
              <w:jc w:val="center"/>
              <w:rPr>
                <w:sz w:val="22"/>
                <w:szCs w:val="22"/>
                <w:lang w:val="sr-Latn-ME"/>
              </w:rPr>
            </w:pPr>
            <w:r w:rsidRPr="00B8307D">
              <w:rPr>
                <w:sz w:val="22"/>
                <w:szCs w:val="22"/>
                <w:lang w:val="sr-Latn-ME"/>
              </w:rPr>
              <w:t>p&lt;0.0001</w:t>
            </w:r>
          </w:p>
        </w:tc>
      </w:tr>
      <w:tr w:rsidR="007253DB" w:rsidRPr="00B8307D" w14:paraId="1A5C5921" w14:textId="77777777" w:rsidTr="0064695A">
        <w:tc>
          <w:tcPr>
            <w:tcW w:w="1816" w:type="pct"/>
            <w:tcBorders>
              <w:top w:val="single" w:sz="4" w:space="0" w:color="auto"/>
              <w:left w:val="single" w:sz="4" w:space="0" w:color="auto"/>
              <w:bottom w:val="single" w:sz="4" w:space="0" w:color="auto"/>
              <w:right w:val="single" w:sz="4" w:space="0" w:color="auto"/>
            </w:tcBorders>
          </w:tcPr>
          <w:p w14:paraId="5CBF18C1" w14:textId="0940A066" w:rsidR="007253DB" w:rsidRPr="00B8307D" w:rsidRDefault="0064695A" w:rsidP="000A067B">
            <w:pPr>
              <w:widowControl w:val="0"/>
              <w:rPr>
                <w:sz w:val="22"/>
                <w:szCs w:val="22"/>
                <w:lang w:val="sr-Latn-ME"/>
              </w:rPr>
            </w:pPr>
            <w:r w:rsidRPr="00B8307D">
              <w:rPr>
                <w:sz w:val="22"/>
                <w:szCs w:val="22"/>
                <w:lang w:val="sr-Latn-ME"/>
              </w:rPr>
              <w:t>Smrt (događ</w:t>
            </w:r>
            <w:r w:rsidR="007253DB" w:rsidRPr="00B8307D">
              <w:rPr>
                <w:sz w:val="22"/>
                <w:szCs w:val="22"/>
                <w:lang w:val="sr-Latn-ME"/>
              </w:rPr>
              <w:t>aj ukupnog preživljavanja)</w:t>
            </w:r>
          </w:p>
          <w:p w14:paraId="7AFEEF94" w14:textId="2D49EC90" w:rsidR="007253DB" w:rsidRPr="00B8307D" w:rsidRDefault="007253DB" w:rsidP="0064695A">
            <w:pPr>
              <w:widowControl w:val="0"/>
              <w:rPr>
                <w:sz w:val="22"/>
                <w:szCs w:val="22"/>
                <w:lang w:val="sr-Latn-ME"/>
              </w:rPr>
            </w:pPr>
            <w:r w:rsidRPr="00B8307D">
              <w:rPr>
                <w:sz w:val="22"/>
                <w:szCs w:val="22"/>
                <w:lang w:val="sr-Latn-ME"/>
              </w:rPr>
              <w:t>Broj pacijenata sa događajem (%)</w:t>
            </w:r>
          </w:p>
        </w:tc>
        <w:tc>
          <w:tcPr>
            <w:tcW w:w="957" w:type="pct"/>
            <w:tcBorders>
              <w:top w:val="single" w:sz="4" w:space="0" w:color="auto"/>
              <w:left w:val="single" w:sz="4" w:space="0" w:color="auto"/>
              <w:bottom w:val="single" w:sz="4" w:space="0" w:color="auto"/>
              <w:right w:val="single" w:sz="4" w:space="0" w:color="auto"/>
            </w:tcBorders>
          </w:tcPr>
          <w:p w14:paraId="4694FAAD" w14:textId="77777777" w:rsidR="007253DB" w:rsidRPr="00B8307D" w:rsidRDefault="007253DB" w:rsidP="000A067B">
            <w:pPr>
              <w:widowControl w:val="0"/>
              <w:tabs>
                <w:tab w:val="left" w:pos="284"/>
              </w:tabs>
              <w:jc w:val="center"/>
              <w:rPr>
                <w:sz w:val="22"/>
                <w:szCs w:val="22"/>
                <w:lang w:val="sr-Latn-ME"/>
              </w:rPr>
            </w:pPr>
            <w:r w:rsidRPr="00B8307D">
              <w:rPr>
                <w:sz w:val="22"/>
                <w:szCs w:val="22"/>
                <w:lang w:val="sr-Latn-ME"/>
              </w:rPr>
              <w:t>92</w:t>
            </w:r>
          </w:p>
        </w:tc>
        <w:tc>
          <w:tcPr>
            <w:tcW w:w="910" w:type="pct"/>
            <w:tcBorders>
              <w:top w:val="single" w:sz="4" w:space="0" w:color="auto"/>
              <w:left w:val="single" w:sz="4" w:space="0" w:color="auto"/>
              <w:bottom w:val="single" w:sz="4" w:space="0" w:color="auto"/>
              <w:right w:val="single" w:sz="4" w:space="0" w:color="auto"/>
            </w:tcBorders>
          </w:tcPr>
          <w:p w14:paraId="253A1FFC" w14:textId="77777777" w:rsidR="007253DB" w:rsidRPr="00B8307D" w:rsidRDefault="007253DB" w:rsidP="000A067B">
            <w:pPr>
              <w:widowControl w:val="0"/>
              <w:tabs>
                <w:tab w:val="left" w:pos="284"/>
              </w:tabs>
              <w:jc w:val="center"/>
              <w:rPr>
                <w:sz w:val="22"/>
                <w:szCs w:val="22"/>
                <w:lang w:val="sr-Latn-ME"/>
              </w:rPr>
            </w:pPr>
            <w:r w:rsidRPr="00B8307D">
              <w:rPr>
                <w:sz w:val="22"/>
                <w:szCs w:val="22"/>
                <w:lang w:val="sr-Latn-ME"/>
              </w:rPr>
              <w:t>62</w:t>
            </w:r>
          </w:p>
        </w:tc>
        <w:tc>
          <w:tcPr>
            <w:tcW w:w="1316" w:type="pct"/>
            <w:tcBorders>
              <w:top w:val="single" w:sz="4" w:space="0" w:color="auto"/>
              <w:left w:val="single" w:sz="4" w:space="0" w:color="auto"/>
              <w:bottom w:val="single" w:sz="4" w:space="0" w:color="auto"/>
              <w:right w:val="single" w:sz="4" w:space="0" w:color="auto"/>
            </w:tcBorders>
          </w:tcPr>
          <w:p w14:paraId="41DC83F6" w14:textId="38ED1DE8" w:rsidR="007253DB" w:rsidRPr="00B8307D" w:rsidRDefault="007253DB" w:rsidP="000A067B">
            <w:pPr>
              <w:widowControl w:val="0"/>
              <w:jc w:val="center"/>
              <w:rPr>
                <w:sz w:val="22"/>
                <w:szCs w:val="22"/>
                <w:lang w:val="sr-Latn-ME"/>
              </w:rPr>
            </w:pPr>
            <w:r w:rsidRPr="00B8307D">
              <w:rPr>
                <w:sz w:val="22"/>
                <w:szCs w:val="22"/>
                <w:lang w:val="sr-Latn-ME"/>
              </w:rPr>
              <w:t>0.67 (0.48, 0.92)</w:t>
            </w:r>
          </w:p>
          <w:p w14:paraId="7BA1229F" w14:textId="77777777" w:rsidR="0064695A" w:rsidRPr="00B8307D" w:rsidRDefault="0064695A" w:rsidP="000A067B">
            <w:pPr>
              <w:widowControl w:val="0"/>
              <w:jc w:val="center"/>
              <w:rPr>
                <w:sz w:val="22"/>
                <w:szCs w:val="22"/>
                <w:lang w:val="sr-Latn-ME"/>
              </w:rPr>
            </w:pPr>
          </w:p>
          <w:p w14:paraId="43BF3B8D" w14:textId="77777777" w:rsidR="007253DB" w:rsidRPr="00B8307D" w:rsidRDefault="007253DB" w:rsidP="000A067B">
            <w:pPr>
              <w:widowControl w:val="0"/>
              <w:tabs>
                <w:tab w:val="left" w:pos="284"/>
              </w:tabs>
              <w:jc w:val="center"/>
              <w:rPr>
                <w:sz w:val="22"/>
                <w:szCs w:val="22"/>
                <w:lang w:val="sr-Latn-ME"/>
              </w:rPr>
            </w:pPr>
            <w:r w:rsidRPr="00B8307D">
              <w:rPr>
                <w:sz w:val="22"/>
                <w:szCs w:val="22"/>
                <w:lang w:val="sr-Latn-ME"/>
              </w:rPr>
              <w:t>p=0.014**</w:t>
            </w:r>
          </w:p>
        </w:tc>
      </w:tr>
    </w:tbl>
    <w:p w14:paraId="14D5B122" w14:textId="77777777" w:rsidR="007253DB" w:rsidRPr="00B8307D" w:rsidRDefault="007253DB" w:rsidP="000A067B">
      <w:pPr>
        <w:widowControl w:val="0"/>
        <w:jc w:val="both"/>
        <w:rPr>
          <w:sz w:val="20"/>
          <w:szCs w:val="20"/>
          <w:lang w:val="sr-Latn-ME"/>
        </w:rPr>
      </w:pPr>
      <w:r w:rsidRPr="00B8307D">
        <w:rPr>
          <w:sz w:val="20"/>
          <w:szCs w:val="20"/>
          <w:lang w:val="sr-Latn-ME"/>
        </w:rPr>
        <w:t>A: doksorubicin; C: ciklofosfamid; P: paklitaksel; H: trastuzumab</w:t>
      </w:r>
    </w:p>
    <w:p w14:paraId="64F924F7" w14:textId="77777777" w:rsidR="007253DB" w:rsidRPr="00B8307D" w:rsidRDefault="007253DB" w:rsidP="000A067B">
      <w:pPr>
        <w:widowControl w:val="0"/>
        <w:jc w:val="both"/>
        <w:rPr>
          <w:sz w:val="20"/>
          <w:szCs w:val="20"/>
          <w:lang w:val="sr-Latn-ME"/>
        </w:rPr>
      </w:pPr>
      <w:r w:rsidRPr="00B8307D">
        <w:rPr>
          <w:sz w:val="20"/>
          <w:szCs w:val="20"/>
          <w:vertAlign w:val="superscript"/>
          <w:lang w:val="sr-Latn-ME"/>
        </w:rPr>
        <w:t>*</w:t>
      </w:r>
      <w:r w:rsidRPr="00B8307D">
        <w:rPr>
          <w:sz w:val="20"/>
          <w:szCs w:val="20"/>
          <w:lang w:val="sr-Latn-ME"/>
        </w:rPr>
        <w:t xml:space="preserve"> Uz medijanu trajanja praćenja od 1,8 godina za pacijentkinje u grupi koja je primala AC→P hemoterapiju i 2,0 godine za pacijentkinje u grupi koja je primala AC→PH hemoterapiju</w:t>
      </w:r>
    </w:p>
    <w:p w14:paraId="450BF9BD" w14:textId="77777777" w:rsidR="007253DB" w:rsidRPr="00B8307D" w:rsidRDefault="007253DB" w:rsidP="000A067B">
      <w:pPr>
        <w:widowControl w:val="0"/>
        <w:jc w:val="both"/>
        <w:rPr>
          <w:sz w:val="20"/>
          <w:szCs w:val="20"/>
          <w:lang w:val="sr-Latn-ME"/>
        </w:rPr>
      </w:pPr>
      <w:r w:rsidRPr="00B8307D">
        <w:rPr>
          <w:sz w:val="20"/>
          <w:szCs w:val="20"/>
          <w:lang w:val="sr-Latn-ME"/>
        </w:rPr>
        <w:t>** p</w:t>
      </w:r>
      <w:r w:rsidRPr="00B8307D">
        <w:rPr>
          <w:sz w:val="20"/>
          <w:szCs w:val="20"/>
          <w:lang w:val="sr-Latn-ME"/>
        </w:rPr>
        <w:noBreakHyphen/>
        <w:t>vrijednost za ukupno preživljavanje nije nadmašila prethodno definisanu statističku graničnu vrijednost za poređenje AC→PH hemoterapije naspram AC→P hemoterapije</w:t>
      </w:r>
    </w:p>
    <w:p w14:paraId="7778919C" w14:textId="77777777" w:rsidR="007253DB" w:rsidRPr="00B8307D" w:rsidRDefault="007253DB" w:rsidP="000A067B">
      <w:pPr>
        <w:widowControl w:val="0"/>
        <w:jc w:val="both"/>
        <w:rPr>
          <w:sz w:val="20"/>
          <w:szCs w:val="20"/>
          <w:lang w:val="sr-Latn-ME"/>
        </w:rPr>
      </w:pPr>
    </w:p>
    <w:p w14:paraId="67771896" w14:textId="428A9E13" w:rsidR="007253DB" w:rsidRPr="00B8307D" w:rsidRDefault="007253DB" w:rsidP="000A067B">
      <w:pPr>
        <w:widowControl w:val="0"/>
        <w:jc w:val="both"/>
        <w:rPr>
          <w:sz w:val="22"/>
          <w:szCs w:val="22"/>
          <w:lang w:val="sr-Latn-ME"/>
        </w:rPr>
      </w:pPr>
      <w:r w:rsidRPr="00B8307D">
        <w:rPr>
          <w:sz w:val="22"/>
          <w:szCs w:val="22"/>
          <w:lang w:val="sr-Latn-ME"/>
        </w:rPr>
        <w:t>Za primarni cilj studije, preživljavanje bez bolesti, dodavanje lijeka Herceptin hemoterapiji sa paklitakselom rezultiralo je smanjenjem rizika od ponovne pojave bolesti za 52%. Odnos hazarda apsolutno je povoljan u smislu trogodišnjeg preživljavanja bez bolesti sa razlikom od 11.8% (87.2% naspram 75.4%) u korist grupe liječene AC</w:t>
      </w:r>
      <w:r w:rsidRPr="00B8307D">
        <w:rPr>
          <w:sz w:val="20"/>
          <w:szCs w:val="20"/>
          <w:lang w:val="sr-Latn-ME"/>
        </w:rPr>
        <w:t>→</w:t>
      </w:r>
      <w:r w:rsidRPr="00B8307D">
        <w:rPr>
          <w:sz w:val="22"/>
          <w:szCs w:val="22"/>
          <w:lang w:val="sr-Latn-ME"/>
        </w:rPr>
        <w:t>PH hemoterapijom (</w:t>
      </w:r>
      <w:r w:rsidR="0053424F" w:rsidRPr="00B8307D">
        <w:rPr>
          <w:sz w:val="22"/>
          <w:szCs w:val="22"/>
          <w:lang w:val="sr-Latn-ME"/>
        </w:rPr>
        <w:t xml:space="preserve">lijekom </w:t>
      </w:r>
      <w:r w:rsidRPr="00B8307D">
        <w:rPr>
          <w:sz w:val="22"/>
          <w:szCs w:val="22"/>
          <w:lang w:val="sr-Latn-ME"/>
        </w:rPr>
        <w:t>Herceptin).</w:t>
      </w:r>
    </w:p>
    <w:p w14:paraId="77FE4DD7" w14:textId="33E25352" w:rsidR="007253DB" w:rsidRPr="00B8307D" w:rsidRDefault="007253DB" w:rsidP="000A067B">
      <w:pPr>
        <w:widowControl w:val="0"/>
        <w:tabs>
          <w:tab w:val="left" w:pos="540"/>
          <w:tab w:val="left" w:pos="569"/>
        </w:tabs>
        <w:jc w:val="both"/>
        <w:rPr>
          <w:b/>
          <w:bCs/>
          <w:sz w:val="22"/>
          <w:szCs w:val="22"/>
          <w:lang w:val="sr-Latn-ME"/>
        </w:rPr>
      </w:pPr>
    </w:p>
    <w:p w14:paraId="1C623401" w14:textId="3FC3CEF7" w:rsidR="007253DB" w:rsidRPr="00B8307D" w:rsidRDefault="007253DB" w:rsidP="000A067B">
      <w:pPr>
        <w:widowControl w:val="0"/>
        <w:jc w:val="both"/>
        <w:rPr>
          <w:sz w:val="22"/>
          <w:szCs w:val="22"/>
          <w:lang w:val="sr-Latn-ME"/>
        </w:rPr>
      </w:pPr>
      <w:r w:rsidRPr="00B8307D">
        <w:rPr>
          <w:sz w:val="22"/>
          <w:szCs w:val="22"/>
          <w:lang w:val="sr-Latn-ME"/>
        </w:rPr>
        <w:t xml:space="preserve">U vrijeme ažuriranja bezbjedonosnih podataka nakon </w:t>
      </w:r>
      <w:r w:rsidR="0053424F" w:rsidRPr="00B8307D">
        <w:rPr>
          <w:sz w:val="22"/>
          <w:szCs w:val="22"/>
          <w:lang w:val="sr-Latn-ME"/>
        </w:rPr>
        <w:t>medijane</w:t>
      </w:r>
      <w:r w:rsidRPr="00B8307D">
        <w:rPr>
          <w:sz w:val="22"/>
          <w:szCs w:val="22"/>
          <w:lang w:val="sr-Latn-ME"/>
        </w:rPr>
        <w:t xml:space="preserve"> praćenja od 3.5 -3,8 godina, analiza preživljavanja bez progresije bolesti ponovo je potvrdila značajnu korist prikazanu u konačnoj analizi bez preživljavanja. Uprkos prelazu na liječenje Herceptinom u kontrolnoj grupi, dodavanje lijeka Herceptin hemoterapiji paklitakselom rezultiralo je smanjenjem rizika od ponovne pojave bolesti za 52%. Dodavanje Herceptina hemioterapiji paklitakselom rezultiralo je i smanjenjem rizika od smrti za 37%.</w:t>
      </w:r>
    </w:p>
    <w:p w14:paraId="60FE5FC4" w14:textId="77777777" w:rsidR="0023606E" w:rsidRPr="00B8307D" w:rsidRDefault="0023606E" w:rsidP="000A067B">
      <w:pPr>
        <w:widowControl w:val="0"/>
        <w:jc w:val="both"/>
        <w:rPr>
          <w:sz w:val="22"/>
          <w:szCs w:val="22"/>
          <w:lang w:val="sr-Latn-ME"/>
        </w:rPr>
      </w:pPr>
    </w:p>
    <w:p w14:paraId="7E71D793" w14:textId="77777777" w:rsidR="007253DB" w:rsidRPr="00B8307D" w:rsidRDefault="007253DB" w:rsidP="000A067B">
      <w:pPr>
        <w:widowControl w:val="0"/>
        <w:jc w:val="both"/>
        <w:rPr>
          <w:sz w:val="22"/>
          <w:szCs w:val="22"/>
          <w:lang w:val="sr-Latn-ME"/>
        </w:rPr>
      </w:pPr>
      <w:r w:rsidRPr="00B8307D">
        <w:rPr>
          <w:sz w:val="22"/>
          <w:szCs w:val="22"/>
          <w:lang w:val="sr-Latn-ME"/>
        </w:rPr>
        <w:t>Unaprijed planirana konačna analiza ukupnog preživljavanja iz zajedničke analize ispitivanja NSABP B-31 i NCCTG N9831 sprovedena je nakon 707 smrtnih slučajeva (medijana praćenja od 8,3 godine u grupi koja je primala AC→PH hemoterapiju). Liječenje AC→PH hemoterapijom dovelo je do statistički značajnog poboljšanja ukupnog preživljavanja u poređenju sa liječenjem AC→P hemoterapijom (stratifikovani odnos hazarda = 0,64; 95% CI [0,55, 0,74]; log-rang p-vrijednost &lt; 0,0001). Procijenjen stepen preživljavanja nakon 8 godina iznosila je 86,9% u grupi liječenoj AC→PH hemoterapijom te 79,4% u grupi koja je primala AC→P hemioterapiju, što ukazuje na apsolutnu korist od 7,4% (95% CI 4,9%, 10,0%).</w:t>
      </w:r>
    </w:p>
    <w:p w14:paraId="7068165A" w14:textId="77777777" w:rsidR="007253DB" w:rsidRPr="00B8307D" w:rsidRDefault="007253DB" w:rsidP="000A067B">
      <w:pPr>
        <w:widowControl w:val="0"/>
        <w:jc w:val="both"/>
        <w:rPr>
          <w:sz w:val="22"/>
          <w:szCs w:val="22"/>
          <w:lang w:val="sr-Latn-ME"/>
        </w:rPr>
      </w:pPr>
    </w:p>
    <w:p w14:paraId="642E6B29" w14:textId="77777777" w:rsidR="007253DB" w:rsidRPr="00B8307D" w:rsidRDefault="007253DB" w:rsidP="000A067B">
      <w:pPr>
        <w:widowControl w:val="0"/>
        <w:jc w:val="both"/>
        <w:rPr>
          <w:sz w:val="22"/>
          <w:szCs w:val="22"/>
          <w:lang w:val="sr-Latn-ME"/>
        </w:rPr>
      </w:pPr>
      <w:r w:rsidRPr="00B8307D">
        <w:rPr>
          <w:sz w:val="22"/>
          <w:szCs w:val="22"/>
          <w:lang w:val="sr-Latn-ME"/>
        </w:rPr>
        <w:t>Konačni rezultati ukupnog preživljavanja iz zajedničke analize ispitivanja NSABP B-31 i NCCTG N9831 sažeto su prikazani u Tabeli 7 u nastavku:</w:t>
      </w:r>
    </w:p>
    <w:p w14:paraId="63D1F675" w14:textId="77777777" w:rsidR="007253DB" w:rsidRPr="00B8307D" w:rsidRDefault="007253DB" w:rsidP="000A067B">
      <w:pPr>
        <w:widowControl w:val="0"/>
        <w:jc w:val="both"/>
        <w:rPr>
          <w:sz w:val="22"/>
          <w:szCs w:val="22"/>
          <w:lang w:val="sr-Latn-ME"/>
        </w:rPr>
      </w:pPr>
    </w:p>
    <w:p w14:paraId="08E8DC4B" w14:textId="77777777" w:rsidR="007253DB" w:rsidRPr="00B8307D" w:rsidRDefault="007253DB" w:rsidP="000A067B">
      <w:pPr>
        <w:widowControl w:val="0"/>
        <w:jc w:val="both"/>
        <w:outlineLvl w:val="6"/>
        <w:rPr>
          <w:sz w:val="22"/>
          <w:szCs w:val="22"/>
          <w:lang w:val="sr-Latn-ME"/>
        </w:rPr>
      </w:pPr>
      <w:r w:rsidRPr="00B8307D">
        <w:rPr>
          <w:sz w:val="22"/>
          <w:szCs w:val="22"/>
          <w:lang w:val="sr-Latn-ME"/>
        </w:rPr>
        <w:t xml:space="preserve">Tabela 7. Konačna analiza ukupnog preživljavanja iz grupne analize ispitivanja NSABP B-31 i NCCTG N9831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8" w:type="dxa"/>
          <w:right w:w="68" w:type="dxa"/>
        </w:tblCellMar>
        <w:tblLook w:val="04A0" w:firstRow="1" w:lastRow="0" w:firstColumn="1" w:lastColumn="0" w:noHBand="0" w:noVBand="1"/>
      </w:tblPr>
      <w:tblGrid>
        <w:gridCol w:w="3256"/>
        <w:gridCol w:w="1275"/>
        <w:gridCol w:w="1404"/>
        <w:gridCol w:w="1537"/>
        <w:gridCol w:w="1603"/>
      </w:tblGrid>
      <w:tr w:rsidR="007253DB" w:rsidRPr="00B8307D" w14:paraId="6F1610DD" w14:textId="77777777" w:rsidTr="00DE3522">
        <w:tc>
          <w:tcPr>
            <w:tcW w:w="3256" w:type="dxa"/>
            <w:tcBorders>
              <w:top w:val="single" w:sz="4" w:space="0" w:color="auto"/>
              <w:left w:val="single" w:sz="4" w:space="0" w:color="auto"/>
              <w:bottom w:val="single" w:sz="4" w:space="0" w:color="auto"/>
              <w:right w:val="single" w:sz="4" w:space="0" w:color="auto"/>
            </w:tcBorders>
          </w:tcPr>
          <w:p w14:paraId="067F1D34" w14:textId="22C7CB91" w:rsidR="007253DB" w:rsidRPr="00B8307D" w:rsidRDefault="007253DB" w:rsidP="000A067B">
            <w:pPr>
              <w:widowControl w:val="0"/>
              <w:rPr>
                <w:sz w:val="22"/>
                <w:szCs w:val="22"/>
                <w:lang w:val="sr-Latn-ME"/>
              </w:rPr>
            </w:pPr>
            <w:r w:rsidRPr="00B8307D">
              <w:rPr>
                <w:sz w:val="22"/>
                <w:szCs w:val="22"/>
                <w:lang w:val="sr-Latn-ME"/>
              </w:rPr>
              <w:t>Parametar</w:t>
            </w:r>
          </w:p>
        </w:tc>
        <w:tc>
          <w:tcPr>
            <w:tcW w:w="1275" w:type="dxa"/>
            <w:tcBorders>
              <w:top w:val="single" w:sz="4" w:space="0" w:color="auto"/>
              <w:left w:val="single" w:sz="4" w:space="0" w:color="auto"/>
              <w:bottom w:val="single" w:sz="4" w:space="0" w:color="auto"/>
              <w:right w:val="single" w:sz="4" w:space="0" w:color="auto"/>
            </w:tcBorders>
          </w:tcPr>
          <w:p w14:paraId="558FFC20" w14:textId="77777777" w:rsidR="007253DB" w:rsidRPr="00B8307D" w:rsidRDefault="007253DB" w:rsidP="000A067B">
            <w:pPr>
              <w:widowControl w:val="0"/>
              <w:jc w:val="center"/>
              <w:rPr>
                <w:sz w:val="22"/>
                <w:szCs w:val="22"/>
                <w:lang w:val="sr-Latn-ME"/>
              </w:rPr>
            </w:pPr>
            <w:r w:rsidRPr="00B8307D">
              <w:rPr>
                <w:sz w:val="22"/>
                <w:szCs w:val="22"/>
                <w:lang w:val="sr-Latn-ME"/>
              </w:rPr>
              <w:t>AC→P</w:t>
            </w:r>
          </w:p>
          <w:p w14:paraId="0FC84639" w14:textId="77777777" w:rsidR="007253DB" w:rsidRPr="00B8307D" w:rsidRDefault="007253DB" w:rsidP="000A067B">
            <w:pPr>
              <w:widowControl w:val="0"/>
              <w:jc w:val="center"/>
              <w:rPr>
                <w:sz w:val="22"/>
                <w:szCs w:val="22"/>
                <w:lang w:val="sr-Latn-ME"/>
              </w:rPr>
            </w:pPr>
            <w:r w:rsidRPr="00B8307D">
              <w:rPr>
                <w:sz w:val="22"/>
                <w:szCs w:val="22"/>
                <w:lang w:val="sr-Latn-ME"/>
              </w:rPr>
              <w:t>(N=2032)</w:t>
            </w:r>
          </w:p>
        </w:tc>
        <w:tc>
          <w:tcPr>
            <w:tcW w:w="1404" w:type="dxa"/>
            <w:tcBorders>
              <w:top w:val="single" w:sz="4" w:space="0" w:color="auto"/>
              <w:left w:val="single" w:sz="4" w:space="0" w:color="auto"/>
              <w:bottom w:val="single" w:sz="4" w:space="0" w:color="auto"/>
              <w:right w:val="single" w:sz="4" w:space="0" w:color="auto"/>
            </w:tcBorders>
          </w:tcPr>
          <w:p w14:paraId="113AB015" w14:textId="77777777" w:rsidR="007253DB" w:rsidRPr="00B8307D" w:rsidRDefault="007253DB" w:rsidP="000A067B">
            <w:pPr>
              <w:widowControl w:val="0"/>
              <w:jc w:val="center"/>
              <w:rPr>
                <w:sz w:val="22"/>
                <w:szCs w:val="22"/>
                <w:lang w:val="sr-Latn-ME"/>
              </w:rPr>
            </w:pPr>
            <w:r w:rsidRPr="00B8307D">
              <w:rPr>
                <w:sz w:val="22"/>
                <w:szCs w:val="22"/>
                <w:lang w:val="sr-Latn-ME"/>
              </w:rPr>
              <w:t>AC→PH</w:t>
            </w:r>
          </w:p>
          <w:p w14:paraId="1381D206" w14:textId="77777777" w:rsidR="007253DB" w:rsidRPr="00B8307D" w:rsidRDefault="007253DB" w:rsidP="000A067B">
            <w:pPr>
              <w:widowControl w:val="0"/>
              <w:jc w:val="center"/>
              <w:rPr>
                <w:sz w:val="22"/>
                <w:szCs w:val="22"/>
                <w:lang w:val="sr-Latn-ME"/>
              </w:rPr>
            </w:pPr>
            <w:r w:rsidRPr="00B8307D">
              <w:rPr>
                <w:sz w:val="22"/>
                <w:szCs w:val="22"/>
                <w:lang w:val="sr-Latn-ME"/>
              </w:rPr>
              <w:t>(N=2031)</w:t>
            </w:r>
          </w:p>
        </w:tc>
        <w:tc>
          <w:tcPr>
            <w:tcW w:w="1537" w:type="dxa"/>
            <w:tcBorders>
              <w:top w:val="single" w:sz="4" w:space="0" w:color="auto"/>
              <w:left w:val="single" w:sz="4" w:space="0" w:color="auto"/>
              <w:bottom w:val="single" w:sz="4" w:space="0" w:color="auto"/>
              <w:right w:val="single" w:sz="4" w:space="0" w:color="auto"/>
            </w:tcBorders>
          </w:tcPr>
          <w:p w14:paraId="4D149B10" w14:textId="0DFE93ED" w:rsidR="007253DB" w:rsidRPr="00B8307D" w:rsidRDefault="007253DB" w:rsidP="00DE3522">
            <w:pPr>
              <w:widowControl w:val="0"/>
              <w:jc w:val="center"/>
              <w:rPr>
                <w:sz w:val="22"/>
                <w:szCs w:val="22"/>
                <w:lang w:val="sr-Latn-ME"/>
              </w:rPr>
            </w:pPr>
            <w:r w:rsidRPr="00B8307D">
              <w:rPr>
                <w:sz w:val="22"/>
                <w:szCs w:val="22"/>
                <w:lang w:val="sr-Latn-ME"/>
              </w:rPr>
              <w:t>p-vrijednost naspram AC→P</w:t>
            </w:r>
          </w:p>
        </w:tc>
        <w:tc>
          <w:tcPr>
            <w:tcW w:w="1603" w:type="dxa"/>
            <w:tcBorders>
              <w:top w:val="single" w:sz="4" w:space="0" w:color="auto"/>
              <w:left w:val="single" w:sz="4" w:space="0" w:color="auto"/>
              <w:bottom w:val="single" w:sz="4" w:space="0" w:color="auto"/>
              <w:right w:val="single" w:sz="4" w:space="0" w:color="auto"/>
            </w:tcBorders>
          </w:tcPr>
          <w:p w14:paraId="2A8D8942" w14:textId="77777777" w:rsidR="007253DB" w:rsidRPr="00B8307D" w:rsidRDefault="007253DB" w:rsidP="000A067B">
            <w:pPr>
              <w:widowControl w:val="0"/>
              <w:jc w:val="center"/>
              <w:rPr>
                <w:sz w:val="22"/>
                <w:szCs w:val="22"/>
                <w:lang w:val="sr-Latn-ME"/>
              </w:rPr>
            </w:pPr>
            <w:r w:rsidRPr="00B8307D">
              <w:rPr>
                <w:sz w:val="22"/>
                <w:szCs w:val="22"/>
                <w:lang w:val="sr-Latn-ME"/>
              </w:rPr>
              <w:t>Odnos hazarda naspram AC→P</w:t>
            </w:r>
          </w:p>
          <w:p w14:paraId="12D777A8" w14:textId="77777777" w:rsidR="007253DB" w:rsidRPr="00B8307D" w:rsidRDefault="007253DB" w:rsidP="000A067B">
            <w:pPr>
              <w:widowControl w:val="0"/>
              <w:jc w:val="center"/>
              <w:rPr>
                <w:sz w:val="22"/>
                <w:szCs w:val="22"/>
                <w:lang w:val="sr-Latn-ME"/>
              </w:rPr>
            </w:pPr>
            <w:r w:rsidRPr="00B8307D">
              <w:rPr>
                <w:sz w:val="22"/>
                <w:szCs w:val="22"/>
                <w:lang w:val="sr-Latn-ME"/>
              </w:rPr>
              <w:t>(95% CI)</w:t>
            </w:r>
          </w:p>
        </w:tc>
      </w:tr>
      <w:tr w:rsidR="007253DB" w:rsidRPr="00B8307D" w14:paraId="49155172" w14:textId="77777777" w:rsidTr="00DE3522">
        <w:tc>
          <w:tcPr>
            <w:tcW w:w="3256" w:type="dxa"/>
            <w:tcBorders>
              <w:top w:val="single" w:sz="4" w:space="0" w:color="auto"/>
              <w:left w:val="single" w:sz="4" w:space="0" w:color="auto"/>
              <w:bottom w:val="single" w:sz="4" w:space="0" w:color="auto"/>
              <w:right w:val="single" w:sz="4" w:space="0" w:color="auto"/>
            </w:tcBorders>
          </w:tcPr>
          <w:p w14:paraId="3C91EE43" w14:textId="77777777" w:rsidR="007253DB" w:rsidRPr="00B8307D" w:rsidRDefault="007253DB" w:rsidP="000A067B">
            <w:pPr>
              <w:widowControl w:val="0"/>
              <w:rPr>
                <w:sz w:val="22"/>
                <w:szCs w:val="22"/>
                <w:lang w:val="sr-Latn-ME"/>
              </w:rPr>
            </w:pPr>
            <w:r w:rsidRPr="00B8307D">
              <w:rPr>
                <w:sz w:val="22"/>
                <w:szCs w:val="22"/>
                <w:lang w:val="sr-Latn-ME"/>
              </w:rPr>
              <w:t>Smrt (događaj ukupnog preživljenja):</w:t>
            </w:r>
          </w:p>
          <w:p w14:paraId="456E6378" w14:textId="77777777" w:rsidR="007253DB" w:rsidRPr="00B8307D" w:rsidRDefault="007253DB" w:rsidP="000A067B">
            <w:pPr>
              <w:widowControl w:val="0"/>
              <w:rPr>
                <w:sz w:val="22"/>
                <w:szCs w:val="22"/>
                <w:lang w:val="sr-Latn-ME"/>
              </w:rPr>
            </w:pPr>
            <w:r w:rsidRPr="00B8307D">
              <w:rPr>
                <w:sz w:val="22"/>
                <w:szCs w:val="22"/>
                <w:lang w:val="sr-Latn-ME"/>
              </w:rPr>
              <w:t>broj pacijentkinja s događajem (%)</w:t>
            </w:r>
          </w:p>
        </w:tc>
        <w:tc>
          <w:tcPr>
            <w:tcW w:w="1275" w:type="dxa"/>
            <w:tcBorders>
              <w:top w:val="single" w:sz="4" w:space="0" w:color="auto"/>
              <w:left w:val="single" w:sz="4" w:space="0" w:color="auto"/>
              <w:bottom w:val="single" w:sz="4" w:space="0" w:color="auto"/>
              <w:right w:val="single" w:sz="4" w:space="0" w:color="auto"/>
            </w:tcBorders>
          </w:tcPr>
          <w:p w14:paraId="6A7A9B6E" w14:textId="77777777" w:rsidR="007253DB" w:rsidRPr="00B8307D" w:rsidRDefault="007253DB" w:rsidP="000A067B">
            <w:pPr>
              <w:widowControl w:val="0"/>
              <w:jc w:val="center"/>
              <w:rPr>
                <w:sz w:val="22"/>
                <w:szCs w:val="22"/>
                <w:lang w:val="sr-Latn-ME"/>
              </w:rPr>
            </w:pPr>
            <w:r w:rsidRPr="00B8307D">
              <w:rPr>
                <w:sz w:val="22"/>
                <w:szCs w:val="22"/>
                <w:lang w:val="sr-Latn-ME"/>
              </w:rPr>
              <w:t>418 (20,6%)</w:t>
            </w:r>
          </w:p>
        </w:tc>
        <w:tc>
          <w:tcPr>
            <w:tcW w:w="1404" w:type="dxa"/>
            <w:tcBorders>
              <w:top w:val="single" w:sz="4" w:space="0" w:color="auto"/>
              <w:left w:val="single" w:sz="4" w:space="0" w:color="auto"/>
              <w:bottom w:val="single" w:sz="4" w:space="0" w:color="auto"/>
              <w:right w:val="single" w:sz="4" w:space="0" w:color="auto"/>
            </w:tcBorders>
          </w:tcPr>
          <w:p w14:paraId="185CC203" w14:textId="77777777" w:rsidR="007253DB" w:rsidRPr="00B8307D" w:rsidRDefault="007253DB" w:rsidP="000A067B">
            <w:pPr>
              <w:widowControl w:val="0"/>
              <w:jc w:val="center"/>
              <w:rPr>
                <w:sz w:val="22"/>
                <w:szCs w:val="22"/>
                <w:lang w:val="sr-Latn-ME"/>
              </w:rPr>
            </w:pPr>
            <w:r w:rsidRPr="00B8307D">
              <w:rPr>
                <w:sz w:val="22"/>
                <w:szCs w:val="22"/>
                <w:lang w:val="sr-Latn-ME"/>
              </w:rPr>
              <w:t>289 (14,2%)</w:t>
            </w:r>
          </w:p>
        </w:tc>
        <w:tc>
          <w:tcPr>
            <w:tcW w:w="1537" w:type="dxa"/>
            <w:tcBorders>
              <w:top w:val="single" w:sz="4" w:space="0" w:color="auto"/>
              <w:left w:val="single" w:sz="4" w:space="0" w:color="auto"/>
              <w:bottom w:val="single" w:sz="4" w:space="0" w:color="auto"/>
              <w:right w:val="single" w:sz="4" w:space="0" w:color="auto"/>
            </w:tcBorders>
          </w:tcPr>
          <w:p w14:paraId="3CD529C3" w14:textId="77777777" w:rsidR="007253DB" w:rsidRPr="00B8307D" w:rsidRDefault="007253DB" w:rsidP="000A067B">
            <w:pPr>
              <w:widowControl w:val="0"/>
              <w:jc w:val="center"/>
              <w:rPr>
                <w:sz w:val="22"/>
                <w:szCs w:val="22"/>
                <w:lang w:val="sr-Latn-ME"/>
              </w:rPr>
            </w:pPr>
            <w:r w:rsidRPr="00B8307D">
              <w:rPr>
                <w:sz w:val="22"/>
                <w:szCs w:val="22"/>
                <w:lang w:val="sr-Latn-ME"/>
              </w:rPr>
              <w:t>&lt; 0,0001</w:t>
            </w:r>
          </w:p>
        </w:tc>
        <w:tc>
          <w:tcPr>
            <w:tcW w:w="1603" w:type="dxa"/>
            <w:tcBorders>
              <w:top w:val="single" w:sz="4" w:space="0" w:color="auto"/>
              <w:left w:val="single" w:sz="4" w:space="0" w:color="auto"/>
              <w:bottom w:val="single" w:sz="4" w:space="0" w:color="auto"/>
              <w:right w:val="single" w:sz="4" w:space="0" w:color="auto"/>
            </w:tcBorders>
          </w:tcPr>
          <w:p w14:paraId="70D1EA7C" w14:textId="77777777" w:rsidR="007253DB" w:rsidRPr="00B8307D" w:rsidRDefault="007253DB" w:rsidP="000A067B">
            <w:pPr>
              <w:widowControl w:val="0"/>
              <w:jc w:val="center"/>
              <w:rPr>
                <w:sz w:val="22"/>
                <w:szCs w:val="22"/>
                <w:lang w:val="sr-Latn-ME"/>
              </w:rPr>
            </w:pPr>
            <w:r w:rsidRPr="00B8307D">
              <w:rPr>
                <w:sz w:val="22"/>
                <w:szCs w:val="22"/>
                <w:lang w:val="sr-Latn-ME"/>
              </w:rPr>
              <w:t>0,64</w:t>
            </w:r>
          </w:p>
          <w:p w14:paraId="401D8F75" w14:textId="77777777" w:rsidR="007253DB" w:rsidRPr="00B8307D" w:rsidRDefault="007253DB" w:rsidP="000A067B">
            <w:pPr>
              <w:widowControl w:val="0"/>
              <w:jc w:val="center"/>
              <w:rPr>
                <w:sz w:val="22"/>
                <w:szCs w:val="22"/>
                <w:lang w:val="sr-Latn-ME"/>
              </w:rPr>
            </w:pPr>
            <w:r w:rsidRPr="00B8307D">
              <w:rPr>
                <w:sz w:val="22"/>
                <w:szCs w:val="22"/>
                <w:lang w:val="sr-Latn-ME"/>
              </w:rPr>
              <w:t>(0,55; 0,74)</w:t>
            </w:r>
          </w:p>
        </w:tc>
      </w:tr>
    </w:tbl>
    <w:p w14:paraId="3F85784D" w14:textId="77777777" w:rsidR="007253DB" w:rsidRPr="00B8307D" w:rsidRDefault="007253DB" w:rsidP="000A067B">
      <w:pPr>
        <w:widowControl w:val="0"/>
        <w:jc w:val="both"/>
        <w:rPr>
          <w:sz w:val="20"/>
          <w:szCs w:val="22"/>
          <w:lang w:val="sr-Latn-ME"/>
        </w:rPr>
      </w:pPr>
      <w:r w:rsidRPr="00B8307D">
        <w:rPr>
          <w:sz w:val="20"/>
          <w:szCs w:val="22"/>
          <w:lang w:val="sr-Latn-ME"/>
        </w:rPr>
        <w:t>A: doksorubicin; C: ciklofosfamid; P: paklitaksel; H: trastuzumab</w:t>
      </w:r>
    </w:p>
    <w:p w14:paraId="7E65003B" w14:textId="77777777" w:rsidR="007253DB" w:rsidRPr="00B8307D" w:rsidRDefault="007253DB" w:rsidP="000A067B">
      <w:pPr>
        <w:widowControl w:val="0"/>
        <w:jc w:val="both"/>
        <w:rPr>
          <w:sz w:val="22"/>
          <w:szCs w:val="22"/>
          <w:lang w:val="sr-Latn-ME"/>
        </w:rPr>
      </w:pPr>
    </w:p>
    <w:p w14:paraId="03C6C49C" w14:textId="4499857C" w:rsidR="007253DB" w:rsidRPr="00B8307D" w:rsidRDefault="007253DB" w:rsidP="000A067B">
      <w:pPr>
        <w:widowControl w:val="0"/>
        <w:jc w:val="both"/>
        <w:outlineLvl w:val="0"/>
        <w:rPr>
          <w:sz w:val="22"/>
          <w:szCs w:val="22"/>
          <w:lang w:val="sr-Latn-ME"/>
        </w:rPr>
      </w:pPr>
      <w:r w:rsidRPr="00B8307D">
        <w:rPr>
          <w:sz w:val="22"/>
          <w:szCs w:val="22"/>
          <w:lang w:val="sr-Latn-ME"/>
        </w:rPr>
        <w:t xml:space="preserve">Analiza preživljavanja bez bolesti je takođe sprovedena prilikom konačne analize ukupnog preživljavanja iz zajedničke analize ispitivanja NSABP B-31 i NCCTG N9831. Nadopunjeni rezultati analize preživljavanja bez bolesti (stratifikovani odnos hazarda = 0,61; 95% CI [0,54; 0,69]) pokazuju sličnu korist za preživljavanje bez bolesti kao i konačna primarna analiza preživljavanja bez bolesti, </w:t>
      </w:r>
      <w:r w:rsidRPr="00B8307D">
        <w:rPr>
          <w:sz w:val="22"/>
          <w:szCs w:val="22"/>
          <w:lang w:val="sr-Latn-ME"/>
        </w:rPr>
        <w:lastRenderedPageBreak/>
        <w:t xml:space="preserve">uprkos prelazu 24,8% pacijenata iz grupe liječene AC→P hemoterapijom u grupu koja je primala </w:t>
      </w:r>
      <w:r w:rsidR="0053424F" w:rsidRPr="00B8307D">
        <w:rPr>
          <w:sz w:val="22"/>
          <w:szCs w:val="22"/>
          <w:lang w:val="sr-Latn-ME"/>
        </w:rPr>
        <w:t xml:space="preserve">lijek </w:t>
      </w:r>
      <w:r w:rsidRPr="00B8307D">
        <w:rPr>
          <w:sz w:val="22"/>
          <w:szCs w:val="22"/>
          <w:lang w:val="sr-Latn-ME"/>
        </w:rPr>
        <w:t>Herceptin. Nakon 8 godina, procijenjen stepen preživljavanja bez bolesti iznosio je 77,2% (95% CI: 75,4; 79,1) u grupi liječenoj AC→PH hemoterapijom, što ukazuje na apsolutnu korist od 11,8% u poređenju sa liječenjem AC→P hemoterapijom.</w:t>
      </w:r>
    </w:p>
    <w:p w14:paraId="7B713ACF" w14:textId="77777777" w:rsidR="007253DB" w:rsidRPr="00B8307D" w:rsidRDefault="007253DB" w:rsidP="000A067B">
      <w:pPr>
        <w:widowControl w:val="0"/>
        <w:jc w:val="both"/>
        <w:rPr>
          <w:sz w:val="22"/>
          <w:szCs w:val="22"/>
          <w:lang w:val="sr-Latn-ME"/>
        </w:rPr>
      </w:pPr>
    </w:p>
    <w:p w14:paraId="41EA027F" w14:textId="4A7B3B27" w:rsidR="007253DB" w:rsidRPr="00B8307D" w:rsidRDefault="007253DB" w:rsidP="000A067B">
      <w:pPr>
        <w:widowControl w:val="0"/>
        <w:jc w:val="both"/>
        <w:rPr>
          <w:sz w:val="22"/>
          <w:szCs w:val="22"/>
          <w:lang w:val="sr-Latn-ME"/>
        </w:rPr>
      </w:pPr>
      <w:r w:rsidRPr="00B8307D">
        <w:rPr>
          <w:sz w:val="22"/>
          <w:szCs w:val="22"/>
          <w:lang w:val="sr-Latn-ME"/>
        </w:rPr>
        <w:t xml:space="preserve">U studiji BCIRG 006 </w:t>
      </w:r>
      <w:r w:rsidR="0053424F" w:rsidRPr="00B8307D">
        <w:rPr>
          <w:sz w:val="22"/>
          <w:szCs w:val="22"/>
          <w:lang w:val="sr-Latn-ME"/>
        </w:rPr>
        <w:t xml:space="preserve">lijek </w:t>
      </w:r>
      <w:r w:rsidRPr="00B8307D">
        <w:rPr>
          <w:sz w:val="22"/>
          <w:szCs w:val="22"/>
          <w:lang w:val="sr-Latn-ME"/>
        </w:rPr>
        <w:t>Herceptin je primjenjivan u kombinaciji sa docetakselom, nakon AC hemioterapije (AC</w:t>
      </w:r>
      <w:r w:rsidRPr="00B8307D">
        <w:rPr>
          <w:sz w:val="20"/>
          <w:szCs w:val="20"/>
          <w:lang w:val="sr-Latn-ME"/>
        </w:rPr>
        <w:t>→</w:t>
      </w:r>
      <w:r w:rsidRPr="00B8307D">
        <w:rPr>
          <w:sz w:val="22"/>
          <w:szCs w:val="22"/>
          <w:lang w:val="sr-Latn-ME"/>
        </w:rPr>
        <w:t>DH) ili u kombinaciji sa docetakselom i karboplatinom (DCarbH).</w:t>
      </w:r>
    </w:p>
    <w:p w14:paraId="496EA02C" w14:textId="77777777" w:rsidR="007253DB" w:rsidRPr="00B8307D" w:rsidRDefault="007253DB" w:rsidP="000A067B">
      <w:pPr>
        <w:widowControl w:val="0"/>
        <w:jc w:val="both"/>
        <w:rPr>
          <w:sz w:val="22"/>
          <w:szCs w:val="22"/>
          <w:lang w:val="sr-Latn-ME"/>
        </w:rPr>
      </w:pPr>
    </w:p>
    <w:p w14:paraId="34039040" w14:textId="77777777" w:rsidR="007253DB" w:rsidRPr="00B8307D" w:rsidRDefault="007253DB" w:rsidP="000A067B">
      <w:pPr>
        <w:widowControl w:val="0"/>
        <w:jc w:val="both"/>
        <w:rPr>
          <w:sz w:val="22"/>
          <w:szCs w:val="22"/>
          <w:lang w:val="sr-Latn-ME"/>
        </w:rPr>
      </w:pPr>
      <w:r w:rsidRPr="00B8307D">
        <w:rPr>
          <w:sz w:val="22"/>
          <w:szCs w:val="22"/>
          <w:lang w:val="sr-Latn-ME"/>
        </w:rPr>
        <w:t>Docetaksel je primjenjivan na sljedeći način:</w:t>
      </w:r>
    </w:p>
    <w:p w14:paraId="07C1C00B" w14:textId="55E7BC1C" w:rsidR="007253DB" w:rsidRPr="00B8307D" w:rsidRDefault="007253DB" w:rsidP="000A067B">
      <w:pPr>
        <w:widowControl w:val="0"/>
        <w:numPr>
          <w:ilvl w:val="0"/>
          <w:numId w:val="20"/>
        </w:numPr>
        <w:tabs>
          <w:tab w:val="left" w:pos="284"/>
        </w:tabs>
        <w:jc w:val="both"/>
        <w:rPr>
          <w:sz w:val="22"/>
          <w:szCs w:val="22"/>
          <w:lang w:val="sr-Latn-ME"/>
        </w:rPr>
      </w:pPr>
      <w:r w:rsidRPr="00B8307D">
        <w:rPr>
          <w:sz w:val="22"/>
          <w:szCs w:val="22"/>
          <w:lang w:val="sr-Latn-ME"/>
        </w:rPr>
        <w:t xml:space="preserve">intravenski docetaksel </w:t>
      </w:r>
      <w:r w:rsidR="0053424F" w:rsidRPr="00B8307D">
        <w:rPr>
          <w:sz w:val="22"/>
          <w:szCs w:val="22"/>
          <w:lang w:val="sr-Latn-ME"/>
        </w:rPr>
        <w:t>–</w:t>
      </w:r>
      <w:r w:rsidRPr="00B8307D">
        <w:rPr>
          <w:sz w:val="22"/>
          <w:szCs w:val="22"/>
          <w:lang w:val="sr-Latn-ME"/>
        </w:rPr>
        <w:t xml:space="preserve"> 100</w:t>
      </w:r>
      <w:r w:rsidR="0053424F" w:rsidRPr="00B8307D">
        <w:rPr>
          <w:sz w:val="22"/>
          <w:szCs w:val="22"/>
          <w:lang w:val="sr-Latn-ME"/>
        </w:rPr>
        <w:t xml:space="preserve"> </w:t>
      </w:r>
      <w:r w:rsidRPr="00B8307D">
        <w:rPr>
          <w:sz w:val="22"/>
          <w:szCs w:val="22"/>
          <w:lang w:val="sr-Latn-ME"/>
        </w:rPr>
        <w:t>mg/m</w:t>
      </w:r>
      <w:r w:rsidRPr="00B8307D">
        <w:rPr>
          <w:sz w:val="22"/>
          <w:szCs w:val="22"/>
          <w:vertAlign w:val="superscript"/>
          <w:lang w:val="sr-Latn-ME"/>
        </w:rPr>
        <w:t xml:space="preserve">2 </w:t>
      </w:r>
      <w:r w:rsidRPr="00B8307D">
        <w:rPr>
          <w:sz w:val="22"/>
          <w:szCs w:val="22"/>
          <w:lang w:val="sr-Latn-ME"/>
        </w:rPr>
        <w:t xml:space="preserve">kao intravenska infuzija tokom 1 časa, svake 3 nedjelje tokom 4 ciklusa (2. dan prvog ciklusa docetaksela, nakon toga 1.dan svakog sljedećeg ciklusa) </w:t>
      </w:r>
    </w:p>
    <w:p w14:paraId="43BCB630" w14:textId="77777777" w:rsidR="007253DB" w:rsidRPr="00B8307D" w:rsidRDefault="007253DB" w:rsidP="000A067B">
      <w:pPr>
        <w:widowControl w:val="0"/>
        <w:tabs>
          <w:tab w:val="left" w:pos="284"/>
        </w:tabs>
        <w:ind w:left="360"/>
        <w:jc w:val="both"/>
        <w:rPr>
          <w:sz w:val="22"/>
          <w:szCs w:val="22"/>
          <w:lang w:val="sr-Latn-ME"/>
        </w:rPr>
      </w:pPr>
      <w:r w:rsidRPr="00B8307D">
        <w:rPr>
          <w:sz w:val="22"/>
          <w:szCs w:val="22"/>
          <w:lang w:val="sr-Latn-ME"/>
        </w:rPr>
        <w:t>ili</w:t>
      </w:r>
    </w:p>
    <w:p w14:paraId="39A61772" w14:textId="36286AF8" w:rsidR="007253DB" w:rsidRPr="00B8307D" w:rsidRDefault="007253DB" w:rsidP="000A067B">
      <w:pPr>
        <w:widowControl w:val="0"/>
        <w:numPr>
          <w:ilvl w:val="0"/>
          <w:numId w:val="20"/>
        </w:numPr>
        <w:tabs>
          <w:tab w:val="left" w:pos="284"/>
        </w:tabs>
        <w:jc w:val="both"/>
        <w:rPr>
          <w:sz w:val="22"/>
          <w:szCs w:val="22"/>
          <w:lang w:val="sr-Latn-ME"/>
        </w:rPr>
      </w:pPr>
      <w:r w:rsidRPr="00B8307D">
        <w:rPr>
          <w:sz w:val="22"/>
          <w:szCs w:val="22"/>
          <w:lang w:val="sr-Latn-ME"/>
        </w:rPr>
        <w:t xml:space="preserve">intravenski docetaksel </w:t>
      </w:r>
      <w:r w:rsidR="0053424F" w:rsidRPr="00B8307D">
        <w:rPr>
          <w:sz w:val="22"/>
          <w:szCs w:val="22"/>
          <w:lang w:val="sr-Latn-ME"/>
        </w:rPr>
        <w:t>–</w:t>
      </w:r>
      <w:r w:rsidRPr="00B8307D">
        <w:rPr>
          <w:sz w:val="22"/>
          <w:szCs w:val="22"/>
          <w:lang w:val="sr-Latn-ME"/>
        </w:rPr>
        <w:t xml:space="preserve"> 75</w:t>
      </w:r>
      <w:r w:rsidR="0053424F" w:rsidRPr="00B8307D">
        <w:rPr>
          <w:sz w:val="22"/>
          <w:szCs w:val="22"/>
          <w:lang w:val="sr-Latn-ME"/>
        </w:rPr>
        <w:t xml:space="preserve"> </w:t>
      </w:r>
      <w:r w:rsidRPr="00B8307D">
        <w:rPr>
          <w:sz w:val="22"/>
          <w:szCs w:val="22"/>
          <w:lang w:val="sr-Latn-ME"/>
        </w:rPr>
        <w:t>mg/m</w:t>
      </w:r>
      <w:r w:rsidRPr="00B8307D">
        <w:rPr>
          <w:sz w:val="22"/>
          <w:szCs w:val="22"/>
          <w:vertAlign w:val="superscript"/>
          <w:lang w:val="sr-Latn-ME"/>
        </w:rPr>
        <w:t xml:space="preserve">2   </w:t>
      </w:r>
      <w:r w:rsidRPr="00B8307D">
        <w:rPr>
          <w:sz w:val="22"/>
          <w:szCs w:val="22"/>
          <w:lang w:val="sr-Latn-ME"/>
        </w:rPr>
        <w:t>kao intravenska infuzija tokom 1 časa, jednom u 3 nedjelje tokom 6 ciklusa (2. dan 1. ciklusa a zatim 1. dan svakog sljedećeg ciklusa)</w:t>
      </w:r>
    </w:p>
    <w:p w14:paraId="33DE393F" w14:textId="77777777" w:rsidR="007253DB" w:rsidRPr="00B8307D" w:rsidRDefault="007253DB" w:rsidP="000A067B">
      <w:pPr>
        <w:widowControl w:val="0"/>
        <w:ind w:left="360"/>
        <w:jc w:val="both"/>
        <w:rPr>
          <w:sz w:val="22"/>
          <w:szCs w:val="22"/>
          <w:lang w:val="sr-Latn-ME"/>
        </w:rPr>
      </w:pPr>
      <w:r w:rsidRPr="00B8307D">
        <w:rPr>
          <w:sz w:val="22"/>
          <w:szCs w:val="22"/>
          <w:lang w:val="sr-Latn-ME"/>
        </w:rPr>
        <w:t>nakon čega je slijedio:</w:t>
      </w:r>
    </w:p>
    <w:p w14:paraId="6F46EEA4" w14:textId="289FAA1E" w:rsidR="007253DB" w:rsidRPr="00B8307D" w:rsidRDefault="007253DB" w:rsidP="000A067B">
      <w:pPr>
        <w:widowControl w:val="0"/>
        <w:numPr>
          <w:ilvl w:val="0"/>
          <w:numId w:val="20"/>
        </w:numPr>
        <w:tabs>
          <w:tab w:val="left" w:pos="284"/>
        </w:tabs>
        <w:jc w:val="both"/>
        <w:rPr>
          <w:sz w:val="22"/>
          <w:szCs w:val="22"/>
          <w:lang w:val="sr-Latn-ME"/>
        </w:rPr>
      </w:pPr>
      <w:r w:rsidRPr="00B8307D">
        <w:rPr>
          <w:sz w:val="22"/>
          <w:szCs w:val="22"/>
          <w:lang w:val="sr-Latn-ME"/>
        </w:rPr>
        <w:t>karboplatin sa ciljnom AUC 6</w:t>
      </w:r>
      <w:r w:rsidR="0053424F" w:rsidRPr="00B8307D">
        <w:rPr>
          <w:sz w:val="22"/>
          <w:szCs w:val="22"/>
          <w:lang w:val="sr-Latn-ME"/>
        </w:rPr>
        <w:t xml:space="preserve"> </w:t>
      </w:r>
      <w:r w:rsidRPr="00B8307D">
        <w:rPr>
          <w:sz w:val="22"/>
          <w:szCs w:val="22"/>
          <w:lang w:val="sr-Latn-ME"/>
        </w:rPr>
        <w:t>mg/ml/min primijenjen kao i.v. infuzija tokom 30-60 minuta, svake 3 nedjelje, ukupno 6 ciklusa.</w:t>
      </w:r>
    </w:p>
    <w:p w14:paraId="0F3DF1BB" w14:textId="77777777" w:rsidR="007253DB" w:rsidRPr="00B8307D" w:rsidRDefault="007253DB" w:rsidP="000A067B">
      <w:pPr>
        <w:widowControl w:val="0"/>
        <w:jc w:val="both"/>
        <w:rPr>
          <w:sz w:val="22"/>
          <w:szCs w:val="22"/>
          <w:lang w:val="sr-Latn-ME"/>
        </w:rPr>
      </w:pPr>
    </w:p>
    <w:p w14:paraId="566F58FE" w14:textId="50B544B7" w:rsidR="007253DB" w:rsidRPr="00B8307D" w:rsidRDefault="0053424F" w:rsidP="000A067B">
      <w:pPr>
        <w:widowControl w:val="0"/>
        <w:jc w:val="both"/>
        <w:rPr>
          <w:sz w:val="22"/>
          <w:szCs w:val="22"/>
          <w:lang w:val="sr-Latn-ME"/>
        </w:rPr>
      </w:pPr>
      <w:r w:rsidRPr="00B8307D">
        <w:rPr>
          <w:sz w:val="22"/>
          <w:szCs w:val="22"/>
          <w:lang w:val="sr-Latn-ME"/>
        </w:rPr>
        <w:t xml:space="preserve">Lijek </w:t>
      </w:r>
      <w:r w:rsidR="007253DB" w:rsidRPr="00B8307D">
        <w:rPr>
          <w:sz w:val="22"/>
          <w:szCs w:val="22"/>
          <w:lang w:val="sr-Latn-ME"/>
        </w:rPr>
        <w:t>Herceptin je primjenjivan nedjeljno sa hemoterapijom i svake 3 nedjelje nakon toga, ukupno 52 nedjelje.</w:t>
      </w:r>
    </w:p>
    <w:p w14:paraId="08B5DBBF" w14:textId="77777777" w:rsidR="007253DB" w:rsidRPr="00B8307D" w:rsidRDefault="007253DB" w:rsidP="000A067B">
      <w:pPr>
        <w:widowControl w:val="0"/>
        <w:jc w:val="both"/>
        <w:rPr>
          <w:sz w:val="22"/>
          <w:szCs w:val="22"/>
          <w:lang w:val="sr-Latn-ME"/>
        </w:rPr>
      </w:pPr>
    </w:p>
    <w:p w14:paraId="43BBEF33" w14:textId="594F8491" w:rsidR="007253DB" w:rsidRPr="00B8307D" w:rsidRDefault="007253DB" w:rsidP="000A067B">
      <w:pPr>
        <w:widowControl w:val="0"/>
        <w:jc w:val="both"/>
        <w:rPr>
          <w:sz w:val="22"/>
          <w:szCs w:val="22"/>
          <w:lang w:val="sr-Latn-ME"/>
        </w:rPr>
      </w:pPr>
      <w:r w:rsidRPr="00B8307D">
        <w:rPr>
          <w:sz w:val="22"/>
          <w:szCs w:val="22"/>
          <w:lang w:val="sr-Latn-ME"/>
        </w:rPr>
        <w:t xml:space="preserve">Rezultati efikasnosti iz studije BCIRG 006 prikazani su u Tabelama 7 i 8. </w:t>
      </w:r>
      <w:r w:rsidR="0053424F" w:rsidRPr="00B8307D">
        <w:rPr>
          <w:sz w:val="22"/>
          <w:szCs w:val="22"/>
          <w:lang w:val="sr-Latn-ME"/>
        </w:rPr>
        <w:t>Medijana</w:t>
      </w:r>
      <w:r w:rsidRPr="00B8307D">
        <w:rPr>
          <w:sz w:val="22"/>
          <w:szCs w:val="22"/>
          <w:lang w:val="sr-Latn-ME"/>
        </w:rPr>
        <w:t xml:space="preserve"> praćenja je iznosil</w:t>
      </w:r>
      <w:r w:rsidR="0053424F" w:rsidRPr="00B8307D">
        <w:rPr>
          <w:sz w:val="22"/>
          <w:szCs w:val="22"/>
          <w:lang w:val="sr-Latn-ME"/>
        </w:rPr>
        <w:t>a</w:t>
      </w:r>
      <w:r w:rsidRPr="00B8307D">
        <w:rPr>
          <w:sz w:val="22"/>
          <w:szCs w:val="22"/>
          <w:lang w:val="sr-Latn-ME"/>
        </w:rPr>
        <w:t xml:space="preserve"> 2.9 godina u AC</w:t>
      </w:r>
      <w:r w:rsidRPr="00B8307D">
        <w:rPr>
          <w:sz w:val="20"/>
          <w:szCs w:val="20"/>
          <w:lang w:val="sr-Latn-ME"/>
        </w:rPr>
        <w:t>→</w:t>
      </w:r>
      <w:r w:rsidRPr="00B8307D">
        <w:rPr>
          <w:sz w:val="22"/>
          <w:szCs w:val="22"/>
          <w:lang w:val="sr-Latn-ME"/>
        </w:rPr>
        <w:t>D grupi i 3.0 godina u grupama AC</w:t>
      </w:r>
      <w:r w:rsidRPr="00B8307D">
        <w:rPr>
          <w:sz w:val="20"/>
          <w:szCs w:val="20"/>
          <w:lang w:val="sr-Latn-ME"/>
        </w:rPr>
        <w:t>→</w:t>
      </w:r>
      <w:r w:rsidRPr="00B8307D">
        <w:rPr>
          <w:sz w:val="22"/>
          <w:szCs w:val="22"/>
          <w:lang w:val="sr-Latn-ME"/>
        </w:rPr>
        <w:t>DH i DCarbH.</w:t>
      </w:r>
    </w:p>
    <w:p w14:paraId="1BD455F1" w14:textId="77777777" w:rsidR="007253DB" w:rsidRPr="00B8307D" w:rsidRDefault="007253DB" w:rsidP="000A067B">
      <w:pPr>
        <w:widowControl w:val="0"/>
        <w:jc w:val="both"/>
        <w:rPr>
          <w:sz w:val="22"/>
          <w:szCs w:val="22"/>
          <w:lang w:val="sr-Latn-ME"/>
        </w:rPr>
      </w:pPr>
    </w:p>
    <w:p w14:paraId="3BF1ACEF" w14:textId="77777777" w:rsidR="007253DB" w:rsidRPr="00B8307D" w:rsidRDefault="007253DB" w:rsidP="000A067B">
      <w:pPr>
        <w:widowControl w:val="0"/>
        <w:jc w:val="both"/>
        <w:rPr>
          <w:sz w:val="22"/>
          <w:szCs w:val="22"/>
          <w:lang w:val="sr-Latn-ME"/>
        </w:rPr>
      </w:pPr>
      <w:r w:rsidRPr="00B8307D">
        <w:rPr>
          <w:sz w:val="22"/>
          <w:szCs w:val="22"/>
          <w:lang w:val="sr-Latn-ME"/>
        </w:rPr>
        <w:t>Tabela 8: Pregled analize efikasnosti u studiji BCIRG 006; AC</w:t>
      </w:r>
      <w:r w:rsidRPr="00B8307D">
        <w:rPr>
          <w:sz w:val="20"/>
          <w:szCs w:val="20"/>
          <w:lang w:val="sr-Latn-ME"/>
        </w:rPr>
        <w:t>→</w:t>
      </w:r>
      <w:r w:rsidRPr="00B8307D">
        <w:rPr>
          <w:sz w:val="22"/>
          <w:szCs w:val="22"/>
          <w:lang w:val="sr-Latn-ME"/>
        </w:rPr>
        <w:t>D u odnosu na AC</w:t>
      </w:r>
      <w:r w:rsidRPr="00B8307D">
        <w:rPr>
          <w:sz w:val="20"/>
          <w:szCs w:val="20"/>
          <w:lang w:val="sr-Latn-ME"/>
        </w:rPr>
        <w:t>→</w:t>
      </w:r>
      <w:r w:rsidRPr="00B8307D">
        <w:rPr>
          <w:sz w:val="22"/>
          <w:szCs w:val="22"/>
          <w:lang w:val="sr-Latn-ME"/>
        </w:rPr>
        <w:t>DH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7"/>
        <w:gridCol w:w="1737"/>
        <w:gridCol w:w="1652"/>
        <w:gridCol w:w="2389"/>
      </w:tblGrid>
      <w:tr w:rsidR="007253DB" w:rsidRPr="00B8307D" w14:paraId="3052F435" w14:textId="77777777" w:rsidTr="00DE3522">
        <w:tc>
          <w:tcPr>
            <w:tcW w:w="1816" w:type="pct"/>
            <w:tcBorders>
              <w:top w:val="single" w:sz="4" w:space="0" w:color="auto"/>
              <w:left w:val="single" w:sz="4" w:space="0" w:color="auto"/>
              <w:bottom w:val="single" w:sz="4" w:space="0" w:color="auto"/>
              <w:right w:val="single" w:sz="4" w:space="0" w:color="auto"/>
            </w:tcBorders>
          </w:tcPr>
          <w:p w14:paraId="01A79C27" w14:textId="77777777" w:rsidR="007253DB" w:rsidRPr="00B8307D" w:rsidRDefault="007253DB" w:rsidP="000A067B">
            <w:pPr>
              <w:widowControl w:val="0"/>
              <w:rPr>
                <w:sz w:val="22"/>
                <w:szCs w:val="22"/>
                <w:lang w:val="sr-Latn-ME"/>
              </w:rPr>
            </w:pPr>
          </w:p>
          <w:p w14:paraId="161E3FF7" w14:textId="77777777" w:rsidR="007253DB" w:rsidRPr="00B8307D" w:rsidRDefault="007253DB" w:rsidP="000A067B">
            <w:pPr>
              <w:widowControl w:val="0"/>
              <w:rPr>
                <w:sz w:val="22"/>
                <w:szCs w:val="22"/>
                <w:lang w:val="sr-Latn-ME"/>
              </w:rPr>
            </w:pPr>
            <w:r w:rsidRPr="00B8307D">
              <w:rPr>
                <w:sz w:val="22"/>
                <w:szCs w:val="22"/>
                <w:lang w:val="sr-Latn-ME"/>
              </w:rPr>
              <w:t xml:space="preserve">Parametar </w:t>
            </w:r>
          </w:p>
          <w:p w14:paraId="21889843" w14:textId="77777777" w:rsidR="007253DB" w:rsidRPr="00B8307D" w:rsidRDefault="007253DB" w:rsidP="000A067B">
            <w:pPr>
              <w:widowControl w:val="0"/>
              <w:rPr>
                <w:sz w:val="22"/>
                <w:szCs w:val="22"/>
                <w:lang w:val="sr-Latn-ME"/>
              </w:rPr>
            </w:pPr>
          </w:p>
          <w:p w14:paraId="104603CB" w14:textId="77777777" w:rsidR="007253DB" w:rsidRPr="00B8307D" w:rsidRDefault="007253DB" w:rsidP="000A067B">
            <w:pPr>
              <w:widowControl w:val="0"/>
              <w:tabs>
                <w:tab w:val="left" w:pos="284"/>
              </w:tabs>
              <w:rPr>
                <w:sz w:val="22"/>
                <w:szCs w:val="22"/>
                <w:lang w:val="sr-Latn-ME"/>
              </w:rPr>
            </w:pPr>
          </w:p>
        </w:tc>
        <w:tc>
          <w:tcPr>
            <w:tcW w:w="957" w:type="pct"/>
            <w:tcBorders>
              <w:top w:val="single" w:sz="4" w:space="0" w:color="auto"/>
              <w:left w:val="single" w:sz="4" w:space="0" w:color="auto"/>
              <w:bottom w:val="single" w:sz="4" w:space="0" w:color="auto"/>
              <w:right w:val="single" w:sz="4" w:space="0" w:color="auto"/>
            </w:tcBorders>
            <w:hideMark/>
          </w:tcPr>
          <w:p w14:paraId="690C3C7A" w14:textId="77777777" w:rsidR="007253DB" w:rsidRPr="00B8307D" w:rsidRDefault="007253DB" w:rsidP="000A067B">
            <w:pPr>
              <w:widowControl w:val="0"/>
              <w:jc w:val="center"/>
              <w:rPr>
                <w:sz w:val="22"/>
                <w:szCs w:val="22"/>
                <w:lang w:val="sr-Latn-ME"/>
              </w:rPr>
            </w:pPr>
            <w:r w:rsidRPr="00B8307D">
              <w:rPr>
                <w:sz w:val="22"/>
                <w:szCs w:val="22"/>
                <w:lang w:val="sr-Latn-ME"/>
              </w:rPr>
              <w:t>AC</w:t>
            </w:r>
            <w:r w:rsidRPr="00B8307D">
              <w:rPr>
                <w:sz w:val="20"/>
                <w:szCs w:val="20"/>
                <w:lang w:val="sr-Latn-ME"/>
              </w:rPr>
              <w:t>→</w:t>
            </w:r>
            <w:r w:rsidRPr="00B8307D">
              <w:rPr>
                <w:sz w:val="22"/>
                <w:szCs w:val="22"/>
                <w:lang w:val="sr-Latn-ME"/>
              </w:rPr>
              <w:t>D</w:t>
            </w:r>
          </w:p>
          <w:p w14:paraId="1578FF95" w14:textId="77777777" w:rsidR="007253DB" w:rsidRPr="00B8307D" w:rsidRDefault="007253DB" w:rsidP="000A067B">
            <w:pPr>
              <w:widowControl w:val="0"/>
              <w:tabs>
                <w:tab w:val="left" w:pos="284"/>
              </w:tabs>
              <w:jc w:val="center"/>
              <w:rPr>
                <w:sz w:val="22"/>
                <w:szCs w:val="22"/>
                <w:lang w:val="sr-Latn-ME"/>
              </w:rPr>
            </w:pPr>
            <w:r w:rsidRPr="00B8307D">
              <w:rPr>
                <w:sz w:val="22"/>
                <w:szCs w:val="22"/>
                <w:lang w:val="sr-Latn-ME"/>
              </w:rPr>
              <w:t>(n=1073)</w:t>
            </w:r>
          </w:p>
        </w:tc>
        <w:tc>
          <w:tcPr>
            <w:tcW w:w="910" w:type="pct"/>
            <w:tcBorders>
              <w:top w:val="single" w:sz="4" w:space="0" w:color="auto"/>
              <w:left w:val="single" w:sz="4" w:space="0" w:color="auto"/>
              <w:bottom w:val="single" w:sz="4" w:space="0" w:color="auto"/>
              <w:right w:val="single" w:sz="4" w:space="0" w:color="auto"/>
            </w:tcBorders>
            <w:hideMark/>
          </w:tcPr>
          <w:p w14:paraId="5DF1BE76" w14:textId="77777777" w:rsidR="007253DB" w:rsidRPr="00B8307D" w:rsidRDefault="007253DB" w:rsidP="000A067B">
            <w:pPr>
              <w:widowControl w:val="0"/>
              <w:jc w:val="center"/>
              <w:rPr>
                <w:sz w:val="22"/>
                <w:szCs w:val="22"/>
                <w:lang w:val="sr-Latn-ME"/>
              </w:rPr>
            </w:pPr>
            <w:r w:rsidRPr="00B8307D">
              <w:rPr>
                <w:sz w:val="22"/>
                <w:szCs w:val="22"/>
                <w:lang w:val="sr-Latn-ME"/>
              </w:rPr>
              <w:t>AC</w:t>
            </w:r>
            <w:r w:rsidRPr="00B8307D">
              <w:rPr>
                <w:sz w:val="20"/>
                <w:szCs w:val="20"/>
                <w:lang w:val="sr-Latn-ME"/>
              </w:rPr>
              <w:t>→</w:t>
            </w:r>
            <w:r w:rsidRPr="00B8307D">
              <w:rPr>
                <w:sz w:val="22"/>
                <w:szCs w:val="22"/>
                <w:lang w:val="sr-Latn-ME"/>
              </w:rPr>
              <w:t>DH</w:t>
            </w:r>
          </w:p>
          <w:p w14:paraId="1E248BB6" w14:textId="77777777" w:rsidR="007253DB" w:rsidRPr="00B8307D" w:rsidRDefault="007253DB" w:rsidP="000A067B">
            <w:pPr>
              <w:widowControl w:val="0"/>
              <w:tabs>
                <w:tab w:val="left" w:pos="284"/>
              </w:tabs>
              <w:jc w:val="center"/>
              <w:rPr>
                <w:sz w:val="22"/>
                <w:szCs w:val="22"/>
                <w:lang w:val="sr-Latn-ME"/>
              </w:rPr>
            </w:pPr>
            <w:r w:rsidRPr="00B8307D">
              <w:rPr>
                <w:sz w:val="22"/>
                <w:szCs w:val="22"/>
                <w:lang w:val="sr-Latn-ME"/>
              </w:rPr>
              <w:t>(n=1074)</w:t>
            </w:r>
          </w:p>
        </w:tc>
        <w:tc>
          <w:tcPr>
            <w:tcW w:w="1316" w:type="pct"/>
            <w:tcBorders>
              <w:top w:val="single" w:sz="4" w:space="0" w:color="auto"/>
              <w:left w:val="single" w:sz="4" w:space="0" w:color="auto"/>
              <w:bottom w:val="single" w:sz="4" w:space="0" w:color="auto"/>
              <w:right w:val="single" w:sz="4" w:space="0" w:color="auto"/>
            </w:tcBorders>
            <w:hideMark/>
          </w:tcPr>
          <w:p w14:paraId="7B108C98" w14:textId="77777777" w:rsidR="007253DB" w:rsidRPr="00B8307D" w:rsidRDefault="007253DB" w:rsidP="000A067B">
            <w:pPr>
              <w:widowControl w:val="0"/>
              <w:jc w:val="center"/>
              <w:rPr>
                <w:sz w:val="22"/>
                <w:szCs w:val="22"/>
                <w:lang w:val="sr-Latn-ME"/>
              </w:rPr>
            </w:pPr>
            <w:r w:rsidRPr="00B8307D">
              <w:rPr>
                <w:sz w:val="22"/>
                <w:szCs w:val="22"/>
                <w:lang w:val="sr-Latn-ME"/>
              </w:rPr>
              <w:t>Odnos hazarda naspram</w:t>
            </w:r>
          </w:p>
          <w:p w14:paraId="44EEAE5C" w14:textId="77777777" w:rsidR="007253DB" w:rsidRPr="00B8307D" w:rsidRDefault="007253DB" w:rsidP="000A067B">
            <w:pPr>
              <w:widowControl w:val="0"/>
              <w:jc w:val="center"/>
              <w:rPr>
                <w:sz w:val="22"/>
                <w:szCs w:val="22"/>
                <w:lang w:val="sr-Latn-ME"/>
              </w:rPr>
            </w:pPr>
            <w:r w:rsidRPr="00B8307D">
              <w:rPr>
                <w:sz w:val="22"/>
                <w:szCs w:val="22"/>
                <w:lang w:val="sr-Latn-ME"/>
              </w:rPr>
              <w:t>AC</w:t>
            </w:r>
            <w:r w:rsidRPr="00B8307D">
              <w:rPr>
                <w:sz w:val="20"/>
                <w:szCs w:val="20"/>
                <w:lang w:val="sr-Latn-ME"/>
              </w:rPr>
              <w:t>→</w:t>
            </w:r>
            <w:r w:rsidRPr="00B8307D">
              <w:rPr>
                <w:sz w:val="22"/>
                <w:szCs w:val="22"/>
                <w:lang w:val="sr-Latn-ME"/>
              </w:rPr>
              <w:t>D</w:t>
            </w:r>
          </w:p>
          <w:p w14:paraId="13A3E51A" w14:textId="77777777" w:rsidR="007253DB" w:rsidRPr="00B8307D" w:rsidRDefault="007253DB" w:rsidP="000A067B">
            <w:pPr>
              <w:widowControl w:val="0"/>
              <w:jc w:val="center"/>
              <w:rPr>
                <w:sz w:val="22"/>
                <w:szCs w:val="22"/>
                <w:lang w:val="sr-Latn-ME"/>
              </w:rPr>
            </w:pPr>
            <w:r w:rsidRPr="00B8307D">
              <w:rPr>
                <w:sz w:val="22"/>
                <w:szCs w:val="22"/>
                <w:lang w:val="sr-Latn-ME"/>
              </w:rPr>
              <w:t>(95% CI)</w:t>
            </w:r>
          </w:p>
          <w:p w14:paraId="1198DC95" w14:textId="77777777" w:rsidR="007253DB" w:rsidRPr="00B8307D" w:rsidRDefault="007253DB" w:rsidP="000A067B">
            <w:pPr>
              <w:widowControl w:val="0"/>
              <w:tabs>
                <w:tab w:val="left" w:pos="284"/>
              </w:tabs>
              <w:jc w:val="center"/>
              <w:rPr>
                <w:sz w:val="22"/>
                <w:szCs w:val="22"/>
                <w:lang w:val="sr-Latn-ME"/>
              </w:rPr>
            </w:pPr>
            <w:r w:rsidRPr="00B8307D">
              <w:rPr>
                <w:sz w:val="22"/>
                <w:szCs w:val="22"/>
                <w:lang w:val="sr-Latn-ME"/>
              </w:rPr>
              <w:t>p-vrijednost</w:t>
            </w:r>
          </w:p>
        </w:tc>
      </w:tr>
      <w:tr w:rsidR="007253DB" w:rsidRPr="00B8307D" w14:paraId="2BD5E609" w14:textId="77777777" w:rsidTr="00DE3522">
        <w:tc>
          <w:tcPr>
            <w:tcW w:w="1816" w:type="pct"/>
            <w:tcBorders>
              <w:top w:val="single" w:sz="4" w:space="0" w:color="auto"/>
              <w:left w:val="single" w:sz="4" w:space="0" w:color="auto"/>
              <w:bottom w:val="single" w:sz="4" w:space="0" w:color="auto"/>
              <w:right w:val="single" w:sz="4" w:space="0" w:color="auto"/>
            </w:tcBorders>
          </w:tcPr>
          <w:p w14:paraId="3EA78FB3" w14:textId="77777777" w:rsidR="007253DB" w:rsidRPr="00B8307D" w:rsidRDefault="007253DB" w:rsidP="000A067B">
            <w:pPr>
              <w:widowControl w:val="0"/>
              <w:rPr>
                <w:sz w:val="22"/>
                <w:szCs w:val="22"/>
                <w:lang w:val="sr-Latn-ME"/>
              </w:rPr>
            </w:pPr>
            <w:r w:rsidRPr="00B8307D">
              <w:rPr>
                <w:sz w:val="22"/>
                <w:szCs w:val="22"/>
                <w:lang w:val="sr-Latn-ME"/>
              </w:rPr>
              <w:t>Preživljavanje bez bolesti</w:t>
            </w:r>
          </w:p>
          <w:p w14:paraId="71FA2810" w14:textId="2DAFE5B0" w:rsidR="007253DB" w:rsidRPr="00B8307D" w:rsidRDefault="007253DB" w:rsidP="00DE3522">
            <w:pPr>
              <w:widowControl w:val="0"/>
              <w:rPr>
                <w:sz w:val="22"/>
                <w:szCs w:val="22"/>
                <w:lang w:val="sr-Latn-ME"/>
              </w:rPr>
            </w:pPr>
            <w:r w:rsidRPr="00B8307D">
              <w:rPr>
                <w:sz w:val="22"/>
                <w:szCs w:val="22"/>
                <w:lang w:val="sr-Latn-ME"/>
              </w:rPr>
              <w:t>Broj pacijenata sa događajem (%)</w:t>
            </w:r>
          </w:p>
        </w:tc>
        <w:tc>
          <w:tcPr>
            <w:tcW w:w="957" w:type="pct"/>
            <w:tcBorders>
              <w:top w:val="single" w:sz="4" w:space="0" w:color="auto"/>
              <w:left w:val="single" w:sz="4" w:space="0" w:color="auto"/>
              <w:bottom w:val="single" w:sz="4" w:space="0" w:color="auto"/>
              <w:right w:val="single" w:sz="4" w:space="0" w:color="auto"/>
            </w:tcBorders>
          </w:tcPr>
          <w:p w14:paraId="395413E5" w14:textId="77777777" w:rsidR="007253DB" w:rsidRPr="00B8307D" w:rsidRDefault="007253DB" w:rsidP="000A067B">
            <w:pPr>
              <w:widowControl w:val="0"/>
              <w:tabs>
                <w:tab w:val="left" w:pos="284"/>
              </w:tabs>
              <w:jc w:val="center"/>
              <w:rPr>
                <w:sz w:val="22"/>
                <w:szCs w:val="22"/>
                <w:lang w:val="sr-Latn-ME"/>
              </w:rPr>
            </w:pPr>
            <w:r w:rsidRPr="00B8307D">
              <w:rPr>
                <w:sz w:val="22"/>
                <w:szCs w:val="22"/>
                <w:lang w:val="sr-Latn-ME"/>
              </w:rPr>
              <w:t>195</w:t>
            </w:r>
          </w:p>
        </w:tc>
        <w:tc>
          <w:tcPr>
            <w:tcW w:w="910" w:type="pct"/>
            <w:tcBorders>
              <w:top w:val="single" w:sz="4" w:space="0" w:color="auto"/>
              <w:left w:val="single" w:sz="4" w:space="0" w:color="auto"/>
              <w:bottom w:val="single" w:sz="4" w:space="0" w:color="auto"/>
              <w:right w:val="single" w:sz="4" w:space="0" w:color="auto"/>
            </w:tcBorders>
          </w:tcPr>
          <w:p w14:paraId="3F379C16" w14:textId="77777777" w:rsidR="007253DB" w:rsidRPr="00B8307D" w:rsidRDefault="007253DB" w:rsidP="000A067B">
            <w:pPr>
              <w:widowControl w:val="0"/>
              <w:tabs>
                <w:tab w:val="left" w:pos="284"/>
              </w:tabs>
              <w:jc w:val="center"/>
              <w:rPr>
                <w:sz w:val="22"/>
                <w:szCs w:val="22"/>
                <w:lang w:val="sr-Latn-ME"/>
              </w:rPr>
            </w:pPr>
            <w:r w:rsidRPr="00B8307D">
              <w:rPr>
                <w:sz w:val="22"/>
                <w:szCs w:val="22"/>
                <w:lang w:val="sr-Latn-ME"/>
              </w:rPr>
              <w:t>134</w:t>
            </w:r>
          </w:p>
        </w:tc>
        <w:tc>
          <w:tcPr>
            <w:tcW w:w="1316" w:type="pct"/>
            <w:tcBorders>
              <w:top w:val="single" w:sz="4" w:space="0" w:color="auto"/>
              <w:left w:val="single" w:sz="4" w:space="0" w:color="auto"/>
              <w:bottom w:val="single" w:sz="4" w:space="0" w:color="auto"/>
              <w:right w:val="single" w:sz="4" w:space="0" w:color="auto"/>
            </w:tcBorders>
          </w:tcPr>
          <w:p w14:paraId="6838A2C0" w14:textId="77777777" w:rsidR="007253DB" w:rsidRPr="00B8307D" w:rsidRDefault="007253DB" w:rsidP="000A067B">
            <w:pPr>
              <w:widowControl w:val="0"/>
              <w:jc w:val="center"/>
              <w:rPr>
                <w:sz w:val="22"/>
                <w:szCs w:val="22"/>
                <w:lang w:val="sr-Latn-ME"/>
              </w:rPr>
            </w:pPr>
            <w:r w:rsidRPr="00B8307D">
              <w:rPr>
                <w:sz w:val="22"/>
                <w:szCs w:val="22"/>
                <w:lang w:val="sr-Latn-ME"/>
              </w:rPr>
              <w:t>0,61 (0,49, 0,77)</w:t>
            </w:r>
          </w:p>
          <w:p w14:paraId="5FC88CFE" w14:textId="77777777" w:rsidR="007253DB" w:rsidRPr="00B8307D" w:rsidRDefault="007253DB" w:rsidP="000A067B">
            <w:pPr>
              <w:widowControl w:val="0"/>
              <w:tabs>
                <w:tab w:val="left" w:pos="284"/>
              </w:tabs>
              <w:jc w:val="center"/>
              <w:rPr>
                <w:sz w:val="22"/>
                <w:szCs w:val="22"/>
                <w:lang w:val="sr-Latn-ME"/>
              </w:rPr>
            </w:pPr>
            <w:r w:rsidRPr="00B8307D">
              <w:rPr>
                <w:sz w:val="22"/>
                <w:szCs w:val="22"/>
                <w:lang w:val="sr-Latn-ME"/>
              </w:rPr>
              <w:t>p&lt;0.0001</w:t>
            </w:r>
          </w:p>
        </w:tc>
      </w:tr>
      <w:tr w:rsidR="007253DB" w:rsidRPr="00B8307D" w14:paraId="0F483CBD" w14:textId="77777777" w:rsidTr="00DE3522">
        <w:tc>
          <w:tcPr>
            <w:tcW w:w="1816" w:type="pct"/>
            <w:tcBorders>
              <w:top w:val="single" w:sz="4" w:space="0" w:color="auto"/>
              <w:left w:val="single" w:sz="4" w:space="0" w:color="auto"/>
              <w:bottom w:val="single" w:sz="4" w:space="0" w:color="auto"/>
              <w:right w:val="single" w:sz="4" w:space="0" w:color="auto"/>
            </w:tcBorders>
          </w:tcPr>
          <w:p w14:paraId="75BFB810" w14:textId="77777777" w:rsidR="007253DB" w:rsidRPr="00B8307D" w:rsidRDefault="007253DB" w:rsidP="000A067B">
            <w:pPr>
              <w:widowControl w:val="0"/>
              <w:rPr>
                <w:sz w:val="22"/>
                <w:szCs w:val="22"/>
                <w:lang w:val="sr-Latn-ME"/>
              </w:rPr>
            </w:pPr>
            <w:r w:rsidRPr="00B8307D">
              <w:rPr>
                <w:sz w:val="22"/>
                <w:szCs w:val="22"/>
                <w:lang w:val="sr-Latn-ME"/>
              </w:rPr>
              <w:t>Pojava udaljenih metastaza</w:t>
            </w:r>
          </w:p>
          <w:p w14:paraId="7E571AB6" w14:textId="37BB757B" w:rsidR="007253DB" w:rsidRPr="00B8307D" w:rsidRDefault="007253DB" w:rsidP="00DE3522">
            <w:pPr>
              <w:widowControl w:val="0"/>
              <w:rPr>
                <w:sz w:val="22"/>
                <w:szCs w:val="22"/>
                <w:lang w:val="sr-Latn-ME"/>
              </w:rPr>
            </w:pPr>
            <w:r w:rsidRPr="00B8307D">
              <w:rPr>
                <w:sz w:val="22"/>
                <w:szCs w:val="22"/>
                <w:lang w:val="sr-Latn-ME"/>
              </w:rPr>
              <w:t>Broj pacijenata sa događajem (%)</w:t>
            </w:r>
          </w:p>
        </w:tc>
        <w:tc>
          <w:tcPr>
            <w:tcW w:w="957" w:type="pct"/>
            <w:tcBorders>
              <w:top w:val="single" w:sz="4" w:space="0" w:color="auto"/>
              <w:left w:val="single" w:sz="4" w:space="0" w:color="auto"/>
              <w:bottom w:val="single" w:sz="4" w:space="0" w:color="auto"/>
              <w:right w:val="single" w:sz="4" w:space="0" w:color="auto"/>
            </w:tcBorders>
          </w:tcPr>
          <w:p w14:paraId="5AD086CE" w14:textId="77777777" w:rsidR="007253DB" w:rsidRPr="00B8307D" w:rsidRDefault="007253DB" w:rsidP="000A067B">
            <w:pPr>
              <w:widowControl w:val="0"/>
              <w:tabs>
                <w:tab w:val="left" w:pos="284"/>
              </w:tabs>
              <w:jc w:val="center"/>
              <w:rPr>
                <w:sz w:val="22"/>
                <w:szCs w:val="22"/>
                <w:lang w:val="sr-Latn-ME"/>
              </w:rPr>
            </w:pPr>
            <w:r w:rsidRPr="00B8307D">
              <w:rPr>
                <w:sz w:val="22"/>
                <w:szCs w:val="22"/>
                <w:lang w:val="sr-Latn-ME"/>
              </w:rPr>
              <w:t>144</w:t>
            </w:r>
          </w:p>
        </w:tc>
        <w:tc>
          <w:tcPr>
            <w:tcW w:w="910" w:type="pct"/>
            <w:tcBorders>
              <w:top w:val="single" w:sz="4" w:space="0" w:color="auto"/>
              <w:left w:val="single" w:sz="4" w:space="0" w:color="auto"/>
              <w:bottom w:val="single" w:sz="4" w:space="0" w:color="auto"/>
              <w:right w:val="single" w:sz="4" w:space="0" w:color="auto"/>
            </w:tcBorders>
          </w:tcPr>
          <w:p w14:paraId="36219CEE" w14:textId="77777777" w:rsidR="007253DB" w:rsidRPr="00B8307D" w:rsidRDefault="007253DB" w:rsidP="000A067B">
            <w:pPr>
              <w:widowControl w:val="0"/>
              <w:tabs>
                <w:tab w:val="left" w:pos="284"/>
              </w:tabs>
              <w:jc w:val="center"/>
              <w:rPr>
                <w:sz w:val="22"/>
                <w:szCs w:val="22"/>
                <w:lang w:val="sr-Latn-ME"/>
              </w:rPr>
            </w:pPr>
            <w:r w:rsidRPr="00B8307D">
              <w:rPr>
                <w:sz w:val="22"/>
                <w:szCs w:val="22"/>
                <w:lang w:val="sr-Latn-ME"/>
              </w:rPr>
              <w:t>95</w:t>
            </w:r>
          </w:p>
        </w:tc>
        <w:tc>
          <w:tcPr>
            <w:tcW w:w="1316" w:type="pct"/>
            <w:tcBorders>
              <w:top w:val="single" w:sz="4" w:space="0" w:color="auto"/>
              <w:left w:val="single" w:sz="4" w:space="0" w:color="auto"/>
              <w:bottom w:val="single" w:sz="4" w:space="0" w:color="auto"/>
              <w:right w:val="single" w:sz="4" w:space="0" w:color="auto"/>
            </w:tcBorders>
          </w:tcPr>
          <w:p w14:paraId="60C0AF98" w14:textId="77777777" w:rsidR="007253DB" w:rsidRPr="00B8307D" w:rsidRDefault="007253DB" w:rsidP="000A067B">
            <w:pPr>
              <w:widowControl w:val="0"/>
              <w:jc w:val="center"/>
              <w:rPr>
                <w:sz w:val="22"/>
                <w:szCs w:val="22"/>
                <w:lang w:val="sr-Latn-ME"/>
              </w:rPr>
            </w:pPr>
            <w:r w:rsidRPr="00B8307D">
              <w:rPr>
                <w:sz w:val="22"/>
                <w:szCs w:val="22"/>
                <w:lang w:val="sr-Latn-ME"/>
              </w:rPr>
              <w:t>0.59 (0.46, 0.77)</w:t>
            </w:r>
          </w:p>
          <w:p w14:paraId="5B1D54BA" w14:textId="77777777" w:rsidR="007253DB" w:rsidRPr="00B8307D" w:rsidRDefault="007253DB" w:rsidP="000A067B">
            <w:pPr>
              <w:widowControl w:val="0"/>
              <w:tabs>
                <w:tab w:val="left" w:pos="284"/>
              </w:tabs>
              <w:jc w:val="center"/>
              <w:rPr>
                <w:sz w:val="22"/>
                <w:szCs w:val="22"/>
                <w:lang w:val="sr-Latn-ME"/>
              </w:rPr>
            </w:pPr>
            <w:r w:rsidRPr="00B8307D">
              <w:rPr>
                <w:sz w:val="22"/>
                <w:szCs w:val="22"/>
                <w:lang w:val="sr-Latn-ME"/>
              </w:rPr>
              <w:t>p&lt;0.0001</w:t>
            </w:r>
          </w:p>
        </w:tc>
      </w:tr>
      <w:tr w:rsidR="007253DB" w:rsidRPr="00B8307D" w14:paraId="7D19C1E3" w14:textId="77777777" w:rsidTr="00DE3522">
        <w:tc>
          <w:tcPr>
            <w:tcW w:w="1816" w:type="pct"/>
            <w:tcBorders>
              <w:top w:val="single" w:sz="4" w:space="0" w:color="auto"/>
              <w:left w:val="single" w:sz="4" w:space="0" w:color="auto"/>
              <w:bottom w:val="single" w:sz="4" w:space="0" w:color="auto"/>
              <w:right w:val="single" w:sz="4" w:space="0" w:color="auto"/>
            </w:tcBorders>
          </w:tcPr>
          <w:p w14:paraId="28C0904D" w14:textId="77777777" w:rsidR="007253DB" w:rsidRPr="00B8307D" w:rsidRDefault="007253DB" w:rsidP="000A067B">
            <w:pPr>
              <w:widowControl w:val="0"/>
              <w:rPr>
                <w:sz w:val="22"/>
                <w:szCs w:val="22"/>
                <w:lang w:val="sr-Latn-ME"/>
              </w:rPr>
            </w:pPr>
            <w:r w:rsidRPr="00B8307D">
              <w:rPr>
                <w:sz w:val="22"/>
                <w:szCs w:val="22"/>
                <w:lang w:val="sr-Latn-ME"/>
              </w:rPr>
              <w:t>Smrt (događaj ukupnog preživljavanja)</w:t>
            </w:r>
          </w:p>
          <w:p w14:paraId="28FC1E1A" w14:textId="67F95DDB" w:rsidR="007253DB" w:rsidRPr="00B8307D" w:rsidRDefault="007253DB" w:rsidP="00DE3522">
            <w:pPr>
              <w:widowControl w:val="0"/>
              <w:rPr>
                <w:sz w:val="22"/>
                <w:szCs w:val="22"/>
                <w:lang w:val="sr-Latn-ME"/>
              </w:rPr>
            </w:pPr>
            <w:r w:rsidRPr="00B8307D">
              <w:rPr>
                <w:sz w:val="22"/>
                <w:szCs w:val="22"/>
                <w:lang w:val="sr-Latn-ME"/>
              </w:rPr>
              <w:t>Broj pacijenata sa događajem (%)</w:t>
            </w:r>
          </w:p>
        </w:tc>
        <w:tc>
          <w:tcPr>
            <w:tcW w:w="957" w:type="pct"/>
            <w:tcBorders>
              <w:top w:val="single" w:sz="4" w:space="0" w:color="auto"/>
              <w:left w:val="single" w:sz="4" w:space="0" w:color="auto"/>
              <w:bottom w:val="single" w:sz="4" w:space="0" w:color="auto"/>
              <w:right w:val="single" w:sz="4" w:space="0" w:color="auto"/>
            </w:tcBorders>
          </w:tcPr>
          <w:p w14:paraId="1B9E55DA" w14:textId="77777777" w:rsidR="007253DB" w:rsidRPr="00B8307D" w:rsidRDefault="007253DB" w:rsidP="000A067B">
            <w:pPr>
              <w:widowControl w:val="0"/>
              <w:tabs>
                <w:tab w:val="left" w:pos="284"/>
              </w:tabs>
              <w:jc w:val="center"/>
              <w:rPr>
                <w:sz w:val="22"/>
                <w:szCs w:val="22"/>
                <w:lang w:val="sr-Latn-ME"/>
              </w:rPr>
            </w:pPr>
            <w:r w:rsidRPr="00B8307D">
              <w:rPr>
                <w:sz w:val="22"/>
                <w:szCs w:val="22"/>
                <w:lang w:val="sr-Latn-ME"/>
              </w:rPr>
              <w:t>80</w:t>
            </w:r>
          </w:p>
        </w:tc>
        <w:tc>
          <w:tcPr>
            <w:tcW w:w="910" w:type="pct"/>
            <w:tcBorders>
              <w:top w:val="single" w:sz="4" w:space="0" w:color="auto"/>
              <w:left w:val="single" w:sz="4" w:space="0" w:color="auto"/>
              <w:bottom w:val="single" w:sz="4" w:space="0" w:color="auto"/>
              <w:right w:val="single" w:sz="4" w:space="0" w:color="auto"/>
            </w:tcBorders>
          </w:tcPr>
          <w:p w14:paraId="3A25476D" w14:textId="77777777" w:rsidR="007253DB" w:rsidRPr="00B8307D" w:rsidRDefault="007253DB" w:rsidP="000A067B">
            <w:pPr>
              <w:widowControl w:val="0"/>
              <w:tabs>
                <w:tab w:val="left" w:pos="284"/>
              </w:tabs>
              <w:jc w:val="center"/>
              <w:rPr>
                <w:sz w:val="22"/>
                <w:szCs w:val="22"/>
                <w:lang w:val="sr-Latn-ME"/>
              </w:rPr>
            </w:pPr>
            <w:r w:rsidRPr="00B8307D">
              <w:rPr>
                <w:sz w:val="22"/>
                <w:szCs w:val="22"/>
                <w:lang w:val="sr-Latn-ME"/>
              </w:rPr>
              <w:t>49</w:t>
            </w:r>
          </w:p>
        </w:tc>
        <w:tc>
          <w:tcPr>
            <w:tcW w:w="1316" w:type="pct"/>
            <w:tcBorders>
              <w:top w:val="single" w:sz="4" w:space="0" w:color="auto"/>
              <w:left w:val="single" w:sz="4" w:space="0" w:color="auto"/>
              <w:bottom w:val="single" w:sz="4" w:space="0" w:color="auto"/>
              <w:right w:val="single" w:sz="4" w:space="0" w:color="auto"/>
            </w:tcBorders>
          </w:tcPr>
          <w:p w14:paraId="6F7E2B10" w14:textId="38C4B573" w:rsidR="007253DB" w:rsidRPr="00B8307D" w:rsidRDefault="007253DB" w:rsidP="000A067B">
            <w:pPr>
              <w:widowControl w:val="0"/>
              <w:jc w:val="center"/>
              <w:rPr>
                <w:sz w:val="22"/>
                <w:szCs w:val="22"/>
                <w:lang w:val="sr-Latn-ME"/>
              </w:rPr>
            </w:pPr>
            <w:r w:rsidRPr="00B8307D">
              <w:rPr>
                <w:sz w:val="22"/>
                <w:szCs w:val="22"/>
                <w:lang w:val="sr-Latn-ME"/>
              </w:rPr>
              <w:t>0.58 (0.40, 0.83)</w:t>
            </w:r>
          </w:p>
          <w:p w14:paraId="6D71CB26" w14:textId="77777777" w:rsidR="00DE3522" w:rsidRPr="00B8307D" w:rsidRDefault="00DE3522" w:rsidP="000A067B">
            <w:pPr>
              <w:widowControl w:val="0"/>
              <w:jc w:val="center"/>
              <w:rPr>
                <w:sz w:val="22"/>
                <w:szCs w:val="22"/>
                <w:lang w:val="sr-Latn-ME"/>
              </w:rPr>
            </w:pPr>
          </w:p>
          <w:p w14:paraId="564701B8" w14:textId="77777777" w:rsidR="007253DB" w:rsidRPr="00B8307D" w:rsidRDefault="007253DB" w:rsidP="000A067B">
            <w:pPr>
              <w:widowControl w:val="0"/>
              <w:tabs>
                <w:tab w:val="left" w:pos="284"/>
              </w:tabs>
              <w:jc w:val="center"/>
              <w:rPr>
                <w:sz w:val="22"/>
                <w:szCs w:val="22"/>
                <w:lang w:val="sr-Latn-ME"/>
              </w:rPr>
            </w:pPr>
            <w:r w:rsidRPr="00B8307D">
              <w:rPr>
                <w:sz w:val="22"/>
                <w:szCs w:val="22"/>
                <w:lang w:val="sr-Latn-ME"/>
              </w:rPr>
              <w:t>p=0.0024</w:t>
            </w:r>
          </w:p>
        </w:tc>
      </w:tr>
    </w:tbl>
    <w:p w14:paraId="6989FAF7" w14:textId="77777777" w:rsidR="007253DB" w:rsidRPr="00B8307D" w:rsidRDefault="007253DB" w:rsidP="000A067B">
      <w:pPr>
        <w:widowControl w:val="0"/>
        <w:jc w:val="both"/>
        <w:rPr>
          <w:sz w:val="20"/>
          <w:szCs w:val="20"/>
          <w:lang w:val="sr-Latn-ME"/>
        </w:rPr>
      </w:pPr>
      <w:r w:rsidRPr="00B8307D">
        <w:rPr>
          <w:sz w:val="20"/>
          <w:szCs w:val="20"/>
          <w:lang w:val="sr-Latn-ME"/>
        </w:rPr>
        <w:t>AC→D doksorubicin plus ciklofosfamid nakon čega slijedi docetaksel; AC→DH doksorubicin plus ciklofosfamid nakon čega slijede docetaksel i trastuzumab; CI=interval pouzdanosti</w:t>
      </w:r>
    </w:p>
    <w:p w14:paraId="6D6DCE23" w14:textId="77777777" w:rsidR="007253DB" w:rsidRPr="00B8307D" w:rsidRDefault="007253DB" w:rsidP="000A067B">
      <w:pPr>
        <w:widowControl w:val="0"/>
        <w:jc w:val="both"/>
        <w:rPr>
          <w:sz w:val="22"/>
          <w:szCs w:val="22"/>
          <w:lang w:val="sr-Latn-ME"/>
        </w:rPr>
      </w:pPr>
    </w:p>
    <w:p w14:paraId="288A10F3" w14:textId="77777777" w:rsidR="007253DB" w:rsidRPr="00B8307D" w:rsidRDefault="007253DB" w:rsidP="000A067B">
      <w:pPr>
        <w:widowControl w:val="0"/>
        <w:jc w:val="both"/>
        <w:rPr>
          <w:sz w:val="22"/>
          <w:szCs w:val="22"/>
          <w:lang w:val="sr-Latn-ME"/>
        </w:rPr>
      </w:pPr>
      <w:r w:rsidRPr="00B8307D">
        <w:rPr>
          <w:sz w:val="22"/>
          <w:szCs w:val="22"/>
          <w:lang w:val="sr-Latn-ME"/>
        </w:rPr>
        <w:t>Tabela 9: Pregled analize efikasnosti u studiji BCIRG 006; AC-D u odnosu na DcarbH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7"/>
        <w:gridCol w:w="1737"/>
        <w:gridCol w:w="1652"/>
        <w:gridCol w:w="2389"/>
      </w:tblGrid>
      <w:tr w:rsidR="007253DB" w:rsidRPr="00B8307D" w14:paraId="53D85A0F" w14:textId="77777777" w:rsidTr="00DE3522">
        <w:tc>
          <w:tcPr>
            <w:tcW w:w="1816" w:type="pct"/>
            <w:tcBorders>
              <w:top w:val="single" w:sz="4" w:space="0" w:color="auto"/>
              <w:left w:val="single" w:sz="4" w:space="0" w:color="auto"/>
              <w:bottom w:val="single" w:sz="4" w:space="0" w:color="auto"/>
              <w:right w:val="single" w:sz="4" w:space="0" w:color="auto"/>
            </w:tcBorders>
          </w:tcPr>
          <w:p w14:paraId="2B4901F2" w14:textId="77777777" w:rsidR="007253DB" w:rsidRPr="00B8307D" w:rsidRDefault="007253DB" w:rsidP="000A067B">
            <w:pPr>
              <w:widowControl w:val="0"/>
              <w:rPr>
                <w:sz w:val="22"/>
                <w:szCs w:val="22"/>
                <w:lang w:val="sr-Latn-ME"/>
              </w:rPr>
            </w:pPr>
          </w:p>
          <w:p w14:paraId="2ADC6134" w14:textId="77777777" w:rsidR="007253DB" w:rsidRPr="00B8307D" w:rsidRDefault="007253DB" w:rsidP="000A067B">
            <w:pPr>
              <w:widowControl w:val="0"/>
              <w:rPr>
                <w:sz w:val="22"/>
                <w:szCs w:val="22"/>
                <w:lang w:val="sr-Latn-ME"/>
              </w:rPr>
            </w:pPr>
            <w:r w:rsidRPr="00B8307D">
              <w:rPr>
                <w:sz w:val="22"/>
                <w:szCs w:val="22"/>
                <w:lang w:val="sr-Latn-ME"/>
              </w:rPr>
              <w:t xml:space="preserve">Parametar </w:t>
            </w:r>
          </w:p>
          <w:p w14:paraId="3AC55EB2" w14:textId="2FD54D14" w:rsidR="007253DB" w:rsidRPr="00B8307D" w:rsidRDefault="007253DB" w:rsidP="000A067B">
            <w:pPr>
              <w:widowControl w:val="0"/>
              <w:tabs>
                <w:tab w:val="left" w:pos="284"/>
              </w:tabs>
              <w:rPr>
                <w:sz w:val="22"/>
                <w:szCs w:val="22"/>
                <w:lang w:val="sr-Latn-ME"/>
              </w:rPr>
            </w:pPr>
          </w:p>
        </w:tc>
        <w:tc>
          <w:tcPr>
            <w:tcW w:w="957" w:type="pct"/>
            <w:tcBorders>
              <w:top w:val="single" w:sz="4" w:space="0" w:color="auto"/>
              <w:left w:val="single" w:sz="4" w:space="0" w:color="auto"/>
              <w:bottom w:val="single" w:sz="4" w:space="0" w:color="auto"/>
              <w:right w:val="single" w:sz="4" w:space="0" w:color="auto"/>
            </w:tcBorders>
            <w:hideMark/>
          </w:tcPr>
          <w:p w14:paraId="40CE943A" w14:textId="77777777" w:rsidR="007253DB" w:rsidRPr="00B8307D" w:rsidRDefault="007253DB" w:rsidP="000A067B">
            <w:pPr>
              <w:widowControl w:val="0"/>
              <w:jc w:val="center"/>
              <w:rPr>
                <w:sz w:val="22"/>
                <w:szCs w:val="22"/>
                <w:lang w:val="sr-Latn-ME"/>
              </w:rPr>
            </w:pPr>
            <w:r w:rsidRPr="00B8307D">
              <w:rPr>
                <w:sz w:val="22"/>
                <w:szCs w:val="22"/>
                <w:lang w:val="sr-Latn-ME"/>
              </w:rPr>
              <w:t>AC</w:t>
            </w:r>
            <w:r w:rsidRPr="00B8307D">
              <w:rPr>
                <w:sz w:val="20"/>
                <w:szCs w:val="20"/>
                <w:lang w:val="sr-Latn-ME"/>
              </w:rPr>
              <w:t>→</w:t>
            </w:r>
            <w:r w:rsidRPr="00B8307D">
              <w:rPr>
                <w:sz w:val="22"/>
                <w:szCs w:val="22"/>
                <w:lang w:val="sr-Latn-ME"/>
              </w:rPr>
              <w:t>D</w:t>
            </w:r>
          </w:p>
          <w:p w14:paraId="50194C70" w14:textId="77777777" w:rsidR="007253DB" w:rsidRPr="00B8307D" w:rsidRDefault="007253DB" w:rsidP="000A067B">
            <w:pPr>
              <w:widowControl w:val="0"/>
              <w:tabs>
                <w:tab w:val="left" w:pos="284"/>
              </w:tabs>
              <w:jc w:val="center"/>
              <w:rPr>
                <w:sz w:val="22"/>
                <w:szCs w:val="22"/>
                <w:lang w:val="sr-Latn-ME"/>
              </w:rPr>
            </w:pPr>
            <w:r w:rsidRPr="00B8307D">
              <w:rPr>
                <w:sz w:val="22"/>
                <w:szCs w:val="22"/>
                <w:lang w:val="sr-Latn-ME"/>
              </w:rPr>
              <w:t>(n=1073)</w:t>
            </w:r>
          </w:p>
        </w:tc>
        <w:tc>
          <w:tcPr>
            <w:tcW w:w="910" w:type="pct"/>
            <w:tcBorders>
              <w:top w:val="single" w:sz="4" w:space="0" w:color="auto"/>
              <w:left w:val="single" w:sz="4" w:space="0" w:color="auto"/>
              <w:bottom w:val="single" w:sz="4" w:space="0" w:color="auto"/>
              <w:right w:val="single" w:sz="4" w:space="0" w:color="auto"/>
            </w:tcBorders>
            <w:hideMark/>
          </w:tcPr>
          <w:p w14:paraId="75963695" w14:textId="77777777" w:rsidR="007253DB" w:rsidRPr="00B8307D" w:rsidRDefault="007253DB" w:rsidP="000A067B">
            <w:pPr>
              <w:widowControl w:val="0"/>
              <w:jc w:val="center"/>
              <w:rPr>
                <w:sz w:val="22"/>
                <w:szCs w:val="22"/>
                <w:lang w:val="sr-Latn-ME"/>
              </w:rPr>
            </w:pPr>
            <w:r w:rsidRPr="00B8307D">
              <w:rPr>
                <w:sz w:val="22"/>
                <w:szCs w:val="22"/>
                <w:lang w:val="sr-Latn-ME"/>
              </w:rPr>
              <w:t>DCarbH</w:t>
            </w:r>
          </w:p>
          <w:p w14:paraId="1EB8E06D" w14:textId="77777777" w:rsidR="007253DB" w:rsidRPr="00B8307D" w:rsidRDefault="007253DB" w:rsidP="000A067B">
            <w:pPr>
              <w:widowControl w:val="0"/>
              <w:tabs>
                <w:tab w:val="left" w:pos="284"/>
              </w:tabs>
              <w:jc w:val="center"/>
              <w:rPr>
                <w:sz w:val="22"/>
                <w:szCs w:val="22"/>
                <w:lang w:val="sr-Latn-ME"/>
              </w:rPr>
            </w:pPr>
            <w:r w:rsidRPr="00B8307D">
              <w:rPr>
                <w:sz w:val="22"/>
                <w:szCs w:val="22"/>
                <w:lang w:val="sr-Latn-ME"/>
              </w:rPr>
              <w:t>(n=1074)</w:t>
            </w:r>
          </w:p>
        </w:tc>
        <w:tc>
          <w:tcPr>
            <w:tcW w:w="1316" w:type="pct"/>
            <w:tcBorders>
              <w:top w:val="single" w:sz="4" w:space="0" w:color="auto"/>
              <w:left w:val="single" w:sz="4" w:space="0" w:color="auto"/>
              <w:bottom w:val="single" w:sz="4" w:space="0" w:color="auto"/>
              <w:right w:val="single" w:sz="4" w:space="0" w:color="auto"/>
            </w:tcBorders>
          </w:tcPr>
          <w:p w14:paraId="35867776" w14:textId="77777777" w:rsidR="007253DB" w:rsidRPr="00B8307D" w:rsidRDefault="007253DB" w:rsidP="000A067B">
            <w:pPr>
              <w:widowControl w:val="0"/>
              <w:jc w:val="center"/>
              <w:rPr>
                <w:sz w:val="22"/>
                <w:szCs w:val="22"/>
                <w:lang w:val="sr-Latn-ME"/>
              </w:rPr>
            </w:pPr>
            <w:r w:rsidRPr="00B8307D">
              <w:rPr>
                <w:sz w:val="22"/>
                <w:szCs w:val="22"/>
                <w:lang w:val="sr-Latn-ME"/>
              </w:rPr>
              <w:t>Koeficijent rizika vs</w:t>
            </w:r>
          </w:p>
          <w:p w14:paraId="02A1B6BF" w14:textId="77777777" w:rsidR="007253DB" w:rsidRPr="00B8307D" w:rsidRDefault="007253DB" w:rsidP="000A067B">
            <w:pPr>
              <w:widowControl w:val="0"/>
              <w:jc w:val="center"/>
              <w:rPr>
                <w:sz w:val="22"/>
                <w:szCs w:val="22"/>
                <w:lang w:val="sr-Latn-ME"/>
              </w:rPr>
            </w:pPr>
            <w:r w:rsidRPr="00B8307D">
              <w:rPr>
                <w:sz w:val="22"/>
                <w:szCs w:val="22"/>
                <w:lang w:val="sr-Latn-ME"/>
              </w:rPr>
              <w:t>AC</w:t>
            </w:r>
            <w:r w:rsidRPr="00B8307D">
              <w:rPr>
                <w:sz w:val="20"/>
                <w:szCs w:val="20"/>
                <w:lang w:val="sr-Latn-ME"/>
              </w:rPr>
              <w:t>→</w:t>
            </w:r>
            <w:r w:rsidRPr="00B8307D">
              <w:rPr>
                <w:sz w:val="22"/>
                <w:szCs w:val="22"/>
                <w:lang w:val="sr-Latn-ME"/>
              </w:rPr>
              <w:t>D</w:t>
            </w:r>
          </w:p>
          <w:p w14:paraId="5BC947E7" w14:textId="1CB53C4F" w:rsidR="007253DB" w:rsidRPr="00B8307D" w:rsidRDefault="007253DB" w:rsidP="00DE3522">
            <w:pPr>
              <w:widowControl w:val="0"/>
              <w:jc w:val="center"/>
              <w:rPr>
                <w:sz w:val="22"/>
                <w:szCs w:val="22"/>
                <w:lang w:val="sr-Latn-ME"/>
              </w:rPr>
            </w:pPr>
            <w:r w:rsidRPr="00B8307D">
              <w:rPr>
                <w:sz w:val="22"/>
                <w:szCs w:val="22"/>
                <w:lang w:val="sr-Latn-ME"/>
              </w:rPr>
              <w:t>(95% CI)</w:t>
            </w:r>
          </w:p>
        </w:tc>
      </w:tr>
      <w:tr w:rsidR="007253DB" w:rsidRPr="00B8307D" w14:paraId="780A17FC" w14:textId="77777777" w:rsidTr="00DE3522">
        <w:tc>
          <w:tcPr>
            <w:tcW w:w="1816" w:type="pct"/>
            <w:tcBorders>
              <w:top w:val="single" w:sz="4" w:space="0" w:color="auto"/>
              <w:left w:val="single" w:sz="4" w:space="0" w:color="auto"/>
              <w:bottom w:val="single" w:sz="4" w:space="0" w:color="auto"/>
              <w:right w:val="single" w:sz="4" w:space="0" w:color="auto"/>
            </w:tcBorders>
          </w:tcPr>
          <w:p w14:paraId="6432D530" w14:textId="77777777" w:rsidR="007253DB" w:rsidRPr="00B8307D" w:rsidRDefault="007253DB" w:rsidP="000A067B">
            <w:pPr>
              <w:widowControl w:val="0"/>
              <w:rPr>
                <w:sz w:val="22"/>
                <w:szCs w:val="22"/>
                <w:lang w:val="sr-Latn-ME"/>
              </w:rPr>
            </w:pPr>
            <w:r w:rsidRPr="00B8307D">
              <w:rPr>
                <w:sz w:val="22"/>
                <w:szCs w:val="22"/>
                <w:lang w:val="sr-Latn-ME"/>
              </w:rPr>
              <w:t>Preživljavanje bez bolesti</w:t>
            </w:r>
          </w:p>
          <w:p w14:paraId="0D6480D7" w14:textId="0862A268" w:rsidR="007253DB" w:rsidRPr="00B8307D" w:rsidRDefault="007253DB" w:rsidP="00DE3522">
            <w:pPr>
              <w:widowControl w:val="0"/>
              <w:rPr>
                <w:sz w:val="22"/>
                <w:szCs w:val="22"/>
                <w:lang w:val="sr-Latn-ME"/>
              </w:rPr>
            </w:pPr>
            <w:r w:rsidRPr="00B8307D">
              <w:rPr>
                <w:sz w:val="22"/>
                <w:szCs w:val="22"/>
                <w:lang w:val="sr-Latn-ME"/>
              </w:rPr>
              <w:t>Broj pacijenata sa događajem (%)</w:t>
            </w:r>
          </w:p>
        </w:tc>
        <w:tc>
          <w:tcPr>
            <w:tcW w:w="957" w:type="pct"/>
            <w:tcBorders>
              <w:top w:val="single" w:sz="4" w:space="0" w:color="auto"/>
              <w:left w:val="single" w:sz="4" w:space="0" w:color="auto"/>
              <w:bottom w:val="single" w:sz="4" w:space="0" w:color="auto"/>
              <w:right w:val="single" w:sz="4" w:space="0" w:color="auto"/>
            </w:tcBorders>
          </w:tcPr>
          <w:p w14:paraId="5F2E9D3A" w14:textId="77777777" w:rsidR="007253DB" w:rsidRPr="00B8307D" w:rsidRDefault="007253DB" w:rsidP="000A067B">
            <w:pPr>
              <w:widowControl w:val="0"/>
              <w:tabs>
                <w:tab w:val="left" w:pos="284"/>
              </w:tabs>
              <w:jc w:val="center"/>
              <w:rPr>
                <w:sz w:val="22"/>
                <w:szCs w:val="22"/>
                <w:lang w:val="sr-Latn-ME"/>
              </w:rPr>
            </w:pPr>
            <w:r w:rsidRPr="00B8307D">
              <w:rPr>
                <w:sz w:val="22"/>
                <w:szCs w:val="22"/>
                <w:lang w:val="sr-Latn-ME"/>
              </w:rPr>
              <w:t>195</w:t>
            </w:r>
          </w:p>
        </w:tc>
        <w:tc>
          <w:tcPr>
            <w:tcW w:w="910" w:type="pct"/>
            <w:tcBorders>
              <w:top w:val="single" w:sz="4" w:space="0" w:color="auto"/>
              <w:left w:val="single" w:sz="4" w:space="0" w:color="auto"/>
              <w:bottom w:val="single" w:sz="4" w:space="0" w:color="auto"/>
              <w:right w:val="single" w:sz="4" w:space="0" w:color="auto"/>
            </w:tcBorders>
          </w:tcPr>
          <w:p w14:paraId="6DAD9B8E" w14:textId="77777777" w:rsidR="007253DB" w:rsidRPr="00B8307D" w:rsidRDefault="007253DB" w:rsidP="000A067B">
            <w:pPr>
              <w:widowControl w:val="0"/>
              <w:tabs>
                <w:tab w:val="left" w:pos="284"/>
              </w:tabs>
              <w:jc w:val="center"/>
              <w:rPr>
                <w:sz w:val="22"/>
                <w:szCs w:val="22"/>
                <w:lang w:val="sr-Latn-ME"/>
              </w:rPr>
            </w:pPr>
            <w:r w:rsidRPr="00B8307D">
              <w:rPr>
                <w:sz w:val="22"/>
                <w:szCs w:val="22"/>
                <w:lang w:val="sr-Latn-ME"/>
              </w:rPr>
              <w:t>145</w:t>
            </w:r>
          </w:p>
        </w:tc>
        <w:tc>
          <w:tcPr>
            <w:tcW w:w="1316" w:type="pct"/>
            <w:tcBorders>
              <w:top w:val="single" w:sz="4" w:space="0" w:color="auto"/>
              <w:left w:val="single" w:sz="4" w:space="0" w:color="auto"/>
              <w:bottom w:val="single" w:sz="4" w:space="0" w:color="auto"/>
              <w:right w:val="single" w:sz="4" w:space="0" w:color="auto"/>
            </w:tcBorders>
          </w:tcPr>
          <w:p w14:paraId="7845F364" w14:textId="77777777" w:rsidR="007253DB" w:rsidRPr="00B8307D" w:rsidRDefault="007253DB" w:rsidP="000A067B">
            <w:pPr>
              <w:widowControl w:val="0"/>
              <w:jc w:val="center"/>
              <w:rPr>
                <w:sz w:val="22"/>
                <w:szCs w:val="22"/>
                <w:lang w:val="sr-Latn-ME"/>
              </w:rPr>
            </w:pPr>
            <w:r w:rsidRPr="00B8307D">
              <w:rPr>
                <w:sz w:val="22"/>
                <w:szCs w:val="22"/>
                <w:lang w:val="sr-Latn-ME"/>
              </w:rPr>
              <w:t>0,67 (0,54, 0,83)</w:t>
            </w:r>
          </w:p>
          <w:p w14:paraId="2E9728EF" w14:textId="77777777" w:rsidR="007253DB" w:rsidRPr="00B8307D" w:rsidRDefault="007253DB" w:rsidP="000A067B">
            <w:pPr>
              <w:widowControl w:val="0"/>
              <w:tabs>
                <w:tab w:val="left" w:pos="284"/>
              </w:tabs>
              <w:jc w:val="center"/>
              <w:rPr>
                <w:sz w:val="22"/>
                <w:szCs w:val="22"/>
                <w:lang w:val="sr-Latn-ME"/>
              </w:rPr>
            </w:pPr>
            <w:r w:rsidRPr="00B8307D">
              <w:rPr>
                <w:sz w:val="22"/>
                <w:szCs w:val="22"/>
                <w:lang w:val="sr-Latn-ME"/>
              </w:rPr>
              <w:t>p=0.0003</w:t>
            </w:r>
          </w:p>
        </w:tc>
      </w:tr>
      <w:tr w:rsidR="007253DB" w:rsidRPr="00B8307D" w14:paraId="7FF23D01" w14:textId="77777777" w:rsidTr="00DE3522">
        <w:tc>
          <w:tcPr>
            <w:tcW w:w="1816" w:type="pct"/>
            <w:tcBorders>
              <w:top w:val="single" w:sz="4" w:space="0" w:color="auto"/>
              <w:left w:val="single" w:sz="4" w:space="0" w:color="auto"/>
              <w:bottom w:val="single" w:sz="4" w:space="0" w:color="auto"/>
              <w:right w:val="single" w:sz="4" w:space="0" w:color="auto"/>
            </w:tcBorders>
          </w:tcPr>
          <w:p w14:paraId="6228956C" w14:textId="77777777" w:rsidR="007253DB" w:rsidRPr="00B8307D" w:rsidRDefault="007253DB" w:rsidP="000A067B">
            <w:pPr>
              <w:widowControl w:val="0"/>
              <w:rPr>
                <w:sz w:val="22"/>
                <w:szCs w:val="22"/>
                <w:lang w:val="sr-Latn-ME"/>
              </w:rPr>
            </w:pPr>
            <w:r w:rsidRPr="00B8307D">
              <w:rPr>
                <w:sz w:val="22"/>
                <w:szCs w:val="22"/>
                <w:lang w:val="sr-Latn-ME"/>
              </w:rPr>
              <w:t>Pojava udaljenih metastaza</w:t>
            </w:r>
          </w:p>
          <w:p w14:paraId="7A2B65E7" w14:textId="2B4633C5" w:rsidR="007253DB" w:rsidRPr="00B8307D" w:rsidRDefault="007253DB" w:rsidP="00DE3522">
            <w:pPr>
              <w:widowControl w:val="0"/>
              <w:rPr>
                <w:sz w:val="22"/>
                <w:szCs w:val="22"/>
                <w:lang w:val="sr-Latn-ME"/>
              </w:rPr>
            </w:pPr>
            <w:r w:rsidRPr="00B8307D">
              <w:rPr>
                <w:sz w:val="22"/>
                <w:szCs w:val="22"/>
                <w:lang w:val="sr-Latn-ME"/>
              </w:rPr>
              <w:t>Broj pacijenata sa događajem (%)</w:t>
            </w:r>
          </w:p>
        </w:tc>
        <w:tc>
          <w:tcPr>
            <w:tcW w:w="957" w:type="pct"/>
            <w:tcBorders>
              <w:top w:val="single" w:sz="4" w:space="0" w:color="auto"/>
              <w:left w:val="single" w:sz="4" w:space="0" w:color="auto"/>
              <w:bottom w:val="single" w:sz="4" w:space="0" w:color="auto"/>
              <w:right w:val="single" w:sz="4" w:space="0" w:color="auto"/>
            </w:tcBorders>
          </w:tcPr>
          <w:p w14:paraId="5CB49299" w14:textId="77777777" w:rsidR="007253DB" w:rsidRPr="00B8307D" w:rsidRDefault="007253DB" w:rsidP="000A067B">
            <w:pPr>
              <w:widowControl w:val="0"/>
              <w:tabs>
                <w:tab w:val="left" w:pos="284"/>
              </w:tabs>
              <w:jc w:val="center"/>
              <w:rPr>
                <w:sz w:val="22"/>
                <w:szCs w:val="22"/>
                <w:lang w:val="sr-Latn-ME"/>
              </w:rPr>
            </w:pPr>
            <w:r w:rsidRPr="00B8307D">
              <w:rPr>
                <w:sz w:val="22"/>
                <w:szCs w:val="22"/>
                <w:lang w:val="sr-Latn-ME"/>
              </w:rPr>
              <w:t>144</w:t>
            </w:r>
          </w:p>
        </w:tc>
        <w:tc>
          <w:tcPr>
            <w:tcW w:w="910" w:type="pct"/>
            <w:tcBorders>
              <w:top w:val="single" w:sz="4" w:space="0" w:color="auto"/>
              <w:left w:val="single" w:sz="4" w:space="0" w:color="auto"/>
              <w:bottom w:val="single" w:sz="4" w:space="0" w:color="auto"/>
              <w:right w:val="single" w:sz="4" w:space="0" w:color="auto"/>
            </w:tcBorders>
          </w:tcPr>
          <w:p w14:paraId="4F4AE17E" w14:textId="77777777" w:rsidR="007253DB" w:rsidRPr="00B8307D" w:rsidRDefault="007253DB" w:rsidP="000A067B">
            <w:pPr>
              <w:widowControl w:val="0"/>
              <w:tabs>
                <w:tab w:val="left" w:pos="284"/>
              </w:tabs>
              <w:jc w:val="center"/>
              <w:rPr>
                <w:sz w:val="22"/>
                <w:szCs w:val="22"/>
                <w:lang w:val="sr-Latn-ME"/>
              </w:rPr>
            </w:pPr>
            <w:r w:rsidRPr="00B8307D">
              <w:rPr>
                <w:sz w:val="22"/>
                <w:szCs w:val="22"/>
                <w:lang w:val="sr-Latn-ME"/>
              </w:rPr>
              <w:t>103</w:t>
            </w:r>
          </w:p>
        </w:tc>
        <w:tc>
          <w:tcPr>
            <w:tcW w:w="1316" w:type="pct"/>
            <w:tcBorders>
              <w:top w:val="single" w:sz="4" w:space="0" w:color="auto"/>
              <w:left w:val="single" w:sz="4" w:space="0" w:color="auto"/>
              <w:bottom w:val="single" w:sz="4" w:space="0" w:color="auto"/>
              <w:right w:val="single" w:sz="4" w:space="0" w:color="auto"/>
            </w:tcBorders>
          </w:tcPr>
          <w:p w14:paraId="1277C62E" w14:textId="77777777" w:rsidR="007253DB" w:rsidRPr="00B8307D" w:rsidRDefault="007253DB" w:rsidP="000A067B">
            <w:pPr>
              <w:widowControl w:val="0"/>
              <w:jc w:val="center"/>
              <w:rPr>
                <w:sz w:val="22"/>
                <w:szCs w:val="22"/>
                <w:lang w:val="sr-Latn-ME"/>
              </w:rPr>
            </w:pPr>
            <w:r w:rsidRPr="00B8307D">
              <w:rPr>
                <w:sz w:val="22"/>
                <w:szCs w:val="22"/>
                <w:lang w:val="sr-Latn-ME"/>
              </w:rPr>
              <w:t>0.65 (0.50, 0.84)</w:t>
            </w:r>
          </w:p>
          <w:p w14:paraId="17FA7F4C" w14:textId="77777777" w:rsidR="007253DB" w:rsidRPr="00B8307D" w:rsidRDefault="007253DB" w:rsidP="000A067B">
            <w:pPr>
              <w:widowControl w:val="0"/>
              <w:tabs>
                <w:tab w:val="left" w:pos="284"/>
              </w:tabs>
              <w:jc w:val="center"/>
              <w:rPr>
                <w:sz w:val="22"/>
                <w:szCs w:val="22"/>
                <w:lang w:val="sr-Latn-ME"/>
              </w:rPr>
            </w:pPr>
            <w:r w:rsidRPr="00B8307D">
              <w:rPr>
                <w:sz w:val="22"/>
                <w:szCs w:val="22"/>
                <w:lang w:val="sr-Latn-ME"/>
              </w:rPr>
              <w:t>p=0.0008</w:t>
            </w:r>
          </w:p>
        </w:tc>
      </w:tr>
      <w:tr w:rsidR="007253DB" w:rsidRPr="00B8307D" w14:paraId="0CF26CAB" w14:textId="77777777" w:rsidTr="00DE3522">
        <w:tc>
          <w:tcPr>
            <w:tcW w:w="1816" w:type="pct"/>
            <w:tcBorders>
              <w:top w:val="single" w:sz="4" w:space="0" w:color="auto"/>
              <w:left w:val="single" w:sz="4" w:space="0" w:color="auto"/>
              <w:bottom w:val="single" w:sz="4" w:space="0" w:color="auto"/>
              <w:right w:val="single" w:sz="4" w:space="0" w:color="auto"/>
            </w:tcBorders>
          </w:tcPr>
          <w:p w14:paraId="310A87F6" w14:textId="77777777" w:rsidR="007253DB" w:rsidRPr="00B8307D" w:rsidRDefault="007253DB" w:rsidP="000A067B">
            <w:pPr>
              <w:widowControl w:val="0"/>
              <w:rPr>
                <w:sz w:val="22"/>
                <w:szCs w:val="22"/>
                <w:lang w:val="sr-Latn-ME"/>
              </w:rPr>
            </w:pPr>
            <w:r w:rsidRPr="00B8307D">
              <w:rPr>
                <w:sz w:val="22"/>
                <w:szCs w:val="22"/>
                <w:lang w:val="sr-Latn-ME"/>
              </w:rPr>
              <w:t>Smrt (događaj ukupnog preživljavanja)</w:t>
            </w:r>
          </w:p>
          <w:p w14:paraId="58FBCDF0" w14:textId="32054AC1" w:rsidR="007253DB" w:rsidRPr="00B8307D" w:rsidRDefault="007253DB" w:rsidP="00DE3522">
            <w:pPr>
              <w:widowControl w:val="0"/>
              <w:rPr>
                <w:sz w:val="22"/>
                <w:szCs w:val="22"/>
                <w:lang w:val="sr-Latn-ME"/>
              </w:rPr>
            </w:pPr>
            <w:r w:rsidRPr="00B8307D">
              <w:rPr>
                <w:sz w:val="22"/>
                <w:szCs w:val="22"/>
                <w:lang w:val="sr-Latn-ME"/>
              </w:rPr>
              <w:t>Broj pacijenata sa događajem (%)</w:t>
            </w:r>
          </w:p>
        </w:tc>
        <w:tc>
          <w:tcPr>
            <w:tcW w:w="957" w:type="pct"/>
            <w:tcBorders>
              <w:top w:val="single" w:sz="4" w:space="0" w:color="auto"/>
              <w:left w:val="single" w:sz="4" w:space="0" w:color="auto"/>
              <w:bottom w:val="single" w:sz="4" w:space="0" w:color="auto"/>
              <w:right w:val="single" w:sz="4" w:space="0" w:color="auto"/>
            </w:tcBorders>
          </w:tcPr>
          <w:p w14:paraId="75E791A8" w14:textId="77777777" w:rsidR="007253DB" w:rsidRPr="00B8307D" w:rsidRDefault="007253DB" w:rsidP="000A067B">
            <w:pPr>
              <w:widowControl w:val="0"/>
              <w:tabs>
                <w:tab w:val="left" w:pos="284"/>
              </w:tabs>
              <w:jc w:val="center"/>
              <w:rPr>
                <w:sz w:val="22"/>
                <w:szCs w:val="22"/>
                <w:lang w:val="sr-Latn-ME"/>
              </w:rPr>
            </w:pPr>
            <w:r w:rsidRPr="00B8307D">
              <w:rPr>
                <w:sz w:val="22"/>
                <w:szCs w:val="22"/>
                <w:lang w:val="sr-Latn-ME"/>
              </w:rPr>
              <w:t>80</w:t>
            </w:r>
          </w:p>
        </w:tc>
        <w:tc>
          <w:tcPr>
            <w:tcW w:w="910" w:type="pct"/>
            <w:tcBorders>
              <w:top w:val="single" w:sz="4" w:space="0" w:color="auto"/>
              <w:left w:val="single" w:sz="4" w:space="0" w:color="auto"/>
              <w:bottom w:val="single" w:sz="4" w:space="0" w:color="auto"/>
              <w:right w:val="single" w:sz="4" w:space="0" w:color="auto"/>
            </w:tcBorders>
          </w:tcPr>
          <w:p w14:paraId="5691EECF" w14:textId="77777777" w:rsidR="007253DB" w:rsidRPr="00B8307D" w:rsidRDefault="007253DB" w:rsidP="000A067B">
            <w:pPr>
              <w:widowControl w:val="0"/>
              <w:tabs>
                <w:tab w:val="left" w:pos="284"/>
              </w:tabs>
              <w:jc w:val="center"/>
              <w:rPr>
                <w:sz w:val="22"/>
                <w:szCs w:val="22"/>
                <w:lang w:val="sr-Latn-ME"/>
              </w:rPr>
            </w:pPr>
            <w:r w:rsidRPr="00B8307D">
              <w:rPr>
                <w:sz w:val="22"/>
                <w:szCs w:val="22"/>
                <w:lang w:val="sr-Latn-ME"/>
              </w:rPr>
              <w:t>56</w:t>
            </w:r>
          </w:p>
        </w:tc>
        <w:tc>
          <w:tcPr>
            <w:tcW w:w="1316" w:type="pct"/>
            <w:tcBorders>
              <w:top w:val="single" w:sz="4" w:space="0" w:color="auto"/>
              <w:left w:val="single" w:sz="4" w:space="0" w:color="auto"/>
              <w:bottom w:val="single" w:sz="4" w:space="0" w:color="auto"/>
              <w:right w:val="single" w:sz="4" w:space="0" w:color="auto"/>
            </w:tcBorders>
          </w:tcPr>
          <w:p w14:paraId="430C21B2" w14:textId="77777777" w:rsidR="007253DB" w:rsidRPr="00B8307D" w:rsidRDefault="007253DB" w:rsidP="000A067B">
            <w:pPr>
              <w:widowControl w:val="0"/>
              <w:jc w:val="center"/>
              <w:rPr>
                <w:sz w:val="22"/>
                <w:szCs w:val="22"/>
                <w:lang w:val="sr-Latn-ME"/>
              </w:rPr>
            </w:pPr>
            <w:r w:rsidRPr="00B8307D">
              <w:rPr>
                <w:sz w:val="22"/>
                <w:szCs w:val="22"/>
                <w:lang w:val="sr-Latn-ME"/>
              </w:rPr>
              <w:t>0.66 (0.47, 0.93)</w:t>
            </w:r>
          </w:p>
          <w:p w14:paraId="43757ABD" w14:textId="77777777" w:rsidR="007253DB" w:rsidRPr="00B8307D" w:rsidRDefault="007253DB" w:rsidP="000A067B">
            <w:pPr>
              <w:widowControl w:val="0"/>
              <w:tabs>
                <w:tab w:val="left" w:pos="284"/>
              </w:tabs>
              <w:jc w:val="center"/>
              <w:rPr>
                <w:sz w:val="22"/>
                <w:szCs w:val="22"/>
                <w:lang w:val="sr-Latn-ME"/>
              </w:rPr>
            </w:pPr>
            <w:r w:rsidRPr="00B8307D">
              <w:rPr>
                <w:sz w:val="22"/>
                <w:szCs w:val="22"/>
                <w:lang w:val="sr-Latn-ME"/>
              </w:rPr>
              <w:t>p=0.0182</w:t>
            </w:r>
          </w:p>
        </w:tc>
      </w:tr>
    </w:tbl>
    <w:p w14:paraId="1930038F" w14:textId="77777777" w:rsidR="007253DB" w:rsidRPr="00B8307D" w:rsidRDefault="007253DB" w:rsidP="000A067B">
      <w:pPr>
        <w:widowControl w:val="0"/>
        <w:jc w:val="both"/>
        <w:rPr>
          <w:sz w:val="20"/>
          <w:szCs w:val="20"/>
          <w:lang w:val="sr-Latn-ME"/>
        </w:rPr>
      </w:pPr>
      <w:r w:rsidRPr="00B8307D">
        <w:rPr>
          <w:sz w:val="20"/>
          <w:szCs w:val="20"/>
          <w:lang w:val="sr-Latn-ME"/>
        </w:rPr>
        <w:t>AC→D doksorubicin plus ciklofosfamid nakon čega slijedi docetaksel; DCarbH docetaksel, karboplatin i trastuzumab; CI-interval pouzdanosti</w:t>
      </w:r>
    </w:p>
    <w:p w14:paraId="62053846" w14:textId="77777777" w:rsidR="007253DB" w:rsidRPr="00B8307D" w:rsidRDefault="007253DB" w:rsidP="000A067B">
      <w:pPr>
        <w:widowControl w:val="0"/>
        <w:jc w:val="both"/>
        <w:rPr>
          <w:sz w:val="22"/>
          <w:szCs w:val="22"/>
          <w:lang w:val="sr-Latn-ME"/>
        </w:rPr>
      </w:pPr>
    </w:p>
    <w:p w14:paraId="7D4CBF86" w14:textId="77777777" w:rsidR="007253DB" w:rsidRPr="00B8307D" w:rsidRDefault="007253DB" w:rsidP="000A067B">
      <w:pPr>
        <w:widowControl w:val="0"/>
        <w:jc w:val="both"/>
        <w:rPr>
          <w:sz w:val="22"/>
          <w:szCs w:val="22"/>
          <w:lang w:val="sr-Latn-ME"/>
        </w:rPr>
      </w:pPr>
      <w:r w:rsidRPr="00B8307D">
        <w:rPr>
          <w:sz w:val="22"/>
          <w:szCs w:val="22"/>
          <w:lang w:val="sr-Latn-ME"/>
        </w:rPr>
        <w:t>Za primarni cilj studije BCIRG 006, preživljavanje bez bolesti, koeficijent rizika apsolutno je povoljan u smislu trogodišnjeg preživljavanja bez bolesti sa razlikom od 5.8% (86.7% naspram 80.9%) u korist grupe AC</w:t>
      </w:r>
      <w:r w:rsidRPr="00B8307D">
        <w:rPr>
          <w:sz w:val="20"/>
          <w:szCs w:val="20"/>
          <w:lang w:val="sr-Latn-ME"/>
        </w:rPr>
        <w:t>→</w:t>
      </w:r>
      <w:r w:rsidRPr="00B8307D">
        <w:rPr>
          <w:sz w:val="22"/>
          <w:szCs w:val="22"/>
          <w:lang w:val="sr-Latn-ME"/>
        </w:rPr>
        <w:t>DH (Herceptin) i 4.6% (85.5% u odnosu na 80.9%) u korist DCarbH grupe (Herceptin) u odnosu na AC</w:t>
      </w:r>
      <w:r w:rsidRPr="00B8307D">
        <w:rPr>
          <w:sz w:val="20"/>
          <w:szCs w:val="20"/>
          <w:lang w:val="sr-Latn-ME"/>
        </w:rPr>
        <w:t>→</w:t>
      </w:r>
      <w:r w:rsidRPr="00B8307D">
        <w:rPr>
          <w:sz w:val="22"/>
          <w:szCs w:val="22"/>
          <w:lang w:val="sr-Latn-ME"/>
        </w:rPr>
        <w:t>D grupu.</w:t>
      </w:r>
    </w:p>
    <w:p w14:paraId="045C7FAE" w14:textId="77777777" w:rsidR="007253DB" w:rsidRPr="00B8307D" w:rsidRDefault="007253DB" w:rsidP="000A067B">
      <w:pPr>
        <w:widowControl w:val="0"/>
        <w:jc w:val="both"/>
        <w:rPr>
          <w:sz w:val="22"/>
          <w:szCs w:val="22"/>
          <w:lang w:val="sr-Latn-ME"/>
        </w:rPr>
      </w:pPr>
    </w:p>
    <w:p w14:paraId="6B9ADD65" w14:textId="77777777" w:rsidR="007253DB" w:rsidRPr="00B8307D" w:rsidRDefault="007253DB" w:rsidP="000A067B">
      <w:pPr>
        <w:widowControl w:val="0"/>
        <w:jc w:val="both"/>
        <w:rPr>
          <w:sz w:val="22"/>
          <w:szCs w:val="22"/>
          <w:lang w:val="sr-Latn-ME"/>
        </w:rPr>
      </w:pPr>
      <w:r w:rsidRPr="00B8307D">
        <w:rPr>
          <w:sz w:val="22"/>
          <w:szCs w:val="22"/>
          <w:lang w:val="sr-Latn-ME"/>
        </w:rPr>
        <w:t>U studiji BCIRG 006 je 213/1075 pacijenata u grupi DCarbH (TCH), 221/1074 pacijenata u grupi AC</w:t>
      </w:r>
      <w:r w:rsidRPr="00B8307D">
        <w:rPr>
          <w:sz w:val="20"/>
          <w:szCs w:val="20"/>
          <w:lang w:val="sr-Latn-ME"/>
        </w:rPr>
        <w:t>→</w:t>
      </w:r>
      <w:r w:rsidRPr="00B8307D">
        <w:rPr>
          <w:sz w:val="22"/>
          <w:szCs w:val="22"/>
          <w:lang w:val="sr-Latn-ME"/>
        </w:rPr>
        <w:t>DH (AC-TH) i 217/1073 pacijenata u grupi AC</w:t>
      </w:r>
      <w:r w:rsidRPr="00B8307D">
        <w:rPr>
          <w:sz w:val="20"/>
          <w:szCs w:val="20"/>
          <w:lang w:val="sr-Latn-ME"/>
        </w:rPr>
        <w:t>→</w:t>
      </w:r>
      <w:r w:rsidRPr="00B8307D">
        <w:rPr>
          <w:sz w:val="22"/>
          <w:szCs w:val="22"/>
          <w:lang w:val="sr-Latn-ME"/>
        </w:rPr>
        <w:t>D (AC</w:t>
      </w:r>
      <w:r w:rsidRPr="00B8307D">
        <w:rPr>
          <w:sz w:val="20"/>
          <w:szCs w:val="20"/>
          <w:lang w:val="sr-Latn-ME"/>
        </w:rPr>
        <w:t>→</w:t>
      </w:r>
      <w:r w:rsidRPr="00B8307D">
        <w:rPr>
          <w:sz w:val="22"/>
          <w:szCs w:val="22"/>
          <w:lang w:val="sr-Latn-ME"/>
        </w:rPr>
        <w:t>T) imalo Karnofski status ≤90 (bilo 80 ili 90). Nije primijećena prednost u pogledu preživljavanja bez bolesti u toj podgrupi pacijenata (koeficijent rizika=1.16, 95% CI (0.73; 1.83) za grupu DCarbH (TCH), u odnosu na AC</w:t>
      </w:r>
      <w:r w:rsidRPr="00B8307D">
        <w:rPr>
          <w:sz w:val="20"/>
          <w:szCs w:val="20"/>
          <w:lang w:val="sr-Latn-ME"/>
        </w:rPr>
        <w:t>→</w:t>
      </w:r>
      <w:r w:rsidRPr="00B8307D">
        <w:rPr>
          <w:sz w:val="22"/>
          <w:szCs w:val="22"/>
          <w:lang w:val="sr-Latn-ME"/>
        </w:rPr>
        <w:t>D (AC</w:t>
      </w:r>
      <w:r w:rsidRPr="00B8307D">
        <w:rPr>
          <w:sz w:val="20"/>
          <w:szCs w:val="20"/>
          <w:lang w:val="sr-Latn-ME"/>
        </w:rPr>
        <w:t>→</w:t>
      </w:r>
      <w:r w:rsidRPr="00B8307D">
        <w:rPr>
          <w:sz w:val="22"/>
          <w:szCs w:val="22"/>
          <w:lang w:val="sr-Latn-ME"/>
        </w:rPr>
        <w:t>TH); koeficijent rizika od 0.97; 95% CI (0.60; 1.55) za AC</w:t>
      </w:r>
      <w:r w:rsidRPr="00B8307D">
        <w:rPr>
          <w:sz w:val="20"/>
          <w:szCs w:val="20"/>
          <w:lang w:val="sr-Latn-ME"/>
        </w:rPr>
        <w:t>→</w:t>
      </w:r>
      <w:r w:rsidRPr="00B8307D">
        <w:rPr>
          <w:sz w:val="22"/>
          <w:szCs w:val="22"/>
          <w:lang w:val="sr-Latn-ME"/>
        </w:rPr>
        <w:t>TH u odnosu na AC</w:t>
      </w:r>
      <w:r w:rsidRPr="00B8307D">
        <w:rPr>
          <w:sz w:val="20"/>
          <w:szCs w:val="20"/>
          <w:lang w:val="sr-Latn-ME"/>
        </w:rPr>
        <w:t>→</w:t>
      </w:r>
      <w:r w:rsidRPr="00B8307D">
        <w:rPr>
          <w:sz w:val="22"/>
          <w:szCs w:val="22"/>
          <w:lang w:val="sr-Latn-ME"/>
        </w:rPr>
        <w:t>D.</w:t>
      </w:r>
    </w:p>
    <w:p w14:paraId="2F2C6BD2" w14:textId="77777777" w:rsidR="007253DB" w:rsidRPr="00B8307D" w:rsidRDefault="007253DB" w:rsidP="000A067B">
      <w:pPr>
        <w:widowControl w:val="0"/>
        <w:jc w:val="both"/>
        <w:rPr>
          <w:sz w:val="22"/>
          <w:szCs w:val="22"/>
          <w:lang w:val="sr-Latn-ME"/>
        </w:rPr>
      </w:pPr>
    </w:p>
    <w:p w14:paraId="56312224" w14:textId="77777777" w:rsidR="007253DB" w:rsidRPr="00B8307D" w:rsidRDefault="007253DB" w:rsidP="000A067B">
      <w:pPr>
        <w:widowControl w:val="0"/>
        <w:jc w:val="both"/>
        <w:rPr>
          <w:sz w:val="22"/>
          <w:szCs w:val="22"/>
          <w:lang w:val="sr-Latn-ME"/>
        </w:rPr>
      </w:pPr>
      <w:r w:rsidRPr="00B8307D">
        <w:rPr>
          <w:sz w:val="22"/>
          <w:szCs w:val="22"/>
          <w:lang w:val="sr-Latn-ME"/>
        </w:rPr>
        <w:t xml:space="preserve">Dodatno je sprovedena </w:t>
      </w:r>
      <w:r w:rsidRPr="00B8307D">
        <w:rPr>
          <w:i/>
          <w:sz w:val="22"/>
          <w:szCs w:val="22"/>
          <w:lang w:val="sr-Latn-ME"/>
        </w:rPr>
        <w:t>post hoc</w:t>
      </w:r>
      <w:r w:rsidRPr="00B8307D">
        <w:rPr>
          <w:sz w:val="22"/>
          <w:szCs w:val="22"/>
          <w:lang w:val="sr-Latn-ME"/>
        </w:rPr>
        <w:t xml:space="preserve"> eksplorativna analiza podataka dobijenih iz zajedničke analize kliničkih ispitivanja NSABP B-31/NCCTG N9831 i BCIRG006, koja uključuje preživljavanje bez bolesti i simptomatske srčane događaje. Rezultati su prikazani u Tabeli 10:</w:t>
      </w:r>
    </w:p>
    <w:p w14:paraId="35F7AA87" w14:textId="77777777" w:rsidR="007253DB" w:rsidRPr="00B8307D" w:rsidRDefault="007253DB" w:rsidP="000A067B">
      <w:pPr>
        <w:widowControl w:val="0"/>
        <w:jc w:val="both"/>
        <w:rPr>
          <w:sz w:val="22"/>
          <w:szCs w:val="22"/>
          <w:lang w:val="sr-Latn-ME"/>
        </w:rPr>
      </w:pPr>
    </w:p>
    <w:p w14:paraId="7955C2A6" w14:textId="77777777" w:rsidR="007253DB" w:rsidRPr="00B8307D" w:rsidRDefault="007253DB" w:rsidP="000A067B">
      <w:pPr>
        <w:widowControl w:val="0"/>
        <w:jc w:val="both"/>
        <w:rPr>
          <w:sz w:val="22"/>
          <w:szCs w:val="22"/>
          <w:lang w:val="sr-Latn-ME"/>
        </w:rPr>
      </w:pPr>
      <w:r w:rsidRPr="00B8307D">
        <w:rPr>
          <w:sz w:val="22"/>
          <w:szCs w:val="22"/>
          <w:lang w:val="sr-Latn-ME"/>
        </w:rPr>
        <w:t xml:space="preserve">Tabela 10: Rezultati </w:t>
      </w:r>
      <w:r w:rsidRPr="00B8307D">
        <w:rPr>
          <w:i/>
          <w:sz w:val="22"/>
          <w:szCs w:val="22"/>
          <w:lang w:val="sr-Latn-ME"/>
        </w:rPr>
        <w:t>Post hoc</w:t>
      </w:r>
      <w:r w:rsidRPr="00B8307D">
        <w:rPr>
          <w:sz w:val="22"/>
          <w:szCs w:val="22"/>
          <w:lang w:val="sr-Latn-ME"/>
        </w:rPr>
        <w:t xml:space="preserve"> eksplorativne analize podataka dobijenih iz zajedničke analize kliničkih ispitivanja NSABP B-31/NCCTG N9831 i BCIRG006, koja uključuje događaje  preživljavanja bez simptoma bolesti i simptomatske srčane događaje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1986"/>
        <w:gridCol w:w="1844"/>
        <w:gridCol w:w="1848"/>
      </w:tblGrid>
      <w:tr w:rsidR="007253DB" w:rsidRPr="00B8307D" w14:paraId="0F45B89B" w14:textId="77777777" w:rsidTr="00DE3522">
        <w:tc>
          <w:tcPr>
            <w:tcW w:w="1872" w:type="pct"/>
            <w:tcBorders>
              <w:top w:val="single" w:sz="4" w:space="0" w:color="auto"/>
              <w:left w:val="single" w:sz="4" w:space="0" w:color="auto"/>
              <w:bottom w:val="single" w:sz="4" w:space="0" w:color="auto"/>
              <w:right w:val="single" w:sz="4" w:space="0" w:color="auto"/>
            </w:tcBorders>
          </w:tcPr>
          <w:p w14:paraId="26025DE0" w14:textId="77777777" w:rsidR="007253DB" w:rsidRPr="00B8307D" w:rsidRDefault="007253DB" w:rsidP="000A067B">
            <w:pPr>
              <w:widowControl w:val="0"/>
              <w:jc w:val="both"/>
              <w:rPr>
                <w:sz w:val="22"/>
                <w:szCs w:val="22"/>
                <w:lang w:val="sr-Latn-ME"/>
              </w:rPr>
            </w:pPr>
          </w:p>
          <w:p w14:paraId="43D8121F" w14:textId="77777777" w:rsidR="007253DB" w:rsidRPr="00B8307D" w:rsidRDefault="007253DB" w:rsidP="000A067B">
            <w:pPr>
              <w:widowControl w:val="0"/>
              <w:tabs>
                <w:tab w:val="left" w:pos="284"/>
              </w:tabs>
              <w:jc w:val="both"/>
              <w:rPr>
                <w:sz w:val="22"/>
                <w:szCs w:val="22"/>
                <w:lang w:val="sr-Latn-ME"/>
              </w:rPr>
            </w:pPr>
          </w:p>
        </w:tc>
        <w:tc>
          <w:tcPr>
            <w:tcW w:w="1094" w:type="pct"/>
            <w:tcBorders>
              <w:top w:val="single" w:sz="4" w:space="0" w:color="auto"/>
              <w:left w:val="single" w:sz="4" w:space="0" w:color="auto"/>
              <w:bottom w:val="single" w:sz="4" w:space="0" w:color="auto"/>
              <w:right w:val="single" w:sz="4" w:space="0" w:color="auto"/>
            </w:tcBorders>
            <w:hideMark/>
          </w:tcPr>
          <w:p w14:paraId="533C0E7F" w14:textId="77777777" w:rsidR="007253DB" w:rsidRPr="00B8307D" w:rsidRDefault="007253DB" w:rsidP="000A067B">
            <w:pPr>
              <w:widowControl w:val="0"/>
              <w:jc w:val="center"/>
              <w:rPr>
                <w:sz w:val="22"/>
                <w:szCs w:val="22"/>
                <w:lang w:val="sr-Latn-ME"/>
              </w:rPr>
            </w:pPr>
            <w:r w:rsidRPr="00B8307D">
              <w:rPr>
                <w:sz w:val="22"/>
                <w:szCs w:val="22"/>
                <w:lang w:val="sr-Latn-ME"/>
              </w:rPr>
              <w:t>AC-PH</w:t>
            </w:r>
          </w:p>
          <w:p w14:paraId="4204F2CE" w14:textId="77777777" w:rsidR="007253DB" w:rsidRPr="00B8307D" w:rsidRDefault="007253DB" w:rsidP="000A067B">
            <w:pPr>
              <w:widowControl w:val="0"/>
              <w:jc w:val="center"/>
              <w:rPr>
                <w:sz w:val="22"/>
                <w:szCs w:val="22"/>
                <w:lang w:val="sr-Latn-ME"/>
              </w:rPr>
            </w:pPr>
            <w:r w:rsidRPr="00B8307D">
              <w:rPr>
                <w:sz w:val="22"/>
                <w:szCs w:val="22"/>
                <w:lang w:val="sr-Latn-ME"/>
              </w:rPr>
              <w:t>u odnosu na AC-P</w:t>
            </w:r>
          </w:p>
          <w:p w14:paraId="52E3AC6A" w14:textId="77777777" w:rsidR="007253DB" w:rsidRPr="00B8307D" w:rsidRDefault="007253DB" w:rsidP="000A067B">
            <w:pPr>
              <w:widowControl w:val="0"/>
              <w:tabs>
                <w:tab w:val="left" w:pos="284"/>
              </w:tabs>
              <w:jc w:val="center"/>
              <w:rPr>
                <w:sz w:val="22"/>
                <w:szCs w:val="22"/>
                <w:lang w:val="sr-Latn-ME"/>
              </w:rPr>
            </w:pPr>
            <w:r w:rsidRPr="00B8307D">
              <w:rPr>
                <w:sz w:val="22"/>
                <w:szCs w:val="22"/>
                <w:lang w:val="sr-Latn-ME"/>
              </w:rPr>
              <w:t>(NSABP B-31 i NCCTG N9831)</w:t>
            </w:r>
          </w:p>
        </w:tc>
        <w:tc>
          <w:tcPr>
            <w:tcW w:w="1016" w:type="pct"/>
            <w:tcBorders>
              <w:top w:val="single" w:sz="4" w:space="0" w:color="auto"/>
              <w:left w:val="single" w:sz="4" w:space="0" w:color="auto"/>
              <w:bottom w:val="single" w:sz="4" w:space="0" w:color="auto"/>
              <w:right w:val="single" w:sz="4" w:space="0" w:color="auto"/>
            </w:tcBorders>
            <w:hideMark/>
          </w:tcPr>
          <w:p w14:paraId="035A47B6" w14:textId="77777777" w:rsidR="007253DB" w:rsidRPr="00B8307D" w:rsidRDefault="007253DB" w:rsidP="000A067B">
            <w:pPr>
              <w:widowControl w:val="0"/>
              <w:jc w:val="center"/>
              <w:rPr>
                <w:sz w:val="22"/>
                <w:szCs w:val="22"/>
                <w:lang w:val="sr-Latn-ME"/>
              </w:rPr>
            </w:pPr>
            <w:r w:rsidRPr="00B8307D">
              <w:rPr>
                <w:sz w:val="22"/>
                <w:szCs w:val="22"/>
                <w:lang w:val="sr-Latn-ME"/>
              </w:rPr>
              <w:t>AC-DH</w:t>
            </w:r>
          </w:p>
          <w:p w14:paraId="397DC57E" w14:textId="77777777" w:rsidR="007253DB" w:rsidRPr="00B8307D" w:rsidRDefault="007253DB" w:rsidP="000A067B">
            <w:pPr>
              <w:widowControl w:val="0"/>
              <w:jc w:val="center"/>
              <w:rPr>
                <w:sz w:val="22"/>
                <w:szCs w:val="22"/>
                <w:lang w:val="sr-Latn-ME"/>
              </w:rPr>
            </w:pPr>
            <w:r w:rsidRPr="00B8307D">
              <w:rPr>
                <w:sz w:val="22"/>
                <w:szCs w:val="22"/>
                <w:lang w:val="sr-Latn-ME"/>
              </w:rPr>
              <w:t>(u odnosu na AC-D)</w:t>
            </w:r>
          </w:p>
          <w:p w14:paraId="290E4B57" w14:textId="77777777" w:rsidR="007253DB" w:rsidRPr="00B8307D" w:rsidRDefault="007253DB" w:rsidP="000A067B">
            <w:pPr>
              <w:widowControl w:val="0"/>
              <w:tabs>
                <w:tab w:val="left" w:pos="284"/>
              </w:tabs>
              <w:jc w:val="center"/>
              <w:rPr>
                <w:sz w:val="22"/>
                <w:szCs w:val="22"/>
                <w:lang w:val="sr-Latn-ME"/>
              </w:rPr>
            </w:pPr>
            <w:r w:rsidRPr="00B8307D">
              <w:rPr>
                <w:sz w:val="22"/>
                <w:szCs w:val="22"/>
                <w:lang w:val="sr-Latn-ME"/>
              </w:rPr>
              <w:t>(BCIRG 006)</w:t>
            </w:r>
          </w:p>
        </w:tc>
        <w:tc>
          <w:tcPr>
            <w:tcW w:w="1019" w:type="pct"/>
            <w:tcBorders>
              <w:top w:val="single" w:sz="4" w:space="0" w:color="auto"/>
              <w:left w:val="single" w:sz="4" w:space="0" w:color="auto"/>
              <w:bottom w:val="single" w:sz="4" w:space="0" w:color="auto"/>
              <w:right w:val="single" w:sz="4" w:space="0" w:color="auto"/>
            </w:tcBorders>
            <w:hideMark/>
          </w:tcPr>
          <w:p w14:paraId="246D16E8" w14:textId="77777777" w:rsidR="007253DB" w:rsidRPr="00B8307D" w:rsidRDefault="007253DB" w:rsidP="000A067B">
            <w:pPr>
              <w:widowControl w:val="0"/>
              <w:jc w:val="center"/>
              <w:rPr>
                <w:sz w:val="22"/>
                <w:szCs w:val="22"/>
                <w:lang w:val="sr-Latn-ME"/>
              </w:rPr>
            </w:pPr>
            <w:r w:rsidRPr="00B8307D">
              <w:rPr>
                <w:sz w:val="22"/>
                <w:szCs w:val="22"/>
                <w:lang w:val="sr-Latn-ME"/>
              </w:rPr>
              <w:t>DCarbH</w:t>
            </w:r>
          </w:p>
          <w:p w14:paraId="08149501" w14:textId="77777777" w:rsidR="007253DB" w:rsidRPr="00B8307D" w:rsidRDefault="007253DB" w:rsidP="000A067B">
            <w:pPr>
              <w:widowControl w:val="0"/>
              <w:jc w:val="center"/>
              <w:rPr>
                <w:sz w:val="22"/>
                <w:szCs w:val="22"/>
                <w:lang w:val="sr-Latn-ME"/>
              </w:rPr>
            </w:pPr>
            <w:r w:rsidRPr="00B8307D">
              <w:rPr>
                <w:sz w:val="22"/>
                <w:szCs w:val="22"/>
                <w:lang w:val="sr-Latn-ME"/>
              </w:rPr>
              <w:t>(u odnosu na AC-D)</w:t>
            </w:r>
          </w:p>
          <w:p w14:paraId="18A50F39" w14:textId="77777777" w:rsidR="007253DB" w:rsidRPr="00B8307D" w:rsidRDefault="007253DB" w:rsidP="000A067B">
            <w:pPr>
              <w:widowControl w:val="0"/>
              <w:tabs>
                <w:tab w:val="left" w:pos="284"/>
              </w:tabs>
              <w:jc w:val="center"/>
              <w:rPr>
                <w:sz w:val="22"/>
                <w:szCs w:val="22"/>
                <w:lang w:val="sr-Latn-ME"/>
              </w:rPr>
            </w:pPr>
            <w:r w:rsidRPr="00B8307D">
              <w:rPr>
                <w:sz w:val="22"/>
                <w:szCs w:val="22"/>
                <w:lang w:val="sr-Latn-ME"/>
              </w:rPr>
              <w:t>(BCIRG 006)</w:t>
            </w:r>
          </w:p>
        </w:tc>
      </w:tr>
      <w:tr w:rsidR="007253DB" w:rsidRPr="00B8307D" w14:paraId="1411BFCC" w14:textId="77777777" w:rsidTr="00DE3522">
        <w:tc>
          <w:tcPr>
            <w:tcW w:w="1872" w:type="pct"/>
            <w:tcBorders>
              <w:top w:val="single" w:sz="4" w:space="0" w:color="auto"/>
              <w:left w:val="single" w:sz="4" w:space="0" w:color="auto"/>
              <w:bottom w:val="single" w:sz="4" w:space="0" w:color="auto"/>
              <w:right w:val="single" w:sz="4" w:space="0" w:color="auto"/>
            </w:tcBorders>
          </w:tcPr>
          <w:p w14:paraId="09A850F5" w14:textId="77777777" w:rsidR="007253DB" w:rsidRPr="00B8307D" w:rsidRDefault="007253DB" w:rsidP="000A067B">
            <w:pPr>
              <w:widowControl w:val="0"/>
              <w:rPr>
                <w:sz w:val="22"/>
                <w:szCs w:val="22"/>
                <w:lang w:val="sr-Latn-ME"/>
              </w:rPr>
            </w:pPr>
            <w:r w:rsidRPr="00B8307D">
              <w:rPr>
                <w:sz w:val="22"/>
                <w:szCs w:val="22"/>
                <w:lang w:val="sr-Latn-ME"/>
              </w:rPr>
              <w:t>Primarna analiza efikasnosti</w:t>
            </w:r>
          </w:p>
          <w:p w14:paraId="5817341A" w14:textId="545FCD87" w:rsidR="007253DB" w:rsidRPr="00B8307D" w:rsidRDefault="007253DB" w:rsidP="000A067B">
            <w:pPr>
              <w:widowControl w:val="0"/>
              <w:rPr>
                <w:sz w:val="22"/>
                <w:szCs w:val="22"/>
                <w:lang w:val="sr-Latn-ME"/>
              </w:rPr>
            </w:pPr>
            <w:r w:rsidRPr="00B8307D">
              <w:rPr>
                <w:sz w:val="22"/>
                <w:szCs w:val="22"/>
                <w:lang w:val="sr-Latn-ME"/>
              </w:rPr>
              <w:t>Odnos hazarda za preživljavanje bez bolesti (95%CI)</w:t>
            </w:r>
          </w:p>
          <w:p w14:paraId="0D369D68" w14:textId="77777777" w:rsidR="007253DB" w:rsidRPr="00B8307D" w:rsidRDefault="007253DB" w:rsidP="000A067B">
            <w:pPr>
              <w:widowControl w:val="0"/>
              <w:tabs>
                <w:tab w:val="left" w:pos="284"/>
              </w:tabs>
              <w:rPr>
                <w:sz w:val="22"/>
                <w:szCs w:val="22"/>
                <w:lang w:val="sr-Latn-ME"/>
              </w:rPr>
            </w:pPr>
            <w:r w:rsidRPr="00B8307D">
              <w:rPr>
                <w:sz w:val="22"/>
                <w:szCs w:val="22"/>
                <w:lang w:val="sr-Latn-ME"/>
              </w:rPr>
              <w:t>p-vrijednost</w:t>
            </w:r>
          </w:p>
        </w:tc>
        <w:tc>
          <w:tcPr>
            <w:tcW w:w="1094" w:type="pct"/>
            <w:tcBorders>
              <w:top w:val="single" w:sz="4" w:space="0" w:color="auto"/>
              <w:left w:val="single" w:sz="4" w:space="0" w:color="auto"/>
              <w:bottom w:val="single" w:sz="4" w:space="0" w:color="auto"/>
              <w:right w:val="single" w:sz="4" w:space="0" w:color="auto"/>
            </w:tcBorders>
          </w:tcPr>
          <w:p w14:paraId="7C289DB5" w14:textId="77777777" w:rsidR="007253DB" w:rsidRPr="00B8307D" w:rsidRDefault="007253DB" w:rsidP="000A067B">
            <w:pPr>
              <w:widowControl w:val="0"/>
              <w:jc w:val="center"/>
              <w:rPr>
                <w:sz w:val="22"/>
                <w:szCs w:val="22"/>
                <w:lang w:val="sr-Latn-ME"/>
              </w:rPr>
            </w:pPr>
            <w:r w:rsidRPr="00B8307D">
              <w:rPr>
                <w:sz w:val="22"/>
                <w:szCs w:val="22"/>
                <w:lang w:val="sr-Latn-ME"/>
              </w:rPr>
              <w:t>0.48</w:t>
            </w:r>
          </w:p>
          <w:p w14:paraId="3D37110F" w14:textId="77777777" w:rsidR="007253DB" w:rsidRPr="00B8307D" w:rsidRDefault="007253DB" w:rsidP="000A067B">
            <w:pPr>
              <w:widowControl w:val="0"/>
              <w:jc w:val="center"/>
              <w:rPr>
                <w:sz w:val="22"/>
                <w:szCs w:val="22"/>
                <w:lang w:val="sr-Latn-ME"/>
              </w:rPr>
            </w:pPr>
            <w:r w:rsidRPr="00B8307D">
              <w:rPr>
                <w:sz w:val="22"/>
                <w:szCs w:val="22"/>
                <w:lang w:val="sr-Latn-ME"/>
              </w:rPr>
              <w:t>(0.39, 0.59)</w:t>
            </w:r>
          </w:p>
          <w:p w14:paraId="41C30982" w14:textId="77777777" w:rsidR="00A962BF" w:rsidRPr="00B8307D" w:rsidRDefault="00A962BF" w:rsidP="000A067B">
            <w:pPr>
              <w:widowControl w:val="0"/>
              <w:tabs>
                <w:tab w:val="left" w:pos="284"/>
              </w:tabs>
              <w:jc w:val="center"/>
              <w:rPr>
                <w:sz w:val="22"/>
                <w:szCs w:val="22"/>
                <w:lang w:val="sr-Latn-ME"/>
              </w:rPr>
            </w:pPr>
          </w:p>
          <w:p w14:paraId="04963103" w14:textId="39425BA8" w:rsidR="007253DB" w:rsidRPr="00B8307D" w:rsidRDefault="007253DB" w:rsidP="000A067B">
            <w:pPr>
              <w:widowControl w:val="0"/>
              <w:tabs>
                <w:tab w:val="left" w:pos="284"/>
              </w:tabs>
              <w:jc w:val="center"/>
              <w:rPr>
                <w:sz w:val="22"/>
                <w:szCs w:val="22"/>
                <w:lang w:val="sr-Latn-ME"/>
              </w:rPr>
            </w:pPr>
            <w:r w:rsidRPr="00B8307D">
              <w:rPr>
                <w:sz w:val="22"/>
                <w:szCs w:val="22"/>
                <w:lang w:val="sr-Latn-ME"/>
              </w:rPr>
              <w:t>p&lt;0.0001</w:t>
            </w:r>
          </w:p>
        </w:tc>
        <w:tc>
          <w:tcPr>
            <w:tcW w:w="1016" w:type="pct"/>
            <w:tcBorders>
              <w:top w:val="single" w:sz="4" w:space="0" w:color="auto"/>
              <w:left w:val="single" w:sz="4" w:space="0" w:color="auto"/>
              <w:bottom w:val="single" w:sz="4" w:space="0" w:color="auto"/>
              <w:right w:val="single" w:sz="4" w:space="0" w:color="auto"/>
            </w:tcBorders>
          </w:tcPr>
          <w:p w14:paraId="6ECEE606" w14:textId="77777777" w:rsidR="007253DB" w:rsidRPr="00B8307D" w:rsidRDefault="007253DB" w:rsidP="000A067B">
            <w:pPr>
              <w:widowControl w:val="0"/>
              <w:jc w:val="center"/>
              <w:rPr>
                <w:sz w:val="22"/>
                <w:szCs w:val="22"/>
                <w:lang w:val="sr-Latn-ME"/>
              </w:rPr>
            </w:pPr>
            <w:r w:rsidRPr="00B8307D">
              <w:rPr>
                <w:sz w:val="22"/>
                <w:szCs w:val="22"/>
                <w:lang w:val="sr-Latn-ME"/>
              </w:rPr>
              <w:t>0.61</w:t>
            </w:r>
          </w:p>
          <w:p w14:paraId="125B7177" w14:textId="77777777" w:rsidR="007253DB" w:rsidRPr="00B8307D" w:rsidRDefault="007253DB" w:rsidP="000A067B">
            <w:pPr>
              <w:widowControl w:val="0"/>
              <w:jc w:val="center"/>
              <w:rPr>
                <w:sz w:val="22"/>
                <w:szCs w:val="22"/>
                <w:lang w:val="sr-Latn-ME"/>
              </w:rPr>
            </w:pPr>
            <w:r w:rsidRPr="00B8307D">
              <w:rPr>
                <w:sz w:val="22"/>
                <w:szCs w:val="22"/>
                <w:lang w:val="sr-Latn-ME"/>
              </w:rPr>
              <w:t>(0.49, 0.77)</w:t>
            </w:r>
          </w:p>
          <w:p w14:paraId="62DFC1A6" w14:textId="77777777" w:rsidR="00A962BF" w:rsidRPr="00B8307D" w:rsidRDefault="00A962BF" w:rsidP="000A067B">
            <w:pPr>
              <w:widowControl w:val="0"/>
              <w:tabs>
                <w:tab w:val="left" w:pos="284"/>
              </w:tabs>
              <w:jc w:val="center"/>
              <w:rPr>
                <w:sz w:val="22"/>
                <w:szCs w:val="22"/>
                <w:lang w:val="sr-Latn-ME"/>
              </w:rPr>
            </w:pPr>
          </w:p>
          <w:p w14:paraId="591C8A51" w14:textId="668A4E03" w:rsidR="007253DB" w:rsidRPr="00B8307D" w:rsidRDefault="007253DB" w:rsidP="000A067B">
            <w:pPr>
              <w:widowControl w:val="0"/>
              <w:tabs>
                <w:tab w:val="left" w:pos="284"/>
              </w:tabs>
              <w:jc w:val="center"/>
              <w:rPr>
                <w:sz w:val="22"/>
                <w:szCs w:val="22"/>
                <w:lang w:val="sr-Latn-ME"/>
              </w:rPr>
            </w:pPr>
            <w:r w:rsidRPr="00B8307D">
              <w:rPr>
                <w:sz w:val="22"/>
                <w:szCs w:val="22"/>
                <w:lang w:val="sr-Latn-ME"/>
              </w:rPr>
              <w:t>p&lt;0.0001</w:t>
            </w:r>
          </w:p>
        </w:tc>
        <w:tc>
          <w:tcPr>
            <w:tcW w:w="1019" w:type="pct"/>
            <w:tcBorders>
              <w:top w:val="single" w:sz="4" w:space="0" w:color="auto"/>
              <w:left w:val="single" w:sz="4" w:space="0" w:color="auto"/>
              <w:bottom w:val="single" w:sz="4" w:space="0" w:color="auto"/>
              <w:right w:val="single" w:sz="4" w:space="0" w:color="auto"/>
            </w:tcBorders>
          </w:tcPr>
          <w:p w14:paraId="2908D99C" w14:textId="77777777" w:rsidR="007253DB" w:rsidRPr="00B8307D" w:rsidRDefault="007253DB" w:rsidP="000A067B">
            <w:pPr>
              <w:widowControl w:val="0"/>
              <w:jc w:val="center"/>
              <w:rPr>
                <w:sz w:val="22"/>
                <w:szCs w:val="22"/>
                <w:lang w:val="sr-Latn-ME"/>
              </w:rPr>
            </w:pPr>
            <w:r w:rsidRPr="00B8307D">
              <w:rPr>
                <w:sz w:val="22"/>
                <w:szCs w:val="22"/>
                <w:lang w:val="sr-Latn-ME"/>
              </w:rPr>
              <w:t>0,67</w:t>
            </w:r>
          </w:p>
          <w:p w14:paraId="5390F150" w14:textId="77777777" w:rsidR="007253DB" w:rsidRPr="00B8307D" w:rsidRDefault="007253DB" w:rsidP="000A067B">
            <w:pPr>
              <w:widowControl w:val="0"/>
              <w:jc w:val="center"/>
              <w:rPr>
                <w:sz w:val="22"/>
                <w:szCs w:val="22"/>
                <w:lang w:val="sr-Latn-ME"/>
              </w:rPr>
            </w:pPr>
            <w:r w:rsidRPr="00B8307D">
              <w:rPr>
                <w:sz w:val="22"/>
                <w:szCs w:val="22"/>
                <w:lang w:val="sr-Latn-ME"/>
              </w:rPr>
              <w:t>(0,54, 0,83)</w:t>
            </w:r>
          </w:p>
          <w:p w14:paraId="3C5F0600" w14:textId="77777777" w:rsidR="00A962BF" w:rsidRPr="00B8307D" w:rsidRDefault="00A962BF" w:rsidP="000A067B">
            <w:pPr>
              <w:widowControl w:val="0"/>
              <w:tabs>
                <w:tab w:val="left" w:pos="284"/>
              </w:tabs>
              <w:jc w:val="center"/>
              <w:rPr>
                <w:sz w:val="22"/>
                <w:szCs w:val="22"/>
                <w:lang w:val="sr-Latn-ME"/>
              </w:rPr>
            </w:pPr>
          </w:p>
          <w:p w14:paraId="7A867A60" w14:textId="66934F88" w:rsidR="007253DB" w:rsidRPr="00B8307D" w:rsidRDefault="007253DB" w:rsidP="000A067B">
            <w:pPr>
              <w:widowControl w:val="0"/>
              <w:tabs>
                <w:tab w:val="left" w:pos="284"/>
              </w:tabs>
              <w:jc w:val="center"/>
              <w:rPr>
                <w:sz w:val="22"/>
                <w:szCs w:val="22"/>
                <w:lang w:val="sr-Latn-ME"/>
              </w:rPr>
            </w:pPr>
            <w:r w:rsidRPr="00B8307D">
              <w:rPr>
                <w:sz w:val="22"/>
                <w:szCs w:val="22"/>
                <w:lang w:val="sr-Latn-ME"/>
              </w:rPr>
              <w:t>p=0.0003</w:t>
            </w:r>
          </w:p>
        </w:tc>
      </w:tr>
      <w:tr w:rsidR="007253DB" w:rsidRPr="00B8307D" w14:paraId="6F09C466" w14:textId="77777777" w:rsidTr="00DE3522">
        <w:tc>
          <w:tcPr>
            <w:tcW w:w="1872" w:type="pct"/>
            <w:tcBorders>
              <w:top w:val="single" w:sz="4" w:space="0" w:color="auto"/>
              <w:left w:val="single" w:sz="4" w:space="0" w:color="auto"/>
              <w:bottom w:val="single" w:sz="4" w:space="0" w:color="auto"/>
              <w:right w:val="single" w:sz="4" w:space="0" w:color="auto"/>
            </w:tcBorders>
          </w:tcPr>
          <w:p w14:paraId="07F79F99" w14:textId="77777777" w:rsidR="007253DB" w:rsidRPr="00B8307D" w:rsidRDefault="007253DB" w:rsidP="000A067B">
            <w:pPr>
              <w:widowControl w:val="0"/>
              <w:rPr>
                <w:rFonts w:eastAsia="Verdana"/>
                <w:sz w:val="22"/>
                <w:szCs w:val="22"/>
                <w:lang w:val="sr-Latn-ME"/>
              </w:rPr>
            </w:pPr>
            <w:r w:rsidRPr="00B8307D">
              <w:rPr>
                <w:rFonts w:eastAsia="Verdana"/>
                <w:sz w:val="22"/>
                <w:szCs w:val="22"/>
                <w:lang w:val="sr-Latn-ME"/>
              </w:rPr>
              <w:t>Analiza efikasnosti tokom dugoročnog praćenja</w:t>
            </w:r>
            <w:r w:rsidRPr="00B8307D">
              <w:rPr>
                <w:rFonts w:eastAsia="Verdana"/>
                <w:sz w:val="22"/>
                <w:szCs w:val="22"/>
                <w:vertAlign w:val="superscript"/>
                <w:lang w:val="sr-Latn-ME"/>
              </w:rPr>
              <w:t>**</w:t>
            </w:r>
          </w:p>
          <w:p w14:paraId="73A705C4" w14:textId="119D4AEC" w:rsidR="007253DB" w:rsidRPr="00B8307D" w:rsidRDefault="007253DB" w:rsidP="000A067B">
            <w:pPr>
              <w:widowControl w:val="0"/>
              <w:rPr>
                <w:rFonts w:eastAsia="Verdana"/>
                <w:sz w:val="22"/>
                <w:szCs w:val="22"/>
                <w:lang w:val="sr-Latn-ME"/>
              </w:rPr>
            </w:pPr>
            <w:r w:rsidRPr="00B8307D">
              <w:rPr>
                <w:rFonts w:eastAsia="Verdana"/>
                <w:sz w:val="22"/>
                <w:szCs w:val="22"/>
                <w:lang w:val="sr-Latn-ME"/>
              </w:rPr>
              <w:t>Odnosi hazarda za preživljavanje  bez bolesti</w:t>
            </w:r>
            <w:r w:rsidR="00DE3522" w:rsidRPr="00B8307D">
              <w:rPr>
                <w:rFonts w:eastAsia="Verdana"/>
                <w:sz w:val="22"/>
                <w:szCs w:val="22"/>
                <w:lang w:val="sr-Latn-ME"/>
              </w:rPr>
              <w:t xml:space="preserve"> </w:t>
            </w:r>
            <w:r w:rsidRPr="00B8307D">
              <w:rPr>
                <w:rFonts w:eastAsia="Verdana"/>
                <w:sz w:val="22"/>
                <w:szCs w:val="22"/>
                <w:lang w:val="sr-Latn-ME"/>
              </w:rPr>
              <w:t>(95% CI)</w:t>
            </w:r>
          </w:p>
          <w:p w14:paraId="18B456E2" w14:textId="75F9CCC8" w:rsidR="007253DB" w:rsidRPr="00B8307D" w:rsidRDefault="007253DB" w:rsidP="000A067B">
            <w:pPr>
              <w:widowControl w:val="0"/>
              <w:rPr>
                <w:rFonts w:eastAsia="Verdana"/>
                <w:sz w:val="22"/>
                <w:szCs w:val="22"/>
                <w:lang w:val="sr-Latn-ME"/>
              </w:rPr>
            </w:pPr>
            <w:r w:rsidRPr="00B8307D">
              <w:rPr>
                <w:rFonts w:eastAsia="Verdana"/>
                <w:sz w:val="22"/>
                <w:szCs w:val="22"/>
                <w:lang w:val="sr-Latn-ME"/>
              </w:rPr>
              <w:t>p</w:t>
            </w:r>
            <w:r w:rsidRPr="00B8307D">
              <w:rPr>
                <w:rFonts w:eastAsia="Verdana"/>
                <w:sz w:val="22"/>
                <w:szCs w:val="22"/>
                <w:lang w:val="sr-Latn-ME"/>
              </w:rPr>
              <w:noBreakHyphen/>
              <w:t xml:space="preserve">vrijednost  </w:t>
            </w:r>
          </w:p>
        </w:tc>
        <w:tc>
          <w:tcPr>
            <w:tcW w:w="1094" w:type="pct"/>
            <w:tcBorders>
              <w:top w:val="single" w:sz="4" w:space="0" w:color="auto"/>
              <w:left w:val="single" w:sz="4" w:space="0" w:color="auto"/>
              <w:bottom w:val="single" w:sz="4" w:space="0" w:color="auto"/>
              <w:right w:val="single" w:sz="4" w:space="0" w:color="auto"/>
            </w:tcBorders>
          </w:tcPr>
          <w:p w14:paraId="41A4A305" w14:textId="77777777" w:rsidR="007253DB" w:rsidRPr="00B8307D" w:rsidRDefault="007253DB" w:rsidP="000A067B">
            <w:pPr>
              <w:widowControl w:val="0"/>
              <w:jc w:val="center"/>
              <w:rPr>
                <w:rFonts w:eastAsia="Verdana"/>
                <w:sz w:val="22"/>
                <w:szCs w:val="22"/>
                <w:lang w:val="sr-Latn-ME"/>
              </w:rPr>
            </w:pPr>
            <w:r w:rsidRPr="00B8307D">
              <w:rPr>
                <w:rFonts w:eastAsia="Verdana"/>
                <w:sz w:val="22"/>
                <w:szCs w:val="22"/>
                <w:lang w:val="sr-Latn-ME"/>
              </w:rPr>
              <w:t>0,61</w:t>
            </w:r>
          </w:p>
          <w:p w14:paraId="640EDCDE" w14:textId="77777777" w:rsidR="007253DB" w:rsidRPr="00B8307D" w:rsidRDefault="007253DB" w:rsidP="000A067B">
            <w:pPr>
              <w:widowControl w:val="0"/>
              <w:jc w:val="center"/>
              <w:rPr>
                <w:rFonts w:eastAsia="Verdana"/>
                <w:sz w:val="22"/>
                <w:szCs w:val="22"/>
                <w:lang w:val="sr-Latn-ME"/>
              </w:rPr>
            </w:pPr>
            <w:r w:rsidRPr="00B8307D">
              <w:rPr>
                <w:rFonts w:eastAsia="Verdana"/>
                <w:sz w:val="22"/>
                <w:szCs w:val="22"/>
                <w:lang w:val="sr-Latn-ME"/>
              </w:rPr>
              <w:t>(0,54; 0,69)</w:t>
            </w:r>
          </w:p>
          <w:p w14:paraId="293C19A0" w14:textId="77777777" w:rsidR="007253DB" w:rsidRPr="00B8307D" w:rsidRDefault="007253DB" w:rsidP="000A067B">
            <w:pPr>
              <w:widowControl w:val="0"/>
              <w:jc w:val="center"/>
              <w:rPr>
                <w:sz w:val="22"/>
                <w:szCs w:val="22"/>
                <w:lang w:val="sr-Latn-ME"/>
              </w:rPr>
            </w:pPr>
            <w:r w:rsidRPr="00B8307D">
              <w:rPr>
                <w:rFonts w:eastAsia="Verdana"/>
                <w:sz w:val="22"/>
                <w:szCs w:val="22"/>
                <w:lang w:val="sr-Latn-ME"/>
              </w:rPr>
              <w:t>p&lt;0,0001</w:t>
            </w:r>
          </w:p>
        </w:tc>
        <w:tc>
          <w:tcPr>
            <w:tcW w:w="1016" w:type="pct"/>
            <w:tcBorders>
              <w:top w:val="single" w:sz="4" w:space="0" w:color="auto"/>
              <w:left w:val="single" w:sz="4" w:space="0" w:color="auto"/>
              <w:bottom w:val="single" w:sz="4" w:space="0" w:color="auto"/>
              <w:right w:val="single" w:sz="4" w:space="0" w:color="auto"/>
            </w:tcBorders>
          </w:tcPr>
          <w:p w14:paraId="739B3149" w14:textId="77777777" w:rsidR="007253DB" w:rsidRPr="00B8307D" w:rsidRDefault="007253DB" w:rsidP="000A067B">
            <w:pPr>
              <w:widowControl w:val="0"/>
              <w:jc w:val="center"/>
              <w:rPr>
                <w:rFonts w:eastAsia="Batang"/>
                <w:sz w:val="22"/>
                <w:szCs w:val="22"/>
                <w:lang w:val="sr-Latn-ME"/>
              </w:rPr>
            </w:pPr>
            <w:r w:rsidRPr="00B8307D">
              <w:rPr>
                <w:rFonts w:eastAsia="Batang"/>
                <w:sz w:val="22"/>
                <w:szCs w:val="22"/>
                <w:lang w:val="sr-Latn-ME"/>
              </w:rPr>
              <w:t>0,72</w:t>
            </w:r>
          </w:p>
          <w:p w14:paraId="23BEBA21" w14:textId="77777777" w:rsidR="007253DB" w:rsidRPr="00B8307D" w:rsidRDefault="007253DB" w:rsidP="000A067B">
            <w:pPr>
              <w:widowControl w:val="0"/>
              <w:jc w:val="center"/>
              <w:rPr>
                <w:rFonts w:eastAsia="Batang"/>
                <w:sz w:val="22"/>
                <w:szCs w:val="22"/>
                <w:lang w:val="sr-Latn-ME"/>
              </w:rPr>
            </w:pPr>
            <w:r w:rsidRPr="00B8307D">
              <w:rPr>
                <w:rFonts w:eastAsia="Batang"/>
                <w:sz w:val="22"/>
                <w:szCs w:val="22"/>
                <w:lang w:val="sr-Latn-ME"/>
              </w:rPr>
              <w:t>(0,61; 0,85)</w:t>
            </w:r>
          </w:p>
          <w:p w14:paraId="66F73A29" w14:textId="77777777" w:rsidR="007253DB" w:rsidRPr="00B8307D" w:rsidRDefault="007253DB" w:rsidP="000A067B">
            <w:pPr>
              <w:widowControl w:val="0"/>
              <w:jc w:val="center"/>
              <w:rPr>
                <w:sz w:val="22"/>
                <w:szCs w:val="22"/>
                <w:lang w:val="sr-Latn-ME"/>
              </w:rPr>
            </w:pPr>
            <w:r w:rsidRPr="00B8307D">
              <w:rPr>
                <w:rFonts w:eastAsia="Batang"/>
                <w:sz w:val="22"/>
                <w:szCs w:val="22"/>
                <w:lang w:val="sr-Latn-ME"/>
              </w:rPr>
              <w:t>p&lt;0,0001</w:t>
            </w:r>
          </w:p>
        </w:tc>
        <w:tc>
          <w:tcPr>
            <w:tcW w:w="1019" w:type="pct"/>
            <w:tcBorders>
              <w:top w:val="single" w:sz="4" w:space="0" w:color="auto"/>
              <w:left w:val="single" w:sz="4" w:space="0" w:color="auto"/>
              <w:bottom w:val="single" w:sz="4" w:space="0" w:color="auto"/>
              <w:right w:val="single" w:sz="4" w:space="0" w:color="auto"/>
            </w:tcBorders>
          </w:tcPr>
          <w:p w14:paraId="6877C122" w14:textId="77777777" w:rsidR="007253DB" w:rsidRPr="00B8307D" w:rsidRDefault="007253DB" w:rsidP="000A067B">
            <w:pPr>
              <w:widowControl w:val="0"/>
              <w:jc w:val="center"/>
              <w:rPr>
                <w:rFonts w:eastAsia="Batang"/>
                <w:sz w:val="22"/>
                <w:szCs w:val="22"/>
                <w:lang w:val="sr-Latn-ME"/>
              </w:rPr>
            </w:pPr>
            <w:r w:rsidRPr="00B8307D">
              <w:rPr>
                <w:rFonts w:eastAsia="Batang"/>
                <w:sz w:val="22"/>
                <w:szCs w:val="22"/>
                <w:lang w:val="sr-Latn-ME"/>
              </w:rPr>
              <w:t>0,77</w:t>
            </w:r>
          </w:p>
          <w:p w14:paraId="55391ACE" w14:textId="77777777" w:rsidR="007253DB" w:rsidRPr="00B8307D" w:rsidRDefault="007253DB" w:rsidP="000A067B">
            <w:pPr>
              <w:widowControl w:val="0"/>
              <w:jc w:val="center"/>
              <w:rPr>
                <w:rFonts w:eastAsia="Batang"/>
                <w:sz w:val="22"/>
                <w:szCs w:val="22"/>
                <w:lang w:val="sr-Latn-ME"/>
              </w:rPr>
            </w:pPr>
            <w:r w:rsidRPr="00B8307D">
              <w:rPr>
                <w:rFonts w:eastAsia="Batang"/>
                <w:sz w:val="22"/>
                <w:szCs w:val="22"/>
                <w:lang w:val="sr-Latn-ME"/>
              </w:rPr>
              <w:t>(0,65; 0,90)</w:t>
            </w:r>
          </w:p>
          <w:p w14:paraId="0AC6286E" w14:textId="77777777" w:rsidR="007253DB" w:rsidRPr="00B8307D" w:rsidRDefault="007253DB" w:rsidP="000A067B">
            <w:pPr>
              <w:widowControl w:val="0"/>
              <w:jc w:val="center"/>
              <w:rPr>
                <w:sz w:val="22"/>
                <w:szCs w:val="22"/>
                <w:lang w:val="sr-Latn-ME"/>
              </w:rPr>
            </w:pPr>
            <w:r w:rsidRPr="00B8307D">
              <w:rPr>
                <w:rFonts w:eastAsia="Batang"/>
                <w:sz w:val="22"/>
                <w:szCs w:val="22"/>
                <w:lang w:val="sr-Latn-ME"/>
              </w:rPr>
              <w:t>p=0,0011</w:t>
            </w:r>
          </w:p>
        </w:tc>
      </w:tr>
      <w:tr w:rsidR="007253DB" w:rsidRPr="00B8307D" w14:paraId="01F207E4" w14:textId="77777777" w:rsidTr="00DE3522">
        <w:tc>
          <w:tcPr>
            <w:tcW w:w="1872" w:type="pct"/>
            <w:tcBorders>
              <w:top w:val="single" w:sz="4" w:space="0" w:color="auto"/>
              <w:left w:val="single" w:sz="4" w:space="0" w:color="auto"/>
              <w:bottom w:val="single" w:sz="4" w:space="0" w:color="auto"/>
              <w:right w:val="single" w:sz="4" w:space="0" w:color="auto"/>
            </w:tcBorders>
          </w:tcPr>
          <w:p w14:paraId="64C05EFC" w14:textId="0A6D4CB5" w:rsidR="007253DB" w:rsidRPr="00B8307D" w:rsidRDefault="007253DB" w:rsidP="000A067B">
            <w:pPr>
              <w:widowControl w:val="0"/>
              <w:rPr>
                <w:sz w:val="22"/>
                <w:szCs w:val="22"/>
                <w:lang w:val="sr-Latn-ME"/>
              </w:rPr>
            </w:pPr>
            <w:r w:rsidRPr="00B8307D">
              <w:rPr>
                <w:i/>
                <w:sz w:val="22"/>
                <w:szCs w:val="22"/>
                <w:lang w:val="sr-Latn-ME"/>
              </w:rPr>
              <w:t xml:space="preserve">Post hoc </w:t>
            </w:r>
            <w:r w:rsidRPr="00B8307D">
              <w:rPr>
                <w:sz w:val="22"/>
                <w:szCs w:val="22"/>
                <w:lang w:val="sr-Latn-ME"/>
              </w:rPr>
              <w:t>eksplorativna analiza sa  preživljavanjem bez bolest</w:t>
            </w:r>
            <w:r w:rsidR="00DE3522" w:rsidRPr="00B8307D">
              <w:rPr>
                <w:sz w:val="22"/>
                <w:szCs w:val="22"/>
                <w:lang w:val="sr-Latn-ME"/>
              </w:rPr>
              <w:t>i i simptomatskim srčanim događ</w:t>
            </w:r>
            <w:r w:rsidRPr="00B8307D">
              <w:rPr>
                <w:sz w:val="22"/>
                <w:szCs w:val="22"/>
                <w:lang w:val="sr-Latn-ME"/>
              </w:rPr>
              <w:t xml:space="preserve">ajima </w:t>
            </w:r>
          </w:p>
          <w:p w14:paraId="4308D2F9" w14:textId="77777777" w:rsidR="007253DB" w:rsidRPr="00B8307D" w:rsidRDefault="007253DB" w:rsidP="000A067B">
            <w:pPr>
              <w:widowControl w:val="0"/>
              <w:rPr>
                <w:rFonts w:eastAsia="Verdana"/>
                <w:sz w:val="22"/>
                <w:szCs w:val="22"/>
                <w:vertAlign w:val="superscript"/>
                <w:lang w:val="sr-Latn-ME"/>
              </w:rPr>
            </w:pPr>
            <w:r w:rsidRPr="00B8307D">
              <w:rPr>
                <w:sz w:val="22"/>
                <w:szCs w:val="22"/>
                <w:lang w:val="sr-Latn-ME"/>
              </w:rPr>
              <w:t xml:space="preserve">Dugoročno praćenje </w:t>
            </w:r>
            <w:r w:rsidRPr="00B8307D">
              <w:rPr>
                <w:rFonts w:eastAsia="Verdana"/>
                <w:sz w:val="22"/>
                <w:szCs w:val="22"/>
                <w:vertAlign w:val="superscript"/>
                <w:lang w:val="sr-Latn-ME"/>
              </w:rPr>
              <w:t>**</w:t>
            </w:r>
          </w:p>
          <w:p w14:paraId="3F0915DD" w14:textId="6CBB3A33" w:rsidR="007253DB" w:rsidRPr="00B8307D" w:rsidRDefault="007253DB" w:rsidP="00DE3522">
            <w:pPr>
              <w:widowControl w:val="0"/>
              <w:rPr>
                <w:sz w:val="22"/>
                <w:szCs w:val="22"/>
                <w:lang w:val="sr-Latn-ME"/>
              </w:rPr>
            </w:pPr>
            <w:r w:rsidRPr="00B8307D">
              <w:rPr>
                <w:sz w:val="22"/>
                <w:szCs w:val="22"/>
                <w:lang w:val="sr-Latn-ME"/>
              </w:rPr>
              <w:t>Odnosi hazarda</w:t>
            </w:r>
            <w:r w:rsidR="00DE3522" w:rsidRPr="00B8307D">
              <w:rPr>
                <w:sz w:val="22"/>
                <w:szCs w:val="22"/>
                <w:lang w:val="sr-Latn-ME"/>
              </w:rPr>
              <w:t xml:space="preserve"> </w:t>
            </w:r>
            <w:r w:rsidRPr="00B8307D">
              <w:rPr>
                <w:sz w:val="22"/>
                <w:szCs w:val="22"/>
                <w:lang w:val="sr-Latn-ME"/>
              </w:rPr>
              <w:t>(95%CI)</w:t>
            </w:r>
          </w:p>
        </w:tc>
        <w:tc>
          <w:tcPr>
            <w:tcW w:w="1094" w:type="pct"/>
            <w:tcBorders>
              <w:top w:val="single" w:sz="4" w:space="0" w:color="auto"/>
              <w:left w:val="single" w:sz="4" w:space="0" w:color="auto"/>
              <w:bottom w:val="single" w:sz="4" w:space="0" w:color="auto"/>
              <w:right w:val="single" w:sz="4" w:space="0" w:color="auto"/>
            </w:tcBorders>
          </w:tcPr>
          <w:p w14:paraId="29A7A446" w14:textId="77777777" w:rsidR="007253DB" w:rsidRPr="00B8307D" w:rsidRDefault="007253DB" w:rsidP="000A067B">
            <w:pPr>
              <w:widowControl w:val="0"/>
              <w:jc w:val="center"/>
              <w:rPr>
                <w:sz w:val="22"/>
                <w:szCs w:val="22"/>
                <w:lang w:val="sr-Latn-ME"/>
              </w:rPr>
            </w:pPr>
            <w:r w:rsidRPr="00B8307D">
              <w:rPr>
                <w:sz w:val="22"/>
                <w:szCs w:val="22"/>
                <w:lang w:val="sr-Latn-ME"/>
              </w:rPr>
              <w:t>0.67</w:t>
            </w:r>
          </w:p>
          <w:p w14:paraId="1F55E833" w14:textId="0E5E719D" w:rsidR="007253DB" w:rsidRPr="00B8307D" w:rsidRDefault="007253DB" w:rsidP="000A067B">
            <w:pPr>
              <w:widowControl w:val="0"/>
              <w:jc w:val="center"/>
              <w:rPr>
                <w:sz w:val="22"/>
                <w:szCs w:val="22"/>
                <w:lang w:val="sr-Latn-ME"/>
              </w:rPr>
            </w:pPr>
            <w:r w:rsidRPr="00B8307D">
              <w:rPr>
                <w:sz w:val="22"/>
                <w:szCs w:val="22"/>
                <w:lang w:val="sr-Latn-ME"/>
              </w:rPr>
              <w:t>(0.60 0.</w:t>
            </w:r>
            <w:r w:rsidR="0086115C" w:rsidRPr="00B8307D">
              <w:rPr>
                <w:sz w:val="22"/>
                <w:szCs w:val="22"/>
                <w:lang w:val="sr-Latn-ME"/>
              </w:rPr>
              <w:t>75</w:t>
            </w:r>
            <w:r w:rsidRPr="00B8307D">
              <w:rPr>
                <w:sz w:val="22"/>
                <w:szCs w:val="22"/>
                <w:lang w:val="sr-Latn-ME"/>
              </w:rPr>
              <w:t>)</w:t>
            </w:r>
          </w:p>
          <w:p w14:paraId="3DB9AD0B" w14:textId="77777777" w:rsidR="007253DB" w:rsidRPr="00B8307D" w:rsidRDefault="007253DB" w:rsidP="00DE3522">
            <w:pPr>
              <w:widowControl w:val="0"/>
              <w:tabs>
                <w:tab w:val="left" w:pos="284"/>
              </w:tabs>
              <w:rPr>
                <w:sz w:val="22"/>
                <w:szCs w:val="22"/>
                <w:lang w:val="sr-Latn-ME"/>
              </w:rPr>
            </w:pPr>
          </w:p>
        </w:tc>
        <w:tc>
          <w:tcPr>
            <w:tcW w:w="1016" w:type="pct"/>
            <w:tcBorders>
              <w:top w:val="single" w:sz="4" w:space="0" w:color="auto"/>
              <w:left w:val="single" w:sz="4" w:space="0" w:color="auto"/>
              <w:bottom w:val="single" w:sz="4" w:space="0" w:color="auto"/>
              <w:right w:val="single" w:sz="4" w:space="0" w:color="auto"/>
            </w:tcBorders>
          </w:tcPr>
          <w:p w14:paraId="314EE3A3" w14:textId="77777777" w:rsidR="007253DB" w:rsidRPr="00B8307D" w:rsidRDefault="007253DB" w:rsidP="000A067B">
            <w:pPr>
              <w:widowControl w:val="0"/>
              <w:jc w:val="center"/>
              <w:rPr>
                <w:sz w:val="22"/>
                <w:szCs w:val="22"/>
                <w:lang w:val="sr-Latn-ME"/>
              </w:rPr>
            </w:pPr>
            <w:r w:rsidRPr="00B8307D">
              <w:rPr>
                <w:sz w:val="22"/>
                <w:szCs w:val="22"/>
                <w:lang w:val="sr-Latn-ME"/>
              </w:rPr>
              <w:t>0.77</w:t>
            </w:r>
          </w:p>
          <w:p w14:paraId="3A7FA6E7" w14:textId="77777777" w:rsidR="007253DB" w:rsidRPr="00B8307D" w:rsidRDefault="007253DB" w:rsidP="000A067B">
            <w:pPr>
              <w:widowControl w:val="0"/>
              <w:jc w:val="center"/>
              <w:rPr>
                <w:sz w:val="22"/>
                <w:szCs w:val="22"/>
                <w:lang w:val="sr-Latn-ME"/>
              </w:rPr>
            </w:pPr>
            <w:r w:rsidRPr="00B8307D">
              <w:rPr>
                <w:sz w:val="22"/>
                <w:szCs w:val="22"/>
                <w:lang w:val="sr-Latn-ME"/>
              </w:rPr>
              <w:t>(0.66, 0.90)</w:t>
            </w:r>
          </w:p>
          <w:p w14:paraId="4E32B8B8" w14:textId="77777777" w:rsidR="007253DB" w:rsidRPr="00B8307D" w:rsidRDefault="007253DB" w:rsidP="000A067B">
            <w:pPr>
              <w:widowControl w:val="0"/>
              <w:tabs>
                <w:tab w:val="left" w:pos="284"/>
              </w:tabs>
              <w:jc w:val="center"/>
              <w:rPr>
                <w:sz w:val="22"/>
                <w:szCs w:val="22"/>
                <w:lang w:val="sr-Latn-ME"/>
              </w:rPr>
            </w:pPr>
          </w:p>
        </w:tc>
        <w:tc>
          <w:tcPr>
            <w:tcW w:w="1019" w:type="pct"/>
            <w:tcBorders>
              <w:top w:val="single" w:sz="4" w:space="0" w:color="auto"/>
              <w:left w:val="single" w:sz="4" w:space="0" w:color="auto"/>
              <w:bottom w:val="single" w:sz="4" w:space="0" w:color="auto"/>
              <w:right w:val="single" w:sz="4" w:space="0" w:color="auto"/>
            </w:tcBorders>
          </w:tcPr>
          <w:p w14:paraId="19941339" w14:textId="77777777" w:rsidR="007253DB" w:rsidRPr="00B8307D" w:rsidRDefault="007253DB" w:rsidP="000A067B">
            <w:pPr>
              <w:widowControl w:val="0"/>
              <w:jc w:val="center"/>
              <w:rPr>
                <w:sz w:val="22"/>
                <w:szCs w:val="22"/>
                <w:lang w:val="sr-Latn-ME"/>
              </w:rPr>
            </w:pPr>
            <w:r w:rsidRPr="00B8307D">
              <w:rPr>
                <w:sz w:val="22"/>
                <w:szCs w:val="22"/>
                <w:lang w:val="sr-Latn-ME"/>
              </w:rPr>
              <w:t>0.77</w:t>
            </w:r>
          </w:p>
          <w:p w14:paraId="60B2251B" w14:textId="77777777" w:rsidR="007253DB" w:rsidRPr="00B8307D" w:rsidRDefault="007253DB" w:rsidP="000A067B">
            <w:pPr>
              <w:widowControl w:val="0"/>
              <w:jc w:val="center"/>
              <w:rPr>
                <w:sz w:val="22"/>
                <w:szCs w:val="22"/>
                <w:lang w:val="sr-Latn-ME"/>
              </w:rPr>
            </w:pPr>
            <w:r w:rsidRPr="00B8307D">
              <w:rPr>
                <w:sz w:val="22"/>
                <w:szCs w:val="22"/>
                <w:lang w:val="sr-Latn-ME"/>
              </w:rPr>
              <w:t>(0.66, 0.90)</w:t>
            </w:r>
          </w:p>
          <w:p w14:paraId="2D466DE0" w14:textId="77777777" w:rsidR="007253DB" w:rsidRPr="00B8307D" w:rsidRDefault="007253DB" w:rsidP="000A067B">
            <w:pPr>
              <w:widowControl w:val="0"/>
              <w:tabs>
                <w:tab w:val="left" w:pos="284"/>
              </w:tabs>
              <w:jc w:val="center"/>
              <w:rPr>
                <w:sz w:val="22"/>
                <w:szCs w:val="22"/>
                <w:lang w:val="sr-Latn-ME"/>
              </w:rPr>
            </w:pPr>
          </w:p>
        </w:tc>
      </w:tr>
    </w:tbl>
    <w:p w14:paraId="171A324A" w14:textId="77777777" w:rsidR="007253DB" w:rsidRPr="00B8307D" w:rsidRDefault="007253DB" w:rsidP="000A067B">
      <w:pPr>
        <w:widowControl w:val="0"/>
        <w:jc w:val="both"/>
        <w:rPr>
          <w:sz w:val="20"/>
          <w:szCs w:val="20"/>
          <w:lang w:val="sr-Latn-ME"/>
        </w:rPr>
      </w:pPr>
      <w:r w:rsidRPr="00B8307D">
        <w:rPr>
          <w:sz w:val="20"/>
          <w:szCs w:val="20"/>
          <w:lang w:val="sr-Latn-ME"/>
        </w:rPr>
        <w:t>A-doksorubicin, C-ciklofosfamid, P-paklitaksel, D-docetaksel, Carb-karboplatin, H-trastuzumab, CI=interval pouzdanosti</w:t>
      </w:r>
    </w:p>
    <w:p w14:paraId="6307F020" w14:textId="77777777" w:rsidR="007253DB" w:rsidRPr="00B8307D" w:rsidRDefault="007253DB" w:rsidP="000A067B">
      <w:pPr>
        <w:widowControl w:val="0"/>
        <w:jc w:val="both"/>
        <w:rPr>
          <w:sz w:val="20"/>
          <w:szCs w:val="20"/>
          <w:lang w:val="sr-Latn-ME"/>
        </w:rPr>
      </w:pPr>
      <w:r w:rsidRPr="00B8307D">
        <w:rPr>
          <w:sz w:val="20"/>
          <w:szCs w:val="20"/>
          <w:vertAlign w:val="superscript"/>
          <w:lang w:val="sr-Latn-ME"/>
        </w:rPr>
        <w:t>*</w:t>
      </w:r>
      <w:r w:rsidRPr="00B8307D">
        <w:rPr>
          <w:sz w:val="20"/>
          <w:szCs w:val="20"/>
          <w:lang w:val="sr-Latn-ME"/>
        </w:rPr>
        <w:t xml:space="preserve"> U trenutku konačne analize preživljenjaavanja bez bolesti. Medijana trajanja praćenja iznosila je 1,8 godina u grupi koja je primila AC→P hemoterapiju i 2,0 godine u grupi koja je primala AC→PH hemoterapiju</w:t>
      </w:r>
    </w:p>
    <w:p w14:paraId="4293D667" w14:textId="13D17A69" w:rsidR="007253DB" w:rsidRPr="00B8307D" w:rsidRDefault="007253DB" w:rsidP="000A067B">
      <w:pPr>
        <w:widowControl w:val="0"/>
        <w:jc w:val="both"/>
        <w:rPr>
          <w:sz w:val="20"/>
          <w:szCs w:val="20"/>
          <w:lang w:val="sr-Latn-ME"/>
        </w:rPr>
      </w:pPr>
      <w:r w:rsidRPr="00B8307D">
        <w:rPr>
          <w:sz w:val="20"/>
          <w:szCs w:val="20"/>
          <w:lang w:val="sr-Latn-ME"/>
        </w:rPr>
        <w:t>** Medijana trajanja dugoročnog praćenja za klinička ispitivanja obuhvaćena zajedničkom analizom iznosila je 8,3 godine (raspon: 0,1 do 12,1) u grupi koja je primala AC→PH hemoterapiju  te 7,9 godina (raspon: 0,0 do 12,2) u grupi koja je primala AC→P hemoterapiju; medijana trajanja dugoročnog praćenja za ispitivanje BCIRG 006 iznosila je 10,3 godine i u grupi koja je primala AC→D (raspon: 0,0 do 12,6) i u onoj koja je primala DCarbH hemoterapiju (raspon: 0,0 do 13,1), dok je u grupi koja je primala AC→DH hemoterapiju iznosila 10,4 godine (raspon: 0,0 do 12,7)</w:t>
      </w:r>
      <w:r w:rsidR="0023606E" w:rsidRPr="00B8307D">
        <w:rPr>
          <w:sz w:val="20"/>
          <w:szCs w:val="20"/>
          <w:lang w:val="sr-Latn-ME"/>
        </w:rPr>
        <w:t>.</w:t>
      </w:r>
    </w:p>
    <w:p w14:paraId="39B7BE02" w14:textId="4F71B666" w:rsidR="007253DB" w:rsidRPr="00B8307D" w:rsidRDefault="007253DB" w:rsidP="000A067B">
      <w:pPr>
        <w:widowControl w:val="0"/>
        <w:jc w:val="both"/>
        <w:rPr>
          <w:sz w:val="22"/>
          <w:szCs w:val="22"/>
          <w:lang w:val="sr-Latn-ME"/>
        </w:rPr>
      </w:pPr>
    </w:p>
    <w:p w14:paraId="59011483" w14:textId="77777777" w:rsidR="007253DB" w:rsidRPr="00B8307D" w:rsidRDefault="007253DB" w:rsidP="000A067B">
      <w:pPr>
        <w:widowControl w:val="0"/>
        <w:jc w:val="both"/>
        <w:rPr>
          <w:i/>
          <w:sz w:val="22"/>
          <w:szCs w:val="22"/>
          <w:u w:val="single"/>
          <w:lang w:val="sr-Latn-ME"/>
        </w:rPr>
      </w:pPr>
      <w:r w:rsidRPr="00B8307D">
        <w:rPr>
          <w:i/>
          <w:sz w:val="22"/>
          <w:szCs w:val="22"/>
          <w:u w:val="single"/>
          <w:lang w:val="sr-Latn-ME"/>
        </w:rPr>
        <w:t>Rani karcinom dojke – (Neoadjuvantni – adjuvantni tretman)</w:t>
      </w:r>
    </w:p>
    <w:p w14:paraId="197CD1DD" w14:textId="77777777" w:rsidR="007253DB" w:rsidRPr="00B8307D" w:rsidRDefault="007253DB" w:rsidP="000A067B">
      <w:pPr>
        <w:widowControl w:val="0"/>
        <w:jc w:val="both"/>
        <w:rPr>
          <w:i/>
          <w:sz w:val="22"/>
          <w:szCs w:val="22"/>
          <w:u w:val="single"/>
          <w:lang w:val="sr-Latn-ME"/>
        </w:rPr>
      </w:pPr>
    </w:p>
    <w:p w14:paraId="648BD0D1" w14:textId="77777777" w:rsidR="007253DB" w:rsidRPr="00B8307D" w:rsidRDefault="007253DB" w:rsidP="000A067B">
      <w:pPr>
        <w:widowControl w:val="0"/>
        <w:jc w:val="both"/>
        <w:rPr>
          <w:i/>
          <w:sz w:val="22"/>
          <w:szCs w:val="22"/>
          <w:lang w:val="sr-Latn-ME"/>
        </w:rPr>
      </w:pPr>
      <w:r w:rsidRPr="00B8307D">
        <w:rPr>
          <w:i/>
          <w:sz w:val="22"/>
          <w:szCs w:val="22"/>
          <w:lang w:val="sr-Latn-ME"/>
        </w:rPr>
        <w:t>Intravenska formulacija</w:t>
      </w:r>
    </w:p>
    <w:p w14:paraId="62D6D158" w14:textId="77777777" w:rsidR="007253DB" w:rsidRPr="00B8307D" w:rsidRDefault="007253DB" w:rsidP="000A067B">
      <w:pPr>
        <w:widowControl w:val="0"/>
        <w:jc w:val="both"/>
        <w:rPr>
          <w:sz w:val="22"/>
          <w:szCs w:val="22"/>
          <w:lang w:val="sr-Latn-ME"/>
        </w:rPr>
      </w:pPr>
      <w:r w:rsidRPr="00B8307D">
        <w:rPr>
          <w:sz w:val="22"/>
          <w:szCs w:val="22"/>
          <w:lang w:val="sr-Latn-ME"/>
        </w:rPr>
        <w:t>Do sada nijesu bili dostupni podaci kojima bi se uporedila efikasnost lijeka Herceptin primijenjenog sa hemoterapijom u adjuvantnoj primjeni sa onima koji su dobijeni u neoadjuvantnoj/adjuvantnoj primjeni.</w:t>
      </w:r>
    </w:p>
    <w:p w14:paraId="6629FAA1" w14:textId="77777777" w:rsidR="007253DB" w:rsidRPr="00B8307D" w:rsidRDefault="007253DB" w:rsidP="000A067B">
      <w:pPr>
        <w:widowControl w:val="0"/>
        <w:jc w:val="both"/>
        <w:rPr>
          <w:sz w:val="22"/>
          <w:szCs w:val="22"/>
          <w:lang w:val="sr-Latn-ME"/>
        </w:rPr>
      </w:pPr>
    </w:p>
    <w:p w14:paraId="7380CE46" w14:textId="77777777" w:rsidR="007253DB" w:rsidRPr="00B8307D" w:rsidRDefault="007253DB" w:rsidP="000A067B">
      <w:pPr>
        <w:widowControl w:val="0"/>
        <w:jc w:val="both"/>
        <w:rPr>
          <w:sz w:val="22"/>
          <w:szCs w:val="22"/>
          <w:lang w:val="sr-Latn-ME"/>
        </w:rPr>
      </w:pPr>
      <w:r w:rsidRPr="00B8307D">
        <w:rPr>
          <w:sz w:val="22"/>
          <w:szCs w:val="22"/>
          <w:lang w:val="sr-Latn-ME"/>
        </w:rPr>
        <w:t>U neoadjuvantnoj/adjuvantnoj primjeni, studija MO16432, multicentrična, randomizovana studija koja je dizajnirana da ispita kliničku efikasnost istovremene primjene Herceptina sa neoadjuvantnom hemoterapijom uključujući i antraciklin i taksan, nakon adjuvantne primjene lijeka Herceptin, sa ukupnim trajanjem tretmana do 1 godine. U studiju su uključeni pacijenti sa novo-dijagnostikovanim lokalno uznapredovalim (stadijum III) ili inflamatornim ranim karcinomom dojke. Pacijenti koji su imali HER2+ tumore, randomizovani su da primaju ili neoadjuvantnu hemoterapiju istovremeno sa neoadjuvantnim/adjuvantnim lijekom Herceptin, ili samo neoadjuvantnu hemoterapiju.</w:t>
      </w:r>
    </w:p>
    <w:p w14:paraId="2F7640D4" w14:textId="77777777" w:rsidR="007253DB" w:rsidRPr="00B8307D" w:rsidRDefault="007253DB" w:rsidP="000A067B">
      <w:pPr>
        <w:widowControl w:val="0"/>
        <w:jc w:val="both"/>
        <w:rPr>
          <w:sz w:val="22"/>
          <w:szCs w:val="22"/>
          <w:lang w:val="sr-Latn-ME"/>
        </w:rPr>
      </w:pPr>
    </w:p>
    <w:p w14:paraId="66A1BFFB" w14:textId="77777777" w:rsidR="007253DB" w:rsidRPr="00B8307D" w:rsidRDefault="007253DB" w:rsidP="000A067B">
      <w:pPr>
        <w:widowControl w:val="0"/>
        <w:jc w:val="both"/>
        <w:rPr>
          <w:sz w:val="22"/>
          <w:szCs w:val="22"/>
          <w:lang w:val="sr-Latn-ME"/>
        </w:rPr>
      </w:pPr>
      <w:r w:rsidRPr="00B8307D">
        <w:rPr>
          <w:sz w:val="22"/>
          <w:szCs w:val="22"/>
          <w:lang w:val="sr-Latn-ME"/>
        </w:rPr>
        <w:lastRenderedPageBreak/>
        <w:t>U studiji MO16432, Herceptin (8mg/kg početna doza, nakon toga 6mg/kg doza održavanja na svake tri nedjelje) je primijenjen istovremeno sa 10 ciklusa neoadjuvantne hemoterapije na sljedeći način:</w:t>
      </w:r>
    </w:p>
    <w:p w14:paraId="664EFE83" w14:textId="176A2942" w:rsidR="007253DB" w:rsidRPr="00B8307D" w:rsidRDefault="007253DB" w:rsidP="000A067B">
      <w:pPr>
        <w:widowControl w:val="0"/>
        <w:numPr>
          <w:ilvl w:val="0"/>
          <w:numId w:val="21"/>
        </w:numPr>
        <w:tabs>
          <w:tab w:val="left" w:pos="284"/>
        </w:tabs>
        <w:ind w:left="284" w:hanging="284"/>
        <w:jc w:val="both"/>
        <w:rPr>
          <w:sz w:val="22"/>
          <w:szCs w:val="22"/>
          <w:lang w:val="sr-Latn-ME"/>
        </w:rPr>
      </w:pPr>
      <w:r w:rsidRPr="00B8307D">
        <w:rPr>
          <w:sz w:val="22"/>
          <w:szCs w:val="22"/>
          <w:lang w:val="sr-Latn-ME"/>
        </w:rPr>
        <w:t>doksorubicin 60</w:t>
      </w:r>
      <w:r w:rsidR="0053424F" w:rsidRPr="00B8307D">
        <w:rPr>
          <w:sz w:val="22"/>
          <w:szCs w:val="22"/>
          <w:lang w:val="sr-Latn-ME"/>
        </w:rPr>
        <w:t xml:space="preserve"> </w:t>
      </w:r>
      <w:r w:rsidRPr="00B8307D">
        <w:rPr>
          <w:sz w:val="22"/>
          <w:szCs w:val="22"/>
          <w:lang w:val="sr-Latn-ME"/>
        </w:rPr>
        <w:t>mg/m</w:t>
      </w:r>
      <w:r w:rsidRPr="00B8307D">
        <w:rPr>
          <w:sz w:val="22"/>
          <w:szCs w:val="22"/>
          <w:vertAlign w:val="superscript"/>
          <w:lang w:val="sr-Latn-ME"/>
        </w:rPr>
        <w:t xml:space="preserve">2 </w:t>
      </w:r>
      <w:r w:rsidRPr="00B8307D">
        <w:rPr>
          <w:sz w:val="22"/>
          <w:szCs w:val="22"/>
          <w:lang w:val="sr-Latn-ME"/>
        </w:rPr>
        <w:t xml:space="preserve"> i paklitaksel 150mg/m</w:t>
      </w:r>
      <w:r w:rsidRPr="00B8307D">
        <w:rPr>
          <w:sz w:val="22"/>
          <w:szCs w:val="22"/>
          <w:vertAlign w:val="superscript"/>
          <w:lang w:val="sr-Latn-ME"/>
        </w:rPr>
        <w:t>2</w:t>
      </w:r>
      <w:r w:rsidRPr="00B8307D">
        <w:rPr>
          <w:sz w:val="22"/>
          <w:szCs w:val="22"/>
          <w:lang w:val="sr-Latn-ME"/>
        </w:rPr>
        <w:t xml:space="preserve"> primijenjeni tronedjeljno tokom 3 ciklusa, nakon čega je primijenjen</w:t>
      </w:r>
    </w:p>
    <w:p w14:paraId="7F86CADE" w14:textId="1619B30F" w:rsidR="007253DB" w:rsidRPr="00B8307D" w:rsidRDefault="007253DB" w:rsidP="000A067B">
      <w:pPr>
        <w:widowControl w:val="0"/>
        <w:numPr>
          <w:ilvl w:val="0"/>
          <w:numId w:val="21"/>
        </w:numPr>
        <w:tabs>
          <w:tab w:val="left" w:pos="284"/>
        </w:tabs>
        <w:ind w:left="284" w:hanging="284"/>
        <w:jc w:val="both"/>
        <w:rPr>
          <w:sz w:val="22"/>
          <w:szCs w:val="22"/>
          <w:lang w:val="sr-Latn-ME"/>
        </w:rPr>
      </w:pPr>
      <w:r w:rsidRPr="00B8307D">
        <w:rPr>
          <w:sz w:val="22"/>
          <w:szCs w:val="22"/>
          <w:lang w:val="sr-Latn-ME"/>
        </w:rPr>
        <w:t>paklitaksel 175</w:t>
      </w:r>
      <w:r w:rsidR="0053424F" w:rsidRPr="00B8307D">
        <w:rPr>
          <w:sz w:val="22"/>
          <w:szCs w:val="22"/>
          <w:lang w:val="sr-Latn-ME"/>
        </w:rPr>
        <w:t xml:space="preserve"> </w:t>
      </w:r>
      <w:r w:rsidRPr="00B8307D">
        <w:rPr>
          <w:sz w:val="22"/>
          <w:szCs w:val="22"/>
          <w:lang w:val="sr-Latn-ME"/>
        </w:rPr>
        <w:t>mg/m</w:t>
      </w:r>
      <w:r w:rsidRPr="00B8307D">
        <w:rPr>
          <w:sz w:val="22"/>
          <w:szCs w:val="22"/>
          <w:vertAlign w:val="superscript"/>
          <w:lang w:val="sr-Latn-ME"/>
        </w:rPr>
        <w:t>2</w:t>
      </w:r>
      <w:r w:rsidRPr="00B8307D">
        <w:rPr>
          <w:sz w:val="22"/>
          <w:szCs w:val="22"/>
          <w:lang w:val="sr-Latn-ME"/>
        </w:rPr>
        <w:t xml:space="preserve"> tronedjeljno tokom 4 ciklusa  nakon čega je primijenjen</w:t>
      </w:r>
    </w:p>
    <w:p w14:paraId="71219A56" w14:textId="77777777" w:rsidR="007253DB" w:rsidRPr="00B8307D" w:rsidRDefault="007253DB" w:rsidP="000A067B">
      <w:pPr>
        <w:widowControl w:val="0"/>
        <w:numPr>
          <w:ilvl w:val="0"/>
          <w:numId w:val="21"/>
        </w:numPr>
        <w:tabs>
          <w:tab w:val="left" w:pos="284"/>
        </w:tabs>
        <w:ind w:left="284" w:hanging="284"/>
        <w:jc w:val="both"/>
        <w:rPr>
          <w:sz w:val="22"/>
          <w:szCs w:val="22"/>
          <w:lang w:val="sr-Latn-ME"/>
        </w:rPr>
      </w:pPr>
      <w:r w:rsidRPr="00B8307D">
        <w:rPr>
          <w:sz w:val="22"/>
          <w:szCs w:val="22"/>
          <w:lang w:val="sr-Latn-ME"/>
        </w:rPr>
        <w:t>CMF prvog i osmog dana, svake 4 nedjelje, tokom 3 ciklusa a nakon operacije nastavljena je primjena</w:t>
      </w:r>
    </w:p>
    <w:p w14:paraId="312AC077" w14:textId="25BEC52C" w:rsidR="007253DB" w:rsidRPr="00B8307D" w:rsidRDefault="007253DB" w:rsidP="000A067B">
      <w:pPr>
        <w:widowControl w:val="0"/>
        <w:numPr>
          <w:ilvl w:val="0"/>
          <w:numId w:val="21"/>
        </w:numPr>
        <w:tabs>
          <w:tab w:val="left" w:pos="284"/>
        </w:tabs>
        <w:ind w:left="284" w:hanging="284"/>
        <w:jc w:val="both"/>
        <w:rPr>
          <w:sz w:val="22"/>
          <w:szCs w:val="22"/>
          <w:lang w:val="sr-Latn-ME"/>
        </w:rPr>
      </w:pPr>
      <w:r w:rsidRPr="00B8307D">
        <w:rPr>
          <w:sz w:val="22"/>
          <w:szCs w:val="22"/>
          <w:lang w:val="sr-Latn-ME"/>
        </w:rPr>
        <w:t xml:space="preserve">dodatnih ciklusa adjuvantnog </w:t>
      </w:r>
      <w:r w:rsidR="0053424F" w:rsidRPr="00B8307D">
        <w:rPr>
          <w:sz w:val="22"/>
          <w:szCs w:val="22"/>
          <w:lang w:val="sr-Latn-ME"/>
        </w:rPr>
        <w:t xml:space="preserve">lijeka </w:t>
      </w:r>
      <w:r w:rsidRPr="00B8307D">
        <w:rPr>
          <w:sz w:val="22"/>
          <w:szCs w:val="22"/>
          <w:lang w:val="sr-Latn-ME"/>
        </w:rPr>
        <w:t>Herceptina (ukupno 1 godina tretmana).</w:t>
      </w:r>
    </w:p>
    <w:p w14:paraId="50266C5F" w14:textId="77777777" w:rsidR="007253DB" w:rsidRPr="00B8307D" w:rsidRDefault="007253DB" w:rsidP="000A067B">
      <w:pPr>
        <w:widowControl w:val="0"/>
        <w:jc w:val="both"/>
        <w:rPr>
          <w:sz w:val="22"/>
          <w:szCs w:val="22"/>
          <w:lang w:val="sr-Latn-ME"/>
        </w:rPr>
      </w:pPr>
    </w:p>
    <w:p w14:paraId="6D185BDD" w14:textId="5A9D8EF5" w:rsidR="007253DB" w:rsidRPr="00B8307D" w:rsidRDefault="007253DB" w:rsidP="000A067B">
      <w:pPr>
        <w:widowControl w:val="0"/>
        <w:jc w:val="both"/>
        <w:rPr>
          <w:sz w:val="22"/>
          <w:szCs w:val="22"/>
          <w:lang w:val="sr-Latn-ME"/>
        </w:rPr>
      </w:pPr>
      <w:r w:rsidRPr="00B8307D">
        <w:rPr>
          <w:sz w:val="22"/>
          <w:szCs w:val="22"/>
          <w:lang w:val="sr-Latn-ME"/>
        </w:rPr>
        <w:t xml:space="preserve">Rezultati efikasnosti iz studije MO16432 su sažeto prikazani u Tabeli 11. </w:t>
      </w:r>
      <w:r w:rsidR="0053424F" w:rsidRPr="00B8307D">
        <w:rPr>
          <w:sz w:val="22"/>
          <w:szCs w:val="22"/>
          <w:lang w:val="sr-Latn-ME"/>
        </w:rPr>
        <w:t>Medijana</w:t>
      </w:r>
      <w:r w:rsidRPr="00B8307D">
        <w:rPr>
          <w:sz w:val="22"/>
          <w:szCs w:val="22"/>
          <w:lang w:val="sr-Latn-ME"/>
        </w:rPr>
        <w:t xml:space="preserve"> praćenja pacijenata u grupi koja je primala </w:t>
      </w:r>
      <w:r w:rsidR="0053424F" w:rsidRPr="00B8307D">
        <w:rPr>
          <w:sz w:val="22"/>
          <w:szCs w:val="22"/>
          <w:lang w:val="sr-Latn-ME"/>
        </w:rPr>
        <w:t xml:space="preserve">lijek </w:t>
      </w:r>
      <w:r w:rsidRPr="00B8307D">
        <w:rPr>
          <w:sz w:val="22"/>
          <w:szCs w:val="22"/>
          <w:lang w:val="sr-Latn-ME"/>
        </w:rPr>
        <w:t>Herceptin iznosilo je 3.8 godina.</w:t>
      </w:r>
    </w:p>
    <w:p w14:paraId="4D5C3387" w14:textId="2A0AC1F0" w:rsidR="007253DB" w:rsidRPr="00B8307D" w:rsidRDefault="007253DB" w:rsidP="000A067B">
      <w:pPr>
        <w:widowControl w:val="0"/>
        <w:tabs>
          <w:tab w:val="left" w:pos="540"/>
          <w:tab w:val="left" w:pos="569"/>
        </w:tabs>
        <w:jc w:val="both"/>
        <w:rPr>
          <w:b/>
          <w:bCs/>
          <w:sz w:val="22"/>
          <w:szCs w:val="22"/>
          <w:lang w:val="sr-Latn-ME"/>
        </w:rPr>
      </w:pPr>
    </w:p>
    <w:p w14:paraId="5A22186E" w14:textId="77777777" w:rsidR="007253DB" w:rsidRPr="00B8307D" w:rsidRDefault="007253DB" w:rsidP="000A067B">
      <w:pPr>
        <w:widowControl w:val="0"/>
        <w:jc w:val="both"/>
        <w:rPr>
          <w:sz w:val="22"/>
          <w:szCs w:val="22"/>
          <w:lang w:val="sr-Latn-ME"/>
        </w:rPr>
      </w:pPr>
      <w:r w:rsidRPr="00B8307D">
        <w:rPr>
          <w:sz w:val="22"/>
          <w:szCs w:val="22"/>
          <w:lang w:val="sr-Latn-ME"/>
        </w:rPr>
        <w:t>Tabela 11: Rezultati efikasnosti iz studije MO16432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4"/>
        <w:gridCol w:w="1840"/>
        <w:gridCol w:w="1599"/>
        <w:gridCol w:w="2512"/>
      </w:tblGrid>
      <w:tr w:rsidR="007253DB" w:rsidRPr="00B8307D" w14:paraId="0A0FC547" w14:textId="77777777" w:rsidTr="00DE3522">
        <w:tc>
          <w:tcPr>
            <w:tcW w:w="1721" w:type="pct"/>
            <w:tcBorders>
              <w:top w:val="single" w:sz="4" w:space="0" w:color="auto"/>
              <w:left w:val="single" w:sz="4" w:space="0" w:color="auto"/>
              <w:bottom w:val="single" w:sz="4" w:space="0" w:color="auto"/>
              <w:right w:val="single" w:sz="4" w:space="0" w:color="auto"/>
            </w:tcBorders>
          </w:tcPr>
          <w:p w14:paraId="69101344" w14:textId="77777777" w:rsidR="007253DB" w:rsidRPr="00B8307D" w:rsidRDefault="007253DB" w:rsidP="000A067B">
            <w:pPr>
              <w:widowControl w:val="0"/>
              <w:rPr>
                <w:sz w:val="22"/>
                <w:szCs w:val="22"/>
                <w:lang w:val="sr-Latn-ME"/>
              </w:rPr>
            </w:pPr>
          </w:p>
          <w:p w14:paraId="28C019B5" w14:textId="77777777" w:rsidR="007253DB" w:rsidRPr="00B8307D" w:rsidRDefault="007253DB" w:rsidP="000A067B">
            <w:pPr>
              <w:widowControl w:val="0"/>
              <w:rPr>
                <w:sz w:val="22"/>
                <w:szCs w:val="22"/>
                <w:lang w:val="sr-Latn-ME"/>
              </w:rPr>
            </w:pPr>
            <w:r w:rsidRPr="00B8307D">
              <w:rPr>
                <w:sz w:val="22"/>
                <w:szCs w:val="22"/>
                <w:lang w:val="sr-Latn-ME"/>
              </w:rPr>
              <w:t>Parametar</w:t>
            </w:r>
          </w:p>
          <w:p w14:paraId="6CA6EDD9" w14:textId="77777777" w:rsidR="007253DB" w:rsidRPr="00B8307D" w:rsidRDefault="007253DB" w:rsidP="000A067B">
            <w:pPr>
              <w:widowControl w:val="0"/>
              <w:tabs>
                <w:tab w:val="left" w:pos="284"/>
              </w:tabs>
              <w:rPr>
                <w:sz w:val="22"/>
                <w:szCs w:val="22"/>
                <w:lang w:val="sr-Latn-ME"/>
              </w:rPr>
            </w:pPr>
          </w:p>
        </w:tc>
        <w:tc>
          <w:tcPr>
            <w:tcW w:w="1014" w:type="pct"/>
            <w:tcBorders>
              <w:top w:val="single" w:sz="4" w:space="0" w:color="auto"/>
              <w:left w:val="single" w:sz="4" w:space="0" w:color="auto"/>
              <w:bottom w:val="single" w:sz="4" w:space="0" w:color="auto"/>
              <w:right w:val="single" w:sz="4" w:space="0" w:color="auto"/>
            </w:tcBorders>
            <w:hideMark/>
          </w:tcPr>
          <w:p w14:paraId="5AFF8768" w14:textId="77777777" w:rsidR="007253DB" w:rsidRPr="00B8307D" w:rsidRDefault="007253DB" w:rsidP="000A067B">
            <w:pPr>
              <w:widowControl w:val="0"/>
              <w:jc w:val="center"/>
              <w:rPr>
                <w:sz w:val="22"/>
                <w:szCs w:val="22"/>
                <w:lang w:val="sr-Latn-ME"/>
              </w:rPr>
            </w:pPr>
            <w:r w:rsidRPr="00B8307D">
              <w:rPr>
                <w:sz w:val="22"/>
                <w:szCs w:val="22"/>
                <w:lang w:val="sr-Latn-ME"/>
              </w:rPr>
              <w:t>Hemioterapija + Herceptin</w:t>
            </w:r>
          </w:p>
          <w:p w14:paraId="17FA7813" w14:textId="77777777" w:rsidR="007253DB" w:rsidRPr="00B8307D" w:rsidRDefault="007253DB" w:rsidP="000A067B">
            <w:pPr>
              <w:widowControl w:val="0"/>
              <w:tabs>
                <w:tab w:val="left" w:pos="284"/>
              </w:tabs>
              <w:jc w:val="center"/>
              <w:rPr>
                <w:sz w:val="22"/>
                <w:szCs w:val="22"/>
                <w:lang w:val="sr-Latn-ME"/>
              </w:rPr>
            </w:pPr>
            <w:r w:rsidRPr="00B8307D">
              <w:rPr>
                <w:sz w:val="22"/>
                <w:szCs w:val="22"/>
                <w:lang w:val="sr-Latn-ME"/>
              </w:rPr>
              <w:t>(n=115)</w:t>
            </w:r>
          </w:p>
        </w:tc>
        <w:tc>
          <w:tcPr>
            <w:tcW w:w="881" w:type="pct"/>
            <w:tcBorders>
              <w:top w:val="single" w:sz="4" w:space="0" w:color="auto"/>
              <w:left w:val="single" w:sz="4" w:space="0" w:color="auto"/>
              <w:bottom w:val="single" w:sz="4" w:space="0" w:color="auto"/>
              <w:right w:val="single" w:sz="4" w:space="0" w:color="auto"/>
            </w:tcBorders>
          </w:tcPr>
          <w:p w14:paraId="7EDD3BD4" w14:textId="77777777" w:rsidR="007253DB" w:rsidRPr="00B8307D" w:rsidRDefault="007253DB" w:rsidP="000A067B">
            <w:pPr>
              <w:widowControl w:val="0"/>
              <w:jc w:val="center"/>
              <w:rPr>
                <w:sz w:val="22"/>
                <w:szCs w:val="22"/>
                <w:lang w:val="sr-Latn-ME"/>
              </w:rPr>
            </w:pPr>
            <w:r w:rsidRPr="00B8307D">
              <w:rPr>
                <w:sz w:val="22"/>
                <w:szCs w:val="22"/>
                <w:lang w:val="sr-Latn-ME"/>
              </w:rPr>
              <w:t>Hemioterapija</w:t>
            </w:r>
          </w:p>
          <w:p w14:paraId="084D266F" w14:textId="77777777" w:rsidR="007253DB" w:rsidRPr="00B8307D" w:rsidRDefault="007253DB" w:rsidP="000A067B">
            <w:pPr>
              <w:widowControl w:val="0"/>
              <w:jc w:val="center"/>
              <w:rPr>
                <w:sz w:val="22"/>
                <w:szCs w:val="22"/>
                <w:lang w:val="sr-Latn-ME"/>
              </w:rPr>
            </w:pPr>
          </w:p>
          <w:p w14:paraId="12C831E4" w14:textId="77777777" w:rsidR="007253DB" w:rsidRPr="00B8307D" w:rsidRDefault="007253DB" w:rsidP="000A067B">
            <w:pPr>
              <w:widowControl w:val="0"/>
              <w:tabs>
                <w:tab w:val="left" w:pos="284"/>
              </w:tabs>
              <w:jc w:val="center"/>
              <w:rPr>
                <w:sz w:val="22"/>
                <w:szCs w:val="22"/>
                <w:lang w:val="sr-Latn-ME"/>
              </w:rPr>
            </w:pPr>
            <w:r w:rsidRPr="00B8307D">
              <w:rPr>
                <w:sz w:val="22"/>
                <w:szCs w:val="22"/>
                <w:lang w:val="sr-Latn-ME"/>
              </w:rPr>
              <w:t>(n=116)</w:t>
            </w:r>
          </w:p>
        </w:tc>
        <w:tc>
          <w:tcPr>
            <w:tcW w:w="1384" w:type="pct"/>
            <w:tcBorders>
              <w:top w:val="single" w:sz="4" w:space="0" w:color="auto"/>
              <w:left w:val="single" w:sz="4" w:space="0" w:color="auto"/>
              <w:bottom w:val="single" w:sz="4" w:space="0" w:color="auto"/>
              <w:right w:val="single" w:sz="4" w:space="0" w:color="auto"/>
            </w:tcBorders>
          </w:tcPr>
          <w:p w14:paraId="252EA8D5" w14:textId="77777777" w:rsidR="007253DB" w:rsidRPr="00B8307D" w:rsidRDefault="007253DB" w:rsidP="000A067B">
            <w:pPr>
              <w:widowControl w:val="0"/>
              <w:tabs>
                <w:tab w:val="left" w:pos="284"/>
              </w:tabs>
              <w:jc w:val="center"/>
              <w:rPr>
                <w:sz w:val="22"/>
                <w:szCs w:val="22"/>
                <w:lang w:val="sr-Latn-ME"/>
              </w:rPr>
            </w:pPr>
          </w:p>
        </w:tc>
      </w:tr>
      <w:tr w:rsidR="007253DB" w:rsidRPr="00B8307D" w14:paraId="362273DB" w14:textId="77777777" w:rsidTr="00DE3522">
        <w:tc>
          <w:tcPr>
            <w:tcW w:w="1721" w:type="pct"/>
            <w:tcBorders>
              <w:top w:val="single" w:sz="4" w:space="0" w:color="auto"/>
              <w:left w:val="single" w:sz="4" w:space="0" w:color="auto"/>
              <w:bottom w:val="single" w:sz="4" w:space="0" w:color="auto"/>
              <w:right w:val="single" w:sz="4" w:space="0" w:color="auto"/>
            </w:tcBorders>
          </w:tcPr>
          <w:p w14:paraId="725F2D6E" w14:textId="77777777" w:rsidR="007253DB" w:rsidRPr="00B8307D" w:rsidRDefault="007253DB" w:rsidP="000A067B">
            <w:pPr>
              <w:widowControl w:val="0"/>
              <w:rPr>
                <w:sz w:val="22"/>
                <w:szCs w:val="22"/>
                <w:lang w:val="sr-Latn-ME"/>
              </w:rPr>
            </w:pPr>
            <w:r w:rsidRPr="00B8307D">
              <w:rPr>
                <w:sz w:val="22"/>
                <w:szCs w:val="22"/>
                <w:lang w:val="sr-Latn-ME"/>
              </w:rPr>
              <w:t>Preživljavanje bez događaja</w:t>
            </w:r>
          </w:p>
          <w:p w14:paraId="485EC833" w14:textId="77777777" w:rsidR="007253DB" w:rsidRPr="00B8307D" w:rsidRDefault="007253DB" w:rsidP="000A067B">
            <w:pPr>
              <w:widowControl w:val="0"/>
              <w:rPr>
                <w:sz w:val="22"/>
                <w:szCs w:val="22"/>
                <w:lang w:val="sr-Latn-ME"/>
              </w:rPr>
            </w:pPr>
            <w:r w:rsidRPr="00B8307D">
              <w:rPr>
                <w:sz w:val="22"/>
                <w:szCs w:val="22"/>
                <w:lang w:val="sr-Latn-ME"/>
              </w:rPr>
              <w:t>Broj pacijenata sa događajem</w:t>
            </w:r>
          </w:p>
          <w:p w14:paraId="77333473" w14:textId="77777777" w:rsidR="007253DB" w:rsidRPr="00B8307D" w:rsidRDefault="007253DB" w:rsidP="000A067B">
            <w:pPr>
              <w:widowControl w:val="0"/>
              <w:tabs>
                <w:tab w:val="left" w:pos="284"/>
              </w:tabs>
              <w:rPr>
                <w:sz w:val="22"/>
                <w:szCs w:val="22"/>
                <w:lang w:val="sr-Latn-ME"/>
              </w:rPr>
            </w:pPr>
          </w:p>
        </w:tc>
        <w:tc>
          <w:tcPr>
            <w:tcW w:w="1014" w:type="pct"/>
            <w:tcBorders>
              <w:top w:val="single" w:sz="4" w:space="0" w:color="auto"/>
              <w:left w:val="single" w:sz="4" w:space="0" w:color="auto"/>
              <w:bottom w:val="single" w:sz="4" w:space="0" w:color="auto"/>
              <w:right w:val="single" w:sz="4" w:space="0" w:color="auto"/>
            </w:tcBorders>
          </w:tcPr>
          <w:p w14:paraId="2228D646" w14:textId="77777777" w:rsidR="007253DB" w:rsidRPr="00B8307D" w:rsidRDefault="007253DB" w:rsidP="000A067B">
            <w:pPr>
              <w:widowControl w:val="0"/>
              <w:tabs>
                <w:tab w:val="left" w:pos="284"/>
              </w:tabs>
              <w:jc w:val="center"/>
              <w:rPr>
                <w:sz w:val="22"/>
                <w:szCs w:val="22"/>
                <w:lang w:val="sr-Latn-ME"/>
              </w:rPr>
            </w:pPr>
            <w:r w:rsidRPr="00B8307D">
              <w:rPr>
                <w:sz w:val="22"/>
                <w:szCs w:val="22"/>
                <w:lang w:val="sr-Latn-ME"/>
              </w:rPr>
              <w:t>46</w:t>
            </w:r>
          </w:p>
        </w:tc>
        <w:tc>
          <w:tcPr>
            <w:tcW w:w="881" w:type="pct"/>
            <w:tcBorders>
              <w:top w:val="single" w:sz="4" w:space="0" w:color="auto"/>
              <w:left w:val="single" w:sz="4" w:space="0" w:color="auto"/>
              <w:bottom w:val="single" w:sz="4" w:space="0" w:color="auto"/>
              <w:right w:val="single" w:sz="4" w:space="0" w:color="auto"/>
            </w:tcBorders>
          </w:tcPr>
          <w:p w14:paraId="0AF18799" w14:textId="77777777" w:rsidR="007253DB" w:rsidRPr="00B8307D" w:rsidRDefault="007253DB" w:rsidP="000A067B">
            <w:pPr>
              <w:widowControl w:val="0"/>
              <w:tabs>
                <w:tab w:val="left" w:pos="284"/>
              </w:tabs>
              <w:jc w:val="center"/>
              <w:rPr>
                <w:sz w:val="22"/>
                <w:szCs w:val="22"/>
                <w:lang w:val="sr-Latn-ME"/>
              </w:rPr>
            </w:pPr>
            <w:r w:rsidRPr="00B8307D">
              <w:rPr>
                <w:sz w:val="22"/>
                <w:szCs w:val="22"/>
                <w:lang w:val="sr-Latn-ME"/>
              </w:rPr>
              <w:t>59</w:t>
            </w:r>
          </w:p>
        </w:tc>
        <w:tc>
          <w:tcPr>
            <w:tcW w:w="1384" w:type="pct"/>
            <w:tcBorders>
              <w:top w:val="single" w:sz="4" w:space="0" w:color="auto"/>
              <w:left w:val="single" w:sz="4" w:space="0" w:color="auto"/>
              <w:bottom w:val="single" w:sz="4" w:space="0" w:color="auto"/>
              <w:right w:val="single" w:sz="4" w:space="0" w:color="auto"/>
            </w:tcBorders>
            <w:hideMark/>
          </w:tcPr>
          <w:p w14:paraId="64C3EFA2" w14:textId="2848B0D4" w:rsidR="007253DB" w:rsidRPr="00B8307D" w:rsidRDefault="007253DB" w:rsidP="00DE3522">
            <w:pPr>
              <w:widowControl w:val="0"/>
              <w:jc w:val="center"/>
              <w:rPr>
                <w:sz w:val="22"/>
                <w:szCs w:val="22"/>
                <w:lang w:val="sr-Latn-ME"/>
              </w:rPr>
            </w:pPr>
            <w:r w:rsidRPr="00B8307D">
              <w:rPr>
                <w:sz w:val="22"/>
                <w:szCs w:val="22"/>
                <w:lang w:val="sr-Latn-ME"/>
              </w:rPr>
              <w:t>Odnos hazarda</w:t>
            </w:r>
            <w:r w:rsidR="00DE3522" w:rsidRPr="00B8307D">
              <w:rPr>
                <w:sz w:val="22"/>
                <w:szCs w:val="22"/>
                <w:lang w:val="sr-Latn-ME"/>
              </w:rPr>
              <w:t xml:space="preserve"> </w:t>
            </w:r>
            <w:r w:rsidRPr="00B8307D">
              <w:rPr>
                <w:sz w:val="22"/>
                <w:szCs w:val="22"/>
                <w:lang w:val="sr-Latn-ME"/>
              </w:rPr>
              <w:t>(95%CI)</w:t>
            </w:r>
          </w:p>
          <w:p w14:paraId="4BCD06DF" w14:textId="77777777" w:rsidR="007253DB" w:rsidRPr="00B8307D" w:rsidRDefault="007253DB" w:rsidP="000A067B">
            <w:pPr>
              <w:widowControl w:val="0"/>
              <w:jc w:val="center"/>
              <w:rPr>
                <w:sz w:val="22"/>
                <w:szCs w:val="22"/>
                <w:lang w:val="sr-Latn-ME"/>
              </w:rPr>
            </w:pPr>
            <w:r w:rsidRPr="00B8307D">
              <w:rPr>
                <w:sz w:val="22"/>
                <w:szCs w:val="22"/>
                <w:lang w:val="sr-Latn-ME"/>
              </w:rPr>
              <w:t>0.65 (0.44, 0.96)</w:t>
            </w:r>
          </w:p>
          <w:p w14:paraId="138D7DDE" w14:textId="77777777" w:rsidR="007253DB" w:rsidRPr="00B8307D" w:rsidRDefault="007253DB" w:rsidP="000A067B">
            <w:pPr>
              <w:widowControl w:val="0"/>
              <w:tabs>
                <w:tab w:val="left" w:pos="284"/>
              </w:tabs>
              <w:jc w:val="center"/>
              <w:rPr>
                <w:sz w:val="22"/>
                <w:szCs w:val="22"/>
                <w:lang w:val="sr-Latn-ME"/>
              </w:rPr>
            </w:pPr>
            <w:r w:rsidRPr="00B8307D">
              <w:rPr>
                <w:sz w:val="22"/>
                <w:szCs w:val="22"/>
                <w:lang w:val="sr-Latn-ME"/>
              </w:rPr>
              <w:t>p=0.0275</w:t>
            </w:r>
          </w:p>
        </w:tc>
      </w:tr>
      <w:tr w:rsidR="007253DB" w:rsidRPr="00B8307D" w14:paraId="0DF577C3" w14:textId="77777777" w:rsidTr="00DE3522">
        <w:tc>
          <w:tcPr>
            <w:tcW w:w="1721" w:type="pct"/>
            <w:tcBorders>
              <w:top w:val="single" w:sz="4" w:space="0" w:color="auto"/>
              <w:left w:val="single" w:sz="4" w:space="0" w:color="auto"/>
              <w:bottom w:val="single" w:sz="4" w:space="0" w:color="auto"/>
              <w:right w:val="single" w:sz="4" w:space="0" w:color="auto"/>
            </w:tcBorders>
          </w:tcPr>
          <w:p w14:paraId="06A073EC" w14:textId="780430E7" w:rsidR="007253DB" w:rsidRPr="00B8307D" w:rsidRDefault="007253DB" w:rsidP="00DE3522">
            <w:pPr>
              <w:widowControl w:val="0"/>
              <w:rPr>
                <w:sz w:val="22"/>
                <w:szCs w:val="22"/>
                <w:lang w:val="sr-Latn-ME"/>
              </w:rPr>
            </w:pPr>
            <w:r w:rsidRPr="00B8307D">
              <w:rPr>
                <w:sz w:val="22"/>
                <w:szCs w:val="22"/>
                <w:lang w:val="sr-Latn-ME"/>
              </w:rPr>
              <w:t>Ukupan patološki odgovor* (95%CI)</w:t>
            </w:r>
          </w:p>
        </w:tc>
        <w:tc>
          <w:tcPr>
            <w:tcW w:w="1014" w:type="pct"/>
            <w:tcBorders>
              <w:top w:val="single" w:sz="4" w:space="0" w:color="auto"/>
              <w:left w:val="single" w:sz="4" w:space="0" w:color="auto"/>
              <w:bottom w:val="single" w:sz="4" w:space="0" w:color="auto"/>
              <w:right w:val="single" w:sz="4" w:space="0" w:color="auto"/>
            </w:tcBorders>
          </w:tcPr>
          <w:p w14:paraId="1220C49D" w14:textId="77777777" w:rsidR="007253DB" w:rsidRPr="00B8307D" w:rsidRDefault="007253DB" w:rsidP="000A067B">
            <w:pPr>
              <w:widowControl w:val="0"/>
              <w:jc w:val="center"/>
              <w:rPr>
                <w:sz w:val="22"/>
                <w:szCs w:val="22"/>
                <w:lang w:val="sr-Latn-ME"/>
              </w:rPr>
            </w:pPr>
            <w:r w:rsidRPr="00B8307D">
              <w:rPr>
                <w:sz w:val="22"/>
                <w:szCs w:val="22"/>
                <w:lang w:val="sr-Latn-ME"/>
              </w:rPr>
              <w:t>40%</w:t>
            </w:r>
          </w:p>
          <w:p w14:paraId="0E238837" w14:textId="77777777" w:rsidR="007253DB" w:rsidRPr="00B8307D" w:rsidRDefault="007253DB" w:rsidP="000A067B">
            <w:pPr>
              <w:widowControl w:val="0"/>
              <w:tabs>
                <w:tab w:val="left" w:pos="284"/>
              </w:tabs>
              <w:jc w:val="center"/>
              <w:rPr>
                <w:sz w:val="22"/>
                <w:szCs w:val="22"/>
                <w:lang w:val="sr-Latn-ME"/>
              </w:rPr>
            </w:pPr>
            <w:r w:rsidRPr="00B8307D">
              <w:rPr>
                <w:sz w:val="22"/>
                <w:szCs w:val="22"/>
                <w:lang w:val="sr-Latn-ME"/>
              </w:rPr>
              <w:t>(31.0, 49.6)</w:t>
            </w:r>
          </w:p>
        </w:tc>
        <w:tc>
          <w:tcPr>
            <w:tcW w:w="881" w:type="pct"/>
            <w:tcBorders>
              <w:top w:val="single" w:sz="4" w:space="0" w:color="auto"/>
              <w:left w:val="single" w:sz="4" w:space="0" w:color="auto"/>
              <w:bottom w:val="single" w:sz="4" w:space="0" w:color="auto"/>
              <w:right w:val="single" w:sz="4" w:space="0" w:color="auto"/>
            </w:tcBorders>
          </w:tcPr>
          <w:p w14:paraId="5B51E93A" w14:textId="77777777" w:rsidR="007253DB" w:rsidRPr="00B8307D" w:rsidRDefault="007253DB" w:rsidP="000A067B">
            <w:pPr>
              <w:widowControl w:val="0"/>
              <w:jc w:val="center"/>
              <w:rPr>
                <w:sz w:val="22"/>
                <w:szCs w:val="22"/>
                <w:lang w:val="sr-Latn-ME"/>
              </w:rPr>
            </w:pPr>
            <w:r w:rsidRPr="00B8307D">
              <w:rPr>
                <w:sz w:val="22"/>
                <w:szCs w:val="22"/>
                <w:lang w:val="sr-Latn-ME"/>
              </w:rPr>
              <w:t>20.7%</w:t>
            </w:r>
          </w:p>
          <w:p w14:paraId="2818CC37" w14:textId="74AD5EA1" w:rsidR="007253DB" w:rsidRPr="00B8307D" w:rsidRDefault="007253DB" w:rsidP="00DE3522">
            <w:pPr>
              <w:widowControl w:val="0"/>
              <w:jc w:val="center"/>
              <w:rPr>
                <w:sz w:val="22"/>
                <w:szCs w:val="22"/>
                <w:lang w:val="sr-Latn-ME"/>
              </w:rPr>
            </w:pPr>
            <w:r w:rsidRPr="00B8307D">
              <w:rPr>
                <w:sz w:val="22"/>
                <w:szCs w:val="22"/>
                <w:lang w:val="sr-Latn-ME"/>
              </w:rPr>
              <w:t>(13.7, 29.2)</w:t>
            </w:r>
          </w:p>
        </w:tc>
        <w:tc>
          <w:tcPr>
            <w:tcW w:w="1384" w:type="pct"/>
            <w:tcBorders>
              <w:top w:val="single" w:sz="4" w:space="0" w:color="auto"/>
              <w:left w:val="single" w:sz="4" w:space="0" w:color="auto"/>
              <w:bottom w:val="single" w:sz="4" w:space="0" w:color="auto"/>
              <w:right w:val="single" w:sz="4" w:space="0" w:color="auto"/>
            </w:tcBorders>
            <w:hideMark/>
          </w:tcPr>
          <w:p w14:paraId="5A5F1D57" w14:textId="77777777" w:rsidR="007253DB" w:rsidRPr="00B8307D" w:rsidRDefault="007253DB" w:rsidP="000A067B">
            <w:pPr>
              <w:widowControl w:val="0"/>
              <w:tabs>
                <w:tab w:val="left" w:pos="284"/>
              </w:tabs>
              <w:jc w:val="center"/>
              <w:rPr>
                <w:sz w:val="22"/>
                <w:szCs w:val="22"/>
                <w:lang w:val="sr-Latn-ME"/>
              </w:rPr>
            </w:pPr>
            <w:r w:rsidRPr="00B8307D">
              <w:rPr>
                <w:sz w:val="22"/>
                <w:szCs w:val="22"/>
                <w:lang w:val="sr-Latn-ME"/>
              </w:rPr>
              <w:t>p=0.0014</w:t>
            </w:r>
          </w:p>
        </w:tc>
      </w:tr>
      <w:tr w:rsidR="007253DB" w:rsidRPr="00B8307D" w14:paraId="127F78F0" w14:textId="77777777" w:rsidTr="00DE3522">
        <w:tc>
          <w:tcPr>
            <w:tcW w:w="1721" w:type="pct"/>
            <w:tcBorders>
              <w:top w:val="single" w:sz="4" w:space="0" w:color="auto"/>
              <w:left w:val="single" w:sz="4" w:space="0" w:color="auto"/>
              <w:bottom w:val="single" w:sz="4" w:space="0" w:color="auto"/>
              <w:right w:val="single" w:sz="4" w:space="0" w:color="auto"/>
            </w:tcBorders>
          </w:tcPr>
          <w:p w14:paraId="2B2D51E0" w14:textId="77777777" w:rsidR="007253DB" w:rsidRPr="00B8307D" w:rsidRDefault="007253DB" w:rsidP="000A067B">
            <w:pPr>
              <w:widowControl w:val="0"/>
              <w:rPr>
                <w:sz w:val="22"/>
                <w:szCs w:val="22"/>
                <w:lang w:val="sr-Latn-ME"/>
              </w:rPr>
            </w:pPr>
            <w:r w:rsidRPr="00B8307D">
              <w:rPr>
                <w:sz w:val="22"/>
                <w:szCs w:val="22"/>
                <w:lang w:val="sr-Latn-ME"/>
              </w:rPr>
              <w:t>Ukupno preživljavanje</w:t>
            </w:r>
          </w:p>
          <w:p w14:paraId="04AAB873" w14:textId="77777777" w:rsidR="007253DB" w:rsidRPr="00B8307D" w:rsidRDefault="007253DB" w:rsidP="000A067B">
            <w:pPr>
              <w:widowControl w:val="0"/>
              <w:rPr>
                <w:sz w:val="22"/>
                <w:szCs w:val="22"/>
                <w:lang w:val="sr-Latn-ME"/>
              </w:rPr>
            </w:pPr>
            <w:r w:rsidRPr="00B8307D">
              <w:rPr>
                <w:sz w:val="22"/>
                <w:szCs w:val="22"/>
                <w:lang w:val="sr-Latn-ME"/>
              </w:rPr>
              <w:t>Broj pacijenata sa događajem</w:t>
            </w:r>
          </w:p>
          <w:p w14:paraId="2472BE7D" w14:textId="77777777" w:rsidR="007253DB" w:rsidRPr="00B8307D" w:rsidRDefault="007253DB" w:rsidP="000A067B">
            <w:pPr>
              <w:widowControl w:val="0"/>
              <w:tabs>
                <w:tab w:val="left" w:pos="284"/>
              </w:tabs>
              <w:rPr>
                <w:sz w:val="22"/>
                <w:szCs w:val="22"/>
                <w:lang w:val="sr-Latn-ME"/>
              </w:rPr>
            </w:pPr>
          </w:p>
        </w:tc>
        <w:tc>
          <w:tcPr>
            <w:tcW w:w="1014" w:type="pct"/>
            <w:tcBorders>
              <w:top w:val="single" w:sz="4" w:space="0" w:color="auto"/>
              <w:left w:val="single" w:sz="4" w:space="0" w:color="auto"/>
              <w:bottom w:val="single" w:sz="4" w:space="0" w:color="auto"/>
              <w:right w:val="single" w:sz="4" w:space="0" w:color="auto"/>
            </w:tcBorders>
          </w:tcPr>
          <w:p w14:paraId="6102896A" w14:textId="77777777" w:rsidR="007253DB" w:rsidRPr="00B8307D" w:rsidRDefault="007253DB" w:rsidP="000A067B">
            <w:pPr>
              <w:widowControl w:val="0"/>
              <w:jc w:val="center"/>
              <w:rPr>
                <w:sz w:val="22"/>
                <w:szCs w:val="22"/>
                <w:lang w:val="sr-Latn-ME"/>
              </w:rPr>
            </w:pPr>
          </w:p>
          <w:p w14:paraId="7CC84025" w14:textId="77777777" w:rsidR="007253DB" w:rsidRPr="00B8307D" w:rsidRDefault="007253DB" w:rsidP="000A067B">
            <w:pPr>
              <w:widowControl w:val="0"/>
              <w:tabs>
                <w:tab w:val="left" w:pos="284"/>
              </w:tabs>
              <w:jc w:val="center"/>
              <w:rPr>
                <w:sz w:val="22"/>
                <w:szCs w:val="22"/>
                <w:lang w:val="sr-Latn-ME"/>
              </w:rPr>
            </w:pPr>
            <w:r w:rsidRPr="00B8307D">
              <w:rPr>
                <w:sz w:val="22"/>
                <w:szCs w:val="22"/>
                <w:lang w:val="sr-Latn-ME"/>
              </w:rPr>
              <w:t>22</w:t>
            </w:r>
          </w:p>
        </w:tc>
        <w:tc>
          <w:tcPr>
            <w:tcW w:w="881" w:type="pct"/>
            <w:tcBorders>
              <w:top w:val="single" w:sz="4" w:space="0" w:color="auto"/>
              <w:left w:val="single" w:sz="4" w:space="0" w:color="auto"/>
              <w:bottom w:val="single" w:sz="4" w:space="0" w:color="auto"/>
              <w:right w:val="single" w:sz="4" w:space="0" w:color="auto"/>
            </w:tcBorders>
          </w:tcPr>
          <w:p w14:paraId="3E639447" w14:textId="77777777" w:rsidR="007253DB" w:rsidRPr="00B8307D" w:rsidRDefault="007253DB" w:rsidP="000A067B">
            <w:pPr>
              <w:widowControl w:val="0"/>
              <w:jc w:val="center"/>
              <w:rPr>
                <w:sz w:val="22"/>
                <w:szCs w:val="22"/>
                <w:lang w:val="sr-Latn-ME"/>
              </w:rPr>
            </w:pPr>
          </w:p>
          <w:p w14:paraId="0D3C3B44" w14:textId="77777777" w:rsidR="007253DB" w:rsidRPr="00B8307D" w:rsidRDefault="007253DB" w:rsidP="000A067B">
            <w:pPr>
              <w:widowControl w:val="0"/>
              <w:tabs>
                <w:tab w:val="left" w:pos="284"/>
              </w:tabs>
              <w:jc w:val="center"/>
              <w:rPr>
                <w:sz w:val="22"/>
                <w:szCs w:val="22"/>
                <w:lang w:val="sr-Latn-ME"/>
              </w:rPr>
            </w:pPr>
            <w:r w:rsidRPr="00B8307D">
              <w:rPr>
                <w:sz w:val="22"/>
                <w:szCs w:val="22"/>
                <w:lang w:val="sr-Latn-ME"/>
              </w:rPr>
              <w:t>33</w:t>
            </w:r>
          </w:p>
        </w:tc>
        <w:tc>
          <w:tcPr>
            <w:tcW w:w="1384" w:type="pct"/>
            <w:tcBorders>
              <w:top w:val="single" w:sz="4" w:space="0" w:color="auto"/>
              <w:left w:val="single" w:sz="4" w:space="0" w:color="auto"/>
              <w:bottom w:val="single" w:sz="4" w:space="0" w:color="auto"/>
              <w:right w:val="single" w:sz="4" w:space="0" w:color="auto"/>
            </w:tcBorders>
            <w:hideMark/>
          </w:tcPr>
          <w:p w14:paraId="3B15865D" w14:textId="4ABF5A21" w:rsidR="007253DB" w:rsidRPr="00B8307D" w:rsidRDefault="007253DB" w:rsidP="000A067B">
            <w:pPr>
              <w:widowControl w:val="0"/>
              <w:jc w:val="center"/>
              <w:rPr>
                <w:sz w:val="22"/>
                <w:szCs w:val="22"/>
                <w:lang w:val="sr-Latn-ME"/>
              </w:rPr>
            </w:pPr>
            <w:r w:rsidRPr="00B8307D">
              <w:rPr>
                <w:sz w:val="22"/>
                <w:szCs w:val="22"/>
                <w:lang w:val="sr-Latn-ME"/>
              </w:rPr>
              <w:t>Odnos hazarda</w:t>
            </w:r>
            <w:r w:rsidR="00DE3522" w:rsidRPr="00B8307D">
              <w:rPr>
                <w:sz w:val="22"/>
                <w:szCs w:val="22"/>
                <w:lang w:val="sr-Latn-ME"/>
              </w:rPr>
              <w:t xml:space="preserve"> </w:t>
            </w:r>
            <w:r w:rsidRPr="00B8307D">
              <w:rPr>
                <w:sz w:val="22"/>
                <w:szCs w:val="22"/>
                <w:lang w:val="sr-Latn-ME"/>
              </w:rPr>
              <w:t>(95%CI)</w:t>
            </w:r>
          </w:p>
          <w:p w14:paraId="43D07287" w14:textId="77777777" w:rsidR="007253DB" w:rsidRPr="00B8307D" w:rsidRDefault="007253DB" w:rsidP="000A067B">
            <w:pPr>
              <w:widowControl w:val="0"/>
              <w:jc w:val="center"/>
              <w:rPr>
                <w:sz w:val="22"/>
                <w:szCs w:val="22"/>
                <w:lang w:val="sr-Latn-ME"/>
              </w:rPr>
            </w:pPr>
            <w:r w:rsidRPr="00B8307D">
              <w:rPr>
                <w:sz w:val="22"/>
                <w:szCs w:val="22"/>
                <w:lang w:val="sr-Latn-ME"/>
              </w:rPr>
              <w:t>0.59 (0.35, 1.02)</w:t>
            </w:r>
          </w:p>
          <w:p w14:paraId="2EC68F98" w14:textId="77777777" w:rsidR="007253DB" w:rsidRPr="00B8307D" w:rsidRDefault="007253DB" w:rsidP="000A067B">
            <w:pPr>
              <w:widowControl w:val="0"/>
              <w:tabs>
                <w:tab w:val="left" w:pos="284"/>
              </w:tabs>
              <w:jc w:val="center"/>
              <w:rPr>
                <w:sz w:val="22"/>
                <w:szCs w:val="22"/>
                <w:lang w:val="sr-Latn-ME"/>
              </w:rPr>
            </w:pPr>
            <w:r w:rsidRPr="00B8307D">
              <w:rPr>
                <w:sz w:val="22"/>
                <w:szCs w:val="22"/>
                <w:lang w:val="sr-Latn-ME"/>
              </w:rPr>
              <w:t>p=0.0555</w:t>
            </w:r>
          </w:p>
        </w:tc>
      </w:tr>
    </w:tbl>
    <w:p w14:paraId="3F4F43F0" w14:textId="6B0B5DF7" w:rsidR="007253DB" w:rsidRPr="00B8307D" w:rsidRDefault="007253DB" w:rsidP="000A067B">
      <w:pPr>
        <w:widowControl w:val="0"/>
        <w:jc w:val="both"/>
        <w:rPr>
          <w:sz w:val="20"/>
          <w:szCs w:val="20"/>
          <w:lang w:val="sr-Latn-ME"/>
        </w:rPr>
      </w:pPr>
      <w:r w:rsidRPr="00B8307D">
        <w:rPr>
          <w:sz w:val="20"/>
          <w:szCs w:val="20"/>
          <w:lang w:val="sr-Latn-ME"/>
        </w:rPr>
        <w:t xml:space="preserve"> *definisan kao odsustvo bilo kog invazivnog kancera kako u dojkama tako i u aksilarnim čvorovima</w:t>
      </w:r>
    </w:p>
    <w:p w14:paraId="2E20C55E" w14:textId="77777777" w:rsidR="00B22B2E" w:rsidRPr="00B8307D" w:rsidRDefault="00B22B2E" w:rsidP="000A067B">
      <w:pPr>
        <w:widowControl w:val="0"/>
        <w:jc w:val="both"/>
        <w:rPr>
          <w:sz w:val="22"/>
          <w:szCs w:val="22"/>
          <w:lang w:val="sr-Latn-ME"/>
        </w:rPr>
      </w:pPr>
    </w:p>
    <w:p w14:paraId="5EEE233B" w14:textId="71E0D12F" w:rsidR="007253DB" w:rsidRPr="00B8307D" w:rsidRDefault="007253DB" w:rsidP="000A067B">
      <w:pPr>
        <w:widowControl w:val="0"/>
        <w:jc w:val="both"/>
        <w:rPr>
          <w:sz w:val="22"/>
          <w:szCs w:val="22"/>
          <w:lang w:val="sr-Latn-ME"/>
        </w:rPr>
      </w:pPr>
      <w:r w:rsidRPr="00B8307D">
        <w:rPr>
          <w:sz w:val="22"/>
          <w:szCs w:val="22"/>
          <w:lang w:val="sr-Latn-ME"/>
        </w:rPr>
        <w:t>Apsulutni benefit od 13% u korist grupe koja je primala</w:t>
      </w:r>
      <w:r w:rsidR="0053424F" w:rsidRPr="00B8307D">
        <w:rPr>
          <w:sz w:val="22"/>
          <w:szCs w:val="22"/>
          <w:lang w:val="sr-Latn-ME"/>
        </w:rPr>
        <w:t xml:space="preserve"> lijek</w:t>
      </w:r>
      <w:r w:rsidRPr="00B8307D">
        <w:rPr>
          <w:sz w:val="22"/>
          <w:szCs w:val="22"/>
          <w:lang w:val="sr-Latn-ME"/>
        </w:rPr>
        <w:t xml:space="preserve"> Herceptin bila je procijenjena i u smislu trogodišnjeg preživljavanja bez bolesti (65% vs 52%).</w:t>
      </w:r>
    </w:p>
    <w:p w14:paraId="70CA6E7D" w14:textId="77777777" w:rsidR="007253DB" w:rsidRPr="00B8307D" w:rsidRDefault="007253DB" w:rsidP="000A067B">
      <w:pPr>
        <w:widowControl w:val="0"/>
        <w:jc w:val="both"/>
        <w:rPr>
          <w:sz w:val="22"/>
          <w:szCs w:val="22"/>
          <w:lang w:val="sr-Latn-ME"/>
        </w:rPr>
      </w:pPr>
    </w:p>
    <w:p w14:paraId="20FDAC5F" w14:textId="77777777" w:rsidR="007253DB" w:rsidRPr="00B8307D" w:rsidRDefault="007253DB" w:rsidP="000A067B">
      <w:pPr>
        <w:widowControl w:val="0"/>
        <w:jc w:val="both"/>
        <w:rPr>
          <w:i/>
          <w:sz w:val="22"/>
          <w:szCs w:val="22"/>
          <w:lang w:val="sr-Latn-ME"/>
        </w:rPr>
      </w:pPr>
      <w:r w:rsidRPr="00B8307D">
        <w:rPr>
          <w:i/>
          <w:sz w:val="22"/>
          <w:szCs w:val="22"/>
          <w:lang w:val="sr-Latn-ME"/>
        </w:rPr>
        <w:t>Subkutana formulacija</w:t>
      </w:r>
    </w:p>
    <w:p w14:paraId="3ECA6ED6" w14:textId="69823680" w:rsidR="007253DB" w:rsidRPr="00B8307D" w:rsidRDefault="007253DB" w:rsidP="000A067B">
      <w:pPr>
        <w:widowControl w:val="0"/>
        <w:jc w:val="both"/>
        <w:rPr>
          <w:sz w:val="22"/>
          <w:szCs w:val="22"/>
          <w:lang w:val="sr-Latn-ME"/>
        </w:rPr>
      </w:pPr>
      <w:r w:rsidRPr="00B8307D">
        <w:rPr>
          <w:sz w:val="22"/>
          <w:szCs w:val="22"/>
          <w:lang w:val="sr-Latn-ME"/>
        </w:rPr>
        <w:t xml:space="preserve">Ispitivanje BO22227 bilo je dizajnirano tako da pokaže neinferiornost liječenja subkutanom formulacijom lijeka Herceptin u odnosu na intravensku formulaciju lijeka Herceptin na osnovu dvije primarne mjere ishoda za– farmakokinetiku i efikasnost </w:t>
      </w:r>
      <w:r w:rsidRPr="00B8307D">
        <w:rPr>
          <w:sz w:val="20"/>
          <w:szCs w:val="22"/>
          <w:lang w:val="sr-Latn-ME"/>
        </w:rPr>
        <w:t>(</w:t>
      </w:r>
      <w:r w:rsidRPr="00B8307D">
        <w:rPr>
          <w:sz w:val="22"/>
          <w:szCs w:val="22"/>
          <w:lang w:val="sr-Latn-ME"/>
        </w:rPr>
        <w:t>C</w:t>
      </w:r>
      <w:r w:rsidRPr="00B8307D">
        <w:rPr>
          <w:sz w:val="22"/>
          <w:szCs w:val="22"/>
          <w:vertAlign w:val="subscript"/>
          <w:lang w:val="sr-Latn-ME"/>
        </w:rPr>
        <w:t>trough</w:t>
      </w:r>
      <w:r w:rsidRPr="00B8307D">
        <w:rPr>
          <w:sz w:val="22"/>
          <w:szCs w:val="22"/>
          <w:lang w:val="sr-Latn-ME"/>
        </w:rPr>
        <w:t xml:space="preserve"> trastuzumaba prije primjene doze u 8. ciklusu odnosno pCR pri definitivnom hirurškom zahvatu). Ukupno je 595 pacijentkinja sa HER2-pozitivnim, </w:t>
      </w:r>
      <w:r w:rsidR="00872EEC" w:rsidRPr="00B8307D">
        <w:rPr>
          <w:sz w:val="22"/>
          <w:szCs w:val="22"/>
          <w:lang w:val="sr-Latn-ME"/>
        </w:rPr>
        <w:t xml:space="preserve">operabilnim </w:t>
      </w:r>
      <w:r w:rsidRPr="00B8307D">
        <w:rPr>
          <w:sz w:val="22"/>
          <w:szCs w:val="22"/>
          <w:lang w:val="sr-Latn-ME"/>
        </w:rPr>
        <w:t>ili lokalno uznapredovalim karcinomom dojke, uključujući inflamatorni karcinom dojke, primilo osam ciklusa lijeka Herceptin u intravenskoj formulaciji ili lijeka Herceptin u subkutanoj formulaciji istovremeno sa hemoterapijom (4 ciklusa docetaksela u dozi od 75 mg/m</w:t>
      </w:r>
      <w:r w:rsidRPr="00B8307D">
        <w:rPr>
          <w:sz w:val="22"/>
          <w:szCs w:val="22"/>
          <w:vertAlign w:val="superscript"/>
          <w:lang w:val="sr-Latn-ME"/>
        </w:rPr>
        <w:t>2</w:t>
      </w:r>
      <w:r w:rsidRPr="00B8307D">
        <w:rPr>
          <w:sz w:val="22"/>
          <w:szCs w:val="22"/>
          <w:lang w:val="sr-Latn-ME"/>
        </w:rPr>
        <w:t xml:space="preserve"> u intravenskoj infuziji, nakon čega su uslijedila 4 ciklusa FEC-a [5-fluorouracil u dozi od 500 mg/m</w:t>
      </w:r>
      <w:r w:rsidRPr="00B8307D">
        <w:rPr>
          <w:sz w:val="22"/>
          <w:szCs w:val="22"/>
          <w:vertAlign w:val="superscript"/>
          <w:lang w:val="sr-Latn-ME"/>
        </w:rPr>
        <w:t>2</w:t>
      </w:r>
      <w:r w:rsidRPr="00B8307D">
        <w:rPr>
          <w:sz w:val="22"/>
          <w:szCs w:val="22"/>
          <w:lang w:val="sr-Latn-ME"/>
        </w:rPr>
        <w:t>; epirubicin u dozi od 75 mg/m</w:t>
      </w:r>
      <w:r w:rsidRPr="00B8307D">
        <w:rPr>
          <w:sz w:val="22"/>
          <w:szCs w:val="22"/>
          <w:vertAlign w:val="superscript"/>
          <w:lang w:val="sr-Latn-ME"/>
        </w:rPr>
        <w:t>2</w:t>
      </w:r>
      <w:r w:rsidRPr="00B8307D">
        <w:rPr>
          <w:sz w:val="22"/>
          <w:szCs w:val="22"/>
          <w:lang w:val="sr-Latn-ME"/>
        </w:rPr>
        <w:t>; ciklofosfamid u dozi od 500 mg/m</w:t>
      </w:r>
      <w:r w:rsidRPr="00B8307D">
        <w:rPr>
          <w:sz w:val="22"/>
          <w:szCs w:val="22"/>
          <w:vertAlign w:val="superscript"/>
          <w:lang w:val="sr-Latn-ME"/>
        </w:rPr>
        <w:t>2</w:t>
      </w:r>
      <w:r w:rsidRPr="00B8307D">
        <w:rPr>
          <w:sz w:val="22"/>
          <w:szCs w:val="22"/>
          <w:lang w:val="sr-Latn-ME"/>
        </w:rPr>
        <w:t>, svaki od njih primijenjen intravenskom bolusnom injekcijom ili infuzijom]), nakon čega je uslijedio hirurški zahvat i zatim nastavak liječenja lijekom Herceptin u intravenskoj ili subkutanoj formulaciji, zavisno od prvobitne randomizacije, tokom dodatnih 10 ciklusa do ukupnog trajanja liječenja od jedne godine.</w:t>
      </w:r>
    </w:p>
    <w:p w14:paraId="770AD5AA" w14:textId="77777777" w:rsidR="007253DB" w:rsidRPr="00B8307D" w:rsidRDefault="007253DB" w:rsidP="000A067B">
      <w:pPr>
        <w:widowControl w:val="0"/>
        <w:jc w:val="both"/>
        <w:rPr>
          <w:highlight w:val="yellow"/>
          <w:lang w:val="sr-Latn-ME"/>
        </w:rPr>
      </w:pPr>
    </w:p>
    <w:p w14:paraId="75B3D75C" w14:textId="4371C31D" w:rsidR="007253DB" w:rsidRPr="00B8307D" w:rsidRDefault="007253DB" w:rsidP="000A067B">
      <w:pPr>
        <w:widowControl w:val="0"/>
        <w:jc w:val="both"/>
        <w:rPr>
          <w:sz w:val="22"/>
          <w:szCs w:val="22"/>
          <w:lang w:val="sr-Latn-ME"/>
        </w:rPr>
      </w:pPr>
      <w:r w:rsidRPr="00B8307D">
        <w:rPr>
          <w:sz w:val="22"/>
          <w:szCs w:val="22"/>
          <w:lang w:val="sr-Latn-ME"/>
        </w:rPr>
        <w:t xml:space="preserve">Rezultati analize primarne mjere ishoda za efikasnost, potpunog patološkog odgovora (pCR), koji je definisan kao nepostojanje invazivnih neoplastičnih ćelija u dojci, pokazali su stopu od 40,7% (95% CI: 34,7; 46,9) u grupi koja je primala intravensku formulaciju lijeka Herceptin i 45,4% (95% CI: 39,2%; 51,7%) u grupi koja je primala Herceptin u subkutanoj formulaciji, što predstavlja razliku od 4,7 postotnih bodova u korist grupe koja je primala Herceptin u subkutanoj formulaciji. Donja granica jednostranog intervala pouzdanosti od 97,5% za razliku u stopama pCR-a iznosila je -4,0, što ukazuje na neinferiornost lijeka Herceptin u subkutanoj formulaciji u odnosu na intravensku formulaciju lijeka Herceptin. </w:t>
      </w:r>
    </w:p>
    <w:p w14:paraId="79BEEE06" w14:textId="77777777" w:rsidR="007253DB" w:rsidRPr="00B8307D" w:rsidRDefault="007253DB" w:rsidP="000A067B">
      <w:pPr>
        <w:widowControl w:val="0"/>
        <w:tabs>
          <w:tab w:val="left" w:pos="540"/>
          <w:tab w:val="left" w:pos="569"/>
        </w:tabs>
        <w:jc w:val="both"/>
        <w:rPr>
          <w:b/>
          <w:bCs/>
          <w:sz w:val="22"/>
          <w:szCs w:val="22"/>
          <w:lang w:val="sr-Latn-ME"/>
        </w:rPr>
      </w:pPr>
    </w:p>
    <w:p w14:paraId="0FD3BC14" w14:textId="7E56F79D" w:rsidR="007253DB" w:rsidRPr="00B8307D" w:rsidRDefault="007253DB" w:rsidP="000A067B">
      <w:pPr>
        <w:widowControl w:val="0"/>
        <w:jc w:val="both"/>
        <w:rPr>
          <w:sz w:val="22"/>
          <w:szCs w:val="22"/>
          <w:lang w:val="sr-Latn-ME"/>
        </w:rPr>
      </w:pPr>
      <w:r w:rsidRPr="00B8307D">
        <w:rPr>
          <w:sz w:val="22"/>
          <w:szCs w:val="22"/>
          <w:lang w:val="sr-Latn-ME"/>
        </w:rPr>
        <w:t>Tab</w:t>
      </w:r>
      <w:r w:rsidR="00872EEC" w:rsidRPr="00B8307D">
        <w:rPr>
          <w:sz w:val="22"/>
          <w:szCs w:val="22"/>
          <w:lang w:val="sr-Latn-ME"/>
        </w:rPr>
        <w:t>ela</w:t>
      </w:r>
      <w:r w:rsidRPr="00B8307D">
        <w:rPr>
          <w:sz w:val="22"/>
          <w:szCs w:val="22"/>
          <w:lang w:val="sr-Latn-ME"/>
        </w:rPr>
        <w:t xml:space="preserve"> 12: Sažetak potpunog patološkog odgovora (pCR) </w:t>
      </w:r>
    </w:p>
    <w:p w14:paraId="48E2F659" w14:textId="77777777" w:rsidR="007253DB" w:rsidRPr="00B8307D" w:rsidRDefault="007253DB" w:rsidP="000A067B">
      <w:pPr>
        <w:widowControl w:val="0"/>
        <w:tabs>
          <w:tab w:val="left" w:pos="3315"/>
        </w:tabs>
        <w:rPr>
          <w:sz w:val="22"/>
          <w:szCs w:val="22"/>
          <w:lang w:val="sr-Latn-M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1"/>
        <w:gridCol w:w="1559"/>
        <w:gridCol w:w="1425"/>
      </w:tblGrid>
      <w:tr w:rsidR="007253DB" w:rsidRPr="00B8307D" w14:paraId="40FC0D62" w14:textId="77777777" w:rsidTr="00DE3522">
        <w:tc>
          <w:tcPr>
            <w:tcW w:w="3356" w:type="pct"/>
            <w:shd w:val="clear" w:color="auto" w:fill="auto"/>
          </w:tcPr>
          <w:p w14:paraId="46119F2E" w14:textId="77777777" w:rsidR="007253DB" w:rsidRPr="00B8307D" w:rsidRDefault="007253DB" w:rsidP="000A067B">
            <w:pPr>
              <w:widowControl w:val="0"/>
              <w:jc w:val="both"/>
              <w:rPr>
                <w:rFonts w:eastAsia="MS Mincho"/>
                <w:sz w:val="22"/>
                <w:szCs w:val="22"/>
                <w:lang w:val="sr-Latn-ME" w:eastAsia="ja-JP"/>
              </w:rPr>
            </w:pPr>
          </w:p>
        </w:tc>
        <w:tc>
          <w:tcPr>
            <w:tcW w:w="859" w:type="pct"/>
            <w:shd w:val="clear" w:color="auto" w:fill="auto"/>
          </w:tcPr>
          <w:p w14:paraId="2D14824D" w14:textId="77777777" w:rsidR="007253DB" w:rsidRPr="00B8307D" w:rsidRDefault="007253DB" w:rsidP="000A067B">
            <w:pPr>
              <w:widowControl w:val="0"/>
              <w:jc w:val="both"/>
              <w:rPr>
                <w:rFonts w:eastAsia="MS Mincho"/>
                <w:sz w:val="22"/>
                <w:szCs w:val="22"/>
                <w:lang w:val="sr-Latn-ME" w:eastAsia="ja-JP"/>
              </w:rPr>
            </w:pPr>
            <w:r w:rsidRPr="00B8307D">
              <w:rPr>
                <w:rFonts w:eastAsia="MS Mincho"/>
                <w:sz w:val="22"/>
                <w:szCs w:val="22"/>
                <w:lang w:val="sr-Latn-ME" w:eastAsia="ja-JP"/>
              </w:rPr>
              <w:t>Herceptin i.v.</w:t>
            </w:r>
          </w:p>
          <w:p w14:paraId="06D78E9B" w14:textId="77777777" w:rsidR="007253DB" w:rsidRPr="00B8307D" w:rsidRDefault="007253DB" w:rsidP="000A067B">
            <w:pPr>
              <w:widowControl w:val="0"/>
              <w:jc w:val="both"/>
              <w:rPr>
                <w:rFonts w:eastAsia="MS Mincho"/>
                <w:sz w:val="22"/>
                <w:szCs w:val="22"/>
                <w:lang w:val="sr-Latn-ME" w:eastAsia="ja-JP"/>
              </w:rPr>
            </w:pPr>
            <w:r w:rsidRPr="00B8307D">
              <w:rPr>
                <w:rFonts w:eastAsia="MS Mincho"/>
                <w:sz w:val="22"/>
                <w:szCs w:val="22"/>
                <w:lang w:val="sr-Latn-ME" w:eastAsia="ja-JP"/>
              </w:rPr>
              <w:t xml:space="preserve"> (N = 263)</w:t>
            </w:r>
          </w:p>
        </w:tc>
        <w:tc>
          <w:tcPr>
            <w:tcW w:w="785" w:type="pct"/>
            <w:shd w:val="clear" w:color="auto" w:fill="auto"/>
          </w:tcPr>
          <w:p w14:paraId="1686807E" w14:textId="77777777" w:rsidR="007253DB" w:rsidRPr="00B8307D" w:rsidRDefault="007253DB" w:rsidP="000A067B">
            <w:pPr>
              <w:widowControl w:val="0"/>
              <w:jc w:val="both"/>
              <w:rPr>
                <w:rFonts w:eastAsia="MS Mincho"/>
                <w:sz w:val="22"/>
                <w:szCs w:val="22"/>
                <w:lang w:val="sr-Latn-ME" w:eastAsia="ja-JP"/>
              </w:rPr>
            </w:pPr>
            <w:r w:rsidRPr="00B8307D">
              <w:rPr>
                <w:rFonts w:eastAsia="MS Mincho"/>
                <w:sz w:val="22"/>
                <w:szCs w:val="22"/>
                <w:lang w:val="sr-Latn-ME" w:eastAsia="ja-JP"/>
              </w:rPr>
              <w:t>Herceptin s.c. (N=260)</w:t>
            </w:r>
          </w:p>
        </w:tc>
      </w:tr>
      <w:tr w:rsidR="007253DB" w:rsidRPr="00B8307D" w14:paraId="2AB61234" w14:textId="77777777" w:rsidTr="00DE3522">
        <w:tc>
          <w:tcPr>
            <w:tcW w:w="3356" w:type="pct"/>
            <w:shd w:val="clear" w:color="auto" w:fill="auto"/>
          </w:tcPr>
          <w:p w14:paraId="209A3781" w14:textId="77777777" w:rsidR="007253DB" w:rsidRPr="00B8307D" w:rsidRDefault="007253DB" w:rsidP="000A067B">
            <w:pPr>
              <w:widowControl w:val="0"/>
              <w:jc w:val="both"/>
              <w:rPr>
                <w:rFonts w:eastAsia="MS Mincho"/>
                <w:sz w:val="22"/>
                <w:szCs w:val="22"/>
                <w:lang w:val="sr-Latn-ME" w:eastAsia="ja-JP"/>
              </w:rPr>
            </w:pPr>
            <w:r w:rsidRPr="00B8307D">
              <w:rPr>
                <w:rFonts w:eastAsia="MS Mincho"/>
                <w:sz w:val="22"/>
                <w:szCs w:val="22"/>
                <w:lang w:val="sr-Latn-ME" w:eastAsia="ja-JP"/>
              </w:rPr>
              <w:t xml:space="preserve">pCR (nema invazivnih neoplastičnih ćelija u dojci) </w:t>
            </w:r>
          </w:p>
        </w:tc>
        <w:tc>
          <w:tcPr>
            <w:tcW w:w="859" w:type="pct"/>
            <w:shd w:val="clear" w:color="auto" w:fill="auto"/>
          </w:tcPr>
          <w:p w14:paraId="57500D9A" w14:textId="77777777" w:rsidR="007253DB" w:rsidRPr="00B8307D" w:rsidRDefault="007253DB" w:rsidP="000A067B">
            <w:pPr>
              <w:widowControl w:val="0"/>
              <w:jc w:val="both"/>
              <w:rPr>
                <w:rFonts w:eastAsia="MS Mincho"/>
                <w:sz w:val="22"/>
                <w:szCs w:val="22"/>
                <w:lang w:val="sr-Latn-ME" w:eastAsia="ja-JP"/>
              </w:rPr>
            </w:pPr>
            <w:r w:rsidRPr="00B8307D">
              <w:rPr>
                <w:rFonts w:eastAsia="MS Mincho"/>
                <w:sz w:val="22"/>
                <w:szCs w:val="22"/>
                <w:lang w:val="sr-Latn-ME" w:eastAsia="ja-JP"/>
              </w:rPr>
              <w:t>107 (40,7%)</w:t>
            </w:r>
          </w:p>
        </w:tc>
        <w:tc>
          <w:tcPr>
            <w:tcW w:w="785" w:type="pct"/>
            <w:shd w:val="clear" w:color="auto" w:fill="auto"/>
          </w:tcPr>
          <w:p w14:paraId="3526C090" w14:textId="77777777" w:rsidR="007253DB" w:rsidRPr="00B8307D" w:rsidRDefault="007253DB" w:rsidP="000A067B">
            <w:pPr>
              <w:widowControl w:val="0"/>
              <w:jc w:val="both"/>
              <w:rPr>
                <w:rFonts w:eastAsia="MS Mincho"/>
                <w:sz w:val="22"/>
                <w:szCs w:val="22"/>
                <w:lang w:val="sr-Latn-ME" w:eastAsia="ja-JP"/>
              </w:rPr>
            </w:pPr>
            <w:r w:rsidRPr="00B8307D">
              <w:rPr>
                <w:rFonts w:eastAsia="MS Mincho"/>
                <w:sz w:val="22"/>
                <w:szCs w:val="22"/>
                <w:lang w:val="sr-Latn-ME" w:eastAsia="ja-JP"/>
              </w:rPr>
              <w:t>118 (45,4%)</w:t>
            </w:r>
          </w:p>
        </w:tc>
      </w:tr>
      <w:tr w:rsidR="007253DB" w:rsidRPr="00B8307D" w14:paraId="23A7E0E8" w14:textId="77777777" w:rsidTr="00DE3522">
        <w:tc>
          <w:tcPr>
            <w:tcW w:w="3356" w:type="pct"/>
            <w:shd w:val="clear" w:color="auto" w:fill="auto"/>
          </w:tcPr>
          <w:p w14:paraId="25E53015" w14:textId="77777777" w:rsidR="007253DB" w:rsidRPr="00B8307D" w:rsidRDefault="007253DB" w:rsidP="000A067B">
            <w:pPr>
              <w:widowControl w:val="0"/>
              <w:jc w:val="both"/>
              <w:rPr>
                <w:rFonts w:eastAsia="MS Mincho"/>
                <w:sz w:val="22"/>
                <w:szCs w:val="22"/>
                <w:lang w:val="sr-Latn-ME" w:eastAsia="ja-JP"/>
              </w:rPr>
            </w:pPr>
            <w:r w:rsidRPr="00B8307D">
              <w:rPr>
                <w:rFonts w:eastAsia="MS Mincho"/>
                <w:sz w:val="22"/>
                <w:szCs w:val="22"/>
                <w:lang w:val="sr-Latn-ME" w:eastAsia="ja-JP"/>
              </w:rPr>
              <w:lastRenderedPageBreak/>
              <w:t xml:space="preserve">     Pacijenti bez odgovora</w:t>
            </w:r>
          </w:p>
        </w:tc>
        <w:tc>
          <w:tcPr>
            <w:tcW w:w="859" w:type="pct"/>
            <w:shd w:val="clear" w:color="auto" w:fill="auto"/>
          </w:tcPr>
          <w:p w14:paraId="64724B47" w14:textId="77777777" w:rsidR="007253DB" w:rsidRPr="00B8307D" w:rsidRDefault="007253DB" w:rsidP="000A067B">
            <w:pPr>
              <w:widowControl w:val="0"/>
              <w:jc w:val="both"/>
              <w:rPr>
                <w:rFonts w:eastAsia="MS Mincho"/>
                <w:sz w:val="22"/>
                <w:szCs w:val="22"/>
                <w:lang w:val="sr-Latn-ME" w:eastAsia="ja-JP"/>
              </w:rPr>
            </w:pPr>
            <w:r w:rsidRPr="00B8307D">
              <w:rPr>
                <w:rFonts w:eastAsia="MS Mincho"/>
                <w:sz w:val="22"/>
                <w:szCs w:val="22"/>
                <w:lang w:val="sr-Latn-ME" w:eastAsia="ja-JP"/>
              </w:rPr>
              <w:t>156 (59,3%)</w:t>
            </w:r>
          </w:p>
        </w:tc>
        <w:tc>
          <w:tcPr>
            <w:tcW w:w="785" w:type="pct"/>
            <w:shd w:val="clear" w:color="auto" w:fill="auto"/>
          </w:tcPr>
          <w:p w14:paraId="0FBEBEBC" w14:textId="77777777" w:rsidR="007253DB" w:rsidRPr="00B8307D" w:rsidRDefault="007253DB" w:rsidP="000A067B">
            <w:pPr>
              <w:widowControl w:val="0"/>
              <w:jc w:val="both"/>
              <w:rPr>
                <w:rFonts w:eastAsia="MS Mincho"/>
                <w:sz w:val="22"/>
                <w:szCs w:val="22"/>
                <w:lang w:val="sr-Latn-ME" w:eastAsia="ja-JP"/>
              </w:rPr>
            </w:pPr>
            <w:r w:rsidRPr="00B8307D">
              <w:rPr>
                <w:rFonts w:eastAsia="MS Mincho"/>
                <w:sz w:val="22"/>
                <w:szCs w:val="22"/>
                <w:lang w:val="sr-Latn-ME" w:eastAsia="ja-JP"/>
              </w:rPr>
              <w:t>142 (54,6%)</w:t>
            </w:r>
          </w:p>
        </w:tc>
      </w:tr>
      <w:tr w:rsidR="007253DB" w:rsidRPr="00B8307D" w14:paraId="46C2E05D" w14:textId="77777777" w:rsidTr="00DE3522">
        <w:tc>
          <w:tcPr>
            <w:tcW w:w="3356" w:type="pct"/>
            <w:shd w:val="clear" w:color="auto" w:fill="auto"/>
          </w:tcPr>
          <w:p w14:paraId="7A6BD701" w14:textId="77777777" w:rsidR="007253DB" w:rsidRPr="00B8307D" w:rsidRDefault="007253DB" w:rsidP="00DE3522">
            <w:pPr>
              <w:widowControl w:val="0"/>
              <w:ind w:left="447"/>
              <w:jc w:val="both"/>
              <w:rPr>
                <w:rFonts w:eastAsia="MS Mincho"/>
                <w:sz w:val="22"/>
                <w:szCs w:val="22"/>
                <w:lang w:val="sr-Latn-ME" w:eastAsia="ja-JP"/>
              </w:rPr>
            </w:pPr>
            <w:r w:rsidRPr="00B8307D">
              <w:rPr>
                <w:rFonts w:eastAsia="MS Mincho"/>
                <w:sz w:val="22"/>
                <w:szCs w:val="22"/>
                <w:lang w:val="sr-Latn-ME" w:eastAsia="ja-JP"/>
              </w:rPr>
              <w:t>Tačan 95% CI za stepen pCR</w:t>
            </w:r>
            <w:r w:rsidRPr="00B8307D">
              <w:rPr>
                <w:rFonts w:eastAsia="MS Mincho"/>
                <w:sz w:val="22"/>
                <w:szCs w:val="22"/>
                <w:lang w:val="sr-Latn-ME" w:eastAsia="ja-JP"/>
              </w:rPr>
              <w:noBreakHyphen/>
              <w:t>a</w:t>
            </w:r>
            <w:r w:rsidRPr="00B8307D">
              <w:rPr>
                <w:rFonts w:eastAsia="MS Mincho"/>
                <w:sz w:val="22"/>
                <w:szCs w:val="22"/>
                <w:vertAlign w:val="superscript"/>
                <w:lang w:val="sr-Latn-ME" w:eastAsia="ja-JP"/>
              </w:rPr>
              <w:t>*</w:t>
            </w:r>
            <w:r w:rsidRPr="00B8307D">
              <w:rPr>
                <w:rFonts w:eastAsia="MS Mincho"/>
                <w:sz w:val="22"/>
                <w:szCs w:val="22"/>
                <w:lang w:val="sr-Latn-ME" w:eastAsia="ja-JP"/>
              </w:rPr>
              <w:t xml:space="preserve">  </w:t>
            </w:r>
          </w:p>
        </w:tc>
        <w:tc>
          <w:tcPr>
            <w:tcW w:w="859" w:type="pct"/>
            <w:shd w:val="clear" w:color="auto" w:fill="auto"/>
          </w:tcPr>
          <w:p w14:paraId="16244072" w14:textId="77777777" w:rsidR="007253DB" w:rsidRPr="00B8307D" w:rsidRDefault="007253DB" w:rsidP="000A067B">
            <w:pPr>
              <w:widowControl w:val="0"/>
              <w:jc w:val="both"/>
              <w:rPr>
                <w:rFonts w:eastAsia="MS Mincho"/>
                <w:sz w:val="22"/>
                <w:szCs w:val="22"/>
                <w:lang w:val="sr-Latn-ME" w:eastAsia="ja-JP"/>
              </w:rPr>
            </w:pPr>
            <w:r w:rsidRPr="00B8307D">
              <w:rPr>
                <w:rFonts w:eastAsia="MS Mincho"/>
                <w:sz w:val="22"/>
                <w:szCs w:val="22"/>
                <w:lang w:val="sr-Latn-ME" w:eastAsia="ja-JP"/>
              </w:rPr>
              <w:t>(34,7; 46,9)</w:t>
            </w:r>
          </w:p>
        </w:tc>
        <w:tc>
          <w:tcPr>
            <w:tcW w:w="785" w:type="pct"/>
            <w:shd w:val="clear" w:color="auto" w:fill="auto"/>
          </w:tcPr>
          <w:p w14:paraId="07C90B4B" w14:textId="77777777" w:rsidR="007253DB" w:rsidRPr="00B8307D" w:rsidRDefault="007253DB" w:rsidP="000A067B">
            <w:pPr>
              <w:widowControl w:val="0"/>
              <w:jc w:val="both"/>
              <w:rPr>
                <w:rFonts w:eastAsia="MS Mincho"/>
                <w:sz w:val="22"/>
                <w:szCs w:val="22"/>
                <w:lang w:val="sr-Latn-ME" w:eastAsia="ja-JP"/>
              </w:rPr>
            </w:pPr>
            <w:r w:rsidRPr="00B8307D">
              <w:rPr>
                <w:rFonts w:eastAsia="MS Mincho"/>
                <w:sz w:val="22"/>
                <w:szCs w:val="22"/>
                <w:lang w:val="sr-Latn-ME" w:eastAsia="ja-JP"/>
              </w:rPr>
              <w:t>(39,2; 51,7)</w:t>
            </w:r>
          </w:p>
        </w:tc>
      </w:tr>
      <w:tr w:rsidR="007253DB" w:rsidRPr="00B8307D" w14:paraId="20A338A6" w14:textId="77777777" w:rsidTr="00DE3522">
        <w:tc>
          <w:tcPr>
            <w:tcW w:w="3356" w:type="pct"/>
            <w:shd w:val="clear" w:color="auto" w:fill="auto"/>
          </w:tcPr>
          <w:p w14:paraId="3D261864" w14:textId="77777777" w:rsidR="007253DB" w:rsidRPr="00B8307D" w:rsidRDefault="007253DB" w:rsidP="00DE3522">
            <w:pPr>
              <w:widowControl w:val="0"/>
              <w:ind w:left="447"/>
              <w:jc w:val="both"/>
              <w:rPr>
                <w:rFonts w:eastAsia="MS Mincho"/>
                <w:sz w:val="22"/>
                <w:szCs w:val="22"/>
                <w:lang w:val="sr-Latn-ME" w:eastAsia="ja-JP"/>
              </w:rPr>
            </w:pPr>
            <w:r w:rsidRPr="00B8307D">
              <w:rPr>
                <w:rFonts w:eastAsia="MS Mincho"/>
                <w:sz w:val="22"/>
                <w:szCs w:val="22"/>
                <w:lang w:val="sr-Latn-ME" w:eastAsia="ja-JP"/>
              </w:rPr>
              <w:t>Razlika u pCR</w:t>
            </w:r>
            <w:r w:rsidRPr="00B8307D">
              <w:rPr>
                <w:rFonts w:eastAsia="MS Mincho"/>
                <w:sz w:val="22"/>
                <w:szCs w:val="22"/>
                <w:lang w:val="sr-Latn-ME" w:eastAsia="ja-JP"/>
              </w:rPr>
              <w:noBreakHyphen/>
              <w:t>u (s.c. grupa minus i.v. grupa)</w:t>
            </w:r>
          </w:p>
        </w:tc>
        <w:tc>
          <w:tcPr>
            <w:tcW w:w="1644" w:type="pct"/>
            <w:gridSpan w:val="2"/>
            <w:shd w:val="clear" w:color="auto" w:fill="auto"/>
          </w:tcPr>
          <w:p w14:paraId="79828E8A" w14:textId="77777777" w:rsidR="007253DB" w:rsidRPr="00B8307D" w:rsidRDefault="007253DB" w:rsidP="000A067B">
            <w:pPr>
              <w:widowControl w:val="0"/>
              <w:jc w:val="center"/>
              <w:rPr>
                <w:rFonts w:eastAsia="MS Mincho"/>
                <w:sz w:val="22"/>
                <w:szCs w:val="22"/>
                <w:lang w:val="sr-Latn-ME" w:eastAsia="ja-JP"/>
              </w:rPr>
            </w:pPr>
            <w:r w:rsidRPr="00B8307D">
              <w:rPr>
                <w:rFonts w:eastAsia="MS Mincho"/>
                <w:sz w:val="22"/>
                <w:szCs w:val="22"/>
                <w:lang w:val="sr-Latn-ME" w:eastAsia="ja-JP"/>
              </w:rPr>
              <w:t>4,70</w:t>
            </w:r>
          </w:p>
        </w:tc>
      </w:tr>
      <w:tr w:rsidR="007253DB" w:rsidRPr="00B8307D" w14:paraId="4D684B8A" w14:textId="77777777" w:rsidTr="00DE3522">
        <w:tc>
          <w:tcPr>
            <w:tcW w:w="3356" w:type="pct"/>
            <w:shd w:val="clear" w:color="auto" w:fill="auto"/>
          </w:tcPr>
          <w:p w14:paraId="30C0FD2A" w14:textId="77777777" w:rsidR="007253DB" w:rsidRPr="00B8307D" w:rsidRDefault="007253DB" w:rsidP="00DE3522">
            <w:pPr>
              <w:widowControl w:val="0"/>
              <w:ind w:left="447"/>
              <w:jc w:val="both"/>
              <w:rPr>
                <w:rFonts w:eastAsia="MS Mincho"/>
                <w:sz w:val="22"/>
                <w:szCs w:val="22"/>
                <w:lang w:val="sr-Latn-ME" w:eastAsia="ja-JP"/>
              </w:rPr>
            </w:pPr>
            <w:r w:rsidRPr="00B8307D">
              <w:rPr>
                <w:rFonts w:eastAsia="MS Mincho"/>
                <w:sz w:val="22"/>
                <w:szCs w:val="22"/>
                <w:lang w:val="sr-Latn-ME" w:eastAsia="ja-JP"/>
              </w:rPr>
              <w:t>Donja granica jednostranog CI od 97,5% za razliku u pCR</w:t>
            </w:r>
            <w:r w:rsidRPr="00B8307D">
              <w:rPr>
                <w:rFonts w:eastAsia="MS Mincho"/>
                <w:sz w:val="22"/>
                <w:szCs w:val="22"/>
                <w:lang w:val="sr-Latn-ME" w:eastAsia="ja-JP"/>
              </w:rPr>
              <w:noBreakHyphen/>
              <w:t>u</w:t>
            </w:r>
            <w:r w:rsidRPr="00B8307D">
              <w:rPr>
                <w:rFonts w:eastAsia="MS Mincho"/>
                <w:sz w:val="22"/>
                <w:szCs w:val="22"/>
                <w:vertAlign w:val="superscript"/>
                <w:lang w:val="sr-Latn-ME" w:eastAsia="ja-JP"/>
              </w:rPr>
              <w:t>**</w:t>
            </w:r>
          </w:p>
        </w:tc>
        <w:tc>
          <w:tcPr>
            <w:tcW w:w="1644" w:type="pct"/>
            <w:gridSpan w:val="2"/>
            <w:shd w:val="clear" w:color="auto" w:fill="auto"/>
          </w:tcPr>
          <w:p w14:paraId="76BD0B52" w14:textId="77777777" w:rsidR="007253DB" w:rsidRPr="00B8307D" w:rsidRDefault="007253DB" w:rsidP="000A067B">
            <w:pPr>
              <w:widowControl w:val="0"/>
              <w:jc w:val="center"/>
              <w:rPr>
                <w:rFonts w:eastAsia="MS Mincho"/>
                <w:sz w:val="22"/>
                <w:szCs w:val="22"/>
                <w:lang w:val="sr-Latn-ME" w:eastAsia="ja-JP"/>
              </w:rPr>
            </w:pPr>
            <w:r w:rsidRPr="00B8307D">
              <w:rPr>
                <w:rFonts w:eastAsia="MS Mincho"/>
                <w:sz w:val="22"/>
                <w:szCs w:val="22"/>
                <w:lang w:val="sr-Latn-ME" w:eastAsia="ja-JP"/>
              </w:rPr>
              <w:t>-4,0</w:t>
            </w:r>
          </w:p>
        </w:tc>
      </w:tr>
    </w:tbl>
    <w:p w14:paraId="3526C5A0" w14:textId="77777777" w:rsidR="007253DB" w:rsidRPr="00B8307D" w:rsidRDefault="007253DB" w:rsidP="000A067B">
      <w:pPr>
        <w:widowControl w:val="0"/>
        <w:tabs>
          <w:tab w:val="left" w:pos="3315"/>
        </w:tabs>
        <w:jc w:val="both"/>
        <w:rPr>
          <w:sz w:val="20"/>
          <w:szCs w:val="20"/>
          <w:lang w:val="sr-Latn-ME"/>
        </w:rPr>
      </w:pPr>
      <w:r w:rsidRPr="00B8307D">
        <w:rPr>
          <w:sz w:val="20"/>
          <w:szCs w:val="20"/>
          <w:lang w:val="sr-Latn-ME"/>
        </w:rPr>
        <w:t>*Interval pouzdanosti (CI) za binomni test na jednom uzorku primjenom Pearson-Clopperove metode.</w:t>
      </w:r>
    </w:p>
    <w:p w14:paraId="2B785275" w14:textId="77777777" w:rsidR="007253DB" w:rsidRPr="00B8307D" w:rsidRDefault="007253DB" w:rsidP="000A067B">
      <w:pPr>
        <w:widowControl w:val="0"/>
        <w:tabs>
          <w:tab w:val="left" w:pos="3315"/>
        </w:tabs>
        <w:jc w:val="both"/>
        <w:rPr>
          <w:sz w:val="20"/>
          <w:szCs w:val="20"/>
          <w:lang w:val="sr-Latn-ME"/>
        </w:rPr>
      </w:pPr>
      <w:r w:rsidRPr="00B8307D">
        <w:rPr>
          <w:sz w:val="20"/>
          <w:szCs w:val="20"/>
          <w:lang w:val="sr-Latn-ME"/>
        </w:rPr>
        <w:t xml:space="preserve">**U ovom je proračunu korištena Andersonova i Hauckova (1986.) korekcija za kontinuitet </w:t>
      </w:r>
    </w:p>
    <w:p w14:paraId="42002959" w14:textId="77777777" w:rsidR="007253DB" w:rsidRPr="00B8307D" w:rsidRDefault="007253DB" w:rsidP="000A067B">
      <w:pPr>
        <w:widowControl w:val="0"/>
        <w:tabs>
          <w:tab w:val="left" w:pos="3315"/>
        </w:tabs>
        <w:jc w:val="both"/>
        <w:rPr>
          <w:sz w:val="22"/>
          <w:szCs w:val="22"/>
          <w:lang w:val="sr-Latn-ME"/>
        </w:rPr>
      </w:pPr>
    </w:p>
    <w:p w14:paraId="1B3F02D1" w14:textId="77777777" w:rsidR="007253DB" w:rsidRPr="00B8307D" w:rsidRDefault="007253DB" w:rsidP="000A067B">
      <w:pPr>
        <w:widowControl w:val="0"/>
        <w:tabs>
          <w:tab w:val="left" w:pos="3315"/>
        </w:tabs>
        <w:jc w:val="both"/>
        <w:rPr>
          <w:sz w:val="22"/>
          <w:szCs w:val="22"/>
          <w:lang w:val="sr-Latn-ME"/>
        </w:rPr>
      </w:pPr>
      <w:r w:rsidRPr="00B8307D">
        <w:rPr>
          <w:sz w:val="22"/>
          <w:szCs w:val="22"/>
          <w:lang w:val="sr-Latn-ME"/>
        </w:rPr>
        <w:t xml:space="preserve">Analize podataka prikupljenih tokom dugotrajnijeg praćenja, čija je medijana bila duža od 40 mjeseci, podržale su neinferiornu efikasnost lijeka Herceptin za subkutanu primjenu u odnosu na lijek Herceptin za intravensku primjenu, uz usporedive rezultate i za preživljavanje bez događaja (engl. </w:t>
      </w:r>
      <w:r w:rsidRPr="00B8307D">
        <w:rPr>
          <w:i/>
          <w:sz w:val="22"/>
          <w:szCs w:val="22"/>
          <w:lang w:val="sr-Latn-ME"/>
        </w:rPr>
        <w:t>event</w:t>
      </w:r>
      <w:r w:rsidRPr="00B8307D">
        <w:rPr>
          <w:i/>
          <w:sz w:val="22"/>
          <w:szCs w:val="22"/>
          <w:lang w:val="sr-Latn-ME"/>
        </w:rPr>
        <w:noBreakHyphen/>
        <w:t>free survival,</w:t>
      </w:r>
      <w:r w:rsidRPr="00B8307D">
        <w:rPr>
          <w:sz w:val="22"/>
          <w:szCs w:val="22"/>
          <w:lang w:val="sr-Latn-ME"/>
        </w:rPr>
        <w:t xml:space="preserve"> EFS) i za OS (3</w:t>
      </w:r>
      <w:r w:rsidRPr="00B8307D">
        <w:rPr>
          <w:sz w:val="22"/>
          <w:szCs w:val="22"/>
          <w:lang w:val="sr-Latn-ME"/>
        </w:rPr>
        <w:noBreakHyphen/>
        <w:t>godišnja stopa EFS</w:t>
      </w:r>
      <w:r w:rsidRPr="00B8307D">
        <w:rPr>
          <w:sz w:val="22"/>
          <w:szCs w:val="22"/>
          <w:lang w:val="sr-Latn-ME"/>
        </w:rPr>
        <w:noBreakHyphen/>
        <w:t>a iznosila je 73% u grupi liječenoj lijekom Herceptin za intravensku primjenu te 76% u grupi liječenoj lijekom Herceptin za subkutanu primjenu, dok je 3</w:t>
      </w:r>
      <w:r w:rsidRPr="00B8307D">
        <w:rPr>
          <w:sz w:val="22"/>
          <w:szCs w:val="22"/>
          <w:lang w:val="sr-Latn-ME"/>
        </w:rPr>
        <w:noBreakHyphen/>
        <w:t>godišnja stopa OS</w:t>
      </w:r>
      <w:r w:rsidRPr="00B8307D">
        <w:rPr>
          <w:sz w:val="22"/>
          <w:szCs w:val="22"/>
          <w:lang w:val="sr-Latn-ME"/>
        </w:rPr>
        <w:noBreakHyphen/>
        <w:t>a iznosila 90% odnosno 92%).</w:t>
      </w:r>
    </w:p>
    <w:p w14:paraId="5B5BCA57" w14:textId="77777777" w:rsidR="007253DB" w:rsidRPr="00B8307D" w:rsidRDefault="007253DB" w:rsidP="000A067B">
      <w:pPr>
        <w:widowControl w:val="0"/>
        <w:tabs>
          <w:tab w:val="left" w:pos="3315"/>
        </w:tabs>
        <w:jc w:val="both"/>
        <w:rPr>
          <w:sz w:val="22"/>
          <w:szCs w:val="22"/>
          <w:lang w:val="sr-Latn-ME"/>
        </w:rPr>
      </w:pPr>
    </w:p>
    <w:p w14:paraId="022E43C9" w14:textId="150D7BDC" w:rsidR="007253DB" w:rsidRPr="00B8307D" w:rsidRDefault="007253DB" w:rsidP="000A067B">
      <w:pPr>
        <w:widowControl w:val="0"/>
        <w:tabs>
          <w:tab w:val="left" w:pos="3315"/>
        </w:tabs>
        <w:jc w:val="both"/>
        <w:rPr>
          <w:sz w:val="22"/>
          <w:szCs w:val="22"/>
          <w:lang w:val="sr-Latn-ME"/>
        </w:rPr>
      </w:pPr>
      <w:r w:rsidRPr="00B8307D">
        <w:rPr>
          <w:sz w:val="22"/>
          <w:szCs w:val="22"/>
          <w:lang w:val="sr-Latn-ME"/>
        </w:rPr>
        <w:t>Za neinferiornost primarne mjere ishoda za farmakokinetiku – Ctrough trastuzumaba u stanju dinamičke ravnoteže na kraju 7. ciklusa liječenja – vidjeti dio 5.2 Farmakokinetičke osobine.</w:t>
      </w:r>
    </w:p>
    <w:p w14:paraId="43EB2E4A" w14:textId="69663832" w:rsidR="007253DB" w:rsidRPr="00B8307D" w:rsidRDefault="007253DB" w:rsidP="000A067B">
      <w:pPr>
        <w:widowControl w:val="0"/>
        <w:jc w:val="both"/>
        <w:rPr>
          <w:sz w:val="22"/>
          <w:szCs w:val="22"/>
          <w:lang w:val="sr-Latn-ME"/>
        </w:rPr>
      </w:pPr>
      <w:r w:rsidRPr="00B8307D">
        <w:rPr>
          <w:sz w:val="22"/>
          <w:szCs w:val="22"/>
          <w:lang w:val="sr-Latn-ME"/>
        </w:rPr>
        <w:t>Za uporedni bezbjednosni profil vidjeti dio 4.8.</w:t>
      </w:r>
    </w:p>
    <w:p w14:paraId="305BB689" w14:textId="77777777" w:rsidR="007253DB" w:rsidRPr="00B8307D" w:rsidRDefault="007253DB" w:rsidP="000A067B">
      <w:pPr>
        <w:widowControl w:val="0"/>
        <w:jc w:val="both"/>
        <w:rPr>
          <w:sz w:val="22"/>
          <w:szCs w:val="22"/>
          <w:lang w:val="sr-Latn-ME"/>
        </w:rPr>
      </w:pPr>
    </w:p>
    <w:p w14:paraId="49767498" w14:textId="770C6270" w:rsidR="007253DB" w:rsidRPr="00B8307D" w:rsidRDefault="007253DB" w:rsidP="000A067B">
      <w:pPr>
        <w:widowControl w:val="0"/>
        <w:jc w:val="both"/>
        <w:rPr>
          <w:sz w:val="22"/>
          <w:szCs w:val="22"/>
          <w:lang w:val="sr-Latn-ME"/>
        </w:rPr>
      </w:pPr>
      <w:r w:rsidRPr="00B8307D">
        <w:rPr>
          <w:sz w:val="22"/>
          <w:szCs w:val="22"/>
          <w:lang w:val="sr-Latn-ME"/>
        </w:rPr>
        <w:t xml:space="preserve">Završna analiza sprovedena nakon medijane praćenja od više od 70 mjeseci pokazala je sličan EFS i OS kod pacijenata koji su primali </w:t>
      </w:r>
      <w:r w:rsidR="00872EEC" w:rsidRPr="00B8307D">
        <w:rPr>
          <w:sz w:val="22"/>
          <w:szCs w:val="22"/>
          <w:lang w:val="sr-Latn-ME"/>
        </w:rPr>
        <w:t xml:space="preserve">lijek </w:t>
      </w:r>
      <w:r w:rsidRPr="00B8307D">
        <w:rPr>
          <w:sz w:val="22"/>
          <w:szCs w:val="22"/>
          <w:lang w:val="sr-Latn-ME"/>
        </w:rPr>
        <w:t xml:space="preserve">Herceptin za intravensku primjenu i onih koji su primali </w:t>
      </w:r>
      <w:r w:rsidR="00872EEC" w:rsidRPr="00B8307D">
        <w:rPr>
          <w:sz w:val="22"/>
          <w:szCs w:val="22"/>
          <w:lang w:val="sr-Latn-ME"/>
        </w:rPr>
        <w:t xml:space="preserve">lijek </w:t>
      </w:r>
      <w:r w:rsidRPr="00B8307D">
        <w:rPr>
          <w:sz w:val="22"/>
          <w:szCs w:val="22"/>
          <w:lang w:val="sr-Latn-ME"/>
        </w:rPr>
        <w:t>Herceptin za supkutanu primjenu. Kod ob</w:t>
      </w:r>
      <w:r w:rsidR="00872EEC" w:rsidRPr="00B8307D">
        <w:rPr>
          <w:sz w:val="22"/>
          <w:szCs w:val="22"/>
          <w:lang w:val="sr-Latn-ME"/>
        </w:rPr>
        <w:t>j</w:t>
      </w:r>
      <w:r w:rsidRPr="00B8307D">
        <w:rPr>
          <w:sz w:val="22"/>
          <w:szCs w:val="22"/>
          <w:lang w:val="sr-Latn-ME"/>
        </w:rPr>
        <w:t>e grupe pacijenata  6-godišnja stopa EFS je iznosila 65% (ITT populacija: HR=0,98 [95% CI: 0,74; 1,29]), dok je stopa OS u ob</w:t>
      </w:r>
      <w:r w:rsidR="00872EEC" w:rsidRPr="00B8307D">
        <w:rPr>
          <w:sz w:val="22"/>
          <w:szCs w:val="22"/>
          <w:lang w:val="sr-Latn-ME"/>
        </w:rPr>
        <w:t>j</w:t>
      </w:r>
      <w:r w:rsidRPr="00B8307D">
        <w:rPr>
          <w:sz w:val="22"/>
          <w:szCs w:val="22"/>
          <w:lang w:val="sr-Latn-ME"/>
        </w:rPr>
        <w:t>e grupe iznosila 84% (ITT populacija: HR=0,94 [95% CI: 0,61; 1,45]).</w:t>
      </w:r>
    </w:p>
    <w:p w14:paraId="6063C85A" w14:textId="77777777" w:rsidR="007253DB" w:rsidRPr="00B8307D" w:rsidRDefault="007253DB" w:rsidP="000A067B">
      <w:pPr>
        <w:widowControl w:val="0"/>
        <w:jc w:val="both"/>
        <w:rPr>
          <w:sz w:val="22"/>
          <w:szCs w:val="22"/>
          <w:lang w:val="sr-Latn-ME"/>
        </w:rPr>
      </w:pPr>
    </w:p>
    <w:p w14:paraId="6F0A1C6E" w14:textId="79B00A49" w:rsidR="007253DB" w:rsidRPr="00B8307D" w:rsidRDefault="007253DB" w:rsidP="000A067B">
      <w:pPr>
        <w:widowControl w:val="0"/>
        <w:jc w:val="both"/>
        <w:rPr>
          <w:sz w:val="22"/>
          <w:szCs w:val="22"/>
          <w:lang w:val="sr-Latn-ME"/>
        </w:rPr>
      </w:pPr>
      <w:r w:rsidRPr="00B8307D">
        <w:rPr>
          <w:sz w:val="22"/>
          <w:szCs w:val="22"/>
          <w:lang w:val="sr-Latn-ME"/>
        </w:rPr>
        <w:t>U studiji MO28048, u kojem su se ocjenjivale bezbjednost i podnošljivost subkutane formulacije lijeka Herceptin kao adjuvantne terapije u HER2 pozitivnih pacijenata sa ranim karcinomom dojke uključenih ili u kohortu liječenu subkutanom formulacijom lijeka Herceptin u bočici (N=1868 pacijenata, uključujući 20 pacijenata koji su primali neoadjuvantnu terapiju) ili u kohortu koja je primala subkutanu formulaciju lijeka Herceptin u sistemu za primjenu (N=710 pacijenata, uključujući 21 pacijenata koji je primao neoadjuvantnu terapiju), ni</w:t>
      </w:r>
      <w:r w:rsidR="00872EEC" w:rsidRPr="00B8307D">
        <w:rPr>
          <w:sz w:val="22"/>
          <w:szCs w:val="22"/>
          <w:lang w:val="sr-Latn-ME"/>
        </w:rPr>
        <w:t>je</w:t>
      </w:r>
      <w:r w:rsidRPr="00B8307D">
        <w:rPr>
          <w:sz w:val="22"/>
          <w:szCs w:val="22"/>
          <w:lang w:val="sr-Latn-ME"/>
        </w:rPr>
        <w:t xml:space="preserve">su otkriveni novi bezbjednosni signali. Rezultati su bili u skladu sa poznatim bezbjednosnim profilom formulacija lijeka Herceptin za intravensku i subkutanu primjenu. Osim toga, adjuvantno liječenje ranog karcinoma dojke fiksnom dozom subkutane formulacije lijeka Herceptin kod pacijenata manje tjelesne </w:t>
      </w:r>
      <w:r w:rsidR="00872EEC" w:rsidRPr="00B8307D">
        <w:rPr>
          <w:sz w:val="22"/>
          <w:szCs w:val="22"/>
          <w:lang w:val="sr-Latn-ME"/>
        </w:rPr>
        <w:t xml:space="preserve">mase </w:t>
      </w:r>
      <w:r w:rsidRPr="00B8307D">
        <w:rPr>
          <w:sz w:val="22"/>
          <w:szCs w:val="22"/>
          <w:lang w:val="sr-Latn-ME"/>
        </w:rPr>
        <w:t>nije bilo povezano sa povećanim bezbjednosnim rizikom niti većim brojem neželjenih dejstava i ozbiljnih neželjenih dejstava u odnosu na pacijente veće tjelesne težine. Konačni rezultati ispitivanja BO22227 nakon medijane praćenja od više od 70 mjeseci bili su u skladu sa već poznatim bezbjednosnim profilom lijeka Herceptin za intravensku primjenu i lijeka Herceptin za supkutanu primjenu te ni</w:t>
      </w:r>
      <w:r w:rsidR="00872EEC" w:rsidRPr="00B8307D">
        <w:rPr>
          <w:sz w:val="22"/>
          <w:szCs w:val="22"/>
          <w:lang w:val="sr-Latn-ME"/>
        </w:rPr>
        <w:t>je</w:t>
      </w:r>
      <w:r w:rsidRPr="00B8307D">
        <w:rPr>
          <w:sz w:val="22"/>
          <w:szCs w:val="22"/>
          <w:lang w:val="sr-Latn-ME"/>
        </w:rPr>
        <w:t>su prim</w:t>
      </w:r>
      <w:r w:rsidR="00872EEC" w:rsidRPr="00B8307D">
        <w:rPr>
          <w:sz w:val="22"/>
          <w:szCs w:val="22"/>
          <w:lang w:val="sr-Latn-ME"/>
        </w:rPr>
        <w:t>ij</w:t>
      </w:r>
      <w:r w:rsidRPr="00B8307D">
        <w:rPr>
          <w:sz w:val="22"/>
          <w:szCs w:val="22"/>
          <w:lang w:val="sr-Latn-ME"/>
        </w:rPr>
        <w:t xml:space="preserve">ećeni novi </w:t>
      </w:r>
      <w:r w:rsidR="00872EEC" w:rsidRPr="00B8307D">
        <w:rPr>
          <w:sz w:val="22"/>
          <w:szCs w:val="22"/>
          <w:lang w:val="sr-Latn-ME"/>
        </w:rPr>
        <w:t xml:space="preserve">bezbjednosni </w:t>
      </w:r>
      <w:r w:rsidRPr="00B8307D">
        <w:rPr>
          <w:sz w:val="22"/>
          <w:szCs w:val="22"/>
          <w:lang w:val="sr-Latn-ME"/>
        </w:rPr>
        <w:t>signali.</w:t>
      </w:r>
    </w:p>
    <w:p w14:paraId="0AB22703" w14:textId="7D941015" w:rsidR="007253DB" w:rsidRPr="00B8307D" w:rsidRDefault="007253DB" w:rsidP="000A067B">
      <w:pPr>
        <w:widowControl w:val="0"/>
        <w:jc w:val="both"/>
        <w:rPr>
          <w:sz w:val="22"/>
          <w:szCs w:val="22"/>
          <w:lang w:val="sr-Latn-ME"/>
        </w:rPr>
      </w:pPr>
    </w:p>
    <w:p w14:paraId="6131ECBD" w14:textId="34440D52" w:rsidR="007253DB" w:rsidRPr="00B8307D" w:rsidRDefault="007253DB" w:rsidP="000A067B">
      <w:pPr>
        <w:widowControl w:val="0"/>
        <w:jc w:val="both"/>
        <w:rPr>
          <w:sz w:val="22"/>
          <w:szCs w:val="22"/>
          <w:u w:val="single"/>
          <w:lang w:val="sr-Latn-ME"/>
        </w:rPr>
      </w:pPr>
      <w:r w:rsidRPr="00B8307D">
        <w:rPr>
          <w:sz w:val="22"/>
          <w:szCs w:val="22"/>
          <w:u w:val="single"/>
          <w:lang w:val="sr-Latn-ME"/>
        </w:rPr>
        <w:t>Pedijatrijska populacija</w:t>
      </w:r>
    </w:p>
    <w:p w14:paraId="31BFD270" w14:textId="77777777" w:rsidR="00B22B2E" w:rsidRPr="00B8307D" w:rsidRDefault="00B22B2E" w:rsidP="000A067B">
      <w:pPr>
        <w:widowControl w:val="0"/>
        <w:jc w:val="both"/>
        <w:rPr>
          <w:sz w:val="22"/>
          <w:szCs w:val="22"/>
          <w:u w:val="single"/>
          <w:lang w:val="sr-Latn-ME"/>
        </w:rPr>
      </w:pPr>
    </w:p>
    <w:p w14:paraId="5353F04A" w14:textId="77777777" w:rsidR="007253DB" w:rsidRPr="00B8307D" w:rsidRDefault="007253DB" w:rsidP="000A067B">
      <w:pPr>
        <w:widowControl w:val="0"/>
        <w:tabs>
          <w:tab w:val="left" w:pos="284"/>
          <w:tab w:val="center" w:pos="4320"/>
          <w:tab w:val="right" w:pos="8640"/>
        </w:tabs>
        <w:jc w:val="both"/>
        <w:rPr>
          <w:sz w:val="22"/>
          <w:szCs w:val="22"/>
          <w:lang w:val="sr-Latn-ME"/>
        </w:rPr>
      </w:pPr>
      <w:r w:rsidRPr="00B8307D">
        <w:rPr>
          <w:sz w:val="22"/>
          <w:szCs w:val="22"/>
          <w:lang w:val="sr-Latn-ME"/>
        </w:rPr>
        <w:t>Evropska agencija za lijekove je odustala od zahtjeva dostavljanja rezultata ispitivanja lijeka Herceptin u svim podgrupama pedijatrijske populacije kod karcinoma dojke (vidjeti dio 4.2 za informacije o primjeni u pedijatrijskoj populaciji).</w:t>
      </w:r>
    </w:p>
    <w:p w14:paraId="11A01060" w14:textId="063C9CC8" w:rsidR="007253DB" w:rsidRPr="00B8307D" w:rsidRDefault="007253DB" w:rsidP="000A067B">
      <w:pPr>
        <w:widowControl w:val="0"/>
        <w:tabs>
          <w:tab w:val="left" w:pos="540"/>
          <w:tab w:val="left" w:pos="569"/>
        </w:tabs>
        <w:jc w:val="both"/>
        <w:rPr>
          <w:b/>
          <w:bCs/>
          <w:sz w:val="22"/>
          <w:szCs w:val="22"/>
          <w:lang w:val="sr-Latn-ME"/>
        </w:rPr>
      </w:pPr>
    </w:p>
    <w:p w14:paraId="1FE5FE7E" w14:textId="5276B882" w:rsidR="0072020E" w:rsidRPr="00B8307D" w:rsidRDefault="0072020E" w:rsidP="000A067B">
      <w:pPr>
        <w:widowControl w:val="0"/>
        <w:tabs>
          <w:tab w:val="left" w:pos="540"/>
          <w:tab w:val="left" w:pos="569"/>
        </w:tabs>
        <w:jc w:val="both"/>
        <w:rPr>
          <w:b/>
          <w:bCs/>
          <w:sz w:val="22"/>
          <w:szCs w:val="22"/>
          <w:lang w:val="sr-Latn-ME"/>
        </w:rPr>
      </w:pPr>
      <w:r w:rsidRPr="00B8307D">
        <w:rPr>
          <w:b/>
          <w:bCs/>
          <w:sz w:val="22"/>
          <w:szCs w:val="22"/>
          <w:lang w:val="sr-Latn-ME"/>
        </w:rPr>
        <w:t xml:space="preserve">5.2. </w:t>
      </w:r>
      <w:r w:rsidR="00480FB1" w:rsidRPr="00B8307D">
        <w:rPr>
          <w:b/>
          <w:bCs/>
          <w:sz w:val="22"/>
          <w:szCs w:val="22"/>
          <w:lang w:val="sr-Latn-ME"/>
        </w:rPr>
        <w:tab/>
      </w:r>
      <w:r w:rsidRPr="00B8307D">
        <w:rPr>
          <w:b/>
          <w:bCs/>
          <w:sz w:val="22"/>
          <w:szCs w:val="22"/>
          <w:lang w:val="sr-Latn-ME"/>
        </w:rPr>
        <w:t>Farmakokinetički podaci</w:t>
      </w:r>
      <w:r w:rsidR="003A7059" w:rsidRPr="00B8307D">
        <w:rPr>
          <w:b/>
          <w:bCs/>
          <w:sz w:val="22"/>
          <w:szCs w:val="22"/>
          <w:lang w:val="sr-Latn-ME"/>
        </w:rPr>
        <w:t xml:space="preserve"> </w:t>
      </w:r>
    </w:p>
    <w:p w14:paraId="2F913B14" w14:textId="77777777" w:rsidR="007253DB" w:rsidRPr="00B8307D" w:rsidRDefault="007253DB" w:rsidP="000A067B">
      <w:pPr>
        <w:widowControl w:val="0"/>
        <w:tabs>
          <w:tab w:val="left" w:pos="540"/>
          <w:tab w:val="left" w:pos="569"/>
        </w:tabs>
        <w:jc w:val="both"/>
        <w:rPr>
          <w:b/>
          <w:bCs/>
          <w:sz w:val="22"/>
          <w:szCs w:val="22"/>
          <w:lang w:val="sr-Latn-ME"/>
        </w:rPr>
      </w:pPr>
    </w:p>
    <w:p w14:paraId="7F956EA2" w14:textId="4172A14D" w:rsidR="0065323B" w:rsidRPr="00B8307D" w:rsidRDefault="007253DB" w:rsidP="000A067B">
      <w:pPr>
        <w:widowControl w:val="0"/>
        <w:jc w:val="both"/>
        <w:rPr>
          <w:sz w:val="22"/>
          <w:szCs w:val="22"/>
          <w:lang w:val="sr-Latn-ME"/>
        </w:rPr>
      </w:pPr>
      <w:r w:rsidRPr="00B8307D">
        <w:rPr>
          <w:sz w:val="22"/>
          <w:szCs w:val="22"/>
          <w:lang w:val="sr-Latn-ME"/>
        </w:rPr>
        <w:t>U studiji faze III BO22227, farmakokinetika doze trastuzumaba od 600 mg primijenjene subkutano svake tri nedjelje upoređena je sa intravenskim putem primjene (početna doza od 8 mg/kg, doza održavanja od 6 mg/kg svake tri nedjelje). Farmakokinetički rezultati za jednu od dvije primarne mjere ishoda, C</w:t>
      </w:r>
      <w:r w:rsidRPr="00B8307D">
        <w:rPr>
          <w:sz w:val="22"/>
          <w:szCs w:val="22"/>
          <w:vertAlign w:val="subscript"/>
          <w:lang w:val="sr-Latn-ME"/>
        </w:rPr>
        <w:t>trough</w:t>
      </w:r>
      <w:r w:rsidRPr="00B8307D">
        <w:rPr>
          <w:sz w:val="22"/>
          <w:szCs w:val="22"/>
          <w:lang w:val="sr-Latn-ME"/>
        </w:rPr>
        <w:t xml:space="preserve"> prije primjene doze u 8. ciklusu, pokazali su neinferiornost subkutane doze lijeka Herceptin u poređenju sa intravenskom dozom lijeka Herceptin prilagođenom prema tjelesnoj masi.</w:t>
      </w:r>
    </w:p>
    <w:p w14:paraId="65A2D5A5" w14:textId="77777777" w:rsidR="0065323B" w:rsidRPr="00B8307D" w:rsidRDefault="0065323B" w:rsidP="000A067B">
      <w:pPr>
        <w:widowControl w:val="0"/>
        <w:jc w:val="both"/>
        <w:rPr>
          <w:sz w:val="22"/>
          <w:szCs w:val="22"/>
          <w:lang w:val="sr-Latn-ME"/>
        </w:rPr>
      </w:pPr>
    </w:p>
    <w:p w14:paraId="56EEEB79" w14:textId="5C25083F" w:rsidR="007253DB" w:rsidRPr="00B8307D" w:rsidRDefault="007253DB" w:rsidP="000A067B">
      <w:pPr>
        <w:widowControl w:val="0"/>
        <w:jc w:val="both"/>
        <w:rPr>
          <w:sz w:val="22"/>
          <w:szCs w:val="22"/>
          <w:lang w:val="sr-Latn-ME"/>
        </w:rPr>
      </w:pPr>
      <w:r w:rsidRPr="00B8307D">
        <w:rPr>
          <w:sz w:val="22"/>
          <w:szCs w:val="22"/>
          <w:lang w:val="sr-Latn-ME"/>
        </w:rPr>
        <w:t>Srednja vrijednost C</w:t>
      </w:r>
      <w:r w:rsidRPr="00B8307D">
        <w:rPr>
          <w:sz w:val="22"/>
          <w:szCs w:val="22"/>
          <w:vertAlign w:val="subscript"/>
          <w:lang w:val="sr-Latn-ME"/>
        </w:rPr>
        <w:t>trough</w:t>
      </w:r>
      <w:r w:rsidRPr="00B8307D">
        <w:rPr>
          <w:sz w:val="22"/>
          <w:szCs w:val="22"/>
          <w:lang w:val="sr-Latn-ME"/>
        </w:rPr>
        <w:t xml:space="preserve"> tokom neoadjuvantne faze liječenja, u trenutku prije primjene doze u 8. ciklusu, bila je viša u grupi koja je primala </w:t>
      </w:r>
      <w:r w:rsidR="0065323B" w:rsidRPr="00B8307D">
        <w:rPr>
          <w:sz w:val="22"/>
          <w:szCs w:val="22"/>
          <w:lang w:val="sr-Latn-ME"/>
        </w:rPr>
        <w:t xml:space="preserve">lijek </w:t>
      </w:r>
      <w:r w:rsidRPr="00B8307D">
        <w:rPr>
          <w:sz w:val="22"/>
          <w:szCs w:val="22"/>
          <w:lang w:val="sr-Latn-ME"/>
        </w:rPr>
        <w:t>Herceptin u subkutanoj formulaciji (78,7 µg/ml) nego u grupi koja je primala intravensku formulaciju lijeka Herceptin (57,8 µg/ml). Tokom adjuvantne faze liječenja, u trenutku prije primjene doze u 13. ciklusu, srednje vrijednosti C</w:t>
      </w:r>
      <w:r w:rsidRPr="00B8307D">
        <w:rPr>
          <w:sz w:val="22"/>
          <w:szCs w:val="22"/>
          <w:vertAlign w:val="subscript"/>
          <w:lang w:val="sr-Latn-ME"/>
        </w:rPr>
        <w:t>trough</w:t>
      </w:r>
      <w:r w:rsidRPr="00B8307D">
        <w:rPr>
          <w:sz w:val="22"/>
          <w:szCs w:val="22"/>
          <w:lang w:val="sr-Latn-ME"/>
        </w:rPr>
        <w:t xml:space="preserve"> iznosile su 90,4 µg/ml odnosno 62,1 µg/ml. Na osnovu podataka zapaženih u Strudiji BO22227</w:t>
      </w:r>
      <w:r w:rsidR="0065323B" w:rsidRPr="00B8307D">
        <w:rPr>
          <w:sz w:val="22"/>
          <w:szCs w:val="22"/>
          <w:lang w:val="sr-Latn-ME"/>
        </w:rPr>
        <w:t>, kod</w:t>
      </w:r>
      <w:r w:rsidRPr="00B8307D">
        <w:rPr>
          <w:sz w:val="22"/>
          <w:szCs w:val="22"/>
          <w:lang w:val="sr-Latn-ME"/>
        </w:rPr>
        <w:t xml:space="preserve"> primjene intravenske formulacije</w:t>
      </w:r>
      <w:r w:rsidR="0065323B" w:rsidRPr="00B8307D">
        <w:rPr>
          <w:sz w:val="22"/>
          <w:szCs w:val="22"/>
          <w:lang w:val="sr-Latn-ME"/>
        </w:rPr>
        <w:t>,</w:t>
      </w:r>
      <w:r w:rsidRPr="00B8307D">
        <w:rPr>
          <w:sz w:val="22"/>
          <w:szCs w:val="22"/>
          <w:lang w:val="sr-Latn-ME"/>
        </w:rPr>
        <w:t xml:space="preserve"> </w:t>
      </w:r>
      <w:r w:rsidRPr="00B8307D">
        <w:rPr>
          <w:sz w:val="22"/>
          <w:szCs w:val="22"/>
          <w:lang w:val="sr-Latn-ME"/>
        </w:rPr>
        <w:lastRenderedPageBreak/>
        <w:t xml:space="preserve">stanje dinamičke ravnoteže postignuto je u 8. ciklusu. Kod primjene lijeka Herceptin u subkutanoj formulaciji, koncentracije su približno postigle stanje dinamičke ravnoteže nakon primjene doze u 7. </w:t>
      </w:r>
      <w:r w:rsidR="0065323B" w:rsidRPr="00B8307D">
        <w:rPr>
          <w:sz w:val="22"/>
          <w:szCs w:val="22"/>
          <w:lang w:val="sr-Latn-ME"/>
        </w:rPr>
        <w:t>c</w:t>
      </w:r>
      <w:r w:rsidRPr="00B8307D">
        <w:rPr>
          <w:sz w:val="22"/>
          <w:szCs w:val="22"/>
          <w:lang w:val="sr-Latn-ME"/>
        </w:rPr>
        <w:t xml:space="preserve">iklusu (prije primjene doze u 8. ciklusu), uz malo povećanje koncentracije </w:t>
      </w:r>
      <w:r w:rsidR="0065323B" w:rsidRPr="00B8307D">
        <w:rPr>
          <w:sz w:val="22"/>
          <w:szCs w:val="22"/>
          <w:lang w:val="sr-Latn-ME"/>
        </w:rPr>
        <w:t>(&lt;15%) do 13. ciklusa.</w:t>
      </w:r>
      <w:r w:rsidRPr="00B8307D">
        <w:rPr>
          <w:sz w:val="22"/>
          <w:szCs w:val="22"/>
          <w:lang w:val="sr-Latn-ME"/>
        </w:rPr>
        <w:t xml:space="preserve"> Srednja vrijednost C</w:t>
      </w:r>
      <w:r w:rsidRPr="00B8307D">
        <w:rPr>
          <w:sz w:val="22"/>
          <w:szCs w:val="22"/>
          <w:vertAlign w:val="subscript"/>
          <w:lang w:val="sr-Latn-ME"/>
        </w:rPr>
        <w:t>trough</w:t>
      </w:r>
      <w:r w:rsidRPr="00B8307D">
        <w:rPr>
          <w:sz w:val="22"/>
          <w:szCs w:val="22"/>
          <w:lang w:val="sr-Latn-ME"/>
        </w:rPr>
        <w:t xml:space="preserve"> prije subkutane primjene lijeka u 18. ciklusu iznosila je 90,7 µg/ml i bila je slična onoj u 13. ciklusu, što ukazuje na to da nakon 13. ciklusa koncentracije više ne rastu.</w:t>
      </w:r>
    </w:p>
    <w:p w14:paraId="743053D4" w14:textId="77777777" w:rsidR="00B22B2E" w:rsidRPr="00B8307D" w:rsidRDefault="00B22B2E" w:rsidP="000A067B">
      <w:pPr>
        <w:widowControl w:val="0"/>
        <w:jc w:val="both"/>
        <w:rPr>
          <w:sz w:val="22"/>
          <w:szCs w:val="22"/>
          <w:lang w:val="sr-Latn-ME"/>
        </w:rPr>
      </w:pPr>
    </w:p>
    <w:p w14:paraId="26CC5FD1" w14:textId="643B8954" w:rsidR="007253DB" w:rsidRPr="00B8307D" w:rsidRDefault="007253DB" w:rsidP="000A067B">
      <w:pPr>
        <w:widowControl w:val="0"/>
        <w:jc w:val="both"/>
        <w:rPr>
          <w:sz w:val="22"/>
          <w:szCs w:val="22"/>
          <w:lang w:val="sr-Latn-ME"/>
        </w:rPr>
      </w:pPr>
      <w:r w:rsidRPr="00B8307D">
        <w:rPr>
          <w:sz w:val="22"/>
          <w:szCs w:val="22"/>
          <w:lang w:val="sr-Latn-ME"/>
        </w:rPr>
        <w:t>Vrijednost medijane T</w:t>
      </w:r>
      <w:r w:rsidRPr="00B8307D">
        <w:rPr>
          <w:sz w:val="22"/>
          <w:szCs w:val="22"/>
          <w:vertAlign w:val="subscript"/>
          <w:lang w:val="sr-Latn-ME"/>
        </w:rPr>
        <w:t>max</w:t>
      </w:r>
      <w:r w:rsidRPr="00B8307D">
        <w:rPr>
          <w:sz w:val="22"/>
          <w:szCs w:val="22"/>
          <w:lang w:val="sr-Latn-ME"/>
        </w:rPr>
        <w:t xml:space="preserve"> nakon subkutane primjene bio je približno 3 dana, uz visoku interindividualnu varijabilnost (raspon od 1-14 dana). Srednja vrijednost C</w:t>
      </w:r>
      <w:r w:rsidRPr="00B8307D">
        <w:rPr>
          <w:sz w:val="22"/>
          <w:szCs w:val="22"/>
          <w:vertAlign w:val="subscript"/>
          <w:lang w:val="sr-Latn-ME"/>
        </w:rPr>
        <w:t>max</w:t>
      </w:r>
      <w:r w:rsidRPr="00B8307D">
        <w:rPr>
          <w:sz w:val="22"/>
          <w:szCs w:val="22"/>
          <w:lang w:val="sr-Latn-ME"/>
        </w:rPr>
        <w:t xml:space="preserve"> bila je očekivano niža u grupi koja je primala </w:t>
      </w:r>
      <w:r w:rsidR="00F21ECC" w:rsidRPr="00B8307D">
        <w:rPr>
          <w:sz w:val="22"/>
          <w:szCs w:val="22"/>
          <w:lang w:val="sr-Latn-ME"/>
        </w:rPr>
        <w:t xml:space="preserve">lijek </w:t>
      </w:r>
      <w:r w:rsidRPr="00B8307D">
        <w:rPr>
          <w:sz w:val="22"/>
          <w:szCs w:val="22"/>
          <w:lang w:val="sr-Latn-ME"/>
        </w:rPr>
        <w:t>Herceptin u subkutanoj formulaciji (149 µg/ml) nego u grupi koja je primala intravensku formulaciju lijeka (vrijednost na kraju infuzije: 221 µg/ml).</w:t>
      </w:r>
    </w:p>
    <w:p w14:paraId="0984AD1F" w14:textId="77777777" w:rsidR="007253DB" w:rsidRPr="00B8307D" w:rsidRDefault="007253DB" w:rsidP="000A067B">
      <w:pPr>
        <w:widowControl w:val="0"/>
        <w:jc w:val="both"/>
        <w:rPr>
          <w:sz w:val="22"/>
          <w:szCs w:val="22"/>
          <w:lang w:val="sr-Latn-ME"/>
        </w:rPr>
      </w:pPr>
    </w:p>
    <w:p w14:paraId="41F229B8" w14:textId="77777777" w:rsidR="007253DB" w:rsidRPr="00B8307D" w:rsidRDefault="007253DB" w:rsidP="000A067B">
      <w:pPr>
        <w:widowControl w:val="0"/>
        <w:jc w:val="both"/>
        <w:rPr>
          <w:sz w:val="22"/>
          <w:szCs w:val="22"/>
          <w:lang w:val="sr-Latn-ME"/>
        </w:rPr>
      </w:pPr>
      <w:r w:rsidRPr="00B8307D">
        <w:rPr>
          <w:sz w:val="22"/>
          <w:szCs w:val="22"/>
          <w:lang w:val="sr-Latn-ME"/>
        </w:rPr>
        <w:t>Nakon primjene doze u 7. ciklusu, srednja vrijednost AUC</w:t>
      </w:r>
      <w:r w:rsidRPr="00B8307D">
        <w:rPr>
          <w:sz w:val="22"/>
          <w:szCs w:val="22"/>
          <w:vertAlign w:val="subscript"/>
          <w:lang w:val="sr-Latn-ME"/>
        </w:rPr>
        <w:t xml:space="preserve">0-21 </w:t>
      </w:r>
      <w:r w:rsidRPr="00B8307D">
        <w:rPr>
          <w:sz w:val="22"/>
          <w:szCs w:val="22"/>
          <w:lang w:val="sr-Latn-ME"/>
        </w:rPr>
        <w:t>dan bila je približno 10% veća kod primjene lijeka Herceptin u subkutanoj formulaciji nego kod primjene intravenske formulacije lijeka Herceptin, pri čemu su srednje vrijednosti AUC-a bile 2268 µg/ml•dan, odnosno 2056 µg/ml•dan.</w:t>
      </w:r>
    </w:p>
    <w:p w14:paraId="02375F2D" w14:textId="0DCA1C8F" w:rsidR="007253DB" w:rsidRPr="00B8307D" w:rsidRDefault="007253DB" w:rsidP="000A067B">
      <w:pPr>
        <w:widowControl w:val="0"/>
        <w:jc w:val="both"/>
        <w:rPr>
          <w:sz w:val="22"/>
          <w:szCs w:val="22"/>
          <w:lang w:val="sr-Latn-ME"/>
        </w:rPr>
      </w:pPr>
      <w:r w:rsidRPr="00B8307D">
        <w:rPr>
          <w:sz w:val="22"/>
          <w:szCs w:val="22"/>
          <w:lang w:val="sr-Latn-ME"/>
        </w:rPr>
        <w:t>Nakon primjene doze u 12. ciklusu AUC</w:t>
      </w:r>
      <w:r w:rsidRPr="00B8307D">
        <w:rPr>
          <w:sz w:val="22"/>
          <w:szCs w:val="22"/>
          <w:vertAlign w:val="subscript"/>
          <w:lang w:val="sr-Latn-ME"/>
        </w:rPr>
        <w:t>0-21</w:t>
      </w:r>
      <w:r w:rsidRPr="00B8307D">
        <w:rPr>
          <w:sz w:val="22"/>
          <w:szCs w:val="22"/>
          <w:lang w:val="sr-Latn-ME"/>
        </w:rPr>
        <w:t xml:space="preserve"> dan bio je približno 20% veći kod primjene lijeka Herceptin u subkutanoj formulaciji nego kod primjene intravenske formulacije lijeka Herceptin, pri čemu su srednje vrijednosti AUC iznosile 2610 µg/ml•dan, odnosno 2179 µg/ml•dan. Zbog značajnog  uticaja tjelesne mase na klirens trastuzumaba i činjenice da se za subkutanu primjenu koristi fiksna doza, razlika u izloženosti između subkutane i intravenske primjene zavisila je od tjelesne mase: kod pacijentkinja tjelesne mase &lt; 51 kg srednja vrijednost AUC trastuzumaba u stanju dinamičke ravnoteže bila je približno 80% viša nakon subkutane primjene nego nakon intravenske terapije, dok je u grupi sa najvećom tjelesnom masom (&gt; 90 kg) AUC bio 20% niži nakon subkutane primjene u odnosu na intravensku terapiju.</w:t>
      </w:r>
    </w:p>
    <w:p w14:paraId="1DB64E07" w14:textId="17D15B1B" w:rsidR="007253DB" w:rsidRPr="00B8307D" w:rsidRDefault="007253DB" w:rsidP="000A067B">
      <w:pPr>
        <w:widowControl w:val="0"/>
        <w:jc w:val="both"/>
        <w:rPr>
          <w:sz w:val="22"/>
          <w:szCs w:val="22"/>
          <w:lang w:val="sr-Latn-ME"/>
        </w:rPr>
      </w:pPr>
    </w:p>
    <w:p w14:paraId="70EA5452" w14:textId="13BA45D6" w:rsidR="007253DB" w:rsidRPr="00B8307D" w:rsidRDefault="007253DB" w:rsidP="000A067B">
      <w:pPr>
        <w:widowControl w:val="0"/>
        <w:jc w:val="both"/>
        <w:rPr>
          <w:sz w:val="22"/>
          <w:szCs w:val="22"/>
          <w:lang w:val="sr-Latn-ME"/>
        </w:rPr>
      </w:pPr>
      <w:r w:rsidRPr="00B8307D">
        <w:rPr>
          <w:sz w:val="22"/>
          <w:szCs w:val="22"/>
          <w:lang w:val="sr-Latn-ME"/>
        </w:rPr>
        <w:t>Populacijski farmakokinetički model sa paralelnom linearnom i nelinearnom eliminacijom iz središnjeg dijela izrađen je na osnovu objedinjenih farmakokinetičkih podataka za subkutanu formulaciju lijeka Herceptin i intravensku formulaciju lijeka Herceptin iz Studije faze III (BO22227) kako bi se opisale farmakokinetičke koncentracije prim</w:t>
      </w:r>
      <w:r w:rsidR="00F21ECC" w:rsidRPr="00B8307D">
        <w:rPr>
          <w:sz w:val="22"/>
          <w:szCs w:val="22"/>
          <w:lang w:val="sr-Latn-ME"/>
        </w:rPr>
        <w:t>i</w:t>
      </w:r>
      <w:r w:rsidRPr="00B8307D">
        <w:rPr>
          <w:sz w:val="22"/>
          <w:szCs w:val="22"/>
          <w:lang w:val="sr-Latn-ME"/>
        </w:rPr>
        <w:t>jećene nakon primjene intravenske formulacije lijeka Herceptin i subkutane formulacije lijeka Herceptin kod pacijenata sa ranim rakom dojke. Procijenjena bioraspoloživost trastuzumaba prim</w:t>
      </w:r>
      <w:r w:rsidR="00F21ECC" w:rsidRPr="00B8307D">
        <w:rPr>
          <w:sz w:val="22"/>
          <w:szCs w:val="22"/>
          <w:lang w:val="sr-Latn-ME"/>
        </w:rPr>
        <w:t>i</w:t>
      </w:r>
      <w:r w:rsidRPr="00B8307D">
        <w:rPr>
          <w:sz w:val="22"/>
          <w:szCs w:val="22"/>
          <w:lang w:val="sr-Latn-ME"/>
        </w:rPr>
        <w:t>jenjenog u subkutanoj formulaciji iznosila je 77,1%, dok je proc</w:t>
      </w:r>
      <w:r w:rsidR="00F21ECC" w:rsidRPr="00B8307D">
        <w:rPr>
          <w:sz w:val="22"/>
          <w:szCs w:val="22"/>
          <w:lang w:val="sr-Latn-ME"/>
        </w:rPr>
        <w:t>i</w:t>
      </w:r>
      <w:r w:rsidRPr="00B8307D">
        <w:rPr>
          <w:sz w:val="22"/>
          <w:szCs w:val="22"/>
          <w:lang w:val="sr-Latn-ME"/>
        </w:rPr>
        <w:t xml:space="preserve">jenjena konstanta brzine </w:t>
      </w:r>
      <w:r w:rsidR="00F21ECC" w:rsidRPr="00B8307D">
        <w:rPr>
          <w:sz w:val="22"/>
          <w:szCs w:val="22"/>
          <w:lang w:val="sr-Latn-ME"/>
        </w:rPr>
        <w:t>re</w:t>
      </w:r>
      <w:r w:rsidRPr="00B8307D">
        <w:rPr>
          <w:sz w:val="22"/>
          <w:szCs w:val="22"/>
          <w:lang w:val="sr-Latn-ME"/>
        </w:rPr>
        <w:t>sorpcije prvog reda iznosila 0,4 dana</w:t>
      </w:r>
      <w:r w:rsidRPr="00B8307D">
        <w:rPr>
          <w:sz w:val="22"/>
          <w:szCs w:val="22"/>
          <w:lang w:val="sr-Latn-ME"/>
        </w:rPr>
        <w:noBreakHyphen/>
        <w:t>1. Linearni klirens iznosio je 0,111 l/dan, a volumen središnjeg dijela (Vc) 2,91 l. Vrijednost Michaelis</w:t>
      </w:r>
      <w:r w:rsidRPr="00B8307D">
        <w:rPr>
          <w:sz w:val="22"/>
          <w:szCs w:val="22"/>
          <w:lang w:val="sr-Latn-ME"/>
        </w:rPr>
        <w:noBreakHyphen/>
        <w:t xml:space="preserve">Mentenova parametra iznosila je 11,9 mg/dan za Vmax te 33,9 µg/ml za Km. Tjelesna težina i nivo alanin aminotransferaze u serumu (SGPT/ALT) imale su statistički značajan uticaj na farmakokinetiku, ali simulacije su pokazale da nije potrebno prilagođavati dozu kod pacijenata sa ranim rakom dojke. Vrijednosti parametara farmakokinetičke izloženosti predviđene za populaciju (medijan i 5. do 95. percentil) uz režime doziranja subkutane formulacije lijeka Herceptin kod pacijenata sa ranim rakom dojke prikazane su u nastavku, u Tabeli 13. </w:t>
      </w:r>
    </w:p>
    <w:p w14:paraId="68B1C333" w14:textId="77777777" w:rsidR="007253DB" w:rsidRPr="00B8307D" w:rsidRDefault="007253DB" w:rsidP="000A067B">
      <w:pPr>
        <w:widowControl w:val="0"/>
        <w:jc w:val="both"/>
        <w:rPr>
          <w:sz w:val="22"/>
          <w:szCs w:val="22"/>
          <w:lang w:val="sr-Latn-ME"/>
        </w:rPr>
      </w:pPr>
    </w:p>
    <w:p w14:paraId="069A6DA6" w14:textId="45B5C157" w:rsidR="007253DB" w:rsidRPr="00B8307D" w:rsidRDefault="007253DB" w:rsidP="000A067B">
      <w:pPr>
        <w:widowControl w:val="0"/>
        <w:jc w:val="both"/>
        <w:rPr>
          <w:sz w:val="22"/>
          <w:szCs w:val="22"/>
          <w:lang w:val="sr-Latn-ME"/>
        </w:rPr>
      </w:pPr>
      <w:r w:rsidRPr="00B8307D">
        <w:rPr>
          <w:sz w:val="22"/>
          <w:szCs w:val="22"/>
          <w:lang w:val="sr-Latn-ME"/>
        </w:rPr>
        <w:t>Tabela 13. Vrijednosti farmakokinetičke izloženosti predviđene za populaciju (medijan i 5. do 95. percentil) uz režim doziranja subkutane formulacije lijeka Herceptin u dozi od 600 mg jedanput svake 3 nedjelje kod pacijenata sa ranim rakom dojke.</w:t>
      </w:r>
    </w:p>
    <w:p w14:paraId="68C6F427" w14:textId="2379DDE7" w:rsidR="007253DB" w:rsidRPr="00B8307D" w:rsidRDefault="007253DB" w:rsidP="000A067B">
      <w:pPr>
        <w:widowControl w:val="0"/>
        <w:jc w:val="both"/>
        <w:rPr>
          <w:sz w:val="22"/>
          <w:szCs w:val="22"/>
          <w:lang w:val="sr-Latn-ME"/>
        </w:rPr>
      </w:pPr>
    </w:p>
    <w:tbl>
      <w:tblPr>
        <w:tblW w:w="5000" w:type="pct"/>
        <w:tblLayout w:type="fixed"/>
        <w:tblCellMar>
          <w:left w:w="0" w:type="dxa"/>
          <w:right w:w="0" w:type="dxa"/>
        </w:tblCellMar>
        <w:tblLook w:val="04A0" w:firstRow="1" w:lastRow="0" w:firstColumn="1" w:lastColumn="0" w:noHBand="0" w:noVBand="1"/>
      </w:tblPr>
      <w:tblGrid>
        <w:gridCol w:w="1839"/>
        <w:gridCol w:w="1311"/>
        <w:gridCol w:w="830"/>
        <w:gridCol w:w="1661"/>
        <w:gridCol w:w="1798"/>
        <w:gridCol w:w="1626"/>
      </w:tblGrid>
      <w:tr w:rsidR="007253DB" w:rsidRPr="00B8307D" w14:paraId="34856E73" w14:textId="77777777" w:rsidTr="007253DB">
        <w:trPr>
          <w:cantSplit/>
          <w:trHeight w:val="96"/>
        </w:trPr>
        <w:tc>
          <w:tcPr>
            <w:tcW w:w="101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488F2F0" w14:textId="77777777" w:rsidR="007253DB" w:rsidRPr="00B8307D" w:rsidRDefault="007253DB" w:rsidP="000A067B">
            <w:pPr>
              <w:widowControl w:val="0"/>
              <w:jc w:val="center"/>
              <w:rPr>
                <w:b/>
                <w:sz w:val="22"/>
                <w:szCs w:val="22"/>
                <w:lang w:val="sr-Latn-ME"/>
              </w:rPr>
            </w:pPr>
            <w:r w:rsidRPr="00B8307D">
              <w:rPr>
                <w:b/>
                <w:sz w:val="22"/>
                <w:szCs w:val="22"/>
                <w:lang w:val="sr-Latn-ME"/>
              </w:rPr>
              <w:t>Vrsta primarnog tumora i režim</w:t>
            </w:r>
          </w:p>
        </w:tc>
        <w:tc>
          <w:tcPr>
            <w:tcW w:w="72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4DC9663" w14:textId="77777777" w:rsidR="007253DB" w:rsidRPr="00B8307D" w:rsidRDefault="007253DB" w:rsidP="000A067B">
            <w:pPr>
              <w:widowControl w:val="0"/>
              <w:jc w:val="center"/>
              <w:rPr>
                <w:b/>
                <w:sz w:val="22"/>
                <w:szCs w:val="22"/>
                <w:lang w:val="sr-Latn-ME"/>
              </w:rPr>
            </w:pPr>
            <w:r w:rsidRPr="00B8307D">
              <w:rPr>
                <w:b/>
                <w:sz w:val="22"/>
                <w:szCs w:val="22"/>
                <w:lang w:val="sr-Latn-ME"/>
              </w:rPr>
              <w:t>Ciklus</w:t>
            </w:r>
          </w:p>
        </w:tc>
        <w:tc>
          <w:tcPr>
            <w:tcW w:w="458"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D822C75" w14:textId="77777777" w:rsidR="007253DB" w:rsidRPr="00B8307D" w:rsidRDefault="007253DB" w:rsidP="000A067B">
            <w:pPr>
              <w:widowControl w:val="0"/>
              <w:jc w:val="center"/>
              <w:rPr>
                <w:b/>
                <w:sz w:val="22"/>
                <w:szCs w:val="22"/>
                <w:lang w:val="sr-Latn-ME"/>
              </w:rPr>
            </w:pPr>
            <w:r w:rsidRPr="00B8307D">
              <w:rPr>
                <w:b/>
                <w:sz w:val="22"/>
                <w:szCs w:val="22"/>
                <w:lang w:val="sr-Latn-ME"/>
              </w:rPr>
              <w:t>N</w:t>
            </w:r>
          </w:p>
        </w:tc>
        <w:tc>
          <w:tcPr>
            <w:tcW w:w="916"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5F04BD6" w14:textId="77777777" w:rsidR="007253DB" w:rsidRPr="00B8307D" w:rsidRDefault="007253DB" w:rsidP="000A067B">
            <w:pPr>
              <w:widowControl w:val="0"/>
              <w:jc w:val="center"/>
              <w:rPr>
                <w:b/>
                <w:sz w:val="22"/>
                <w:szCs w:val="22"/>
                <w:lang w:val="sr-Latn-ME"/>
              </w:rPr>
            </w:pPr>
            <w:r w:rsidRPr="00B8307D">
              <w:rPr>
                <w:b/>
                <w:sz w:val="22"/>
                <w:szCs w:val="22"/>
                <w:lang w:val="sr-Latn-ME"/>
              </w:rPr>
              <w:t>Cmin</w:t>
            </w:r>
          </w:p>
          <w:p w14:paraId="7E9A2795" w14:textId="77777777" w:rsidR="007253DB" w:rsidRPr="00B8307D" w:rsidRDefault="007253DB" w:rsidP="000A067B">
            <w:pPr>
              <w:widowControl w:val="0"/>
              <w:jc w:val="center"/>
              <w:rPr>
                <w:b/>
                <w:sz w:val="22"/>
                <w:szCs w:val="22"/>
                <w:lang w:val="sr-Latn-ME"/>
              </w:rPr>
            </w:pPr>
            <w:r w:rsidRPr="00B8307D">
              <w:rPr>
                <w:b/>
                <w:sz w:val="22"/>
                <w:szCs w:val="22"/>
                <w:lang w:val="sr-Latn-ME"/>
              </w:rPr>
              <w:t>(µg/ml)</w:t>
            </w:r>
          </w:p>
        </w:tc>
        <w:tc>
          <w:tcPr>
            <w:tcW w:w="992"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AED6CF8" w14:textId="77777777" w:rsidR="007253DB" w:rsidRPr="00B8307D" w:rsidRDefault="007253DB" w:rsidP="000A067B">
            <w:pPr>
              <w:widowControl w:val="0"/>
              <w:jc w:val="center"/>
              <w:rPr>
                <w:b/>
                <w:sz w:val="22"/>
                <w:szCs w:val="22"/>
                <w:lang w:val="sr-Latn-ME"/>
              </w:rPr>
            </w:pPr>
            <w:r w:rsidRPr="00B8307D">
              <w:rPr>
                <w:b/>
                <w:sz w:val="22"/>
                <w:szCs w:val="22"/>
                <w:lang w:val="sr-Latn-ME"/>
              </w:rPr>
              <w:t>Cmax</w:t>
            </w:r>
          </w:p>
          <w:p w14:paraId="017A7164" w14:textId="77777777" w:rsidR="007253DB" w:rsidRPr="00B8307D" w:rsidRDefault="007253DB" w:rsidP="000A067B">
            <w:pPr>
              <w:widowControl w:val="0"/>
              <w:jc w:val="center"/>
              <w:rPr>
                <w:b/>
                <w:sz w:val="22"/>
                <w:szCs w:val="22"/>
                <w:lang w:val="sr-Latn-ME"/>
              </w:rPr>
            </w:pPr>
            <w:r w:rsidRPr="00B8307D">
              <w:rPr>
                <w:b/>
                <w:sz w:val="22"/>
                <w:szCs w:val="22"/>
                <w:lang w:val="sr-Latn-ME"/>
              </w:rPr>
              <w:t>(µg/ml)</w:t>
            </w:r>
          </w:p>
        </w:tc>
        <w:tc>
          <w:tcPr>
            <w:tcW w:w="89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15CB037" w14:textId="77777777" w:rsidR="007253DB" w:rsidRPr="00B8307D" w:rsidRDefault="007253DB" w:rsidP="000A067B">
            <w:pPr>
              <w:widowControl w:val="0"/>
              <w:jc w:val="center"/>
              <w:rPr>
                <w:b/>
                <w:sz w:val="22"/>
                <w:szCs w:val="22"/>
                <w:vertAlign w:val="subscript"/>
                <w:lang w:val="sr-Latn-ME"/>
              </w:rPr>
            </w:pPr>
            <w:r w:rsidRPr="00B8307D">
              <w:rPr>
                <w:b/>
                <w:sz w:val="22"/>
                <w:szCs w:val="22"/>
                <w:lang w:val="sr-Latn-ME"/>
              </w:rPr>
              <w:t>AUC</w:t>
            </w:r>
            <w:r w:rsidRPr="00B8307D">
              <w:rPr>
                <w:b/>
                <w:sz w:val="22"/>
                <w:szCs w:val="22"/>
                <w:vertAlign w:val="subscript"/>
                <w:lang w:val="sr-Latn-ME"/>
              </w:rPr>
              <w:t>0-21dan</w:t>
            </w:r>
          </w:p>
          <w:p w14:paraId="6BE1123C" w14:textId="77777777" w:rsidR="007253DB" w:rsidRPr="00B8307D" w:rsidRDefault="007253DB" w:rsidP="000A067B">
            <w:pPr>
              <w:widowControl w:val="0"/>
              <w:jc w:val="center"/>
              <w:rPr>
                <w:b/>
                <w:sz w:val="22"/>
                <w:szCs w:val="22"/>
                <w:lang w:val="sr-Latn-ME"/>
              </w:rPr>
            </w:pPr>
            <w:r w:rsidRPr="00B8307D">
              <w:rPr>
                <w:b/>
                <w:sz w:val="22"/>
                <w:szCs w:val="22"/>
                <w:lang w:val="sr-Latn-ME"/>
              </w:rPr>
              <w:t>(µg.dan/ml)</w:t>
            </w:r>
          </w:p>
        </w:tc>
      </w:tr>
      <w:tr w:rsidR="007253DB" w:rsidRPr="00B8307D" w14:paraId="5264820B" w14:textId="77777777" w:rsidTr="007253DB">
        <w:trPr>
          <w:cantSplit/>
          <w:trHeight w:val="547"/>
        </w:trPr>
        <w:tc>
          <w:tcPr>
            <w:tcW w:w="1014"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DEB05EB" w14:textId="77777777" w:rsidR="007253DB" w:rsidRPr="00B8307D" w:rsidRDefault="007253DB" w:rsidP="000A067B">
            <w:pPr>
              <w:widowControl w:val="0"/>
              <w:jc w:val="center"/>
              <w:rPr>
                <w:sz w:val="22"/>
                <w:szCs w:val="22"/>
                <w:lang w:val="sr-Latn-ME"/>
              </w:rPr>
            </w:pPr>
            <w:r w:rsidRPr="00B8307D">
              <w:rPr>
                <w:sz w:val="22"/>
                <w:szCs w:val="22"/>
                <w:lang w:val="sr-Latn-ME"/>
              </w:rPr>
              <w:t>Rani rak dojke</w:t>
            </w:r>
          </w:p>
          <w:p w14:paraId="3C4F07E6" w14:textId="77777777" w:rsidR="007253DB" w:rsidRPr="00B8307D" w:rsidRDefault="007253DB" w:rsidP="000A067B">
            <w:pPr>
              <w:widowControl w:val="0"/>
              <w:jc w:val="center"/>
              <w:rPr>
                <w:sz w:val="22"/>
                <w:szCs w:val="22"/>
                <w:lang w:val="sr-Latn-ME"/>
              </w:rPr>
            </w:pPr>
            <w:r w:rsidRPr="00B8307D">
              <w:rPr>
                <w:sz w:val="22"/>
                <w:szCs w:val="22"/>
                <w:lang w:val="sr-Latn-ME"/>
              </w:rPr>
              <w:t>600 mg lijeka Herceptin u subkutanoj formulaciji  jedanput svake 3 nedjelje</w:t>
            </w:r>
          </w:p>
        </w:tc>
        <w:tc>
          <w:tcPr>
            <w:tcW w:w="723" w:type="pct"/>
            <w:tcBorders>
              <w:top w:val="nil"/>
              <w:left w:val="nil"/>
              <w:bottom w:val="single" w:sz="8" w:space="0" w:color="auto"/>
              <w:right w:val="single" w:sz="8" w:space="0" w:color="auto"/>
            </w:tcBorders>
            <w:tcMar>
              <w:top w:w="0" w:type="dxa"/>
              <w:left w:w="108" w:type="dxa"/>
              <w:bottom w:w="0" w:type="dxa"/>
              <w:right w:w="108" w:type="dxa"/>
            </w:tcMar>
            <w:vAlign w:val="center"/>
          </w:tcPr>
          <w:p w14:paraId="3EEEE263" w14:textId="77777777" w:rsidR="007253DB" w:rsidRPr="00B8307D" w:rsidRDefault="007253DB" w:rsidP="000A067B">
            <w:pPr>
              <w:widowControl w:val="0"/>
              <w:jc w:val="center"/>
              <w:rPr>
                <w:sz w:val="22"/>
                <w:szCs w:val="22"/>
                <w:lang w:val="sr-Latn-ME"/>
              </w:rPr>
            </w:pPr>
            <w:r w:rsidRPr="00B8307D">
              <w:rPr>
                <w:sz w:val="22"/>
                <w:szCs w:val="22"/>
                <w:lang w:val="sr-Latn-ME"/>
              </w:rPr>
              <w:t>1. ciklus</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tcPr>
          <w:p w14:paraId="6D6FD604" w14:textId="77777777" w:rsidR="007253DB" w:rsidRPr="00B8307D" w:rsidRDefault="007253DB" w:rsidP="000A067B">
            <w:pPr>
              <w:widowControl w:val="0"/>
              <w:jc w:val="center"/>
              <w:rPr>
                <w:sz w:val="22"/>
                <w:szCs w:val="22"/>
                <w:lang w:val="sr-Latn-ME"/>
              </w:rPr>
            </w:pPr>
            <w:r w:rsidRPr="00B8307D">
              <w:rPr>
                <w:sz w:val="22"/>
                <w:szCs w:val="22"/>
                <w:lang w:val="sr-Latn-ME"/>
              </w:rPr>
              <w:t>297</w:t>
            </w:r>
          </w:p>
        </w:tc>
        <w:tc>
          <w:tcPr>
            <w:tcW w:w="916" w:type="pct"/>
            <w:tcBorders>
              <w:top w:val="nil"/>
              <w:left w:val="nil"/>
              <w:bottom w:val="single" w:sz="8" w:space="0" w:color="auto"/>
              <w:right w:val="single" w:sz="8" w:space="0" w:color="auto"/>
            </w:tcBorders>
            <w:tcMar>
              <w:top w:w="0" w:type="dxa"/>
              <w:left w:w="108" w:type="dxa"/>
              <w:bottom w:w="0" w:type="dxa"/>
              <w:right w:w="108" w:type="dxa"/>
            </w:tcMar>
            <w:vAlign w:val="center"/>
          </w:tcPr>
          <w:p w14:paraId="7672406D" w14:textId="77777777" w:rsidR="007253DB" w:rsidRPr="00B8307D" w:rsidRDefault="007253DB" w:rsidP="000A067B">
            <w:pPr>
              <w:widowControl w:val="0"/>
              <w:jc w:val="center"/>
              <w:rPr>
                <w:sz w:val="22"/>
                <w:szCs w:val="22"/>
                <w:lang w:val="sr-Latn-ME"/>
              </w:rPr>
            </w:pPr>
            <w:r w:rsidRPr="00B8307D">
              <w:rPr>
                <w:sz w:val="22"/>
                <w:szCs w:val="22"/>
                <w:lang w:val="sr-Latn-ME"/>
              </w:rPr>
              <w:t>28,2</w:t>
            </w:r>
          </w:p>
          <w:p w14:paraId="181E81DF" w14:textId="77777777" w:rsidR="007253DB" w:rsidRPr="00B8307D" w:rsidRDefault="007253DB" w:rsidP="000A067B">
            <w:pPr>
              <w:widowControl w:val="0"/>
              <w:jc w:val="center"/>
              <w:rPr>
                <w:sz w:val="22"/>
                <w:szCs w:val="22"/>
                <w:lang w:val="sr-Latn-ME"/>
              </w:rPr>
            </w:pPr>
            <w:r w:rsidRPr="00B8307D">
              <w:rPr>
                <w:sz w:val="22"/>
                <w:szCs w:val="22"/>
                <w:lang w:val="sr-Latn-ME"/>
              </w:rPr>
              <w:t>(14,8 – 40,9)</w:t>
            </w:r>
          </w:p>
        </w:tc>
        <w:tc>
          <w:tcPr>
            <w:tcW w:w="992" w:type="pct"/>
            <w:tcBorders>
              <w:top w:val="nil"/>
              <w:left w:val="nil"/>
              <w:bottom w:val="single" w:sz="8" w:space="0" w:color="auto"/>
              <w:right w:val="single" w:sz="8" w:space="0" w:color="auto"/>
            </w:tcBorders>
            <w:tcMar>
              <w:top w:w="0" w:type="dxa"/>
              <w:left w:w="108" w:type="dxa"/>
              <w:bottom w:w="0" w:type="dxa"/>
              <w:right w:w="108" w:type="dxa"/>
            </w:tcMar>
            <w:vAlign w:val="center"/>
          </w:tcPr>
          <w:p w14:paraId="65690D9E" w14:textId="77777777" w:rsidR="007253DB" w:rsidRPr="00B8307D" w:rsidRDefault="007253DB" w:rsidP="000A067B">
            <w:pPr>
              <w:widowControl w:val="0"/>
              <w:jc w:val="center"/>
              <w:rPr>
                <w:sz w:val="22"/>
                <w:szCs w:val="22"/>
                <w:lang w:val="sr-Latn-ME"/>
              </w:rPr>
            </w:pPr>
            <w:r w:rsidRPr="00B8307D">
              <w:rPr>
                <w:sz w:val="22"/>
                <w:szCs w:val="22"/>
                <w:lang w:val="sr-Latn-ME"/>
              </w:rPr>
              <w:t>79,3</w:t>
            </w:r>
          </w:p>
          <w:p w14:paraId="0A3C5CCA" w14:textId="77777777" w:rsidR="007253DB" w:rsidRPr="00B8307D" w:rsidRDefault="007253DB" w:rsidP="000A067B">
            <w:pPr>
              <w:widowControl w:val="0"/>
              <w:jc w:val="center"/>
              <w:rPr>
                <w:sz w:val="22"/>
                <w:szCs w:val="22"/>
                <w:lang w:val="sr-Latn-ME"/>
              </w:rPr>
            </w:pPr>
            <w:r w:rsidRPr="00B8307D">
              <w:rPr>
                <w:sz w:val="22"/>
                <w:szCs w:val="22"/>
                <w:lang w:val="sr-Latn-ME"/>
              </w:rPr>
              <w:t>(56,1 - 109)</w:t>
            </w:r>
          </w:p>
        </w:tc>
        <w:tc>
          <w:tcPr>
            <w:tcW w:w="897" w:type="pct"/>
            <w:tcBorders>
              <w:top w:val="nil"/>
              <w:left w:val="nil"/>
              <w:bottom w:val="single" w:sz="8" w:space="0" w:color="auto"/>
              <w:right w:val="single" w:sz="8" w:space="0" w:color="auto"/>
            </w:tcBorders>
            <w:tcMar>
              <w:top w:w="0" w:type="dxa"/>
              <w:left w:w="108" w:type="dxa"/>
              <w:bottom w:w="0" w:type="dxa"/>
              <w:right w:w="108" w:type="dxa"/>
            </w:tcMar>
            <w:vAlign w:val="center"/>
          </w:tcPr>
          <w:p w14:paraId="48C0648F" w14:textId="77777777" w:rsidR="007253DB" w:rsidRPr="00B8307D" w:rsidRDefault="007253DB" w:rsidP="000A067B">
            <w:pPr>
              <w:widowControl w:val="0"/>
              <w:jc w:val="center"/>
              <w:rPr>
                <w:sz w:val="22"/>
                <w:szCs w:val="22"/>
                <w:lang w:val="sr-Latn-ME"/>
              </w:rPr>
            </w:pPr>
            <w:r w:rsidRPr="00B8307D">
              <w:rPr>
                <w:sz w:val="22"/>
                <w:szCs w:val="22"/>
                <w:lang w:val="sr-Latn-ME"/>
              </w:rPr>
              <w:t>1065</w:t>
            </w:r>
          </w:p>
          <w:p w14:paraId="17DE9E1D" w14:textId="77777777" w:rsidR="007253DB" w:rsidRPr="00B8307D" w:rsidRDefault="007253DB" w:rsidP="000A067B">
            <w:pPr>
              <w:widowControl w:val="0"/>
              <w:jc w:val="center"/>
              <w:rPr>
                <w:sz w:val="22"/>
                <w:szCs w:val="22"/>
                <w:lang w:val="sr-Latn-ME"/>
              </w:rPr>
            </w:pPr>
            <w:r w:rsidRPr="00B8307D">
              <w:rPr>
                <w:sz w:val="22"/>
                <w:szCs w:val="22"/>
                <w:lang w:val="sr-Latn-ME"/>
              </w:rPr>
              <w:t>(718 - 1504)</w:t>
            </w:r>
          </w:p>
        </w:tc>
      </w:tr>
      <w:tr w:rsidR="007253DB" w:rsidRPr="00B8307D" w14:paraId="61E7BB75" w14:textId="77777777" w:rsidTr="007253DB">
        <w:trPr>
          <w:cantSplit/>
          <w:trHeight w:val="547"/>
        </w:trPr>
        <w:tc>
          <w:tcPr>
            <w:tcW w:w="1883" w:type="dxa"/>
            <w:vMerge/>
            <w:tcBorders>
              <w:top w:val="nil"/>
              <w:left w:val="single" w:sz="8" w:space="0" w:color="auto"/>
              <w:bottom w:val="single" w:sz="8" w:space="0" w:color="auto"/>
              <w:right w:val="single" w:sz="8" w:space="0" w:color="auto"/>
            </w:tcBorders>
            <w:vAlign w:val="center"/>
          </w:tcPr>
          <w:p w14:paraId="74DDD315" w14:textId="77777777" w:rsidR="007253DB" w:rsidRPr="00B8307D" w:rsidRDefault="007253DB" w:rsidP="000A067B">
            <w:pPr>
              <w:widowControl w:val="0"/>
              <w:rPr>
                <w:sz w:val="22"/>
                <w:szCs w:val="22"/>
                <w:lang w:val="sr-Latn-ME"/>
              </w:rPr>
            </w:pPr>
          </w:p>
        </w:tc>
        <w:tc>
          <w:tcPr>
            <w:tcW w:w="723" w:type="pct"/>
            <w:tcBorders>
              <w:top w:val="nil"/>
              <w:left w:val="nil"/>
              <w:bottom w:val="single" w:sz="8" w:space="0" w:color="auto"/>
              <w:right w:val="single" w:sz="8" w:space="0" w:color="auto"/>
            </w:tcBorders>
            <w:tcMar>
              <w:top w:w="0" w:type="dxa"/>
              <w:left w:w="108" w:type="dxa"/>
              <w:bottom w:w="0" w:type="dxa"/>
              <w:right w:w="108" w:type="dxa"/>
            </w:tcMar>
            <w:vAlign w:val="center"/>
          </w:tcPr>
          <w:p w14:paraId="7CF7CCD4" w14:textId="77777777" w:rsidR="007253DB" w:rsidRPr="00B8307D" w:rsidRDefault="007253DB" w:rsidP="000A067B">
            <w:pPr>
              <w:widowControl w:val="0"/>
              <w:jc w:val="center"/>
              <w:rPr>
                <w:sz w:val="22"/>
                <w:szCs w:val="22"/>
                <w:lang w:val="sr-Latn-ME"/>
              </w:rPr>
            </w:pPr>
            <w:r w:rsidRPr="00B8307D">
              <w:rPr>
                <w:sz w:val="22"/>
                <w:szCs w:val="22"/>
                <w:lang w:val="sr-Latn-ME"/>
              </w:rPr>
              <w:t>7. ciklus (stanje dinamičke ravnoteže)</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tcPr>
          <w:p w14:paraId="4979D920" w14:textId="77777777" w:rsidR="007253DB" w:rsidRPr="00B8307D" w:rsidRDefault="007253DB" w:rsidP="000A067B">
            <w:pPr>
              <w:widowControl w:val="0"/>
              <w:jc w:val="center"/>
              <w:rPr>
                <w:sz w:val="22"/>
                <w:szCs w:val="22"/>
                <w:lang w:val="sr-Latn-ME"/>
              </w:rPr>
            </w:pPr>
            <w:r w:rsidRPr="00B8307D">
              <w:rPr>
                <w:sz w:val="22"/>
                <w:szCs w:val="22"/>
                <w:lang w:val="sr-Latn-ME"/>
              </w:rPr>
              <w:t>297</w:t>
            </w:r>
          </w:p>
        </w:tc>
        <w:tc>
          <w:tcPr>
            <w:tcW w:w="916" w:type="pct"/>
            <w:tcBorders>
              <w:top w:val="nil"/>
              <w:left w:val="nil"/>
              <w:bottom w:val="single" w:sz="8" w:space="0" w:color="auto"/>
              <w:right w:val="single" w:sz="8" w:space="0" w:color="auto"/>
            </w:tcBorders>
            <w:tcMar>
              <w:top w:w="0" w:type="dxa"/>
              <w:left w:w="108" w:type="dxa"/>
              <w:bottom w:w="0" w:type="dxa"/>
              <w:right w:w="108" w:type="dxa"/>
            </w:tcMar>
            <w:vAlign w:val="center"/>
          </w:tcPr>
          <w:p w14:paraId="628B810E" w14:textId="77777777" w:rsidR="007253DB" w:rsidRPr="00B8307D" w:rsidRDefault="007253DB" w:rsidP="000A067B">
            <w:pPr>
              <w:widowControl w:val="0"/>
              <w:jc w:val="center"/>
              <w:rPr>
                <w:sz w:val="22"/>
                <w:szCs w:val="22"/>
                <w:lang w:val="sr-Latn-ME"/>
              </w:rPr>
            </w:pPr>
            <w:r w:rsidRPr="00B8307D">
              <w:rPr>
                <w:sz w:val="22"/>
                <w:szCs w:val="22"/>
                <w:lang w:val="sr-Latn-ME"/>
              </w:rPr>
              <w:t>75,0</w:t>
            </w:r>
          </w:p>
          <w:p w14:paraId="1CE2ED86" w14:textId="77777777" w:rsidR="007253DB" w:rsidRPr="00B8307D" w:rsidRDefault="007253DB" w:rsidP="000A067B">
            <w:pPr>
              <w:widowControl w:val="0"/>
              <w:jc w:val="center"/>
              <w:rPr>
                <w:sz w:val="22"/>
                <w:szCs w:val="22"/>
                <w:lang w:val="sr-Latn-ME"/>
              </w:rPr>
            </w:pPr>
            <w:r w:rsidRPr="00B8307D">
              <w:rPr>
                <w:sz w:val="22"/>
                <w:szCs w:val="22"/>
                <w:lang w:val="sr-Latn-ME"/>
              </w:rPr>
              <w:t>(35,1 - 123)</w:t>
            </w:r>
          </w:p>
        </w:tc>
        <w:tc>
          <w:tcPr>
            <w:tcW w:w="992" w:type="pct"/>
            <w:tcBorders>
              <w:top w:val="nil"/>
              <w:left w:val="nil"/>
              <w:bottom w:val="single" w:sz="8" w:space="0" w:color="auto"/>
              <w:right w:val="single" w:sz="8" w:space="0" w:color="auto"/>
            </w:tcBorders>
            <w:tcMar>
              <w:top w:w="0" w:type="dxa"/>
              <w:left w:w="108" w:type="dxa"/>
              <w:bottom w:w="0" w:type="dxa"/>
              <w:right w:w="108" w:type="dxa"/>
            </w:tcMar>
            <w:vAlign w:val="center"/>
          </w:tcPr>
          <w:p w14:paraId="48BEF5B0" w14:textId="77777777" w:rsidR="007253DB" w:rsidRPr="00B8307D" w:rsidRDefault="007253DB" w:rsidP="000A067B">
            <w:pPr>
              <w:widowControl w:val="0"/>
              <w:jc w:val="center"/>
              <w:rPr>
                <w:sz w:val="22"/>
                <w:szCs w:val="22"/>
                <w:lang w:val="sr-Latn-ME"/>
              </w:rPr>
            </w:pPr>
            <w:r w:rsidRPr="00B8307D">
              <w:rPr>
                <w:sz w:val="22"/>
                <w:szCs w:val="22"/>
                <w:lang w:val="sr-Latn-ME"/>
              </w:rPr>
              <w:t>149</w:t>
            </w:r>
          </w:p>
          <w:p w14:paraId="60E429C4" w14:textId="77777777" w:rsidR="007253DB" w:rsidRPr="00B8307D" w:rsidRDefault="007253DB" w:rsidP="000A067B">
            <w:pPr>
              <w:widowControl w:val="0"/>
              <w:jc w:val="center"/>
              <w:rPr>
                <w:sz w:val="22"/>
                <w:szCs w:val="22"/>
                <w:lang w:val="sr-Latn-ME"/>
              </w:rPr>
            </w:pPr>
            <w:r w:rsidRPr="00B8307D">
              <w:rPr>
                <w:sz w:val="22"/>
                <w:szCs w:val="22"/>
                <w:lang w:val="sr-Latn-ME"/>
              </w:rPr>
              <w:t>(86,1 - 214)</w:t>
            </w:r>
          </w:p>
        </w:tc>
        <w:tc>
          <w:tcPr>
            <w:tcW w:w="897" w:type="pct"/>
            <w:tcBorders>
              <w:top w:val="nil"/>
              <w:left w:val="nil"/>
              <w:bottom w:val="single" w:sz="8" w:space="0" w:color="auto"/>
              <w:right w:val="single" w:sz="8" w:space="0" w:color="auto"/>
            </w:tcBorders>
            <w:tcMar>
              <w:top w:w="0" w:type="dxa"/>
              <w:left w:w="108" w:type="dxa"/>
              <w:bottom w:w="0" w:type="dxa"/>
              <w:right w:w="108" w:type="dxa"/>
            </w:tcMar>
            <w:vAlign w:val="center"/>
          </w:tcPr>
          <w:p w14:paraId="2C233353" w14:textId="77777777" w:rsidR="007253DB" w:rsidRPr="00B8307D" w:rsidRDefault="007253DB" w:rsidP="000A067B">
            <w:pPr>
              <w:widowControl w:val="0"/>
              <w:jc w:val="center"/>
              <w:rPr>
                <w:sz w:val="22"/>
                <w:szCs w:val="22"/>
                <w:lang w:val="sr-Latn-ME"/>
              </w:rPr>
            </w:pPr>
            <w:r w:rsidRPr="00B8307D">
              <w:rPr>
                <w:sz w:val="22"/>
                <w:szCs w:val="22"/>
                <w:lang w:val="sr-Latn-ME"/>
              </w:rPr>
              <w:t>2337</w:t>
            </w:r>
          </w:p>
          <w:p w14:paraId="5D74B8F0" w14:textId="77777777" w:rsidR="007253DB" w:rsidRPr="00B8307D" w:rsidRDefault="007253DB" w:rsidP="000A067B">
            <w:pPr>
              <w:widowControl w:val="0"/>
              <w:jc w:val="center"/>
              <w:rPr>
                <w:sz w:val="22"/>
                <w:szCs w:val="22"/>
                <w:lang w:val="sr-Latn-ME"/>
              </w:rPr>
            </w:pPr>
            <w:r w:rsidRPr="00B8307D">
              <w:rPr>
                <w:sz w:val="22"/>
                <w:szCs w:val="22"/>
                <w:lang w:val="sr-Latn-ME"/>
              </w:rPr>
              <w:t>(1258 - 3478)</w:t>
            </w:r>
          </w:p>
        </w:tc>
      </w:tr>
    </w:tbl>
    <w:p w14:paraId="1542BA51" w14:textId="77777777" w:rsidR="007253DB" w:rsidRPr="00B8307D" w:rsidRDefault="007253DB" w:rsidP="000A067B">
      <w:pPr>
        <w:widowControl w:val="0"/>
        <w:jc w:val="both"/>
        <w:rPr>
          <w:sz w:val="22"/>
          <w:szCs w:val="22"/>
          <w:lang w:val="sr-Latn-ME"/>
        </w:rPr>
      </w:pPr>
    </w:p>
    <w:p w14:paraId="0E60ADAD" w14:textId="77777777" w:rsidR="007253DB" w:rsidRPr="00B8307D" w:rsidRDefault="007253DB" w:rsidP="000A067B">
      <w:pPr>
        <w:widowControl w:val="0"/>
        <w:jc w:val="both"/>
        <w:rPr>
          <w:i/>
          <w:sz w:val="22"/>
          <w:szCs w:val="22"/>
          <w:lang w:val="sr-Latn-ME"/>
        </w:rPr>
      </w:pPr>
      <w:r w:rsidRPr="00B8307D">
        <w:rPr>
          <w:i/>
          <w:sz w:val="22"/>
          <w:szCs w:val="22"/>
          <w:lang w:val="sr-Latn-ME"/>
        </w:rPr>
        <w:t xml:space="preserve">Ispiranje trastuzumaba </w:t>
      </w:r>
    </w:p>
    <w:p w14:paraId="55A0E390" w14:textId="00C36CF1" w:rsidR="007253DB" w:rsidRPr="00B8307D" w:rsidRDefault="00F21ECC" w:rsidP="000A067B">
      <w:pPr>
        <w:widowControl w:val="0"/>
        <w:jc w:val="both"/>
        <w:rPr>
          <w:sz w:val="22"/>
          <w:szCs w:val="22"/>
          <w:lang w:val="sr-Latn-ME"/>
        </w:rPr>
      </w:pPr>
      <w:r w:rsidRPr="00B8307D">
        <w:rPr>
          <w:sz w:val="22"/>
          <w:szCs w:val="22"/>
          <w:lang w:val="sr-Latn-ME"/>
        </w:rPr>
        <w:t>Period</w:t>
      </w:r>
      <w:r w:rsidR="007253DB" w:rsidRPr="00B8307D">
        <w:rPr>
          <w:sz w:val="22"/>
          <w:szCs w:val="22"/>
          <w:lang w:val="sr-Latn-ME"/>
        </w:rPr>
        <w:t xml:space="preserve"> ispiranja trastuzumaba ocijenjen je nakon subkutane primjene lijeka uz pomoć populacijskog farmakokinetičkog modela. Rezultati tih simulacija pokazuju da će najmanje 95% pacijenata postići koncentracije &lt;</w:t>
      </w:r>
      <w:r w:rsidRPr="00B8307D">
        <w:rPr>
          <w:sz w:val="22"/>
          <w:szCs w:val="22"/>
          <w:lang w:val="sr-Latn-ME"/>
        </w:rPr>
        <w:t xml:space="preserve"> </w:t>
      </w:r>
      <w:r w:rsidR="007253DB" w:rsidRPr="00B8307D">
        <w:rPr>
          <w:sz w:val="22"/>
          <w:szCs w:val="22"/>
          <w:lang w:val="sr-Latn-ME"/>
        </w:rPr>
        <w:t>1 µg/ml (približno 3% vrijednosti C</w:t>
      </w:r>
      <w:r w:rsidR="007253DB" w:rsidRPr="00B8307D">
        <w:rPr>
          <w:sz w:val="22"/>
          <w:szCs w:val="22"/>
          <w:vertAlign w:val="subscript"/>
          <w:lang w:val="sr-Latn-ME"/>
        </w:rPr>
        <w:t xml:space="preserve">min,ss </w:t>
      </w:r>
      <w:r w:rsidR="007253DB" w:rsidRPr="00B8307D">
        <w:rPr>
          <w:sz w:val="22"/>
          <w:szCs w:val="22"/>
          <w:lang w:val="sr-Latn-ME"/>
        </w:rPr>
        <w:t xml:space="preserve">predviđene za populaciju ili ispiranje od </w:t>
      </w:r>
      <w:r w:rsidR="007253DB" w:rsidRPr="00B8307D">
        <w:rPr>
          <w:sz w:val="22"/>
          <w:szCs w:val="22"/>
          <w:lang w:val="sr-Latn-ME"/>
        </w:rPr>
        <w:lastRenderedPageBreak/>
        <w:t>približno 97%) do 7. mjeseca.</w:t>
      </w:r>
    </w:p>
    <w:p w14:paraId="1FE5FE7F" w14:textId="77777777" w:rsidR="0072020E" w:rsidRPr="00B8307D" w:rsidRDefault="0072020E" w:rsidP="000A067B">
      <w:pPr>
        <w:widowControl w:val="0"/>
        <w:tabs>
          <w:tab w:val="left" w:pos="540"/>
          <w:tab w:val="left" w:pos="569"/>
        </w:tabs>
        <w:jc w:val="both"/>
        <w:rPr>
          <w:bCs/>
          <w:sz w:val="22"/>
          <w:szCs w:val="22"/>
          <w:lang w:val="sr-Latn-ME"/>
        </w:rPr>
      </w:pPr>
    </w:p>
    <w:p w14:paraId="1FE5FE80" w14:textId="00E0EAC8" w:rsidR="0072020E" w:rsidRPr="00B8307D" w:rsidRDefault="0072020E" w:rsidP="000A067B">
      <w:pPr>
        <w:widowControl w:val="0"/>
        <w:tabs>
          <w:tab w:val="left" w:pos="540"/>
          <w:tab w:val="left" w:pos="569"/>
        </w:tabs>
        <w:jc w:val="both"/>
        <w:rPr>
          <w:b/>
          <w:bCs/>
          <w:sz w:val="22"/>
          <w:szCs w:val="22"/>
          <w:lang w:val="sr-Latn-ME"/>
        </w:rPr>
      </w:pPr>
      <w:r w:rsidRPr="00B8307D">
        <w:rPr>
          <w:b/>
          <w:bCs/>
          <w:sz w:val="22"/>
          <w:szCs w:val="22"/>
          <w:lang w:val="sr-Latn-ME"/>
        </w:rPr>
        <w:t xml:space="preserve">5.3. </w:t>
      </w:r>
      <w:r w:rsidR="00480FB1" w:rsidRPr="00B8307D">
        <w:rPr>
          <w:b/>
          <w:bCs/>
          <w:sz w:val="22"/>
          <w:szCs w:val="22"/>
          <w:lang w:val="sr-Latn-ME"/>
        </w:rPr>
        <w:tab/>
      </w:r>
      <w:r w:rsidRPr="00B8307D">
        <w:rPr>
          <w:b/>
          <w:bCs/>
          <w:sz w:val="22"/>
          <w:szCs w:val="22"/>
          <w:lang w:val="sr-Latn-ME"/>
        </w:rPr>
        <w:t xml:space="preserve">Pretklinički podaci o bezbjednosti </w:t>
      </w:r>
    </w:p>
    <w:p w14:paraId="4F9BB387" w14:textId="791AD2DA" w:rsidR="004F4A8B" w:rsidRPr="00B8307D" w:rsidRDefault="004F4A8B" w:rsidP="000A067B">
      <w:pPr>
        <w:widowControl w:val="0"/>
        <w:tabs>
          <w:tab w:val="left" w:pos="540"/>
          <w:tab w:val="left" w:pos="569"/>
        </w:tabs>
        <w:jc w:val="both"/>
        <w:rPr>
          <w:b/>
          <w:bCs/>
          <w:sz w:val="22"/>
          <w:szCs w:val="22"/>
          <w:lang w:val="sr-Latn-ME"/>
        </w:rPr>
      </w:pPr>
    </w:p>
    <w:p w14:paraId="1517F5C6" w14:textId="5F4800D0" w:rsidR="004F4A8B" w:rsidRPr="00B8307D" w:rsidRDefault="004F4A8B" w:rsidP="000A067B">
      <w:pPr>
        <w:widowControl w:val="0"/>
        <w:tabs>
          <w:tab w:val="left" w:pos="540"/>
          <w:tab w:val="left" w:pos="569"/>
        </w:tabs>
        <w:jc w:val="both"/>
        <w:rPr>
          <w:bCs/>
          <w:sz w:val="22"/>
          <w:szCs w:val="22"/>
          <w:u w:val="single"/>
          <w:lang w:val="sr-Latn-ME"/>
        </w:rPr>
      </w:pPr>
      <w:r w:rsidRPr="00B8307D">
        <w:rPr>
          <w:bCs/>
          <w:sz w:val="22"/>
          <w:szCs w:val="22"/>
          <w:u w:val="single"/>
          <w:lang w:val="sr-Latn-ME"/>
        </w:rPr>
        <w:t>Herceptin za intravensku primjenu</w:t>
      </w:r>
    </w:p>
    <w:p w14:paraId="68542073" w14:textId="54FF1945" w:rsidR="004F4A8B" w:rsidRPr="00B8307D" w:rsidRDefault="004F4A8B" w:rsidP="000A067B">
      <w:pPr>
        <w:widowControl w:val="0"/>
        <w:tabs>
          <w:tab w:val="left" w:pos="540"/>
          <w:tab w:val="left" w:pos="569"/>
        </w:tabs>
        <w:jc w:val="both"/>
        <w:rPr>
          <w:bCs/>
          <w:sz w:val="22"/>
          <w:szCs w:val="22"/>
          <w:u w:val="single"/>
          <w:lang w:val="sr-Latn-ME"/>
        </w:rPr>
      </w:pPr>
    </w:p>
    <w:p w14:paraId="55596083" w14:textId="30462858" w:rsidR="004F4A8B" w:rsidRPr="00B8307D" w:rsidRDefault="004F4A8B" w:rsidP="000A067B">
      <w:pPr>
        <w:widowControl w:val="0"/>
        <w:jc w:val="both"/>
        <w:rPr>
          <w:sz w:val="22"/>
          <w:szCs w:val="22"/>
          <w:lang w:val="sr-Latn-ME"/>
        </w:rPr>
      </w:pPr>
      <w:r w:rsidRPr="00B8307D">
        <w:rPr>
          <w:sz w:val="22"/>
          <w:szCs w:val="22"/>
          <w:lang w:val="sr-Latn-ME"/>
        </w:rPr>
        <w:t xml:space="preserve">Nema dokaza o akutnoj toksičnosti ili dozno-zavisnoj toksičnosti nakon primjene ponovljenih doza u ispitivanjima u trajanju od 6 mjeseci, kao ni dokaza reproduktivne toksičnosti u teratološkim ispitivanjima, ispitivanjima fertilnosti ženki ili ispitivanjima kasne gestacajske toksičnosti, odnosno ispitivanja o prolazu kroz placentu. Lijek Herceptin nije genotoksičan. Ispitivanja trehaloze, glavne pomoćne supstance u formulaciji, nijesu pokazala toksičnost. </w:t>
      </w:r>
    </w:p>
    <w:p w14:paraId="60D86F82" w14:textId="77777777" w:rsidR="004F4A8B" w:rsidRPr="00B8307D" w:rsidRDefault="004F4A8B" w:rsidP="000A067B">
      <w:pPr>
        <w:widowControl w:val="0"/>
        <w:jc w:val="both"/>
        <w:rPr>
          <w:sz w:val="22"/>
          <w:szCs w:val="22"/>
          <w:lang w:val="sr-Latn-ME"/>
        </w:rPr>
      </w:pPr>
    </w:p>
    <w:p w14:paraId="6A3AB9F9" w14:textId="0E868F43" w:rsidR="004F4A8B" w:rsidRPr="00B8307D" w:rsidRDefault="004F4A8B" w:rsidP="000A067B">
      <w:pPr>
        <w:widowControl w:val="0"/>
        <w:jc w:val="both"/>
        <w:rPr>
          <w:sz w:val="22"/>
          <w:szCs w:val="22"/>
          <w:lang w:val="sr-Latn-ME"/>
        </w:rPr>
      </w:pPr>
      <w:r w:rsidRPr="00B8307D">
        <w:rPr>
          <w:sz w:val="22"/>
          <w:szCs w:val="22"/>
          <w:lang w:val="sr-Latn-ME"/>
        </w:rPr>
        <w:t>Nijesu obavljena nikakva dugotrajna ispitivanja na životinjama da se utvrdi karcinogeni potencijal lijeka Herceptin ili da se odredi njegovo dejstvo na fertilitet mužjaka.</w:t>
      </w:r>
    </w:p>
    <w:p w14:paraId="69FD66F0" w14:textId="77777777" w:rsidR="004F4A8B" w:rsidRPr="00B8307D" w:rsidRDefault="004F4A8B" w:rsidP="000A067B">
      <w:pPr>
        <w:widowControl w:val="0"/>
        <w:jc w:val="both"/>
        <w:rPr>
          <w:sz w:val="22"/>
          <w:szCs w:val="22"/>
          <w:lang w:val="sr-Latn-ME"/>
        </w:rPr>
      </w:pPr>
    </w:p>
    <w:p w14:paraId="3962EB17" w14:textId="77777777" w:rsidR="004F4A8B" w:rsidRPr="00B8307D" w:rsidRDefault="004F4A8B" w:rsidP="000A067B">
      <w:pPr>
        <w:widowControl w:val="0"/>
        <w:jc w:val="both"/>
        <w:rPr>
          <w:sz w:val="22"/>
          <w:szCs w:val="22"/>
          <w:u w:val="single"/>
          <w:lang w:val="sr-Latn-ME"/>
        </w:rPr>
      </w:pPr>
      <w:r w:rsidRPr="00B8307D">
        <w:rPr>
          <w:sz w:val="22"/>
          <w:szCs w:val="22"/>
          <w:u w:val="single"/>
          <w:lang w:val="sr-Latn-ME"/>
        </w:rPr>
        <w:t>Herceptin za subkutanu primjenu</w:t>
      </w:r>
    </w:p>
    <w:p w14:paraId="22E1AC65" w14:textId="5B32C844" w:rsidR="004F4A8B" w:rsidRPr="00B8307D" w:rsidRDefault="004F4A8B" w:rsidP="000A067B">
      <w:pPr>
        <w:widowControl w:val="0"/>
        <w:jc w:val="both"/>
        <w:rPr>
          <w:sz w:val="22"/>
          <w:szCs w:val="22"/>
          <w:lang w:val="sr-Latn-ME"/>
        </w:rPr>
      </w:pPr>
      <w:r w:rsidRPr="00B8307D">
        <w:rPr>
          <w:sz w:val="22"/>
          <w:szCs w:val="22"/>
          <w:lang w:val="sr-Latn-ME"/>
        </w:rPr>
        <w:t>Sprovedeno je ispitivanje jednokratne doze na kunićima i 13-nedjeljno ispitivanje toksičnosti ponovljenih doza na cinomolgus majmunima. Ispitivanje na kunićima sprovedeno je kako bi se posebno ispitali aspekti lokalne podnošljivosti. Trinaestonedjeljno ispitivanje sprovedeno je kako bi se potvrdilo da promjena puta primjene, te primjena nove pomoćne supstance, rekombinantne humane hijaluronidaze (rHuPH20) ne utiče na bezbjednosne karakteristike lijeka Herceptin. Lijek Herceptin u subkutanoj formulaciji pokazao je dobru lokalnu i sistemsku podnošljivost.</w:t>
      </w:r>
    </w:p>
    <w:p w14:paraId="469F6CC4" w14:textId="77777777" w:rsidR="004F4A8B" w:rsidRPr="00B8307D" w:rsidRDefault="004F4A8B" w:rsidP="000A067B">
      <w:pPr>
        <w:widowControl w:val="0"/>
        <w:jc w:val="both"/>
        <w:rPr>
          <w:sz w:val="22"/>
          <w:szCs w:val="22"/>
          <w:lang w:val="sr-Latn-ME"/>
        </w:rPr>
      </w:pPr>
    </w:p>
    <w:p w14:paraId="59795052" w14:textId="6D1C7F61" w:rsidR="004F4A8B" w:rsidRPr="00B8307D" w:rsidRDefault="004F4A8B" w:rsidP="000A067B">
      <w:pPr>
        <w:widowControl w:val="0"/>
        <w:tabs>
          <w:tab w:val="left" w:pos="540"/>
          <w:tab w:val="left" w:pos="569"/>
        </w:tabs>
        <w:jc w:val="both"/>
        <w:rPr>
          <w:b/>
          <w:bCs/>
          <w:sz w:val="22"/>
          <w:szCs w:val="22"/>
          <w:lang w:val="sr-Latn-ME"/>
        </w:rPr>
      </w:pPr>
      <w:r w:rsidRPr="00B8307D">
        <w:rPr>
          <w:sz w:val="22"/>
          <w:szCs w:val="22"/>
          <w:lang w:val="sr-Latn-ME"/>
        </w:rPr>
        <w:t>Hijaluronidaza se nalazi u većini tkiva u ljudskom tijelu. Pretklinički podaci za rekombinantnu humanu hijaluronidazu ne ukazuju na poseban rizik za ljude na osnovu konvencionalnih ispitivanja toksičnosti ponovljenih doza, uključujući mjere ishoda bezbjedonosne farmakologije. Ispitivanja reproduktivne toksičnosti sa rHuPH20 ukazala su na embriofetotoksičnost kod miševa pri visokim nivoima sistemske izloženosti, ali nijesu pokazala teratogeni potencijal.</w:t>
      </w:r>
    </w:p>
    <w:p w14:paraId="1FE5FE81" w14:textId="77777777" w:rsidR="00836B35" w:rsidRPr="00B8307D" w:rsidRDefault="00836B35" w:rsidP="000A067B">
      <w:pPr>
        <w:widowControl w:val="0"/>
        <w:tabs>
          <w:tab w:val="left" w:pos="540"/>
          <w:tab w:val="left" w:pos="569"/>
        </w:tabs>
        <w:jc w:val="both"/>
        <w:rPr>
          <w:bCs/>
          <w:sz w:val="22"/>
          <w:szCs w:val="22"/>
          <w:lang w:val="sr-Latn-ME"/>
        </w:rPr>
      </w:pPr>
    </w:p>
    <w:p w14:paraId="1FE5FE82" w14:textId="77777777" w:rsidR="00396DFD" w:rsidRPr="00B8307D" w:rsidRDefault="00396DFD" w:rsidP="000A067B">
      <w:pPr>
        <w:widowControl w:val="0"/>
        <w:tabs>
          <w:tab w:val="left" w:pos="540"/>
          <w:tab w:val="left" w:pos="569"/>
        </w:tabs>
        <w:rPr>
          <w:b/>
          <w:bCs/>
          <w:sz w:val="22"/>
          <w:szCs w:val="22"/>
          <w:lang w:val="sr-Latn-ME"/>
        </w:rPr>
      </w:pPr>
    </w:p>
    <w:p w14:paraId="1FE5FE83" w14:textId="77777777" w:rsidR="0072020E" w:rsidRPr="00B8307D" w:rsidRDefault="0072020E" w:rsidP="000A067B">
      <w:pPr>
        <w:widowControl w:val="0"/>
        <w:tabs>
          <w:tab w:val="left" w:pos="540"/>
          <w:tab w:val="left" w:pos="569"/>
        </w:tabs>
        <w:rPr>
          <w:b/>
          <w:bCs/>
          <w:sz w:val="22"/>
          <w:szCs w:val="22"/>
          <w:lang w:val="sr-Latn-ME"/>
        </w:rPr>
      </w:pPr>
      <w:r w:rsidRPr="00B8307D">
        <w:rPr>
          <w:b/>
          <w:bCs/>
          <w:sz w:val="22"/>
          <w:szCs w:val="22"/>
          <w:lang w:val="sr-Latn-ME"/>
        </w:rPr>
        <w:t xml:space="preserve">6. </w:t>
      </w:r>
      <w:r w:rsidR="00480FB1" w:rsidRPr="00B8307D">
        <w:rPr>
          <w:b/>
          <w:bCs/>
          <w:sz w:val="22"/>
          <w:szCs w:val="22"/>
          <w:lang w:val="sr-Latn-ME"/>
        </w:rPr>
        <w:tab/>
      </w:r>
      <w:r w:rsidRPr="00B8307D">
        <w:rPr>
          <w:b/>
          <w:bCs/>
          <w:sz w:val="22"/>
          <w:szCs w:val="22"/>
          <w:lang w:val="sr-Latn-ME"/>
        </w:rPr>
        <w:t>FARMACEUTSKI PODACI</w:t>
      </w:r>
    </w:p>
    <w:p w14:paraId="1FE5FE84" w14:textId="77777777" w:rsidR="00836B35" w:rsidRPr="00B8307D" w:rsidRDefault="00836B35" w:rsidP="000A067B">
      <w:pPr>
        <w:widowControl w:val="0"/>
        <w:tabs>
          <w:tab w:val="left" w:pos="540"/>
          <w:tab w:val="left" w:pos="569"/>
        </w:tabs>
        <w:rPr>
          <w:bCs/>
          <w:sz w:val="22"/>
          <w:szCs w:val="22"/>
          <w:lang w:val="sr-Latn-ME"/>
        </w:rPr>
      </w:pPr>
    </w:p>
    <w:p w14:paraId="1FE5FE85" w14:textId="39075761" w:rsidR="0072020E" w:rsidRPr="00B8307D" w:rsidRDefault="0072020E" w:rsidP="000A067B">
      <w:pPr>
        <w:widowControl w:val="0"/>
        <w:tabs>
          <w:tab w:val="left" w:pos="540"/>
          <w:tab w:val="left" w:pos="569"/>
        </w:tabs>
        <w:rPr>
          <w:b/>
          <w:bCs/>
          <w:sz w:val="22"/>
          <w:szCs w:val="22"/>
          <w:lang w:val="sr-Latn-ME"/>
        </w:rPr>
      </w:pPr>
      <w:r w:rsidRPr="00B8307D">
        <w:rPr>
          <w:b/>
          <w:bCs/>
          <w:sz w:val="22"/>
          <w:szCs w:val="22"/>
          <w:lang w:val="sr-Latn-ME"/>
        </w:rPr>
        <w:t xml:space="preserve">6.1. </w:t>
      </w:r>
      <w:r w:rsidR="00480FB1" w:rsidRPr="00B8307D">
        <w:rPr>
          <w:b/>
          <w:bCs/>
          <w:sz w:val="22"/>
          <w:szCs w:val="22"/>
          <w:lang w:val="sr-Latn-ME"/>
        </w:rPr>
        <w:tab/>
      </w:r>
      <w:r w:rsidRPr="00B8307D">
        <w:rPr>
          <w:b/>
          <w:bCs/>
          <w:sz w:val="22"/>
          <w:szCs w:val="22"/>
          <w:lang w:val="sr-Latn-ME"/>
        </w:rPr>
        <w:t>Lista pomoćnih supstanci</w:t>
      </w:r>
      <w:r w:rsidR="002E0135" w:rsidRPr="00B8307D">
        <w:rPr>
          <w:b/>
          <w:bCs/>
          <w:sz w:val="22"/>
          <w:szCs w:val="22"/>
          <w:lang w:val="sr-Latn-ME"/>
        </w:rPr>
        <w:t xml:space="preserve"> (ekscipijenasa)</w:t>
      </w:r>
    </w:p>
    <w:p w14:paraId="69AFF4A2" w14:textId="77777777" w:rsidR="007253DB" w:rsidRPr="00B8307D" w:rsidRDefault="007253DB" w:rsidP="000A067B">
      <w:pPr>
        <w:widowControl w:val="0"/>
        <w:tabs>
          <w:tab w:val="left" w:pos="540"/>
          <w:tab w:val="left" w:pos="569"/>
        </w:tabs>
        <w:rPr>
          <w:b/>
          <w:bCs/>
          <w:sz w:val="22"/>
          <w:szCs w:val="22"/>
          <w:lang w:val="sr-Latn-ME"/>
        </w:rPr>
      </w:pPr>
    </w:p>
    <w:p w14:paraId="0774BCDA" w14:textId="7D65AEA6" w:rsidR="007253DB" w:rsidRPr="00B8307D" w:rsidRDefault="007253DB" w:rsidP="000A067B">
      <w:pPr>
        <w:pStyle w:val="ListParagraph"/>
        <w:widowControl w:val="0"/>
        <w:numPr>
          <w:ilvl w:val="0"/>
          <w:numId w:val="22"/>
        </w:numPr>
        <w:tabs>
          <w:tab w:val="left" w:pos="540"/>
          <w:tab w:val="left" w:pos="569"/>
        </w:tabs>
        <w:rPr>
          <w:bCs/>
          <w:sz w:val="22"/>
          <w:szCs w:val="22"/>
          <w:lang w:val="sr-Latn-ME"/>
        </w:rPr>
      </w:pPr>
      <w:r w:rsidRPr="00B8307D">
        <w:rPr>
          <w:bCs/>
          <w:sz w:val="22"/>
          <w:szCs w:val="22"/>
          <w:lang w:val="sr-Latn-ME"/>
        </w:rPr>
        <w:t xml:space="preserve">rekombinantna humana hijaluronidaza (rHuPH20) </w:t>
      </w:r>
    </w:p>
    <w:p w14:paraId="247DA4AE" w14:textId="1E7CE0BE" w:rsidR="007253DB" w:rsidRPr="00B8307D" w:rsidRDefault="007253DB" w:rsidP="000A067B">
      <w:pPr>
        <w:pStyle w:val="ListParagraph"/>
        <w:widowControl w:val="0"/>
        <w:numPr>
          <w:ilvl w:val="0"/>
          <w:numId w:val="22"/>
        </w:numPr>
        <w:tabs>
          <w:tab w:val="left" w:pos="540"/>
          <w:tab w:val="left" w:pos="569"/>
        </w:tabs>
        <w:rPr>
          <w:bCs/>
          <w:sz w:val="22"/>
          <w:szCs w:val="22"/>
          <w:lang w:val="sr-Latn-ME"/>
        </w:rPr>
      </w:pPr>
      <w:r w:rsidRPr="00B8307D">
        <w:rPr>
          <w:bCs/>
          <w:sz w:val="22"/>
          <w:szCs w:val="22"/>
          <w:lang w:val="sr-Latn-ME"/>
        </w:rPr>
        <w:t>L-histidin</w:t>
      </w:r>
    </w:p>
    <w:p w14:paraId="03236482" w14:textId="0D87F5F4" w:rsidR="007253DB" w:rsidRPr="00B8307D" w:rsidRDefault="007253DB" w:rsidP="000A067B">
      <w:pPr>
        <w:pStyle w:val="ListParagraph"/>
        <w:widowControl w:val="0"/>
        <w:numPr>
          <w:ilvl w:val="0"/>
          <w:numId w:val="22"/>
        </w:numPr>
        <w:tabs>
          <w:tab w:val="left" w:pos="540"/>
          <w:tab w:val="left" w:pos="569"/>
        </w:tabs>
        <w:rPr>
          <w:bCs/>
          <w:sz w:val="22"/>
          <w:szCs w:val="22"/>
          <w:lang w:val="sr-Latn-ME"/>
        </w:rPr>
      </w:pPr>
      <w:r w:rsidRPr="00B8307D">
        <w:rPr>
          <w:bCs/>
          <w:sz w:val="22"/>
          <w:szCs w:val="22"/>
          <w:lang w:val="sr-Latn-ME"/>
        </w:rPr>
        <w:t>L-histidin hidrohlorid monohidrat</w:t>
      </w:r>
    </w:p>
    <w:p w14:paraId="7FD372AA" w14:textId="5CB633E8" w:rsidR="007253DB" w:rsidRPr="00B8307D" w:rsidRDefault="007253DB" w:rsidP="000A067B">
      <w:pPr>
        <w:pStyle w:val="ListParagraph"/>
        <w:widowControl w:val="0"/>
        <w:numPr>
          <w:ilvl w:val="0"/>
          <w:numId w:val="22"/>
        </w:numPr>
        <w:tabs>
          <w:tab w:val="left" w:pos="540"/>
          <w:tab w:val="left" w:pos="569"/>
        </w:tabs>
        <w:rPr>
          <w:bCs/>
          <w:sz w:val="22"/>
          <w:szCs w:val="22"/>
          <w:lang w:val="sr-Latn-ME"/>
        </w:rPr>
      </w:pPr>
      <w:r w:rsidRPr="00B8307D">
        <w:rPr>
          <w:bCs/>
          <w:sz w:val="22"/>
          <w:szCs w:val="22"/>
          <w:lang w:val="sr-Latn-ME"/>
        </w:rPr>
        <w:t>α,α-trehaloza dihidrat</w:t>
      </w:r>
    </w:p>
    <w:p w14:paraId="6DE2E0BD" w14:textId="306B0AD9" w:rsidR="007253DB" w:rsidRPr="00B8307D" w:rsidRDefault="007253DB" w:rsidP="000A067B">
      <w:pPr>
        <w:pStyle w:val="ListParagraph"/>
        <w:widowControl w:val="0"/>
        <w:numPr>
          <w:ilvl w:val="0"/>
          <w:numId w:val="22"/>
        </w:numPr>
        <w:tabs>
          <w:tab w:val="left" w:pos="540"/>
          <w:tab w:val="left" w:pos="569"/>
        </w:tabs>
        <w:rPr>
          <w:bCs/>
          <w:sz w:val="22"/>
          <w:szCs w:val="22"/>
          <w:lang w:val="sr-Latn-ME"/>
        </w:rPr>
      </w:pPr>
      <w:r w:rsidRPr="00B8307D">
        <w:rPr>
          <w:bCs/>
          <w:sz w:val="22"/>
          <w:szCs w:val="22"/>
          <w:lang w:val="sr-Latn-ME"/>
        </w:rPr>
        <w:t>L-metionin</w:t>
      </w:r>
    </w:p>
    <w:p w14:paraId="33D4A2AE" w14:textId="3F2B3C7B" w:rsidR="007253DB" w:rsidRPr="00B8307D" w:rsidRDefault="007253DB" w:rsidP="000A067B">
      <w:pPr>
        <w:pStyle w:val="ListParagraph"/>
        <w:widowControl w:val="0"/>
        <w:numPr>
          <w:ilvl w:val="0"/>
          <w:numId w:val="22"/>
        </w:numPr>
        <w:tabs>
          <w:tab w:val="left" w:pos="540"/>
          <w:tab w:val="left" w:pos="569"/>
        </w:tabs>
        <w:rPr>
          <w:bCs/>
          <w:sz w:val="22"/>
          <w:szCs w:val="22"/>
          <w:lang w:val="sr-Latn-ME"/>
        </w:rPr>
      </w:pPr>
      <w:r w:rsidRPr="00B8307D">
        <w:rPr>
          <w:bCs/>
          <w:sz w:val="22"/>
          <w:szCs w:val="22"/>
          <w:lang w:val="sr-Latn-ME"/>
        </w:rPr>
        <w:t>polisorbat 20</w:t>
      </w:r>
    </w:p>
    <w:p w14:paraId="18C22E22" w14:textId="0223CE80" w:rsidR="007253DB" w:rsidRPr="00B8307D" w:rsidRDefault="007253DB" w:rsidP="000A067B">
      <w:pPr>
        <w:pStyle w:val="ListParagraph"/>
        <w:widowControl w:val="0"/>
        <w:numPr>
          <w:ilvl w:val="0"/>
          <w:numId w:val="22"/>
        </w:numPr>
        <w:tabs>
          <w:tab w:val="left" w:pos="540"/>
          <w:tab w:val="left" w:pos="569"/>
        </w:tabs>
        <w:rPr>
          <w:bCs/>
          <w:sz w:val="22"/>
          <w:szCs w:val="22"/>
          <w:lang w:val="sr-Latn-ME"/>
        </w:rPr>
      </w:pPr>
      <w:r w:rsidRPr="00B8307D">
        <w:rPr>
          <w:bCs/>
          <w:sz w:val="22"/>
          <w:szCs w:val="22"/>
          <w:lang w:val="sr-Latn-ME"/>
        </w:rPr>
        <w:t>voda za injekcije</w:t>
      </w:r>
    </w:p>
    <w:p w14:paraId="6A71618D" w14:textId="77777777" w:rsidR="007253DB" w:rsidRPr="00B8307D" w:rsidRDefault="007253DB" w:rsidP="000A067B">
      <w:pPr>
        <w:widowControl w:val="0"/>
        <w:tabs>
          <w:tab w:val="left" w:pos="540"/>
          <w:tab w:val="left" w:pos="569"/>
        </w:tabs>
        <w:rPr>
          <w:bCs/>
          <w:sz w:val="22"/>
          <w:szCs w:val="22"/>
          <w:lang w:val="sr-Latn-ME"/>
        </w:rPr>
      </w:pPr>
    </w:p>
    <w:p w14:paraId="1FE5FE87" w14:textId="77777777" w:rsidR="0072020E" w:rsidRPr="00B8307D" w:rsidRDefault="0072020E" w:rsidP="000A067B">
      <w:pPr>
        <w:widowControl w:val="0"/>
        <w:tabs>
          <w:tab w:val="left" w:pos="540"/>
          <w:tab w:val="left" w:pos="569"/>
        </w:tabs>
        <w:rPr>
          <w:b/>
          <w:bCs/>
          <w:sz w:val="22"/>
          <w:szCs w:val="22"/>
          <w:lang w:val="sr-Latn-ME"/>
        </w:rPr>
      </w:pPr>
      <w:r w:rsidRPr="00B8307D">
        <w:rPr>
          <w:b/>
          <w:bCs/>
          <w:sz w:val="22"/>
          <w:szCs w:val="22"/>
          <w:lang w:val="sr-Latn-ME"/>
        </w:rPr>
        <w:t xml:space="preserve">6.2. </w:t>
      </w:r>
      <w:r w:rsidR="00480FB1" w:rsidRPr="00B8307D">
        <w:rPr>
          <w:b/>
          <w:bCs/>
          <w:sz w:val="22"/>
          <w:szCs w:val="22"/>
          <w:lang w:val="sr-Latn-ME"/>
        </w:rPr>
        <w:tab/>
      </w:r>
      <w:r w:rsidRPr="00B8307D">
        <w:rPr>
          <w:b/>
          <w:bCs/>
          <w:sz w:val="22"/>
          <w:szCs w:val="22"/>
          <w:lang w:val="sr-Latn-ME"/>
        </w:rPr>
        <w:t>Inkompatibilnost</w:t>
      </w:r>
      <w:r w:rsidR="002846DB" w:rsidRPr="00B8307D">
        <w:rPr>
          <w:b/>
          <w:bCs/>
          <w:sz w:val="22"/>
          <w:szCs w:val="22"/>
          <w:lang w:val="sr-Latn-ME"/>
        </w:rPr>
        <w:t>i</w:t>
      </w:r>
    </w:p>
    <w:p w14:paraId="1FE5FE88" w14:textId="58330F3B" w:rsidR="0072020E" w:rsidRPr="00B8307D" w:rsidRDefault="0072020E" w:rsidP="000A067B">
      <w:pPr>
        <w:widowControl w:val="0"/>
        <w:tabs>
          <w:tab w:val="left" w:pos="540"/>
          <w:tab w:val="left" w:pos="569"/>
        </w:tabs>
        <w:rPr>
          <w:bCs/>
          <w:sz w:val="22"/>
          <w:szCs w:val="22"/>
          <w:lang w:val="sr-Latn-ME"/>
        </w:rPr>
      </w:pPr>
    </w:p>
    <w:p w14:paraId="39DC2BC4" w14:textId="124804BB" w:rsidR="007253DB" w:rsidRPr="00B8307D" w:rsidRDefault="007253DB" w:rsidP="000A067B">
      <w:pPr>
        <w:widowControl w:val="0"/>
        <w:tabs>
          <w:tab w:val="left" w:pos="540"/>
          <w:tab w:val="left" w:pos="569"/>
        </w:tabs>
        <w:ind w:right="13"/>
        <w:jc w:val="both"/>
        <w:rPr>
          <w:sz w:val="22"/>
          <w:szCs w:val="22"/>
          <w:lang w:val="sr-Latn-ME" w:eastAsia="ja-JP"/>
        </w:rPr>
      </w:pPr>
      <w:r w:rsidRPr="00B8307D">
        <w:rPr>
          <w:sz w:val="22"/>
          <w:szCs w:val="22"/>
          <w:lang w:val="sr-Latn-ME"/>
        </w:rPr>
        <w:t>Herceptin u subkutanoj formulaciji je rastvor spreman za primjenu koji se ne smije miješati ni razblaživati sa drugim ljekovima</w:t>
      </w:r>
      <w:r w:rsidRPr="00B8307D">
        <w:rPr>
          <w:sz w:val="22"/>
          <w:szCs w:val="22"/>
          <w:lang w:val="sr-Latn-ME" w:eastAsia="ja-JP"/>
        </w:rPr>
        <w:t>.</w:t>
      </w:r>
    </w:p>
    <w:p w14:paraId="6FEA23BE" w14:textId="24D43CBE" w:rsidR="008E0740" w:rsidRPr="00B8307D" w:rsidRDefault="008E0740" w:rsidP="000A067B">
      <w:pPr>
        <w:widowControl w:val="0"/>
        <w:tabs>
          <w:tab w:val="left" w:pos="540"/>
          <w:tab w:val="left" w:pos="569"/>
        </w:tabs>
        <w:ind w:right="13"/>
        <w:jc w:val="both"/>
        <w:rPr>
          <w:sz w:val="22"/>
          <w:szCs w:val="22"/>
          <w:lang w:val="sr-Latn-ME" w:eastAsia="ja-JP"/>
        </w:rPr>
      </w:pPr>
    </w:p>
    <w:p w14:paraId="6A871299" w14:textId="63282C86" w:rsidR="008E0740" w:rsidRPr="00B8307D" w:rsidRDefault="008E0740" w:rsidP="000A067B">
      <w:pPr>
        <w:widowControl w:val="0"/>
        <w:ind w:right="13"/>
        <w:jc w:val="both"/>
        <w:rPr>
          <w:bCs/>
          <w:sz w:val="22"/>
          <w:szCs w:val="22"/>
          <w:lang w:val="sr-Latn-ME"/>
        </w:rPr>
      </w:pPr>
      <w:r w:rsidRPr="00B8307D">
        <w:rPr>
          <w:bCs/>
          <w:sz w:val="22"/>
          <w:szCs w:val="22"/>
          <w:lang w:val="sr-Latn-ME"/>
        </w:rPr>
        <w:t xml:space="preserve">Nije primećena inkompatibilnost između supkutane formulacije lieka Herceptin i polipropilenskih ili polikarbonskih materijala za špiceve kao ni igala za prebacivanje i injiciranje od nerđajućeg čelika i polietilenskih „Luer cone“ čepova. </w:t>
      </w:r>
    </w:p>
    <w:p w14:paraId="5C2D64DC" w14:textId="77777777" w:rsidR="007253DB" w:rsidRPr="00B8307D" w:rsidRDefault="007253DB" w:rsidP="000A067B">
      <w:pPr>
        <w:widowControl w:val="0"/>
        <w:tabs>
          <w:tab w:val="left" w:pos="540"/>
          <w:tab w:val="left" w:pos="569"/>
        </w:tabs>
        <w:ind w:right="-455"/>
        <w:rPr>
          <w:bCs/>
          <w:sz w:val="22"/>
          <w:szCs w:val="22"/>
          <w:lang w:val="sr-Latn-ME"/>
        </w:rPr>
      </w:pPr>
    </w:p>
    <w:p w14:paraId="1FE5FE89" w14:textId="77777777" w:rsidR="0072020E" w:rsidRPr="00B8307D" w:rsidRDefault="0072020E" w:rsidP="000A067B">
      <w:pPr>
        <w:widowControl w:val="0"/>
        <w:tabs>
          <w:tab w:val="left" w:pos="540"/>
          <w:tab w:val="left" w:pos="569"/>
        </w:tabs>
        <w:ind w:right="-455"/>
        <w:rPr>
          <w:b/>
          <w:bCs/>
          <w:sz w:val="22"/>
          <w:szCs w:val="22"/>
          <w:lang w:val="sr-Latn-ME"/>
        </w:rPr>
      </w:pPr>
      <w:r w:rsidRPr="00B8307D">
        <w:rPr>
          <w:b/>
          <w:bCs/>
          <w:sz w:val="22"/>
          <w:szCs w:val="22"/>
          <w:lang w:val="sr-Latn-ME"/>
        </w:rPr>
        <w:t>6.3.</w:t>
      </w:r>
      <w:r w:rsidR="00C05DF8" w:rsidRPr="00B8307D">
        <w:rPr>
          <w:b/>
          <w:bCs/>
          <w:sz w:val="22"/>
          <w:szCs w:val="22"/>
          <w:lang w:val="sr-Latn-ME"/>
        </w:rPr>
        <w:t xml:space="preserve"> </w:t>
      </w:r>
      <w:r w:rsidR="00480FB1" w:rsidRPr="00B8307D">
        <w:rPr>
          <w:b/>
          <w:bCs/>
          <w:sz w:val="22"/>
          <w:szCs w:val="22"/>
          <w:lang w:val="sr-Latn-ME"/>
        </w:rPr>
        <w:tab/>
      </w:r>
      <w:r w:rsidRPr="00B8307D">
        <w:rPr>
          <w:b/>
          <w:bCs/>
          <w:sz w:val="22"/>
          <w:szCs w:val="22"/>
          <w:lang w:val="sr-Latn-ME"/>
        </w:rPr>
        <w:t>Rok upotrebe</w:t>
      </w:r>
    </w:p>
    <w:p w14:paraId="0881840A" w14:textId="392F1FC9" w:rsidR="007253DB" w:rsidRPr="00B8307D" w:rsidRDefault="007253DB" w:rsidP="000A067B">
      <w:pPr>
        <w:widowControl w:val="0"/>
        <w:tabs>
          <w:tab w:val="left" w:pos="540"/>
          <w:tab w:val="left" w:pos="569"/>
        </w:tabs>
        <w:ind w:right="-455"/>
        <w:rPr>
          <w:bCs/>
          <w:sz w:val="22"/>
          <w:szCs w:val="22"/>
          <w:lang w:val="sr-Latn-ME"/>
        </w:rPr>
      </w:pPr>
    </w:p>
    <w:p w14:paraId="1D8FBDB4" w14:textId="793C517B" w:rsidR="007253DB" w:rsidRPr="00B8307D" w:rsidRDefault="007253DB" w:rsidP="000A067B">
      <w:pPr>
        <w:widowControl w:val="0"/>
        <w:ind w:right="13"/>
        <w:jc w:val="both"/>
        <w:rPr>
          <w:sz w:val="22"/>
          <w:szCs w:val="22"/>
          <w:lang w:val="sr-Latn-ME"/>
        </w:rPr>
      </w:pPr>
      <w:r w:rsidRPr="00B8307D">
        <w:rPr>
          <w:sz w:val="22"/>
          <w:szCs w:val="22"/>
          <w:lang w:val="sr-Latn-ME"/>
        </w:rPr>
        <w:t>21 mjesec.</w:t>
      </w:r>
    </w:p>
    <w:p w14:paraId="1A0EE33B" w14:textId="77777777" w:rsidR="007253DB" w:rsidRPr="00B8307D" w:rsidRDefault="007253DB" w:rsidP="000A067B">
      <w:pPr>
        <w:widowControl w:val="0"/>
        <w:ind w:right="13"/>
        <w:jc w:val="both"/>
        <w:rPr>
          <w:sz w:val="22"/>
          <w:szCs w:val="22"/>
          <w:lang w:val="sr-Latn-ME"/>
        </w:rPr>
      </w:pPr>
    </w:p>
    <w:p w14:paraId="0AD5A2F5" w14:textId="7EC16521" w:rsidR="007253DB" w:rsidRPr="00B8307D" w:rsidRDefault="007253DB" w:rsidP="000A067B">
      <w:pPr>
        <w:pStyle w:val="BodyText"/>
        <w:widowControl w:val="0"/>
        <w:spacing w:after="0"/>
        <w:ind w:right="13"/>
        <w:jc w:val="both"/>
        <w:rPr>
          <w:sz w:val="22"/>
          <w:szCs w:val="22"/>
        </w:rPr>
      </w:pPr>
      <w:r w:rsidRPr="00B8307D">
        <w:rPr>
          <w:sz w:val="22"/>
          <w:szCs w:val="22"/>
        </w:rPr>
        <w:t xml:space="preserve">Nakon prebacivanja iz bočice u špric, lijek je fizički i hemijski stabilan tokom </w:t>
      </w:r>
      <w:r w:rsidR="008E0740" w:rsidRPr="00B8307D">
        <w:rPr>
          <w:sz w:val="22"/>
          <w:szCs w:val="22"/>
        </w:rPr>
        <w:t>28 dana</w:t>
      </w:r>
      <w:r w:rsidRPr="00B8307D">
        <w:rPr>
          <w:sz w:val="22"/>
          <w:szCs w:val="22"/>
        </w:rPr>
        <w:t xml:space="preserve"> na temperaturi od 2°C – 8°C i 6 sati</w:t>
      </w:r>
      <w:r w:rsidR="008E0740" w:rsidRPr="00B8307D">
        <w:rPr>
          <w:sz w:val="22"/>
          <w:szCs w:val="22"/>
        </w:rPr>
        <w:t xml:space="preserve"> (ukupno vrijeme u bočici i špricu)</w:t>
      </w:r>
      <w:r w:rsidRPr="00B8307D">
        <w:rPr>
          <w:sz w:val="22"/>
          <w:szCs w:val="22"/>
        </w:rPr>
        <w:t xml:space="preserve"> na sobnoj temperaturi (maks. 30°C) pri difuznoj </w:t>
      </w:r>
      <w:r w:rsidRPr="00B8307D">
        <w:rPr>
          <w:sz w:val="22"/>
          <w:szCs w:val="22"/>
        </w:rPr>
        <w:lastRenderedPageBreak/>
        <w:t>dnevnoj svjetlosti.</w:t>
      </w:r>
    </w:p>
    <w:p w14:paraId="6B460D79" w14:textId="03A8ECFA" w:rsidR="007253DB" w:rsidRPr="00B8307D" w:rsidRDefault="007253DB" w:rsidP="000A067B">
      <w:pPr>
        <w:widowControl w:val="0"/>
        <w:tabs>
          <w:tab w:val="left" w:pos="540"/>
          <w:tab w:val="left" w:pos="569"/>
        </w:tabs>
        <w:ind w:right="13"/>
        <w:jc w:val="both"/>
        <w:rPr>
          <w:bCs/>
          <w:sz w:val="22"/>
          <w:szCs w:val="22"/>
          <w:lang w:val="sr-Latn-ME"/>
        </w:rPr>
      </w:pPr>
      <w:r w:rsidRPr="00B8307D">
        <w:rPr>
          <w:sz w:val="22"/>
          <w:szCs w:val="22"/>
          <w:lang w:val="sr-Latn-ME"/>
        </w:rPr>
        <w:t>S obzirom da Herceptin ne sadrži antimikrobni konzervans, sa mikrobiološkog stanovišta lijek se mora odmah primijeniti.</w:t>
      </w:r>
    </w:p>
    <w:p w14:paraId="700FAD82" w14:textId="77777777" w:rsidR="007253DB" w:rsidRPr="00B8307D" w:rsidRDefault="007253DB" w:rsidP="000A067B">
      <w:pPr>
        <w:widowControl w:val="0"/>
        <w:tabs>
          <w:tab w:val="left" w:pos="540"/>
          <w:tab w:val="left" w:pos="569"/>
        </w:tabs>
        <w:ind w:right="13"/>
        <w:jc w:val="both"/>
        <w:rPr>
          <w:bCs/>
          <w:sz w:val="22"/>
          <w:szCs w:val="22"/>
          <w:lang w:val="sr-Latn-ME"/>
        </w:rPr>
      </w:pPr>
    </w:p>
    <w:p w14:paraId="1FE5FE8B" w14:textId="77777777" w:rsidR="0072020E" w:rsidRPr="00B8307D" w:rsidRDefault="0072020E" w:rsidP="000A067B">
      <w:pPr>
        <w:widowControl w:val="0"/>
        <w:tabs>
          <w:tab w:val="left" w:pos="540"/>
          <w:tab w:val="left" w:pos="569"/>
        </w:tabs>
        <w:ind w:right="13"/>
        <w:jc w:val="both"/>
        <w:rPr>
          <w:b/>
          <w:bCs/>
          <w:sz w:val="22"/>
          <w:szCs w:val="22"/>
          <w:lang w:val="sr-Latn-ME"/>
        </w:rPr>
      </w:pPr>
      <w:r w:rsidRPr="00B8307D">
        <w:rPr>
          <w:b/>
          <w:bCs/>
          <w:sz w:val="22"/>
          <w:szCs w:val="22"/>
          <w:lang w:val="sr-Latn-ME"/>
        </w:rPr>
        <w:t xml:space="preserve">6.4. </w:t>
      </w:r>
      <w:r w:rsidR="00480FB1" w:rsidRPr="00B8307D">
        <w:rPr>
          <w:b/>
          <w:bCs/>
          <w:sz w:val="22"/>
          <w:szCs w:val="22"/>
          <w:lang w:val="sr-Latn-ME"/>
        </w:rPr>
        <w:tab/>
      </w:r>
      <w:r w:rsidRPr="00B8307D">
        <w:rPr>
          <w:b/>
          <w:bCs/>
          <w:sz w:val="22"/>
          <w:szCs w:val="22"/>
          <w:lang w:val="sr-Latn-ME"/>
        </w:rPr>
        <w:t>Posebne mjere upozorenja pri čuvanju</w:t>
      </w:r>
      <w:r w:rsidR="00F8570A" w:rsidRPr="00B8307D">
        <w:rPr>
          <w:b/>
          <w:bCs/>
          <w:sz w:val="22"/>
          <w:szCs w:val="22"/>
          <w:lang w:val="sr-Latn-ME"/>
        </w:rPr>
        <w:t xml:space="preserve"> lijeka</w:t>
      </w:r>
    </w:p>
    <w:p w14:paraId="1FE5FE8C" w14:textId="694022F8" w:rsidR="00EC2532" w:rsidRPr="00B8307D" w:rsidRDefault="00EC2532" w:rsidP="000A067B">
      <w:pPr>
        <w:widowControl w:val="0"/>
        <w:tabs>
          <w:tab w:val="left" w:pos="540"/>
          <w:tab w:val="left" w:pos="569"/>
        </w:tabs>
        <w:ind w:right="13"/>
        <w:jc w:val="both"/>
        <w:rPr>
          <w:bCs/>
          <w:sz w:val="22"/>
          <w:szCs w:val="22"/>
          <w:lang w:val="sr-Latn-ME"/>
        </w:rPr>
      </w:pPr>
    </w:p>
    <w:p w14:paraId="33ABBAA0" w14:textId="5763C360" w:rsidR="007253DB" w:rsidRPr="00B8307D" w:rsidRDefault="007253DB" w:rsidP="000A067B">
      <w:pPr>
        <w:widowControl w:val="0"/>
        <w:ind w:right="13"/>
        <w:jc w:val="both"/>
        <w:rPr>
          <w:sz w:val="22"/>
          <w:szCs w:val="22"/>
          <w:lang w:val="sr-Latn-ME"/>
        </w:rPr>
      </w:pPr>
      <w:r w:rsidRPr="00B8307D">
        <w:rPr>
          <w:sz w:val="22"/>
          <w:szCs w:val="22"/>
          <w:lang w:val="sr-Latn-ME"/>
        </w:rPr>
        <w:t>Čuvati bočice u frižideru (2</w:t>
      </w:r>
      <w:r w:rsidR="00DE3522" w:rsidRPr="00B8307D">
        <w:rPr>
          <w:sz w:val="22"/>
          <w:szCs w:val="22"/>
          <w:lang w:val="sr-Latn-ME"/>
        </w:rPr>
        <w:t>°</w:t>
      </w:r>
      <w:r w:rsidRPr="00B8307D">
        <w:rPr>
          <w:sz w:val="22"/>
          <w:szCs w:val="22"/>
          <w:lang w:val="sr-Latn-ME"/>
        </w:rPr>
        <w:t>C do 8</w:t>
      </w:r>
      <w:r w:rsidR="00DE3522" w:rsidRPr="00B8307D">
        <w:rPr>
          <w:sz w:val="22"/>
          <w:szCs w:val="22"/>
          <w:lang w:val="sr-Latn-ME"/>
        </w:rPr>
        <w:t>°</w:t>
      </w:r>
      <w:r w:rsidRPr="00B8307D">
        <w:rPr>
          <w:sz w:val="22"/>
          <w:szCs w:val="22"/>
          <w:lang w:val="sr-Latn-ME"/>
        </w:rPr>
        <w:t xml:space="preserve">C). </w:t>
      </w:r>
    </w:p>
    <w:p w14:paraId="5E234D50" w14:textId="77777777" w:rsidR="007253DB" w:rsidRPr="00B8307D" w:rsidRDefault="007253DB" w:rsidP="000A067B">
      <w:pPr>
        <w:widowControl w:val="0"/>
        <w:ind w:right="13"/>
        <w:jc w:val="both"/>
        <w:rPr>
          <w:sz w:val="22"/>
          <w:szCs w:val="22"/>
          <w:lang w:val="sr-Latn-ME"/>
        </w:rPr>
      </w:pPr>
      <w:r w:rsidRPr="00B8307D">
        <w:rPr>
          <w:sz w:val="22"/>
          <w:szCs w:val="22"/>
          <w:lang w:val="sr-Latn-ME"/>
        </w:rPr>
        <w:t>Ne zamrzavati.</w:t>
      </w:r>
    </w:p>
    <w:p w14:paraId="0B59D0F4" w14:textId="58394CC1" w:rsidR="007253DB" w:rsidRPr="00B8307D" w:rsidRDefault="007253DB" w:rsidP="000A067B">
      <w:pPr>
        <w:widowControl w:val="0"/>
        <w:ind w:right="13"/>
        <w:jc w:val="both"/>
        <w:rPr>
          <w:sz w:val="22"/>
          <w:szCs w:val="22"/>
          <w:lang w:val="sr-Latn-ME"/>
        </w:rPr>
      </w:pPr>
      <w:r w:rsidRPr="00B8307D">
        <w:rPr>
          <w:sz w:val="22"/>
          <w:szCs w:val="22"/>
          <w:lang w:val="sr-Latn-ME"/>
        </w:rPr>
        <w:t>Čuvati bočicu u spolj</w:t>
      </w:r>
      <w:r w:rsidR="0043758A" w:rsidRPr="00B8307D">
        <w:rPr>
          <w:sz w:val="22"/>
          <w:szCs w:val="22"/>
          <w:lang w:val="sr-Latn-ME"/>
        </w:rPr>
        <w:t>ašnjem</w:t>
      </w:r>
      <w:r w:rsidRPr="00B8307D">
        <w:rPr>
          <w:sz w:val="22"/>
          <w:szCs w:val="22"/>
          <w:lang w:val="sr-Latn-ME"/>
        </w:rPr>
        <w:t xml:space="preserve"> pakovanju radi zaštite od svjetlosti.</w:t>
      </w:r>
    </w:p>
    <w:p w14:paraId="0FB1E0C8" w14:textId="77777777" w:rsidR="007253DB" w:rsidRPr="00B8307D" w:rsidRDefault="007253DB" w:rsidP="000A067B">
      <w:pPr>
        <w:widowControl w:val="0"/>
        <w:ind w:right="13"/>
        <w:jc w:val="both"/>
        <w:rPr>
          <w:sz w:val="22"/>
          <w:szCs w:val="22"/>
          <w:lang w:val="sr-Latn-ME"/>
        </w:rPr>
      </w:pPr>
      <w:r w:rsidRPr="00B8307D">
        <w:rPr>
          <w:sz w:val="22"/>
          <w:szCs w:val="22"/>
          <w:lang w:val="sr-Latn-ME"/>
        </w:rPr>
        <w:t>Kada se izvadi iz frižidera, Herceptin u subkutanoj formulaciji mora se primijeniti u okviru 6 sati i ne smije se čuvati na temperaturi iznad 30°C.</w:t>
      </w:r>
    </w:p>
    <w:p w14:paraId="36091EB7" w14:textId="77777777" w:rsidR="007253DB" w:rsidRPr="00B8307D" w:rsidRDefault="007253DB" w:rsidP="000A067B">
      <w:pPr>
        <w:widowControl w:val="0"/>
        <w:ind w:right="13"/>
        <w:jc w:val="both"/>
        <w:rPr>
          <w:sz w:val="22"/>
          <w:szCs w:val="22"/>
          <w:lang w:val="sr-Latn-ME"/>
        </w:rPr>
      </w:pPr>
    </w:p>
    <w:p w14:paraId="16EC25F4" w14:textId="68C9753C" w:rsidR="007253DB" w:rsidRPr="00B8307D" w:rsidRDefault="007253DB" w:rsidP="000A067B">
      <w:pPr>
        <w:widowControl w:val="0"/>
        <w:ind w:right="13"/>
        <w:jc w:val="both"/>
        <w:rPr>
          <w:sz w:val="22"/>
          <w:szCs w:val="22"/>
          <w:lang w:val="sr-Latn-ME"/>
        </w:rPr>
      </w:pPr>
      <w:r w:rsidRPr="00B8307D">
        <w:rPr>
          <w:sz w:val="22"/>
          <w:szCs w:val="22"/>
          <w:lang w:val="sr-Latn-ME"/>
        </w:rPr>
        <w:t xml:space="preserve">Uslove čuvanja otvorenog lijeka vidjeti u </w:t>
      </w:r>
      <w:r w:rsidR="00DE3522" w:rsidRPr="00B8307D">
        <w:rPr>
          <w:sz w:val="22"/>
          <w:szCs w:val="22"/>
          <w:lang w:val="sr-Latn-ME"/>
        </w:rPr>
        <w:t>djelovima</w:t>
      </w:r>
      <w:r w:rsidRPr="00B8307D">
        <w:rPr>
          <w:sz w:val="22"/>
          <w:szCs w:val="22"/>
          <w:lang w:val="sr-Latn-ME"/>
        </w:rPr>
        <w:t xml:space="preserve"> 6.3 i 6.6.</w:t>
      </w:r>
    </w:p>
    <w:p w14:paraId="0DEFECE5" w14:textId="48616CB3" w:rsidR="007253DB" w:rsidRPr="00B8307D" w:rsidRDefault="007253DB" w:rsidP="000A067B">
      <w:pPr>
        <w:pStyle w:val="BodyText"/>
        <w:widowControl w:val="0"/>
        <w:spacing w:after="0"/>
        <w:ind w:right="13"/>
        <w:jc w:val="both"/>
        <w:rPr>
          <w:bCs/>
          <w:sz w:val="22"/>
          <w:szCs w:val="22"/>
        </w:rPr>
      </w:pPr>
    </w:p>
    <w:p w14:paraId="1FE5FE8D" w14:textId="77777777" w:rsidR="0072020E" w:rsidRPr="00B8307D" w:rsidRDefault="0072020E" w:rsidP="000A067B">
      <w:pPr>
        <w:widowControl w:val="0"/>
        <w:tabs>
          <w:tab w:val="left" w:pos="540"/>
          <w:tab w:val="left" w:pos="569"/>
        </w:tabs>
        <w:ind w:right="13"/>
        <w:jc w:val="both"/>
        <w:rPr>
          <w:b/>
          <w:bCs/>
          <w:sz w:val="22"/>
          <w:szCs w:val="22"/>
          <w:lang w:val="sr-Latn-ME"/>
        </w:rPr>
      </w:pPr>
      <w:r w:rsidRPr="00B8307D">
        <w:rPr>
          <w:b/>
          <w:bCs/>
          <w:sz w:val="22"/>
          <w:szCs w:val="22"/>
          <w:lang w:val="sr-Latn-ME"/>
        </w:rPr>
        <w:t xml:space="preserve">6.5. </w:t>
      </w:r>
      <w:r w:rsidR="00480FB1" w:rsidRPr="00B8307D">
        <w:rPr>
          <w:b/>
          <w:bCs/>
          <w:sz w:val="22"/>
          <w:szCs w:val="22"/>
          <w:lang w:val="sr-Latn-ME"/>
        </w:rPr>
        <w:tab/>
      </w:r>
      <w:r w:rsidR="002846DB" w:rsidRPr="00B8307D">
        <w:rPr>
          <w:b/>
          <w:bCs/>
          <w:sz w:val="22"/>
          <w:szCs w:val="22"/>
          <w:lang w:val="sr-Latn-ME"/>
        </w:rPr>
        <w:t xml:space="preserve">Vrsta i sadržaj </w:t>
      </w:r>
      <w:r w:rsidR="00F8570A" w:rsidRPr="00B8307D">
        <w:rPr>
          <w:b/>
          <w:bCs/>
          <w:sz w:val="22"/>
          <w:szCs w:val="22"/>
          <w:lang w:val="sr-Latn-ME"/>
        </w:rPr>
        <w:t>pakovanja</w:t>
      </w:r>
      <w:r w:rsidR="00C06864" w:rsidRPr="00B8307D">
        <w:rPr>
          <w:b/>
          <w:bCs/>
          <w:sz w:val="22"/>
          <w:szCs w:val="22"/>
          <w:lang w:val="sr-Latn-ME"/>
        </w:rPr>
        <w:t xml:space="preserve"> </w:t>
      </w:r>
    </w:p>
    <w:p w14:paraId="1FE5FE8E" w14:textId="7512014C" w:rsidR="0072020E" w:rsidRPr="00B8307D" w:rsidRDefault="0072020E" w:rsidP="000A067B">
      <w:pPr>
        <w:widowControl w:val="0"/>
        <w:tabs>
          <w:tab w:val="left" w:pos="540"/>
          <w:tab w:val="left" w:pos="569"/>
        </w:tabs>
        <w:ind w:right="13"/>
        <w:jc w:val="both"/>
        <w:rPr>
          <w:bCs/>
          <w:sz w:val="22"/>
          <w:szCs w:val="22"/>
          <w:lang w:val="sr-Latn-ME"/>
        </w:rPr>
      </w:pPr>
    </w:p>
    <w:p w14:paraId="48666B62" w14:textId="5D43E43A" w:rsidR="007253DB" w:rsidRPr="00B8307D" w:rsidRDefault="007253DB" w:rsidP="000A067B">
      <w:pPr>
        <w:widowControl w:val="0"/>
        <w:ind w:right="13"/>
        <w:jc w:val="both"/>
        <w:rPr>
          <w:sz w:val="22"/>
          <w:szCs w:val="22"/>
          <w:lang w:val="sr-Latn-ME"/>
        </w:rPr>
      </w:pPr>
      <w:r w:rsidRPr="00B8307D">
        <w:rPr>
          <w:sz w:val="22"/>
          <w:szCs w:val="22"/>
          <w:lang w:val="sr-Latn-ME"/>
        </w:rPr>
        <w:t>Jedna prozirna staklena bočica od 6 ml (staklo tipa I) sa butil gumenim čepom</w:t>
      </w:r>
      <w:r w:rsidR="00E30843" w:rsidRPr="00B8307D">
        <w:rPr>
          <w:sz w:val="22"/>
          <w:szCs w:val="22"/>
          <w:lang w:val="sr-Latn-ME"/>
        </w:rPr>
        <w:t>,</w:t>
      </w:r>
      <w:r w:rsidRPr="00B8307D">
        <w:rPr>
          <w:sz w:val="22"/>
          <w:szCs w:val="22"/>
          <w:lang w:val="sr-Latn-ME"/>
        </w:rPr>
        <w:t xml:space="preserve"> presvučenim fluoro-rezinskim filmom</w:t>
      </w:r>
      <w:r w:rsidR="00E30843" w:rsidRPr="00B8307D">
        <w:rPr>
          <w:sz w:val="22"/>
          <w:szCs w:val="22"/>
          <w:lang w:val="sr-Latn-ME"/>
        </w:rPr>
        <w:t>,</w:t>
      </w:r>
      <w:r w:rsidRPr="00B8307D">
        <w:rPr>
          <w:sz w:val="22"/>
          <w:szCs w:val="22"/>
          <w:lang w:val="sr-Latn-ME"/>
        </w:rPr>
        <w:t xml:space="preserve"> sadrži 5 ml rastvora (600 mg trastuzumaba). </w:t>
      </w:r>
    </w:p>
    <w:p w14:paraId="1C3271BC" w14:textId="77777777" w:rsidR="007253DB" w:rsidRPr="00B8307D" w:rsidRDefault="007253DB" w:rsidP="000A067B">
      <w:pPr>
        <w:widowControl w:val="0"/>
        <w:ind w:right="13"/>
        <w:jc w:val="both"/>
        <w:rPr>
          <w:sz w:val="22"/>
          <w:szCs w:val="22"/>
          <w:lang w:val="sr-Latn-ME"/>
        </w:rPr>
      </w:pPr>
    </w:p>
    <w:p w14:paraId="5641F8AF" w14:textId="77777777" w:rsidR="007253DB" w:rsidRPr="00B8307D" w:rsidRDefault="007253DB" w:rsidP="000A067B">
      <w:pPr>
        <w:widowControl w:val="0"/>
        <w:ind w:right="13"/>
        <w:jc w:val="both"/>
        <w:rPr>
          <w:sz w:val="22"/>
          <w:szCs w:val="22"/>
          <w:lang w:val="sr-Latn-ME"/>
        </w:rPr>
      </w:pPr>
      <w:r w:rsidRPr="00B8307D">
        <w:rPr>
          <w:sz w:val="22"/>
          <w:szCs w:val="22"/>
          <w:lang w:val="sr-Latn-ME"/>
        </w:rPr>
        <w:t>Jedno pakovanje sadrži jednu bočicu.</w:t>
      </w:r>
    </w:p>
    <w:p w14:paraId="4EC8C3F5" w14:textId="77777777" w:rsidR="007253DB" w:rsidRPr="00B8307D" w:rsidRDefault="007253DB" w:rsidP="000A067B">
      <w:pPr>
        <w:widowControl w:val="0"/>
        <w:tabs>
          <w:tab w:val="left" w:pos="540"/>
          <w:tab w:val="left" w:pos="569"/>
        </w:tabs>
        <w:ind w:right="13"/>
        <w:jc w:val="both"/>
        <w:rPr>
          <w:bCs/>
          <w:sz w:val="22"/>
          <w:szCs w:val="22"/>
          <w:lang w:val="sr-Latn-ME"/>
        </w:rPr>
      </w:pPr>
    </w:p>
    <w:p w14:paraId="1FE5FE8F" w14:textId="77777777" w:rsidR="002846DB" w:rsidRPr="00B8307D" w:rsidRDefault="0072020E" w:rsidP="000A067B">
      <w:pPr>
        <w:widowControl w:val="0"/>
        <w:tabs>
          <w:tab w:val="left" w:pos="540"/>
          <w:tab w:val="left" w:pos="569"/>
        </w:tabs>
        <w:ind w:right="13"/>
        <w:jc w:val="both"/>
        <w:rPr>
          <w:b/>
          <w:bCs/>
          <w:sz w:val="22"/>
          <w:szCs w:val="22"/>
          <w:lang w:val="sr-Latn-ME"/>
        </w:rPr>
      </w:pPr>
      <w:r w:rsidRPr="00B8307D">
        <w:rPr>
          <w:b/>
          <w:bCs/>
          <w:sz w:val="22"/>
          <w:szCs w:val="22"/>
          <w:lang w:val="sr-Latn-ME"/>
        </w:rPr>
        <w:t xml:space="preserve">6.6. </w:t>
      </w:r>
      <w:r w:rsidR="00480FB1" w:rsidRPr="00B8307D">
        <w:rPr>
          <w:b/>
          <w:bCs/>
          <w:sz w:val="22"/>
          <w:szCs w:val="22"/>
          <w:lang w:val="sr-Latn-ME"/>
        </w:rPr>
        <w:tab/>
      </w:r>
      <w:r w:rsidRPr="00B8307D">
        <w:rPr>
          <w:b/>
          <w:bCs/>
          <w:color w:val="000000"/>
          <w:sz w:val="22"/>
          <w:szCs w:val="22"/>
          <w:lang w:val="sr-Latn-ME"/>
        </w:rPr>
        <w:t>Posebne mjere opreza pri odlaganju materijala koji treba odbaciti nakon primjene lijeka</w:t>
      </w:r>
      <w:r w:rsidRPr="00B8307D">
        <w:rPr>
          <w:b/>
          <w:bCs/>
          <w:sz w:val="22"/>
          <w:szCs w:val="22"/>
          <w:lang w:val="sr-Latn-ME"/>
        </w:rPr>
        <w:t xml:space="preserve"> </w:t>
      </w:r>
      <w:r w:rsidR="00310F03" w:rsidRPr="00B8307D">
        <w:rPr>
          <w:b/>
          <w:bCs/>
          <w:sz w:val="22"/>
          <w:szCs w:val="22"/>
          <w:lang w:val="sr-Latn-ME"/>
        </w:rPr>
        <w:t xml:space="preserve">(i druga uputsva za rukovanje lijekom) </w:t>
      </w:r>
    </w:p>
    <w:p w14:paraId="1FE5FE90" w14:textId="7F791B18" w:rsidR="00B66A70" w:rsidRPr="00B8307D" w:rsidRDefault="00B66A70" w:rsidP="000A067B">
      <w:pPr>
        <w:widowControl w:val="0"/>
        <w:tabs>
          <w:tab w:val="left" w:pos="540"/>
          <w:tab w:val="left" w:pos="569"/>
        </w:tabs>
        <w:ind w:right="13"/>
        <w:jc w:val="both"/>
        <w:rPr>
          <w:b/>
          <w:bCs/>
          <w:sz w:val="22"/>
          <w:szCs w:val="22"/>
          <w:lang w:val="sr-Latn-ME"/>
        </w:rPr>
      </w:pPr>
    </w:p>
    <w:p w14:paraId="50FE4C17" w14:textId="77777777" w:rsidR="007253DB" w:rsidRPr="00B8307D" w:rsidRDefault="007253DB" w:rsidP="000A067B">
      <w:pPr>
        <w:pStyle w:val="TextTi12"/>
        <w:widowControl w:val="0"/>
        <w:spacing w:after="0" w:line="240" w:lineRule="auto"/>
        <w:ind w:right="13"/>
        <w:rPr>
          <w:sz w:val="22"/>
          <w:szCs w:val="22"/>
        </w:rPr>
      </w:pPr>
      <w:r w:rsidRPr="00B8307D">
        <w:rPr>
          <w:sz w:val="22"/>
          <w:szCs w:val="22"/>
        </w:rPr>
        <w:t>Herceptin prije primjene treba pregledati da se uvjerite da ne sadrži čestice i da nije došlo do promjene boje.</w:t>
      </w:r>
    </w:p>
    <w:p w14:paraId="46B9E5CC" w14:textId="77777777" w:rsidR="007253DB" w:rsidRPr="00B8307D" w:rsidRDefault="007253DB" w:rsidP="000A067B">
      <w:pPr>
        <w:widowControl w:val="0"/>
        <w:ind w:right="13"/>
        <w:jc w:val="both"/>
        <w:rPr>
          <w:sz w:val="22"/>
          <w:szCs w:val="22"/>
          <w:lang w:val="sr-Latn-ME" w:eastAsia="ja-JP"/>
        </w:rPr>
      </w:pPr>
      <w:r w:rsidRPr="00B8307D">
        <w:rPr>
          <w:sz w:val="22"/>
          <w:szCs w:val="22"/>
          <w:lang w:val="sr-Latn-ME" w:eastAsia="ja-JP"/>
        </w:rPr>
        <w:t>Herceptin je namijenjen samo za jednokratnu primjenu.</w:t>
      </w:r>
    </w:p>
    <w:p w14:paraId="64B19BF9" w14:textId="77777777" w:rsidR="007253DB" w:rsidRPr="00B8307D" w:rsidRDefault="007253DB" w:rsidP="000A067B">
      <w:pPr>
        <w:widowControl w:val="0"/>
        <w:ind w:right="13"/>
        <w:jc w:val="both"/>
        <w:rPr>
          <w:sz w:val="22"/>
          <w:szCs w:val="22"/>
          <w:lang w:val="sr-Latn-ME" w:eastAsia="ja-JP"/>
        </w:rPr>
      </w:pPr>
      <w:r w:rsidRPr="00B8307D">
        <w:rPr>
          <w:sz w:val="22"/>
          <w:szCs w:val="22"/>
          <w:lang w:val="sr-Latn-ME" w:eastAsia="ja-JP"/>
        </w:rPr>
        <w:t>S obzirom da Herceptin ne sadrži antimikrobni konzervans, sa mikrobiološkog stanovišta lijek se mora odmah primijeniti. Ako se ne primjenjuje odmah, priprema se mora obaviti u kontrolisanim i validiranim aseptičnim uslovima. Nakon prebacivanja rastvora u špric, preporuka je zamijeniti iglu korišćenu za prenos zaštitnim zatvaračem za špric kako bi se izbjeglo sušenje rastvora u igli i narušavanje kvaliteta lijeka. Hipodermalna igla za injekciju mora se pričvrstiti na špric neposredno prije primjene, nakon čega se zapremina treba prilagoditi na 5 ml.</w:t>
      </w:r>
    </w:p>
    <w:p w14:paraId="6411746F" w14:textId="0CB989A2" w:rsidR="007253DB" w:rsidRPr="00B8307D" w:rsidRDefault="007253DB" w:rsidP="000A067B">
      <w:pPr>
        <w:widowControl w:val="0"/>
        <w:tabs>
          <w:tab w:val="left" w:pos="540"/>
          <w:tab w:val="left" w:pos="569"/>
        </w:tabs>
        <w:ind w:right="13"/>
        <w:jc w:val="both"/>
        <w:rPr>
          <w:b/>
          <w:bCs/>
          <w:sz w:val="22"/>
          <w:szCs w:val="22"/>
          <w:lang w:val="sr-Latn-ME"/>
        </w:rPr>
      </w:pPr>
      <w:r w:rsidRPr="00B8307D">
        <w:rPr>
          <w:sz w:val="22"/>
          <w:szCs w:val="22"/>
          <w:lang w:val="sr-Latn-ME"/>
        </w:rPr>
        <w:t>Neiskorišteni lijek ili otpadni materijal treba odložiti u skladu lokalnim propisima.</w:t>
      </w:r>
    </w:p>
    <w:p w14:paraId="1FE5FE91" w14:textId="02BE3C94" w:rsidR="0072020E" w:rsidRPr="00B8307D" w:rsidRDefault="0072020E" w:rsidP="000A067B">
      <w:pPr>
        <w:widowControl w:val="0"/>
        <w:tabs>
          <w:tab w:val="left" w:pos="540"/>
          <w:tab w:val="left" w:pos="569"/>
        </w:tabs>
        <w:ind w:right="13"/>
        <w:jc w:val="both"/>
        <w:rPr>
          <w:bCs/>
          <w:sz w:val="22"/>
          <w:szCs w:val="22"/>
          <w:lang w:val="sr-Latn-ME"/>
        </w:rPr>
      </w:pPr>
    </w:p>
    <w:p w14:paraId="5726A140" w14:textId="77777777" w:rsidR="004F4A8B" w:rsidRPr="00B8307D" w:rsidRDefault="004F4A8B" w:rsidP="000A067B">
      <w:pPr>
        <w:widowControl w:val="0"/>
        <w:tabs>
          <w:tab w:val="left" w:pos="540"/>
          <w:tab w:val="left" w:pos="569"/>
        </w:tabs>
        <w:ind w:right="13"/>
        <w:jc w:val="both"/>
        <w:rPr>
          <w:bCs/>
          <w:sz w:val="22"/>
          <w:szCs w:val="22"/>
          <w:lang w:val="sr-Latn-ME"/>
        </w:rPr>
      </w:pPr>
    </w:p>
    <w:p w14:paraId="1FE5FE93" w14:textId="743E6932" w:rsidR="00C61BE0" w:rsidRPr="00B8307D" w:rsidRDefault="0072020E" w:rsidP="000A067B">
      <w:pPr>
        <w:widowControl w:val="0"/>
        <w:tabs>
          <w:tab w:val="left" w:pos="540"/>
          <w:tab w:val="left" w:pos="569"/>
        </w:tabs>
        <w:ind w:right="13"/>
        <w:jc w:val="both"/>
        <w:rPr>
          <w:b/>
          <w:bCs/>
          <w:sz w:val="22"/>
          <w:szCs w:val="22"/>
          <w:lang w:val="sr-Latn-ME"/>
        </w:rPr>
      </w:pPr>
      <w:r w:rsidRPr="00B8307D">
        <w:rPr>
          <w:b/>
          <w:bCs/>
          <w:sz w:val="22"/>
          <w:szCs w:val="22"/>
          <w:lang w:val="sr-Latn-ME"/>
        </w:rPr>
        <w:t xml:space="preserve">7. </w:t>
      </w:r>
      <w:r w:rsidR="00480FB1" w:rsidRPr="00B8307D">
        <w:rPr>
          <w:b/>
          <w:bCs/>
          <w:sz w:val="22"/>
          <w:szCs w:val="22"/>
          <w:lang w:val="sr-Latn-ME"/>
        </w:rPr>
        <w:tab/>
      </w:r>
      <w:r w:rsidRPr="00B8307D">
        <w:rPr>
          <w:b/>
          <w:bCs/>
          <w:sz w:val="22"/>
          <w:szCs w:val="22"/>
          <w:lang w:val="sr-Latn-ME"/>
        </w:rPr>
        <w:t>NOSILAC DOZVOLE</w:t>
      </w:r>
      <w:r w:rsidR="00483928" w:rsidRPr="00B8307D">
        <w:rPr>
          <w:b/>
          <w:bCs/>
          <w:sz w:val="22"/>
          <w:szCs w:val="22"/>
          <w:lang w:val="sr-Latn-ME"/>
        </w:rPr>
        <w:t xml:space="preserve"> </w:t>
      </w:r>
    </w:p>
    <w:p w14:paraId="19568DDD" w14:textId="77777777" w:rsidR="004F4A8B" w:rsidRPr="00B8307D" w:rsidRDefault="004F4A8B" w:rsidP="000A067B">
      <w:pPr>
        <w:widowControl w:val="0"/>
        <w:tabs>
          <w:tab w:val="left" w:pos="540"/>
          <w:tab w:val="left" w:pos="569"/>
        </w:tabs>
        <w:ind w:right="13"/>
        <w:jc w:val="both"/>
        <w:rPr>
          <w:b/>
          <w:bCs/>
          <w:sz w:val="22"/>
          <w:szCs w:val="22"/>
          <w:lang w:val="sr-Latn-ME"/>
        </w:rPr>
      </w:pPr>
    </w:p>
    <w:p w14:paraId="78007336" w14:textId="29427536" w:rsidR="009477BB" w:rsidRPr="00B8307D" w:rsidRDefault="00F44528" w:rsidP="000A067B">
      <w:pPr>
        <w:widowControl w:val="0"/>
        <w:tabs>
          <w:tab w:val="left" w:pos="708"/>
        </w:tabs>
        <w:ind w:left="72" w:right="13" w:hanging="72"/>
        <w:jc w:val="both"/>
        <w:rPr>
          <w:bCs/>
          <w:sz w:val="22"/>
          <w:szCs w:val="22"/>
          <w:lang w:val="sr-Latn-ME"/>
        </w:rPr>
      </w:pPr>
      <w:r w:rsidRPr="00B8307D">
        <w:rPr>
          <w:bCs/>
          <w:sz w:val="22"/>
          <w:szCs w:val="22"/>
          <w:lang w:val="sr-Latn-ME"/>
        </w:rPr>
        <w:t xml:space="preserve">"Hoffmann-La Roche LTD" D.S.D. </w:t>
      </w:r>
      <w:r w:rsidR="009477BB" w:rsidRPr="00B8307D">
        <w:rPr>
          <w:bCs/>
          <w:sz w:val="22"/>
          <w:szCs w:val="22"/>
          <w:lang w:val="sr-Latn-ME"/>
        </w:rPr>
        <w:t>Podgorica</w:t>
      </w:r>
    </w:p>
    <w:p w14:paraId="2A36D010" w14:textId="75975E13" w:rsidR="009477BB" w:rsidRPr="00B8307D" w:rsidRDefault="00F44528" w:rsidP="000A067B">
      <w:pPr>
        <w:widowControl w:val="0"/>
        <w:tabs>
          <w:tab w:val="left" w:pos="708"/>
        </w:tabs>
        <w:ind w:left="72" w:right="13" w:hanging="72"/>
        <w:jc w:val="both"/>
        <w:rPr>
          <w:bCs/>
          <w:sz w:val="22"/>
          <w:szCs w:val="22"/>
          <w:lang w:val="sr-Latn-ME"/>
        </w:rPr>
      </w:pPr>
      <w:r w:rsidRPr="00B8307D">
        <w:rPr>
          <w:bCs/>
          <w:sz w:val="22"/>
          <w:szCs w:val="22"/>
          <w:lang w:val="sr-Latn-ME"/>
        </w:rPr>
        <w:t xml:space="preserve">ul. </w:t>
      </w:r>
      <w:r w:rsidR="009477BB" w:rsidRPr="00B8307D">
        <w:rPr>
          <w:bCs/>
          <w:sz w:val="22"/>
          <w:szCs w:val="22"/>
          <w:lang w:val="sr-Latn-ME"/>
        </w:rPr>
        <w:t>Cetinjska 11</w:t>
      </w:r>
      <w:r w:rsidR="00AA55B3" w:rsidRPr="00B8307D">
        <w:rPr>
          <w:bCs/>
          <w:sz w:val="22"/>
          <w:szCs w:val="22"/>
          <w:lang w:val="sr-Latn-ME"/>
        </w:rPr>
        <w:t xml:space="preserve">, </w:t>
      </w:r>
      <w:r w:rsidR="009477BB" w:rsidRPr="00B8307D">
        <w:rPr>
          <w:bCs/>
          <w:sz w:val="22"/>
          <w:szCs w:val="22"/>
          <w:lang w:val="sr-Latn-ME"/>
        </w:rPr>
        <w:t>81000 Podgorica, Crna Gora</w:t>
      </w:r>
    </w:p>
    <w:p w14:paraId="1FE5FE94" w14:textId="0A3F3138" w:rsidR="00C37FD7" w:rsidRPr="00B8307D" w:rsidRDefault="00C37FD7" w:rsidP="000A067B">
      <w:pPr>
        <w:widowControl w:val="0"/>
        <w:tabs>
          <w:tab w:val="left" w:pos="540"/>
          <w:tab w:val="left" w:pos="569"/>
        </w:tabs>
        <w:ind w:right="13"/>
        <w:jc w:val="both"/>
        <w:rPr>
          <w:bCs/>
          <w:sz w:val="22"/>
          <w:szCs w:val="22"/>
          <w:lang w:val="sr-Latn-ME"/>
        </w:rPr>
      </w:pPr>
    </w:p>
    <w:p w14:paraId="354FE4BF" w14:textId="77777777" w:rsidR="004F4A8B" w:rsidRPr="00B8307D" w:rsidRDefault="004F4A8B" w:rsidP="000A067B">
      <w:pPr>
        <w:widowControl w:val="0"/>
        <w:tabs>
          <w:tab w:val="left" w:pos="540"/>
          <w:tab w:val="left" w:pos="569"/>
        </w:tabs>
        <w:ind w:right="13"/>
        <w:jc w:val="both"/>
        <w:rPr>
          <w:bCs/>
          <w:sz w:val="22"/>
          <w:szCs w:val="22"/>
          <w:lang w:val="sr-Latn-ME"/>
        </w:rPr>
      </w:pPr>
    </w:p>
    <w:p w14:paraId="1FE5FE95" w14:textId="3312B4E9" w:rsidR="0072020E" w:rsidRPr="00B8307D" w:rsidRDefault="0072020E" w:rsidP="000A067B">
      <w:pPr>
        <w:widowControl w:val="0"/>
        <w:tabs>
          <w:tab w:val="left" w:pos="540"/>
          <w:tab w:val="left" w:pos="569"/>
        </w:tabs>
        <w:ind w:right="13"/>
        <w:jc w:val="both"/>
        <w:rPr>
          <w:b/>
          <w:bCs/>
          <w:sz w:val="22"/>
          <w:szCs w:val="22"/>
          <w:lang w:val="sr-Latn-ME"/>
        </w:rPr>
      </w:pPr>
      <w:r w:rsidRPr="00B8307D">
        <w:rPr>
          <w:b/>
          <w:bCs/>
          <w:sz w:val="22"/>
          <w:szCs w:val="22"/>
          <w:lang w:val="sr-Latn-ME"/>
        </w:rPr>
        <w:t xml:space="preserve">8. </w:t>
      </w:r>
      <w:r w:rsidR="00480FB1" w:rsidRPr="00B8307D">
        <w:rPr>
          <w:b/>
          <w:bCs/>
          <w:sz w:val="22"/>
          <w:szCs w:val="22"/>
          <w:lang w:val="sr-Latn-ME"/>
        </w:rPr>
        <w:tab/>
      </w:r>
      <w:r w:rsidRPr="00B8307D">
        <w:rPr>
          <w:b/>
          <w:bCs/>
          <w:sz w:val="22"/>
          <w:szCs w:val="22"/>
          <w:lang w:val="sr-Latn-ME"/>
        </w:rPr>
        <w:t>BROJ DOZVOLE</w:t>
      </w:r>
      <w:r w:rsidR="008A6D43" w:rsidRPr="00B8307D">
        <w:rPr>
          <w:b/>
          <w:bCs/>
          <w:sz w:val="22"/>
          <w:szCs w:val="22"/>
          <w:lang w:val="sr-Latn-ME"/>
        </w:rPr>
        <w:t xml:space="preserve"> ZA STAVLJANJE LIJEKA U PROMET</w:t>
      </w:r>
    </w:p>
    <w:p w14:paraId="6FB311A1" w14:textId="77777777" w:rsidR="004F4A8B" w:rsidRPr="00B8307D" w:rsidRDefault="004F4A8B" w:rsidP="000A067B">
      <w:pPr>
        <w:widowControl w:val="0"/>
        <w:tabs>
          <w:tab w:val="left" w:pos="540"/>
          <w:tab w:val="left" w:pos="569"/>
        </w:tabs>
        <w:ind w:right="13"/>
        <w:jc w:val="both"/>
        <w:rPr>
          <w:b/>
          <w:bCs/>
          <w:sz w:val="22"/>
          <w:szCs w:val="22"/>
          <w:lang w:val="sr-Latn-ME"/>
        </w:rPr>
      </w:pPr>
    </w:p>
    <w:p w14:paraId="1FE5FE97" w14:textId="27A3A385" w:rsidR="00F45F77" w:rsidRPr="00B8307D" w:rsidRDefault="00B8307D" w:rsidP="000A067B">
      <w:pPr>
        <w:widowControl w:val="0"/>
        <w:tabs>
          <w:tab w:val="left" w:pos="540"/>
          <w:tab w:val="left" w:pos="569"/>
        </w:tabs>
        <w:ind w:right="13"/>
        <w:jc w:val="both"/>
        <w:rPr>
          <w:bCs/>
          <w:sz w:val="22"/>
          <w:szCs w:val="22"/>
          <w:lang w:val="sr-Latn-ME"/>
        </w:rPr>
      </w:pPr>
      <w:r w:rsidRPr="00B8307D">
        <w:rPr>
          <w:sz w:val="22"/>
          <w:szCs w:val="22"/>
          <w:lang w:val="sr-Latn-ME" w:eastAsia="sr-Latn-ME"/>
        </w:rPr>
        <w:t>2030/25/1233 - 6007</w:t>
      </w:r>
    </w:p>
    <w:p w14:paraId="7B7E7DE4" w14:textId="71EBB36F" w:rsidR="004F4A8B" w:rsidRPr="00B8307D" w:rsidRDefault="004F4A8B" w:rsidP="000A067B">
      <w:pPr>
        <w:widowControl w:val="0"/>
        <w:tabs>
          <w:tab w:val="left" w:pos="540"/>
          <w:tab w:val="left" w:pos="569"/>
        </w:tabs>
        <w:ind w:right="13"/>
        <w:jc w:val="both"/>
        <w:rPr>
          <w:bCs/>
          <w:sz w:val="22"/>
          <w:szCs w:val="22"/>
          <w:lang w:val="sr-Latn-ME"/>
        </w:rPr>
      </w:pPr>
    </w:p>
    <w:p w14:paraId="7A4F9944" w14:textId="77777777" w:rsidR="00B8307D" w:rsidRPr="00B8307D" w:rsidRDefault="00B8307D" w:rsidP="000A067B">
      <w:pPr>
        <w:widowControl w:val="0"/>
        <w:tabs>
          <w:tab w:val="left" w:pos="540"/>
          <w:tab w:val="left" w:pos="569"/>
        </w:tabs>
        <w:ind w:right="13"/>
        <w:jc w:val="both"/>
        <w:rPr>
          <w:bCs/>
          <w:sz w:val="22"/>
          <w:szCs w:val="22"/>
          <w:lang w:val="sr-Latn-ME"/>
        </w:rPr>
      </w:pPr>
    </w:p>
    <w:p w14:paraId="1FE5FE99" w14:textId="7EC892BC" w:rsidR="0072020E" w:rsidRPr="00B8307D" w:rsidRDefault="0072020E" w:rsidP="000A067B">
      <w:pPr>
        <w:widowControl w:val="0"/>
        <w:tabs>
          <w:tab w:val="left" w:pos="540"/>
          <w:tab w:val="left" w:pos="569"/>
        </w:tabs>
        <w:ind w:right="13"/>
        <w:jc w:val="both"/>
        <w:rPr>
          <w:b/>
          <w:bCs/>
          <w:sz w:val="22"/>
          <w:szCs w:val="22"/>
          <w:lang w:val="sr-Latn-ME"/>
        </w:rPr>
      </w:pPr>
      <w:r w:rsidRPr="00B8307D">
        <w:rPr>
          <w:b/>
          <w:bCs/>
          <w:sz w:val="22"/>
          <w:szCs w:val="22"/>
          <w:lang w:val="sr-Latn-ME"/>
        </w:rPr>
        <w:t xml:space="preserve">9. </w:t>
      </w:r>
      <w:r w:rsidR="00480FB1" w:rsidRPr="00B8307D">
        <w:rPr>
          <w:b/>
          <w:bCs/>
          <w:sz w:val="22"/>
          <w:szCs w:val="22"/>
          <w:lang w:val="sr-Latn-ME"/>
        </w:rPr>
        <w:tab/>
      </w:r>
      <w:r w:rsidRPr="00B8307D">
        <w:rPr>
          <w:b/>
          <w:bCs/>
          <w:sz w:val="22"/>
          <w:szCs w:val="22"/>
          <w:lang w:val="sr-Latn-ME"/>
        </w:rPr>
        <w:t xml:space="preserve">DATUM </w:t>
      </w:r>
      <w:r w:rsidR="00C05DF8" w:rsidRPr="00B8307D">
        <w:rPr>
          <w:b/>
          <w:bCs/>
          <w:sz w:val="22"/>
          <w:szCs w:val="22"/>
          <w:lang w:val="sr-Latn-ME"/>
        </w:rPr>
        <w:t xml:space="preserve">PRVE </w:t>
      </w:r>
      <w:r w:rsidR="008A6D43" w:rsidRPr="00B8307D">
        <w:rPr>
          <w:b/>
          <w:bCs/>
          <w:sz w:val="22"/>
          <w:szCs w:val="22"/>
          <w:lang w:val="sr-Latn-ME"/>
        </w:rPr>
        <w:t>DOZVOLE</w:t>
      </w:r>
      <w:r w:rsidR="00C05DF8" w:rsidRPr="00B8307D">
        <w:rPr>
          <w:b/>
          <w:bCs/>
          <w:sz w:val="22"/>
          <w:szCs w:val="22"/>
          <w:lang w:val="sr-Latn-ME"/>
        </w:rPr>
        <w:t>/OBNOVE DOZVOLE</w:t>
      </w:r>
      <w:r w:rsidR="008A6D43" w:rsidRPr="00B8307D">
        <w:rPr>
          <w:b/>
          <w:bCs/>
          <w:sz w:val="22"/>
          <w:szCs w:val="22"/>
          <w:lang w:val="sr-Latn-ME"/>
        </w:rPr>
        <w:t xml:space="preserve"> ZA STAVLJANJE LIJEKA U PROMET</w:t>
      </w:r>
    </w:p>
    <w:p w14:paraId="6FB2215E" w14:textId="77777777" w:rsidR="004F4A8B" w:rsidRPr="00B8307D" w:rsidRDefault="004F4A8B" w:rsidP="000A067B">
      <w:pPr>
        <w:widowControl w:val="0"/>
        <w:tabs>
          <w:tab w:val="left" w:pos="540"/>
          <w:tab w:val="left" w:pos="569"/>
        </w:tabs>
        <w:ind w:right="13"/>
        <w:jc w:val="both"/>
        <w:rPr>
          <w:b/>
          <w:bCs/>
          <w:sz w:val="22"/>
          <w:szCs w:val="22"/>
          <w:lang w:val="sr-Latn-ME"/>
        </w:rPr>
      </w:pPr>
    </w:p>
    <w:p w14:paraId="1FE5FE9A" w14:textId="20F46259" w:rsidR="00836B35" w:rsidRPr="00B8307D" w:rsidRDefault="00E30843" w:rsidP="000A067B">
      <w:pPr>
        <w:widowControl w:val="0"/>
        <w:tabs>
          <w:tab w:val="left" w:pos="540"/>
          <w:tab w:val="left" w:pos="569"/>
        </w:tabs>
        <w:rPr>
          <w:sz w:val="22"/>
          <w:szCs w:val="22"/>
          <w:lang w:val="sr-Latn-ME"/>
        </w:rPr>
      </w:pPr>
      <w:r w:rsidRPr="00B8307D">
        <w:rPr>
          <w:sz w:val="22"/>
          <w:szCs w:val="22"/>
          <w:lang w:val="sr-Latn-ME"/>
        </w:rPr>
        <w:t xml:space="preserve">Datum prve dozvole: </w:t>
      </w:r>
      <w:r w:rsidR="009477BB" w:rsidRPr="00B8307D">
        <w:rPr>
          <w:sz w:val="22"/>
          <w:szCs w:val="22"/>
          <w:lang w:val="sr-Latn-ME"/>
        </w:rPr>
        <w:t>07.05.2014. godine</w:t>
      </w:r>
    </w:p>
    <w:p w14:paraId="5A6DA89A" w14:textId="13A9DAC1" w:rsidR="00E30843" w:rsidRPr="00B8307D" w:rsidRDefault="00E30843" w:rsidP="000A067B">
      <w:pPr>
        <w:widowControl w:val="0"/>
        <w:tabs>
          <w:tab w:val="left" w:pos="540"/>
          <w:tab w:val="left" w:pos="569"/>
        </w:tabs>
        <w:rPr>
          <w:sz w:val="22"/>
          <w:szCs w:val="22"/>
          <w:lang w:val="sr-Latn-ME"/>
        </w:rPr>
      </w:pPr>
      <w:r w:rsidRPr="00B8307D">
        <w:rPr>
          <w:sz w:val="22"/>
          <w:szCs w:val="22"/>
          <w:lang w:val="sr-Latn-ME"/>
        </w:rPr>
        <w:t>Datum posljednje obnove dozvole:</w:t>
      </w:r>
      <w:r w:rsidR="00F45767">
        <w:rPr>
          <w:sz w:val="22"/>
          <w:szCs w:val="22"/>
          <w:lang w:val="sr-Latn-ME"/>
        </w:rPr>
        <w:t xml:space="preserve"> 19</w:t>
      </w:r>
      <w:bookmarkStart w:id="0" w:name="_GoBack"/>
      <w:bookmarkEnd w:id="0"/>
      <w:r w:rsidR="00B8307D" w:rsidRPr="00B8307D">
        <w:rPr>
          <w:sz w:val="22"/>
          <w:szCs w:val="22"/>
          <w:lang w:val="sr-Latn-ME"/>
        </w:rPr>
        <w:t>.03.2025. godine</w:t>
      </w:r>
    </w:p>
    <w:p w14:paraId="0FACCEF3" w14:textId="3A68903A" w:rsidR="009477BB" w:rsidRPr="00B8307D" w:rsidRDefault="009477BB" w:rsidP="000A067B">
      <w:pPr>
        <w:widowControl w:val="0"/>
        <w:tabs>
          <w:tab w:val="left" w:pos="540"/>
          <w:tab w:val="left" w:pos="569"/>
        </w:tabs>
        <w:rPr>
          <w:bCs/>
          <w:sz w:val="22"/>
          <w:szCs w:val="22"/>
          <w:lang w:val="sr-Latn-ME"/>
        </w:rPr>
      </w:pPr>
    </w:p>
    <w:p w14:paraId="5871CBFF" w14:textId="77777777" w:rsidR="004F4A8B" w:rsidRPr="00B8307D" w:rsidRDefault="004F4A8B" w:rsidP="000A067B">
      <w:pPr>
        <w:widowControl w:val="0"/>
        <w:tabs>
          <w:tab w:val="left" w:pos="540"/>
          <w:tab w:val="left" w:pos="569"/>
        </w:tabs>
        <w:rPr>
          <w:bCs/>
          <w:sz w:val="22"/>
          <w:szCs w:val="22"/>
          <w:lang w:val="sr-Latn-ME"/>
        </w:rPr>
      </w:pPr>
    </w:p>
    <w:p w14:paraId="1FE5FE9B" w14:textId="77777777" w:rsidR="003F6A59" w:rsidRPr="00B8307D" w:rsidRDefault="0072020E" w:rsidP="000A067B">
      <w:pPr>
        <w:widowControl w:val="0"/>
        <w:tabs>
          <w:tab w:val="left" w:pos="540"/>
          <w:tab w:val="left" w:pos="569"/>
        </w:tabs>
        <w:ind w:left="540" w:hanging="540"/>
        <w:rPr>
          <w:bCs/>
          <w:sz w:val="22"/>
          <w:szCs w:val="22"/>
          <w:lang w:val="sr-Latn-ME"/>
        </w:rPr>
      </w:pPr>
      <w:r w:rsidRPr="00B8307D">
        <w:rPr>
          <w:b/>
          <w:bCs/>
          <w:sz w:val="22"/>
          <w:szCs w:val="22"/>
          <w:lang w:val="sr-Latn-ME"/>
        </w:rPr>
        <w:t xml:space="preserve">10. </w:t>
      </w:r>
      <w:r w:rsidR="00480FB1" w:rsidRPr="00B8307D">
        <w:rPr>
          <w:b/>
          <w:bCs/>
          <w:sz w:val="22"/>
          <w:szCs w:val="22"/>
          <w:lang w:val="sr-Latn-ME"/>
        </w:rPr>
        <w:tab/>
      </w:r>
      <w:r w:rsidR="002846DB" w:rsidRPr="00B8307D">
        <w:rPr>
          <w:b/>
          <w:bCs/>
          <w:sz w:val="22"/>
          <w:szCs w:val="22"/>
          <w:lang w:val="sr-Latn-ME"/>
        </w:rPr>
        <w:t>D</w:t>
      </w:r>
      <w:r w:rsidR="00EC2532" w:rsidRPr="00B8307D">
        <w:rPr>
          <w:b/>
          <w:bCs/>
          <w:sz w:val="22"/>
          <w:szCs w:val="22"/>
          <w:lang w:val="sr-Latn-ME"/>
        </w:rPr>
        <w:t xml:space="preserve">ATUM REVIZIJE TEKSTA </w:t>
      </w:r>
    </w:p>
    <w:p w14:paraId="1FE5FE9C" w14:textId="77777777" w:rsidR="003F6A59" w:rsidRPr="00B8307D" w:rsidRDefault="003F6A59" w:rsidP="000A067B">
      <w:pPr>
        <w:widowControl w:val="0"/>
        <w:tabs>
          <w:tab w:val="left" w:pos="540"/>
          <w:tab w:val="left" w:pos="569"/>
        </w:tabs>
        <w:rPr>
          <w:bCs/>
          <w:sz w:val="22"/>
          <w:szCs w:val="22"/>
          <w:lang w:val="sr-Latn-ME"/>
        </w:rPr>
      </w:pPr>
    </w:p>
    <w:p w14:paraId="1FE5FEA4" w14:textId="01694501" w:rsidR="003F6A59" w:rsidRPr="00B8307D" w:rsidRDefault="00B8307D" w:rsidP="000A067B">
      <w:pPr>
        <w:widowControl w:val="0"/>
        <w:rPr>
          <w:sz w:val="22"/>
          <w:szCs w:val="22"/>
          <w:lang w:val="sr-Latn-ME"/>
        </w:rPr>
      </w:pPr>
      <w:r w:rsidRPr="00B8307D">
        <w:rPr>
          <w:sz w:val="22"/>
          <w:szCs w:val="22"/>
          <w:lang w:val="sr-Latn-ME"/>
        </w:rPr>
        <w:t>Mart, 2025. godine</w:t>
      </w:r>
    </w:p>
    <w:sectPr w:rsidR="003F6A59" w:rsidRPr="00B8307D" w:rsidSect="00EF3B86">
      <w:footerReference w:type="default" r:id="rId15"/>
      <w:pgSz w:w="11909" w:h="16834" w:code="9"/>
      <w:pgMar w:top="1140" w:right="1412" w:bottom="1140" w:left="1412"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65B41E" w14:textId="77777777" w:rsidR="00D93526" w:rsidRDefault="00D93526">
      <w:r>
        <w:separator/>
      </w:r>
    </w:p>
  </w:endnote>
  <w:endnote w:type="continuationSeparator" w:id="0">
    <w:p w14:paraId="65928F5E" w14:textId="77777777" w:rsidR="00D93526" w:rsidRDefault="00D935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E5FEAD" w14:textId="711FAF7F" w:rsidR="00E30843" w:rsidRPr="00B23F69" w:rsidRDefault="00E30843"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F45767">
      <w:rPr>
        <w:noProof/>
        <w:sz w:val="22"/>
        <w:szCs w:val="22"/>
      </w:rPr>
      <w:t>28</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F45767">
      <w:rPr>
        <w:noProof/>
        <w:sz w:val="22"/>
        <w:szCs w:val="22"/>
      </w:rPr>
      <w:t>28</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ACDBCC" w14:textId="77777777" w:rsidR="00D93526" w:rsidRDefault="00D93526">
      <w:r>
        <w:separator/>
      </w:r>
    </w:p>
  </w:footnote>
  <w:footnote w:type="continuationSeparator" w:id="0">
    <w:p w14:paraId="4706BC0C" w14:textId="77777777" w:rsidR="00D93526" w:rsidRDefault="00D935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5.9pt;height:13.7pt;visibility:visible" o:bullet="t">
        <v:imagedata r:id="rId1" o:title="BT_1000x858px"/>
      </v:shape>
    </w:pict>
  </w:numPicBullet>
  <w:abstractNum w:abstractNumId="0" w15:restartNumberingAfterBreak="0">
    <w:nsid w:val="0A260726"/>
    <w:multiLevelType w:val="hybridMultilevel"/>
    <w:tmpl w:val="B4D86E22"/>
    <w:lvl w:ilvl="0" w:tplc="6980D1D8">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CF53B3"/>
    <w:multiLevelType w:val="hybridMultilevel"/>
    <w:tmpl w:val="61D2189E"/>
    <w:lvl w:ilvl="0" w:tplc="9BC8B70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FDC6E88"/>
    <w:multiLevelType w:val="hybridMultilevel"/>
    <w:tmpl w:val="69740DB2"/>
    <w:lvl w:ilvl="0" w:tplc="9BC8B70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FD2778"/>
    <w:multiLevelType w:val="hybridMultilevel"/>
    <w:tmpl w:val="BF861976"/>
    <w:lvl w:ilvl="0" w:tplc="9E6649E0">
      <w:start w:val="8"/>
      <w:numFmt w:val="bullet"/>
      <w:lvlText w:val="-"/>
      <w:lvlJc w:val="left"/>
      <w:pPr>
        <w:ind w:left="720" w:hanging="360"/>
      </w:pPr>
      <w:rPr>
        <w:rFonts w:ascii="Arial" w:eastAsia="Times New Roman" w:hAnsi="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3B14240C"/>
    <w:multiLevelType w:val="hybridMultilevel"/>
    <w:tmpl w:val="2CF89852"/>
    <w:lvl w:ilvl="0" w:tplc="9BC8B70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4BB36A07"/>
    <w:multiLevelType w:val="hybridMultilevel"/>
    <w:tmpl w:val="C3844896"/>
    <w:lvl w:ilvl="0" w:tplc="9BC8B70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582708E4"/>
    <w:multiLevelType w:val="hybridMultilevel"/>
    <w:tmpl w:val="26DACD26"/>
    <w:lvl w:ilvl="0" w:tplc="3CF2A216">
      <w:start w:val="1"/>
      <w:numFmt w:val="lowerLetter"/>
      <w:lvlText w:val="(%1)"/>
      <w:lvlJc w:val="left"/>
      <w:pPr>
        <w:tabs>
          <w:tab w:val="num" w:pos="720"/>
        </w:tabs>
        <w:ind w:left="720" w:hanging="360"/>
      </w:pPr>
    </w:lvl>
    <w:lvl w:ilvl="1" w:tplc="CEDC7FA0">
      <w:start w:val="1"/>
      <w:numFmt w:val="decimal"/>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61DD305A"/>
    <w:multiLevelType w:val="hybridMultilevel"/>
    <w:tmpl w:val="52700248"/>
    <w:lvl w:ilvl="0" w:tplc="9E6649E0">
      <w:start w:val="8"/>
      <w:numFmt w:val="bullet"/>
      <w:lvlText w:val="-"/>
      <w:lvlJc w:val="left"/>
      <w:pPr>
        <w:tabs>
          <w:tab w:val="num" w:pos="720"/>
        </w:tabs>
        <w:ind w:left="720" w:hanging="360"/>
      </w:pPr>
      <w:rPr>
        <w:rFonts w:ascii="Arial" w:eastAsia="Times New Roman" w:hAnsi="Arial" w:hint="default"/>
        <w:color w:val="auto"/>
      </w:rPr>
    </w:lvl>
    <w:lvl w:ilvl="1" w:tplc="CEDC7FA0">
      <w:start w:val="1"/>
      <w:numFmt w:val="decimal"/>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D7C71E0"/>
    <w:multiLevelType w:val="hybridMultilevel"/>
    <w:tmpl w:val="B4EEC6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73747C66"/>
    <w:multiLevelType w:val="hybridMultilevel"/>
    <w:tmpl w:val="4756069C"/>
    <w:lvl w:ilvl="0" w:tplc="9E6649E0">
      <w:start w:val="8"/>
      <w:numFmt w:val="bullet"/>
      <w:lvlText w:val="-"/>
      <w:lvlJc w:val="left"/>
      <w:pPr>
        <w:ind w:left="720" w:hanging="360"/>
      </w:pPr>
      <w:rPr>
        <w:rFonts w:ascii="Arial" w:eastAsia="Times New Roman" w:hAnsi="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B995E33"/>
    <w:multiLevelType w:val="hybridMultilevel"/>
    <w:tmpl w:val="1C126482"/>
    <w:lvl w:ilvl="0" w:tplc="6980D1D8">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7"/>
  </w:num>
  <w:num w:numId="3">
    <w:abstractNumId w:val="2"/>
  </w:num>
  <w:num w:numId="4">
    <w:abstractNumId w:val="14"/>
  </w:num>
  <w:num w:numId="5">
    <w:abstractNumId w:val="7"/>
  </w:num>
  <w:num w:numId="6">
    <w:abstractNumId w:val="3"/>
  </w:num>
  <w:num w:numId="7">
    <w:abstractNumId w:val="12"/>
  </w:num>
  <w:num w:numId="8">
    <w:abstractNumId w:val="6"/>
  </w:num>
  <w:num w:numId="9">
    <w:abstractNumId w:val="10"/>
  </w:num>
  <w:num w:numId="10">
    <w:abstractNumId w:val="20"/>
  </w:num>
  <w:num w:numId="11">
    <w:abstractNumId w:val="8"/>
  </w:num>
  <w:num w:numId="12">
    <w:abstractNumId w:val="13"/>
  </w:num>
  <w:num w:numId="13">
    <w:abstractNumId w:val="16"/>
  </w:num>
  <w:num w:numId="14">
    <w:abstractNumId w:val="0"/>
  </w:num>
  <w:num w:numId="15">
    <w:abstractNumId w:val="21"/>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4"/>
  </w:num>
  <w:num w:numId="19">
    <w:abstractNumId w:val="1"/>
  </w:num>
  <w:num w:numId="20">
    <w:abstractNumId w:val="9"/>
  </w:num>
  <w:num w:numId="21">
    <w:abstractNumId w:val="18"/>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07B8F"/>
    <w:rsid w:val="000176CA"/>
    <w:rsid w:val="00031D2C"/>
    <w:rsid w:val="00036FA0"/>
    <w:rsid w:val="0003793F"/>
    <w:rsid w:val="0004311D"/>
    <w:rsid w:val="00051311"/>
    <w:rsid w:val="00057E35"/>
    <w:rsid w:val="00066FA8"/>
    <w:rsid w:val="00076726"/>
    <w:rsid w:val="00080303"/>
    <w:rsid w:val="00085BE4"/>
    <w:rsid w:val="00095190"/>
    <w:rsid w:val="000A067B"/>
    <w:rsid w:val="000A0860"/>
    <w:rsid w:val="000A3F58"/>
    <w:rsid w:val="000B20D8"/>
    <w:rsid w:val="000C5F97"/>
    <w:rsid w:val="000D2343"/>
    <w:rsid w:val="000D3449"/>
    <w:rsid w:val="000D425A"/>
    <w:rsid w:val="000D60CC"/>
    <w:rsid w:val="000E2084"/>
    <w:rsid w:val="000E6F55"/>
    <w:rsid w:val="000F77FA"/>
    <w:rsid w:val="00100DB5"/>
    <w:rsid w:val="00101234"/>
    <w:rsid w:val="0010293E"/>
    <w:rsid w:val="00107BF7"/>
    <w:rsid w:val="00111E5B"/>
    <w:rsid w:val="00125FC3"/>
    <w:rsid w:val="00126F53"/>
    <w:rsid w:val="00142F9E"/>
    <w:rsid w:val="0014766D"/>
    <w:rsid w:val="001536CC"/>
    <w:rsid w:val="0017447F"/>
    <w:rsid w:val="001A3FBA"/>
    <w:rsid w:val="001A5518"/>
    <w:rsid w:val="001B1C6A"/>
    <w:rsid w:val="001C1263"/>
    <w:rsid w:val="001C1417"/>
    <w:rsid w:val="001D3DC4"/>
    <w:rsid w:val="001E390B"/>
    <w:rsid w:val="001E3B82"/>
    <w:rsid w:val="001F42FB"/>
    <w:rsid w:val="001F719A"/>
    <w:rsid w:val="002031B3"/>
    <w:rsid w:val="00215931"/>
    <w:rsid w:val="002226F3"/>
    <w:rsid w:val="00227BDB"/>
    <w:rsid w:val="00234CB1"/>
    <w:rsid w:val="002352F8"/>
    <w:rsid w:val="0023606E"/>
    <w:rsid w:val="00243322"/>
    <w:rsid w:val="00247C5A"/>
    <w:rsid w:val="002510A5"/>
    <w:rsid w:val="00254A0A"/>
    <w:rsid w:val="00266046"/>
    <w:rsid w:val="00272AC1"/>
    <w:rsid w:val="00282E03"/>
    <w:rsid w:val="002846DB"/>
    <w:rsid w:val="00284CCD"/>
    <w:rsid w:val="002925E5"/>
    <w:rsid w:val="002C01A9"/>
    <w:rsid w:val="002C05CF"/>
    <w:rsid w:val="002C6637"/>
    <w:rsid w:val="002E0135"/>
    <w:rsid w:val="002E16A2"/>
    <w:rsid w:val="002E37A5"/>
    <w:rsid w:val="00310F03"/>
    <w:rsid w:val="00323C4D"/>
    <w:rsid w:val="003247D2"/>
    <w:rsid w:val="0033264A"/>
    <w:rsid w:val="00337AB4"/>
    <w:rsid w:val="003403F0"/>
    <w:rsid w:val="003445C1"/>
    <w:rsid w:val="00346A27"/>
    <w:rsid w:val="00355B61"/>
    <w:rsid w:val="00362686"/>
    <w:rsid w:val="00370785"/>
    <w:rsid w:val="00371510"/>
    <w:rsid w:val="00376D32"/>
    <w:rsid w:val="00396DFD"/>
    <w:rsid w:val="003A7059"/>
    <w:rsid w:val="003B7A36"/>
    <w:rsid w:val="003C17AB"/>
    <w:rsid w:val="003C7823"/>
    <w:rsid w:val="003D734B"/>
    <w:rsid w:val="003E1DCC"/>
    <w:rsid w:val="003E517A"/>
    <w:rsid w:val="003F2C5E"/>
    <w:rsid w:val="003F6A59"/>
    <w:rsid w:val="00405D33"/>
    <w:rsid w:val="004065C8"/>
    <w:rsid w:val="00411B4B"/>
    <w:rsid w:val="0041517A"/>
    <w:rsid w:val="00415BEE"/>
    <w:rsid w:val="0042271E"/>
    <w:rsid w:val="00427F85"/>
    <w:rsid w:val="00430324"/>
    <w:rsid w:val="00436F42"/>
    <w:rsid w:val="0043758A"/>
    <w:rsid w:val="004378B4"/>
    <w:rsid w:val="00451314"/>
    <w:rsid w:val="00452E9D"/>
    <w:rsid w:val="004534C7"/>
    <w:rsid w:val="004671AA"/>
    <w:rsid w:val="00480FB1"/>
    <w:rsid w:val="00483928"/>
    <w:rsid w:val="0048718D"/>
    <w:rsid w:val="004D6103"/>
    <w:rsid w:val="004E3BCE"/>
    <w:rsid w:val="004F0E97"/>
    <w:rsid w:val="004F2614"/>
    <w:rsid w:val="004F4A8B"/>
    <w:rsid w:val="004F6368"/>
    <w:rsid w:val="005069DD"/>
    <w:rsid w:val="00515C21"/>
    <w:rsid w:val="00522F86"/>
    <w:rsid w:val="00530BD7"/>
    <w:rsid w:val="0053424F"/>
    <w:rsid w:val="00545CD2"/>
    <w:rsid w:val="005476F3"/>
    <w:rsid w:val="00572527"/>
    <w:rsid w:val="00573E40"/>
    <w:rsid w:val="00576348"/>
    <w:rsid w:val="005A0B2E"/>
    <w:rsid w:val="005A23D2"/>
    <w:rsid w:val="005A36CB"/>
    <w:rsid w:val="005A62DC"/>
    <w:rsid w:val="005B49B8"/>
    <w:rsid w:val="005C0741"/>
    <w:rsid w:val="005C5EF4"/>
    <w:rsid w:val="005E2E0B"/>
    <w:rsid w:val="005E7A7D"/>
    <w:rsid w:val="005F19A0"/>
    <w:rsid w:val="005F6996"/>
    <w:rsid w:val="00615C3B"/>
    <w:rsid w:val="0064695A"/>
    <w:rsid w:val="00646BD1"/>
    <w:rsid w:val="0065323B"/>
    <w:rsid w:val="006561C2"/>
    <w:rsid w:val="00660C1D"/>
    <w:rsid w:val="00671CB3"/>
    <w:rsid w:val="00674BAF"/>
    <w:rsid w:val="00682200"/>
    <w:rsid w:val="006A1497"/>
    <w:rsid w:val="006B0BD1"/>
    <w:rsid w:val="006D20A5"/>
    <w:rsid w:val="006D37BF"/>
    <w:rsid w:val="006D68D6"/>
    <w:rsid w:val="00700743"/>
    <w:rsid w:val="00702E22"/>
    <w:rsid w:val="0072020E"/>
    <w:rsid w:val="007252D1"/>
    <w:rsid w:val="007253DB"/>
    <w:rsid w:val="00725C36"/>
    <w:rsid w:val="00731778"/>
    <w:rsid w:val="0074152D"/>
    <w:rsid w:val="00786071"/>
    <w:rsid w:val="007A3ECB"/>
    <w:rsid w:val="007B0F00"/>
    <w:rsid w:val="007D656C"/>
    <w:rsid w:val="007E7027"/>
    <w:rsid w:val="00805886"/>
    <w:rsid w:val="00824AB9"/>
    <w:rsid w:val="00832089"/>
    <w:rsid w:val="00836B35"/>
    <w:rsid w:val="00843BDE"/>
    <w:rsid w:val="00854787"/>
    <w:rsid w:val="0086115C"/>
    <w:rsid w:val="008674A8"/>
    <w:rsid w:val="00872EEC"/>
    <w:rsid w:val="0089705C"/>
    <w:rsid w:val="008A6D43"/>
    <w:rsid w:val="008B491E"/>
    <w:rsid w:val="008C1A28"/>
    <w:rsid w:val="008C2E98"/>
    <w:rsid w:val="008C3928"/>
    <w:rsid w:val="008D7F62"/>
    <w:rsid w:val="008E0740"/>
    <w:rsid w:val="008E49BD"/>
    <w:rsid w:val="008E53E9"/>
    <w:rsid w:val="008E5771"/>
    <w:rsid w:val="008F4AD0"/>
    <w:rsid w:val="008F4C75"/>
    <w:rsid w:val="0092586C"/>
    <w:rsid w:val="009329D5"/>
    <w:rsid w:val="0093587F"/>
    <w:rsid w:val="00940B9B"/>
    <w:rsid w:val="009410CA"/>
    <w:rsid w:val="009477BB"/>
    <w:rsid w:val="0095676E"/>
    <w:rsid w:val="00956983"/>
    <w:rsid w:val="00963CF0"/>
    <w:rsid w:val="00964935"/>
    <w:rsid w:val="00964BB1"/>
    <w:rsid w:val="0097620C"/>
    <w:rsid w:val="009775D9"/>
    <w:rsid w:val="00997175"/>
    <w:rsid w:val="009A1847"/>
    <w:rsid w:val="009B062A"/>
    <w:rsid w:val="009B7160"/>
    <w:rsid w:val="009D47DA"/>
    <w:rsid w:val="009E3548"/>
    <w:rsid w:val="009E545A"/>
    <w:rsid w:val="009E7C6F"/>
    <w:rsid w:val="009F1793"/>
    <w:rsid w:val="009F2D23"/>
    <w:rsid w:val="00A00361"/>
    <w:rsid w:val="00A01D69"/>
    <w:rsid w:val="00A02335"/>
    <w:rsid w:val="00A46C9A"/>
    <w:rsid w:val="00A53271"/>
    <w:rsid w:val="00A57F09"/>
    <w:rsid w:val="00A619F3"/>
    <w:rsid w:val="00A62A73"/>
    <w:rsid w:val="00A87FF6"/>
    <w:rsid w:val="00A9000B"/>
    <w:rsid w:val="00A962BF"/>
    <w:rsid w:val="00AA0A3B"/>
    <w:rsid w:val="00AA55B3"/>
    <w:rsid w:val="00AB1705"/>
    <w:rsid w:val="00AB50CA"/>
    <w:rsid w:val="00AC53CE"/>
    <w:rsid w:val="00AD2193"/>
    <w:rsid w:val="00AF2AC7"/>
    <w:rsid w:val="00AF74CE"/>
    <w:rsid w:val="00B04525"/>
    <w:rsid w:val="00B126A8"/>
    <w:rsid w:val="00B17D0A"/>
    <w:rsid w:val="00B208DB"/>
    <w:rsid w:val="00B22B2E"/>
    <w:rsid w:val="00B23F69"/>
    <w:rsid w:val="00B27297"/>
    <w:rsid w:val="00B60619"/>
    <w:rsid w:val="00B66A70"/>
    <w:rsid w:val="00B67366"/>
    <w:rsid w:val="00B80EE1"/>
    <w:rsid w:val="00B8307D"/>
    <w:rsid w:val="00B84135"/>
    <w:rsid w:val="00BD646A"/>
    <w:rsid w:val="00C04D34"/>
    <w:rsid w:val="00C05DF8"/>
    <w:rsid w:val="00C06864"/>
    <w:rsid w:val="00C10F54"/>
    <w:rsid w:val="00C15643"/>
    <w:rsid w:val="00C20602"/>
    <w:rsid w:val="00C23D8D"/>
    <w:rsid w:val="00C32AB8"/>
    <w:rsid w:val="00C371FA"/>
    <w:rsid w:val="00C37AA3"/>
    <w:rsid w:val="00C37FD7"/>
    <w:rsid w:val="00C43419"/>
    <w:rsid w:val="00C44CF3"/>
    <w:rsid w:val="00C61BE0"/>
    <w:rsid w:val="00C70B0E"/>
    <w:rsid w:val="00C773CA"/>
    <w:rsid w:val="00C83785"/>
    <w:rsid w:val="00C94075"/>
    <w:rsid w:val="00C94C0D"/>
    <w:rsid w:val="00C94DF3"/>
    <w:rsid w:val="00CA1FEB"/>
    <w:rsid w:val="00CD4F85"/>
    <w:rsid w:val="00CD6F02"/>
    <w:rsid w:val="00CE246D"/>
    <w:rsid w:val="00CF07A0"/>
    <w:rsid w:val="00CF3E03"/>
    <w:rsid w:val="00D0082A"/>
    <w:rsid w:val="00D21455"/>
    <w:rsid w:val="00D23F7C"/>
    <w:rsid w:val="00D46EE9"/>
    <w:rsid w:val="00D47634"/>
    <w:rsid w:val="00D709B3"/>
    <w:rsid w:val="00D752DB"/>
    <w:rsid w:val="00D86771"/>
    <w:rsid w:val="00D86851"/>
    <w:rsid w:val="00D93526"/>
    <w:rsid w:val="00DA2ED6"/>
    <w:rsid w:val="00DB4DBD"/>
    <w:rsid w:val="00DB76B8"/>
    <w:rsid w:val="00DC2EA1"/>
    <w:rsid w:val="00DD6AAF"/>
    <w:rsid w:val="00DD7D18"/>
    <w:rsid w:val="00DE17BF"/>
    <w:rsid w:val="00DE3522"/>
    <w:rsid w:val="00DE3F5C"/>
    <w:rsid w:val="00DF1D20"/>
    <w:rsid w:val="00E21324"/>
    <w:rsid w:val="00E246B9"/>
    <w:rsid w:val="00E30843"/>
    <w:rsid w:val="00E31FEA"/>
    <w:rsid w:val="00E45169"/>
    <w:rsid w:val="00E47787"/>
    <w:rsid w:val="00E51C30"/>
    <w:rsid w:val="00E64180"/>
    <w:rsid w:val="00E74AEE"/>
    <w:rsid w:val="00E85A09"/>
    <w:rsid w:val="00E868E5"/>
    <w:rsid w:val="00E9237A"/>
    <w:rsid w:val="00E939FA"/>
    <w:rsid w:val="00EA5765"/>
    <w:rsid w:val="00EA7BE5"/>
    <w:rsid w:val="00EC2532"/>
    <w:rsid w:val="00ED7812"/>
    <w:rsid w:val="00EF3B86"/>
    <w:rsid w:val="00F0548E"/>
    <w:rsid w:val="00F071C3"/>
    <w:rsid w:val="00F07BE3"/>
    <w:rsid w:val="00F10689"/>
    <w:rsid w:val="00F13057"/>
    <w:rsid w:val="00F21ECC"/>
    <w:rsid w:val="00F317E9"/>
    <w:rsid w:val="00F3333A"/>
    <w:rsid w:val="00F34554"/>
    <w:rsid w:val="00F36F2F"/>
    <w:rsid w:val="00F44528"/>
    <w:rsid w:val="00F45767"/>
    <w:rsid w:val="00F45F77"/>
    <w:rsid w:val="00F5167F"/>
    <w:rsid w:val="00F52258"/>
    <w:rsid w:val="00F74280"/>
    <w:rsid w:val="00F8570A"/>
    <w:rsid w:val="00F91C7B"/>
    <w:rsid w:val="00FF3B89"/>
    <w:rsid w:val="00FF4596"/>
    <w:rsid w:val="00FF5F8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E5FE33"/>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paragraph" w:styleId="ListParagraph">
    <w:name w:val="List Paragraph"/>
    <w:basedOn w:val="Normal"/>
    <w:uiPriority w:val="34"/>
    <w:qFormat/>
    <w:rsid w:val="007253DB"/>
    <w:pPr>
      <w:ind w:left="720"/>
      <w:contextualSpacing/>
    </w:pPr>
  </w:style>
  <w:style w:type="paragraph" w:styleId="BodyText">
    <w:name w:val="Body Text"/>
    <w:basedOn w:val="Normal"/>
    <w:link w:val="BodyTextChar"/>
    <w:rsid w:val="007253DB"/>
    <w:pPr>
      <w:spacing w:after="120"/>
    </w:pPr>
    <w:rPr>
      <w:sz w:val="20"/>
      <w:szCs w:val="20"/>
      <w:lang w:val="sr-Latn-ME"/>
    </w:rPr>
  </w:style>
  <w:style w:type="character" w:customStyle="1" w:styleId="BodyTextChar">
    <w:name w:val="Body Text Char"/>
    <w:basedOn w:val="DefaultParagraphFont"/>
    <w:link w:val="BodyText"/>
    <w:rsid w:val="007253DB"/>
    <w:rPr>
      <w:lang w:eastAsia="en-US"/>
    </w:rPr>
  </w:style>
  <w:style w:type="character" w:customStyle="1" w:styleId="TextTi12Char1">
    <w:name w:val="Text:Ti12 Char1"/>
    <w:link w:val="TextTi12"/>
    <w:locked/>
    <w:rsid w:val="007253DB"/>
    <w:rPr>
      <w:sz w:val="24"/>
      <w:lang w:eastAsia="ja-JP"/>
    </w:rPr>
  </w:style>
  <w:style w:type="paragraph" w:customStyle="1" w:styleId="TextTi12">
    <w:name w:val="Text:Ti12"/>
    <w:basedOn w:val="Normal"/>
    <w:link w:val="TextTi12Char1"/>
    <w:rsid w:val="007253DB"/>
    <w:pPr>
      <w:spacing w:after="170" w:line="280" w:lineRule="atLeast"/>
      <w:jc w:val="both"/>
    </w:pPr>
    <w:rPr>
      <w:szCs w:val="20"/>
      <w:lang w:val="sr-Latn-ME" w:eastAsia="ja-JP"/>
    </w:rPr>
  </w:style>
  <w:style w:type="character" w:styleId="Hyperlink">
    <w:name w:val="Hyperlink"/>
    <w:basedOn w:val="DefaultParagraphFont"/>
    <w:rsid w:val="008F4AD0"/>
    <w:rPr>
      <w:color w:val="0563C1" w:themeColor="hyperlink"/>
      <w:u w:val="single"/>
    </w:rPr>
  </w:style>
  <w:style w:type="paragraph" w:styleId="Revision">
    <w:name w:val="Revision"/>
    <w:hidden/>
    <w:uiPriority w:val="99"/>
    <w:semiHidden/>
    <w:rsid w:val="000B20D8"/>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giflow-eforms.who-umc.org/me/mead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ezeljenadejstva@cinmed.m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inmed.m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ExpireDate xmlns="http://schemas.microsoft.com/sharepoint/v3">2029-11-30T23:00:00+00:00</_dlc_ExpireDate>
    <TaxCatchAll xmlns="f191ad30-9ade-4f0c-b78e-cf30469879ae"/>
    <IconOverlay xmlns="http://schemas.microsoft.com/sharepoint/v4" xsi:nil="true"/>
    <TaxKeywordTaxHTField xmlns="35a8546d-9f91-45fa-a14e-0c4493b38db6">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A351063A9C658459944992FC5165942" ma:contentTypeVersion="8" ma:contentTypeDescription="Create a new document." ma:contentTypeScope="" ma:versionID="acabb834e45fa14419502decce5b3737">
  <xsd:schema xmlns:xsd="http://www.w3.org/2001/XMLSchema" xmlns:xs="http://www.w3.org/2001/XMLSchema" xmlns:p="http://schemas.microsoft.com/office/2006/metadata/properties" xmlns:ns1="http://schemas.microsoft.com/sharepoint/v3" xmlns:ns2="35a8546d-9f91-45fa-a14e-0c4493b38db6" xmlns:ns3="f191ad30-9ade-4f0c-b78e-cf30469879ae" xmlns:ns4="http://schemas.microsoft.com/sharepoint/v4" targetNamespace="http://schemas.microsoft.com/office/2006/metadata/properties" ma:root="true" ma:fieldsID="0ee48dc8ba83b8a378a4e67640f1dd2b" ns1:_="" ns2:_="" ns3:_="" ns4:_="">
    <xsd:import namespace="http://schemas.microsoft.com/sharepoint/v3"/>
    <xsd:import namespace="35a8546d-9f91-45fa-a14e-0c4493b38db6"/>
    <xsd:import namespace="f191ad30-9ade-4f0c-b78e-cf30469879ae"/>
    <xsd:import namespace="http://schemas.microsoft.com/sharepoint/v4"/>
    <xsd:element name="properties">
      <xsd:complexType>
        <xsd:sequence>
          <xsd:element name="documentManagement">
            <xsd:complexType>
              <xsd:all>
                <xsd:element ref="ns2:TaxKeywordTaxHTField" minOccurs="0"/>
                <xsd:element ref="ns3:TaxCatchAll" minOccurs="0"/>
                <xsd:element ref="ns1:_vti_ItemDeclaredRecord" minOccurs="0"/>
                <xsd:element ref="ns1:_dlc_Exempt" minOccurs="0"/>
                <xsd:element ref="ns1:_dlc_ExpireDateSaved" minOccurs="0"/>
                <xsd:element ref="ns1:_dlc_ExpireDate" minOccurs="0"/>
                <xsd:element ref="ns4:IconOverlay" minOccurs="0"/>
                <xsd:element ref="ns1:_vti_ItemHoldRecord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1" nillable="true" ma:displayName="Declared Record" ma:hidden="true" ma:internalName="_vti_ItemDeclaredRecord" ma:readOnly="true">
      <xsd:simpleType>
        <xsd:restriction base="dms:DateTime"/>
      </xsd:simpleType>
    </xsd:element>
    <xsd:element name="_dlc_Exempt" ma:index="12" nillable="true" ma:displayName="Exempt from Policy" ma:hidden="true" ma:internalName="_dlc_Exempt" ma:readOnly="true">
      <xsd:simpleType>
        <xsd:restriction base="dms:Unknown"/>
      </xsd:simpleType>
    </xsd:element>
    <xsd:element name="_dlc_ExpireDateSaved" ma:index="13" nillable="true" ma:displayName="Original Expiration Date" ma:hidden="true" ma:internalName="_dlc_ExpireDateSaved" ma:readOnly="true">
      <xsd:simpleType>
        <xsd:restriction base="dms:DateTime"/>
      </xsd:simpleType>
    </xsd:element>
    <xsd:element name="_dlc_ExpireDate" ma:index="14" nillable="true" ma:displayName="Expiration Date" ma:description="" ma:hidden="true" ma:indexed="true" ma:internalName="_dlc_ExpireDate" ma:readOnly="true">
      <xsd:simpleType>
        <xsd:restriction base="dms:DateTime"/>
      </xsd:simpleType>
    </xsd:element>
    <xsd:element name="_vti_ItemHoldRecordStatus" ma:index="16"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5a8546d-9f91-45fa-a14e-0c4493b38db6"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nterprise Keywords" ma:fieldId="{23f27201-bee3-471e-b2e7-b64fd8b7ca38}" ma:taxonomyMulti="true" ma:sspId="cb3b16da-6438-44a9-840c-73f1ed966cc5"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91ad30-9ade-4f0c-b78e-cf30469879ae"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b39baccb-2c56-4335-83af-0e91367fb186}" ma:internalName="TaxCatchAll" ma:showField="CatchAllData" ma:web="35a8546d-9f91-45fa-a14e-0c4493b38db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DEA110-5AF7-4052-9BF1-568F37775E90}">
  <ds:schemaRefs>
    <ds:schemaRef ds:uri="http://schemas.microsoft.com/office/2006/metadata/properties"/>
    <ds:schemaRef ds:uri="http://schemas.microsoft.com/office/infopath/2007/PartnerControls"/>
    <ds:schemaRef ds:uri="http://schemas.microsoft.com/sharepoint/v3"/>
    <ds:schemaRef ds:uri="f191ad30-9ade-4f0c-b78e-cf30469879ae"/>
    <ds:schemaRef ds:uri="http://schemas.microsoft.com/sharepoint/v4"/>
    <ds:schemaRef ds:uri="35a8546d-9f91-45fa-a14e-0c4493b38db6"/>
  </ds:schemaRefs>
</ds:datastoreItem>
</file>

<file path=customXml/itemProps2.xml><?xml version="1.0" encoding="utf-8"?>
<ds:datastoreItem xmlns:ds="http://schemas.openxmlformats.org/officeDocument/2006/customXml" ds:itemID="{0CD57665-ED4D-4BEC-809E-E65CF7EF8B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5a8546d-9f91-45fa-a14e-0c4493b38db6"/>
    <ds:schemaRef ds:uri="f191ad30-9ade-4f0c-b78e-cf30469879a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6052ED-D071-464B-9230-1F9C2D122BFA}">
  <ds:schemaRefs>
    <ds:schemaRef ds:uri="http://schemas.microsoft.com/sharepoint/v3/contenttype/forms"/>
  </ds:schemaRefs>
</ds:datastoreItem>
</file>

<file path=customXml/itemProps4.xml><?xml version="1.0" encoding="utf-8"?>
<ds:datastoreItem xmlns:ds="http://schemas.openxmlformats.org/officeDocument/2006/customXml" ds:itemID="{EC9C32E2-4DD7-4E1B-A2B5-23AC1344B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13646</Words>
  <Characters>77785</Characters>
  <Application>Microsoft Office Word</Application>
  <DocSecurity>0</DocSecurity>
  <Lines>648</Lines>
  <Paragraphs>182</Paragraphs>
  <ScaleCrop>false</ScaleCrop>
  <HeadingPairs>
    <vt:vector size="2" baseType="variant">
      <vt:variant>
        <vt:lpstr>Title</vt:lpstr>
      </vt:variant>
      <vt:variant>
        <vt:i4>1</vt:i4>
      </vt:variant>
    </vt:vector>
  </HeadingPairs>
  <TitlesOfParts>
    <vt:vector size="1" baseType="lpstr">
      <vt:lpstr>SAŽETAK KARAKTERISTIKA LIJEKA</vt:lpstr>
    </vt:vector>
  </TitlesOfParts>
  <Company>CALIMS</Company>
  <LinksUpToDate>false</LinksUpToDate>
  <CharactersWithSpaces>91249</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LIJEKA</dc:title>
  <dc:subject/>
  <dc:creator>tatjana.bankovic</dc:creator>
  <cp:keywords/>
  <cp:lastModifiedBy>Aleksandra Jonić-Popović</cp:lastModifiedBy>
  <cp:revision>4</cp:revision>
  <cp:lastPrinted>2022-01-24T11:32:00Z</cp:lastPrinted>
  <dcterms:created xsi:type="dcterms:W3CDTF">2025-03-17T11:09:00Z</dcterms:created>
  <dcterms:modified xsi:type="dcterms:W3CDTF">2025-03-19T07:39:00Z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policyId">
    <vt:lpwstr>/team/2012035B/Medical</vt:lpwstr>
  </property>
  <property fmtid="{D5CDD505-2E9C-101B-9397-08002B2CF9AE}" pid="4" name="ContentTypeId">
    <vt:lpwstr>0x0101009A351063A9C658459944992FC5165942</vt:lpwstr>
  </property>
  <property fmtid="{D5CDD505-2E9C-101B-9397-08002B2CF9AE}" pid="5" name="ItemRetentionFormula">
    <vt:lpwstr>&lt;formula id="Roche.Common.Coremap.ExpirationFormula" /&gt;</vt:lpwstr>
  </property>
  <property fmtid="{D5CDD505-2E9C-101B-9397-08002B2CF9AE}" pid="6" name="TaxKeyword">
    <vt:lpwstr/>
  </property>
</Properties>
</file>