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DB0DF" w14:textId="77777777" w:rsidR="00053E50" w:rsidRPr="003E2FA2" w:rsidRDefault="00053E50" w:rsidP="007669F5">
      <w:pPr>
        <w:tabs>
          <w:tab w:val="left" w:pos="6150"/>
        </w:tabs>
        <w:jc w:val="center"/>
        <w:rPr>
          <w:rFonts w:ascii="Times New Roman" w:eastAsia="Times New Roman" w:hAnsi="Times New Roman" w:cs="Times New Roman"/>
          <w:b/>
          <w:bCs/>
          <w:iCs/>
          <w:u w:val="single"/>
        </w:rPr>
      </w:pPr>
      <w:r w:rsidRPr="003E2FA2">
        <w:rPr>
          <w:rFonts w:ascii="Times New Roman" w:eastAsia="Times New Roman" w:hAnsi="Times New Roman" w:cs="Times New Roman"/>
          <w:b/>
          <w:bCs/>
          <w:iCs/>
          <w:u w:val="single"/>
        </w:rPr>
        <w:t>САЖЕТАК КАРАКТЕРИСТИКА ЛИЈЕКА</w:t>
      </w:r>
    </w:p>
    <w:p w14:paraId="2508D70F" w14:textId="77777777" w:rsidR="00F1527C" w:rsidRPr="003E2FA2" w:rsidRDefault="00F1527C" w:rsidP="00F1527C">
      <w:pPr>
        <w:rPr>
          <w:rFonts w:ascii="Times New Roman" w:hAnsi="Times New Roman" w:cs="Times New Roman"/>
        </w:rPr>
      </w:pPr>
    </w:p>
    <w:p w14:paraId="4D1BABA9" w14:textId="77777777" w:rsidR="00053E50" w:rsidRPr="003E2FA2" w:rsidRDefault="00053E50" w:rsidP="0009563C">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1. НАЗИВ ЛИЈЕКА</w:t>
      </w:r>
    </w:p>
    <w:p w14:paraId="39954A83" w14:textId="77777777" w:rsidR="00053E50" w:rsidRPr="003E2FA2" w:rsidRDefault="00053E50" w:rsidP="009808E6">
      <w:pPr>
        <w:tabs>
          <w:tab w:val="left" w:pos="284"/>
        </w:tabs>
        <w:spacing w:after="0" w:line="240" w:lineRule="auto"/>
        <w:jc w:val="both"/>
        <w:rPr>
          <w:rFonts w:ascii="Times New Roman" w:eastAsia="Times New Roman" w:hAnsi="Times New Roman" w:cs="Times New Roman"/>
          <w:bCs/>
          <w:iCs/>
        </w:rPr>
      </w:pPr>
    </w:p>
    <w:p w14:paraId="2F586573" w14:textId="77777777" w:rsidR="00053E50" w:rsidRPr="003E2FA2" w:rsidRDefault="00053E50" w:rsidP="00957249">
      <w:pPr>
        <w:tabs>
          <w:tab w:val="left" w:pos="284"/>
        </w:tabs>
        <w:spacing w:after="0" w:line="240" w:lineRule="auto"/>
        <w:jc w:val="both"/>
        <w:rPr>
          <w:rFonts w:ascii="Times New Roman" w:eastAsia="Times New Roman" w:hAnsi="Times New Roman" w:cs="Times New Roman"/>
          <w:bCs/>
          <w:iCs/>
        </w:rPr>
      </w:pPr>
      <w:r w:rsidRPr="003E2FA2">
        <w:rPr>
          <w:rFonts w:ascii="Times New Roman" w:eastAsia="Times New Roman" w:hAnsi="Times New Roman" w:cs="Times New Roman"/>
          <w:bCs/>
          <w:iCs/>
        </w:rPr>
        <w:t>Tingora, 60 mg, филм таблетa</w:t>
      </w:r>
    </w:p>
    <w:p w14:paraId="6D38A8CB" w14:textId="77777777" w:rsidR="00053E50" w:rsidRPr="003E2FA2" w:rsidRDefault="00053E50" w:rsidP="00957249">
      <w:pPr>
        <w:tabs>
          <w:tab w:val="left" w:pos="284"/>
        </w:tabs>
        <w:spacing w:after="0" w:line="240" w:lineRule="auto"/>
        <w:jc w:val="both"/>
        <w:rPr>
          <w:rFonts w:ascii="Times New Roman" w:eastAsia="Times New Roman" w:hAnsi="Times New Roman" w:cs="Times New Roman"/>
          <w:bCs/>
          <w:iCs/>
        </w:rPr>
      </w:pPr>
      <w:r w:rsidRPr="003E2FA2">
        <w:rPr>
          <w:rFonts w:ascii="Times New Roman" w:eastAsia="Times New Roman" w:hAnsi="Times New Roman" w:cs="Times New Roman"/>
          <w:bCs/>
          <w:iCs/>
        </w:rPr>
        <w:t>Tingora, 90 mg, филм таблетa</w:t>
      </w:r>
    </w:p>
    <w:p w14:paraId="31B0608B" w14:textId="77777777" w:rsidR="00053E50" w:rsidRPr="003E2FA2" w:rsidRDefault="00053E50" w:rsidP="009808E6">
      <w:pPr>
        <w:tabs>
          <w:tab w:val="left" w:pos="284"/>
        </w:tabs>
        <w:spacing w:after="0" w:line="240" w:lineRule="auto"/>
        <w:jc w:val="both"/>
        <w:rPr>
          <w:rFonts w:ascii="Times New Roman" w:eastAsia="Times New Roman" w:hAnsi="Times New Roman" w:cs="Times New Roman"/>
        </w:rPr>
      </w:pPr>
    </w:p>
    <w:p w14:paraId="56748472" w14:textId="77777777" w:rsidR="00053E50" w:rsidRPr="003E2FA2" w:rsidRDefault="00053E50" w:rsidP="009808E6">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ИНН: тикагрелор</w:t>
      </w:r>
    </w:p>
    <w:p w14:paraId="4F09DBFC" w14:textId="587B643F"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p>
    <w:p w14:paraId="10C1B608" w14:textId="77777777" w:rsidR="00361290" w:rsidRPr="003E2FA2" w:rsidRDefault="00361290" w:rsidP="00E73FDA">
      <w:pPr>
        <w:tabs>
          <w:tab w:val="left" w:pos="284"/>
        </w:tabs>
        <w:spacing w:after="0" w:line="240" w:lineRule="auto"/>
        <w:jc w:val="both"/>
        <w:rPr>
          <w:rFonts w:ascii="Times New Roman" w:eastAsia="Times New Roman" w:hAnsi="Times New Roman" w:cs="Times New Roman"/>
          <w:b/>
          <w:bCs/>
        </w:rPr>
      </w:pPr>
    </w:p>
    <w:p w14:paraId="484932D4"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2. КВАЛИТАТИВНИ И КВАНТИТАТИВНИ САСТАВ</w:t>
      </w:r>
    </w:p>
    <w:p w14:paraId="3B2FD884"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p>
    <w:p w14:paraId="35921034" w14:textId="77777777" w:rsidR="00053E50" w:rsidRPr="003E2FA2" w:rsidRDefault="00053E50" w:rsidP="00957249">
      <w:pPr>
        <w:tabs>
          <w:tab w:val="left" w:pos="284"/>
        </w:tabs>
        <w:spacing w:after="0" w:line="240" w:lineRule="auto"/>
        <w:jc w:val="both"/>
        <w:rPr>
          <w:rFonts w:ascii="Times New Roman" w:eastAsia="Times New Roman" w:hAnsi="Times New Roman" w:cs="Times New Roman"/>
          <w:szCs w:val="24"/>
          <w:u w:val="single"/>
        </w:rPr>
      </w:pPr>
      <w:r w:rsidRPr="003E2FA2">
        <w:rPr>
          <w:rFonts w:ascii="Times New Roman" w:eastAsia="Times New Roman" w:hAnsi="Times New Roman" w:cs="Times New Roman"/>
          <w:bCs/>
          <w:szCs w:val="24"/>
          <w:u w:val="single"/>
        </w:rPr>
        <w:t xml:space="preserve">Tingora, 60 mg, </w:t>
      </w:r>
      <w:r w:rsidRPr="003E2FA2">
        <w:rPr>
          <w:rFonts w:ascii="Times New Roman" w:eastAsia="Times New Roman" w:hAnsi="Times New Roman" w:cs="Times New Roman"/>
          <w:szCs w:val="24"/>
          <w:u w:val="single"/>
        </w:rPr>
        <w:t>филм таблета:</w:t>
      </w:r>
    </w:p>
    <w:p w14:paraId="3F8462F9" w14:textId="77777777" w:rsidR="00053E50" w:rsidRPr="003E2FA2" w:rsidRDefault="00053E50" w:rsidP="00957249">
      <w:pPr>
        <w:spacing w:before="1" w:after="0" w:line="240" w:lineRule="auto"/>
        <w:rPr>
          <w:rFonts w:ascii="Times New Roman" w:eastAsia="Times New Roman" w:hAnsi="Times New Roman" w:cs="Times New Roman"/>
          <w:szCs w:val="20"/>
          <w:u w:val="single"/>
        </w:rPr>
      </w:pPr>
      <w:r w:rsidRPr="003E2FA2">
        <w:rPr>
          <w:rFonts w:ascii="Times New Roman" w:eastAsia="Times New Roman" w:hAnsi="Times New Roman" w:cs="Times New Roman"/>
        </w:rPr>
        <w:t>Једна филм таблета садржи 60 mg тикагрелора.</w:t>
      </w:r>
      <w:r w:rsidRPr="003E2FA2" w:rsidDel="000E2BEB">
        <w:rPr>
          <w:rFonts w:ascii="Times New Roman" w:eastAsia="Times New Roman" w:hAnsi="Times New Roman" w:cs="Times New Roman"/>
          <w:szCs w:val="20"/>
        </w:rPr>
        <w:t xml:space="preserve"> </w:t>
      </w:r>
    </w:p>
    <w:p w14:paraId="54D5BA41" w14:textId="77777777" w:rsidR="00053E50" w:rsidRPr="003E2FA2" w:rsidRDefault="00053E50" w:rsidP="00957249">
      <w:pPr>
        <w:tabs>
          <w:tab w:val="left" w:pos="284"/>
        </w:tabs>
        <w:spacing w:after="0" w:line="240" w:lineRule="auto"/>
        <w:jc w:val="both"/>
        <w:rPr>
          <w:rFonts w:ascii="Times New Roman" w:eastAsia="Times New Roman" w:hAnsi="Times New Roman" w:cs="Times New Roman"/>
          <w:bCs/>
          <w:iCs/>
        </w:rPr>
      </w:pPr>
    </w:p>
    <w:p w14:paraId="26573A9D" w14:textId="77777777" w:rsidR="00053E50" w:rsidRPr="003E2FA2" w:rsidRDefault="00053E50" w:rsidP="00957249">
      <w:pPr>
        <w:spacing w:before="1" w:after="0" w:line="240" w:lineRule="auto"/>
        <w:rPr>
          <w:rFonts w:ascii="Times New Roman" w:eastAsia="Times New Roman" w:hAnsi="Times New Roman" w:cs="Times New Roman"/>
          <w:szCs w:val="20"/>
          <w:u w:val="single"/>
        </w:rPr>
      </w:pPr>
      <w:r w:rsidRPr="003E2FA2">
        <w:rPr>
          <w:rFonts w:ascii="Times New Roman" w:eastAsia="Times New Roman" w:hAnsi="Times New Roman" w:cs="Times New Roman"/>
          <w:bCs/>
          <w:szCs w:val="24"/>
          <w:u w:val="single"/>
        </w:rPr>
        <w:t xml:space="preserve">Tingora, 90 mg, </w:t>
      </w:r>
      <w:r w:rsidRPr="003E2FA2">
        <w:rPr>
          <w:rFonts w:ascii="Times New Roman" w:eastAsia="Times New Roman" w:hAnsi="Times New Roman" w:cs="Times New Roman"/>
          <w:szCs w:val="24"/>
          <w:u w:val="single"/>
        </w:rPr>
        <w:t>филм таблета:</w:t>
      </w:r>
    </w:p>
    <w:p w14:paraId="7B705B32" w14:textId="77777777" w:rsidR="00053E50" w:rsidRPr="003E2FA2" w:rsidRDefault="00053E50" w:rsidP="00957249">
      <w:pPr>
        <w:spacing w:before="1" w:after="0" w:line="240" w:lineRule="auto"/>
        <w:rPr>
          <w:rFonts w:ascii="Times New Roman" w:eastAsia="Times New Roman" w:hAnsi="Times New Roman" w:cs="Times New Roman"/>
          <w:szCs w:val="20"/>
        </w:rPr>
      </w:pPr>
      <w:r w:rsidRPr="003E2FA2">
        <w:rPr>
          <w:rFonts w:ascii="Times New Roman" w:eastAsia="Times New Roman" w:hAnsi="Times New Roman" w:cs="Times New Roman"/>
        </w:rPr>
        <w:t>Једна филм таблета садржи 90 mg тикагрелора.</w:t>
      </w:r>
    </w:p>
    <w:p w14:paraId="206775EB" w14:textId="77777777" w:rsidR="00053E50" w:rsidRPr="003E2FA2" w:rsidRDefault="00053E50" w:rsidP="00957249">
      <w:pPr>
        <w:spacing w:after="0" w:line="240" w:lineRule="auto"/>
        <w:rPr>
          <w:rFonts w:ascii="Times New Roman" w:eastAsia="Times New Roman" w:hAnsi="Times New Roman" w:cs="Times New Roman"/>
        </w:rPr>
      </w:pPr>
      <w:r w:rsidRPr="003E2FA2">
        <w:rPr>
          <w:rFonts w:ascii="Times New Roman" w:eastAsia="Times New Roman" w:hAnsi="Times New Roman" w:cs="Times New Roman"/>
        </w:rPr>
        <w:t xml:space="preserve"> </w:t>
      </w:r>
    </w:p>
    <w:p w14:paraId="3C236973"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За списак свих ексципијенаса, погледати дио 6.1.</w:t>
      </w:r>
    </w:p>
    <w:p w14:paraId="359139A5" w14:textId="340787F8" w:rsidR="00053E50" w:rsidRPr="003E2FA2" w:rsidRDefault="00053E50" w:rsidP="00E73FDA">
      <w:pPr>
        <w:tabs>
          <w:tab w:val="left" w:pos="284"/>
        </w:tabs>
        <w:spacing w:after="0" w:line="240" w:lineRule="auto"/>
        <w:jc w:val="both"/>
        <w:rPr>
          <w:rFonts w:ascii="Times New Roman" w:eastAsia="Times New Roman" w:hAnsi="Times New Roman" w:cs="Times New Roman"/>
        </w:rPr>
      </w:pPr>
    </w:p>
    <w:p w14:paraId="1FF802F2" w14:textId="77777777" w:rsidR="00361290" w:rsidRPr="003E2FA2" w:rsidRDefault="00361290" w:rsidP="00E73FDA">
      <w:pPr>
        <w:tabs>
          <w:tab w:val="left" w:pos="284"/>
        </w:tabs>
        <w:spacing w:after="0" w:line="240" w:lineRule="auto"/>
        <w:jc w:val="both"/>
        <w:rPr>
          <w:rFonts w:ascii="Times New Roman" w:eastAsia="Times New Roman" w:hAnsi="Times New Roman" w:cs="Times New Roman"/>
        </w:rPr>
      </w:pPr>
    </w:p>
    <w:p w14:paraId="1F5D32C1"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3. ФАРМАЦЕУТСКИ ОБЛИК</w:t>
      </w:r>
    </w:p>
    <w:p w14:paraId="5570D859" w14:textId="77777777" w:rsidR="00053E50" w:rsidRPr="003E2FA2" w:rsidRDefault="00053E50" w:rsidP="009808E6">
      <w:pPr>
        <w:tabs>
          <w:tab w:val="left" w:pos="284"/>
        </w:tabs>
        <w:spacing w:after="0" w:line="240" w:lineRule="auto"/>
        <w:jc w:val="both"/>
        <w:rPr>
          <w:rFonts w:ascii="Times New Roman" w:eastAsia="Times New Roman" w:hAnsi="Times New Roman" w:cs="Times New Roman"/>
        </w:rPr>
      </w:pPr>
    </w:p>
    <w:p w14:paraId="6528BE0C" w14:textId="77777777" w:rsidR="00053E50" w:rsidRPr="003E2FA2" w:rsidRDefault="00053E50" w:rsidP="00BE4E80">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Филм таблетe.</w:t>
      </w:r>
    </w:p>
    <w:p w14:paraId="670FCBE4" w14:textId="77777777" w:rsidR="00053E50" w:rsidRPr="003E2FA2" w:rsidRDefault="00053E50" w:rsidP="00BE4E80">
      <w:pPr>
        <w:tabs>
          <w:tab w:val="left" w:pos="284"/>
        </w:tabs>
        <w:spacing w:after="0" w:line="240" w:lineRule="auto"/>
        <w:jc w:val="both"/>
        <w:rPr>
          <w:rFonts w:ascii="Times New Roman" w:eastAsia="Times New Roman" w:hAnsi="Times New Roman" w:cs="Times New Roman"/>
        </w:rPr>
      </w:pPr>
    </w:p>
    <w:p w14:paraId="640DDB7E" w14:textId="77777777" w:rsidR="00053E50" w:rsidRPr="003E2FA2" w:rsidRDefault="00053E50" w:rsidP="00957249">
      <w:pPr>
        <w:tabs>
          <w:tab w:val="left" w:pos="284"/>
        </w:tabs>
        <w:spacing w:after="0" w:line="240" w:lineRule="auto"/>
        <w:jc w:val="both"/>
        <w:rPr>
          <w:rFonts w:ascii="Times New Roman" w:eastAsia="Times New Roman" w:hAnsi="Times New Roman" w:cs="Times New Roman"/>
          <w:szCs w:val="24"/>
          <w:u w:val="single"/>
        </w:rPr>
      </w:pPr>
      <w:r w:rsidRPr="003E2FA2">
        <w:rPr>
          <w:rFonts w:ascii="Times New Roman" w:eastAsia="Times New Roman" w:hAnsi="Times New Roman" w:cs="Times New Roman"/>
          <w:bCs/>
          <w:szCs w:val="24"/>
          <w:u w:val="single"/>
        </w:rPr>
        <w:t xml:space="preserve">Tingora, 60 mg, </w:t>
      </w:r>
      <w:r w:rsidRPr="003E2FA2">
        <w:rPr>
          <w:rFonts w:ascii="Times New Roman" w:eastAsia="Times New Roman" w:hAnsi="Times New Roman" w:cs="Times New Roman"/>
          <w:szCs w:val="24"/>
          <w:u w:val="single"/>
        </w:rPr>
        <w:t>филм таблета:</w:t>
      </w:r>
    </w:p>
    <w:p w14:paraId="02AA5FAC" w14:textId="77777777" w:rsidR="00053E50" w:rsidRPr="003E2FA2" w:rsidRDefault="00053E50" w:rsidP="00957249">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Округле, биконвексне, филм таблете ружичасте боје са утиснутом ознаком ,,EL1” на једној страни, пречника приближно 8.1 mm.</w:t>
      </w:r>
    </w:p>
    <w:p w14:paraId="5D24F65D" w14:textId="22993C26" w:rsidR="00053E50" w:rsidRPr="003E2FA2" w:rsidRDefault="00053E50" w:rsidP="00957249">
      <w:pPr>
        <w:tabs>
          <w:tab w:val="left" w:pos="284"/>
        </w:tabs>
        <w:spacing w:after="0" w:line="240" w:lineRule="auto"/>
        <w:jc w:val="both"/>
        <w:rPr>
          <w:rFonts w:ascii="Times New Roman" w:eastAsia="Times New Roman" w:hAnsi="Times New Roman" w:cs="Times New Roman"/>
        </w:rPr>
      </w:pPr>
    </w:p>
    <w:p w14:paraId="6E0C466B" w14:textId="77777777" w:rsidR="00053E50" w:rsidRPr="003E2FA2" w:rsidRDefault="00053E50" w:rsidP="00957249">
      <w:pPr>
        <w:spacing w:before="1" w:after="0" w:line="240" w:lineRule="auto"/>
        <w:rPr>
          <w:rFonts w:ascii="Times New Roman" w:eastAsia="Times New Roman" w:hAnsi="Times New Roman" w:cs="Times New Roman"/>
          <w:szCs w:val="20"/>
          <w:u w:val="single"/>
        </w:rPr>
      </w:pPr>
      <w:r w:rsidRPr="003E2FA2">
        <w:rPr>
          <w:rFonts w:ascii="Times New Roman" w:eastAsia="Times New Roman" w:hAnsi="Times New Roman" w:cs="Times New Roman"/>
          <w:bCs/>
          <w:szCs w:val="24"/>
          <w:u w:val="single"/>
        </w:rPr>
        <w:t xml:space="preserve">Tingora, 90 mg, </w:t>
      </w:r>
      <w:r w:rsidRPr="003E2FA2">
        <w:rPr>
          <w:rFonts w:ascii="Times New Roman" w:eastAsia="Times New Roman" w:hAnsi="Times New Roman" w:cs="Times New Roman"/>
          <w:szCs w:val="24"/>
          <w:u w:val="single"/>
        </w:rPr>
        <w:t>филм таблета:</w:t>
      </w:r>
    </w:p>
    <w:p w14:paraId="67F678A5" w14:textId="77777777" w:rsidR="00053E50" w:rsidRPr="003E2FA2" w:rsidRDefault="00053E50" w:rsidP="00957249">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Округле, биконвексне, филм таблете жуте боје, пречника приближно 9.1 mm.</w:t>
      </w:r>
    </w:p>
    <w:p w14:paraId="757F42DB" w14:textId="6E2F4B82"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p>
    <w:p w14:paraId="2770B556" w14:textId="77777777" w:rsidR="00361290" w:rsidRPr="003E2FA2" w:rsidRDefault="00361290" w:rsidP="00E73FDA">
      <w:pPr>
        <w:tabs>
          <w:tab w:val="left" w:pos="284"/>
        </w:tabs>
        <w:spacing w:after="0" w:line="240" w:lineRule="auto"/>
        <w:jc w:val="both"/>
        <w:rPr>
          <w:rFonts w:ascii="Times New Roman" w:eastAsia="Times New Roman" w:hAnsi="Times New Roman" w:cs="Times New Roman"/>
          <w:b/>
          <w:bCs/>
        </w:rPr>
      </w:pPr>
    </w:p>
    <w:p w14:paraId="2E34C17F"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4. КЛИНИЧКИ ПОДАЦИ</w:t>
      </w:r>
    </w:p>
    <w:p w14:paraId="38EFFB61"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p>
    <w:p w14:paraId="698B94B3"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4.1. Терапијске индикације</w:t>
      </w:r>
    </w:p>
    <w:p w14:paraId="2AD4766A" w14:textId="77777777" w:rsidR="00053E50" w:rsidRPr="003E2FA2" w:rsidRDefault="00053E50" w:rsidP="009808E6">
      <w:pPr>
        <w:tabs>
          <w:tab w:val="left" w:pos="284"/>
        </w:tabs>
        <w:spacing w:after="0" w:line="240" w:lineRule="auto"/>
        <w:jc w:val="both"/>
        <w:rPr>
          <w:rFonts w:ascii="Times New Roman" w:eastAsia="Times New Roman" w:hAnsi="Times New Roman" w:cs="Times New Roman"/>
          <w:bCs/>
          <w:u w:val="single"/>
        </w:rPr>
      </w:pPr>
    </w:p>
    <w:p w14:paraId="33CF7CC0" w14:textId="4EC6CE31" w:rsidR="00053E50" w:rsidRPr="003E2FA2" w:rsidRDefault="00053E50" w:rsidP="00957249">
      <w:pPr>
        <w:tabs>
          <w:tab w:val="left" w:pos="284"/>
        </w:tabs>
        <w:spacing w:after="0" w:line="240" w:lineRule="auto"/>
        <w:jc w:val="both"/>
        <w:rPr>
          <w:rFonts w:ascii="Times New Roman" w:eastAsia="Times New Roman" w:hAnsi="Times New Roman" w:cs="Times New Roman"/>
          <w:bCs/>
        </w:rPr>
      </w:pPr>
      <w:r w:rsidRPr="003E2FA2">
        <w:rPr>
          <w:rFonts w:ascii="Times New Roman" w:eastAsia="Times New Roman" w:hAnsi="Times New Roman" w:cs="Times New Roman"/>
          <w:bCs/>
        </w:rPr>
        <w:t>Лијек Tingora, примијењен истовремено са ацетилсалицилном киселином (АSA), индикован је за превенцију атеротромботских догађаја код одраслих пацијената са:</w:t>
      </w:r>
    </w:p>
    <w:p w14:paraId="39F1AD17" w14:textId="77777777" w:rsidR="00053E50" w:rsidRPr="003E2FA2" w:rsidRDefault="00053E50" w:rsidP="00957249">
      <w:pPr>
        <w:tabs>
          <w:tab w:val="left" w:pos="284"/>
        </w:tabs>
        <w:spacing w:after="0" w:line="240" w:lineRule="auto"/>
        <w:jc w:val="both"/>
        <w:rPr>
          <w:rFonts w:ascii="Times New Roman" w:eastAsia="Times New Roman" w:hAnsi="Times New Roman" w:cs="Times New Roman"/>
          <w:bCs/>
        </w:rPr>
      </w:pPr>
      <w:r w:rsidRPr="003E2FA2">
        <w:rPr>
          <w:rFonts w:ascii="Times New Roman" w:eastAsia="Times New Roman" w:hAnsi="Times New Roman" w:cs="Times New Roman"/>
          <w:bCs/>
        </w:rPr>
        <w:t>- акутним коронарним синдромом (АКС) или</w:t>
      </w:r>
    </w:p>
    <w:p w14:paraId="078A0EF2" w14:textId="0A1E2E30" w:rsidR="00053E50" w:rsidRPr="003E2FA2" w:rsidRDefault="00053E50" w:rsidP="003269F7">
      <w:pPr>
        <w:tabs>
          <w:tab w:val="left" w:pos="284"/>
        </w:tabs>
        <w:spacing w:after="0" w:line="240" w:lineRule="auto"/>
        <w:ind w:left="142" w:hanging="142"/>
        <w:jc w:val="both"/>
        <w:rPr>
          <w:rFonts w:ascii="Times New Roman" w:eastAsia="Times New Roman" w:hAnsi="Times New Roman" w:cs="Times New Roman"/>
          <w:bCs/>
        </w:rPr>
      </w:pPr>
      <w:r w:rsidRPr="003E2FA2">
        <w:rPr>
          <w:rFonts w:ascii="Times New Roman" w:eastAsia="Times New Roman" w:hAnsi="Times New Roman" w:cs="Times New Roman"/>
          <w:bCs/>
        </w:rPr>
        <w:t>- инфарктом миокарда у анамнези (ИМ) и високим ризиком за развој атеротромботског догађаја (погледати дјелове 4.2 и 5.1)</w:t>
      </w:r>
      <w:r w:rsidR="00132E80" w:rsidRPr="003E2FA2">
        <w:rPr>
          <w:rFonts w:ascii="Times New Roman" w:eastAsia="Times New Roman" w:hAnsi="Times New Roman" w:cs="Times New Roman"/>
          <w:bCs/>
        </w:rPr>
        <w:t>.</w:t>
      </w:r>
    </w:p>
    <w:p w14:paraId="566C073F" w14:textId="3A169BD1"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p>
    <w:p w14:paraId="095ED19C"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4.2. Дозирање и начин примјене</w:t>
      </w:r>
    </w:p>
    <w:p w14:paraId="159BF95C" w14:textId="77777777" w:rsidR="00053E50" w:rsidRPr="003E2FA2" w:rsidRDefault="00053E50" w:rsidP="00BE4E80">
      <w:pPr>
        <w:spacing w:after="0" w:line="240" w:lineRule="auto"/>
        <w:ind w:left="2"/>
        <w:jc w:val="both"/>
        <w:rPr>
          <w:rFonts w:ascii="Times New Roman" w:eastAsia="Times New Roman" w:hAnsi="Times New Roman" w:cs="Times New Roman"/>
          <w:u w:val="single"/>
        </w:rPr>
      </w:pPr>
    </w:p>
    <w:p w14:paraId="1BB9EDEE" w14:textId="77777777" w:rsidR="00053E50" w:rsidRPr="003E2FA2" w:rsidRDefault="00053E50" w:rsidP="00957249">
      <w:pPr>
        <w:spacing w:after="0" w:line="240" w:lineRule="auto"/>
        <w:ind w:left="2"/>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Дозирање</w:t>
      </w:r>
    </w:p>
    <w:p w14:paraId="46E97D15" w14:textId="3BE10252" w:rsidR="00053E50" w:rsidRPr="003E2FA2" w:rsidRDefault="00053E50" w:rsidP="008325C9">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Пацијенти који узимају лијек Тingora треба такође свакодневно да узимају ацетилсалицилну киселину у ниској дози одржавања од 75 – 150 mg, осим уколико то није контраиндиковано.</w:t>
      </w:r>
    </w:p>
    <w:p w14:paraId="06705C42" w14:textId="77777777" w:rsidR="00053E50" w:rsidRPr="003E2FA2" w:rsidRDefault="00053E50" w:rsidP="00957249">
      <w:pPr>
        <w:spacing w:after="0" w:line="240" w:lineRule="auto"/>
        <w:ind w:left="2"/>
        <w:jc w:val="both"/>
        <w:rPr>
          <w:rFonts w:ascii="Times New Roman" w:eastAsia="Times New Roman" w:hAnsi="Times New Roman" w:cs="Times New Roman"/>
          <w:u w:val="single"/>
        </w:rPr>
      </w:pPr>
    </w:p>
    <w:p w14:paraId="1F900A59" w14:textId="77777777" w:rsidR="00053E50" w:rsidRPr="003E2FA2" w:rsidRDefault="00053E50" w:rsidP="00957249">
      <w:pPr>
        <w:spacing w:after="0" w:line="240" w:lineRule="auto"/>
        <w:ind w:left="2"/>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Акутни коронарни синдром</w:t>
      </w:r>
    </w:p>
    <w:p w14:paraId="73E9BEE9" w14:textId="483E3F2E" w:rsidR="00053E50" w:rsidRPr="003E2FA2" w:rsidRDefault="00053E50" w:rsidP="00957249">
      <w:pPr>
        <w:spacing w:after="0" w:line="240" w:lineRule="auto"/>
        <w:ind w:left="2"/>
        <w:jc w:val="both"/>
        <w:rPr>
          <w:rFonts w:ascii="Times New Roman" w:eastAsia="Times New Roman" w:hAnsi="Times New Roman" w:cs="Times New Roman"/>
        </w:rPr>
      </w:pPr>
      <w:r w:rsidRPr="003E2FA2">
        <w:rPr>
          <w:rFonts w:ascii="Times New Roman" w:eastAsia="Times New Roman" w:hAnsi="Times New Roman" w:cs="Times New Roman"/>
        </w:rPr>
        <w:t xml:space="preserve">Терапију лијеком Тingora треба започети иницијалном ударном, појединачном дозом од 180 mg (двије таблете од 90 mg), а затим наставити дозом од 90 mg два пута на дан. Препоручује се да терапија лијеком </w:t>
      </w:r>
      <w:r w:rsidRPr="003E2FA2">
        <w:rPr>
          <w:rFonts w:ascii="Times New Roman" w:eastAsia="Times New Roman" w:hAnsi="Times New Roman" w:cs="Times New Roman"/>
        </w:rPr>
        <w:lastRenderedPageBreak/>
        <w:t>Тingora, 90 mg два пута дневно траје 12 мјесеци код пацијената са АКС, осим уколико је прекид примјене лијека Тingora клинички индикован (погледати дио 5.1).</w:t>
      </w:r>
    </w:p>
    <w:p w14:paraId="694DF4E4" w14:textId="4222D96F" w:rsidR="00053E50" w:rsidRPr="003E2FA2" w:rsidRDefault="00260F82" w:rsidP="007669F5">
      <w:pPr>
        <w:spacing w:before="100" w:beforeAutospacing="1" w:after="100" w:afterAutospacing="1" w:line="240" w:lineRule="auto"/>
        <w:jc w:val="both"/>
        <w:rPr>
          <w:rFonts w:ascii="Times New Roman" w:eastAsia="Times New Roman" w:hAnsi="Times New Roman" w:cs="Times New Roman"/>
        </w:rPr>
      </w:pPr>
      <w:r w:rsidRPr="003E2FA2">
        <w:rPr>
          <w:rFonts w:ascii="Times New Roman" w:eastAsia="Times New Roman" w:hAnsi="Times New Roman" w:cs="Times New Roman"/>
        </w:rPr>
        <w:t>Код</w:t>
      </w:r>
      <w:r w:rsidR="00CA414E" w:rsidRPr="003E2FA2">
        <w:rPr>
          <w:rFonts w:ascii="Times New Roman" w:eastAsia="Times New Roman" w:hAnsi="Times New Roman" w:cs="Times New Roman"/>
        </w:rPr>
        <w:t xml:space="preserve"> пацијената са АКС-ом подвргнутих перкутаној коронарној интервенцији (engl. </w:t>
      </w:r>
      <w:r w:rsidR="00CA414E" w:rsidRPr="003E2FA2">
        <w:rPr>
          <w:rFonts w:ascii="Times New Roman" w:eastAsia="Times New Roman" w:hAnsi="Times New Roman" w:cs="Times New Roman"/>
          <w:i/>
        </w:rPr>
        <w:t>percutaneous coronary intervention</w:t>
      </w:r>
      <w:r w:rsidR="00CA414E" w:rsidRPr="003E2FA2">
        <w:rPr>
          <w:rFonts w:ascii="Times New Roman" w:eastAsia="Times New Roman" w:hAnsi="Times New Roman" w:cs="Times New Roman"/>
        </w:rPr>
        <w:t>, PCI) који су изложени повећаном ризику од крварења може се размотрити прекид прим</w:t>
      </w:r>
      <w:r w:rsidRPr="003E2FA2">
        <w:rPr>
          <w:rFonts w:ascii="Times New Roman" w:eastAsia="Times New Roman" w:hAnsi="Times New Roman" w:cs="Times New Roman"/>
        </w:rPr>
        <w:t>ј</w:t>
      </w:r>
      <w:r w:rsidR="00CA414E" w:rsidRPr="003E2FA2">
        <w:rPr>
          <w:rFonts w:ascii="Times New Roman" w:eastAsia="Times New Roman" w:hAnsi="Times New Roman" w:cs="Times New Roman"/>
        </w:rPr>
        <w:t>ене ацетилсалицилне киселине након 3 м</w:t>
      </w:r>
      <w:r w:rsidRPr="003E2FA2">
        <w:rPr>
          <w:rFonts w:ascii="Times New Roman" w:eastAsia="Times New Roman" w:hAnsi="Times New Roman" w:cs="Times New Roman"/>
        </w:rPr>
        <w:t>ј</w:t>
      </w:r>
      <w:r w:rsidR="00CA414E" w:rsidRPr="003E2FA2">
        <w:rPr>
          <w:rFonts w:ascii="Times New Roman" w:eastAsia="Times New Roman" w:hAnsi="Times New Roman" w:cs="Times New Roman"/>
        </w:rPr>
        <w:t>есеца. У том случају, потребно је наставити антитромбоцитну терапију само тикагрелором током 9 м</w:t>
      </w:r>
      <w:r w:rsidRPr="003E2FA2">
        <w:rPr>
          <w:rFonts w:ascii="Times New Roman" w:eastAsia="Times New Roman" w:hAnsi="Times New Roman" w:cs="Times New Roman"/>
        </w:rPr>
        <w:t>ј</w:t>
      </w:r>
      <w:r w:rsidR="00CA414E" w:rsidRPr="003E2FA2">
        <w:rPr>
          <w:rFonts w:ascii="Times New Roman" w:eastAsia="Times New Roman" w:hAnsi="Times New Roman" w:cs="Times New Roman"/>
        </w:rPr>
        <w:t>есеци (погледати д</w:t>
      </w:r>
      <w:r w:rsidR="009A73A9" w:rsidRPr="003E2FA2">
        <w:rPr>
          <w:rFonts w:ascii="Times New Roman" w:eastAsia="Times New Roman" w:hAnsi="Times New Roman" w:cs="Times New Roman"/>
        </w:rPr>
        <w:t>и</w:t>
      </w:r>
      <w:r w:rsidR="00CA414E" w:rsidRPr="003E2FA2">
        <w:rPr>
          <w:rFonts w:ascii="Times New Roman" w:eastAsia="Times New Roman" w:hAnsi="Times New Roman" w:cs="Times New Roman"/>
        </w:rPr>
        <w:t>о 4.4).</w:t>
      </w:r>
    </w:p>
    <w:p w14:paraId="6EB8BF98" w14:textId="77777777" w:rsidR="00053E50" w:rsidRPr="003E2FA2" w:rsidRDefault="00053E50" w:rsidP="00957249">
      <w:pPr>
        <w:spacing w:after="0" w:line="240" w:lineRule="auto"/>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Инфаркт миокарда у анамнези</w:t>
      </w:r>
    </w:p>
    <w:p w14:paraId="409B1238" w14:textId="77777777" w:rsidR="00053E50" w:rsidRPr="003E2FA2" w:rsidRDefault="00053E50" w:rsidP="00957249">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Код пацијената са инфарктом миокарда у анамнези у периоду од најмање годину дана и високим ризиком од атеротромботских догађаја потребно је продужено лијечење, препоручена доза је 60 mg лијека Тingora два пута дневно (погледати дио 5.1). Код пацијената са акутним коронарним синдромом са високим ризиком од атеротромботског догађаја, лијечење се може започети без прекида лијечења као наставак терапије након првобитног једногодишњег лијечења лијеком Тingora, 90 mg, или другим инхибиторима рецептора аденозин дифосфата (АDP). Лијечење се такође може започети до двије године након инфаркта миокарда, или унутар једне године након прекида претходног лијечења инхибитором АDP рецептора. Постоје ограничени подаци о ефикасности и безбједности тикагрелора након три године продуженог лијечења.</w:t>
      </w:r>
    </w:p>
    <w:p w14:paraId="1816CCAE" w14:textId="77777777" w:rsidR="00053E50" w:rsidRPr="003E2FA2" w:rsidRDefault="00053E50" w:rsidP="00957249">
      <w:pPr>
        <w:spacing w:after="0" w:line="240" w:lineRule="auto"/>
        <w:ind w:left="2"/>
        <w:jc w:val="both"/>
        <w:rPr>
          <w:rFonts w:ascii="Times New Roman" w:eastAsia="Times New Roman" w:hAnsi="Times New Roman" w:cs="Times New Roman"/>
        </w:rPr>
      </w:pPr>
      <w:r w:rsidRPr="003E2FA2">
        <w:rPr>
          <w:rFonts w:ascii="Times New Roman" w:eastAsia="Times New Roman" w:hAnsi="Times New Roman" w:cs="Times New Roman"/>
        </w:rPr>
        <w:t>Ако је потребно пребацивање, прва доза лијека Тingora мора се примијенити 24 сата након посљедње дозе другог антитромбоцитног лијека.</w:t>
      </w:r>
    </w:p>
    <w:p w14:paraId="3DB6FCFD" w14:textId="77777777" w:rsidR="00053E50" w:rsidRPr="003E2FA2" w:rsidRDefault="00053E50" w:rsidP="00957249">
      <w:pPr>
        <w:spacing w:after="0" w:line="240" w:lineRule="auto"/>
        <w:ind w:left="2"/>
        <w:jc w:val="both"/>
        <w:rPr>
          <w:rFonts w:ascii="Times New Roman" w:eastAsia="Times New Roman" w:hAnsi="Times New Roman" w:cs="Times New Roman"/>
          <w:u w:val="single"/>
        </w:rPr>
      </w:pPr>
    </w:p>
    <w:p w14:paraId="30143E38" w14:textId="77777777" w:rsidR="00053E50" w:rsidRPr="003E2FA2" w:rsidRDefault="00053E50" w:rsidP="00957249">
      <w:pPr>
        <w:spacing w:after="0" w:line="240" w:lineRule="auto"/>
        <w:ind w:left="2"/>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Пропуштена доза</w:t>
      </w:r>
    </w:p>
    <w:p w14:paraId="13A3A8B0" w14:textId="77777777" w:rsidR="00053E50" w:rsidRPr="003E2FA2" w:rsidRDefault="00053E50" w:rsidP="00957249">
      <w:pPr>
        <w:spacing w:after="0" w:line="240" w:lineRule="auto"/>
        <w:ind w:left="2"/>
        <w:jc w:val="both"/>
        <w:rPr>
          <w:rFonts w:ascii="Times New Roman" w:eastAsia="Times New Roman" w:hAnsi="Times New Roman" w:cs="Times New Roman"/>
        </w:rPr>
      </w:pPr>
      <w:r w:rsidRPr="003E2FA2">
        <w:rPr>
          <w:rFonts w:ascii="Times New Roman" w:eastAsia="Times New Roman" w:hAnsi="Times New Roman" w:cs="Times New Roman"/>
        </w:rPr>
        <w:t>Привремене прекиде терапије такође треба избјегавати. Пацијент који пропусти неку дозу лијека Тingora треба да узме само једну таблету (своју наредну дозу) у за то предвиђено вријеме.</w:t>
      </w:r>
    </w:p>
    <w:p w14:paraId="088B2036" w14:textId="77777777" w:rsidR="00053E50" w:rsidRPr="003E2FA2" w:rsidRDefault="00053E50" w:rsidP="00957249">
      <w:pPr>
        <w:spacing w:after="0" w:line="240" w:lineRule="auto"/>
        <w:ind w:left="2"/>
        <w:jc w:val="both"/>
        <w:rPr>
          <w:rFonts w:ascii="Times New Roman" w:eastAsia="Times New Roman" w:hAnsi="Times New Roman" w:cs="Times New Roman"/>
        </w:rPr>
      </w:pPr>
    </w:p>
    <w:p w14:paraId="5C5F7AE7" w14:textId="77777777" w:rsidR="00053E50" w:rsidRPr="003E2FA2" w:rsidRDefault="00053E50" w:rsidP="00957249">
      <w:pPr>
        <w:spacing w:after="0" w:line="240" w:lineRule="auto"/>
        <w:ind w:left="2"/>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Посебне популације</w:t>
      </w:r>
    </w:p>
    <w:p w14:paraId="55FACE1A" w14:textId="77777777" w:rsidR="00053E50" w:rsidRPr="003E2FA2" w:rsidRDefault="00053E50" w:rsidP="00957249">
      <w:pPr>
        <w:spacing w:after="0" w:line="240" w:lineRule="auto"/>
        <w:ind w:left="2"/>
        <w:jc w:val="both"/>
        <w:rPr>
          <w:rFonts w:ascii="Times New Roman" w:eastAsia="Times New Roman" w:hAnsi="Times New Roman" w:cs="Times New Roman"/>
          <w:i/>
        </w:rPr>
      </w:pPr>
      <w:r w:rsidRPr="003E2FA2">
        <w:rPr>
          <w:rFonts w:ascii="Times New Roman" w:eastAsia="Times New Roman" w:hAnsi="Times New Roman" w:cs="Times New Roman"/>
          <w:i/>
        </w:rPr>
        <w:t>Старији пацијенти</w:t>
      </w:r>
    </w:p>
    <w:p w14:paraId="11C1A1A7" w14:textId="77777777" w:rsidR="00053E50" w:rsidRPr="003E2FA2" w:rsidRDefault="00053E50" w:rsidP="00957249">
      <w:pPr>
        <w:spacing w:after="0" w:line="240" w:lineRule="auto"/>
        <w:ind w:left="2"/>
        <w:jc w:val="both"/>
        <w:rPr>
          <w:rFonts w:ascii="Times New Roman" w:eastAsia="Times New Roman" w:hAnsi="Times New Roman" w:cs="Times New Roman"/>
        </w:rPr>
      </w:pPr>
      <w:r w:rsidRPr="003E2FA2">
        <w:rPr>
          <w:rFonts w:ascii="Times New Roman" w:eastAsia="Times New Roman" w:hAnsi="Times New Roman" w:cs="Times New Roman"/>
        </w:rPr>
        <w:t>Прилагођавање дозе није потребно код старијих пацијената (погледати дио 5.2).</w:t>
      </w:r>
    </w:p>
    <w:p w14:paraId="4C632DDA" w14:textId="77777777" w:rsidR="00053E50" w:rsidRPr="003E2FA2" w:rsidRDefault="00053E50" w:rsidP="00957249">
      <w:pPr>
        <w:spacing w:after="0" w:line="240" w:lineRule="auto"/>
        <w:ind w:left="2"/>
        <w:jc w:val="both"/>
        <w:rPr>
          <w:rFonts w:ascii="Times New Roman" w:eastAsia="Times New Roman" w:hAnsi="Times New Roman" w:cs="Times New Roman"/>
          <w:i/>
        </w:rPr>
      </w:pPr>
    </w:p>
    <w:p w14:paraId="13E2E827" w14:textId="77777777" w:rsidR="00053E50" w:rsidRPr="003E2FA2" w:rsidRDefault="00053E50" w:rsidP="00957249">
      <w:pPr>
        <w:spacing w:after="0" w:line="240" w:lineRule="auto"/>
        <w:ind w:left="2"/>
        <w:jc w:val="both"/>
        <w:rPr>
          <w:rFonts w:ascii="Times New Roman" w:eastAsia="Times New Roman" w:hAnsi="Times New Roman" w:cs="Times New Roman"/>
          <w:i/>
        </w:rPr>
      </w:pPr>
      <w:r w:rsidRPr="003E2FA2">
        <w:rPr>
          <w:rFonts w:ascii="Times New Roman" w:eastAsia="Times New Roman" w:hAnsi="Times New Roman" w:cs="Times New Roman"/>
          <w:i/>
        </w:rPr>
        <w:t>Оштећење функције бубрега</w:t>
      </w:r>
    </w:p>
    <w:p w14:paraId="02F0DF7D" w14:textId="77777777" w:rsidR="00053E50" w:rsidRPr="003E2FA2" w:rsidRDefault="00053E50" w:rsidP="00957249">
      <w:pPr>
        <w:spacing w:after="0" w:line="240" w:lineRule="auto"/>
        <w:ind w:left="2"/>
        <w:jc w:val="both"/>
        <w:rPr>
          <w:rFonts w:ascii="Times New Roman" w:eastAsia="Times New Roman" w:hAnsi="Times New Roman" w:cs="Times New Roman"/>
        </w:rPr>
      </w:pPr>
      <w:r w:rsidRPr="003E2FA2">
        <w:rPr>
          <w:rFonts w:ascii="Times New Roman" w:eastAsia="Times New Roman" w:hAnsi="Times New Roman" w:cs="Times New Roman"/>
        </w:rPr>
        <w:t>Прилагођавање дозе није потребно код пацијената са оштећењем функције бубрега (погледати дио 5.2).</w:t>
      </w:r>
    </w:p>
    <w:p w14:paraId="6DBA5E2D" w14:textId="77777777" w:rsidR="00053E50" w:rsidRPr="003E2FA2" w:rsidRDefault="00053E50" w:rsidP="00957249">
      <w:pPr>
        <w:spacing w:after="0" w:line="240" w:lineRule="auto"/>
        <w:ind w:left="2"/>
        <w:jc w:val="both"/>
        <w:rPr>
          <w:rFonts w:ascii="Times New Roman" w:eastAsia="Times New Roman" w:hAnsi="Times New Roman" w:cs="Times New Roman"/>
        </w:rPr>
      </w:pPr>
    </w:p>
    <w:p w14:paraId="21BBE527" w14:textId="77777777" w:rsidR="00053E50" w:rsidRPr="003E2FA2" w:rsidRDefault="00053E50" w:rsidP="00957249">
      <w:pPr>
        <w:spacing w:after="0" w:line="240" w:lineRule="auto"/>
        <w:ind w:left="2"/>
        <w:jc w:val="both"/>
        <w:rPr>
          <w:rFonts w:ascii="Times New Roman" w:eastAsia="Times New Roman" w:hAnsi="Times New Roman" w:cs="Times New Roman"/>
          <w:i/>
        </w:rPr>
      </w:pPr>
      <w:r w:rsidRPr="003E2FA2">
        <w:rPr>
          <w:rFonts w:ascii="Times New Roman" w:eastAsia="Times New Roman" w:hAnsi="Times New Roman" w:cs="Times New Roman"/>
          <w:i/>
        </w:rPr>
        <w:t>Оштећење функције јетре</w:t>
      </w:r>
    </w:p>
    <w:p w14:paraId="4052DCDD" w14:textId="77777777" w:rsidR="00053E50" w:rsidRPr="003E2FA2" w:rsidRDefault="00053E50" w:rsidP="00957249">
      <w:pPr>
        <w:spacing w:after="0" w:line="240" w:lineRule="auto"/>
        <w:ind w:left="2"/>
        <w:jc w:val="both"/>
        <w:rPr>
          <w:rFonts w:ascii="Times New Roman" w:eastAsia="Times New Roman" w:hAnsi="Times New Roman" w:cs="Times New Roman"/>
        </w:rPr>
      </w:pPr>
      <w:r w:rsidRPr="003E2FA2">
        <w:rPr>
          <w:rFonts w:ascii="Times New Roman" w:eastAsia="Times New Roman" w:hAnsi="Times New Roman" w:cs="Times New Roman"/>
        </w:rPr>
        <w:t>Тикагрелор није испитиван код пацијената са тешким оштећењем функције јетре, стога је његова употреба код ових пацијената контраиндикована (погледати дио 4.3). Код пацијената са умјереним оштећењем функције јетре доступни су само ограничени подаци. Прилагођавање дозе није препоручено, али тикагрелор треба примјењивати са опрезом (погледати дјелове 4.4 и 5.2). Није потребно прилагођавање дозе за пацијенте са благим оштећењем функције јетре (погледати дио 5.2).</w:t>
      </w:r>
    </w:p>
    <w:p w14:paraId="45EFE001" w14:textId="77777777" w:rsidR="00053E50" w:rsidRPr="003E2FA2" w:rsidRDefault="00053E50" w:rsidP="00957249">
      <w:pPr>
        <w:spacing w:after="0" w:line="240" w:lineRule="auto"/>
        <w:jc w:val="both"/>
        <w:rPr>
          <w:rFonts w:ascii="Times New Roman" w:eastAsia="Times New Roman" w:hAnsi="Times New Roman" w:cs="Times New Roman"/>
        </w:rPr>
      </w:pPr>
    </w:p>
    <w:p w14:paraId="1E71586A" w14:textId="77777777" w:rsidR="00053E50" w:rsidRPr="003E2FA2" w:rsidRDefault="00053E50" w:rsidP="00957249">
      <w:pPr>
        <w:spacing w:after="0" w:line="240" w:lineRule="auto"/>
        <w:ind w:left="2"/>
        <w:jc w:val="both"/>
        <w:rPr>
          <w:rFonts w:ascii="Times New Roman" w:eastAsia="Times New Roman" w:hAnsi="Times New Roman" w:cs="Times New Roman"/>
          <w:i/>
        </w:rPr>
      </w:pPr>
      <w:r w:rsidRPr="003E2FA2">
        <w:rPr>
          <w:rFonts w:ascii="Times New Roman" w:eastAsia="Times New Roman" w:hAnsi="Times New Roman" w:cs="Times New Roman"/>
          <w:i/>
        </w:rPr>
        <w:t>Педијатријска популација</w:t>
      </w:r>
    </w:p>
    <w:p w14:paraId="7D598A02" w14:textId="77777777" w:rsidR="00053E50" w:rsidRPr="003E2FA2" w:rsidRDefault="00053E50" w:rsidP="00957249">
      <w:pPr>
        <w:spacing w:after="0" w:line="240" w:lineRule="auto"/>
        <w:ind w:left="2"/>
        <w:jc w:val="both"/>
        <w:rPr>
          <w:rFonts w:ascii="Times New Roman" w:eastAsia="Times New Roman" w:hAnsi="Times New Roman" w:cs="Times New Roman"/>
        </w:rPr>
      </w:pPr>
      <w:r w:rsidRPr="003E2FA2">
        <w:rPr>
          <w:rFonts w:ascii="Times New Roman" w:eastAsia="Times New Roman" w:hAnsi="Times New Roman" w:cs="Times New Roman"/>
        </w:rPr>
        <w:t>Безбједност и ефикасност тикагрелора код дјеце млађе од 18 година нијесу установљене. Не постоји значајна (релевантна) употреба тикагрелора код дјеце са анемијом српастих ћелија (погледати дјелове 5.1 и 5.2).</w:t>
      </w:r>
    </w:p>
    <w:p w14:paraId="6F107512" w14:textId="77777777" w:rsidR="00053E50" w:rsidRPr="003E2FA2" w:rsidRDefault="00053E50" w:rsidP="00957249">
      <w:pPr>
        <w:spacing w:after="0" w:line="240" w:lineRule="auto"/>
        <w:ind w:left="2"/>
        <w:jc w:val="both"/>
        <w:rPr>
          <w:rFonts w:ascii="Times New Roman" w:eastAsia="Times New Roman" w:hAnsi="Times New Roman" w:cs="Times New Roman"/>
        </w:rPr>
      </w:pPr>
    </w:p>
    <w:p w14:paraId="6568279A" w14:textId="77777777" w:rsidR="00053E50" w:rsidRPr="003E2FA2" w:rsidRDefault="00053E50" w:rsidP="00957249">
      <w:pPr>
        <w:spacing w:after="0" w:line="240" w:lineRule="auto"/>
        <w:ind w:left="2"/>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Начин примjене</w:t>
      </w:r>
    </w:p>
    <w:p w14:paraId="67C426B8" w14:textId="77777777" w:rsidR="00053E50" w:rsidRPr="003E2FA2" w:rsidRDefault="00053E50" w:rsidP="00957249">
      <w:pPr>
        <w:spacing w:after="0" w:line="240" w:lineRule="auto"/>
        <w:ind w:left="2"/>
        <w:jc w:val="both"/>
        <w:rPr>
          <w:rFonts w:ascii="Times New Roman" w:eastAsia="Times New Roman" w:hAnsi="Times New Roman" w:cs="Times New Roman"/>
        </w:rPr>
      </w:pPr>
      <w:r w:rsidRPr="003E2FA2">
        <w:rPr>
          <w:rFonts w:ascii="Times New Roman" w:eastAsia="Times New Roman" w:hAnsi="Times New Roman" w:cs="Times New Roman"/>
        </w:rPr>
        <w:t>За оралну употребу.</w:t>
      </w:r>
    </w:p>
    <w:p w14:paraId="6B0E50A2" w14:textId="77777777" w:rsidR="00053E50" w:rsidRPr="003E2FA2" w:rsidRDefault="00053E50" w:rsidP="00957249">
      <w:pPr>
        <w:spacing w:after="0" w:line="240" w:lineRule="auto"/>
        <w:ind w:left="2"/>
        <w:jc w:val="both"/>
        <w:rPr>
          <w:rFonts w:ascii="Times New Roman" w:eastAsia="Times New Roman" w:hAnsi="Times New Roman" w:cs="Times New Roman"/>
        </w:rPr>
      </w:pPr>
      <w:r w:rsidRPr="003E2FA2">
        <w:rPr>
          <w:rFonts w:ascii="Times New Roman" w:eastAsia="Times New Roman" w:hAnsi="Times New Roman" w:cs="Times New Roman"/>
        </w:rPr>
        <w:t>Лијек Тingora може се узимати са или без хране.</w:t>
      </w:r>
    </w:p>
    <w:p w14:paraId="1F38575B" w14:textId="77777777" w:rsidR="00053E50" w:rsidRPr="003E2FA2" w:rsidRDefault="00053E50" w:rsidP="00957249">
      <w:pPr>
        <w:spacing w:after="0" w:line="240" w:lineRule="auto"/>
        <w:ind w:left="2"/>
        <w:jc w:val="both"/>
        <w:rPr>
          <w:rFonts w:ascii="Times New Roman" w:eastAsia="Times New Roman" w:hAnsi="Times New Roman" w:cs="Times New Roman"/>
        </w:rPr>
      </w:pPr>
      <w:r w:rsidRPr="003E2FA2">
        <w:rPr>
          <w:rFonts w:ascii="Times New Roman" w:eastAsia="Times New Roman" w:hAnsi="Times New Roman" w:cs="Times New Roman"/>
        </w:rPr>
        <w:t>Пацијенти који не могу да прогутају цијелу таблету(е), таблете могу смрвити до финог праха и размутити у пола чаше воде и одмах попити. Чашу је потребно испрати са још пола чаше воде и попити садржај. Смјеша се такође може примијенити преко назогастричне сонде (CH8 или веће). Важно је испрати назогастричну сонду водом након давања смјеше.</w:t>
      </w:r>
    </w:p>
    <w:p w14:paraId="4F7C0551" w14:textId="78693F62" w:rsidR="00053E50" w:rsidRPr="003E2FA2" w:rsidRDefault="00053E50" w:rsidP="00957249">
      <w:pPr>
        <w:spacing w:after="0" w:line="240" w:lineRule="auto"/>
        <w:ind w:left="2"/>
        <w:jc w:val="both"/>
        <w:rPr>
          <w:rFonts w:ascii="Times New Roman" w:eastAsia="Times New Roman" w:hAnsi="Times New Roman" w:cs="Times New Roman"/>
        </w:rPr>
      </w:pPr>
    </w:p>
    <w:p w14:paraId="78B199FE" w14:textId="492E8B9B" w:rsidR="00361290" w:rsidRPr="003E2FA2" w:rsidRDefault="00361290" w:rsidP="00957249">
      <w:pPr>
        <w:spacing w:after="0" w:line="240" w:lineRule="auto"/>
        <w:ind w:left="2"/>
        <w:jc w:val="both"/>
        <w:rPr>
          <w:rFonts w:ascii="Times New Roman" w:eastAsia="Times New Roman" w:hAnsi="Times New Roman" w:cs="Times New Roman"/>
        </w:rPr>
      </w:pPr>
    </w:p>
    <w:p w14:paraId="19AE97DF" w14:textId="77777777" w:rsidR="00361290" w:rsidRPr="003E2FA2" w:rsidRDefault="00361290" w:rsidP="00957249">
      <w:pPr>
        <w:spacing w:after="0" w:line="240" w:lineRule="auto"/>
        <w:ind w:left="2"/>
        <w:jc w:val="both"/>
        <w:rPr>
          <w:rFonts w:ascii="Times New Roman" w:eastAsia="Times New Roman" w:hAnsi="Times New Roman" w:cs="Times New Roman"/>
        </w:rPr>
      </w:pPr>
    </w:p>
    <w:p w14:paraId="63E4C44C" w14:textId="6F16B144"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lastRenderedPageBreak/>
        <w:t>4.3. Контраиндикације</w:t>
      </w:r>
    </w:p>
    <w:p w14:paraId="5A4B8993"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p>
    <w:p w14:paraId="1EE9B0CF" w14:textId="77777777" w:rsidR="00053E50" w:rsidRPr="003E2FA2" w:rsidRDefault="00053E50" w:rsidP="003269F7">
      <w:pPr>
        <w:pStyle w:val="ListParagraph"/>
        <w:numPr>
          <w:ilvl w:val="0"/>
          <w:numId w:val="50"/>
        </w:numPr>
        <w:rPr>
          <w:bCs/>
          <w:lang w:val="sr-Cyrl-ME"/>
        </w:rPr>
      </w:pPr>
      <w:r w:rsidRPr="003E2FA2">
        <w:rPr>
          <w:bCs/>
          <w:lang w:val="sr-Cyrl-ME"/>
        </w:rPr>
        <w:t>Преосјетљивост на активну супстанцу или на било коју од помоћних супстанци наведених у дијелу 6.1 (погледати дио 4.8).</w:t>
      </w:r>
    </w:p>
    <w:p w14:paraId="0630B7F7" w14:textId="77777777" w:rsidR="00053E50" w:rsidRPr="003E2FA2" w:rsidRDefault="00053E50" w:rsidP="00957249">
      <w:pPr>
        <w:numPr>
          <w:ilvl w:val="0"/>
          <w:numId w:val="34"/>
        </w:numPr>
        <w:tabs>
          <w:tab w:val="left" w:pos="284"/>
        </w:tabs>
        <w:spacing w:after="0" w:line="240" w:lineRule="auto"/>
        <w:contextualSpacing/>
        <w:jc w:val="both"/>
        <w:rPr>
          <w:rFonts w:ascii="Times New Roman" w:eastAsia="Times New Roman" w:hAnsi="Times New Roman" w:cs="Times New Roman"/>
          <w:bCs/>
        </w:rPr>
      </w:pPr>
      <w:r w:rsidRPr="003E2FA2">
        <w:rPr>
          <w:rFonts w:ascii="Times New Roman" w:eastAsia="Times New Roman" w:hAnsi="Times New Roman" w:cs="Times New Roman"/>
          <w:bCs/>
        </w:rPr>
        <w:t>Активно патолошко крварење.</w:t>
      </w:r>
    </w:p>
    <w:p w14:paraId="160E2C24" w14:textId="77777777" w:rsidR="00053E50" w:rsidRPr="003E2FA2" w:rsidRDefault="00053E50" w:rsidP="00957249">
      <w:pPr>
        <w:numPr>
          <w:ilvl w:val="0"/>
          <w:numId w:val="34"/>
        </w:numPr>
        <w:tabs>
          <w:tab w:val="left" w:pos="284"/>
        </w:tabs>
        <w:spacing w:after="0" w:line="240" w:lineRule="auto"/>
        <w:contextualSpacing/>
        <w:jc w:val="both"/>
        <w:rPr>
          <w:rFonts w:ascii="Times New Roman" w:eastAsia="Times New Roman" w:hAnsi="Times New Roman" w:cs="Times New Roman"/>
          <w:bCs/>
        </w:rPr>
      </w:pPr>
      <w:r w:rsidRPr="003E2FA2">
        <w:rPr>
          <w:rFonts w:ascii="Times New Roman" w:eastAsia="Times New Roman" w:hAnsi="Times New Roman" w:cs="Times New Roman"/>
          <w:bCs/>
        </w:rPr>
        <w:t>Претходно интракранијално крварење (погледати дио 4.8).</w:t>
      </w:r>
    </w:p>
    <w:p w14:paraId="38C01767" w14:textId="22402E88" w:rsidR="00053E50" w:rsidRPr="003E2FA2" w:rsidRDefault="00053E50" w:rsidP="00957249">
      <w:pPr>
        <w:numPr>
          <w:ilvl w:val="0"/>
          <w:numId w:val="34"/>
        </w:numPr>
        <w:tabs>
          <w:tab w:val="left" w:pos="284"/>
        </w:tabs>
        <w:spacing w:after="0" w:line="240" w:lineRule="auto"/>
        <w:contextualSpacing/>
        <w:jc w:val="both"/>
        <w:rPr>
          <w:rFonts w:ascii="Times New Roman" w:eastAsia="Times New Roman" w:hAnsi="Times New Roman" w:cs="Times New Roman"/>
          <w:bCs/>
        </w:rPr>
      </w:pPr>
      <w:r w:rsidRPr="003E2FA2">
        <w:rPr>
          <w:rFonts w:ascii="Times New Roman" w:eastAsia="Times New Roman" w:hAnsi="Times New Roman" w:cs="Times New Roman"/>
          <w:bCs/>
        </w:rPr>
        <w:t>Тешко оштећење функције јетре (погледати дјелове 4.2, 4.4 и 5.2)</w:t>
      </w:r>
      <w:r w:rsidR="00703A5C" w:rsidRPr="003E2FA2">
        <w:rPr>
          <w:rFonts w:ascii="Times New Roman" w:eastAsia="Times New Roman" w:hAnsi="Times New Roman" w:cs="Times New Roman"/>
          <w:bCs/>
        </w:rPr>
        <w:t>.</w:t>
      </w:r>
    </w:p>
    <w:p w14:paraId="3C4E9858" w14:textId="77777777" w:rsidR="00053E50" w:rsidRPr="003E2FA2" w:rsidRDefault="00053E50" w:rsidP="003054D4">
      <w:pPr>
        <w:numPr>
          <w:ilvl w:val="0"/>
          <w:numId w:val="34"/>
        </w:numPr>
        <w:tabs>
          <w:tab w:val="left" w:pos="284"/>
        </w:tabs>
        <w:spacing w:after="0" w:line="240" w:lineRule="auto"/>
        <w:contextualSpacing/>
        <w:jc w:val="both"/>
        <w:rPr>
          <w:rFonts w:ascii="Times New Roman" w:eastAsia="Times New Roman" w:hAnsi="Times New Roman" w:cs="Times New Roman"/>
          <w:bCs/>
        </w:rPr>
      </w:pPr>
      <w:r w:rsidRPr="003E2FA2">
        <w:rPr>
          <w:rFonts w:ascii="Times New Roman" w:eastAsia="Times New Roman" w:hAnsi="Times New Roman" w:cs="Times New Roman"/>
          <w:bCs/>
        </w:rPr>
        <w:t>Истовремена примјена тикагрелора са снажним инхибиторима CYP3А4 (нпр. кетоконазол, кларитромицин, нефазодон, ритонавир и атазанавир), јер истовремена примјена може да доведе до значајног повећања изложености тикагрелору (погледати дио 4.5).</w:t>
      </w:r>
    </w:p>
    <w:p w14:paraId="2E373E36"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rPr>
      </w:pPr>
    </w:p>
    <w:p w14:paraId="185A7A15"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rPr>
        <w:t>4.4. Посебна упозорења и мјере опреза при употреби лијека</w:t>
      </w:r>
    </w:p>
    <w:p w14:paraId="620A30A6" w14:textId="77777777" w:rsidR="00053E50" w:rsidRPr="003E2FA2" w:rsidRDefault="00053E50" w:rsidP="009808E6">
      <w:pPr>
        <w:spacing w:after="0" w:line="240" w:lineRule="auto"/>
        <w:ind w:right="300"/>
        <w:jc w:val="both"/>
        <w:rPr>
          <w:rFonts w:ascii="Times New Roman" w:eastAsia="Times New Roman" w:hAnsi="Times New Roman" w:cs="Times New Roman"/>
          <w:u w:val="single"/>
        </w:rPr>
      </w:pPr>
    </w:p>
    <w:p w14:paraId="3BF932E9" w14:textId="77777777" w:rsidR="00053E50" w:rsidRPr="003E2FA2" w:rsidRDefault="00053E50" w:rsidP="00957249">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Ризик од крварења</w:t>
      </w:r>
    </w:p>
    <w:p w14:paraId="6222EFFB" w14:textId="7777777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Употребу тикагрелора код пацијената са познатим ризиком од крварења треба ускладити у односу на користи од превенције атеротромботских догађаја (погледати дјелове 4.8 и 5.1). Уколико је клинички индиковано, тикагрелор треба опрезно користити код сљедећих група пацијената:</w:t>
      </w:r>
    </w:p>
    <w:p w14:paraId="715D5A21" w14:textId="77777777" w:rsidR="00053E50" w:rsidRPr="003E2FA2" w:rsidRDefault="00053E50" w:rsidP="00957249">
      <w:pPr>
        <w:spacing w:after="0" w:line="240" w:lineRule="auto"/>
        <w:ind w:right="300"/>
        <w:jc w:val="both"/>
        <w:rPr>
          <w:rFonts w:ascii="Times New Roman" w:eastAsia="Times New Roman" w:hAnsi="Times New Roman" w:cs="Times New Roman"/>
        </w:rPr>
      </w:pPr>
    </w:p>
    <w:p w14:paraId="25579E0C" w14:textId="77777777" w:rsidR="00053E50" w:rsidRPr="003E2FA2" w:rsidRDefault="00053E50" w:rsidP="003054D4">
      <w:pPr>
        <w:numPr>
          <w:ilvl w:val="0"/>
          <w:numId w:val="35"/>
        </w:numPr>
        <w:tabs>
          <w:tab w:val="left" w:pos="284"/>
        </w:tabs>
        <w:spacing w:after="0" w:line="240" w:lineRule="auto"/>
        <w:ind w:left="284" w:right="300" w:hanging="284"/>
        <w:contextualSpacing/>
        <w:jc w:val="both"/>
        <w:rPr>
          <w:rFonts w:ascii="Times New Roman" w:eastAsia="Times New Roman" w:hAnsi="Times New Roman" w:cs="Times New Roman"/>
        </w:rPr>
      </w:pPr>
      <w:r w:rsidRPr="003E2FA2">
        <w:rPr>
          <w:rFonts w:ascii="Times New Roman" w:eastAsia="Times New Roman" w:hAnsi="Times New Roman" w:cs="Times New Roman"/>
        </w:rPr>
        <w:t>Пацијенти склони крварењу (нпр. због недавне трауме, недавне хируршке интервенције, поремећаја коагулације, активног или недавног гастроинтестиналног крварења) или код којих постоји повећан ризик од трауме. Употреба тикагрелора је контраиндикована код пацијената са активним патолошким крварењем, код пацијената са ранијом интракранијалном хеморагијом и код пацијената са тешким оштећењем функције јетре (погледати дио 4.3).</w:t>
      </w:r>
    </w:p>
    <w:p w14:paraId="2D570827" w14:textId="77777777" w:rsidR="00053E50" w:rsidRPr="003E2FA2" w:rsidRDefault="00053E50" w:rsidP="003054D4">
      <w:pPr>
        <w:numPr>
          <w:ilvl w:val="0"/>
          <w:numId w:val="35"/>
        </w:numPr>
        <w:tabs>
          <w:tab w:val="left" w:pos="284"/>
        </w:tabs>
        <w:spacing w:after="0" w:line="240" w:lineRule="auto"/>
        <w:ind w:left="284" w:right="300" w:hanging="284"/>
        <w:contextualSpacing/>
        <w:jc w:val="both"/>
        <w:rPr>
          <w:rFonts w:ascii="Times New Roman" w:eastAsia="Times New Roman" w:hAnsi="Times New Roman" w:cs="Times New Roman"/>
        </w:rPr>
      </w:pPr>
      <w:r w:rsidRPr="003E2FA2">
        <w:rPr>
          <w:rFonts w:ascii="Times New Roman" w:eastAsia="Times New Roman" w:hAnsi="Times New Roman" w:cs="Times New Roman"/>
        </w:rPr>
        <w:t>Пацијенти код којих се истовремено примјењују љекови који могу да повећају ризик од крварења (нпр. нестероидни антиинфламаторни љекови (НСАИЛ), орални антикоагуланси и/или фибринолитици) унутар 24 сата од примјене тикагрелора.</w:t>
      </w:r>
    </w:p>
    <w:p w14:paraId="058B80F4" w14:textId="77777777" w:rsidR="004861A7" w:rsidRPr="003E2FA2" w:rsidRDefault="004861A7" w:rsidP="003269F7">
      <w:pPr>
        <w:tabs>
          <w:tab w:val="left" w:pos="284"/>
        </w:tabs>
        <w:spacing w:after="0" w:line="240" w:lineRule="auto"/>
        <w:ind w:left="284" w:right="300"/>
        <w:contextualSpacing/>
        <w:jc w:val="both"/>
        <w:rPr>
          <w:rFonts w:ascii="Times New Roman" w:eastAsia="Times New Roman" w:hAnsi="Times New Roman" w:cs="Times New Roman"/>
        </w:rPr>
      </w:pPr>
    </w:p>
    <w:p w14:paraId="7EE0992E" w14:textId="5D02CC63" w:rsidR="00053E50" w:rsidRPr="003E2FA2" w:rsidRDefault="004861A7" w:rsidP="004861A7">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Двије рандомизоване, контролисане студије (</w:t>
      </w:r>
      <w:r w:rsidR="00450430" w:rsidRPr="003E2FA2">
        <w:rPr>
          <w:rFonts w:ascii="Times New Roman" w:eastAsia="Times New Roman" w:hAnsi="Times New Roman" w:cs="Times New Roman"/>
        </w:rPr>
        <w:t>TICO</w:t>
      </w:r>
      <w:r w:rsidRPr="003E2FA2">
        <w:rPr>
          <w:rFonts w:ascii="Times New Roman" w:eastAsia="Times New Roman" w:hAnsi="Times New Roman" w:cs="Times New Roman"/>
        </w:rPr>
        <w:t xml:space="preserve"> и</w:t>
      </w:r>
      <w:r w:rsidR="00450430" w:rsidRPr="003E2FA2">
        <w:rPr>
          <w:rFonts w:ascii="Times New Roman" w:eastAsia="Times New Roman" w:hAnsi="Times New Roman" w:cs="Times New Roman"/>
        </w:rPr>
        <w:t xml:space="preserve"> TW</w:t>
      </w:r>
      <w:r w:rsidR="00DA4287" w:rsidRPr="003E2FA2">
        <w:rPr>
          <w:rFonts w:ascii="Times New Roman" w:eastAsia="Times New Roman" w:hAnsi="Times New Roman" w:cs="Times New Roman"/>
        </w:rPr>
        <w:t>ILIGHT</w:t>
      </w:r>
      <w:r w:rsidRPr="003E2FA2">
        <w:rPr>
          <w:rFonts w:ascii="Times New Roman" w:eastAsia="Times New Roman" w:hAnsi="Times New Roman" w:cs="Times New Roman"/>
        </w:rPr>
        <w:t>) спроведене</w:t>
      </w:r>
      <w:r w:rsidR="00DA4287" w:rsidRPr="003E2FA2">
        <w:rPr>
          <w:rFonts w:ascii="Times New Roman" w:eastAsia="Times New Roman" w:hAnsi="Times New Roman" w:cs="Times New Roman"/>
        </w:rPr>
        <w:t xml:space="preserve"> су</w:t>
      </w:r>
      <w:r w:rsidRPr="003E2FA2">
        <w:rPr>
          <w:rFonts w:ascii="Times New Roman" w:eastAsia="Times New Roman" w:hAnsi="Times New Roman" w:cs="Times New Roman"/>
        </w:rPr>
        <w:t xml:space="preserve"> код пацијената са А</w:t>
      </w:r>
      <w:r w:rsidR="00905570" w:rsidRPr="003E2FA2">
        <w:rPr>
          <w:rFonts w:ascii="Times New Roman" w:eastAsia="Times New Roman" w:hAnsi="Times New Roman" w:cs="Times New Roman"/>
        </w:rPr>
        <w:t>KS</w:t>
      </w:r>
      <w:r w:rsidR="00DA4287" w:rsidRPr="003E2FA2">
        <w:rPr>
          <w:rFonts w:ascii="Times New Roman" w:eastAsia="Times New Roman" w:hAnsi="Times New Roman" w:cs="Times New Roman"/>
        </w:rPr>
        <w:t>-ом</w:t>
      </w:r>
      <w:r w:rsidR="00450430" w:rsidRPr="003E2FA2">
        <w:rPr>
          <w:rFonts w:ascii="Times New Roman" w:eastAsia="Times New Roman" w:hAnsi="Times New Roman" w:cs="Times New Roman"/>
        </w:rPr>
        <w:t xml:space="preserve"> </w:t>
      </w:r>
      <w:r w:rsidRPr="003E2FA2">
        <w:rPr>
          <w:rFonts w:ascii="Times New Roman" w:eastAsia="Times New Roman" w:hAnsi="Times New Roman" w:cs="Times New Roman"/>
        </w:rPr>
        <w:t>подвргнут</w:t>
      </w:r>
      <w:r w:rsidR="00EB5294" w:rsidRPr="003E2FA2">
        <w:rPr>
          <w:rFonts w:ascii="Times New Roman" w:eastAsia="Times New Roman" w:hAnsi="Times New Roman" w:cs="Times New Roman"/>
        </w:rPr>
        <w:t>их</w:t>
      </w:r>
      <w:r w:rsidRPr="003E2FA2">
        <w:rPr>
          <w:rFonts w:ascii="Times New Roman" w:eastAsia="Times New Roman" w:hAnsi="Times New Roman" w:cs="Times New Roman"/>
        </w:rPr>
        <w:t xml:space="preserve"> </w:t>
      </w:r>
      <w:r w:rsidR="00497B1F" w:rsidRPr="003E2FA2">
        <w:rPr>
          <w:rFonts w:ascii="Times New Roman" w:eastAsia="Times New Roman" w:hAnsi="Times New Roman" w:cs="Times New Roman"/>
        </w:rPr>
        <w:t>PCI-у</w:t>
      </w:r>
      <w:r w:rsidRPr="003E2FA2">
        <w:rPr>
          <w:rFonts w:ascii="Times New Roman" w:eastAsia="Times New Roman" w:hAnsi="Times New Roman" w:cs="Times New Roman"/>
        </w:rPr>
        <w:t xml:space="preserve"> са имплантацијом стента који елуира л</w:t>
      </w:r>
      <w:r w:rsidR="00D66AB1" w:rsidRPr="003E2FA2">
        <w:rPr>
          <w:rFonts w:ascii="Times New Roman" w:eastAsia="Times New Roman" w:hAnsi="Times New Roman" w:cs="Times New Roman"/>
        </w:rPr>
        <w:t>иј</w:t>
      </w:r>
      <w:r w:rsidRPr="003E2FA2">
        <w:rPr>
          <w:rFonts w:ascii="Times New Roman" w:eastAsia="Times New Roman" w:hAnsi="Times New Roman" w:cs="Times New Roman"/>
        </w:rPr>
        <w:t>ек, показао је да је прекид терапије</w:t>
      </w:r>
      <w:r w:rsidR="00EB5294" w:rsidRPr="003E2FA2">
        <w:rPr>
          <w:rFonts w:ascii="Times New Roman" w:eastAsia="Times New Roman" w:hAnsi="Times New Roman" w:cs="Times New Roman"/>
        </w:rPr>
        <w:t xml:space="preserve"> </w:t>
      </w:r>
      <w:r w:rsidRPr="003E2FA2">
        <w:rPr>
          <w:rFonts w:ascii="Times New Roman" w:eastAsia="Times New Roman" w:hAnsi="Times New Roman" w:cs="Times New Roman"/>
        </w:rPr>
        <w:t>ацетилсалицилн</w:t>
      </w:r>
      <w:r w:rsidR="008C40F1" w:rsidRPr="003E2FA2">
        <w:rPr>
          <w:rFonts w:ascii="Times New Roman" w:eastAsia="Times New Roman" w:hAnsi="Times New Roman" w:cs="Times New Roman"/>
        </w:rPr>
        <w:t>е</w:t>
      </w:r>
      <w:r w:rsidRPr="003E2FA2">
        <w:rPr>
          <w:rFonts w:ascii="Times New Roman" w:eastAsia="Times New Roman" w:hAnsi="Times New Roman" w:cs="Times New Roman"/>
        </w:rPr>
        <w:t xml:space="preserve"> киселин</w:t>
      </w:r>
      <w:r w:rsidR="008C40F1" w:rsidRPr="003E2FA2">
        <w:rPr>
          <w:rFonts w:ascii="Times New Roman" w:eastAsia="Times New Roman" w:hAnsi="Times New Roman" w:cs="Times New Roman"/>
        </w:rPr>
        <w:t>е</w:t>
      </w:r>
      <w:r w:rsidRPr="003E2FA2">
        <w:rPr>
          <w:rFonts w:ascii="Times New Roman" w:eastAsia="Times New Roman" w:hAnsi="Times New Roman" w:cs="Times New Roman"/>
        </w:rPr>
        <w:t xml:space="preserve"> посл</w:t>
      </w:r>
      <w:r w:rsidR="008C40F1" w:rsidRPr="003E2FA2">
        <w:rPr>
          <w:rFonts w:ascii="Times New Roman" w:eastAsia="Times New Roman" w:hAnsi="Times New Roman" w:cs="Times New Roman"/>
        </w:rPr>
        <w:t>иј</w:t>
      </w:r>
      <w:r w:rsidRPr="003E2FA2">
        <w:rPr>
          <w:rFonts w:ascii="Times New Roman" w:eastAsia="Times New Roman" w:hAnsi="Times New Roman" w:cs="Times New Roman"/>
        </w:rPr>
        <w:t>е 3 м</w:t>
      </w:r>
      <w:r w:rsidR="008C40F1" w:rsidRPr="003E2FA2">
        <w:rPr>
          <w:rFonts w:ascii="Times New Roman" w:eastAsia="Times New Roman" w:hAnsi="Times New Roman" w:cs="Times New Roman"/>
        </w:rPr>
        <w:t>ј</w:t>
      </w:r>
      <w:r w:rsidRPr="003E2FA2">
        <w:rPr>
          <w:rFonts w:ascii="Times New Roman" w:eastAsia="Times New Roman" w:hAnsi="Times New Roman" w:cs="Times New Roman"/>
        </w:rPr>
        <w:t>есеца двоструке антиагрегационе терапије са тикагрелором и</w:t>
      </w:r>
      <w:r w:rsidR="008C40F1" w:rsidRPr="003E2FA2">
        <w:rPr>
          <w:rFonts w:ascii="Times New Roman" w:eastAsia="Times New Roman" w:hAnsi="Times New Roman" w:cs="Times New Roman"/>
        </w:rPr>
        <w:t xml:space="preserve"> </w:t>
      </w:r>
      <w:r w:rsidRPr="003E2FA2">
        <w:rPr>
          <w:rFonts w:ascii="Times New Roman" w:eastAsia="Times New Roman" w:hAnsi="Times New Roman" w:cs="Times New Roman"/>
        </w:rPr>
        <w:t>ацетилсалицилн</w:t>
      </w:r>
      <w:r w:rsidR="00D77CB3" w:rsidRPr="003E2FA2">
        <w:rPr>
          <w:rFonts w:ascii="Times New Roman" w:eastAsia="Times New Roman" w:hAnsi="Times New Roman" w:cs="Times New Roman"/>
        </w:rPr>
        <w:t>ом</w:t>
      </w:r>
      <w:r w:rsidRPr="003E2FA2">
        <w:rPr>
          <w:rFonts w:ascii="Times New Roman" w:eastAsia="Times New Roman" w:hAnsi="Times New Roman" w:cs="Times New Roman"/>
        </w:rPr>
        <w:t xml:space="preserve"> киселин</w:t>
      </w:r>
      <w:r w:rsidR="00D77CB3" w:rsidRPr="003E2FA2">
        <w:rPr>
          <w:rFonts w:ascii="Times New Roman" w:eastAsia="Times New Roman" w:hAnsi="Times New Roman" w:cs="Times New Roman"/>
        </w:rPr>
        <w:t xml:space="preserve">ом </w:t>
      </w:r>
      <w:r w:rsidRPr="003E2FA2">
        <w:rPr>
          <w:rFonts w:ascii="Times New Roman" w:eastAsia="Times New Roman" w:hAnsi="Times New Roman" w:cs="Times New Roman"/>
        </w:rPr>
        <w:t>(</w:t>
      </w:r>
      <w:r w:rsidR="00D1083C" w:rsidRPr="003E2FA2">
        <w:rPr>
          <w:rFonts w:ascii="Times New Roman" w:eastAsia="Times New Roman" w:hAnsi="Times New Roman" w:cs="Times New Roman"/>
        </w:rPr>
        <w:t xml:space="preserve">енг. </w:t>
      </w:r>
      <w:r w:rsidR="00FB7201" w:rsidRPr="003E2FA2">
        <w:rPr>
          <w:rFonts w:ascii="Times New Roman" w:eastAsia="Times New Roman" w:hAnsi="Times New Roman" w:cs="Times New Roman"/>
          <w:i/>
        </w:rPr>
        <w:t>d</w:t>
      </w:r>
      <w:r w:rsidR="00D1083C" w:rsidRPr="003E2FA2">
        <w:rPr>
          <w:rFonts w:ascii="Times New Roman" w:eastAsia="Times New Roman" w:hAnsi="Times New Roman" w:cs="Times New Roman"/>
          <w:i/>
        </w:rPr>
        <w:t>ual antiplatelet therapy</w:t>
      </w:r>
      <w:r w:rsidRPr="003E2FA2">
        <w:rPr>
          <w:rFonts w:ascii="Times New Roman" w:eastAsia="Times New Roman" w:hAnsi="Times New Roman" w:cs="Times New Roman"/>
        </w:rPr>
        <w:t xml:space="preserve">, </w:t>
      </w:r>
      <w:r w:rsidR="008F270B" w:rsidRPr="003E2FA2">
        <w:rPr>
          <w:rFonts w:ascii="Times New Roman" w:eastAsia="Times New Roman" w:hAnsi="Times New Roman" w:cs="Times New Roman"/>
        </w:rPr>
        <w:t>DAPT</w:t>
      </w:r>
      <w:r w:rsidRPr="003E2FA2">
        <w:rPr>
          <w:rFonts w:ascii="Times New Roman" w:eastAsia="Times New Roman" w:hAnsi="Times New Roman" w:cs="Times New Roman"/>
        </w:rPr>
        <w:t>) и наставак антиагрегационе терапије</w:t>
      </w:r>
      <w:r w:rsidR="00EB5294" w:rsidRPr="003E2FA2">
        <w:rPr>
          <w:rFonts w:ascii="Times New Roman" w:eastAsia="Times New Roman" w:hAnsi="Times New Roman" w:cs="Times New Roman"/>
        </w:rPr>
        <w:t xml:space="preserve"> </w:t>
      </w:r>
      <w:r w:rsidRPr="003E2FA2">
        <w:rPr>
          <w:rFonts w:ascii="Times New Roman" w:eastAsia="Times New Roman" w:hAnsi="Times New Roman" w:cs="Times New Roman"/>
        </w:rPr>
        <w:t>терапија само тикагрелором (</w:t>
      </w:r>
      <w:r w:rsidR="002326BA" w:rsidRPr="003E2FA2">
        <w:rPr>
          <w:rFonts w:ascii="Times New Roman" w:eastAsia="Times New Roman" w:hAnsi="Times New Roman" w:cs="Times New Roman"/>
        </w:rPr>
        <w:t>енг</w:t>
      </w:r>
      <w:r w:rsidR="002326BA" w:rsidRPr="003E2FA2">
        <w:rPr>
          <w:rFonts w:ascii="Times New Roman" w:eastAsia="Times New Roman" w:hAnsi="Times New Roman" w:cs="Times New Roman"/>
          <w:i/>
        </w:rPr>
        <w:t xml:space="preserve">. </w:t>
      </w:r>
      <w:r w:rsidR="008F270B" w:rsidRPr="003E2FA2">
        <w:rPr>
          <w:rFonts w:ascii="Times New Roman" w:eastAsia="Times New Roman" w:hAnsi="Times New Roman" w:cs="Times New Roman"/>
          <w:i/>
        </w:rPr>
        <w:t>single anti</w:t>
      </w:r>
      <w:r w:rsidR="002326BA" w:rsidRPr="003E2FA2">
        <w:rPr>
          <w:rFonts w:ascii="Times New Roman" w:eastAsia="Times New Roman" w:hAnsi="Times New Roman" w:cs="Times New Roman"/>
          <w:i/>
        </w:rPr>
        <w:t>platelet</w:t>
      </w:r>
      <w:r w:rsidRPr="003E2FA2">
        <w:rPr>
          <w:rFonts w:ascii="Times New Roman" w:eastAsia="Times New Roman" w:hAnsi="Times New Roman" w:cs="Times New Roman"/>
        </w:rPr>
        <w:t xml:space="preserve">, </w:t>
      </w:r>
      <w:r w:rsidR="002326BA" w:rsidRPr="003E2FA2">
        <w:rPr>
          <w:rFonts w:ascii="Times New Roman" w:eastAsia="Times New Roman" w:hAnsi="Times New Roman" w:cs="Times New Roman"/>
        </w:rPr>
        <w:t>SAPT</w:t>
      </w:r>
      <w:r w:rsidRPr="003E2FA2">
        <w:rPr>
          <w:rFonts w:ascii="Times New Roman" w:eastAsia="Times New Roman" w:hAnsi="Times New Roman" w:cs="Times New Roman"/>
        </w:rPr>
        <w:t>) током 9 м</w:t>
      </w:r>
      <w:r w:rsidR="00D77CB3" w:rsidRPr="003E2FA2">
        <w:rPr>
          <w:rFonts w:ascii="Times New Roman" w:eastAsia="Times New Roman" w:hAnsi="Times New Roman" w:cs="Times New Roman"/>
        </w:rPr>
        <w:t>ј</w:t>
      </w:r>
      <w:r w:rsidRPr="003E2FA2">
        <w:rPr>
          <w:rFonts w:ascii="Times New Roman" w:eastAsia="Times New Roman" w:hAnsi="Times New Roman" w:cs="Times New Roman"/>
        </w:rPr>
        <w:t>есеци, или</w:t>
      </w:r>
      <w:r w:rsidR="00EB5294" w:rsidRPr="003E2FA2">
        <w:rPr>
          <w:rFonts w:ascii="Times New Roman" w:eastAsia="Times New Roman" w:hAnsi="Times New Roman" w:cs="Times New Roman"/>
        </w:rPr>
        <w:t xml:space="preserve"> </w:t>
      </w:r>
      <w:r w:rsidRPr="003E2FA2">
        <w:rPr>
          <w:rFonts w:ascii="Times New Roman" w:eastAsia="Times New Roman" w:hAnsi="Times New Roman" w:cs="Times New Roman"/>
        </w:rPr>
        <w:t>12 м</w:t>
      </w:r>
      <w:r w:rsidR="00D77CB3" w:rsidRPr="003E2FA2">
        <w:rPr>
          <w:rFonts w:ascii="Times New Roman" w:eastAsia="Times New Roman" w:hAnsi="Times New Roman" w:cs="Times New Roman"/>
        </w:rPr>
        <w:t>ј</w:t>
      </w:r>
      <w:r w:rsidRPr="003E2FA2">
        <w:rPr>
          <w:rFonts w:ascii="Times New Roman" w:eastAsia="Times New Roman" w:hAnsi="Times New Roman" w:cs="Times New Roman"/>
        </w:rPr>
        <w:t>есеци смањује ризик од крварења без уоченог повећања ризика од великих кардиоваскуларних догађај</w:t>
      </w:r>
      <w:r w:rsidR="006F2524" w:rsidRPr="003E2FA2">
        <w:rPr>
          <w:rFonts w:ascii="Times New Roman" w:eastAsia="Times New Roman" w:hAnsi="Times New Roman" w:cs="Times New Roman"/>
        </w:rPr>
        <w:t xml:space="preserve">а </w:t>
      </w:r>
      <w:r w:rsidRPr="003E2FA2">
        <w:rPr>
          <w:rFonts w:ascii="Times New Roman" w:eastAsia="Times New Roman" w:hAnsi="Times New Roman" w:cs="Times New Roman"/>
        </w:rPr>
        <w:t>(</w:t>
      </w:r>
      <w:r w:rsidR="00D63FB4" w:rsidRPr="003E2FA2">
        <w:rPr>
          <w:rFonts w:ascii="Times New Roman" w:eastAsia="Times New Roman" w:hAnsi="Times New Roman" w:cs="Times New Roman"/>
        </w:rPr>
        <w:t xml:space="preserve">енг. </w:t>
      </w:r>
      <w:r w:rsidR="0023169F" w:rsidRPr="003E2FA2">
        <w:rPr>
          <w:rFonts w:ascii="Times New Roman" w:eastAsia="Times New Roman" w:hAnsi="Times New Roman" w:cs="Times New Roman"/>
          <w:i/>
        </w:rPr>
        <w:t>major adverse cardiovascular events</w:t>
      </w:r>
      <w:r w:rsidR="0023169F" w:rsidRPr="003E2FA2">
        <w:rPr>
          <w:rFonts w:ascii="Times New Roman" w:eastAsia="Times New Roman" w:hAnsi="Times New Roman" w:cs="Times New Roman"/>
        </w:rPr>
        <w:t>, MACE</w:t>
      </w:r>
      <w:r w:rsidRPr="003E2FA2">
        <w:rPr>
          <w:rFonts w:ascii="Times New Roman" w:eastAsia="Times New Roman" w:hAnsi="Times New Roman" w:cs="Times New Roman"/>
        </w:rPr>
        <w:t xml:space="preserve">) у поређењу са континуираним </w:t>
      </w:r>
      <w:r w:rsidR="00D63FB4" w:rsidRPr="003E2FA2">
        <w:rPr>
          <w:rFonts w:ascii="Times New Roman" w:eastAsia="Times New Roman" w:hAnsi="Times New Roman" w:cs="Times New Roman"/>
        </w:rPr>
        <w:t>DAPT</w:t>
      </w:r>
      <w:r w:rsidR="00BB00BE" w:rsidRPr="003E2FA2">
        <w:rPr>
          <w:rFonts w:ascii="Times New Roman" w:eastAsia="Times New Roman" w:hAnsi="Times New Roman" w:cs="Times New Roman"/>
        </w:rPr>
        <w:t>-</w:t>
      </w:r>
      <w:r w:rsidR="007F323D" w:rsidRPr="003E2FA2">
        <w:rPr>
          <w:rFonts w:ascii="Times New Roman" w:eastAsia="Times New Roman" w:hAnsi="Times New Roman" w:cs="Times New Roman"/>
        </w:rPr>
        <w:t>ом</w:t>
      </w:r>
      <w:r w:rsidRPr="003E2FA2">
        <w:rPr>
          <w:rFonts w:ascii="Times New Roman" w:eastAsia="Times New Roman" w:hAnsi="Times New Roman" w:cs="Times New Roman"/>
        </w:rPr>
        <w:t>.</w:t>
      </w:r>
      <w:r w:rsidR="00EB5294" w:rsidRPr="003E2FA2">
        <w:rPr>
          <w:rFonts w:ascii="Times New Roman" w:eastAsia="Times New Roman" w:hAnsi="Times New Roman" w:cs="Times New Roman"/>
        </w:rPr>
        <w:t xml:space="preserve"> </w:t>
      </w:r>
      <w:r w:rsidRPr="003E2FA2">
        <w:rPr>
          <w:rFonts w:ascii="Times New Roman" w:eastAsia="Times New Roman" w:hAnsi="Times New Roman" w:cs="Times New Roman"/>
        </w:rPr>
        <w:t>Одлук</w:t>
      </w:r>
      <w:r w:rsidR="00BB00BE" w:rsidRPr="003E2FA2">
        <w:rPr>
          <w:rFonts w:ascii="Times New Roman" w:eastAsia="Times New Roman" w:hAnsi="Times New Roman" w:cs="Times New Roman"/>
        </w:rPr>
        <w:t>у</w:t>
      </w:r>
      <w:r w:rsidRPr="003E2FA2">
        <w:rPr>
          <w:rFonts w:ascii="Times New Roman" w:eastAsia="Times New Roman" w:hAnsi="Times New Roman" w:cs="Times New Roman"/>
        </w:rPr>
        <w:t xml:space="preserve"> о прекиду прим</w:t>
      </w:r>
      <w:r w:rsidR="001E1A58" w:rsidRPr="003E2FA2">
        <w:rPr>
          <w:rFonts w:ascii="Times New Roman" w:eastAsia="Times New Roman" w:hAnsi="Times New Roman" w:cs="Times New Roman"/>
        </w:rPr>
        <w:t>ј</w:t>
      </w:r>
      <w:r w:rsidRPr="003E2FA2">
        <w:rPr>
          <w:rFonts w:ascii="Times New Roman" w:eastAsia="Times New Roman" w:hAnsi="Times New Roman" w:cs="Times New Roman"/>
        </w:rPr>
        <w:t>ене ацетилсалицилне киселине посл</w:t>
      </w:r>
      <w:r w:rsidR="00D77CB3" w:rsidRPr="003E2FA2">
        <w:rPr>
          <w:rFonts w:ascii="Times New Roman" w:eastAsia="Times New Roman" w:hAnsi="Times New Roman" w:cs="Times New Roman"/>
        </w:rPr>
        <w:t>иј</w:t>
      </w:r>
      <w:r w:rsidRPr="003E2FA2">
        <w:rPr>
          <w:rFonts w:ascii="Times New Roman" w:eastAsia="Times New Roman" w:hAnsi="Times New Roman" w:cs="Times New Roman"/>
        </w:rPr>
        <w:t>е 3 м</w:t>
      </w:r>
      <w:r w:rsidR="00D77CB3" w:rsidRPr="003E2FA2">
        <w:rPr>
          <w:rFonts w:ascii="Times New Roman" w:eastAsia="Times New Roman" w:hAnsi="Times New Roman" w:cs="Times New Roman"/>
        </w:rPr>
        <w:t>ј</w:t>
      </w:r>
      <w:r w:rsidRPr="003E2FA2">
        <w:rPr>
          <w:rFonts w:ascii="Times New Roman" w:eastAsia="Times New Roman" w:hAnsi="Times New Roman" w:cs="Times New Roman"/>
        </w:rPr>
        <w:t>есеца и наставк</w:t>
      </w:r>
      <w:r w:rsidR="00290915" w:rsidRPr="003E2FA2">
        <w:rPr>
          <w:rFonts w:ascii="Times New Roman" w:eastAsia="Times New Roman" w:hAnsi="Times New Roman" w:cs="Times New Roman"/>
        </w:rPr>
        <w:t>а</w:t>
      </w:r>
      <w:r w:rsidRPr="003E2FA2">
        <w:rPr>
          <w:rFonts w:ascii="Times New Roman" w:eastAsia="Times New Roman" w:hAnsi="Times New Roman" w:cs="Times New Roman"/>
        </w:rPr>
        <w:t xml:space="preserve"> антиагрегационе терапије</w:t>
      </w:r>
      <w:r w:rsidR="00EB5294" w:rsidRPr="003E2FA2">
        <w:rPr>
          <w:rFonts w:ascii="Times New Roman" w:eastAsia="Times New Roman" w:hAnsi="Times New Roman" w:cs="Times New Roman"/>
        </w:rPr>
        <w:t xml:space="preserve"> </w:t>
      </w:r>
      <w:r w:rsidRPr="003E2FA2">
        <w:rPr>
          <w:rFonts w:ascii="Times New Roman" w:eastAsia="Times New Roman" w:hAnsi="Times New Roman" w:cs="Times New Roman"/>
        </w:rPr>
        <w:t>9 м</w:t>
      </w:r>
      <w:r w:rsidR="00290915" w:rsidRPr="003E2FA2">
        <w:rPr>
          <w:rFonts w:ascii="Times New Roman" w:eastAsia="Times New Roman" w:hAnsi="Times New Roman" w:cs="Times New Roman"/>
        </w:rPr>
        <w:t>ј</w:t>
      </w:r>
      <w:r w:rsidRPr="003E2FA2">
        <w:rPr>
          <w:rFonts w:ascii="Times New Roman" w:eastAsia="Times New Roman" w:hAnsi="Times New Roman" w:cs="Times New Roman"/>
        </w:rPr>
        <w:t>есеци терапије само тикагрелором код пацијената са повећаним ризиком од крварења</w:t>
      </w:r>
      <w:r w:rsidR="00EB5294" w:rsidRPr="003E2FA2">
        <w:rPr>
          <w:rFonts w:ascii="Times New Roman" w:eastAsia="Times New Roman" w:hAnsi="Times New Roman" w:cs="Times New Roman"/>
        </w:rPr>
        <w:t xml:space="preserve"> </w:t>
      </w:r>
      <w:r w:rsidRPr="003E2FA2">
        <w:rPr>
          <w:rFonts w:ascii="Times New Roman" w:eastAsia="Times New Roman" w:hAnsi="Times New Roman" w:cs="Times New Roman"/>
        </w:rPr>
        <w:t>треба дон</w:t>
      </w:r>
      <w:r w:rsidR="00BB00BE" w:rsidRPr="003E2FA2">
        <w:rPr>
          <w:rFonts w:ascii="Times New Roman" w:eastAsia="Times New Roman" w:hAnsi="Times New Roman" w:cs="Times New Roman"/>
        </w:rPr>
        <w:t>иј</w:t>
      </w:r>
      <w:r w:rsidRPr="003E2FA2">
        <w:rPr>
          <w:rFonts w:ascii="Times New Roman" w:eastAsia="Times New Roman" w:hAnsi="Times New Roman" w:cs="Times New Roman"/>
        </w:rPr>
        <w:t>ети на основу клиничке проц</w:t>
      </w:r>
      <w:r w:rsidR="00290915" w:rsidRPr="003E2FA2">
        <w:rPr>
          <w:rFonts w:ascii="Times New Roman" w:eastAsia="Times New Roman" w:hAnsi="Times New Roman" w:cs="Times New Roman"/>
        </w:rPr>
        <w:t>ј</w:t>
      </w:r>
      <w:r w:rsidRPr="003E2FA2">
        <w:rPr>
          <w:rFonts w:ascii="Times New Roman" w:eastAsia="Times New Roman" w:hAnsi="Times New Roman" w:cs="Times New Roman"/>
        </w:rPr>
        <w:t>ене, узимајући у обзир ризик од крварења у односу на ризик од</w:t>
      </w:r>
      <w:r w:rsidR="00EB5294" w:rsidRPr="003E2FA2">
        <w:rPr>
          <w:rFonts w:ascii="Times New Roman" w:eastAsia="Times New Roman" w:hAnsi="Times New Roman" w:cs="Times New Roman"/>
        </w:rPr>
        <w:t xml:space="preserve"> </w:t>
      </w:r>
      <w:r w:rsidRPr="003E2FA2">
        <w:rPr>
          <w:rFonts w:ascii="Times New Roman" w:eastAsia="Times New Roman" w:hAnsi="Times New Roman" w:cs="Times New Roman"/>
        </w:rPr>
        <w:t>тромботички</w:t>
      </w:r>
      <w:r w:rsidR="00BB00BE" w:rsidRPr="003E2FA2">
        <w:rPr>
          <w:rFonts w:ascii="Times New Roman" w:eastAsia="Times New Roman" w:hAnsi="Times New Roman" w:cs="Times New Roman"/>
        </w:rPr>
        <w:t xml:space="preserve">х </w:t>
      </w:r>
      <w:r w:rsidRPr="003E2FA2">
        <w:rPr>
          <w:rFonts w:ascii="Times New Roman" w:eastAsia="Times New Roman" w:hAnsi="Times New Roman" w:cs="Times New Roman"/>
        </w:rPr>
        <w:t>догађај</w:t>
      </w:r>
      <w:r w:rsidR="00BB00BE" w:rsidRPr="003E2FA2">
        <w:rPr>
          <w:rFonts w:ascii="Times New Roman" w:eastAsia="Times New Roman" w:hAnsi="Times New Roman" w:cs="Times New Roman"/>
        </w:rPr>
        <w:t>а</w:t>
      </w:r>
      <w:r w:rsidRPr="003E2FA2">
        <w:rPr>
          <w:rFonts w:ascii="Times New Roman" w:eastAsia="Times New Roman" w:hAnsi="Times New Roman" w:cs="Times New Roman"/>
        </w:rPr>
        <w:t xml:space="preserve"> (</w:t>
      </w:r>
      <w:r w:rsidR="00EB5294" w:rsidRPr="003E2FA2">
        <w:rPr>
          <w:rFonts w:ascii="Times New Roman" w:eastAsia="Times New Roman" w:hAnsi="Times New Roman" w:cs="Times New Roman"/>
        </w:rPr>
        <w:t>погледати дио</w:t>
      </w:r>
      <w:r w:rsidRPr="003E2FA2">
        <w:rPr>
          <w:rFonts w:ascii="Times New Roman" w:eastAsia="Times New Roman" w:hAnsi="Times New Roman" w:cs="Times New Roman"/>
        </w:rPr>
        <w:t xml:space="preserve"> 4.2).</w:t>
      </w:r>
    </w:p>
    <w:p w14:paraId="7607B26E" w14:textId="77777777" w:rsidR="00952D19" w:rsidRPr="003E2FA2" w:rsidRDefault="00952D19" w:rsidP="004861A7">
      <w:pPr>
        <w:spacing w:after="0" w:line="240" w:lineRule="auto"/>
        <w:ind w:right="300"/>
        <w:jc w:val="both"/>
        <w:rPr>
          <w:rFonts w:ascii="Times New Roman" w:eastAsia="Times New Roman" w:hAnsi="Times New Roman" w:cs="Times New Roman"/>
        </w:rPr>
      </w:pPr>
    </w:p>
    <w:p w14:paraId="096171D3" w14:textId="79687451"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 xml:space="preserve">Трансфузија тромбоцита није поништила антитромботско дејство тикагрелола код здравих добровољаца и мало је вјероватно да би била од клиничке користи код пацијената са крварењем. С обзиром на то да истовремена примјена тикагрелора и дезмопресина није смањила вријеме крварења, </w:t>
      </w:r>
      <w:r w:rsidR="00BD6FA7" w:rsidRPr="003E2FA2">
        <w:rPr>
          <w:rFonts w:ascii="Times New Roman" w:eastAsia="Times New Roman" w:hAnsi="Times New Roman" w:cs="Times New Roman"/>
        </w:rPr>
        <w:t>мало је</w:t>
      </w:r>
      <w:r w:rsidRPr="003E2FA2">
        <w:rPr>
          <w:rFonts w:ascii="Times New Roman" w:eastAsia="Times New Roman" w:hAnsi="Times New Roman" w:cs="Times New Roman"/>
        </w:rPr>
        <w:t xml:space="preserve"> вјероватно да ће дезмопресин бити ефикасан у збрињавању клиничких догађаја крварења (погледати дио 4.5).</w:t>
      </w:r>
    </w:p>
    <w:p w14:paraId="7A5865B8" w14:textId="77777777" w:rsidR="00053E50" w:rsidRPr="003E2FA2" w:rsidRDefault="00053E50" w:rsidP="00957249">
      <w:pPr>
        <w:spacing w:after="0" w:line="240" w:lineRule="auto"/>
        <w:ind w:right="300"/>
        <w:jc w:val="both"/>
        <w:rPr>
          <w:rFonts w:ascii="Times New Roman" w:eastAsia="Times New Roman" w:hAnsi="Times New Roman" w:cs="Times New Roman"/>
        </w:rPr>
      </w:pPr>
    </w:p>
    <w:p w14:paraId="2C433B48" w14:textId="289EBA00"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Антифибринолитичка терапија (аминокапроична киселина или транексамична киселина) и/или терапија рекомбинантним фактором VIIа могу да повећају хемостазу. Терапија тикагрелором може поново да се примјењује пошто се узрок крварења идентификује и стави под контролу.</w:t>
      </w:r>
    </w:p>
    <w:p w14:paraId="2A460150" w14:textId="77777777" w:rsidR="00053E50" w:rsidRPr="003E2FA2" w:rsidRDefault="00053E50" w:rsidP="00957249">
      <w:pPr>
        <w:spacing w:after="0" w:line="240" w:lineRule="auto"/>
        <w:ind w:right="300"/>
        <w:jc w:val="both"/>
        <w:rPr>
          <w:rFonts w:ascii="Times New Roman" w:eastAsia="Times New Roman" w:hAnsi="Times New Roman" w:cs="Times New Roman"/>
          <w:u w:val="single"/>
        </w:rPr>
      </w:pPr>
    </w:p>
    <w:p w14:paraId="5AAD30D4" w14:textId="77777777" w:rsidR="00053E50" w:rsidRPr="003E2FA2" w:rsidRDefault="00053E50" w:rsidP="00957249">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Хируршка интервенција</w:t>
      </w:r>
    </w:p>
    <w:p w14:paraId="41371BE4" w14:textId="7777777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Пацијентима треба савјетовати да обавијесте своје љекаре и стоматологе уколико узимају тикагрелор прије него што се закаже било каква хируршка интервенција и прије него што узму било који нови лијек.</w:t>
      </w:r>
    </w:p>
    <w:p w14:paraId="020175D9" w14:textId="77777777" w:rsidR="003A7ECA" w:rsidRPr="003E2FA2" w:rsidRDefault="003A7ECA" w:rsidP="00957249">
      <w:pPr>
        <w:spacing w:after="0" w:line="240" w:lineRule="auto"/>
        <w:ind w:right="300"/>
        <w:jc w:val="both"/>
        <w:rPr>
          <w:rFonts w:ascii="Times New Roman" w:eastAsia="Times New Roman" w:hAnsi="Times New Roman" w:cs="Times New Roman"/>
        </w:rPr>
      </w:pPr>
    </w:p>
    <w:p w14:paraId="7A35E2B9" w14:textId="7777777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lastRenderedPageBreak/>
        <w:t xml:space="preserve">Код пацијената у PLATO студији који су били подвргнути коронарном артеријском бајпасу графтом (CABG, енгл. </w:t>
      </w:r>
      <w:r w:rsidRPr="003E2FA2">
        <w:rPr>
          <w:rFonts w:ascii="Times New Roman" w:eastAsia="Times New Roman" w:hAnsi="Times New Roman" w:cs="Times New Roman"/>
          <w:i/>
        </w:rPr>
        <w:t>coronary artery bypass graft</w:t>
      </w:r>
      <w:r w:rsidRPr="003E2FA2">
        <w:rPr>
          <w:rFonts w:ascii="Times New Roman" w:eastAsia="Times New Roman" w:hAnsi="Times New Roman" w:cs="Times New Roman"/>
        </w:rPr>
        <w:t>), тикагрелор је доводио до више крварења него клопидогрел када је примјена лијека прекинута 1 дан прије хируршког захвата, али је стопа великих крварења била слична у поређењу са оном забиљеженом код клопидогрела пошто је терапија прекинута два или више дана прије хируршког захвата (погледати дио 4.8). Уколико пацијент треба да се подвргне елективном хируршком захвату, а антиагрегационо дејство није пожељно, примјену тикагрелора треба прекинути 5 дана прије операције (погледати дио 5.1).</w:t>
      </w:r>
    </w:p>
    <w:p w14:paraId="6F9DE6B9" w14:textId="77777777" w:rsidR="001F5CCA" w:rsidRPr="003E2FA2" w:rsidRDefault="001F5CCA" w:rsidP="00957249">
      <w:pPr>
        <w:spacing w:after="0" w:line="240" w:lineRule="auto"/>
        <w:ind w:right="300"/>
        <w:jc w:val="both"/>
        <w:rPr>
          <w:rFonts w:ascii="Times New Roman" w:eastAsia="Times New Roman" w:hAnsi="Times New Roman" w:cs="Times New Roman"/>
          <w:u w:val="single"/>
        </w:rPr>
      </w:pPr>
    </w:p>
    <w:p w14:paraId="5776CE91" w14:textId="735DC6BB" w:rsidR="00053E50" w:rsidRPr="003E2FA2" w:rsidRDefault="00053E50" w:rsidP="00957249">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Пацијенти са претходним исхемијским можданим ударом</w:t>
      </w:r>
    </w:p>
    <w:p w14:paraId="03DF7BC1" w14:textId="7777777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Пацијенти са акутним коронарним синдромом који су претходно имали исхемијски мождани удар могу бити лијечени тикагрелором најдуже током 12 мјесеци (студија PLATO).</w:t>
      </w:r>
    </w:p>
    <w:p w14:paraId="2F9B3DE2" w14:textId="77777777" w:rsidR="00053E50" w:rsidRPr="003E2FA2" w:rsidRDefault="00053E50" w:rsidP="00957249">
      <w:pPr>
        <w:spacing w:after="0" w:line="240" w:lineRule="auto"/>
        <w:ind w:right="300"/>
        <w:jc w:val="both"/>
        <w:rPr>
          <w:rFonts w:ascii="Times New Roman" w:eastAsia="Times New Roman" w:hAnsi="Times New Roman" w:cs="Times New Roman"/>
        </w:rPr>
      </w:pPr>
    </w:p>
    <w:p w14:paraId="71A1C55D" w14:textId="7777777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У студију PEGASUS нијесу били укључени пацијенти са инфарктом миокарда у анамнези и претходним исхемијским можданим ударом. стога се код ових пацијената, због недостатка података, не препоручује терапија у трајању дужем од годину дана.</w:t>
      </w:r>
    </w:p>
    <w:p w14:paraId="661D7ED0" w14:textId="77777777" w:rsidR="00053E50" w:rsidRPr="003E2FA2" w:rsidRDefault="00053E50" w:rsidP="00957249">
      <w:pPr>
        <w:spacing w:after="0" w:line="240" w:lineRule="auto"/>
        <w:ind w:right="300"/>
        <w:jc w:val="both"/>
        <w:rPr>
          <w:rFonts w:ascii="Times New Roman" w:eastAsia="Times New Roman" w:hAnsi="Times New Roman" w:cs="Times New Roman"/>
          <w:u w:val="single"/>
        </w:rPr>
      </w:pPr>
    </w:p>
    <w:p w14:paraId="1496DF7C" w14:textId="77777777" w:rsidR="00053E50" w:rsidRPr="003E2FA2" w:rsidRDefault="00053E50" w:rsidP="00957249">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Оштећење функције јетре</w:t>
      </w:r>
    </w:p>
    <w:p w14:paraId="7B085D6D" w14:textId="7777777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Примјена тикагрелора је контраиндикована код пацијената са тешким оштећењем функције јетре (погледати дјелове 4.2 и 4.3). Ограничено је искуство са примјеном тикагрелора код пацијената са умјереним оштећењем функције јетре, стога се савјетује опрез код ових пацијената (погледати дјелове 4.2 и 5.2).</w:t>
      </w:r>
    </w:p>
    <w:p w14:paraId="0AF52672" w14:textId="77777777" w:rsidR="00053E50" w:rsidRPr="003E2FA2" w:rsidRDefault="00053E50" w:rsidP="00957249">
      <w:pPr>
        <w:spacing w:after="0" w:line="240" w:lineRule="auto"/>
        <w:ind w:right="300"/>
        <w:jc w:val="both"/>
        <w:rPr>
          <w:rFonts w:ascii="Times New Roman" w:eastAsia="Times New Roman" w:hAnsi="Times New Roman" w:cs="Times New Roman"/>
        </w:rPr>
      </w:pPr>
    </w:p>
    <w:p w14:paraId="79D0A306" w14:textId="77777777" w:rsidR="00053E50" w:rsidRPr="003E2FA2" w:rsidRDefault="00053E50" w:rsidP="00957249">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Пацијенти код којих постоји ризик од брадикардијских догађаја</w:t>
      </w:r>
    </w:p>
    <w:p w14:paraId="540B258C" w14:textId="30AC8C8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 xml:space="preserve">Холтер ЕКГ мониторинг је показао повећану учесталост углавном асимптоматске вентрикуларне паузе током терапије тикагрелором у поређењу са клопидогрелом. Пацијенти са повећаним ризиком од брадикардних догађаја (нпр. пацијенти без пејсмејкера који имају синдром болесног синуса (енг. </w:t>
      </w:r>
      <w:r w:rsidRPr="003E2FA2">
        <w:rPr>
          <w:rFonts w:ascii="Times New Roman" w:eastAsia="Times New Roman" w:hAnsi="Times New Roman" w:cs="Times New Roman"/>
          <w:i/>
        </w:rPr>
        <w:t>sick sinus syndrome</w:t>
      </w:r>
      <w:r w:rsidRPr="003E2FA2">
        <w:rPr>
          <w:rFonts w:ascii="Times New Roman" w:eastAsia="Times New Roman" w:hAnsi="Times New Roman" w:cs="Times New Roman"/>
        </w:rPr>
        <w:t>)</w:t>
      </w:r>
      <w:r w:rsidR="00233833" w:rsidRPr="003E2FA2">
        <w:rPr>
          <w:rFonts w:ascii="Times New Roman" w:eastAsia="Times New Roman" w:hAnsi="Times New Roman" w:cs="Times New Roman"/>
        </w:rPr>
        <w:t xml:space="preserve">, АВ блок </w:t>
      </w:r>
      <w:r w:rsidRPr="003E2FA2">
        <w:rPr>
          <w:rFonts w:ascii="Times New Roman" w:eastAsia="Times New Roman" w:hAnsi="Times New Roman" w:cs="Times New Roman"/>
        </w:rPr>
        <w:t>другог и трећег степена или синкопу који су у вези са брадикардијом) искључени су из главних студија у којима су процјењиванe безбједност и ефикасност тикагрелора. Стога, због ограниченог клиничког искуства, тикагрелор треба користити опрезно код ових пацијената (погледати дио 5.1).</w:t>
      </w:r>
    </w:p>
    <w:p w14:paraId="4AAC5C2D" w14:textId="77777777" w:rsidR="00053E50" w:rsidRPr="003E2FA2" w:rsidRDefault="00053E50" w:rsidP="00957249">
      <w:pPr>
        <w:spacing w:after="0" w:line="240" w:lineRule="auto"/>
        <w:ind w:right="300"/>
        <w:jc w:val="both"/>
        <w:rPr>
          <w:rFonts w:ascii="Times New Roman" w:eastAsia="Times New Roman" w:hAnsi="Times New Roman" w:cs="Times New Roman"/>
        </w:rPr>
      </w:pPr>
    </w:p>
    <w:p w14:paraId="51590EE7" w14:textId="7777777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Осим тога, треба бити опрезан при истовременој примјени тикагрелора са љековима за које се зна да изазивају брадикардију. Међутим, у PLATO студији нијесу забиљежени било какви докази о клинички значајним нежељеним реакцијама након истовремене примјене са једним или више љекова за које се зна да изазивају брадикардију (нпр. 96% бета блокатори, 33% блокатори калцијумових канала дилтиазем и верапамил и 4% дигоксин) (погледати дио 4.5).</w:t>
      </w:r>
    </w:p>
    <w:p w14:paraId="609D849D" w14:textId="77777777" w:rsidR="00053E50" w:rsidRPr="003E2FA2" w:rsidRDefault="00053E50" w:rsidP="00957249">
      <w:pPr>
        <w:spacing w:after="0" w:line="240" w:lineRule="auto"/>
        <w:ind w:right="300"/>
        <w:jc w:val="both"/>
        <w:rPr>
          <w:rFonts w:ascii="Times New Roman" w:eastAsia="Times New Roman" w:hAnsi="Times New Roman" w:cs="Times New Roman"/>
        </w:rPr>
      </w:pPr>
    </w:p>
    <w:p w14:paraId="15F56CEE" w14:textId="756FDE69"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 xml:space="preserve">Током </w:t>
      </w:r>
      <w:r w:rsidR="00233833" w:rsidRPr="003E2FA2">
        <w:rPr>
          <w:rFonts w:ascii="Times New Roman" w:eastAsia="Times New Roman" w:hAnsi="Times New Roman" w:cs="Times New Roman"/>
        </w:rPr>
        <w:t>Холтер</w:t>
      </w:r>
      <w:r w:rsidRPr="003E2FA2">
        <w:rPr>
          <w:rFonts w:ascii="Times New Roman" w:eastAsia="Times New Roman" w:hAnsi="Times New Roman" w:cs="Times New Roman"/>
        </w:rPr>
        <w:t xml:space="preserve"> подстудије у оквиру PLATO студије, више пацијената је имало вентрикуларне паузе ≥</w:t>
      </w:r>
      <w:r w:rsidR="00233833" w:rsidRPr="003E2FA2">
        <w:rPr>
          <w:rFonts w:ascii="Times New Roman" w:eastAsia="Times New Roman" w:hAnsi="Times New Roman" w:cs="Times New Roman"/>
        </w:rPr>
        <w:t xml:space="preserve"> </w:t>
      </w:r>
      <w:r w:rsidRPr="003E2FA2">
        <w:rPr>
          <w:rFonts w:ascii="Times New Roman" w:eastAsia="Times New Roman" w:hAnsi="Times New Roman" w:cs="Times New Roman"/>
        </w:rPr>
        <w:t xml:space="preserve">3 секунде са тикагрелором него са клопидогрелом током акутне фазе АКС. Повећање вентрикуларне паузе утврђено </w:t>
      </w:r>
      <w:r w:rsidR="00233833" w:rsidRPr="003E2FA2">
        <w:rPr>
          <w:rFonts w:ascii="Times New Roman" w:eastAsia="Times New Roman" w:hAnsi="Times New Roman" w:cs="Times New Roman"/>
        </w:rPr>
        <w:t>Холтер-ом</w:t>
      </w:r>
      <w:r w:rsidRPr="003E2FA2">
        <w:rPr>
          <w:rFonts w:ascii="Times New Roman" w:eastAsia="Times New Roman" w:hAnsi="Times New Roman" w:cs="Times New Roman"/>
        </w:rPr>
        <w:t xml:space="preserve"> при примјени тикагрелора било је веће код пацијената са хроничном срчаном инсуфицијенцијом (CHF,</w:t>
      </w:r>
      <w:r w:rsidRPr="003E2FA2">
        <w:rPr>
          <w:rFonts w:ascii="Times New Roman" w:eastAsia="Times New Roman" w:hAnsi="Times New Roman" w:cs="Times New Roman"/>
          <w:szCs w:val="24"/>
        </w:rPr>
        <w:t xml:space="preserve"> </w:t>
      </w:r>
      <w:r w:rsidRPr="003E2FA2">
        <w:rPr>
          <w:rFonts w:ascii="Times New Roman" w:eastAsia="Times New Roman" w:hAnsi="Times New Roman" w:cs="Times New Roman"/>
        </w:rPr>
        <w:t xml:space="preserve">енгл. </w:t>
      </w:r>
      <w:r w:rsidRPr="003E2FA2">
        <w:rPr>
          <w:rFonts w:ascii="Times New Roman" w:eastAsia="Times New Roman" w:hAnsi="Times New Roman" w:cs="Times New Roman"/>
          <w:i/>
        </w:rPr>
        <w:t>chronic heart failure</w:t>
      </w:r>
      <w:r w:rsidRPr="003E2FA2">
        <w:rPr>
          <w:rFonts w:ascii="Times New Roman" w:eastAsia="Times New Roman" w:hAnsi="Times New Roman" w:cs="Times New Roman"/>
        </w:rPr>
        <w:t>) него код опште испитиване популације током акутне фазе АКС, али не и послије мјесец дана примјене тикагрелора или у поређењу са клопидогрелом. Није било нежељених клиничких посљедица повезаних са овим дисбалансом (укључујући синкопу или уградњу пејсмејкера) код ове популације пацијената (погледати дио 5.1).</w:t>
      </w:r>
    </w:p>
    <w:p w14:paraId="03609D8A" w14:textId="77777777" w:rsidR="00053E50" w:rsidRPr="003E2FA2" w:rsidRDefault="00053E50" w:rsidP="00957249">
      <w:pPr>
        <w:spacing w:after="0" w:line="240" w:lineRule="auto"/>
        <w:ind w:right="300"/>
        <w:jc w:val="both"/>
        <w:rPr>
          <w:rFonts w:ascii="Times New Roman" w:eastAsia="Times New Roman" w:hAnsi="Times New Roman" w:cs="Times New Roman"/>
        </w:rPr>
      </w:pPr>
    </w:p>
    <w:p w14:paraId="2C8857A7" w14:textId="7979A15F"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hAnsi="Times New Roman"/>
        </w:rPr>
        <w:t>Догађаји брадиаритмије и АВ блока су пријављени након стављања лијека у промет код пацијената који узимају тикагрелор (</w:t>
      </w:r>
      <w:r w:rsidR="000656BA" w:rsidRPr="003E2FA2">
        <w:rPr>
          <w:rFonts w:ascii="Times New Roman" w:hAnsi="Times New Roman"/>
        </w:rPr>
        <w:t>погледати</w:t>
      </w:r>
      <w:r w:rsidRPr="003E2FA2">
        <w:rPr>
          <w:rFonts w:ascii="Times New Roman" w:hAnsi="Times New Roman"/>
        </w:rPr>
        <w:t xml:space="preserve"> дио 4.8), првенствено код пацијената са АЦС-ом, при чему су исхемија срца и истовремено примјењивани љекови који смањују срчану фреквенцију или утичу на проводљивост срца потенцијални забрињавајући чиниоци. Потребно је процијенити клиничко стање пацијента и истовремено примјењиване љекове као могуће узроке прије прилагођења лијечења.</w:t>
      </w:r>
    </w:p>
    <w:p w14:paraId="05977511" w14:textId="77777777" w:rsidR="00053E50" w:rsidRPr="003E2FA2" w:rsidRDefault="00053E50" w:rsidP="00957249">
      <w:pPr>
        <w:spacing w:after="0" w:line="240" w:lineRule="auto"/>
        <w:ind w:right="300"/>
        <w:jc w:val="both"/>
        <w:rPr>
          <w:rFonts w:ascii="Times New Roman" w:eastAsia="Times New Roman" w:hAnsi="Times New Roman" w:cs="Times New Roman"/>
          <w:u w:val="single"/>
        </w:rPr>
      </w:pPr>
    </w:p>
    <w:p w14:paraId="1E72C706" w14:textId="5C0EDFC4" w:rsidR="00053E50" w:rsidRPr="003E2FA2" w:rsidRDefault="00053E50" w:rsidP="00957249">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Диспне</w:t>
      </w:r>
      <w:r w:rsidR="00BE6A64" w:rsidRPr="003E2FA2">
        <w:rPr>
          <w:rFonts w:ascii="Times New Roman" w:eastAsia="Times New Roman" w:hAnsi="Times New Roman" w:cs="Times New Roman"/>
          <w:u w:val="single"/>
        </w:rPr>
        <w:t>ј</w:t>
      </w:r>
      <w:r w:rsidRPr="003E2FA2">
        <w:rPr>
          <w:rFonts w:ascii="Times New Roman" w:eastAsia="Times New Roman" w:hAnsi="Times New Roman" w:cs="Times New Roman"/>
          <w:u w:val="single"/>
        </w:rPr>
        <w:t>а</w:t>
      </w:r>
    </w:p>
    <w:p w14:paraId="3449ED59" w14:textId="6BBE5104"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 xml:space="preserve">Диспнеја је забиљежена код пацијената лијечених тикагрелором. Диспнеја је обично благог до умјереног интензитета и често се повлачи без потребе за прекидом терапије. Код пацијената са </w:t>
      </w:r>
      <w:r w:rsidRPr="003E2FA2">
        <w:rPr>
          <w:rFonts w:ascii="Times New Roman" w:eastAsia="Times New Roman" w:hAnsi="Times New Roman" w:cs="Times New Roman"/>
        </w:rPr>
        <w:lastRenderedPageBreak/>
        <w:t>астмом/хроничном опструктивном болести плућа (ХОБП) може постојати повећани апсолутни ризик од појаве диспнеје при примјени тикагрелора. Тикагрелор треба користити опрезно код пацијената са ранијом историјом астме и/или ХОБП. Овај механизам још увијек није објашњен. Уколико пацијент пријави новонасталу, продужену или погоршану диспне</w:t>
      </w:r>
      <w:r w:rsidR="006B5B9F" w:rsidRPr="003E2FA2">
        <w:rPr>
          <w:rFonts w:ascii="Times New Roman" w:eastAsia="Times New Roman" w:hAnsi="Times New Roman" w:cs="Times New Roman"/>
        </w:rPr>
        <w:t>ј</w:t>
      </w:r>
      <w:r w:rsidRPr="003E2FA2">
        <w:rPr>
          <w:rFonts w:ascii="Times New Roman" w:eastAsia="Times New Roman" w:hAnsi="Times New Roman" w:cs="Times New Roman"/>
        </w:rPr>
        <w:t>у, то треба потпуно испитати и, уколико је пацијент не подноси, терапију тикагрелором треба прекинути. За више детаља погледати дио 4.8.</w:t>
      </w:r>
    </w:p>
    <w:p w14:paraId="4147591D" w14:textId="77777777" w:rsidR="000503A0" w:rsidRPr="003E2FA2" w:rsidRDefault="000503A0" w:rsidP="00D5793C">
      <w:pPr>
        <w:spacing w:after="0" w:line="240" w:lineRule="auto"/>
        <w:ind w:right="300"/>
        <w:jc w:val="both"/>
        <w:rPr>
          <w:rFonts w:ascii="Times New Roman" w:eastAsia="Times New Roman" w:hAnsi="Times New Roman" w:cs="Times New Roman"/>
          <w:u w:val="single"/>
        </w:rPr>
      </w:pPr>
    </w:p>
    <w:p w14:paraId="4AE91819" w14:textId="39886995" w:rsidR="00053E50" w:rsidRPr="003E2FA2" w:rsidRDefault="00053E50" w:rsidP="00D5793C">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Централна апнеја у сну</w:t>
      </w:r>
    </w:p>
    <w:p w14:paraId="6B4E4A66" w14:textId="77777777" w:rsidR="00053E50" w:rsidRPr="003E2FA2" w:rsidRDefault="00053E50" w:rsidP="00D5793C">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 xml:space="preserve">Централна апнеја у сну, укључујући </w:t>
      </w:r>
      <w:r w:rsidRPr="003E2FA2">
        <w:rPr>
          <w:rFonts w:ascii="TimesNewRomanPSMT" w:eastAsia="Times New Roman" w:hAnsi="TimesNewRomanPSMT" w:cs="TimesNewRomanPSMT"/>
          <w:lang w:eastAsia="en-GB"/>
        </w:rPr>
        <w:t>Cheyne-Stokes</w:t>
      </w:r>
      <w:r w:rsidRPr="003E2FA2">
        <w:rPr>
          <w:rFonts w:eastAsia="Times New Roman" w:cs="TimesNewRomanPSMT"/>
          <w:lang w:eastAsia="en-GB"/>
        </w:rPr>
        <w:t>-</w:t>
      </w:r>
      <w:r w:rsidRPr="003E2FA2">
        <w:rPr>
          <w:rFonts w:ascii="Times New Roman" w:eastAsia="Times New Roman" w:hAnsi="Times New Roman" w:cs="Times New Roman"/>
          <w:lang w:eastAsia="en-GB"/>
        </w:rPr>
        <w:t>ово</w:t>
      </w:r>
      <w:r w:rsidRPr="003E2FA2">
        <w:rPr>
          <w:rFonts w:ascii="Times New Roman" w:eastAsia="Times New Roman" w:hAnsi="Times New Roman" w:cs="Times New Roman"/>
        </w:rPr>
        <w:t xml:space="preserve"> дисање, пријављена је у постмаркетиншком периоду код пацијената који су узимали тикагрелор. Ако се сумња на централну апнеју у сну, треба размотрити даљу клиничку процјену.</w:t>
      </w:r>
    </w:p>
    <w:p w14:paraId="35892AA9" w14:textId="77777777" w:rsidR="00053E50" w:rsidRPr="003E2FA2" w:rsidRDefault="00053E50" w:rsidP="00957249">
      <w:pPr>
        <w:spacing w:after="0" w:line="240" w:lineRule="auto"/>
        <w:ind w:right="300"/>
        <w:jc w:val="both"/>
        <w:rPr>
          <w:rFonts w:ascii="Times New Roman" w:eastAsia="Times New Roman" w:hAnsi="Times New Roman" w:cs="Times New Roman"/>
        </w:rPr>
      </w:pPr>
    </w:p>
    <w:p w14:paraId="6A3655C1" w14:textId="77777777" w:rsidR="00053E50" w:rsidRPr="003E2FA2" w:rsidRDefault="00053E50" w:rsidP="00957249">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Повећање концентрације креатинина</w:t>
      </w:r>
    </w:p>
    <w:p w14:paraId="4184CE71" w14:textId="7777777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 xml:space="preserve">Концентрације креатинина могу да се повећају током терапије тикагрелором. Овај механизам још увијек није објашњен. Функцију бубрега треба провјерити у складу са уобичајеном медицинском праксом. Код пацијената са акутним коронарним синдромом (АКС) препоручује се контрола функције бубрега мјесец дана након почетка терапије тикагрелором, посвећујући посебну пажњу пацијентима ≥ 75 година, пацијентима са умјереним/тешким оштећењем функције бубрега, као и онима који истовремено добијају терапију неким антагонистом ангиотензинских рецептора (АRB, енгл. </w:t>
      </w:r>
      <w:r w:rsidRPr="003E2FA2">
        <w:rPr>
          <w:rFonts w:ascii="Times New Roman" w:eastAsia="Times New Roman" w:hAnsi="Times New Roman" w:cs="Times New Roman"/>
          <w:i/>
        </w:rPr>
        <w:t>angiotensin receptor blocker</w:t>
      </w:r>
      <w:r w:rsidRPr="003E2FA2">
        <w:rPr>
          <w:rFonts w:ascii="Times New Roman" w:eastAsia="Times New Roman" w:hAnsi="Times New Roman" w:cs="Times New Roman"/>
        </w:rPr>
        <w:t>).</w:t>
      </w:r>
    </w:p>
    <w:p w14:paraId="1EF08C29" w14:textId="77777777" w:rsidR="00053E50" w:rsidRPr="003E2FA2" w:rsidRDefault="00053E50" w:rsidP="00957249">
      <w:pPr>
        <w:spacing w:after="0" w:line="240" w:lineRule="auto"/>
        <w:ind w:right="300"/>
        <w:rPr>
          <w:rFonts w:ascii="Times New Roman" w:eastAsia="Times New Roman" w:hAnsi="Times New Roman" w:cs="Times New Roman"/>
        </w:rPr>
      </w:pPr>
    </w:p>
    <w:p w14:paraId="0D3DC2D6" w14:textId="5FB46B09" w:rsidR="00053E50" w:rsidRPr="003E2FA2" w:rsidRDefault="00053E50" w:rsidP="00957249">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Повећање концентрације мокраћне киселине</w:t>
      </w:r>
    </w:p>
    <w:p w14:paraId="1568393A" w14:textId="277B3314"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Хиперурикемија се може јавити код пацијената на терапији тикагрелором (погледати дио 4.8). Треба бити опрезан када се тикагрелор даје пацијентима са ранијом историјом хиперурикемије или уричног артритиса (гихта). Из предострожности, употреба тикагрелора код пацијената са нефропатијом изазваном</w:t>
      </w:r>
      <w:r w:rsidR="00E31E9D" w:rsidRPr="003E2FA2">
        <w:rPr>
          <w:rFonts w:ascii="Times New Roman" w:eastAsia="Times New Roman" w:hAnsi="Times New Roman" w:cs="Times New Roman"/>
        </w:rPr>
        <w:t xml:space="preserve"> </w:t>
      </w:r>
      <w:r w:rsidR="001918D2" w:rsidRPr="003E2FA2">
        <w:rPr>
          <w:rFonts w:ascii="Times New Roman" w:eastAsia="Times New Roman" w:hAnsi="Times New Roman" w:cs="Times New Roman"/>
        </w:rPr>
        <w:t>повећаном концентрацијом</w:t>
      </w:r>
      <w:r w:rsidRPr="003E2FA2">
        <w:rPr>
          <w:rFonts w:ascii="Times New Roman" w:eastAsia="Times New Roman" w:hAnsi="Times New Roman" w:cs="Times New Roman"/>
        </w:rPr>
        <w:t xml:space="preserve"> мокраћн</w:t>
      </w:r>
      <w:r w:rsidR="001918D2" w:rsidRPr="003E2FA2">
        <w:rPr>
          <w:rFonts w:ascii="Times New Roman" w:eastAsia="Times New Roman" w:hAnsi="Times New Roman" w:cs="Times New Roman"/>
        </w:rPr>
        <w:t>е</w:t>
      </w:r>
      <w:r w:rsidRPr="003E2FA2">
        <w:rPr>
          <w:rFonts w:ascii="Times New Roman" w:eastAsia="Times New Roman" w:hAnsi="Times New Roman" w:cs="Times New Roman"/>
        </w:rPr>
        <w:t xml:space="preserve"> киселин</w:t>
      </w:r>
      <w:r w:rsidR="001918D2" w:rsidRPr="003E2FA2">
        <w:rPr>
          <w:rFonts w:ascii="Times New Roman" w:eastAsia="Times New Roman" w:hAnsi="Times New Roman" w:cs="Times New Roman"/>
        </w:rPr>
        <w:t>е</w:t>
      </w:r>
      <w:r w:rsidRPr="003E2FA2">
        <w:rPr>
          <w:rFonts w:ascii="Times New Roman" w:eastAsia="Times New Roman" w:hAnsi="Times New Roman" w:cs="Times New Roman"/>
        </w:rPr>
        <w:t xml:space="preserve"> се не препоручује.</w:t>
      </w:r>
    </w:p>
    <w:p w14:paraId="5A68235C" w14:textId="77777777" w:rsidR="00053E50" w:rsidRPr="003E2FA2" w:rsidRDefault="00053E50" w:rsidP="00957249">
      <w:pPr>
        <w:spacing w:after="0" w:line="240" w:lineRule="auto"/>
        <w:ind w:right="300"/>
        <w:jc w:val="both"/>
        <w:rPr>
          <w:rFonts w:ascii="Times New Roman" w:eastAsia="Times New Roman" w:hAnsi="Times New Roman" w:cs="Times New Roman"/>
        </w:rPr>
      </w:pPr>
    </w:p>
    <w:p w14:paraId="68217096" w14:textId="77777777" w:rsidR="00053E50" w:rsidRPr="003E2FA2" w:rsidRDefault="00053E50" w:rsidP="00957249">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 xml:space="preserve">Тромбоцитна тромбоцитопенијска пурпура (енг. </w:t>
      </w:r>
      <w:r w:rsidRPr="003E2FA2">
        <w:rPr>
          <w:rFonts w:ascii="Times New Roman" w:eastAsia="Times New Roman" w:hAnsi="Times New Roman" w:cs="Times New Roman"/>
          <w:i/>
          <w:u w:val="single"/>
        </w:rPr>
        <w:t>Thrombotic Thrombocytopenic Purpura</w:t>
      </w:r>
      <w:r w:rsidRPr="003E2FA2">
        <w:rPr>
          <w:rFonts w:ascii="Times New Roman" w:eastAsia="Times New Roman" w:hAnsi="Times New Roman" w:cs="Times New Roman"/>
          <w:u w:val="single"/>
        </w:rPr>
        <w:t xml:space="preserve"> (TTP))</w:t>
      </w:r>
    </w:p>
    <w:p w14:paraId="65E92778" w14:textId="7777777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Тромбоцитна тромбоцитопенијска пурпура (ТТP) се ријетко јавља код примјене лијека тикагрелор. Карактеришу је тромбоцитопенија и микроангиопатска хемолитичка анемија, повезане са неуролошким налазима, бубрежном дисфункцијом или грозницом. ТТP је потенцијално фатално стање које захтијева брзо лијечење, укључујући плазмаферезу.</w:t>
      </w:r>
    </w:p>
    <w:p w14:paraId="3C9C25E6" w14:textId="77777777" w:rsidR="00053E50" w:rsidRPr="003E2FA2" w:rsidRDefault="00053E50" w:rsidP="00957249">
      <w:pPr>
        <w:spacing w:after="0" w:line="240" w:lineRule="auto"/>
        <w:ind w:right="300"/>
        <w:jc w:val="both"/>
        <w:rPr>
          <w:rFonts w:ascii="Times New Roman" w:eastAsia="Times New Roman" w:hAnsi="Times New Roman" w:cs="Times New Roman"/>
        </w:rPr>
      </w:pPr>
    </w:p>
    <w:p w14:paraId="4D66B355" w14:textId="77777777" w:rsidR="00053E50" w:rsidRPr="003E2FA2" w:rsidRDefault="00053E50" w:rsidP="00957249">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Ометање тестова функције тромбоцита у дијагностиковању хепарином индуковане тромбоцитопеније (енг.</w:t>
      </w:r>
      <w:r w:rsidRPr="003E2FA2">
        <w:rPr>
          <w:rFonts w:ascii="Times New Roman" w:eastAsia="Times New Roman" w:hAnsi="Times New Roman" w:cs="Times New Roman"/>
          <w:i/>
          <w:u w:val="single"/>
        </w:rPr>
        <w:t xml:space="preserve"> </w:t>
      </w:r>
      <w:r w:rsidRPr="003E2FA2">
        <w:rPr>
          <w:rFonts w:ascii="Times New Roman" w:eastAsia="Times New Roman" w:hAnsi="Times New Roman" w:cs="Times New Roman"/>
          <w:i/>
          <w:smallCaps/>
          <w:u w:val="single"/>
        </w:rPr>
        <w:t>H</w:t>
      </w:r>
      <w:r w:rsidRPr="003E2FA2">
        <w:rPr>
          <w:rFonts w:ascii="Times New Roman" w:eastAsia="Times New Roman" w:hAnsi="Times New Roman" w:cs="Times New Roman"/>
          <w:i/>
          <w:u w:val="single"/>
        </w:rPr>
        <w:t xml:space="preserve">eparin-induced thrombocytopenia </w:t>
      </w:r>
      <w:r w:rsidRPr="003E2FA2">
        <w:rPr>
          <w:rFonts w:ascii="Times New Roman" w:eastAsia="Times New Roman" w:hAnsi="Times New Roman" w:cs="Times New Roman"/>
          <w:u w:val="single"/>
        </w:rPr>
        <w:t>(HIT))</w:t>
      </w:r>
    </w:p>
    <w:p w14:paraId="77FAA85B" w14:textId="7777777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У испитивању активирања тромбоцита изазваним хепарином (енг.</w:t>
      </w:r>
      <w:r w:rsidRPr="003E2FA2">
        <w:rPr>
          <w:rFonts w:ascii="Times New Roman" w:eastAsia="Times New Roman" w:hAnsi="Times New Roman" w:cs="Times New Roman"/>
          <w:szCs w:val="24"/>
        </w:rPr>
        <w:t xml:space="preserve"> </w:t>
      </w:r>
      <w:r w:rsidRPr="003E2FA2">
        <w:rPr>
          <w:rFonts w:ascii="Times New Roman" w:eastAsia="Times New Roman" w:hAnsi="Times New Roman" w:cs="Times New Roman"/>
          <w:i/>
        </w:rPr>
        <w:t>heparin induced platelet activation</w:t>
      </w:r>
      <w:r w:rsidRPr="003E2FA2">
        <w:rPr>
          <w:rFonts w:ascii="Times New Roman" w:eastAsia="Times New Roman" w:hAnsi="Times New Roman" w:cs="Times New Roman"/>
        </w:rPr>
        <w:t xml:space="preserve"> (HIPA)) који се користи за дијагнозу HIТ-а, анти-тромбоцитног фактора 4/антитијела хепарина у серуму пацијента активирају тромбоците здравих донора у присуству хепарина.</w:t>
      </w:r>
    </w:p>
    <w:p w14:paraId="66199B26" w14:textId="7777777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Лажно негативни резултати теста функције тромбоцита (укључују, али не морају бити ограничени на HIPА тест) на HIТ тесту су забиљежени код пацијената који су примијењивали тикагрелор. Ово је повезано са инхибицијом P2Y</w:t>
      </w:r>
      <w:r w:rsidRPr="003E2FA2">
        <w:rPr>
          <w:rFonts w:ascii="Times New Roman" w:eastAsia="Times New Roman" w:hAnsi="Times New Roman" w:cs="Times New Roman"/>
          <w:vertAlign w:val="subscript"/>
        </w:rPr>
        <w:t>12</w:t>
      </w:r>
      <w:r w:rsidRPr="003E2FA2">
        <w:rPr>
          <w:rFonts w:ascii="Times New Roman" w:eastAsia="Times New Roman" w:hAnsi="Times New Roman" w:cs="Times New Roman"/>
        </w:rPr>
        <w:t>-рецептора на тромбоцитима здравих донора у тесту тикагрелором у пацијентовом серуму/плазми. За тумачење HIТ тестова тромбоцита потребне су информације о истовременом лијечењу тикагрелором.</w:t>
      </w:r>
    </w:p>
    <w:p w14:paraId="7F61F6D0" w14:textId="77777777"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Код пацијената који су развили HIТ, корист-ризик од наставка лијечења тикагрелором требало би процјенити, узимајући у обзир и протромботско стање HIT-а и повећани ризик од крварења са истовременим лијечењем антикоагулансима и тикагрелором.</w:t>
      </w:r>
    </w:p>
    <w:p w14:paraId="6C468CFC" w14:textId="77777777" w:rsidR="00053E50" w:rsidRPr="003E2FA2" w:rsidRDefault="00053E50" w:rsidP="00957249">
      <w:pPr>
        <w:spacing w:after="0" w:line="240" w:lineRule="auto"/>
        <w:ind w:right="300"/>
        <w:jc w:val="both"/>
        <w:rPr>
          <w:rFonts w:ascii="Times New Roman" w:eastAsia="Times New Roman" w:hAnsi="Times New Roman" w:cs="Times New Roman"/>
          <w:u w:val="single"/>
        </w:rPr>
      </w:pPr>
    </w:p>
    <w:p w14:paraId="699B9076" w14:textId="77777777" w:rsidR="00053E50" w:rsidRPr="003E2FA2" w:rsidRDefault="00053E50" w:rsidP="00957249">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Остало</w:t>
      </w:r>
    </w:p>
    <w:p w14:paraId="1001F4E2" w14:textId="6701D4F8"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На основу односа забиљеженог у студији PLATO између дозе одржавања АSА и релативне ефикасности тикагрелора у поређењу са клопидогрелом, истовремена примјена тикагрелора и високе дозе одржавања АSА (&gt;</w:t>
      </w:r>
      <w:r w:rsidR="001D089B" w:rsidRPr="003E2FA2">
        <w:rPr>
          <w:rFonts w:ascii="Times New Roman" w:eastAsia="Times New Roman" w:hAnsi="Times New Roman" w:cs="Times New Roman"/>
        </w:rPr>
        <w:t xml:space="preserve"> </w:t>
      </w:r>
      <w:r w:rsidRPr="003E2FA2">
        <w:rPr>
          <w:rFonts w:ascii="Times New Roman" w:eastAsia="Times New Roman" w:hAnsi="Times New Roman" w:cs="Times New Roman"/>
        </w:rPr>
        <w:t>300 mg) се не препоручује (погледати дио 5.1).</w:t>
      </w:r>
    </w:p>
    <w:p w14:paraId="361C38CD" w14:textId="60B38CCC" w:rsidR="00053E50" w:rsidRPr="003E2FA2" w:rsidRDefault="00053E50" w:rsidP="00957249">
      <w:pPr>
        <w:spacing w:after="0" w:line="240" w:lineRule="auto"/>
        <w:ind w:right="300"/>
        <w:jc w:val="both"/>
        <w:rPr>
          <w:rFonts w:ascii="Times New Roman" w:eastAsia="Times New Roman" w:hAnsi="Times New Roman" w:cs="Times New Roman"/>
        </w:rPr>
      </w:pPr>
    </w:p>
    <w:p w14:paraId="632D5F19" w14:textId="2ABFE4F5" w:rsidR="00361290" w:rsidRPr="003E2FA2" w:rsidRDefault="00361290" w:rsidP="00957249">
      <w:pPr>
        <w:spacing w:after="0" w:line="240" w:lineRule="auto"/>
        <w:ind w:right="300"/>
        <w:jc w:val="both"/>
        <w:rPr>
          <w:rFonts w:ascii="Times New Roman" w:eastAsia="Times New Roman" w:hAnsi="Times New Roman" w:cs="Times New Roman"/>
        </w:rPr>
      </w:pPr>
    </w:p>
    <w:p w14:paraId="1EBF648C" w14:textId="739177C6" w:rsidR="00361290" w:rsidRPr="003E2FA2" w:rsidRDefault="00361290" w:rsidP="00957249">
      <w:pPr>
        <w:spacing w:after="0" w:line="240" w:lineRule="auto"/>
        <w:ind w:right="300"/>
        <w:jc w:val="both"/>
        <w:rPr>
          <w:rFonts w:ascii="Times New Roman" w:eastAsia="Times New Roman" w:hAnsi="Times New Roman" w:cs="Times New Roman"/>
        </w:rPr>
      </w:pPr>
    </w:p>
    <w:p w14:paraId="2EACD47A" w14:textId="77777777" w:rsidR="00361290" w:rsidRPr="003E2FA2" w:rsidRDefault="00361290" w:rsidP="00957249">
      <w:pPr>
        <w:spacing w:after="0" w:line="240" w:lineRule="auto"/>
        <w:ind w:right="300"/>
        <w:jc w:val="both"/>
        <w:rPr>
          <w:rFonts w:ascii="Times New Roman" w:eastAsia="Times New Roman" w:hAnsi="Times New Roman" w:cs="Times New Roman"/>
        </w:rPr>
      </w:pPr>
    </w:p>
    <w:p w14:paraId="73BBDAE0" w14:textId="1C08F05D" w:rsidR="00053E50" w:rsidRPr="003E2FA2" w:rsidRDefault="00053E50" w:rsidP="00957249">
      <w:pPr>
        <w:spacing w:after="0" w:line="240" w:lineRule="auto"/>
        <w:ind w:right="30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lastRenderedPageBreak/>
        <w:t>Пр</w:t>
      </w:r>
      <w:r w:rsidR="001D089B" w:rsidRPr="003E2FA2">
        <w:rPr>
          <w:rFonts w:ascii="Times New Roman" w:eastAsia="Times New Roman" w:hAnsi="Times New Roman" w:cs="Times New Roman"/>
          <w:u w:val="single"/>
        </w:rPr>
        <w:t>иј</w:t>
      </w:r>
      <w:r w:rsidRPr="003E2FA2">
        <w:rPr>
          <w:rFonts w:ascii="Times New Roman" w:eastAsia="Times New Roman" w:hAnsi="Times New Roman" w:cs="Times New Roman"/>
          <w:u w:val="single"/>
        </w:rPr>
        <w:t>евремени прекид терапије</w:t>
      </w:r>
    </w:p>
    <w:p w14:paraId="08C8AB61" w14:textId="1D8A615F" w:rsidR="00053E50" w:rsidRPr="003E2FA2" w:rsidRDefault="00053E50" w:rsidP="00957249">
      <w:pPr>
        <w:spacing w:after="0" w:line="240" w:lineRule="auto"/>
        <w:ind w:right="300"/>
        <w:jc w:val="both"/>
        <w:rPr>
          <w:rFonts w:ascii="Times New Roman" w:eastAsia="Times New Roman" w:hAnsi="Times New Roman" w:cs="Times New Roman"/>
        </w:rPr>
      </w:pPr>
      <w:r w:rsidRPr="003E2FA2">
        <w:rPr>
          <w:rFonts w:ascii="Times New Roman" w:eastAsia="Times New Roman" w:hAnsi="Times New Roman" w:cs="Times New Roman"/>
        </w:rPr>
        <w:t>Пријевремени прекид антитромбоцитне терапије, укључујући и тикагрелор, може довести до повећаног ризика од настанка кардиоваскуларне смрти или инфаркта миокарда због постојеће болести. Стога пријевремени прекид терапије треба избјегавати.</w:t>
      </w:r>
    </w:p>
    <w:p w14:paraId="60C644F6" w14:textId="77777777" w:rsidR="006B5B9F" w:rsidRPr="003E2FA2" w:rsidRDefault="006B5B9F" w:rsidP="00957249">
      <w:pPr>
        <w:spacing w:after="0" w:line="240" w:lineRule="auto"/>
        <w:ind w:right="300"/>
        <w:jc w:val="both"/>
        <w:rPr>
          <w:rFonts w:ascii="Times New Roman" w:eastAsia="Times New Roman" w:hAnsi="Times New Roman" w:cs="Times New Roman"/>
        </w:rPr>
      </w:pPr>
    </w:p>
    <w:p w14:paraId="206EC565" w14:textId="1979716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rPr>
        <w:t>4.5. Интеракције са другим љековима и друге врсте интеракција</w:t>
      </w:r>
    </w:p>
    <w:p w14:paraId="54977BFF" w14:textId="77777777" w:rsidR="00053E50" w:rsidRPr="003E2FA2" w:rsidRDefault="00053E50" w:rsidP="00687AA8">
      <w:pPr>
        <w:spacing w:after="0" w:line="240" w:lineRule="auto"/>
        <w:ind w:right="1648"/>
        <w:jc w:val="both"/>
        <w:rPr>
          <w:rFonts w:ascii="Times New Roman" w:eastAsia="Times New Roman" w:hAnsi="Times New Roman" w:cs="Times New Roman"/>
          <w:u w:val="single"/>
        </w:rPr>
      </w:pPr>
    </w:p>
    <w:p w14:paraId="527CCA57" w14:textId="7F3A0B80" w:rsidR="00053E50" w:rsidRPr="003E2FA2" w:rsidRDefault="00053E50" w:rsidP="00687AA8">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Тикагрелор је примарно супстрат CYP3А4 и благи инхибитор CYP3А4. Тикагрелор је такође супстрат P-гликопротеина (P-gp) и слаб инхибитор P-gp и он може да повећа изложеност супстратима P-gp</w:t>
      </w:r>
      <w:r w:rsidR="001D089B" w:rsidRPr="003E2FA2">
        <w:rPr>
          <w:rFonts w:ascii="Times New Roman" w:eastAsia="Times New Roman" w:hAnsi="Times New Roman" w:cs="Times New Roman"/>
        </w:rPr>
        <w:t>-а</w:t>
      </w:r>
      <w:r w:rsidRPr="003E2FA2">
        <w:rPr>
          <w:rFonts w:ascii="Times New Roman" w:eastAsia="Times New Roman" w:hAnsi="Times New Roman" w:cs="Times New Roman"/>
        </w:rPr>
        <w:t>.</w:t>
      </w:r>
    </w:p>
    <w:p w14:paraId="186B4A3E" w14:textId="77777777" w:rsidR="00053E50" w:rsidRPr="003E2FA2" w:rsidRDefault="00053E50" w:rsidP="00687AA8">
      <w:pPr>
        <w:spacing w:after="0" w:line="240" w:lineRule="auto"/>
        <w:ind w:right="-57"/>
        <w:jc w:val="both"/>
        <w:rPr>
          <w:rFonts w:ascii="Times New Roman" w:eastAsia="Times New Roman" w:hAnsi="Times New Roman" w:cs="Times New Roman"/>
        </w:rPr>
      </w:pPr>
    </w:p>
    <w:p w14:paraId="670BEFCF" w14:textId="77777777" w:rsidR="00053E50" w:rsidRPr="003E2FA2" w:rsidRDefault="00053E50" w:rsidP="00687AA8">
      <w:pPr>
        <w:spacing w:after="0" w:line="240" w:lineRule="auto"/>
        <w:ind w:right="-57"/>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Утицај других љекова на тикагрелор</w:t>
      </w:r>
    </w:p>
    <w:p w14:paraId="4FFBB662" w14:textId="77777777" w:rsidR="00053E50" w:rsidRPr="003E2FA2" w:rsidRDefault="00053E50" w:rsidP="00687AA8">
      <w:pPr>
        <w:spacing w:after="0" w:line="240" w:lineRule="auto"/>
        <w:ind w:right="-57"/>
        <w:jc w:val="both"/>
        <w:rPr>
          <w:rFonts w:ascii="Times New Roman" w:eastAsia="Times New Roman" w:hAnsi="Times New Roman" w:cs="Times New Roman"/>
          <w:u w:val="single"/>
        </w:rPr>
      </w:pPr>
    </w:p>
    <w:p w14:paraId="0690B3CF" w14:textId="77777777" w:rsidR="00053E50" w:rsidRPr="003E2FA2" w:rsidRDefault="00053E50" w:rsidP="00687AA8">
      <w:pPr>
        <w:spacing w:after="0" w:line="240" w:lineRule="auto"/>
        <w:ind w:right="-57"/>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Инхибитори CYP3А4</w:t>
      </w:r>
    </w:p>
    <w:p w14:paraId="784EB661" w14:textId="799E1CEB" w:rsidR="00053E50" w:rsidRPr="003E2FA2" w:rsidRDefault="00053E50" w:rsidP="00687AA8">
      <w:pPr>
        <w:numPr>
          <w:ilvl w:val="0"/>
          <w:numId w:val="35"/>
        </w:numPr>
        <w:tabs>
          <w:tab w:val="left" w:pos="284"/>
        </w:tabs>
        <w:spacing w:after="0" w:line="240" w:lineRule="auto"/>
        <w:ind w:right="-57"/>
        <w:contextualSpacing/>
        <w:jc w:val="both"/>
        <w:rPr>
          <w:rFonts w:ascii="Times New Roman" w:eastAsia="Times New Roman" w:hAnsi="Times New Roman" w:cs="Times New Roman"/>
          <w:i/>
        </w:rPr>
      </w:pPr>
      <w:r w:rsidRPr="003E2FA2">
        <w:rPr>
          <w:rFonts w:ascii="Times New Roman" w:eastAsia="Times New Roman" w:hAnsi="Times New Roman" w:cs="Times New Roman"/>
          <w:i/>
        </w:rPr>
        <w:t>Снажни инхибитори CYP3А4</w:t>
      </w:r>
      <w:r w:rsidRPr="003E2FA2">
        <w:rPr>
          <w:rFonts w:ascii="Times New Roman" w:eastAsia="Times New Roman" w:hAnsi="Times New Roman" w:cs="Times New Roman"/>
        </w:rPr>
        <w:t xml:space="preserve"> – Истовремена примјена кетоконазола и тикагрелора повећала је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и ПИК тикагрелора за 2.4 пута односно 7.3 пута.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и ПИК активног метаболита су били смањени за 89%, односно 56%. Може се очекивати да други снажни инхибитори CYP3А4 (кларитромицин, нефазодон, ритонавир и атазанавир) имају слично дејство, па је њихова истовремена употреба са тикагрелором контраиндикована (погледати дио 4.3).</w:t>
      </w:r>
    </w:p>
    <w:p w14:paraId="41C85783" w14:textId="77777777" w:rsidR="004723DF" w:rsidRPr="003E2FA2" w:rsidRDefault="004723DF" w:rsidP="003269F7">
      <w:pPr>
        <w:tabs>
          <w:tab w:val="left" w:pos="284"/>
        </w:tabs>
        <w:spacing w:after="0" w:line="240" w:lineRule="auto"/>
        <w:ind w:left="720" w:right="-57"/>
        <w:contextualSpacing/>
        <w:jc w:val="both"/>
        <w:rPr>
          <w:rFonts w:ascii="Times New Roman" w:eastAsia="Times New Roman" w:hAnsi="Times New Roman" w:cs="Times New Roman"/>
          <w:i/>
        </w:rPr>
      </w:pPr>
    </w:p>
    <w:p w14:paraId="7EB7B18D" w14:textId="3DD2050C" w:rsidR="00053E50" w:rsidRPr="003E2FA2" w:rsidRDefault="00053E50" w:rsidP="00687AA8">
      <w:pPr>
        <w:numPr>
          <w:ilvl w:val="0"/>
          <w:numId w:val="35"/>
        </w:numPr>
        <w:tabs>
          <w:tab w:val="left" w:pos="284"/>
        </w:tabs>
        <w:spacing w:after="0" w:line="240" w:lineRule="auto"/>
        <w:ind w:right="-57"/>
        <w:contextualSpacing/>
        <w:jc w:val="both"/>
        <w:rPr>
          <w:rFonts w:ascii="Times New Roman" w:eastAsia="Times New Roman" w:hAnsi="Times New Roman" w:cs="Times New Roman"/>
        </w:rPr>
      </w:pPr>
      <w:r w:rsidRPr="003E2FA2">
        <w:rPr>
          <w:rFonts w:ascii="Times New Roman" w:eastAsia="Times New Roman" w:hAnsi="Times New Roman" w:cs="Times New Roman"/>
          <w:i/>
        </w:rPr>
        <w:t>Умјерени инхибитори CYP3А4</w:t>
      </w:r>
      <w:r w:rsidRPr="003E2FA2">
        <w:rPr>
          <w:rFonts w:ascii="Times New Roman" w:eastAsia="Times New Roman" w:hAnsi="Times New Roman" w:cs="Times New Roman"/>
        </w:rPr>
        <w:t xml:space="preserve"> – Истовремена примјена дилтиазема са тикагрелором повећала је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тикагрелора за 69% и ПИК за 2.7 пута, а смањила је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активног метаболита за 38%, док је ПИК била непромијењена. Тикагрелор није имао никакав утицај на концентрације дилтиазема у плазми. Може се очекивати да други умјерени инхибитори CYP3А4 (нпр. ампренавир, апрепитант, еритромицин и флуконазол) имају слично дејство и да се исто тако могу истовремено давати са тикагрелором.</w:t>
      </w:r>
    </w:p>
    <w:p w14:paraId="3D1869A3" w14:textId="77777777" w:rsidR="004723DF" w:rsidRPr="003E2FA2" w:rsidRDefault="004723DF" w:rsidP="003269F7">
      <w:pPr>
        <w:tabs>
          <w:tab w:val="left" w:pos="284"/>
        </w:tabs>
        <w:spacing w:after="0" w:line="240" w:lineRule="auto"/>
        <w:ind w:left="720" w:right="-57"/>
        <w:contextualSpacing/>
        <w:jc w:val="both"/>
        <w:rPr>
          <w:rFonts w:ascii="Times New Roman" w:eastAsia="Times New Roman" w:hAnsi="Times New Roman" w:cs="Times New Roman"/>
        </w:rPr>
      </w:pPr>
    </w:p>
    <w:p w14:paraId="68237A69" w14:textId="77777777" w:rsidR="00053E50" w:rsidRPr="003E2FA2" w:rsidRDefault="00053E50" w:rsidP="00687AA8">
      <w:pPr>
        <w:numPr>
          <w:ilvl w:val="0"/>
          <w:numId w:val="35"/>
        </w:numPr>
        <w:tabs>
          <w:tab w:val="left" w:pos="284"/>
        </w:tabs>
        <w:spacing w:after="0" w:line="240" w:lineRule="auto"/>
        <w:ind w:right="-57"/>
        <w:contextualSpacing/>
        <w:jc w:val="both"/>
        <w:rPr>
          <w:rFonts w:ascii="Times New Roman" w:eastAsia="Times New Roman" w:hAnsi="Times New Roman" w:cs="Times New Roman"/>
        </w:rPr>
      </w:pPr>
      <w:r w:rsidRPr="003E2FA2">
        <w:rPr>
          <w:rFonts w:ascii="Times New Roman" w:eastAsia="Times New Roman" w:hAnsi="Times New Roman" w:cs="Times New Roman"/>
        </w:rPr>
        <w:t>Примијећено је двоструко повећање изложености тикагрелору након свакодневне велике конзумације сока од грејпфрута (3 x 200 ml). Не очекује се да ће ова повећана изложеност бити клинички значајна за већину пацијената.</w:t>
      </w:r>
    </w:p>
    <w:p w14:paraId="341C08A7" w14:textId="77777777" w:rsidR="00053E50" w:rsidRPr="003E2FA2" w:rsidRDefault="00053E50" w:rsidP="00687AA8">
      <w:pPr>
        <w:spacing w:after="0" w:line="240" w:lineRule="auto"/>
        <w:ind w:right="-57"/>
        <w:jc w:val="both"/>
        <w:rPr>
          <w:rFonts w:ascii="Times New Roman" w:eastAsia="Times New Roman" w:hAnsi="Times New Roman" w:cs="Times New Roman"/>
        </w:rPr>
      </w:pPr>
    </w:p>
    <w:p w14:paraId="3284C7D5" w14:textId="77777777" w:rsidR="00053E50" w:rsidRPr="003E2FA2" w:rsidRDefault="00053E50" w:rsidP="00687AA8">
      <w:pPr>
        <w:spacing w:after="0" w:line="240" w:lineRule="auto"/>
        <w:ind w:right="-57"/>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Индуктори CYP3А</w:t>
      </w:r>
    </w:p>
    <w:p w14:paraId="2AF31610" w14:textId="77777777" w:rsidR="00053E50" w:rsidRPr="003E2FA2" w:rsidRDefault="00053E50" w:rsidP="00687AA8">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Истовремена примјена рифампицина са тикагрелором смањила је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и ПИК тикагрелора за 73% односно 86%. Вриједност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активног метаболита је била непромијењена, а вриједност ПИК је била смањена за 46%. Може се очекивати да остали индуктори CYP3А (нпр. фенитоин, карбамазепин и фенобарбитон) такође смање изложеност тикагрелору. Истовремена примјена тикагрелора са снажним индукторима CYP3А може да смањи изложеност и ефикасност тикагрелора, па се не препоручује њихова истовремена примјена.</w:t>
      </w:r>
    </w:p>
    <w:p w14:paraId="4AA23BEE" w14:textId="77777777" w:rsidR="00053E50" w:rsidRPr="003E2FA2" w:rsidRDefault="00053E50" w:rsidP="00687AA8">
      <w:pPr>
        <w:spacing w:after="0" w:line="240" w:lineRule="auto"/>
        <w:ind w:right="-57"/>
        <w:jc w:val="both"/>
        <w:rPr>
          <w:rFonts w:ascii="Times New Roman" w:eastAsia="Times New Roman" w:hAnsi="Times New Roman" w:cs="Times New Roman"/>
        </w:rPr>
      </w:pPr>
    </w:p>
    <w:p w14:paraId="4CE1E450" w14:textId="77777777" w:rsidR="00053E50" w:rsidRPr="003E2FA2" w:rsidRDefault="00053E50" w:rsidP="00687AA8">
      <w:pPr>
        <w:spacing w:after="0" w:line="240" w:lineRule="auto"/>
        <w:ind w:right="-57"/>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Циклоспорин (P-gp и CYP3А инхибитор)</w:t>
      </w:r>
    </w:p>
    <w:p w14:paraId="1100BC83" w14:textId="77777777" w:rsidR="00053E50" w:rsidRPr="003E2FA2" w:rsidRDefault="00053E50" w:rsidP="00687AA8">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Истовремена примјена циклоспорина (600 mg) са тикагрелором повећала је C</w:t>
      </w:r>
      <w:r w:rsidRPr="003E2FA2">
        <w:rPr>
          <w:rFonts w:ascii="Times New Roman" w:eastAsia="Times New Roman" w:hAnsi="Times New Roman" w:cs="Times New Roman"/>
          <w:vertAlign w:val="subscript"/>
        </w:rPr>
        <w:t xml:space="preserve">max </w:t>
      </w:r>
      <w:r w:rsidRPr="003E2FA2">
        <w:rPr>
          <w:rFonts w:ascii="Times New Roman" w:eastAsia="Times New Roman" w:hAnsi="Times New Roman" w:cs="Times New Roman"/>
        </w:rPr>
        <w:t>тикагрелора 2.3 пута, а његов ПИК 2.8 пута. Вриједност ПИК активног метаболита је била повећана за 32% и вриједност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је била смањена за 15% у присуству циклоспорина.</w:t>
      </w:r>
    </w:p>
    <w:p w14:paraId="644CB332" w14:textId="77777777" w:rsidR="00053E50" w:rsidRPr="003E2FA2" w:rsidRDefault="00053E50" w:rsidP="00687AA8">
      <w:pPr>
        <w:spacing w:after="0" w:line="240" w:lineRule="auto"/>
        <w:ind w:right="-57"/>
        <w:jc w:val="both"/>
        <w:rPr>
          <w:rFonts w:ascii="Times New Roman" w:eastAsia="Times New Roman" w:hAnsi="Times New Roman" w:cs="Times New Roman"/>
        </w:rPr>
      </w:pPr>
    </w:p>
    <w:p w14:paraId="6D837B8C" w14:textId="77777777" w:rsidR="00053E50" w:rsidRPr="003E2FA2" w:rsidRDefault="00053E50" w:rsidP="00687AA8">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Нема доступних података о истовременој примјени тикагрелора сa осталим љековима који су такође снажни инхибитори P-гликопротеина и умјерени инхибитори CYP3А4 (нпр. верапамил и хинидин) који такође могу да повећају изложеност тикагрелору. Ако се комбинација ових љекова не може избјећи, потребан је опрез приликом њихове истовремене примјене.</w:t>
      </w:r>
    </w:p>
    <w:p w14:paraId="6827A9C3" w14:textId="77777777" w:rsidR="00053E50" w:rsidRPr="003E2FA2" w:rsidRDefault="00053E50" w:rsidP="00687AA8">
      <w:pPr>
        <w:spacing w:after="0" w:line="240" w:lineRule="auto"/>
        <w:ind w:right="-57"/>
        <w:jc w:val="both"/>
        <w:rPr>
          <w:rFonts w:ascii="Times New Roman" w:eastAsia="Times New Roman" w:hAnsi="Times New Roman" w:cs="Times New Roman"/>
        </w:rPr>
      </w:pPr>
    </w:p>
    <w:p w14:paraId="54A87A13" w14:textId="77777777" w:rsidR="00053E50" w:rsidRPr="003E2FA2" w:rsidRDefault="00053E50" w:rsidP="00687AA8">
      <w:pPr>
        <w:spacing w:after="0" w:line="240" w:lineRule="auto"/>
        <w:ind w:right="-57"/>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Други љекови</w:t>
      </w:r>
    </w:p>
    <w:p w14:paraId="5E601BBE" w14:textId="77777777" w:rsidR="00053E50" w:rsidRPr="003E2FA2" w:rsidRDefault="00053E50" w:rsidP="00687AA8">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Клиничке студије фармаколошких интеракција показале су да истовремена примјена тикагрелора са хепарином, еноксапарином и АSА или дезмопресином нема никакав утицај на фармакокинетику тикагрелора или његовог активног метаболита, као ни на агрегацију тромбоцита изазвану са АDP-ом у поређењу са самим тикагрелором. Уколико је клинички индиковано, љекове који мијењају хемостазу треба опрезно користити у комбинацији са тикагрелором.</w:t>
      </w:r>
    </w:p>
    <w:p w14:paraId="50EB887D" w14:textId="08BDB0B3" w:rsidR="00053E50" w:rsidRPr="003E2FA2" w:rsidRDefault="00053E50" w:rsidP="00687AA8">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lastRenderedPageBreak/>
        <w:t>Одложено и смањено излагање оралним инхибиторима P2Y</w:t>
      </w:r>
      <w:r w:rsidRPr="003E2FA2">
        <w:rPr>
          <w:rFonts w:ascii="Times New Roman" w:eastAsia="Times New Roman" w:hAnsi="Times New Roman" w:cs="Times New Roman"/>
          <w:vertAlign w:val="subscript"/>
        </w:rPr>
        <w:t>12</w:t>
      </w:r>
      <w:r w:rsidRPr="003E2FA2">
        <w:rPr>
          <w:rFonts w:ascii="Times New Roman" w:eastAsia="Times New Roman" w:hAnsi="Times New Roman" w:cs="Times New Roman"/>
        </w:rPr>
        <w:t>, укључујући тикагрелор и његове активне метаболите, примијећенo је код пацијената са АКС, лијеченим морфи</w:t>
      </w:r>
      <w:r w:rsidR="008802BB" w:rsidRPr="003E2FA2">
        <w:rPr>
          <w:rFonts w:ascii="Times New Roman" w:eastAsia="Times New Roman" w:hAnsi="Times New Roman" w:cs="Times New Roman"/>
        </w:rPr>
        <w:t>јум</w:t>
      </w:r>
      <w:r w:rsidR="007F3438" w:rsidRPr="003E2FA2">
        <w:rPr>
          <w:rFonts w:ascii="Times New Roman" w:eastAsia="Times New Roman" w:hAnsi="Times New Roman" w:cs="Times New Roman"/>
        </w:rPr>
        <w:t>ом</w:t>
      </w:r>
      <w:r w:rsidRPr="003E2FA2">
        <w:rPr>
          <w:rFonts w:ascii="Times New Roman" w:eastAsia="Times New Roman" w:hAnsi="Times New Roman" w:cs="Times New Roman"/>
        </w:rPr>
        <w:t xml:space="preserve"> (35% смањење у изложености тикагрелору). Ова интеракција може бити повезана са смањеном гастроинтестиналном покретљивошћу и може се примијенити на друге опиоиде. Клиничка важност није позната, али подаци указују на потенцијално смањење ефикасности тикагрелора код пацијената који су истовремено примали тикагрелор и морфи</w:t>
      </w:r>
      <w:r w:rsidR="00F82661" w:rsidRPr="003E2FA2">
        <w:rPr>
          <w:rFonts w:ascii="Times New Roman" w:eastAsia="Times New Roman" w:hAnsi="Times New Roman" w:cs="Times New Roman"/>
        </w:rPr>
        <w:t>јум</w:t>
      </w:r>
      <w:r w:rsidRPr="003E2FA2">
        <w:rPr>
          <w:rFonts w:ascii="Times New Roman" w:eastAsia="Times New Roman" w:hAnsi="Times New Roman" w:cs="Times New Roman"/>
        </w:rPr>
        <w:t>. Код пацијената са АКС, код којих се морфи</w:t>
      </w:r>
      <w:r w:rsidR="00EE7B63" w:rsidRPr="003E2FA2">
        <w:rPr>
          <w:rFonts w:ascii="Times New Roman" w:eastAsia="Times New Roman" w:hAnsi="Times New Roman" w:cs="Times New Roman"/>
        </w:rPr>
        <w:t>јум</w:t>
      </w:r>
      <w:r w:rsidRPr="003E2FA2">
        <w:rPr>
          <w:rFonts w:ascii="Times New Roman" w:eastAsia="Times New Roman" w:hAnsi="Times New Roman" w:cs="Times New Roman"/>
        </w:rPr>
        <w:t xml:space="preserve"> не може искључити, брза инхибиција P2Y</w:t>
      </w:r>
      <w:r w:rsidRPr="003E2FA2">
        <w:rPr>
          <w:rFonts w:ascii="Times New Roman" w:eastAsia="Times New Roman" w:hAnsi="Times New Roman" w:cs="Times New Roman"/>
          <w:vertAlign w:val="subscript"/>
        </w:rPr>
        <w:t>12</w:t>
      </w:r>
      <w:r w:rsidRPr="003E2FA2">
        <w:rPr>
          <w:rFonts w:ascii="Times New Roman" w:eastAsia="Times New Roman" w:hAnsi="Times New Roman" w:cs="Times New Roman"/>
        </w:rPr>
        <w:t xml:space="preserve"> се сматра кључном, треба размотрити употребу парентералног P2Y</w:t>
      </w:r>
      <w:r w:rsidRPr="003E2FA2">
        <w:rPr>
          <w:rFonts w:ascii="Times New Roman" w:eastAsia="Times New Roman" w:hAnsi="Times New Roman" w:cs="Times New Roman"/>
          <w:vertAlign w:val="subscript"/>
        </w:rPr>
        <w:t>12</w:t>
      </w:r>
      <w:r w:rsidRPr="003E2FA2">
        <w:rPr>
          <w:rFonts w:ascii="Times New Roman" w:eastAsia="Times New Roman" w:hAnsi="Times New Roman" w:cs="Times New Roman"/>
        </w:rPr>
        <w:t xml:space="preserve"> инхибитора.</w:t>
      </w:r>
    </w:p>
    <w:p w14:paraId="76DFF18F" w14:textId="77777777" w:rsidR="00053E50" w:rsidRPr="003E2FA2" w:rsidRDefault="00053E50" w:rsidP="00687AA8">
      <w:pPr>
        <w:spacing w:after="0" w:line="240" w:lineRule="auto"/>
        <w:ind w:right="1648"/>
        <w:jc w:val="both"/>
        <w:rPr>
          <w:rFonts w:ascii="Times New Roman" w:eastAsia="Times New Roman" w:hAnsi="Times New Roman" w:cs="Times New Roman"/>
          <w:u w:val="single"/>
        </w:rPr>
      </w:pPr>
    </w:p>
    <w:p w14:paraId="0842E61A" w14:textId="77777777" w:rsidR="00053E50" w:rsidRPr="003E2FA2" w:rsidRDefault="00053E50" w:rsidP="00687AA8">
      <w:pPr>
        <w:spacing w:after="0" w:line="240" w:lineRule="auto"/>
        <w:ind w:right="1648"/>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Утицај тикагрелора на друге љекове</w:t>
      </w:r>
    </w:p>
    <w:p w14:paraId="09821D55" w14:textId="77777777" w:rsidR="00053E50" w:rsidRPr="003E2FA2" w:rsidRDefault="00053E50" w:rsidP="00687AA8">
      <w:pPr>
        <w:spacing w:after="0" w:line="240" w:lineRule="auto"/>
        <w:ind w:right="1648"/>
        <w:jc w:val="both"/>
        <w:rPr>
          <w:rFonts w:ascii="Times New Roman" w:eastAsia="Times New Roman" w:hAnsi="Times New Roman" w:cs="Times New Roman"/>
          <w:u w:val="single"/>
        </w:rPr>
      </w:pPr>
    </w:p>
    <w:p w14:paraId="5FAC0DF5" w14:textId="77777777" w:rsidR="00053E50" w:rsidRPr="003E2FA2" w:rsidRDefault="00053E50" w:rsidP="00687AA8">
      <w:pPr>
        <w:spacing w:after="0" w:line="240" w:lineRule="auto"/>
        <w:ind w:right="-3"/>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Љекови које метаболише CYP3А4</w:t>
      </w:r>
    </w:p>
    <w:p w14:paraId="66A0662A" w14:textId="3C6354F1" w:rsidR="00053E50" w:rsidRPr="003E2FA2" w:rsidRDefault="00053E50" w:rsidP="00687AA8">
      <w:pPr>
        <w:numPr>
          <w:ilvl w:val="0"/>
          <w:numId w:val="35"/>
        </w:numPr>
        <w:tabs>
          <w:tab w:val="left" w:pos="284"/>
        </w:tabs>
        <w:spacing w:after="0" w:line="240" w:lineRule="auto"/>
        <w:ind w:right="-3"/>
        <w:jc w:val="both"/>
        <w:rPr>
          <w:rFonts w:ascii="Times New Roman" w:eastAsia="Times New Roman" w:hAnsi="Times New Roman" w:cs="Times New Roman"/>
        </w:rPr>
      </w:pPr>
      <w:r w:rsidRPr="003E2FA2">
        <w:rPr>
          <w:rFonts w:ascii="Times New Roman" w:eastAsia="Times New Roman" w:hAnsi="Times New Roman" w:cs="Times New Roman"/>
          <w:i/>
        </w:rPr>
        <w:t>Симвастатин</w:t>
      </w:r>
      <w:r w:rsidRPr="003E2FA2">
        <w:rPr>
          <w:rFonts w:ascii="Times New Roman" w:eastAsia="Times New Roman" w:hAnsi="Times New Roman" w:cs="Times New Roman"/>
        </w:rPr>
        <w:t xml:space="preserve"> - Истовремена примјена тикагрелора и симвастатина повећала је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симвастатина за 81%, а ПИК за 56% и повећала је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симвастатинске киселине за 64%, а ПИК за 52%, а у неким индивидуалним случајевима дошло је до повећања за 2 до 3 пута. Истовремена примјена тикагрелора са дозама симвастатина већим од 40 mg на дан може да изазове нежељена дејства симвастатина и њих треба одмјерити у односу на потенцијалне користи. Симвастатин није имао никакав утицај на нивое тикагрелора у плазми. Тикагрелор би могао да има сличан утицај на ловастатин. Истовремена употреба тикагрелора са симвастатином или ловастатином у дозама већим од 40 mg се не препоручује.</w:t>
      </w:r>
    </w:p>
    <w:p w14:paraId="327C4442" w14:textId="77777777" w:rsidR="00053E50" w:rsidRPr="003E2FA2" w:rsidRDefault="00053E50" w:rsidP="00687AA8">
      <w:pPr>
        <w:numPr>
          <w:ilvl w:val="0"/>
          <w:numId w:val="35"/>
        </w:numPr>
        <w:tabs>
          <w:tab w:val="left" w:pos="284"/>
        </w:tabs>
        <w:spacing w:after="0" w:line="240" w:lineRule="auto"/>
        <w:ind w:right="-3"/>
        <w:contextualSpacing/>
        <w:jc w:val="both"/>
        <w:rPr>
          <w:rFonts w:ascii="Times New Roman" w:eastAsia="Times New Roman" w:hAnsi="Times New Roman" w:cs="Times New Roman"/>
          <w:i/>
        </w:rPr>
      </w:pPr>
      <w:r w:rsidRPr="003E2FA2">
        <w:rPr>
          <w:rFonts w:ascii="Times New Roman" w:eastAsia="Times New Roman" w:hAnsi="Times New Roman" w:cs="Times New Roman"/>
          <w:i/>
        </w:rPr>
        <w:t xml:space="preserve">Аторвастатин - </w:t>
      </w:r>
      <w:r w:rsidRPr="003E2FA2">
        <w:rPr>
          <w:rFonts w:ascii="Times New Roman" w:eastAsia="Times New Roman" w:hAnsi="Times New Roman" w:cs="Times New Roman"/>
        </w:rPr>
        <w:t>Истовремена примјена аторвастатина и тикагрелора повећала је C</w:t>
      </w:r>
      <w:r w:rsidRPr="003E2FA2">
        <w:rPr>
          <w:rFonts w:ascii="Times New Roman" w:eastAsia="Times New Roman" w:hAnsi="Times New Roman" w:cs="Times New Roman"/>
          <w:vertAlign w:val="subscript"/>
        </w:rPr>
        <w:t xml:space="preserve">max </w:t>
      </w:r>
      <w:r w:rsidRPr="003E2FA2">
        <w:rPr>
          <w:rFonts w:ascii="Times New Roman" w:eastAsia="Times New Roman" w:hAnsi="Times New Roman" w:cs="Times New Roman"/>
        </w:rPr>
        <w:t>аторвастатинске киселине за 23% и ПИК за 36%. Слична повећања ПИК и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забиљежена су код свих метаболита аторвастатинске киселине. Ова повећања се не сматрају клинички значајним. </w:t>
      </w:r>
    </w:p>
    <w:p w14:paraId="64535A23" w14:textId="77777777" w:rsidR="00053E50" w:rsidRPr="003E2FA2" w:rsidRDefault="00053E50" w:rsidP="00687AA8">
      <w:pPr>
        <w:numPr>
          <w:ilvl w:val="0"/>
          <w:numId w:val="35"/>
        </w:numPr>
        <w:tabs>
          <w:tab w:val="left" w:pos="284"/>
        </w:tabs>
        <w:spacing w:after="0" w:line="240" w:lineRule="auto"/>
        <w:ind w:right="-3"/>
        <w:contextualSpacing/>
        <w:jc w:val="both"/>
        <w:rPr>
          <w:rFonts w:ascii="Times New Roman" w:eastAsia="Times New Roman" w:hAnsi="Times New Roman" w:cs="Times New Roman"/>
          <w:i/>
        </w:rPr>
      </w:pPr>
      <w:r w:rsidRPr="003E2FA2">
        <w:rPr>
          <w:rFonts w:ascii="Times New Roman" w:eastAsia="Times New Roman" w:hAnsi="Times New Roman" w:cs="Times New Roman"/>
        </w:rPr>
        <w:t>Сличан утицај на друге статине који се метаболишу путем CYP3А4 се не може искључити. Пацијенти из PLATO студије који су добијали тикагрелор узимали су различите статине, без забринутости да је то могло да утиче на безбједност статина у 93% кохорте PLATO студије која је узимала ове љекове.</w:t>
      </w:r>
    </w:p>
    <w:p w14:paraId="6CB5D976" w14:textId="77777777" w:rsidR="00053E50" w:rsidRPr="003E2FA2" w:rsidRDefault="00053E50" w:rsidP="00687AA8">
      <w:pPr>
        <w:spacing w:after="0" w:line="240" w:lineRule="auto"/>
        <w:ind w:right="-3"/>
        <w:jc w:val="both"/>
        <w:rPr>
          <w:rFonts w:ascii="Times New Roman" w:eastAsia="Times New Roman" w:hAnsi="Times New Roman" w:cs="Times New Roman"/>
        </w:rPr>
      </w:pPr>
    </w:p>
    <w:p w14:paraId="17648186" w14:textId="77777777" w:rsidR="00053E50" w:rsidRPr="003E2FA2" w:rsidRDefault="00053E50" w:rsidP="00687AA8">
      <w:pPr>
        <w:spacing w:after="0" w:line="240" w:lineRule="auto"/>
        <w:ind w:right="-3"/>
        <w:jc w:val="both"/>
        <w:rPr>
          <w:rFonts w:ascii="Times New Roman" w:eastAsia="Times New Roman" w:hAnsi="Times New Roman" w:cs="Times New Roman"/>
        </w:rPr>
      </w:pPr>
      <w:r w:rsidRPr="003E2FA2">
        <w:rPr>
          <w:rFonts w:ascii="Times New Roman" w:eastAsia="Times New Roman" w:hAnsi="Times New Roman" w:cs="Times New Roman"/>
        </w:rPr>
        <w:t>Тикагрелор је благи инхибитор CYP3А4. Истовремена примјена тикагрелора и супстрата CYP3А4 са уским терапијским индексима (тј. цисаприда или ергот алкалоида) не препоручује се, с обзиром на то да тикагрелор може да повећа изложеност овим љековима.</w:t>
      </w:r>
    </w:p>
    <w:p w14:paraId="05C9BCB0" w14:textId="77777777" w:rsidR="00053E50" w:rsidRPr="003E2FA2" w:rsidRDefault="00053E50" w:rsidP="00687AA8">
      <w:pPr>
        <w:spacing w:after="0" w:line="240" w:lineRule="auto"/>
        <w:ind w:right="-3"/>
        <w:jc w:val="both"/>
        <w:rPr>
          <w:rFonts w:ascii="Times New Roman" w:eastAsia="Times New Roman" w:hAnsi="Times New Roman" w:cs="Times New Roman"/>
        </w:rPr>
      </w:pPr>
    </w:p>
    <w:p w14:paraId="27585899" w14:textId="77777777" w:rsidR="00053E50" w:rsidRPr="003E2FA2" w:rsidRDefault="00053E50" w:rsidP="00687AA8">
      <w:pPr>
        <w:spacing w:after="0" w:line="240" w:lineRule="auto"/>
        <w:ind w:right="-3"/>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Супстрати P-гликопротеина (P-gp) (укључујући дигоксин, циклоспорин)</w:t>
      </w:r>
    </w:p>
    <w:p w14:paraId="034BA2F4" w14:textId="77777777" w:rsidR="00053E50" w:rsidRPr="003E2FA2" w:rsidRDefault="00053E50" w:rsidP="00687AA8">
      <w:pPr>
        <w:spacing w:after="0" w:line="240" w:lineRule="auto"/>
        <w:ind w:right="-3"/>
        <w:jc w:val="both"/>
        <w:rPr>
          <w:rFonts w:ascii="Times New Roman" w:eastAsia="Times New Roman" w:hAnsi="Times New Roman" w:cs="Times New Roman"/>
        </w:rPr>
      </w:pPr>
      <w:r w:rsidRPr="003E2FA2">
        <w:rPr>
          <w:rFonts w:ascii="Times New Roman" w:eastAsia="Times New Roman" w:hAnsi="Times New Roman" w:cs="Times New Roman"/>
        </w:rPr>
        <w:t>Истовремена примјена тикагрелора повећала је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дигоксина за 75%, а ПИК за 28%. Средње вриједности концентрација дигоксина непосредно пред примјену сљедеће дозе (енгл. </w:t>
      </w:r>
      <w:r w:rsidRPr="003E2FA2">
        <w:rPr>
          <w:rFonts w:ascii="Times New Roman" w:eastAsia="Times New Roman" w:hAnsi="Times New Roman" w:cs="Times New Roman"/>
          <w:i/>
        </w:rPr>
        <w:t>trough levels</w:t>
      </w:r>
      <w:r w:rsidRPr="003E2FA2">
        <w:rPr>
          <w:rFonts w:ascii="Times New Roman" w:eastAsia="Times New Roman" w:hAnsi="Times New Roman" w:cs="Times New Roman"/>
        </w:rPr>
        <w:t>) су се повећале за око 30% при истовременој примјени тикагрелора, са индивидуалним максималним повећањима до 2 пута. У присуству дигоксина није било утицаја на C</w:t>
      </w:r>
      <w:r w:rsidRPr="003E2FA2">
        <w:rPr>
          <w:rFonts w:ascii="Times New Roman" w:eastAsia="Times New Roman" w:hAnsi="Times New Roman" w:cs="Times New Roman"/>
          <w:vertAlign w:val="subscript"/>
        </w:rPr>
        <w:t xml:space="preserve">max </w:t>
      </w:r>
      <w:r w:rsidRPr="003E2FA2">
        <w:rPr>
          <w:rFonts w:ascii="Times New Roman" w:eastAsia="Times New Roman" w:hAnsi="Times New Roman" w:cs="Times New Roman"/>
        </w:rPr>
        <w:t>и ПИК тикагрелора и његовог активног метаболита. Стога се препоручује одговарајуће клиничко и/или лабораторијско праћење када се дају P-gp зависни љекови са малим терапијским индексом, као што су дигоксин или циклоспорин, истовремено са тикагрелором.</w:t>
      </w:r>
    </w:p>
    <w:p w14:paraId="07B7150E" w14:textId="77777777" w:rsidR="00053E50" w:rsidRPr="003E2FA2" w:rsidRDefault="00053E50" w:rsidP="00687AA8">
      <w:pPr>
        <w:spacing w:after="0" w:line="240" w:lineRule="auto"/>
        <w:ind w:right="-3"/>
        <w:jc w:val="both"/>
        <w:rPr>
          <w:rFonts w:ascii="Times New Roman" w:eastAsia="Times New Roman" w:hAnsi="Times New Roman" w:cs="Times New Roman"/>
        </w:rPr>
      </w:pPr>
    </w:p>
    <w:p w14:paraId="15AF6639" w14:textId="77777777" w:rsidR="00053E50" w:rsidRPr="003E2FA2" w:rsidRDefault="00053E50" w:rsidP="00687AA8">
      <w:pPr>
        <w:spacing w:after="0" w:line="240" w:lineRule="auto"/>
        <w:ind w:right="-3"/>
        <w:jc w:val="both"/>
        <w:rPr>
          <w:rFonts w:ascii="Times New Roman" w:eastAsia="Times New Roman" w:hAnsi="Times New Roman" w:cs="Times New Roman"/>
        </w:rPr>
      </w:pPr>
      <w:r w:rsidRPr="003E2FA2">
        <w:rPr>
          <w:rFonts w:ascii="Times New Roman" w:eastAsia="Times New Roman" w:hAnsi="Times New Roman" w:cs="Times New Roman"/>
        </w:rPr>
        <w:t>Није било утицаја тикагрелора на концентрације циклоспорина у крви. Ефекат тикагрелора на остале супстрате P-gp није испитиван.</w:t>
      </w:r>
    </w:p>
    <w:p w14:paraId="04F162A8" w14:textId="77777777" w:rsidR="00053E50" w:rsidRPr="003E2FA2" w:rsidRDefault="00053E50" w:rsidP="00687AA8">
      <w:pPr>
        <w:spacing w:after="0" w:line="240" w:lineRule="auto"/>
        <w:ind w:right="-3"/>
        <w:jc w:val="both"/>
        <w:rPr>
          <w:rFonts w:ascii="Times New Roman" w:eastAsia="Times New Roman" w:hAnsi="Times New Roman" w:cs="Times New Roman"/>
        </w:rPr>
      </w:pPr>
    </w:p>
    <w:p w14:paraId="3B6275F9" w14:textId="77777777" w:rsidR="00053E50" w:rsidRPr="003E2FA2" w:rsidRDefault="00053E50" w:rsidP="00687AA8">
      <w:pPr>
        <w:spacing w:after="0" w:line="240" w:lineRule="auto"/>
        <w:ind w:right="-3"/>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Љекови који се метаболишу путем CYP2C9</w:t>
      </w:r>
    </w:p>
    <w:p w14:paraId="4B54B6B9" w14:textId="77777777" w:rsidR="00053E50" w:rsidRPr="003E2FA2" w:rsidRDefault="00053E50" w:rsidP="00687AA8">
      <w:pPr>
        <w:spacing w:after="0" w:line="240" w:lineRule="auto"/>
        <w:ind w:right="-3"/>
        <w:jc w:val="both"/>
        <w:rPr>
          <w:rFonts w:ascii="Times New Roman" w:eastAsia="Times New Roman" w:hAnsi="Times New Roman" w:cs="Times New Roman"/>
        </w:rPr>
      </w:pPr>
      <w:r w:rsidRPr="003E2FA2">
        <w:rPr>
          <w:rFonts w:ascii="Times New Roman" w:eastAsia="Times New Roman" w:hAnsi="Times New Roman" w:cs="Times New Roman"/>
        </w:rPr>
        <w:t>Истовремена примјена тикагрелора са толбутамидом није довела до промјене концентрације било ког од ових љекова у плазми, што указује да тикагрелор није инхибитор CYP2C9 и да није вјероватно да може да промијени метаболизам љекова као што су варфарин и толбутамид, који је посредован са CYP2C9.</w:t>
      </w:r>
    </w:p>
    <w:p w14:paraId="67EB9DD4" w14:textId="77777777" w:rsidR="00DE6F24" w:rsidRPr="003E2FA2" w:rsidRDefault="00DE6F24" w:rsidP="00687AA8">
      <w:pPr>
        <w:spacing w:after="0" w:line="240" w:lineRule="auto"/>
        <w:ind w:right="-3"/>
        <w:jc w:val="both"/>
        <w:rPr>
          <w:rFonts w:ascii="Times New Roman" w:eastAsia="Times New Roman" w:hAnsi="Times New Roman" w:cs="Times New Roman"/>
          <w:i/>
          <w:u w:val="single"/>
        </w:rPr>
      </w:pPr>
    </w:p>
    <w:p w14:paraId="786ACBEF" w14:textId="09A70807" w:rsidR="00053E50" w:rsidRPr="003E2FA2" w:rsidRDefault="00053E50" w:rsidP="00687AA8">
      <w:pPr>
        <w:spacing w:after="0" w:line="240" w:lineRule="auto"/>
        <w:ind w:right="-3"/>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Росувастатин</w:t>
      </w:r>
    </w:p>
    <w:p w14:paraId="1209DF91" w14:textId="49BE70C0" w:rsidR="00053E50" w:rsidRPr="003E2FA2" w:rsidRDefault="00053E50" w:rsidP="00687AA8">
      <w:pPr>
        <w:spacing w:after="0" w:line="240" w:lineRule="auto"/>
        <w:ind w:right="-3"/>
        <w:jc w:val="both"/>
        <w:rPr>
          <w:rFonts w:ascii="Times New Roman" w:eastAsia="Times New Roman" w:hAnsi="Times New Roman" w:cs="Times New Roman"/>
          <w:u w:val="single"/>
        </w:rPr>
      </w:pPr>
      <w:r w:rsidRPr="003E2FA2">
        <w:rPr>
          <w:rFonts w:ascii="Times New Roman" w:eastAsia="Times New Roman" w:hAnsi="Times New Roman" w:cs="Times New Roman"/>
        </w:rPr>
        <w:t xml:space="preserve">Тикагрелор може утицати на реналну екскрецију росувастатина, повећавајући ризик од акумулације росувастатина. Иако тачан механизам није познат, у неким случајевима је истовремена примјена </w:t>
      </w:r>
      <w:r w:rsidRPr="003E2FA2">
        <w:rPr>
          <w:rFonts w:ascii="Times New Roman" w:eastAsia="Times New Roman" w:hAnsi="Times New Roman" w:cs="Times New Roman"/>
        </w:rPr>
        <w:lastRenderedPageBreak/>
        <w:t>тикагрелора и росувастатина довела до смањења функције бубрега, повећања нивоа CPK и рабдомиолизе.</w:t>
      </w:r>
    </w:p>
    <w:p w14:paraId="69D9817E" w14:textId="77777777" w:rsidR="00BE0AC2" w:rsidRPr="003E2FA2" w:rsidRDefault="00BE0AC2" w:rsidP="00687AA8">
      <w:pPr>
        <w:spacing w:after="0" w:line="240" w:lineRule="auto"/>
        <w:ind w:right="-3"/>
        <w:jc w:val="both"/>
        <w:rPr>
          <w:rFonts w:ascii="Times New Roman" w:eastAsia="Times New Roman" w:hAnsi="Times New Roman" w:cs="Times New Roman"/>
          <w:i/>
          <w:u w:val="single"/>
        </w:rPr>
      </w:pPr>
    </w:p>
    <w:p w14:paraId="1FD289A8" w14:textId="37E51168" w:rsidR="00053E50" w:rsidRPr="003E2FA2" w:rsidRDefault="00053E50" w:rsidP="00687AA8">
      <w:pPr>
        <w:spacing w:after="0" w:line="240" w:lineRule="auto"/>
        <w:ind w:right="-3"/>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Орални контрацептиви</w:t>
      </w:r>
    </w:p>
    <w:p w14:paraId="6AF7AC8C" w14:textId="77777777" w:rsidR="00053E50" w:rsidRPr="003E2FA2" w:rsidRDefault="00053E50" w:rsidP="00687AA8">
      <w:pPr>
        <w:spacing w:after="0" w:line="240" w:lineRule="auto"/>
        <w:ind w:right="-3"/>
        <w:jc w:val="both"/>
        <w:rPr>
          <w:rFonts w:ascii="Times New Roman" w:eastAsia="Times New Roman" w:hAnsi="Times New Roman" w:cs="Times New Roman"/>
        </w:rPr>
      </w:pPr>
      <w:r w:rsidRPr="003E2FA2">
        <w:rPr>
          <w:rFonts w:ascii="Times New Roman" w:eastAsia="Times New Roman" w:hAnsi="Times New Roman" w:cs="Times New Roman"/>
        </w:rPr>
        <w:t>Истовремена примјена тикагрелора и левоноргестрела и етинилестрадиола повећала је изложеност етинилестрадиолу за приближно 20%, али није довела до промјене фармакокинетике левоноргестрела. Не очекује се било какав клинички релевантан утицај на ефикасност оралних контрацептива када се левоноргестрел и етинилестрадиол дају истовремено са тикагрелором.</w:t>
      </w:r>
    </w:p>
    <w:p w14:paraId="3AA371BE" w14:textId="77777777" w:rsidR="00053E50" w:rsidRPr="003E2FA2" w:rsidRDefault="00053E50" w:rsidP="00687AA8">
      <w:pPr>
        <w:spacing w:after="0" w:line="240" w:lineRule="auto"/>
        <w:ind w:right="-3"/>
        <w:jc w:val="both"/>
        <w:rPr>
          <w:rFonts w:ascii="Times New Roman" w:eastAsia="Times New Roman" w:hAnsi="Times New Roman" w:cs="Times New Roman"/>
        </w:rPr>
      </w:pPr>
    </w:p>
    <w:p w14:paraId="2B4F5BAB" w14:textId="77777777" w:rsidR="00053E50" w:rsidRPr="003E2FA2" w:rsidRDefault="00053E50" w:rsidP="00687AA8">
      <w:pPr>
        <w:spacing w:after="0" w:line="240" w:lineRule="auto"/>
        <w:ind w:right="-3"/>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Љекови за које се зна да изазивају брадикардију</w:t>
      </w:r>
    </w:p>
    <w:p w14:paraId="1E7C7A34" w14:textId="77777777" w:rsidR="00053E50" w:rsidRPr="003E2FA2" w:rsidRDefault="00053E50" w:rsidP="00687AA8">
      <w:pPr>
        <w:spacing w:after="0" w:line="240" w:lineRule="auto"/>
        <w:ind w:right="-3"/>
        <w:jc w:val="both"/>
        <w:rPr>
          <w:rFonts w:ascii="Times New Roman" w:eastAsia="Times New Roman" w:hAnsi="Times New Roman" w:cs="Times New Roman"/>
        </w:rPr>
      </w:pPr>
      <w:r w:rsidRPr="003E2FA2">
        <w:rPr>
          <w:rFonts w:ascii="Times New Roman" w:eastAsia="Times New Roman" w:hAnsi="Times New Roman" w:cs="Times New Roman"/>
        </w:rPr>
        <w:t>Због примијећених углавном асимптоматских вентрикуларних пауза и брадикардије, треба бити опрезан када се тикагрелор даје истовремено са љековима за које се зна да изазивају брадикардију (погледати дио 4.4). Међутим, у PLATO студији нијесу забиљежени било какви докази о клинички значајним нежељеним реакцијама након истовремене примјене једног или више љекова за које се зна да изазивају брадикардију (нпр. 96% бета блокатори, 33% блокатори калцијумових канала дилтиазем и верапамил и 4% дигоксин).</w:t>
      </w:r>
    </w:p>
    <w:p w14:paraId="2868D085" w14:textId="77777777" w:rsidR="00053E50" w:rsidRPr="003E2FA2" w:rsidRDefault="00053E50" w:rsidP="00687AA8">
      <w:pPr>
        <w:spacing w:after="0" w:line="240" w:lineRule="auto"/>
        <w:ind w:right="-3"/>
        <w:jc w:val="both"/>
        <w:rPr>
          <w:rFonts w:ascii="Times New Roman" w:eastAsia="Times New Roman" w:hAnsi="Times New Roman" w:cs="Times New Roman"/>
        </w:rPr>
      </w:pPr>
    </w:p>
    <w:p w14:paraId="5814378F" w14:textId="77777777" w:rsidR="00053E50" w:rsidRPr="003E2FA2" w:rsidRDefault="00053E50" w:rsidP="00687AA8">
      <w:pPr>
        <w:spacing w:after="0" w:line="240" w:lineRule="auto"/>
        <w:ind w:right="-3"/>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Друге истовремене терапије</w:t>
      </w:r>
    </w:p>
    <w:p w14:paraId="1AA46076" w14:textId="77777777" w:rsidR="00053E50" w:rsidRPr="003E2FA2" w:rsidRDefault="00053E50" w:rsidP="00687AA8">
      <w:pPr>
        <w:spacing w:after="0" w:line="240" w:lineRule="auto"/>
        <w:ind w:right="-3"/>
        <w:jc w:val="both"/>
        <w:rPr>
          <w:rFonts w:ascii="Times New Roman" w:eastAsia="Times New Roman" w:hAnsi="Times New Roman" w:cs="Times New Roman"/>
        </w:rPr>
      </w:pPr>
      <w:r w:rsidRPr="003E2FA2">
        <w:rPr>
          <w:rFonts w:ascii="Times New Roman" w:eastAsia="Times New Roman" w:hAnsi="Times New Roman" w:cs="Times New Roman"/>
        </w:rPr>
        <w:t>У клиничким студијама, тикагрелор је истовремено даван са АSА, инхибиторима протонске пумпе, статинима, бета-блокаторима, инхибиторима ангиотензин-конвертујућег ензима (АCЕ) и блокаторима рецептора ангиотензина по потреби, у зависности од истовремено присутних стања, дуготрајно као и хепарин, нискомолекуларни хепарин и интравенски инхибитори GpIIb/IIIа током краћих периода (погледати дио 5.1). Нијесу забиљежени било какви докази о клинички значајним нежељеним интеракцијама са овим љековима.</w:t>
      </w:r>
    </w:p>
    <w:p w14:paraId="2F155DD8" w14:textId="77777777" w:rsidR="00053E50" w:rsidRPr="003E2FA2" w:rsidRDefault="00053E50" w:rsidP="00687AA8">
      <w:pPr>
        <w:spacing w:after="0" w:line="240" w:lineRule="auto"/>
        <w:ind w:right="-3"/>
        <w:jc w:val="both"/>
        <w:rPr>
          <w:rFonts w:ascii="Times New Roman" w:eastAsia="Times New Roman" w:hAnsi="Times New Roman" w:cs="Times New Roman"/>
        </w:rPr>
      </w:pPr>
    </w:p>
    <w:p w14:paraId="61BDEC2D" w14:textId="77777777" w:rsidR="00053E50" w:rsidRPr="003E2FA2" w:rsidRDefault="00053E50" w:rsidP="00687AA8">
      <w:pPr>
        <w:spacing w:after="0" w:line="240" w:lineRule="auto"/>
        <w:ind w:right="-3"/>
        <w:jc w:val="both"/>
        <w:rPr>
          <w:rFonts w:ascii="Times New Roman" w:eastAsia="Times New Roman" w:hAnsi="Times New Roman" w:cs="Times New Roman"/>
        </w:rPr>
      </w:pPr>
      <w:r w:rsidRPr="003E2FA2">
        <w:rPr>
          <w:rFonts w:ascii="Times New Roman" w:eastAsia="Times New Roman" w:hAnsi="Times New Roman" w:cs="Times New Roman"/>
        </w:rPr>
        <w:t>Истовремена примјена тикагрелора са хепарином, еноксапарином или дезмопресином није имала никакав утицај на активирано парцијално тромбопластинско вријеме (аPTT), активирано вријеме коагулације (АCТ) или одређивање фактора Xа. Међутим, због потенцијалних фармакодинамских интеракција, треба бити опрезан при истовременој примјени тикагрелора и љекова за које се зна да мијењају хемостазу.</w:t>
      </w:r>
    </w:p>
    <w:p w14:paraId="4E1A69D7" w14:textId="77777777" w:rsidR="00053E50" w:rsidRPr="003E2FA2" w:rsidRDefault="00053E50" w:rsidP="00687AA8">
      <w:pPr>
        <w:spacing w:after="0" w:line="240" w:lineRule="auto"/>
        <w:ind w:right="-3"/>
        <w:jc w:val="both"/>
        <w:rPr>
          <w:rFonts w:ascii="Times New Roman" w:eastAsia="Times New Roman" w:hAnsi="Times New Roman" w:cs="Times New Roman"/>
        </w:rPr>
      </w:pPr>
    </w:p>
    <w:p w14:paraId="665B41BB" w14:textId="29F84F5E" w:rsidR="00053E50" w:rsidRPr="003E2FA2" w:rsidRDefault="00053E50" w:rsidP="00687AA8">
      <w:pPr>
        <w:spacing w:after="0" w:line="240" w:lineRule="auto"/>
        <w:ind w:right="-3"/>
        <w:jc w:val="both"/>
        <w:rPr>
          <w:rFonts w:ascii="Times New Roman" w:eastAsia="Times New Roman" w:hAnsi="Times New Roman" w:cs="Times New Roman"/>
        </w:rPr>
      </w:pPr>
      <w:r w:rsidRPr="003E2FA2">
        <w:rPr>
          <w:rFonts w:ascii="Times New Roman" w:eastAsia="Times New Roman" w:hAnsi="Times New Roman" w:cs="Times New Roman"/>
        </w:rPr>
        <w:t>Због пријављених абнормалних кожних крварења при примјени љекова из групе селективни инхибитори преузимања серотонина, SSRI (нпр. пароксетин, сертралин и циталопрам), савјетује се опрез када се SSRI примјењују са тикагрелором, с обзиром да то може повећати ризик од крварења.</w:t>
      </w:r>
    </w:p>
    <w:p w14:paraId="55F5A0F6" w14:textId="77777777" w:rsidR="00053E50" w:rsidRPr="003E2FA2" w:rsidRDefault="00053E50" w:rsidP="00687AA8">
      <w:pPr>
        <w:spacing w:after="0" w:line="240" w:lineRule="auto"/>
        <w:jc w:val="both"/>
        <w:rPr>
          <w:rFonts w:ascii="Times New Roman" w:eastAsia="Times New Roman" w:hAnsi="Times New Roman" w:cs="Times New Roman"/>
        </w:rPr>
      </w:pPr>
    </w:p>
    <w:p w14:paraId="4B2CEB23" w14:textId="77777777" w:rsidR="00053E50" w:rsidRPr="003E2FA2" w:rsidRDefault="00053E50" w:rsidP="00687AA8">
      <w:pPr>
        <w:tabs>
          <w:tab w:val="left" w:pos="284"/>
        </w:tabs>
        <w:spacing w:after="0" w:line="240" w:lineRule="auto"/>
        <w:jc w:val="both"/>
        <w:rPr>
          <w:rFonts w:ascii="Times New Roman" w:eastAsia="Times New Roman" w:hAnsi="Times New Roman" w:cs="Times New Roman"/>
          <w:noProof/>
        </w:rPr>
      </w:pPr>
      <w:r w:rsidRPr="003E2FA2">
        <w:rPr>
          <w:rFonts w:ascii="Times New Roman" w:eastAsia="Times New Roman" w:hAnsi="Times New Roman" w:cs="Times New Roman"/>
          <w:b/>
          <w:bCs/>
        </w:rPr>
        <w:t>4.6. Плодност, трудноћа и дојење</w:t>
      </w:r>
    </w:p>
    <w:p w14:paraId="15457B87" w14:textId="77777777" w:rsidR="00053E50" w:rsidRPr="003E2FA2" w:rsidRDefault="00053E50" w:rsidP="00687AA8">
      <w:pPr>
        <w:tabs>
          <w:tab w:val="left" w:pos="284"/>
        </w:tabs>
        <w:spacing w:after="0" w:line="240" w:lineRule="auto"/>
        <w:jc w:val="both"/>
        <w:rPr>
          <w:rFonts w:ascii="Times New Roman" w:eastAsia="Times New Roman" w:hAnsi="Times New Roman" w:cs="Times New Roman"/>
        </w:rPr>
      </w:pPr>
    </w:p>
    <w:p w14:paraId="25A0AD68" w14:textId="77777777" w:rsidR="00053E50" w:rsidRPr="003E2FA2" w:rsidRDefault="00053E50" w:rsidP="00687AA8">
      <w:pPr>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Жене у репродуктивном периоду</w:t>
      </w:r>
    </w:p>
    <w:p w14:paraId="20292D93" w14:textId="77777777" w:rsidR="00053E50" w:rsidRPr="003E2FA2" w:rsidRDefault="00053E50" w:rsidP="00687AA8">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Жене у репродуктивном периоду треба да користе одговарајуће методе контрацепције како би избјегле трудноћу током терапије тикагрелором.</w:t>
      </w:r>
    </w:p>
    <w:p w14:paraId="66C61C1E" w14:textId="77777777" w:rsidR="00053E50" w:rsidRPr="003E2FA2" w:rsidRDefault="00053E50" w:rsidP="00687AA8">
      <w:pPr>
        <w:spacing w:after="0" w:line="240" w:lineRule="auto"/>
        <w:jc w:val="both"/>
        <w:rPr>
          <w:rFonts w:ascii="Times New Roman" w:eastAsia="Times New Roman" w:hAnsi="Times New Roman" w:cs="Times New Roman"/>
        </w:rPr>
      </w:pPr>
    </w:p>
    <w:p w14:paraId="5931A22F" w14:textId="77777777" w:rsidR="00053E50" w:rsidRPr="003E2FA2" w:rsidRDefault="00053E50" w:rsidP="00687AA8">
      <w:pPr>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Трудноћа</w:t>
      </w:r>
    </w:p>
    <w:p w14:paraId="6027C581" w14:textId="77777777" w:rsidR="00053E50" w:rsidRPr="003E2FA2" w:rsidRDefault="00053E50" w:rsidP="00687AA8">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Нема података о употреби тикагрелора код трудница или су они ограничени. Студије на животињама су показале репродуктивну токсичност (погледати дио 5.3). Примјена тикагрелора се не препоручује током трудноће.</w:t>
      </w:r>
    </w:p>
    <w:p w14:paraId="70D0DD4C" w14:textId="77777777" w:rsidR="00053E50" w:rsidRPr="003E2FA2" w:rsidRDefault="00053E50" w:rsidP="00687AA8">
      <w:pPr>
        <w:spacing w:after="0" w:line="240" w:lineRule="auto"/>
        <w:ind w:right="-57"/>
        <w:jc w:val="both"/>
        <w:rPr>
          <w:rFonts w:ascii="Times New Roman" w:eastAsia="Times New Roman" w:hAnsi="Times New Roman" w:cs="Times New Roman"/>
        </w:rPr>
      </w:pPr>
    </w:p>
    <w:p w14:paraId="17C69AFB" w14:textId="77777777" w:rsidR="00053E50" w:rsidRPr="003E2FA2" w:rsidRDefault="00053E50" w:rsidP="00687AA8">
      <w:pPr>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Дојење</w:t>
      </w:r>
    </w:p>
    <w:p w14:paraId="39345817" w14:textId="77777777" w:rsidR="00053E50" w:rsidRPr="003E2FA2" w:rsidRDefault="00053E50" w:rsidP="00687AA8">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Расположиви фармакодинамски/токсиколошки подаци добијени испитивањима на животињама показују да се тикагрелор и његови активни метаболити излучују у млијеко (погледати дио 5.3). Ризик по новорођенче/дијете се не може искључити. Неопходно је донијети одлуку да ли ће се прекинути дојење или прекинути/одложити терапија тикагрелором, узимајући у обзир корист од дојења за дијете и корист од терапије за жену.</w:t>
      </w:r>
    </w:p>
    <w:p w14:paraId="28243A15" w14:textId="77777777" w:rsidR="00053E50" w:rsidRPr="003E2FA2" w:rsidRDefault="00053E50" w:rsidP="00687AA8">
      <w:pPr>
        <w:spacing w:after="0" w:line="240" w:lineRule="auto"/>
        <w:jc w:val="both"/>
        <w:rPr>
          <w:rFonts w:ascii="Times New Roman" w:eastAsia="Times New Roman" w:hAnsi="Times New Roman" w:cs="Times New Roman"/>
          <w:u w:val="single"/>
        </w:rPr>
      </w:pPr>
    </w:p>
    <w:p w14:paraId="10D4F54C" w14:textId="77777777" w:rsidR="00053E50" w:rsidRPr="003E2FA2" w:rsidRDefault="00053E50" w:rsidP="00687AA8">
      <w:pPr>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Плодност</w:t>
      </w:r>
    </w:p>
    <w:p w14:paraId="44215534" w14:textId="360985EB" w:rsidR="00053E50" w:rsidRPr="003E2FA2" w:rsidRDefault="00053E50" w:rsidP="00687AA8">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Тикагрелор није имао никакав утицај на мушку или женску плодност код животиња (погледати дио 5.3).</w:t>
      </w:r>
    </w:p>
    <w:p w14:paraId="4DCE86B4" w14:textId="04D5DEE8" w:rsidR="00053E50" w:rsidRPr="003E2FA2" w:rsidRDefault="00053E50" w:rsidP="00687AA8">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b/>
          <w:bCs/>
        </w:rPr>
        <w:lastRenderedPageBreak/>
        <w:t>4.7. Утицај на способност управљања возилима и руковање машинама</w:t>
      </w:r>
    </w:p>
    <w:p w14:paraId="071286EE" w14:textId="77777777" w:rsidR="00053E50" w:rsidRPr="003E2FA2" w:rsidRDefault="00053E50" w:rsidP="00687AA8">
      <w:pPr>
        <w:tabs>
          <w:tab w:val="left" w:pos="284"/>
        </w:tabs>
        <w:spacing w:after="0" w:line="240" w:lineRule="auto"/>
        <w:jc w:val="both"/>
        <w:rPr>
          <w:rFonts w:ascii="Times New Roman" w:eastAsia="Times New Roman" w:hAnsi="Times New Roman" w:cs="Times New Roman"/>
        </w:rPr>
      </w:pPr>
    </w:p>
    <w:p w14:paraId="39888B9E" w14:textId="266347C3" w:rsidR="00361290" w:rsidRPr="003E2FA2" w:rsidRDefault="00053E50" w:rsidP="00687AA8">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Тикагрелор нема утицаја или има занемарљив утицај на способност управљања возилима и руковања машинама. Током лијечења тикагрелором пријављена је вртоглавица и конфузија. Стога, пацијенти који осјете ове симптоме треба да буду опрезни приликом управљања возилима или руковања машинама.</w:t>
      </w:r>
    </w:p>
    <w:p w14:paraId="5BB102E3" w14:textId="77777777" w:rsidR="00053E50" w:rsidRPr="003E2FA2" w:rsidRDefault="00053E50" w:rsidP="007669F5">
      <w:pPr>
        <w:spacing w:after="0" w:line="240" w:lineRule="auto"/>
        <w:ind w:right="-57"/>
        <w:jc w:val="both"/>
        <w:rPr>
          <w:rFonts w:ascii="Times New Roman" w:eastAsia="Times New Roman" w:hAnsi="Times New Roman" w:cs="Times New Roman"/>
          <w:b/>
          <w:bCs/>
        </w:rPr>
      </w:pPr>
    </w:p>
    <w:p w14:paraId="30C8A93D"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4.8. Нежељена дејства</w:t>
      </w:r>
    </w:p>
    <w:p w14:paraId="1D115CC8" w14:textId="77777777" w:rsidR="00053E50" w:rsidRPr="003E2FA2" w:rsidRDefault="00053E50" w:rsidP="00E56A8B">
      <w:pPr>
        <w:tabs>
          <w:tab w:val="left" w:pos="284"/>
        </w:tabs>
        <w:spacing w:after="0" w:line="240" w:lineRule="auto"/>
        <w:jc w:val="both"/>
        <w:rPr>
          <w:rFonts w:ascii="Times New Roman" w:eastAsia="Times New Roman" w:hAnsi="Times New Roman" w:cs="Times New Roman"/>
          <w:bCs/>
        </w:rPr>
      </w:pPr>
    </w:p>
    <w:p w14:paraId="3E213368" w14:textId="77777777" w:rsidR="00053E50" w:rsidRPr="003E2FA2" w:rsidRDefault="00053E50" w:rsidP="00E56A8B">
      <w:pPr>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Сажетак безбједносног профила</w:t>
      </w:r>
    </w:p>
    <w:p w14:paraId="1ABDF2F4" w14:textId="77777777" w:rsidR="00053E50" w:rsidRPr="003E2FA2" w:rsidRDefault="00053E50" w:rsidP="00E56A8B">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Безбједносни профил тикагрелора процијењиван је у двије студије 3. фазе (PLATO и PEGASUS) на више од 39000 пацијената (погледати дио 5.1).</w:t>
      </w:r>
    </w:p>
    <w:p w14:paraId="041E29C6" w14:textId="77777777" w:rsidR="00053E50" w:rsidRPr="003E2FA2" w:rsidRDefault="00053E50" w:rsidP="00E56A8B">
      <w:pPr>
        <w:spacing w:after="0" w:line="240" w:lineRule="auto"/>
        <w:ind w:left="120"/>
        <w:jc w:val="both"/>
        <w:rPr>
          <w:rFonts w:ascii="Times New Roman" w:eastAsia="Times New Roman" w:hAnsi="Times New Roman" w:cs="Times New Roman"/>
        </w:rPr>
      </w:pPr>
    </w:p>
    <w:p w14:paraId="14354E13" w14:textId="1E9083DF" w:rsidR="00053E50" w:rsidRPr="003E2FA2" w:rsidRDefault="00053E50" w:rsidP="00E56A8B">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У студији PLATO, инциденца прекида лијечења због нежељених догађаја била је виша код пацијената који су примали тикагрелор него код оних који су примали клопидогрел (7.4% напрема 5.4%). У студији PEGASUS, инциденца прекида лијечења због нежељених догађаја била је виша код пацијената који су примали тикагрелор него код оних који су примали само ацетилсалицилну киселину (16.1% за тикагрелор од 60 mg у комбинацији сa ацетилсалицилном кисјелином према 8.5% за терапију само ацетилсалицилном киселином). Најчешће пријављена нежељена дејства код пацијената који су лијечени тикагрелором била су крварење и диспнеја (погледати дио 4.4).</w:t>
      </w:r>
    </w:p>
    <w:p w14:paraId="5C00EAC5" w14:textId="77777777" w:rsidR="00053E50" w:rsidRPr="003E2FA2" w:rsidRDefault="00053E50" w:rsidP="00E56A8B">
      <w:pPr>
        <w:spacing w:after="0" w:line="240" w:lineRule="auto"/>
        <w:ind w:left="120"/>
        <w:jc w:val="both"/>
        <w:rPr>
          <w:rFonts w:ascii="Times New Roman" w:eastAsia="Times New Roman" w:hAnsi="Times New Roman" w:cs="Times New Roman"/>
        </w:rPr>
      </w:pPr>
    </w:p>
    <w:p w14:paraId="2A3B666D" w14:textId="77777777" w:rsidR="00053E50" w:rsidRPr="003E2FA2" w:rsidRDefault="00053E50" w:rsidP="00E56A8B">
      <w:pPr>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Табеларни приказ нежељених дејстава</w:t>
      </w:r>
    </w:p>
    <w:p w14:paraId="43D53BCA" w14:textId="77777777" w:rsidR="00053E50" w:rsidRPr="003E2FA2" w:rsidRDefault="00053E50" w:rsidP="00E56A8B">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Сљедећа нежељена дејства су идентификована након спроведених студија или током праћења тикагрелора након његовог стављања у промет (Табела 1).</w:t>
      </w:r>
    </w:p>
    <w:p w14:paraId="186644E8" w14:textId="77777777" w:rsidR="00C45249" w:rsidRPr="003E2FA2" w:rsidRDefault="00C45249" w:rsidP="00E56A8B">
      <w:pPr>
        <w:spacing w:after="0" w:line="240" w:lineRule="auto"/>
        <w:jc w:val="both"/>
        <w:rPr>
          <w:rFonts w:ascii="Times New Roman" w:eastAsia="Times New Roman" w:hAnsi="Times New Roman" w:cs="Times New Roman"/>
        </w:rPr>
      </w:pPr>
    </w:p>
    <w:p w14:paraId="66638634" w14:textId="5541AA38" w:rsidR="00053E50" w:rsidRPr="003E2FA2" w:rsidRDefault="00053E50" w:rsidP="00E56A8B">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 xml:space="preserve">Нежељена дејства су класификована према учесталости и МеdDRA класи система органа (SOC, енгл. </w:t>
      </w:r>
      <w:r w:rsidRPr="003E2FA2">
        <w:rPr>
          <w:rFonts w:ascii="Times New Roman" w:eastAsia="Times New Roman" w:hAnsi="Times New Roman" w:cs="Times New Roman"/>
          <w:i/>
        </w:rPr>
        <w:t>System organ class</w:t>
      </w:r>
      <w:r w:rsidRPr="003E2FA2">
        <w:rPr>
          <w:rFonts w:ascii="Times New Roman" w:eastAsia="Times New Roman" w:hAnsi="Times New Roman" w:cs="Times New Roman"/>
        </w:rPr>
        <w:t>). Категорије учесталости су дефинисане на сљедећи начин: веома честе (≥</w:t>
      </w:r>
      <w:r w:rsidR="006640D0" w:rsidRPr="003E2FA2">
        <w:rPr>
          <w:rFonts w:ascii="Times New Roman" w:eastAsia="Times New Roman" w:hAnsi="Times New Roman" w:cs="Times New Roman"/>
        </w:rPr>
        <w:t xml:space="preserve"> </w:t>
      </w:r>
      <w:r w:rsidRPr="003E2FA2">
        <w:rPr>
          <w:rFonts w:ascii="Times New Roman" w:eastAsia="Times New Roman" w:hAnsi="Times New Roman" w:cs="Times New Roman"/>
        </w:rPr>
        <w:t>1/10), честе (≥</w:t>
      </w:r>
      <w:r w:rsidR="006640D0" w:rsidRPr="003E2FA2">
        <w:rPr>
          <w:rFonts w:ascii="Times New Roman" w:eastAsia="Times New Roman" w:hAnsi="Times New Roman" w:cs="Times New Roman"/>
        </w:rPr>
        <w:t xml:space="preserve"> </w:t>
      </w:r>
      <w:r w:rsidRPr="003E2FA2">
        <w:rPr>
          <w:rFonts w:ascii="Times New Roman" w:eastAsia="Times New Roman" w:hAnsi="Times New Roman" w:cs="Times New Roman"/>
        </w:rPr>
        <w:t>1/100 до &lt;</w:t>
      </w:r>
      <w:r w:rsidR="006640D0" w:rsidRPr="003E2FA2">
        <w:rPr>
          <w:rFonts w:ascii="Times New Roman" w:eastAsia="Times New Roman" w:hAnsi="Times New Roman" w:cs="Times New Roman"/>
        </w:rPr>
        <w:t xml:space="preserve"> </w:t>
      </w:r>
      <w:r w:rsidRPr="003E2FA2">
        <w:rPr>
          <w:rFonts w:ascii="Times New Roman" w:eastAsia="Times New Roman" w:hAnsi="Times New Roman" w:cs="Times New Roman"/>
        </w:rPr>
        <w:t>1/10), повремене (≥</w:t>
      </w:r>
      <w:r w:rsidR="006640D0" w:rsidRPr="003E2FA2">
        <w:rPr>
          <w:rFonts w:ascii="Times New Roman" w:eastAsia="Times New Roman" w:hAnsi="Times New Roman" w:cs="Times New Roman"/>
        </w:rPr>
        <w:t xml:space="preserve"> </w:t>
      </w:r>
      <w:r w:rsidRPr="003E2FA2">
        <w:rPr>
          <w:rFonts w:ascii="Times New Roman" w:eastAsia="Times New Roman" w:hAnsi="Times New Roman" w:cs="Times New Roman"/>
        </w:rPr>
        <w:t>1/1000 до &lt;</w:t>
      </w:r>
      <w:r w:rsidR="006640D0" w:rsidRPr="003E2FA2">
        <w:rPr>
          <w:rFonts w:ascii="Times New Roman" w:eastAsia="Times New Roman" w:hAnsi="Times New Roman" w:cs="Times New Roman"/>
        </w:rPr>
        <w:t xml:space="preserve"> </w:t>
      </w:r>
      <w:r w:rsidRPr="003E2FA2">
        <w:rPr>
          <w:rFonts w:ascii="Times New Roman" w:eastAsia="Times New Roman" w:hAnsi="Times New Roman" w:cs="Times New Roman"/>
        </w:rPr>
        <w:t>1/100), ријетке (≥</w:t>
      </w:r>
      <w:r w:rsidR="006640D0" w:rsidRPr="003E2FA2">
        <w:rPr>
          <w:rFonts w:ascii="Times New Roman" w:eastAsia="Times New Roman" w:hAnsi="Times New Roman" w:cs="Times New Roman"/>
        </w:rPr>
        <w:t xml:space="preserve"> </w:t>
      </w:r>
      <w:r w:rsidRPr="003E2FA2">
        <w:rPr>
          <w:rFonts w:ascii="Times New Roman" w:eastAsia="Times New Roman" w:hAnsi="Times New Roman" w:cs="Times New Roman"/>
        </w:rPr>
        <w:t>1/10000 до &lt;</w:t>
      </w:r>
      <w:r w:rsidR="006640D0" w:rsidRPr="003E2FA2">
        <w:rPr>
          <w:rFonts w:ascii="Times New Roman" w:eastAsia="Times New Roman" w:hAnsi="Times New Roman" w:cs="Times New Roman"/>
        </w:rPr>
        <w:t xml:space="preserve"> </w:t>
      </w:r>
      <w:r w:rsidRPr="003E2FA2">
        <w:rPr>
          <w:rFonts w:ascii="Times New Roman" w:eastAsia="Times New Roman" w:hAnsi="Times New Roman" w:cs="Times New Roman"/>
        </w:rPr>
        <w:t>1/1000), веома ријетке (&lt;</w:t>
      </w:r>
      <w:r w:rsidR="006640D0" w:rsidRPr="003E2FA2">
        <w:rPr>
          <w:rFonts w:ascii="Times New Roman" w:eastAsia="Times New Roman" w:hAnsi="Times New Roman" w:cs="Times New Roman"/>
        </w:rPr>
        <w:t xml:space="preserve"> </w:t>
      </w:r>
      <w:r w:rsidRPr="003E2FA2">
        <w:rPr>
          <w:rFonts w:ascii="Times New Roman" w:eastAsia="Times New Roman" w:hAnsi="Times New Roman" w:cs="Times New Roman"/>
        </w:rPr>
        <w:t>1/10000), непознате учесталости (не може се процијенити на основу расположивих података).</w:t>
      </w:r>
    </w:p>
    <w:p w14:paraId="13206038" w14:textId="77777777" w:rsidR="00053E50" w:rsidRPr="003E2FA2" w:rsidRDefault="00053E50" w:rsidP="00E56A8B">
      <w:pPr>
        <w:spacing w:after="0" w:line="240" w:lineRule="auto"/>
        <w:ind w:left="120"/>
        <w:jc w:val="both"/>
        <w:rPr>
          <w:rFonts w:ascii="Times New Roman" w:eastAsia="Times New Roman" w:hAnsi="Times New Roman" w:cs="Times New Roman"/>
          <w:b/>
        </w:rPr>
      </w:pPr>
    </w:p>
    <w:p w14:paraId="5C180A53" w14:textId="291FBF14" w:rsidR="00053E50" w:rsidRPr="003E2FA2" w:rsidRDefault="00053E50" w:rsidP="00E56A8B">
      <w:pPr>
        <w:spacing w:after="0" w:line="240" w:lineRule="auto"/>
        <w:ind w:left="120"/>
        <w:jc w:val="both"/>
        <w:rPr>
          <w:rFonts w:ascii="Times New Roman" w:eastAsia="Times New Roman" w:hAnsi="Times New Roman" w:cs="Times New Roman"/>
          <w:b/>
        </w:rPr>
      </w:pPr>
      <w:r w:rsidRPr="003E2FA2">
        <w:rPr>
          <w:rFonts w:ascii="Times New Roman" w:eastAsia="Times New Roman" w:hAnsi="Times New Roman" w:cs="Times New Roman"/>
          <w:b/>
        </w:rPr>
        <w:t>Табела 1. Нежељен</w:t>
      </w:r>
      <w:r w:rsidR="004B2572" w:rsidRPr="003E2FA2">
        <w:rPr>
          <w:rFonts w:ascii="Times New Roman" w:eastAsia="Times New Roman" w:hAnsi="Times New Roman" w:cs="Times New Roman"/>
          <w:b/>
        </w:rPr>
        <w:t>а</w:t>
      </w:r>
      <w:r w:rsidRPr="003E2FA2">
        <w:rPr>
          <w:rFonts w:ascii="Times New Roman" w:eastAsia="Times New Roman" w:hAnsi="Times New Roman" w:cs="Times New Roman"/>
          <w:b/>
        </w:rPr>
        <w:t xml:space="preserve"> </w:t>
      </w:r>
      <w:r w:rsidR="004B2572" w:rsidRPr="003E2FA2">
        <w:rPr>
          <w:rFonts w:ascii="Times New Roman" w:eastAsia="Times New Roman" w:hAnsi="Times New Roman" w:cs="Times New Roman"/>
          <w:b/>
        </w:rPr>
        <w:t>дејства</w:t>
      </w:r>
      <w:r w:rsidRPr="003E2FA2">
        <w:rPr>
          <w:rFonts w:ascii="Times New Roman" w:eastAsia="Times New Roman" w:hAnsi="Times New Roman" w:cs="Times New Roman"/>
          <w:b/>
        </w:rPr>
        <w:t xml:space="preserve"> лијек</w:t>
      </w:r>
      <w:r w:rsidR="004B2572" w:rsidRPr="003E2FA2">
        <w:rPr>
          <w:rFonts w:ascii="Times New Roman" w:eastAsia="Times New Roman" w:hAnsi="Times New Roman" w:cs="Times New Roman"/>
          <w:b/>
        </w:rPr>
        <w:t>а</w:t>
      </w:r>
      <w:r w:rsidRPr="003E2FA2">
        <w:rPr>
          <w:rFonts w:ascii="Times New Roman" w:eastAsia="Times New Roman" w:hAnsi="Times New Roman" w:cs="Times New Roman"/>
          <w:b/>
        </w:rPr>
        <w:t xml:space="preserve"> према учесталости и класама система органа (SOC)</w:t>
      </w:r>
    </w:p>
    <w:p w14:paraId="21510505" w14:textId="77777777" w:rsidR="00053E50" w:rsidRPr="003E2FA2" w:rsidRDefault="00053E50" w:rsidP="00E56A8B">
      <w:pPr>
        <w:spacing w:after="0" w:line="240" w:lineRule="auto"/>
        <w:ind w:left="120"/>
        <w:jc w:val="both"/>
        <w:rPr>
          <w:rFonts w:ascii="Times New Roman" w:eastAsia="Times New Roman" w:hAnsi="Times New Roman" w:cs="Times New Roman"/>
          <w:u w:val="single"/>
        </w:rPr>
      </w:pPr>
    </w:p>
    <w:tbl>
      <w:tblPr>
        <w:tblStyle w:val="TableGrid"/>
        <w:tblW w:w="0" w:type="auto"/>
        <w:tblLook w:val="04A0" w:firstRow="1" w:lastRow="0" w:firstColumn="1" w:lastColumn="0" w:noHBand="0" w:noVBand="1"/>
      </w:tblPr>
      <w:tblGrid>
        <w:gridCol w:w="2405"/>
        <w:gridCol w:w="1701"/>
        <w:gridCol w:w="1701"/>
        <w:gridCol w:w="1843"/>
        <w:gridCol w:w="1693"/>
      </w:tblGrid>
      <w:tr w:rsidR="00053E50" w:rsidRPr="003E2FA2" w14:paraId="44840782" w14:textId="77777777" w:rsidTr="0037233F">
        <w:trPr>
          <w:tblHeader/>
        </w:trPr>
        <w:tc>
          <w:tcPr>
            <w:tcW w:w="2405" w:type="dxa"/>
          </w:tcPr>
          <w:p w14:paraId="3C3A55C0" w14:textId="77777777" w:rsidR="00053E50" w:rsidRPr="003E2FA2" w:rsidRDefault="00053E50" w:rsidP="00E56A8B">
            <w:pPr>
              <w:tabs>
                <w:tab w:val="left" w:pos="284"/>
              </w:tabs>
              <w:jc w:val="both"/>
              <w:rPr>
                <w:rFonts w:ascii="Times New Roman" w:eastAsia="Times New Roman" w:hAnsi="Times New Roman" w:cs="Times New Roman"/>
                <w:b/>
              </w:rPr>
            </w:pPr>
            <w:r w:rsidRPr="003E2FA2">
              <w:rPr>
                <w:rFonts w:ascii="Times New Roman" w:eastAsia="Times New Roman" w:hAnsi="Times New Roman" w:cs="Times New Roman"/>
                <w:b/>
              </w:rPr>
              <w:t>Класификација система органа</w:t>
            </w:r>
          </w:p>
        </w:tc>
        <w:tc>
          <w:tcPr>
            <w:tcW w:w="1701" w:type="dxa"/>
          </w:tcPr>
          <w:p w14:paraId="24F884C9" w14:textId="77777777" w:rsidR="00053E50" w:rsidRPr="003E2FA2" w:rsidRDefault="00053E50" w:rsidP="00E56A8B">
            <w:pPr>
              <w:tabs>
                <w:tab w:val="left" w:pos="284"/>
              </w:tabs>
              <w:jc w:val="both"/>
              <w:rPr>
                <w:rFonts w:ascii="Times New Roman" w:eastAsia="Times New Roman" w:hAnsi="Times New Roman" w:cs="Times New Roman"/>
                <w:b/>
              </w:rPr>
            </w:pPr>
            <w:r w:rsidRPr="003E2FA2">
              <w:rPr>
                <w:rFonts w:ascii="Times New Roman" w:eastAsia="Times New Roman" w:hAnsi="Times New Roman" w:cs="Times New Roman"/>
                <w:b/>
              </w:rPr>
              <w:t>Веома честе</w:t>
            </w:r>
          </w:p>
        </w:tc>
        <w:tc>
          <w:tcPr>
            <w:tcW w:w="1701" w:type="dxa"/>
          </w:tcPr>
          <w:p w14:paraId="6D0AEB48" w14:textId="77777777" w:rsidR="00053E50" w:rsidRPr="003E2FA2" w:rsidRDefault="00053E50" w:rsidP="00E56A8B">
            <w:pPr>
              <w:tabs>
                <w:tab w:val="left" w:pos="284"/>
              </w:tabs>
              <w:jc w:val="both"/>
              <w:rPr>
                <w:rFonts w:ascii="Times New Roman" w:eastAsia="Times New Roman" w:hAnsi="Times New Roman" w:cs="Times New Roman"/>
                <w:b/>
              </w:rPr>
            </w:pPr>
            <w:r w:rsidRPr="003E2FA2">
              <w:rPr>
                <w:rFonts w:ascii="Times New Roman" w:eastAsia="Times New Roman" w:hAnsi="Times New Roman" w:cs="Times New Roman"/>
                <w:b/>
              </w:rPr>
              <w:t>Честе</w:t>
            </w:r>
          </w:p>
        </w:tc>
        <w:tc>
          <w:tcPr>
            <w:tcW w:w="1843" w:type="dxa"/>
          </w:tcPr>
          <w:p w14:paraId="56F1284F" w14:textId="77777777" w:rsidR="00053E50" w:rsidRPr="003E2FA2" w:rsidRDefault="00053E50" w:rsidP="00E56A8B">
            <w:pPr>
              <w:tabs>
                <w:tab w:val="left" w:pos="284"/>
              </w:tabs>
              <w:jc w:val="both"/>
              <w:rPr>
                <w:rFonts w:ascii="Times New Roman" w:eastAsia="Times New Roman" w:hAnsi="Times New Roman" w:cs="Times New Roman"/>
                <w:b/>
              </w:rPr>
            </w:pPr>
            <w:r w:rsidRPr="003E2FA2">
              <w:rPr>
                <w:rFonts w:ascii="Times New Roman" w:eastAsia="Times New Roman" w:hAnsi="Times New Roman" w:cs="Times New Roman"/>
                <w:b/>
              </w:rPr>
              <w:t>Повремене</w:t>
            </w:r>
          </w:p>
        </w:tc>
        <w:tc>
          <w:tcPr>
            <w:tcW w:w="1693" w:type="dxa"/>
          </w:tcPr>
          <w:p w14:paraId="7CA441FA" w14:textId="77777777" w:rsidR="00053E50" w:rsidRPr="003E2FA2" w:rsidRDefault="00053E50" w:rsidP="00E56A8B">
            <w:pPr>
              <w:tabs>
                <w:tab w:val="left" w:pos="284"/>
              </w:tabs>
              <w:jc w:val="both"/>
              <w:rPr>
                <w:rFonts w:ascii="Times New Roman" w:eastAsia="Times New Roman" w:hAnsi="Times New Roman" w:cs="Times New Roman"/>
                <w:b/>
              </w:rPr>
            </w:pPr>
            <w:r w:rsidRPr="003E2FA2">
              <w:rPr>
                <w:rFonts w:ascii="Times New Roman" w:eastAsia="Times New Roman" w:hAnsi="Times New Roman" w:cs="Times New Roman"/>
                <w:b/>
              </w:rPr>
              <w:t>Непознате</w:t>
            </w:r>
          </w:p>
        </w:tc>
      </w:tr>
      <w:tr w:rsidR="00053E50" w:rsidRPr="003E2FA2" w14:paraId="2FC2EDDA" w14:textId="77777777" w:rsidTr="0037233F">
        <w:tc>
          <w:tcPr>
            <w:tcW w:w="2405" w:type="dxa"/>
          </w:tcPr>
          <w:p w14:paraId="1820F174" w14:textId="6E92D364" w:rsidR="00053E50" w:rsidRPr="003E2FA2" w:rsidRDefault="00053E50" w:rsidP="003269F7">
            <w:pPr>
              <w:tabs>
                <w:tab w:val="left" w:pos="284"/>
              </w:tabs>
              <w:rPr>
                <w:rFonts w:ascii="Times New Roman" w:eastAsia="Times New Roman" w:hAnsi="Times New Roman" w:cs="Times New Roman"/>
                <w:i/>
              </w:rPr>
            </w:pPr>
            <w:r w:rsidRPr="003E2FA2">
              <w:rPr>
                <w:rFonts w:ascii="Times New Roman" w:eastAsia="Times New Roman" w:hAnsi="Times New Roman" w:cs="Times New Roman"/>
                <w:i/>
              </w:rPr>
              <w:t>Неоплазме</w:t>
            </w:r>
            <w:r w:rsidR="003269F7" w:rsidRPr="003E2FA2">
              <w:rPr>
                <w:rFonts w:ascii="Times New Roman" w:eastAsia="Times New Roman" w:hAnsi="Times New Roman" w:cs="Times New Roman"/>
                <w:i/>
              </w:rPr>
              <w:t xml:space="preserve"> </w:t>
            </w:r>
            <w:r w:rsidRPr="003E2FA2">
              <w:rPr>
                <w:rFonts w:ascii="Times New Roman" w:eastAsia="Times New Roman" w:hAnsi="Times New Roman" w:cs="Times New Roman"/>
                <w:i/>
              </w:rPr>
              <w:t>бенигне, малигне и неодређене</w:t>
            </w:r>
          </w:p>
          <w:p w14:paraId="42DB9FD8" w14:textId="77777777" w:rsidR="00053E50" w:rsidRPr="003E2FA2" w:rsidRDefault="00053E50" w:rsidP="003269F7">
            <w:pPr>
              <w:tabs>
                <w:tab w:val="left" w:pos="284"/>
              </w:tabs>
              <w:rPr>
                <w:rFonts w:ascii="Times New Roman" w:eastAsia="Times New Roman" w:hAnsi="Times New Roman" w:cs="Times New Roman"/>
                <w:i/>
              </w:rPr>
            </w:pPr>
            <w:r w:rsidRPr="003E2FA2">
              <w:rPr>
                <w:rFonts w:ascii="Times New Roman" w:eastAsia="Times New Roman" w:hAnsi="Times New Roman" w:cs="Times New Roman"/>
                <w:i/>
              </w:rPr>
              <w:t>(укључујући цисте и</w:t>
            </w:r>
          </w:p>
          <w:p w14:paraId="7E8FFDDA" w14:textId="77777777" w:rsidR="00053E50" w:rsidRPr="003E2FA2" w:rsidRDefault="00053E50" w:rsidP="003269F7">
            <w:pPr>
              <w:tabs>
                <w:tab w:val="left" w:pos="284"/>
              </w:tabs>
              <w:rPr>
                <w:rFonts w:ascii="Times New Roman" w:eastAsia="Times New Roman" w:hAnsi="Times New Roman" w:cs="Times New Roman"/>
                <w:i/>
              </w:rPr>
            </w:pPr>
            <w:r w:rsidRPr="003E2FA2">
              <w:rPr>
                <w:rFonts w:ascii="Times New Roman" w:eastAsia="Times New Roman" w:hAnsi="Times New Roman" w:cs="Times New Roman"/>
                <w:i/>
              </w:rPr>
              <w:t>полипе)</w:t>
            </w:r>
          </w:p>
        </w:tc>
        <w:tc>
          <w:tcPr>
            <w:tcW w:w="1701" w:type="dxa"/>
          </w:tcPr>
          <w:p w14:paraId="750A92F9" w14:textId="77777777" w:rsidR="00053E50" w:rsidRPr="003E2FA2" w:rsidRDefault="00053E50" w:rsidP="003269F7">
            <w:pPr>
              <w:tabs>
                <w:tab w:val="left" w:pos="284"/>
              </w:tabs>
              <w:rPr>
                <w:rFonts w:ascii="Times New Roman" w:eastAsia="Times New Roman" w:hAnsi="Times New Roman" w:cs="Times New Roman"/>
                <w:u w:val="single"/>
              </w:rPr>
            </w:pPr>
          </w:p>
        </w:tc>
        <w:tc>
          <w:tcPr>
            <w:tcW w:w="1701" w:type="dxa"/>
          </w:tcPr>
          <w:p w14:paraId="31B5412F" w14:textId="77777777" w:rsidR="00053E50" w:rsidRPr="003E2FA2" w:rsidRDefault="00053E50" w:rsidP="003269F7">
            <w:pPr>
              <w:tabs>
                <w:tab w:val="left" w:pos="284"/>
              </w:tabs>
              <w:rPr>
                <w:rFonts w:ascii="Times New Roman" w:eastAsia="Times New Roman" w:hAnsi="Times New Roman" w:cs="Times New Roman"/>
                <w:u w:val="single"/>
              </w:rPr>
            </w:pPr>
          </w:p>
        </w:tc>
        <w:tc>
          <w:tcPr>
            <w:tcW w:w="1843" w:type="dxa"/>
          </w:tcPr>
          <w:p w14:paraId="1192831E" w14:textId="77777777" w:rsidR="00053E50" w:rsidRPr="003E2FA2" w:rsidRDefault="00053E50" w:rsidP="003269F7">
            <w:pPr>
              <w:tabs>
                <w:tab w:val="left" w:pos="284"/>
              </w:tabs>
              <w:rPr>
                <w:rFonts w:ascii="Times New Roman" w:eastAsia="Times New Roman" w:hAnsi="Times New Roman" w:cs="Times New Roman"/>
                <w:u w:val="single"/>
              </w:rPr>
            </w:pPr>
            <w:r w:rsidRPr="003E2FA2">
              <w:rPr>
                <w:rFonts w:ascii="Times New Roman" w:eastAsia="Times New Roman" w:hAnsi="Times New Roman" w:cs="Times New Roman"/>
              </w:rPr>
              <w:t>Крварења тумора</w:t>
            </w:r>
            <w:r w:rsidRPr="003E2FA2">
              <w:rPr>
                <w:rFonts w:ascii="Times New Roman" w:eastAsia="Times New Roman" w:hAnsi="Times New Roman" w:cs="Times New Roman"/>
                <w:vertAlign w:val="superscript"/>
              </w:rPr>
              <w:t>a</w:t>
            </w:r>
          </w:p>
        </w:tc>
        <w:tc>
          <w:tcPr>
            <w:tcW w:w="1693" w:type="dxa"/>
          </w:tcPr>
          <w:p w14:paraId="3CBCBD9C" w14:textId="77777777" w:rsidR="00053E50" w:rsidRPr="003E2FA2" w:rsidRDefault="00053E50" w:rsidP="003269F7">
            <w:pPr>
              <w:tabs>
                <w:tab w:val="left" w:pos="284"/>
              </w:tabs>
              <w:rPr>
                <w:rFonts w:ascii="Times New Roman" w:eastAsia="Times New Roman" w:hAnsi="Times New Roman" w:cs="Times New Roman"/>
                <w:u w:val="single"/>
              </w:rPr>
            </w:pPr>
          </w:p>
        </w:tc>
      </w:tr>
      <w:tr w:rsidR="00053E50" w:rsidRPr="003E2FA2" w14:paraId="7B83F901" w14:textId="77777777" w:rsidTr="0037233F">
        <w:tc>
          <w:tcPr>
            <w:tcW w:w="2405" w:type="dxa"/>
          </w:tcPr>
          <w:p w14:paraId="642B986A" w14:textId="77777777" w:rsidR="00053E50" w:rsidRPr="003E2FA2" w:rsidRDefault="00053E50" w:rsidP="003269F7">
            <w:pPr>
              <w:tabs>
                <w:tab w:val="left" w:pos="284"/>
              </w:tabs>
              <w:rPr>
                <w:rFonts w:ascii="Times New Roman" w:eastAsia="Times New Roman" w:hAnsi="Times New Roman" w:cs="Times New Roman"/>
                <w:i/>
              </w:rPr>
            </w:pPr>
            <w:r w:rsidRPr="003E2FA2">
              <w:rPr>
                <w:rFonts w:ascii="Times New Roman" w:eastAsia="Times New Roman" w:hAnsi="Times New Roman" w:cs="Times New Roman"/>
                <w:i/>
              </w:rPr>
              <w:t>Поремећаји крви и лимфног система</w:t>
            </w:r>
          </w:p>
        </w:tc>
        <w:tc>
          <w:tcPr>
            <w:tcW w:w="1701" w:type="dxa"/>
          </w:tcPr>
          <w:p w14:paraId="7782FAA3"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Крварења повезана са поремећајима крви</w:t>
            </w:r>
            <w:r w:rsidRPr="003E2FA2">
              <w:rPr>
                <w:rFonts w:ascii="Times New Roman" w:eastAsia="Times New Roman" w:hAnsi="Times New Roman" w:cs="Times New Roman"/>
                <w:vertAlign w:val="superscript"/>
              </w:rPr>
              <w:t>б</w:t>
            </w:r>
          </w:p>
        </w:tc>
        <w:tc>
          <w:tcPr>
            <w:tcW w:w="1701" w:type="dxa"/>
          </w:tcPr>
          <w:p w14:paraId="76D64123" w14:textId="77777777" w:rsidR="00053E50" w:rsidRPr="003E2FA2" w:rsidRDefault="00053E50" w:rsidP="003269F7">
            <w:pPr>
              <w:tabs>
                <w:tab w:val="left" w:pos="284"/>
              </w:tabs>
              <w:rPr>
                <w:rFonts w:ascii="Times New Roman" w:eastAsia="Times New Roman" w:hAnsi="Times New Roman" w:cs="Times New Roman"/>
                <w:u w:val="single"/>
              </w:rPr>
            </w:pPr>
          </w:p>
        </w:tc>
        <w:tc>
          <w:tcPr>
            <w:tcW w:w="1843" w:type="dxa"/>
          </w:tcPr>
          <w:p w14:paraId="148DDAB9" w14:textId="77777777" w:rsidR="00053E50" w:rsidRPr="003E2FA2" w:rsidRDefault="00053E50" w:rsidP="003269F7">
            <w:pPr>
              <w:tabs>
                <w:tab w:val="left" w:pos="284"/>
              </w:tabs>
              <w:rPr>
                <w:rFonts w:ascii="Times New Roman" w:eastAsia="Times New Roman" w:hAnsi="Times New Roman" w:cs="Times New Roman"/>
                <w:u w:val="single"/>
              </w:rPr>
            </w:pPr>
          </w:p>
        </w:tc>
        <w:tc>
          <w:tcPr>
            <w:tcW w:w="1693" w:type="dxa"/>
          </w:tcPr>
          <w:p w14:paraId="210C9A30"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Тромботичка тромбоцитопе-нијска пурпура</w:t>
            </w:r>
            <w:r w:rsidRPr="003E2FA2">
              <w:rPr>
                <w:rFonts w:ascii="Times New Roman" w:eastAsia="Times New Roman" w:hAnsi="Times New Roman" w:cs="Times New Roman"/>
                <w:vertAlign w:val="superscript"/>
              </w:rPr>
              <w:t>ц</w:t>
            </w:r>
          </w:p>
        </w:tc>
      </w:tr>
      <w:tr w:rsidR="00053E50" w:rsidRPr="003E2FA2" w14:paraId="426582E5" w14:textId="77777777" w:rsidTr="0037233F">
        <w:tc>
          <w:tcPr>
            <w:tcW w:w="2405" w:type="dxa"/>
          </w:tcPr>
          <w:p w14:paraId="10F485D7" w14:textId="77777777" w:rsidR="00053E50" w:rsidRPr="003E2FA2" w:rsidRDefault="00053E50" w:rsidP="003269F7">
            <w:pPr>
              <w:tabs>
                <w:tab w:val="left" w:pos="284"/>
              </w:tabs>
              <w:rPr>
                <w:rFonts w:ascii="Times New Roman" w:eastAsia="Times New Roman" w:hAnsi="Times New Roman" w:cs="Times New Roman"/>
                <w:u w:val="single"/>
              </w:rPr>
            </w:pPr>
            <w:r w:rsidRPr="003E2FA2">
              <w:rPr>
                <w:rFonts w:ascii="Times New Roman" w:eastAsia="Times New Roman" w:hAnsi="Times New Roman" w:cs="Times New Roman"/>
                <w:i/>
              </w:rPr>
              <w:t>Поремећаји имуног система</w:t>
            </w:r>
          </w:p>
        </w:tc>
        <w:tc>
          <w:tcPr>
            <w:tcW w:w="1701" w:type="dxa"/>
          </w:tcPr>
          <w:p w14:paraId="0FBF40EE" w14:textId="77777777" w:rsidR="00053E50" w:rsidRPr="003E2FA2" w:rsidRDefault="00053E50" w:rsidP="003269F7">
            <w:pPr>
              <w:tabs>
                <w:tab w:val="left" w:pos="284"/>
              </w:tabs>
              <w:rPr>
                <w:rFonts w:ascii="Times New Roman" w:eastAsia="Times New Roman" w:hAnsi="Times New Roman" w:cs="Times New Roman"/>
                <w:u w:val="single"/>
              </w:rPr>
            </w:pPr>
          </w:p>
        </w:tc>
        <w:tc>
          <w:tcPr>
            <w:tcW w:w="1701" w:type="dxa"/>
          </w:tcPr>
          <w:p w14:paraId="372AAA4D" w14:textId="77777777" w:rsidR="00053E50" w:rsidRPr="003E2FA2" w:rsidRDefault="00053E50" w:rsidP="003269F7">
            <w:pPr>
              <w:tabs>
                <w:tab w:val="left" w:pos="284"/>
              </w:tabs>
              <w:rPr>
                <w:rFonts w:ascii="Times New Roman" w:eastAsia="Times New Roman" w:hAnsi="Times New Roman" w:cs="Times New Roman"/>
                <w:u w:val="single"/>
              </w:rPr>
            </w:pPr>
          </w:p>
        </w:tc>
        <w:tc>
          <w:tcPr>
            <w:tcW w:w="1843" w:type="dxa"/>
          </w:tcPr>
          <w:p w14:paraId="7AD41C84" w14:textId="77777777" w:rsidR="00053E50" w:rsidRPr="003E2FA2" w:rsidRDefault="00053E50" w:rsidP="003269F7">
            <w:pPr>
              <w:tabs>
                <w:tab w:val="left" w:pos="284"/>
              </w:tabs>
              <w:rPr>
                <w:rFonts w:ascii="Times New Roman" w:eastAsia="Times New Roman" w:hAnsi="Times New Roman" w:cs="Times New Roman"/>
                <w:u w:val="single"/>
              </w:rPr>
            </w:pPr>
            <w:r w:rsidRPr="003E2FA2">
              <w:rPr>
                <w:rFonts w:ascii="Times New Roman" w:eastAsia="Times New Roman" w:hAnsi="Times New Roman" w:cs="Times New Roman"/>
              </w:rPr>
              <w:t>Преосјетљивост укључујући ангиоедем</w:t>
            </w:r>
            <w:r w:rsidRPr="003E2FA2">
              <w:rPr>
                <w:rFonts w:ascii="Times New Roman" w:eastAsia="Times New Roman" w:hAnsi="Times New Roman" w:cs="Times New Roman"/>
                <w:vertAlign w:val="superscript"/>
              </w:rPr>
              <w:t>ц</w:t>
            </w:r>
          </w:p>
        </w:tc>
        <w:tc>
          <w:tcPr>
            <w:tcW w:w="1693" w:type="dxa"/>
          </w:tcPr>
          <w:p w14:paraId="3656FE46" w14:textId="77777777" w:rsidR="00053E50" w:rsidRPr="003E2FA2" w:rsidRDefault="00053E50" w:rsidP="003269F7">
            <w:pPr>
              <w:tabs>
                <w:tab w:val="left" w:pos="284"/>
              </w:tabs>
              <w:rPr>
                <w:rFonts w:ascii="Times New Roman" w:eastAsia="Times New Roman" w:hAnsi="Times New Roman" w:cs="Times New Roman"/>
              </w:rPr>
            </w:pPr>
          </w:p>
        </w:tc>
      </w:tr>
      <w:tr w:rsidR="00053E50" w:rsidRPr="003E2FA2" w14:paraId="2BD83D9E" w14:textId="77777777" w:rsidTr="0037233F">
        <w:tc>
          <w:tcPr>
            <w:tcW w:w="2405" w:type="dxa"/>
          </w:tcPr>
          <w:p w14:paraId="4B5B5F43" w14:textId="77777777" w:rsidR="00053E50" w:rsidRPr="003E2FA2" w:rsidRDefault="00053E50" w:rsidP="003269F7">
            <w:pPr>
              <w:tabs>
                <w:tab w:val="left" w:pos="284"/>
              </w:tabs>
              <w:rPr>
                <w:rFonts w:ascii="Times New Roman" w:eastAsia="Times New Roman" w:hAnsi="Times New Roman" w:cs="Times New Roman"/>
                <w:i/>
              </w:rPr>
            </w:pPr>
            <w:r w:rsidRPr="003E2FA2">
              <w:rPr>
                <w:rFonts w:ascii="Times New Roman" w:eastAsia="Times New Roman" w:hAnsi="Times New Roman" w:cs="Times New Roman"/>
                <w:i/>
              </w:rPr>
              <w:t>Поремећаји метаболизма и исхране</w:t>
            </w:r>
          </w:p>
        </w:tc>
        <w:tc>
          <w:tcPr>
            <w:tcW w:w="1701" w:type="dxa"/>
          </w:tcPr>
          <w:p w14:paraId="0B625F8A"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Хиперурикеми-ја</w:t>
            </w:r>
            <w:r w:rsidRPr="003E2FA2">
              <w:rPr>
                <w:rFonts w:ascii="Times New Roman" w:eastAsia="Times New Roman" w:hAnsi="Times New Roman" w:cs="Times New Roman"/>
                <w:vertAlign w:val="superscript"/>
              </w:rPr>
              <w:t>д</w:t>
            </w:r>
          </w:p>
        </w:tc>
        <w:tc>
          <w:tcPr>
            <w:tcW w:w="1701" w:type="dxa"/>
          </w:tcPr>
          <w:p w14:paraId="57F7EE93"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Гихт/Урични артритис</w:t>
            </w:r>
          </w:p>
        </w:tc>
        <w:tc>
          <w:tcPr>
            <w:tcW w:w="1843" w:type="dxa"/>
          </w:tcPr>
          <w:p w14:paraId="5D885524" w14:textId="77777777" w:rsidR="00053E50" w:rsidRPr="003E2FA2" w:rsidRDefault="00053E50" w:rsidP="003269F7">
            <w:pPr>
              <w:tabs>
                <w:tab w:val="left" w:pos="284"/>
              </w:tabs>
              <w:rPr>
                <w:rFonts w:ascii="Times New Roman" w:eastAsia="Times New Roman" w:hAnsi="Times New Roman" w:cs="Times New Roman"/>
                <w:u w:val="single"/>
              </w:rPr>
            </w:pPr>
          </w:p>
        </w:tc>
        <w:tc>
          <w:tcPr>
            <w:tcW w:w="1693" w:type="dxa"/>
          </w:tcPr>
          <w:p w14:paraId="52373AD1" w14:textId="77777777" w:rsidR="00053E50" w:rsidRPr="003E2FA2" w:rsidRDefault="00053E50" w:rsidP="003269F7">
            <w:pPr>
              <w:tabs>
                <w:tab w:val="left" w:pos="284"/>
              </w:tabs>
              <w:rPr>
                <w:rFonts w:ascii="Times New Roman" w:eastAsia="Times New Roman" w:hAnsi="Times New Roman" w:cs="Times New Roman"/>
                <w:u w:val="single"/>
              </w:rPr>
            </w:pPr>
          </w:p>
        </w:tc>
      </w:tr>
      <w:tr w:rsidR="00053E50" w:rsidRPr="003E2FA2" w14:paraId="5357A3DC" w14:textId="77777777" w:rsidTr="0037233F">
        <w:tc>
          <w:tcPr>
            <w:tcW w:w="2405" w:type="dxa"/>
          </w:tcPr>
          <w:p w14:paraId="21C09A23" w14:textId="77777777" w:rsidR="00053E50" w:rsidRPr="003E2FA2" w:rsidRDefault="00053E50" w:rsidP="003269F7">
            <w:pPr>
              <w:tabs>
                <w:tab w:val="left" w:pos="284"/>
              </w:tabs>
              <w:rPr>
                <w:rFonts w:ascii="Times New Roman" w:eastAsia="Times New Roman" w:hAnsi="Times New Roman" w:cs="Times New Roman"/>
                <w:i/>
              </w:rPr>
            </w:pPr>
            <w:r w:rsidRPr="003E2FA2">
              <w:rPr>
                <w:rFonts w:ascii="Times New Roman" w:eastAsia="Times New Roman" w:hAnsi="Times New Roman" w:cs="Times New Roman"/>
                <w:i/>
              </w:rPr>
              <w:t>Психијатријски поремећаји</w:t>
            </w:r>
          </w:p>
        </w:tc>
        <w:tc>
          <w:tcPr>
            <w:tcW w:w="1701" w:type="dxa"/>
          </w:tcPr>
          <w:p w14:paraId="74E5EBFB" w14:textId="77777777" w:rsidR="00053E50" w:rsidRPr="003E2FA2" w:rsidRDefault="00053E50" w:rsidP="003269F7">
            <w:pPr>
              <w:tabs>
                <w:tab w:val="left" w:pos="284"/>
              </w:tabs>
              <w:rPr>
                <w:rFonts w:ascii="Times New Roman" w:eastAsia="Times New Roman" w:hAnsi="Times New Roman" w:cs="Times New Roman"/>
                <w:u w:val="single"/>
              </w:rPr>
            </w:pPr>
          </w:p>
        </w:tc>
        <w:tc>
          <w:tcPr>
            <w:tcW w:w="1701" w:type="dxa"/>
          </w:tcPr>
          <w:p w14:paraId="339AF006" w14:textId="77777777" w:rsidR="00053E50" w:rsidRPr="003E2FA2" w:rsidRDefault="00053E50" w:rsidP="003269F7">
            <w:pPr>
              <w:tabs>
                <w:tab w:val="left" w:pos="284"/>
              </w:tabs>
              <w:rPr>
                <w:rFonts w:ascii="Times New Roman" w:eastAsia="Times New Roman" w:hAnsi="Times New Roman" w:cs="Times New Roman"/>
                <w:u w:val="single"/>
              </w:rPr>
            </w:pPr>
          </w:p>
        </w:tc>
        <w:tc>
          <w:tcPr>
            <w:tcW w:w="1843" w:type="dxa"/>
          </w:tcPr>
          <w:p w14:paraId="59F6E920"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Конфузија</w:t>
            </w:r>
          </w:p>
        </w:tc>
        <w:tc>
          <w:tcPr>
            <w:tcW w:w="1693" w:type="dxa"/>
          </w:tcPr>
          <w:p w14:paraId="705A4D62" w14:textId="77777777" w:rsidR="00053E50" w:rsidRPr="003E2FA2" w:rsidRDefault="00053E50" w:rsidP="003269F7">
            <w:pPr>
              <w:tabs>
                <w:tab w:val="left" w:pos="284"/>
              </w:tabs>
              <w:rPr>
                <w:rFonts w:ascii="Times New Roman" w:eastAsia="Times New Roman" w:hAnsi="Times New Roman" w:cs="Times New Roman"/>
                <w:u w:val="single"/>
              </w:rPr>
            </w:pPr>
          </w:p>
        </w:tc>
      </w:tr>
      <w:tr w:rsidR="00053E50" w:rsidRPr="003E2FA2" w14:paraId="4342C389" w14:textId="77777777" w:rsidTr="0037233F">
        <w:tc>
          <w:tcPr>
            <w:tcW w:w="2405" w:type="dxa"/>
          </w:tcPr>
          <w:p w14:paraId="6436011E" w14:textId="77777777" w:rsidR="00053E50" w:rsidRPr="003E2FA2" w:rsidRDefault="00053E50" w:rsidP="003269F7">
            <w:pPr>
              <w:tabs>
                <w:tab w:val="left" w:pos="284"/>
              </w:tabs>
              <w:rPr>
                <w:rFonts w:ascii="Times New Roman" w:eastAsia="Times New Roman" w:hAnsi="Times New Roman" w:cs="Times New Roman"/>
                <w:u w:val="single"/>
              </w:rPr>
            </w:pPr>
            <w:r w:rsidRPr="003E2FA2">
              <w:rPr>
                <w:rFonts w:ascii="Times New Roman" w:eastAsia="Times New Roman" w:hAnsi="Times New Roman" w:cs="Times New Roman"/>
                <w:i/>
              </w:rPr>
              <w:t>Поремећаји нервног система</w:t>
            </w:r>
          </w:p>
        </w:tc>
        <w:tc>
          <w:tcPr>
            <w:tcW w:w="1701" w:type="dxa"/>
          </w:tcPr>
          <w:p w14:paraId="06D5BFB5" w14:textId="77777777" w:rsidR="00053E50" w:rsidRPr="003E2FA2" w:rsidRDefault="00053E50" w:rsidP="003269F7">
            <w:pPr>
              <w:tabs>
                <w:tab w:val="left" w:pos="284"/>
              </w:tabs>
              <w:rPr>
                <w:rFonts w:ascii="Times New Roman" w:eastAsia="Times New Roman" w:hAnsi="Times New Roman" w:cs="Times New Roman"/>
                <w:u w:val="single"/>
              </w:rPr>
            </w:pPr>
          </w:p>
        </w:tc>
        <w:tc>
          <w:tcPr>
            <w:tcW w:w="1701" w:type="dxa"/>
          </w:tcPr>
          <w:p w14:paraId="51283422"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Вртоглавица, синкопа, главобоља</w:t>
            </w:r>
          </w:p>
        </w:tc>
        <w:tc>
          <w:tcPr>
            <w:tcW w:w="1843" w:type="dxa"/>
          </w:tcPr>
          <w:p w14:paraId="0E64CABB"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Интракранија-</w:t>
            </w:r>
          </w:p>
          <w:p w14:paraId="4BC21B42"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лно крварење</w:t>
            </w:r>
            <w:r w:rsidRPr="003E2FA2">
              <w:rPr>
                <w:rFonts w:ascii="Times New Roman" w:eastAsia="Times New Roman" w:hAnsi="Times New Roman" w:cs="Times New Roman"/>
                <w:vertAlign w:val="superscript"/>
              </w:rPr>
              <w:t>м</w:t>
            </w:r>
          </w:p>
        </w:tc>
        <w:tc>
          <w:tcPr>
            <w:tcW w:w="1693" w:type="dxa"/>
          </w:tcPr>
          <w:p w14:paraId="709C9D13" w14:textId="77777777" w:rsidR="00053E50" w:rsidRPr="003E2FA2" w:rsidRDefault="00053E50" w:rsidP="003269F7">
            <w:pPr>
              <w:tabs>
                <w:tab w:val="left" w:pos="284"/>
              </w:tabs>
              <w:rPr>
                <w:rFonts w:ascii="Times New Roman" w:eastAsia="Times New Roman" w:hAnsi="Times New Roman" w:cs="Times New Roman"/>
                <w:u w:val="single"/>
              </w:rPr>
            </w:pPr>
          </w:p>
        </w:tc>
      </w:tr>
      <w:tr w:rsidR="00053E50" w:rsidRPr="003E2FA2" w14:paraId="254B1B12" w14:textId="77777777" w:rsidTr="0037233F">
        <w:trPr>
          <w:trHeight w:val="77"/>
        </w:trPr>
        <w:tc>
          <w:tcPr>
            <w:tcW w:w="2405" w:type="dxa"/>
          </w:tcPr>
          <w:p w14:paraId="73542C51" w14:textId="77777777" w:rsidR="00053E50" w:rsidRPr="003E2FA2" w:rsidRDefault="00053E50" w:rsidP="003269F7">
            <w:pPr>
              <w:tabs>
                <w:tab w:val="left" w:pos="284"/>
              </w:tabs>
              <w:rPr>
                <w:rFonts w:ascii="Times New Roman" w:eastAsia="Times New Roman" w:hAnsi="Times New Roman" w:cs="Times New Roman"/>
                <w:i/>
              </w:rPr>
            </w:pPr>
            <w:r w:rsidRPr="003E2FA2">
              <w:rPr>
                <w:rFonts w:ascii="Times New Roman" w:eastAsia="Times New Roman" w:hAnsi="Times New Roman" w:cs="Times New Roman"/>
                <w:i/>
              </w:rPr>
              <w:t>Поремећаји ока</w:t>
            </w:r>
          </w:p>
        </w:tc>
        <w:tc>
          <w:tcPr>
            <w:tcW w:w="1701" w:type="dxa"/>
          </w:tcPr>
          <w:p w14:paraId="7F351F8D" w14:textId="77777777" w:rsidR="00053E50" w:rsidRPr="003E2FA2" w:rsidRDefault="00053E50" w:rsidP="003269F7">
            <w:pPr>
              <w:tabs>
                <w:tab w:val="left" w:pos="284"/>
              </w:tabs>
              <w:rPr>
                <w:rFonts w:ascii="Times New Roman" w:eastAsia="Times New Roman" w:hAnsi="Times New Roman" w:cs="Times New Roman"/>
                <w:u w:val="single"/>
              </w:rPr>
            </w:pPr>
          </w:p>
        </w:tc>
        <w:tc>
          <w:tcPr>
            <w:tcW w:w="1701" w:type="dxa"/>
          </w:tcPr>
          <w:p w14:paraId="34085571" w14:textId="77777777" w:rsidR="00053E50" w:rsidRPr="003E2FA2" w:rsidRDefault="00053E50" w:rsidP="003269F7">
            <w:pPr>
              <w:tabs>
                <w:tab w:val="left" w:pos="284"/>
              </w:tabs>
              <w:rPr>
                <w:rFonts w:ascii="Times New Roman" w:eastAsia="Times New Roman" w:hAnsi="Times New Roman" w:cs="Times New Roman"/>
                <w:u w:val="single"/>
              </w:rPr>
            </w:pPr>
          </w:p>
        </w:tc>
        <w:tc>
          <w:tcPr>
            <w:tcW w:w="1843" w:type="dxa"/>
          </w:tcPr>
          <w:p w14:paraId="3EC29536" w14:textId="77777777" w:rsidR="00053E50" w:rsidRPr="003E2FA2" w:rsidRDefault="00053E50" w:rsidP="003269F7">
            <w:pPr>
              <w:tabs>
                <w:tab w:val="left" w:pos="284"/>
              </w:tabs>
              <w:rPr>
                <w:rFonts w:ascii="Times New Roman" w:eastAsia="Times New Roman" w:hAnsi="Times New Roman" w:cs="Times New Roman"/>
                <w:u w:val="single"/>
              </w:rPr>
            </w:pPr>
            <w:r w:rsidRPr="003E2FA2">
              <w:rPr>
                <w:rFonts w:ascii="Times New Roman" w:eastAsia="Times New Roman" w:hAnsi="Times New Roman" w:cs="Times New Roman"/>
              </w:rPr>
              <w:t>Крварење ока</w:t>
            </w:r>
            <w:r w:rsidRPr="003E2FA2">
              <w:rPr>
                <w:rFonts w:ascii="Times New Roman" w:eastAsia="Times New Roman" w:hAnsi="Times New Roman" w:cs="Times New Roman"/>
                <w:vertAlign w:val="superscript"/>
              </w:rPr>
              <w:t>e</w:t>
            </w:r>
          </w:p>
        </w:tc>
        <w:tc>
          <w:tcPr>
            <w:tcW w:w="1693" w:type="dxa"/>
          </w:tcPr>
          <w:p w14:paraId="49E30532" w14:textId="77777777" w:rsidR="00053E50" w:rsidRPr="003E2FA2" w:rsidRDefault="00053E50" w:rsidP="003269F7">
            <w:pPr>
              <w:tabs>
                <w:tab w:val="left" w:pos="284"/>
              </w:tabs>
              <w:rPr>
                <w:rFonts w:ascii="Times New Roman" w:eastAsia="Times New Roman" w:hAnsi="Times New Roman" w:cs="Times New Roman"/>
                <w:u w:val="single"/>
              </w:rPr>
            </w:pPr>
          </w:p>
        </w:tc>
      </w:tr>
      <w:tr w:rsidR="00053E50" w:rsidRPr="003E2FA2" w14:paraId="0DEC3C9E" w14:textId="77777777" w:rsidTr="0037233F">
        <w:trPr>
          <w:trHeight w:val="77"/>
        </w:trPr>
        <w:tc>
          <w:tcPr>
            <w:tcW w:w="2405" w:type="dxa"/>
          </w:tcPr>
          <w:p w14:paraId="4D5A3517"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i/>
              </w:rPr>
              <w:lastRenderedPageBreak/>
              <w:t>Поремећаји уха и лабиринта</w:t>
            </w:r>
          </w:p>
        </w:tc>
        <w:tc>
          <w:tcPr>
            <w:tcW w:w="1701" w:type="dxa"/>
          </w:tcPr>
          <w:p w14:paraId="18B38C00" w14:textId="77777777" w:rsidR="00053E50" w:rsidRPr="003E2FA2" w:rsidRDefault="00053E50" w:rsidP="003269F7">
            <w:pPr>
              <w:tabs>
                <w:tab w:val="left" w:pos="284"/>
              </w:tabs>
              <w:rPr>
                <w:rFonts w:ascii="Times New Roman" w:eastAsia="Times New Roman" w:hAnsi="Times New Roman" w:cs="Times New Roman"/>
              </w:rPr>
            </w:pPr>
          </w:p>
        </w:tc>
        <w:tc>
          <w:tcPr>
            <w:tcW w:w="1701" w:type="dxa"/>
          </w:tcPr>
          <w:p w14:paraId="3B0E8AE8"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Вртоглавица</w:t>
            </w:r>
          </w:p>
        </w:tc>
        <w:tc>
          <w:tcPr>
            <w:tcW w:w="1843" w:type="dxa"/>
          </w:tcPr>
          <w:p w14:paraId="37F3B4E2"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Крварење из уха</w:t>
            </w:r>
          </w:p>
        </w:tc>
        <w:tc>
          <w:tcPr>
            <w:tcW w:w="1693" w:type="dxa"/>
          </w:tcPr>
          <w:p w14:paraId="1B6F0A56" w14:textId="77777777" w:rsidR="00053E50" w:rsidRPr="003E2FA2" w:rsidRDefault="00053E50" w:rsidP="003269F7">
            <w:pPr>
              <w:tabs>
                <w:tab w:val="left" w:pos="284"/>
              </w:tabs>
              <w:rPr>
                <w:rFonts w:ascii="Times New Roman" w:eastAsia="Times New Roman" w:hAnsi="Times New Roman" w:cs="Times New Roman"/>
              </w:rPr>
            </w:pPr>
          </w:p>
        </w:tc>
      </w:tr>
      <w:tr w:rsidR="00053E50" w:rsidRPr="003E2FA2" w14:paraId="0DC91A40" w14:textId="77777777" w:rsidTr="0037233F">
        <w:trPr>
          <w:trHeight w:val="77"/>
        </w:trPr>
        <w:tc>
          <w:tcPr>
            <w:tcW w:w="2405" w:type="dxa"/>
          </w:tcPr>
          <w:p w14:paraId="3ADE35CB" w14:textId="77777777" w:rsidR="00053E50" w:rsidRPr="003E2FA2" w:rsidRDefault="00053E50" w:rsidP="003269F7">
            <w:pPr>
              <w:tabs>
                <w:tab w:val="left" w:pos="284"/>
              </w:tabs>
              <w:rPr>
                <w:rFonts w:ascii="Times New Roman" w:eastAsia="Times New Roman" w:hAnsi="Times New Roman" w:cs="Times New Roman"/>
                <w:i/>
              </w:rPr>
            </w:pPr>
            <w:r w:rsidRPr="003E2FA2">
              <w:rPr>
                <w:rFonts w:ascii="Times New Roman" w:eastAsia="Times New Roman" w:hAnsi="Times New Roman" w:cs="Times New Roman"/>
                <w:i/>
              </w:rPr>
              <w:t>Кардиолошки поремећаји</w:t>
            </w:r>
          </w:p>
        </w:tc>
        <w:tc>
          <w:tcPr>
            <w:tcW w:w="1701" w:type="dxa"/>
          </w:tcPr>
          <w:p w14:paraId="79C26FA7" w14:textId="77777777" w:rsidR="00053E50" w:rsidRPr="003E2FA2" w:rsidRDefault="00053E50" w:rsidP="003269F7">
            <w:pPr>
              <w:tabs>
                <w:tab w:val="left" w:pos="284"/>
              </w:tabs>
              <w:rPr>
                <w:rFonts w:ascii="Times New Roman" w:eastAsia="Times New Roman" w:hAnsi="Times New Roman" w:cs="Times New Roman"/>
              </w:rPr>
            </w:pPr>
          </w:p>
        </w:tc>
        <w:tc>
          <w:tcPr>
            <w:tcW w:w="1701" w:type="dxa"/>
          </w:tcPr>
          <w:p w14:paraId="334261BD" w14:textId="77777777" w:rsidR="00053E50" w:rsidRPr="003E2FA2" w:rsidRDefault="00053E50" w:rsidP="003269F7">
            <w:pPr>
              <w:tabs>
                <w:tab w:val="left" w:pos="284"/>
              </w:tabs>
              <w:rPr>
                <w:rFonts w:ascii="Times New Roman" w:eastAsia="Times New Roman" w:hAnsi="Times New Roman" w:cs="Times New Roman"/>
              </w:rPr>
            </w:pPr>
          </w:p>
        </w:tc>
        <w:tc>
          <w:tcPr>
            <w:tcW w:w="1843" w:type="dxa"/>
          </w:tcPr>
          <w:p w14:paraId="14AC641B" w14:textId="77777777" w:rsidR="00053E50" w:rsidRPr="003E2FA2" w:rsidRDefault="00053E50" w:rsidP="003269F7">
            <w:pPr>
              <w:tabs>
                <w:tab w:val="left" w:pos="284"/>
              </w:tabs>
              <w:rPr>
                <w:rFonts w:ascii="Times New Roman" w:eastAsia="Times New Roman" w:hAnsi="Times New Roman" w:cs="Times New Roman"/>
              </w:rPr>
            </w:pPr>
          </w:p>
        </w:tc>
        <w:tc>
          <w:tcPr>
            <w:tcW w:w="1693" w:type="dxa"/>
          </w:tcPr>
          <w:p w14:paraId="34892E7C" w14:textId="41F23D8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Брадиаритмија, A</w:t>
            </w:r>
            <w:r w:rsidR="006640D0" w:rsidRPr="003E2FA2">
              <w:rPr>
                <w:rFonts w:ascii="Times New Roman" w:eastAsia="Times New Roman" w:hAnsi="Times New Roman" w:cs="Times New Roman"/>
              </w:rPr>
              <w:t>В</w:t>
            </w:r>
            <w:r w:rsidRPr="003E2FA2">
              <w:rPr>
                <w:rFonts w:ascii="Times New Roman" w:eastAsia="Times New Roman" w:hAnsi="Times New Roman" w:cs="Times New Roman"/>
              </w:rPr>
              <w:t xml:space="preserve"> блок</w:t>
            </w:r>
            <w:r w:rsidRPr="003E2FA2">
              <w:rPr>
                <w:rFonts w:ascii="Times New Roman" w:eastAsia="Times New Roman" w:hAnsi="Times New Roman" w:cs="Times New Roman"/>
                <w:vertAlign w:val="superscript"/>
              </w:rPr>
              <w:t>ц</w:t>
            </w:r>
          </w:p>
        </w:tc>
      </w:tr>
      <w:tr w:rsidR="00053E50" w:rsidRPr="003E2FA2" w14:paraId="2C721685" w14:textId="77777777" w:rsidTr="0037233F">
        <w:trPr>
          <w:trHeight w:val="77"/>
        </w:trPr>
        <w:tc>
          <w:tcPr>
            <w:tcW w:w="2405" w:type="dxa"/>
          </w:tcPr>
          <w:p w14:paraId="7700BC7F" w14:textId="77777777" w:rsidR="00053E50" w:rsidRPr="003E2FA2" w:rsidRDefault="00053E50" w:rsidP="003269F7">
            <w:pPr>
              <w:tabs>
                <w:tab w:val="left" w:pos="284"/>
              </w:tabs>
              <w:rPr>
                <w:rFonts w:ascii="Times New Roman" w:eastAsia="Times New Roman" w:hAnsi="Times New Roman" w:cs="Times New Roman"/>
                <w:i/>
              </w:rPr>
            </w:pPr>
            <w:r w:rsidRPr="003E2FA2">
              <w:rPr>
                <w:rFonts w:ascii="Times New Roman" w:eastAsia="Times New Roman" w:hAnsi="Times New Roman" w:cs="Times New Roman"/>
                <w:i/>
              </w:rPr>
              <w:t>Васкуларни поремећаји</w:t>
            </w:r>
          </w:p>
        </w:tc>
        <w:tc>
          <w:tcPr>
            <w:tcW w:w="1701" w:type="dxa"/>
          </w:tcPr>
          <w:p w14:paraId="724C5DA1" w14:textId="77777777" w:rsidR="00053E50" w:rsidRPr="003E2FA2" w:rsidRDefault="00053E50" w:rsidP="003269F7">
            <w:pPr>
              <w:tabs>
                <w:tab w:val="left" w:pos="284"/>
              </w:tabs>
              <w:rPr>
                <w:rFonts w:ascii="Times New Roman" w:eastAsia="Times New Roman" w:hAnsi="Times New Roman" w:cs="Times New Roman"/>
              </w:rPr>
            </w:pPr>
          </w:p>
        </w:tc>
        <w:tc>
          <w:tcPr>
            <w:tcW w:w="1701" w:type="dxa"/>
          </w:tcPr>
          <w:p w14:paraId="76B0CF50"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Хипотензија</w:t>
            </w:r>
          </w:p>
        </w:tc>
        <w:tc>
          <w:tcPr>
            <w:tcW w:w="1843" w:type="dxa"/>
          </w:tcPr>
          <w:p w14:paraId="780E2A91" w14:textId="77777777" w:rsidR="00053E50" w:rsidRPr="003E2FA2" w:rsidRDefault="00053E50" w:rsidP="003269F7">
            <w:pPr>
              <w:tabs>
                <w:tab w:val="left" w:pos="284"/>
              </w:tabs>
              <w:rPr>
                <w:rFonts w:ascii="Times New Roman" w:eastAsia="Times New Roman" w:hAnsi="Times New Roman" w:cs="Times New Roman"/>
              </w:rPr>
            </w:pPr>
          </w:p>
        </w:tc>
        <w:tc>
          <w:tcPr>
            <w:tcW w:w="1693" w:type="dxa"/>
          </w:tcPr>
          <w:p w14:paraId="5283FC47" w14:textId="77777777" w:rsidR="00053E50" w:rsidRPr="003E2FA2" w:rsidRDefault="00053E50" w:rsidP="003269F7">
            <w:pPr>
              <w:tabs>
                <w:tab w:val="left" w:pos="284"/>
              </w:tabs>
              <w:rPr>
                <w:rFonts w:ascii="Times New Roman" w:eastAsia="Times New Roman" w:hAnsi="Times New Roman" w:cs="Times New Roman"/>
              </w:rPr>
            </w:pPr>
          </w:p>
        </w:tc>
      </w:tr>
      <w:tr w:rsidR="00053E50" w:rsidRPr="003E2FA2" w14:paraId="75E4B3C8" w14:textId="77777777" w:rsidTr="0037233F">
        <w:trPr>
          <w:trHeight w:val="77"/>
        </w:trPr>
        <w:tc>
          <w:tcPr>
            <w:tcW w:w="2405" w:type="dxa"/>
          </w:tcPr>
          <w:p w14:paraId="2FD6C748" w14:textId="77777777" w:rsidR="00053E50" w:rsidRPr="003E2FA2" w:rsidRDefault="00053E50" w:rsidP="003269F7">
            <w:pPr>
              <w:tabs>
                <w:tab w:val="left" w:pos="284"/>
              </w:tabs>
              <w:rPr>
                <w:rFonts w:ascii="Times New Roman" w:eastAsia="Times New Roman" w:hAnsi="Times New Roman" w:cs="Times New Roman"/>
                <w:i/>
              </w:rPr>
            </w:pPr>
            <w:r w:rsidRPr="003E2FA2">
              <w:rPr>
                <w:rFonts w:ascii="Times New Roman" w:eastAsia="Times New Roman" w:hAnsi="Times New Roman" w:cs="Times New Roman"/>
                <w:i/>
              </w:rPr>
              <w:t>Респираторни, торакални и медијастинални поремећаји</w:t>
            </w:r>
          </w:p>
        </w:tc>
        <w:tc>
          <w:tcPr>
            <w:tcW w:w="1701" w:type="dxa"/>
          </w:tcPr>
          <w:p w14:paraId="5DA7DC43" w14:textId="63CA0924"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Диспне</w:t>
            </w:r>
            <w:r w:rsidR="006640D0" w:rsidRPr="003E2FA2">
              <w:rPr>
                <w:rFonts w:ascii="Times New Roman" w:eastAsia="Times New Roman" w:hAnsi="Times New Roman" w:cs="Times New Roman"/>
              </w:rPr>
              <w:t>ј</w:t>
            </w:r>
            <w:r w:rsidRPr="003E2FA2">
              <w:rPr>
                <w:rFonts w:ascii="Times New Roman" w:eastAsia="Times New Roman" w:hAnsi="Times New Roman" w:cs="Times New Roman"/>
              </w:rPr>
              <w:t>а</w:t>
            </w:r>
          </w:p>
        </w:tc>
        <w:tc>
          <w:tcPr>
            <w:tcW w:w="1701" w:type="dxa"/>
          </w:tcPr>
          <w:p w14:paraId="0BB9DEA5"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Крварења у респираторном систему</w:t>
            </w:r>
            <w:r w:rsidRPr="003E2FA2">
              <w:rPr>
                <w:rFonts w:ascii="Times New Roman" w:eastAsia="Times New Roman" w:hAnsi="Times New Roman" w:cs="Times New Roman"/>
                <w:vertAlign w:val="superscript"/>
              </w:rPr>
              <w:t>ф</w:t>
            </w:r>
          </w:p>
        </w:tc>
        <w:tc>
          <w:tcPr>
            <w:tcW w:w="1843" w:type="dxa"/>
          </w:tcPr>
          <w:p w14:paraId="749F0D6C" w14:textId="77777777" w:rsidR="00053E50" w:rsidRPr="003E2FA2" w:rsidRDefault="00053E50" w:rsidP="003269F7">
            <w:pPr>
              <w:tabs>
                <w:tab w:val="left" w:pos="284"/>
              </w:tabs>
              <w:rPr>
                <w:rFonts w:ascii="Times New Roman" w:eastAsia="Times New Roman" w:hAnsi="Times New Roman" w:cs="Times New Roman"/>
              </w:rPr>
            </w:pPr>
          </w:p>
        </w:tc>
        <w:tc>
          <w:tcPr>
            <w:tcW w:w="1693" w:type="dxa"/>
          </w:tcPr>
          <w:p w14:paraId="14D2CBE4" w14:textId="77777777" w:rsidR="00053E50" w:rsidRPr="003E2FA2" w:rsidRDefault="00053E50" w:rsidP="003269F7">
            <w:pPr>
              <w:tabs>
                <w:tab w:val="left" w:pos="284"/>
              </w:tabs>
              <w:rPr>
                <w:rFonts w:ascii="Times New Roman" w:eastAsia="Times New Roman" w:hAnsi="Times New Roman" w:cs="Times New Roman"/>
              </w:rPr>
            </w:pPr>
          </w:p>
        </w:tc>
      </w:tr>
      <w:tr w:rsidR="00053E50" w:rsidRPr="003E2FA2" w14:paraId="4A55362C" w14:textId="77777777" w:rsidTr="0037233F">
        <w:trPr>
          <w:trHeight w:val="77"/>
        </w:trPr>
        <w:tc>
          <w:tcPr>
            <w:tcW w:w="2405" w:type="dxa"/>
          </w:tcPr>
          <w:p w14:paraId="61D1E435" w14:textId="77777777" w:rsidR="00053E50" w:rsidRPr="003E2FA2" w:rsidRDefault="00053E50" w:rsidP="003269F7">
            <w:pPr>
              <w:tabs>
                <w:tab w:val="left" w:pos="284"/>
              </w:tabs>
              <w:rPr>
                <w:rFonts w:ascii="Times New Roman" w:eastAsia="Times New Roman" w:hAnsi="Times New Roman" w:cs="Times New Roman"/>
                <w:i/>
              </w:rPr>
            </w:pPr>
            <w:r w:rsidRPr="003E2FA2">
              <w:rPr>
                <w:rFonts w:ascii="Times New Roman" w:eastAsia="Times New Roman" w:hAnsi="Times New Roman" w:cs="Times New Roman"/>
                <w:i/>
              </w:rPr>
              <w:t>Гастроинтестинални поремећаји</w:t>
            </w:r>
          </w:p>
        </w:tc>
        <w:tc>
          <w:tcPr>
            <w:tcW w:w="1701" w:type="dxa"/>
          </w:tcPr>
          <w:p w14:paraId="4C2CBC77" w14:textId="77777777" w:rsidR="00053E50" w:rsidRPr="003E2FA2" w:rsidRDefault="00053E50" w:rsidP="003269F7">
            <w:pPr>
              <w:tabs>
                <w:tab w:val="left" w:pos="284"/>
              </w:tabs>
              <w:rPr>
                <w:rFonts w:ascii="Times New Roman" w:eastAsia="Times New Roman" w:hAnsi="Times New Roman" w:cs="Times New Roman"/>
              </w:rPr>
            </w:pPr>
          </w:p>
        </w:tc>
        <w:tc>
          <w:tcPr>
            <w:tcW w:w="1701" w:type="dxa"/>
          </w:tcPr>
          <w:p w14:paraId="6B46FAB1"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Гастроинтести-нално крварење</w:t>
            </w:r>
            <w:r w:rsidRPr="003E2FA2">
              <w:rPr>
                <w:rFonts w:ascii="Times New Roman" w:eastAsia="Times New Roman" w:hAnsi="Times New Roman" w:cs="Times New Roman"/>
                <w:vertAlign w:val="superscript"/>
              </w:rPr>
              <w:t>г</w:t>
            </w:r>
            <w:r w:rsidRPr="003E2FA2">
              <w:rPr>
                <w:rFonts w:ascii="Times New Roman" w:eastAsia="Times New Roman" w:hAnsi="Times New Roman" w:cs="Times New Roman"/>
              </w:rPr>
              <w:t>,</w:t>
            </w:r>
          </w:p>
          <w:p w14:paraId="1D0C53DC"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дијареја,</w:t>
            </w:r>
          </w:p>
          <w:p w14:paraId="7CF9E6A0"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мучнина,</w:t>
            </w:r>
          </w:p>
          <w:p w14:paraId="1A1181D0"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диспепсија,</w:t>
            </w:r>
          </w:p>
          <w:p w14:paraId="2CADBB71"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констипација</w:t>
            </w:r>
          </w:p>
        </w:tc>
        <w:tc>
          <w:tcPr>
            <w:tcW w:w="1843" w:type="dxa"/>
          </w:tcPr>
          <w:p w14:paraId="1FFC9E57"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Ретроперитоне-ална хеморагија</w:t>
            </w:r>
          </w:p>
        </w:tc>
        <w:tc>
          <w:tcPr>
            <w:tcW w:w="1693" w:type="dxa"/>
          </w:tcPr>
          <w:p w14:paraId="3953439A" w14:textId="77777777" w:rsidR="00053E50" w:rsidRPr="003E2FA2" w:rsidRDefault="00053E50" w:rsidP="003269F7">
            <w:pPr>
              <w:tabs>
                <w:tab w:val="left" w:pos="284"/>
              </w:tabs>
              <w:rPr>
                <w:rFonts w:ascii="Times New Roman" w:eastAsia="Times New Roman" w:hAnsi="Times New Roman" w:cs="Times New Roman"/>
              </w:rPr>
            </w:pPr>
          </w:p>
        </w:tc>
      </w:tr>
      <w:tr w:rsidR="00053E50" w:rsidRPr="003E2FA2" w14:paraId="2F2A9943" w14:textId="77777777" w:rsidTr="0037233F">
        <w:trPr>
          <w:trHeight w:val="77"/>
        </w:trPr>
        <w:tc>
          <w:tcPr>
            <w:tcW w:w="2405" w:type="dxa"/>
          </w:tcPr>
          <w:p w14:paraId="420C1DE9"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i/>
              </w:rPr>
              <w:t>Поремећаји коже и поткожног ткива</w:t>
            </w:r>
          </w:p>
        </w:tc>
        <w:tc>
          <w:tcPr>
            <w:tcW w:w="1701" w:type="dxa"/>
          </w:tcPr>
          <w:p w14:paraId="65E44B02" w14:textId="77777777" w:rsidR="00053E50" w:rsidRPr="003E2FA2" w:rsidRDefault="00053E50" w:rsidP="003269F7">
            <w:pPr>
              <w:tabs>
                <w:tab w:val="left" w:pos="284"/>
              </w:tabs>
              <w:rPr>
                <w:rFonts w:ascii="Times New Roman" w:eastAsia="Times New Roman" w:hAnsi="Times New Roman" w:cs="Times New Roman"/>
              </w:rPr>
            </w:pPr>
          </w:p>
        </w:tc>
        <w:tc>
          <w:tcPr>
            <w:tcW w:w="1701" w:type="dxa"/>
          </w:tcPr>
          <w:p w14:paraId="021E83FE"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Поткожно или дермално крварење</w:t>
            </w:r>
            <w:r w:rsidRPr="003E2FA2">
              <w:rPr>
                <w:rFonts w:ascii="Times New Roman" w:eastAsia="Times New Roman" w:hAnsi="Times New Roman" w:cs="Times New Roman"/>
                <w:vertAlign w:val="superscript"/>
              </w:rPr>
              <w:t>х</w:t>
            </w:r>
            <w:r w:rsidRPr="003E2FA2">
              <w:rPr>
                <w:rFonts w:ascii="Times New Roman" w:eastAsia="Times New Roman" w:hAnsi="Times New Roman" w:cs="Times New Roman"/>
              </w:rPr>
              <w:t>, осип,</w:t>
            </w:r>
          </w:p>
          <w:p w14:paraId="67BA48D7"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пруритус</w:t>
            </w:r>
          </w:p>
        </w:tc>
        <w:tc>
          <w:tcPr>
            <w:tcW w:w="1843" w:type="dxa"/>
          </w:tcPr>
          <w:p w14:paraId="70894855" w14:textId="77777777" w:rsidR="00053E50" w:rsidRPr="003E2FA2" w:rsidRDefault="00053E50" w:rsidP="003269F7">
            <w:pPr>
              <w:tabs>
                <w:tab w:val="left" w:pos="284"/>
              </w:tabs>
              <w:rPr>
                <w:rFonts w:ascii="Times New Roman" w:eastAsia="Times New Roman" w:hAnsi="Times New Roman" w:cs="Times New Roman"/>
              </w:rPr>
            </w:pPr>
          </w:p>
        </w:tc>
        <w:tc>
          <w:tcPr>
            <w:tcW w:w="1693" w:type="dxa"/>
          </w:tcPr>
          <w:p w14:paraId="5DA8C8C2" w14:textId="77777777" w:rsidR="00053E50" w:rsidRPr="003E2FA2" w:rsidRDefault="00053E50" w:rsidP="003269F7">
            <w:pPr>
              <w:tabs>
                <w:tab w:val="left" w:pos="284"/>
              </w:tabs>
              <w:rPr>
                <w:rFonts w:ascii="Times New Roman" w:eastAsia="Times New Roman" w:hAnsi="Times New Roman" w:cs="Times New Roman"/>
              </w:rPr>
            </w:pPr>
          </w:p>
        </w:tc>
      </w:tr>
      <w:tr w:rsidR="00053E50" w:rsidRPr="003E2FA2" w14:paraId="1178B222" w14:textId="77777777" w:rsidTr="0037233F">
        <w:trPr>
          <w:trHeight w:val="77"/>
        </w:trPr>
        <w:tc>
          <w:tcPr>
            <w:tcW w:w="2405" w:type="dxa"/>
          </w:tcPr>
          <w:p w14:paraId="10467091"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i/>
              </w:rPr>
              <w:t>Поремећаји мишићно-коштаног система и везивног ткива</w:t>
            </w:r>
          </w:p>
        </w:tc>
        <w:tc>
          <w:tcPr>
            <w:tcW w:w="1701" w:type="dxa"/>
          </w:tcPr>
          <w:p w14:paraId="79591A41" w14:textId="77777777" w:rsidR="00053E50" w:rsidRPr="003E2FA2" w:rsidRDefault="00053E50" w:rsidP="003269F7">
            <w:pPr>
              <w:tabs>
                <w:tab w:val="left" w:pos="284"/>
              </w:tabs>
              <w:rPr>
                <w:rFonts w:ascii="Times New Roman" w:eastAsia="Times New Roman" w:hAnsi="Times New Roman" w:cs="Times New Roman"/>
              </w:rPr>
            </w:pPr>
          </w:p>
        </w:tc>
        <w:tc>
          <w:tcPr>
            <w:tcW w:w="1701" w:type="dxa"/>
          </w:tcPr>
          <w:p w14:paraId="6A511690" w14:textId="77777777" w:rsidR="00053E50" w:rsidRPr="003E2FA2" w:rsidRDefault="00053E50" w:rsidP="003269F7">
            <w:pPr>
              <w:tabs>
                <w:tab w:val="left" w:pos="284"/>
              </w:tabs>
              <w:rPr>
                <w:rFonts w:ascii="Times New Roman" w:eastAsia="Times New Roman" w:hAnsi="Times New Roman" w:cs="Times New Roman"/>
              </w:rPr>
            </w:pPr>
          </w:p>
        </w:tc>
        <w:tc>
          <w:tcPr>
            <w:tcW w:w="1843" w:type="dxa"/>
          </w:tcPr>
          <w:p w14:paraId="43DB8255"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Крварења у мишићима</w:t>
            </w:r>
            <w:r w:rsidRPr="003E2FA2">
              <w:rPr>
                <w:rFonts w:ascii="Times New Roman" w:eastAsia="Times New Roman" w:hAnsi="Times New Roman" w:cs="Times New Roman"/>
                <w:vertAlign w:val="superscript"/>
              </w:rPr>
              <w:t>и</w:t>
            </w:r>
          </w:p>
        </w:tc>
        <w:tc>
          <w:tcPr>
            <w:tcW w:w="1693" w:type="dxa"/>
          </w:tcPr>
          <w:p w14:paraId="5723BF8F" w14:textId="77777777" w:rsidR="00053E50" w:rsidRPr="003E2FA2" w:rsidRDefault="00053E50" w:rsidP="003269F7">
            <w:pPr>
              <w:tabs>
                <w:tab w:val="left" w:pos="284"/>
              </w:tabs>
              <w:rPr>
                <w:rFonts w:ascii="Times New Roman" w:eastAsia="Times New Roman" w:hAnsi="Times New Roman" w:cs="Times New Roman"/>
              </w:rPr>
            </w:pPr>
          </w:p>
        </w:tc>
      </w:tr>
      <w:tr w:rsidR="00053E50" w:rsidRPr="003E2FA2" w14:paraId="3C4644FB" w14:textId="77777777" w:rsidTr="0037233F">
        <w:trPr>
          <w:trHeight w:val="77"/>
        </w:trPr>
        <w:tc>
          <w:tcPr>
            <w:tcW w:w="2405" w:type="dxa"/>
          </w:tcPr>
          <w:p w14:paraId="5E568C61"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i/>
              </w:rPr>
              <w:t>Поремећаји бубрега и уринарног система</w:t>
            </w:r>
          </w:p>
        </w:tc>
        <w:tc>
          <w:tcPr>
            <w:tcW w:w="1701" w:type="dxa"/>
          </w:tcPr>
          <w:p w14:paraId="395450C3" w14:textId="77777777" w:rsidR="00053E50" w:rsidRPr="003E2FA2" w:rsidRDefault="00053E50" w:rsidP="003269F7">
            <w:pPr>
              <w:tabs>
                <w:tab w:val="left" w:pos="284"/>
              </w:tabs>
              <w:rPr>
                <w:rFonts w:ascii="Times New Roman" w:eastAsia="Times New Roman" w:hAnsi="Times New Roman" w:cs="Times New Roman"/>
              </w:rPr>
            </w:pPr>
          </w:p>
        </w:tc>
        <w:tc>
          <w:tcPr>
            <w:tcW w:w="1701" w:type="dxa"/>
          </w:tcPr>
          <w:p w14:paraId="72AB156A"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Крварења у уринарном тракту</w:t>
            </w:r>
            <w:r w:rsidRPr="003E2FA2">
              <w:rPr>
                <w:rFonts w:ascii="Times New Roman" w:eastAsia="Times New Roman" w:hAnsi="Times New Roman" w:cs="Times New Roman"/>
                <w:vertAlign w:val="superscript"/>
              </w:rPr>
              <w:t>j</w:t>
            </w:r>
          </w:p>
        </w:tc>
        <w:tc>
          <w:tcPr>
            <w:tcW w:w="1843" w:type="dxa"/>
          </w:tcPr>
          <w:p w14:paraId="286175C6" w14:textId="77777777" w:rsidR="00053E50" w:rsidRPr="003E2FA2" w:rsidRDefault="00053E50" w:rsidP="003269F7">
            <w:pPr>
              <w:tabs>
                <w:tab w:val="left" w:pos="284"/>
              </w:tabs>
              <w:rPr>
                <w:rFonts w:ascii="Times New Roman" w:eastAsia="Times New Roman" w:hAnsi="Times New Roman" w:cs="Times New Roman"/>
              </w:rPr>
            </w:pPr>
          </w:p>
        </w:tc>
        <w:tc>
          <w:tcPr>
            <w:tcW w:w="1693" w:type="dxa"/>
          </w:tcPr>
          <w:p w14:paraId="3DF006EB" w14:textId="77777777" w:rsidR="00053E50" w:rsidRPr="003E2FA2" w:rsidRDefault="00053E50" w:rsidP="003269F7">
            <w:pPr>
              <w:tabs>
                <w:tab w:val="left" w:pos="284"/>
              </w:tabs>
              <w:rPr>
                <w:rFonts w:ascii="Times New Roman" w:eastAsia="Times New Roman" w:hAnsi="Times New Roman" w:cs="Times New Roman"/>
              </w:rPr>
            </w:pPr>
          </w:p>
        </w:tc>
      </w:tr>
      <w:tr w:rsidR="00053E50" w:rsidRPr="003E2FA2" w14:paraId="0CEF80D2" w14:textId="77777777" w:rsidTr="0037233F">
        <w:trPr>
          <w:trHeight w:val="77"/>
        </w:trPr>
        <w:tc>
          <w:tcPr>
            <w:tcW w:w="2405" w:type="dxa"/>
          </w:tcPr>
          <w:p w14:paraId="6ED12254"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i/>
              </w:rPr>
              <w:t>Поремећаји репродуктивног система и дојки</w:t>
            </w:r>
          </w:p>
        </w:tc>
        <w:tc>
          <w:tcPr>
            <w:tcW w:w="1701" w:type="dxa"/>
          </w:tcPr>
          <w:p w14:paraId="681EE5DA" w14:textId="77777777" w:rsidR="00053E50" w:rsidRPr="003E2FA2" w:rsidRDefault="00053E50" w:rsidP="003269F7">
            <w:pPr>
              <w:tabs>
                <w:tab w:val="left" w:pos="284"/>
              </w:tabs>
              <w:rPr>
                <w:rFonts w:ascii="Times New Roman" w:eastAsia="Times New Roman" w:hAnsi="Times New Roman" w:cs="Times New Roman"/>
              </w:rPr>
            </w:pPr>
          </w:p>
        </w:tc>
        <w:tc>
          <w:tcPr>
            <w:tcW w:w="1701" w:type="dxa"/>
          </w:tcPr>
          <w:p w14:paraId="0464C76C" w14:textId="77777777" w:rsidR="00053E50" w:rsidRPr="003E2FA2" w:rsidRDefault="00053E50" w:rsidP="003269F7">
            <w:pPr>
              <w:tabs>
                <w:tab w:val="left" w:pos="284"/>
              </w:tabs>
              <w:rPr>
                <w:rFonts w:ascii="Times New Roman" w:eastAsia="Times New Roman" w:hAnsi="Times New Roman" w:cs="Times New Roman"/>
              </w:rPr>
            </w:pPr>
          </w:p>
        </w:tc>
        <w:tc>
          <w:tcPr>
            <w:tcW w:w="1843" w:type="dxa"/>
          </w:tcPr>
          <w:p w14:paraId="29432AF1"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Крварења у репродуктивном систему</w:t>
            </w:r>
            <w:r w:rsidRPr="003E2FA2">
              <w:rPr>
                <w:rFonts w:ascii="Times New Roman" w:eastAsia="Times New Roman" w:hAnsi="Times New Roman" w:cs="Times New Roman"/>
                <w:vertAlign w:val="superscript"/>
              </w:rPr>
              <w:t>к</w:t>
            </w:r>
          </w:p>
        </w:tc>
        <w:tc>
          <w:tcPr>
            <w:tcW w:w="1693" w:type="dxa"/>
          </w:tcPr>
          <w:p w14:paraId="10D31594" w14:textId="77777777" w:rsidR="00053E50" w:rsidRPr="003E2FA2" w:rsidRDefault="00053E50" w:rsidP="003269F7">
            <w:pPr>
              <w:tabs>
                <w:tab w:val="left" w:pos="284"/>
              </w:tabs>
              <w:rPr>
                <w:rFonts w:ascii="Times New Roman" w:eastAsia="Times New Roman" w:hAnsi="Times New Roman" w:cs="Times New Roman"/>
              </w:rPr>
            </w:pPr>
          </w:p>
        </w:tc>
      </w:tr>
      <w:tr w:rsidR="00053E50" w:rsidRPr="003E2FA2" w14:paraId="78B4DD5D" w14:textId="77777777" w:rsidTr="0037233F">
        <w:trPr>
          <w:trHeight w:val="77"/>
        </w:trPr>
        <w:tc>
          <w:tcPr>
            <w:tcW w:w="2405" w:type="dxa"/>
          </w:tcPr>
          <w:p w14:paraId="5B2DB8A7" w14:textId="77777777" w:rsidR="00053E50" w:rsidRPr="003E2FA2" w:rsidRDefault="00053E50" w:rsidP="003269F7">
            <w:pPr>
              <w:tabs>
                <w:tab w:val="left" w:pos="284"/>
              </w:tabs>
              <w:rPr>
                <w:rFonts w:ascii="Times New Roman" w:eastAsia="Times New Roman" w:hAnsi="Times New Roman" w:cs="Times New Roman"/>
                <w:i/>
              </w:rPr>
            </w:pPr>
            <w:r w:rsidRPr="003E2FA2">
              <w:rPr>
                <w:rFonts w:ascii="Times New Roman" w:eastAsia="Times New Roman" w:hAnsi="Times New Roman" w:cs="Times New Roman"/>
                <w:i/>
              </w:rPr>
              <w:t>Испитивања</w:t>
            </w:r>
          </w:p>
        </w:tc>
        <w:tc>
          <w:tcPr>
            <w:tcW w:w="1701" w:type="dxa"/>
          </w:tcPr>
          <w:p w14:paraId="0411B9A3" w14:textId="77777777" w:rsidR="00053E50" w:rsidRPr="003E2FA2" w:rsidRDefault="00053E50" w:rsidP="003269F7">
            <w:pPr>
              <w:tabs>
                <w:tab w:val="left" w:pos="284"/>
              </w:tabs>
              <w:rPr>
                <w:rFonts w:ascii="Times New Roman" w:eastAsia="Times New Roman" w:hAnsi="Times New Roman" w:cs="Times New Roman"/>
              </w:rPr>
            </w:pPr>
          </w:p>
        </w:tc>
        <w:tc>
          <w:tcPr>
            <w:tcW w:w="1701" w:type="dxa"/>
          </w:tcPr>
          <w:p w14:paraId="370B42F6"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Повишена концентрација креатинина у крви</w:t>
            </w:r>
            <w:r w:rsidRPr="003E2FA2">
              <w:rPr>
                <w:rFonts w:ascii="Times New Roman" w:eastAsia="Times New Roman" w:hAnsi="Times New Roman" w:cs="Times New Roman"/>
                <w:vertAlign w:val="superscript"/>
              </w:rPr>
              <w:t>д</w:t>
            </w:r>
          </w:p>
        </w:tc>
        <w:tc>
          <w:tcPr>
            <w:tcW w:w="1843" w:type="dxa"/>
          </w:tcPr>
          <w:p w14:paraId="4614994E" w14:textId="77777777" w:rsidR="00053E50" w:rsidRPr="003E2FA2" w:rsidRDefault="00053E50" w:rsidP="003269F7">
            <w:pPr>
              <w:tabs>
                <w:tab w:val="left" w:pos="284"/>
              </w:tabs>
              <w:rPr>
                <w:rFonts w:ascii="Times New Roman" w:eastAsia="Times New Roman" w:hAnsi="Times New Roman" w:cs="Times New Roman"/>
              </w:rPr>
            </w:pPr>
          </w:p>
        </w:tc>
        <w:tc>
          <w:tcPr>
            <w:tcW w:w="1693" w:type="dxa"/>
          </w:tcPr>
          <w:p w14:paraId="1F4A192F" w14:textId="77777777" w:rsidR="00053E50" w:rsidRPr="003E2FA2" w:rsidRDefault="00053E50" w:rsidP="003269F7">
            <w:pPr>
              <w:tabs>
                <w:tab w:val="left" w:pos="284"/>
              </w:tabs>
              <w:rPr>
                <w:rFonts w:ascii="Times New Roman" w:eastAsia="Times New Roman" w:hAnsi="Times New Roman" w:cs="Times New Roman"/>
              </w:rPr>
            </w:pPr>
          </w:p>
        </w:tc>
      </w:tr>
      <w:tr w:rsidR="00053E50" w:rsidRPr="003E2FA2" w14:paraId="27DE6C9F" w14:textId="77777777" w:rsidTr="0037233F">
        <w:trPr>
          <w:trHeight w:val="77"/>
        </w:trPr>
        <w:tc>
          <w:tcPr>
            <w:tcW w:w="2405" w:type="dxa"/>
          </w:tcPr>
          <w:p w14:paraId="4D9D28F4"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i/>
              </w:rPr>
              <w:t>Повреде, тровања и процедуралне компликације</w:t>
            </w:r>
          </w:p>
        </w:tc>
        <w:tc>
          <w:tcPr>
            <w:tcW w:w="1701" w:type="dxa"/>
          </w:tcPr>
          <w:p w14:paraId="2138EF56" w14:textId="77777777" w:rsidR="00053E50" w:rsidRPr="003E2FA2" w:rsidRDefault="00053E50" w:rsidP="003269F7">
            <w:pPr>
              <w:tabs>
                <w:tab w:val="left" w:pos="284"/>
              </w:tabs>
              <w:rPr>
                <w:rFonts w:ascii="Times New Roman" w:eastAsia="Times New Roman" w:hAnsi="Times New Roman" w:cs="Times New Roman"/>
              </w:rPr>
            </w:pPr>
          </w:p>
        </w:tc>
        <w:tc>
          <w:tcPr>
            <w:tcW w:w="1701" w:type="dxa"/>
          </w:tcPr>
          <w:p w14:paraId="20426FCA" w14:textId="77777777" w:rsidR="00053E50" w:rsidRPr="003E2FA2" w:rsidRDefault="00053E50" w:rsidP="003269F7">
            <w:pPr>
              <w:tabs>
                <w:tab w:val="left" w:pos="284"/>
              </w:tabs>
              <w:rPr>
                <w:rFonts w:ascii="Times New Roman" w:eastAsia="Times New Roman" w:hAnsi="Times New Roman" w:cs="Times New Roman"/>
              </w:rPr>
            </w:pPr>
            <w:r w:rsidRPr="003E2FA2">
              <w:rPr>
                <w:rFonts w:ascii="Times New Roman" w:eastAsia="Times New Roman" w:hAnsi="Times New Roman" w:cs="Times New Roman"/>
              </w:rPr>
              <w:t>Постпроцеду-рално крварење, трауматска крварења</w:t>
            </w:r>
            <w:r w:rsidRPr="003E2FA2">
              <w:rPr>
                <w:rFonts w:ascii="Times New Roman" w:eastAsia="Times New Roman" w:hAnsi="Times New Roman" w:cs="Times New Roman"/>
                <w:vertAlign w:val="superscript"/>
              </w:rPr>
              <w:t>л</w:t>
            </w:r>
          </w:p>
        </w:tc>
        <w:tc>
          <w:tcPr>
            <w:tcW w:w="1843" w:type="dxa"/>
          </w:tcPr>
          <w:p w14:paraId="2FC75F0B" w14:textId="77777777" w:rsidR="00053E50" w:rsidRPr="003E2FA2" w:rsidRDefault="00053E50" w:rsidP="003269F7">
            <w:pPr>
              <w:tabs>
                <w:tab w:val="left" w:pos="284"/>
              </w:tabs>
              <w:rPr>
                <w:rFonts w:ascii="Times New Roman" w:eastAsia="Times New Roman" w:hAnsi="Times New Roman" w:cs="Times New Roman"/>
              </w:rPr>
            </w:pPr>
          </w:p>
        </w:tc>
        <w:tc>
          <w:tcPr>
            <w:tcW w:w="1693" w:type="dxa"/>
          </w:tcPr>
          <w:p w14:paraId="0E95E77D" w14:textId="77777777" w:rsidR="00053E50" w:rsidRPr="003E2FA2" w:rsidRDefault="00053E50" w:rsidP="003269F7">
            <w:pPr>
              <w:tabs>
                <w:tab w:val="left" w:pos="284"/>
              </w:tabs>
              <w:rPr>
                <w:rFonts w:ascii="Times New Roman" w:eastAsia="Times New Roman" w:hAnsi="Times New Roman" w:cs="Times New Roman"/>
              </w:rPr>
            </w:pPr>
          </w:p>
        </w:tc>
      </w:tr>
    </w:tbl>
    <w:p w14:paraId="1AF9CACF" w14:textId="77777777" w:rsidR="00053E50" w:rsidRPr="003E2FA2" w:rsidRDefault="00053E50" w:rsidP="007669F5">
      <w:pPr>
        <w:spacing w:after="0" w:line="240" w:lineRule="auto"/>
        <w:jc w:val="both"/>
        <w:rPr>
          <w:rFonts w:ascii="Times New Roman" w:eastAsia="Times New Roman" w:hAnsi="Times New Roman" w:cs="Times New Roman"/>
          <w:u w:val="single"/>
        </w:rPr>
      </w:pPr>
    </w:p>
    <w:p w14:paraId="7BE61FC4"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vertAlign w:val="superscript"/>
        </w:rPr>
        <w:t xml:space="preserve">а </w:t>
      </w:r>
      <w:r w:rsidRPr="003E2FA2">
        <w:rPr>
          <w:rFonts w:ascii="Times New Roman" w:eastAsia="Times New Roman" w:hAnsi="Times New Roman" w:cs="Times New Roman"/>
        </w:rPr>
        <w:t>нпр. крварење рака мокраћне бешике, рака желуца или рака дебелог цријева</w:t>
      </w:r>
    </w:p>
    <w:p w14:paraId="465DA7BA"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vertAlign w:val="superscript"/>
        </w:rPr>
        <w:t>б</w:t>
      </w:r>
      <w:r w:rsidRPr="003E2FA2">
        <w:rPr>
          <w:rFonts w:ascii="Times New Roman" w:eastAsia="Times New Roman" w:hAnsi="Times New Roman" w:cs="Times New Roman"/>
        </w:rPr>
        <w:t xml:space="preserve"> нпр. повећана склоност стварању модрица, спонтаном хематому, хеморагијској дијатези</w:t>
      </w:r>
    </w:p>
    <w:p w14:paraId="11F8586D"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vertAlign w:val="superscript"/>
        </w:rPr>
        <w:t>ц</w:t>
      </w:r>
      <w:r w:rsidRPr="003E2FA2">
        <w:rPr>
          <w:rFonts w:ascii="Times New Roman" w:eastAsia="Times New Roman" w:hAnsi="Times New Roman" w:cs="Times New Roman"/>
        </w:rPr>
        <w:t xml:space="preserve"> Идентификовано након стављања лијека у промет</w:t>
      </w:r>
    </w:p>
    <w:p w14:paraId="7F64F681"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vertAlign w:val="superscript"/>
        </w:rPr>
        <w:t>д</w:t>
      </w:r>
      <w:r w:rsidRPr="003E2FA2">
        <w:rPr>
          <w:rFonts w:ascii="Times New Roman" w:eastAsia="Times New Roman" w:hAnsi="Times New Roman" w:cs="Times New Roman"/>
        </w:rPr>
        <w:t xml:space="preserve"> Учесталости добијене из лабораторијских анализа (концентрација мокраћне киселине повећава се до &gt; горње границе нормале у односу на почетну вриједност која је испод или унутар референтног распона. Концентрација креатинина се повећава до &gt; 50% од почетне вриједности), а не учесталост пријава нежељених догађаја.</w:t>
      </w:r>
    </w:p>
    <w:p w14:paraId="5F51B9CF"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vertAlign w:val="superscript"/>
        </w:rPr>
        <w:t>е</w:t>
      </w:r>
      <w:r w:rsidRPr="003E2FA2">
        <w:rPr>
          <w:rFonts w:ascii="Times New Roman" w:eastAsia="Times New Roman" w:hAnsi="Times New Roman" w:cs="Times New Roman"/>
        </w:rPr>
        <w:t xml:space="preserve"> нпр. коњунктивално, ретинално, интраокуларно крварење</w:t>
      </w:r>
    </w:p>
    <w:p w14:paraId="5D521948"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vertAlign w:val="superscript"/>
        </w:rPr>
        <w:t>ф</w:t>
      </w:r>
      <w:r w:rsidRPr="003E2FA2">
        <w:rPr>
          <w:rFonts w:ascii="Times New Roman" w:eastAsia="Times New Roman" w:hAnsi="Times New Roman" w:cs="Times New Roman"/>
        </w:rPr>
        <w:t xml:space="preserve"> нпр. епистакса, хемоптиза</w:t>
      </w:r>
    </w:p>
    <w:p w14:paraId="31A0CC41"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vertAlign w:val="superscript"/>
        </w:rPr>
        <w:t xml:space="preserve">г </w:t>
      </w:r>
      <w:r w:rsidRPr="003E2FA2">
        <w:rPr>
          <w:rFonts w:ascii="Times New Roman" w:eastAsia="Times New Roman" w:hAnsi="Times New Roman" w:cs="Times New Roman"/>
        </w:rPr>
        <w:t>нпр. гингивално крварење, ректално крварење, крварење улкуса на желуцу</w:t>
      </w:r>
    </w:p>
    <w:p w14:paraId="00C89F13"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vertAlign w:val="superscript"/>
        </w:rPr>
        <w:t>х</w:t>
      </w:r>
      <w:r w:rsidRPr="003E2FA2">
        <w:rPr>
          <w:rFonts w:ascii="Times New Roman" w:eastAsia="Times New Roman" w:hAnsi="Times New Roman" w:cs="Times New Roman"/>
        </w:rPr>
        <w:t xml:space="preserve"> нпр. екхимоза, кожно крварење, петехија </w:t>
      </w:r>
    </w:p>
    <w:p w14:paraId="2B8B5DFE"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vertAlign w:val="superscript"/>
        </w:rPr>
        <w:lastRenderedPageBreak/>
        <w:t xml:space="preserve">и </w:t>
      </w:r>
      <w:r w:rsidRPr="003E2FA2">
        <w:rPr>
          <w:rFonts w:ascii="Times New Roman" w:eastAsia="Times New Roman" w:hAnsi="Times New Roman" w:cs="Times New Roman"/>
        </w:rPr>
        <w:t>нпр. хемартроза, крварење мишића</w:t>
      </w:r>
    </w:p>
    <w:p w14:paraId="1CA194B2"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vertAlign w:val="superscript"/>
        </w:rPr>
        <w:t xml:space="preserve">ј </w:t>
      </w:r>
      <w:r w:rsidRPr="003E2FA2">
        <w:rPr>
          <w:rFonts w:ascii="Times New Roman" w:eastAsia="Times New Roman" w:hAnsi="Times New Roman" w:cs="Times New Roman"/>
        </w:rPr>
        <w:t>нпр. хематурија, хеморагијски циститис</w:t>
      </w:r>
    </w:p>
    <w:p w14:paraId="7DD23136"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vertAlign w:val="superscript"/>
        </w:rPr>
        <w:t>к</w:t>
      </w:r>
      <w:r w:rsidRPr="003E2FA2">
        <w:rPr>
          <w:rFonts w:ascii="Times New Roman" w:eastAsia="Times New Roman" w:hAnsi="Times New Roman" w:cs="Times New Roman"/>
        </w:rPr>
        <w:t xml:space="preserve"> нпр. вагинално крварење, хематоспермија, постменопаузално крварење</w:t>
      </w:r>
    </w:p>
    <w:p w14:paraId="03B6E430"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vertAlign w:val="superscript"/>
        </w:rPr>
        <w:t>л</w:t>
      </w:r>
      <w:r w:rsidRPr="003E2FA2">
        <w:rPr>
          <w:rFonts w:ascii="Times New Roman" w:eastAsia="Times New Roman" w:hAnsi="Times New Roman" w:cs="Times New Roman"/>
        </w:rPr>
        <w:t xml:space="preserve"> нпр. контузија, трауматски хематом, трауматско крварење</w:t>
      </w:r>
    </w:p>
    <w:p w14:paraId="1A5CAF2D" w14:textId="77777777" w:rsidR="00053E50" w:rsidRPr="003E2FA2" w:rsidRDefault="00053E50" w:rsidP="00E56A8B">
      <w:pPr>
        <w:tabs>
          <w:tab w:val="left" w:pos="284"/>
        </w:tabs>
        <w:autoSpaceDE w:val="0"/>
        <w:autoSpaceDN w:val="0"/>
        <w:adjustRightInd w:val="0"/>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vertAlign w:val="superscript"/>
        </w:rPr>
        <w:t xml:space="preserve"> </w:t>
      </w:r>
      <w:r w:rsidRPr="003E2FA2">
        <w:rPr>
          <w:rFonts w:ascii="Times New Roman" w:eastAsia="Times New Roman" w:hAnsi="Times New Roman" w:cs="Times New Roman"/>
          <w:szCs w:val="24"/>
        </w:rPr>
        <w:t xml:space="preserve"> </w:t>
      </w:r>
      <w:r w:rsidRPr="003E2FA2">
        <w:rPr>
          <w:rFonts w:ascii="Times New Roman" w:eastAsia="Times New Roman" w:hAnsi="Times New Roman" w:cs="Times New Roman"/>
          <w:szCs w:val="24"/>
          <w:vertAlign w:val="superscript"/>
        </w:rPr>
        <w:t>м</w:t>
      </w:r>
      <w:r w:rsidRPr="003E2FA2">
        <w:rPr>
          <w:rFonts w:ascii="Times New Roman" w:eastAsia="Times New Roman" w:hAnsi="Times New Roman" w:cs="Times New Roman"/>
          <w:szCs w:val="24"/>
        </w:rPr>
        <w:t xml:space="preserve">нпр. </w:t>
      </w:r>
      <w:r w:rsidRPr="003E2FA2">
        <w:rPr>
          <w:rFonts w:ascii="Times New Roman" w:eastAsia="Times New Roman" w:hAnsi="Times New Roman" w:cs="Times New Roman"/>
        </w:rPr>
        <w:t>спонтана, повезана са процедуром или трауматска интракранијална хеморагија</w:t>
      </w:r>
    </w:p>
    <w:p w14:paraId="70B90B7D" w14:textId="77777777" w:rsidR="00053E50" w:rsidRPr="003E2FA2" w:rsidRDefault="00053E50" w:rsidP="00E56A8B">
      <w:pPr>
        <w:spacing w:after="0" w:line="240" w:lineRule="auto"/>
        <w:ind w:left="120"/>
        <w:jc w:val="both"/>
        <w:rPr>
          <w:rFonts w:ascii="Times New Roman" w:eastAsia="Times New Roman" w:hAnsi="Times New Roman" w:cs="Times New Roman"/>
        </w:rPr>
      </w:pPr>
    </w:p>
    <w:p w14:paraId="05FAB8D1" w14:textId="371A3819" w:rsidR="00053E50" w:rsidRPr="003E2FA2" w:rsidRDefault="00053E50" w:rsidP="00E56A8B">
      <w:pPr>
        <w:spacing w:after="0" w:line="240" w:lineRule="auto"/>
        <w:ind w:left="120"/>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Опис одабраних нежељених дејстава</w:t>
      </w:r>
    </w:p>
    <w:p w14:paraId="03E6F99E" w14:textId="77777777" w:rsidR="006640D0" w:rsidRPr="003E2FA2" w:rsidRDefault="006640D0" w:rsidP="00E56A8B">
      <w:pPr>
        <w:spacing w:after="0" w:line="240" w:lineRule="auto"/>
        <w:ind w:left="120"/>
        <w:jc w:val="both"/>
        <w:rPr>
          <w:rFonts w:ascii="Times New Roman" w:eastAsia="Times New Roman" w:hAnsi="Times New Roman" w:cs="Times New Roman"/>
          <w:u w:val="single"/>
        </w:rPr>
      </w:pPr>
    </w:p>
    <w:p w14:paraId="7E90EDE2" w14:textId="77777777" w:rsidR="00053E50" w:rsidRPr="003E2FA2" w:rsidRDefault="00053E50" w:rsidP="00E56A8B">
      <w:pPr>
        <w:spacing w:after="0" w:line="240" w:lineRule="auto"/>
        <w:ind w:left="120"/>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Крварење</w:t>
      </w:r>
    </w:p>
    <w:p w14:paraId="1902EDA4" w14:textId="77777777" w:rsidR="00053E50" w:rsidRPr="003E2FA2" w:rsidRDefault="00053E50" w:rsidP="00E56A8B">
      <w:pPr>
        <w:spacing w:after="0" w:line="240" w:lineRule="auto"/>
        <w:ind w:left="120"/>
        <w:jc w:val="both"/>
        <w:rPr>
          <w:rFonts w:ascii="Times New Roman" w:eastAsia="Times New Roman" w:hAnsi="Times New Roman" w:cs="Times New Roman"/>
          <w:i/>
        </w:rPr>
      </w:pPr>
      <w:r w:rsidRPr="003E2FA2">
        <w:rPr>
          <w:rFonts w:ascii="Times New Roman" w:eastAsia="Times New Roman" w:hAnsi="Times New Roman" w:cs="Times New Roman"/>
          <w:i/>
        </w:rPr>
        <w:t>Закључци о крварењу из студије PLATO</w:t>
      </w:r>
    </w:p>
    <w:p w14:paraId="20636DD8"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rPr>
        <w:t>Укупни исходи учесталости крварења у PLATO студији приказани су у Табели 2.</w:t>
      </w:r>
    </w:p>
    <w:p w14:paraId="2179B2F7" w14:textId="77777777" w:rsidR="00053E50" w:rsidRPr="003E2FA2" w:rsidRDefault="00053E50" w:rsidP="00E56A8B">
      <w:pPr>
        <w:spacing w:after="0" w:line="240" w:lineRule="auto"/>
        <w:ind w:left="120"/>
        <w:jc w:val="both"/>
        <w:rPr>
          <w:rFonts w:ascii="Times New Roman" w:eastAsia="Times New Roman" w:hAnsi="Times New Roman" w:cs="Times New Roman"/>
          <w:u w:val="single"/>
        </w:rPr>
      </w:pPr>
    </w:p>
    <w:p w14:paraId="54D369BF" w14:textId="77777777" w:rsidR="00053E50" w:rsidRPr="003E2FA2" w:rsidRDefault="00053E50" w:rsidP="00E56A8B">
      <w:pPr>
        <w:spacing w:after="0" w:line="240" w:lineRule="auto"/>
        <w:ind w:left="120"/>
        <w:jc w:val="both"/>
        <w:rPr>
          <w:rFonts w:ascii="Times New Roman" w:eastAsia="Times New Roman" w:hAnsi="Times New Roman" w:cs="Times New Roman"/>
          <w:b/>
        </w:rPr>
      </w:pPr>
      <w:r w:rsidRPr="003E2FA2">
        <w:rPr>
          <w:rFonts w:ascii="Times New Roman" w:eastAsia="Times New Roman" w:hAnsi="Times New Roman" w:cs="Times New Roman"/>
          <w:b/>
        </w:rPr>
        <w:t>Табела 2 – Анализа свеукупних догађаја крварења, Kaplan-Meier-oва процјена након 12 мјесеци (PLATO)</w:t>
      </w:r>
    </w:p>
    <w:p w14:paraId="4D8CB12F" w14:textId="77777777" w:rsidR="00053E50" w:rsidRPr="003E2FA2" w:rsidRDefault="00053E50" w:rsidP="00E56A8B">
      <w:pPr>
        <w:spacing w:after="0" w:line="240" w:lineRule="auto"/>
        <w:ind w:left="120"/>
        <w:jc w:val="both"/>
        <w:rPr>
          <w:rFonts w:ascii="Times New Roman" w:eastAsia="Times New Roman" w:hAnsi="Times New Roman" w:cs="Times New Roman"/>
          <w:u w:val="single"/>
        </w:rPr>
      </w:pPr>
    </w:p>
    <w:tbl>
      <w:tblPr>
        <w:tblStyle w:val="TableGrid"/>
        <w:tblW w:w="9351" w:type="dxa"/>
        <w:tblLook w:val="04A0" w:firstRow="1" w:lastRow="0" w:firstColumn="1" w:lastColumn="0" w:noHBand="0" w:noVBand="1"/>
      </w:tblPr>
      <w:tblGrid>
        <w:gridCol w:w="4389"/>
        <w:gridCol w:w="1984"/>
        <w:gridCol w:w="1559"/>
        <w:gridCol w:w="1419"/>
      </w:tblGrid>
      <w:tr w:rsidR="00053E50" w:rsidRPr="003E2FA2" w14:paraId="5BF11B46" w14:textId="77777777" w:rsidTr="0037233F">
        <w:tc>
          <w:tcPr>
            <w:tcW w:w="4390" w:type="dxa"/>
          </w:tcPr>
          <w:p w14:paraId="29762806"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u w:val="single"/>
              </w:rPr>
            </w:pPr>
          </w:p>
        </w:tc>
        <w:tc>
          <w:tcPr>
            <w:tcW w:w="1984" w:type="dxa"/>
          </w:tcPr>
          <w:p w14:paraId="34EA40C0"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Tикагрелор 90 mg</w:t>
            </w:r>
          </w:p>
          <w:p w14:paraId="19C2E609"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Два пута дневно</w:t>
            </w:r>
          </w:p>
          <w:p w14:paraId="64FFAA67"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N=9235</w:t>
            </w:r>
          </w:p>
        </w:tc>
        <w:tc>
          <w:tcPr>
            <w:tcW w:w="1559" w:type="dxa"/>
          </w:tcPr>
          <w:p w14:paraId="3F392808"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Клопидогрел</w:t>
            </w:r>
          </w:p>
          <w:p w14:paraId="0EC182FE"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p>
          <w:p w14:paraId="30CAF3B6"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N=9186</w:t>
            </w:r>
          </w:p>
        </w:tc>
        <w:tc>
          <w:tcPr>
            <w:tcW w:w="1418" w:type="dxa"/>
          </w:tcPr>
          <w:p w14:paraId="74F451C0"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i/>
              </w:rPr>
              <w:t>p</w:t>
            </w:r>
            <w:r w:rsidRPr="003E2FA2">
              <w:rPr>
                <w:rFonts w:ascii="Times New Roman" w:eastAsia="Times New Roman" w:hAnsi="Times New Roman" w:cs="Times New Roman"/>
                <w:b/>
              </w:rPr>
              <w:t>-вриједност*</w:t>
            </w:r>
          </w:p>
        </w:tc>
      </w:tr>
      <w:tr w:rsidR="00053E50" w:rsidRPr="003E2FA2" w14:paraId="5B5191D4" w14:textId="77777777" w:rsidTr="0037233F">
        <w:tc>
          <w:tcPr>
            <w:tcW w:w="4390" w:type="dxa"/>
          </w:tcPr>
          <w:p w14:paraId="4BB03541"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PLATO укупна велика</w:t>
            </w:r>
          </w:p>
        </w:tc>
        <w:tc>
          <w:tcPr>
            <w:tcW w:w="1984" w:type="dxa"/>
          </w:tcPr>
          <w:p w14:paraId="41F7DCE0"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11.6</w:t>
            </w:r>
          </w:p>
        </w:tc>
        <w:tc>
          <w:tcPr>
            <w:tcW w:w="1559" w:type="dxa"/>
          </w:tcPr>
          <w:p w14:paraId="5CE1442E"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11.2</w:t>
            </w:r>
          </w:p>
        </w:tc>
        <w:tc>
          <w:tcPr>
            <w:tcW w:w="1418" w:type="dxa"/>
          </w:tcPr>
          <w:p w14:paraId="49018B80"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0.4336</w:t>
            </w:r>
          </w:p>
        </w:tc>
      </w:tr>
      <w:tr w:rsidR="00053E50" w:rsidRPr="003E2FA2" w14:paraId="7348BB72" w14:textId="77777777" w:rsidTr="0037233F">
        <w:tc>
          <w:tcPr>
            <w:tcW w:w="4390" w:type="dxa"/>
          </w:tcPr>
          <w:p w14:paraId="6354542B"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PLATO велика фатална/опасна по живот</w:t>
            </w:r>
          </w:p>
        </w:tc>
        <w:tc>
          <w:tcPr>
            <w:tcW w:w="1984" w:type="dxa"/>
          </w:tcPr>
          <w:p w14:paraId="352DF3E0"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5.8</w:t>
            </w:r>
          </w:p>
        </w:tc>
        <w:tc>
          <w:tcPr>
            <w:tcW w:w="1559" w:type="dxa"/>
          </w:tcPr>
          <w:p w14:paraId="3EF1B4B0"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5.8</w:t>
            </w:r>
          </w:p>
        </w:tc>
        <w:tc>
          <w:tcPr>
            <w:tcW w:w="1418" w:type="dxa"/>
          </w:tcPr>
          <w:p w14:paraId="59AD9562"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0.6988</w:t>
            </w:r>
          </w:p>
        </w:tc>
      </w:tr>
      <w:tr w:rsidR="00053E50" w:rsidRPr="003E2FA2" w14:paraId="34945F95" w14:textId="77777777" w:rsidTr="0037233F">
        <w:tc>
          <w:tcPr>
            <w:tcW w:w="4390" w:type="dxa"/>
          </w:tcPr>
          <w:p w14:paraId="484C055E"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Не-CABG PLATO велика</w:t>
            </w:r>
          </w:p>
        </w:tc>
        <w:tc>
          <w:tcPr>
            <w:tcW w:w="1984" w:type="dxa"/>
          </w:tcPr>
          <w:p w14:paraId="2776B1DB"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4.5</w:t>
            </w:r>
          </w:p>
        </w:tc>
        <w:tc>
          <w:tcPr>
            <w:tcW w:w="1559" w:type="dxa"/>
          </w:tcPr>
          <w:p w14:paraId="0F91D5B6"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3.8</w:t>
            </w:r>
          </w:p>
        </w:tc>
        <w:tc>
          <w:tcPr>
            <w:tcW w:w="1418" w:type="dxa"/>
          </w:tcPr>
          <w:p w14:paraId="68C04E9A"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0.0264</w:t>
            </w:r>
          </w:p>
        </w:tc>
      </w:tr>
      <w:tr w:rsidR="00053E50" w:rsidRPr="003E2FA2" w14:paraId="74374860" w14:textId="77777777" w:rsidTr="0037233F">
        <w:tc>
          <w:tcPr>
            <w:tcW w:w="4390" w:type="dxa"/>
          </w:tcPr>
          <w:p w14:paraId="3B23B7B6"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Не-процедурална PLATO велика</w:t>
            </w:r>
          </w:p>
        </w:tc>
        <w:tc>
          <w:tcPr>
            <w:tcW w:w="1984" w:type="dxa"/>
          </w:tcPr>
          <w:p w14:paraId="644BA020"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3.1</w:t>
            </w:r>
          </w:p>
        </w:tc>
        <w:tc>
          <w:tcPr>
            <w:tcW w:w="1559" w:type="dxa"/>
          </w:tcPr>
          <w:p w14:paraId="444AD1C1"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2.3</w:t>
            </w:r>
          </w:p>
        </w:tc>
        <w:tc>
          <w:tcPr>
            <w:tcW w:w="1418" w:type="dxa"/>
          </w:tcPr>
          <w:p w14:paraId="055DA2B2"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0.0058</w:t>
            </w:r>
          </w:p>
        </w:tc>
      </w:tr>
      <w:tr w:rsidR="00053E50" w:rsidRPr="003E2FA2" w14:paraId="678CE08E" w14:textId="77777777" w:rsidTr="0037233F">
        <w:tc>
          <w:tcPr>
            <w:tcW w:w="4390" w:type="dxa"/>
          </w:tcPr>
          <w:p w14:paraId="07E0702F"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PLATO укупна велика + мала</w:t>
            </w:r>
          </w:p>
        </w:tc>
        <w:tc>
          <w:tcPr>
            <w:tcW w:w="1984" w:type="dxa"/>
          </w:tcPr>
          <w:p w14:paraId="483C5E5E"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16.1</w:t>
            </w:r>
          </w:p>
        </w:tc>
        <w:tc>
          <w:tcPr>
            <w:tcW w:w="1559" w:type="dxa"/>
          </w:tcPr>
          <w:p w14:paraId="4EFD04D4"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14.6</w:t>
            </w:r>
          </w:p>
        </w:tc>
        <w:tc>
          <w:tcPr>
            <w:tcW w:w="1418" w:type="dxa"/>
          </w:tcPr>
          <w:p w14:paraId="5BAF1A32"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0.0084</w:t>
            </w:r>
          </w:p>
        </w:tc>
      </w:tr>
      <w:tr w:rsidR="00053E50" w:rsidRPr="003E2FA2" w14:paraId="4CF93EA4" w14:textId="77777777" w:rsidTr="0037233F">
        <w:tc>
          <w:tcPr>
            <w:tcW w:w="4390" w:type="dxa"/>
          </w:tcPr>
          <w:p w14:paraId="228F931C"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Не-процедурална PLATO велика + мала</w:t>
            </w:r>
          </w:p>
        </w:tc>
        <w:tc>
          <w:tcPr>
            <w:tcW w:w="1984" w:type="dxa"/>
          </w:tcPr>
          <w:p w14:paraId="790B65BF"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5.9</w:t>
            </w:r>
          </w:p>
        </w:tc>
        <w:tc>
          <w:tcPr>
            <w:tcW w:w="1559" w:type="dxa"/>
          </w:tcPr>
          <w:p w14:paraId="454B42A7"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4.3</w:t>
            </w:r>
          </w:p>
        </w:tc>
        <w:tc>
          <w:tcPr>
            <w:tcW w:w="1418" w:type="dxa"/>
          </w:tcPr>
          <w:p w14:paraId="7348DAA7"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&lt;0.0001</w:t>
            </w:r>
          </w:p>
        </w:tc>
      </w:tr>
      <w:tr w:rsidR="00053E50" w:rsidRPr="003E2FA2" w14:paraId="332D7F40" w14:textId="77777777" w:rsidTr="0037233F">
        <w:tc>
          <w:tcPr>
            <w:tcW w:w="4390" w:type="dxa"/>
          </w:tcPr>
          <w:p w14:paraId="10E4EABB"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TIMI-дефинисана велика</w:t>
            </w:r>
          </w:p>
        </w:tc>
        <w:tc>
          <w:tcPr>
            <w:tcW w:w="1984" w:type="dxa"/>
          </w:tcPr>
          <w:p w14:paraId="390DB08C"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7.9</w:t>
            </w:r>
          </w:p>
        </w:tc>
        <w:tc>
          <w:tcPr>
            <w:tcW w:w="1559" w:type="dxa"/>
          </w:tcPr>
          <w:p w14:paraId="5D3AAF91"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7.7</w:t>
            </w:r>
          </w:p>
        </w:tc>
        <w:tc>
          <w:tcPr>
            <w:tcW w:w="1418" w:type="dxa"/>
          </w:tcPr>
          <w:p w14:paraId="2F6E3D2C"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0.5669</w:t>
            </w:r>
          </w:p>
        </w:tc>
      </w:tr>
      <w:tr w:rsidR="00053E50" w:rsidRPr="003E2FA2" w14:paraId="65F77AAA" w14:textId="77777777" w:rsidTr="0037233F">
        <w:tc>
          <w:tcPr>
            <w:tcW w:w="4390" w:type="dxa"/>
          </w:tcPr>
          <w:p w14:paraId="737791EA"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TIMI-дефинисана велика + мала</w:t>
            </w:r>
          </w:p>
        </w:tc>
        <w:tc>
          <w:tcPr>
            <w:tcW w:w="1984" w:type="dxa"/>
          </w:tcPr>
          <w:p w14:paraId="4D25ABC7"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11.4</w:t>
            </w:r>
          </w:p>
        </w:tc>
        <w:tc>
          <w:tcPr>
            <w:tcW w:w="1559" w:type="dxa"/>
          </w:tcPr>
          <w:p w14:paraId="393BCF2E"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10.9</w:t>
            </w:r>
          </w:p>
        </w:tc>
        <w:tc>
          <w:tcPr>
            <w:tcW w:w="1418" w:type="dxa"/>
          </w:tcPr>
          <w:p w14:paraId="4687E20A"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0.3272</w:t>
            </w:r>
          </w:p>
        </w:tc>
      </w:tr>
    </w:tbl>
    <w:p w14:paraId="70B52BA5" w14:textId="77777777" w:rsidR="003E2FA2" w:rsidRPr="003E2FA2" w:rsidRDefault="003E2FA2" w:rsidP="00E56A8B">
      <w:pPr>
        <w:spacing w:after="0" w:line="240" w:lineRule="auto"/>
        <w:jc w:val="both"/>
        <w:rPr>
          <w:rFonts w:ascii="Times New Roman" w:eastAsia="Times New Roman" w:hAnsi="Times New Roman" w:cs="Times New Roman"/>
          <w:b/>
        </w:rPr>
      </w:pPr>
    </w:p>
    <w:p w14:paraId="6229AE36" w14:textId="0794C0CD" w:rsidR="00053E50" w:rsidRPr="003E2FA2" w:rsidRDefault="00053E50" w:rsidP="00E56A8B">
      <w:pPr>
        <w:spacing w:after="0" w:line="240" w:lineRule="auto"/>
        <w:jc w:val="both"/>
        <w:rPr>
          <w:rFonts w:ascii="Times New Roman" w:eastAsia="Times New Roman" w:hAnsi="Times New Roman" w:cs="Times New Roman"/>
          <w:b/>
        </w:rPr>
      </w:pPr>
      <w:r w:rsidRPr="003E2FA2">
        <w:rPr>
          <w:rFonts w:ascii="Times New Roman" w:eastAsia="Times New Roman" w:hAnsi="Times New Roman" w:cs="Times New Roman"/>
          <w:b/>
        </w:rPr>
        <w:t>Дефиниција категорије крварења:</w:t>
      </w:r>
    </w:p>
    <w:p w14:paraId="740D4161" w14:textId="052F470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b/>
        </w:rPr>
        <w:t>Велика фатална/опасна по живот крварења</w:t>
      </w:r>
      <w:r w:rsidRPr="003E2FA2">
        <w:rPr>
          <w:rFonts w:ascii="Times New Roman" w:eastAsia="Times New Roman" w:hAnsi="Times New Roman" w:cs="Times New Roman"/>
        </w:rPr>
        <w:t>: Клинички видљива са смањењем хемоглобина &gt; 50 g/</w:t>
      </w:r>
      <w:r w:rsidR="006640D0" w:rsidRPr="003E2FA2">
        <w:rPr>
          <w:rFonts w:ascii="Times New Roman" w:eastAsia="Times New Roman" w:hAnsi="Times New Roman" w:cs="Times New Roman"/>
        </w:rPr>
        <w:t>l</w:t>
      </w:r>
      <w:r w:rsidRPr="003E2FA2">
        <w:rPr>
          <w:rFonts w:ascii="Times New Roman" w:eastAsia="Times New Roman" w:hAnsi="Times New Roman" w:cs="Times New Roman"/>
        </w:rPr>
        <w:t xml:space="preserve"> или трансфузијом ≥ 4 јединице еритроцита; или фатална; или интракранијална; или интраперикардијална са срчаном тампонадом; или са хиповолемијским шоком или тешком хипотензијом која изискује пресоре или хируршку интервенцију.</w:t>
      </w:r>
    </w:p>
    <w:p w14:paraId="3B92186E" w14:textId="01C48900"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b/>
        </w:rPr>
        <w:t>Велика друга крварења:</w:t>
      </w:r>
      <w:r w:rsidRPr="003E2FA2">
        <w:rPr>
          <w:rFonts w:ascii="Times New Roman" w:eastAsia="Times New Roman" w:hAnsi="Times New Roman" w:cs="Times New Roman"/>
        </w:rPr>
        <w:t xml:space="preserve"> Клинички очигледна са смањењем хемоглобина од 30-50 g/</w:t>
      </w:r>
      <w:r w:rsidR="006640D0" w:rsidRPr="003E2FA2">
        <w:rPr>
          <w:rFonts w:ascii="Times New Roman" w:eastAsia="Times New Roman" w:hAnsi="Times New Roman" w:cs="Times New Roman"/>
        </w:rPr>
        <w:t>l</w:t>
      </w:r>
      <w:r w:rsidRPr="003E2FA2">
        <w:rPr>
          <w:rFonts w:ascii="Times New Roman" w:eastAsia="Times New Roman" w:hAnsi="Times New Roman" w:cs="Times New Roman"/>
        </w:rPr>
        <w:t xml:space="preserve"> или трансфузијом 2-3 јединице еритроцита; или значајно онеспособљујућа.</w:t>
      </w:r>
    </w:p>
    <w:p w14:paraId="6EC006E7"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b/>
        </w:rPr>
        <w:t>Мала крварења:</w:t>
      </w:r>
      <w:r w:rsidRPr="003E2FA2">
        <w:rPr>
          <w:rFonts w:ascii="Times New Roman" w:eastAsia="Times New Roman" w:hAnsi="Times New Roman" w:cs="Times New Roman"/>
        </w:rPr>
        <w:t xml:space="preserve"> Изискују медицинску интервенцију за прекид или терапију крварења.</w:t>
      </w:r>
    </w:p>
    <w:p w14:paraId="57D5CF0B" w14:textId="6BC873FA"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b/>
        </w:rPr>
        <w:t>TIMI Велико крварење:</w:t>
      </w:r>
      <w:r w:rsidRPr="003E2FA2">
        <w:rPr>
          <w:rFonts w:ascii="Times New Roman" w:eastAsia="Times New Roman" w:hAnsi="Times New Roman" w:cs="Times New Roman"/>
        </w:rPr>
        <w:t xml:space="preserve"> Клинички видљива са смањењем хемоглобина &gt; 50 g/</w:t>
      </w:r>
      <w:r w:rsidR="006640D0" w:rsidRPr="003E2FA2">
        <w:rPr>
          <w:rFonts w:ascii="Times New Roman" w:eastAsia="Times New Roman" w:hAnsi="Times New Roman" w:cs="Times New Roman"/>
        </w:rPr>
        <w:t>l</w:t>
      </w:r>
      <w:r w:rsidRPr="003E2FA2">
        <w:rPr>
          <w:rFonts w:ascii="Times New Roman" w:eastAsia="Times New Roman" w:hAnsi="Times New Roman" w:cs="Times New Roman"/>
        </w:rPr>
        <w:t xml:space="preserve"> или интракранијалном хеморагијом.</w:t>
      </w:r>
    </w:p>
    <w:p w14:paraId="4074AE0A" w14:textId="041639C2"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b/>
        </w:rPr>
        <w:t>ТIMI Мало крварење:</w:t>
      </w:r>
      <w:r w:rsidRPr="003E2FA2">
        <w:rPr>
          <w:rFonts w:ascii="Times New Roman" w:eastAsia="Times New Roman" w:hAnsi="Times New Roman" w:cs="Times New Roman"/>
        </w:rPr>
        <w:t xml:space="preserve"> Клинички очигледно са смањењем хемоглобина од 30-50 g/</w:t>
      </w:r>
      <w:r w:rsidR="006640D0" w:rsidRPr="003E2FA2">
        <w:rPr>
          <w:rFonts w:ascii="Times New Roman" w:eastAsia="Times New Roman" w:hAnsi="Times New Roman" w:cs="Times New Roman"/>
        </w:rPr>
        <w:t>l</w:t>
      </w:r>
      <w:r w:rsidRPr="003E2FA2">
        <w:rPr>
          <w:rFonts w:ascii="Times New Roman" w:eastAsia="Times New Roman" w:hAnsi="Times New Roman" w:cs="Times New Roman"/>
        </w:rPr>
        <w:t>.</w:t>
      </w:r>
    </w:p>
    <w:p w14:paraId="574595B1"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rPr>
        <w:t>*p-вриједност израчуната из Cox-овог модела пропорционалних хазарда сa терапијском групом као једином експланаторном варијаблом.</w:t>
      </w:r>
    </w:p>
    <w:p w14:paraId="238C7BE6" w14:textId="77777777" w:rsidR="00053E50" w:rsidRPr="003E2FA2" w:rsidRDefault="00053E50" w:rsidP="00E56A8B">
      <w:pPr>
        <w:spacing w:after="0" w:line="240" w:lineRule="auto"/>
        <w:ind w:left="120"/>
        <w:jc w:val="both"/>
        <w:rPr>
          <w:rFonts w:ascii="Times New Roman" w:eastAsia="Times New Roman" w:hAnsi="Times New Roman" w:cs="Times New Roman"/>
        </w:rPr>
      </w:pPr>
    </w:p>
    <w:p w14:paraId="5F79DCCD"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rPr>
        <w:t>Тикагрелор и клопидогрел се нијесу разликовали по стопи PLATO великих фаталних/опасних по живот крварења, PLATO укупних великих крварења, ТIMI великих крварења или ТIMI малих крварења (Табела 2).</w:t>
      </w:r>
      <w:r w:rsidRPr="003E2FA2">
        <w:rPr>
          <w:rFonts w:ascii="Times New Roman" w:eastAsia="Times New Roman" w:hAnsi="Times New Roman" w:cs="Times New Roman"/>
          <w:szCs w:val="24"/>
        </w:rPr>
        <w:t xml:space="preserve"> Међутим, </w:t>
      </w:r>
      <w:r w:rsidRPr="003E2FA2">
        <w:rPr>
          <w:rFonts w:ascii="Times New Roman" w:eastAsia="Times New Roman" w:hAnsi="Times New Roman" w:cs="Times New Roman"/>
        </w:rPr>
        <w:t>већи број PLATO комбинованих великих + малих крварења се јавио са тикагрелором у поређењу са клопидогрелом.</w:t>
      </w:r>
    </w:p>
    <w:p w14:paraId="611891CB"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rPr>
        <w:t>Неколико пацијената из PLATO студије је ималo фатална крварења: 20 (0.2%) који су добијали тикагрелор и 23 (0.3%) који су добијали клопидогрел (погледати дио 4.4).</w:t>
      </w:r>
    </w:p>
    <w:p w14:paraId="069DF31D" w14:textId="77777777" w:rsidR="00053E50" w:rsidRPr="003E2FA2" w:rsidRDefault="00053E50" w:rsidP="00E56A8B">
      <w:pPr>
        <w:spacing w:after="0" w:line="240" w:lineRule="auto"/>
        <w:ind w:left="120"/>
        <w:jc w:val="both"/>
        <w:rPr>
          <w:rFonts w:ascii="Times New Roman" w:eastAsia="Times New Roman" w:hAnsi="Times New Roman" w:cs="Times New Roman"/>
        </w:rPr>
      </w:pPr>
    </w:p>
    <w:p w14:paraId="74845542"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rPr>
        <w:t>На основу старости, пола, тјелесне масе, расе, географске области, истовремених стања, истовремене терапије и медицинске историје, укључујући и претходни мождани удар или транзиторни исхемијски атак, нијесу могла да се предвиде укупна или непроцедурална велика крварења у PLATO студији. Тако ниједна група није идентификована као посебно ризична за било коју подгрупу крварења.</w:t>
      </w:r>
    </w:p>
    <w:p w14:paraId="13C7A7E3" w14:textId="0D312139" w:rsidR="00053E50" w:rsidRPr="003E2FA2" w:rsidRDefault="00053E50" w:rsidP="00E56A8B">
      <w:pPr>
        <w:spacing w:after="0" w:line="240" w:lineRule="auto"/>
        <w:jc w:val="both"/>
        <w:rPr>
          <w:rFonts w:ascii="Times New Roman" w:eastAsia="Times New Roman" w:hAnsi="Times New Roman" w:cs="Times New Roman"/>
        </w:rPr>
      </w:pPr>
    </w:p>
    <w:p w14:paraId="6D8059F2"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rPr>
        <w:lastRenderedPageBreak/>
        <w:t>Крварење везано за CABG:</w:t>
      </w:r>
    </w:p>
    <w:p w14:paraId="700798BD"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rPr>
        <w:t>У PLATO студији, 42% од 1584 пацијента (12% кохорте) који су подвргнути операцији коронарног артеријског бајпаса са графтом (CABG) имало је PLATO велико фатално/опасно по живот крварење без било какве разлике између терапијских група. Фатално CABG крварење се јавило код шест пацијената из сваке терапијске групе (погледати дио 4.4).</w:t>
      </w:r>
    </w:p>
    <w:p w14:paraId="6E7B865D" w14:textId="77777777" w:rsidR="00053E50" w:rsidRPr="003E2FA2" w:rsidRDefault="00053E50" w:rsidP="00E56A8B">
      <w:pPr>
        <w:spacing w:after="0" w:line="240" w:lineRule="auto"/>
        <w:ind w:left="120"/>
        <w:jc w:val="both"/>
        <w:rPr>
          <w:rFonts w:ascii="Times New Roman" w:eastAsia="Times New Roman" w:hAnsi="Times New Roman" w:cs="Times New Roman"/>
        </w:rPr>
      </w:pPr>
    </w:p>
    <w:p w14:paraId="13DE99CB"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rPr>
        <w:t>Крварење које није у вези са CABG и крварење које није у вези са процедуром:</w:t>
      </w:r>
    </w:p>
    <w:p w14:paraId="5DBECBE6" w14:textId="0EC6FECD"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rPr>
        <w:t>Тикагрелор и клопидогрел нијесу се разликовали по PLATO-дефинисаним великим фаталним/по живот опасним крварењима која нијесу била у вези са CABG, али PLATO-дефинисана укупна велика, ТIMI велика и ТIMI велика + мала крварења била су чешћа са тикагрелором. Слично томе, пошто су елиминисана сва крварења која су била у вези са процедуром, већи број крварења јавио се код групе која је добијала тикагрелор него код групе која је добијала клопидогрел (Табела 2). Прекид терапије због крварења које није било у вези са процедуром био је чешћи код групе која је добијала тикагрелор (2.9%) него код групе која је добијала клопидогрел (1.2%; p</w:t>
      </w:r>
      <w:r w:rsidR="0069433E" w:rsidRPr="003E2FA2">
        <w:rPr>
          <w:rFonts w:ascii="Times New Roman" w:eastAsia="Times New Roman" w:hAnsi="Times New Roman" w:cs="Times New Roman"/>
        </w:rPr>
        <w:t xml:space="preserve"> </w:t>
      </w:r>
      <w:r w:rsidRPr="003E2FA2">
        <w:rPr>
          <w:rFonts w:ascii="Times New Roman" w:eastAsia="Times New Roman" w:hAnsi="Times New Roman" w:cs="Times New Roman"/>
        </w:rPr>
        <w:t>&lt;</w:t>
      </w:r>
      <w:r w:rsidR="0069433E" w:rsidRPr="003E2FA2">
        <w:rPr>
          <w:rFonts w:ascii="Times New Roman" w:eastAsia="Times New Roman" w:hAnsi="Times New Roman" w:cs="Times New Roman"/>
        </w:rPr>
        <w:t xml:space="preserve"> </w:t>
      </w:r>
      <w:r w:rsidRPr="003E2FA2">
        <w:rPr>
          <w:rFonts w:ascii="Times New Roman" w:eastAsia="Times New Roman" w:hAnsi="Times New Roman" w:cs="Times New Roman"/>
        </w:rPr>
        <w:t>0.001).</w:t>
      </w:r>
    </w:p>
    <w:p w14:paraId="7BA11782" w14:textId="77777777" w:rsidR="00053E50" w:rsidRPr="003E2FA2" w:rsidRDefault="00053E50" w:rsidP="00E56A8B">
      <w:pPr>
        <w:spacing w:after="0" w:line="240" w:lineRule="auto"/>
        <w:ind w:left="120"/>
        <w:jc w:val="both"/>
        <w:rPr>
          <w:rFonts w:ascii="Times New Roman" w:eastAsia="Times New Roman" w:hAnsi="Times New Roman" w:cs="Times New Roman"/>
        </w:rPr>
      </w:pPr>
    </w:p>
    <w:p w14:paraId="6E0FD813"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rPr>
        <w:t>Интракранијално крварење:</w:t>
      </w:r>
    </w:p>
    <w:p w14:paraId="70E148DC" w14:textId="77777777"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rPr>
        <w:t>Број интракранијалних крварења која нијесу била у вези са процедуром био је већи код групе која је добијала тикагрелор (n=27 крварења код 26 пацијената, 0.3%) него код групе која је добијала клопидогрел (n=14 крварења, 0.2%), од чега је 11 крварења у групи која је добијала тикагрелор и једно у групи која је добијала клопидогрел било фатално. Није било разлике у укупним фаталним крварењима.</w:t>
      </w:r>
    </w:p>
    <w:p w14:paraId="0DB518C9" w14:textId="77777777" w:rsidR="00053E50" w:rsidRPr="003E2FA2" w:rsidRDefault="00053E50" w:rsidP="00E56A8B">
      <w:pPr>
        <w:spacing w:after="0" w:line="240" w:lineRule="auto"/>
        <w:ind w:left="120"/>
        <w:jc w:val="both"/>
        <w:rPr>
          <w:rFonts w:ascii="Times New Roman" w:eastAsia="Times New Roman" w:hAnsi="Times New Roman" w:cs="Times New Roman"/>
        </w:rPr>
      </w:pPr>
    </w:p>
    <w:p w14:paraId="77848A0B" w14:textId="77777777" w:rsidR="00053E50" w:rsidRPr="003E2FA2" w:rsidRDefault="00053E50" w:rsidP="00E56A8B">
      <w:pPr>
        <w:spacing w:after="0" w:line="240" w:lineRule="auto"/>
        <w:ind w:left="120"/>
        <w:jc w:val="both"/>
        <w:rPr>
          <w:rFonts w:ascii="Times New Roman" w:eastAsia="Times New Roman" w:hAnsi="Times New Roman" w:cs="Times New Roman"/>
          <w:i/>
        </w:rPr>
      </w:pPr>
      <w:r w:rsidRPr="003E2FA2">
        <w:rPr>
          <w:rFonts w:ascii="Times New Roman" w:eastAsia="Times New Roman" w:hAnsi="Times New Roman" w:cs="Times New Roman"/>
          <w:i/>
        </w:rPr>
        <w:t>Закључци о крварењу из студије PEGASUS</w:t>
      </w:r>
    </w:p>
    <w:p w14:paraId="32B0BC96" w14:textId="3B70D2FE" w:rsidR="00053E50" w:rsidRPr="003E2FA2" w:rsidRDefault="00053E50" w:rsidP="00E56A8B">
      <w:pPr>
        <w:spacing w:after="0" w:line="240" w:lineRule="auto"/>
        <w:ind w:left="120"/>
        <w:jc w:val="both"/>
        <w:rPr>
          <w:rFonts w:ascii="Times New Roman" w:eastAsia="Times New Roman" w:hAnsi="Times New Roman" w:cs="Times New Roman"/>
        </w:rPr>
      </w:pPr>
      <w:r w:rsidRPr="003E2FA2">
        <w:rPr>
          <w:rFonts w:ascii="Times New Roman" w:eastAsia="Times New Roman" w:hAnsi="Times New Roman" w:cs="Times New Roman"/>
        </w:rPr>
        <w:t>Укупни исходи учесталости крварења у PEGASUS студији приказани су на Табели 3</w:t>
      </w:r>
      <w:r w:rsidR="0069433E" w:rsidRPr="003E2FA2">
        <w:rPr>
          <w:rFonts w:ascii="Times New Roman" w:eastAsia="Times New Roman" w:hAnsi="Times New Roman" w:cs="Times New Roman"/>
        </w:rPr>
        <w:t>.</w:t>
      </w:r>
    </w:p>
    <w:p w14:paraId="3EDA46DD" w14:textId="77777777" w:rsidR="00053E50" w:rsidRPr="003E2FA2" w:rsidRDefault="00053E50" w:rsidP="00E56A8B">
      <w:pPr>
        <w:spacing w:after="0" w:line="240" w:lineRule="auto"/>
        <w:ind w:left="120"/>
        <w:jc w:val="both"/>
        <w:rPr>
          <w:rFonts w:ascii="Times New Roman" w:eastAsia="Times New Roman" w:hAnsi="Times New Roman" w:cs="Times New Roman"/>
          <w:u w:val="single"/>
        </w:rPr>
      </w:pPr>
    </w:p>
    <w:p w14:paraId="56DD6D2B" w14:textId="77777777" w:rsidR="00053E50" w:rsidRPr="003E2FA2" w:rsidRDefault="00053E50" w:rsidP="00E56A8B">
      <w:pPr>
        <w:spacing w:after="0" w:line="240" w:lineRule="auto"/>
        <w:ind w:left="120"/>
        <w:jc w:val="both"/>
        <w:rPr>
          <w:rFonts w:ascii="Times New Roman" w:eastAsia="Times New Roman" w:hAnsi="Times New Roman" w:cs="Times New Roman"/>
          <w:b/>
        </w:rPr>
      </w:pPr>
      <w:r w:rsidRPr="003E2FA2">
        <w:rPr>
          <w:rFonts w:ascii="Times New Roman" w:eastAsia="Times New Roman" w:hAnsi="Times New Roman" w:cs="Times New Roman"/>
          <w:b/>
        </w:rPr>
        <w:t>Табела 3 – Анализа свеукупних догађаја крварења, Kaplan-Meier-ова процјена након 36 мјесеци (PEGASUS)</w:t>
      </w:r>
    </w:p>
    <w:p w14:paraId="07B1DF25" w14:textId="77777777" w:rsidR="00053E50" w:rsidRPr="003E2FA2" w:rsidRDefault="00053E50" w:rsidP="00E56A8B">
      <w:pPr>
        <w:spacing w:after="0" w:line="240" w:lineRule="auto"/>
        <w:ind w:left="120"/>
        <w:jc w:val="both"/>
        <w:rPr>
          <w:rFonts w:ascii="Times New Roman" w:eastAsia="Times New Roman" w:hAnsi="Times New Roman" w:cs="Times New Roman"/>
          <w:u w:val="single"/>
        </w:rPr>
      </w:pPr>
    </w:p>
    <w:tbl>
      <w:tblPr>
        <w:tblStyle w:val="TableGrid"/>
        <w:tblW w:w="0" w:type="auto"/>
        <w:tblLook w:val="04A0" w:firstRow="1" w:lastRow="0" w:firstColumn="1" w:lastColumn="0" w:noHBand="0" w:noVBand="1"/>
      </w:tblPr>
      <w:tblGrid>
        <w:gridCol w:w="3256"/>
        <w:gridCol w:w="1275"/>
        <w:gridCol w:w="1418"/>
        <w:gridCol w:w="1981"/>
        <w:gridCol w:w="1411"/>
      </w:tblGrid>
      <w:tr w:rsidR="00053E50" w:rsidRPr="003E2FA2" w14:paraId="4137B0E1" w14:textId="77777777" w:rsidTr="0037233F">
        <w:tc>
          <w:tcPr>
            <w:tcW w:w="3256" w:type="dxa"/>
          </w:tcPr>
          <w:p w14:paraId="4DCA3DB8"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b/>
              </w:rPr>
            </w:pPr>
          </w:p>
        </w:tc>
        <w:tc>
          <w:tcPr>
            <w:tcW w:w="2693" w:type="dxa"/>
            <w:gridSpan w:val="2"/>
          </w:tcPr>
          <w:p w14:paraId="62AEAD49"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Tикагрелор 60 mg два пута</w:t>
            </w:r>
          </w:p>
          <w:p w14:paraId="623AA382"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дневно + ацетилсалицилна киселина</w:t>
            </w:r>
          </w:p>
          <w:p w14:paraId="7E9F91D5" w14:textId="2C961D93"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N</w:t>
            </w:r>
            <w:r w:rsidR="00085BD8" w:rsidRPr="003E2FA2">
              <w:rPr>
                <w:rFonts w:ascii="Times New Roman" w:eastAsia="Times New Roman" w:hAnsi="Times New Roman" w:cs="Times New Roman"/>
                <w:b/>
              </w:rPr>
              <w:t xml:space="preserve"> </w:t>
            </w:r>
            <w:r w:rsidRPr="003E2FA2">
              <w:rPr>
                <w:rFonts w:ascii="Times New Roman" w:eastAsia="Times New Roman" w:hAnsi="Times New Roman" w:cs="Times New Roman"/>
                <w:b/>
              </w:rPr>
              <w:t>=</w:t>
            </w:r>
            <w:r w:rsidR="00085BD8" w:rsidRPr="003E2FA2">
              <w:rPr>
                <w:rFonts w:ascii="Times New Roman" w:eastAsia="Times New Roman" w:hAnsi="Times New Roman" w:cs="Times New Roman"/>
                <w:b/>
              </w:rPr>
              <w:t xml:space="preserve"> </w:t>
            </w:r>
            <w:r w:rsidRPr="003E2FA2">
              <w:rPr>
                <w:rFonts w:ascii="Times New Roman" w:eastAsia="Times New Roman" w:hAnsi="Times New Roman" w:cs="Times New Roman"/>
                <w:b/>
              </w:rPr>
              <w:t>6958</w:t>
            </w:r>
          </w:p>
        </w:tc>
        <w:tc>
          <w:tcPr>
            <w:tcW w:w="1701" w:type="dxa"/>
          </w:tcPr>
          <w:p w14:paraId="4AAA8FE4"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Само ацетилсалицилна киселина</w:t>
            </w:r>
          </w:p>
          <w:p w14:paraId="0C5EECE2" w14:textId="08DB8E72"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N</w:t>
            </w:r>
            <w:r w:rsidR="00085BD8" w:rsidRPr="003E2FA2">
              <w:rPr>
                <w:rFonts w:ascii="Times New Roman" w:eastAsia="Times New Roman" w:hAnsi="Times New Roman" w:cs="Times New Roman"/>
                <w:b/>
              </w:rPr>
              <w:t xml:space="preserve"> </w:t>
            </w:r>
            <w:r w:rsidRPr="003E2FA2">
              <w:rPr>
                <w:rFonts w:ascii="Times New Roman" w:eastAsia="Times New Roman" w:hAnsi="Times New Roman" w:cs="Times New Roman"/>
                <w:b/>
              </w:rPr>
              <w:t>=</w:t>
            </w:r>
            <w:r w:rsidR="00085BD8" w:rsidRPr="003E2FA2">
              <w:rPr>
                <w:rFonts w:ascii="Times New Roman" w:eastAsia="Times New Roman" w:hAnsi="Times New Roman" w:cs="Times New Roman"/>
                <w:b/>
              </w:rPr>
              <w:t xml:space="preserve"> </w:t>
            </w:r>
            <w:r w:rsidRPr="003E2FA2">
              <w:rPr>
                <w:rFonts w:ascii="Times New Roman" w:eastAsia="Times New Roman" w:hAnsi="Times New Roman" w:cs="Times New Roman"/>
                <w:b/>
              </w:rPr>
              <w:t>6996</w:t>
            </w:r>
          </w:p>
        </w:tc>
        <w:tc>
          <w:tcPr>
            <w:tcW w:w="1411" w:type="dxa"/>
          </w:tcPr>
          <w:p w14:paraId="30B23F6B"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p>
        </w:tc>
      </w:tr>
      <w:tr w:rsidR="00053E50" w:rsidRPr="003E2FA2" w14:paraId="6780C6B6" w14:textId="77777777" w:rsidTr="0037233F">
        <w:tc>
          <w:tcPr>
            <w:tcW w:w="3256" w:type="dxa"/>
          </w:tcPr>
          <w:p w14:paraId="10898CBF"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b/>
              </w:rPr>
            </w:pPr>
            <w:r w:rsidRPr="003E2FA2">
              <w:rPr>
                <w:rFonts w:ascii="Times New Roman" w:eastAsia="Times New Roman" w:hAnsi="Times New Roman" w:cs="Times New Roman"/>
                <w:b/>
              </w:rPr>
              <w:t>Сигурносни исходи</w:t>
            </w:r>
          </w:p>
        </w:tc>
        <w:tc>
          <w:tcPr>
            <w:tcW w:w="1275" w:type="dxa"/>
          </w:tcPr>
          <w:p w14:paraId="07E9292C"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KM%</w:t>
            </w:r>
          </w:p>
        </w:tc>
        <w:tc>
          <w:tcPr>
            <w:tcW w:w="1418" w:type="dxa"/>
          </w:tcPr>
          <w:p w14:paraId="16DD2FCA"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Однос ризика</w:t>
            </w:r>
          </w:p>
          <w:p w14:paraId="3E7F11B4"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(95% CI)</w:t>
            </w:r>
          </w:p>
        </w:tc>
        <w:tc>
          <w:tcPr>
            <w:tcW w:w="1701" w:type="dxa"/>
          </w:tcPr>
          <w:p w14:paraId="2BD6FE82"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rPr>
              <w:t>KM%</w:t>
            </w:r>
          </w:p>
        </w:tc>
        <w:tc>
          <w:tcPr>
            <w:tcW w:w="1411" w:type="dxa"/>
          </w:tcPr>
          <w:p w14:paraId="71EE8C14"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b/>
              </w:rPr>
            </w:pPr>
            <w:r w:rsidRPr="003E2FA2">
              <w:rPr>
                <w:rFonts w:ascii="Times New Roman" w:eastAsia="Times New Roman" w:hAnsi="Times New Roman" w:cs="Times New Roman"/>
                <w:b/>
                <w:i/>
              </w:rPr>
              <w:t>p</w:t>
            </w:r>
            <w:r w:rsidRPr="003E2FA2">
              <w:rPr>
                <w:rFonts w:ascii="Times New Roman" w:eastAsia="Times New Roman" w:hAnsi="Times New Roman" w:cs="Times New Roman"/>
                <w:b/>
              </w:rPr>
              <w:t>-вриједност</w:t>
            </w:r>
          </w:p>
        </w:tc>
      </w:tr>
      <w:tr w:rsidR="00053E50" w:rsidRPr="003E2FA2" w14:paraId="0065A220" w14:textId="77777777" w:rsidTr="0037233F">
        <w:tc>
          <w:tcPr>
            <w:tcW w:w="9061" w:type="dxa"/>
            <w:gridSpan w:val="5"/>
          </w:tcPr>
          <w:p w14:paraId="5254203D"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b/>
              </w:rPr>
            </w:pPr>
            <w:r w:rsidRPr="003E2FA2">
              <w:rPr>
                <w:rFonts w:ascii="Times New Roman" w:eastAsia="Times New Roman" w:hAnsi="Times New Roman" w:cs="Times New Roman"/>
                <w:b/>
              </w:rPr>
              <w:t>Категорије крварења дефинисане по TIMI</w:t>
            </w:r>
          </w:p>
        </w:tc>
      </w:tr>
      <w:tr w:rsidR="00053E50" w:rsidRPr="003E2FA2" w14:paraId="5707D106" w14:textId="77777777" w:rsidTr="0037233F">
        <w:tc>
          <w:tcPr>
            <w:tcW w:w="3256" w:type="dxa"/>
          </w:tcPr>
          <w:p w14:paraId="5609508F"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TIMI велика</w:t>
            </w:r>
          </w:p>
        </w:tc>
        <w:tc>
          <w:tcPr>
            <w:tcW w:w="1275" w:type="dxa"/>
          </w:tcPr>
          <w:p w14:paraId="3E645ADD"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2.3</w:t>
            </w:r>
          </w:p>
        </w:tc>
        <w:tc>
          <w:tcPr>
            <w:tcW w:w="1418" w:type="dxa"/>
          </w:tcPr>
          <w:p w14:paraId="2AFE9B24"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2.32</w:t>
            </w:r>
          </w:p>
          <w:p w14:paraId="0492792A"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(1.68, 3.21)</w:t>
            </w:r>
          </w:p>
        </w:tc>
        <w:tc>
          <w:tcPr>
            <w:tcW w:w="1701" w:type="dxa"/>
          </w:tcPr>
          <w:p w14:paraId="023F05DF"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1.1</w:t>
            </w:r>
          </w:p>
        </w:tc>
        <w:tc>
          <w:tcPr>
            <w:tcW w:w="1411" w:type="dxa"/>
          </w:tcPr>
          <w:p w14:paraId="46D0E5AC"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&lt;0.0001</w:t>
            </w:r>
          </w:p>
        </w:tc>
      </w:tr>
      <w:tr w:rsidR="00053E50" w:rsidRPr="003E2FA2" w14:paraId="4950B1F1" w14:textId="77777777" w:rsidTr="0037233F">
        <w:tc>
          <w:tcPr>
            <w:tcW w:w="3256" w:type="dxa"/>
          </w:tcPr>
          <w:p w14:paraId="61EAC658" w14:textId="77777777" w:rsidR="00053E50" w:rsidRPr="003E2FA2" w:rsidRDefault="00053E50" w:rsidP="00E56A8B">
            <w:pPr>
              <w:tabs>
                <w:tab w:val="left" w:pos="284"/>
              </w:tabs>
              <w:autoSpaceDE w:val="0"/>
              <w:autoSpaceDN w:val="0"/>
              <w:adjustRightInd w:val="0"/>
              <w:ind w:left="457"/>
              <w:jc w:val="both"/>
              <w:rPr>
                <w:rFonts w:ascii="Times New Roman" w:eastAsia="Times New Roman" w:hAnsi="Times New Roman" w:cs="Times New Roman"/>
              </w:rPr>
            </w:pPr>
            <w:r w:rsidRPr="003E2FA2">
              <w:rPr>
                <w:rFonts w:ascii="Times New Roman" w:eastAsia="Times New Roman" w:hAnsi="Times New Roman" w:cs="Times New Roman"/>
              </w:rPr>
              <w:t>Фатална</w:t>
            </w:r>
          </w:p>
        </w:tc>
        <w:tc>
          <w:tcPr>
            <w:tcW w:w="1275" w:type="dxa"/>
          </w:tcPr>
          <w:p w14:paraId="06C7FEC8"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0.3</w:t>
            </w:r>
          </w:p>
        </w:tc>
        <w:tc>
          <w:tcPr>
            <w:tcW w:w="1418" w:type="dxa"/>
          </w:tcPr>
          <w:p w14:paraId="4185E5D8"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1.00</w:t>
            </w:r>
          </w:p>
          <w:p w14:paraId="48CF693C"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(0.44, 2.27)</w:t>
            </w:r>
          </w:p>
        </w:tc>
        <w:tc>
          <w:tcPr>
            <w:tcW w:w="1701" w:type="dxa"/>
          </w:tcPr>
          <w:p w14:paraId="5804ED80"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0.3</w:t>
            </w:r>
          </w:p>
        </w:tc>
        <w:tc>
          <w:tcPr>
            <w:tcW w:w="1411" w:type="dxa"/>
          </w:tcPr>
          <w:p w14:paraId="50182503"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1.0000</w:t>
            </w:r>
          </w:p>
        </w:tc>
      </w:tr>
      <w:tr w:rsidR="00053E50" w:rsidRPr="003E2FA2" w14:paraId="61A68A1F" w14:textId="77777777" w:rsidTr="0037233F">
        <w:tc>
          <w:tcPr>
            <w:tcW w:w="3256" w:type="dxa"/>
          </w:tcPr>
          <w:p w14:paraId="37C739D3" w14:textId="77777777" w:rsidR="00053E50" w:rsidRPr="003E2FA2" w:rsidRDefault="00053E50" w:rsidP="00E56A8B">
            <w:pPr>
              <w:tabs>
                <w:tab w:val="left" w:pos="284"/>
              </w:tabs>
              <w:autoSpaceDE w:val="0"/>
              <w:autoSpaceDN w:val="0"/>
              <w:adjustRightInd w:val="0"/>
              <w:ind w:left="457"/>
              <w:jc w:val="both"/>
              <w:rPr>
                <w:rFonts w:ascii="Times New Roman" w:eastAsia="Times New Roman" w:hAnsi="Times New Roman" w:cs="Times New Roman"/>
              </w:rPr>
            </w:pPr>
            <w:r w:rsidRPr="003E2FA2">
              <w:rPr>
                <w:rFonts w:ascii="Times New Roman" w:eastAsia="Times New Roman" w:hAnsi="Times New Roman" w:cs="Times New Roman"/>
              </w:rPr>
              <w:t>ICH</w:t>
            </w:r>
          </w:p>
        </w:tc>
        <w:tc>
          <w:tcPr>
            <w:tcW w:w="1275" w:type="dxa"/>
          </w:tcPr>
          <w:p w14:paraId="7102343B"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0.6</w:t>
            </w:r>
          </w:p>
        </w:tc>
        <w:tc>
          <w:tcPr>
            <w:tcW w:w="1418" w:type="dxa"/>
          </w:tcPr>
          <w:p w14:paraId="7C9AC0CD"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1.33</w:t>
            </w:r>
          </w:p>
          <w:p w14:paraId="57E384F6"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(0.77, 2.31)</w:t>
            </w:r>
          </w:p>
        </w:tc>
        <w:tc>
          <w:tcPr>
            <w:tcW w:w="1701" w:type="dxa"/>
          </w:tcPr>
          <w:p w14:paraId="4E70C162"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0.5</w:t>
            </w:r>
          </w:p>
        </w:tc>
        <w:tc>
          <w:tcPr>
            <w:tcW w:w="1411" w:type="dxa"/>
          </w:tcPr>
          <w:p w14:paraId="56B7BBA5"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0.3130</w:t>
            </w:r>
          </w:p>
        </w:tc>
      </w:tr>
      <w:tr w:rsidR="00053E50" w:rsidRPr="003E2FA2" w14:paraId="66F4D259" w14:textId="77777777" w:rsidTr="0037233F">
        <w:tc>
          <w:tcPr>
            <w:tcW w:w="3256" w:type="dxa"/>
          </w:tcPr>
          <w:p w14:paraId="4D0DB7A7" w14:textId="77777777" w:rsidR="00053E50" w:rsidRPr="003E2FA2" w:rsidRDefault="00053E50" w:rsidP="00E56A8B">
            <w:pPr>
              <w:tabs>
                <w:tab w:val="left" w:pos="284"/>
              </w:tabs>
              <w:autoSpaceDE w:val="0"/>
              <w:autoSpaceDN w:val="0"/>
              <w:adjustRightInd w:val="0"/>
              <w:ind w:left="457"/>
              <w:jc w:val="both"/>
              <w:rPr>
                <w:rFonts w:ascii="Times New Roman" w:eastAsia="Times New Roman" w:hAnsi="Times New Roman" w:cs="Times New Roman"/>
              </w:rPr>
            </w:pPr>
            <w:r w:rsidRPr="003E2FA2">
              <w:rPr>
                <w:rFonts w:ascii="Times New Roman" w:eastAsia="Times New Roman" w:hAnsi="Times New Roman" w:cs="Times New Roman"/>
              </w:rPr>
              <w:t>Oстала TIMI велика</w:t>
            </w:r>
          </w:p>
        </w:tc>
        <w:tc>
          <w:tcPr>
            <w:tcW w:w="1275" w:type="dxa"/>
          </w:tcPr>
          <w:p w14:paraId="224B6D31"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1.6</w:t>
            </w:r>
          </w:p>
        </w:tc>
        <w:tc>
          <w:tcPr>
            <w:tcW w:w="1418" w:type="dxa"/>
          </w:tcPr>
          <w:p w14:paraId="42A8BD61"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3.61</w:t>
            </w:r>
          </w:p>
          <w:p w14:paraId="5E75FE24"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(2.31, 5.65)</w:t>
            </w:r>
          </w:p>
        </w:tc>
        <w:tc>
          <w:tcPr>
            <w:tcW w:w="1701" w:type="dxa"/>
          </w:tcPr>
          <w:p w14:paraId="6FA384FD"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0.5</w:t>
            </w:r>
          </w:p>
        </w:tc>
        <w:tc>
          <w:tcPr>
            <w:tcW w:w="1411" w:type="dxa"/>
          </w:tcPr>
          <w:p w14:paraId="6F31DCE9"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&lt;0.0001</w:t>
            </w:r>
          </w:p>
        </w:tc>
      </w:tr>
      <w:tr w:rsidR="00053E50" w:rsidRPr="003E2FA2" w14:paraId="6B3AFCF9" w14:textId="77777777" w:rsidTr="0037233F">
        <w:tc>
          <w:tcPr>
            <w:tcW w:w="3256" w:type="dxa"/>
          </w:tcPr>
          <w:p w14:paraId="59369C56"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TIMI велика или мала</w:t>
            </w:r>
          </w:p>
        </w:tc>
        <w:tc>
          <w:tcPr>
            <w:tcW w:w="1275" w:type="dxa"/>
          </w:tcPr>
          <w:p w14:paraId="1F1880B0"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3.4</w:t>
            </w:r>
          </w:p>
        </w:tc>
        <w:tc>
          <w:tcPr>
            <w:tcW w:w="1418" w:type="dxa"/>
          </w:tcPr>
          <w:p w14:paraId="0A0D9391"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2.54</w:t>
            </w:r>
          </w:p>
          <w:p w14:paraId="45E2DAEC"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(1.93, 3.35)</w:t>
            </w:r>
          </w:p>
        </w:tc>
        <w:tc>
          <w:tcPr>
            <w:tcW w:w="1701" w:type="dxa"/>
          </w:tcPr>
          <w:p w14:paraId="2AF560E2"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1.4</w:t>
            </w:r>
          </w:p>
        </w:tc>
        <w:tc>
          <w:tcPr>
            <w:tcW w:w="1411" w:type="dxa"/>
          </w:tcPr>
          <w:p w14:paraId="22928D14"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&lt;0.0001</w:t>
            </w:r>
          </w:p>
        </w:tc>
      </w:tr>
      <w:tr w:rsidR="00053E50" w:rsidRPr="003E2FA2" w14:paraId="119A8262" w14:textId="77777777" w:rsidTr="0037233F">
        <w:tc>
          <w:tcPr>
            <w:tcW w:w="3256" w:type="dxa"/>
          </w:tcPr>
          <w:p w14:paraId="5107CBF3"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TIMI велика или мала или која захтијевају медициску пажњу</w:t>
            </w:r>
          </w:p>
        </w:tc>
        <w:tc>
          <w:tcPr>
            <w:tcW w:w="1275" w:type="dxa"/>
          </w:tcPr>
          <w:p w14:paraId="33280DE8"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16.6</w:t>
            </w:r>
          </w:p>
        </w:tc>
        <w:tc>
          <w:tcPr>
            <w:tcW w:w="1418" w:type="dxa"/>
          </w:tcPr>
          <w:p w14:paraId="22AA54F3"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2.64</w:t>
            </w:r>
          </w:p>
          <w:p w14:paraId="7B89B5AE"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(2.35, 2.97)</w:t>
            </w:r>
          </w:p>
        </w:tc>
        <w:tc>
          <w:tcPr>
            <w:tcW w:w="1701" w:type="dxa"/>
          </w:tcPr>
          <w:p w14:paraId="6D0BD862"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7.0</w:t>
            </w:r>
          </w:p>
        </w:tc>
        <w:tc>
          <w:tcPr>
            <w:tcW w:w="1411" w:type="dxa"/>
          </w:tcPr>
          <w:p w14:paraId="7A791152"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&lt;0.0001</w:t>
            </w:r>
          </w:p>
        </w:tc>
      </w:tr>
      <w:tr w:rsidR="00053E50" w:rsidRPr="003E2FA2" w14:paraId="69493F8E" w14:textId="77777777" w:rsidTr="0037233F">
        <w:tc>
          <w:tcPr>
            <w:tcW w:w="9061" w:type="dxa"/>
            <w:gridSpan w:val="5"/>
          </w:tcPr>
          <w:p w14:paraId="6F88AC5C" w14:textId="77777777" w:rsidR="00053E50" w:rsidRPr="003E2FA2" w:rsidRDefault="00053E50" w:rsidP="007669F5">
            <w:pPr>
              <w:tabs>
                <w:tab w:val="left" w:pos="284"/>
              </w:tabs>
              <w:autoSpaceDE w:val="0"/>
              <w:autoSpaceDN w:val="0"/>
              <w:adjustRightInd w:val="0"/>
              <w:rPr>
                <w:rFonts w:ascii="Times New Roman" w:eastAsia="Times New Roman" w:hAnsi="Times New Roman" w:cs="Times New Roman"/>
                <w:b/>
              </w:rPr>
            </w:pPr>
            <w:r w:rsidRPr="003E2FA2">
              <w:rPr>
                <w:rFonts w:ascii="Times New Roman" w:eastAsia="Times New Roman" w:hAnsi="Times New Roman" w:cs="Times New Roman"/>
                <w:b/>
              </w:rPr>
              <w:t>Категорије крварења дефинисане по PLATO</w:t>
            </w:r>
          </w:p>
        </w:tc>
      </w:tr>
      <w:tr w:rsidR="00053E50" w:rsidRPr="003E2FA2" w14:paraId="3FA32412" w14:textId="77777777" w:rsidTr="0037233F">
        <w:tc>
          <w:tcPr>
            <w:tcW w:w="3256" w:type="dxa"/>
          </w:tcPr>
          <w:p w14:paraId="3A18076C"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PLATO велика</w:t>
            </w:r>
          </w:p>
        </w:tc>
        <w:tc>
          <w:tcPr>
            <w:tcW w:w="1275" w:type="dxa"/>
          </w:tcPr>
          <w:p w14:paraId="46E19619"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3.5</w:t>
            </w:r>
          </w:p>
        </w:tc>
        <w:tc>
          <w:tcPr>
            <w:tcW w:w="1418" w:type="dxa"/>
          </w:tcPr>
          <w:p w14:paraId="57480B15"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2.57</w:t>
            </w:r>
          </w:p>
          <w:p w14:paraId="5E63E061"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(1.95, 3.37)</w:t>
            </w:r>
          </w:p>
          <w:p w14:paraId="01DE01D8" w14:textId="172E1838" w:rsidR="003E2FA2" w:rsidRPr="003E2FA2" w:rsidRDefault="003E2FA2" w:rsidP="007669F5">
            <w:pPr>
              <w:tabs>
                <w:tab w:val="left" w:pos="284"/>
              </w:tabs>
              <w:autoSpaceDE w:val="0"/>
              <w:autoSpaceDN w:val="0"/>
              <w:adjustRightInd w:val="0"/>
              <w:jc w:val="center"/>
              <w:rPr>
                <w:rFonts w:ascii="Times New Roman" w:eastAsia="Times New Roman" w:hAnsi="Times New Roman" w:cs="Times New Roman"/>
              </w:rPr>
            </w:pPr>
          </w:p>
        </w:tc>
        <w:tc>
          <w:tcPr>
            <w:tcW w:w="1701" w:type="dxa"/>
          </w:tcPr>
          <w:p w14:paraId="3CF96D72"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1.4</w:t>
            </w:r>
          </w:p>
        </w:tc>
        <w:tc>
          <w:tcPr>
            <w:tcW w:w="1411" w:type="dxa"/>
          </w:tcPr>
          <w:p w14:paraId="47E88E2D"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&lt;0.0001</w:t>
            </w:r>
          </w:p>
        </w:tc>
      </w:tr>
      <w:tr w:rsidR="00053E50" w:rsidRPr="003E2FA2" w14:paraId="2D914577" w14:textId="77777777" w:rsidTr="0037233F">
        <w:tc>
          <w:tcPr>
            <w:tcW w:w="3256" w:type="dxa"/>
          </w:tcPr>
          <w:p w14:paraId="70ABAA91" w14:textId="77777777" w:rsidR="00053E50" w:rsidRPr="003E2FA2" w:rsidRDefault="00053E50" w:rsidP="00E56A8B">
            <w:pPr>
              <w:tabs>
                <w:tab w:val="left" w:pos="284"/>
              </w:tabs>
              <w:autoSpaceDE w:val="0"/>
              <w:autoSpaceDN w:val="0"/>
              <w:adjustRightInd w:val="0"/>
              <w:ind w:left="457"/>
              <w:jc w:val="both"/>
              <w:rPr>
                <w:rFonts w:ascii="Times New Roman" w:eastAsia="Times New Roman" w:hAnsi="Times New Roman" w:cs="Times New Roman"/>
              </w:rPr>
            </w:pPr>
            <w:r w:rsidRPr="003E2FA2">
              <w:rPr>
                <w:rFonts w:ascii="Times New Roman" w:eastAsia="Times New Roman" w:hAnsi="Times New Roman" w:cs="Times New Roman"/>
              </w:rPr>
              <w:lastRenderedPageBreak/>
              <w:t>Фатална/Опасна по живот</w:t>
            </w:r>
          </w:p>
        </w:tc>
        <w:tc>
          <w:tcPr>
            <w:tcW w:w="1275" w:type="dxa"/>
          </w:tcPr>
          <w:p w14:paraId="04BB6953"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2.4</w:t>
            </w:r>
          </w:p>
        </w:tc>
        <w:tc>
          <w:tcPr>
            <w:tcW w:w="1418" w:type="dxa"/>
          </w:tcPr>
          <w:p w14:paraId="24C45751"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2.38</w:t>
            </w:r>
          </w:p>
          <w:p w14:paraId="1B5680D1"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(1.73, 3.26)</w:t>
            </w:r>
          </w:p>
        </w:tc>
        <w:tc>
          <w:tcPr>
            <w:tcW w:w="1701" w:type="dxa"/>
          </w:tcPr>
          <w:p w14:paraId="609882DA"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1.1</w:t>
            </w:r>
          </w:p>
        </w:tc>
        <w:tc>
          <w:tcPr>
            <w:tcW w:w="1411" w:type="dxa"/>
          </w:tcPr>
          <w:p w14:paraId="55E0D67C"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&lt;0.0001</w:t>
            </w:r>
          </w:p>
        </w:tc>
      </w:tr>
      <w:tr w:rsidR="00053E50" w:rsidRPr="003E2FA2" w14:paraId="780E7DB9" w14:textId="77777777" w:rsidTr="0037233F">
        <w:tc>
          <w:tcPr>
            <w:tcW w:w="3256" w:type="dxa"/>
          </w:tcPr>
          <w:p w14:paraId="3922A7B8" w14:textId="77777777" w:rsidR="00053E50" w:rsidRPr="003E2FA2" w:rsidRDefault="00053E50" w:rsidP="00E56A8B">
            <w:pPr>
              <w:tabs>
                <w:tab w:val="left" w:pos="284"/>
              </w:tabs>
              <w:autoSpaceDE w:val="0"/>
              <w:autoSpaceDN w:val="0"/>
              <w:adjustRightInd w:val="0"/>
              <w:ind w:left="457"/>
              <w:jc w:val="both"/>
              <w:rPr>
                <w:rFonts w:ascii="Times New Roman" w:eastAsia="Times New Roman" w:hAnsi="Times New Roman" w:cs="Times New Roman"/>
              </w:rPr>
            </w:pPr>
            <w:r w:rsidRPr="003E2FA2">
              <w:rPr>
                <w:rFonts w:ascii="Times New Roman" w:eastAsia="Times New Roman" w:hAnsi="Times New Roman" w:cs="Times New Roman"/>
              </w:rPr>
              <w:t>Oстала PLATO велика</w:t>
            </w:r>
          </w:p>
        </w:tc>
        <w:tc>
          <w:tcPr>
            <w:tcW w:w="1275" w:type="dxa"/>
          </w:tcPr>
          <w:p w14:paraId="01890E3F"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1.1</w:t>
            </w:r>
          </w:p>
        </w:tc>
        <w:tc>
          <w:tcPr>
            <w:tcW w:w="1418" w:type="dxa"/>
          </w:tcPr>
          <w:p w14:paraId="01F4368C"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3.37</w:t>
            </w:r>
          </w:p>
          <w:p w14:paraId="10DD3A0F"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(1.95, 5.83)</w:t>
            </w:r>
          </w:p>
        </w:tc>
        <w:tc>
          <w:tcPr>
            <w:tcW w:w="1701" w:type="dxa"/>
          </w:tcPr>
          <w:p w14:paraId="1208FBF9"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0.3</w:t>
            </w:r>
          </w:p>
        </w:tc>
        <w:tc>
          <w:tcPr>
            <w:tcW w:w="1411" w:type="dxa"/>
          </w:tcPr>
          <w:p w14:paraId="7DB73238"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&lt;0.0001</w:t>
            </w:r>
          </w:p>
        </w:tc>
      </w:tr>
      <w:tr w:rsidR="00053E50" w:rsidRPr="003E2FA2" w14:paraId="50E550CA" w14:textId="77777777" w:rsidTr="0037233F">
        <w:tc>
          <w:tcPr>
            <w:tcW w:w="3256" w:type="dxa"/>
          </w:tcPr>
          <w:p w14:paraId="5EFA0FAD" w14:textId="77777777" w:rsidR="00053E50" w:rsidRPr="003E2FA2" w:rsidRDefault="00053E50" w:rsidP="00E56A8B">
            <w:pPr>
              <w:tabs>
                <w:tab w:val="left" w:pos="284"/>
              </w:tabs>
              <w:autoSpaceDE w:val="0"/>
              <w:autoSpaceDN w:val="0"/>
              <w:adjustRightInd w:val="0"/>
              <w:jc w:val="both"/>
              <w:rPr>
                <w:rFonts w:ascii="Times New Roman" w:eastAsia="Times New Roman" w:hAnsi="Times New Roman" w:cs="Times New Roman"/>
              </w:rPr>
            </w:pPr>
            <w:r w:rsidRPr="003E2FA2">
              <w:rPr>
                <w:rFonts w:ascii="Times New Roman" w:eastAsia="Times New Roman" w:hAnsi="Times New Roman" w:cs="Times New Roman"/>
              </w:rPr>
              <w:t>PLATO велика или мала</w:t>
            </w:r>
          </w:p>
        </w:tc>
        <w:tc>
          <w:tcPr>
            <w:tcW w:w="1275" w:type="dxa"/>
          </w:tcPr>
          <w:p w14:paraId="3A384839"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15.2</w:t>
            </w:r>
          </w:p>
        </w:tc>
        <w:tc>
          <w:tcPr>
            <w:tcW w:w="1418" w:type="dxa"/>
          </w:tcPr>
          <w:p w14:paraId="1C378D86"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2.71</w:t>
            </w:r>
          </w:p>
          <w:p w14:paraId="1A3D06DA"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(2.40, 3.08)</w:t>
            </w:r>
          </w:p>
        </w:tc>
        <w:tc>
          <w:tcPr>
            <w:tcW w:w="1701" w:type="dxa"/>
          </w:tcPr>
          <w:p w14:paraId="323CA360"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6.2</w:t>
            </w:r>
          </w:p>
        </w:tc>
        <w:tc>
          <w:tcPr>
            <w:tcW w:w="1411" w:type="dxa"/>
          </w:tcPr>
          <w:p w14:paraId="5B546CF8" w14:textId="77777777" w:rsidR="00053E50" w:rsidRPr="003E2FA2" w:rsidRDefault="00053E50" w:rsidP="007669F5">
            <w:pPr>
              <w:tabs>
                <w:tab w:val="left" w:pos="284"/>
              </w:tabs>
              <w:autoSpaceDE w:val="0"/>
              <w:autoSpaceDN w:val="0"/>
              <w:adjustRightInd w:val="0"/>
              <w:jc w:val="center"/>
              <w:rPr>
                <w:rFonts w:ascii="Times New Roman" w:eastAsia="Times New Roman" w:hAnsi="Times New Roman" w:cs="Times New Roman"/>
              </w:rPr>
            </w:pPr>
            <w:r w:rsidRPr="003E2FA2">
              <w:rPr>
                <w:rFonts w:ascii="Times New Roman" w:eastAsia="Times New Roman" w:hAnsi="Times New Roman" w:cs="Times New Roman"/>
              </w:rPr>
              <w:t>&lt;0.0001</w:t>
            </w:r>
          </w:p>
        </w:tc>
      </w:tr>
    </w:tbl>
    <w:p w14:paraId="03F7ECAD" w14:textId="77777777" w:rsidR="002152A7" w:rsidRPr="003E2FA2" w:rsidRDefault="002152A7" w:rsidP="00E56A8B">
      <w:pPr>
        <w:spacing w:after="0" w:line="240" w:lineRule="auto"/>
        <w:jc w:val="both"/>
        <w:rPr>
          <w:rFonts w:ascii="Times New Roman" w:eastAsia="Times New Roman" w:hAnsi="Times New Roman" w:cs="Times New Roman"/>
          <w:b/>
        </w:rPr>
      </w:pPr>
    </w:p>
    <w:p w14:paraId="08594867" w14:textId="363E02A3" w:rsidR="00053E50" w:rsidRPr="003E2FA2" w:rsidRDefault="00053E50" w:rsidP="00E56A8B">
      <w:pPr>
        <w:spacing w:after="0" w:line="240" w:lineRule="auto"/>
        <w:jc w:val="both"/>
        <w:rPr>
          <w:rFonts w:ascii="Times New Roman" w:eastAsia="Times New Roman" w:hAnsi="Times New Roman" w:cs="Times New Roman"/>
          <w:b/>
        </w:rPr>
      </w:pPr>
      <w:r w:rsidRPr="003E2FA2">
        <w:rPr>
          <w:rFonts w:ascii="Times New Roman" w:eastAsia="Times New Roman" w:hAnsi="Times New Roman" w:cs="Times New Roman"/>
          <w:b/>
        </w:rPr>
        <w:t>Дефиниције категорија крварења:</w:t>
      </w:r>
    </w:p>
    <w:p w14:paraId="643B43EC" w14:textId="63B27C4D" w:rsidR="00053E50" w:rsidRPr="003E2FA2" w:rsidRDefault="00053E50" w:rsidP="00E56A8B">
      <w:pPr>
        <w:spacing w:after="0" w:line="240" w:lineRule="auto"/>
        <w:ind w:left="120" w:hanging="120"/>
        <w:jc w:val="both"/>
        <w:rPr>
          <w:rFonts w:ascii="Times New Roman" w:eastAsia="Times New Roman" w:hAnsi="Times New Roman" w:cs="Times New Roman"/>
        </w:rPr>
      </w:pPr>
      <w:r w:rsidRPr="003E2FA2">
        <w:rPr>
          <w:rFonts w:ascii="Times New Roman" w:eastAsia="Times New Roman" w:hAnsi="Times New Roman" w:cs="Times New Roman"/>
          <w:b/>
        </w:rPr>
        <w:t>ТIMI велика:</w:t>
      </w:r>
      <w:r w:rsidRPr="003E2FA2">
        <w:rPr>
          <w:rFonts w:ascii="Times New Roman" w:eastAsia="Times New Roman" w:hAnsi="Times New Roman" w:cs="Times New Roman"/>
        </w:rPr>
        <w:t xml:space="preserve"> фатално крварење, ИЛИ било које интракранијално крварење, ИЛИ клинички јасни знаци крварења повезаног са смањењем хемоглобина (Hgb) од ≥ 50 g/</w:t>
      </w:r>
      <w:r w:rsidR="00085BD8" w:rsidRPr="003E2FA2">
        <w:rPr>
          <w:rFonts w:ascii="Times New Roman" w:eastAsia="Times New Roman" w:hAnsi="Times New Roman" w:cs="Times New Roman"/>
        </w:rPr>
        <w:t>l</w:t>
      </w:r>
      <w:r w:rsidRPr="003E2FA2">
        <w:rPr>
          <w:rFonts w:ascii="Times New Roman" w:eastAsia="Times New Roman" w:hAnsi="Times New Roman" w:cs="Times New Roman"/>
        </w:rPr>
        <w:t xml:space="preserve">, или, када Hgb није доступан, смањењем хематокрита (Hct) од 15%. </w:t>
      </w:r>
    </w:p>
    <w:p w14:paraId="50A9B0E4" w14:textId="77777777" w:rsidR="00053E50" w:rsidRPr="003E2FA2" w:rsidRDefault="00053E50" w:rsidP="00E56A8B">
      <w:pPr>
        <w:spacing w:after="0" w:line="240" w:lineRule="auto"/>
        <w:ind w:left="120" w:hanging="120"/>
        <w:jc w:val="both"/>
        <w:rPr>
          <w:rFonts w:ascii="Times New Roman" w:eastAsia="Times New Roman" w:hAnsi="Times New Roman" w:cs="Times New Roman"/>
        </w:rPr>
      </w:pPr>
      <w:r w:rsidRPr="003E2FA2">
        <w:rPr>
          <w:rFonts w:ascii="Times New Roman" w:eastAsia="Times New Roman" w:hAnsi="Times New Roman" w:cs="Times New Roman"/>
          <w:b/>
        </w:rPr>
        <w:t>Фатална:</w:t>
      </w:r>
      <w:r w:rsidRPr="003E2FA2">
        <w:rPr>
          <w:rFonts w:ascii="Times New Roman" w:eastAsia="Times New Roman" w:hAnsi="Times New Roman" w:cs="Times New Roman"/>
        </w:rPr>
        <w:t xml:space="preserve"> догађај крварења који је директно довео до смрти унутар седам дана.</w:t>
      </w:r>
    </w:p>
    <w:p w14:paraId="18F3F3D8" w14:textId="77777777" w:rsidR="00053E50" w:rsidRPr="003E2FA2" w:rsidRDefault="00053E50" w:rsidP="00E56A8B">
      <w:pPr>
        <w:spacing w:after="0" w:line="240" w:lineRule="auto"/>
        <w:ind w:left="120" w:hanging="120"/>
        <w:jc w:val="both"/>
        <w:rPr>
          <w:rFonts w:ascii="Times New Roman" w:eastAsia="Times New Roman" w:hAnsi="Times New Roman" w:cs="Times New Roman"/>
        </w:rPr>
      </w:pPr>
      <w:r w:rsidRPr="003E2FA2">
        <w:rPr>
          <w:rFonts w:ascii="Times New Roman" w:eastAsia="Times New Roman" w:hAnsi="Times New Roman" w:cs="Times New Roman"/>
          <w:b/>
        </w:rPr>
        <w:t>ICH:</w:t>
      </w:r>
      <w:r w:rsidRPr="003E2FA2">
        <w:rPr>
          <w:rFonts w:ascii="Times New Roman" w:eastAsia="Times New Roman" w:hAnsi="Times New Roman" w:cs="Times New Roman"/>
        </w:rPr>
        <w:t xml:space="preserve"> Интракранијално крварење</w:t>
      </w:r>
    </w:p>
    <w:p w14:paraId="61DE7737" w14:textId="77777777" w:rsidR="00053E50" w:rsidRPr="003E2FA2" w:rsidRDefault="00053E50" w:rsidP="00E56A8B">
      <w:pPr>
        <w:spacing w:after="0" w:line="240" w:lineRule="auto"/>
        <w:ind w:left="120" w:hanging="120"/>
        <w:jc w:val="both"/>
        <w:rPr>
          <w:rFonts w:ascii="Times New Roman" w:eastAsia="Times New Roman" w:hAnsi="Times New Roman" w:cs="Times New Roman"/>
        </w:rPr>
      </w:pPr>
      <w:r w:rsidRPr="003E2FA2">
        <w:rPr>
          <w:rFonts w:ascii="Times New Roman" w:eastAsia="Times New Roman" w:hAnsi="Times New Roman" w:cs="Times New Roman"/>
          <w:b/>
        </w:rPr>
        <w:t>Остала ТIMI велика:</w:t>
      </w:r>
      <w:r w:rsidRPr="003E2FA2">
        <w:rPr>
          <w:rFonts w:ascii="Times New Roman" w:eastAsia="Times New Roman" w:hAnsi="Times New Roman" w:cs="Times New Roman"/>
        </w:rPr>
        <w:t xml:space="preserve"> не-фатална, не-ICH ТIMI велика крварења</w:t>
      </w:r>
    </w:p>
    <w:p w14:paraId="2E905957" w14:textId="515771FC" w:rsidR="00053E50" w:rsidRPr="003E2FA2" w:rsidRDefault="00053E50" w:rsidP="00E56A8B">
      <w:pPr>
        <w:spacing w:after="0" w:line="240" w:lineRule="auto"/>
        <w:ind w:left="120" w:hanging="120"/>
        <w:jc w:val="both"/>
        <w:rPr>
          <w:rFonts w:ascii="Times New Roman" w:eastAsia="Times New Roman" w:hAnsi="Times New Roman" w:cs="Times New Roman"/>
        </w:rPr>
      </w:pPr>
      <w:r w:rsidRPr="003E2FA2">
        <w:rPr>
          <w:rFonts w:ascii="Times New Roman" w:eastAsia="Times New Roman" w:hAnsi="Times New Roman" w:cs="Times New Roman"/>
          <w:b/>
        </w:rPr>
        <w:t>ТIMI мала:</w:t>
      </w:r>
      <w:r w:rsidRPr="003E2FA2">
        <w:rPr>
          <w:rFonts w:ascii="Times New Roman" w:eastAsia="Times New Roman" w:hAnsi="Times New Roman" w:cs="Times New Roman"/>
        </w:rPr>
        <w:t xml:space="preserve"> клинички видљива, са смањењем хемоглобина од 30-50 g/</w:t>
      </w:r>
      <w:r w:rsidR="00085BD8" w:rsidRPr="003E2FA2">
        <w:rPr>
          <w:rFonts w:ascii="Times New Roman" w:eastAsia="Times New Roman" w:hAnsi="Times New Roman" w:cs="Times New Roman"/>
        </w:rPr>
        <w:t>l</w:t>
      </w:r>
      <w:r w:rsidRPr="003E2FA2">
        <w:rPr>
          <w:rFonts w:ascii="Times New Roman" w:eastAsia="Times New Roman" w:hAnsi="Times New Roman" w:cs="Times New Roman"/>
        </w:rPr>
        <w:t>.</w:t>
      </w:r>
    </w:p>
    <w:p w14:paraId="72C028B5" w14:textId="22BCAC7C" w:rsidR="00053E50" w:rsidRPr="003E2FA2" w:rsidRDefault="00053E50" w:rsidP="00E56A8B">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b/>
        </w:rPr>
        <w:t>ТIMI која захтијевају медицинску пажњу</w:t>
      </w:r>
      <w:r w:rsidRPr="003E2FA2">
        <w:rPr>
          <w:rFonts w:ascii="Times New Roman" w:eastAsia="Times New Roman" w:hAnsi="Times New Roman" w:cs="Times New Roman"/>
        </w:rPr>
        <w:t xml:space="preserve">: која захтијевају интервенцију, ИЛИ која су довела до хоспитализације, ИЛИ која захтијевају </w:t>
      </w:r>
      <w:r w:rsidR="00085BD8" w:rsidRPr="003E2FA2">
        <w:rPr>
          <w:rFonts w:ascii="Times New Roman" w:eastAsia="Times New Roman" w:hAnsi="Times New Roman" w:cs="Times New Roman"/>
        </w:rPr>
        <w:t>хитну медицинску</w:t>
      </w:r>
      <w:r w:rsidRPr="003E2FA2">
        <w:rPr>
          <w:rFonts w:ascii="Times New Roman" w:eastAsia="Times New Roman" w:hAnsi="Times New Roman" w:cs="Times New Roman"/>
        </w:rPr>
        <w:t xml:space="preserve"> процјене.</w:t>
      </w:r>
    </w:p>
    <w:p w14:paraId="50E69A3E" w14:textId="3B31E604" w:rsidR="00053E50" w:rsidRPr="003E2FA2" w:rsidRDefault="00053E50" w:rsidP="00E56A8B">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b/>
        </w:rPr>
        <w:t>PLATO Велика Фатална/опасна по живот:</w:t>
      </w:r>
      <w:r w:rsidRPr="003E2FA2">
        <w:rPr>
          <w:rFonts w:ascii="Times New Roman" w:eastAsia="Times New Roman" w:hAnsi="Times New Roman" w:cs="Times New Roman"/>
        </w:rPr>
        <w:t xml:space="preserve"> фатална крварења, ИЛИ било које интракранијално крварење, ИЛИ интраперикардијално крварење са срчаном тампонадом, ИЛИ сa хиповолемијским шоком или тешком хипотензијом која захт</w:t>
      </w:r>
      <w:r w:rsidR="00085BD8" w:rsidRPr="003E2FA2">
        <w:rPr>
          <w:rFonts w:ascii="Times New Roman" w:eastAsia="Times New Roman" w:hAnsi="Times New Roman" w:cs="Times New Roman"/>
        </w:rPr>
        <w:t>и</w:t>
      </w:r>
      <w:r w:rsidRPr="003E2FA2">
        <w:rPr>
          <w:rFonts w:ascii="Times New Roman" w:eastAsia="Times New Roman" w:hAnsi="Times New Roman" w:cs="Times New Roman"/>
        </w:rPr>
        <w:t>јева љекове за повишење крвног притиска или операцију, ИЛИ клинички видљиво са смањењем хемоглобина од &gt; 50 g/</w:t>
      </w:r>
      <w:r w:rsidR="00085BD8" w:rsidRPr="003E2FA2">
        <w:rPr>
          <w:rFonts w:ascii="Times New Roman" w:eastAsia="Times New Roman" w:hAnsi="Times New Roman" w:cs="Times New Roman"/>
        </w:rPr>
        <w:t>l</w:t>
      </w:r>
      <w:r w:rsidRPr="003E2FA2">
        <w:rPr>
          <w:rFonts w:ascii="Times New Roman" w:eastAsia="Times New Roman" w:hAnsi="Times New Roman" w:cs="Times New Roman"/>
        </w:rPr>
        <w:t xml:space="preserve"> или трансфузијом ≥ 4 јединице еритроцита.</w:t>
      </w:r>
    </w:p>
    <w:p w14:paraId="39B82B58" w14:textId="0452008C" w:rsidR="00053E50" w:rsidRPr="003E2FA2" w:rsidRDefault="00053E50" w:rsidP="00E56A8B">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b/>
        </w:rPr>
        <w:t>Остала PLATO велика:</w:t>
      </w:r>
      <w:r w:rsidRPr="003E2FA2">
        <w:rPr>
          <w:rFonts w:ascii="Times New Roman" w:eastAsia="Times New Roman" w:hAnsi="Times New Roman" w:cs="Times New Roman"/>
        </w:rPr>
        <w:t xml:space="preserve"> значајно онеспособљење особе, ИЛИ клинички видљива са смањењем хемоглобина од 30-50 g/</w:t>
      </w:r>
      <w:r w:rsidR="00085BD8" w:rsidRPr="003E2FA2">
        <w:rPr>
          <w:rFonts w:ascii="Times New Roman" w:eastAsia="Times New Roman" w:hAnsi="Times New Roman" w:cs="Times New Roman"/>
        </w:rPr>
        <w:t>l</w:t>
      </w:r>
      <w:r w:rsidRPr="003E2FA2">
        <w:rPr>
          <w:rFonts w:ascii="Times New Roman" w:eastAsia="Times New Roman" w:hAnsi="Times New Roman" w:cs="Times New Roman"/>
        </w:rPr>
        <w:t>, ИЛИ трансфузијом 2-3 јединице еритроцита.</w:t>
      </w:r>
    </w:p>
    <w:p w14:paraId="69639B3E" w14:textId="77777777" w:rsidR="00053E50" w:rsidRPr="003E2FA2" w:rsidRDefault="00053E50" w:rsidP="00E56A8B">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b/>
        </w:rPr>
        <w:t>PLATO мала:</w:t>
      </w:r>
      <w:r w:rsidRPr="003E2FA2">
        <w:rPr>
          <w:rFonts w:ascii="Times New Roman" w:eastAsia="Times New Roman" w:hAnsi="Times New Roman" w:cs="Times New Roman"/>
        </w:rPr>
        <w:t xml:space="preserve"> захтиjева медицинску интервенцију за заустављање или лиjечење крварења.</w:t>
      </w:r>
    </w:p>
    <w:p w14:paraId="2D479648" w14:textId="77777777" w:rsidR="00053E50" w:rsidRPr="003E2FA2" w:rsidRDefault="00053E50" w:rsidP="00E56A8B">
      <w:pPr>
        <w:spacing w:after="0" w:line="240" w:lineRule="auto"/>
        <w:ind w:right="-57"/>
        <w:jc w:val="both"/>
        <w:rPr>
          <w:rFonts w:ascii="Times New Roman" w:eastAsia="Times New Roman" w:hAnsi="Times New Roman" w:cs="Times New Roman"/>
        </w:rPr>
      </w:pPr>
    </w:p>
    <w:p w14:paraId="2E5D0C31" w14:textId="6460CCDA" w:rsidR="00053E50" w:rsidRPr="003E2FA2" w:rsidRDefault="00053E50" w:rsidP="00E56A8B">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 xml:space="preserve">У студији PEGASUS, ТIMI велика крварења су била чешћа за тикагрелор од 60 mg два путa дневно, него код примјене само ацетилсалицилне кијселине. Није примијећен повећан ризик од фаталних крварења, док је код интракранијалних крварења примијећено само мало повећање, у поређењу са терапијом само ацетилсалицилном киселином. Било је неколико фаталних догађаја крварења током студије, 11 (0.3%) код терапије тикагрелором од 60 mg и 12 (0.3%) код терапије само ацетилсалицилном киселином. </w:t>
      </w:r>
    </w:p>
    <w:p w14:paraId="42A98AF1" w14:textId="77777777" w:rsidR="00053E50" w:rsidRPr="003E2FA2" w:rsidRDefault="00053E50" w:rsidP="00E56A8B">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Примијећени повећани ризик од ТIMI великих крварења код пацијената који су били на терапији тикагрелором од 60 mg, био је примарно посљедица веће учесталости других ТIMI великих крварења, насталих као посљедица догађаја у гастроинтестиналном систему.</w:t>
      </w:r>
    </w:p>
    <w:p w14:paraId="7D4422E7" w14:textId="77777777" w:rsidR="00053E50" w:rsidRPr="003E2FA2" w:rsidRDefault="00053E50" w:rsidP="00E56A8B">
      <w:pPr>
        <w:spacing w:after="0" w:line="240" w:lineRule="auto"/>
        <w:ind w:left="120"/>
        <w:jc w:val="both"/>
        <w:rPr>
          <w:rFonts w:ascii="Times New Roman" w:eastAsia="Times New Roman" w:hAnsi="Times New Roman" w:cs="Times New Roman"/>
        </w:rPr>
      </w:pPr>
    </w:p>
    <w:p w14:paraId="39FBF294" w14:textId="709FB809" w:rsidR="00053E50" w:rsidRPr="003E2FA2" w:rsidRDefault="00053E50" w:rsidP="00E56A8B">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Узорци повећаних крварења сличних категорији ТIMI велика крварења, примијећени су и за категорије ТIMI велика или мала крварења и PLATO велика и PLATO велика или мања крварења (погледати табелу 3). Прекид лијечења због крварења био је чешћи код терапије тикагрелором од 60 mg, у поређењу са терапијом само ацетилсалицилном киселином (6.2% односно 1.5%). Већина ових крварења била је блажа (класификована као ТIMI крварења која захт</w:t>
      </w:r>
      <w:r w:rsidR="005A5D6A" w:rsidRPr="003E2FA2">
        <w:rPr>
          <w:rFonts w:ascii="Times New Roman" w:eastAsia="Times New Roman" w:hAnsi="Times New Roman" w:cs="Times New Roman"/>
        </w:rPr>
        <w:t>и</w:t>
      </w:r>
      <w:r w:rsidRPr="003E2FA2">
        <w:rPr>
          <w:rFonts w:ascii="Times New Roman" w:eastAsia="Times New Roman" w:hAnsi="Times New Roman" w:cs="Times New Roman"/>
        </w:rPr>
        <w:t>јевају медицински надзор), нпр. епистакса, стварање модрица и хематома.</w:t>
      </w:r>
    </w:p>
    <w:p w14:paraId="3CA2842D" w14:textId="77777777" w:rsidR="00053E50" w:rsidRPr="003E2FA2" w:rsidRDefault="00053E50" w:rsidP="00E56A8B">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Профил крварења код терапије тикагрелором од 60 mg био је исти у вишеструким претходно дефинисаним подгрупама (нпр. по старости, полу, тјелесној маси, раси, географској регији, по присутним стањима и примјењиваним љековима и по анамнези) за крварења у категоријама TIMI велика, ТIMI велика или мала и PLATO велика крварења.</w:t>
      </w:r>
    </w:p>
    <w:p w14:paraId="41B58717" w14:textId="77777777" w:rsidR="00053E50" w:rsidRPr="003E2FA2" w:rsidRDefault="00053E50" w:rsidP="00E56A8B">
      <w:pPr>
        <w:spacing w:after="0" w:line="240" w:lineRule="auto"/>
        <w:ind w:left="120" w:right="-57"/>
        <w:jc w:val="both"/>
        <w:rPr>
          <w:rFonts w:ascii="Times New Roman" w:eastAsia="Times New Roman" w:hAnsi="Times New Roman" w:cs="Times New Roman"/>
        </w:rPr>
      </w:pPr>
    </w:p>
    <w:p w14:paraId="6C0C67E7" w14:textId="77777777" w:rsidR="00053E50" w:rsidRPr="003E2FA2" w:rsidRDefault="00053E50" w:rsidP="00E56A8B">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 xml:space="preserve">Интракранијално крварење: </w:t>
      </w:r>
    </w:p>
    <w:p w14:paraId="32FAEDFF" w14:textId="3A64203D" w:rsidR="00053E50" w:rsidRPr="003E2FA2" w:rsidRDefault="00053E50" w:rsidP="00E56A8B">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Сличне стопе спонтаних интракранијалних крварења пријављене су код терапије тикагрелором од 60 mg и код терапије само ацетилсалицилном киселином (n = 13, 0.2% у обје терапијске групе).</w:t>
      </w:r>
    </w:p>
    <w:p w14:paraId="5F892AD3" w14:textId="5A0C76E5" w:rsidR="00053E50" w:rsidRPr="003E2FA2" w:rsidRDefault="00053E50" w:rsidP="00E56A8B">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 xml:space="preserve">Учесталост појаве трауматских и процедуралних интракранијалних крварења била је нешто већа код терапије тикагрелором од 60 mg (n= 15, 0.2%), у поређењу са терапијом само ацетилсалицилном киселином (n = 10, 0.1%). Забиљежено је шест фаталних интракранијалних крварења код терапије тикагрелором од 60 mg и пет фаталних интракранијалних крварења код терапије само ацетилсалицилном киселином. Учесталост интракранијалних крварења била је ниска у обје терапијске </w:t>
      </w:r>
      <w:r w:rsidRPr="003E2FA2">
        <w:rPr>
          <w:rFonts w:ascii="Times New Roman" w:eastAsia="Times New Roman" w:hAnsi="Times New Roman" w:cs="Times New Roman"/>
        </w:rPr>
        <w:lastRenderedPageBreak/>
        <w:t>групе, узевши у обзир значајне факторе коморбидитета и кардиоваскуларне факторе ризика испитиване популације.</w:t>
      </w:r>
    </w:p>
    <w:p w14:paraId="1C9CC774" w14:textId="77777777" w:rsidR="003E2FA2" w:rsidRPr="003E2FA2" w:rsidRDefault="003E2FA2" w:rsidP="00E56A8B">
      <w:pPr>
        <w:spacing w:after="0" w:line="240" w:lineRule="auto"/>
        <w:jc w:val="both"/>
        <w:rPr>
          <w:rFonts w:ascii="Times New Roman" w:eastAsia="Times New Roman" w:hAnsi="Times New Roman" w:cs="Times New Roman"/>
          <w:i/>
          <w:u w:val="single"/>
        </w:rPr>
      </w:pPr>
    </w:p>
    <w:p w14:paraId="311EA1B2" w14:textId="7E4E4AE9" w:rsidR="00053E50" w:rsidRPr="003E2FA2" w:rsidRDefault="00053E50" w:rsidP="00E56A8B">
      <w:pPr>
        <w:spacing w:after="0" w:line="240" w:lineRule="auto"/>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Диспнеја</w:t>
      </w:r>
    </w:p>
    <w:p w14:paraId="7F2DFEA1" w14:textId="10DB7F6F" w:rsidR="00053E50" w:rsidRPr="003E2FA2" w:rsidRDefault="00053E50" w:rsidP="007827BE">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Диспнеја, осјећај недостатка даха, забиљежена је код пацијената лијечених тикагрелором. У PLATO студији, нежељени догађаји у виду диспнеје (диспнеја, диспнеја при мировању, диспнеја при физичком напору, пароксизмална ноћна диспнеја и ноћна диспнеја), када су резултати комбиновани, забиљежени су код 13.8% пацијената лијечених тикагрелором и код 7.8% пацијената лијечених клопидогрелом. Код 2.2% пацијената који су узимали тикагрелор и код 0.6% који си узимали клопидогрел истраживачи су сматрали да је диспнеја узрочно повезана са третманом у PLATO студији, а код малог броја пацијената она је била озбиљна (0.14% тикагрелор; 0.02% клопидогрел) (погледати дио 4.4). Већина забиљежених симптома диспне</w:t>
      </w:r>
      <w:r w:rsidR="005A5D6A" w:rsidRPr="003E2FA2">
        <w:rPr>
          <w:rFonts w:ascii="Times New Roman" w:eastAsia="Times New Roman" w:hAnsi="Times New Roman" w:cs="Times New Roman"/>
        </w:rPr>
        <w:t>ј</w:t>
      </w:r>
      <w:r w:rsidRPr="003E2FA2">
        <w:rPr>
          <w:rFonts w:ascii="Times New Roman" w:eastAsia="Times New Roman" w:hAnsi="Times New Roman" w:cs="Times New Roman"/>
        </w:rPr>
        <w:t>е је била благог до умјереног интензитета и у већини случајева је забиљежена као појединачна епизода убрзо након започињања терапије.</w:t>
      </w:r>
    </w:p>
    <w:p w14:paraId="228E65F2" w14:textId="77777777" w:rsidR="00053E50" w:rsidRPr="003E2FA2" w:rsidRDefault="00053E50" w:rsidP="00E56A8B">
      <w:pPr>
        <w:spacing w:after="0" w:line="240" w:lineRule="auto"/>
        <w:jc w:val="both"/>
        <w:rPr>
          <w:rFonts w:ascii="Times New Roman" w:eastAsia="Times New Roman" w:hAnsi="Times New Roman" w:cs="Times New Roman"/>
        </w:rPr>
      </w:pPr>
    </w:p>
    <w:p w14:paraId="4BE9A757" w14:textId="77777777" w:rsidR="00053E50" w:rsidRPr="003E2FA2" w:rsidRDefault="00053E50" w:rsidP="00E56A8B">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У поређењу са пацијентима лијеченим клопидогрелом, пацијенти са астмом/ХОБП лијечени тикагрелором могу да имају повећан ризик од јављања диспнеје која није озбиљна (3.29% тикагрелор према 0.53% клопидогрел) и озбиљне диспнеје (0.38% тикагрелор према 0.00% клопидогрел). У апсолутном смислу, овај ризик је био већи него код укупне PLATO популације. Тикагрелор треба опрезно користити код пацијената са претходном историјом астме и/или ХОБП (погледати дио 4.4).</w:t>
      </w:r>
    </w:p>
    <w:p w14:paraId="5DC597CF" w14:textId="77777777" w:rsidR="00053E50" w:rsidRPr="003E2FA2" w:rsidRDefault="00053E50" w:rsidP="00E56A8B">
      <w:pPr>
        <w:spacing w:after="0" w:line="240" w:lineRule="auto"/>
        <w:jc w:val="both"/>
        <w:rPr>
          <w:rFonts w:ascii="Times New Roman" w:eastAsia="Times New Roman" w:hAnsi="Times New Roman" w:cs="Times New Roman"/>
        </w:rPr>
      </w:pPr>
    </w:p>
    <w:p w14:paraId="005DCCED" w14:textId="47094BE6" w:rsidR="00053E50" w:rsidRPr="003E2FA2" w:rsidRDefault="00053E50" w:rsidP="00E56A8B">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Око 30% епизода је ријешено у року од седам дана. PLATO студија је укључивала пацијенте са конгестивном срчаном инсуфицијенцијом, хроничном опструктивном болешћу плућа или астмом на почетку студије; код ових пацијената, као и код старијих пацијената постојала је већа вјероватноћа за јављање диспнеје. Што се тиче групе која је добијала тикагрелор, код 0.9% пацијената је прекинута примјена овог лијека због диспне</w:t>
      </w:r>
      <w:r w:rsidR="005A5D6A" w:rsidRPr="003E2FA2">
        <w:rPr>
          <w:rFonts w:ascii="Times New Roman" w:eastAsia="Times New Roman" w:hAnsi="Times New Roman" w:cs="Times New Roman"/>
        </w:rPr>
        <w:t>ј</w:t>
      </w:r>
      <w:r w:rsidRPr="003E2FA2">
        <w:rPr>
          <w:rFonts w:ascii="Times New Roman" w:eastAsia="Times New Roman" w:hAnsi="Times New Roman" w:cs="Times New Roman"/>
        </w:rPr>
        <w:t>е у односу на 0.1% пацијената који су добијали клопидогрел. Виша инциденца диспнеје при примјени тикагрелора није била удружена са новим или погоршаним болестима срца или плућа (погледати дио 4.4). Тикагрелор не утиче на резултате теста функције плућа.</w:t>
      </w:r>
    </w:p>
    <w:p w14:paraId="298B42B7" w14:textId="77777777" w:rsidR="00053E50" w:rsidRPr="003E2FA2" w:rsidRDefault="00053E50" w:rsidP="00E56A8B">
      <w:pPr>
        <w:spacing w:after="0" w:line="240" w:lineRule="auto"/>
        <w:jc w:val="both"/>
        <w:rPr>
          <w:rFonts w:ascii="Times New Roman" w:eastAsia="Times New Roman" w:hAnsi="Times New Roman" w:cs="Times New Roman"/>
        </w:rPr>
      </w:pPr>
    </w:p>
    <w:p w14:paraId="5E8B3D2C" w14:textId="2B3A1638" w:rsidR="00053E50" w:rsidRPr="003E2FA2" w:rsidRDefault="00053E50" w:rsidP="00E56A8B">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У студији PEGASUS, диспне</w:t>
      </w:r>
      <w:r w:rsidR="008E33B0" w:rsidRPr="003E2FA2">
        <w:rPr>
          <w:rFonts w:ascii="Times New Roman" w:eastAsia="Times New Roman" w:hAnsi="Times New Roman" w:cs="Times New Roman"/>
        </w:rPr>
        <w:t>j</w:t>
      </w:r>
      <w:r w:rsidRPr="003E2FA2">
        <w:rPr>
          <w:rFonts w:ascii="Times New Roman" w:eastAsia="Times New Roman" w:hAnsi="Times New Roman" w:cs="Times New Roman"/>
        </w:rPr>
        <w:t>а је пријављена код 14.2% пацијената који су узимали тикагрелор од 60 mg два путa дневно и код 5.5% пацијената који су узимали само ацетилсалицилну киселину. Као и у студији PLATO, највише пријављених догађаја диспнеје било је благе до умјерене јачине (погледати дио 4.4). Пацијенти који су пријављивали диспнеју чешће су били старије доби и чешће су на почетку испитивања имали диспнеју, ХОБП или астму.</w:t>
      </w:r>
    </w:p>
    <w:p w14:paraId="1EB6AF48" w14:textId="77777777" w:rsidR="00053E50" w:rsidRPr="003E2FA2" w:rsidRDefault="00053E50" w:rsidP="00E56A8B">
      <w:pPr>
        <w:spacing w:after="0" w:line="240" w:lineRule="auto"/>
        <w:jc w:val="both"/>
        <w:rPr>
          <w:rFonts w:ascii="Times New Roman" w:eastAsia="Times New Roman" w:hAnsi="Times New Roman" w:cs="Times New Roman"/>
        </w:rPr>
      </w:pPr>
    </w:p>
    <w:p w14:paraId="616F1F04" w14:textId="77777777" w:rsidR="00053E50" w:rsidRPr="003E2FA2" w:rsidRDefault="00053E50" w:rsidP="00E56A8B">
      <w:pPr>
        <w:spacing w:after="0" w:line="240" w:lineRule="auto"/>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Испитивања</w:t>
      </w:r>
    </w:p>
    <w:p w14:paraId="7F05CFB0" w14:textId="37EED70B" w:rsidR="00053E50" w:rsidRPr="003E2FA2" w:rsidRDefault="00053E50" w:rsidP="00E56A8B">
      <w:pPr>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Повећање концентрације мокраћне киселине: У PLATO студији се концентрација мокраћне киселине у серуму повећала преко горње границе нормалне вриједности код 22% пацијената који су добијали тикагрелор у односу на 13% пацијената који су добијали клопидогрел. Одговарајуће вриједности у студији PEGASUS биле су 9.1%, 8.8% односно 5.5% за тикагрелор у дози од 90 mg или 60 mg, односно за плацебо. Средња концентрација мокраћне киселине у серуму се повећала за приближно 15% послије примјене тикагрелора у односу на приближно 7.5% послије примјене клопидогрела, а послије прекида терапије се смањила за приближно 7% код групе која је добијала тикагрелор, али било какво смањење није забиљежено код групе која је добијала клопидогрел. У студији PEGASUS, запажено је реверзибилно повећање средње серумске концентрације мокраћне киселине од 6.3% односно 5.6% за тикагрелор од 90 mg односно 60 mg, у поређењу са смањењем од 1.5% у групи која је примала плацебо. У студији PLATO, учесталост уричног артритиса била је 0.2% за тикагрелор у односу на 0.1% за клопидогрел. Одговарајуће вриједности за гихт/урични артритис у студији PEGASUS биле су 1.6%, 1.5% и 1.1% за тикагрелор од 90 mg или 60 mg, односно за плацебо.</w:t>
      </w:r>
    </w:p>
    <w:p w14:paraId="1CCD7D35" w14:textId="77777777" w:rsidR="00670FCC" w:rsidRPr="003E2FA2" w:rsidRDefault="00670FCC" w:rsidP="00E56A8B">
      <w:pPr>
        <w:tabs>
          <w:tab w:val="left" w:pos="284"/>
        </w:tabs>
        <w:spacing w:after="0" w:line="240" w:lineRule="auto"/>
        <w:jc w:val="both"/>
        <w:rPr>
          <w:rFonts w:ascii="Times New Roman" w:eastAsia="Times New Roman" w:hAnsi="Times New Roman" w:cs="Times New Roman"/>
          <w:u w:val="single"/>
        </w:rPr>
      </w:pPr>
    </w:p>
    <w:p w14:paraId="491945C5" w14:textId="27C07176" w:rsidR="00053E50" w:rsidRPr="003E2FA2" w:rsidRDefault="00053E50" w:rsidP="00E56A8B">
      <w:pPr>
        <w:tabs>
          <w:tab w:val="left" w:pos="284"/>
        </w:tabs>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Пријављивање сумњи на нежељена дејства</w:t>
      </w:r>
    </w:p>
    <w:p w14:paraId="66EAB45A" w14:textId="77777777" w:rsidR="003E2FA2" w:rsidRPr="003E2FA2" w:rsidRDefault="003E2FA2" w:rsidP="00E56A8B">
      <w:pPr>
        <w:tabs>
          <w:tab w:val="left" w:pos="284"/>
        </w:tabs>
        <w:spacing w:after="0" w:line="240" w:lineRule="auto"/>
        <w:jc w:val="both"/>
        <w:rPr>
          <w:rFonts w:ascii="Times New Roman" w:eastAsia="Times New Roman" w:hAnsi="Times New Roman" w:cs="Times New Roman"/>
        </w:rPr>
      </w:pPr>
    </w:p>
    <w:p w14:paraId="4C79EAE8" w14:textId="1CC905A8" w:rsidR="00053E50" w:rsidRPr="003E2FA2" w:rsidRDefault="00053E50" w:rsidP="00E56A8B">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Пријављивање нежељених дејстава након добијања дозволе је од великог значаја јер обезбјеђује континуирано праћење односа корист/ризик примјене лијека. Здравствени радници треба да пријаве сваку сумњу на нежељено дејство овог лијека Институту за љекове и медицинска средства (CInMED):</w:t>
      </w:r>
    </w:p>
    <w:p w14:paraId="7C35B5EC" w14:textId="77777777" w:rsidR="00053E50" w:rsidRPr="003E2FA2" w:rsidRDefault="00053E50" w:rsidP="00E56A8B">
      <w:pPr>
        <w:tabs>
          <w:tab w:val="left" w:pos="284"/>
        </w:tabs>
        <w:spacing w:after="0" w:line="240" w:lineRule="auto"/>
        <w:jc w:val="both"/>
        <w:rPr>
          <w:rFonts w:ascii="Times New Roman" w:eastAsia="Times New Roman" w:hAnsi="Times New Roman" w:cs="Times New Roman"/>
        </w:rPr>
      </w:pPr>
    </w:p>
    <w:p w14:paraId="3391114D" w14:textId="77777777" w:rsidR="00053E50" w:rsidRPr="003E2FA2" w:rsidRDefault="00053E50" w:rsidP="00E56A8B">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lastRenderedPageBreak/>
        <w:t>Институт за љекове и медицинска средства</w:t>
      </w:r>
    </w:p>
    <w:p w14:paraId="5F518678" w14:textId="77777777" w:rsidR="00053E50" w:rsidRPr="003E2FA2" w:rsidRDefault="00053E50" w:rsidP="00E56A8B">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Одјељење за фармаковигиланцу</w:t>
      </w:r>
    </w:p>
    <w:p w14:paraId="55A09F15" w14:textId="77777777" w:rsidR="00053E50" w:rsidRPr="003E2FA2" w:rsidRDefault="00053E50" w:rsidP="00E56A8B">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Булевар Ивана Црнојевића 64а, 81000 Подгорица</w:t>
      </w:r>
    </w:p>
    <w:p w14:paraId="0E03BB47" w14:textId="77777777" w:rsidR="00053E50" w:rsidRPr="003E2FA2" w:rsidRDefault="00053E50" w:rsidP="00E56A8B">
      <w:pPr>
        <w:tabs>
          <w:tab w:val="left" w:pos="284"/>
        </w:tabs>
        <w:spacing w:after="0" w:line="240" w:lineRule="auto"/>
        <w:jc w:val="both"/>
        <w:rPr>
          <w:rFonts w:ascii="Times New Roman" w:eastAsia="Times New Roman" w:hAnsi="Times New Roman" w:cs="Times New Roman"/>
        </w:rPr>
      </w:pPr>
    </w:p>
    <w:p w14:paraId="403453AE" w14:textId="77777777" w:rsidR="00053E50" w:rsidRPr="003E2FA2" w:rsidRDefault="00053E50" w:rsidP="00E56A8B">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тел: +382 (0) 20 310 280</w:t>
      </w:r>
    </w:p>
    <w:p w14:paraId="327B1F97" w14:textId="77777777" w:rsidR="00053E50" w:rsidRPr="003E2FA2" w:rsidRDefault="00053E50" w:rsidP="00E56A8B">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фаx:+382 (0) 20 310 581</w:t>
      </w:r>
    </w:p>
    <w:p w14:paraId="5DAA69B9" w14:textId="77777777" w:rsidR="000D5DC3" w:rsidRPr="003E2FA2" w:rsidRDefault="000D5DC3" w:rsidP="00E56A8B">
      <w:pPr>
        <w:tabs>
          <w:tab w:val="left" w:pos="284"/>
        </w:tabs>
        <w:spacing w:after="0" w:line="240" w:lineRule="auto"/>
        <w:jc w:val="both"/>
      </w:pPr>
    </w:p>
    <w:p w14:paraId="3877B47B" w14:textId="2518BC30" w:rsidR="00053E50" w:rsidRPr="003E2FA2" w:rsidRDefault="00B75781" w:rsidP="00E56A8B">
      <w:pPr>
        <w:tabs>
          <w:tab w:val="left" w:pos="284"/>
        </w:tabs>
        <w:spacing w:after="0" w:line="240" w:lineRule="auto"/>
        <w:jc w:val="both"/>
        <w:rPr>
          <w:rFonts w:ascii="Times New Roman" w:eastAsia="Times New Roman" w:hAnsi="Times New Roman" w:cs="Times New Roman"/>
        </w:rPr>
      </w:pPr>
      <w:hyperlink r:id="rId11" w:history="1">
        <w:r w:rsidR="00D35F06" w:rsidRPr="003E2FA2">
          <w:rPr>
            <w:rStyle w:val="Hyperlink"/>
            <w:rFonts w:ascii="Times New Roman" w:eastAsia="Times New Roman" w:hAnsi="Times New Roman" w:cs="Times New Roman"/>
          </w:rPr>
          <w:t>www.cinmed.mе</w:t>
        </w:r>
      </w:hyperlink>
    </w:p>
    <w:p w14:paraId="6353973E" w14:textId="77777777" w:rsidR="00053E50" w:rsidRPr="003E2FA2" w:rsidRDefault="00B75781" w:rsidP="00E56A8B">
      <w:pPr>
        <w:tabs>
          <w:tab w:val="left" w:pos="284"/>
        </w:tabs>
        <w:spacing w:after="0" w:line="240" w:lineRule="auto"/>
        <w:jc w:val="both"/>
        <w:rPr>
          <w:rFonts w:ascii="Times New Roman" w:eastAsia="Times New Roman" w:hAnsi="Times New Roman" w:cs="Times New Roman"/>
        </w:rPr>
      </w:pPr>
      <w:hyperlink r:id="rId12" w:history="1">
        <w:r w:rsidR="00053E50" w:rsidRPr="003E2FA2">
          <w:rPr>
            <w:rStyle w:val="Hyperlink"/>
            <w:rFonts w:ascii="Times New Roman" w:eastAsia="Times New Roman" w:hAnsi="Times New Roman" w:cs="Times New Roman"/>
          </w:rPr>
          <w:t>nezeljenadejstva@cinmed.mе</w:t>
        </w:r>
      </w:hyperlink>
    </w:p>
    <w:p w14:paraId="18DE0715" w14:textId="77777777" w:rsidR="00053E50" w:rsidRPr="003E2FA2" w:rsidRDefault="00053E50" w:rsidP="00E56A8B">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путем ИС здравствене заштите</w:t>
      </w:r>
    </w:p>
    <w:p w14:paraId="18C27724" w14:textId="77777777" w:rsidR="00053E50" w:rsidRPr="003E2FA2" w:rsidRDefault="00053E50" w:rsidP="0099152B">
      <w:pPr>
        <w:tabs>
          <w:tab w:val="left" w:pos="284"/>
          <w:tab w:val="center" w:pos="4320"/>
          <w:tab w:val="right" w:pos="8640"/>
        </w:tabs>
        <w:jc w:val="both"/>
        <w:rPr>
          <w:rFonts w:ascii="Times New Roman" w:eastAsia="Calibri" w:hAnsi="Times New Roman" w:cs="Times New Roman"/>
          <w:noProof/>
        </w:rPr>
      </w:pPr>
      <w:r w:rsidRPr="003E2FA2">
        <w:rPr>
          <w:rFonts w:ascii="Times New Roman" w:hAnsi="Times New Roman" w:cs="Times New Roman"/>
        </w:rPr>
        <w:t xml:space="preserve">QR код за </w:t>
      </w:r>
      <w:r w:rsidRPr="003E2FA2">
        <w:rPr>
          <w:rFonts w:ascii="Times New Roman" w:hAnsi="Times New Roman" w:cs="Times New Roman"/>
          <w:i/>
        </w:rPr>
        <w:t>online</w:t>
      </w:r>
      <w:r w:rsidRPr="003E2FA2">
        <w:rPr>
          <w:rFonts w:ascii="Times New Roman" w:hAnsi="Times New Roman" w:cs="Times New Roman"/>
        </w:rPr>
        <w:t xml:space="preserve"> пријаву сумње на нежељено дејство лијека:</w:t>
      </w:r>
      <w:r w:rsidRPr="003E2FA2">
        <w:rPr>
          <w:rFonts w:ascii="Times New Roman" w:eastAsia="Calibri" w:hAnsi="Times New Roman" w:cs="Times New Roman"/>
          <w:noProof/>
          <w:highlight w:val="yellow"/>
        </w:rPr>
        <w:t xml:space="preserve"> </w:t>
      </w:r>
    </w:p>
    <w:p w14:paraId="3C26DBB5" w14:textId="36BD73EF" w:rsidR="00053E50" w:rsidRPr="003E2FA2" w:rsidRDefault="00053E50" w:rsidP="003269F7">
      <w:pPr>
        <w:tabs>
          <w:tab w:val="left" w:pos="284"/>
          <w:tab w:val="center" w:pos="4320"/>
          <w:tab w:val="right" w:pos="8640"/>
        </w:tabs>
        <w:jc w:val="both"/>
        <w:rPr>
          <w:rFonts w:ascii="Times New Roman" w:eastAsia="Times New Roman" w:hAnsi="Times New Roman" w:cs="Times New Roman"/>
          <w:iCs/>
        </w:rPr>
      </w:pPr>
      <w:r w:rsidRPr="003E2FA2">
        <w:rPr>
          <w:b/>
          <w:bCs/>
          <w:noProof/>
          <w:lang w:val="en-US"/>
        </w:rPr>
        <w:drawing>
          <wp:inline distT="0" distB="0" distL="0" distR="0" wp14:anchorId="1F9C8BF4" wp14:editId="50FD7733">
            <wp:extent cx="980796" cy="972000"/>
            <wp:effectExtent l="0" t="0" r="0" b="0"/>
            <wp:docPr id="10" name="Picture 9">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3"/>
                    </pic:cNvPr>
                    <pic:cNvPicPr>
                      <a:picLocks noChangeAspect="1"/>
                    </pic:cNvPicPr>
                  </pic:nvPicPr>
                  <pic:blipFill rotWithShape="1">
                    <a:blip r:embed="rId14"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39C77569"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4.9. Предозирање</w:t>
      </w:r>
    </w:p>
    <w:p w14:paraId="33F02200"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p>
    <w:p w14:paraId="1E552036"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Тикагрелор се добро подноси у појединачним дозама до 900 mg. Гастроинтестинална токсичност је била дозно ограничавајућа у студији са појединачним дозама које су повећаване. Друге клинички релевантне нежељене реакције које могу да се јаве при предозирању укључују диспнеју и вентрикуларне паузе (погледати дио 4.8).</w:t>
      </w:r>
    </w:p>
    <w:p w14:paraId="42C172A9"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p>
    <w:p w14:paraId="12589C55" w14:textId="04A50F90"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У случају предозирања, треба водити рачуна о овим потенцијалним нежељеним реакцијама и размотрити прим</w:t>
      </w:r>
      <w:r w:rsidR="00BC027D" w:rsidRPr="003E2FA2">
        <w:rPr>
          <w:rFonts w:ascii="Times New Roman" w:eastAsia="Times New Roman" w:hAnsi="Times New Roman" w:cs="Times New Roman"/>
        </w:rPr>
        <w:t>ј</w:t>
      </w:r>
      <w:r w:rsidRPr="003E2FA2">
        <w:rPr>
          <w:rFonts w:ascii="Times New Roman" w:eastAsia="Times New Roman" w:hAnsi="Times New Roman" w:cs="Times New Roman"/>
        </w:rPr>
        <w:t>ену ЕКГ праћења.</w:t>
      </w:r>
    </w:p>
    <w:p w14:paraId="6C7221AC"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p>
    <w:p w14:paraId="19DF76BE" w14:textId="3E8CD56A" w:rsidR="00670FCC"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rPr>
        <w:t>Тренутно није познат антидот који би поништио дејства тикагрелора, а не очекује се да тикагрелор може да се елиминише дијализом (погледати дио 5.2). При лијечењу предозирања се треба придржавати локалне стандардне медицинске праксе. Очекивано дејство прекомјерне дозе тикагрелора је ризик од продуженог крварења повезан са инхибицијом тромбоцита. Трансфузија тромбоцита вјероватно неће бити од клиничке користи код пацијената са крварењем (погледати дио 4.4). Уколико дође до крварења</w:t>
      </w:r>
      <w:r w:rsidR="00B62EB1" w:rsidRPr="003E2FA2">
        <w:rPr>
          <w:rFonts w:ascii="Times New Roman" w:eastAsia="Times New Roman" w:hAnsi="Times New Roman" w:cs="Times New Roman"/>
        </w:rPr>
        <w:t>,</w:t>
      </w:r>
      <w:r w:rsidRPr="003E2FA2">
        <w:rPr>
          <w:rFonts w:ascii="Times New Roman" w:eastAsia="Times New Roman" w:hAnsi="Times New Roman" w:cs="Times New Roman"/>
        </w:rPr>
        <w:t xml:space="preserve"> треба примијенити друге одговарајуће супортивне мјере.</w:t>
      </w:r>
    </w:p>
    <w:p w14:paraId="010E30C6" w14:textId="77777777" w:rsidR="00361290" w:rsidRPr="003E2FA2" w:rsidRDefault="00361290" w:rsidP="00E73FDA">
      <w:pPr>
        <w:tabs>
          <w:tab w:val="left" w:pos="284"/>
        </w:tabs>
        <w:spacing w:after="0" w:line="240" w:lineRule="auto"/>
        <w:jc w:val="both"/>
        <w:rPr>
          <w:rFonts w:ascii="Times New Roman" w:eastAsia="Times New Roman" w:hAnsi="Times New Roman" w:cs="Times New Roman"/>
          <w:b/>
          <w:bCs/>
        </w:rPr>
      </w:pPr>
    </w:p>
    <w:p w14:paraId="48308542" w14:textId="77777777" w:rsidR="00670FCC" w:rsidRPr="003E2FA2" w:rsidRDefault="00670FCC" w:rsidP="00E73FDA">
      <w:pPr>
        <w:tabs>
          <w:tab w:val="left" w:pos="284"/>
        </w:tabs>
        <w:spacing w:after="0" w:line="240" w:lineRule="auto"/>
        <w:jc w:val="both"/>
        <w:rPr>
          <w:rFonts w:ascii="Times New Roman" w:eastAsia="Times New Roman" w:hAnsi="Times New Roman" w:cs="Times New Roman"/>
          <w:b/>
          <w:bCs/>
        </w:rPr>
      </w:pPr>
    </w:p>
    <w:p w14:paraId="27BCFFB9" w14:textId="1E7D4E46"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5. ФАРМАКОЛОШКИ ПОДАЦИ</w:t>
      </w:r>
    </w:p>
    <w:p w14:paraId="18AB16F4"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p>
    <w:p w14:paraId="769C51B3"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5.1. Фармакодинамски подаци</w:t>
      </w:r>
    </w:p>
    <w:p w14:paraId="394312E4" w14:textId="77777777" w:rsidR="002D7F4A" w:rsidRPr="003E2FA2" w:rsidRDefault="002D7F4A" w:rsidP="00E73FDA">
      <w:pPr>
        <w:tabs>
          <w:tab w:val="left" w:pos="284"/>
        </w:tabs>
        <w:spacing w:after="0" w:line="240" w:lineRule="auto"/>
        <w:jc w:val="both"/>
        <w:rPr>
          <w:rFonts w:ascii="Times New Roman" w:eastAsia="Times New Roman" w:hAnsi="Times New Roman" w:cs="Times New Roman"/>
          <w:b/>
          <w:bCs/>
        </w:rPr>
      </w:pPr>
    </w:p>
    <w:p w14:paraId="56ECA5D6" w14:textId="21A6A833"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b/>
          <w:bCs/>
        </w:rPr>
        <w:t>Фармакотерапијска група:</w:t>
      </w:r>
      <w:r w:rsidRPr="003E2FA2">
        <w:rPr>
          <w:rFonts w:ascii="Times New Roman" w:eastAsia="Times New Roman" w:hAnsi="Times New Roman" w:cs="Times New Roman"/>
        </w:rPr>
        <w:t xml:space="preserve"> Инхибитори агрегације тромбоцита, искључујући хепарин</w:t>
      </w:r>
    </w:p>
    <w:p w14:paraId="34A4A001" w14:textId="77777777" w:rsidR="002D7F4A" w:rsidRPr="003E2FA2" w:rsidRDefault="002D7F4A" w:rsidP="00E73FDA">
      <w:pPr>
        <w:tabs>
          <w:tab w:val="left" w:pos="284"/>
        </w:tabs>
        <w:spacing w:after="0" w:line="240" w:lineRule="auto"/>
        <w:jc w:val="both"/>
        <w:rPr>
          <w:rFonts w:ascii="Times New Roman" w:eastAsia="Times New Roman" w:hAnsi="Times New Roman" w:cs="Times New Roman"/>
          <w:b/>
          <w:bCs/>
        </w:rPr>
      </w:pPr>
    </w:p>
    <w:p w14:paraId="54A62FB9" w14:textId="44125BA8" w:rsidR="00053E50" w:rsidRPr="003E2FA2" w:rsidRDefault="00053E50" w:rsidP="0008508C">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b/>
          <w:bCs/>
        </w:rPr>
        <w:t>АТЦ код:</w:t>
      </w:r>
      <w:r w:rsidRPr="003E2FA2">
        <w:rPr>
          <w:rFonts w:ascii="Times New Roman" w:eastAsia="Times New Roman" w:hAnsi="Times New Roman" w:cs="Times New Roman"/>
          <w:szCs w:val="24"/>
        </w:rPr>
        <w:t xml:space="preserve"> B01AC24</w:t>
      </w:r>
    </w:p>
    <w:p w14:paraId="0681AC0B"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p>
    <w:p w14:paraId="37B1E1B0"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Механизам дејства</w:t>
      </w:r>
    </w:p>
    <w:p w14:paraId="3E2BDF8D" w14:textId="3BE41CE6"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Лијек Тingora садржи тикагрелор који припада хемијској групи циклопентилтриазолопиримидина (CPTP) и он је орални, директно дјелујући, селективни и реверзибилни антагонист рецептора P2Y</w:t>
      </w:r>
      <w:r w:rsidRPr="003E2FA2">
        <w:rPr>
          <w:rFonts w:ascii="Times New Roman" w:eastAsia="Times New Roman" w:hAnsi="Times New Roman" w:cs="Times New Roman"/>
          <w:vertAlign w:val="subscript"/>
        </w:rPr>
        <w:t xml:space="preserve">12 </w:t>
      </w:r>
      <w:r w:rsidRPr="003E2FA2">
        <w:rPr>
          <w:rFonts w:ascii="Times New Roman" w:eastAsia="Times New Roman" w:hAnsi="Times New Roman" w:cs="Times New Roman"/>
        </w:rPr>
        <w:t>који спречава аденозин дифосфатом (АDP) посредовану P2Y</w:t>
      </w:r>
      <w:r w:rsidRPr="003E2FA2">
        <w:rPr>
          <w:rFonts w:ascii="Times New Roman" w:eastAsia="Times New Roman" w:hAnsi="Times New Roman" w:cs="Times New Roman"/>
          <w:vertAlign w:val="subscript"/>
        </w:rPr>
        <w:t>12</w:t>
      </w:r>
      <w:r w:rsidRPr="003E2FA2">
        <w:rPr>
          <w:rFonts w:ascii="Times New Roman" w:eastAsia="Times New Roman" w:hAnsi="Times New Roman" w:cs="Times New Roman"/>
        </w:rPr>
        <w:t xml:space="preserve"> зависну активацију и агрегацију тромбоцита. Тикагрелор не спр</w:t>
      </w:r>
      <w:r w:rsidR="00B62EB1" w:rsidRPr="003E2FA2">
        <w:rPr>
          <w:rFonts w:ascii="Times New Roman" w:eastAsia="Times New Roman" w:hAnsi="Times New Roman" w:cs="Times New Roman"/>
        </w:rPr>
        <w:t>ј</w:t>
      </w:r>
      <w:r w:rsidRPr="003E2FA2">
        <w:rPr>
          <w:rFonts w:ascii="Times New Roman" w:eastAsia="Times New Roman" w:hAnsi="Times New Roman" w:cs="Times New Roman"/>
        </w:rPr>
        <w:t>ечава везивање АDP-a, већ када се веже са P2Y</w:t>
      </w:r>
      <w:r w:rsidRPr="003E2FA2">
        <w:rPr>
          <w:rFonts w:ascii="Times New Roman" w:eastAsia="Times New Roman" w:hAnsi="Times New Roman" w:cs="Times New Roman"/>
          <w:vertAlign w:val="subscript"/>
        </w:rPr>
        <w:t>12</w:t>
      </w:r>
      <w:r w:rsidRPr="003E2FA2">
        <w:rPr>
          <w:rFonts w:ascii="Times New Roman" w:eastAsia="Times New Roman" w:hAnsi="Times New Roman" w:cs="Times New Roman"/>
        </w:rPr>
        <w:t xml:space="preserve"> рецептором спрјечава АDP индуковано преношење сигнала. Пошто тромбоцити учествују у настанку и/или развоју тромботичких компликација атеросклеротских болести, показано је да инхибиција функције тромбоцита смањује ризик од кардиоваскуларних догађаја као што је смрт, инфаркт миокарда или мождани удар.</w:t>
      </w:r>
    </w:p>
    <w:p w14:paraId="342BEA0F"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p>
    <w:p w14:paraId="13BF0004"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lastRenderedPageBreak/>
        <w:t>Тикагрелор, такође повећава вриједност локалног ендогеног аденозина инхибицијом еквилибративног нуклеозидног транспортера-1 (ЕNТ-1).</w:t>
      </w:r>
    </w:p>
    <w:p w14:paraId="217066A2"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p>
    <w:p w14:paraId="4BB68A3D" w14:textId="393571C8"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Забиљежено је да тикагрелор повећава сљедећа аденозином индукована дејства код здравих испитаника и код пацијената са акутним коронарним синдромом (АКС): вазодилатацију (мјерено као повећање коронарног протока крви код здравих добровољаца и пацијената са АКС; главобоља), инхибицију функције тромбоцита (у хуманој пуној крви ин витро) и диспнеју. Међутим, веза између примијећеног повећања аденозина и клиничких исхода (нпр. морбидитета-морталитета) није у потпуности разјашњена.</w:t>
      </w:r>
    </w:p>
    <w:p w14:paraId="0731B788" w14:textId="77777777" w:rsidR="003E2FA2" w:rsidRPr="003E2FA2" w:rsidRDefault="003E2FA2" w:rsidP="0037233F">
      <w:pPr>
        <w:tabs>
          <w:tab w:val="left" w:pos="284"/>
        </w:tabs>
        <w:spacing w:after="0" w:line="240" w:lineRule="auto"/>
        <w:jc w:val="both"/>
        <w:rPr>
          <w:rFonts w:ascii="Times New Roman" w:eastAsia="Times New Roman" w:hAnsi="Times New Roman" w:cs="Times New Roman"/>
          <w:u w:val="single"/>
        </w:rPr>
      </w:pPr>
    </w:p>
    <w:p w14:paraId="34E221CC" w14:textId="365F75A9" w:rsidR="00053E50" w:rsidRPr="003E2FA2" w:rsidRDefault="00053E50" w:rsidP="0037233F">
      <w:pPr>
        <w:tabs>
          <w:tab w:val="left" w:pos="284"/>
        </w:tabs>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Фармакодинамска дејства</w:t>
      </w:r>
    </w:p>
    <w:p w14:paraId="61587292" w14:textId="77777777" w:rsidR="003E2FA2" w:rsidRPr="003E2FA2" w:rsidRDefault="003E2FA2" w:rsidP="0037233F">
      <w:pPr>
        <w:tabs>
          <w:tab w:val="left" w:pos="284"/>
        </w:tabs>
        <w:spacing w:after="0" w:line="240" w:lineRule="auto"/>
        <w:jc w:val="both"/>
        <w:rPr>
          <w:rFonts w:ascii="Times New Roman" w:eastAsia="Times New Roman" w:hAnsi="Times New Roman" w:cs="Times New Roman"/>
          <w:u w:val="single"/>
        </w:rPr>
      </w:pPr>
    </w:p>
    <w:p w14:paraId="62376E91" w14:textId="3207691E" w:rsidR="00053E50" w:rsidRPr="003E2FA2" w:rsidRDefault="00053E50" w:rsidP="0037233F">
      <w:pPr>
        <w:tabs>
          <w:tab w:val="left" w:pos="284"/>
        </w:tabs>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Почетак дејства</w:t>
      </w:r>
    </w:p>
    <w:p w14:paraId="03999A41"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Код пацијената са стабилним обољењем коронарних артерија који добијају АSА, фармаколошко дејство тикагрелора се брзо јавља што се доказује средњом инхибицијом агрегације тромбоцита (IPА, енгл.</w:t>
      </w:r>
      <w:r w:rsidRPr="003E2FA2">
        <w:rPr>
          <w:rFonts w:ascii="Times New Roman" w:eastAsia="Times New Roman" w:hAnsi="Times New Roman" w:cs="Times New Roman"/>
          <w:szCs w:val="24"/>
        </w:rPr>
        <w:t xml:space="preserve"> </w:t>
      </w:r>
      <w:r w:rsidRPr="003E2FA2">
        <w:rPr>
          <w:rFonts w:ascii="Times New Roman" w:eastAsia="Times New Roman" w:hAnsi="Times New Roman" w:cs="Times New Roman"/>
          <w:i/>
          <w:szCs w:val="24"/>
        </w:rPr>
        <w:t>Inhibition of Platelet Aggregation</w:t>
      </w:r>
      <w:r w:rsidRPr="003E2FA2">
        <w:rPr>
          <w:rFonts w:ascii="Times New Roman" w:eastAsia="Times New Roman" w:hAnsi="Times New Roman" w:cs="Times New Roman"/>
        </w:rPr>
        <w:t>)) за тикагрелор пола сата послије ударне дозе од 180 mg од 41%, гдје се максимално IPА дејство од 89% достиже 2-4 сата послије примјене дозе и одржава између 2-8 сати. 90% пацијената је имало финалну вриједност IPА &gt; 70% 2 сата послије примјене дозе.</w:t>
      </w:r>
    </w:p>
    <w:p w14:paraId="36BF6078"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u w:val="single"/>
        </w:rPr>
      </w:pPr>
    </w:p>
    <w:p w14:paraId="66E49F8D"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Престанак дејства</w:t>
      </w:r>
    </w:p>
    <w:p w14:paraId="6BC9DAC2"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Уколико се планира CABG поступак, ризик од крварења је код тикагрелора повећан у односу на клопидогрел када се примјена лијека прекине мање од 96 сати прије процедуре.</w:t>
      </w:r>
    </w:p>
    <w:p w14:paraId="39DA2BF4"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u w:val="single"/>
        </w:rPr>
      </w:pPr>
    </w:p>
    <w:p w14:paraId="01D503A4"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Подаци о преласку са једног на други лијек</w:t>
      </w:r>
    </w:p>
    <w:p w14:paraId="63F94F71"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Прелазак са клопидогрела 75 mg на тикагрелор 90 mg два пута доводи до апсолутног повећања IPА од 26.4%, а прелазак са тикагрелора на клопидогрел доводи до апсолутног смањења IPА од 24.5%. Пацијенти се могу пребацивати са клопидогрела на тикагрелор без прекидања антиагрегационог дејства (погледати дио 4.2).</w:t>
      </w:r>
    </w:p>
    <w:p w14:paraId="6E6989FA"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p>
    <w:p w14:paraId="61DF2A30"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Клиничка ефикасност и безбједност</w:t>
      </w:r>
    </w:p>
    <w:p w14:paraId="496262B5"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Клинички докази о ефикасности и безбједности тикагрелора добијени су из два клиничка испитивања фазе 3:</w:t>
      </w:r>
    </w:p>
    <w:p w14:paraId="5E71897A"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p>
    <w:p w14:paraId="463ECFFA" w14:textId="525AD168" w:rsidR="00053E50" w:rsidRPr="003E2FA2" w:rsidRDefault="00053E50" w:rsidP="007669F5">
      <w:pPr>
        <w:numPr>
          <w:ilvl w:val="0"/>
          <w:numId w:val="35"/>
        </w:numPr>
        <w:tabs>
          <w:tab w:val="left" w:pos="284"/>
        </w:tabs>
        <w:spacing w:after="0" w:line="240" w:lineRule="auto"/>
        <w:contextualSpacing/>
        <w:jc w:val="both"/>
        <w:rPr>
          <w:rFonts w:ascii="Times New Roman" w:eastAsia="Times New Roman" w:hAnsi="Times New Roman" w:cs="Times New Roman"/>
        </w:rPr>
      </w:pPr>
      <w:r w:rsidRPr="003E2FA2">
        <w:rPr>
          <w:rFonts w:ascii="Times New Roman" w:eastAsia="Times New Roman" w:hAnsi="Times New Roman" w:cs="Times New Roman"/>
        </w:rPr>
        <w:t>Студија PLATO [енг.</w:t>
      </w:r>
      <w:r w:rsidRPr="003E2FA2">
        <w:rPr>
          <w:rFonts w:ascii="Times New Roman" w:eastAsia="Times New Roman" w:hAnsi="Times New Roman" w:cs="Times New Roman"/>
          <w:szCs w:val="24"/>
        </w:rPr>
        <w:t xml:space="preserve"> PLATelet Inhibition and Patient Outcomes</w:t>
      </w:r>
      <w:r w:rsidRPr="003E2FA2">
        <w:rPr>
          <w:rFonts w:ascii="Times New Roman" w:eastAsia="Times New Roman" w:hAnsi="Times New Roman" w:cs="Times New Roman"/>
        </w:rPr>
        <w:t>], поређење тикагрелора и</w:t>
      </w:r>
      <w:r w:rsidR="00BD6FA7" w:rsidRPr="003E2FA2">
        <w:rPr>
          <w:rFonts w:ascii="Times New Roman" w:eastAsia="Times New Roman" w:hAnsi="Times New Roman" w:cs="Times New Roman"/>
        </w:rPr>
        <w:t xml:space="preserve"> </w:t>
      </w:r>
      <w:r w:rsidRPr="003E2FA2">
        <w:rPr>
          <w:rFonts w:ascii="Times New Roman" w:eastAsia="Times New Roman" w:hAnsi="Times New Roman" w:cs="Times New Roman"/>
        </w:rPr>
        <w:t>клопидогрела, оба примијењена у комбинацији са ацетилсалицилном кисјелином и другом стандардном терапијом.</w:t>
      </w:r>
    </w:p>
    <w:p w14:paraId="6D9E62FA" w14:textId="2E30EAF7" w:rsidR="00053E50" w:rsidRPr="003E2FA2" w:rsidRDefault="00053E50" w:rsidP="007669F5">
      <w:pPr>
        <w:numPr>
          <w:ilvl w:val="0"/>
          <w:numId w:val="35"/>
        </w:numPr>
        <w:tabs>
          <w:tab w:val="left" w:pos="284"/>
        </w:tabs>
        <w:spacing w:after="0" w:line="240" w:lineRule="auto"/>
        <w:contextualSpacing/>
        <w:jc w:val="both"/>
        <w:rPr>
          <w:rFonts w:ascii="Times New Roman" w:eastAsia="Times New Roman" w:hAnsi="Times New Roman" w:cs="Times New Roman"/>
        </w:rPr>
      </w:pPr>
      <w:r w:rsidRPr="003E2FA2">
        <w:rPr>
          <w:rFonts w:ascii="Times New Roman" w:eastAsia="Times New Roman" w:hAnsi="Times New Roman" w:cs="Times New Roman"/>
        </w:rPr>
        <w:t xml:space="preserve">Студија PEGASUS ТIMI-54 [енг. </w:t>
      </w:r>
      <w:r w:rsidRPr="003E2FA2">
        <w:rPr>
          <w:rFonts w:ascii="Times New Roman" w:eastAsia="Times New Roman" w:hAnsi="Times New Roman" w:cs="Times New Roman"/>
          <w:szCs w:val="24"/>
        </w:rPr>
        <w:t>PrEvention with TicaGrelor of SecondAry Thrombotic Events</w:t>
      </w:r>
      <w:r w:rsidR="00BD6FA7" w:rsidRPr="003E2FA2">
        <w:rPr>
          <w:rFonts w:ascii="Times New Roman" w:eastAsia="Times New Roman" w:hAnsi="Times New Roman" w:cs="Times New Roman"/>
          <w:szCs w:val="24"/>
        </w:rPr>
        <w:t xml:space="preserve"> </w:t>
      </w:r>
      <w:r w:rsidRPr="003E2FA2">
        <w:rPr>
          <w:rFonts w:ascii="Times New Roman" w:eastAsia="Times New Roman" w:hAnsi="Times New Roman" w:cs="Times New Roman"/>
          <w:szCs w:val="24"/>
        </w:rPr>
        <w:t>in High-RiSk AcUte Coronary Syndrome Patients</w:t>
      </w:r>
      <w:r w:rsidRPr="003E2FA2">
        <w:rPr>
          <w:rFonts w:ascii="Times New Roman" w:eastAsia="Times New Roman" w:hAnsi="Times New Roman" w:cs="Times New Roman"/>
        </w:rPr>
        <w:t>], поређење комбинације тикагрелора и ацетилсалицилне киселине са самосталном терапијом ацетилсалицилном киселином.</w:t>
      </w:r>
    </w:p>
    <w:p w14:paraId="7047F05A"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u w:val="single"/>
        </w:rPr>
      </w:pPr>
    </w:p>
    <w:p w14:paraId="12DC9D51"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Студија PLATO (акутни коронарни синдроми)</w:t>
      </w:r>
    </w:p>
    <w:p w14:paraId="7524F212" w14:textId="4A8F7448"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PLATO студија је укључивала 18</w:t>
      </w:r>
      <w:r w:rsidR="003A5432" w:rsidRPr="003E2FA2">
        <w:rPr>
          <w:rFonts w:ascii="Times New Roman" w:eastAsia="Times New Roman" w:hAnsi="Times New Roman" w:cs="Times New Roman"/>
        </w:rPr>
        <w:t xml:space="preserve"> </w:t>
      </w:r>
      <w:r w:rsidRPr="003E2FA2">
        <w:rPr>
          <w:rFonts w:ascii="Times New Roman" w:eastAsia="Times New Roman" w:hAnsi="Times New Roman" w:cs="Times New Roman"/>
        </w:rPr>
        <w:t>624 пацијента који су се јавили у року од 24 сата након јављања симптома нестабилне ангине (UA), инфаркта миокарда без елевације ST сегмента (NSTEMI) или инфаркта миокарда са елевацијом ST сегмента (STEMI), који су иницијално збринути нехируршким методама или уз помоћ перкутане коронарне интервенције (PCI) или коронарног артеријског бајпас графта (CABG).</w:t>
      </w:r>
    </w:p>
    <w:p w14:paraId="25678BCF"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p>
    <w:p w14:paraId="106B5400"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i/>
        </w:rPr>
      </w:pPr>
      <w:r w:rsidRPr="003E2FA2">
        <w:rPr>
          <w:rFonts w:ascii="Times New Roman" w:eastAsia="Times New Roman" w:hAnsi="Times New Roman" w:cs="Times New Roman"/>
          <w:i/>
        </w:rPr>
        <w:t>Клиничка ефикасност</w:t>
      </w:r>
    </w:p>
    <w:p w14:paraId="21295761" w14:textId="25B2C07A"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Након претходне свакодневне примјене АSА, тикагрелор у дози од 90 mg два пута на дан се показао</w:t>
      </w:r>
      <w:r w:rsidR="00171C7C" w:rsidRPr="003E2FA2">
        <w:rPr>
          <w:rFonts w:ascii="Times New Roman" w:eastAsia="Times New Roman" w:hAnsi="Times New Roman" w:cs="Times New Roman"/>
        </w:rPr>
        <w:t xml:space="preserve"> </w:t>
      </w:r>
      <w:r w:rsidRPr="003E2FA2">
        <w:rPr>
          <w:rFonts w:ascii="Times New Roman" w:eastAsia="Times New Roman" w:hAnsi="Times New Roman" w:cs="Times New Roman"/>
        </w:rPr>
        <w:t>супериорнијим од клопидогрела који је примјењиван у дози од 75 mg на дан у превенцији укупног примарног циља кардиоваскуларне [КВ] смрти, инфаркта миокарда [ИМ] или можданог удара, са разликама које су у вези са кардиоваскуларном смрћу и инфарктом миокарда. Пацијенти су добили ударну дозу клопидогрела од 300 mg (могуће и 600 mg уколико су подвргнути PCI) или 180 mg тикагрелора.</w:t>
      </w:r>
    </w:p>
    <w:p w14:paraId="4A09E6A0"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p>
    <w:p w14:paraId="78E16AEA"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lastRenderedPageBreak/>
        <w:t xml:space="preserve">Резултат се појавио рано (смањење апсолутног ризика – (енг. </w:t>
      </w:r>
      <w:r w:rsidRPr="003E2FA2">
        <w:rPr>
          <w:rFonts w:ascii="Times New Roman" w:eastAsia="Times New Roman" w:hAnsi="Times New Roman" w:cs="Times New Roman"/>
          <w:i/>
          <w:szCs w:val="24"/>
        </w:rPr>
        <w:t>absolute risk reduction</w:t>
      </w:r>
      <w:r w:rsidRPr="003E2FA2">
        <w:rPr>
          <w:rFonts w:ascii="Times New Roman" w:eastAsia="Times New Roman" w:hAnsi="Times New Roman" w:cs="Times New Roman"/>
          <w:szCs w:val="24"/>
        </w:rPr>
        <w:t>)</w:t>
      </w:r>
      <w:r w:rsidRPr="003E2FA2">
        <w:rPr>
          <w:rFonts w:ascii="Times New Roman" w:eastAsia="Times New Roman" w:hAnsi="Times New Roman" w:cs="Times New Roman"/>
        </w:rPr>
        <w:t xml:space="preserve"> [АRR] 0.6% и смањење релативног ризика – (енг. </w:t>
      </w:r>
      <w:r w:rsidRPr="003E2FA2">
        <w:rPr>
          <w:rFonts w:ascii="Times New Roman" w:eastAsia="Times New Roman" w:hAnsi="Times New Roman" w:cs="Times New Roman"/>
          <w:i/>
          <w:szCs w:val="24"/>
        </w:rPr>
        <w:t>Relative Risk Reduction</w:t>
      </w:r>
      <w:r w:rsidRPr="003E2FA2">
        <w:rPr>
          <w:rFonts w:ascii="Times New Roman" w:eastAsia="Times New Roman" w:hAnsi="Times New Roman" w:cs="Times New Roman"/>
        </w:rPr>
        <w:t>) [RRR] од 12% послије 30 дана), са константним терапијским ефектом током цјелокупног периода од 12 мјесеци, што је дало годишње АRR од 1.9% и RRR од 16%. Ово указује да је адекватно лијечити пацијенте тикагрелором 90 mg два пута дневно до 12 мјесеци (погледати дио 4.2). Лијечење 54 пацијента са АКС тикагрелором умјесто клопидогрелом ће спријечити један атеротромботски догађај; лијечење 91 пацијента ће спријечити једну кардиоваскуларну смрт (погледати Слику 1 и Табелу 4).</w:t>
      </w:r>
    </w:p>
    <w:p w14:paraId="7ACF92FB"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p>
    <w:p w14:paraId="0846B0AE"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Терапијски ефекат тикагрелора у односу на клопидогрел изгледа конзистентан код многих подгрупа, укључујући оне подијељене на основу тјелесне масе, пола, медицинске историје дијабетес мелитуса, транзиторног исхемијског атака или нехеморагијског можданог удара или реваскуларизације, истовремених терапија које су укључивале хепарине, GpIIb/IIIа инхибиторе и инхибиторе протонске пумпе (погледати дио 4.5); завршни индекс догађаја по дијагнози (STEMI, NSTEMI, или UА); и начину лијечења планираном при рандомизацији (инвазивна или нехируршка).</w:t>
      </w:r>
    </w:p>
    <w:p w14:paraId="1AF4C2AE"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p>
    <w:p w14:paraId="3ADD3AEB" w14:textId="0E2742D2"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 xml:space="preserve">Слабо значајне терапијске интеракције забиљежене су по регионима, гдје је HR (енгл. </w:t>
      </w:r>
      <w:r w:rsidRPr="003E2FA2">
        <w:rPr>
          <w:rFonts w:ascii="Times New Roman" w:eastAsia="Times New Roman" w:hAnsi="Times New Roman" w:cs="Times New Roman"/>
          <w:i/>
        </w:rPr>
        <w:t>hazard ratio</w:t>
      </w:r>
      <w:r w:rsidRPr="003E2FA2">
        <w:rPr>
          <w:rFonts w:ascii="Times New Roman" w:eastAsia="Times New Roman" w:hAnsi="Times New Roman" w:cs="Times New Roman"/>
        </w:rPr>
        <w:t>) за примарни циљ био повољнији за тикагрелор у остатку свијета, али повољнији за клопидогрел у Сјеверној Америци, што је представљало приближно 10% укупне испитиване популације (p-вриједност интеракције =</w:t>
      </w:r>
      <w:r w:rsidR="00D817C7" w:rsidRPr="003E2FA2">
        <w:rPr>
          <w:rFonts w:ascii="Times New Roman" w:eastAsia="Times New Roman" w:hAnsi="Times New Roman" w:cs="Times New Roman"/>
        </w:rPr>
        <w:t xml:space="preserve"> </w:t>
      </w:r>
      <w:r w:rsidRPr="003E2FA2">
        <w:rPr>
          <w:rFonts w:ascii="Times New Roman" w:eastAsia="Times New Roman" w:hAnsi="Times New Roman" w:cs="Times New Roman"/>
        </w:rPr>
        <w:t>0.045). Експлоративне анализе су указале на могућу повезаност са дозом АSА, тако да је смањена ефикасност забиљежена када је тикагрелор примијењиван заједно са повећаним дозама АSА. Хроничне дневне дозе АSА које треба давати истовремено са лијеком тикагрелор треба да буду 75-150 mg (погледати дјелове 4.2 и 4.4).</w:t>
      </w:r>
    </w:p>
    <w:p w14:paraId="542A1B91"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p>
    <w:p w14:paraId="6E706D7A" w14:textId="732945A4" w:rsidR="00053E50" w:rsidRPr="003E2FA2" w:rsidRDefault="00053E50" w:rsidP="0037233F">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Слика 1 показује процјену ризика за прву појаву било ког догађаја у композитној крајњој тачки ефикасности</w:t>
      </w:r>
      <w:r w:rsidR="00D817C7" w:rsidRPr="003E2FA2">
        <w:rPr>
          <w:rFonts w:ascii="Times New Roman" w:eastAsia="Times New Roman" w:hAnsi="Times New Roman" w:cs="Times New Roman"/>
        </w:rPr>
        <w:t>.</w:t>
      </w:r>
    </w:p>
    <w:p w14:paraId="6A24DF6C"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rPr>
      </w:pPr>
    </w:p>
    <w:p w14:paraId="239C270D" w14:textId="7305A4F5" w:rsidR="00053E50" w:rsidRPr="003E2FA2" w:rsidRDefault="00053E50" w:rsidP="0037233F">
      <w:pPr>
        <w:tabs>
          <w:tab w:val="left" w:pos="284"/>
        </w:tabs>
        <w:spacing w:after="0" w:line="240" w:lineRule="auto"/>
        <w:jc w:val="both"/>
        <w:rPr>
          <w:rFonts w:ascii="Times New Roman" w:eastAsia="Times New Roman" w:hAnsi="Times New Roman" w:cs="Times New Roman"/>
          <w:b/>
        </w:rPr>
      </w:pPr>
      <w:r w:rsidRPr="003E2FA2">
        <w:rPr>
          <w:rFonts w:ascii="Times New Roman" w:eastAsia="Times New Roman" w:hAnsi="Times New Roman" w:cs="Times New Roman"/>
          <w:b/>
        </w:rPr>
        <w:t>Слика 1 – Анализа примарног клиничког сложеног параметра праћења исхода који се састоји од КВ смрти, инфаркта миокарда и можданог удара (PLATO)</w:t>
      </w:r>
    </w:p>
    <w:p w14:paraId="3A96497C" w14:textId="178C2CE7" w:rsidR="003E2FA2" w:rsidRPr="003E2FA2" w:rsidRDefault="003E2FA2" w:rsidP="0037233F">
      <w:pPr>
        <w:tabs>
          <w:tab w:val="left" w:pos="284"/>
        </w:tabs>
        <w:spacing w:after="0" w:line="240" w:lineRule="auto"/>
        <w:jc w:val="both"/>
        <w:rPr>
          <w:rFonts w:ascii="Times New Roman" w:eastAsia="Times New Roman" w:hAnsi="Times New Roman" w:cs="Times New Roman"/>
          <w:b/>
        </w:rPr>
      </w:pPr>
      <w:r w:rsidRPr="003E2FA2">
        <w:rPr>
          <w:noProof/>
          <w:lang w:val="en-US"/>
        </w:rPr>
        <w:drawing>
          <wp:inline distT="0" distB="0" distL="0" distR="0" wp14:anchorId="77A346CC" wp14:editId="4DDFF8BE">
            <wp:extent cx="5876925" cy="41338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876925" cy="4133850"/>
                    </a:xfrm>
                    <a:prstGeom prst="rect">
                      <a:avLst/>
                    </a:prstGeom>
                  </pic:spPr>
                </pic:pic>
              </a:graphicData>
            </a:graphic>
          </wp:inline>
        </w:drawing>
      </w:r>
    </w:p>
    <w:p w14:paraId="3892D805" w14:textId="280D77EF"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p>
    <w:p w14:paraId="21A4AC0D" w14:textId="558ECB61" w:rsidR="00053E50" w:rsidRPr="003E2FA2" w:rsidRDefault="00053E50" w:rsidP="0037233F">
      <w:pPr>
        <w:tabs>
          <w:tab w:val="left" w:pos="284"/>
        </w:tabs>
        <w:spacing w:after="0" w:line="240" w:lineRule="auto"/>
        <w:jc w:val="both"/>
        <w:rPr>
          <w:rFonts w:ascii="Times New Roman" w:eastAsia="Times New Roman" w:hAnsi="Times New Roman" w:cs="Times New Roman"/>
          <w:bCs/>
        </w:rPr>
      </w:pPr>
      <w:r w:rsidRPr="003E2FA2">
        <w:rPr>
          <w:rFonts w:ascii="Times New Roman" w:eastAsia="Times New Roman" w:hAnsi="Times New Roman" w:cs="Times New Roman"/>
          <w:bCs/>
        </w:rPr>
        <w:lastRenderedPageBreak/>
        <w:t xml:space="preserve">Тикагрелор је смањио појављивање примарног сложеног параметра праћења исхода у поређењу са клопидогрелом како код UА/NSTEMI тако и код STEMI популације (Табела 4). Према томе, тикагрелор од 90 mg примијењен два пута дневно заједно са ниском дозом ацетилсалицилне киселине може се примјењивати код пацијената са акутним коронарним синдромом (нестабилна ангина, инфаркт миокарда без ST елевације [NSTEMI] или инфаркт миокарда са ST елевацијом [STEMI]); укључујући пацијенте који су лијечени љековима. као и оне који су лијечени перкутаном коронарном интервенцијом (PCI) или премошћавањем коронарне артерије графтом (CABG). </w:t>
      </w:r>
    </w:p>
    <w:p w14:paraId="45692CFD"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b/>
          <w:bCs/>
        </w:rPr>
      </w:pPr>
    </w:p>
    <w:p w14:paraId="6EEFBD93" w14:textId="77777777" w:rsidR="00053E50" w:rsidRPr="003E2FA2" w:rsidRDefault="00053E50" w:rsidP="0037233F">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Табела 4 – Анализа примарних и секундарних параметара праћења ефикасности (PLATO)</w:t>
      </w:r>
    </w:p>
    <w:p w14:paraId="7E489E2B"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p>
    <w:tbl>
      <w:tblPr>
        <w:tblStyle w:val="TableGrid3"/>
        <w:tblW w:w="0" w:type="auto"/>
        <w:tblLook w:val="04A0" w:firstRow="1" w:lastRow="0" w:firstColumn="1" w:lastColumn="0" w:noHBand="0" w:noVBand="1"/>
      </w:tblPr>
      <w:tblGrid>
        <w:gridCol w:w="1980"/>
        <w:gridCol w:w="1417"/>
        <w:gridCol w:w="1528"/>
        <w:gridCol w:w="1559"/>
        <w:gridCol w:w="1559"/>
        <w:gridCol w:w="1309"/>
      </w:tblGrid>
      <w:tr w:rsidR="0037233F" w:rsidRPr="003E2FA2" w14:paraId="30D4C1F6" w14:textId="77777777" w:rsidTr="0037233F">
        <w:tc>
          <w:tcPr>
            <w:tcW w:w="1980" w:type="dxa"/>
          </w:tcPr>
          <w:p w14:paraId="105B518A" w14:textId="77777777" w:rsidR="0037233F" w:rsidRPr="003E2FA2" w:rsidRDefault="0037233F" w:rsidP="0037233F">
            <w:pPr>
              <w:autoSpaceDE w:val="0"/>
              <w:autoSpaceDN w:val="0"/>
              <w:adjustRightInd w:val="0"/>
              <w:rPr>
                <w:b/>
                <w:u w:val="single"/>
              </w:rPr>
            </w:pPr>
          </w:p>
        </w:tc>
        <w:tc>
          <w:tcPr>
            <w:tcW w:w="1417" w:type="dxa"/>
          </w:tcPr>
          <w:p w14:paraId="1A53D5CE" w14:textId="77777777" w:rsidR="0037233F" w:rsidRPr="003E2FA2" w:rsidRDefault="0037233F" w:rsidP="0037233F">
            <w:pPr>
              <w:autoSpaceDE w:val="0"/>
              <w:autoSpaceDN w:val="0"/>
              <w:adjustRightInd w:val="0"/>
              <w:jc w:val="center"/>
              <w:rPr>
                <w:b/>
              </w:rPr>
            </w:pPr>
            <w:r w:rsidRPr="003E2FA2">
              <w:rPr>
                <w:b/>
              </w:rPr>
              <w:t>Tикагрелор</w:t>
            </w:r>
          </w:p>
          <w:p w14:paraId="1D3DFBEE" w14:textId="77777777" w:rsidR="0037233F" w:rsidRPr="003E2FA2" w:rsidRDefault="0037233F" w:rsidP="0037233F">
            <w:pPr>
              <w:autoSpaceDE w:val="0"/>
              <w:autoSpaceDN w:val="0"/>
              <w:adjustRightInd w:val="0"/>
              <w:jc w:val="center"/>
              <w:rPr>
                <w:b/>
              </w:rPr>
            </w:pPr>
            <w:r w:rsidRPr="003E2FA2">
              <w:rPr>
                <w:b/>
              </w:rPr>
              <w:t>90 mg</w:t>
            </w:r>
          </w:p>
          <w:p w14:paraId="6DF6A6DC" w14:textId="77777777" w:rsidR="0037233F" w:rsidRPr="003E2FA2" w:rsidRDefault="0037233F" w:rsidP="0037233F">
            <w:pPr>
              <w:autoSpaceDE w:val="0"/>
              <w:autoSpaceDN w:val="0"/>
              <w:adjustRightInd w:val="0"/>
              <w:jc w:val="center"/>
              <w:rPr>
                <w:b/>
              </w:rPr>
            </w:pPr>
            <w:r w:rsidRPr="003E2FA2">
              <w:rPr>
                <w:b/>
              </w:rPr>
              <w:t>Два пута дневно</w:t>
            </w:r>
          </w:p>
          <w:p w14:paraId="2A6C381D" w14:textId="77777777" w:rsidR="0037233F" w:rsidRPr="003E2FA2" w:rsidRDefault="0037233F" w:rsidP="0037233F">
            <w:pPr>
              <w:autoSpaceDE w:val="0"/>
              <w:autoSpaceDN w:val="0"/>
              <w:adjustRightInd w:val="0"/>
              <w:jc w:val="center"/>
              <w:rPr>
                <w:b/>
              </w:rPr>
            </w:pPr>
            <w:r w:rsidRPr="003E2FA2">
              <w:rPr>
                <w:b/>
              </w:rPr>
              <w:t>(% пацијената са догађајем)</w:t>
            </w:r>
          </w:p>
          <w:p w14:paraId="14B1837C" w14:textId="77777777" w:rsidR="0037233F" w:rsidRPr="003E2FA2" w:rsidRDefault="0037233F" w:rsidP="0037233F">
            <w:pPr>
              <w:autoSpaceDE w:val="0"/>
              <w:autoSpaceDN w:val="0"/>
              <w:adjustRightInd w:val="0"/>
              <w:jc w:val="center"/>
              <w:rPr>
                <w:b/>
              </w:rPr>
            </w:pPr>
            <w:r w:rsidRPr="003E2FA2">
              <w:rPr>
                <w:b/>
              </w:rPr>
              <w:t>N=9333</w:t>
            </w:r>
          </w:p>
        </w:tc>
        <w:tc>
          <w:tcPr>
            <w:tcW w:w="1528" w:type="dxa"/>
          </w:tcPr>
          <w:p w14:paraId="790DE271" w14:textId="77777777" w:rsidR="0037233F" w:rsidRPr="003E2FA2" w:rsidRDefault="0037233F" w:rsidP="0037233F">
            <w:pPr>
              <w:autoSpaceDE w:val="0"/>
              <w:autoSpaceDN w:val="0"/>
              <w:adjustRightInd w:val="0"/>
              <w:jc w:val="center"/>
              <w:rPr>
                <w:b/>
              </w:rPr>
            </w:pPr>
            <w:r w:rsidRPr="003E2FA2">
              <w:rPr>
                <w:b/>
              </w:rPr>
              <w:t>Клопидогрел</w:t>
            </w:r>
          </w:p>
          <w:p w14:paraId="24B5044F" w14:textId="77777777" w:rsidR="0037233F" w:rsidRPr="003E2FA2" w:rsidRDefault="0037233F" w:rsidP="0037233F">
            <w:pPr>
              <w:autoSpaceDE w:val="0"/>
              <w:autoSpaceDN w:val="0"/>
              <w:adjustRightInd w:val="0"/>
              <w:jc w:val="center"/>
              <w:rPr>
                <w:b/>
              </w:rPr>
            </w:pPr>
            <w:r w:rsidRPr="003E2FA2">
              <w:rPr>
                <w:b/>
              </w:rPr>
              <w:t>75 mg</w:t>
            </w:r>
          </w:p>
          <w:p w14:paraId="4F731CE5" w14:textId="77777777" w:rsidR="0037233F" w:rsidRPr="003E2FA2" w:rsidRDefault="0037233F" w:rsidP="0037233F">
            <w:pPr>
              <w:autoSpaceDE w:val="0"/>
              <w:autoSpaceDN w:val="0"/>
              <w:adjustRightInd w:val="0"/>
              <w:jc w:val="center"/>
              <w:rPr>
                <w:b/>
              </w:rPr>
            </w:pPr>
            <w:r w:rsidRPr="003E2FA2">
              <w:rPr>
                <w:b/>
              </w:rPr>
              <w:t>Једном дневно</w:t>
            </w:r>
          </w:p>
          <w:p w14:paraId="0E286100" w14:textId="621D37E1" w:rsidR="0037233F" w:rsidRPr="003E2FA2" w:rsidRDefault="0037233F" w:rsidP="0037233F">
            <w:pPr>
              <w:autoSpaceDE w:val="0"/>
              <w:autoSpaceDN w:val="0"/>
              <w:adjustRightInd w:val="0"/>
              <w:jc w:val="center"/>
              <w:rPr>
                <w:b/>
              </w:rPr>
            </w:pPr>
            <w:r w:rsidRPr="003E2FA2">
              <w:rPr>
                <w:b/>
              </w:rPr>
              <w:t>(% пацијената са догађ</w:t>
            </w:r>
            <w:r w:rsidR="00D817C7" w:rsidRPr="003E2FA2">
              <w:rPr>
                <w:b/>
              </w:rPr>
              <w:t>а</w:t>
            </w:r>
            <w:r w:rsidRPr="003E2FA2">
              <w:rPr>
                <w:b/>
              </w:rPr>
              <w:t>јем)</w:t>
            </w:r>
          </w:p>
          <w:p w14:paraId="3E1DEE61" w14:textId="77777777" w:rsidR="0037233F" w:rsidRPr="003E2FA2" w:rsidRDefault="0037233F" w:rsidP="0037233F">
            <w:pPr>
              <w:autoSpaceDE w:val="0"/>
              <w:autoSpaceDN w:val="0"/>
              <w:adjustRightInd w:val="0"/>
              <w:jc w:val="center"/>
              <w:rPr>
                <w:b/>
              </w:rPr>
            </w:pPr>
            <w:r w:rsidRPr="003E2FA2">
              <w:rPr>
                <w:b/>
              </w:rPr>
              <w:t>N=9291</w:t>
            </w:r>
          </w:p>
        </w:tc>
        <w:tc>
          <w:tcPr>
            <w:tcW w:w="1559" w:type="dxa"/>
          </w:tcPr>
          <w:p w14:paraId="1D4ECD9E" w14:textId="77777777" w:rsidR="0037233F" w:rsidRPr="003E2FA2" w:rsidRDefault="0037233F" w:rsidP="0037233F">
            <w:pPr>
              <w:autoSpaceDE w:val="0"/>
              <w:autoSpaceDN w:val="0"/>
              <w:adjustRightInd w:val="0"/>
              <w:jc w:val="center"/>
              <w:rPr>
                <w:b/>
              </w:rPr>
            </w:pPr>
          </w:p>
          <w:p w14:paraId="7332D9B9" w14:textId="77777777" w:rsidR="0037233F" w:rsidRPr="003E2FA2" w:rsidRDefault="0037233F" w:rsidP="0037233F">
            <w:pPr>
              <w:autoSpaceDE w:val="0"/>
              <w:autoSpaceDN w:val="0"/>
              <w:adjustRightInd w:val="0"/>
              <w:jc w:val="center"/>
              <w:rPr>
                <w:b/>
              </w:rPr>
            </w:pPr>
            <w:r w:rsidRPr="003E2FA2">
              <w:rPr>
                <w:b/>
              </w:rPr>
              <w:t>ARR</w:t>
            </w:r>
            <w:r w:rsidRPr="003E2FA2">
              <w:rPr>
                <w:b/>
                <w:vertAlign w:val="superscript"/>
              </w:rPr>
              <w:t>a</w:t>
            </w:r>
          </w:p>
          <w:p w14:paraId="00D7784F" w14:textId="77777777" w:rsidR="0037233F" w:rsidRPr="003E2FA2" w:rsidRDefault="0037233F" w:rsidP="0037233F">
            <w:pPr>
              <w:autoSpaceDE w:val="0"/>
              <w:autoSpaceDN w:val="0"/>
              <w:adjustRightInd w:val="0"/>
              <w:jc w:val="center"/>
              <w:rPr>
                <w:b/>
              </w:rPr>
            </w:pPr>
            <w:r w:rsidRPr="003E2FA2">
              <w:rPr>
                <w:b/>
              </w:rPr>
              <w:t>(%/година)</w:t>
            </w:r>
          </w:p>
        </w:tc>
        <w:tc>
          <w:tcPr>
            <w:tcW w:w="1559" w:type="dxa"/>
          </w:tcPr>
          <w:p w14:paraId="652F29F7" w14:textId="77777777" w:rsidR="0037233F" w:rsidRPr="003E2FA2" w:rsidRDefault="0037233F" w:rsidP="0037233F">
            <w:pPr>
              <w:autoSpaceDE w:val="0"/>
              <w:autoSpaceDN w:val="0"/>
              <w:adjustRightInd w:val="0"/>
              <w:jc w:val="center"/>
              <w:rPr>
                <w:b/>
              </w:rPr>
            </w:pPr>
          </w:p>
          <w:p w14:paraId="5D69DC92" w14:textId="77777777" w:rsidR="0037233F" w:rsidRPr="003E2FA2" w:rsidRDefault="0037233F" w:rsidP="0037233F">
            <w:pPr>
              <w:autoSpaceDE w:val="0"/>
              <w:autoSpaceDN w:val="0"/>
              <w:adjustRightInd w:val="0"/>
              <w:jc w:val="center"/>
              <w:rPr>
                <w:b/>
              </w:rPr>
            </w:pPr>
            <w:r w:rsidRPr="003E2FA2">
              <w:rPr>
                <w:b/>
              </w:rPr>
              <w:t>RRR</w:t>
            </w:r>
            <w:r w:rsidRPr="003E2FA2">
              <w:rPr>
                <w:b/>
                <w:vertAlign w:val="superscript"/>
              </w:rPr>
              <w:t>a</w:t>
            </w:r>
            <w:r w:rsidRPr="003E2FA2">
              <w:rPr>
                <w:b/>
              </w:rPr>
              <w:t xml:space="preserve"> (%)</w:t>
            </w:r>
          </w:p>
          <w:p w14:paraId="413FAB4D" w14:textId="77777777" w:rsidR="0037233F" w:rsidRPr="003E2FA2" w:rsidRDefault="0037233F" w:rsidP="0037233F">
            <w:pPr>
              <w:autoSpaceDE w:val="0"/>
              <w:autoSpaceDN w:val="0"/>
              <w:adjustRightInd w:val="0"/>
              <w:jc w:val="center"/>
              <w:rPr>
                <w:b/>
              </w:rPr>
            </w:pPr>
            <w:r w:rsidRPr="003E2FA2">
              <w:rPr>
                <w:b/>
              </w:rPr>
              <w:t>(95% CI)</w:t>
            </w:r>
          </w:p>
        </w:tc>
        <w:tc>
          <w:tcPr>
            <w:tcW w:w="1128" w:type="dxa"/>
          </w:tcPr>
          <w:p w14:paraId="429B6FC8" w14:textId="77777777" w:rsidR="0037233F" w:rsidRPr="003E2FA2" w:rsidRDefault="0037233F" w:rsidP="0037233F">
            <w:pPr>
              <w:autoSpaceDE w:val="0"/>
              <w:autoSpaceDN w:val="0"/>
              <w:adjustRightInd w:val="0"/>
              <w:jc w:val="center"/>
              <w:rPr>
                <w:b/>
                <w:i/>
              </w:rPr>
            </w:pPr>
          </w:p>
          <w:p w14:paraId="601C1815" w14:textId="12B88BE3" w:rsidR="0037233F" w:rsidRPr="003E2FA2" w:rsidRDefault="0037233F" w:rsidP="0037233F">
            <w:pPr>
              <w:autoSpaceDE w:val="0"/>
              <w:autoSpaceDN w:val="0"/>
              <w:adjustRightInd w:val="0"/>
              <w:jc w:val="center"/>
              <w:rPr>
                <w:b/>
              </w:rPr>
            </w:pPr>
            <w:r w:rsidRPr="003E2FA2">
              <w:rPr>
                <w:b/>
                <w:i/>
              </w:rPr>
              <w:t>p-</w:t>
            </w:r>
            <w:r w:rsidRPr="003E2FA2">
              <w:rPr>
                <w:b/>
              </w:rPr>
              <w:t>вр</w:t>
            </w:r>
            <w:r w:rsidR="00CA60F0" w:rsidRPr="003E2FA2">
              <w:rPr>
                <w:b/>
              </w:rPr>
              <w:t>иј</w:t>
            </w:r>
            <w:r w:rsidRPr="003E2FA2">
              <w:rPr>
                <w:b/>
              </w:rPr>
              <w:t>едност</w:t>
            </w:r>
          </w:p>
        </w:tc>
      </w:tr>
      <w:tr w:rsidR="0037233F" w:rsidRPr="003E2FA2" w14:paraId="0734AB02" w14:textId="77777777" w:rsidTr="0037233F">
        <w:tc>
          <w:tcPr>
            <w:tcW w:w="1980" w:type="dxa"/>
          </w:tcPr>
          <w:p w14:paraId="6D21B628" w14:textId="77777777" w:rsidR="0037233F" w:rsidRPr="003E2FA2" w:rsidRDefault="0037233F" w:rsidP="0037233F">
            <w:pPr>
              <w:autoSpaceDE w:val="0"/>
              <w:autoSpaceDN w:val="0"/>
              <w:adjustRightInd w:val="0"/>
            </w:pPr>
            <w:r w:rsidRPr="003E2FA2">
              <w:t>КВ смрт, ИМ (искључујући асимптоматски- тихи) или мождани удар</w:t>
            </w:r>
          </w:p>
        </w:tc>
        <w:tc>
          <w:tcPr>
            <w:tcW w:w="1417" w:type="dxa"/>
          </w:tcPr>
          <w:p w14:paraId="41561AC9" w14:textId="77777777" w:rsidR="0037233F" w:rsidRPr="003E2FA2" w:rsidRDefault="0037233F" w:rsidP="0037233F">
            <w:pPr>
              <w:autoSpaceDE w:val="0"/>
              <w:autoSpaceDN w:val="0"/>
              <w:adjustRightInd w:val="0"/>
              <w:jc w:val="center"/>
            </w:pPr>
            <w:r w:rsidRPr="003E2FA2">
              <w:t>9.3</w:t>
            </w:r>
          </w:p>
        </w:tc>
        <w:tc>
          <w:tcPr>
            <w:tcW w:w="1528" w:type="dxa"/>
          </w:tcPr>
          <w:p w14:paraId="1F4E6D69" w14:textId="77777777" w:rsidR="0037233F" w:rsidRPr="003E2FA2" w:rsidRDefault="0037233F" w:rsidP="0037233F">
            <w:pPr>
              <w:autoSpaceDE w:val="0"/>
              <w:autoSpaceDN w:val="0"/>
              <w:adjustRightInd w:val="0"/>
              <w:jc w:val="center"/>
            </w:pPr>
            <w:r w:rsidRPr="003E2FA2">
              <w:t>10.9</w:t>
            </w:r>
          </w:p>
        </w:tc>
        <w:tc>
          <w:tcPr>
            <w:tcW w:w="1559" w:type="dxa"/>
          </w:tcPr>
          <w:p w14:paraId="1EC80733" w14:textId="77777777" w:rsidR="0037233F" w:rsidRPr="003E2FA2" w:rsidRDefault="0037233F" w:rsidP="0037233F">
            <w:pPr>
              <w:autoSpaceDE w:val="0"/>
              <w:autoSpaceDN w:val="0"/>
              <w:adjustRightInd w:val="0"/>
              <w:jc w:val="center"/>
            </w:pPr>
            <w:r w:rsidRPr="003E2FA2">
              <w:t>1.9</w:t>
            </w:r>
          </w:p>
        </w:tc>
        <w:tc>
          <w:tcPr>
            <w:tcW w:w="1559" w:type="dxa"/>
          </w:tcPr>
          <w:p w14:paraId="7AC8EFE3" w14:textId="77777777" w:rsidR="0037233F" w:rsidRPr="003E2FA2" w:rsidRDefault="0037233F" w:rsidP="0037233F">
            <w:pPr>
              <w:autoSpaceDE w:val="0"/>
              <w:autoSpaceDN w:val="0"/>
              <w:adjustRightInd w:val="0"/>
              <w:jc w:val="center"/>
            </w:pPr>
            <w:r w:rsidRPr="003E2FA2">
              <w:t>16 (8, 23)</w:t>
            </w:r>
          </w:p>
        </w:tc>
        <w:tc>
          <w:tcPr>
            <w:tcW w:w="1128" w:type="dxa"/>
          </w:tcPr>
          <w:p w14:paraId="09A7D8CB" w14:textId="77777777" w:rsidR="0037233F" w:rsidRPr="003E2FA2" w:rsidRDefault="0037233F" w:rsidP="0037233F">
            <w:pPr>
              <w:autoSpaceDE w:val="0"/>
              <w:autoSpaceDN w:val="0"/>
              <w:adjustRightInd w:val="0"/>
              <w:jc w:val="center"/>
            </w:pPr>
            <w:r w:rsidRPr="003E2FA2">
              <w:t>0.0003</w:t>
            </w:r>
          </w:p>
        </w:tc>
      </w:tr>
      <w:tr w:rsidR="0037233F" w:rsidRPr="003E2FA2" w14:paraId="51957FC8" w14:textId="77777777" w:rsidTr="0037233F">
        <w:tc>
          <w:tcPr>
            <w:tcW w:w="1980" w:type="dxa"/>
          </w:tcPr>
          <w:p w14:paraId="0A91153E" w14:textId="77777777" w:rsidR="0037233F" w:rsidRPr="003E2FA2" w:rsidRDefault="0037233F" w:rsidP="0037233F">
            <w:pPr>
              <w:autoSpaceDE w:val="0"/>
              <w:autoSpaceDN w:val="0"/>
              <w:adjustRightInd w:val="0"/>
            </w:pPr>
            <w:r w:rsidRPr="003E2FA2">
              <w:t>Планирана инвазивна терапија</w:t>
            </w:r>
          </w:p>
        </w:tc>
        <w:tc>
          <w:tcPr>
            <w:tcW w:w="1417" w:type="dxa"/>
          </w:tcPr>
          <w:p w14:paraId="7AE890C2" w14:textId="77777777" w:rsidR="0037233F" w:rsidRPr="003E2FA2" w:rsidRDefault="0037233F" w:rsidP="0037233F">
            <w:pPr>
              <w:autoSpaceDE w:val="0"/>
              <w:autoSpaceDN w:val="0"/>
              <w:adjustRightInd w:val="0"/>
              <w:jc w:val="center"/>
            </w:pPr>
            <w:r w:rsidRPr="003E2FA2">
              <w:t>8.5</w:t>
            </w:r>
          </w:p>
        </w:tc>
        <w:tc>
          <w:tcPr>
            <w:tcW w:w="1528" w:type="dxa"/>
          </w:tcPr>
          <w:p w14:paraId="47066D3E" w14:textId="77777777" w:rsidR="0037233F" w:rsidRPr="003E2FA2" w:rsidRDefault="0037233F" w:rsidP="0037233F">
            <w:pPr>
              <w:autoSpaceDE w:val="0"/>
              <w:autoSpaceDN w:val="0"/>
              <w:adjustRightInd w:val="0"/>
              <w:jc w:val="center"/>
            </w:pPr>
            <w:r w:rsidRPr="003E2FA2">
              <w:t>10.0</w:t>
            </w:r>
          </w:p>
        </w:tc>
        <w:tc>
          <w:tcPr>
            <w:tcW w:w="1559" w:type="dxa"/>
          </w:tcPr>
          <w:p w14:paraId="5C99CCA5" w14:textId="77777777" w:rsidR="0037233F" w:rsidRPr="003E2FA2" w:rsidRDefault="0037233F" w:rsidP="0037233F">
            <w:pPr>
              <w:autoSpaceDE w:val="0"/>
              <w:autoSpaceDN w:val="0"/>
              <w:adjustRightInd w:val="0"/>
              <w:jc w:val="center"/>
            </w:pPr>
            <w:r w:rsidRPr="003E2FA2">
              <w:t>1.7</w:t>
            </w:r>
          </w:p>
        </w:tc>
        <w:tc>
          <w:tcPr>
            <w:tcW w:w="1559" w:type="dxa"/>
          </w:tcPr>
          <w:p w14:paraId="134CD014" w14:textId="77777777" w:rsidR="0037233F" w:rsidRPr="003E2FA2" w:rsidRDefault="0037233F" w:rsidP="0037233F">
            <w:pPr>
              <w:autoSpaceDE w:val="0"/>
              <w:autoSpaceDN w:val="0"/>
              <w:adjustRightInd w:val="0"/>
              <w:jc w:val="center"/>
            </w:pPr>
            <w:r w:rsidRPr="003E2FA2">
              <w:t>16 (6, 25)</w:t>
            </w:r>
          </w:p>
        </w:tc>
        <w:tc>
          <w:tcPr>
            <w:tcW w:w="1128" w:type="dxa"/>
          </w:tcPr>
          <w:p w14:paraId="04D74598" w14:textId="77777777" w:rsidR="0037233F" w:rsidRPr="003E2FA2" w:rsidRDefault="0037233F" w:rsidP="0037233F">
            <w:pPr>
              <w:autoSpaceDE w:val="0"/>
              <w:autoSpaceDN w:val="0"/>
              <w:adjustRightInd w:val="0"/>
              <w:jc w:val="center"/>
            </w:pPr>
            <w:r w:rsidRPr="003E2FA2">
              <w:t>0.0025</w:t>
            </w:r>
          </w:p>
        </w:tc>
      </w:tr>
      <w:tr w:rsidR="0037233F" w:rsidRPr="003E2FA2" w14:paraId="3946D568" w14:textId="77777777" w:rsidTr="0037233F">
        <w:tc>
          <w:tcPr>
            <w:tcW w:w="1980" w:type="dxa"/>
          </w:tcPr>
          <w:p w14:paraId="6F53F1E5" w14:textId="77777777" w:rsidR="0037233F" w:rsidRPr="003E2FA2" w:rsidRDefault="0037233F" w:rsidP="0037233F">
            <w:pPr>
              <w:autoSpaceDE w:val="0"/>
              <w:autoSpaceDN w:val="0"/>
              <w:adjustRightInd w:val="0"/>
            </w:pPr>
            <w:r w:rsidRPr="003E2FA2">
              <w:t>Планирана нехируршка терапија</w:t>
            </w:r>
          </w:p>
        </w:tc>
        <w:tc>
          <w:tcPr>
            <w:tcW w:w="1417" w:type="dxa"/>
          </w:tcPr>
          <w:p w14:paraId="0273E105" w14:textId="77777777" w:rsidR="0037233F" w:rsidRPr="003E2FA2" w:rsidRDefault="0037233F" w:rsidP="0037233F">
            <w:pPr>
              <w:autoSpaceDE w:val="0"/>
              <w:autoSpaceDN w:val="0"/>
              <w:adjustRightInd w:val="0"/>
              <w:jc w:val="center"/>
            </w:pPr>
            <w:r w:rsidRPr="003E2FA2">
              <w:t>11.3</w:t>
            </w:r>
          </w:p>
        </w:tc>
        <w:tc>
          <w:tcPr>
            <w:tcW w:w="1528" w:type="dxa"/>
          </w:tcPr>
          <w:p w14:paraId="328C35FD" w14:textId="77777777" w:rsidR="0037233F" w:rsidRPr="003E2FA2" w:rsidRDefault="0037233F" w:rsidP="0037233F">
            <w:pPr>
              <w:autoSpaceDE w:val="0"/>
              <w:autoSpaceDN w:val="0"/>
              <w:adjustRightInd w:val="0"/>
              <w:jc w:val="center"/>
            </w:pPr>
            <w:r w:rsidRPr="003E2FA2">
              <w:t>13.2</w:t>
            </w:r>
          </w:p>
        </w:tc>
        <w:tc>
          <w:tcPr>
            <w:tcW w:w="1559" w:type="dxa"/>
          </w:tcPr>
          <w:p w14:paraId="47FFF517" w14:textId="77777777" w:rsidR="0037233F" w:rsidRPr="003E2FA2" w:rsidRDefault="0037233F" w:rsidP="0037233F">
            <w:pPr>
              <w:autoSpaceDE w:val="0"/>
              <w:autoSpaceDN w:val="0"/>
              <w:adjustRightInd w:val="0"/>
              <w:jc w:val="center"/>
            </w:pPr>
            <w:r w:rsidRPr="003E2FA2">
              <w:t>2.3</w:t>
            </w:r>
          </w:p>
        </w:tc>
        <w:tc>
          <w:tcPr>
            <w:tcW w:w="1559" w:type="dxa"/>
          </w:tcPr>
          <w:p w14:paraId="416A5D74" w14:textId="77777777" w:rsidR="0037233F" w:rsidRPr="003E2FA2" w:rsidRDefault="0037233F" w:rsidP="0037233F">
            <w:pPr>
              <w:autoSpaceDE w:val="0"/>
              <w:autoSpaceDN w:val="0"/>
              <w:adjustRightInd w:val="0"/>
              <w:jc w:val="center"/>
            </w:pPr>
            <w:r w:rsidRPr="003E2FA2">
              <w:t>15 (0.3, 27)</w:t>
            </w:r>
          </w:p>
        </w:tc>
        <w:tc>
          <w:tcPr>
            <w:tcW w:w="1128" w:type="dxa"/>
          </w:tcPr>
          <w:p w14:paraId="28900CC6" w14:textId="77777777" w:rsidR="0037233F" w:rsidRPr="003E2FA2" w:rsidRDefault="0037233F" w:rsidP="0037233F">
            <w:pPr>
              <w:autoSpaceDE w:val="0"/>
              <w:autoSpaceDN w:val="0"/>
              <w:adjustRightInd w:val="0"/>
              <w:jc w:val="center"/>
            </w:pPr>
            <w:r w:rsidRPr="003E2FA2">
              <w:t>0.0444</w:t>
            </w:r>
            <w:r w:rsidRPr="003E2FA2">
              <w:rPr>
                <w:vertAlign w:val="superscript"/>
              </w:rPr>
              <w:t>d</w:t>
            </w:r>
          </w:p>
        </w:tc>
      </w:tr>
      <w:tr w:rsidR="0037233F" w:rsidRPr="003E2FA2" w14:paraId="7AD20940" w14:textId="77777777" w:rsidTr="0037233F">
        <w:tc>
          <w:tcPr>
            <w:tcW w:w="1980" w:type="dxa"/>
          </w:tcPr>
          <w:p w14:paraId="6D75C993" w14:textId="77777777" w:rsidR="0037233F" w:rsidRPr="003E2FA2" w:rsidRDefault="0037233F" w:rsidP="0037233F">
            <w:pPr>
              <w:autoSpaceDE w:val="0"/>
              <w:autoSpaceDN w:val="0"/>
              <w:adjustRightInd w:val="0"/>
            </w:pPr>
            <w:r w:rsidRPr="003E2FA2">
              <w:t>КВ смрт</w:t>
            </w:r>
          </w:p>
        </w:tc>
        <w:tc>
          <w:tcPr>
            <w:tcW w:w="1417" w:type="dxa"/>
          </w:tcPr>
          <w:p w14:paraId="5AC30197" w14:textId="77777777" w:rsidR="0037233F" w:rsidRPr="003E2FA2" w:rsidRDefault="0037233F" w:rsidP="0037233F">
            <w:pPr>
              <w:autoSpaceDE w:val="0"/>
              <w:autoSpaceDN w:val="0"/>
              <w:adjustRightInd w:val="0"/>
              <w:jc w:val="center"/>
            </w:pPr>
            <w:r w:rsidRPr="003E2FA2">
              <w:t>3.8</w:t>
            </w:r>
          </w:p>
        </w:tc>
        <w:tc>
          <w:tcPr>
            <w:tcW w:w="1528" w:type="dxa"/>
          </w:tcPr>
          <w:p w14:paraId="0620DAFF" w14:textId="77777777" w:rsidR="0037233F" w:rsidRPr="003E2FA2" w:rsidRDefault="0037233F" w:rsidP="0037233F">
            <w:pPr>
              <w:autoSpaceDE w:val="0"/>
              <w:autoSpaceDN w:val="0"/>
              <w:adjustRightInd w:val="0"/>
              <w:jc w:val="center"/>
            </w:pPr>
            <w:r w:rsidRPr="003E2FA2">
              <w:t>4.8</w:t>
            </w:r>
          </w:p>
        </w:tc>
        <w:tc>
          <w:tcPr>
            <w:tcW w:w="1559" w:type="dxa"/>
          </w:tcPr>
          <w:p w14:paraId="357E13A6" w14:textId="77777777" w:rsidR="0037233F" w:rsidRPr="003E2FA2" w:rsidRDefault="0037233F" w:rsidP="0037233F">
            <w:pPr>
              <w:autoSpaceDE w:val="0"/>
              <w:autoSpaceDN w:val="0"/>
              <w:adjustRightInd w:val="0"/>
              <w:jc w:val="center"/>
            </w:pPr>
            <w:r w:rsidRPr="003E2FA2">
              <w:t>1.1</w:t>
            </w:r>
          </w:p>
        </w:tc>
        <w:tc>
          <w:tcPr>
            <w:tcW w:w="1559" w:type="dxa"/>
          </w:tcPr>
          <w:p w14:paraId="40C484D2" w14:textId="77777777" w:rsidR="0037233F" w:rsidRPr="003E2FA2" w:rsidRDefault="0037233F" w:rsidP="0037233F">
            <w:pPr>
              <w:autoSpaceDE w:val="0"/>
              <w:autoSpaceDN w:val="0"/>
              <w:adjustRightInd w:val="0"/>
              <w:jc w:val="center"/>
            </w:pPr>
            <w:r w:rsidRPr="003E2FA2">
              <w:t>21 (9, 31)</w:t>
            </w:r>
          </w:p>
        </w:tc>
        <w:tc>
          <w:tcPr>
            <w:tcW w:w="1128" w:type="dxa"/>
          </w:tcPr>
          <w:p w14:paraId="4E284AFF" w14:textId="77777777" w:rsidR="0037233F" w:rsidRPr="003E2FA2" w:rsidRDefault="0037233F" w:rsidP="0037233F">
            <w:pPr>
              <w:autoSpaceDE w:val="0"/>
              <w:autoSpaceDN w:val="0"/>
              <w:adjustRightInd w:val="0"/>
              <w:jc w:val="center"/>
            </w:pPr>
            <w:r w:rsidRPr="003E2FA2">
              <w:t>0.0013</w:t>
            </w:r>
          </w:p>
        </w:tc>
      </w:tr>
      <w:tr w:rsidR="0037233F" w:rsidRPr="003E2FA2" w14:paraId="6FD79248" w14:textId="77777777" w:rsidTr="0037233F">
        <w:tc>
          <w:tcPr>
            <w:tcW w:w="1980" w:type="dxa"/>
          </w:tcPr>
          <w:p w14:paraId="66B9DCAD" w14:textId="4CA8BEEA" w:rsidR="0037233F" w:rsidRPr="003E2FA2" w:rsidRDefault="0037233F" w:rsidP="0037233F">
            <w:pPr>
              <w:autoSpaceDE w:val="0"/>
              <w:autoSpaceDN w:val="0"/>
              <w:adjustRightInd w:val="0"/>
            </w:pPr>
            <w:r w:rsidRPr="003E2FA2">
              <w:t>ИМ</w:t>
            </w:r>
            <w:r w:rsidR="003B2B60" w:rsidRPr="003E2FA2">
              <w:t xml:space="preserve"> (искљ. а</w:t>
            </w:r>
            <w:r w:rsidRPr="003E2FA2">
              <w:t>симптоматски ИМ)</w:t>
            </w:r>
            <w:r w:rsidRPr="003E2FA2">
              <w:rPr>
                <w:vertAlign w:val="superscript"/>
              </w:rPr>
              <w:t>b</w:t>
            </w:r>
          </w:p>
        </w:tc>
        <w:tc>
          <w:tcPr>
            <w:tcW w:w="1417" w:type="dxa"/>
          </w:tcPr>
          <w:p w14:paraId="0353BF94" w14:textId="77777777" w:rsidR="0037233F" w:rsidRPr="003E2FA2" w:rsidRDefault="0037233F" w:rsidP="0037233F">
            <w:pPr>
              <w:autoSpaceDE w:val="0"/>
              <w:autoSpaceDN w:val="0"/>
              <w:adjustRightInd w:val="0"/>
              <w:jc w:val="center"/>
            </w:pPr>
            <w:r w:rsidRPr="003E2FA2">
              <w:t>5.4</w:t>
            </w:r>
          </w:p>
        </w:tc>
        <w:tc>
          <w:tcPr>
            <w:tcW w:w="1528" w:type="dxa"/>
          </w:tcPr>
          <w:p w14:paraId="3EE9455E" w14:textId="77777777" w:rsidR="0037233F" w:rsidRPr="003E2FA2" w:rsidRDefault="0037233F" w:rsidP="0037233F">
            <w:pPr>
              <w:autoSpaceDE w:val="0"/>
              <w:autoSpaceDN w:val="0"/>
              <w:adjustRightInd w:val="0"/>
              <w:jc w:val="center"/>
            </w:pPr>
            <w:r w:rsidRPr="003E2FA2">
              <w:t>6.4</w:t>
            </w:r>
          </w:p>
        </w:tc>
        <w:tc>
          <w:tcPr>
            <w:tcW w:w="1559" w:type="dxa"/>
          </w:tcPr>
          <w:p w14:paraId="1616EE43" w14:textId="77777777" w:rsidR="0037233F" w:rsidRPr="003E2FA2" w:rsidRDefault="0037233F" w:rsidP="0037233F">
            <w:pPr>
              <w:autoSpaceDE w:val="0"/>
              <w:autoSpaceDN w:val="0"/>
              <w:adjustRightInd w:val="0"/>
              <w:jc w:val="center"/>
            </w:pPr>
            <w:r w:rsidRPr="003E2FA2">
              <w:t>1.1</w:t>
            </w:r>
          </w:p>
        </w:tc>
        <w:tc>
          <w:tcPr>
            <w:tcW w:w="1559" w:type="dxa"/>
          </w:tcPr>
          <w:p w14:paraId="08BF32EC" w14:textId="77777777" w:rsidR="0037233F" w:rsidRPr="003E2FA2" w:rsidRDefault="0037233F" w:rsidP="0037233F">
            <w:pPr>
              <w:autoSpaceDE w:val="0"/>
              <w:autoSpaceDN w:val="0"/>
              <w:adjustRightInd w:val="0"/>
              <w:jc w:val="center"/>
            </w:pPr>
            <w:r w:rsidRPr="003E2FA2">
              <w:t>16 (5, 25)</w:t>
            </w:r>
          </w:p>
        </w:tc>
        <w:tc>
          <w:tcPr>
            <w:tcW w:w="1128" w:type="dxa"/>
          </w:tcPr>
          <w:p w14:paraId="2A112C27" w14:textId="77777777" w:rsidR="0037233F" w:rsidRPr="003E2FA2" w:rsidRDefault="0037233F" w:rsidP="0037233F">
            <w:pPr>
              <w:autoSpaceDE w:val="0"/>
              <w:autoSpaceDN w:val="0"/>
              <w:adjustRightInd w:val="0"/>
              <w:jc w:val="center"/>
            </w:pPr>
            <w:r w:rsidRPr="003E2FA2">
              <w:t>0.0045</w:t>
            </w:r>
          </w:p>
        </w:tc>
      </w:tr>
      <w:tr w:rsidR="0037233F" w:rsidRPr="003E2FA2" w14:paraId="6BAC2418" w14:textId="77777777" w:rsidTr="0037233F">
        <w:tc>
          <w:tcPr>
            <w:tcW w:w="1980" w:type="dxa"/>
          </w:tcPr>
          <w:p w14:paraId="3C13C440" w14:textId="77777777" w:rsidR="0037233F" w:rsidRPr="003E2FA2" w:rsidRDefault="0037233F" w:rsidP="0037233F">
            <w:pPr>
              <w:autoSpaceDE w:val="0"/>
              <w:autoSpaceDN w:val="0"/>
              <w:adjustRightInd w:val="0"/>
            </w:pPr>
            <w:r w:rsidRPr="003E2FA2">
              <w:t>Мождани удар</w:t>
            </w:r>
          </w:p>
        </w:tc>
        <w:tc>
          <w:tcPr>
            <w:tcW w:w="1417" w:type="dxa"/>
          </w:tcPr>
          <w:p w14:paraId="5D5C9AE6" w14:textId="77777777" w:rsidR="0037233F" w:rsidRPr="003E2FA2" w:rsidRDefault="0037233F" w:rsidP="0037233F">
            <w:pPr>
              <w:autoSpaceDE w:val="0"/>
              <w:autoSpaceDN w:val="0"/>
              <w:adjustRightInd w:val="0"/>
              <w:jc w:val="center"/>
            </w:pPr>
            <w:r w:rsidRPr="003E2FA2">
              <w:t>1.3</w:t>
            </w:r>
          </w:p>
        </w:tc>
        <w:tc>
          <w:tcPr>
            <w:tcW w:w="1528" w:type="dxa"/>
          </w:tcPr>
          <w:p w14:paraId="44AF469E" w14:textId="77777777" w:rsidR="0037233F" w:rsidRPr="003E2FA2" w:rsidRDefault="0037233F" w:rsidP="0037233F">
            <w:pPr>
              <w:autoSpaceDE w:val="0"/>
              <w:autoSpaceDN w:val="0"/>
              <w:adjustRightInd w:val="0"/>
              <w:jc w:val="center"/>
            </w:pPr>
            <w:r w:rsidRPr="003E2FA2">
              <w:t>1.1</w:t>
            </w:r>
          </w:p>
        </w:tc>
        <w:tc>
          <w:tcPr>
            <w:tcW w:w="1559" w:type="dxa"/>
          </w:tcPr>
          <w:p w14:paraId="1334E5CE" w14:textId="77777777" w:rsidR="0037233F" w:rsidRPr="003E2FA2" w:rsidRDefault="0037233F" w:rsidP="0037233F">
            <w:pPr>
              <w:autoSpaceDE w:val="0"/>
              <w:autoSpaceDN w:val="0"/>
              <w:adjustRightInd w:val="0"/>
              <w:jc w:val="center"/>
            </w:pPr>
            <w:r w:rsidRPr="003E2FA2">
              <w:t>-0.2</w:t>
            </w:r>
          </w:p>
        </w:tc>
        <w:tc>
          <w:tcPr>
            <w:tcW w:w="1559" w:type="dxa"/>
          </w:tcPr>
          <w:p w14:paraId="6F60D178" w14:textId="77777777" w:rsidR="0037233F" w:rsidRPr="003E2FA2" w:rsidRDefault="0037233F" w:rsidP="0037233F">
            <w:pPr>
              <w:autoSpaceDE w:val="0"/>
              <w:autoSpaceDN w:val="0"/>
              <w:adjustRightInd w:val="0"/>
              <w:jc w:val="center"/>
            </w:pPr>
            <w:r w:rsidRPr="003E2FA2">
              <w:t>-17 (-52, 9)</w:t>
            </w:r>
          </w:p>
        </w:tc>
        <w:tc>
          <w:tcPr>
            <w:tcW w:w="1128" w:type="dxa"/>
          </w:tcPr>
          <w:p w14:paraId="7050ED4A" w14:textId="77777777" w:rsidR="0037233F" w:rsidRPr="003E2FA2" w:rsidRDefault="0037233F" w:rsidP="0037233F">
            <w:pPr>
              <w:autoSpaceDE w:val="0"/>
              <w:autoSpaceDN w:val="0"/>
              <w:adjustRightInd w:val="0"/>
              <w:jc w:val="center"/>
            </w:pPr>
            <w:r w:rsidRPr="003E2FA2">
              <w:t>0.2249</w:t>
            </w:r>
          </w:p>
        </w:tc>
      </w:tr>
      <w:tr w:rsidR="0037233F" w:rsidRPr="003E2FA2" w14:paraId="0573BE11" w14:textId="77777777" w:rsidTr="0037233F">
        <w:tc>
          <w:tcPr>
            <w:tcW w:w="1980" w:type="dxa"/>
          </w:tcPr>
          <w:p w14:paraId="45F1A26E" w14:textId="39B3FEF3" w:rsidR="0037233F" w:rsidRPr="003E2FA2" w:rsidRDefault="0037233F" w:rsidP="0037233F">
            <w:pPr>
              <w:autoSpaceDE w:val="0"/>
              <w:autoSpaceDN w:val="0"/>
              <w:adjustRightInd w:val="0"/>
            </w:pPr>
            <w:r w:rsidRPr="003E2FA2">
              <w:t>Морталитет из свих узрока, ИМ</w:t>
            </w:r>
            <w:r w:rsidR="003B2B60" w:rsidRPr="003E2FA2">
              <w:t xml:space="preserve"> (искљ. а</w:t>
            </w:r>
            <w:r w:rsidRPr="003E2FA2">
              <w:t>симптоматски-тихи) или мождани удар</w:t>
            </w:r>
          </w:p>
          <w:p w14:paraId="61F13D96" w14:textId="77777777" w:rsidR="0037233F" w:rsidRPr="003E2FA2" w:rsidRDefault="0037233F" w:rsidP="0037233F">
            <w:pPr>
              <w:autoSpaceDE w:val="0"/>
              <w:autoSpaceDN w:val="0"/>
              <w:adjustRightInd w:val="0"/>
            </w:pPr>
          </w:p>
        </w:tc>
        <w:tc>
          <w:tcPr>
            <w:tcW w:w="1417" w:type="dxa"/>
          </w:tcPr>
          <w:p w14:paraId="7ED48558" w14:textId="77777777" w:rsidR="0037233F" w:rsidRPr="003E2FA2" w:rsidRDefault="0037233F" w:rsidP="0037233F">
            <w:pPr>
              <w:autoSpaceDE w:val="0"/>
              <w:autoSpaceDN w:val="0"/>
              <w:adjustRightInd w:val="0"/>
              <w:jc w:val="center"/>
            </w:pPr>
          </w:p>
          <w:p w14:paraId="3A0C89B7" w14:textId="77777777" w:rsidR="0037233F" w:rsidRPr="003E2FA2" w:rsidRDefault="0037233F" w:rsidP="0037233F">
            <w:pPr>
              <w:autoSpaceDE w:val="0"/>
              <w:autoSpaceDN w:val="0"/>
              <w:adjustRightInd w:val="0"/>
              <w:jc w:val="center"/>
            </w:pPr>
            <w:r w:rsidRPr="003E2FA2">
              <w:t>9.7</w:t>
            </w:r>
          </w:p>
        </w:tc>
        <w:tc>
          <w:tcPr>
            <w:tcW w:w="1528" w:type="dxa"/>
          </w:tcPr>
          <w:p w14:paraId="0E0BF7FE" w14:textId="77777777" w:rsidR="0037233F" w:rsidRPr="003E2FA2" w:rsidRDefault="0037233F" w:rsidP="0037233F">
            <w:pPr>
              <w:autoSpaceDE w:val="0"/>
              <w:autoSpaceDN w:val="0"/>
              <w:adjustRightInd w:val="0"/>
              <w:jc w:val="center"/>
            </w:pPr>
          </w:p>
          <w:p w14:paraId="7C357BD3" w14:textId="77777777" w:rsidR="0037233F" w:rsidRPr="003E2FA2" w:rsidRDefault="0037233F" w:rsidP="0037233F">
            <w:pPr>
              <w:autoSpaceDE w:val="0"/>
              <w:autoSpaceDN w:val="0"/>
              <w:adjustRightInd w:val="0"/>
              <w:jc w:val="center"/>
            </w:pPr>
            <w:r w:rsidRPr="003E2FA2">
              <w:t>11.5</w:t>
            </w:r>
          </w:p>
        </w:tc>
        <w:tc>
          <w:tcPr>
            <w:tcW w:w="1559" w:type="dxa"/>
          </w:tcPr>
          <w:p w14:paraId="2ADC4278" w14:textId="77777777" w:rsidR="0037233F" w:rsidRPr="003E2FA2" w:rsidRDefault="0037233F" w:rsidP="0037233F">
            <w:pPr>
              <w:autoSpaceDE w:val="0"/>
              <w:autoSpaceDN w:val="0"/>
              <w:adjustRightInd w:val="0"/>
              <w:jc w:val="center"/>
            </w:pPr>
          </w:p>
          <w:p w14:paraId="5EEEAFF6" w14:textId="77777777" w:rsidR="0037233F" w:rsidRPr="003E2FA2" w:rsidRDefault="0037233F" w:rsidP="0037233F">
            <w:pPr>
              <w:autoSpaceDE w:val="0"/>
              <w:autoSpaceDN w:val="0"/>
              <w:adjustRightInd w:val="0"/>
              <w:jc w:val="center"/>
            </w:pPr>
            <w:r w:rsidRPr="003E2FA2">
              <w:t>2.1</w:t>
            </w:r>
          </w:p>
        </w:tc>
        <w:tc>
          <w:tcPr>
            <w:tcW w:w="1559" w:type="dxa"/>
          </w:tcPr>
          <w:p w14:paraId="05E15D51" w14:textId="77777777" w:rsidR="0037233F" w:rsidRPr="003E2FA2" w:rsidRDefault="0037233F" w:rsidP="0037233F">
            <w:pPr>
              <w:autoSpaceDE w:val="0"/>
              <w:autoSpaceDN w:val="0"/>
              <w:adjustRightInd w:val="0"/>
              <w:jc w:val="center"/>
            </w:pPr>
          </w:p>
          <w:p w14:paraId="31C5A3F3" w14:textId="77777777" w:rsidR="0037233F" w:rsidRPr="003E2FA2" w:rsidRDefault="0037233F" w:rsidP="0037233F">
            <w:pPr>
              <w:jc w:val="center"/>
            </w:pPr>
            <w:r w:rsidRPr="003E2FA2">
              <w:t>16 (8, 23)</w:t>
            </w:r>
          </w:p>
        </w:tc>
        <w:tc>
          <w:tcPr>
            <w:tcW w:w="1128" w:type="dxa"/>
          </w:tcPr>
          <w:p w14:paraId="062F6B9C" w14:textId="77777777" w:rsidR="0037233F" w:rsidRPr="003E2FA2" w:rsidRDefault="0037233F" w:rsidP="0037233F">
            <w:pPr>
              <w:autoSpaceDE w:val="0"/>
              <w:autoSpaceDN w:val="0"/>
              <w:adjustRightInd w:val="0"/>
              <w:jc w:val="center"/>
            </w:pPr>
          </w:p>
          <w:p w14:paraId="643FFA57" w14:textId="77777777" w:rsidR="0037233F" w:rsidRPr="003E2FA2" w:rsidRDefault="0037233F" w:rsidP="0037233F">
            <w:pPr>
              <w:autoSpaceDE w:val="0"/>
              <w:autoSpaceDN w:val="0"/>
              <w:adjustRightInd w:val="0"/>
              <w:jc w:val="center"/>
            </w:pPr>
            <w:r w:rsidRPr="003E2FA2">
              <w:t>0.0001</w:t>
            </w:r>
          </w:p>
        </w:tc>
      </w:tr>
      <w:tr w:rsidR="0037233F" w:rsidRPr="003E2FA2" w14:paraId="2C8A925A" w14:textId="77777777" w:rsidTr="0037233F">
        <w:tc>
          <w:tcPr>
            <w:tcW w:w="1980" w:type="dxa"/>
          </w:tcPr>
          <w:p w14:paraId="444F3937" w14:textId="77777777" w:rsidR="0037233F" w:rsidRPr="003E2FA2" w:rsidRDefault="0037233F" w:rsidP="0037233F">
            <w:pPr>
              <w:autoSpaceDE w:val="0"/>
              <w:autoSpaceDN w:val="0"/>
              <w:adjustRightInd w:val="0"/>
            </w:pPr>
            <w:r w:rsidRPr="003E2FA2">
              <w:t>КВ смрт, укупни ИМ,</w:t>
            </w:r>
          </w:p>
          <w:p w14:paraId="2E52BECF" w14:textId="77777777" w:rsidR="0037233F" w:rsidRPr="003E2FA2" w:rsidRDefault="0037233F" w:rsidP="0037233F">
            <w:pPr>
              <w:autoSpaceDE w:val="0"/>
              <w:autoSpaceDN w:val="0"/>
              <w:adjustRightInd w:val="0"/>
            </w:pPr>
            <w:r w:rsidRPr="003E2FA2">
              <w:t>Мождани удар, SRI, RI, TIA</w:t>
            </w:r>
          </w:p>
          <w:p w14:paraId="376EDE25" w14:textId="77777777" w:rsidR="0037233F" w:rsidRPr="003E2FA2" w:rsidRDefault="0037233F" w:rsidP="0037233F">
            <w:pPr>
              <w:autoSpaceDE w:val="0"/>
              <w:autoSpaceDN w:val="0"/>
              <w:adjustRightInd w:val="0"/>
            </w:pPr>
            <w:r w:rsidRPr="003E2FA2">
              <w:t>или други ATE</w:t>
            </w:r>
            <w:r w:rsidRPr="003E2FA2">
              <w:rPr>
                <w:vertAlign w:val="superscript"/>
              </w:rPr>
              <w:t>c</w:t>
            </w:r>
          </w:p>
        </w:tc>
        <w:tc>
          <w:tcPr>
            <w:tcW w:w="1417" w:type="dxa"/>
          </w:tcPr>
          <w:p w14:paraId="334D0E34" w14:textId="77777777" w:rsidR="0037233F" w:rsidRPr="003E2FA2" w:rsidRDefault="0037233F" w:rsidP="0037233F">
            <w:pPr>
              <w:autoSpaceDE w:val="0"/>
              <w:autoSpaceDN w:val="0"/>
              <w:adjustRightInd w:val="0"/>
              <w:jc w:val="center"/>
            </w:pPr>
          </w:p>
          <w:p w14:paraId="2E26B5C9" w14:textId="77777777" w:rsidR="0037233F" w:rsidRPr="003E2FA2" w:rsidRDefault="0037233F" w:rsidP="0037233F">
            <w:pPr>
              <w:autoSpaceDE w:val="0"/>
              <w:autoSpaceDN w:val="0"/>
              <w:adjustRightInd w:val="0"/>
              <w:jc w:val="center"/>
            </w:pPr>
            <w:r w:rsidRPr="003E2FA2">
              <w:t>13.8</w:t>
            </w:r>
          </w:p>
        </w:tc>
        <w:tc>
          <w:tcPr>
            <w:tcW w:w="1528" w:type="dxa"/>
          </w:tcPr>
          <w:p w14:paraId="1E18B225" w14:textId="77777777" w:rsidR="0037233F" w:rsidRPr="003E2FA2" w:rsidRDefault="0037233F" w:rsidP="0037233F">
            <w:pPr>
              <w:autoSpaceDE w:val="0"/>
              <w:autoSpaceDN w:val="0"/>
              <w:adjustRightInd w:val="0"/>
              <w:jc w:val="center"/>
            </w:pPr>
          </w:p>
          <w:p w14:paraId="3476EBEA" w14:textId="77777777" w:rsidR="0037233F" w:rsidRPr="003E2FA2" w:rsidRDefault="0037233F" w:rsidP="0037233F">
            <w:pPr>
              <w:autoSpaceDE w:val="0"/>
              <w:autoSpaceDN w:val="0"/>
              <w:adjustRightInd w:val="0"/>
              <w:jc w:val="center"/>
            </w:pPr>
            <w:r w:rsidRPr="003E2FA2">
              <w:t>15.7</w:t>
            </w:r>
          </w:p>
        </w:tc>
        <w:tc>
          <w:tcPr>
            <w:tcW w:w="1559" w:type="dxa"/>
          </w:tcPr>
          <w:p w14:paraId="51454BDF" w14:textId="77777777" w:rsidR="0037233F" w:rsidRPr="003E2FA2" w:rsidRDefault="0037233F" w:rsidP="0037233F">
            <w:pPr>
              <w:autoSpaceDE w:val="0"/>
              <w:autoSpaceDN w:val="0"/>
              <w:adjustRightInd w:val="0"/>
              <w:jc w:val="center"/>
            </w:pPr>
          </w:p>
          <w:p w14:paraId="6A7C7803" w14:textId="77777777" w:rsidR="0037233F" w:rsidRPr="003E2FA2" w:rsidRDefault="0037233F" w:rsidP="0037233F">
            <w:pPr>
              <w:autoSpaceDE w:val="0"/>
              <w:autoSpaceDN w:val="0"/>
              <w:adjustRightInd w:val="0"/>
              <w:jc w:val="center"/>
            </w:pPr>
            <w:r w:rsidRPr="003E2FA2">
              <w:t>2.1</w:t>
            </w:r>
          </w:p>
        </w:tc>
        <w:tc>
          <w:tcPr>
            <w:tcW w:w="1559" w:type="dxa"/>
          </w:tcPr>
          <w:p w14:paraId="4414E84D" w14:textId="77777777" w:rsidR="0037233F" w:rsidRPr="003E2FA2" w:rsidRDefault="0037233F" w:rsidP="0037233F">
            <w:pPr>
              <w:autoSpaceDE w:val="0"/>
              <w:autoSpaceDN w:val="0"/>
              <w:adjustRightInd w:val="0"/>
              <w:jc w:val="center"/>
            </w:pPr>
          </w:p>
          <w:p w14:paraId="7120AA4F" w14:textId="77777777" w:rsidR="0037233F" w:rsidRPr="003E2FA2" w:rsidRDefault="0037233F" w:rsidP="0037233F">
            <w:pPr>
              <w:jc w:val="center"/>
            </w:pPr>
            <w:r w:rsidRPr="003E2FA2">
              <w:t>12 (5, 19)</w:t>
            </w:r>
          </w:p>
        </w:tc>
        <w:tc>
          <w:tcPr>
            <w:tcW w:w="1128" w:type="dxa"/>
          </w:tcPr>
          <w:p w14:paraId="0D329ED3" w14:textId="77777777" w:rsidR="0037233F" w:rsidRPr="003E2FA2" w:rsidRDefault="0037233F" w:rsidP="0037233F">
            <w:pPr>
              <w:autoSpaceDE w:val="0"/>
              <w:autoSpaceDN w:val="0"/>
              <w:adjustRightInd w:val="0"/>
              <w:jc w:val="center"/>
            </w:pPr>
          </w:p>
          <w:p w14:paraId="6A03BD85" w14:textId="77777777" w:rsidR="0037233F" w:rsidRPr="003E2FA2" w:rsidRDefault="0037233F" w:rsidP="0037233F">
            <w:pPr>
              <w:autoSpaceDE w:val="0"/>
              <w:autoSpaceDN w:val="0"/>
              <w:adjustRightInd w:val="0"/>
              <w:jc w:val="center"/>
            </w:pPr>
            <w:r w:rsidRPr="003E2FA2">
              <w:t>0.0006</w:t>
            </w:r>
          </w:p>
        </w:tc>
      </w:tr>
      <w:tr w:rsidR="0037233F" w:rsidRPr="003E2FA2" w14:paraId="1A570AA0" w14:textId="77777777" w:rsidTr="0037233F">
        <w:tc>
          <w:tcPr>
            <w:tcW w:w="1980" w:type="dxa"/>
          </w:tcPr>
          <w:p w14:paraId="5B1D43E9" w14:textId="77777777" w:rsidR="0037233F" w:rsidRPr="003E2FA2" w:rsidRDefault="0037233F" w:rsidP="0037233F">
            <w:pPr>
              <w:autoSpaceDE w:val="0"/>
              <w:autoSpaceDN w:val="0"/>
              <w:adjustRightInd w:val="0"/>
            </w:pPr>
            <w:r w:rsidRPr="003E2FA2">
              <w:t>Морталитет из свих узрока</w:t>
            </w:r>
          </w:p>
        </w:tc>
        <w:tc>
          <w:tcPr>
            <w:tcW w:w="1417" w:type="dxa"/>
          </w:tcPr>
          <w:p w14:paraId="0CC32AD9" w14:textId="77777777" w:rsidR="0037233F" w:rsidRPr="003E2FA2" w:rsidRDefault="0037233F" w:rsidP="0037233F">
            <w:pPr>
              <w:autoSpaceDE w:val="0"/>
              <w:autoSpaceDN w:val="0"/>
              <w:adjustRightInd w:val="0"/>
              <w:jc w:val="center"/>
            </w:pPr>
            <w:r w:rsidRPr="003E2FA2">
              <w:t>4.3</w:t>
            </w:r>
          </w:p>
        </w:tc>
        <w:tc>
          <w:tcPr>
            <w:tcW w:w="1528" w:type="dxa"/>
          </w:tcPr>
          <w:p w14:paraId="364F7B35" w14:textId="77777777" w:rsidR="0037233F" w:rsidRPr="003E2FA2" w:rsidRDefault="0037233F" w:rsidP="0037233F">
            <w:pPr>
              <w:autoSpaceDE w:val="0"/>
              <w:autoSpaceDN w:val="0"/>
              <w:adjustRightInd w:val="0"/>
              <w:jc w:val="center"/>
            </w:pPr>
            <w:r w:rsidRPr="003E2FA2">
              <w:t>5.4</w:t>
            </w:r>
          </w:p>
        </w:tc>
        <w:tc>
          <w:tcPr>
            <w:tcW w:w="1559" w:type="dxa"/>
          </w:tcPr>
          <w:p w14:paraId="223678D2" w14:textId="77777777" w:rsidR="0037233F" w:rsidRPr="003E2FA2" w:rsidRDefault="0037233F" w:rsidP="0037233F">
            <w:pPr>
              <w:autoSpaceDE w:val="0"/>
              <w:autoSpaceDN w:val="0"/>
              <w:adjustRightInd w:val="0"/>
              <w:jc w:val="center"/>
            </w:pPr>
            <w:r w:rsidRPr="003E2FA2">
              <w:t>1.4</w:t>
            </w:r>
          </w:p>
        </w:tc>
        <w:tc>
          <w:tcPr>
            <w:tcW w:w="1559" w:type="dxa"/>
          </w:tcPr>
          <w:p w14:paraId="1EC5DE97" w14:textId="77777777" w:rsidR="0037233F" w:rsidRPr="003E2FA2" w:rsidRDefault="0037233F" w:rsidP="0037233F">
            <w:pPr>
              <w:autoSpaceDE w:val="0"/>
              <w:autoSpaceDN w:val="0"/>
              <w:adjustRightInd w:val="0"/>
              <w:jc w:val="center"/>
            </w:pPr>
            <w:r w:rsidRPr="003E2FA2">
              <w:t xml:space="preserve"> 22 (11, 31)</w:t>
            </w:r>
          </w:p>
        </w:tc>
        <w:tc>
          <w:tcPr>
            <w:tcW w:w="1128" w:type="dxa"/>
          </w:tcPr>
          <w:p w14:paraId="27F91994" w14:textId="77777777" w:rsidR="0037233F" w:rsidRPr="003E2FA2" w:rsidRDefault="0037233F" w:rsidP="0037233F">
            <w:pPr>
              <w:autoSpaceDE w:val="0"/>
              <w:autoSpaceDN w:val="0"/>
              <w:adjustRightInd w:val="0"/>
              <w:jc w:val="center"/>
            </w:pPr>
            <w:r w:rsidRPr="003E2FA2">
              <w:t>0.0003</w:t>
            </w:r>
            <w:r w:rsidRPr="003E2FA2">
              <w:rPr>
                <w:vertAlign w:val="superscript"/>
              </w:rPr>
              <w:t>d</w:t>
            </w:r>
          </w:p>
        </w:tc>
      </w:tr>
      <w:tr w:rsidR="0037233F" w:rsidRPr="003E2FA2" w14:paraId="26B73D94" w14:textId="77777777" w:rsidTr="0037233F">
        <w:tc>
          <w:tcPr>
            <w:tcW w:w="1980" w:type="dxa"/>
          </w:tcPr>
          <w:p w14:paraId="183F5705" w14:textId="77777777" w:rsidR="0037233F" w:rsidRPr="003E2FA2" w:rsidRDefault="0037233F" w:rsidP="0037233F">
            <w:pPr>
              <w:autoSpaceDE w:val="0"/>
              <w:autoSpaceDN w:val="0"/>
              <w:adjustRightInd w:val="0"/>
            </w:pPr>
            <w:r w:rsidRPr="003E2FA2">
              <w:t>Дефинитивна тромбоза стента</w:t>
            </w:r>
          </w:p>
        </w:tc>
        <w:tc>
          <w:tcPr>
            <w:tcW w:w="1417" w:type="dxa"/>
          </w:tcPr>
          <w:p w14:paraId="50FA2BD0" w14:textId="77777777" w:rsidR="0037233F" w:rsidRPr="003E2FA2" w:rsidRDefault="0037233F" w:rsidP="0037233F">
            <w:pPr>
              <w:autoSpaceDE w:val="0"/>
              <w:autoSpaceDN w:val="0"/>
              <w:adjustRightInd w:val="0"/>
              <w:jc w:val="center"/>
            </w:pPr>
            <w:r w:rsidRPr="003E2FA2">
              <w:t>1.2</w:t>
            </w:r>
          </w:p>
        </w:tc>
        <w:tc>
          <w:tcPr>
            <w:tcW w:w="1528" w:type="dxa"/>
          </w:tcPr>
          <w:p w14:paraId="286FB1F7" w14:textId="77777777" w:rsidR="0037233F" w:rsidRPr="003E2FA2" w:rsidRDefault="0037233F" w:rsidP="0037233F">
            <w:pPr>
              <w:autoSpaceDE w:val="0"/>
              <w:autoSpaceDN w:val="0"/>
              <w:adjustRightInd w:val="0"/>
              <w:jc w:val="center"/>
            </w:pPr>
            <w:r w:rsidRPr="003E2FA2">
              <w:t>1.7</w:t>
            </w:r>
          </w:p>
        </w:tc>
        <w:tc>
          <w:tcPr>
            <w:tcW w:w="1559" w:type="dxa"/>
          </w:tcPr>
          <w:p w14:paraId="600B1DAE" w14:textId="77777777" w:rsidR="0037233F" w:rsidRPr="003E2FA2" w:rsidRDefault="0037233F" w:rsidP="0037233F">
            <w:pPr>
              <w:autoSpaceDE w:val="0"/>
              <w:autoSpaceDN w:val="0"/>
              <w:adjustRightInd w:val="0"/>
              <w:jc w:val="center"/>
            </w:pPr>
            <w:r w:rsidRPr="003E2FA2">
              <w:t>0.6</w:t>
            </w:r>
          </w:p>
        </w:tc>
        <w:tc>
          <w:tcPr>
            <w:tcW w:w="1559" w:type="dxa"/>
          </w:tcPr>
          <w:p w14:paraId="257E8AF5" w14:textId="77777777" w:rsidR="0037233F" w:rsidRPr="003E2FA2" w:rsidRDefault="0037233F" w:rsidP="0037233F">
            <w:pPr>
              <w:autoSpaceDE w:val="0"/>
              <w:autoSpaceDN w:val="0"/>
              <w:adjustRightInd w:val="0"/>
              <w:jc w:val="center"/>
            </w:pPr>
            <w:r w:rsidRPr="003E2FA2">
              <w:t>32 (8, 49)</w:t>
            </w:r>
          </w:p>
        </w:tc>
        <w:tc>
          <w:tcPr>
            <w:tcW w:w="1128" w:type="dxa"/>
          </w:tcPr>
          <w:p w14:paraId="02A59E51" w14:textId="77777777" w:rsidR="0037233F" w:rsidRPr="003E2FA2" w:rsidRDefault="0037233F" w:rsidP="0037233F">
            <w:pPr>
              <w:autoSpaceDE w:val="0"/>
              <w:autoSpaceDN w:val="0"/>
              <w:adjustRightInd w:val="0"/>
              <w:jc w:val="center"/>
            </w:pPr>
            <w:r w:rsidRPr="003E2FA2">
              <w:t>0.0123</w:t>
            </w:r>
            <w:r w:rsidRPr="003E2FA2">
              <w:rPr>
                <w:vertAlign w:val="superscript"/>
              </w:rPr>
              <w:t>d</w:t>
            </w:r>
          </w:p>
        </w:tc>
      </w:tr>
    </w:tbl>
    <w:p w14:paraId="08E42A75" w14:textId="77777777" w:rsidR="00053E50" w:rsidRPr="003E2FA2" w:rsidRDefault="00053E50" w:rsidP="003B2B60">
      <w:pPr>
        <w:spacing w:after="0" w:line="240" w:lineRule="auto"/>
        <w:ind w:right="8"/>
        <w:jc w:val="both"/>
        <w:rPr>
          <w:rFonts w:ascii="Times New Roman" w:eastAsia="Times New Roman" w:hAnsi="Times New Roman" w:cs="Times New Roman"/>
          <w:sz w:val="20"/>
          <w:szCs w:val="20"/>
        </w:rPr>
      </w:pPr>
      <w:r w:rsidRPr="003E2FA2">
        <w:rPr>
          <w:rFonts w:ascii="Times New Roman" w:eastAsia="Times New Roman" w:hAnsi="Times New Roman" w:cs="Times New Roman"/>
          <w:sz w:val="20"/>
          <w:szCs w:val="20"/>
          <w:vertAlign w:val="superscript"/>
        </w:rPr>
        <w:t>а</w:t>
      </w:r>
      <w:r w:rsidRPr="003E2FA2">
        <w:rPr>
          <w:rFonts w:ascii="Times New Roman" w:eastAsia="Times New Roman" w:hAnsi="Times New Roman" w:cs="Times New Roman"/>
          <w:sz w:val="20"/>
          <w:szCs w:val="20"/>
        </w:rPr>
        <w:t>АRR = смањење апсолутног ризика; RRR = смањење релативног ризика= (1-Hazard ratio) x 100%. Негативно RRR указује на повећање релативног ризика.</w:t>
      </w:r>
    </w:p>
    <w:p w14:paraId="343D70A5" w14:textId="77777777" w:rsidR="00053E50" w:rsidRPr="003E2FA2" w:rsidRDefault="00053E50" w:rsidP="003B2B60">
      <w:pPr>
        <w:spacing w:after="0" w:line="240" w:lineRule="auto"/>
        <w:ind w:right="8"/>
        <w:jc w:val="both"/>
        <w:rPr>
          <w:rFonts w:ascii="Times New Roman" w:eastAsia="Times New Roman" w:hAnsi="Times New Roman" w:cs="Times New Roman"/>
          <w:sz w:val="20"/>
          <w:szCs w:val="20"/>
        </w:rPr>
      </w:pPr>
      <w:r w:rsidRPr="003E2FA2">
        <w:rPr>
          <w:rFonts w:ascii="Times New Roman" w:eastAsia="Times New Roman" w:hAnsi="Times New Roman" w:cs="Times New Roman"/>
          <w:sz w:val="20"/>
          <w:szCs w:val="20"/>
          <w:vertAlign w:val="superscript"/>
        </w:rPr>
        <w:t>б</w:t>
      </w:r>
      <w:r w:rsidRPr="003E2FA2">
        <w:rPr>
          <w:rFonts w:ascii="Times New Roman" w:eastAsia="Times New Roman" w:hAnsi="Times New Roman" w:cs="Times New Roman"/>
          <w:sz w:val="20"/>
          <w:szCs w:val="20"/>
        </w:rPr>
        <w:t>искључује асимптоматски (тихи) инфаркт миокарда.</w:t>
      </w:r>
    </w:p>
    <w:p w14:paraId="34172EE0" w14:textId="77777777" w:rsidR="00053E50" w:rsidRPr="003E2FA2" w:rsidRDefault="00053E50" w:rsidP="003B2B60">
      <w:pPr>
        <w:spacing w:after="0" w:line="240" w:lineRule="auto"/>
        <w:ind w:right="8"/>
        <w:jc w:val="both"/>
        <w:rPr>
          <w:rFonts w:ascii="Times New Roman" w:eastAsia="Times New Roman" w:hAnsi="Times New Roman" w:cs="Times New Roman"/>
          <w:sz w:val="20"/>
          <w:szCs w:val="20"/>
        </w:rPr>
      </w:pPr>
      <w:r w:rsidRPr="003E2FA2">
        <w:rPr>
          <w:rFonts w:ascii="Times New Roman" w:eastAsia="Times New Roman" w:hAnsi="Times New Roman" w:cs="Times New Roman"/>
          <w:sz w:val="20"/>
          <w:szCs w:val="20"/>
          <w:vertAlign w:val="superscript"/>
        </w:rPr>
        <w:lastRenderedPageBreak/>
        <w:t>ц</w:t>
      </w:r>
      <w:r w:rsidRPr="003E2FA2">
        <w:rPr>
          <w:rFonts w:ascii="Times New Roman" w:eastAsia="Times New Roman" w:hAnsi="Times New Roman" w:cs="Times New Roman"/>
          <w:sz w:val="20"/>
          <w:szCs w:val="20"/>
        </w:rPr>
        <w:t>SRI = озбиљна рекурентна исхемија; RI = рекурентна исхемија; ТIА = транзиторни исхемијски атак; АТЕ = артеријски тромботски догађај. Укупни ИМ укључују и асимптоматске (тихе) ИМ, гдје се датум откривања догађаја сматра датумом догађаја.</w:t>
      </w:r>
    </w:p>
    <w:p w14:paraId="31AAC869" w14:textId="15F5A54E" w:rsidR="00E50FB3" w:rsidRPr="003E2FA2" w:rsidRDefault="00053E50" w:rsidP="003B2B60">
      <w:pPr>
        <w:spacing w:after="0" w:line="240" w:lineRule="auto"/>
        <w:ind w:right="8"/>
        <w:jc w:val="both"/>
        <w:rPr>
          <w:rFonts w:ascii="Times New Roman" w:eastAsia="Times New Roman" w:hAnsi="Times New Roman" w:cs="Times New Roman"/>
          <w:sz w:val="20"/>
          <w:szCs w:val="20"/>
        </w:rPr>
      </w:pPr>
      <w:r w:rsidRPr="003E2FA2">
        <w:rPr>
          <w:rFonts w:ascii="Times New Roman" w:eastAsia="Times New Roman" w:hAnsi="Times New Roman" w:cs="Times New Roman"/>
          <w:sz w:val="20"/>
          <w:szCs w:val="20"/>
          <w:vertAlign w:val="superscript"/>
        </w:rPr>
        <w:t xml:space="preserve">д </w:t>
      </w:r>
      <w:r w:rsidRPr="003E2FA2">
        <w:rPr>
          <w:rFonts w:ascii="Times New Roman" w:eastAsia="Times New Roman" w:hAnsi="Times New Roman" w:cs="Times New Roman"/>
          <w:sz w:val="20"/>
          <w:szCs w:val="20"/>
        </w:rPr>
        <w:t>номинална вриједност значајности; све друге су формално статистички значајне према претходно дефинисаним хијерархијским тестовима.</w:t>
      </w:r>
    </w:p>
    <w:p w14:paraId="2D426616" w14:textId="77777777" w:rsidR="00053E50" w:rsidRPr="003E2FA2" w:rsidRDefault="00053E50" w:rsidP="002C43C6">
      <w:pPr>
        <w:spacing w:after="0" w:line="240" w:lineRule="auto"/>
        <w:ind w:right="8"/>
        <w:jc w:val="both"/>
        <w:rPr>
          <w:rFonts w:ascii="Times New Roman" w:eastAsia="Times New Roman" w:hAnsi="Times New Roman" w:cs="Times New Roman"/>
          <w:i/>
        </w:rPr>
      </w:pPr>
    </w:p>
    <w:p w14:paraId="675324C5" w14:textId="77777777" w:rsidR="00053E50" w:rsidRPr="003E2FA2" w:rsidRDefault="00053E50" w:rsidP="002C43C6">
      <w:pPr>
        <w:spacing w:after="0" w:line="240" w:lineRule="auto"/>
        <w:ind w:right="8"/>
        <w:jc w:val="both"/>
        <w:rPr>
          <w:rFonts w:ascii="Times New Roman" w:eastAsia="Times New Roman" w:hAnsi="Times New Roman" w:cs="Times New Roman"/>
          <w:i/>
        </w:rPr>
      </w:pPr>
      <w:r w:rsidRPr="003E2FA2">
        <w:rPr>
          <w:rFonts w:ascii="Times New Roman" w:eastAsia="Times New Roman" w:hAnsi="Times New Roman" w:cs="Times New Roman"/>
          <w:i/>
        </w:rPr>
        <w:t>Генетска PLATO подстудија</w:t>
      </w:r>
    </w:p>
    <w:p w14:paraId="7BB67E0B" w14:textId="77777777" w:rsidR="00053E50" w:rsidRPr="003E2FA2" w:rsidRDefault="00053E50" w:rsidP="002C43C6">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CYP2C19 и ABCB1 генотипизација 10285 пацијената у PLATO студији омогућила је да се утврди повезаност група генотипова са исходима PLATO студије. На супериорност тикагрелора у односу на клопидогрел у смањењу великих кардиоваскуларних догађаја није значајно утицао CYP2C19 или АBCB1 генотип пацијената. Слично као и у укупној PLATO студији, укупна велика крварења у PLATO студији нијесу се значајно разликовала за тикагрелор и клопидогрел, без обзира на CYP2C19 или АBCB1 генотип. Не-CABG PLATO велико крварење било је повећано са тикагрелором у поређењу са клопидогрелом код пацијената са губитком једног или више функционалних алела CYP2C19, али је било слично као и код клопидогрела код пацијената без губитка функционалних алела.</w:t>
      </w:r>
    </w:p>
    <w:p w14:paraId="230E5C17" w14:textId="77777777" w:rsidR="00053E50" w:rsidRPr="003E2FA2" w:rsidRDefault="00053E50" w:rsidP="002C43C6">
      <w:pPr>
        <w:spacing w:after="0" w:line="240" w:lineRule="auto"/>
        <w:ind w:right="8"/>
        <w:jc w:val="both"/>
        <w:rPr>
          <w:rFonts w:ascii="Times New Roman" w:eastAsia="Times New Roman" w:hAnsi="Times New Roman" w:cs="Times New Roman"/>
        </w:rPr>
      </w:pPr>
    </w:p>
    <w:p w14:paraId="78EFAE00" w14:textId="77777777" w:rsidR="00053E50" w:rsidRPr="003E2FA2" w:rsidRDefault="00053E50" w:rsidP="002C43C6">
      <w:pPr>
        <w:spacing w:after="0" w:line="240" w:lineRule="auto"/>
        <w:ind w:right="8"/>
        <w:jc w:val="both"/>
        <w:rPr>
          <w:rFonts w:ascii="Times New Roman" w:eastAsia="Times New Roman" w:hAnsi="Times New Roman" w:cs="Times New Roman"/>
          <w:i/>
        </w:rPr>
      </w:pPr>
      <w:r w:rsidRPr="003E2FA2">
        <w:rPr>
          <w:rFonts w:ascii="Times New Roman" w:eastAsia="Times New Roman" w:hAnsi="Times New Roman" w:cs="Times New Roman"/>
          <w:i/>
        </w:rPr>
        <w:t>Комбиновани сложени параметар праћења ефикасности и безбједности</w:t>
      </w:r>
    </w:p>
    <w:p w14:paraId="1DF3396D" w14:textId="77777777" w:rsidR="00053E50" w:rsidRPr="003E2FA2" w:rsidRDefault="00053E50" w:rsidP="002C43C6">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Комбиновани сложени параметар праћења ефикасности и безбједности (КВ смрт, ИМ, мождани удар, или PLATO дефинисана „укупна велика“ крварења) указује да корист у ефикасности тикагрелора у поређењу са клопидогрелом није умањена догађајима са великим крварењима (АRR 1.4%, RRR 8%, HR 0.92; n=0.0257) током периода од 12 мјесеци послије АКС.</w:t>
      </w:r>
    </w:p>
    <w:p w14:paraId="3490A6C3" w14:textId="77777777" w:rsidR="00017BFE" w:rsidRPr="003E2FA2" w:rsidRDefault="00017BFE" w:rsidP="002C43C6">
      <w:pPr>
        <w:spacing w:after="0" w:line="240" w:lineRule="auto"/>
        <w:ind w:right="8"/>
        <w:jc w:val="both"/>
        <w:rPr>
          <w:rFonts w:ascii="Times New Roman" w:eastAsia="Times New Roman" w:hAnsi="Times New Roman" w:cs="Times New Roman"/>
          <w:i/>
        </w:rPr>
      </w:pPr>
    </w:p>
    <w:p w14:paraId="637408BD" w14:textId="0C51AE19" w:rsidR="00053E50" w:rsidRPr="003E2FA2" w:rsidRDefault="00053E50" w:rsidP="002C43C6">
      <w:pPr>
        <w:spacing w:after="0" w:line="240" w:lineRule="auto"/>
        <w:ind w:right="8"/>
        <w:jc w:val="both"/>
        <w:rPr>
          <w:rFonts w:ascii="Times New Roman" w:eastAsia="Times New Roman" w:hAnsi="Times New Roman" w:cs="Times New Roman"/>
          <w:i/>
        </w:rPr>
      </w:pPr>
      <w:r w:rsidRPr="003E2FA2">
        <w:rPr>
          <w:rFonts w:ascii="Times New Roman" w:eastAsia="Times New Roman" w:hAnsi="Times New Roman" w:cs="Times New Roman"/>
          <w:i/>
        </w:rPr>
        <w:t>Клиничка безбједност</w:t>
      </w:r>
    </w:p>
    <w:p w14:paraId="7580371D" w14:textId="77777777" w:rsidR="00053E50" w:rsidRPr="003E2FA2" w:rsidRDefault="00053E50" w:rsidP="002C43C6">
      <w:pPr>
        <w:spacing w:after="0" w:line="240" w:lineRule="auto"/>
        <w:ind w:right="8"/>
        <w:jc w:val="both"/>
        <w:rPr>
          <w:rFonts w:ascii="Times New Roman" w:eastAsia="Times New Roman" w:hAnsi="Times New Roman" w:cs="Times New Roman"/>
        </w:rPr>
      </w:pPr>
    </w:p>
    <w:p w14:paraId="52CF486C" w14:textId="77777777" w:rsidR="00053E50" w:rsidRPr="003E2FA2" w:rsidRDefault="00053E50" w:rsidP="002C43C6">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Holter подстудија:</w:t>
      </w:r>
    </w:p>
    <w:p w14:paraId="751A3EDB" w14:textId="77777777" w:rsidR="00053E50" w:rsidRPr="003E2FA2" w:rsidRDefault="00053E50" w:rsidP="002C43C6">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Да би испитали јављање вентрикуларне паузе и других аритмијских епизода током PLATO студије, истраживачи су спровели праћење уз помоћ Holter-a код једне подгрупе која је укључивала скоро 3000 пацијената, од којих су код приближно 2000 забиљежени налази како у акутној фази АКС, тако и послије мјесец дана. Примарна варијабла од интереса била је појављивање вентрикуларних пауза ≥ 3 секунде. Више пацијената је имало вентрикуларне паузе са тикагрелором (6.0%) него са клопидогрелом (3.5%) у акутној фази, а 2.2% односно 1.6% их је имало послије мјесец дана (погледати дио 4.4). Повећање вентрикуларне паузе у акутној фази АКС било је израженије код пацијената који су примали тикагрелор са претходном историјом CHF (9.2% према 5.4% код пацијената без претходне CHF); код пацијената који су примали клопидогрел, 4.0% код оних са у односу на 3.6% оних без претходне CHF. Овакав дисбаланс се није јавио послије мјесец дана: 2.0% у односу 2.1% пацијената који су примали тикагрелор са, односно без претходне CHF; и 3.8% у односу на 1.4% пацијената који су примали клопидогрел. Није било нежељених клиничких посљедица повезаних са овим дисбалансом (укључујући уградњу пејсмејкера) у овој популацији пацијената.</w:t>
      </w:r>
    </w:p>
    <w:p w14:paraId="0AEA5FC8" w14:textId="77777777" w:rsidR="00053E50" w:rsidRPr="003E2FA2" w:rsidRDefault="00053E50" w:rsidP="002C43C6">
      <w:pPr>
        <w:spacing w:after="0" w:line="240" w:lineRule="auto"/>
        <w:ind w:right="8"/>
        <w:jc w:val="both"/>
        <w:rPr>
          <w:rFonts w:ascii="Times New Roman" w:eastAsia="Times New Roman" w:hAnsi="Times New Roman" w:cs="Times New Roman"/>
          <w:i/>
          <w:u w:val="single"/>
        </w:rPr>
      </w:pPr>
    </w:p>
    <w:p w14:paraId="5C6937D2" w14:textId="2CF49EFF" w:rsidR="00053E50" w:rsidRPr="003E2FA2" w:rsidRDefault="00053E50" w:rsidP="002C43C6">
      <w:pPr>
        <w:spacing w:after="0" w:line="240" w:lineRule="auto"/>
        <w:ind w:right="8"/>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Студија PEGASUS (инфаркта миокарда у анамнези)</w:t>
      </w:r>
    </w:p>
    <w:p w14:paraId="3F847AAC" w14:textId="77777777" w:rsidR="00CB58D5" w:rsidRPr="003E2FA2" w:rsidRDefault="00CB58D5" w:rsidP="002C43C6">
      <w:pPr>
        <w:spacing w:after="0" w:line="240" w:lineRule="auto"/>
        <w:ind w:right="8"/>
        <w:jc w:val="both"/>
        <w:rPr>
          <w:rFonts w:ascii="Times New Roman" w:eastAsia="Times New Roman" w:hAnsi="Times New Roman" w:cs="Times New Roman"/>
        </w:rPr>
      </w:pPr>
    </w:p>
    <w:p w14:paraId="4B8F6E05" w14:textId="4999B0FF" w:rsidR="00053E50" w:rsidRPr="003E2FA2" w:rsidRDefault="00053E50" w:rsidP="002C43C6">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Студија PEGASUS ТIMI-54 је била догађајима условљена, рандомизована, двоструко слијепа, плацебом контролисана, међународна, мултицентрична студија са паралелним групама која је укључивала 21162 пацијента, за процјену превенције атеротромботских догађаја са тикагрелором примјењиваним у двије дозе (или 90 mg два пута дневно или 60 mg два пута дневно) у комбинацији сa ацетилсалицилном киселином (75 – 150 mg), у поређењу са терапијом само ацетилсалицилном киселином код пацијената са инфарктом миокарда у анамнези и додатним факторима ризика за атеротромбозу.</w:t>
      </w:r>
    </w:p>
    <w:p w14:paraId="587CA3E3" w14:textId="77777777" w:rsidR="00053E50" w:rsidRPr="003E2FA2" w:rsidRDefault="00053E50" w:rsidP="002C43C6">
      <w:pPr>
        <w:spacing w:after="0" w:line="240" w:lineRule="auto"/>
        <w:ind w:right="8"/>
        <w:jc w:val="both"/>
        <w:rPr>
          <w:rFonts w:ascii="Times New Roman" w:eastAsia="Times New Roman" w:hAnsi="Times New Roman" w:cs="Times New Roman"/>
        </w:rPr>
      </w:pPr>
    </w:p>
    <w:p w14:paraId="40A80EC9" w14:textId="77777777" w:rsidR="00053E50" w:rsidRPr="003E2FA2" w:rsidRDefault="00053E50" w:rsidP="002C43C6">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За учешће у студији били су погодни пацијенти старости од 50 или више година, са ИМ у анамнези (1 до 3 године прије рандомизације) и који су имали најмање један од сљедећих фактора ризика за атеротромбозу: старост ≥ 65 година, дијабетес мелитус који треба лијечити, други претходни ИМ, доказану болест коронарних артерија која захвата вишеструке крвне судове или хронично оштећење функције бубрега које није у завршном стадијуму.</w:t>
      </w:r>
    </w:p>
    <w:p w14:paraId="0A4C0E43" w14:textId="77777777" w:rsidR="00053E50" w:rsidRPr="003E2FA2" w:rsidRDefault="00053E50" w:rsidP="002C43C6">
      <w:pPr>
        <w:spacing w:after="0" w:line="240" w:lineRule="auto"/>
        <w:ind w:right="8"/>
        <w:jc w:val="both"/>
        <w:rPr>
          <w:rFonts w:ascii="Times New Roman" w:eastAsia="Times New Roman" w:hAnsi="Times New Roman" w:cs="Times New Roman"/>
        </w:rPr>
      </w:pPr>
    </w:p>
    <w:p w14:paraId="22CBE0A1" w14:textId="77777777" w:rsidR="00053E50" w:rsidRPr="003E2FA2" w:rsidRDefault="00053E50" w:rsidP="002C43C6">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lastRenderedPageBreak/>
        <w:t>Пацијенти нијесу били погодни за учешће ако је постојала планирана примјена антагониста P2Y</w:t>
      </w:r>
      <w:r w:rsidRPr="003E2FA2">
        <w:rPr>
          <w:rFonts w:ascii="Times New Roman" w:eastAsia="Times New Roman" w:hAnsi="Times New Roman" w:cs="Times New Roman"/>
          <w:vertAlign w:val="subscript"/>
        </w:rPr>
        <w:t xml:space="preserve">12 </w:t>
      </w:r>
      <w:r w:rsidRPr="003E2FA2">
        <w:rPr>
          <w:rFonts w:ascii="Times New Roman" w:eastAsia="Times New Roman" w:hAnsi="Times New Roman" w:cs="Times New Roman"/>
        </w:rPr>
        <w:t>рецептора, дипиридамола, цилостазола или антикоагулантне терапије током периода испитивања; ако су имали поремећај крварења или историју исхемијског можданог удара или интракранијалног крварења, тумор централног нервног система или абнормалност интракранијалних крвних судова; ако су имали гастроинтестинално крварење током претходних 6 мјесеци или велику хируршку интервенцију током претходних 30 дана.</w:t>
      </w:r>
    </w:p>
    <w:p w14:paraId="6A36E446" w14:textId="77777777" w:rsidR="00053E50" w:rsidRPr="003E2FA2" w:rsidRDefault="00053E50" w:rsidP="002C43C6">
      <w:pPr>
        <w:spacing w:after="0" w:line="240" w:lineRule="auto"/>
        <w:ind w:right="8"/>
        <w:jc w:val="both"/>
        <w:rPr>
          <w:rFonts w:ascii="Times New Roman" w:eastAsia="Times New Roman" w:hAnsi="Times New Roman" w:cs="Times New Roman"/>
        </w:rPr>
      </w:pPr>
    </w:p>
    <w:p w14:paraId="56E0395B" w14:textId="77777777" w:rsidR="00053E50" w:rsidRPr="003E2FA2" w:rsidRDefault="00053E50" w:rsidP="002C43C6">
      <w:pPr>
        <w:spacing w:after="0" w:line="240" w:lineRule="auto"/>
        <w:ind w:right="8"/>
        <w:jc w:val="both"/>
        <w:rPr>
          <w:rFonts w:ascii="Times New Roman" w:eastAsia="Times New Roman" w:hAnsi="Times New Roman" w:cs="Times New Roman"/>
          <w:i/>
        </w:rPr>
      </w:pPr>
      <w:r w:rsidRPr="003E2FA2">
        <w:rPr>
          <w:rFonts w:ascii="Times New Roman" w:eastAsia="Times New Roman" w:hAnsi="Times New Roman" w:cs="Times New Roman"/>
          <w:i/>
        </w:rPr>
        <w:t>Клиничка ефикасност</w:t>
      </w:r>
    </w:p>
    <w:p w14:paraId="7305466D" w14:textId="77777777" w:rsidR="00053E50" w:rsidRPr="003E2FA2" w:rsidRDefault="00053E50" w:rsidP="002C43C6">
      <w:pPr>
        <w:spacing w:after="0" w:line="240" w:lineRule="auto"/>
        <w:ind w:right="8"/>
        <w:jc w:val="both"/>
        <w:rPr>
          <w:rFonts w:ascii="Times New Roman" w:eastAsia="Times New Roman" w:hAnsi="Times New Roman" w:cs="Times New Roman"/>
        </w:rPr>
      </w:pPr>
    </w:p>
    <w:p w14:paraId="3AB6DE81" w14:textId="0D330913" w:rsidR="00053E50" w:rsidRDefault="00053E50" w:rsidP="002C43C6">
      <w:pPr>
        <w:tabs>
          <w:tab w:val="left" w:pos="284"/>
        </w:tabs>
        <w:spacing w:after="0" w:line="240" w:lineRule="auto"/>
        <w:jc w:val="both"/>
        <w:rPr>
          <w:rFonts w:ascii="Times New Roman" w:eastAsia="Times New Roman" w:hAnsi="Times New Roman" w:cs="Times New Roman"/>
          <w:b/>
        </w:rPr>
      </w:pPr>
      <w:r w:rsidRPr="003E2FA2">
        <w:rPr>
          <w:rFonts w:ascii="Times New Roman" w:eastAsia="Times New Roman" w:hAnsi="Times New Roman" w:cs="Times New Roman"/>
          <w:b/>
        </w:rPr>
        <w:t>Слика 2 – Анализа примарног клиничког сложеног параметра праћења исхода који се састоји од КВ смрти, инфаркта миокарда и можданог удара (PEGASUS)</w:t>
      </w:r>
    </w:p>
    <w:p w14:paraId="79EFC490" w14:textId="57EA8840" w:rsidR="003E2FA2" w:rsidRPr="003E2FA2" w:rsidRDefault="003E2FA2" w:rsidP="002C43C6">
      <w:pPr>
        <w:tabs>
          <w:tab w:val="left" w:pos="284"/>
        </w:tabs>
        <w:spacing w:after="0" w:line="240" w:lineRule="auto"/>
        <w:jc w:val="both"/>
        <w:rPr>
          <w:rFonts w:ascii="Times New Roman" w:eastAsia="Times New Roman" w:hAnsi="Times New Roman" w:cs="Times New Roman"/>
          <w:i/>
        </w:rPr>
      </w:pPr>
      <w:r>
        <w:rPr>
          <w:noProof/>
          <w:lang w:val="en-US"/>
        </w:rPr>
        <w:drawing>
          <wp:inline distT="0" distB="0" distL="0" distR="0" wp14:anchorId="5B79D4AB" wp14:editId="6BE080A8">
            <wp:extent cx="6134100" cy="37623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34100" cy="3762375"/>
                    </a:xfrm>
                    <a:prstGeom prst="rect">
                      <a:avLst/>
                    </a:prstGeom>
                  </pic:spPr>
                </pic:pic>
              </a:graphicData>
            </a:graphic>
          </wp:inline>
        </w:drawing>
      </w:r>
    </w:p>
    <w:p w14:paraId="768C1893" w14:textId="33F293E1" w:rsidR="00053E50" w:rsidRDefault="00053E50" w:rsidP="00AE03C8">
      <w:pPr>
        <w:tabs>
          <w:tab w:val="left" w:pos="284"/>
        </w:tabs>
        <w:spacing w:after="0" w:line="240" w:lineRule="auto"/>
        <w:jc w:val="both"/>
        <w:rPr>
          <w:rFonts w:ascii="Times New Roman" w:eastAsia="Times New Roman" w:hAnsi="Times New Roman" w:cs="Times New Roman"/>
          <w:i/>
        </w:rPr>
      </w:pPr>
    </w:p>
    <w:p w14:paraId="7C1FDBF4" w14:textId="77777777" w:rsidR="003E2FA2" w:rsidRPr="003E2FA2" w:rsidRDefault="003E2FA2" w:rsidP="00AE03C8">
      <w:pPr>
        <w:tabs>
          <w:tab w:val="left" w:pos="284"/>
        </w:tabs>
        <w:spacing w:after="0" w:line="240" w:lineRule="auto"/>
        <w:jc w:val="both"/>
        <w:rPr>
          <w:rFonts w:ascii="Times New Roman" w:eastAsia="Times New Roman" w:hAnsi="Times New Roman" w:cs="Times New Roman"/>
          <w:i/>
        </w:rPr>
      </w:pPr>
    </w:p>
    <w:p w14:paraId="7797AB4C" w14:textId="77777777" w:rsidR="00053E50" w:rsidRPr="003E2FA2" w:rsidRDefault="00053E50" w:rsidP="007669F5">
      <w:pPr>
        <w:spacing w:after="0" w:line="240" w:lineRule="auto"/>
        <w:ind w:right="8"/>
        <w:jc w:val="both"/>
        <w:rPr>
          <w:rFonts w:ascii="Times New Roman" w:eastAsia="Times New Roman" w:hAnsi="Times New Roman" w:cs="Times New Roman"/>
          <w:b/>
        </w:rPr>
      </w:pPr>
      <w:r w:rsidRPr="003E2FA2">
        <w:rPr>
          <w:rFonts w:ascii="Times New Roman" w:eastAsia="Times New Roman" w:hAnsi="Times New Roman" w:cs="Times New Roman"/>
          <w:b/>
        </w:rPr>
        <w:t>Табела 5 – Анализа примарних и секундарних параметара праћења ефикасности (PEGASUS)</w:t>
      </w:r>
    </w:p>
    <w:p w14:paraId="10937208" w14:textId="77777777" w:rsidR="00053E50" w:rsidRPr="003E2FA2" w:rsidRDefault="00053E50" w:rsidP="000D1DD3">
      <w:pPr>
        <w:tabs>
          <w:tab w:val="left" w:pos="284"/>
        </w:tabs>
        <w:spacing w:after="0" w:line="240" w:lineRule="auto"/>
        <w:jc w:val="both"/>
        <w:rPr>
          <w:rFonts w:ascii="Times New Roman" w:eastAsia="Times New Roman" w:hAnsi="Times New Roman" w:cs="Times New Roman"/>
        </w:rPr>
      </w:pPr>
    </w:p>
    <w:tbl>
      <w:tblPr>
        <w:tblStyle w:val="TableGrid4"/>
        <w:tblW w:w="0" w:type="auto"/>
        <w:tblLook w:val="04A0" w:firstRow="1" w:lastRow="0" w:firstColumn="1" w:lastColumn="0" w:noHBand="0" w:noVBand="1"/>
      </w:tblPr>
      <w:tblGrid>
        <w:gridCol w:w="1869"/>
        <w:gridCol w:w="1418"/>
        <w:gridCol w:w="7"/>
        <w:gridCol w:w="900"/>
        <w:gridCol w:w="1361"/>
        <w:gridCol w:w="1395"/>
        <w:gridCol w:w="22"/>
        <w:gridCol w:w="900"/>
        <w:gridCol w:w="1309"/>
      </w:tblGrid>
      <w:tr w:rsidR="000D1DD3" w:rsidRPr="003E2FA2" w14:paraId="00060768" w14:textId="77777777" w:rsidTr="00F6326A">
        <w:tc>
          <w:tcPr>
            <w:tcW w:w="1869" w:type="dxa"/>
          </w:tcPr>
          <w:p w14:paraId="11CD73FB" w14:textId="77777777" w:rsidR="000D1DD3" w:rsidRPr="003E2FA2" w:rsidRDefault="000D1DD3" w:rsidP="003054D4">
            <w:pPr>
              <w:autoSpaceDE w:val="0"/>
              <w:autoSpaceDN w:val="0"/>
              <w:adjustRightInd w:val="0"/>
              <w:rPr>
                <w:u w:val="single"/>
              </w:rPr>
            </w:pPr>
          </w:p>
        </w:tc>
        <w:tc>
          <w:tcPr>
            <w:tcW w:w="3686" w:type="dxa"/>
            <w:gridSpan w:val="4"/>
          </w:tcPr>
          <w:p w14:paraId="11E70C80" w14:textId="21313F4C" w:rsidR="000D1DD3" w:rsidRPr="003E2FA2" w:rsidRDefault="000D1DD3" w:rsidP="003054D4">
            <w:pPr>
              <w:autoSpaceDE w:val="0"/>
              <w:autoSpaceDN w:val="0"/>
              <w:adjustRightInd w:val="0"/>
              <w:jc w:val="center"/>
              <w:rPr>
                <w:b/>
              </w:rPr>
            </w:pPr>
            <w:r w:rsidRPr="003E2FA2">
              <w:rPr>
                <w:b/>
              </w:rPr>
              <w:t>Tикагрелор 60 mg два пута дневно+ацетилсалицилна киселина</w:t>
            </w:r>
          </w:p>
          <w:p w14:paraId="67D73355" w14:textId="77777777" w:rsidR="000D1DD3" w:rsidRPr="003E2FA2" w:rsidRDefault="000D1DD3" w:rsidP="003054D4">
            <w:pPr>
              <w:autoSpaceDE w:val="0"/>
              <w:autoSpaceDN w:val="0"/>
              <w:adjustRightInd w:val="0"/>
              <w:jc w:val="center"/>
              <w:rPr>
                <w:u w:val="single"/>
              </w:rPr>
            </w:pPr>
            <w:r w:rsidRPr="003E2FA2">
              <w:rPr>
                <w:b/>
              </w:rPr>
              <w:t>N = 7045</w:t>
            </w:r>
          </w:p>
        </w:tc>
        <w:tc>
          <w:tcPr>
            <w:tcW w:w="2317" w:type="dxa"/>
            <w:gridSpan w:val="3"/>
          </w:tcPr>
          <w:p w14:paraId="45D943DB" w14:textId="79560924" w:rsidR="000D1DD3" w:rsidRPr="003E2FA2" w:rsidRDefault="000D1DD3" w:rsidP="003054D4">
            <w:pPr>
              <w:autoSpaceDE w:val="0"/>
              <w:autoSpaceDN w:val="0"/>
              <w:adjustRightInd w:val="0"/>
              <w:jc w:val="center"/>
              <w:rPr>
                <w:b/>
              </w:rPr>
            </w:pPr>
            <w:r w:rsidRPr="003E2FA2">
              <w:rPr>
                <w:b/>
              </w:rPr>
              <w:t>Само ацетилсалицилна киселина</w:t>
            </w:r>
          </w:p>
          <w:p w14:paraId="3B0D0BB0" w14:textId="77777777" w:rsidR="000D1DD3" w:rsidRPr="003E2FA2" w:rsidRDefault="000D1DD3" w:rsidP="003054D4">
            <w:pPr>
              <w:autoSpaceDE w:val="0"/>
              <w:autoSpaceDN w:val="0"/>
              <w:adjustRightInd w:val="0"/>
              <w:jc w:val="center"/>
              <w:rPr>
                <w:u w:val="single"/>
              </w:rPr>
            </w:pPr>
            <w:r w:rsidRPr="003E2FA2">
              <w:rPr>
                <w:b/>
              </w:rPr>
              <w:t>N = 7067</w:t>
            </w:r>
          </w:p>
        </w:tc>
        <w:tc>
          <w:tcPr>
            <w:tcW w:w="1309" w:type="dxa"/>
          </w:tcPr>
          <w:p w14:paraId="7E8644B0" w14:textId="67CE5F3A" w:rsidR="000D1DD3" w:rsidRPr="003E2FA2" w:rsidRDefault="000D1DD3" w:rsidP="003054D4">
            <w:pPr>
              <w:autoSpaceDE w:val="0"/>
              <w:autoSpaceDN w:val="0"/>
              <w:adjustRightInd w:val="0"/>
              <w:jc w:val="center"/>
              <w:rPr>
                <w:b/>
              </w:rPr>
            </w:pPr>
            <w:r w:rsidRPr="003E2FA2">
              <w:rPr>
                <w:b/>
                <w:i/>
              </w:rPr>
              <w:t>p</w:t>
            </w:r>
            <w:r w:rsidRPr="003E2FA2">
              <w:rPr>
                <w:b/>
              </w:rPr>
              <w:t>-вр</w:t>
            </w:r>
            <w:r w:rsidR="002C43C6" w:rsidRPr="003E2FA2">
              <w:rPr>
                <w:b/>
              </w:rPr>
              <w:t>иј</w:t>
            </w:r>
            <w:r w:rsidRPr="003E2FA2">
              <w:rPr>
                <w:b/>
              </w:rPr>
              <w:t>едност</w:t>
            </w:r>
          </w:p>
        </w:tc>
      </w:tr>
      <w:tr w:rsidR="000D1DD3" w:rsidRPr="003E2FA2" w14:paraId="5F6AE2A7" w14:textId="77777777" w:rsidTr="00F6326A">
        <w:tc>
          <w:tcPr>
            <w:tcW w:w="1869" w:type="dxa"/>
          </w:tcPr>
          <w:p w14:paraId="0256D0D0" w14:textId="77777777" w:rsidR="000D1DD3" w:rsidRPr="003E2FA2" w:rsidRDefault="000D1DD3" w:rsidP="003054D4">
            <w:pPr>
              <w:autoSpaceDE w:val="0"/>
              <w:autoSpaceDN w:val="0"/>
              <w:adjustRightInd w:val="0"/>
              <w:rPr>
                <w:b/>
              </w:rPr>
            </w:pPr>
            <w:r w:rsidRPr="003E2FA2">
              <w:rPr>
                <w:b/>
              </w:rPr>
              <w:t>Карактеристика</w:t>
            </w:r>
          </w:p>
        </w:tc>
        <w:tc>
          <w:tcPr>
            <w:tcW w:w="1418" w:type="dxa"/>
          </w:tcPr>
          <w:p w14:paraId="57957F99" w14:textId="77777777" w:rsidR="000D1DD3" w:rsidRPr="003E2FA2" w:rsidRDefault="000D1DD3" w:rsidP="003054D4">
            <w:pPr>
              <w:autoSpaceDE w:val="0"/>
              <w:autoSpaceDN w:val="0"/>
              <w:adjustRightInd w:val="0"/>
              <w:jc w:val="center"/>
              <w:rPr>
                <w:b/>
              </w:rPr>
            </w:pPr>
            <w:r w:rsidRPr="003E2FA2">
              <w:rPr>
                <w:b/>
              </w:rPr>
              <w:t>Пацијенти са догађајем</w:t>
            </w:r>
          </w:p>
        </w:tc>
        <w:tc>
          <w:tcPr>
            <w:tcW w:w="907" w:type="dxa"/>
            <w:gridSpan w:val="2"/>
          </w:tcPr>
          <w:p w14:paraId="1D4CF562" w14:textId="77777777" w:rsidR="000D1DD3" w:rsidRPr="003E2FA2" w:rsidRDefault="000D1DD3" w:rsidP="003054D4">
            <w:pPr>
              <w:autoSpaceDE w:val="0"/>
              <w:autoSpaceDN w:val="0"/>
              <w:adjustRightInd w:val="0"/>
              <w:jc w:val="center"/>
              <w:rPr>
                <w:b/>
              </w:rPr>
            </w:pPr>
            <w:r w:rsidRPr="003E2FA2">
              <w:rPr>
                <w:b/>
              </w:rPr>
              <w:t>KM %</w:t>
            </w:r>
          </w:p>
        </w:tc>
        <w:tc>
          <w:tcPr>
            <w:tcW w:w="1361" w:type="dxa"/>
          </w:tcPr>
          <w:p w14:paraId="2C6E67FA" w14:textId="77777777" w:rsidR="000D1DD3" w:rsidRPr="003E2FA2" w:rsidRDefault="000D1DD3" w:rsidP="003054D4">
            <w:pPr>
              <w:autoSpaceDE w:val="0"/>
              <w:autoSpaceDN w:val="0"/>
              <w:adjustRightInd w:val="0"/>
              <w:jc w:val="center"/>
              <w:rPr>
                <w:b/>
              </w:rPr>
            </w:pPr>
            <w:r w:rsidRPr="003E2FA2">
              <w:rPr>
                <w:b/>
              </w:rPr>
              <w:t>HR</w:t>
            </w:r>
          </w:p>
          <w:p w14:paraId="22979E37" w14:textId="77777777" w:rsidR="000D1DD3" w:rsidRPr="003E2FA2" w:rsidRDefault="000D1DD3" w:rsidP="003054D4">
            <w:pPr>
              <w:autoSpaceDE w:val="0"/>
              <w:autoSpaceDN w:val="0"/>
              <w:adjustRightInd w:val="0"/>
              <w:jc w:val="center"/>
              <w:rPr>
                <w:b/>
              </w:rPr>
            </w:pPr>
            <w:r w:rsidRPr="003E2FA2">
              <w:rPr>
                <w:b/>
              </w:rPr>
              <w:t>(95% CI)</w:t>
            </w:r>
          </w:p>
        </w:tc>
        <w:tc>
          <w:tcPr>
            <w:tcW w:w="1417" w:type="dxa"/>
            <w:gridSpan w:val="2"/>
          </w:tcPr>
          <w:p w14:paraId="2D9D66E5" w14:textId="77777777" w:rsidR="000D1DD3" w:rsidRPr="003E2FA2" w:rsidRDefault="000D1DD3" w:rsidP="003054D4">
            <w:pPr>
              <w:autoSpaceDE w:val="0"/>
              <w:autoSpaceDN w:val="0"/>
              <w:adjustRightInd w:val="0"/>
              <w:jc w:val="center"/>
              <w:rPr>
                <w:b/>
              </w:rPr>
            </w:pPr>
            <w:r w:rsidRPr="003E2FA2">
              <w:rPr>
                <w:b/>
              </w:rPr>
              <w:t>Пацијенти са догађајем</w:t>
            </w:r>
          </w:p>
        </w:tc>
        <w:tc>
          <w:tcPr>
            <w:tcW w:w="900" w:type="dxa"/>
          </w:tcPr>
          <w:p w14:paraId="0A811A8A" w14:textId="77777777" w:rsidR="000D1DD3" w:rsidRPr="003E2FA2" w:rsidRDefault="000D1DD3" w:rsidP="003054D4">
            <w:pPr>
              <w:autoSpaceDE w:val="0"/>
              <w:autoSpaceDN w:val="0"/>
              <w:adjustRightInd w:val="0"/>
              <w:jc w:val="center"/>
              <w:rPr>
                <w:b/>
              </w:rPr>
            </w:pPr>
            <w:r w:rsidRPr="003E2FA2">
              <w:rPr>
                <w:b/>
              </w:rPr>
              <w:t>KM %</w:t>
            </w:r>
          </w:p>
        </w:tc>
        <w:tc>
          <w:tcPr>
            <w:tcW w:w="1309" w:type="dxa"/>
          </w:tcPr>
          <w:p w14:paraId="15E3CE37" w14:textId="77777777" w:rsidR="000D1DD3" w:rsidRPr="003E2FA2" w:rsidRDefault="000D1DD3" w:rsidP="003054D4">
            <w:pPr>
              <w:autoSpaceDE w:val="0"/>
              <w:autoSpaceDN w:val="0"/>
              <w:adjustRightInd w:val="0"/>
              <w:rPr>
                <w:u w:val="single"/>
              </w:rPr>
            </w:pPr>
          </w:p>
        </w:tc>
      </w:tr>
      <w:tr w:rsidR="00F6326A" w:rsidRPr="003E2FA2" w14:paraId="0D0FAF0D" w14:textId="5787F7D1" w:rsidTr="00D515DF">
        <w:tc>
          <w:tcPr>
            <w:tcW w:w="9181" w:type="dxa"/>
            <w:gridSpan w:val="9"/>
          </w:tcPr>
          <w:p w14:paraId="163AE3EC" w14:textId="1882F267" w:rsidR="00F6326A" w:rsidRPr="003E2FA2" w:rsidRDefault="00F6326A" w:rsidP="00F6326A">
            <w:pPr>
              <w:autoSpaceDE w:val="0"/>
              <w:autoSpaceDN w:val="0"/>
              <w:adjustRightInd w:val="0"/>
              <w:spacing w:before="120" w:after="100" w:afterAutospacing="1"/>
            </w:pPr>
            <w:r w:rsidRPr="003E2FA2">
              <w:t>Примарни параметар праћења исхода</w:t>
            </w:r>
          </w:p>
        </w:tc>
      </w:tr>
      <w:tr w:rsidR="00F6326A" w:rsidRPr="003E2FA2" w14:paraId="52671765" w14:textId="4B7FFBD9" w:rsidTr="00F6326A">
        <w:tc>
          <w:tcPr>
            <w:tcW w:w="1869" w:type="dxa"/>
          </w:tcPr>
          <w:p w14:paraId="605FB31C" w14:textId="77777777" w:rsidR="00F6326A" w:rsidRPr="003E2FA2" w:rsidRDefault="00F6326A" w:rsidP="003054D4">
            <w:pPr>
              <w:autoSpaceDE w:val="0"/>
              <w:autoSpaceDN w:val="0"/>
              <w:adjustRightInd w:val="0"/>
              <w:spacing w:before="120" w:after="100" w:afterAutospacing="1"/>
            </w:pPr>
          </w:p>
        </w:tc>
        <w:tc>
          <w:tcPr>
            <w:tcW w:w="3686" w:type="dxa"/>
            <w:gridSpan w:val="4"/>
          </w:tcPr>
          <w:p w14:paraId="0775FA89" w14:textId="74A9B5AB" w:rsidR="00F6326A" w:rsidRPr="003E2FA2" w:rsidRDefault="00F6326A" w:rsidP="00F6326A">
            <w:pPr>
              <w:autoSpaceDE w:val="0"/>
              <w:autoSpaceDN w:val="0"/>
              <w:adjustRightInd w:val="0"/>
              <w:jc w:val="center"/>
              <w:rPr>
                <w:b/>
              </w:rPr>
            </w:pPr>
            <w:r w:rsidRPr="003E2FA2">
              <w:rPr>
                <w:b/>
              </w:rPr>
              <w:t>Tикагрелор 60 mg два пута дневно+ацетилсалицилна киселина</w:t>
            </w:r>
          </w:p>
          <w:p w14:paraId="6952E767" w14:textId="54191A6F" w:rsidR="00F6326A" w:rsidRPr="003E2FA2" w:rsidRDefault="00F6326A" w:rsidP="00F6326A">
            <w:pPr>
              <w:autoSpaceDE w:val="0"/>
              <w:autoSpaceDN w:val="0"/>
              <w:adjustRightInd w:val="0"/>
              <w:spacing w:before="120" w:after="100" w:afterAutospacing="1"/>
              <w:jc w:val="center"/>
            </w:pPr>
            <w:r w:rsidRPr="003E2FA2">
              <w:rPr>
                <w:b/>
              </w:rPr>
              <w:t>N = 7045</w:t>
            </w:r>
          </w:p>
        </w:tc>
        <w:tc>
          <w:tcPr>
            <w:tcW w:w="2317" w:type="dxa"/>
            <w:gridSpan w:val="3"/>
          </w:tcPr>
          <w:p w14:paraId="6F1A2B13" w14:textId="2DAB4A3F" w:rsidR="00F6326A" w:rsidRPr="003E2FA2" w:rsidRDefault="00F6326A" w:rsidP="00F6326A">
            <w:pPr>
              <w:autoSpaceDE w:val="0"/>
              <w:autoSpaceDN w:val="0"/>
              <w:adjustRightInd w:val="0"/>
              <w:jc w:val="center"/>
              <w:rPr>
                <w:b/>
              </w:rPr>
            </w:pPr>
            <w:r w:rsidRPr="003E2FA2">
              <w:rPr>
                <w:b/>
              </w:rPr>
              <w:t>Само ацетилсалицилна киселина</w:t>
            </w:r>
          </w:p>
          <w:p w14:paraId="3C8B6C48" w14:textId="59F37ABA" w:rsidR="00F6326A" w:rsidRPr="003E2FA2" w:rsidRDefault="00F6326A" w:rsidP="00F6326A">
            <w:pPr>
              <w:autoSpaceDE w:val="0"/>
              <w:autoSpaceDN w:val="0"/>
              <w:adjustRightInd w:val="0"/>
              <w:spacing w:before="120" w:after="100" w:afterAutospacing="1"/>
              <w:jc w:val="center"/>
            </w:pPr>
            <w:r w:rsidRPr="003E2FA2">
              <w:rPr>
                <w:b/>
              </w:rPr>
              <w:t>N = 7067</w:t>
            </w:r>
          </w:p>
        </w:tc>
        <w:tc>
          <w:tcPr>
            <w:tcW w:w="1309" w:type="dxa"/>
          </w:tcPr>
          <w:p w14:paraId="07ED8A87" w14:textId="1BE9AFDB" w:rsidR="00F6326A" w:rsidRPr="003E2FA2" w:rsidRDefault="00F6326A" w:rsidP="00F6326A">
            <w:pPr>
              <w:autoSpaceDE w:val="0"/>
              <w:autoSpaceDN w:val="0"/>
              <w:adjustRightInd w:val="0"/>
              <w:spacing w:before="120" w:after="100" w:afterAutospacing="1"/>
              <w:jc w:val="center"/>
            </w:pPr>
            <w:r w:rsidRPr="003E2FA2">
              <w:rPr>
                <w:b/>
                <w:i/>
              </w:rPr>
              <w:t>p</w:t>
            </w:r>
            <w:r w:rsidRPr="003E2FA2">
              <w:rPr>
                <w:b/>
              </w:rPr>
              <w:t>-вриједност</w:t>
            </w:r>
          </w:p>
        </w:tc>
      </w:tr>
      <w:tr w:rsidR="00F6326A" w:rsidRPr="003E2FA2" w14:paraId="0DA0321E" w14:textId="77777777" w:rsidTr="00F6326A">
        <w:tc>
          <w:tcPr>
            <w:tcW w:w="1869" w:type="dxa"/>
          </w:tcPr>
          <w:p w14:paraId="19745358" w14:textId="04F8541D" w:rsidR="00F6326A" w:rsidRPr="003E2FA2" w:rsidRDefault="00F6326A" w:rsidP="003054D4">
            <w:pPr>
              <w:autoSpaceDE w:val="0"/>
              <w:autoSpaceDN w:val="0"/>
              <w:adjustRightInd w:val="0"/>
              <w:spacing w:before="120" w:after="100" w:afterAutospacing="1"/>
            </w:pPr>
            <w:r w:rsidRPr="003E2FA2">
              <w:rPr>
                <w:b/>
              </w:rPr>
              <w:t>Карактеристика</w:t>
            </w:r>
          </w:p>
        </w:tc>
        <w:tc>
          <w:tcPr>
            <w:tcW w:w="1425" w:type="dxa"/>
            <w:gridSpan w:val="2"/>
          </w:tcPr>
          <w:p w14:paraId="1EAE1D07" w14:textId="1ED10953" w:rsidR="00F6326A" w:rsidRPr="003E2FA2" w:rsidRDefault="00F6326A" w:rsidP="00F6326A">
            <w:pPr>
              <w:autoSpaceDE w:val="0"/>
              <w:autoSpaceDN w:val="0"/>
              <w:adjustRightInd w:val="0"/>
              <w:jc w:val="center"/>
              <w:rPr>
                <w:b/>
              </w:rPr>
            </w:pPr>
            <w:r w:rsidRPr="003E2FA2">
              <w:rPr>
                <w:b/>
              </w:rPr>
              <w:t>Пацијенти са догађајем</w:t>
            </w:r>
          </w:p>
        </w:tc>
        <w:tc>
          <w:tcPr>
            <w:tcW w:w="900" w:type="dxa"/>
          </w:tcPr>
          <w:p w14:paraId="626839EA" w14:textId="12E99D61" w:rsidR="00F6326A" w:rsidRPr="003E2FA2" w:rsidRDefault="00F6326A" w:rsidP="00F6326A">
            <w:pPr>
              <w:autoSpaceDE w:val="0"/>
              <w:autoSpaceDN w:val="0"/>
              <w:adjustRightInd w:val="0"/>
              <w:jc w:val="center"/>
              <w:rPr>
                <w:b/>
              </w:rPr>
            </w:pPr>
            <w:r w:rsidRPr="003E2FA2">
              <w:rPr>
                <w:b/>
              </w:rPr>
              <w:t>KM %</w:t>
            </w:r>
          </w:p>
        </w:tc>
        <w:tc>
          <w:tcPr>
            <w:tcW w:w="1361" w:type="dxa"/>
          </w:tcPr>
          <w:p w14:paraId="395CB18B" w14:textId="77777777" w:rsidR="00F6326A" w:rsidRPr="003E2FA2" w:rsidRDefault="00F6326A" w:rsidP="00F6326A">
            <w:pPr>
              <w:autoSpaceDE w:val="0"/>
              <w:autoSpaceDN w:val="0"/>
              <w:adjustRightInd w:val="0"/>
              <w:jc w:val="center"/>
              <w:rPr>
                <w:b/>
              </w:rPr>
            </w:pPr>
            <w:r w:rsidRPr="003E2FA2">
              <w:rPr>
                <w:b/>
              </w:rPr>
              <w:t>HR</w:t>
            </w:r>
          </w:p>
          <w:p w14:paraId="49204649" w14:textId="34140082" w:rsidR="00F6326A" w:rsidRPr="003E2FA2" w:rsidRDefault="00F6326A" w:rsidP="00F6326A">
            <w:pPr>
              <w:autoSpaceDE w:val="0"/>
              <w:autoSpaceDN w:val="0"/>
              <w:adjustRightInd w:val="0"/>
              <w:jc w:val="center"/>
              <w:rPr>
                <w:b/>
              </w:rPr>
            </w:pPr>
            <w:r w:rsidRPr="003E2FA2">
              <w:rPr>
                <w:b/>
              </w:rPr>
              <w:t>(95% CI)</w:t>
            </w:r>
          </w:p>
        </w:tc>
        <w:tc>
          <w:tcPr>
            <w:tcW w:w="1395" w:type="dxa"/>
          </w:tcPr>
          <w:p w14:paraId="189C6904" w14:textId="5E487D30" w:rsidR="00F6326A" w:rsidRPr="003E2FA2" w:rsidRDefault="00F6326A" w:rsidP="00F6326A">
            <w:pPr>
              <w:autoSpaceDE w:val="0"/>
              <w:autoSpaceDN w:val="0"/>
              <w:adjustRightInd w:val="0"/>
              <w:jc w:val="center"/>
              <w:rPr>
                <w:b/>
              </w:rPr>
            </w:pPr>
            <w:r w:rsidRPr="003E2FA2">
              <w:rPr>
                <w:b/>
              </w:rPr>
              <w:t>Пацијенти са догађајем</w:t>
            </w:r>
          </w:p>
        </w:tc>
        <w:tc>
          <w:tcPr>
            <w:tcW w:w="922" w:type="dxa"/>
            <w:gridSpan w:val="2"/>
          </w:tcPr>
          <w:p w14:paraId="5D150F6D" w14:textId="32ACF8D6" w:rsidR="00F6326A" w:rsidRPr="003E2FA2" w:rsidRDefault="00F6326A" w:rsidP="00F6326A">
            <w:pPr>
              <w:autoSpaceDE w:val="0"/>
              <w:autoSpaceDN w:val="0"/>
              <w:adjustRightInd w:val="0"/>
              <w:jc w:val="center"/>
              <w:rPr>
                <w:b/>
              </w:rPr>
            </w:pPr>
            <w:r w:rsidRPr="003E2FA2">
              <w:rPr>
                <w:b/>
              </w:rPr>
              <w:t>KM %</w:t>
            </w:r>
          </w:p>
        </w:tc>
        <w:tc>
          <w:tcPr>
            <w:tcW w:w="1309" w:type="dxa"/>
          </w:tcPr>
          <w:p w14:paraId="43757F44" w14:textId="0F842F3E" w:rsidR="00F6326A" w:rsidRPr="003E2FA2" w:rsidRDefault="00F6326A" w:rsidP="00F6326A">
            <w:pPr>
              <w:autoSpaceDE w:val="0"/>
              <w:autoSpaceDN w:val="0"/>
              <w:adjustRightInd w:val="0"/>
              <w:spacing w:before="120" w:after="100" w:afterAutospacing="1"/>
              <w:jc w:val="center"/>
              <w:rPr>
                <w:b/>
                <w:i/>
              </w:rPr>
            </w:pPr>
          </w:p>
        </w:tc>
      </w:tr>
      <w:tr w:rsidR="000D1DD3" w:rsidRPr="003E2FA2" w14:paraId="48D7ECDE" w14:textId="77777777" w:rsidTr="00F6326A">
        <w:tc>
          <w:tcPr>
            <w:tcW w:w="1869" w:type="dxa"/>
          </w:tcPr>
          <w:p w14:paraId="2DBB427E" w14:textId="77777777" w:rsidR="000D1DD3" w:rsidRPr="003E2FA2" w:rsidRDefault="000D1DD3" w:rsidP="003054D4">
            <w:pPr>
              <w:autoSpaceDE w:val="0"/>
              <w:autoSpaceDN w:val="0"/>
              <w:adjustRightInd w:val="0"/>
            </w:pPr>
            <w:r w:rsidRPr="003E2FA2">
              <w:lastRenderedPageBreak/>
              <w:t>Сложени</w:t>
            </w:r>
          </w:p>
          <w:p w14:paraId="03F29B2B" w14:textId="77777777" w:rsidR="000D1DD3" w:rsidRPr="003E2FA2" w:rsidRDefault="000D1DD3" w:rsidP="003054D4">
            <w:pPr>
              <w:autoSpaceDE w:val="0"/>
              <w:autoSpaceDN w:val="0"/>
              <w:adjustRightInd w:val="0"/>
            </w:pPr>
            <w:r w:rsidRPr="003E2FA2">
              <w:t>параметар</w:t>
            </w:r>
          </w:p>
          <w:p w14:paraId="0D37675D" w14:textId="77777777" w:rsidR="000D1DD3" w:rsidRPr="003E2FA2" w:rsidRDefault="000D1DD3" w:rsidP="003054D4">
            <w:pPr>
              <w:autoSpaceDE w:val="0"/>
              <w:autoSpaceDN w:val="0"/>
              <w:adjustRightInd w:val="0"/>
            </w:pPr>
            <w:r w:rsidRPr="003E2FA2">
              <w:t>праћења исхода</w:t>
            </w:r>
          </w:p>
          <w:p w14:paraId="21850ABE" w14:textId="77777777" w:rsidR="000D1DD3" w:rsidRPr="003E2FA2" w:rsidRDefault="000D1DD3" w:rsidP="003054D4">
            <w:pPr>
              <w:autoSpaceDE w:val="0"/>
              <w:autoSpaceDN w:val="0"/>
              <w:adjustRightInd w:val="0"/>
            </w:pPr>
            <w:r w:rsidRPr="003E2FA2">
              <w:t>који се састоји</w:t>
            </w:r>
          </w:p>
          <w:p w14:paraId="07F9D818" w14:textId="77777777" w:rsidR="000D1DD3" w:rsidRPr="003E2FA2" w:rsidRDefault="000D1DD3" w:rsidP="003054D4">
            <w:pPr>
              <w:autoSpaceDE w:val="0"/>
              <w:autoSpaceDN w:val="0"/>
              <w:adjustRightInd w:val="0"/>
            </w:pPr>
            <w:r w:rsidRPr="003E2FA2">
              <w:t>од КВ смрти и</w:t>
            </w:r>
          </w:p>
          <w:p w14:paraId="16E3C59F" w14:textId="77777777" w:rsidR="000D1DD3" w:rsidRPr="003E2FA2" w:rsidRDefault="000D1DD3" w:rsidP="003054D4">
            <w:pPr>
              <w:autoSpaceDE w:val="0"/>
              <w:autoSpaceDN w:val="0"/>
              <w:adjustRightInd w:val="0"/>
            </w:pPr>
            <w:r w:rsidRPr="003E2FA2">
              <w:t>/ИМ/можданог</w:t>
            </w:r>
          </w:p>
          <w:p w14:paraId="3B212161" w14:textId="42F51EB8" w:rsidR="000D1DD3" w:rsidRPr="003E2FA2" w:rsidRDefault="00F6326A" w:rsidP="003054D4">
            <w:pPr>
              <w:autoSpaceDE w:val="0"/>
              <w:autoSpaceDN w:val="0"/>
              <w:adjustRightInd w:val="0"/>
            </w:pPr>
            <w:r w:rsidRPr="003E2FA2">
              <w:t>У</w:t>
            </w:r>
            <w:r w:rsidR="000D1DD3" w:rsidRPr="003E2FA2">
              <w:t>дара</w:t>
            </w:r>
          </w:p>
        </w:tc>
        <w:tc>
          <w:tcPr>
            <w:tcW w:w="1418" w:type="dxa"/>
          </w:tcPr>
          <w:p w14:paraId="010A5E0F" w14:textId="77777777" w:rsidR="000D1DD3" w:rsidRPr="003E2FA2" w:rsidRDefault="000D1DD3" w:rsidP="003054D4">
            <w:pPr>
              <w:autoSpaceDE w:val="0"/>
              <w:autoSpaceDN w:val="0"/>
              <w:adjustRightInd w:val="0"/>
              <w:jc w:val="center"/>
            </w:pPr>
            <w:r w:rsidRPr="003E2FA2">
              <w:t>487 (6.9%)</w:t>
            </w:r>
          </w:p>
        </w:tc>
        <w:tc>
          <w:tcPr>
            <w:tcW w:w="907" w:type="dxa"/>
            <w:gridSpan w:val="2"/>
          </w:tcPr>
          <w:p w14:paraId="05C7146F" w14:textId="77777777" w:rsidR="000D1DD3" w:rsidRPr="003E2FA2" w:rsidRDefault="000D1DD3" w:rsidP="003054D4">
            <w:pPr>
              <w:autoSpaceDE w:val="0"/>
              <w:autoSpaceDN w:val="0"/>
              <w:adjustRightInd w:val="0"/>
              <w:jc w:val="center"/>
            </w:pPr>
            <w:r w:rsidRPr="003E2FA2">
              <w:t>7.8%</w:t>
            </w:r>
          </w:p>
        </w:tc>
        <w:tc>
          <w:tcPr>
            <w:tcW w:w="1361" w:type="dxa"/>
          </w:tcPr>
          <w:p w14:paraId="41679588" w14:textId="77777777" w:rsidR="000D1DD3" w:rsidRPr="003E2FA2" w:rsidRDefault="000D1DD3" w:rsidP="003054D4">
            <w:pPr>
              <w:autoSpaceDE w:val="0"/>
              <w:autoSpaceDN w:val="0"/>
              <w:adjustRightInd w:val="0"/>
              <w:jc w:val="center"/>
            </w:pPr>
            <w:r w:rsidRPr="003E2FA2">
              <w:t>0.84</w:t>
            </w:r>
          </w:p>
          <w:p w14:paraId="3DE05203" w14:textId="77777777" w:rsidR="000D1DD3" w:rsidRPr="003E2FA2" w:rsidRDefault="000D1DD3" w:rsidP="003054D4">
            <w:pPr>
              <w:autoSpaceDE w:val="0"/>
              <w:autoSpaceDN w:val="0"/>
              <w:adjustRightInd w:val="0"/>
              <w:jc w:val="center"/>
            </w:pPr>
            <w:r w:rsidRPr="003E2FA2">
              <w:t>(0.74, 0.95)</w:t>
            </w:r>
          </w:p>
        </w:tc>
        <w:tc>
          <w:tcPr>
            <w:tcW w:w="1417" w:type="dxa"/>
            <w:gridSpan w:val="2"/>
          </w:tcPr>
          <w:p w14:paraId="61B7223E" w14:textId="77777777" w:rsidR="000D1DD3" w:rsidRPr="003E2FA2" w:rsidRDefault="000D1DD3" w:rsidP="003054D4">
            <w:pPr>
              <w:autoSpaceDE w:val="0"/>
              <w:autoSpaceDN w:val="0"/>
              <w:adjustRightInd w:val="0"/>
              <w:jc w:val="center"/>
            </w:pPr>
            <w:r w:rsidRPr="003E2FA2">
              <w:t>578 (8.2%)</w:t>
            </w:r>
          </w:p>
        </w:tc>
        <w:tc>
          <w:tcPr>
            <w:tcW w:w="900" w:type="dxa"/>
          </w:tcPr>
          <w:p w14:paraId="49A9869B" w14:textId="77777777" w:rsidR="000D1DD3" w:rsidRPr="003E2FA2" w:rsidRDefault="000D1DD3" w:rsidP="003054D4">
            <w:pPr>
              <w:autoSpaceDE w:val="0"/>
              <w:autoSpaceDN w:val="0"/>
              <w:adjustRightInd w:val="0"/>
              <w:jc w:val="center"/>
            </w:pPr>
            <w:r w:rsidRPr="003E2FA2">
              <w:t>9.0%</w:t>
            </w:r>
          </w:p>
        </w:tc>
        <w:tc>
          <w:tcPr>
            <w:tcW w:w="1309" w:type="dxa"/>
          </w:tcPr>
          <w:p w14:paraId="079DB93C" w14:textId="77777777" w:rsidR="000D1DD3" w:rsidRPr="003E2FA2" w:rsidRDefault="000D1DD3" w:rsidP="003054D4">
            <w:pPr>
              <w:autoSpaceDE w:val="0"/>
              <w:autoSpaceDN w:val="0"/>
              <w:adjustRightInd w:val="0"/>
              <w:jc w:val="center"/>
            </w:pPr>
            <w:r w:rsidRPr="003E2FA2">
              <w:t>0.0043 (s)</w:t>
            </w:r>
          </w:p>
        </w:tc>
      </w:tr>
      <w:tr w:rsidR="000D1DD3" w:rsidRPr="003E2FA2" w14:paraId="2B21799A" w14:textId="77777777" w:rsidTr="00F6326A">
        <w:tc>
          <w:tcPr>
            <w:tcW w:w="1869" w:type="dxa"/>
          </w:tcPr>
          <w:p w14:paraId="1EA6D1B9" w14:textId="77777777" w:rsidR="000D1DD3" w:rsidRPr="003E2FA2" w:rsidRDefault="000D1DD3" w:rsidP="003054D4">
            <w:pPr>
              <w:autoSpaceDE w:val="0"/>
              <w:autoSpaceDN w:val="0"/>
              <w:adjustRightInd w:val="0"/>
              <w:jc w:val="center"/>
            </w:pPr>
            <w:r w:rsidRPr="003E2FA2">
              <w:t>КВ смрт</w:t>
            </w:r>
          </w:p>
        </w:tc>
        <w:tc>
          <w:tcPr>
            <w:tcW w:w="1418" w:type="dxa"/>
          </w:tcPr>
          <w:p w14:paraId="00C86E38" w14:textId="77777777" w:rsidR="000D1DD3" w:rsidRPr="003E2FA2" w:rsidRDefault="000D1DD3" w:rsidP="003054D4">
            <w:pPr>
              <w:autoSpaceDE w:val="0"/>
              <w:autoSpaceDN w:val="0"/>
              <w:adjustRightInd w:val="0"/>
              <w:jc w:val="center"/>
            </w:pPr>
            <w:r w:rsidRPr="003E2FA2">
              <w:t>174 (2.5%)</w:t>
            </w:r>
          </w:p>
        </w:tc>
        <w:tc>
          <w:tcPr>
            <w:tcW w:w="907" w:type="dxa"/>
            <w:gridSpan w:val="2"/>
          </w:tcPr>
          <w:p w14:paraId="2438FCD0" w14:textId="77777777" w:rsidR="000D1DD3" w:rsidRPr="003E2FA2" w:rsidRDefault="000D1DD3" w:rsidP="003054D4">
            <w:pPr>
              <w:autoSpaceDE w:val="0"/>
              <w:autoSpaceDN w:val="0"/>
              <w:adjustRightInd w:val="0"/>
              <w:jc w:val="center"/>
            </w:pPr>
            <w:r w:rsidRPr="003E2FA2">
              <w:t>2.9%</w:t>
            </w:r>
          </w:p>
        </w:tc>
        <w:tc>
          <w:tcPr>
            <w:tcW w:w="1361" w:type="dxa"/>
          </w:tcPr>
          <w:p w14:paraId="39478052" w14:textId="77777777" w:rsidR="000D1DD3" w:rsidRPr="003E2FA2" w:rsidRDefault="000D1DD3" w:rsidP="003054D4">
            <w:pPr>
              <w:autoSpaceDE w:val="0"/>
              <w:autoSpaceDN w:val="0"/>
              <w:adjustRightInd w:val="0"/>
              <w:jc w:val="center"/>
            </w:pPr>
            <w:r w:rsidRPr="003E2FA2">
              <w:t>0.83</w:t>
            </w:r>
          </w:p>
          <w:p w14:paraId="07129715" w14:textId="77777777" w:rsidR="000D1DD3" w:rsidRPr="003E2FA2" w:rsidRDefault="000D1DD3" w:rsidP="003054D4">
            <w:pPr>
              <w:autoSpaceDE w:val="0"/>
              <w:autoSpaceDN w:val="0"/>
              <w:adjustRightInd w:val="0"/>
              <w:jc w:val="center"/>
            </w:pPr>
            <w:r w:rsidRPr="003E2FA2">
              <w:t>(0.68, 1.01)</w:t>
            </w:r>
          </w:p>
        </w:tc>
        <w:tc>
          <w:tcPr>
            <w:tcW w:w="1417" w:type="dxa"/>
            <w:gridSpan w:val="2"/>
          </w:tcPr>
          <w:p w14:paraId="6F3AAEC8" w14:textId="77777777" w:rsidR="000D1DD3" w:rsidRPr="003E2FA2" w:rsidRDefault="000D1DD3" w:rsidP="003054D4">
            <w:pPr>
              <w:autoSpaceDE w:val="0"/>
              <w:autoSpaceDN w:val="0"/>
              <w:adjustRightInd w:val="0"/>
              <w:jc w:val="center"/>
            </w:pPr>
            <w:r w:rsidRPr="003E2FA2">
              <w:t>210 (3.0%)</w:t>
            </w:r>
          </w:p>
        </w:tc>
        <w:tc>
          <w:tcPr>
            <w:tcW w:w="900" w:type="dxa"/>
          </w:tcPr>
          <w:p w14:paraId="39502AAA" w14:textId="77777777" w:rsidR="000D1DD3" w:rsidRPr="003E2FA2" w:rsidRDefault="000D1DD3" w:rsidP="003054D4">
            <w:pPr>
              <w:autoSpaceDE w:val="0"/>
              <w:autoSpaceDN w:val="0"/>
              <w:adjustRightInd w:val="0"/>
              <w:jc w:val="center"/>
            </w:pPr>
            <w:r w:rsidRPr="003E2FA2">
              <w:t>3.4%</w:t>
            </w:r>
          </w:p>
        </w:tc>
        <w:tc>
          <w:tcPr>
            <w:tcW w:w="1309" w:type="dxa"/>
          </w:tcPr>
          <w:p w14:paraId="538186E9" w14:textId="77777777" w:rsidR="000D1DD3" w:rsidRPr="003E2FA2" w:rsidRDefault="000D1DD3" w:rsidP="003054D4">
            <w:pPr>
              <w:autoSpaceDE w:val="0"/>
              <w:autoSpaceDN w:val="0"/>
              <w:adjustRightInd w:val="0"/>
              <w:jc w:val="center"/>
            </w:pPr>
            <w:r w:rsidRPr="003E2FA2">
              <w:t>0.0676</w:t>
            </w:r>
          </w:p>
        </w:tc>
      </w:tr>
      <w:tr w:rsidR="000D1DD3" w:rsidRPr="003E2FA2" w14:paraId="4F9E0C97" w14:textId="77777777" w:rsidTr="00F6326A">
        <w:tc>
          <w:tcPr>
            <w:tcW w:w="1869" w:type="dxa"/>
          </w:tcPr>
          <w:p w14:paraId="3E42E46F" w14:textId="77777777" w:rsidR="000D1DD3" w:rsidRPr="003E2FA2" w:rsidRDefault="000D1DD3" w:rsidP="003054D4">
            <w:pPr>
              <w:autoSpaceDE w:val="0"/>
              <w:autoSpaceDN w:val="0"/>
              <w:adjustRightInd w:val="0"/>
              <w:jc w:val="center"/>
            </w:pPr>
            <w:r w:rsidRPr="003E2FA2">
              <w:t>ИМ</w:t>
            </w:r>
          </w:p>
        </w:tc>
        <w:tc>
          <w:tcPr>
            <w:tcW w:w="1418" w:type="dxa"/>
          </w:tcPr>
          <w:p w14:paraId="274247D9" w14:textId="77777777" w:rsidR="000D1DD3" w:rsidRPr="003E2FA2" w:rsidRDefault="000D1DD3" w:rsidP="003054D4">
            <w:pPr>
              <w:autoSpaceDE w:val="0"/>
              <w:autoSpaceDN w:val="0"/>
              <w:adjustRightInd w:val="0"/>
              <w:jc w:val="center"/>
            </w:pPr>
            <w:r w:rsidRPr="003E2FA2">
              <w:t>285 (4.0%)</w:t>
            </w:r>
          </w:p>
        </w:tc>
        <w:tc>
          <w:tcPr>
            <w:tcW w:w="907" w:type="dxa"/>
            <w:gridSpan w:val="2"/>
          </w:tcPr>
          <w:p w14:paraId="34CB1B49" w14:textId="77777777" w:rsidR="000D1DD3" w:rsidRPr="003E2FA2" w:rsidRDefault="000D1DD3" w:rsidP="003054D4">
            <w:pPr>
              <w:autoSpaceDE w:val="0"/>
              <w:autoSpaceDN w:val="0"/>
              <w:adjustRightInd w:val="0"/>
              <w:jc w:val="center"/>
            </w:pPr>
            <w:r w:rsidRPr="003E2FA2">
              <w:t>4.5%</w:t>
            </w:r>
          </w:p>
        </w:tc>
        <w:tc>
          <w:tcPr>
            <w:tcW w:w="1361" w:type="dxa"/>
          </w:tcPr>
          <w:p w14:paraId="6EE295FC" w14:textId="77777777" w:rsidR="000D1DD3" w:rsidRPr="003E2FA2" w:rsidRDefault="000D1DD3" w:rsidP="003054D4">
            <w:pPr>
              <w:autoSpaceDE w:val="0"/>
              <w:autoSpaceDN w:val="0"/>
              <w:adjustRightInd w:val="0"/>
              <w:jc w:val="center"/>
            </w:pPr>
            <w:r w:rsidRPr="003E2FA2">
              <w:t>0.84</w:t>
            </w:r>
          </w:p>
          <w:p w14:paraId="05A0D5EB" w14:textId="77777777" w:rsidR="000D1DD3" w:rsidRPr="003E2FA2" w:rsidRDefault="000D1DD3" w:rsidP="003054D4">
            <w:pPr>
              <w:autoSpaceDE w:val="0"/>
              <w:autoSpaceDN w:val="0"/>
              <w:adjustRightInd w:val="0"/>
              <w:jc w:val="center"/>
            </w:pPr>
            <w:r w:rsidRPr="003E2FA2">
              <w:t>(0.72, 0.98)</w:t>
            </w:r>
          </w:p>
        </w:tc>
        <w:tc>
          <w:tcPr>
            <w:tcW w:w="1417" w:type="dxa"/>
            <w:gridSpan w:val="2"/>
          </w:tcPr>
          <w:p w14:paraId="063B451B" w14:textId="77777777" w:rsidR="000D1DD3" w:rsidRPr="003E2FA2" w:rsidRDefault="000D1DD3" w:rsidP="003054D4">
            <w:pPr>
              <w:autoSpaceDE w:val="0"/>
              <w:autoSpaceDN w:val="0"/>
              <w:adjustRightInd w:val="0"/>
              <w:jc w:val="center"/>
            </w:pPr>
            <w:r w:rsidRPr="003E2FA2">
              <w:t>338 (4.8%)</w:t>
            </w:r>
          </w:p>
        </w:tc>
        <w:tc>
          <w:tcPr>
            <w:tcW w:w="900" w:type="dxa"/>
          </w:tcPr>
          <w:p w14:paraId="2AD6E125" w14:textId="77777777" w:rsidR="000D1DD3" w:rsidRPr="003E2FA2" w:rsidRDefault="000D1DD3" w:rsidP="003054D4">
            <w:pPr>
              <w:autoSpaceDE w:val="0"/>
              <w:autoSpaceDN w:val="0"/>
              <w:adjustRightInd w:val="0"/>
              <w:jc w:val="center"/>
            </w:pPr>
            <w:r w:rsidRPr="003E2FA2">
              <w:t>5.2%</w:t>
            </w:r>
          </w:p>
        </w:tc>
        <w:tc>
          <w:tcPr>
            <w:tcW w:w="1309" w:type="dxa"/>
          </w:tcPr>
          <w:p w14:paraId="10881519" w14:textId="77777777" w:rsidR="000D1DD3" w:rsidRPr="003E2FA2" w:rsidRDefault="000D1DD3" w:rsidP="003054D4">
            <w:pPr>
              <w:autoSpaceDE w:val="0"/>
              <w:autoSpaceDN w:val="0"/>
              <w:adjustRightInd w:val="0"/>
              <w:jc w:val="center"/>
            </w:pPr>
            <w:r w:rsidRPr="003E2FA2">
              <w:t>0.0314</w:t>
            </w:r>
          </w:p>
        </w:tc>
      </w:tr>
      <w:tr w:rsidR="000D1DD3" w:rsidRPr="003E2FA2" w14:paraId="2E093B62" w14:textId="77777777" w:rsidTr="00F6326A">
        <w:tc>
          <w:tcPr>
            <w:tcW w:w="1869" w:type="dxa"/>
          </w:tcPr>
          <w:p w14:paraId="7D55D2A5" w14:textId="77777777" w:rsidR="000D1DD3" w:rsidRPr="003E2FA2" w:rsidRDefault="000D1DD3" w:rsidP="003054D4">
            <w:pPr>
              <w:autoSpaceDE w:val="0"/>
              <w:autoSpaceDN w:val="0"/>
              <w:adjustRightInd w:val="0"/>
              <w:jc w:val="center"/>
            </w:pPr>
            <w:r w:rsidRPr="003E2FA2">
              <w:t>Мождани удар</w:t>
            </w:r>
          </w:p>
        </w:tc>
        <w:tc>
          <w:tcPr>
            <w:tcW w:w="1418" w:type="dxa"/>
          </w:tcPr>
          <w:p w14:paraId="607F0351" w14:textId="77777777" w:rsidR="000D1DD3" w:rsidRPr="003E2FA2" w:rsidRDefault="000D1DD3" w:rsidP="003054D4">
            <w:pPr>
              <w:autoSpaceDE w:val="0"/>
              <w:autoSpaceDN w:val="0"/>
              <w:adjustRightInd w:val="0"/>
              <w:jc w:val="center"/>
            </w:pPr>
            <w:r w:rsidRPr="003E2FA2">
              <w:t>91 (1.3%)</w:t>
            </w:r>
          </w:p>
        </w:tc>
        <w:tc>
          <w:tcPr>
            <w:tcW w:w="907" w:type="dxa"/>
            <w:gridSpan w:val="2"/>
          </w:tcPr>
          <w:p w14:paraId="03AF328A" w14:textId="77777777" w:rsidR="000D1DD3" w:rsidRPr="003E2FA2" w:rsidRDefault="000D1DD3" w:rsidP="003054D4">
            <w:pPr>
              <w:autoSpaceDE w:val="0"/>
              <w:autoSpaceDN w:val="0"/>
              <w:adjustRightInd w:val="0"/>
              <w:jc w:val="center"/>
            </w:pPr>
            <w:r w:rsidRPr="003E2FA2">
              <w:t>1.5%</w:t>
            </w:r>
          </w:p>
        </w:tc>
        <w:tc>
          <w:tcPr>
            <w:tcW w:w="1361" w:type="dxa"/>
          </w:tcPr>
          <w:p w14:paraId="73329220" w14:textId="77777777" w:rsidR="000D1DD3" w:rsidRPr="003E2FA2" w:rsidRDefault="000D1DD3" w:rsidP="003054D4">
            <w:pPr>
              <w:autoSpaceDE w:val="0"/>
              <w:autoSpaceDN w:val="0"/>
              <w:adjustRightInd w:val="0"/>
              <w:jc w:val="center"/>
            </w:pPr>
            <w:r w:rsidRPr="003E2FA2">
              <w:t>0.75</w:t>
            </w:r>
          </w:p>
          <w:p w14:paraId="761CC617" w14:textId="77777777" w:rsidR="000D1DD3" w:rsidRPr="003E2FA2" w:rsidRDefault="000D1DD3" w:rsidP="003054D4">
            <w:pPr>
              <w:autoSpaceDE w:val="0"/>
              <w:autoSpaceDN w:val="0"/>
              <w:adjustRightInd w:val="0"/>
              <w:jc w:val="center"/>
            </w:pPr>
            <w:r w:rsidRPr="003E2FA2">
              <w:t>(0.57, 0.98)</w:t>
            </w:r>
          </w:p>
        </w:tc>
        <w:tc>
          <w:tcPr>
            <w:tcW w:w="1417" w:type="dxa"/>
            <w:gridSpan w:val="2"/>
          </w:tcPr>
          <w:p w14:paraId="48E852EC" w14:textId="77777777" w:rsidR="000D1DD3" w:rsidRPr="003E2FA2" w:rsidRDefault="000D1DD3" w:rsidP="003054D4">
            <w:pPr>
              <w:autoSpaceDE w:val="0"/>
              <w:autoSpaceDN w:val="0"/>
              <w:adjustRightInd w:val="0"/>
              <w:jc w:val="center"/>
            </w:pPr>
            <w:r w:rsidRPr="003E2FA2">
              <w:t>122 (1.7%)</w:t>
            </w:r>
          </w:p>
        </w:tc>
        <w:tc>
          <w:tcPr>
            <w:tcW w:w="900" w:type="dxa"/>
          </w:tcPr>
          <w:p w14:paraId="13C1F73C" w14:textId="77777777" w:rsidR="000D1DD3" w:rsidRPr="003E2FA2" w:rsidRDefault="000D1DD3" w:rsidP="003054D4">
            <w:pPr>
              <w:autoSpaceDE w:val="0"/>
              <w:autoSpaceDN w:val="0"/>
              <w:adjustRightInd w:val="0"/>
              <w:jc w:val="center"/>
            </w:pPr>
            <w:r w:rsidRPr="003E2FA2">
              <w:t>1.9%</w:t>
            </w:r>
          </w:p>
        </w:tc>
        <w:tc>
          <w:tcPr>
            <w:tcW w:w="1309" w:type="dxa"/>
          </w:tcPr>
          <w:p w14:paraId="133687ED" w14:textId="77777777" w:rsidR="000D1DD3" w:rsidRPr="003E2FA2" w:rsidRDefault="000D1DD3" w:rsidP="003054D4">
            <w:pPr>
              <w:autoSpaceDE w:val="0"/>
              <w:autoSpaceDN w:val="0"/>
              <w:adjustRightInd w:val="0"/>
              <w:jc w:val="center"/>
            </w:pPr>
            <w:r w:rsidRPr="003E2FA2">
              <w:t>0.0337</w:t>
            </w:r>
          </w:p>
        </w:tc>
      </w:tr>
      <w:tr w:rsidR="000D1DD3" w:rsidRPr="003E2FA2" w14:paraId="0185A3CB" w14:textId="77777777" w:rsidTr="00F6326A">
        <w:tc>
          <w:tcPr>
            <w:tcW w:w="9181" w:type="dxa"/>
            <w:gridSpan w:val="9"/>
          </w:tcPr>
          <w:p w14:paraId="3337DF7E" w14:textId="77777777" w:rsidR="000D1DD3" w:rsidRPr="003E2FA2" w:rsidRDefault="000D1DD3" w:rsidP="003054D4">
            <w:pPr>
              <w:tabs>
                <w:tab w:val="left" w:pos="360"/>
              </w:tabs>
              <w:autoSpaceDE w:val="0"/>
              <w:autoSpaceDN w:val="0"/>
              <w:adjustRightInd w:val="0"/>
              <w:spacing w:before="120" w:after="100" w:afterAutospacing="1"/>
            </w:pPr>
            <w:r w:rsidRPr="003E2FA2">
              <w:t>Секундарни исход</w:t>
            </w:r>
          </w:p>
        </w:tc>
      </w:tr>
      <w:tr w:rsidR="000D1DD3" w:rsidRPr="003E2FA2" w14:paraId="2DD5E454" w14:textId="77777777" w:rsidTr="00F6326A">
        <w:tc>
          <w:tcPr>
            <w:tcW w:w="1869" w:type="dxa"/>
          </w:tcPr>
          <w:p w14:paraId="7EE94D01" w14:textId="77777777" w:rsidR="000D1DD3" w:rsidRPr="003E2FA2" w:rsidRDefault="000D1DD3" w:rsidP="003054D4">
            <w:pPr>
              <w:autoSpaceDE w:val="0"/>
              <w:autoSpaceDN w:val="0"/>
              <w:adjustRightInd w:val="0"/>
              <w:jc w:val="center"/>
            </w:pPr>
            <w:r w:rsidRPr="003E2FA2">
              <w:t>КВ смрт</w:t>
            </w:r>
          </w:p>
        </w:tc>
        <w:tc>
          <w:tcPr>
            <w:tcW w:w="1418" w:type="dxa"/>
          </w:tcPr>
          <w:p w14:paraId="573C0A49" w14:textId="77777777" w:rsidR="000D1DD3" w:rsidRPr="003E2FA2" w:rsidRDefault="000D1DD3" w:rsidP="003054D4">
            <w:pPr>
              <w:autoSpaceDE w:val="0"/>
              <w:autoSpaceDN w:val="0"/>
              <w:adjustRightInd w:val="0"/>
              <w:jc w:val="center"/>
            </w:pPr>
            <w:r w:rsidRPr="003E2FA2">
              <w:t>174 (2.5%)</w:t>
            </w:r>
          </w:p>
        </w:tc>
        <w:tc>
          <w:tcPr>
            <w:tcW w:w="907" w:type="dxa"/>
            <w:gridSpan w:val="2"/>
          </w:tcPr>
          <w:p w14:paraId="35637FB1" w14:textId="77777777" w:rsidR="000D1DD3" w:rsidRPr="003E2FA2" w:rsidRDefault="000D1DD3" w:rsidP="003054D4">
            <w:pPr>
              <w:autoSpaceDE w:val="0"/>
              <w:autoSpaceDN w:val="0"/>
              <w:adjustRightInd w:val="0"/>
              <w:jc w:val="center"/>
            </w:pPr>
            <w:r w:rsidRPr="003E2FA2">
              <w:t>2.9%</w:t>
            </w:r>
          </w:p>
        </w:tc>
        <w:tc>
          <w:tcPr>
            <w:tcW w:w="1361" w:type="dxa"/>
          </w:tcPr>
          <w:p w14:paraId="452675BA" w14:textId="77777777" w:rsidR="000D1DD3" w:rsidRPr="003E2FA2" w:rsidRDefault="000D1DD3" w:rsidP="003054D4">
            <w:pPr>
              <w:autoSpaceDE w:val="0"/>
              <w:autoSpaceDN w:val="0"/>
              <w:adjustRightInd w:val="0"/>
              <w:jc w:val="center"/>
            </w:pPr>
            <w:r w:rsidRPr="003E2FA2">
              <w:t>0.83</w:t>
            </w:r>
          </w:p>
          <w:p w14:paraId="6F7F44E6" w14:textId="77777777" w:rsidR="000D1DD3" w:rsidRPr="003E2FA2" w:rsidRDefault="000D1DD3" w:rsidP="003054D4">
            <w:pPr>
              <w:autoSpaceDE w:val="0"/>
              <w:autoSpaceDN w:val="0"/>
              <w:adjustRightInd w:val="0"/>
              <w:jc w:val="center"/>
            </w:pPr>
            <w:r w:rsidRPr="003E2FA2">
              <w:t>(0.68, 1.01)</w:t>
            </w:r>
          </w:p>
        </w:tc>
        <w:tc>
          <w:tcPr>
            <w:tcW w:w="1417" w:type="dxa"/>
            <w:gridSpan w:val="2"/>
          </w:tcPr>
          <w:p w14:paraId="00830DB7" w14:textId="77777777" w:rsidR="000D1DD3" w:rsidRPr="003E2FA2" w:rsidRDefault="000D1DD3" w:rsidP="003054D4">
            <w:pPr>
              <w:autoSpaceDE w:val="0"/>
              <w:autoSpaceDN w:val="0"/>
              <w:adjustRightInd w:val="0"/>
              <w:jc w:val="center"/>
            </w:pPr>
            <w:r w:rsidRPr="003E2FA2">
              <w:t>210 (3.0%)</w:t>
            </w:r>
          </w:p>
        </w:tc>
        <w:tc>
          <w:tcPr>
            <w:tcW w:w="900" w:type="dxa"/>
          </w:tcPr>
          <w:p w14:paraId="3EB1D729" w14:textId="77777777" w:rsidR="000D1DD3" w:rsidRPr="003E2FA2" w:rsidRDefault="000D1DD3" w:rsidP="003054D4">
            <w:pPr>
              <w:autoSpaceDE w:val="0"/>
              <w:autoSpaceDN w:val="0"/>
              <w:adjustRightInd w:val="0"/>
              <w:jc w:val="center"/>
            </w:pPr>
            <w:r w:rsidRPr="003E2FA2">
              <w:t>3.4%</w:t>
            </w:r>
          </w:p>
        </w:tc>
        <w:tc>
          <w:tcPr>
            <w:tcW w:w="1309" w:type="dxa"/>
          </w:tcPr>
          <w:p w14:paraId="479803C8" w14:textId="77777777" w:rsidR="000D1DD3" w:rsidRPr="003E2FA2" w:rsidRDefault="000D1DD3" w:rsidP="003054D4">
            <w:pPr>
              <w:autoSpaceDE w:val="0"/>
              <w:autoSpaceDN w:val="0"/>
              <w:adjustRightInd w:val="0"/>
              <w:jc w:val="center"/>
            </w:pPr>
            <w:r w:rsidRPr="003E2FA2">
              <w:t>-</w:t>
            </w:r>
          </w:p>
        </w:tc>
      </w:tr>
      <w:tr w:rsidR="000D1DD3" w:rsidRPr="003E2FA2" w14:paraId="1BC99FA6" w14:textId="77777777" w:rsidTr="00F6326A">
        <w:tc>
          <w:tcPr>
            <w:tcW w:w="1869" w:type="dxa"/>
          </w:tcPr>
          <w:p w14:paraId="01A527BC" w14:textId="77777777" w:rsidR="000D1DD3" w:rsidRPr="003E2FA2" w:rsidRDefault="000D1DD3" w:rsidP="003054D4">
            <w:pPr>
              <w:autoSpaceDE w:val="0"/>
              <w:autoSpaceDN w:val="0"/>
              <w:adjustRightInd w:val="0"/>
              <w:jc w:val="center"/>
            </w:pPr>
            <w:r w:rsidRPr="003E2FA2">
              <w:t>Морталитет свих узрока</w:t>
            </w:r>
          </w:p>
        </w:tc>
        <w:tc>
          <w:tcPr>
            <w:tcW w:w="1418" w:type="dxa"/>
          </w:tcPr>
          <w:p w14:paraId="37F21A22" w14:textId="77777777" w:rsidR="000D1DD3" w:rsidRPr="003E2FA2" w:rsidRDefault="000D1DD3" w:rsidP="003054D4">
            <w:pPr>
              <w:autoSpaceDE w:val="0"/>
              <w:autoSpaceDN w:val="0"/>
              <w:adjustRightInd w:val="0"/>
              <w:jc w:val="center"/>
            </w:pPr>
            <w:r w:rsidRPr="003E2FA2">
              <w:t>289 (4.1%)</w:t>
            </w:r>
          </w:p>
        </w:tc>
        <w:tc>
          <w:tcPr>
            <w:tcW w:w="907" w:type="dxa"/>
            <w:gridSpan w:val="2"/>
          </w:tcPr>
          <w:p w14:paraId="5DE16517" w14:textId="77777777" w:rsidR="000D1DD3" w:rsidRPr="003E2FA2" w:rsidRDefault="000D1DD3" w:rsidP="003054D4">
            <w:pPr>
              <w:autoSpaceDE w:val="0"/>
              <w:autoSpaceDN w:val="0"/>
              <w:adjustRightInd w:val="0"/>
              <w:jc w:val="center"/>
            </w:pPr>
            <w:r w:rsidRPr="003E2FA2">
              <w:t>4.7%</w:t>
            </w:r>
          </w:p>
        </w:tc>
        <w:tc>
          <w:tcPr>
            <w:tcW w:w="1361" w:type="dxa"/>
          </w:tcPr>
          <w:p w14:paraId="2AF00763" w14:textId="77777777" w:rsidR="000D1DD3" w:rsidRPr="003E2FA2" w:rsidRDefault="000D1DD3" w:rsidP="003054D4">
            <w:pPr>
              <w:autoSpaceDE w:val="0"/>
              <w:autoSpaceDN w:val="0"/>
              <w:adjustRightInd w:val="0"/>
              <w:jc w:val="center"/>
            </w:pPr>
            <w:r w:rsidRPr="003E2FA2">
              <w:t>0.89</w:t>
            </w:r>
          </w:p>
          <w:p w14:paraId="5558273F" w14:textId="77777777" w:rsidR="000D1DD3" w:rsidRPr="003E2FA2" w:rsidRDefault="000D1DD3" w:rsidP="003054D4">
            <w:pPr>
              <w:autoSpaceDE w:val="0"/>
              <w:autoSpaceDN w:val="0"/>
              <w:adjustRightInd w:val="0"/>
              <w:jc w:val="center"/>
            </w:pPr>
            <w:r w:rsidRPr="003E2FA2">
              <w:t>(0.76, 1.04)</w:t>
            </w:r>
          </w:p>
        </w:tc>
        <w:tc>
          <w:tcPr>
            <w:tcW w:w="1417" w:type="dxa"/>
            <w:gridSpan w:val="2"/>
          </w:tcPr>
          <w:p w14:paraId="31E68443" w14:textId="77777777" w:rsidR="000D1DD3" w:rsidRPr="003E2FA2" w:rsidRDefault="000D1DD3" w:rsidP="003054D4">
            <w:pPr>
              <w:autoSpaceDE w:val="0"/>
              <w:autoSpaceDN w:val="0"/>
              <w:adjustRightInd w:val="0"/>
              <w:jc w:val="center"/>
            </w:pPr>
            <w:r w:rsidRPr="003E2FA2">
              <w:t>326 (4.6%)</w:t>
            </w:r>
          </w:p>
        </w:tc>
        <w:tc>
          <w:tcPr>
            <w:tcW w:w="900" w:type="dxa"/>
          </w:tcPr>
          <w:p w14:paraId="736CD926" w14:textId="77777777" w:rsidR="000D1DD3" w:rsidRPr="003E2FA2" w:rsidRDefault="000D1DD3" w:rsidP="003054D4">
            <w:pPr>
              <w:autoSpaceDE w:val="0"/>
              <w:autoSpaceDN w:val="0"/>
              <w:adjustRightInd w:val="0"/>
              <w:jc w:val="center"/>
            </w:pPr>
            <w:r w:rsidRPr="003E2FA2">
              <w:t>5.2%</w:t>
            </w:r>
          </w:p>
        </w:tc>
        <w:tc>
          <w:tcPr>
            <w:tcW w:w="1309" w:type="dxa"/>
          </w:tcPr>
          <w:p w14:paraId="31D38CB4" w14:textId="77777777" w:rsidR="000D1DD3" w:rsidRPr="003E2FA2" w:rsidRDefault="000D1DD3" w:rsidP="003054D4">
            <w:pPr>
              <w:autoSpaceDE w:val="0"/>
              <w:autoSpaceDN w:val="0"/>
              <w:adjustRightInd w:val="0"/>
              <w:jc w:val="center"/>
            </w:pPr>
            <w:r w:rsidRPr="003E2FA2">
              <w:t>-</w:t>
            </w:r>
          </w:p>
        </w:tc>
      </w:tr>
    </w:tbl>
    <w:p w14:paraId="148C7D20" w14:textId="77777777" w:rsidR="00053E50" w:rsidRPr="003E2FA2" w:rsidRDefault="00053E50" w:rsidP="00D106D3">
      <w:pPr>
        <w:spacing w:after="0" w:line="240" w:lineRule="auto"/>
        <w:ind w:right="8"/>
        <w:jc w:val="both"/>
        <w:rPr>
          <w:rFonts w:ascii="Times New Roman" w:eastAsia="Times New Roman" w:hAnsi="Times New Roman" w:cs="Times New Roman"/>
          <w:sz w:val="20"/>
          <w:szCs w:val="20"/>
        </w:rPr>
      </w:pPr>
      <w:r w:rsidRPr="003E2FA2">
        <w:rPr>
          <w:rFonts w:ascii="Times New Roman" w:eastAsia="Times New Roman" w:hAnsi="Times New Roman" w:cs="Times New Roman"/>
          <w:sz w:val="20"/>
          <w:szCs w:val="20"/>
        </w:rPr>
        <w:t>Однос ризика (Hazard ratio) и p-вриједности израчунате су одвојено за тикагрелор у односу на терапију само ацетилсалицилном кисјелином из Cox-овог модела пропорционалних хазарда сa терапијском групом као једином експланаторном варијаблом.</w:t>
      </w:r>
    </w:p>
    <w:p w14:paraId="6CA8F5A9" w14:textId="77777777" w:rsidR="00053E50" w:rsidRPr="003E2FA2" w:rsidRDefault="00053E50" w:rsidP="00D106D3">
      <w:pPr>
        <w:spacing w:after="0" w:line="240" w:lineRule="auto"/>
        <w:ind w:right="8"/>
        <w:jc w:val="both"/>
        <w:rPr>
          <w:rFonts w:ascii="Times New Roman" w:eastAsia="Times New Roman" w:hAnsi="Times New Roman" w:cs="Times New Roman"/>
          <w:sz w:val="20"/>
          <w:szCs w:val="20"/>
        </w:rPr>
      </w:pPr>
      <w:r w:rsidRPr="003E2FA2">
        <w:rPr>
          <w:rFonts w:ascii="Times New Roman" w:eastAsia="Times New Roman" w:hAnsi="Times New Roman" w:cs="Times New Roman"/>
          <w:sz w:val="20"/>
          <w:szCs w:val="20"/>
        </w:rPr>
        <w:t>КМ проценат израчунат након 36 мјесеци.</w:t>
      </w:r>
    </w:p>
    <w:p w14:paraId="28E547B6" w14:textId="77777777" w:rsidR="00053E50" w:rsidRPr="003E2FA2" w:rsidRDefault="00053E50" w:rsidP="00D106D3">
      <w:pPr>
        <w:spacing w:after="0" w:line="240" w:lineRule="auto"/>
        <w:ind w:right="8"/>
        <w:jc w:val="both"/>
        <w:rPr>
          <w:rFonts w:ascii="Times New Roman" w:eastAsia="Times New Roman" w:hAnsi="Times New Roman" w:cs="Times New Roman"/>
          <w:sz w:val="20"/>
          <w:szCs w:val="20"/>
        </w:rPr>
      </w:pPr>
      <w:r w:rsidRPr="003E2FA2">
        <w:rPr>
          <w:rFonts w:ascii="Times New Roman" w:eastAsia="Times New Roman" w:hAnsi="Times New Roman" w:cs="Times New Roman"/>
          <w:sz w:val="20"/>
          <w:szCs w:val="20"/>
        </w:rPr>
        <w:t>Напомена: број првих догађаја за компоненте КВ смрт, ИМ и мождани удар су стварни број првих догађаја за сваку компоненту и не сабирају се у број догађаја у сложеном исходу.</w:t>
      </w:r>
    </w:p>
    <w:p w14:paraId="7EFCD992" w14:textId="3E211050" w:rsidR="00053E50" w:rsidRPr="003E2FA2" w:rsidRDefault="00053E50" w:rsidP="00D106D3">
      <w:pPr>
        <w:spacing w:after="0" w:line="240" w:lineRule="auto"/>
        <w:ind w:right="8"/>
        <w:jc w:val="both"/>
        <w:rPr>
          <w:rFonts w:ascii="Times New Roman" w:eastAsia="Times New Roman" w:hAnsi="Times New Roman" w:cs="Times New Roman"/>
          <w:sz w:val="20"/>
          <w:szCs w:val="20"/>
        </w:rPr>
      </w:pPr>
      <w:r w:rsidRPr="003E2FA2">
        <w:rPr>
          <w:rFonts w:ascii="Times New Roman" w:eastAsia="Times New Roman" w:hAnsi="Times New Roman" w:cs="Times New Roman"/>
          <w:sz w:val="20"/>
          <w:szCs w:val="20"/>
        </w:rPr>
        <w:t>(с) означава статистичку значајност</w:t>
      </w:r>
      <w:r w:rsidR="00A65BBD" w:rsidRPr="003E2FA2">
        <w:rPr>
          <w:rFonts w:ascii="Times New Roman" w:eastAsia="Times New Roman" w:hAnsi="Times New Roman" w:cs="Times New Roman"/>
          <w:sz w:val="20"/>
          <w:szCs w:val="20"/>
        </w:rPr>
        <w:t>.</w:t>
      </w:r>
    </w:p>
    <w:p w14:paraId="4533A8AE" w14:textId="1F4C26BC" w:rsidR="00053E50" w:rsidRPr="003E2FA2" w:rsidRDefault="00053E50" w:rsidP="00D106D3">
      <w:pPr>
        <w:spacing w:after="0" w:line="240" w:lineRule="auto"/>
        <w:ind w:right="8"/>
        <w:jc w:val="both"/>
        <w:rPr>
          <w:rFonts w:ascii="Times New Roman" w:eastAsia="Times New Roman" w:hAnsi="Times New Roman" w:cs="Times New Roman"/>
          <w:sz w:val="20"/>
          <w:szCs w:val="20"/>
        </w:rPr>
      </w:pPr>
      <w:r w:rsidRPr="003E2FA2">
        <w:rPr>
          <w:rFonts w:ascii="Times New Roman" w:eastAsia="Times New Roman" w:hAnsi="Times New Roman" w:cs="Times New Roman"/>
          <w:sz w:val="20"/>
          <w:szCs w:val="20"/>
        </w:rPr>
        <w:t xml:space="preserve">CI = интервал поузданости; КВ = кардиоваскуларни; HR = </w:t>
      </w:r>
      <w:r w:rsidRPr="003E2FA2">
        <w:rPr>
          <w:rFonts w:ascii="Times New Roman" w:eastAsia="Times New Roman" w:hAnsi="Times New Roman" w:cs="Times New Roman"/>
          <w:i/>
          <w:sz w:val="20"/>
          <w:szCs w:val="20"/>
        </w:rPr>
        <w:t>hazard ratio</w:t>
      </w:r>
      <w:r w:rsidRPr="003E2FA2">
        <w:rPr>
          <w:rFonts w:ascii="Times New Roman" w:eastAsia="Times New Roman" w:hAnsi="Times New Roman" w:cs="Times New Roman"/>
          <w:sz w:val="20"/>
          <w:szCs w:val="20"/>
        </w:rPr>
        <w:t>; КМ = Кaplan-Meier; ИМ = инфаркт миокарда; N = број пацијента.</w:t>
      </w:r>
    </w:p>
    <w:p w14:paraId="69DAF1C0"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0F794B17" w14:textId="306DE5A9"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Оба режима тикагрелора, 60 mg два пута дневно и 90 mg два пута дневно, у комбинацији са ацетилсалицилном киселином били су супериорни у односу на терапију само ацетилсалицилном киселином у превенцији атеротромботских догађаја (сложени исход: КВ смрт, ИМ и мождани удар), уз конзистентан терапијски ефекат током цијелог периода испитивања, доводећи до 16% RRR и 1.27% АRR за тикагрелор 60 mg, те 15% RRR и 1.19% АRR за тикагрелор 90 mg.</w:t>
      </w:r>
    </w:p>
    <w:p w14:paraId="3B4259E4"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7B7F63EE" w14:textId="03105B04"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Иако су профили ефикасности за дозе од 90 mg и 60 mg били слични, постоје докази да се нижа доза боље подноси и има бољи безбједносни профил с обзиром на ризик од крварења и диспнеје. Стога се за превенцију атеротромботских догађаја (КВ смрт, ИМ и мождани удар) код пацијената са ИМ у анамнези и високим ризиком за развој атеротромботских догађаја препоручује само примјена лијека тикагрелор од 60 mg два пута дневно у комбинацији са ацетилсалицилном киселином.</w:t>
      </w:r>
    </w:p>
    <w:p w14:paraId="61299513"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1348DE3C"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 xml:space="preserve">У односу на терапију само ацетилсалицилном кисјелином, тикагрелор од 60 mg два пута дневно значајно је смањио примарни сложени параметар праћења исхода који се састоји од КВ смрти, ИМ и можданог удара. Свака од компоненти допринијела је смањењу примарног сложеног параметра праћења исхода (КВ смрт 17% RRR, ИМ 16% РРР и мождани удар 25% RRR). </w:t>
      </w:r>
    </w:p>
    <w:p w14:paraId="6D825F96"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3D99FBBF"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RRR за сложени параметар праћења исхода од 1. до 360. дана (17% RRR) и од 361. дана надаље (16% RRR) био је сличан. Постоје ограничени подаци о ефикасности и безбједности тикагрелора након три године продуженог лијечења.</w:t>
      </w:r>
    </w:p>
    <w:p w14:paraId="575BAAC6"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72B34658"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Није било доказа о користи (без смањења примарног сложеног параметра праћења исхода који се састоји од кардиоваскуларне смрти, ИМ и можданог удара, али повећање великог крварења) када се тикагрелор у дози од 60 mg два пута дневно примјењивао код клинички стабилних пацијената који су имали ИМ прије &gt; 2 године, или више од годину дана након прекида лијечења претходним инхибитором АDP рецептора (такође погледати дио 4.2).</w:t>
      </w:r>
    </w:p>
    <w:p w14:paraId="629E84B2"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76557BB3" w14:textId="77777777" w:rsidR="00053E50" w:rsidRPr="003E2FA2" w:rsidRDefault="00053E50" w:rsidP="00D106D3">
      <w:pPr>
        <w:spacing w:after="0" w:line="240" w:lineRule="auto"/>
        <w:ind w:right="8"/>
        <w:jc w:val="both"/>
        <w:rPr>
          <w:rFonts w:ascii="Times New Roman" w:eastAsia="Times New Roman" w:hAnsi="Times New Roman" w:cs="Times New Roman"/>
          <w:i/>
        </w:rPr>
      </w:pPr>
      <w:r w:rsidRPr="003E2FA2">
        <w:rPr>
          <w:rFonts w:ascii="Times New Roman" w:eastAsia="Times New Roman" w:hAnsi="Times New Roman" w:cs="Times New Roman"/>
          <w:i/>
        </w:rPr>
        <w:lastRenderedPageBreak/>
        <w:t>Клиничка безбједност</w:t>
      </w:r>
    </w:p>
    <w:p w14:paraId="48777677" w14:textId="2C2E8B40"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Стопа прекида лијечења тикагрелором у дози од 60 mg због крварења и диспне</w:t>
      </w:r>
      <w:r w:rsidR="00A65BBD" w:rsidRPr="003E2FA2">
        <w:rPr>
          <w:rFonts w:ascii="Times New Roman" w:eastAsia="Times New Roman" w:hAnsi="Times New Roman" w:cs="Times New Roman"/>
        </w:rPr>
        <w:t>ј</w:t>
      </w:r>
      <w:r w:rsidRPr="003E2FA2">
        <w:rPr>
          <w:rFonts w:ascii="Times New Roman" w:eastAsia="Times New Roman" w:hAnsi="Times New Roman" w:cs="Times New Roman"/>
        </w:rPr>
        <w:t>е била је виша код пацијената старости од &gt; 75 година (42%) него код млађих пацијената (распон: 23 – 31%), уз разлику у односу на плацебо већу од 10% (42% напрема 29%) код пацијената старијих од 75 година.</w:t>
      </w:r>
    </w:p>
    <w:p w14:paraId="505E0B8A" w14:textId="77777777" w:rsidR="003D4284" w:rsidRPr="003E2FA2" w:rsidRDefault="003D4284" w:rsidP="00D106D3">
      <w:pPr>
        <w:spacing w:after="0" w:line="240" w:lineRule="auto"/>
        <w:ind w:right="8"/>
        <w:jc w:val="both"/>
        <w:rPr>
          <w:rFonts w:ascii="Times New Roman" w:eastAsia="Times New Roman" w:hAnsi="Times New Roman" w:cs="Times New Roman"/>
          <w:u w:val="single"/>
        </w:rPr>
      </w:pPr>
    </w:p>
    <w:p w14:paraId="26AB2B1B" w14:textId="0876CB33" w:rsidR="00053E50" w:rsidRPr="003E2FA2" w:rsidRDefault="00053E50" w:rsidP="00D106D3">
      <w:pPr>
        <w:spacing w:after="0" w:line="240" w:lineRule="auto"/>
        <w:ind w:right="8"/>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Педијатријска популација</w:t>
      </w:r>
    </w:p>
    <w:p w14:paraId="0FA182B4"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У рандомизованој, двоструко слијепој студији фазе III са паралелним групама (HESTIA 3), 193 педијатријска пацијента (узраста од 2 до млађе од 18 година) са српастим ћелијама рандомизована су да примају плацебо или тикагрелор у дозама од 15 mg до 45 mg два пута дневно у зависности од тјелесне тежине. Тикагрелор је довео до средње инхибиције тромбоцита од 35% прије дозе и 56% 2 сата послије дозе у стању равнотеже.</w:t>
      </w:r>
    </w:p>
    <w:p w14:paraId="421FE957"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У поређењу са плацебом, није било користи од терапије тикагрелором у односу на стопу вазо-оклузивних криза.</w:t>
      </w:r>
    </w:p>
    <w:p w14:paraId="5D47800D"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1B085D93"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Европска агенција за љекове је изузела од обавезе подношење резултата испитивања лијека Tingora у свим подгрупама педијатријске популације у одобреним индикацијама (погледати дио 4.2 за информације о употреби у педијатријској популацији).</w:t>
      </w:r>
    </w:p>
    <w:p w14:paraId="2AFA84A1" w14:textId="77777777" w:rsidR="00053E50" w:rsidRPr="003E2FA2" w:rsidRDefault="00053E50" w:rsidP="00D106D3">
      <w:pPr>
        <w:tabs>
          <w:tab w:val="left" w:pos="284"/>
        </w:tabs>
        <w:spacing w:after="0" w:line="240" w:lineRule="auto"/>
        <w:jc w:val="both"/>
        <w:rPr>
          <w:rFonts w:ascii="Times New Roman" w:eastAsia="Times New Roman" w:hAnsi="Times New Roman" w:cs="Times New Roman"/>
          <w:b/>
          <w:bCs/>
        </w:rPr>
      </w:pPr>
    </w:p>
    <w:p w14:paraId="67BEDF1D" w14:textId="77777777" w:rsidR="00053E50" w:rsidRPr="003E2FA2" w:rsidRDefault="00053E50" w:rsidP="00D106D3">
      <w:pPr>
        <w:tabs>
          <w:tab w:val="left" w:pos="284"/>
        </w:tabs>
        <w:spacing w:after="0" w:line="240" w:lineRule="auto"/>
        <w:jc w:val="both"/>
        <w:rPr>
          <w:rFonts w:ascii="Times New Roman" w:eastAsia="Times New Roman" w:hAnsi="Times New Roman" w:cs="Times New Roman"/>
          <w:i/>
        </w:rPr>
      </w:pPr>
      <w:r w:rsidRPr="003E2FA2">
        <w:rPr>
          <w:rFonts w:ascii="Times New Roman" w:eastAsia="Times New Roman" w:hAnsi="Times New Roman" w:cs="Times New Roman"/>
          <w:b/>
          <w:bCs/>
        </w:rPr>
        <w:t>5.2. Фармакокинетички подаци</w:t>
      </w:r>
    </w:p>
    <w:p w14:paraId="20825871"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4387B906"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Тикагрелор показује линеарну фармакокинетику, а изложеност тикагрелору и активном метаболиту (АR-C124910XX) приближно је пропорционална дози до 1260 mg.</w:t>
      </w:r>
    </w:p>
    <w:p w14:paraId="48D1EA14" w14:textId="77777777" w:rsidR="00053E50" w:rsidRPr="003E2FA2" w:rsidRDefault="00053E50" w:rsidP="00D106D3">
      <w:pPr>
        <w:spacing w:after="0" w:line="240" w:lineRule="auto"/>
        <w:ind w:right="8"/>
        <w:jc w:val="both"/>
        <w:rPr>
          <w:rFonts w:ascii="Times New Roman" w:eastAsia="Times New Roman" w:hAnsi="Times New Roman" w:cs="Times New Roman"/>
          <w:u w:val="single"/>
        </w:rPr>
      </w:pPr>
    </w:p>
    <w:p w14:paraId="380DE55F" w14:textId="77777777" w:rsidR="00053E50" w:rsidRPr="003E2FA2" w:rsidRDefault="00053E50" w:rsidP="00D106D3">
      <w:pPr>
        <w:spacing w:after="0" w:line="240" w:lineRule="auto"/>
        <w:ind w:right="8"/>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Ресорпција</w:t>
      </w:r>
    </w:p>
    <w:p w14:paraId="5F75BC43" w14:textId="77777777" w:rsidR="00C41BDD"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Ресорпција тикагрелора је брза, са медијаном t</w:t>
      </w:r>
      <w:r w:rsidRPr="003E2FA2">
        <w:rPr>
          <w:rFonts w:ascii="Times New Roman" w:eastAsia="Times New Roman" w:hAnsi="Times New Roman" w:cs="Times New Roman"/>
          <w:vertAlign w:val="subscript"/>
        </w:rPr>
        <w:t xml:space="preserve">max </w:t>
      </w:r>
      <w:r w:rsidRPr="003E2FA2">
        <w:rPr>
          <w:rFonts w:ascii="Times New Roman" w:eastAsia="Times New Roman" w:hAnsi="Times New Roman" w:cs="Times New Roman"/>
        </w:rPr>
        <w:t>од приближно 1.5 сати. Стварање главног циркулишућег метаболита АR-C124910XX (такође активног) тикагрелора је брзо са медијаном t</w:t>
      </w:r>
      <w:r w:rsidRPr="003E2FA2">
        <w:rPr>
          <w:rFonts w:ascii="Times New Roman" w:eastAsia="Times New Roman" w:hAnsi="Times New Roman" w:cs="Times New Roman"/>
          <w:vertAlign w:val="subscript"/>
        </w:rPr>
        <w:t xml:space="preserve">max </w:t>
      </w:r>
      <w:r w:rsidRPr="003E2FA2">
        <w:rPr>
          <w:rFonts w:ascii="Times New Roman" w:eastAsia="Times New Roman" w:hAnsi="Times New Roman" w:cs="Times New Roman"/>
        </w:rPr>
        <w:t>од приближно 2.5 сата. Послије оралне примјене тикагрелора у појединачној дози од 90 mg на празан стомак,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износи 529 nanograma/ml, а ПИК износи 3451 nanograma*h/ml. Однос метаболита и основног једињења је 0.28 за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и 0.42 за ПИК. Фармакокинетика тикагрелора и АR-C124910XX код пацијената са инфарктом миокарда у анамнези биле су углавном сличне оној у популацији пацијената са акутним коронарним синдромом. На основу популационе фармакокинетичке анализе у студији PEGASUS, медијана тикагрелора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износила је 391 nanograma/ml, а ПИК 3801 nanograma*h/ml у стању равнотеже за тикагрелор од 60 mg. За тикагрелор од 90 mg, вриједност C</w:t>
      </w:r>
      <w:r w:rsidRPr="003E2FA2">
        <w:rPr>
          <w:rFonts w:ascii="Times New Roman" w:eastAsia="Times New Roman" w:hAnsi="Times New Roman" w:cs="Times New Roman"/>
          <w:vertAlign w:val="subscript"/>
        </w:rPr>
        <w:t xml:space="preserve">max </w:t>
      </w:r>
      <w:r w:rsidRPr="003E2FA2">
        <w:rPr>
          <w:rFonts w:ascii="Times New Roman" w:eastAsia="Times New Roman" w:hAnsi="Times New Roman" w:cs="Times New Roman"/>
        </w:rPr>
        <w:t xml:space="preserve">је била 627 nanograma/ml, а ПИК-а 6255 nanograma*h/ml у стању равнотеже. </w:t>
      </w:r>
    </w:p>
    <w:p w14:paraId="1A722B45" w14:textId="77777777" w:rsidR="00C41BDD" w:rsidRPr="003E2FA2" w:rsidRDefault="00C41BDD" w:rsidP="00D106D3">
      <w:pPr>
        <w:spacing w:after="0" w:line="240" w:lineRule="auto"/>
        <w:ind w:right="8"/>
        <w:jc w:val="both"/>
        <w:rPr>
          <w:rFonts w:ascii="Times New Roman" w:eastAsia="Times New Roman" w:hAnsi="Times New Roman" w:cs="Times New Roman"/>
        </w:rPr>
      </w:pPr>
    </w:p>
    <w:p w14:paraId="08253AC4" w14:textId="3CDD8CDF"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Процијењено је да средња апсолутна биолошка расположивост тикагрелора износи 36%. Узимање оброка са високим садржајем масти довело је до 21% повећања ПИК тикагрелора и 22% смањења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активног метаболита, али то није имало никакав утицај на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тикагрелора или ПИК активног метаболита. Сматра се да ове мале промјене имају минималан клинички значај, па се стога тикагрелор може узимати са храном или без ње. Тикагрелор као и његов активан метаболит су супстрати P-gp.</w:t>
      </w:r>
    </w:p>
    <w:p w14:paraId="174C2F19"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60B786E8" w14:textId="77777777" w:rsidR="00053E50" w:rsidRPr="003E2FA2" w:rsidRDefault="00053E50" w:rsidP="00D106D3">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Тикагрелор у облику смрвљених таблета размућених у води, када се да орално, има биорасположивост која одговара цијелим таблетама у смислу C</w:t>
      </w:r>
      <w:r w:rsidRPr="003E2FA2">
        <w:rPr>
          <w:rFonts w:ascii="Times New Roman" w:eastAsia="Times New Roman" w:hAnsi="Times New Roman" w:cs="Times New Roman"/>
          <w:vertAlign w:val="subscript"/>
        </w:rPr>
        <w:t xml:space="preserve">max </w:t>
      </w:r>
      <w:r w:rsidRPr="003E2FA2">
        <w:rPr>
          <w:rFonts w:ascii="Times New Roman" w:eastAsia="Times New Roman" w:hAnsi="Times New Roman" w:cs="Times New Roman"/>
        </w:rPr>
        <w:t>и ПИК тикагрелора и активног метаболита. Иницијална изложеност (0.5 и 1 сат након дозе) смрвљених таблета размућених у води била је већа у односу на цијеле таблете, са идентичним профилом концентрације након тога (2 до 48 сати).</w:t>
      </w:r>
    </w:p>
    <w:p w14:paraId="7BBF4E4A" w14:textId="77777777" w:rsidR="00053E50" w:rsidRPr="003E2FA2" w:rsidRDefault="00053E50" w:rsidP="00D106D3">
      <w:pPr>
        <w:spacing w:after="0" w:line="240" w:lineRule="auto"/>
        <w:ind w:right="-57"/>
        <w:jc w:val="both"/>
        <w:rPr>
          <w:rFonts w:ascii="Times New Roman" w:eastAsia="Times New Roman" w:hAnsi="Times New Roman" w:cs="Times New Roman"/>
        </w:rPr>
      </w:pPr>
    </w:p>
    <w:p w14:paraId="752B6F2E" w14:textId="77777777" w:rsidR="00053E50" w:rsidRPr="003E2FA2" w:rsidRDefault="00053E50" w:rsidP="00D106D3">
      <w:pPr>
        <w:spacing w:after="0" w:line="240" w:lineRule="auto"/>
        <w:ind w:right="8"/>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Дистрибуција</w:t>
      </w:r>
    </w:p>
    <w:p w14:paraId="1E55331F"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Волумен дистрибуције тикагрелора у стању равнотеже је 87.5 l. Тикагрелор и његов активни метаболит се у великој мјери везују за протеине хумане плазме (&gt; 99.0%).</w:t>
      </w:r>
    </w:p>
    <w:p w14:paraId="4596E608" w14:textId="70F93EDB" w:rsidR="00053E50" w:rsidRPr="003E2FA2" w:rsidRDefault="00053E50" w:rsidP="00D106D3">
      <w:pPr>
        <w:spacing w:after="0" w:line="240" w:lineRule="auto"/>
        <w:ind w:right="8"/>
        <w:jc w:val="both"/>
        <w:rPr>
          <w:rFonts w:ascii="Times New Roman" w:eastAsia="Times New Roman" w:hAnsi="Times New Roman" w:cs="Times New Roman"/>
        </w:rPr>
      </w:pPr>
    </w:p>
    <w:p w14:paraId="49039C78" w14:textId="77777777" w:rsidR="00053E50" w:rsidRPr="003E2FA2" w:rsidRDefault="00053E50" w:rsidP="00D106D3">
      <w:pPr>
        <w:spacing w:after="0" w:line="240" w:lineRule="auto"/>
        <w:ind w:right="8"/>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Биотрансформација</w:t>
      </w:r>
    </w:p>
    <w:p w14:paraId="07A2A29E" w14:textId="77777777" w:rsidR="00F2425B"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 xml:space="preserve">CYP3А4 је главни ензим одговоран за метаболизам тикагрелора и стварање активног метаболита, а њихове интеракције са другим CYP3А супстратима се крећу од активације до инхибиције. </w:t>
      </w:r>
    </w:p>
    <w:p w14:paraId="6C9B18C4" w14:textId="155F5229" w:rsidR="0036129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lastRenderedPageBreak/>
        <w:t xml:space="preserve">Главни метаболит тикагрелора је АR-C124910XX, који је такође активан што је процијењено на основу </w:t>
      </w:r>
      <w:r w:rsidRPr="003E2FA2">
        <w:rPr>
          <w:rFonts w:ascii="Times New Roman" w:eastAsia="Times New Roman" w:hAnsi="Times New Roman" w:cs="Times New Roman"/>
          <w:i/>
        </w:rPr>
        <w:t>ин витро</w:t>
      </w:r>
      <w:r w:rsidRPr="003E2FA2">
        <w:rPr>
          <w:rFonts w:ascii="Times New Roman" w:eastAsia="Times New Roman" w:hAnsi="Times New Roman" w:cs="Times New Roman"/>
        </w:rPr>
        <w:t xml:space="preserve"> везивања за P2Y</w:t>
      </w:r>
      <w:r w:rsidRPr="003E2FA2">
        <w:rPr>
          <w:rFonts w:ascii="Times New Roman" w:eastAsia="Times New Roman" w:hAnsi="Times New Roman" w:cs="Times New Roman"/>
          <w:vertAlign w:val="subscript"/>
        </w:rPr>
        <w:t xml:space="preserve">12 </w:t>
      </w:r>
      <w:r w:rsidRPr="003E2FA2">
        <w:rPr>
          <w:rFonts w:ascii="Times New Roman" w:eastAsia="Times New Roman" w:hAnsi="Times New Roman" w:cs="Times New Roman"/>
        </w:rPr>
        <w:t>АDP</w:t>
      </w:r>
      <w:r w:rsidR="00A12A79" w:rsidRPr="003E2FA2">
        <w:rPr>
          <w:rFonts w:ascii="Times New Roman" w:eastAsia="Times New Roman" w:hAnsi="Times New Roman" w:cs="Times New Roman"/>
        </w:rPr>
        <w:t>-</w:t>
      </w:r>
      <w:r w:rsidRPr="003E2FA2">
        <w:rPr>
          <w:rFonts w:ascii="Times New Roman" w:eastAsia="Times New Roman" w:hAnsi="Times New Roman" w:cs="Times New Roman"/>
        </w:rPr>
        <w:t>рецептор тромбоцита. Системска изложеност активном метаболиту износи приближно 30-40% изложености тикагрелору.</w:t>
      </w:r>
    </w:p>
    <w:p w14:paraId="6ABC9352"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5F6CADFE" w14:textId="77777777" w:rsidR="00053E50" w:rsidRPr="003E2FA2" w:rsidRDefault="00053E50" w:rsidP="00D106D3">
      <w:pPr>
        <w:spacing w:after="0" w:line="240" w:lineRule="auto"/>
        <w:ind w:right="8"/>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Елиминација</w:t>
      </w:r>
    </w:p>
    <w:p w14:paraId="675BD71E" w14:textId="04DFAF69" w:rsidR="00053E50" w:rsidRPr="003E2FA2" w:rsidRDefault="00053E50" w:rsidP="00D106D3">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Примарни пут елиминације тикагрелора је метаболизам у јетри. Када се даје радиообиљежени тикагрелор, средња вриједност излучене радиоактивности износи приближно 84% (57.8% у фецесу, 26.5% у урину). Количине тикагрелора и његовог активног метаболита излучене урином су биле мање од 1% дозе. Примарни пут елиминације активног метаболита је највероватније билијарна секреција. Средње t</w:t>
      </w:r>
      <w:r w:rsidRPr="003E2FA2">
        <w:rPr>
          <w:rFonts w:ascii="Times New Roman" w:eastAsia="Times New Roman" w:hAnsi="Times New Roman" w:cs="Times New Roman"/>
          <w:vertAlign w:val="subscript"/>
        </w:rPr>
        <w:t xml:space="preserve">1/2 </w:t>
      </w:r>
      <w:r w:rsidRPr="003E2FA2">
        <w:rPr>
          <w:rFonts w:ascii="Times New Roman" w:eastAsia="Times New Roman" w:hAnsi="Times New Roman" w:cs="Times New Roman"/>
        </w:rPr>
        <w:t xml:space="preserve">је било приближно </w:t>
      </w:r>
      <w:r w:rsidR="00A12A79" w:rsidRPr="003E2FA2">
        <w:rPr>
          <w:rFonts w:ascii="Times New Roman" w:eastAsia="Times New Roman" w:hAnsi="Times New Roman" w:cs="Times New Roman"/>
        </w:rPr>
        <w:t>7</w:t>
      </w:r>
      <w:r w:rsidRPr="003E2FA2">
        <w:rPr>
          <w:rFonts w:ascii="Times New Roman" w:eastAsia="Times New Roman" w:hAnsi="Times New Roman" w:cs="Times New Roman"/>
        </w:rPr>
        <w:t xml:space="preserve"> сати за тикагрелор и 8.5 сати за његов активни метаболит.</w:t>
      </w:r>
    </w:p>
    <w:p w14:paraId="49587EAD"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63009873" w14:textId="77777777" w:rsidR="00053E50" w:rsidRPr="003E2FA2" w:rsidRDefault="00053E50" w:rsidP="00D106D3">
      <w:pPr>
        <w:spacing w:after="0" w:line="240" w:lineRule="auto"/>
        <w:ind w:right="8"/>
        <w:jc w:val="both"/>
        <w:rPr>
          <w:rFonts w:ascii="Times New Roman" w:eastAsia="Times New Roman" w:hAnsi="Times New Roman" w:cs="Times New Roman"/>
          <w:u w:val="single"/>
        </w:rPr>
      </w:pPr>
      <w:r w:rsidRPr="003E2FA2">
        <w:rPr>
          <w:rFonts w:ascii="Times New Roman" w:eastAsia="Times New Roman" w:hAnsi="Times New Roman" w:cs="Times New Roman"/>
          <w:u w:val="single"/>
        </w:rPr>
        <w:t>Посебне популације</w:t>
      </w:r>
    </w:p>
    <w:p w14:paraId="28E5594F" w14:textId="77777777" w:rsidR="00053E50" w:rsidRPr="003E2FA2" w:rsidRDefault="00053E50" w:rsidP="00D106D3">
      <w:pPr>
        <w:spacing w:after="0" w:line="240" w:lineRule="auto"/>
        <w:ind w:right="8"/>
        <w:jc w:val="both"/>
        <w:rPr>
          <w:rFonts w:ascii="Times New Roman" w:eastAsia="Times New Roman" w:hAnsi="Times New Roman" w:cs="Times New Roman"/>
          <w:i/>
          <w:u w:val="single"/>
        </w:rPr>
      </w:pPr>
    </w:p>
    <w:p w14:paraId="6DF6AADF" w14:textId="0F5315B9"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i/>
          <w:u w:val="single"/>
        </w:rPr>
        <w:t>Старији пацијенти</w:t>
      </w:r>
    </w:p>
    <w:p w14:paraId="2B060F52"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Више изложености тикагрелору (приближно 25%, како за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тако и за ПИК) и његовом активном метаболиту су забиљежене код старијих пацијената (≥ 75 година) са АКС у поређењу са млађим пацијентима, што је утврђено на основу популационе фармакокинетичке анализе. Ове разлике се не сматрају клинички значајним (погледати дио 4.2).</w:t>
      </w:r>
    </w:p>
    <w:p w14:paraId="228687CB" w14:textId="77777777" w:rsidR="00053E50" w:rsidRPr="003E2FA2" w:rsidRDefault="00053E50" w:rsidP="00D106D3">
      <w:pPr>
        <w:spacing w:after="0" w:line="240" w:lineRule="auto"/>
        <w:ind w:right="8"/>
        <w:jc w:val="both"/>
        <w:rPr>
          <w:rFonts w:ascii="Times New Roman" w:eastAsia="Times New Roman" w:hAnsi="Times New Roman" w:cs="Times New Roman"/>
          <w:u w:val="single"/>
        </w:rPr>
      </w:pPr>
    </w:p>
    <w:p w14:paraId="0B5EC7F0" w14:textId="01751DF2" w:rsidR="00053E50" w:rsidRPr="003E2FA2" w:rsidRDefault="00053E50" w:rsidP="00A61D08">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i/>
          <w:u w:val="single"/>
        </w:rPr>
        <w:t>Педијатријска популација</w:t>
      </w:r>
    </w:p>
    <w:p w14:paraId="4E28EC99" w14:textId="77777777" w:rsidR="00053E50" w:rsidRPr="003E2FA2" w:rsidRDefault="00053E50" w:rsidP="00A61D08">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Доступни су ограничени подаци о дјеци са српастим ћелијама (погледати дјелове 4.2 и 5.1).</w:t>
      </w:r>
    </w:p>
    <w:p w14:paraId="13097C15" w14:textId="77777777" w:rsidR="00053E50" w:rsidRPr="003E2FA2" w:rsidRDefault="00053E50" w:rsidP="00A61D08">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У студији HESTIA 3, пацијентима старости од 2 до млађе од 18 година са тјелесном масом ≥ 12 до ≤ 24 kg, &gt; 24 до ≤ 48 kg и &gt; 48 kg, даван је тикагрелор као педијатријске дисперзибилне таблете од 15 mg у дозама од 15, односно 30 и 45 mg два пута дневно. На основу популационе фармакокинетичке анализе, средња вриједност ПИК-а кретала се од 1095 ng*h/ml до 1458 ng*h/ml, а средња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кретала се од 143 ng/ml до 206 ng/ml у стању равнотеже.</w:t>
      </w:r>
    </w:p>
    <w:p w14:paraId="6DE9E494"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40F2EF63" w14:textId="77777777" w:rsidR="00053E50" w:rsidRPr="003E2FA2" w:rsidRDefault="00053E50" w:rsidP="00D106D3">
      <w:pPr>
        <w:spacing w:after="0" w:line="240" w:lineRule="auto"/>
        <w:ind w:right="8"/>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Пол</w:t>
      </w:r>
    </w:p>
    <w:p w14:paraId="42D678EA"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Већа изложеност тикагрелору и његовом активном метаболиту је забиљежена код жена у односу на мушкарце. Ове разлике нијесу сматране клинички значајним.</w:t>
      </w:r>
    </w:p>
    <w:p w14:paraId="38E97B94"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7036BD0C" w14:textId="77777777" w:rsidR="00053E50" w:rsidRPr="003E2FA2" w:rsidRDefault="00053E50" w:rsidP="00D106D3">
      <w:pPr>
        <w:spacing w:after="0" w:line="240" w:lineRule="auto"/>
        <w:ind w:right="8"/>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Оштећење функције бубрега</w:t>
      </w:r>
    </w:p>
    <w:p w14:paraId="7EFF5EDB" w14:textId="2B9122BD"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Изложеност тикагрелору била је приближно 20% мања, а изложеност активном метаболиту приближно 17% већа код пацијената са тешким оштећењем функције бубрега (клиренс креатинина &lt; 30 ml/min) у поређењу са испитаницима са нормалном бубрежном функцијом</w:t>
      </w:r>
      <w:r w:rsidR="00BD6FA7" w:rsidRPr="003E2FA2">
        <w:rPr>
          <w:rFonts w:ascii="Times New Roman" w:eastAsia="Times New Roman" w:hAnsi="Times New Roman" w:cs="Times New Roman"/>
        </w:rPr>
        <w:t>.</w:t>
      </w:r>
    </w:p>
    <w:p w14:paraId="25E6EE2C" w14:textId="77777777" w:rsidR="00053E50" w:rsidRPr="003E2FA2" w:rsidRDefault="00053E50" w:rsidP="00D106D3">
      <w:pPr>
        <w:spacing w:after="0" w:line="240" w:lineRule="auto"/>
        <w:ind w:right="8"/>
        <w:jc w:val="both"/>
        <w:rPr>
          <w:rFonts w:ascii="Times New Roman" w:eastAsia="Times New Roman" w:hAnsi="Times New Roman" w:cs="Times New Roman"/>
        </w:rPr>
      </w:pPr>
    </w:p>
    <w:p w14:paraId="274BD624"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Код пацијената у задњем стадијуму реналне болести који су на хемодијализи, ПИК и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90 mg тикагрелола примијењеног на дан без дијализе био је 38% и 51% већи у односу на испитанике са нормалном функцијом бубрега. Сличан пораст изложености примијећен је и када је био тикагрелор примијењен непосредно прије дијализе (49% и 61%, респективно), показујући да тикагрелор није дијализабилан. Изложеност активном метаболиту повећала се у мањој мјери (ПИК 13-14% и C</w:t>
      </w:r>
      <w:r w:rsidRPr="003E2FA2">
        <w:rPr>
          <w:rFonts w:ascii="Times New Roman" w:eastAsia="Times New Roman" w:hAnsi="Times New Roman" w:cs="Times New Roman"/>
          <w:vertAlign w:val="subscript"/>
        </w:rPr>
        <w:t xml:space="preserve">max </w:t>
      </w:r>
      <w:r w:rsidRPr="003E2FA2">
        <w:rPr>
          <w:rFonts w:ascii="Times New Roman" w:eastAsia="Times New Roman" w:hAnsi="Times New Roman" w:cs="Times New Roman"/>
        </w:rPr>
        <w:t>17-36%). Инхибиција тикагрелора на агрегацију тромбоцита (IPА) била је независна од дијализе код пацијената у задњем стадијуму бубржне болести и слична код особа са нормалном бубрежном функцијом (погледати дио 4.2).</w:t>
      </w:r>
    </w:p>
    <w:p w14:paraId="2362F9D9" w14:textId="77777777" w:rsidR="00053E50" w:rsidRPr="003E2FA2" w:rsidRDefault="00053E50" w:rsidP="00D106D3">
      <w:pPr>
        <w:spacing w:after="0" w:line="240" w:lineRule="auto"/>
        <w:ind w:right="8"/>
        <w:jc w:val="both"/>
        <w:rPr>
          <w:rFonts w:ascii="Times New Roman" w:eastAsia="Times New Roman" w:hAnsi="Times New Roman" w:cs="Times New Roman"/>
          <w:u w:val="single"/>
        </w:rPr>
      </w:pPr>
    </w:p>
    <w:p w14:paraId="2717BA59" w14:textId="77777777" w:rsidR="00053E50" w:rsidRPr="003E2FA2" w:rsidRDefault="00053E50" w:rsidP="00D106D3">
      <w:pPr>
        <w:spacing w:after="0" w:line="240" w:lineRule="auto"/>
        <w:ind w:right="8"/>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t>Оштећење функције јетре</w:t>
      </w:r>
    </w:p>
    <w:p w14:paraId="5454AADE"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и ПИК тикагрелора су били 12% односно 23% више код пацијената са благим оштећењем функције јетре у односу на усклађене здраве испитанике, међутим IPА учинак тикагрелора био је сличан између двије групе. Није потребно прилагођавање дозе код пацијената са благим оштећењем функције јетре. Тикагрелор није испитиван код пацијената са тешким оштећењем функције јетре и не постоје подаци о фармакокинетици код пацијената са умјереним оштећењем функције јетре. Код пацијената који су на почетку студије имали умјерено или тешко повећање за једну или више анализа функције јетре, концентрације тикагрелора у плазми биле су у просјеку сличне или веће од оних код пацијената без почетног повећања. Не препоручује се прилагођавање дозе код пацијената са умјереним оштећењем функције јетре (погледати дјелове 4.2 и 4.4).</w:t>
      </w:r>
    </w:p>
    <w:p w14:paraId="6304D96C" w14:textId="77777777" w:rsidR="00053E50" w:rsidRPr="003E2FA2" w:rsidRDefault="00053E50" w:rsidP="00D106D3">
      <w:pPr>
        <w:spacing w:after="0" w:line="240" w:lineRule="auto"/>
        <w:ind w:right="8"/>
        <w:jc w:val="both"/>
        <w:rPr>
          <w:rFonts w:ascii="Times New Roman" w:eastAsia="Times New Roman" w:hAnsi="Times New Roman" w:cs="Times New Roman"/>
          <w:i/>
          <w:u w:val="single"/>
        </w:rPr>
      </w:pPr>
      <w:r w:rsidRPr="003E2FA2">
        <w:rPr>
          <w:rFonts w:ascii="Times New Roman" w:eastAsia="Times New Roman" w:hAnsi="Times New Roman" w:cs="Times New Roman"/>
          <w:i/>
          <w:u w:val="single"/>
        </w:rPr>
        <w:lastRenderedPageBreak/>
        <w:t>Етничка припадност</w:t>
      </w:r>
    </w:p>
    <w:p w14:paraId="4C15F766" w14:textId="77777777" w:rsidR="00053E50" w:rsidRPr="003E2FA2" w:rsidRDefault="00053E50" w:rsidP="00D106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Пацијенти азијског поријекла имају 39% вишу средњу биолошку расположивост у односу на пацијенте бијеле расе. Пацијенти који су се сами изјаснили као припадници црне расе имали су 18% нижу биолошку расположивост тикагрелора у поређењу са пацијентима бијеле расе. У клиничким фармаколошким студијама изложеност (C</w:t>
      </w:r>
      <w:r w:rsidRPr="003E2FA2">
        <w:rPr>
          <w:rFonts w:ascii="Times New Roman" w:eastAsia="Times New Roman" w:hAnsi="Times New Roman" w:cs="Times New Roman"/>
          <w:vertAlign w:val="subscript"/>
        </w:rPr>
        <w:t>max</w:t>
      </w:r>
      <w:r w:rsidRPr="003E2FA2">
        <w:rPr>
          <w:rFonts w:ascii="Times New Roman" w:eastAsia="Times New Roman" w:hAnsi="Times New Roman" w:cs="Times New Roman"/>
        </w:rPr>
        <w:t xml:space="preserve"> и ПИК) тикагрелору је код испитаника јапанског поријекла била приближно 40% (20% након прилагођавања по питању тјелесне масе) виша у поређењу са оном код испитаника бијеле расе. Изложеност код испитаника који се сматрају хиспанског или латино поријекла била је слична оној код испитаника бијеле расе.</w:t>
      </w:r>
    </w:p>
    <w:p w14:paraId="01C0E4DE" w14:textId="77777777" w:rsidR="00053E50" w:rsidRPr="003E2FA2" w:rsidRDefault="00053E50" w:rsidP="00D106D3">
      <w:pPr>
        <w:tabs>
          <w:tab w:val="left" w:pos="284"/>
        </w:tabs>
        <w:spacing w:after="0" w:line="240" w:lineRule="auto"/>
        <w:jc w:val="both"/>
        <w:rPr>
          <w:rFonts w:ascii="Times New Roman" w:eastAsia="Times New Roman" w:hAnsi="Times New Roman" w:cs="Times New Roman"/>
          <w:b/>
          <w:bCs/>
        </w:rPr>
      </w:pPr>
    </w:p>
    <w:p w14:paraId="6018BFD6" w14:textId="77777777" w:rsidR="00053E50" w:rsidRPr="003E2FA2" w:rsidRDefault="00053E50" w:rsidP="00D106D3">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 xml:space="preserve">5.3. Претклинички подаци о безбједности </w:t>
      </w:r>
    </w:p>
    <w:p w14:paraId="30844E83" w14:textId="77777777" w:rsidR="00053E50" w:rsidRPr="003E2FA2" w:rsidRDefault="00053E50" w:rsidP="000D1DD3">
      <w:pPr>
        <w:spacing w:after="0" w:line="240" w:lineRule="auto"/>
        <w:ind w:right="8"/>
        <w:jc w:val="both"/>
        <w:rPr>
          <w:rFonts w:ascii="Times New Roman" w:eastAsia="Times New Roman" w:hAnsi="Times New Roman" w:cs="Times New Roman"/>
        </w:rPr>
      </w:pPr>
    </w:p>
    <w:p w14:paraId="5EC4B2EE" w14:textId="77777777" w:rsidR="00053E50" w:rsidRPr="003E2FA2" w:rsidRDefault="00053E50" w:rsidP="000D1D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Претклинички подаци о тикагрелору и његовом главном метаболиту нијесу показали неприхватљив ризик од нежељених дејстава за људе на основу конвенционалних фармаколошких студија безбједности, токсичности појединачних и поновљених доза и генотоксичног потенцијала.</w:t>
      </w:r>
    </w:p>
    <w:p w14:paraId="3667CB78" w14:textId="77777777" w:rsidR="00780C66" w:rsidRPr="003E2FA2" w:rsidRDefault="00780C66" w:rsidP="000D1DD3">
      <w:pPr>
        <w:spacing w:after="0" w:line="240" w:lineRule="auto"/>
        <w:ind w:right="8"/>
        <w:jc w:val="both"/>
        <w:rPr>
          <w:rFonts w:ascii="Times New Roman" w:eastAsia="Times New Roman" w:hAnsi="Times New Roman" w:cs="Times New Roman"/>
        </w:rPr>
      </w:pPr>
    </w:p>
    <w:p w14:paraId="3B114F45" w14:textId="77777777" w:rsidR="00053E50" w:rsidRPr="003E2FA2" w:rsidRDefault="00053E50" w:rsidP="000D1D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Гастроинтестинална иритација је забиљежена код неколико животињских врста при клинички релевантним нивоима изложености (погледати дио 4.8).</w:t>
      </w:r>
    </w:p>
    <w:p w14:paraId="7E89E0CF" w14:textId="77777777" w:rsidR="00780C66" w:rsidRPr="003E2FA2" w:rsidRDefault="00780C66" w:rsidP="000D1DD3">
      <w:pPr>
        <w:spacing w:after="0" w:line="240" w:lineRule="auto"/>
        <w:ind w:right="8"/>
        <w:jc w:val="both"/>
        <w:rPr>
          <w:rFonts w:ascii="Times New Roman" w:eastAsia="Times New Roman" w:hAnsi="Times New Roman" w:cs="Times New Roman"/>
        </w:rPr>
      </w:pPr>
    </w:p>
    <w:p w14:paraId="221AD8BE" w14:textId="77777777" w:rsidR="00053E50" w:rsidRPr="003E2FA2" w:rsidRDefault="00053E50" w:rsidP="000D1DD3">
      <w:pPr>
        <w:spacing w:after="0" w:line="240" w:lineRule="auto"/>
        <w:ind w:right="-57"/>
        <w:jc w:val="both"/>
        <w:rPr>
          <w:rFonts w:ascii="Times New Roman" w:eastAsia="Times New Roman" w:hAnsi="Times New Roman" w:cs="Times New Roman"/>
        </w:rPr>
      </w:pPr>
      <w:r w:rsidRPr="003E2FA2">
        <w:rPr>
          <w:rFonts w:ascii="Times New Roman" w:eastAsia="Times New Roman" w:hAnsi="Times New Roman" w:cs="Times New Roman"/>
        </w:rPr>
        <w:t xml:space="preserve">Код женки пацова су високе дозе тикагрелора довеле до повећане инциденце тумора материце (аденокарцинома), као и до повећане инциденце аденома јетре. Механизам настанка тумора материце је вјероватно хормонски дисбаланс који може да доведе до тумора код пацова. Механизам настанка аденома јетре је вјероватно посљедица индукције ензима у јетри који су специфични за глодаре. То значи да се сматра мало вјероватним да ови налази везани за карциногеност могу да буду релевантни код људи. </w:t>
      </w:r>
    </w:p>
    <w:p w14:paraId="7AF9C038" w14:textId="77777777" w:rsidR="00053E50" w:rsidRPr="003E2FA2" w:rsidRDefault="00053E50" w:rsidP="000D1DD3">
      <w:pPr>
        <w:spacing w:after="0" w:line="240" w:lineRule="auto"/>
        <w:ind w:right="-57"/>
        <w:jc w:val="both"/>
        <w:rPr>
          <w:rFonts w:ascii="Times New Roman" w:eastAsia="Times New Roman" w:hAnsi="Times New Roman" w:cs="Times New Roman"/>
        </w:rPr>
      </w:pPr>
    </w:p>
    <w:p w14:paraId="5A502452" w14:textId="79EE7975" w:rsidR="00053E50" w:rsidRPr="003E2FA2" w:rsidRDefault="00053E50" w:rsidP="000D1D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Код пацова су забиљежене мање развојне аномалије при примјени матерналних токсичних доза (граница безбједности 5.1). Код кунића је забиљежено благо кашњење у сазр</w:t>
      </w:r>
      <w:r w:rsidR="00FB3182" w:rsidRPr="003E2FA2">
        <w:rPr>
          <w:rFonts w:ascii="Times New Roman" w:eastAsia="Times New Roman" w:hAnsi="Times New Roman" w:cs="Times New Roman"/>
        </w:rPr>
        <w:t>иј</w:t>
      </w:r>
      <w:r w:rsidRPr="003E2FA2">
        <w:rPr>
          <w:rFonts w:ascii="Times New Roman" w:eastAsia="Times New Roman" w:hAnsi="Times New Roman" w:cs="Times New Roman"/>
        </w:rPr>
        <w:t>евању јетре и развоју скелета на фетусима женки које су добијале високе дозе без испољавања токсичности за мајку (граница безбједности 4</w:t>
      </w:r>
      <w:r w:rsidR="00FB3182" w:rsidRPr="003E2FA2">
        <w:rPr>
          <w:rFonts w:ascii="Times New Roman" w:eastAsia="Times New Roman" w:hAnsi="Times New Roman" w:cs="Times New Roman"/>
        </w:rPr>
        <w:t>,</w:t>
      </w:r>
      <w:r w:rsidRPr="003E2FA2">
        <w:rPr>
          <w:rFonts w:ascii="Times New Roman" w:eastAsia="Times New Roman" w:hAnsi="Times New Roman" w:cs="Times New Roman"/>
        </w:rPr>
        <w:t>5).</w:t>
      </w:r>
    </w:p>
    <w:p w14:paraId="4F8E40EB" w14:textId="77777777" w:rsidR="00053E50" w:rsidRPr="003E2FA2" w:rsidRDefault="00053E50" w:rsidP="000D1DD3">
      <w:pPr>
        <w:spacing w:after="0" w:line="240" w:lineRule="auto"/>
        <w:ind w:right="8"/>
        <w:jc w:val="both"/>
        <w:rPr>
          <w:rFonts w:ascii="Times New Roman" w:eastAsia="Times New Roman" w:hAnsi="Times New Roman" w:cs="Times New Roman"/>
        </w:rPr>
      </w:pPr>
    </w:p>
    <w:p w14:paraId="1F5D5D20" w14:textId="77777777" w:rsidR="00053E50" w:rsidRPr="003E2FA2" w:rsidRDefault="00053E50" w:rsidP="000D1DD3">
      <w:pPr>
        <w:spacing w:after="0" w:line="240" w:lineRule="auto"/>
        <w:ind w:right="8"/>
        <w:jc w:val="both"/>
        <w:rPr>
          <w:rFonts w:ascii="Times New Roman" w:eastAsia="Times New Roman" w:hAnsi="Times New Roman" w:cs="Times New Roman"/>
        </w:rPr>
      </w:pPr>
      <w:r w:rsidRPr="003E2FA2">
        <w:rPr>
          <w:rFonts w:ascii="Times New Roman" w:eastAsia="Times New Roman" w:hAnsi="Times New Roman" w:cs="Times New Roman"/>
        </w:rPr>
        <w:t>Студије на пацовима и кунићима су показале репродуктивну токсичност са благо смањеним повећањем тјелесне масе мајки и смањеном неонаталном вијабилношћу и масом на рођењу и успореним развојем. Тикагрелор је доводио до нередовних циклуса (углавном продужених циклуса) код женки пацова, али није утицао на укупни фертилитет код мужјака и женки пацова. Фармакокинетичке студије спроведене са радиообиљеженим тикагрелором су показале да се основно једињење и његови метаболити излучују у млијеко пацова (погледати дио 4.6).</w:t>
      </w:r>
      <w:bookmarkStart w:id="0" w:name="page40"/>
      <w:bookmarkStart w:id="1" w:name="page43"/>
      <w:bookmarkStart w:id="2" w:name="page45"/>
      <w:bookmarkEnd w:id="0"/>
      <w:bookmarkEnd w:id="1"/>
      <w:bookmarkEnd w:id="2"/>
    </w:p>
    <w:p w14:paraId="5BCA61BA" w14:textId="13512A4F" w:rsidR="00053E50" w:rsidRPr="003E2FA2" w:rsidRDefault="00053E50" w:rsidP="000D1DD3">
      <w:pPr>
        <w:tabs>
          <w:tab w:val="left" w:pos="284"/>
        </w:tabs>
        <w:spacing w:after="0" w:line="240" w:lineRule="auto"/>
        <w:jc w:val="both"/>
        <w:rPr>
          <w:rFonts w:ascii="Times New Roman" w:eastAsia="Times New Roman" w:hAnsi="Times New Roman" w:cs="Times New Roman"/>
        </w:rPr>
      </w:pPr>
    </w:p>
    <w:p w14:paraId="2BD0C180" w14:textId="77777777" w:rsidR="00361290" w:rsidRPr="003E2FA2" w:rsidRDefault="00361290" w:rsidP="000D1DD3">
      <w:pPr>
        <w:tabs>
          <w:tab w:val="left" w:pos="284"/>
        </w:tabs>
        <w:spacing w:after="0" w:line="240" w:lineRule="auto"/>
        <w:jc w:val="both"/>
        <w:rPr>
          <w:rFonts w:ascii="Times New Roman" w:eastAsia="Times New Roman" w:hAnsi="Times New Roman" w:cs="Times New Roman"/>
        </w:rPr>
      </w:pPr>
    </w:p>
    <w:p w14:paraId="7E13F2E2" w14:textId="77777777" w:rsidR="00053E50" w:rsidRPr="003E2FA2" w:rsidRDefault="00053E50" w:rsidP="000D1DD3">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6. ФАРМАЦЕУТСКИ ПОДАЦИ</w:t>
      </w:r>
    </w:p>
    <w:p w14:paraId="5E59D1E5"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p>
    <w:p w14:paraId="36D61988"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6.1. Листа помоћних супстанци (ексципијенаса)</w:t>
      </w:r>
    </w:p>
    <w:p w14:paraId="4E9E39FE" w14:textId="77777777" w:rsidR="00053E50" w:rsidRPr="003E2FA2" w:rsidRDefault="00053E50" w:rsidP="00F6065F">
      <w:pPr>
        <w:tabs>
          <w:tab w:val="left" w:pos="284"/>
        </w:tabs>
        <w:autoSpaceDE w:val="0"/>
        <w:autoSpaceDN w:val="0"/>
        <w:adjustRightInd w:val="0"/>
        <w:spacing w:after="0" w:line="240" w:lineRule="auto"/>
        <w:jc w:val="both"/>
        <w:rPr>
          <w:rFonts w:ascii="Times New Roman" w:eastAsia="Times New Roman" w:hAnsi="Times New Roman" w:cs="Times New Roman"/>
          <w:u w:val="single"/>
        </w:rPr>
      </w:pPr>
    </w:p>
    <w:p w14:paraId="272398F8" w14:textId="77777777" w:rsidR="00053E50" w:rsidRPr="003E2FA2" w:rsidRDefault="00053E50" w:rsidP="000D1DD3">
      <w:pPr>
        <w:spacing w:after="0" w:line="240" w:lineRule="auto"/>
        <w:ind w:left="2"/>
        <w:rPr>
          <w:rFonts w:ascii="Times New Roman" w:eastAsia="Times New Roman" w:hAnsi="Times New Roman" w:cs="Times New Roman"/>
          <w:u w:val="single"/>
        </w:rPr>
      </w:pPr>
      <w:r w:rsidRPr="003E2FA2">
        <w:rPr>
          <w:rFonts w:ascii="Times New Roman" w:eastAsia="Times New Roman" w:hAnsi="Times New Roman" w:cs="Times New Roman"/>
          <w:u w:val="single"/>
        </w:rPr>
        <w:t>Језгро таблете:</w:t>
      </w:r>
    </w:p>
    <w:p w14:paraId="1BB037D0" w14:textId="4CB684AD"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 xml:space="preserve">манитол; </w:t>
      </w:r>
    </w:p>
    <w:p w14:paraId="5259F89C" w14:textId="2E8B58D2"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калцијум хидрогенфосфат дихидрат;</w:t>
      </w:r>
    </w:p>
    <w:p w14:paraId="60A34E8A" w14:textId="32DB3AFE"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кросповидон (тип А);</w:t>
      </w:r>
    </w:p>
    <w:p w14:paraId="7408E41D" w14:textId="1F72FFC9"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хипромелоза (2910);</w:t>
      </w:r>
    </w:p>
    <w:p w14:paraId="14242087" w14:textId="19CB8FDF"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магнезијум стеарат.</w:t>
      </w:r>
    </w:p>
    <w:p w14:paraId="49009569" w14:textId="77777777" w:rsidR="00053E50" w:rsidRPr="003E2FA2" w:rsidRDefault="00053E50" w:rsidP="000D1DD3">
      <w:pPr>
        <w:spacing w:after="0" w:line="240" w:lineRule="auto"/>
        <w:rPr>
          <w:rFonts w:ascii="Times New Roman" w:eastAsia="Times New Roman" w:hAnsi="Times New Roman" w:cs="Times New Roman"/>
        </w:rPr>
      </w:pPr>
    </w:p>
    <w:p w14:paraId="3670CA17" w14:textId="77777777" w:rsidR="00053E50" w:rsidRPr="003E2FA2" w:rsidRDefault="00053E50" w:rsidP="000D1DD3">
      <w:pPr>
        <w:spacing w:after="0" w:line="240" w:lineRule="auto"/>
        <w:ind w:left="2"/>
        <w:rPr>
          <w:rFonts w:ascii="Times New Roman" w:eastAsia="Times New Roman" w:hAnsi="Times New Roman" w:cs="Times New Roman"/>
          <w:u w:val="single"/>
        </w:rPr>
      </w:pPr>
      <w:r w:rsidRPr="003E2FA2">
        <w:rPr>
          <w:rFonts w:ascii="Times New Roman" w:eastAsia="Times New Roman" w:hAnsi="Times New Roman" w:cs="Times New Roman"/>
          <w:u w:val="single"/>
        </w:rPr>
        <w:t xml:space="preserve">Филм облога </w:t>
      </w:r>
    </w:p>
    <w:p w14:paraId="2005B23E" w14:textId="77777777"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bCs/>
          <w:iCs/>
        </w:rPr>
        <w:t xml:space="preserve">Tingora, 60 mg - </w:t>
      </w:r>
      <w:r w:rsidRPr="003E2FA2">
        <w:rPr>
          <w:rFonts w:ascii="Times New Roman" w:eastAsia="Times New Roman" w:hAnsi="Times New Roman" w:cs="Times New Roman"/>
          <w:i/>
        </w:rPr>
        <w:t>Vivacoat light red</w:t>
      </w:r>
      <w:r w:rsidRPr="003E2FA2">
        <w:rPr>
          <w:rFonts w:ascii="Times New Roman" w:eastAsia="Times New Roman" w:hAnsi="Times New Roman" w:cs="Times New Roman"/>
        </w:rPr>
        <w:t xml:space="preserve"> PC-3P-578 садржи:</w:t>
      </w:r>
    </w:p>
    <w:p w14:paraId="1593BEDB" w14:textId="315B2D49"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хипромелоза 2910;</w:t>
      </w:r>
    </w:p>
    <w:p w14:paraId="600D923A" w14:textId="11E52A1B"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титан диоксид (Е171);</w:t>
      </w:r>
    </w:p>
    <w:p w14:paraId="03AF9D88" w14:textId="1F8D0675"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макрогол 400;</w:t>
      </w:r>
    </w:p>
    <w:p w14:paraId="033B1173" w14:textId="003D7646"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гвожђе (III) оксид, црвени (Е172).</w:t>
      </w:r>
    </w:p>
    <w:p w14:paraId="0C190E3F" w14:textId="77777777" w:rsidR="00053E50" w:rsidRPr="003E2FA2" w:rsidRDefault="00053E50" w:rsidP="000D1DD3">
      <w:pPr>
        <w:spacing w:after="0" w:line="240" w:lineRule="auto"/>
        <w:rPr>
          <w:rFonts w:ascii="Times New Roman" w:eastAsia="Times New Roman" w:hAnsi="Times New Roman" w:cs="Times New Roman"/>
        </w:rPr>
      </w:pPr>
    </w:p>
    <w:p w14:paraId="38443379" w14:textId="77777777" w:rsidR="00053E50" w:rsidRPr="003E2FA2" w:rsidRDefault="00053E50" w:rsidP="000D1DD3">
      <w:pPr>
        <w:spacing w:after="0" w:line="240" w:lineRule="auto"/>
        <w:ind w:left="2"/>
        <w:rPr>
          <w:rFonts w:ascii="Times New Roman" w:eastAsia="Times New Roman" w:hAnsi="Times New Roman" w:cs="Times New Roman"/>
          <w:u w:val="single"/>
        </w:rPr>
      </w:pPr>
      <w:r w:rsidRPr="003E2FA2">
        <w:rPr>
          <w:rFonts w:ascii="Times New Roman" w:eastAsia="Times New Roman" w:hAnsi="Times New Roman" w:cs="Times New Roman"/>
          <w:u w:val="single"/>
        </w:rPr>
        <w:lastRenderedPageBreak/>
        <w:t xml:space="preserve">Филм облога </w:t>
      </w:r>
    </w:p>
    <w:p w14:paraId="2B77765A" w14:textId="77777777"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bCs/>
          <w:iCs/>
        </w:rPr>
        <w:t xml:space="preserve">Tingora, 90 mg - </w:t>
      </w:r>
      <w:r w:rsidRPr="003E2FA2">
        <w:rPr>
          <w:rFonts w:ascii="Times New Roman" w:eastAsia="Times New Roman" w:hAnsi="Times New Roman" w:cs="Times New Roman"/>
          <w:i/>
        </w:rPr>
        <w:t>Vivacoat yellow</w:t>
      </w:r>
      <w:r w:rsidRPr="003E2FA2">
        <w:rPr>
          <w:rFonts w:ascii="Times New Roman" w:eastAsia="Times New Roman" w:hAnsi="Times New Roman" w:cs="Times New Roman"/>
        </w:rPr>
        <w:t xml:space="preserve"> PS-2P-040 садржи:</w:t>
      </w:r>
    </w:p>
    <w:p w14:paraId="2104173D" w14:textId="50EEFEA5"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хипромелоза 2910;</w:t>
      </w:r>
    </w:p>
    <w:p w14:paraId="34FC5002" w14:textId="7BABE804"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титан диоксид (Е171);</w:t>
      </w:r>
    </w:p>
    <w:p w14:paraId="4E963631" w14:textId="0CF0D525"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талк;</w:t>
      </w:r>
    </w:p>
    <w:p w14:paraId="73A9CAFE" w14:textId="0E2DB14E"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макрогол 400;</w:t>
      </w:r>
    </w:p>
    <w:p w14:paraId="53DD6044" w14:textId="09F7AE0B" w:rsidR="00053E50" w:rsidRPr="003E2FA2" w:rsidRDefault="00053E50" w:rsidP="000D1DD3">
      <w:pPr>
        <w:spacing w:after="0" w:line="240" w:lineRule="auto"/>
        <w:ind w:left="2"/>
        <w:rPr>
          <w:rFonts w:ascii="Times New Roman" w:eastAsia="Times New Roman" w:hAnsi="Times New Roman" w:cs="Times New Roman"/>
        </w:rPr>
      </w:pPr>
      <w:r w:rsidRPr="003E2FA2">
        <w:rPr>
          <w:rFonts w:ascii="Times New Roman" w:eastAsia="Times New Roman" w:hAnsi="Times New Roman" w:cs="Times New Roman"/>
        </w:rPr>
        <w:t>гвожђе (III) оксид, жути (Е172).</w:t>
      </w:r>
    </w:p>
    <w:p w14:paraId="6EC3036A" w14:textId="77777777" w:rsidR="00053E50" w:rsidRPr="003E2FA2" w:rsidRDefault="00053E50" w:rsidP="000D1DD3">
      <w:pPr>
        <w:tabs>
          <w:tab w:val="left" w:pos="284"/>
        </w:tabs>
        <w:autoSpaceDE w:val="0"/>
        <w:autoSpaceDN w:val="0"/>
        <w:adjustRightInd w:val="0"/>
        <w:spacing w:after="0" w:line="240" w:lineRule="auto"/>
        <w:jc w:val="both"/>
        <w:rPr>
          <w:rFonts w:ascii="Times New Roman" w:eastAsia="Times New Roman" w:hAnsi="Times New Roman" w:cs="Times New Roman"/>
        </w:rPr>
      </w:pPr>
    </w:p>
    <w:p w14:paraId="4A66FD3B"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6.2. Инкомпатибилности</w:t>
      </w:r>
    </w:p>
    <w:p w14:paraId="6C0DA6DC"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p>
    <w:p w14:paraId="62C72B5F" w14:textId="7DDC9204" w:rsidR="00053E50" w:rsidRPr="003E2FA2" w:rsidRDefault="00053E50" w:rsidP="00E73FDA">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Није примје</w:t>
      </w:r>
      <w:r w:rsidR="00361290" w:rsidRPr="003E2FA2">
        <w:rPr>
          <w:rFonts w:ascii="Times New Roman" w:eastAsia="Times New Roman" w:hAnsi="Times New Roman" w:cs="Times New Roman"/>
        </w:rPr>
        <w:t>нљ</w:t>
      </w:r>
      <w:r w:rsidRPr="003E2FA2">
        <w:rPr>
          <w:rFonts w:ascii="Times New Roman" w:eastAsia="Times New Roman" w:hAnsi="Times New Roman" w:cs="Times New Roman"/>
        </w:rPr>
        <w:t>иво.</w:t>
      </w:r>
    </w:p>
    <w:p w14:paraId="0DD7D99F"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p>
    <w:p w14:paraId="2CC450C6"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6.3. Рок употребе</w:t>
      </w:r>
    </w:p>
    <w:p w14:paraId="025B959F"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p>
    <w:p w14:paraId="0E87B880"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Три (3) године.</w:t>
      </w:r>
    </w:p>
    <w:p w14:paraId="07BDC1C6"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i/>
        </w:rPr>
      </w:pPr>
    </w:p>
    <w:p w14:paraId="15BF870C"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6.4. Посебне мјере упозорења при чувању лијека</w:t>
      </w:r>
    </w:p>
    <w:p w14:paraId="6FACA116" w14:textId="77777777" w:rsidR="00053E50" w:rsidRPr="003E2FA2" w:rsidRDefault="00053E50" w:rsidP="00F6065F">
      <w:pPr>
        <w:tabs>
          <w:tab w:val="left" w:pos="284"/>
        </w:tabs>
        <w:spacing w:after="0" w:line="240" w:lineRule="auto"/>
        <w:jc w:val="both"/>
        <w:rPr>
          <w:rFonts w:ascii="Times New Roman" w:eastAsia="Times New Roman" w:hAnsi="Times New Roman" w:cs="Times New Roman"/>
        </w:rPr>
      </w:pPr>
    </w:p>
    <w:p w14:paraId="4CACBF01"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Лијек не захтијева посебне услове чувања.</w:t>
      </w:r>
    </w:p>
    <w:p w14:paraId="1A286680"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p>
    <w:p w14:paraId="1AF10DE0"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6.5. Врста и садржај паковања</w:t>
      </w:r>
    </w:p>
    <w:p w14:paraId="2CAE07E5"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p>
    <w:p w14:paraId="2B71948A" w14:textId="77777777" w:rsidR="00053E50" w:rsidRPr="003E2FA2" w:rsidRDefault="00053E50" w:rsidP="00FA7C6E">
      <w:pPr>
        <w:spacing w:after="0" w:line="240" w:lineRule="auto"/>
        <w:ind w:left="2"/>
        <w:jc w:val="both"/>
        <w:rPr>
          <w:rFonts w:ascii="Times New Roman" w:eastAsia="Times New Roman" w:hAnsi="Times New Roman" w:cs="Times New Roman"/>
        </w:rPr>
      </w:pPr>
      <w:r w:rsidRPr="003E2FA2">
        <w:rPr>
          <w:rFonts w:ascii="Times New Roman" w:eastAsia="Times New Roman" w:hAnsi="Times New Roman" w:cs="Times New Roman"/>
        </w:rPr>
        <w:t xml:space="preserve">Унутрашње паковање је провидни PVC/PVDC//Al или OPA/Al/PVC//Al блистер који садржи 14 филм таблета. </w:t>
      </w:r>
    </w:p>
    <w:p w14:paraId="3F5C3C63" w14:textId="37DFF7AD" w:rsidR="00053E50" w:rsidRPr="003E2FA2" w:rsidRDefault="00053E50" w:rsidP="00FA7C6E">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 xml:space="preserve">Спољашње паковање је сложива картонска кутија у којој се налазе </w:t>
      </w:r>
      <w:r w:rsidR="00152453" w:rsidRPr="003E2FA2">
        <w:rPr>
          <w:rFonts w:ascii="Times New Roman" w:eastAsia="Times New Roman" w:hAnsi="Times New Roman" w:cs="Times New Roman"/>
        </w:rPr>
        <w:t>4</w:t>
      </w:r>
      <w:r w:rsidRPr="003E2FA2">
        <w:rPr>
          <w:rFonts w:ascii="Times New Roman" w:eastAsia="Times New Roman" w:hAnsi="Times New Roman" w:cs="Times New Roman"/>
        </w:rPr>
        <w:t xml:space="preserve"> блистера са по 14 филм таблета (укупно 56 филм таблета) и Упутство за лијек.</w:t>
      </w:r>
    </w:p>
    <w:p w14:paraId="50857C07" w14:textId="77777777" w:rsidR="00053E50" w:rsidRPr="003E2FA2" w:rsidRDefault="00053E50" w:rsidP="000D1DD3">
      <w:pPr>
        <w:tabs>
          <w:tab w:val="left" w:pos="284"/>
        </w:tabs>
        <w:spacing w:after="0" w:line="240" w:lineRule="auto"/>
        <w:jc w:val="both"/>
        <w:rPr>
          <w:rFonts w:ascii="Times New Roman" w:eastAsia="Times New Roman" w:hAnsi="Times New Roman" w:cs="Times New Roman"/>
        </w:rPr>
      </w:pPr>
    </w:p>
    <w:p w14:paraId="2BF3FF1F"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 xml:space="preserve">6.6. Посебне мјере опреза при одлагању материјала који треба одбацити након примјене лијека (и друга упутства за руковање лијеком) </w:t>
      </w:r>
    </w:p>
    <w:p w14:paraId="4A8F154A"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p>
    <w:p w14:paraId="6E30873B"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Сву неискоришћену количину лијека или отпадног материјала након његове употребе треба уклонити у складу са важећим прописима.</w:t>
      </w:r>
    </w:p>
    <w:p w14:paraId="56C0C9FC" w14:textId="4B68F5E5" w:rsidR="00053E50" w:rsidRPr="003E2FA2" w:rsidRDefault="00053E50" w:rsidP="00E73FDA">
      <w:pPr>
        <w:tabs>
          <w:tab w:val="left" w:pos="284"/>
        </w:tabs>
        <w:spacing w:after="0" w:line="240" w:lineRule="auto"/>
        <w:jc w:val="both"/>
        <w:rPr>
          <w:rFonts w:ascii="Times New Roman" w:eastAsia="Times New Roman" w:hAnsi="Times New Roman" w:cs="Times New Roman"/>
        </w:rPr>
      </w:pPr>
    </w:p>
    <w:p w14:paraId="14AE1E8C" w14:textId="77777777" w:rsidR="002152A7" w:rsidRPr="003E2FA2" w:rsidRDefault="002152A7" w:rsidP="00E73FDA">
      <w:pPr>
        <w:tabs>
          <w:tab w:val="left" w:pos="284"/>
        </w:tabs>
        <w:spacing w:after="0" w:line="240" w:lineRule="auto"/>
        <w:jc w:val="both"/>
        <w:rPr>
          <w:rFonts w:ascii="Times New Roman" w:eastAsia="Times New Roman" w:hAnsi="Times New Roman" w:cs="Times New Roman"/>
        </w:rPr>
      </w:pPr>
    </w:p>
    <w:p w14:paraId="3D11A396"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 xml:space="preserve">7. НОСИЛАЦ ДОЗВОЛЕ </w:t>
      </w:r>
    </w:p>
    <w:p w14:paraId="68BD7F91"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p>
    <w:p w14:paraId="48D3C1DB" w14:textId="0017408E" w:rsidR="00053E50" w:rsidRPr="003E2FA2" w:rsidRDefault="00053E50" w:rsidP="00E73FDA">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АЛКАЛОИД д.о.о. Подгорица</w:t>
      </w:r>
    </w:p>
    <w:p w14:paraId="7EC0C2C6" w14:textId="0B8E982A" w:rsidR="00053E50" w:rsidRPr="003E2FA2" w:rsidRDefault="00053E50" w:rsidP="00E73FDA">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Светлане Кане Радевић 3/V,</w:t>
      </w:r>
    </w:p>
    <w:p w14:paraId="43FD2C6D"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r w:rsidRPr="003E2FA2">
        <w:rPr>
          <w:rFonts w:ascii="Times New Roman" w:eastAsia="Times New Roman" w:hAnsi="Times New Roman" w:cs="Times New Roman"/>
        </w:rPr>
        <w:t>81 000 Подгорица, Црна Гора</w:t>
      </w:r>
    </w:p>
    <w:p w14:paraId="629E2D3C" w14:textId="1001CFA2" w:rsidR="00053E50" w:rsidRPr="003E2FA2" w:rsidRDefault="00053E50" w:rsidP="00E73FDA">
      <w:pPr>
        <w:tabs>
          <w:tab w:val="left" w:pos="284"/>
        </w:tabs>
        <w:spacing w:after="0" w:line="240" w:lineRule="auto"/>
        <w:jc w:val="both"/>
        <w:rPr>
          <w:rFonts w:ascii="Times New Roman" w:eastAsia="Times New Roman" w:hAnsi="Times New Roman" w:cs="Times New Roman"/>
        </w:rPr>
      </w:pPr>
    </w:p>
    <w:p w14:paraId="30873426" w14:textId="77777777" w:rsidR="002152A7" w:rsidRPr="003E2FA2" w:rsidRDefault="002152A7" w:rsidP="00E73FDA">
      <w:pPr>
        <w:tabs>
          <w:tab w:val="left" w:pos="284"/>
        </w:tabs>
        <w:spacing w:after="0" w:line="240" w:lineRule="auto"/>
        <w:jc w:val="both"/>
        <w:rPr>
          <w:rFonts w:ascii="Times New Roman" w:eastAsia="Times New Roman" w:hAnsi="Times New Roman" w:cs="Times New Roman"/>
        </w:rPr>
      </w:pPr>
    </w:p>
    <w:p w14:paraId="693A3641"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8. БРОЈ ДОЗВОЛЕ ЗА СТАВЉАЊЕ ЛИЈЕКА У ПРОМЕТ</w:t>
      </w:r>
    </w:p>
    <w:p w14:paraId="7940452F" w14:textId="77777777" w:rsidR="00053E50" w:rsidRPr="003E2FA2" w:rsidRDefault="00053E50" w:rsidP="005D2F7A">
      <w:pPr>
        <w:tabs>
          <w:tab w:val="left" w:pos="284"/>
        </w:tabs>
        <w:spacing w:after="0" w:line="240" w:lineRule="auto"/>
        <w:jc w:val="both"/>
        <w:rPr>
          <w:rFonts w:ascii="Times New Roman" w:eastAsia="Times New Roman" w:hAnsi="Times New Roman" w:cs="Times New Roman"/>
          <w:bCs/>
          <w:iCs/>
        </w:rPr>
      </w:pPr>
    </w:p>
    <w:p w14:paraId="31AB19A8" w14:textId="012A243C" w:rsidR="00053E50" w:rsidRPr="003E2FA2" w:rsidRDefault="00053E50" w:rsidP="00A93360">
      <w:pPr>
        <w:tabs>
          <w:tab w:val="left" w:pos="284"/>
        </w:tabs>
        <w:spacing w:after="0" w:line="240" w:lineRule="auto"/>
        <w:jc w:val="both"/>
        <w:rPr>
          <w:rFonts w:ascii="Times New Roman" w:eastAsia="Times New Roman" w:hAnsi="Times New Roman" w:cs="Times New Roman"/>
          <w:bCs/>
          <w:iCs/>
        </w:rPr>
      </w:pPr>
      <w:r w:rsidRPr="003E2FA2">
        <w:rPr>
          <w:rFonts w:ascii="Times New Roman" w:eastAsia="Times New Roman" w:hAnsi="Times New Roman" w:cs="Times New Roman"/>
          <w:bCs/>
          <w:iCs/>
        </w:rPr>
        <w:t xml:space="preserve">Tingora, </w:t>
      </w:r>
      <w:r w:rsidR="003E2FA2" w:rsidRPr="003E2FA2">
        <w:rPr>
          <w:rFonts w:ascii="Times New Roman" w:eastAsia="Times New Roman" w:hAnsi="Times New Roman" w:cs="Times New Roman"/>
          <w:bCs/>
          <w:iCs/>
        </w:rPr>
        <w:t xml:space="preserve">филм таблета, </w:t>
      </w:r>
      <w:r w:rsidRPr="003E2FA2">
        <w:rPr>
          <w:rFonts w:ascii="Times New Roman" w:eastAsia="Times New Roman" w:hAnsi="Times New Roman" w:cs="Times New Roman"/>
          <w:bCs/>
          <w:iCs/>
        </w:rPr>
        <w:t xml:space="preserve">60 mg, </w:t>
      </w:r>
      <w:r w:rsidR="003E2FA2" w:rsidRPr="003E2FA2">
        <w:rPr>
          <w:rFonts w:ascii="Times New Roman" w:eastAsia="Times New Roman" w:hAnsi="Times New Roman" w:cs="Times New Roman"/>
          <w:bCs/>
          <w:iCs/>
        </w:rPr>
        <w:t xml:space="preserve">блистер, </w:t>
      </w:r>
      <w:r w:rsidRPr="003E2FA2">
        <w:rPr>
          <w:rFonts w:ascii="Times New Roman" w:eastAsia="Times New Roman" w:hAnsi="Times New Roman" w:cs="Times New Roman"/>
          <w:bCs/>
          <w:iCs/>
        </w:rPr>
        <w:t>56 филм таблета:</w:t>
      </w:r>
      <w:r w:rsidR="002152A7" w:rsidRPr="003E2FA2">
        <w:rPr>
          <w:rFonts w:ascii="Times New Roman" w:eastAsia="Times New Roman" w:hAnsi="Times New Roman" w:cs="Times New Roman"/>
          <w:bCs/>
          <w:iCs/>
        </w:rPr>
        <w:t xml:space="preserve"> 2030/25/1406 - 3637</w:t>
      </w:r>
    </w:p>
    <w:p w14:paraId="0C0405FF" w14:textId="0426FCCF" w:rsidR="00053E50" w:rsidRPr="003E2FA2" w:rsidRDefault="00053E50" w:rsidP="00A93360">
      <w:pPr>
        <w:tabs>
          <w:tab w:val="left" w:pos="284"/>
        </w:tabs>
        <w:spacing w:after="0" w:line="240" w:lineRule="auto"/>
        <w:jc w:val="both"/>
        <w:rPr>
          <w:rFonts w:ascii="Times New Roman" w:eastAsia="Times New Roman" w:hAnsi="Times New Roman" w:cs="Times New Roman"/>
          <w:bCs/>
          <w:iCs/>
        </w:rPr>
      </w:pPr>
      <w:r w:rsidRPr="003E2FA2">
        <w:rPr>
          <w:rFonts w:ascii="Times New Roman" w:eastAsia="Times New Roman" w:hAnsi="Times New Roman" w:cs="Times New Roman"/>
          <w:bCs/>
          <w:iCs/>
        </w:rPr>
        <w:t xml:space="preserve">Tingora, </w:t>
      </w:r>
      <w:r w:rsidR="003E2FA2" w:rsidRPr="003E2FA2">
        <w:rPr>
          <w:rFonts w:ascii="Times New Roman" w:eastAsia="Times New Roman" w:hAnsi="Times New Roman" w:cs="Times New Roman"/>
          <w:bCs/>
          <w:iCs/>
        </w:rPr>
        <w:t xml:space="preserve">филм таблета, </w:t>
      </w:r>
      <w:r w:rsidRPr="003E2FA2">
        <w:rPr>
          <w:rFonts w:ascii="Times New Roman" w:eastAsia="Times New Roman" w:hAnsi="Times New Roman" w:cs="Times New Roman"/>
          <w:bCs/>
          <w:iCs/>
        </w:rPr>
        <w:t xml:space="preserve">90 mg, </w:t>
      </w:r>
      <w:r w:rsidR="003E2FA2" w:rsidRPr="003E2FA2">
        <w:rPr>
          <w:rFonts w:ascii="Times New Roman" w:eastAsia="Times New Roman" w:hAnsi="Times New Roman" w:cs="Times New Roman"/>
          <w:bCs/>
          <w:iCs/>
        </w:rPr>
        <w:t xml:space="preserve">блистер, </w:t>
      </w:r>
      <w:bookmarkStart w:id="3" w:name="_GoBack"/>
      <w:bookmarkEnd w:id="3"/>
      <w:r w:rsidRPr="003E2FA2">
        <w:rPr>
          <w:rFonts w:ascii="Times New Roman" w:eastAsia="Times New Roman" w:hAnsi="Times New Roman" w:cs="Times New Roman"/>
          <w:bCs/>
          <w:iCs/>
        </w:rPr>
        <w:t>56 филм таблета:</w:t>
      </w:r>
      <w:r w:rsidR="002152A7" w:rsidRPr="003E2FA2">
        <w:rPr>
          <w:rFonts w:ascii="Times New Roman" w:eastAsia="Times New Roman" w:hAnsi="Times New Roman" w:cs="Times New Roman"/>
          <w:bCs/>
          <w:iCs/>
        </w:rPr>
        <w:t xml:space="preserve"> 2030/25/1407 - 3638</w:t>
      </w:r>
    </w:p>
    <w:p w14:paraId="1166B173" w14:textId="44FC8FF4" w:rsidR="00053E50" w:rsidRPr="003E2FA2" w:rsidRDefault="00053E50" w:rsidP="005D2F7A">
      <w:pPr>
        <w:tabs>
          <w:tab w:val="left" w:pos="284"/>
        </w:tabs>
        <w:spacing w:after="0" w:line="240" w:lineRule="auto"/>
        <w:jc w:val="both"/>
        <w:rPr>
          <w:rFonts w:ascii="Times New Roman" w:eastAsia="Times New Roman" w:hAnsi="Times New Roman" w:cs="Times New Roman"/>
          <w:b/>
          <w:bCs/>
        </w:rPr>
      </w:pPr>
    </w:p>
    <w:p w14:paraId="282B5EC1" w14:textId="77777777" w:rsidR="002152A7" w:rsidRPr="003E2FA2" w:rsidRDefault="002152A7" w:rsidP="005D2F7A">
      <w:pPr>
        <w:tabs>
          <w:tab w:val="left" w:pos="284"/>
        </w:tabs>
        <w:spacing w:after="0" w:line="240" w:lineRule="auto"/>
        <w:jc w:val="both"/>
        <w:rPr>
          <w:rFonts w:ascii="Times New Roman" w:eastAsia="Times New Roman" w:hAnsi="Times New Roman" w:cs="Times New Roman"/>
          <w:b/>
          <w:bCs/>
        </w:rPr>
      </w:pPr>
    </w:p>
    <w:p w14:paraId="2BB249E4" w14:textId="77777777" w:rsidR="00053E50" w:rsidRPr="003E2FA2" w:rsidRDefault="00053E50" w:rsidP="005D2F7A">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9. ДАТУМ ПРВЕ ДОЗВОЛЕ/ОБНОВЕ ДОЗВОЛЕ ЗА СТАВЉАЊЕ ЛИЈЕКА У ПРОМЕТ</w:t>
      </w:r>
    </w:p>
    <w:p w14:paraId="71C983BF" w14:textId="64C5660C" w:rsidR="00053E50" w:rsidRPr="003E2FA2" w:rsidRDefault="00053E50" w:rsidP="00F6065F">
      <w:pPr>
        <w:tabs>
          <w:tab w:val="left" w:pos="284"/>
        </w:tabs>
        <w:spacing w:after="0" w:line="240" w:lineRule="auto"/>
        <w:jc w:val="both"/>
        <w:rPr>
          <w:rFonts w:ascii="Times New Roman" w:eastAsia="Times New Roman" w:hAnsi="Times New Roman" w:cs="Times New Roman"/>
          <w:bCs/>
          <w:iCs/>
        </w:rPr>
      </w:pPr>
    </w:p>
    <w:p w14:paraId="03E8DA1E" w14:textId="64F31D6A" w:rsidR="002152A7" w:rsidRPr="003E2FA2" w:rsidRDefault="00FF6D19" w:rsidP="00F6065F">
      <w:pPr>
        <w:tabs>
          <w:tab w:val="left" w:pos="284"/>
        </w:tabs>
        <w:spacing w:after="0" w:line="240" w:lineRule="auto"/>
        <w:jc w:val="both"/>
        <w:rPr>
          <w:rFonts w:ascii="Times New Roman" w:eastAsia="Times New Roman" w:hAnsi="Times New Roman" w:cs="Times New Roman"/>
          <w:bCs/>
          <w:iCs/>
        </w:rPr>
      </w:pPr>
      <w:r w:rsidRPr="003E2FA2">
        <w:rPr>
          <w:rFonts w:ascii="Times New Roman" w:eastAsia="Times New Roman" w:hAnsi="Times New Roman" w:cs="Times New Roman"/>
          <w:bCs/>
          <w:iCs/>
        </w:rPr>
        <w:t>20.03.2025. године</w:t>
      </w:r>
    </w:p>
    <w:p w14:paraId="7A11A3CA" w14:textId="77777777" w:rsidR="00053E50" w:rsidRPr="003E2FA2" w:rsidRDefault="00053E50">
      <w:pPr>
        <w:tabs>
          <w:tab w:val="left" w:pos="284"/>
        </w:tabs>
        <w:spacing w:after="0" w:line="240" w:lineRule="auto"/>
        <w:jc w:val="both"/>
        <w:rPr>
          <w:rFonts w:ascii="Times New Roman" w:eastAsia="Times New Roman" w:hAnsi="Times New Roman" w:cs="Times New Roman"/>
          <w:b/>
          <w:bCs/>
        </w:rPr>
      </w:pPr>
    </w:p>
    <w:p w14:paraId="11C57432" w14:textId="77777777" w:rsidR="00053E50" w:rsidRPr="003E2FA2" w:rsidRDefault="00053E50">
      <w:pPr>
        <w:tabs>
          <w:tab w:val="left" w:pos="284"/>
        </w:tabs>
        <w:spacing w:after="0" w:line="240" w:lineRule="auto"/>
        <w:jc w:val="both"/>
        <w:rPr>
          <w:rFonts w:ascii="Times New Roman" w:eastAsia="Times New Roman" w:hAnsi="Times New Roman" w:cs="Times New Roman"/>
          <w:b/>
          <w:bCs/>
        </w:rPr>
      </w:pPr>
      <w:r w:rsidRPr="003E2FA2">
        <w:rPr>
          <w:rFonts w:ascii="Times New Roman" w:eastAsia="Times New Roman" w:hAnsi="Times New Roman" w:cs="Times New Roman"/>
          <w:b/>
          <w:bCs/>
        </w:rPr>
        <w:t>10. ДАТУМ РЕВИЗИЈЕ ТЕКСТА</w:t>
      </w:r>
    </w:p>
    <w:p w14:paraId="5F0766B9" w14:textId="77777777" w:rsidR="00053E50" w:rsidRPr="003E2FA2" w:rsidRDefault="00053E50" w:rsidP="00E73FDA">
      <w:pPr>
        <w:tabs>
          <w:tab w:val="left" w:pos="284"/>
        </w:tabs>
        <w:spacing w:after="0" w:line="240" w:lineRule="auto"/>
        <w:jc w:val="both"/>
        <w:rPr>
          <w:rFonts w:ascii="Times New Roman" w:eastAsia="Times New Roman" w:hAnsi="Times New Roman" w:cs="Times New Roman"/>
        </w:rPr>
      </w:pPr>
    </w:p>
    <w:p w14:paraId="290903F9" w14:textId="7602184B" w:rsidR="009318B4" w:rsidRPr="003E2FA2" w:rsidRDefault="00FF6D19" w:rsidP="007F53CB">
      <w:pPr>
        <w:tabs>
          <w:tab w:val="left" w:pos="2751"/>
        </w:tabs>
        <w:jc w:val="both"/>
        <w:rPr>
          <w:rFonts w:ascii="Times New Roman" w:hAnsi="Times New Roman" w:cs="Times New Roman"/>
        </w:rPr>
      </w:pPr>
      <w:r w:rsidRPr="003E2FA2">
        <w:rPr>
          <w:rFonts w:ascii="Times New Roman" w:hAnsi="Times New Roman" w:cs="Times New Roman"/>
        </w:rPr>
        <w:t>Март, 2025. године</w:t>
      </w:r>
    </w:p>
    <w:sectPr w:rsidR="009318B4" w:rsidRPr="003E2FA2" w:rsidSect="007669F5">
      <w:footerReference w:type="default" r:id="rId17"/>
      <w:headerReference w:type="first" r:id="rId18"/>
      <w:footerReference w:type="first" r:id="rId19"/>
      <w:pgSz w:w="11907" w:h="16840" w:code="9"/>
      <w:pgMar w:top="1440" w:right="1080" w:bottom="1440" w:left="1080" w:header="737" w:footer="73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14BE9E" w14:textId="77777777" w:rsidR="00B75781" w:rsidRDefault="00B75781" w:rsidP="00FF2B5A">
      <w:pPr>
        <w:spacing w:after="0" w:line="240" w:lineRule="auto"/>
      </w:pPr>
      <w:r>
        <w:separator/>
      </w:r>
    </w:p>
  </w:endnote>
  <w:endnote w:type="continuationSeparator" w:id="0">
    <w:p w14:paraId="3FBD3A6B" w14:textId="77777777" w:rsidR="00B75781" w:rsidRDefault="00B75781"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rpetua Titling MT">
    <w:panose1 w:val="020205020605050208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Humanist777">
    <w:altName w:val="Lucida Sans Unicode"/>
    <w:charset w:val="00"/>
    <w:family w:val="swiss"/>
    <w:pitch w:val="variable"/>
    <w:sig w:usb0="00000087" w:usb1="00000000" w:usb2="00000000" w:usb3="00000000" w:csb0="0000001B" w:csb1="00000000"/>
  </w:font>
  <w:font w:name="Tahoma">
    <w:panose1 w:val="020B0604030504040204"/>
    <w:charset w:val="EE"/>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rPr>
      <w:id w:val="-1560854002"/>
      <w:docPartObj>
        <w:docPartGallery w:val="Page Numbers (Bottom of Page)"/>
        <w:docPartUnique/>
      </w:docPartObj>
    </w:sdtPr>
    <w:sdtEndPr/>
    <w:sdtContent>
      <w:sdt>
        <w:sdtPr>
          <w:rPr>
            <w:rFonts w:ascii="Times New Roman" w:hAnsi="Times New Roman" w:cs="Times New Roman"/>
            <w:sz w:val="20"/>
          </w:rPr>
          <w:id w:val="1728636285"/>
          <w:docPartObj>
            <w:docPartGallery w:val="Page Numbers (Top of Page)"/>
            <w:docPartUnique/>
          </w:docPartObj>
        </w:sdtPr>
        <w:sdtEndPr/>
        <w:sdtContent>
          <w:p w14:paraId="5A65E302" w14:textId="5E2CF5E0" w:rsidR="00361290" w:rsidRPr="00945B57" w:rsidRDefault="00361290">
            <w:pPr>
              <w:pStyle w:val="Footer"/>
              <w:jc w:val="center"/>
              <w:rPr>
                <w:rFonts w:ascii="Times New Roman" w:hAnsi="Times New Roman" w:cs="Times New Roman"/>
                <w:sz w:val="20"/>
              </w:rPr>
            </w:pPr>
            <w:r w:rsidRPr="00945B57">
              <w:rPr>
                <w:rFonts w:ascii="Times New Roman" w:hAnsi="Times New Roman" w:cs="Times New Roman"/>
                <w:sz w:val="20"/>
              </w:rPr>
              <w:t xml:space="preserve"> </w:t>
            </w:r>
            <w:r w:rsidRPr="00945B57">
              <w:rPr>
                <w:rFonts w:ascii="Times New Roman" w:hAnsi="Times New Roman" w:cs="Times New Roman"/>
                <w:bCs/>
                <w:szCs w:val="24"/>
              </w:rPr>
              <w:fldChar w:fldCharType="begin"/>
            </w:r>
            <w:r w:rsidRPr="00945B57">
              <w:rPr>
                <w:rFonts w:ascii="Times New Roman" w:hAnsi="Times New Roman" w:cs="Times New Roman"/>
                <w:bCs/>
                <w:sz w:val="20"/>
              </w:rPr>
              <w:instrText xml:space="preserve"> PAGE </w:instrText>
            </w:r>
            <w:r w:rsidRPr="00945B57">
              <w:rPr>
                <w:rFonts w:ascii="Times New Roman" w:hAnsi="Times New Roman" w:cs="Times New Roman"/>
                <w:bCs/>
                <w:szCs w:val="24"/>
              </w:rPr>
              <w:fldChar w:fldCharType="separate"/>
            </w:r>
            <w:r w:rsidR="009E46BA">
              <w:rPr>
                <w:rFonts w:ascii="Times New Roman" w:hAnsi="Times New Roman" w:cs="Times New Roman"/>
                <w:bCs/>
                <w:noProof/>
                <w:sz w:val="20"/>
              </w:rPr>
              <w:t>24</w:t>
            </w:r>
            <w:r w:rsidRPr="00945B57">
              <w:rPr>
                <w:rFonts w:ascii="Times New Roman" w:hAnsi="Times New Roman" w:cs="Times New Roman"/>
                <w:bCs/>
                <w:szCs w:val="24"/>
              </w:rPr>
              <w:fldChar w:fldCharType="end"/>
            </w:r>
            <w:r w:rsidRPr="00945B57">
              <w:rPr>
                <w:rFonts w:ascii="Times New Roman" w:hAnsi="Times New Roman" w:cs="Times New Roman"/>
                <w:sz w:val="20"/>
              </w:rPr>
              <w:t xml:space="preserve"> </w:t>
            </w:r>
            <w:r w:rsidRPr="00945B57">
              <w:rPr>
                <w:rFonts w:ascii="Times New Roman" w:hAnsi="Times New Roman" w:cs="Times New Roman"/>
                <w:sz w:val="20"/>
                <w:lang w:val="en-US"/>
              </w:rPr>
              <w:t>/</w:t>
            </w:r>
            <w:r w:rsidRPr="00945B57">
              <w:rPr>
                <w:rFonts w:ascii="Times New Roman" w:hAnsi="Times New Roman" w:cs="Times New Roman"/>
                <w:sz w:val="20"/>
              </w:rPr>
              <w:t xml:space="preserve"> </w:t>
            </w:r>
            <w:r w:rsidRPr="00945B57">
              <w:rPr>
                <w:rFonts w:ascii="Times New Roman" w:hAnsi="Times New Roman" w:cs="Times New Roman"/>
                <w:bCs/>
                <w:szCs w:val="24"/>
              </w:rPr>
              <w:fldChar w:fldCharType="begin"/>
            </w:r>
            <w:r w:rsidRPr="00945B57">
              <w:rPr>
                <w:rFonts w:ascii="Times New Roman" w:hAnsi="Times New Roman" w:cs="Times New Roman"/>
                <w:bCs/>
                <w:sz w:val="20"/>
              </w:rPr>
              <w:instrText xml:space="preserve"> NUMPAGES  </w:instrText>
            </w:r>
            <w:r w:rsidRPr="00945B57">
              <w:rPr>
                <w:rFonts w:ascii="Times New Roman" w:hAnsi="Times New Roman" w:cs="Times New Roman"/>
                <w:bCs/>
                <w:szCs w:val="24"/>
              </w:rPr>
              <w:fldChar w:fldCharType="separate"/>
            </w:r>
            <w:r w:rsidR="009E46BA">
              <w:rPr>
                <w:rFonts w:ascii="Times New Roman" w:hAnsi="Times New Roman" w:cs="Times New Roman"/>
                <w:bCs/>
                <w:noProof/>
                <w:sz w:val="20"/>
              </w:rPr>
              <w:t>25</w:t>
            </w:r>
            <w:r w:rsidRPr="00945B57">
              <w:rPr>
                <w:rFonts w:ascii="Times New Roman" w:hAnsi="Times New Roman" w:cs="Times New Roman"/>
                <w:bCs/>
                <w:szCs w:val="24"/>
              </w:rPr>
              <w:fldChar w:fldCharType="end"/>
            </w:r>
          </w:p>
        </w:sdtContent>
      </w:sdt>
    </w:sdtContent>
  </w:sdt>
  <w:p w14:paraId="47DCCF76" w14:textId="77777777" w:rsidR="00361290" w:rsidRPr="00F1527C" w:rsidRDefault="00361290"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906E69" w14:textId="77777777" w:rsidR="00361290" w:rsidRPr="00F1527C" w:rsidRDefault="00361290"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AE8A95B" w14:textId="77777777" w:rsidR="00361290" w:rsidRPr="00F1527C" w:rsidRDefault="00361290"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14:paraId="2AB5E186" w14:textId="77777777" w:rsidR="00361290" w:rsidRPr="00F1527C" w:rsidRDefault="00361290"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14:paraId="1E99A6E0" w14:textId="77777777" w:rsidR="00361290" w:rsidRPr="00F1527C" w:rsidRDefault="00361290"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07A3A703" w14:textId="77777777" w:rsidR="00361290" w:rsidRPr="00F1527C" w:rsidRDefault="00361290"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2C4AC414" w14:textId="77777777" w:rsidR="00361290" w:rsidRPr="009318B4" w:rsidRDefault="00361290"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18</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AE0188" w14:textId="77777777" w:rsidR="00B75781" w:rsidRDefault="00B75781" w:rsidP="00FF2B5A">
      <w:pPr>
        <w:spacing w:after="0" w:line="240" w:lineRule="auto"/>
      </w:pPr>
      <w:r>
        <w:separator/>
      </w:r>
    </w:p>
  </w:footnote>
  <w:footnote w:type="continuationSeparator" w:id="0">
    <w:p w14:paraId="079A2DD5" w14:textId="77777777" w:rsidR="00B75781" w:rsidRDefault="00B75781"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4FE184" w14:textId="77777777" w:rsidR="00361290" w:rsidRDefault="00361290" w:rsidP="009318B4">
    <w:pPr>
      <w:pStyle w:val="Header"/>
      <w:rPr>
        <w:sz w:val="16"/>
        <w:szCs w:val="16"/>
      </w:rPr>
    </w:pPr>
  </w:p>
  <w:p w14:paraId="2D8B6AEF" w14:textId="77777777" w:rsidR="00361290" w:rsidRDefault="00361290" w:rsidP="009318B4">
    <w:pPr>
      <w:pStyle w:val="Header"/>
      <w:pBdr>
        <w:top w:val="thinThickSmallGap" w:sz="24" w:space="2" w:color="auto"/>
      </w:pBdr>
      <w:tabs>
        <w:tab w:val="left" w:pos="2775"/>
      </w:tabs>
      <w:rPr>
        <w:sz w:val="16"/>
        <w:szCs w:val="16"/>
      </w:rPr>
    </w:pPr>
    <w:r>
      <w:rPr>
        <w:noProof/>
        <w:sz w:val="16"/>
        <w:szCs w:val="16"/>
        <w:lang w:val="en-US"/>
      </w:rPr>
      <w:drawing>
        <wp:inline distT="0" distB="0" distL="0" distR="0" wp14:anchorId="5C3736EF" wp14:editId="4D434EA8">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58920E77" w14:textId="77777777" w:rsidR="00361290" w:rsidRDefault="003612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402"/>
    <w:multiLevelType w:val="multilevel"/>
    <w:tmpl w:val="00000885"/>
    <w:lvl w:ilvl="0">
      <w:start w:val="1"/>
      <w:numFmt w:val="decimal"/>
      <w:lvlText w:val="%1."/>
      <w:lvlJc w:val="left"/>
      <w:pPr>
        <w:ind w:left="684" w:hanging="567"/>
      </w:pPr>
      <w:rPr>
        <w:rFonts w:ascii="Times New Roman" w:hAnsi="Times New Roman" w:cs="Times New Roman"/>
        <w:b/>
        <w:bCs/>
        <w:color w:val="231F20"/>
        <w:w w:val="100"/>
        <w:sz w:val="22"/>
        <w:szCs w:val="22"/>
      </w:rPr>
    </w:lvl>
    <w:lvl w:ilvl="1">
      <w:start w:val="1"/>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1940" w:hanging="358"/>
      </w:pPr>
      <w:rPr>
        <w:rFonts w:ascii="Symbol" w:hAnsi="Symbol"/>
        <w:b w:val="0"/>
        <w:color w:val="231F20"/>
        <w:w w:val="100"/>
        <w:sz w:val="22"/>
      </w:rPr>
    </w:lvl>
    <w:lvl w:ilvl="3">
      <w:numFmt w:val="bullet"/>
      <w:lvlText w:val="•"/>
      <w:lvlJc w:val="left"/>
      <w:pPr>
        <w:ind w:left="3563" w:hanging="358"/>
      </w:pPr>
    </w:lvl>
    <w:lvl w:ilvl="4">
      <w:numFmt w:val="bullet"/>
      <w:lvlText w:val="•"/>
      <w:lvlJc w:val="left"/>
      <w:pPr>
        <w:ind w:left="4374" w:hanging="358"/>
      </w:pPr>
    </w:lvl>
    <w:lvl w:ilvl="5">
      <w:numFmt w:val="bullet"/>
      <w:lvlText w:val="•"/>
      <w:lvlJc w:val="left"/>
      <w:pPr>
        <w:ind w:left="5186" w:hanging="358"/>
      </w:pPr>
    </w:lvl>
    <w:lvl w:ilvl="6">
      <w:numFmt w:val="bullet"/>
      <w:lvlText w:val="•"/>
      <w:lvlJc w:val="left"/>
      <w:pPr>
        <w:ind w:left="5998" w:hanging="358"/>
      </w:pPr>
    </w:lvl>
    <w:lvl w:ilvl="7">
      <w:numFmt w:val="bullet"/>
      <w:lvlText w:val="•"/>
      <w:lvlJc w:val="left"/>
      <w:pPr>
        <w:ind w:left="6809" w:hanging="358"/>
      </w:pPr>
    </w:lvl>
    <w:lvl w:ilvl="8">
      <w:numFmt w:val="bullet"/>
      <w:lvlText w:val="•"/>
      <w:lvlJc w:val="left"/>
      <w:pPr>
        <w:ind w:left="7621" w:hanging="358"/>
      </w:pPr>
    </w:lvl>
  </w:abstractNum>
  <w:abstractNum w:abstractNumId="1" w15:restartNumberingAfterBreak="0">
    <w:nsid w:val="00000403"/>
    <w:multiLevelType w:val="multilevel"/>
    <w:tmpl w:val="00000886"/>
    <w:lvl w:ilvl="0">
      <w:numFmt w:val="bullet"/>
      <w:lvlText w:val=""/>
      <w:lvlJc w:val="left"/>
      <w:pPr>
        <w:ind w:left="684" w:hanging="567"/>
      </w:pPr>
      <w:rPr>
        <w:rFonts w:ascii="Symbol" w:hAnsi="Symbol"/>
        <w:b w:val="0"/>
        <w:color w:val="231F20"/>
        <w:w w:val="100"/>
        <w:sz w:val="22"/>
      </w:rPr>
    </w:lvl>
    <w:lvl w:ilvl="1">
      <w:numFmt w:val="bullet"/>
      <w:lvlText w:val="•"/>
      <w:lvlJc w:val="left"/>
      <w:pPr>
        <w:ind w:left="1542" w:hanging="567"/>
      </w:pPr>
    </w:lvl>
    <w:lvl w:ilvl="2">
      <w:numFmt w:val="bullet"/>
      <w:lvlText w:val="•"/>
      <w:lvlJc w:val="left"/>
      <w:pPr>
        <w:ind w:left="2404" w:hanging="567"/>
      </w:pPr>
    </w:lvl>
    <w:lvl w:ilvl="3">
      <w:numFmt w:val="bullet"/>
      <w:lvlText w:val="•"/>
      <w:lvlJc w:val="left"/>
      <w:pPr>
        <w:ind w:left="3267" w:hanging="567"/>
      </w:pPr>
    </w:lvl>
    <w:lvl w:ilvl="4">
      <w:numFmt w:val="bullet"/>
      <w:lvlText w:val="•"/>
      <w:lvlJc w:val="left"/>
      <w:pPr>
        <w:ind w:left="4129" w:hanging="567"/>
      </w:pPr>
    </w:lvl>
    <w:lvl w:ilvl="5">
      <w:numFmt w:val="bullet"/>
      <w:lvlText w:val="•"/>
      <w:lvlJc w:val="left"/>
      <w:pPr>
        <w:ind w:left="4992" w:hanging="567"/>
      </w:pPr>
    </w:lvl>
    <w:lvl w:ilvl="6">
      <w:numFmt w:val="bullet"/>
      <w:lvlText w:val="•"/>
      <w:lvlJc w:val="left"/>
      <w:pPr>
        <w:ind w:left="5854" w:hanging="567"/>
      </w:pPr>
    </w:lvl>
    <w:lvl w:ilvl="7">
      <w:numFmt w:val="bullet"/>
      <w:lvlText w:val="•"/>
      <w:lvlJc w:val="left"/>
      <w:pPr>
        <w:ind w:left="6717" w:hanging="567"/>
      </w:pPr>
    </w:lvl>
    <w:lvl w:ilvl="8">
      <w:numFmt w:val="bullet"/>
      <w:lvlText w:val="•"/>
      <w:lvlJc w:val="left"/>
      <w:pPr>
        <w:ind w:left="7579" w:hanging="567"/>
      </w:pPr>
    </w:lvl>
  </w:abstractNum>
  <w:abstractNum w:abstractNumId="2" w15:restartNumberingAfterBreak="0">
    <w:nsid w:val="00000404"/>
    <w:multiLevelType w:val="multilevel"/>
    <w:tmpl w:val="00000887"/>
    <w:lvl w:ilvl="0">
      <w:start w:val="5"/>
      <w:numFmt w:val="decimal"/>
      <w:lvlText w:val="%1"/>
      <w:lvlJc w:val="left"/>
      <w:pPr>
        <w:ind w:left="684" w:hanging="567"/>
      </w:pPr>
      <w:rPr>
        <w:rFonts w:cs="Times New Roman"/>
      </w:rPr>
    </w:lvl>
    <w:lvl w:ilvl="1">
      <w:start w:val="2"/>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2400" w:hanging="567"/>
      </w:pPr>
    </w:lvl>
    <w:lvl w:ilvl="3">
      <w:numFmt w:val="bullet"/>
      <w:lvlText w:val="•"/>
      <w:lvlJc w:val="left"/>
      <w:pPr>
        <w:ind w:left="3261" w:hanging="567"/>
      </w:pPr>
    </w:lvl>
    <w:lvl w:ilvl="4">
      <w:numFmt w:val="bullet"/>
      <w:lvlText w:val="•"/>
      <w:lvlJc w:val="left"/>
      <w:pPr>
        <w:ind w:left="4121" w:hanging="567"/>
      </w:pPr>
    </w:lvl>
    <w:lvl w:ilvl="5">
      <w:numFmt w:val="bullet"/>
      <w:lvlText w:val="•"/>
      <w:lvlJc w:val="left"/>
      <w:pPr>
        <w:ind w:left="4982" w:hanging="567"/>
      </w:pPr>
    </w:lvl>
    <w:lvl w:ilvl="6">
      <w:numFmt w:val="bullet"/>
      <w:lvlText w:val="•"/>
      <w:lvlJc w:val="left"/>
      <w:pPr>
        <w:ind w:left="5842" w:hanging="567"/>
      </w:pPr>
    </w:lvl>
    <w:lvl w:ilvl="7">
      <w:numFmt w:val="bullet"/>
      <w:lvlText w:val="•"/>
      <w:lvlJc w:val="left"/>
      <w:pPr>
        <w:ind w:left="6703" w:hanging="567"/>
      </w:pPr>
    </w:lvl>
    <w:lvl w:ilvl="8">
      <w:numFmt w:val="bullet"/>
      <w:lvlText w:val="•"/>
      <w:lvlJc w:val="left"/>
      <w:pPr>
        <w:ind w:left="7563" w:hanging="567"/>
      </w:pPr>
    </w:lvl>
  </w:abstractNum>
  <w:abstractNum w:abstractNumId="3" w15:restartNumberingAfterBreak="0">
    <w:nsid w:val="00000405"/>
    <w:multiLevelType w:val="multilevel"/>
    <w:tmpl w:val="00000888"/>
    <w:lvl w:ilvl="0">
      <w:numFmt w:val="bullet"/>
      <w:lvlText w:val=""/>
      <w:lvlJc w:val="left"/>
      <w:pPr>
        <w:ind w:left="684" w:hanging="567"/>
      </w:pPr>
      <w:rPr>
        <w:rFonts w:ascii="Symbol" w:hAnsi="Symbol"/>
        <w:b w:val="0"/>
        <w:color w:val="231F20"/>
        <w:w w:val="100"/>
        <w:sz w:val="22"/>
      </w:rPr>
    </w:lvl>
    <w:lvl w:ilvl="1">
      <w:numFmt w:val="bullet"/>
      <w:lvlText w:val=""/>
      <w:lvlJc w:val="left"/>
      <w:pPr>
        <w:ind w:left="1252" w:hanging="567"/>
      </w:pPr>
      <w:rPr>
        <w:rFonts w:ascii="Symbol" w:hAnsi="Symbol"/>
        <w:b w:val="0"/>
        <w:color w:val="231F20"/>
        <w:w w:val="100"/>
        <w:sz w:val="22"/>
      </w:rPr>
    </w:lvl>
    <w:lvl w:ilvl="2">
      <w:numFmt w:val="bullet"/>
      <w:lvlText w:val="•"/>
      <w:lvlJc w:val="left"/>
      <w:pPr>
        <w:ind w:left="2144" w:hanging="567"/>
      </w:pPr>
    </w:lvl>
    <w:lvl w:ilvl="3">
      <w:numFmt w:val="bullet"/>
      <w:lvlText w:val="•"/>
      <w:lvlJc w:val="left"/>
      <w:pPr>
        <w:ind w:left="3029" w:hanging="567"/>
      </w:pPr>
    </w:lvl>
    <w:lvl w:ilvl="4">
      <w:numFmt w:val="bullet"/>
      <w:lvlText w:val="•"/>
      <w:lvlJc w:val="left"/>
      <w:pPr>
        <w:ind w:left="3914" w:hanging="567"/>
      </w:pPr>
    </w:lvl>
    <w:lvl w:ilvl="5">
      <w:numFmt w:val="bullet"/>
      <w:lvlText w:val="•"/>
      <w:lvlJc w:val="left"/>
      <w:pPr>
        <w:ind w:left="4799" w:hanging="567"/>
      </w:pPr>
    </w:lvl>
    <w:lvl w:ilvl="6">
      <w:numFmt w:val="bullet"/>
      <w:lvlText w:val="•"/>
      <w:lvlJc w:val="left"/>
      <w:pPr>
        <w:ind w:left="5684" w:hanging="567"/>
      </w:pPr>
    </w:lvl>
    <w:lvl w:ilvl="7">
      <w:numFmt w:val="bullet"/>
      <w:lvlText w:val="•"/>
      <w:lvlJc w:val="left"/>
      <w:pPr>
        <w:ind w:left="6569" w:hanging="567"/>
      </w:pPr>
    </w:lvl>
    <w:lvl w:ilvl="8">
      <w:numFmt w:val="bullet"/>
      <w:lvlText w:val="•"/>
      <w:lvlJc w:val="left"/>
      <w:pPr>
        <w:ind w:left="7454" w:hanging="567"/>
      </w:pPr>
    </w:lvl>
  </w:abstractNum>
  <w:abstractNum w:abstractNumId="4" w15:restartNumberingAfterBreak="0">
    <w:nsid w:val="00000406"/>
    <w:multiLevelType w:val="multilevel"/>
    <w:tmpl w:val="00000889"/>
    <w:lvl w:ilvl="0">
      <w:numFmt w:val="bullet"/>
      <w:lvlText w:val="•"/>
      <w:lvlJc w:val="left"/>
      <w:pPr>
        <w:ind w:left="717" w:hanging="600"/>
      </w:pPr>
      <w:rPr>
        <w:rFonts w:ascii="Times New Roman" w:hAnsi="Times New Roman"/>
        <w:b w:val="0"/>
        <w:color w:val="231F20"/>
        <w:w w:val="100"/>
        <w:sz w:val="22"/>
      </w:rPr>
    </w:lvl>
    <w:lvl w:ilvl="1">
      <w:numFmt w:val="bullet"/>
      <w:lvlText w:val="•"/>
      <w:lvlJc w:val="left"/>
      <w:pPr>
        <w:ind w:left="1576" w:hanging="600"/>
      </w:pPr>
    </w:lvl>
    <w:lvl w:ilvl="2">
      <w:numFmt w:val="bullet"/>
      <w:lvlText w:val="•"/>
      <w:lvlJc w:val="left"/>
      <w:pPr>
        <w:ind w:left="2432" w:hanging="600"/>
      </w:pPr>
    </w:lvl>
    <w:lvl w:ilvl="3">
      <w:numFmt w:val="bullet"/>
      <w:lvlText w:val="•"/>
      <w:lvlJc w:val="left"/>
      <w:pPr>
        <w:ind w:left="3289" w:hanging="600"/>
      </w:pPr>
    </w:lvl>
    <w:lvl w:ilvl="4">
      <w:numFmt w:val="bullet"/>
      <w:lvlText w:val="•"/>
      <w:lvlJc w:val="left"/>
      <w:pPr>
        <w:ind w:left="4145" w:hanging="600"/>
      </w:pPr>
    </w:lvl>
    <w:lvl w:ilvl="5">
      <w:numFmt w:val="bullet"/>
      <w:lvlText w:val="•"/>
      <w:lvlJc w:val="left"/>
      <w:pPr>
        <w:ind w:left="5002" w:hanging="600"/>
      </w:pPr>
    </w:lvl>
    <w:lvl w:ilvl="6">
      <w:numFmt w:val="bullet"/>
      <w:lvlText w:val="•"/>
      <w:lvlJc w:val="left"/>
      <w:pPr>
        <w:ind w:left="5858" w:hanging="600"/>
      </w:pPr>
    </w:lvl>
    <w:lvl w:ilvl="7">
      <w:numFmt w:val="bullet"/>
      <w:lvlText w:val="•"/>
      <w:lvlJc w:val="left"/>
      <w:pPr>
        <w:ind w:left="6715" w:hanging="600"/>
      </w:pPr>
    </w:lvl>
    <w:lvl w:ilvl="8">
      <w:numFmt w:val="bullet"/>
      <w:lvlText w:val="•"/>
      <w:lvlJc w:val="left"/>
      <w:pPr>
        <w:ind w:left="7571" w:hanging="600"/>
      </w:pPr>
    </w:lvl>
  </w:abstractNum>
  <w:abstractNum w:abstractNumId="5" w15:restartNumberingAfterBreak="0">
    <w:nsid w:val="00000407"/>
    <w:multiLevelType w:val="multilevel"/>
    <w:tmpl w:val="0000088A"/>
    <w:lvl w:ilvl="0">
      <w:numFmt w:val="bullet"/>
      <w:lvlText w:val=""/>
      <w:lvlJc w:val="left"/>
      <w:pPr>
        <w:ind w:left="684" w:hanging="567"/>
      </w:pPr>
      <w:rPr>
        <w:rFonts w:ascii="Symbol" w:hAnsi="Symbol"/>
        <w:b w:val="0"/>
        <w:color w:val="231F20"/>
        <w:w w:val="100"/>
        <w:sz w:val="22"/>
      </w:rPr>
    </w:lvl>
    <w:lvl w:ilvl="1">
      <w:numFmt w:val="bullet"/>
      <w:lvlText w:val="•"/>
      <w:lvlJc w:val="left"/>
      <w:pPr>
        <w:ind w:left="1536" w:hanging="567"/>
      </w:pPr>
    </w:lvl>
    <w:lvl w:ilvl="2">
      <w:numFmt w:val="bullet"/>
      <w:lvlText w:val="•"/>
      <w:lvlJc w:val="left"/>
      <w:pPr>
        <w:ind w:left="2392" w:hanging="567"/>
      </w:pPr>
    </w:lvl>
    <w:lvl w:ilvl="3">
      <w:numFmt w:val="bullet"/>
      <w:lvlText w:val="•"/>
      <w:lvlJc w:val="left"/>
      <w:pPr>
        <w:ind w:left="3249" w:hanging="567"/>
      </w:pPr>
    </w:lvl>
    <w:lvl w:ilvl="4">
      <w:numFmt w:val="bullet"/>
      <w:lvlText w:val="•"/>
      <w:lvlJc w:val="left"/>
      <w:pPr>
        <w:ind w:left="4105" w:hanging="567"/>
      </w:pPr>
    </w:lvl>
    <w:lvl w:ilvl="5">
      <w:numFmt w:val="bullet"/>
      <w:lvlText w:val="•"/>
      <w:lvlJc w:val="left"/>
      <w:pPr>
        <w:ind w:left="4962" w:hanging="567"/>
      </w:pPr>
    </w:lvl>
    <w:lvl w:ilvl="6">
      <w:numFmt w:val="bullet"/>
      <w:lvlText w:val="•"/>
      <w:lvlJc w:val="left"/>
      <w:pPr>
        <w:ind w:left="5818" w:hanging="567"/>
      </w:pPr>
    </w:lvl>
    <w:lvl w:ilvl="7">
      <w:numFmt w:val="bullet"/>
      <w:lvlText w:val="•"/>
      <w:lvlJc w:val="left"/>
      <w:pPr>
        <w:ind w:left="6675" w:hanging="567"/>
      </w:pPr>
    </w:lvl>
    <w:lvl w:ilvl="8">
      <w:numFmt w:val="bullet"/>
      <w:lvlText w:val="•"/>
      <w:lvlJc w:val="left"/>
      <w:pPr>
        <w:ind w:left="7531" w:hanging="567"/>
      </w:pPr>
    </w:lvl>
  </w:abstractNum>
  <w:abstractNum w:abstractNumId="6"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7" w15:restartNumberingAfterBreak="0">
    <w:nsid w:val="09B775BC"/>
    <w:multiLevelType w:val="hybridMultilevel"/>
    <w:tmpl w:val="60F052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174AD1"/>
    <w:multiLevelType w:val="hybridMultilevel"/>
    <w:tmpl w:val="068EC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A85F4D"/>
    <w:multiLevelType w:val="hybridMultilevel"/>
    <w:tmpl w:val="940ABB08"/>
    <w:lvl w:ilvl="0" w:tplc="CB841E86">
      <w:start w:val="1"/>
      <w:numFmt w:val="bullet"/>
      <w:lvlText w:val="**"/>
      <w:lvlJc w:val="left"/>
    </w:lvl>
    <w:lvl w:ilvl="1" w:tplc="706AF1F0">
      <w:numFmt w:val="decimal"/>
      <w:lvlText w:val=""/>
      <w:lvlJc w:val="left"/>
    </w:lvl>
    <w:lvl w:ilvl="2" w:tplc="29A025F4">
      <w:numFmt w:val="decimal"/>
      <w:lvlText w:val=""/>
      <w:lvlJc w:val="left"/>
    </w:lvl>
    <w:lvl w:ilvl="3" w:tplc="773A74EC">
      <w:numFmt w:val="decimal"/>
      <w:lvlText w:val=""/>
      <w:lvlJc w:val="left"/>
    </w:lvl>
    <w:lvl w:ilvl="4" w:tplc="13005BFA">
      <w:numFmt w:val="decimal"/>
      <w:lvlText w:val=""/>
      <w:lvlJc w:val="left"/>
    </w:lvl>
    <w:lvl w:ilvl="5" w:tplc="16C26DA2">
      <w:numFmt w:val="decimal"/>
      <w:lvlText w:val=""/>
      <w:lvlJc w:val="left"/>
    </w:lvl>
    <w:lvl w:ilvl="6" w:tplc="5FBAF4EE">
      <w:numFmt w:val="decimal"/>
      <w:lvlText w:val=""/>
      <w:lvlJc w:val="left"/>
    </w:lvl>
    <w:lvl w:ilvl="7" w:tplc="D812E37A">
      <w:numFmt w:val="decimal"/>
      <w:lvlText w:val=""/>
      <w:lvlJc w:val="left"/>
    </w:lvl>
    <w:lvl w:ilvl="8" w:tplc="5F56E80E">
      <w:numFmt w:val="decimal"/>
      <w:lvlText w:val=""/>
      <w:lvlJc w:val="left"/>
    </w:lvl>
  </w:abstractNum>
  <w:abstractNum w:abstractNumId="10" w15:restartNumberingAfterBreak="0">
    <w:nsid w:val="13E21002"/>
    <w:multiLevelType w:val="hybridMultilevel"/>
    <w:tmpl w:val="D4B8585C"/>
    <w:lvl w:ilvl="0" w:tplc="4672D286">
      <w:start w:val="1"/>
      <w:numFmt w:val="lowerLetter"/>
      <w:lvlText w:val="%1)"/>
      <w:lvlJc w:val="left"/>
    </w:lvl>
    <w:lvl w:ilvl="1" w:tplc="E4FC4274">
      <w:numFmt w:val="decimal"/>
      <w:lvlText w:val=""/>
      <w:lvlJc w:val="left"/>
    </w:lvl>
    <w:lvl w:ilvl="2" w:tplc="C56EB4A0">
      <w:numFmt w:val="decimal"/>
      <w:lvlText w:val=""/>
      <w:lvlJc w:val="left"/>
    </w:lvl>
    <w:lvl w:ilvl="3" w:tplc="D46CC75E">
      <w:numFmt w:val="decimal"/>
      <w:lvlText w:val=""/>
      <w:lvlJc w:val="left"/>
    </w:lvl>
    <w:lvl w:ilvl="4" w:tplc="F6AE0816">
      <w:numFmt w:val="decimal"/>
      <w:lvlText w:val=""/>
      <w:lvlJc w:val="left"/>
    </w:lvl>
    <w:lvl w:ilvl="5" w:tplc="8904C58E">
      <w:numFmt w:val="decimal"/>
      <w:lvlText w:val=""/>
      <w:lvlJc w:val="left"/>
    </w:lvl>
    <w:lvl w:ilvl="6" w:tplc="83606364">
      <w:numFmt w:val="decimal"/>
      <w:lvlText w:val=""/>
      <w:lvlJc w:val="left"/>
    </w:lvl>
    <w:lvl w:ilvl="7" w:tplc="8892AB0C">
      <w:numFmt w:val="decimal"/>
      <w:lvlText w:val=""/>
      <w:lvlJc w:val="left"/>
    </w:lvl>
    <w:lvl w:ilvl="8" w:tplc="9104AD3E">
      <w:numFmt w:val="decimal"/>
      <w:lvlText w:val=""/>
      <w:lvlJc w:val="left"/>
    </w:lvl>
  </w:abstractNum>
  <w:abstractNum w:abstractNumId="11" w15:restartNumberingAfterBreak="0">
    <w:nsid w:val="1626FB8C"/>
    <w:multiLevelType w:val="hybridMultilevel"/>
    <w:tmpl w:val="38A69DD4"/>
    <w:lvl w:ilvl="0" w:tplc="7C44C89A">
      <w:start w:val="1"/>
      <w:numFmt w:val="bullet"/>
      <w:lvlText w:val="*"/>
      <w:lvlJc w:val="left"/>
    </w:lvl>
    <w:lvl w:ilvl="1" w:tplc="5016AE3A">
      <w:numFmt w:val="decimal"/>
      <w:lvlText w:val=""/>
      <w:lvlJc w:val="left"/>
    </w:lvl>
    <w:lvl w:ilvl="2" w:tplc="940636FA">
      <w:numFmt w:val="decimal"/>
      <w:lvlText w:val=""/>
      <w:lvlJc w:val="left"/>
    </w:lvl>
    <w:lvl w:ilvl="3" w:tplc="5BDC9250">
      <w:numFmt w:val="decimal"/>
      <w:lvlText w:val=""/>
      <w:lvlJc w:val="left"/>
    </w:lvl>
    <w:lvl w:ilvl="4" w:tplc="6C101A6C">
      <w:numFmt w:val="decimal"/>
      <w:lvlText w:val=""/>
      <w:lvlJc w:val="left"/>
    </w:lvl>
    <w:lvl w:ilvl="5" w:tplc="04BC1EC6">
      <w:numFmt w:val="decimal"/>
      <w:lvlText w:val=""/>
      <w:lvlJc w:val="left"/>
    </w:lvl>
    <w:lvl w:ilvl="6" w:tplc="F620CF5E">
      <w:numFmt w:val="decimal"/>
      <w:lvlText w:val=""/>
      <w:lvlJc w:val="left"/>
    </w:lvl>
    <w:lvl w:ilvl="7" w:tplc="C7A81874">
      <w:numFmt w:val="decimal"/>
      <w:lvlText w:val=""/>
      <w:lvlJc w:val="left"/>
    </w:lvl>
    <w:lvl w:ilvl="8" w:tplc="85AC97AA">
      <w:numFmt w:val="decimal"/>
      <w:lvlText w:val=""/>
      <w:lvlJc w:val="left"/>
    </w:lvl>
  </w:abstractNum>
  <w:abstractNum w:abstractNumId="12" w15:restartNumberingAfterBreak="0">
    <w:nsid w:val="16AF7725"/>
    <w:multiLevelType w:val="hybridMultilevel"/>
    <w:tmpl w:val="17C0A41A"/>
    <w:lvl w:ilvl="0" w:tplc="0408000F">
      <w:start w:val="1"/>
      <w:numFmt w:val="decimal"/>
      <w:lvlText w:val="%1."/>
      <w:lvlJc w:val="left"/>
      <w:pPr>
        <w:ind w:left="837" w:hanging="360"/>
      </w:pPr>
    </w:lvl>
    <w:lvl w:ilvl="1" w:tplc="04080019" w:tentative="1">
      <w:start w:val="1"/>
      <w:numFmt w:val="lowerLetter"/>
      <w:lvlText w:val="%2."/>
      <w:lvlJc w:val="left"/>
      <w:pPr>
        <w:ind w:left="1557" w:hanging="360"/>
      </w:pPr>
    </w:lvl>
    <w:lvl w:ilvl="2" w:tplc="0408001B" w:tentative="1">
      <w:start w:val="1"/>
      <w:numFmt w:val="lowerRoman"/>
      <w:lvlText w:val="%3."/>
      <w:lvlJc w:val="right"/>
      <w:pPr>
        <w:ind w:left="2277" w:hanging="180"/>
      </w:pPr>
    </w:lvl>
    <w:lvl w:ilvl="3" w:tplc="0408000F" w:tentative="1">
      <w:start w:val="1"/>
      <w:numFmt w:val="decimal"/>
      <w:lvlText w:val="%4."/>
      <w:lvlJc w:val="left"/>
      <w:pPr>
        <w:ind w:left="2997" w:hanging="360"/>
      </w:pPr>
    </w:lvl>
    <w:lvl w:ilvl="4" w:tplc="04080019" w:tentative="1">
      <w:start w:val="1"/>
      <w:numFmt w:val="lowerLetter"/>
      <w:lvlText w:val="%5."/>
      <w:lvlJc w:val="left"/>
      <w:pPr>
        <w:ind w:left="3717" w:hanging="360"/>
      </w:pPr>
    </w:lvl>
    <w:lvl w:ilvl="5" w:tplc="0408001B" w:tentative="1">
      <w:start w:val="1"/>
      <w:numFmt w:val="lowerRoman"/>
      <w:lvlText w:val="%6."/>
      <w:lvlJc w:val="right"/>
      <w:pPr>
        <w:ind w:left="4437" w:hanging="180"/>
      </w:pPr>
    </w:lvl>
    <w:lvl w:ilvl="6" w:tplc="0408000F" w:tentative="1">
      <w:start w:val="1"/>
      <w:numFmt w:val="decimal"/>
      <w:lvlText w:val="%7."/>
      <w:lvlJc w:val="left"/>
      <w:pPr>
        <w:ind w:left="5157" w:hanging="360"/>
      </w:pPr>
    </w:lvl>
    <w:lvl w:ilvl="7" w:tplc="04080019" w:tentative="1">
      <w:start w:val="1"/>
      <w:numFmt w:val="lowerLetter"/>
      <w:lvlText w:val="%8."/>
      <w:lvlJc w:val="left"/>
      <w:pPr>
        <w:ind w:left="5877" w:hanging="360"/>
      </w:pPr>
    </w:lvl>
    <w:lvl w:ilvl="8" w:tplc="0408001B" w:tentative="1">
      <w:start w:val="1"/>
      <w:numFmt w:val="lowerRoman"/>
      <w:lvlText w:val="%9."/>
      <w:lvlJc w:val="right"/>
      <w:pPr>
        <w:ind w:left="6597" w:hanging="180"/>
      </w:pPr>
    </w:lvl>
  </w:abstractNum>
  <w:abstractNum w:abstractNumId="13" w15:restartNumberingAfterBreak="0">
    <w:nsid w:val="17595717"/>
    <w:multiLevelType w:val="hybridMultilevel"/>
    <w:tmpl w:val="66600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1DF571AA"/>
    <w:multiLevelType w:val="hybridMultilevel"/>
    <w:tmpl w:val="B176AB3E"/>
    <w:lvl w:ilvl="0" w:tplc="60A4F46C">
      <w:numFmt w:val="bullet"/>
      <w:lvlText w:val=""/>
      <w:lvlJc w:val="left"/>
      <w:pPr>
        <w:tabs>
          <w:tab w:val="num" w:pos="227"/>
        </w:tabs>
        <w:ind w:left="0" w:firstLine="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7F1AF0"/>
    <w:multiLevelType w:val="multilevel"/>
    <w:tmpl w:val="00000887"/>
    <w:lvl w:ilvl="0">
      <w:start w:val="5"/>
      <w:numFmt w:val="decimal"/>
      <w:lvlText w:val="%1"/>
      <w:lvlJc w:val="left"/>
      <w:pPr>
        <w:ind w:left="684" w:hanging="567"/>
      </w:pPr>
      <w:rPr>
        <w:rFonts w:cs="Times New Roman"/>
      </w:rPr>
    </w:lvl>
    <w:lvl w:ilvl="1">
      <w:start w:val="2"/>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2400" w:hanging="567"/>
      </w:pPr>
    </w:lvl>
    <w:lvl w:ilvl="3">
      <w:numFmt w:val="bullet"/>
      <w:lvlText w:val="•"/>
      <w:lvlJc w:val="left"/>
      <w:pPr>
        <w:ind w:left="3261" w:hanging="567"/>
      </w:pPr>
    </w:lvl>
    <w:lvl w:ilvl="4">
      <w:numFmt w:val="bullet"/>
      <w:lvlText w:val="•"/>
      <w:lvlJc w:val="left"/>
      <w:pPr>
        <w:ind w:left="4121" w:hanging="567"/>
      </w:pPr>
    </w:lvl>
    <w:lvl w:ilvl="5">
      <w:numFmt w:val="bullet"/>
      <w:lvlText w:val="•"/>
      <w:lvlJc w:val="left"/>
      <w:pPr>
        <w:ind w:left="4982" w:hanging="567"/>
      </w:pPr>
    </w:lvl>
    <w:lvl w:ilvl="6">
      <w:numFmt w:val="bullet"/>
      <w:lvlText w:val="•"/>
      <w:lvlJc w:val="left"/>
      <w:pPr>
        <w:ind w:left="5842" w:hanging="567"/>
      </w:pPr>
    </w:lvl>
    <w:lvl w:ilvl="7">
      <w:numFmt w:val="bullet"/>
      <w:lvlText w:val="•"/>
      <w:lvlJc w:val="left"/>
      <w:pPr>
        <w:ind w:left="6703" w:hanging="567"/>
      </w:pPr>
    </w:lvl>
    <w:lvl w:ilvl="8">
      <w:numFmt w:val="bullet"/>
      <w:lvlText w:val="•"/>
      <w:lvlJc w:val="left"/>
      <w:pPr>
        <w:ind w:left="7563" w:hanging="567"/>
      </w:pPr>
    </w:lvl>
  </w:abstractNum>
  <w:abstractNum w:abstractNumId="17" w15:restartNumberingAfterBreak="0">
    <w:nsid w:val="22F13DF3"/>
    <w:multiLevelType w:val="hybridMultilevel"/>
    <w:tmpl w:val="CFE88FB6"/>
    <w:lvl w:ilvl="0" w:tplc="DD8E3074">
      <w:start w:val="1"/>
      <w:numFmt w:val="bullet"/>
      <w:lvlText w:val="*"/>
      <w:lvlJc w:val="left"/>
    </w:lvl>
    <w:lvl w:ilvl="1" w:tplc="41E8F0D4">
      <w:numFmt w:val="decimal"/>
      <w:lvlText w:val=""/>
      <w:lvlJc w:val="left"/>
    </w:lvl>
    <w:lvl w:ilvl="2" w:tplc="A06E2C78">
      <w:numFmt w:val="decimal"/>
      <w:lvlText w:val=""/>
      <w:lvlJc w:val="left"/>
    </w:lvl>
    <w:lvl w:ilvl="3" w:tplc="43766E3E">
      <w:numFmt w:val="decimal"/>
      <w:lvlText w:val=""/>
      <w:lvlJc w:val="left"/>
    </w:lvl>
    <w:lvl w:ilvl="4" w:tplc="D548BD96">
      <w:numFmt w:val="decimal"/>
      <w:lvlText w:val=""/>
      <w:lvlJc w:val="left"/>
    </w:lvl>
    <w:lvl w:ilvl="5" w:tplc="CCC8BAAE">
      <w:numFmt w:val="decimal"/>
      <w:lvlText w:val=""/>
      <w:lvlJc w:val="left"/>
    </w:lvl>
    <w:lvl w:ilvl="6" w:tplc="1FFC5FDE">
      <w:numFmt w:val="decimal"/>
      <w:lvlText w:val=""/>
      <w:lvlJc w:val="left"/>
    </w:lvl>
    <w:lvl w:ilvl="7" w:tplc="46604F42">
      <w:numFmt w:val="decimal"/>
      <w:lvlText w:val=""/>
      <w:lvlJc w:val="left"/>
    </w:lvl>
    <w:lvl w:ilvl="8" w:tplc="F426F190">
      <w:numFmt w:val="decimal"/>
      <w:lvlText w:val=""/>
      <w:lvlJc w:val="left"/>
    </w:lvl>
  </w:abstractNum>
  <w:abstractNum w:abstractNumId="18" w15:restartNumberingAfterBreak="0">
    <w:nsid w:val="23AC37E3"/>
    <w:multiLevelType w:val="hybridMultilevel"/>
    <w:tmpl w:val="576AE3A0"/>
    <w:lvl w:ilvl="0" w:tplc="042F0001">
      <w:start w:val="1"/>
      <w:numFmt w:val="bullet"/>
      <w:lvlText w:val=""/>
      <w:lvlJc w:val="left"/>
      <w:pPr>
        <w:ind w:left="720" w:hanging="360"/>
      </w:pPr>
      <w:rPr>
        <w:rFonts w:ascii="Symbol" w:hAnsi="Symbol"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257D63F4"/>
    <w:multiLevelType w:val="hybridMultilevel"/>
    <w:tmpl w:val="957E97DE"/>
    <w:lvl w:ilvl="0" w:tplc="89701FB2">
      <w:start w:val="1"/>
      <w:numFmt w:val="bullet"/>
      <w:lvlText w:val="*"/>
      <w:lvlJc w:val="left"/>
    </w:lvl>
    <w:lvl w:ilvl="1" w:tplc="549673EE">
      <w:numFmt w:val="decimal"/>
      <w:lvlText w:val=""/>
      <w:lvlJc w:val="left"/>
    </w:lvl>
    <w:lvl w:ilvl="2" w:tplc="0B260208">
      <w:numFmt w:val="decimal"/>
      <w:lvlText w:val=""/>
      <w:lvlJc w:val="left"/>
    </w:lvl>
    <w:lvl w:ilvl="3" w:tplc="48A07D80">
      <w:numFmt w:val="decimal"/>
      <w:lvlText w:val=""/>
      <w:lvlJc w:val="left"/>
    </w:lvl>
    <w:lvl w:ilvl="4" w:tplc="FC280E42">
      <w:numFmt w:val="decimal"/>
      <w:lvlText w:val=""/>
      <w:lvlJc w:val="left"/>
    </w:lvl>
    <w:lvl w:ilvl="5" w:tplc="4132A6AA">
      <w:numFmt w:val="decimal"/>
      <w:lvlText w:val=""/>
      <w:lvlJc w:val="left"/>
    </w:lvl>
    <w:lvl w:ilvl="6" w:tplc="73B0BB94">
      <w:numFmt w:val="decimal"/>
      <w:lvlText w:val=""/>
      <w:lvlJc w:val="left"/>
    </w:lvl>
    <w:lvl w:ilvl="7" w:tplc="B4A81548">
      <w:numFmt w:val="decimal"/>
      <w:lvlText w:val=""/>
      <w:lvlJc w:val="left"/>
    </w:lvl>
    <w:lvl w:ilvl="8" w:tplc="CD189DC8">
      <w:numFmt w:val="decimal"/>
      <w:lvlText w:val=""/>
      <w:lvlJc w:val="left"/>
    </w:lvl>
  </w:abstractNum>
  <w:abstractNum w:abstractNumId="20" w15:restartNumberingAfterBreak="0">
    <w:nsid w:val="278B27BE"/>
    <w:multiLevelType w:val="hybridMultilevel"/>
    <w:tmpl w:val="AFF24322"/>
    <w:lvl w:ilvl="0" w:tplc="408001F0">
      <w:numFmt w:val="bullet"/>
      <w:lvlText w:val="-"/>
      <w:lvlJc w:val="left"/>
      <w:pPr>
        <w:tabs>
          <w:tab w:val="num" w:pos="567"/>
        </w:tabs>
        <w:ind w:left="0" w:firstLine="0"/>
      </w:pPr>
      <w:rPr>
        <w:rFonts w:ascii="Perpetua Titling MT" w:hAnsi="Perpetua Titling MT" w:cs="Perpetua Titling MT"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9002F0A"/>
    <w:multiLevelType w:val="multilevel"/>
    <w:tmpl w:val="9996B604"/>
    <w:lvl w:ilvl="0">
      <w:start w:val="1"/>
      <w:numFmt w:val="bullet"/>
      <w:lvlText w:val="-"/>
      <w:lvlJc w:val="left"/>
      <w:pPr>
        <w:ind w:left="684" w:hanging="567"/>
      </w:pPr>
      <w:rPr>
        <w:b/>
        <w:color w:val="231F20"/>
        <w:w w:val="100"/>
        <w:sz w:val="22"/>
      </w:rPr>
    </w:lvl>
    <w:lvl w:ilvl="1">
      <w:start w:val="1"/>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1940" w:hanging="358"/>
      </w:pPr>
      <w:rPr>
        <w:rFonts w:ascii="Symbol" w:hAnsi="Symbol"/>
        <w:b w:val="0"/>
        <w:color w:val="231F20"/>
        <w:w w:val="100"/>
        <w:sz w:val="22"/>
      </w:rPr>
    </w:lvl>
    <w:lvl w:ilvl="3">
      <w:numFmt w:val="bullet"/>
      <w:lvlText w:val="•"/>
      <w:lvlJc w:val="left"/>
      <w:pPr>
        <w:ind w:left="3563" w:hanging="358"/>
      </w:pPr>
    </w:lvl>
    <w:lvl w:ilvl="4">
      <w:numFmt w:val="bullet"/>
      <w:lvlText w:val="•"/>
      <w:lvlJc w:val="left"/>
      <w:pPr>
        <w:ind w:left="4374" w:hanging="358"/>
      </w:pPr>
    </w:lvl>
    <w:lvl w:ilvl="5">
      <w:numFmt w:val="bullet"/>
      <w:lvlText w:val="•"/>
      <w:lvlJc w:val="left"/>
      <w:pPr>
        <w:ind w:left="5186" w:hanging="358"/>
      </w:pPr>
    </w:lvl>
    <w:lvl w:ilvl="6">
      <w:numFmt w:val="bullet"/>
      <w:lvlText w:val="•"/>
      <w:lvlJc w:val="left"/>
      <w:pPr>
        <w:ind w:left="5998" w:hanging="358"/>
      </w:pPr>
    </w:lvl>
    <w:lvl w:ilvl="7">
      <w:numFmt w:val="bullet"/>
      <w:lvlText w:val="•"/>
      <w:lvlJc w:val="left"/>
      <w:pPr>
        <w:ind w:left="6809" w:hanging="358"/>
      </w:pPr>
    </w:lvl>
    <w:lvl w:ilvl="8">
      <w:numFmt w:val="bullet"/>
      <w:lvlText w:val="•"/>
      <w:lvlJc w:val="left"/>
      <w:pPr>
        <w:ind w:left="7621" w:hanging="358"/>
      </w:pPr>
    </w:lvl>
  </w:abstractNum>
  <w:abstractNum w:abstractNumId="22" w15:restartNumberingAfterBreak="0">
    <w:nsid w:val="29E741C5"/>
    <w:multiLevelType w:val="hybridMultilevel"/>
    <w:tmpl w:val="8338963C"/>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2EDA00ED"/>
    <w:multiLevelType w:val="hybridMultilevel"/>
    <w:tmpl w:val="AD16D51E"/>
    <w:lvl w:ilvl="0" w:tplc="6C4AE704">
      <w:start w:val="1"/>
      <w:numFmt w:val="bullet"/>
      <w:lvlText w:val="*"/>
      <w:lvlJc w:val="left"/>
    </w:lvl>
    <w:lvl w:ilvl="1" w:tplc="4AB8F126">
      <w:numFmt w:val="decimal"/>
      <w:lvlText w:val=""/>
      <w:lvlJc w:val="left"/>
    </w:lvl>
    <w:lvl w:ilvl="2" w:tplc="C106A15A">
      <w:numFmt w:val="decimal"/>
      <w:lvlText w:val=""/>
      <w:lvlJc w:val="left"/>
    </w:lvl>
    <w:lvl w:ilvl="3" w:tplc="6B32F674">
      <w:numFmt w:val="decimal"/>
      <w:lvlText w:val=""/>
      <w:lvlJc w:val="left"/>
    </w:lvl>
    <w:lvl w:ilvl="4" w:tplc="57387DEC">
      <w:numFmt w:val="decimal"/>
      <w:lvlText w:val=""/>
      <w:lvlJc w:val="left"/>
    </w:lvl>
    <w:lvl w:ilvl="5" w:tplc="2924D14E">
      <w:numFmt w:val="decimal"/>
      <w:lvlText w:val=""/>
      <w:lvlJc w:val="left"/>
    </w:lvl>
    <w:lvl w:ilvl="6" w:tplc="5D04E7C4">
      <w:numFmt w:val="decimal"/>
      <w:lvlText w:val=""/>
      <w:lvlJc w:val="left"/>
    </w:lvl>
    <w:lvl w:ilvl="7" w:tplc="C786ED8E">
      <w:numFmt w:val="decimal"/>
      <w:lvlText w:val=""/>
      <w:lvlJc w:val="left"/>
    </w:lvl>
    <w:lvl w:ilvl="8" w:tplc="EA58E872">
      <w:numFmt w:val="decimal"/>
      <w:lvlText w:val=""/>
      <w:lvlJc w:val="left"/>
    </w:lvl>
  </w:abstractNum>
  <w:abstractNum w:abstractNumId="24" w15:restartNumberingAfterBreak="0">
    <w:nsid w:val="33003E66"/>
    <w:multiLevelType w:val="multilevel"/>
    <w:tmpl w:val="39D050F6"/>
    <w:lvl w:ilvl="0">
      <w:start w:val="2"/>
      <w:numFmt w:val="decimal"/>
      <w:lvlText w:val="%1"/>
      <w:lvlJc w:val="left"/>
      <w:pPr>
        <w:ind w:left="684" w:hanging="567"/>
      </w:pPr>
      <w:rPr>
        <w:rFonts w:cs="Times New Roman" w:hint="default"/>
      </w:rPr>
    </w:lvl>
    <w:lvl w:ilvl="1">
      <w:start w:val="2"/>
      <w:numFmt w:val="decimal"/>
      <w:lvlText w:val="%1.%2"/>
      <w:lvlJc w:val="left"/>
      <w:pPr>
        <w:ind w:left="684" w:hanging="567"/>
      </w:pPr>
      <w:rPr>
        <w:rFonts w:ascii="Times New Roman" w:hAnsi="Times New Roman" w:cs="Times New Roman" w:hint="default"/>
        <w:b/>
        <w:bCs/>
        <w:color w:val="231F20"/>
        <w:w w:val="100"/>
        <w:sz w:val="22"/>
        <w:szCs w:val="22"/>
      </w:rPr>
    </w:lvl>
    <w:lvl w:ilvl="2">
      <w:numFmt w:val="bullet"/>
      <w:lvlText w:val="•"/>
      <w:lvlJc w:val="left"/>
      <w:pPr>
        <w:ind w:left="2400" w:hanging="567"/>
      </w:pPr>
      <w:rPr>
        <w:rFonts w:hint="default"/>
      </w:rPr>
    </w:lvl>
    <w:lvl w:ilvl="3">
      <w:numFmt w:val="bullet"/>
      <w:lvlText w:val="•"/>
      <w:lvlJc w:val="left"/>
      <w:pPr>
        <w:ind w:left="3261" w:hanging="567"/>
      </w:pPr>
      <w:rPr>
        <w:rFonts w:hint="default"/>
      </w:rPr>
    </w:lvl>
    <w:lvl w:ilvl="4">
      <w:numFmt w:val="bullet"/>
      <w:lvlText w:val="•"/>
      <w:lvlJc w:val="left"/>
      <w:pPr>
        <w:ind w:left="4121" w:hanging="567"/>
      </w:pPr>
      <w:rPr>
        <w:rFonts w:hint="default"/>
      </w:rPr>
    </w:lvl>
    <w:lvl w:ilvl="5">
      <w:numFmt w:val="bullet"/>
      <w:lvlText w:val="•"/>
      <w:lvlJc w:val="left"/>
      <w:pPr>
        <w:ind w:left="4982" w:hanging="567"/>
      </w:pPr>
      <w:rPr>
        <w:rFonts w:hint="default"/>
      </w:rPr>
    </w:lvl>
    <w:lvl w:ilvl="6">
      <w:numFmt w:val="bullet"/>
      <w:lvlText w:val="•"/>
      <w:lvlJc w:val="left"/>
      <w:pPr>
        <w:ind w:left="5842" w:hanging="567"/>
      </w:pPr>
      <w:rPr>
        <w:rFonts w:hint="default"/>
      </w:rPr>
    </w:lvl>
    <w:lvl w:ilvl="7">
      <w:numFmt w:val="bullet"/>
      <w:lvlText w:val="•"/>
      <w:lvlJc w:val="left"/>
      <w:pPr>
        <w:ind w:left="6703" w:hanging="567"/>
      </w:pPr>
      <w:rPr>
        <w:rFonts w:hint="default"/>
      </w:rPr>
    </w:lvl>
    <w:lvl w:ilvl="8">
      <w:numFmt w:val="bullet"/>
      <w:lvlText w:val="•"/>
      <w:lvlJc w:val="left"/>
      <w:pPr>
        <w:ind w:left="7563" w:hanging="567"/>
      </w:pPr>
      <w:rPr>
        <w:rFonts w:hint="default"/>
      </w:rPr>
    </w:lvl>
  </w:abstractNum>
  <w:abstractNum w:abstractNumId="25" w15:restartNumberingAfterBreak="0">
    <w:nsid w:val="34707166"/>
    <w:multiLevelType w:val="multilevel"/>
    <w:tmpl w:val="21A65C26"/>
    <w:lvl w:ilvl="0">
      <w:start w:val="1"/>
      <w:numFmt w:val="decimal"/>
      <w:lvlText w:val="%1"/>
      <w:lvlJc w:val="left"/>
      <w:pPr>
        <w:ind w:left="684" w:hanging="567"/>
      </w:pPr>
      <w:rPr>
        <w:rFonts w:cs="Times New Roman" w:hint="default"/>
      </w:rPr>
    </w:lvl>
    <w:lvl w:ilvl="1">
      <w:start w:val="2"/>
      <w:numFmt w:val="decimal"/>
      <w:lvlText w:val="%1.%2"/>
      <w:lvlJc w:val="left"/>
      <w:pPr>
        <w:ind w:left="684" w:hanging="567"/>
      </w:pPr>
      <w:rPr>
        <w:rFonts w:ascii="Times New Roman" w:hAnsi="Times New Roman" w:cs="Times New Roman" w:hint="default"/>
        <w:b/>
        <w:bCs/>
        <w:color w:val="231F20"/>
        <w:w w:val="100"/>
        <w:sz w:val="22"/>
        <w:szCs w:val="22"/>
      </w:rPr>
    </w:lvl>
    <w:lvl w:ilvl="2">
      <w:numFmt w:val="bullet"/>
      <w:lvlText w:val="•"/>
      <w:lvlJc w:val="left"/>
      <w:pPr>
        <w:ind w:left="2400" w:hanging="567"/>
      </w:pPr>
      <w:rPr>
        <w:rFonts w:hint="default"/>
      </w:rPr>
    </w:lvl>
    <w:lvl w:ilvl="3">
      <w:numFmt w:val="bullet"/>
      <w:lvlText w:val="•"/>
      <w:lvlJc w:val="left"/>
      <w:pPr>
        <w:ind w:left="3261" w:hanging="567"/>
      </w:pPr>
      <w:rPr>
        <w:rFonts w:hint="default"/>
      </w:rPr>
    </w:lvl>
    <w:lvl w:ilvl="4">
      <w:numFmt w:val="bullet"/>
      <w:lvlText w:val="•"/>
      <w:lvlJc w:val="left"/>
      <w:pPr>
        <w:ind w:left="4121" w:hanging="567"/>
      </w:pPr>
      <w:rPr>
        <w:rFonts w:hint="default"/>
      </w:rPr>
    </w:lvl>
    <w:lvl w:ilvl="5">
      <w:numFmt w:val="bullet"/>
      <w:lvlText w:val="•"/>
      <w:lvlJc w:val="left"/>
      <w:pPr>
        <w:ind w:left="4982" w:hanging="567"/>
      </w:pPr>
      <w:rPr>
        <w:rFonts w:hint="default"/>
      </w:rPr>
    </w:lvl>
    <w:lvl w:ilvl="6">
      <w:numFmt w:val="bullet"/>
      <w:lvlText w:val="•"/>
      <w:lvlJc w:val="left"/>
      <w:pPr>
        <w:ind w:left="5842" w:hanging="567"/>
      </w:pPr>
      <w:rPr>
        <w:rFonts w:hint="default"/>
      </w:rPr>
    </w:lvl>
    <w:lvl w:ilvl="7">
      <w:numFmt w:val="bullet"/>
      <w:lvlText w:val="•"/>
      <w:lvlJc w:val="left"/>
      <w:pPr>
        <w:ind w:left="6703" w:hanging="567"/>
      </w:pPr>
      <w:rPr>
        <w:rFonts w:hint="default"/>
      </w:rPr>
    </w:lvl>
    <w:lvl w:ilvl="8">
      <w:numFmt w:val="bullet"/>
      <w:lvlText w:val="•"/>
      <w:lvlJc w:val="left"/>
      <w:pPr>
        <w:ind w:left="7563" w:hanging="567"/>
      </w:pPr>
      <w:rPr>
        <w:rFonts w:hint="default"/>
      </w:rPr>
    </w:lvl>
  </w:abstractNum>
  <w:abstractNum w:abstractNumId="26" w15:restartNumberingAfterBreak="0">
    <w:nsid w:val="367F63A2"/>
    <w:multiLevelType w:val="hybridMultilevel"/>
    <w:tmpl w:val="88B03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957756A"/>
    <w:multiLevelType w:val="hybridMultilevel"/>
    <w:tmpl w:val="B9FECB26"/>
    <w:lvl w:ilvl="0" w:tplc="116EEEA8">
      <w:start w:val="1"/>
      <w:numFmt w:val="bullet"/>
      <w:lvlText w:val="*"/>
      <w:lvlJc w:val="left"/>
    </w:lvl>
    <w:lvl w:ilvl="1" w:tplc="5142BCB0">
      <w:numFmt w:val="decimal"/>
      <w:lvlText w:val=""/>
      <w:lvlJc w:val="left"/>
    </w:lvl>
    <w:lvl w:ilvl="2" w:tplc="555ACC7A">
      <w:numFmt w:val="decimal"/>
      <w:lvlText w:val=""/>
      <w:lvlJc w:val="left"/>
    </w:lvl>
    <w:lvl w:ilvl="3" w:tplc="225A4330">
      <w:numFmt w:val="decimal"/>
      <w:lvlText w:val=""/>
      <w:lvlJc w:val="left"/>
    </w:lvl>
    <w:lvl w:ilvl="4" w:tplc="F212250C">
      <w:numFmt w:val="decimal"/>
      <w:lvlText w:val=""/>
      <w:lvlJc w:val="left"/>
    </w:lvl>
    <w:lvl w:ilvl="5" w:tplc="AA9CBE56">
      <w:numFmt w:val="decimal"/>
      <w:lvlText w:val=""/>
      <w:lvlJc w:val="left"/>
    </w:lvl>
    <w:lvl w:ilvl="6" w:tplc="5AF6221C">
      <w:numFmt w:val="decimal"/>
      <w:lvlText w:val=""/>
      <w:lvlJc w:val="left"/>
    </w:lvl>
    <w:lvl w:ilvl="7" w:tplc="E572F6CE">
      <w:numFmt w:val="decimal"/>
      <w:lvlText w:val=""/>
      <w:lvlJc w:val="left"/>
    </w:lvl>
    <w:lvl w:ilvl="8" w:tplc="CD885904">
      <w:numFmt w:val="decimal"/>
      <w:lvlText w:val=""/>
      <w:lvlJc w:val="left"/>
    </w:lvl>
  </w:abstractNum>
  <w:abstractNum w:abstractNumId="28" w15:restartNumberingAfterBreak="0">
    <w:nsid w:val="3CE732EC"/>
    <w:multiLevelType w:val="hybridMultilevel"/>
    <w:tmpl w:val="34D6864E"/>
    <w:lvl w:ilvl="0" w:tplc="EC82DD16">
      <w:start w:val="1"/>
      <w:numFmt w:val="lowerLetter"/>
      <w:lvlText w:val="%1)"/>
      <w:lvlJc w:val="left"/>
    </w:lvl>
    <w:lvl w:ilvl="1" w:tplc="276CE0B8">
      <w:numFmt w:val="decimal"/>
      <w:lvlText w:val=""/>
      <w:lvlJc w:val="left"/>
    </w:lvl>
    <w:lvl w:ilvl="2" w:tplc="75104D9A">
      <w:numFmt w:val="decimal"/>
      <w:lvlText w:val=""/>
      <w:lvlJc w:val="left"/>
    </w:lvl>
    <w:lvl w:ilvl="3" w:tplc="A4887988">
      <w:numFmt w:val="decimal"/>
      <w:lvlText w:val=""/>
      <w:lvlJc w:val="left"/>
    </w:lvl>
    <w:lvl w:ilvl="4" w:tplc="B3DECB8E">
      <w:numFmt w:val="decimal"/>
      <w:lvlText w:val=""/>
      <w:lvlJc w:val="left"/>
    </w:lvl>
    <w:lvl w:ilvl="5" w:tplc="C3F07E76">
      <w:numFmt w:val="decimal"/>
      <w:lvlText w:val=""/>
      <w:lvlJc w:val="left"/>
    </w:lvl>
    <w:lvl w:ilvl="6" w:tplc="D5D04B8A">
      <w:numFmt w:val="decimal"/>
      <w:lvlText w:val=""/>
      <w:lvlJc w:val="left"/>
    </w:lvl>
    <w:lvl w:ilvl="7" w:tplc="73D09130">
      <w:numFmt w:val="decimal"/>
      <w:lvlText w:val=""/>
      <w:lvlJc w:val="left"/>
    </w:lvl>
    <w:lvl w:ilvl="8" w:tplc="556CA162">
      <w:numFmt w:val="decimal"/>
      <w:lvlText w:val=""/>
      <w:lvlJc w:val="left"/>
    </w:lvl>
  </w:abstractNum>
  <w:abstractNum w:abstractNumId="29" w15:restartNumberingAfterBreak="0">
    <w:nsid w:val="3E6DA1C7"/>
    <w:multiLevelType w:val="hybridMultilevel"/>
    <w:tmpl w:val="6504DCA0"/>
    <w:lvl w:ilvl="0" w:tplc="675A5C8E">
      <w:start w:val="1"/>
      <w:numFmt w:val="bullet"/>
      <w:lvlText w:val="**"/>
      <w:lvlJc w:val="left"/>
    </w:lvl>
    <w:lvl w:ilvl="1" w:tplc="08C4A326">
      <w:numFmt w:val="decimal"/>
      <w:lvlText w:val=""/>
      <w:lvlJc w:val="left"/>
    </w:lvl>
    <w:lvl w:ilvl="2" w:tplc="62327E6C">
      <w:numFmt w:val="decimal"/>
      <w:lvlText w:val=""/>
      <w:lvlJc w:val="left"/>
    </w:lvl>
    <w:lvl w:ilvl="3" w:tplc="97424D4C">
      <w:numFmt w:val="decimal"/>
      <w:lvlText w:val=""/>
      <w:lvlJc w:val="left"/>
    </w:lvl>
    <w:lvl w:ilvl="4" w:tplc="ADDE921A">
      <w:numFmt w:val="decimal"/>
      <w:lvlText w:val=""/>
      <w:lvlJc w:val="left"/>
    </w:lvl>
    <w:lvl w:ilvl="5" w:tplc="7436CBD2">
      <w:numFmt w:val="decimal"/>
      <w:lvlText w:val=""/>
      <w:lvlJc w:val="left"/>
    </w:lvl>
    <w:lvl w:ilvl="6" w:tplc="ED0C6EDC">
      <w:numFmt w:val="decimal"/>
      <w:lvlText w:val=""/>
      <w:lvlJc w:val="left"/>
    </w:lvl>
    <w:lvl w:ilvl="7" w:tplc="6518D7FC">
      <w:numFmt w:val="decimal"/>
      <w:lvlText w:val=""/>
      <w:lvlJc w:val="left"/>
    </w:lvl>
    <w:lvl w:ilvl="8" w:tplc="797E3BD6">
      <w:numFmt w:val="decimal"/>
      <w:lvlText w:val=""/>
      <w:lvlJc w:val="left"/>
    </w:lvl>
  </w:abstractNum>
  <w:abstractNum w:abstractNumId="30" w15:restartNumberingAfterBreak="0">
    <w:nsid w:val="3F3460EF"/>
    <w:multiLevelType w:val="hybridMultilevel"/>
    <w:tmpl w:val="01580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FC4D600"/>
    <w:multiLevelType w:val="hybridMultilevel"/>
    <w:tmpl w:val="0A7A5110"/>
    <w:lvl w:ilvl="0" w:tplc="5314B466">
      <w:start w:val="1"/>
      <w:numFmt w:val="bullet"/>
      <w:lvlText w:val="++"/>
      <w:lvlJc w:val="left"/>
    </w:lvl>
    <w:lvl w:ilvl="1" w:tplc="6080A6A2">
      <w:numFmt w:val="decimal"/>
      <w:lvlText w:val=""/>
      <w:lvlJc w:val="left"/>
    </w:lvl>
    <w:lvl w:ilvl="2" w:tplc="243A268A">
      <w:numFmt w:val="decimal"/>
      <w:lvlText w:val=""/>
      <w:lvlJc w:val="left"/>
    </w:lvl>
    <w:lvl w:ilvl="3" w:tplc="03D8C0D0">
      <w:numFmt w:val="decimal"/>
      <w:lvlText w:val=""/>
      <w:lvlJc w:val="left"/>
    </w:lvl>
    <w:lvl w:ilvl="4" w:tplc="95B84B70">
      <w:numFmt w:val="decimal"/>
      <w:lvlText w:val=""/>
      <w:lvlJc w:val="left"/>
    </w:lvl>
    <w:lvl w:ilvl="5" w:tplc="7556FD82">
      <w:numFmt w:val="decimal"/>
      <w:lvlText w:val=""/>
      <w:lvlJc w:val="left"/>
    </w:lvl>
    <w:lvl w:ilvl="6" w:tplc="FE76AB98">
      <w:numFmt w:val="decimal"/>
      <w:lvlText w:val=""/>
      <w:lvlJc w:val="left"/>
    </w:lvl>
    <w:lvl w:ilvl="7" w:tplc="73980686">
      <w:numFmt w:val="decimal"/>
      <w:lvlText w:val=""/>
      <w:lvlJc w:val="left"/>
    </w:lvl>
    <w:lvl w:ilvl="8" w:tplc="A16E67C2">
      <w:numFmt w:val="decimal"/>
      <w:lvlText w:val=""/>
      <w:lvlJc w:val="left"/>
    </w:lvl>
  </w:abstractNum>
  <w:abstractNum w:abstractNumId="32" w15:restartNumberingAfterBreak="0">
    <w:nsid w:val="52607786"/>
    <w:multiLevelType w:val="hybridMultilevel"/>
    <w:tmpl w:val="A332467A"/>
    <w:lvl w:ilvl="0" w:tplc="D67C0ACC">
      <w:start w:val="5"/>
      <w:numFmt w:val="bullet"/>
      <w:lvlText w:val=""/>
      <w:lvlJc w:val="left"/>
      <w:pPr>
        <w:ind w:left="720" w:hanging="360"/>
      </w:pPr>
      <w:rPr>
        <w:rFonts w:ascii="Wingdings" w:eastAsiaTheme="minorEastAsia"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555E4CBB"/>
    <w:multiLevelType w:val="hybridMultilevel"/>
    <w:tmpl w:val="ED5461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4" w15:restartNumberingAfterBreak="0">
    <w:nsid w:val="59C10629"/>
    <w:multiLevelType w:val="hybridMultilevel"/>
    <w:tmpl w:val="E056CCBE"/>
    <w:lvl w:ilvl="0" w:tplc="78B8891E">
      <w:start w:val="1"/>
      <w:numFmt w:val="bullet"/>
      <w:lvlText w:val="-"/>
      <w:lvlJc w:val="left"/>
      <w:pPr>
        <w:ind w:left="361" w:hanging="360"/>
      </w:pPr>
    </w:lvl>
    <w:lvl w:ilvl="1" w:tplc="04090003" w:tentative="1">
      <w:start w:val="1"/>
      <w:numFmt w:val="bullet"/>
      <w:lvlText w:val="o"/>
      <w:lvlJc w:val="left"/>
      <w:pPr>
        <w:ind w:left="1081" w:hanging="360"/>
      </w:pPr>
      <w:rPr>
        <w:rFonts w:ascii="Courier New" w:hAnsi="Courier New" w:cs="Courier New" w:hint="default"/>
      </w:rPr>
    </w:lvl>
    <w:lvl w:ilvl="2" w:tplc="04090005" w:tentative="1">
      <w:start w:val="1"/>
      <w:numFmt w:val="bullet"/>
      <w:lvlText w:val=""/>
      <w:lvlJc w:val="left"/>
      <w:pPr>
        <w:ind w:left="1801" w:hanging="360"/>
      </w:pPr>
      <w:rPr>
        <w:rFonts w:ascii="Wingdings" w:hAnsi="Wingdings" w:hint="default"/>
      </w:rPr>
    </w:lvl>
    <w:lvl w:ilvl="3" w:tplc="04090001" w:tentative="1">
      <w:start w:val="1"/>
      <w:numFmt w:val="bullet"/>
      <w:lvlText w:val=""/>
      <w:lvlJc w:val="left"/>
      <w:pPr>
        <w:ind w:left="2521" w:hanging="360"/>
      </w:pPr>
      <w:rPr>
        <w:rFonts w:ascii="Symbol" w:hAnsi="Symbol" w:hint="default"/>
      </w:rPr>
    </w:lvl>
    <w:lvl w:ilvl="4" w:tplc="04090003" w:tentative="1">
      <w:start w:val="1"/>
      <w:numFmt w:val="bullet"/>
      <w:lvlText w:val="o"/>
      <w:lvlJc w:val="left"/>
      <w:pPr>
        <w:ind w:left="3241" w:hanging="360"/>
      </w:pPr>
      <w:rPr>
        <w:rFonts w:ascii="Courier New" w:hAnsi="Courier New" w:cs="Courier New" w:hint="default"/>
      </w:rPr>
    </w:lvl>
    <w:lvl w:ilvl="5" w:tplc="04090005" w:tentative="1">
      <w:start w:val="1"/>
      <w:numFmt w:val="bullet"/>
      <w:lvlText w:val=""/>
      <w:lvlJc w:val="left"/>
      <w:pPr>
        <w:ind w:left="3961" w:hanging="360"/>
      </w:pPr>
      <w:rPr>
        <w:rFonts w:ascii="Wingdings" w:hAnsi="Wingdings" w:hint="default"/>
      </w:rPr>
    </w:lvl>
    <w:lvl w:ilvl="6" w:tplc="04090001" w:tentative="1">
      <w:start w:val="1"/>
      <w:numFmt w:val="bullet"/>
      <w:lvlText w:val=""/>
      <w:lvlJc w:val="left"/>
      <w:pPr>
        <w:ind w:left="4681" w:hanging="360"/>
      </w:pPr>
      <w:rPr>
        <w:rFonts w:ascii="Symbol" w:hAnsi="Symbol" w:hint="default"/>
      </w:rPr>
    </w:lvl>
    <w:lvl w:ilvl="7" w:tplc="04090003" w:tentative="1">
      <w:start w:val="1"/>
      <w:numFmt w:val="bullet"/>
      <w:lvlText w:val="o"/>
      <w:lvlJc w:val="left"/>
      <w:pPr>
        <w:ind w:left="5401" w:hanging="360"/>
      </w:pPr>
      <w:rPr>
        <w:rFonts w:ascii="Courier New" w:hAnsi="Courier New" w:cs="Courier New" w:hint="default"/>
      </w:rPr>
    </w:lvl>
    <w:lvl w:ilvl="8" w:tplc="04090005" w:tentative="1">
      <w:start w:val="1"/>
      <w:numFmt w:val="bullet"/>
      <w:lvlText w:val=""/>
      <w:lvlJc w:val="left"/>
      <w:pPr>
        <w:ind w:left="6121" w:hanging="360"/>
      </w:pPr>
      <w:rPr>
        <w:rFonts w:ascii="Wingdings" w:hAnsi="Wingdings" w:hint="default"/>
      </w:rPr>
    </w:lvl>
  </w:abstractNum>
  <w:abstractNum w:abstractNumId="35" w15:restartNumberingAfterBreak="0">
    <w:nsid w:val="5C9B615C"/>
    <w:multiLevelType w:val="hybridMultilevel"/>
    <w:tmpl w:val="9AB6D7AC"/>
    <w:lvl w:ilvl="0" w:tplc="2FDC8388">
      <w:start w:val="1"/>
      <w:numFmt w:val="bullet"/>
      <w:lvlText w:val=""/>
      <w:lvlJc w:val="left"/>
      <w:pPr>
        <w:tabs>
          <w:tab w:val="num" w:pos="0"/>
        </w:tabs>
        <w:ind w:left="0" w:firstLine="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F8659C5"/>
    <w:multiLevelType w:val="multilevel"/>
    <w:tmpl w:val="21A65C26"/>
    <w:lvl w:ilvl="0">
      <w:start w:val="1"/>
      <w:numFmt w:val="decimal"/>
      <w:lvlText w:val="%1"/>
      <w:lvlJc w:val="left"/>
      <w:pPr>
        <w:ind w:left="684" w:hanging="567"/>
      </w:pPr>
      <w:rPr>
        <w:rFonts w:cs="Times New Roman" w:hint="default"/>
      </w:rPr>
    </w:lvl>
    <w:lvl w:ilvl="1">
      <w:start w:val="2"/>
      <w:numFmt w:val="decimal"/>
      <w:lvlText w:val="%1.%2"/>
      <w:lvlJc w:val="left"/>
      <w:pPr>
        <w:ind w:left="684" w:hanging="567"/>
      </w:pPr>
      <w:rPr>
        <w:rFonts w:ascii="Times New Roman" w:hAnsi="Times New Roman" w:cs="Times New Roman" w:hint="default"/>
        <w:b/>
        <w:bCs/>
        <w:color w:val="231F20"/>
        <w:w w:val="100"/>
        <w:sz w:val="22"/>
        <w:szCs w:val="22"/>
      </w:rPr>
    </w:lvl>
    <w:lvl w:ilvl="2">
      <w:numFmt w:val="bullet"/>
      <w:lvlText w:val="•"/>
      <w:lvlJc w:val="left"/>
      <w:pPr>
        <w:ind w:left="2400" w:hanging="567"/>
      </w:pPr>
      <w:rPr>
        <w:rFonts w:hint="default"/>
      </w:rPr>
    </w:lvl>
    <w:lvl w:ilvl="3">
      <w:numFmt w:val="bullet"/>
      <w:lvlText w:val="•"/>
      <w:lvlJc w:val="left"/>
      <w:pPr>
        <w:ind w:left="3261" w:hanging="567"/>
      </w:pPr>
      <w:rPr>
        <w:rFonts w:hint="default"/>
      </w:rPr>
    </w:lvl>
    <w:lvl w:ilvl="4">
      <w:numFmt w:val="bullet"/>
      <w:lvlText w:val="•"/>
      <w:lvlJc w:val="left"/>
      <w:pPr>
        <w:ind w:left="4121" w:hanging="567"/>
      </w:pPr>
      <w:rPr>
        <w:rFonts w:hint="default"/>
      </w:rPr>
    </w:lvl>
    <w:lvl w:ilvl="5">
      <w:numFmt w:val="bullet"/>
      <w:lvlText w:val="•"/>
      <w:lvlJc w:val="left"/>
      <w:pPr>
        <w:ind w:left="4982" w:hanging="567"/>
      </w:pPr>
      <w:rPr>
        <w:rFonts w:hint="default"/>
      </w:rPr>
    </w:lvl>
    <w:lvl w:ilvl="6">
      <w:numFmt w:val="bullet"/>
      <w:lvlText w:val="•"/>
      <w:lvlJc w:val="left"/>
      <w:pPr>
        <w:ind w:left="5842" w:hanging="567"/>
      </w:pPr>
      <w:rPr>
        <w:rFonts w:hint="default"/>
      </w:rPr>
    </w:lvl>
    <w:lvl w:ilvl="7">
      <w:numFmt w:val="bullet"/>
      <w:lvlText w:val="•"/>
      <w:lvlJc w:val="left"/>
      <w:pPr>
        <w:ind w:left="6703" w:hanging="567"/>
      </w:pPr>
      <w:rPr>
        <w:rFonts w:hint="default"/>
      </w:rPr>
    </w:lvl>
    <w:lvl w:ilvl="8">
      <w:numFmt w:val="bullet"/>
      <w:lvlText w:val="•"/>
      <w:lvlJc w:val="left"/>
      <w:pPr>
        <w:ind w:left="7563" w:hanging="567"/>
      </w:pPr>
      <w:rPr>
        <w:rFonts w:hint="default"/>
      </w:rPr>
    </w:lvl>
  </w:abstractNum>
  <w:abstractNum w:abstractNumId="37" w15:restartNumberingAfterBreak="0">
    <w:nsid w:val="5FB29816"/>
    <w:multiLevelType w:val="hybridMultilevel"/>
    <w:tmpl w:val="1F80B534"/>
    <w:lvl w:ilvl="0" w:tplc="38C08286">
      <w:start w:val="1"/>
      <w:numFmt w:val="bullet"/>
      <w:lvlText w:val="*"/>
      <w:lvlJc w:val="left"/>
    </w:lvl>
    <w:lvl w:ilvl="1" w:tplc="F4A28A7C">
      <w:numFmt w:val="decimal"/>
      <w:lvlText w:val=""/>
      <w:lvlJc w:val="left"/>
    </w:lvl>
    <w:lvl w:ilvl="2" w:tplc="2014166C">
      <w:numFmt w:val="decimal"/>
      <w:lvlText w:val=""/>
      <w:lvlJc w:val="left"/>
    </w:lvl>
    <w:lvl w:ilvl="3" w:tplc="80F00A08">
      <w:numFmt w:val="decimal"/>
      <w:lvlText w:val=""/>
      <w:lvlJc w:val="left"/>
    </w:lvl>
    <w:lvl w:ilvl="4" w:tplc="2FDA36EE">
      <w:numFmt w:val="decimal"/>
      <w:lvlText w:val=""/>
      <w:lvlJc w:val="left"/>
    </w:lvl>
    <w:lvl w:ilvl="5" w:tplc="BD76F25E">
      <w:numFmt w:val="decimal"/>
      <w:lvlText w:val=""/>
      <w:lvlJc w:val="left"/>
    </w:lvl>
    <w:lvl w:ilvl="6" w:tplc="B2388C0A">
      <w:numFmt w:val="decimal"/>
      <w:lvlText w:val=""/>
      <w:lvlJc w:val="left"/>
    </w:lvl>
    <w:lvl w:ilvl="7" w:tplc="D774281C">
      <w:numFmt w:val="decimal"/>
      <w:lvlText w:val=""/>
      <w:lvlJc w:val="left"/>
    </w:lvl>
    <w:lvl w:ilvl="8" w:tplc="095668BA">
      <w:numFmt w:val="decimal"/>
      <w:lvlText w:val=""/>
      <w:lvlJc w:val="left"/>
    </w:lvl>
  </w:abstractNum>
  <w:abstractNum w:abstractNumId="38" w15:restartNumberingAfterBreak="0">
    <w:nsid w:val="62A5D5BD"/>
    <w:multiLevelType w:val="hybridMultilevel"/>
    <w:tmpl w:val="5A2E2290"/>
    <w:lvl w:ilvl="0" w:tplc="5FDCD774">
      <w:start w:val="1"/>
      <w:numFmt w:val="bullet"/>
      <w:lvlText w:val="•"/>
      <w:lvlJc w:val="left"/>
    </w:lvl>
    <w:lvl w:ilvl="1" w:tplc="01E031C0">
      <w:numFmt w:val="decimal"/>
      <w:lvlText w:val=""/>
      <w:lvlJc w:val="left"/>
    </w:lvl>
    <w:lvl w:ilvl="2" w:tplc="DFA0B09C">
      <w:numFmt w:val="decimal"/>
      <w:lvlText w:val=""/>
      <w:lvlJc w:val="left"/>
    </w:lvl>
    <w:lvl w:ilvl="3" w:tplc="E1BEC2DA">
      <w:numFmt w:val="decimal"/>
      <w:lvlText w:val=""/>
      <w:lvlJc w:val="left"/>
    </w:lvl>
    <w:lvl w:ilvl="4" w:tplc="A20E7F44">
      <w:numFmt w:val="decimal"/>
      <w:lvlText w:val=""/>
      <w:lvlJc w:val="left"/>
    </w:lvl>
    <w:lvl w:ilvl="5" w:tplc="CA00FA16">
      <w:numFmt w:val="decimal"/>
      <w:lvlText w:val=""/>
      <w:lvlJc w:val="left"/>
    </w:lvl>
    <w:lvl w:ilvl="6" w:tplc="ACB4FCE6">
      <w:numFmt w:val="decimal"/>
      <w:lvlText w:val=""/>
      <w:lvlJc w:val="left"/>
    </w:lvl>
    <w:lvl w:ilvl="7" w:tplc="B00438B0">
      <w:numFmt w:val="decimal"/>
      <w:lvlText w:val=""/>
      <w:lvlJc w:val="left"/>
    </w:lvl>
    <w:lvl w:ilvl="8" w:tplc="48E62342">
      <w:numFmt w:val="decimal"/>
      <w:lvlText w:val=""/>
      <w:lvlJc w:val="left"/>
    </w:lvl>
  </w:abstractNum>
  <w:abstractNum w:abstractNumId="39" w15:restartNumberingAfterBreak="0">
    <w:nsid w:val="631B4036"/>
    <w:multiLevelType w:val="multilevel"/>
    <w:tmpl w:val="1CF675D6"/>
    <w:lvl w:ilvl="0">
      <w:start w:val="1"/>
      <w:numFmt w:val="bullet"/>
      <w:lvlText w:val="−"/>
      <w:lvlJc w:val="left"/>
      <w:pPr>
        <w:ind w:left="684" w:hanging="567"/>
      </w:pPr>
      <w:rPr>
        <w:rFonts w:ascii="Times New Roman" w:eastAsia="Times New Roman" w:hAnsi="Times New Roman" w:hint="default"/>
        <w:b/>
        <w:color w:val="231F20"/>
        <w:w w:val="100"/>
        <w:sz w:val="22"/>
      </w:rPr>
    </w:lvl>
    <w:lvl w:ilvl="1">
      <w:start w:val="1"/>
      <w:numFmt w:val="decimal"/>
      <w:lvlText w:val="%1.%2"/>
      <w:lvlJc w:val="left"/>
      <w:pPr>
        <w:ind w:left="684" w:hanging="567"/>
      </w:pPr>
      <w:rPr>
        <w:rFonts w:ascii="Times New Roman" w:hAnsi="Times New Roman" w:cs="Times New Roman"/>
        <w:b/>
        <w:bCs/>
        <w:color w:val="231F20"/>
        <w:w w:val="100"/>
        <w:sz w:val="22"/>
        <w:szCs w:val="22"/>
      </w:rPr>
    </w:lvl>
    <w:lvl w:ilvl="2">
      <w:numFmt w:val="bullet"/>
      <w:lvlText w:val=""/>
      <w:lvlJc w:val="left"/>
      <w:pPr>
        <w:ind w:left="1940" w:hanging="358"/>
      </w:pPr>
      <w:rPr>
        <w:rFonts w:ascii="Symbol" w:hAnsi="Symbol"/>
        <w:b w:val="0"/>
        <w:color w:val="231F20"/>
        <w:w w:val="100"/>
        <w:sz w:val="22"/>
      </w:rPr>
    </w:lvl>
    <w:lvl w:ilvl="3">
      <w:numFmt w:val="bullet"/>
      <w:lvlText w:val="•"/>
      <w:lvlJc w:val="left"/>
      <w:pPr>
        <w:ind w:left="3563" w:hanging="358"/>
      </w:pPr>
    </w:lvl>
    <w:lvl w:ilvl="4">
      <w:numFmt w:val="bullet"/>
      <w:lvlText w:val="•"/>
      <w:lvlJc w:val="left"/>
      <w:pPr>
        <w:ind w:left="4374" w:hanging="358"/>
      </w:pPr>
    </w:lvl>
    <w:lvl w:ilvl="5">
      <w:numFmt w:val="bullet"/>
      <w:lvlText w:val="•"/>
      <w:lvlJc w:val="left"/>
      <w:pPr>
        <w:ind w:left="5186" w:hanging="358"/>
      </w:pPr>
    </w:lvl>
    <w:lvl w:ilvl="6">
      <w:numFmt w:val="bullet"/>
      <w:lvlText w:val="•"/>
      <w:lvlJc w:val="left"/>
      <w:pPr>
        <w:ind w:left="5998" w:hanging="358"/>
      </w:pPr>
    </w:lvl>
    <w:lvl w:ilvl="7">
      <w:numFmt w:val="bullet"/>
      <w:lvlText w:val="•"/>
      <w:lvlJc w:val="left"/>
      <w:pPr>
        <w:ind w:left="6809" w:hanging="358"/>
      </w:pPr>
    </w:lvl>
    <w:lvl w:ilvl="8">
      <w:numFmt w:val="bullet"/>
      <w:lvlText w:val="•"/>
      <w:lvlJc w:val="left"/>
      <w:pPr>
        <w:ind w:left="7621" w:hanging="358"/>
      </w:pPr>
    </w:lvl>
  </w:abstractNum>
  <w:abstractNum w:abstractNumId="40" w15:restartNumberingAfterBreak="0">
    <w:nsid w:val="65CA235B"/>
    <w:multiLevelType w:val="hybridMultilevel"/>
    <w:tmpl w:val="E968D21E"/>
    <w:lvl w:ilvl="0" w:tplc="57E66578">
      <w:start w:val="1"/>
      <w:numFmt w:val="upperLetter"/>
      <w:lvlText w:val="%1:"/>
      <w:lvlJc w:val="left"/>
    </w:lvl>
    <w:lvl w:ilvl="1" w:tplc="24FAD618">
      <w:numFmt w:val="decimal"/>
      <w:lvlText w:val=""/>
      <w:lvlJc w:val="left"/>
    </w:lvl>
    <w:lvl w:ilvl="2" w:tplc="0322A8E2">
      <w:numFmt w:val="decimal"/>
      <w:lvlText w:val=""/>
      <w:lvlJc w:val="left"/>
    </w:lvl>
    <w:lvl w:ilvl="3" w:tplc="725EE4F6">
      <w:numFmt w:val="decimal"/>
      <w:lvlText w:val=""/>
      <w:lvlJc w:val="left"/>
    </w:lvl>
    <w:lvl w:ilvl="4" w:tplc="45CAAA68">
      <w:numFmt w:val="decimal"/>
      <w:lvlText w:val=""/>
      <w:lvlJc w:val="left"/>
    </w:lvl>
    <w:lvl w:ilvl="5" w:tplc="C74E7ED8">
      <w:numFmt w:val="decimal"/>
      <w:lvlText w:val=""/>
      <w:lvlJc w:val="left"/>
    </w:lvl>
    <w:lvl w:ilvl="6" w:tplc="8ECE0CD6">
      <w:numFmt w:val="decimal"/>
      <w:lvlText w:val=""/>
      <w:lvlJc w:val="left"/>
    </w:lvl>
    <w:lvl w:ilvl="7" w:tplc="F2ECD506">
      <w:numFmt w:val="decimal"/>
      <w:lvlText w:val=""/>
      <w:lvlJc w:val="left"/>
    </w:lvl>
    <w:lvl w:ilvl="8" w:tplc="F07EB452">
      <w:numFmt w:val="decimal"/>
      <w:lvlText w:val=""/>
      <w:lvlJc w:val="left"/>
    </w:lvl>
  </w:abstractNum>
  <w:abstractNum w:abstractNumId="41" w15:restartNumberingAfterBreak="0">
    <w:nsid w:val="68100A0D"/>
    <w:multiLevelType w:val="hybridMultilevel"/>
    <w:tmpl w:val="385EC65A"/>
    <w:lvl w:ilvl="0" w:tplc="F38A95FA">
      <w:start w:val="3"/>
      <w:numFmt w:val="bullet"/>
      <w:lvlText w:val="-"/>
      <w:lvlJc w:val="left"/>
      <w:pPr>
        <w:ind w:left="720" w:hanging="360"/>
      </w:pPr>
      <w:rPr>
        <w:rFonts w:ascii="Times New Roman" w:eastAsia="Times New Roman" w:hAnsi="Times New Roman" w:cs="Times New Roman"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42" w15:restartNumberingAfterBreak="0">
    <w:nsid w:val="6ECE91F0"/>
    <w:multiLevelType w:val="hybridMultilevel"/>
    <w:tmpl w:val="EAEA9E2A"/>
    <w:lvl w:ilvl="0" w:tplc="274865E0">
      <w:start w:val="1"/>
      <w:numFmt w:val="bullet"/>
      <w:lvlText w:val="+"/>
      <w:lvlJc w:val="left"/>
    </w:lvl>
    <w:lvl w:ilvl="1" w:tplc="D49269A4">
      <w:numFmt w:val="decimal"/>
      <w:lvlText w:val=""/>
      <w:lvlJc w:val="left"/>
    </w:lvl>
    <w:lvl w:ilvl="2" w:tplc="19F638D4">
      <w:numFmt w:val="decimal"/>
      <w:lvlText w:val=""/>
      <w:lvlJc w:val="left"/>
    </w:lvl>
    <w:lvl w:ilvl="3" w:tplc="8B2CAC6A">
      <w:numFmt w:val="decimal"/>
      <w:lvlText w:val=""/>
      <w:lvlJc w:val="left"/>
    </w:lvl>
    <w:lvl w:ilvl="4" w:tplc="CA747B40">
      <w:numFmt w:val="decimal"/>
      <w:lvlText w:val=""/>
      <w:lvlJc w:val="left"/>
    </w:lvl>
    <w:lvl w:ilvl="5" w:tplc="D4A65EC0">
      <w:numFmt w:val="decimal"/>
      <w:lvlText w:val=""/>
      <w:lvlJc w:val="left"/>
    </w:lvl>
    <w:lvl w:ilvl="6" w:tplc="51E65FB2">
      <w:numFmt w:val="decimal"/>
      <w:lvlText w:val=""/>
      <w:lvlJc w:val="left"/>
    </w:lvl>
    <w:lvl w:ilvl="7" w:tplc="9A96E9DA">
      <w:numFmt w:val="decimal"/>
      <w:lvlText w:val=""/>
      <w:lvlJc w:val="left"/>
    </w:lvl>
    <w:lvl w:ilvl="8" w:tplc="10CE1092">
      <w:numFmt w:val="decimal"/>
      <w:lvlText w:val=""/>
      <w:lvlJc w:val="left"/>
    </w:lvl>
  </w:abstractNum>
  <w:abstractNum w:abstractNumId="43" w15:restartNumberingAfterBreak="0">
    <w:nsid w:val="70EC11B2"/>
    <w:multiLevelType w:val="hybridMultilevel"/>
    <w:tmpl w:val="7A7205F0"/>
    <w:lvl w:ilvl="0" w:tplc="3184128E">
      <w:start w:val="1"/>
      <w:numFmt w:val="lowerLetter"/>
      <w:lvlText w:val="%1)"/>
      <w:lvlJc w:val="left"/>
    </w:lvl>
    <w:lvl w:ilvl="1" w:tplc="4CF832AA">
      <w:numFmt w:val="decimal"/>
      <w:lvlText w:val=""/>
      <w:lvlJc w:val="left"/>
    </w:lvl>
    <w:lvl w:ilvl="2" w:tplc="1DD6DFBE">
      <w:numFmt w:val="decimal"/>
      <w:lvlText w:val=""/>
      <w:lvlJc w:val="left"/>
    </w:lvl>
    <w:lvl w:ilvl="3" w:tplc="39B65E74">
      <w:numFmt w:val="decimal"/>
      <w:lvlText w:val=""/>
      <w:lvlJc w:val="left"/>
    </w:lvl>
    <w:lvl w:ilvl="4" w:tplc="107EFB06">
      <w:numFmt w:val="decimal"/>
      <w:lvlText w:val=""/>
      <w:lvlJc w:val="left"/>
    </w:lvl>
    <w:lvl w:ilvl="5" w:tplc="C0866F58">
      <w:numFmt w:val="decimal"/>
      <w:lvlText w:val=""/>
      <w:lvlJc w:val="left"/>
    </w:lvl>
    <w:lvl w:ilvl="6" w:tplc="EFD45D84">
      <w:numFmt w:val="decimal"/>
      <w:lvlText w:val=""/>
      <w:lvlJc w:val="left"/>
    </w:lvl>
    <w:lvl w:ilvl="7" w:tplc="149AB274">
      <w:numFmt w:val="decimal"/>
      <w:lvlText w:val=""/>
      <w:lvlJc w:val="left"/>
    </w:lvl>
    <w:lvl w:ilvl="8" w:tplc="A710C03E">
      <w:numFmt w:val="decimal"/>
      <w:lvlText w:val=""/>
      <w:lvlJc w:val="left"/>
    </w:lvl>
  </w:abstractNum>
  <w:abstractNum w:abstractNumId="44" w15:restartNumberingAfterBreak="0">
    <w:nsid w:val="718FABF9"/>
    <w:multiLevelType w:val="hybridMultilevel"/>
    <w:tmpl w:val="DDDAB19E"/>
    <w:lvl w:ilvl="0" w:tplc="78B8891E">
      <w:start w:val="1"/>
      <w:numFmt w:val="bullet"/>
      <w:lvlText w:val="-"/>
      <w:lvlJc w:val="left"/>
    </w:lvl>
    <w:lvl w:ilvl="1" w:tplc="A8AC5A80">
      <w:numFmt w:val="decimal"/>
      <w:lvlText w:val=""/>
      <w:lvlJc w:val="left"/>
    </w:lvl>
    <w:lvl w:ilvl="2" w:tplc="7CF2CC36">
      <w:numFmt w:val="decimal"/>
      <w:lvlText w:val=""/>
      <w:lvlJc w:val="left"/>
    </w:lvl>
    <w:lvl w:ilvl="3" w:tplc="B60EB644">
      <w:numFmt w:val="decimal"/>
      <w:lvlText w:val=""/>
      <w:lvlJc w:val="left"/>
    </w:lvl>
    <w:lvl w:ilvl="4" w:tplc="F94CA102">
      <w:numFmt w:val="decimal"/>
      <w:lvlText w:val=""/>
      <w:lvlJc w:val="left"/>
    </w:lvl>
    <w:lvl w:ilvl="5" w:tplc="4CFA7066">
      <w:numFmt w:val="decimal"/>
      <w:lvlText w:val=""/>
      <w:lvlJc w:val="left"/>
    </w:lvl>
    <w:lvl w:ilvl="6" w:tplc="7D7C5C26">
      <w:numFmt w:val="decimal"/>
      <w:lvlText w:val=""/>
      <w:lvlJc w:val="left"/>
    </w:lvl>
    <w:lvl w:ilvl="7" w:tplc="AAE49104">
      <w:numFmt w:val="decimal"/>
      <w:lvlText w:val=""/>
      <w:lvlJc w:val="left"/>
    </w:lvl>
    <w:lvl w:ilvl="8" w:tplc="C1F0CAF0">
      <w:numFmt w:val="decimal"/>
      <w:lvlText w:val=""/>
      <w:lvlJc w:val="left"/>
    </w:lvl>
  </w:abstractNum>
  <w:abstractNum w:abstractNumId="45" w15:restartNumberingAfterBreak="0">
    <w:nsid w:val="73209072"/>
    <w:multiLevelType w:val="hybridMultilevel"/>
    <w:tmpl w:val="24B6CCF6"/>
    <w:lvl w:ilvl="0" w:tplc="85AC9EE8">
      <w:start w:val="1"/>
      <w:numFmt w:val="lowerLetter"/>
      <w:lvlText w:val="%1)"/>
      <w:lvlJc w:val="left"/>
    </w:lvl>
    <w:lvl w:ilvl="1" w:tplc="9BEC3A26">
      <w:numFmt w:val="decimal"/>
      <w:lvlText w:val=""/>
      <w:lvlJc w:val="left"/>
    </w:lvl>
    <w:lvl w:ilvl="2" w:tplc="56FC9B04">
      <w:numFmt w:val="decimal"/>
      <w:lvlText w:val=""/>
      <w:lvlJc w:val="left"/>
    </w:lvl>
    <w:lvl w:ilvl="3" w:tplc="6AD4DA22">
      <w:numFmt w:val="decimal"/>
      <w:lvlText w:val=""/>
      <w:lvlJc w:val="left"/>
    </w:lvl>
    <w:lvl w:ilvl="4" w:tplc="F3C2F4BE">
      <w:numFmt w:val="decimal"/>
      <w:lvlText w:val=""/>
      <w:lvlJc w:val="left"/>
    </w:lvl>
    <w:lvl w:ilvl="5" w:tplc="9FAAE43C">
      <w:numFmt w:val="decimal"/>
      <w:lvlText w:val=""/>
      <w:lvlJc w:val="left"/>
    </w:lvl>
    <w:lvl w:ilvl="6" w:tplc="79F06798">
      <w:numFmt w:val="decimal"/>
      <w:lvlText w:val=""/>
      <w:lvlJc w:val="left"/>
    </w:lvl>
    <w:lvl w:ilvl="7" w:tplc="A7AA9EA0">
      <w:numFmt w:val="decimal"/>
      <w:lvlText w:val=""/>
      <w:lvlJc w:val="left"/>
    </w:lvl>
    <w:lvl w:ilvl="8" w:tplc="FD4623A6">
      <w:numFmt w:val="decimal"/>
      <w:lvlText w:val=""/>
      <w:lvlJc w:val="left"/>
    </w:lvl>
  </w:abstractNum>
  <w:abstractNum w:abstractNumId="46"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7" w15:restartNumberingAfterBreak="0">
    <w:nsid w:val="7775797C"/>
    <w:multiLevelType w:val="hybridMultilevel"/>
    <w:tmpl w:val="D4AA240A"/>
    <w:lvl w:ilvl="0" w:tplc="0356737E">
      <w:start w:val="1"/>
      <w:numFmt w:val="bullet"/>
      <w:lvlText w:val="•"/>
      <w:lvlJc w:val="left"/>
    </w:lvl>
    <w:lvl w:ilvl="1" w:tplc="0C0C8808">
      <w:numFmt w:val="decimal"/>
      <w:lvlText w:val=""/>
      <w:lvlJc w:val="left"/>
    </w:lvl>
    <w:lvl w:ilvl="2" w:tplc="2286F21A">
      <w:numFmt w:val="decimal"/>
      <w:lvlText w:val=""/>
      <w:lvlJc w:val="left"/>
    </w:lvl>
    <w:lvl w:ilvl="3" w:tplc="88FA8680">
      <w:numFmt w:val="decimal"/>
      <w:lvlText w:val=""/>
      <w:lvlJc w:val="left"/>
    </w:lvl>
    <w:lvl w:ilvl="4" w:tplc="73949722">
      <w:numFmt w:val="decimal"/>
      <w:lvlText w:val=""/>
      <w:lvlJc w:val="left"/>
    </w:lvl>
    <w:lvl w:ilvl="5" w:tplc="9E3E5172">
      <w:numFmt w:val="decimal"/>
      <w:lvlText w:val=""/>
      <w:lvlJc w:val="left"/>
    </w:lvl>
    <w:lvl w:ilvl="6" w:tplc="131A526A">
      <w:numFmt w:val="decimal"/>
      <w:lvlText w:val=""/>
      <w:lvlJc w:val="left"/>
    </w:lvl>
    <w:lvl w:ilvl="7" w:tplc="0AEC6450">
      <w:numFmt w:val="decimal"/>
      <w:lvlText w:val=""/>
      <w:lvlJc w:val="left"/>
    </w:lvl>
    <w:lvl w:ilvl="8" w:tplc="C5083576">
      <w:numFmt w:val="decimal"/>
      <w:lvlText w:val=""/>
      <w:lvlJc w:val="left"/>
    </w:lvl>
  </w:abstractNum>
  <w:abstractNum w:abstractNumId="48" w15:restartNumberingAfterBreak="0">
    <w:nsid w:val="78A24407"/>
    <w:multiLevelType w:val="hybridMultilevel"/>
    <w:tmpl w:val="E7E6F14C"/>
    <w:lvl w:ilvl="0" w:tplc="F99EDB08">
      <w:numFmt w:val="bullet"/>
      <w:lvlText w:val="-"/>
      <w:lvlJc w:val="left"/>
      <w:pPr>
        <w:tabs>
          <w:tab w:val="num" w:pos="567"/>
        </w:tabs>
        <w:ind w:left="567" w:hanging="56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92B8401"/>
    <w:multiLevelType w:val="hybridMultilevel"/>
    <w:tmpl w:val="DD8A88E4"/>
    <w:lvl w:ilvl="0" w:tplc="35602A42">
      <w:start w:val="1"/>
      <w:numFmt w:val="bullet"/>
      <w:lvlText w:val="*"/>
      <w:lvlJc w:val="left"/>
    </w:lvl>
    <w:lvl w:ilvl="1" w:tplc="AA028A66">
      <w:numFmt w:val="decimal"/>
      <w:lvlText w:val=""/>
      <w:lvlJc w:val="left"/>
    </w:lvl>
    <w:lvl w:ilvl="2" w:tplc="DA44092E">
      <w:numFmt w:val="decimal"/>
      <w:lvlText w:val=""/>
      <w:lvlJc w:val="left"/>
    </w:lvl>
    <w:lvl w:ilvl="3" w:tplc="7786E4BC">
      <w:numFmt w:val="decimal"/>
      <w:lvlText w:val=""/>
      <w:lvlJc w:val="left"/>
    </w:lvl>
    <w:lvl w:ilvl="4" w:tplc="8954C194">
      <w:numFmt w:val="decimal"/>
      <w:lvlText w:val=""/>
      <w:lvlJc w:val="left"/>
    </w:lvl>
    <w:lvl w:ilvl="5" w:tplc="C19ADBC0">
      <w:numFmt w:val="decimal"/>
      <w:lvlText w:val=""/>
      <w:lvlJc w:val="left"/>
    </w:lvl>
    <w:lvl w:ilvl="6" w:tplc="EBEA1A0C">
      <w:numFmt w:val="decimal"/>
      <w:lvlText w:val=""/>
      <w:lvlJc w:val="left"/>
    </w:lvl>
    <w:lvl w:ilvl="7" w:tplc="B6C88E04">
      <w:numFmt w:val="decimal"/>
      <w:lvlText w:val=""/>
      <w:lvlJc w:val="left"/>
    </w:lvl>
    <w:lvl w:ilvl="8" w:tplc="BF5A60E4">
      <w:numFmt w:val="decimal"/>
      <w:lvlText w:val=""/>
      <w:lvlJc w:val="left"/>
    </w:lvl>
  </w:abstractNum>
  <w:num w:numId="1">
    <w:abstractNumId w:val="30"/>
  </w:num>
  <w:num w:numId="2">
    <w:abstractNumId w:val="48"/>
  </w:num>
  <w:num w:numId="3">
    <w:abstractNumId w:val="20"/>
  </w:num>
  <w:num w:numId="4">
    <w:abstractNumId w:val="35"/>
  </w:num>
  <w:num w:numId="5">
    <w:abstractNumId w:val="41"/>
  </w:num>
  <w:num w:numId="6">
    <w:abstractNumId w:val="15"/>
  </w:num>
  <w:num w:numId="7">
    <w:abstractNumId w:val="7"/>
  </w:num>
  <w:num w:numId="8">
    <w:abstractNumId w:val="33"/>
  </w:num>
  <w:num w:numId="9">
    <w:abstractNumId w:val="26"/>
  </w:num>
  <w:num w:numId="10">
    <w:abstractNumId w:val="22"/>
  </w:num>
  <w:num w:numId="11">
    <w:abstractNumId w:val="14"/>
  </w:num>
  <w:num w:numId="12">
    <w:abstractNumId w:val="6"/>
    <w:lvlOverride w:ilvl="0">
      <w:startOverride w:val="7"/>
    </w:lvlOverride>
  </w:num>
  <w:num w:numId="13">
    <w:abstractNumId w:val="46"/>
  </w:num>
  <w:num w:numId="14">
    <w:abstractNumId w:val="38"/>
  </w:num>
  <w:num w:numId="15">
    <w:abstractNumId w:val="44"/>
  </w:num>
  <w:num w:numId="16">
    <w:abstractNumId w:val="34"/>
  </w:num>
  <w:num w:numId="17">
    <w:abstractNumId w:val="47"/>
  </w:num>
  <w:num w:numId="18">
    <w:abstractNumId w:val="11"/>
  </w:num>
  <w:num w:numId="19">
    <w:abstractNumId w:val="27"/>
  </w:num>
  <w:num w:numId="20">
    <w:abstractNumId w:val="29"/>
  </w:num>
  <w:num w:numId="21">
    <w:abstractNumId w:val="40"/>
  </w:num>
  <w:num w:numId="22">
    <w:abstractNumId w:val="10"/>
  </w:num>
  <w:num w:numId="23">
    <w:abstractNumId w:val="19"/>
  </w:num>
  <w:num w:numId="24">
    <w:abstractNumId w:val="43"/>
  </w:num>
  <w:num w:numId="25">
    <w:abstractNumId w:val="23"/>
  </w:num>
  <w:num w:numId="26">
    <w:abstractNumId w:val="45"/>
  </w:num>
  <w:num w:numId="27">
    <w:abstractNumId w:val="37"/>
  </w:num>
  <w:num w:numId="28">
    <w:abstractNumId w:val="28"/>
  </w:num>
  <w:num w:numId="29">
    <w:abstractNumId w:val="17"/>
  </w:num>
  <w:num w:numId="30">
    <w:abstractNumId w:val="49"/>
  </w:num>
  <w:num w:numId="31">
    <w:abstractNumId w:val="9"/>
  </w:num>
  <w:num w:numId="32">
    <w:abstractNumId w:val="42"/>
  </w:num>
  <w:num w:numId="33">
    <w:abstractNumId w:val="31"/>
  </w:num>
  <w:num w:numId="34">
    <w:abstractNumId w:val="8"/>
  </w:num>
  <w:num w:numId="35">
    <w:abstractNumId w:val="13"/>
  </w:num>
  <w:num w:numId="36">
    <w:abstractNumId w:val="2"/>
  </w:num>
  <w:num w:numId="37">
    <w:abstractNumId w:val="1"/>
  </w:num>
  <w:num w:numId="38">
    <w:abstractNumId w:val="0"/>
  </w:num>
  <w:num w:numId="39">
    <w:abstractNumId w:val="32"/>
  </w:num>
  <w:num w:numId="40">
    <w:abstractNumId w:val="5"/>
  </w:num>
  <w:num w:numId="41">
    <w:abstractNumId w:val="4"/>
  </w:num>
  <w:num w:numId="42">
    <w:abstractNumId w:val="3"/>
  </w:num>
  <w:num w:numId="43">
    <w:abstractNumId w:val="21"/>
  </w:num>
  <w:num w:numId="44">
    <w:abstractNumId w:val="39"/>
  </w:num>
  <w:num w:numId="45">
    <w:abstractNumId w:val="25"/>
  </w:num>
  <w:num w:numId="46">
    <w:abstractNumId w:val="16"/>
  </w:num>
  <w:num w:numId="47">
    <w:abstractNumId w:val="24"/>
  </w:num>
  <w:num w:numId="48">
    <w:abstractNumId w:val="36"/>
  </w:num>
  <w:num w:numId="49">
    <w:abstractNumId w:val="12"/>
  </w:num>
  <w:num w:numId="5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0144C"/>
    <w:rsid w:val="00017BFE"/>
    <w:rsid w:val="00020FE1"/>
    <w:rsid w:val="00025284"/>
    <w:rsid w:val="00033861"/>
    <w:rsid w:val="00035320"/>
    <w:rsid w:val="000503A0"/>
    <w:rsid w:val="00053984"/>
    <w:rsid w:val="00053E50"/>
    <w:rsid w:val="00063F3C"/>
    <w:rsid w:val="000656BA"/>
    <w:rsid w:val="00073108"/>
    <w:rsid w:val="00083E50"/>
    <w:rsid w:val="0008508C"/>
    <w:rsid w:val="00085BD8"/>
    <w:rsid w:val="000907D3"/>
    <w:rsid w:val="0009563C"/>
    <w:rsid w:val="000A0D7B"/>
    <w:rsid w:val="000A1C1C"/>
    <w:rsid w:val="000B7EE8"/>
    <w:rsid w:val="000D1DD3"/>
    <w:rsid w:val="000D5DC3"/>
    <w:rsid w:val="000F3920"/>
    <w:rsid w:val="00116FE6"/>
    <w:rsid w:val="00124F3E"/>
    <w:rsid w:val="00130B8E"/>
    <w:rsid w:val="00131885"/>
    <w:rsid w:val="00132E80"/>
    <w:rsid w:val="00152453"/>
    <w:rsid w:val="00164F18"/>
    <w:rsid w:val="00171C7C"/>
    <w:rsid w:val="0018434B"/>
    <w:rsid w:val="001918D2"/>
    <w:rsid w:val="001A588C"/>
    <w:rsid w:val="001B6738"/>
    <w:rsid w:val="001C7B92"/>
    <w:rsid w:val="001D089B"/>
    <w:rsid w:val="001D106A"/>
    <w:rsid w:val="001D1F32"/>
    <w:rsid w:val="001E1A58"/>
    <w:rsid w:val="001F235D"/>
    <w:rsid w:val="001F5CCA"/>
    <w:rsid w:val="00202A53"/>
    <w:rsid w:val="002152A7"/>
    <w:rsid w:val="00225FEB"/>
    <w:rsid w:val="0023169F"/>
    <w:rsid w:val="00231E9F"/>
    <w:rsid w:val="002326BA"/>
    <w:rsid w:val="00233833"/>
    <w:rsid w:val="002476B5"/>
    <w:rsid w:val="0025359E"/>
    <w:rsid w:val="0025425D"/>
    <w:rsid w:val="00260F82"/>
    <w:rsid w:val="00261212"/>
    <w:rsid w:val="00261EC8"/>
    <w:rsid w:val="00262D3C"/>
    <w:rsid w:val="00265FA8"/>
    <w:rsid w:val="00286B28"/>
    <w:rsid w:val="00290915"/>
    <w:rsid w:val="00294BF1"/>
    <w:rsid w:val="002C43C6"/>
    <w:rsid w:val="002C6E5A"/>
    <w:rsid w:val="002D0CAF"/>
    <w:rsid w:val="002D7F4A"/>
    <w:rsid w:val="003054D4"/>
    <w:rsid w:val="0030589C"/>
    <w:rsid w:val="00313CF5"/>
    <w:rsid w:val="003269F7"/>
    <w:rsid w:val="003332DC"/>
    <w:rsid w:val="00335275"/>
    <w:rsid w:val="00350683"/>
    <w:rsid w:val="003604DA"/>
    <w:rsid w:val="00361290"/>
    <w:rsid w:val="00364867"/>
    <w:rsid w:val="0037233F"/>
    <w:rsid w:val="00387765"/>
    <w:rsid w:val="003969EC"/>
    <w:rsid w:val="003A5432"/>
    <w:rsid w:val="003A693F"/>
    <w:rsid w:val="003A7ECA"/>
    <w:rsid w:val="003B2B60"/>
    <w:rsid w:val="003C545B"/>
    <w:rsid w:val="003D4284"/>
    <w:rsid w:val="003E28D1"/>
    <w:rsid w:val="003E2AC3"/>
    <w:rsid w:val="003E2FA2"/>
    <w:rsid w:val="003F03CB"/>
    <w:rsid w:val="003F2E18"/>
    <w:rsid w:val="00403FC0"/>
    <w:rsid w:val="0043022C"/>
    <w:rsid w:val="004438BB"/>
    <w:rsid w:val="00450430"/>
    <w:rsid w:val="00461135"/>
    <w:rsid w:val="0046117D"/>
    <w:rsid w:val="004617E9"/>
    <w:rsid w:val="004719E0"/>
    <w:rsid w:val="004723DF"/>
    <w:rsid w:val="00481650"/>
    <w:rsid w:val="004861A7"/>
    <w:rsid w:val="00496E3E"/>
    <w:rsid w:val="00496F54"/>
    <w:rsid w:val="004976FB"/>
    <w:rsid w:val="00497B1F"/>
    <w:rsid w:val="004B2572"/>
    <w:rsid w:val="004B6EF1"/>
    <w:rsid w:val="004F7CA9"/>
    <w:rsid w:val="00506B6C"/>
    <w:rsid w:val="00512448"/>
    <w:rsid w:val="0051525E"/>
    <w:rsid w:val="005153D6"/>
    <w:rsid w:val="00530358"/>
    <w:rsid w:val="0053762A"/>
    <w:rsid w:val="00544CA5"/>
    <w:rsid w:val="00553B69"/>
    <w:rsid w:val="0056141D"/>
    <w:rsid w:val="00562C64"/>
    <w:rsid w:val="00570A65"/>
    <w:rsid w:val="0058018A"/>
    <w:rsid w:val="00597061"/>
    <w:rsid w:val="005A5D6A"/>
    <w:rsid w:val="005B19F3"/>
    <w:rsid w:val="005B57A2"/>
    <w:rsid w:val="005C19C3"/>
    <w:rsid w:val="005C57FA"/>
    <w:rsid w:val="005C7559"/>
    <w:rsid w:val="005D0A38"/>
    <w:rsid w:val="005D2F7A"/>
    <w:rsid w:val="005E3EBE"/>
    <w:rsid w:val="005F00BE"/>
    <w:rsid w:val="005F325B"/>
    <w:rsid w:val="00612BE8"/>
    <w:rsid w:val="00612E2F"/>
    <w:rsid w:val="00613D83"/>
    <w:rsid w:val="00616BA0"/>
    <w:rsid w:val="00624861"/>
    <w:rsid w:val="00624CB1"/>
    <w:rsid w:val="00630CD9"/>
    <w:rsid w:val="006313E0"/>
    <w:rsid w:val="00655057"/>
    <w:rsid w:val="0065724C"/>
    <w:rsid w:val="006640D0"/>
    <w:rsid w:val="00670FCC"/>
    <w:rsid w:val="00681659"/>
    <w:rsid w:val="00687AA8"/>
    <w:rsid w:val="0069433E"/>
    <w:rsid w:val="00695C8A"/>
    <w:rsid w:val="00697E27"/>
    <w:rsid w:val="006A11F5"/>
    <w:rsid w:val="006B3DA9"/>
    <w:rsid w:val="006B3EA0"/>
    <w:rsid w:val="006B5B9F"/>
    <w:rsid w:val="006C4F0C"/>
    <w:rsid w:val="006E147C"/>
    <w:rsid w:val="006F2524"/>
    <w:rsid w:val="006F5C71"/>
    <w:rsid w:val="0070073C"/>
    <w:rsid w:val="007018B7"/>
    <w:rsid w:val="00703A5C"/>
    <w:rsid w:val="00707743"/>
    <w:rsid w:val="00707F40"/>
    <w:rsid w:val="0071171F"/>
    <w:rsid w:val="007246D9"/>
    <w:rsid w:val="007318EC"/>
    <w:rsid w:val="007366A0"/>
    <w:rsid w:val="00741785"/>
    <w:rsid w:val="00747C4B"/>
    <w:rsid w:val="007669F5"/>
    <w:rsid w:val="00771286"/>
    <w:rsid w:val="00780C66"/>
    <w:rsid w:val="007827BE"/>
    <w:rsid w:val="00795452"/>
    <w:rsid w:val="007959D6"/>
    <w:rsid w:val="007A604C"/>
    <w:rsid w:val="007A60C9"/>
    <w:rsid w:val="007C17AA"/>
    <w:rsid w:val="007E11D6"/>
    <w:rsid w:val="007F323D"/>
    <w:rsid w:val="007F3438"/>
    <w:rsid w:val="007F3744"/>
    <w:rsid w:val="007F53CB"/>
    <w:rsid w:val="00801AED"/>
    <w:rsid w:val="008067D5"/>
    <w:rsid w:val="00811C39"/>
    <w:rsid w:val="0081743A"/>
    <w:rsid w:val="00820B0D"/>
    <w:rsid w:val="00822759"/>
    <w:rsid w:val="00822CEF"/>
    <w:rsid w:val="00825C29"/>
    <w:rsid w:val="0083113D"/>
    <w:rsid w:val="008325C9"/>
    <w:rsid w:val="00832B92"/>
    <w:rsid w:val="00846B51"/>
    <w:rsid w:val="0085085F"/>
    <w:rsid w:val="00860A7E"/>
    <w:rsid w:val="008802BB"/>
    <w:rsid w:val="00883AF2"/>
    <w:rsid w:val="008908E0"/>
    <w:rsid w:val="008C01F8"/>
    <w:rsid w:val="008C2145"/>
    <w:rsid w:val="008C40F1"/>
    <w:rsid w:val="008C6568"/>
    <w:rsid w:val="008D223A"/>
    <w:rsid w:val="008E33B0"/>
    <w:rsid w:val="008E722B"/>
    <w:rsid w:val="008E7572"/>
    <w:rsid w:val="008F049A"/>
    <w:rsid w:val="008F1B8F"/>
    <w:rsid w:val="008F270B"/>
    <w:rsid w:val="00901CBF"/>
    <w:rsid w:val="00905570"/>
    <w:rsid w:val="009132CA"/>
    <w:rsid w:val="009179A4"/>
    <w:rsid w:val="00922A11"/>
    <w:rsid w:val="009233EB"/>
    <w:rsid w:val="00924CB9"/>
    <w:rsid w:val="00927289"/>
    <w:rsid w:val="009318B4"/>
    <w:rsid w:val="00934541"/>
    <w:rsid w:val="00942DC0"/>
    <w:rsid w:val="00945B57"/>
    <w:rsid w:val="00952D19"/>
    <w:rsid w:val="009565FD"/>
    <w:rsid w:val="00957249"/>
    <w:rsid w:val="00966B7A"/>
    <w:rsid w:val="00966D71"/>
    <w:rsid w:val="00977B40"/>
    <w:rsid w:val="00977F34"/>
    <w:rsid w:val="0098052C"/>
    <w:rsid w:val="009808E6"/>
    <w:rsid w:val="00980CE1"/>
    <w:rsid w:val="00984914"/>
    <w:rsid w:val="00985BFB"/>
    <w:rsid w:val="0099152B"/>
    <w:rsid w:val="009A5215"/>
    <w:rsid w:val="009A73A9"/>
    <w:rsid w:val="009B5C34"/>
    <w:rsid w:val="009C3CE1"/>
    <w:rsid w:val="009E46BA"/>
    <w:rsid w:val="009F2C57"/>
    <w:rsid w:val="009F614B"/>
    <w:rsid w:val="00A03886"/>
    <w:rsid w:val="00A06058"/>
    <w:rsid w:val="00A119E1"/>
    <w:rsid w:val="00A12A79"/>
    <w:rsid w:val="00A4128F"/>
    <w:rsid w:val="00A42612"/>
    <w:rsid w:val="00A4614D"/>
    <w:rsid w:val="00A46F35"/>
    <w:rsid w:val="00A50790"/>
    <w:rsid w:val="00A529CA"/>
    <w:rsid w:val="00A5366B"/>
    <w:rsid w:val="00A61D08"/>
    <w:rsid w:val="00A65BBD"/>
    <w:rsid w:val="00A75A88"/>
    <w:rsid w:val="00A93360"/>
    <w:rsid w:val="00AA0947"/>
    <w:rsid w:val="00AA45FF"/>
    <w:rsid w:val="00AA7DC7"/>
    <w:rsid w:val="00AB66B4"/>
    <w:rsid w:val="00AC4F6B"/>
    <w:rsid w:val="00AD7F45"/>
    <w:rsid w:val="00AE03C8"/>
    <w:rsid w:val="00AE250A"/>
    <w:rsid w:val="00AE32C7"/>
    <w:rsid w:val="00AE6F87"/>
    <w:rsid w:val="00AF6F1C"/>
    <w:rsid w:val="00B11220"/>
    <w:rsid w:val="00B12B35"/>
    <w:rsid w:val="00B229A3"/>
    <w:rsid w:val="00B234CE"/>
    <w:rsid w:val="00B25BAD"/>
    <w:rsid w:val="00B302B8"/>
    <w:rsid w:val="00B31277"/>
    <w:rsid w:val="00B33223"/>
    <w:rsid w:val="00B34AF2"/>
    <w:rsid w:val="00B35A97"/>
    <w:rsid w:val="00B36DE2"/>
    <w:rsid w:val="00B565BB"/>
    <w:rsid w:val="00B57F11"/>
    <w:rsid w:val="00B60015"/>
    <w:rsid w:val="00B6073F"/>
    <w:rsid w:val="00B62EB1"/>
    <w:rsid w:val="00B65402"/>
    <w:rsid w:val="00B75781"/>
    <w:rsid w:val="00B81DC7"/>
    <w:rsid w:val="00B91886"/>
    <w:rsid w:val="00BB00BE"/>
    <w:rsid w:val="00BB3D21"/>
    <w:rsid w:val="00BC027D"/>
    <w:rsid w:val="00BC7CAE"/>
    <w:rsid w:val="00BD45B8"/>
    <w:rsid w:val="00BD6FA7"/>
    <w:rsid w:val="00BE0AC2"/>
    <w:rsid w:val="00BE4E80"/>
    <w:rsid w:val="00BE529D"/>
    <w:rsid w:val="00BE6A64"/>
    <w:rsid w:val="00C07E52"/>
    <w:rsid w:val="00C149A5"/>
    <w:rsid w:val="00C26C2F"/>
    <w:rsid w:val="00C339B6"/>
    <w:rsid w:val="00C41BDD"/>
    <w:rsid w:val="00C4240B"/>
    <w:rsid w:val="00C45249"/>
    <w:rsid w:val="00C45676"/>
    <w:rsid w:val="00C51B90"/>
    <w:rsid w:val="00C60CE0"/>
    <w:rsid w:val="00C65CF9"/>
    <w:rsid w:val="00C71D7C"/>
    <w:rsid w:val="00C809AB"/>
    <w:rsid w:val="00C81F5B"/>
    <w:rsid w:val="00CA0A16"/>
    <w:rsid w:val="00CA0CFE"/>
    <w:rsid w:val="00CA2528"/>
    <w:rsid w:val="00CA414E"/>
    <w:rsid w:val="00CA60F0"/>
    <w:rsid w:val="00CB58D5"/>
    <w:rsid w:val="00CB5DE8"/>
    <w:rsid w:val="00CD6A64"/>
    <w:rsid w:val="00CE7869"/>
    <w:rsid w:val="00CF53AE"/>
    <w:rsid w:val="00D023E4"/>
    <w:rsid w:val="00D074A1"/>
    <w:rsid w:val="00D106D3"/>
    <w:rsid w:val="00D1083C"/>
    <w:rsid w:val="00D115CB"/>
    <w:rsid w:val="00D14FCD"/>
    <w:rsid w:val="00D20A55"/>
    <w:rsid w:val="00D214D9"/>
    <w:rsid w:val="00D33E45"/>
    <w:rsid w:val="00D35F06"/>
    <w:rsid w:val="00D35F58"/>
    <w:rsid w:val="00D40472"/>
    <w:rsid w:val="00D45AFE"/>
    <w:rsid w:val="00D47472"/>
    <w:rsid w:val="00D515DF"/>
    <w:rsid w:val="00D51795"/>
    <w:rsid w:val="00D5793C"/>
    <w:rsid w:val="00D63FB4"/>
    <w:rsid w:val="00D66AB1"/>
    <w:rsid w:val="00D720C4"/>
    <w:rsid w:val="00D77CB3"/>
    <w:rsid w:val="00D817C7"/>
    <w:rsid w:val="00D93674"/>
    <w:rsid w:val="00D952B0"/>
    <w:rsid w:val="00DA4287"/>
    <w:rsid w:val="00DA59F2"/>
    <w:rsid w:val="00DA7169"/>
    <w:rsid w:val="00DB003A"/>
    <w:rsid w:val="00DC11C9"/>
    <w:rsid w:val="00DC1B4B"/>
    <w:rsid w:val="00DE1492"/>
    <w:rsid w:val="00DE14B2"/>
    <w:rsid w:val="00DE6F24"/>
    <w:rsid w:val="00E0627A"/>
    <w:rsid w:val="00E130C6"/>
    <w:rsid w:val="00E17C04"/>
    <w:rsid w:val="00E2580D"/>
    <w:rsid w:val="00E31E9D"/>
    <w:rsid w:val="00E34B3A"/>
    <w:rsid w:val="00E50FB3"/>
    <w:rsid w:val="00E52DF5"/>
    <w:rsid w:val="00E56A8B"/>
    <w:rsid w:val="00E67300"/>
    <w:rsid w:val="00E73FDA"/>
    <w:rsid w:val="00E764FC"/>
    <w:rsid w:val="00EB2A93"/>
    <w:rsid w:val="00EB5294"/>
    <w:rsid w:val="00EE0F4C"/>
    <w:rsid w:val="00EE7AAC"/>
    <w:rsid w:val="00EE7B63"/>
    <w:rsid w:val="00EF489F"/>
    <w:rsid w:val="00F025D1"/>
    <w:rsid w:val="00F122A6"/>
    <w:rsid w:val="00F14BB3"/>
    <w:rsid w:val="00F1527C"/>
    <w:rsid w:val="00F20449"/>
    <w:rsid w:val="00F2425B"/>
    <w:rsid w:val="00F27197"/>
    <w:rsid w:val="00F563FF"/>
    <w:rsid w:val="00F6065F"/>
    <w:rsid w:val="00F62EFA"/>
    <w:rsid w:val="00F6326A"/>
    <w:rsid w:val="00F74ECB"/>
    <w:rsid w:val="00F814FB"/>
    <w:rsid w:val="00F82661"/>
    <w:rsid w:val="00FA2F18"/>
    <w:rsid w:val="00FA7C6E"/>
    <w:rsid w:val="00FB3182"/>
    <w:rsid w:val="00FB50A8"/>
    <w:rsid w:val="00FB7201"/>
    <w:rsid w:val="00FD05FB"/>
    <w:rsid w:val="00FE689E"/>
    <w:rsid w:val="00FF2B5A"/>
    <w:rsid w:val="00FF672A"/>
    <w:rsid w:val="00FF6D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25339B"/>
  <w15:docId w15:val="{CA3CE2E3-6073-4E0B-9519-8ED6BB19B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sr-Cyrl-ME"/>
    </w:rPr>
  </w:style>
  <w:style w:type="paragraph" w:styleId="Heading1">
    <w:name w:val="heading 1"/>
    <w:basedOn w:val="Normal"/>
    <w:next w:val="Normal"/>
    <w:link w:val="Heading1Char"/>
    <w:uiPriority w:val="1"/>
    <w:qFormat/>
    <w:rsid w:val="0009563C"/>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09563C"/>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09563C"/>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09563C"/>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uiPriority w:val="1"/>
    <w:rsid w:val="0009563C"/>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09563C"/>
    <w:rPr>
      <w:rFonts w:ascii="Arial" w:eastAsia="Times New Roman" w:hAnsi="Arial" w:cs="Arial"/>
      <w:i/>
      <w:iCs/>
      <w:color w:val="999999"/>
      <w:sz w:val="18"/>
      <w:szCs w:val="24"/>
      <w:lang w:val="sr-Cyrl-ME"/>
    </w:rPr>
  </w:style>
  <w:style w:type="character" w:customStyle="1" w:styleId="Heading3Char">
    <w:name w:val="Heading 3 Char"/>
    <w:basedOn w:val="DefaultParagraphFont"/>
    <w:link w:val="Heading3"/>
    <w:rsid w:val="0009563C"/>
    <w:rPr>
      <w:rFonts w:ascii="Arial" w:eastAsia="Times New Roman" w:hAnsi="Arial" w:cs="Arial"/>
      <w:i/>
      <w:iCs/>
      <w:color w:val="999999"/>
      <w:sz w:val="18"/>
      <w:szCs w:val="24"/>
      <w:lang w:val="sr-Cyrl-ME"/>
    </w:rPr>
  </w:style>
  <w:style w:type="character" w:customStyle="1" w:styleId="Heading4Char">
    <w:name w:val="Heading 4 Char"/>
    <w:basedOn w:val="DefaultParagraphFont"/>
    <w:link w:val="Heading4"/>
    <w:rsid w:val="0009563C"/>
    <w:rPr>
      <w:rFonts w:ascii="Arial" w:eastAsia="Times New Roman" w:hAnsi="Arial" w:cs="Arial"/>
      <w:i/>
      <w:iCs/>
      <w:color w:val="999999"/>
      <w:sz w:val="16"/>
      <w:szCs w:val="24"/>
      <w:lang w:val="sr-Cyrl-ME"/>
    </w:rPr>
  </w:style>
  <w:style w:type="numbering" w:customStyle="1" w:styleId="NoList1">
    <w:name w:val="No List1"/>
    <w:next w:val="NoList"/>
    <w:semiHidden/>
    <w:unhideWhenUsed/>
    <w:rsid w:val="0009563C"/>
  </w:style>
  <w:style w:type="character" w:styleId="PageNumber">
    <w:name w:val="page number"/>
    <w:basedOn w:val="DefaultParagraphFont"/>
    <w:rsid w:val="0009563C"/>
  </w:style>
  <w:style w:type="character" w:styleId="CommentReference">
    <w:name w:val="annotation reference"/>
    <w:uiPriority w:val="99"/>
    <w:rsid w:val="0009563C"/>
    <w:rPr>
      <w:sz w:val="16"/>
      <w:szCs w:val="16"/>
    </w:rPr>
  </w:style>
  <w:style w:type="paragraph" w:styleId="CommentText">
    <w:name w:val="annotation text"/>
    <w:basedOn w:val="Normal"/>
    <w:link w:val="CommentTextChar"/>
    <w:uiPriority w:val="99"/>
    <w:semiHidden/>
    <w:rsid w:val="0009563C"/>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uiPriority w:val="99"/>
    <w:semiHidden/>
    <w:rsid w:val="0009563C"/>
    <w:rPr>
      <w:rFonts w:ascii="Humanist777" w:eastAsia="Times New Roman" w:hAnsi="Humanist777" w:cs="Times New Roman"/>
      <w:sz w:val="20"/>
      <w:szCs w:val="20"/>
      <w:lang w:val="sr-Cyrl-ME"/>
    </w:rPr>
  </w:style>
  <w:style w:type="paragraph" w:styleId="CommentSubject">
    <w:name w:val="annotation subject"/>
    <w:basedOn w:val="CommentText"/>
    <w:next w:val="CommentText"/>
    <w:link w:val="CommentSubjectChar"/>
    <w:uiPriority w:val="99"/>
    <w:semiHidden/>
    <w:rsid w:val="0009563C"/>
    <w:rPr>
      <w:b/>
      <w:bCs/>
    </w:rPr>
  </w:style>
  <w:style w:type="character" w:customStyle="1" w:styleId="CommentSubjectChar">
    <w:name w:val="Comment Subject Char"/>
    <w:basedOn w:val="CommentTextChar"/>
    <w:link w:val="CommentSubject"/>
    <w:uiPriority w:val="99"/>
    <w:semiHidden/>
    <w:rsid w:val="0009563C"/>
    <w:rPr>
      <w:rFonts w:ascii="Humanist777" w:eastAsia="Times New Roman" w:hAnsi="Humanist777" w:cs="Times New Roman"/>
      <w:b/>
      <w:bCs/>
      <w:sz w:val="20"/>
      <w:szCs w:val="20"/>
      <w:lang w:val="sr-Cyrl-ME"/>
    </w:rPr>
  </w:style>
  <w:style w:type="paragraph" w:styleId="BalloonText">
    <w:name w:val="Balloon Text"/>
    <w:basedOn w:val="Normal"/>
    <w:link w:val="BalloonTextChar"/>
    <w:uiPriority w:val="99"/>
    <w:semiHidden/>
    <w:rsid w:val="0009563C"/>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9563C"/>
    <w:rPr>
      <w:rFonts w:ascii="Tahoma" w:eastAsia="Times New Roman" w:hAnsi="Tahoma" w:cs="Tahoma"/>
      <w:sz w:val="16"/>
      <w:szCs w:val="16"/>
      <w:lang w:val="sr-Cyrl-ME"/>
    </w:rPr>
  </w:style>
  <w:style w:type="paragraph" w:styleId="NormalWeb">
    <w:name w:val="Normal (Web)"/>
    <w:basedOn w:val="Normal"/>
    <w:uiPriority w:val="99"/>
    <w:rsid w:val="0009563C"/>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odyText">
    <w:name w:val="Body Text"/>
    <w:basedOn w:val="Normal"/>
    <w:link w:val="BodyTextChar"/>
    <w:uiPriority w:val="1"/>
    <w:qFormat/>
    <w:rsid w:val="0009563C"/>
    <w:pPr>
      <w:widowControl w:val="0"/>
      <w:spacing w:after="0" w:line="240" w:lineRule="auto"/>
      <w:jc w:val="both"/>
    </w:pPr>
    <w:rPr>
      <w:rFonts w:ascii="Arial" w:eastAsia="Times New Roman" w:hAnsi="Arial" w:cs="Times New Roman"/>
      <w:sz w:val="28"/>
      <w:szCs w:val="20"/>
      <w:lang w:val="en-GB" w:eastAsia="en-GB"/>
    </w:rPr>
  </w:style>
  <w:style w:type="character" w:customStyle="1" w:styleId="BodyTextChar">
    <w:name w:val="Body Text Char"/>
    <w:basedOn w:val="DefaultParagraphFont"/>
    <w:link w:val="BodyText"/>
    <w:uiPriority w:val="1"/>
    <w:rsid w:val="0009563C"/>
    <w:rPr>
      <w:rFonts w:ascii="Arial" w:eastAsia="Times New Roman" w:hAnsi="Arial" w:cs="Times New Roman"/>
      <w:sz w:val="28"/>
      <w:szCs w:val="20"/>
      <w:lang w:val="en-GB" w:eastAsia="en-GB"/>
    </w:rPr>
  </w:style>
  <w:style w:type="paragraph" w:customStyle="1" w:styleId="Default">
    <w:name w:val="Default"/>
    <w:rsid w:val="0009563C"/>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paragraph" w:styleId="PlainText">
    <w:name w:val="Plain Text"/>
    <w:basedOn w:val="Normal"/>
    <w:link w:val="PlainTextChar"/>
    <w:rsid w:val="0009563C"/>
    <w:pPr>
      <w:spacing w:after="0" w:line="240" w:lineRule="auto"/>
    </w:pPr>
    <w:rPr>
      <w:rFonts w:ascii="Courier New" w:eastAsia="Times New Roman" w:hAnsi="Courier New" w:cs="Courier New"/>
      <w:sz w:val="20"/>
      <w:szCs w:val="20"/>
      <w:lang w:val="en-GB" w:eastAsia="en-GB"/>
    </w:rPr>
  </w:style>
  <w:style w:type="character" w:customStyle="1" w:styleId="PlainTextChar">
    <w:name w:val="Plain Text Char"/>
    <w:basedOn w:val="DefaultParagraphFont"/>
    <w:link w:val="PlainText"/>
    <w:rsid w:val="0009563C"/>
    <w:rPr>
      <w:rFonts w:ascii="Courier New" w:eastAsia="Times New Roman" w:hAnsi="Courier New" w:cs="Courier New"/>
      <w:sz w:val="20"/>
      <w:szCs w:val="20"/>
      <w:lang w:val="en-GB" w:eastAsia="en-GB"/>
    </w:rPr>
  </w:style>
  <w:style w:type="character" w:styleId="Hyperlink">
    <w:name w:val="Hyperlink"/>
    <w:rsid w:val="0009563C"/>
    <w:rPr>
      <w:rFonts w:ascii="Arial" w:hAnsi="Arial" w:cs="Arial" w:hint="default"/>
      <w:color w:val="0000FF"/>
      <w:u w:val="single"/>
    </w:rPr>
  </w:style>
  <w:style w:type="paragraph" w:customStyle="1" w:styleId="Bodytext11">
    <w:name w:val="Body text 1.1"/>
    <w:basedOn w:val="Normal"/>
    <w:link w:val="Bodytext11Char"/>
    <w:rsid w:val="0009563C"/>
    <w:pPr>
      <w:spacing w:after="120" w:line="264" w:lineRule="auto"/>
      <w:jc w:val="both"/>
    </w:pPr>
    <w:rPr>
      <w:rFonts w:ascii="Times New Roman" w:eastAsia="Times New Roman" w:hAnsi="Times New Roman" w:cs="Times New Roman"/>
      <w:sz w:val="24"/>
      <w:szCs w:val="20"/>
      <w:lang w:val="en-GB"/>
    </w:rPr>
  </w:style>
  <w:style w:type="character" w:customStyle="1" w:styleId="Bodytext11Char">
    <w:name w:val="Body text 1.1 Char"/>
    <w:link w:val="Bodytext11"/>
    <w:rsid w:val="0009563C"/>
    <w:rPr>
      <w:rFonts w:ascii="Times New Roman" w:eastAsia="Times New Roman" w:hAnsi="Times New Roman" w:cs="Times New Roman"/>
      <w:sz w:val="24"/>
      <w:szCs w:val="20"/>
      <w:lang w:val="en-GB"/>
    </w:rPr>
  </w:style>
  <w:style w:type="paragraph" w:styleId="BodyText2">
    <w:name w:val="Body Text 2"/>
    <w:basedOn w:val="Normal"/>
    <w:link w:val="BodyText2Char"/>
    <w:rsid w:val="0009563C"/>
    <w:pPr>
      <w:tabs>
        <w:tab w:val="left" w:pos="284"/>
      </w:tabs>
      <w:spacing w:after="120" w:line="480" w:lineRule="auto"/>
      <w:jc w:val="both"/>
    </w:pPr>
    <w:rPr>
      <w:rFonts w:ascii="Humanist777" w:eastAsia="Times New Roman" w:hAnsi="Humanist777" w:cs="Times New Roman"/>
      <w:sz w:val="24"/>
      <w:szCs w:val="24"/>
    </w:rPr>
  </w:style>
  <w:style w:type="character" w:customStyle="1" w:styleId="BodyText2Char">
    <w:name w:val="Body Text 2 Char"/>
    <w:basedOn w:val="DefaultParagraphFont"/>
    <w:link w:val="BodyText2"/>
    <w:rsid w:val="0009563C"/>
    <w:rPr>
      <w:rFonts w:ascii="Humanist777" w:eastAsia="Times New Roman" w:hAnsi="Humanist777" w:cs="Times New Roman"/>
      <w:sz w:val="24"/>
      <w:szCs w:val="24"/>
      <w:lang w:val="sr-Cyrl-ME"/>
    </w:rPr>
  </w:style>
  <w:style w:type="character" w:customStyle="1" w:styleId="hps">
    <w:name w:val="hps"/>
    <w:basedOn w:val="DefaultParagraphFont"/>
    <w:rsid w:val="0009563C"/>
  </w:style>
  <w:style w:type="character" w:customStyle="1" w:styleId="atn">
    <w:name w:val="atn"/>
    <w:basedOn w:val="DefaultParagraphFont"/>
    <w:rsid w:val="0009563C"/>
  </w:style>
  <w:style w:type="character" w:customStyle="1" w:styleId="hpsatn">
    <w:name w:val="hps atn"/>
    <w:rsid w:val="0009563C"/>
  </w:style>
  <w:style w:type="character" w:customStyle="1" w:styleId="shorttext">
    <w:name w:val="short_text"/>
    <w:rsid w:val="0009563C"/>
  </w:style>
  <w:style w:type="character" w:customStyle="1" w:styleId="longtext">
    <w:name w:val="long_text"/>
    <w:rsid w:val="0009563C"/>
  </w:style>
  <w:style w:type="paragraph" w:styleId="Title">
    <w:name w:val="Title"/>
    <w:basedOn w:val="Normal"/>
    <w:link w:val="TitleChar"/>
    <w:qFormat/>
    <w:rsid w:val="0009563C"/>
    <w:pPr>
      <w:spacing w:after="0" w:line="240" w:lineRule="auto"/>
      <w:jc w:val="center"/>
    </w:pPr>
    <w:rPr>
      <w:rFonts w:ascii="Times New Roman" w:eastAsia="Times New Roman" w:hAnsi="Times New Roman" w:cs="Times New Roman"/>
      <w:b/>
      <w:sz w:val="24"/>
      <w:szCs w:val="20"/>
      <w:lang w:eastAsia="en-GB"/>
    </w:rPr>
  </w:style>
  <w:style w:type="character" w:customStyle="1" w:styleId="TitleChar">
    <w:name w:val="Title Char"/>
    <w:basedOn w:val="DefaultParagraphFont"/>
    <w:link w:val="Title"/>
    <w:rsid w:val="0009563C"/>
    <w:rPr>
      <w:rFonts w:ascii="Times New Roman" w:eastAsia="Times New Roman" w:hAnsi="Times New Roman" w:cs="Times New Roman"/>
      <w:b/>
      <w:sz w:val="24"/>
      <w:szCs w:val="20"/>
      <w:lang w:val="sr-Cyrl-ME" w:eastAsia="en-GB"/>
    </w:rPr>
  </w:style>
  <w:style w:type="character" w:customStyle="1" w:styleId="tgc">
    <w:name w:val="_tgc"/>
    <w:rsid w:val="0009563C"/>
  </w:style>
  <w:style w:type="table" w:customStyle="1" w:styleId="TableGrid1">
    <w:name w:val="Table Grid1"/>
    <w:basedOn w:val="TableNormal"/>
    <w:next w:val="TableGrid"/>
    <w:uiPriority w:val="39"/>
    <w:rsid w:val="009808E6"/>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80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B6EF1"/>
  </w:style>
  <w:style w:type="paragraph" w:customStyle="1" w:styleId="NASLOV123">
    <w:name w:val="NASLOV 123"/>
    <w:basedOn w:val="Normal"/>
    <w:qFormat/>
    <w:rsid w:val="004B6EF1"/>
    <w:pPr>
      <w:tabs>
        <w:tab w:val="left" w:pos="284"/>
      </w:tabs>
      <w:spacing w:before="200" w:after="200" w:line="240" w:lineRule="auto"/>
    </w:pPr>
    <w:rPr>
      <w:rFonts w:ascii="Times New Roman" w:eastAsia="Times New Roman" w:hAnsi="Times New Roman" w:cs="Times New Roman"/>
      <w:b/>
      <w:lang w:val="en-US"/>
    </w:rPr>
  </w:style>
  <w:style w:type="table" w:customStyle="1" w:styleId="TableGrid2">
    <w:name w:val="Table Grid2"/>
    <w:basedOn w:val="TableNormal"/>
    <w:next w:val="TableGrid"/>
    <w:uiPriority w:val="39"/>
    <w:rsid w:val="004B6EF1"/>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B6EF1"/>
    <w:pPr>
      <w:tabs>
        <w:tab w:val="left" w:pos="284"/>
      </w:tabs>
      <w:spacing w:after="0" w:line="240" w:lineRule="auto"/>
      <w:ind w:left="720"/>
      <w:contextualSpacing/>
      <w:jc w:val="both"/>
    </w:pPr>
    <w:rPr>
      <w:rFonts w:ascii="Times New Roman" w:eastAsia="Times New Roman" w:hAnsi="Times New Roman" w:cs="Times New Roman"/>
      <w:szCs w:val="24"/>
      <w:lang w:val="en-US"/>
    </w:rPr>
  </w:style>
  <w:style w:type="character" w:customStyle="1" w:styleId="viiyi">
    <w:name w:val="viiyi"/>
    <w:basedOn w:val="DefaultParagraphFont"/>
    <w:rsid w:val="004B6EF1"/>
  </w:style>
  <w:style w:type="character" w:customStyle="1" w:styleId="jlqj4b">
    <w:name w:val="jlqj4b"/>
    <w:basedOn w:val="DefaultParagraphFont"/>
    <w:rsid w:val="004B6EF1"/>
  </w:style>
  <w:style w:type="table" w:customStyle="1" w:styleId="TableGrid11">
    <w:name w:val="Table Grid11"/>
    <w:basedOn w:val="TableNormal"/>
    <w:next w:val="TableGrid"/>
    <w:uiPriority w:val="39"/>
    <w:rsid w:val="004B6EF1"/>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B6EF1"/>
  </w:style>
  <w:style w:type="paragraph" w:customStyle="1" w:styleId="TableParagraph">
    <w:name w:val="Table Paragraph"/>
    <w:basedOn w:val="Normal"/>
    <w:uiPriority w:val="1"/>
    <w:qFormat/>
    <w:rsid w:val="004B6EF1"/>
    <w:pPr>
      <w:widowControl w:val="0"/>
      <w:autoSpaceDE w:val="0"/>
      <w:autoSpaceDN w:val="0"/>
      <w:adjustRightInd w:val="0"/>
      <w:spacing w:after="0" w:line="251" w:lineRule="exact"/>
      <w:ind w:left="103" w:right="131"/>
      <w:jc w:val="center"/>
    </w:pPr>
    <w:rPr>
      <w:rFonts w:ascii="Times New Roman" w:eastAsia="Times New Roman" w:hAnsi="Times New Roman" w:cs="Times New Roman"/>
      <w:sz w:val="24"/>
      <w:szCs w:val="24"/>
      <w:lang w:val="el-GR" w:eastAsia="el-GR"/>
    </w:rPr>
  </w:style>
  <w:style w:type="paragraph" w:customStyle="1" w:styleId="Revision1">
    <w:name w:val="Revision1"/>
    <w:next w:val="Revision"/>
    <w:hidden/>
    <w:uiPriority w:val="99"/>
    <w:semiHidden/>
    <w:rsid w:val="004B6EF1"/>
    <w:pPr>
      <w:spacing w:after="0" w:line="240" w:lineRule="auto"/>
    </w:pPr>
    <w:rPr>
      <w:rFonts w:ascii="Times New Roman" w:eastAsia="Times New Roman" w:hAnsi="Times New Roman" w:cs="Times New Roman"/>
      <w:sz w:val="24"/>
      <w:szCs w:val="24"/>
      <w:lang w:val="el-GR" w:eastAsia="el-GR"/>
    </w:rPr>
  </w:style>
  <w:style w:type="paragraph" w:styleId="Revision">
    <w:name w:val="Revision"/>
    <w:hidden/>
    <w:uiPriority w:val="99"/>
    <w:semiHidden/>
    <w:rsid w:val="004B6EF1"/>
    <w:pPr>
      <w:spacing w:after="0" w:line="240" w:lineRule="auto"/>
    </w:pPr>
    <w:rPr>
      <w:lang w:val="sr-Cyrl-ME"/>
    </w:rPr>
  </w:style>
  <w:style w:type="table" w:customStyle="1" w:styleId="TableGrid3">
    <w:name w:val="Table Grid3"/>
    <w:basedOn w:val="TableNormal"/>
    <w:next w:val="TableGrid"/>
    <w:rsid w:val="0037233F"/>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0D1DD3"/>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D35F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7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giflow-eforms.who-umc.org/me/meadr"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zeljenadejstva@cinmed.m&#1077;"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inmed.m&#1077;"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FFE6B2463DCD468DDA6340563834B3" ma:contentTypeVersion="19" ma:contentTypeDescription="Create a new document." ma:contentTypeScope="" ma:versionID="06194f4e504b7e7de8abb8845eebcceb">
  <xsd:schema xmlns:xsd="http://www.w3.org/2001/XMLSchema" xmlns:xs="http://www.w3.org/2001/XMLSchema" xmlns:p="http://schemas.microsoft.com/office/2006/metadata/properties" xmlns:ns2="c3c8f14d-de17-4729-8cd2-1c2c3f027e5c" xmlns:ns3="b621dfd6-c00f-47c5-b5af-67d3653e8304" targetNamespace="http://schemas.microsoft.com/office/2006/metadata/properties" ma:root="true" ma:fieldsID="9a1a3cd752cdf5f5d5e15f253bef7a57" ns2:_="" ns3:_="">
    <xsd:import namespace="c3c8f14d-de17-4729-8cd2-1c2c3f027e5c"/>
    <xsd:import namespace="b621dfd6-c00f-47c5-b5af-67d3653e830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LengthInSeconds" minOccurs="0"/>
                <xsd:element ref="ns2:MediaServiceSearchProperties" minOccurs="0"/>
                <xsd:element ref="ns2:PharmaDIAL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c8f14d-de17-4729-8cd2-1c2c3f027e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b17e887b-1209-4573-9ff2-b0cecb1881f1"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harmaDIALT" ma:index="26" nillable="true" ma:displayName="Alvogen" ma:format="Dropdown" ma:internalName="PharmaDIAL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621dfd6-c00f-47c5-b5af-67d3653e830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6c1a041-ff7c-4483-8ed2-8551aa9b4c3b}" ma:internalName="TaxCatchAll" ma:showField="CatchAllData" ma:web="b621dfd6-c00f-47c5-b5af-67d3653e83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3c8f14d-de17-4729-8cd2-1c2c3f027e5c">
      <Terms xmlns="http://schemas.microsoft.com/office/infopath/2007/PartnerControls"/>
    </lcf76f155ced4ddcb4097134ff3c332f>
    <TaxCatchAll xmlns="b621dfd6-c00f-47c5-b5af-67d3653e8304" xsi:nil="true"/>
    <PharmaDIALT xmlns="c3c8f14d-de17-4729-8cd2-1c2c3f027e5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3A2A2-B868-4BE2-8847-55D7DD702C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c8f14d-de17-4729-8cd2-1c2c3f027e5c"/>
    <ds:schemaRef ds:uri="b621dfd6-c00f-47c5-b5af-67d3653e83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60D4126-C979-461E-9F9D-D0154890A39B}">
  <ds:schemaRefs>
    <ds:schemaRef ds:uri="http://schemas.microsoft.com/office/2006/metadata/properties"/>
    <ds:schemaRef ds:uri="http://schemas.microsoft.com/office/infopath/2007/PartnerControls"/>
    <ds:schemaRef ds:uri="c3c8f14d-de17-4729-8cd2-1c2c3f027e5c"/>
    <ds:schemaRef ds:uri="b621dfd6-c00f-47c5-b5af-67d3653e8304"/>
  </ds:schemaRefs>
</ds:datastoreItem>
</file>

<file path=customXml/itemProps3.xml><?xml version="1.0" encoding="utf-8"?>
<ds:datastoreItem xmlns:ds="http://schemas.openxmlformats.org/officeDocument/2006/customXml" ds:itemID="{1D07E3E7-0236-49C9-A7F7-5DC1CFA799FE}">
  <ds:schemaRefs>
    <ds:schemaRef ds:uri="http://schemas.microsoft.com/sharepoint/v3/contenttype/forms"/>
  </ds:schemaRefs>
</ds:datastoreItem>
</file>

<file path=customXml/itemProps4.xml><?xml version="1.0" encoding="utf-8"?>
<ds:datastoreItem xmlns:ds="http://schemas.openxmlformats.org/officeDocument/2006/customXml" ds:itemID="{817E2072-E8BC-41B7-AE3B-E20E66C36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10494</Words>
  <Characters>59816</Characters>
  <Application>Microsoft Office Word</Application>
  <DocSecurity>0</DocSecurity>
  <Lines>498</Lines>
  <Paragraphs>140</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70170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creator>Nemanja Turkovic</dc:creator>
  <cp:lastModifiedBy>Jovana Jovanovic</cp:lastModifiedBy>
  <cp:revision>2</cp:revision>
  <cp:lastPrinted>2022-05-11T12:24:00Z</cp:lastPrinted>
  <dcterms:created xsi:type="dcterms:W3CDTF">2025-03-20T08:57:00Z</dcterms:created>
  <dcterms:modified xsi:type="dcterms:W3CDTF">2025-03-20T08:57:00Z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0x01010006FFE6B2463DCD468DDA6340563834B3</vt:lpwstr>
  </property>
</Properties>
</file>