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D83D3" w14:textId="77777777" w:rsidR="001A5518" w:rsidRPr="00951A85" w:rsidRDefault="001A5518" w:rsidP="001A5518">
      <w:pPr>
        <w:rPr>
          <w:b/>
          <w:bCs/>
          <w:i/>
          <w:iCs/>
          <w:sz w:val="22"/>
          <w:szCs w:val="22"/>
          <w:u w:val="single"/>
          <w:lang w:val="sr-Latn-ME"/>
        </w:rPr>
      </w:pPr>
      <w:bookmarkStart w:id="0" w:name="_GoBack"/>
      <w:bookmarkEnd w:id="0"/>
    </w:p>
    <w:p w14:paraId="32E6D366" w14:textId="77777777" w:rsidR="00F91C7B" w:rsidRPr="00951A85" w:rsidRDefault="00F91C7B" w:rsidP="001A5518">
      <w:pPr>
        <w:rPr>
          <w:b/>
          <w:bCs/>
          <w:i/>
          <w:iCs/>
          <w:sz w:val="22"/>
          <w:szCs w:val="22"/>
          <w:u w:val="single"/>
          <w:lang w:val="sr-Latn-ME"/>
        </w:rPr>
      </w:pPr>
    </w:p>
    <w:p w14:paraId="5C48CE2A" w14:textId="77777777" w:rsidR="002510A5" w:rsidRPr="00951A85" w:rsidRDefault="002510A5" w:rsidP="002510A5">
      <w:pPr>
        <w:jc w:val="center"/>
        <w:rPr>
          <w:b/>
          <w:bCs/>
          <w:iCs/>
          <w:sz w:val="22"/>
          <w:szCs w:val="22"/>
          <w:u w:val="single"/>
          <w:lang w:val="sr-Latn-ME"/>
        </w:rPr>
      </w:pPr>
      <w:r w:rsidRPr="00951A85">
        <w:rPr>
          <w:b/>
          <w:bCs/>
          <w:iCs/>
          <w:sz w:val="22"/>
          <w:szCs w:val="22"/>
          <w:u w:val="single"/>
          <w:lang w:val="sr-Latn-ME"/>
        </w:rPr>
        <w:t>SAŽETAK KARAKTERISTIKA LIJEKA</w:t>
      </w:r>
    </w:p>
    <w:p w14:paraId="701A0BFE" w14:textId="77777777" w:rsidR="002510A5" w:rsidRPr="00951A85" w:rsidRDefault="002510A5" w:rsidP="002510A5">
      <w:pPr>
        <w:rPr>
          <w:b/>
          <w:bCs/>
          <w:i/>
          <w:iCs/>
          <w:sz w:val="22"/>
          <w:szCs w:val="22"/>
          <w:u w:val="single"/>
          <w:lang w:val="sr-Latn-ME"/>
        </w:rPr>
      </w:pPr>
    </w:p>
    <w:p w14:paraId="324AF2A1" w14:textId="77777777" w:rsidR="003C17AB" w:rsidRPr="00951A85" w:rsidRDefault="003C17AB" w:rsidP="00F5167F">
      <w:pPr>
        <w:tabs>
          <w:tab w:val="left" w:pos="540"/>
          <w:tab w:val="left" w:pos="569"/>
        </w:tabs>
        <w:rPr>
          <w:noProof/>
          <w:sz w:val="22"/>
          <w:szCs w:val="22"/>
          <w:lang w:val="sr-Latn-ME"/>
        </w:rPr>
      </w:pPr>
    </w:p>
    <w:p w14:paraId="004ADEF0" w14:textId="77777777" w:rsidR="00C37FD7" w:rsidRPr="00951A85" w:rsidRDefault="00C37FD7" w:rsidP="00F5167F">
      <w:pPr>
        <w:tabs>
          <w:tab w:val="left" w:pos="540"/>
          <w:tab w:val="left" w:pos="569"/>
        </w:tabs>
        <w:rPr>
          <w:bCs/>
          <w:sz w:val="22"/>
          <w:szCs w:val="22"/>
          <w:lang w:val="sr-Latn-ME"/>
        </w:rPr>
      </w:pPr>
    </w:p>
    <w:p w14:paraId="53574580" w14:textId="77777777" w:rsidR="00411B4B" w:rsidRPr="00951A85" w:rsidRDefault="00411B4B" w:rsidP="00F5167F">
      <w:pPr>
        <w:tabs>
          <w:tab w:val="left" w:pos="540"/>
          <w:tab w:val="left" w:pos="569"/>
        </w:tabs>
        <w:rPr>
          <w:b/>
          <w:bCs/>
          <w:sz w:val="22"/>
          <w:szCs w:val="22"/>
          <w:lang w:val="sr-Latn-ME"/>
        </w:rPr>
      </w:pPr>
      <w:r w:rsidRPr="00951A85">
        <w:rPr>
          <w:b/>
          <w:bCs/>
          <w:sz w:val="22"/>
          <w:szCs w:val="22"/>
          <w:lang w:val="sr-Latn-ME"/>
        </w:rPr>
        <w:t>1.</w:t>
      </w:r>
      <w:r w:rsidR="00F5167F" w:rsidRPr="00951A85">
        <w:rPr>
          <w:b/>
          <w:bCs/>
          <w:sz w:val="22"/>
          <w:szCs w:val="22"/>
          <w:lang w:val="sr-Latn-ME"/>
        </w:rPr>
        <w:tab/>
      </w:r>
      <w:r w:rsidR="002846DB" w:rsidRPr="00951A85">
        <w:rPr>
          <w:b/>
          <w:bCs/>
          <w:sz w:val="22"/>
          <w:szCs w:val="22"/>
          <w:lang w:val="sr-Latn-ME"/>
        </w:rPr>
        <w:t xml:space="preserve">NAZIV </w:t>
      </w:r>
      <w:r w:rsidRPr="00951A85">
        <w:rPr>
          <w:b/>
          <w:bCs/>
          <w:sz w:val="22"/>
          <w:szCs w:val="22"/>
          <w:lang w:val="sr-Latn-ME"/>
        </w:rPr>
        <w:t>LIJEKA</w:t>
      </w:r>
    </w:p>
    <w:p w14:paraId="56120EB3" w14:textId="77777777" w:rsidR="00EC2532" w:rsidRPr="00951A85" w:rsidRDefault="00EC2532">
      <w:pPr>
        <w:rPr>
          <w:sz w:val="22"/>
          <w:szCs w:val="22"/>
          <w:lang w:val="sr-Latn-ME"/>
        </w:rPr>
      </w:pPr>
    </w:p>
    <w:p w14:paraId="0DCAD108" w14:textId="01E8A56F" w:rsidR="00D30D20" w:rsidRPr="00951A85" w:rsidRDefault="00D30D20" w:rsidP="00D30D20">
      <w:pPr>
        <w:jc w:val="both"/>
        <w:rPr>
          <w:color w:val="000000"/>
          <w:sz w:val="22"/>
          <w:szCs w:val="22"/>
          <w:lang w:val="sr-Latn-ME" w:eastAsia="hr-HR"/>
        </w:rPr>
      </w:pPr>
      <w:r w:rsidRPr="00951A85">
        <w:rPr>
          <w:color w:val="000000"/>
          <w:sz w:val="22"/>
          <w:szCs w:val="22"/>
          <w:lang w:val="sr-Latn-ME" w:eastAsia="hr-HR"/>
        </w:rPr>
        <w:t>Rutacid, 500 mg, tableta za žvakanje</w:t>
      </w:r>
    </w:p>
    <w:p w14:paraId="38C1D7E1" w14:textId="77777777" w:rsidR="00D30D20" w:rsidRPr="00951A85" w:rsidRDefault="00D30D20" w:rsidP="00D30D20">
      <w:pPr>
        <w:jc w:val="both"/>
        <w:rPr>
          <w:color w:val="000000"/>
          <w:sz w:val="22"/>
          <w:szCs w:val="22"/>
          <w:lang w:val="sr-Latn-ME" w:eastAsia="hr-HR"/>
        </w:rPr>
      </w:pPr>
    </w:p>
    <w:p w14:paraId="7F83A083" w14:textId="77777777" w:rsidR="006D20A5" w:rsidRPr="00951A85" w:rsidRDefault="00D30D20" w:rsidP="00D30D20">
      <w:pPr>
        <w:jc w:val="both"/>
        <w:rPr>
          <w:color w:val="000000"/>
          <w:sz w:val="22"/>
          <w:szCs w:val="22"/>
          <w:lang w:val="sr-Latn-ME" w:eastAsia="hr-HR"/>
        </w:rPr>
      </w:pPr>
      <w:r w:rsidRPr="00951A85">
        <w:rPr>
          <w:color w:val="000000"/>
          <w:sz w:val="22"/>
          <w:szCs w:val="22"/>
          <w:lang w:val="sr-Latn-ME" w:eastAsia="hr-HR"/>
        </w:rPr>
        <w:t>INN: hidrotalcit</w:t>
      </w:r>
    </w:p>
    <w:p w14:paraId="77B1B042" w14:textId="77777777" w:rsidR="00530BD7" w:rsidRPr="00951A85" w:rsidRDefault="00530BD7">
      <w:pPr>
        <w:rPr>
          <w:bCs/>
          <w:sz w:val="22"/>
          <w:szCs w:val="22"/>
          <w:lang w:val="sr-Latn-ME"/>
        </w:rPr>
      </w:pPr>
    </w:p>
    <w:p w14:paraId="76C3B8C1" w14:textId="77777777" w:rsidR="003D525B" w:rsidRPr="00951A85" w:rsidRDefault="003D525B">
      <w:pPr>
        <w:rPr>
          <w:bCs/>
          <w:sz w:val="22"/>
          <w:szCs w:val="22"/>
          <w:lang w:val="sr-Latn-ME"/>
        </w:rPr>
      </w:pPr>
    </w:p>
    <w:p w14:paraId="4D93A9CA" w14:textId="77777777" w:rsidR="00411B4B" w:rsidRPr="00951A85" w:rsidRDefault="00411B4B" w:rsidP="00F5167F">
      <w:pPr>
        <w:tabs>
          <w:tab w:val="left" w:pos="540"/>
          <w:tab w:val="left" w:pos="569"/>
        </w:tabs>
        <w:rPr>
          <w:b/>
          <w:bCs/>
          <w:sz w:val="22"/>
          <w:szCs w:val="22"/>
          <w:lang w:val="sr-Latn-ME"/>
        </w:rPr>
      </w:pPr>
      <w:r w:rsidRPr="00951A85">
        <w:rPr>
          <w:b/>
          <w:bCs/>
          <w:sz w:val="22"/>
          <w:szCs w:val="22"/>
          <w:lang w:val="sr-Latn-ME"/>
        </w:rPr>
        <w:t xml:space="preserve">2. </w:t>
      </w:r>
      <w:r w:rsidR="00F5167F" w:rsidRPr="00951A85">
        <w:rPr>
          <w:b/>
          <w:bCs/>
          <w:sz w:val="22"/>
          <w:szCs w:val="22"/>
          <w:lang w:val="sr-Latn-ME"/>
        </w:rPr>
        <w:tab/>
      </w:r>
      <w:r w:rsidRPr="00951A85">
        <w:rPr>
          <w:b/>
          <w:bCs/>
          <w:sz w:val="22"/>
          <w:szCs w:val="22"/>
          <w:lang w:val="sr-Latn-ME"/>
        </w:rPr>
        <w:t>KVALITATIVNI I KVANTITATIVNI SASTAV</w:t>
      </w:r>
    </w:p>
    <w:p w14:paraId="34E596F4" w14:textId="77777777" w:rsidR="005A0B2E" w:rsidRPr="00951A85" w:rsidRDefault="005A0B2E">
      <w:pPr>
        <w:rPr>
          <w:sz w:val="22"/>
          <w:szCs w:val="22"/>
          <w:lang w:val="sr-Latn-ME"/>
        </w:rPr>
      </w:pPr>
    </w:p>
    <w:p w14:paraId="66DCF00C" w14:textId="77777777" w:rsidR="00103C1C" w:rsidRPr="00951A85" w:rsidRDefault="00103C1C" w:rsidP="00103C1C">
      <w:pPr>
        <w:jc w:val="both"/>
        <w:rPr>
          <w:color w:val="000000"/>
          <w:sz w:val="22"/>
          <w:szCs w:val="22"/>
          <w:lang w:val="sr-Latn-ME" w:eastAsia="hr-HR"/>
        </w:rPr>
      </w:pPr>
      <w:r w:rsidRPr="00951A85">
        <w:rPr>
          <w:color w:val="000000"/>
          <w:sz w:val="22"/>
          <w:szCs w:val="22"/>
          <w:lang w:val="sr-Latn-ME" w:eastAsia="hr-HR"/>
        </w:rPr>
        <w:t>Svaka tableta za žvakanje sadrži 500 mg hidrotalcita.</w:t>
      </w:r>
    </w:p>
    <w:p w14:paraId="44F1DB4B" w14:textId="77777777" w:rsidR="00103C1C" w:rsidRPr="00951A85" w:rsidRDefault="00103C1C" w:rsidP="00103C1C">
      <w:pPr>
        <w:autoSpaceDE w:val="0"/>
        <w:autoSpaceDN w:val="0"/>
        <w:adjustRightInd w:val="0"/>
        <w:jc w:val="both"/>
        <w:rPr>
          <w:color w:val="000000"/>
          <w:sz w:val="22"/>
          <w:szCs w:val="22"/>
          <w:lang w:val="sr-Latn-ME"/>
        </w:rPr>
      </w:pPr>
    </w:p>
    <w:p w14:paraId="0D76AB69" w14:textId="77777777" w:rsidR="00103C1C" w:rsidRPr="00951A85" w:rsidRDefault="00103C1C" w:rsidP="00103C1C">
      <w:pPr>
        <w:jc w:val="both"/>
        <w:rPr>
          <w:color w:val="000000"/>
          <w:sz w:val="22"/>
          <w:szCs w:val="22"/>
          <w:lang w:val="sr-Latn-ME"/>
        </w:rPr>
      </w:pPr>
      <w:r w:rsidRPr="00951A85">
        <w:rPr>
          <w:color w:val="000000"/>
          <w:sz w:val="22"/>
          <w:szCs w:val="22"/>
          <w:lang w:val="sr-Latn-ME"/>
        </w:rPr>
        <w:t>Pomoćna supstanca sa potvrđenim dejstvom: svaka tableta za žvakanje sadrži 836 mg manitola.</w:t>
      </w:r>
    </w:p>
    <w:p w14:paraId="1C9A827C" w14:textId="77777777" w:rsidR="00103C1C" w:rsidRPr="00951A85" w:rsidRDefault="00103C1C">
      <w:pPr>
        <w:rPr>
          <w:sz w:val="22"/>
          <w:szCs w:val="22"/>
          <w:lang w:val="sr-Latn-ME"/>
        </w:rPr>
      </w:pPr>
    </w:p>
    <w:p w14:paraId="6E8C9062" w14:textId="77777777" w:rsidR="0003793F" w:rsidRPr="00951A85" w:rsidRDefault="0003793F">
      <w:pPr>
        <w:rPr>
          <w:sz w:val="22"/>
          <w:szCs w:val="22"/>
          <w:lang w:val="sr-Latn-ME"/>
        </w:rPr>
      </w:pPr>
      <w:r w:rsidRPr="00951A85">
        <w:rPr>
          <w:sz w:val="22"/>
          <w:szCs w:val="22"/>
          <w:lang w:val="sr-Latn-ME"/>
        </w:rPr>
        <w:t>Za spisak svih ekscipijenasa, pogledati dio 6.1.</w:t>
      </w:r>
    </w:p>
    <w:p w14:paraId="218BE86E" w14:textId="77777777" w:rsidR="00C37FD7" w:rsidRPr="00951A85" w:rsidRDefault="00C37FD7">
      <w:pPr>
        <w:rPr>
          <w:sz w:val="22"/>
          <w:szCs w:val="22"/>
          <w:lang w:val="sr-Latn-ME"/>
        </w:rPr>
      </w:pPr>
    </w:p>
    <w:p w14:paraId="0F607BF0" w14:textId="77777777" w:rsidR="003D525B" w:rsidRPr="00951A85" w:rsidRDefault="003D525B">
      <w:pPr>
        <w:rPr>
          <w:sz w:val="22"/>
          <w:szCs w:val="22"/>
          <w:lang w:val="sr-Latn-ME"/>
        </w:rPr>
      </w:pPr>
    </w:p>
    <w:p w14:paraId="037F4D9B" w14:textId="77777777" w:rsidR="00411B4B" w:rsidRPr="00951A85" w:rsidRDefault="00411B4B" w:rsidP="00F5167F">
      <w:pPr>
        <w:tabs>
          <w:tab w:val="left" w:pos="540"/>
          <w:tab w:val="left" w:pos="569"/>
        </w:tabs>
        <w:rPr>
          <w:b/>
          <w:bCs/>
          <w:sz w:val="22"/>
          <w:szCs w:val="22"/>
          <w:lang w:val="sr-Latn-ME"/>
        </w:rPr>
      </w:pPr>
      <w:r w:rsidRPr="00951A85">
        <w:rPr>
          <w:b/>
          <w:bCs/>
          <w:sz w:val="22"/>
          <w:szCs w:val="22"/>
          <w:lang w:val="sr-Latn-ME"/>
        </w:rPr>
        <w:t xml:space="preserve">3. </w:t>
      </w:r>
      <w:r w:rsidR="00F5167F" w:rsidRPr="00951A85">
        <w:rPr>
          <w:b/>
          <w:bCs/>
          <w:sz w:val="22"/>
          <w:szCs w:val="22"/>
          <w:lang w:val="sr-Latn-ME"/>
        </w:rPr>
        <w:tab/>
      </w:r>
      <w:r w:rsidRPr="00951A85">
        <w:rPr>
          <w:b/>
          <w:bCs/>
          <w:sz w:val="22"/>
          <w:szCs w:val="22"/>
          <w:lang w:val="sr-Latn-ME"/>
        </w:rPr>
        <w:t>FARMACEUTSKI OBLIK</w:t>
      </w:r>
      <w:r w:rsidR="009F2D23" w:rsidRPr="00951A85">
        <w:rPr>
          <w:b/>
          <w:bCs/>
          <w:sz w:val="22"/>
          <w:szCs w:val="22"/>
          <w:lang w:val="sr-Latn-ME"/>
        </w:rPr>
        <w:t xml:space="preserve"> </w:t>
      </w:r>
    </w:p>
    <w:p w14:paraId="45D0D540" w14:textId="77777777" w:rsidR="00411B4B" w:rsidRPr="00951A85" w:rsidRDefault="00411B4B">
      <w:pPr>
        <w:rPr>
          <w:bCs/>
          <w:sz w:val="22"/>
          <w:szCs w:val="22"/>
          <w:lang w:val="sr-Latn-ME"/>
        </w:rPr>
      </w:pPr>
    </w:p>
    <w:p w14:paraId="7791DCF3" w14:textId="77777777" w:rsidR="00103C1C" w:rsidRPr="00951A85" w:rsidRDefault="00103C1C" w:rsidP="00103C1C">
      <w:pPr>
        <w:jc w:val="both"/>
        <w:rPr>
          <w:color w:val="000000"/>
          <w:sz w:val="22"/>
          <w:szCs w:val="22"/>
          <w:lang w:val="sr-Latn-ME" w:eastAsia="hr-HR"/>
        </w:rPr>
      </w:pPr>
      <w:r w:rsidRPr="00951A85">
        <w:rPr>
          <w:color w:val="000000"/>
          <w:sz w:val="22"/>
          <w:szCs w:val="22"/>
          <w:lang w:val="sr-Latn-ME" w:eastAsia="hr-HR"/>
        </w:rPr>
        <w:t>Tableta za žvakanje.</w:t>
      </w:r>
    </w:p>
    <w:p w14:paraId="31D65B47" w14:textId="77777777" w:rsidR="00103C1C" w:rsidRPr="00951A85" w:rsidRDefault="00103C1C" w:rsidP="00103C1C">
      <w:pPr>
        <w:jc w:val="both"/>
        <w:rPr>
          <w:color w:val="000000"/>
          <w:sz w:val="22"/>
          <w:szCs w:val="22"/>
          <w:lang w:val="sr-Latn-ME" w:eastAsia="hr-HR"/>
        </w:rPr>
      </w:pPr>
      <w:r w:rsidRPr="00951A85">
        <w:rPr>
          <w:color w:val="000000"/>
          <w:sz w:val="22"/>
          <w:szCs w:val="22"/>
          <w:lang w:val="sr-Latn-ME" w:eastAsia="hr-HR"/>
        </w:rPr>
        <w:t>Tablete za žvakanje su bijele, okrugle tablete sa zakošenim ivicama.</w:t>
      </w:r>
    </w:p>
    <w:p w14:paraId="07787628" w14:textId="77777777" w:rsidR="00794DBD" w:rsidRPr="00951A85" w:rsidRDefault="00794DBD" w:rsidP="00103C1C">
      <w:pPr>
        <w:jc w:val="both"/>
        <w:rPr>
          <w:color w:val="000000"/>
          <w:sz w:val="22"/>
          <w:szCs w:val="22"/>
          <w:lang w:val="sr-Latn-ME" w:eastAsia="hr-HR"/>
        </w:rPr>
      </w:pPr>
    </w:p>
    <w:p w14:paraId="33599B52" w14:textId="77777777" w:rsidR="00EC2532" w:rsidRPr="00951A85" w:rsidRDefault="00EC2532">
      <w:pPr>
        <w:rPr>
          <w:bCs/>
          <w:sz w:val="22"/>
          <w:szCs w:val="22"/>
          <w:lang w:val="sr-Latn-ME"/>
        </w:rPr>
      </w:pPr>
    </w:p>
    <w:p w14:paraId="0FA87AE0" w14:textId="77777777" w:rsidR="00411B4B" w:rsidRPr="00951A85" w:rsidRDefault="00411B4B" w:rsidP="00F5167F">
      <w:pPr>
        <w:tabs>
          <w:tab w:val="left" w:pos="540"/>
          <w:tab w:val="left" w:pos="569"/>
        </w:tabs>
        <w:rPr>
          <w:b/>
          <w:bCs/>
          <w:sz w:val="22"/>
          <w:szCs w:val="22"/>
          <w:lang w:val="sr-Latn-ME"/>
        </w:rPr>
      </w:pPr>
      <w:r w:rsidRPr="00951A85">
        <w:rPr>
          <w:b/>
          <w:bCs/>
          <w:sz w:val="22"/>
          <w:szCs w:val="22"/>
          <w:lang w:val="sr-Latn-ME"/>
        </w:rPr>
        <w:t xml:space="preserve">4. </w:t>
      </w:r>
      <w:r w:rsidR="00480FB1" w:rsidRPr="00951A85">
        <w:rPr>
          <w:b/>
          <w:bCs/>
          <w:sz w:val="22"/>
          <w:szCs w:val="22"/>
          <w:lang w:val="sr-Latn-ME"/>
        </w:rPr>
        <w:tab/>
      </w:r>
      <w:r w:rsidRPr="00951A85">
        <w:rPr>
          <w:b/>
          <w:bCs/>
          <w:sz w:val="22"/>
          <w:szCs w:val="22"/>
          <w:lang w:val="sr-Latn-ME"/>
        </w:rPr>
        <w:t>KLINIČKI PODACI</w:t>
      </w:r>
    </w:p>
    <w:p w14:paraId="4D7E8DEF" w14:textId="77777777" w:rsidR="00CD6F02" w:rsidRPr="00951A85" w:rsidRDefault="00CD6F02" w:rsidP="00480FB1">
      <w:pPr>
        <w:tabs>
          <w:tab w:val="left" w:pos="540"/>
          <w:tab w:val="left" w:pos="569"/>
        </w:tabs>
        <w:rPr>
          <w:bCs/>
          <w:sz w:val="22"/>
          <w:szCs w:val="22"/>
          <w:lang w:val="sr-Latn-ME"/>
        </w:rPr>
      </w:pPr>
    </w:p>
    <w:p w14:paraId="0B17EA43" w14:textId="77777777" w:rsidR="00411B4B" w:rsidRPr="00951A85" w:rsidRDefault="00411B4B" w:rsidP="00480FB1">
      <w:pPr>
        <w:tabs>
          <w:tab w:val="left" w:pos="540"/>
          <w:tab w:val="left" w:pos="569"/>
        </w:tabs>
        <w:rPr>
          <w:b/>
          <w:bCs/>
          <w:sz w:val="22"/>
          <w:szCs w:val="22"/>
          <w:lang w:val="sr-Latn-ME"/>
        </w:rPr>
      </w:pPr>
      <w:r w:rsidRPr="00951A85">
        <w:rPr>
          <w:b/>
          <w:bCs/>
          <w:sz w:val="22"/>
          <w:szCs w:val="22"/>
          <w:lang w:val="sr-Latn-ME"/>
        </w:rPr>
        <w:t xml:space="preserve">4.1. </w:t>
      </w:r>
      <w:r w:rsidR="00480FB1" w:rsidRPr="00951A85">
        <w:rPr>
          <w:b/>
          <w:bCs/>
          <w:sz w:val="22"/>
          <w:szCs w:val="22"/>
          <w:lang w:val="sr-Latn-ME"/>
        </w:rPr>
        <w:tab/>
      </w:r>
      <w:r w:rsidRPr="00951A85">
        <w:rPr>
          <w:b/>
          <w:bCs/>
          <w:sz w:val="22"/>
          <w:szCs w:val="22"/>
          <w:lang w:val="sr-Latn-ME"/>
        </w:rPr>
        <w:t>Terapijske indikacije</w:t>
      </w:r>
    </w:p>
    <w:p w14:paraId="2F82B70D" w14:textId="77777777" w:rsidR="00103C1C" w:rsidRPr="00951A85" w:rsidRDefault="00103C1C" w:rsidP="00480FB1">
      <w:pPr>
        <w:tabs>
          <w:tab w:val="left" w:pos="540"/>
          <w:tab w:val="left" w:pos="569"/>
        </w:tabs>
        <w:rPr>
          <w:b/>
          <w:bCs/>
          <w:sz w:val="22"/>
          <w:szCs w:val="22"/>
          <w:lang w:val="sr-Latn-ME"/>
        </w:rPr>
      </w:pPr>
    </w:p>
    <w:p w14:paraId="44B535BB" w14:textId="77777777" w:rsidR="00103C1C" w:rsidRPr="00951A85" w:rsidRDefault="00103C1C" w:rsidP="00103C1C">
      <w:pPr>
        <w:jc w:val="both"/>
        <w:rPr>
          <w:rFonts w:eastAsia="TimesNewRoman"/>
          <w:color w:val="000000"/>
          <w:sz w:val="22"/>
          <w:szCs w:val="22"/>
          <w:lang w:val="sr-Latn-ME"/>
        </w:rPr>
      </w:pPr>
      <w:r w:rsidRPr="00951A85">
        <w:rPr>
          <w:color w:val="000000"/>
          <w:sz w:val="22"/>
          <w:szCs w:val="22"/>
          <w:lang w:val="sr-Latn-ME" w:eastAsia="hr-HR"/>
        </w:rPr>
        <w:t xml:space="preserve">Lijek Rutacid koristi se za </w:t>
      </w:r>
      <w:r w:rsidRPr="00951A85">
        <w:rPr>
          <w:rFonts w:eastAsia="TimesNewRoman"/>
          <w:color w:val="000000"/>
          <w:sz w:val="22"/>
          <w:szCs w:val="22"/>
          <w:lang w:val="sr-Latn-ME"/>
        </w:rPr>
        <w:t>simptomatsko liječenje poremećaja koji zahtijevaju neutralizaciju želudačne kiseline:</w:t>
      </w:r>
    </w:p>
    <w:p w14:paraId="76DB0FC3" w14:textId="77777777" w:rsidR="00103C1C" w:rsidRPr="00951A85" w:rsidRDefault="00103C1C" w:rsidP="00103C1C">
      <w:pPr>
        <w:numPr>
          <w:ilvl w:val="0"/>
          <w:numId w:val="12"/>
        </w:numPr>
        <w:jc w:val="both"/>
        <w:rPr>
          <w:rFonts w:eastAsia="TimesNewRoman"/>
          <w:color w:val="000000"/>
          <w:sz w:val="22"/>
          <w:szCs w:val="22"/>
          <w:lang w:val="sr-Latn-ME"/>
        </w:rPr>
      </w:pPr>
      <w:r w:rsidRPr="00951A85">
        <w:rPr>
          <w:rFonts w:eastAsia="TimesNewRoman"/>
          <w:color w:val="000000"/>
          <w:sz w:val="22"/>
          <w:szCs w:val="22"/>
          <w:lang w:val="sr-Latn-ME"/>
        </w:rPr>
        <w:t>gorušica, dispepsija sa hiperaciditetom,</w:t>
      </w:r>
    </w:p>
    <w:p w14:paraId="4CF89AF5" w14:textId="77777777" w:rsidR="00103C1C" w:rsidRPr="00951A85" w:rsidRDefault="00103C1C" w:rsidP="00103C1C">
      <w:pPr>
        <w:numPr>
          <w:ilvl w:val="0"/>
          <w:numId w:val="12"/>
        </w:numPr>
        <w:jc w:val="both"/>
        <w:rPr>
          <w:rFonts w:eastAsia="TimesNewRoman"/>
          <w:color w:val="000000"/>
          <w:sz w:val="22"/>
          <w:szCs w:val="22"/>
          <w:lang w:val="sr-Latn-ME"/>
        </w:rPr>
      </w:pPr>
      <w:r w:rsidRPr="00951A85">
        <w:rPr>
          <w:rFonts w:eastAsia="TimesNewRoman"/>
          <w:color w:val="000000"/>
          <w:sz w:val="22"/>
          <w:szCs w:val="22"/>
          <w:lang w:val="sr-Latn-ME"/>
        </w:rPr>
        <w:t>ulkus na želucu i dvanaestopalačnom crijevu.</w:t>
      </w:r>
    </w:p>
    <w:p w14:paraId="785D913A" w14:textId="77777777" w:rsidR="00103C1C" w:rsidRPr="00951A85" w:rsidRDefault="00103C1C" w:rsidP="00103C1C">
      <w:pPr>
        <w:jc w:val="both"/>
        <w:rPr>
          <w:rFonts w:eastAsia="TimesNewRoman"/>
          <w:color w:val="000000"/>
          <w:sz w:val="22"/>
          <w:szCs w:val="22"/>
          <w:lang w:val="sr-Latn-ME"/>
        </w:rPr>
      </w:pPr>
    </w:p>
    <w:p w14:paraId="38995150" w14:textId="77777777" w:rsidR="00103C1C" w:rsidRPr="00951A85" w:rsidRDefault="00103C1C" w:rsidP="00103C1C">
      <w:pPr>
        <w:jc w:val="both"/>
        <w:rPr>
          <w:rFonts w:eastAsia="TimesNewRoman"/>
          <w:color w:val="000000"/>
          <w:sz w:val="22"/>
          <w:szCs w:val="22"/>
          <w:lang w:val="sr-Latn-ME"/>
        </w:rPr>
      </w:pPr>
      <w:r w:rsidRPr="00951A85">
        <w:rPr>
          <w:color w:val="000000"/>
          <w:sz w:val="22"/>
          <w:szCs w:val="22"/>
          <w:lang w:val="sr-Latn-ME" w:eastAsia="hr-HR"/>
        </w:rPr>
        <w:t>Lijek Rutacid je namijenjen za</w:t>
      </w:r>
      <w:r w:rsidRPr="00951A85">
        <w:rPr>
          <w:rFonts w:eastAsia="TimesNewRoman"/>
          <w:color w:val="000000"/>
          <w:sz w:val="22"/>
          <w:szCs w:val="22"/>
          <w:lang w:val="sr-Latn-ME"/>
        </w:rPr>
        <w:t xml:space="preserve"> liječenje odraslih i djece starije od 12 godina.</w:t>
      </w:r>
    </w:p>
    <w:p w14:paraId="6CD12B9F" w14:textId="77777777" w:rsidR="00411B4B" w:rsidRPr="00951A85" w:rsidRDefault="00411B4B" w:rsidP="00480FB1">
      <w:pPr>
        <w:tabs>
          <w:tab w:val="left" w:pos="540"/>
          <w:tab w:val="left" w:pos="569"/>
        </w:tabs>
        <w:rPr>
          <w:bCs/>
          <w:sz w:val="22"/>
          <w:szCs w:val="22"/>
          <w:lang w:val="sr-Latn-ME"/>
        </w:rPr>
      </w:pPr>
    </w:p>
    <w:p w14:paraId="2F83707E" w14:textId="77777777" w:rsidR="00411B4B" w:rsidRPr="00951A85" w:rsidRDefault="00411B4B" w:rsidP="00480FB1">
      <w:pPr>
        <w:tabs>
          <w:tab w:val="left" w:pos="540"/>
          <w:tab w:val="left" w:pos="569"/>
        </w:tabs>
        <w:rPr>
          <w:b/>
          <w:bCs/>
          <w:sz w:val="22"/>
          <w:szCs w:val="22"/>
          <w:lang w:val="sr-Latn-ME"/>
        </w:rPr>
      </w:pPr>
      <w:r w:rsidRPr="00951A85">
        <w:rPr>
          <w:b/>
          <w:bCs/>
          <w:sz w:val="22"/>
          <w:szCs w:val="22"/>
          <w:lang w:val="sr-Latn-ME"/>
        </w:rPr>
        <w:t xml:space="preserve">4.2. </w:t>
      </w:r>
      <w:r w:rsidR="00480FB1" w:rsidRPr="00951A85">
        <w:rPr>
          <w:b/>
          <w:bCs/>
          <w:sz w:val="22"/>
          <w:szCs w:val="22"/>
          <w:lang w:val="sr-Latn-ME"/>
        </w:rPr>
        <w:tab/>
      </w:r>
      <w:r w:rsidRPr="00951A85">
        <w:rPr>
          <w:b/>
          <w:bCs/>
          <w:sz w:val="22"/>
          <w:szCs w:val="22"/>
          <w:lang w:val="sr-Latn-ME"/>
        </w:rPr>
        <w:t>Doziranje i način primjene</w:t>
      </w:r>
    </w:p>
    <w:p w14:paraId="607F63D1" w14:textId="77777777" w:rsidR="0072020E" w:rsidRPr="00951A85" w:rsidRDefault="0072020E" w:rsidP="00480FB1">
      <w:pPr>
        <w:tabs>
          <w:tab w:val="left" w:pos="540"/>
          <w:tab w:val="left" w:pos="569"/>
        </w:tabs>
        <w:rPr>
          <w:bCs/>
          <w:sz w:val="22"/>
          <w:szCs w:val="22"/>
          <w:lang w:val="sr-Latn-ME"/>
        </w:rPr>
      </w:pPr>
    </w:p>
    <w:p w14:paraId="12254529" w14:textId="77777777" w:rsidR="00452E9D" w:rsidRPr="00951A85" w:rsidRDefault="00452E9D" w:rsidP="00480FB1">
      <w:pPr>
        <w:tabs>
          <w:tab w:val="left" w:pos="540"/>
          <w:tab w:val="left" w:pos="569"/>
        </w:tabs>
        <w:rPr>
          <w:bCs/>
          <w:sz w:val="22"/>
          <w:szCs w:val="22"/>
          <w:u w:val="single"/>
          <w:lang w:val="sr-Latn-ME"/>
        </w:rPr>
      </w:pPr>
      <w:r w:rsidRPr="00951A85">
        <w:rPr>
          <w:bCs/>
          <w:sz w:val="22"/>
          <w:szCs w:val="22"/>
          <w:u w:val="single"/>
          <w:lang w:val="sr-Latn-ME"/>
        </w:rPr>
        <w:t>Doziranje</w:t>
      </w:r>
    </w:p>
    <w:p w14:paraId="3ADAEF84" w14:textId="77777777" w:rsidR="00103C1C" w:rsidRPr="00951A85" w:rsidRDefault="00103C1C" w:rsidP="00103C1C">
      <w:pPr>
        <w:autoSpaceDE w:val="0"/>
        <w:autoSpaceDN w:val="0"/>
        <w:adjustRightInd w:val="0"/>
        <w:jc w:val="both"/>
        <w:rPr>
          <w:color w:val="000000"/>
          <w:sz w:val="22"/>
          <w:szCs w:val="22"/>
          <w:lang w:val="sr-Latn-ME"/>
        </w:rPr>
      </w:pPr>
    </w:p>
    <w:p w14:paraId="7C236893" w14:textId="77777777" w:rsidR="00103C1C" w:rsidRPr="00951A85" w:rsidRDefault="00103C1C" w:rsidP="00103C1C">
      <w:pPr>
        <w:autoSpaceDE w:val="0"/>
        <w:autoSpaceDN w:val="0"/>
        <w:adjustRightInd w:val="0"/>
        <w:jc w:val="both"/>
        <w:rPr>
          <w:color w:val="000000"/>
          <w:sz w:val="22"/>
          <w:szCs w:val="22"/>
          <w:u w:val="single"/>
          <w:lang w:val="sr-Latn-ME"/>
        </w:rPr>
      </w:pPr>
      <w:r w:rsidRPr="00951A85">
        <w:rPr>
          <w:color w:val="000000"/>
          <w:sz w:val="22"/>
          <w:szCs w:val="22"/>
          <w:u w:val="single"/>
          <w:lang w:val="sr-Latn-ME"/>
        </w:rPr>
        <w:t>Odrasli i djeca starija od 12 godina</w:t>
      </w:r>
    </w:p>
    <w:p w14:paraId="756FD67F" w14:textId="77777777" w:rsidR="00103C1C" w:rsidRPr="00951A85" w:rsidRDefault="00103C1C" w:rsidP="00103C1C">
      <w:pPr>
        <w:autoSpaceDE w:val="0"/>
        <w:autoSpaceDN w:val="0"/>
        <w:adjustRightInd w:val="0"/>
        <w:jc w:val="both"/>
        <w:rPr>
          <w:color w:val="000000"/>
          <w:sz w:val="22"/>
          <w:szCs w:val="22"/>
          <w:lang w:val="sr-Latn-ME"/>
        </w:rPr>
      </w:pPr>
      <w:r w:rsidRPr="00951A85">
        <w:rPr>
          <w:color w:val="000000"/>
          <w:sz w:val="22"/>
          <w:szCs w:val="22"/>
          <w:lang w:val="sr-Latn-ME"/>
        </w:rPr>
        <w:t xml:space="preserve">Jedna do dvije tablete za žvakanje (što odgovara dozi od 500 do 1000 mg hidrotalcita) nekoliko puta na dan po potrebi, između obroka i prije odlaska na spavanje. </w:t>
      </w:r>
    </w:p>
    <w:p w14:paraId="5E84B328" w14:textId="77777777" w:rsidR="00103C1C" w:rsidRPr="00951A85" w:rsidRDefault="00103C1C" w:rsidP="00103C1C">
      <w:pPr>
        <w:autoSpaceDE w:val="0"/>
        <w:autoSpaceDN w:val="0"/>
        <w:adjustRightInd w:val="0"/>
        <w:jc w:val="both"/>
        <w:rPr>
          <w:color w:val="000000"/>
          <w:sz w:val="22"/>
          <w:szCs w:val="22"/>
          <w:lang w:val="sr-Latn-ME"/>
        </w:rPr>
      </w:pPr>
      <w:r w:rsidRPr="00951A85">
        <w:rPr>
          <w:color w:val="000000"/>
          <w:sz w:val="22"/>
          <w:szCs w:val="22"/>
          <w:lang w:val="sr-Latn-ME"/>
        </w:rPr>
        <w:t xml:space="preserve">Ukupna dnevna doza ne smije preći 12 tableta, što odgovara dozi od 6 g hidrotalcita. </w:t>
      </w:r>
    </w:p>
    <w:p w14:paraId="23D9EA76" w14:textId="77777777" w:rsidR="00103C1C" w:rsidRPr="00951A85" w:rsidRDefault="00103C1C" w:rsidP="00103C1C">
      <w:pPr>
        <w:autoSpaceDE w:val="0"/>
        <w:autoSpaceDN w:val="0"/>
        <w:adjustRightInd w:val="0"/>
        <w:jc w:val="both"/>
        <w:rPr>
          <w:color w:val="000000"/>
          <w:sz w:val="22"/>
          <w:szCs w:val="22"/>
          <w:lang w:val="sr-Latn-ME"/>
        </w:rPr>
      </w:pPr>
    </w:p>
    <w:p w14:paraId="7A047E0A" w14:textId="77777777" w:rsidR="00103C1C" w:rsidRPr="00951A85" w:rsidRDefault="00103C1C" w:rsidP="00103C1C">
      <w:pPr>
        <w:autoSpaceDE w:val="0"/>
        <w:autoSpaceDN w:val="0"/>
        <w:adjustRightInd w:val="0"/>
        <w:jc w:val="both"/>
        <w:rPr>
          <w:color w:val="000000"/>
          <w:sz w:val="22"/>
          <w:szCs w:val="22"/>
          <w:u w:val="single"/>
          <w:lang w:val="sr-Latn-ME"/>
        </w:rPr>
      </w:pPr>
      <w:r w:rsidRPr="00951A85">
        <w:rPr>
          <w:color w:val="000000"/>
          <w:sz w:val="22"/>
          <w:szCs w:val="22"/>
          <w:u w:val="single"/>
          <w:lang w:val="sr-Latn-ME"/>
        </w:rPr>
        <w:t>Djeca mlađa od 12 godina</w:t>
      </w:r>
    </w:p>
    <w:p w14:paraId="19644949" w14:textId="77777777" w:rsidR="00103C1C" w:rsidRPr="00951A85" w:rsidRDefault="00103C1C" w:rsidP="00103C1C">
      <w:pPr>
        <w:autoSpaceDE w:val="0"/>
        <w:autoSpaceDN w:val="0"/>
        <w:adjustRightInd w:val="0"/>
        <w:jc w:val="both"/>
        <w:rPr>
          <w:color w:val="000000"/>
          <w:sz w:val="22"/>
          <w:szCs w:val="22"/>
          <w:lang w:val="sr-Latn-ME"/>
        </w:rPr>
      </w:pPr>
      <w:r w:rsidRPr="00951A85">
        <w:rPr>
          <w:color w:val="000000"/>
          <w:sz w:val="22"/>
          <w:szCs w:val="22"/>
          <w:lang w:val="sr-Latn-ME"/>
        </w:rPr>
        <w:t>Lijek se ne smije primjenjivati kod djece mlađe od 12 godina, jer su dostupna iskustva za ovu uzrastnu grupu nepotpuna.</w:t>
      </w:r>
    </w:p>
    <w:p w14:paraId="375C2E8A" w14:textId="77777777" w:rsidR="00103C1C" w:rsidRPr="00951A85" w:rsidRDefault="00103C1C" w:rsidP="00103C1C">
      <w:pPr>
        <w:autoSpaceDE w:val="0"/>
        <w:autoSpaceDN w:val="0"/>
        <w:adjustRightInd w:val="0"/>
        <w:jc w:val="both"/>
        <w:rPr>
          <w:color w:val="000000"/>
          <w:sz w:val="22"/>
          <w:szCs w:val="22"/>
          <w:lang w:val="sr-Latn-ME"/>
        </w:rPr>
      </w:pPr>
    </w:p>
    <w:p w14:paraId="667246BD" w14:textId="77777777" w:rsidR="00103C1C" w:rsidRPr="00951A85" w:rsidRDefault="00103C1C" w:rsidP="00103C1C">
      <w:pPr>
        <w:autoSpaceDE w:val="0"/>
        <w:autoSpaceDN w:val="0"/>
        <w:adjustRightInd w:val="0"/>
        <w:jc w:val="both"/>
        <w:rPr>
          <w:color w:val="000000"/>
          <w:sz w:val="22"/>
          <w:szCs w:val="22"/>
          <w:u w:val="single"/>
          <w:lang w:val="sr-Latn-ME"/>
        </w:rPr>
      </w:pPr>
      <w:r w:rsidRPr="00951A85">
        <w:rPr>
          <w:color w:val="000000"/>
          <w:sz w:val="22"/>
          <w:szCs w:val="22"/>
          <w:u w:val="single"/>
          <w:lang w:val="sr-Latn-ME"/>
        </w:rPr>
        <w:t>Primjena kod pacijenata sa bubrežnom insuficijencijom</w:t>
      </w:r>
    </w:p>
    <w:p w14:paraId="49109BFF" w14:textId="2DF7209C" w:rsidR="00103C1C" w:rsidRPr="00951A85" w:rsidRDefault="00103C1C" w:rsidP="00103C1C">
      <w:pPr>
        <w:autoSpaceDE w:val="0"/>
        <w:autoSpaceDN w:val="0"/>
        <w:adjustRightInd w:val="0"/>
        <w:jc w:val="both"/>
        <w:rPr>
          <w:color w:val="000000"/>
          <w:sz w:val="22"/>
          <w:szCs w:val="22"/>
          <w:lang w:val="sr-Latn-ME"/>
        </w:rPr>
      </w:pPr>
      <w:r w:rsidRPr="00951A85">
        <w:rPr>
          <w:color w:val="000000"/>
          <w:sz w:val="22"/>
          <w:szCs w:val="22"/>
          <w:lang w:val="sr-Latn-ME"/>
        </w:rPr>
        <w:t xml:space="preserve">Primjena hidrotalcita je kontraindikovana kod pacijenata sa teškom bubrežnom insuficijencijom (klirens kreatinina &lt; 30 ml/min), a potreban je oprez prilikom primjene kod pacijenata sa umjerenom bubrežnom insuficijencijom (vidjeti </w:t>
      </w:r>
      <w:r w:rsidR="006F525B" w:rsidRPr="00951A85">
        <w:rPr>
          <w:color w:val="000000"/>
          <w:sz w:val="22"/>
          <w:szCs w:val="22"/>
          <w:lang w:val="sr-Latn-ME"/>
        </w:rPr>
        <w:t xml:space="preserve">djelove </w:t>
      </w:r>
      <w:r w:rsidRPr="00951A85">
        <w:rPr>
          <w:color w:val="000000"/>
          <w:sz w:val="22"/>
          <w:szCs w:val="22"/>
          <w:lang w:val="sr-Latn-ME"/>
        </w:rPr>
        <w:t xml:space="preserve">4.3. i 4.4.). </w:t>
      </w:r>
    </w:p>
    <w:p w14:paraId="1D3D6F96" w14:textId="77777777" w:rsidR="00103C1C" w:rsidRPr="00951A85" w:rsidRDefault="00103C1C" w:rsidP="00103C1C">
      <w:pPr>
        <w:autoSpaceDE w:val="0"/>
        <w:autoSpaceDN w:val="0"/>
        <w:adjustRightInd w:val="0"/>
        <w:jc w:val="both"/>
        <w:rPr>
          <w:color w:val="000000"/>
          <w:sz w:val="22"/>
          <w:szCs w:val="22"/>
          <w:lang w:val="sr-Latn-ME"/>
        </w:rPr>
      </w:pPr>
    </w:p>
    <w:p w14:paraId="58EEA130" w14:textId="77777777" w:rsidR="003D525B" w:rsidRPr="00951A85" w:rsidRDefault="003D525B" w:rsidP="00103C1C">
      <w:pPr>
        <w:autoSpaceDE w:val="0"/>
        <w:autoSpaceDN w:val="0"/>
        <w:adjustRightInd w:val="0"/>
        <w:jc w:val="both"/>
        <w:rPr>
          <w:color w:val="000000"/>
          <w:sz w:val="22"/>
          <w:szCs w:val="22"/>
          <w:lang w:val="sr-Latn-ME"/>
        </w:rPr>
      </w:pPr>
    </w:p>
    <w:p w14:paraId="55AA8428" w14:textId="77777777" w:rsidR="00103C1C" w:rsidRPr="00951A85" w:rsidRDefault="00103C1C" w:rsidP="00103C1C">
      <w:pPr>
        <w:autoSpaceDE w:val="0"/>
        <w:autoSpaceDN w:val="0"/>
        <w:adjustRightInd w:val="0"/>
        <w:jc w:val="both"/>
        <w:rPr>
          <w:color w:val="000000"/>
          <w:sz w:val="22"/>
          <w:szCs w:val="22"/>
          <w:u w:val="single"/>
          <w:lang w:val="sr-Latn-ME"/>
        </w:rPr>
      </w:pPr>
      <w:r w:rsidRPr="00951A85">
        <w:rPr>
          <w:color w:val="000000"/>
          <w:sz w:val="22"/>
          <w:szCs w:val="22"/>
          <w:u w:val="single"/>
          <w:lang w:val="sr-Latn-ME"/>
        </w:rPr>
        <w:t xml:space="preserve">Način primjene </w:t>
      </w:r>
    </w:p>
    <w:p w14:paraId="099CC495" w14:textId="77777777" w:rsidR="00103C1C" w:rsidRPr="00951A85" w:rsidRDefault="00103C1C" w:rsidP="00103C1C">
      <w:pPr>
        <w:autoSpaceDE w:val="0"/>
        <w:autoSpaceDN w:val="0"/>
        <w:adjustRightInd w:val="0"/>
        <w:jc w:val="both"/>
        <w:rPr>
          <w:color w:val="000000"/>
          <w:sz w:val="22"/>
          <w:szCs w:val="22"/>
          <w:lang w:val="sr-Latn-ME"/>
        </w:rPr>
      </w:pPr>
      <w:r w:rsidRPr="00951A85">
        <w:rPr>
          <w:color w:val="000000"/>
          <w:sz w:val="22"/>
          <w:szCs w:val="22"/>
          <w:lang w:val="sr-Latn-ME"/>
        </w:rPr>
        <w:t xml:space="preserve">Za oralnu upotrebu. Tablete za žvakanje treba prožvakati prije gutanja. Hidrotalcit se ne smije uzimati istovremeno sa pićima koja sadrže voćne kiseline (vino, voćni sokovi i dr.) </w:t>
      </w:r>
    </w:p>
    <w:p w14:paraId="5E2E37A2" w14:textId="77777777" w:rsidR="00103C1C" w:rsidRPr="00951A85" w:rsidRDefault="00103C1C" w:rsidP="00103C1C">
      <w:pPr>
        <w:autoSpaceDE w:val="0"/>
        <w:autoSpaceDN w:val="0"/>
        <w:adjustRightInd w:val="0"/>
        <w:jc w:val="both"/>
        <w:rPr>
          <w:color w:val="000000"/>
          <w:sz w:val="22"/>
          <w:szCs w:val="22"/>
          <w:lang w:val="sr-Latn-ME"/>
        </w:rPr>
      </w:pPr>
    </w:p>
    <w:p w14:paraId="2E1921D6" w14:textId="77777777" w:rsidR="00103C1C" w:rsidRPr="00951A85" w:rsidRDefault="00103C1C" w:rsidP="00103C1C">
      <w:pPr>
        <w:autoSpaceDE w:val="0"/>
        <w:autoSpaceDN w:val="0"/>
        <w:adjustRightInd w:val="0"/>
        <w:jc w:val="both"/>
        <w:rPr>
          <w:color w:val="000000"/>
          <w:sz w:val="22"/>
          <w:szCs w:val="22"/>
          <w:u w:val="single"/>
          <w:lang w:val="sr-Latn-ME"/>
        </w:rPr>
      </w:pPr>
      <w:r w:rsidRPr="00951A85">
        <w:rPr>
          <w:color w:val="000000"/>
          <w:sz w:val="22"/>
          <w:szCs w:val="22"/>
          <w:u w:val="single"/>
          <w:lang w:val="sr-Latn-ME"/>
        </w:rPr>
        <w:t xml:space="preserve">Trajanje primjene </w:t>
      </w:r>
    </w:p>
    <w:p w14:paraId="1533DC5F" w14:textId="77777777" w:rsidR="00103C1C" w:rsidRPr="00951A85" w:rsidRDefault="00103C1C" w:rsidP="00103C1C">
      <w:pPr>
        <w:jc w:val="both"/>
        <w:rPr>
          <w:color w:val="000000"/>
          <w:sz w:val="22"/>
          <w:szCs w:val="22"/>
          <w:lang w:val="sr-Latn-ME" w:eastAsia="hr-HR"/>
        </w:rPr>
      </w:pPr>
      <w:r w:rsidRPr="00951A85">
        <w:rPr>
          <w:color w:val="000000"/>
          <w:sz w:val="22"/>
          <w:szCs w:val="22"/>
          <w:lang w:val="sr-Latn-ME"/>
        </w:rPr>
        <w:t>Nije za primjenu dužu od 14 dana bez preporuke ljekara. Ukoliko simptomi traju duže od 2 nedjelje tretmana, treba izvršiti pregled pacijenta, kako bi se isključio rizik od postojanja prije svega maligne bolesti.</w:t>
      </w:r>
    </w:p>
    <w:p w14:paraId="0199E2E3" w14:textId="77777777" w:rsidR="00452E9D" w:rsidRPr="00951A85" w:rsidRDefault="00452E9D" w:rsidP="00480FB1">
      <w:pPr>
        <w:tabs>
          <w:tab w:val="left" w:pos="540"/>
          <w:tab w:val="left" w:pos="569"/>
        </w:tabs>
        <w:rPr>
          <w:bCs/>
          <w:sz w:val="22"/>
          <w:szCs w:val="22"/>
          <w:lang w:val="sr-Latn-ME"/>
        </w:rPr>
      </w:pPr>
    </w:p>
    <w:p w14:paraId="07A1BEB0" w14:textId="77777777" w:rsidR="00411B4B" w:rsidRPr="00951A85" w:rsidRDefault="00411B4B" w:rsidP="00480FB1">
      <w:pPr>
        <w:tabs>
          <w:tab w:val="left" w:pos="540"/>
          <w:tab w:val="left" w:pos="569"/>
        </w:tabs>
        <w:rPr>
          <w:b/>
          <w:bCs/>
          <w:sz w:val="22"/>
          <w:szCs w:val="22"/>
          <w:lang w:val="sr-Latn-ME"/>
        </w:rPr>
      </w:pPr>
      <w:r w:rsidRPr="00951A85">
        <w:rPr>
          <w:b/>
          <w:bCs/>
          <w:sz w:val="22"/>
          <w:szCs w:val="22"/>
          <w:lang w:val="sr-Latn-ME"/>
        </w:rPr>
        <w:t xml:space="preserve">4.3. </w:t>
      </w:r>
      <w:r w:rsidR="00480FB1" w:rsidRPr="00951A85">
        <w:rPr>
          <w:b/>
          <w:bCs/>
          <w:sz w:val="22"/>
          <w:szCs w:val="22"/>
          <w:lang w:val="sr-Latn-ME"/>
        </w:rPr>
        <w:tab/>
      </w:r>
      <w:r w:rsidRPr="00951A85">
        <w:rPr>
          <w:b/>
          <w:bCs/>
          <w:sz w:val="22"/>
          <w:szCs w:val="22"/>
          <w:lang w:val="sr-Latn-ME"/>
        </w:rPr>
        <w:t>Kontraindikacije</w:t>
      </w:r>
    </w:p>
    <w:p w14:paraId="631D1D75" w14:textId="77777777" w:rsidR="00702B61" w:rsidRPr="00951A85" w:rsidRDefault="00702B61" w:rsidP="00480FB1">
      <w:pPr>
        <w:tabs>
          <w:tab w:val="left" w:pos="540"/>
          <w:tab w:val="left" w:pos="569"/>
        </w:tabs>
        <w:rPr>
          <w:b/>
          <w:bCs/>
          <w:sz w:val="22"/>
          <w:szCs w:val="22"/>
          <w:lang w:val="sr-Latn-ME"/>
        </w:rPr>
      </w:pPr>
    </w:p>
    <w:p w14:paraId="6F000DB2" w14:textId="7CAADBEE" w:rsidR="00702B61" w:rsidRPr="00951A85" w:rsidRDefault="00702B61" w:rsidP="00702B61">
      <w:pPr>
        <w:numPr>
          <w:ilvl w:val="0"/>
          <w:numId w:val="13"/>
        </w:numPr>
        <w:jc w:val="both"/>
        <w:rPr>
          <w:color w:val="000000"/>
          <w:sz w:val="22"/>
          <w:szCs w:val="22"/>
          <w:lang w:val="sr-Latn-ME" w:eastAsia="hr-HR"/>
        </w:rPr>
      </w:pPr>
      <w:r w:rsidRPr="00951A85">
        <w:rPr>
          <w:color w:val="000000"/>
          <w:sz w:val="22"/>
          <w:szCs w:val="22"/>
          <w:lang w:val="sr-Latn-ME" w:eastAsia="hr-HR"/>
        </w:rPr>
        <w:t xml:space="preserve">Preosjetljivost na aktivnu supstancu ili na bilo koju pomoćnu supstancu navedenu u </w:t>
      </w:r>
      <w:r w:rsidR="003D525B" w:rsidRPr="00951A85">
        <w:rPr>
          <w:color w:val="000000"/>
          <w:sz w:val="22"/>
          <w:szCs w:val="22"/>
          <w:lang w:val="sr-Latn-ME" w:eastAsia="hr-HR"/>
        </w:rPr>
        <w:t xml:space="preserve">dijelu </w:t>
      </w:r>
      <w:r w:rsidRPr="00951A85">
        <w:rPr>
          <w:color w:val="000000"/>
          <w:sz w:val="22"/>
          <w:szCs w:val="22"/>
          <w:lang w:val="sr-Latn-ME" w:eastAsia="hr-HR"/>
        </w:rPr>
        <w:t>6.1,</w:t>
      </w:r>
    </w:p>
    <w:p w14:paraId="701A554E" w14:textId="77777777" w:rsidR="00702B61" w:rsidRPr="00951A85" w:rsidRDefault="00702B61" w:rsidP="00702B61">
      <w:pPr>
        <w:numPr>
          <w:ilvl w:val="0"/>
          <w:numId w:val="13"/>
        </w:numPr>
        <w:jc w:val="both"/>
        <w:rPr>
          <w:color w:val="000000"/>
          <w:sz w:val="22"/>
          <w:szCs w:val="22"/>
          <w:lang w:val="sr-Latn-ME" w:eastAsia="hr-HR"/>
        </w:rPr>
      </w:pPr>
      <w:r w:rsidRPr="00951A85">
        <w:rPr>
          <w:color w:val="000000"/>
          <w:sz w:val="22"/>
          <w:szCs w:val="22"/>
          <w:lang w:val="sr-Latn-ME" w:eastAsia="hr-HR"/>
        </w:rPr>
        <w:t>Teško oštećenje bubrežne funkcije (klirens kreatinina &lt; 30 ml/min),</w:t>
      </w:r>
    </w:p>
    <w:p w14:paraId="3D47840D" w14:textId="77777777" w:rsidR="00702B61" w:rsidRPr="00951A85" w:rsidRDefault="00702B61" w:rsidP="00702B61">
      <w:pPr>
        <w:numPr>
          <w:ilvl w:val="0"/>
          <w:numId w:val="13"/>
        </w:numPr>
        <w:jc w:val="both"/>
        <w:rPr>
          <w:color w:val="000000"/>
          <w:sz w:val="22"/>
          <w:szCs w:val="22"/>
          <w:lang w:val="sr-Latn-ME" w:eastAsia="hr-HR"/>
        </w:rPr>
      </w:pPr>
      <w:r w:rsidRPr="00951A85">
        <w:rPr>
          <w:color w:val="000000"/>
          <w:sz w:val="22"/>
          <w:szCs w:val="22"/>
          <w:lang w:val="sr-Latn-ME" w:eastAsia="hr-HR"/>
        </w:rPr>
        <w:t>Hipofosfatemija,</w:t>
      </w:r>
    </w:p>
    <w:p w14:paraId="7BA1C428" w14:textId="77777777" w:rsidR="00702B61" w:rsidRPr="00951A85" w:rsidRDefault="00702B61" w:rsidP="00702B61">
      <w:pPr>
        <w:numPr>
          <w:ilvl w:val="0"/>
          <w:numId w:val="13"/>
        </w:numPr>
        <w:jc w:val="both"/>
        <w:rPr>
          <w:color w:val="000000"/>
          <w:sz w:val="22"/>
          <w:szCs w:val="22"/>
          <w:lang w:val="sr-Latn-ME" w:eastAsia="hr-HR"/>
        </w:rPr>
      </w:pPr>
      <w:r w:rsidRPr="00951A85">
        <w:rPr>
          <w:color w:val="000000"/>
          <w:sz w:val="22"/>
          <w:szCs w:val="22"/>
          <w:lang w:val="sr-Latn-ME" w:eastAsia="hr-HR"/>
        </w:rPr>
        <w:t>Miastenija gravis.</w:t>
      </w:r>
    </w:p>
    <w:p w14:paraId="07EF1FC8" w14:textId="77777777" w:rsidR="0072020E" w:rsidRPr="00951A85" w:rsidRDefault="0072020E" w:rsidP="00480FB1">
      <w:pPr>
        <w:tabs>
          <w:tab w:val="left" w:pos="540"/>
          <w:tab w:val="left" w:pos="569"/>
        </w:tabs>
        <w:rPr>
          <w:bCs/>
          <w:sz w:val="22"/>
          <w:szCs w:val="22"/>
          <w:lang w:val="sr-Latn-ME"/>
        </w:rPr>
      </w:pPr>
    </w:p>
    <w:p w14:paraId="7BA2E8D6" w14:textId="77777777" w:rsidR="00411B4B" w:rsidRPr="00951A85" w:rsidRDefault="00411B4B" w:rsidP="00480FB1">
      <w:pPr>
        <w:tabs>
          <w:tab w:val="left" w:pos="540"/>
          <w:tab w:val="left" w:pos="569"/>
        </w:tabs>
        <w:rPr>
          <w:b/>
          <w:bCs/>
          <w:sz w:val="22"/>
          <w:szCs w:val="22"/>
          <w:lang w:val="sr-Latn-ME"/>
        </w:rPr>
      </w:pPr>
      <w:r w:rsidRPr="00951A85">
        <w:rPr>
          <w:b/>
          <w:bCs/>
          <w:sz w:val="22"/>
          <w:szCs w:val="22"/>
          <w:lang w:val="sr-Latn-ME"/>
        </w:rPr>
        <w:t xml:space="preserve">4.4. </w:t>
      </w:r>
      <w:r w:rsidR="00480FB1" w:rsidRPr="00951A85">
        <w:rPr>
          <w:b/>
          <w:bCs/>
          <w:sz w:val="22"/>
          <w:szCs w:val="22"/>
          <w:lang w:val="sr-Latn-ME"/>
        </w:rPr>
        <w:tab/>
      </w:r>
      <w:r w:rsidRPr="00951A85">
        <w:rPr>
          <w:b/>
          <w:bCs/>
          <w:sz w:val="22"/>
          <w:szCs w:val="22"/>
          <w:lang w:val="sr-Latn-ME"/>
        </w:rPr>
        <w:t>Posebna upozorenja i mjere opreza pri upotrebi lijeka</w:t>
      </w:r>
    </w:p>
    <w:p w14:paraId="33CB47E3" w14:textId="77777777" w:rsidR="0072020E" w:rsidRPr="00951A85" w:rsidRDefault="0072020E" w:rsidP="00480FB1">
      <w:pPr>
        <w:tabs>
          <w:tab w:val="left" w:pos="540"/>
          <w:tab w:val="left" w:pos="569"/>
        </w:tabs>
        <w:rPr>
          <w:bCs/>
          <w:sz w:val="22"/>
          <w:szCs w:val="22"/>
          <w:lang w:val="sr-Latn-ME"/>
        </w:rPr>
      </w:pPr>
    </w:p>
    <w:p w14:paraId="1891A9E8" w14:textId="77777777" w:rsidR="00702B61" w:rsidRPr="00951A85" w:rsidRDefault="00702B61" w:rsidP="00702B61">
      <w:pPr>
        <w:jc w:val="both"/>
        <w:rPr>
          <w:color w:val="000000"/>
          <w:sz w:val="22"/>
          <w:szCs w:val="22"/>
          <w:lang w:val="sr-Latn-ME" w:eastAsia="hr-HR"/>
        </w:rPr>
      </w:pPr>
      <w:r w:rsidRPr="00951A85">
        <w:rPr>
          <w:color w:val="000000"/>
          <w:sz w:val="22"/>
          <w:szCs w:val="22"/>
          <w:lang w:val="sr-Latn-ME"/>
        </w:rPr>
        <w:t>Pacijenti sa oštećenjem bubrežne funkcije (klirens kreatinina ≥ 30 ml/min) mogu primjenjivati hidrotalcit sa oprezom i ukoliko je moguće sprovoditi redovni nadzor serumskih koncentracija magnezijuma i aluminijuma. Nivo aluminijuma ne smije biti veći od 40 μg/l. Kod pacijenata sa oštećenom funkcijom bubrega koji uzimaju visoke doze lijeka duži vremenski period, može doći do intoksikacije (hipermagnezijemije i porasta nivoa aluminijuma u serumu) sa pojavom osteomalacije i encefalopatije.</w:t>
      </w:r>
    </w:p>
    <w:p w14:paraId="272FE5FA" w14:textId="77777777" w:rsidR="00702B61" w:rsidRPr="00951A85" w:rsidRDefault="00702B61" w:rsidP="00702B61">
      <w:pPr>
        <w:jc w:val="both"/>
        <w:rPr>
          <w:color w:val="000000"/>
          <w:sz w:val="22"/>
          <w:szCs w:val="22"/>
          <w:lang w:val="sr-Latn-ME" w:eastAsia="hr-HR"/>
        </w:rPr>
      </w:pPr>
    </w:p>
    <w:p w14:paraId="7396603D" w14:textId="77777777" w:rsidR="00702B61" w:rsidRPr="00951A85" w:rsidRDefault="00702B61" w:rsidP="00702B61">
      <w:pPr>
        <w:jc w:val="both"/>
        <w:rPr>
          <w:color w:val="000000"/>
          <w:sz w:val="22"/>
          <w:szCs w:val="22"/>
          <w:lang w:val="sr-Latn-ME" w:eastAsia="hr-HR"/>
        </w:rPr>
      </w:pPr>
      <w:r w:rsidRPr="00951A85">
        <w:rPr>
          <w:color w:val="000000"/>
          <w:sz w:val="22"/>
          <w:szCs w:val="22"/>
          <w:lang w:val="sr-Latn-ME"/>
        </w:rPr>
        <w:t>Kod pacijenata sa oštećenjem bubrežne funkcije (posebno kod pacijenata na hemodijalizi), pacijenata sa Alzheimer-ovom bolešću ili drugim oblicima demencije i kod pacijenata na dijeti sa ograničenim unosom fosfata (ishrana siromašna fosfatima) moraju se izbjegavati visoke doze i dugotrajno izlaganje.</w:t>
      </w:r>
    </w:p>
    <w:p w14:paraId="6AF6FBBE" w14:textId="77777777" w:rsidR="00702B61" w:rsidRPr="00951A85" w:rsidRDefault="00702B61" w:rsidP="00702B61">
      <w:pPr>
        <w:jc w:val="both"/>
        <w:rPr>
          <w:color w:val="000000"/>
          <w:sz w:val="22"/>
          <w:szCs w:val="22"/>
          <w:lang w:val="sr-Latn-ME" w:eastAsia="hr-HR"/>
        </w:rPr>
      </w:pPr>
    </w:p>
    <w:p w14:paraId="2024A455" w14:textId="77777777" w:rsidR="00702B61" w:rsidRPr="00951A85" w:rsidRDefault="00702B61" w:rsidP="00702B61">
      <w:pPr>
        <w:jc w:val="both"/>
        <w:rPr>
          <w:color w:val="000000"/>
          <w:sz w:val="22"/>
          <w:szCs w:val="22"/>
          <w:lang w:val="sr-Latn-ME" w:eastAsia="hr-HR"/>
        </w:rPr>
      </w:pPr>
      <w:r w:rsidRPr="00951A85">
        <w:rPr>
          <w:color w:val="000000"/>
          <w:sz w:val="22"/>
          <w:szCs w:val="22"/>
          <w:lang w:val="sr-Latn-ME"/>
        </w:rPr>
        <w:t>Pacijenti koji imaju uporne simptome i/ili simptome koji se često ponavljaju moraju biti pregledani kako bi se isključio rizik od ozbiljnog poremećaja koji izaziva te simptome, kao što su neprepoznati čir na želucu ili maligna bolest.</w:t>
      </w:r>
    </w:p>
    <w:p w14:paraId="38C1118B" w14:textId="77777777" w:rsidR="00702B61" w:rsidRPr="00951A85" w:rsidRDefault="00702B61" w:rsidP="00702B61">
      <w:pPr>
        <w:jc w:val="both"/>
        <w:rPr>
          <w:color w:val="000000"/>
          <w:sz w:val="22"/>
          <w:szCs w:val="22"/>
          <w:lang w:val="sr-Latn-ME" w:eastAsia="hr-HR"/>
        </w:rPr>
      </w:pPr>
    </w:p>
    <w:p w14:paraId="61CAD1F8" w14:textId="77777777" w:rsidR="00702B61" w:rsidRPr="00951A85" w:rsidRDefault="00702B61" w:rsidP="00702B61">
      <w:pPr>
        <w:jc w:val="both"/>
        <w:rPr>
          <w:color w:val="000000"/>
          <w:sz w:val="22"/>
          <w:szCs w:val="22"/>
          <w:lang w:val="sr-Latn-ME" w:eastAsia="hr-HR"/>
        </w:rPr>
      </w:pPr>
      <w:r w:rsidRPr="00951A85">
        <w:rPr>
          <w:color w:val="000000"/>
          <w:sz w:val="22"/>
          <w:szCs w:val="22"/>
          <w:lang w:val="sr-Latn-ME"/>
        </w:rPr>
        <w:t xml:space="preserve">Pacijenti koji boluju od čira na želucu ili dvanaestopalačnom crijevu moraju napraviti pregled na bakteriju </w:t>
      </w:r>
      <w:r w:rsidRPr="00951A85">
        <w:rPr>
          <w:i/>
          <w:iCs/>
          <w:color w:val="000000"/>
          <w:sz w:val="22"/>
          <w:szCs w:val="22"/>
          <w:lang w:val="sr-Latn-ME"/>
        </w:rPr>
        <w:t xml:space="preserve">H. pylori. </w:t>
      </w:r>
      <w:r w:rsidRPr="00951A85">
        <w:rPr>
          <w:color w:val="000000"/>
          <w:sz w:val="22"/>
          <w:szCs w:val="22"/>
          <w:lang w:val="sr-Latn-ME"/>
        </w:rPr>
        <w:t>U slučaju da nalaz bude pozitivan, mora se razmotriti primjena eradikacijske terapije.</w:t>
      </w:r>
    </w:p>
    <w:p w14:paraId="3CE5F415" w14:textId="77777777" w:rsidR="00702B61" w:rsidRPr="00951A85" w:rsidRDefault="00702B61" w:rsidP="00702B61">
      <w:pPr>
        <w:jc w:val="both"/>
        <w:rPr>
          <w:color w:val="000000"/>
          <w:sz w:val="22"/>
          <w:szCs w:val="22"/>
          <w:lang w:val="sr-Latn-ME" w:eastAsia="hr-HR"/>
        </w:rPr>
      </w:pPr>
    </w:p>
    <w:p w14:paraId="5CD18D10" w14:textId="77777777" w:rsidR="00702B61" w:rsidRPr="00951A85" w:rsidRDefault="00702B61" w:rsidP="00702B61">
      <w:pPr>
        <w:autoSpaceDE w:val="0"/>
        <w:autoSpaceDN w:val="0"/>
        <w:adjustRightInd w:val="0"/>
        <w:jc w:val="both"/>
        <w:rPr>
          <w:color w:val="000000"/>
          <w:sz w:val="22"/>
          <w:szCs w:val="22"/>
          <w:lang w:val="sr-Latn-ME"/>
        </w:rPr>
      </w:pPr>
      <w:r w:rsidRPr="00951A85">
        <w:rPr>
          <w:color w:val="000000"/>
          <w:sz w:val="22"/>
          <w:szCs w:val="22"/>
          <w:lang w:val="sr-Latn-ME"/>
        </w:rPr>
        <w:t>Hidrotalcit se ne smije uzimati istovremeno sa pićima koja sadrže voćne kiseline (vino, voćni sokovi i dr.) zbog povećane intestinalne reapsorpcije aluminijum hidroksida.</w:t>
      </w:r>
    </w:p>
    <w:p w14:paraId="6E1D8AEE" w14:textId="77777777" w:rsidR="00057E35" w:rsidRPr="00951A85" w:rsidRDefault="00057E35" w:rsidP="00480FB1">
      <w:pPr>
        <w:tabs>
          <w:tab w:val="left" w:pos="540"/>
          <w:tab w:val="left" w:pos="569"/>
        </w:tabs>
        <w:rPr>
          <w:bCs/>
          <w:sz w:val="22"/>
          <w:szCs w:val="22"/>
          <w:lang w:val="sr-Latn-ME"/>
        </w:rPr>
      </w:pPr>
    </w:p>
    <w:p w14:paraId="7E67D0C8" w14:textId="77777777" w:rsidR="00411B4B" w:rsidRPr="00951A85" w:rsidRDefault="00411B4B" w:rsidP="00480FB1">
      <w:pPr>
        <w:tabs>
          <w:tab w:val="left" w:pos="540"/>
          <w:tab w:val="left" w:pos="569"/>
        </w:tabs>
        <w:rPr>
          <w:b/>
          <w:bCs/>
          <w:sz w:val="22"/>
          <w:szCs w:val="22"/>
          <w:lang w:val="sr-Latn-ME"/>
        </w:rPr>
      </w:pPr>
      <w:r w:rsidRPr="00951A85">
        <w:rPr>
          <w:b/>
          <w:bCs/>
          <w:sz w:val="22"/>
          <w:szCs w:val="22"/>
          <w:lang w:val="sr-Latn-ME"/>
        </w:rPr>
        <w:t>4.5.</w:t>
      </w:r>
      <w:r w:rsidR="000D60CC" w:rsidRPr="00951A85">
        <w:rPr>
          <w:b/>
          <w:bCs/>
          <w:sz w:val="22"/>
          <w:szCs w:val="22"/>
          <w:lang w:val="sr-Latn-ME"/>
        </w:rPr>
        <w:tab/>
      </w:r>
      <w:r w:rsidRPr="00951A85">
        <w:rPr>
          <w:b/>
          <w:bCs/>
          <w:sz w:val="22"/>
          <w:szCs w:val="22"/>
          <w:lang w:val="sr-Latn-ME"/>
        </w:rPr>
        <w:t>Interakcije sa drugim ljekovima i druge vrste interakcija</w:t>
      </w:r>
    </w:p>
    <w:p w14:paraId="6FC18077" w14:textId="77777777" w:rsidR="0072020E" w:rsidRPr="00951A85" w:rsidRDefault="0072020E" w:rsidP="00480FB1">
      <w:pPr>
        <w:tabs>
          <w:tab w:val="left" w:pos="540"/>
          <w:tab w:val="left" w:pos="569"/>
        </w:tabs>
        <w:rPr>
          <w:bCs/>
          <w:sz w:val="22"/>
          <w:szCs w:val="22"/>
          <w:lang w:val="sr-Latn-ME"/>
        </w:rPr>
      </w:pPr>
    </w:p>
    <w:p w14:paraId="6D6A4027" w14:textId="77777777" w:rsidR="00702B61" w:rsidRPr="00951A85" w:rsidRDefault="00702B61" w:rsidP="00702B61">
      <w:pPr>
        <w:autoSpaceDE w:val="0"/>
        <w:autoSpaceDN w:val="0"/>
        <w:adjustRightInd w:val="0"/>
        <w:jc w:val="both"/>
        <w:rPr>
          <w:color w:val="000000"/>
          <w:sz w:val="22"/>
          <w:szCs w:val="22"/>
          <w:lang w:val="sr-Latn-ME"/>
        </w:rPr>
      </w:pPr>
      <w:r w:rsidRPr="00951A85">
        <w:rPr>
          <w:color w:val="000000"/>
          <w:sz w:val="22"/>
          <w:szCs w:val="22"/>
          <w:lang w:val="sr-Latn-ME"/>
        </w:rPr>
        <w:t>Antacidi mogu smanjiti reapsorpciju i efikasnost drugih ljekova kada se primjenjuju istovremeno, npr. kardiotoničnih glikozida, derivata tetraciklina ili hinolona (ciprofloksacin, ofloksacin i norfloksacin), kao i blokatora H</w:t>
      </w:r>
      <w:r w:rsidRPr="00951A85">
        <w:rPr>
          <w:color w:val="000000"/>
          <w:sz w:val="22"/>
          <w:szCs w:val="22"/>
          <w:vertAlign w:val="subscript"/>
          <w:lang w:val="sr-Latn-ME"/>
        </w:rPr>
        <w:t>2</w:t>
      </w:r>
      <w:r w:rsidRPr="00951A85">
        <w:rPr>
          <w:color w:val="000000"/>
          <w:sz w:val="22"/>
          <w:szCs w:val="22"/>
          <w:lang w:val="sr-Latn-ME"/>
        </w:rPr>
        <w:t xml:space="preserve"> receptora, kumarinskih derivata, natrijum flourida i henodeoksiholata.</w:t>
      </w:r>
    </w:p>
    <w:p w14:paraId="521AFB06" w14:textId="77777777" w:rsidR="00702B61" w:rsidRPr="00951A85" w:rsidRDefault="00702B61" w:rsidP="00702B61">
      <w:pPr>
        <w:autoSpaceDE w:val="0"/>
        <w:autoSpaceDN w:val="0"/>
        <w:adjustRightInd w:val="0"/>
        <w:jc w:val="both"/>
        <w:rPr>
          <w:color w:val="000000"/>
          <w:sz w:val="22"/>
          <w:szCs w:val="22"/>
          <w:lang w:val="sr-Latn-ME"/>
        </w:rPr>
      </w:pPr>
      <w:r w:rsidRPr="00951A85">
        <w:rPr>
          <w:color w:val="000000"/>
          <w:sz w:val="22"/>
          <w:szCs w:val="22"/>
          <w:lang w:val="sr-Latn-ME"/>
        </w:rPr>
        <w:t xml:space="preserve">Tokom primjene hidrotalcita dolazi do alkalizacije urina, što može uticati na izlučivanje nekih ljekova i na taj način dovesti do sniženog nivoa salicilata ili povišenog nivoa kinidina. </w:t>
      </w:r>
    </w:p>
    <w:p w14:paraId="701CEEF1" w14:textId="77777777" w:rsidR="00702B61" w:rsidRPr="00951A85" w:rsidRDefault="00702B61" w:rsidP="00702B61">
      <w:pPr>
        <w:autoSpaceDE w:val="0"/>
        <w:autoSpaceDN w:val="0"/>
        <w:adjustRightInd w:val="0"/>
        <w:jc w:val="both"/>
        <w:rPr>
          <w:color w:val="000000"/>
          <w:sz w:val="22"/>
          <w:szCs w:val="22"/>
          <w:lang w:val="sr-Latn-ME"/>
        </w:rPr>
      </w:pPr>
    </w:p>
    <w:p w14:paraId="2107849F" w14:textId="77777777" w:rsidR="00702B61" w:rsidRPr="00951A85" w:rsidRDefault="00702B61" w:rsidP="00702B61">
      <w:pPr>
        <w:autoSpaceDE w:val="0"/>
        <w:autoSpaceDN w:val="0"/>
        <w:adjustRightInd w:val="0"/>
        <w:jc w:val="both"/>
        <w:rPr>
          <w:color w:val="000000"/>
          <w:sz w:val="22"/>
          <w:szCs w:val="22"/>
          <w:lang w:val="sr-Latn-ME"/>
        </w:rPr>
      </w:pPr>
      <w:r w:rsidRPr="00951A85">
        <w:rPr>
          <w:color w:val="000000"/>
          <w:sz w:val="22"/>
          <w:szCs w:val="22"/>
          <w:lang w:val="sr-Latn-ME"/>
        </w:rPr>
        <w:t>Istovremena primjena antacida koji sadrže aluminijum i pića koja sadrže kiseline (voćnog soka, vina, itd.) povećava resorpciju aluminijuma iz crijeva. Ovo takođe važi i za šumeće tablete koje sadrže limunsku ili vinsku kiselinu.</w:t>
      </w:r>
    </w:p>
    <w:p w14:paraId="38777EFC" w14:textId="77777777" w:rsidR="00424484" w:rsidRPr="00951A85" w:rsidRDefault="00424484" w:rsidP="00702B61">
      <w:pPr>
        <w:autoSpaceDE w:val="0"/>
        <w:autoSpaceDN w:val="0"/>
        <w:adjustRightInd w:val="0"/>
        <w:jc w:val="both"/>
        <w:rPr>
          <w:color w:val="000000"/>
          <w:sz w:val="22"/>
          <w:szCs w:val="22"/>
          <w:lang w:val="sr-Latn-ME"/>
        </w:rPr>
      </w:pPr>
      <w:r w:rsidRPr="00951A85">
        <w:rPr>
          <w:color w:val="000000"/>
          <w:sz w:val="22"/>
          <w:szCs w:val="22"/>
          <w:lang w:val="sr-Latn-ME"/>
        </w:rPr>
        <w:t>Drugi ljekovi se uvijek moraju uzimati 1-2 sata prije ili nakon uzimanja lijeka Rutacid.</w:t>
      </w:r>
    </w:p>
    <w:p w14:paraId="5B4F5E5D" w14:textId="77777777" w:rsidR="00702B61" w:rsidRPr="00951A85" w:rsidRDefault="00702B61" w:rsidP="00480FB1">
      <w:pPr>
        <w:tabs>
          <w:tab w:val="left" w:pos="540"/>
          <w:tab w:val="left" w:pos="569"/>
        </w:tabs>
        <w:rPr>
          <w:bCs/>
          <w:sz w:val="22"/>
          <w:szCs w:val="22"/>
          <w:lang w:val="sr-Latn-ME"/>
        </w:rPr>
      </w:pPr>
    </w:p>
    <w:p w14:paraId="0EE4074E" w14:textId="77777777" w:rsidR="0072020E" w:rsidRPr="00951A85" w:rsidRDefault="0072020E" w:rsidP="00480FB1">
      <w:pPr>
        <w:tabs>
          <w:tab w:val="left" w:pos="540"/>
          <w:tab w:val="left" w:pos="569"/>
        </w:tabs>
        <w:rPr>
          <w:b/>
          <w:sz w:val="22"/>
          <w:szCs w:val="22"/>
          <w:lang w:val="sr-Latn-ME"/>
        </w:rPr>
      </w:pPr>
      <w:r w:rsidRPr="00951A85">
        <w:rPr>
          <w:b/>
          <w:bCs/>
          <w:sz w:val="22"/>
          <w:szCs w:val="22"/>
          <w:lang w:val="sr-Latn-ME"/>
        </w:rPr>
        <w:t xml:space="preserve">4.6. </w:t>
      </w:r>
      <w:r w:rsidR="00480FB1" w:rsidRPr="00951A85">
        <w:rPr>
          <w:b/>
          <w:bCs/>
          <w:sz w:val="22"/>
          <w:szCs w:val="22"/>
          <w:lang w:val="sr-Latn-ME"/>
        </w:rPr>
        <w:tab/>
      </w:r>
      <w:r w:rsidR="006D20A5" w:rsidRPr="00951A85">
        <w:rPr>
          <w:b/>
          <w:sz w:val="22"/>
          <w:szCs w:val="22"/>
          <w:lang w:val="sr-Latn-ME"/>
        </w:rPr>
        <w:t>Plodnost, trudnoća i dojenje</w:t>
      </w:r>
    </w:p>
    <w:p w14:paraId="5CF8F5EE" w14:textId="77777777" w:rsidR="002031B3" w:rsidRPr="00951A85" w:rsidRDefault="002031B3" w:rsidP="002031B3">
      <w:pPr>
        <w:tabs>
          <w:tab w:val="left" w:pos="540"/>
          <w:tab w:val="left" w:pos="569"/>
        </w:tabs>
        <w:rPr>
          <w:sz w:val="22"/>
          <w:szCs w:val="22"/>
          <w:u w:val="single"/>
          <w:lang w:val="sr-Latn-ME"/>
        </w:rPr>
      </w:pPr>
    </w:p>
    <w:p w14:paraId="55FF86F3" w14:textId="77777777" w:rsidR="007A3ECB" w:rsidRPr="00951A85" w:rsidRDefault="007A3ECB" w:rsidP="00480FB1">
      <w:pPr>
        <w:tabs>
          <w:tab w:val="left" w:pos="540"/>
          <w:tab w:val="left" w:pos="569"/>
        </w:tabs>
        <w:rPr>
          <w:sz w:val="22"/>
          <w:szCs w:val="22"/>
          <w:u w:val="single"/>
          <w:lang w:val="sr-Latn-ME"/>
        </w:rPr>
      </w:pPr>
      <w:r w:rsidRPr="00951A85">
        <w:rPr>
          <w:sz w:val="22"/>
          <w:szCs w:val="22"/>
          <w:u w:val="single"/>
          <w:lang w:val="sr-Latn-ME"/>
        </w:rPr>
        <w:t>Trudnoća</w:t>
      </w:r>
    </w:p>
    <w:p w14:paraId="46E8E9CD" w14:textId="77777777" w:rsidR="00702B61" w:rsidRPr="00951A85" w:rsidRDefault="00702B61" w:rsidP="00702B61">
      <w:pPr>
        <w:jc w:val="both"/>
        <w:rPr>
          <w:color w:val="000000"/>
          <w:sz w:val="22"/>
          <w:szCs w:val="22"/>
          <w:lang w:val="sr-Latn-ME" w:eastAsia="hr-HR"/>
        </w:rPr>
      </w:pPr>
      <w:r w:rsidRPr="00951A85">
        <w:rPr>
          <w:color w:val="000000"/>
          <w:sz w:val="22"/>
          <w:szCs w:val="22"/>
          <w:lang w:val="sr-Latn-ME"/>
        </w:rPr>
        <w:t>Potrebno je procijeniti odnos koristi i rizika primjene lijeka u trudnoći.</w:t>
      </w:r>
    </w:p>
    <w:p w14:paraId="705E28EC" w14:textId="77777777" w:rsidR="00702B61" w:rsidRPr="00951A85" w:rsidRDefault="00702B61" w:rsidP="00702B61">
      <w:pPr>
        <w:jc w:val="both"/>
        <w:rPr>
          <w:color w:val="000000"/>
          <w:sz w:val="22"/>
          <w:szCs w:val="22"/>
          <w:lang w:val="sr-Latn-ME" w:eastAsia="hr-HR"/>
        </w:rPr>
      </w:pPr>
    </w:p>
    <w:p w14:paraId="6754E290" w14:textId="77777777" w:rsidR="00702B61" w:rsidRPr="00951A85" w:rsidRDefault="00702B61" w:rsidP="00702B61">
      <w:pPr>
        <w:jc w:val="both"/>
        <w:rPr>
          <w:color w:val="000000"/>
          <w:sz w:val="22"/>
          <w:szCs w:val="22"/>
          <w:lang w:val="sr-Latn-ME" w:eastAsia="hr-HR"/>
        </w:rPr>
      </w:pPr>
      <w:r w:rsidRPr="00951A85">
        <w:rPr>
          <w:color w:val="000000"/>
          <w:sz w:val="22"/>
          <w:szCs w:val="22"/>
          <w:lang w:val="sr-Latn-ME"/>
        </w:rPr>
        <w:t>Studije kod ljudi su sprovedene na pr</w:t>
      </w:r>
      <w:r w:rsidR="006F525B" w:rsidRPr="00951A85">
        <w:rPr>
          <w:color w:val="000000"/>
          <w:sz w:val="22"/>
          <w:szCs w:val="22"/>
          <w:lang w:val="sr-Latn-ME"/>
        </w:rPr>
        <w:t>ij</w:t>
      </w:r>
      <w:r w:rsidRPr="00951A85">
        <w:rPr>
          <w:color w:val="000000"/>
          <w:sz w:val="22"/>
          <w:szCs w:val="22"/>
          <w:lang w:val="sr-Latn-ME"/>
        </w:rPr>
        <w:t xml:space="preserve">evremeno rođenim bebama, kod kojih je potvrđena akumulacija aluminijuma u kostima. Slične okolnosti su veoma vjerovatne kod fetusa </w:t>
      </w:r>
      <w:r w:rsidRPr="00951A85">
        <w:rPr>
          <w:i/>
          <w:iCs/>
          <w:color w:val="000000"/>
          <w:sz w:val="22"/>
          <w:szCs w:val="22"/>
          <w:lang w:val="sr-Latn-ME"/>
        </w:rPr>
        <w:t>in utero</w:t>
      </w:r>
      <w:r w:rsidRPr="00951A85">
        <w:rPr>
          <w:color w:val="000000"/>
          <w:sz w:val="22"/>
          <w:szCs w:val="22"/>
          <w:lang w:val="sr-Latn-ME"/>
        </w:rPr>
        <w:t>.</w:t>
      </w:r>
    </w:p>
    <w:p w14:paraId="3E849FD4" w14:textId="77777777" w:rsidR="00702B61" w:rsidRPr="00951A85" w:rsidRDefault="00702B61" w:rsidP="00702B61">
      <w:pPr>
        <w:jc w:val="both"/>
        <w:rPr>
          <w:color w:val="000000"/>
          <w:sz w:val="22"/>
          <w:szCs w:val="22"/>
          <w:lang w:val="sr-Latn-ME" w:eastAsia="hr-HR"/>
        </w:rPr>
      </w:pPr>
    </w:p>
    <w:p w14:paraId="00F468FA" w14:textId="3CDFABE2" w:rsidR="00702B61" w:rsidRPr="00951A85" w:rsidRDefault="00702B61" w:rsidP="00702B61">
      <w:pPr>
        <w:jc w:val="both"/>
        <w:rPr>
          <w:color w:val="000000"/>
          <w:sz w:val="22"/>
          <w:szCs w:val="22"/>
          <w:lang w:val="sr-Latn-ME" w:eastAsia="hr-HR"/>
        </w:rPr>
      </w:pPr>
      <w:r w:rsidRPr="00951A85">
        <w:rPr>
          <w:color w:val="000000"/>
          <w:sz w:val="22"/>
          <w:szCs w:val="22"/>
          <w:lang w:val="sr-Latn-ME" w:eastAsia="hr-HR"/>
        </w:rPr>
        <w:t xml:space="preserve">Tokom trudnoće, hidrotalcit bi trebalo koristiti samo u kratkim vremenskim periodima, kako bi se izbjegla pojava povećane količine aluminijuma kod ploda. U studijama na životinjama, primjena aluminijumovih soli je imala štetne efekte na potomstvo (vidjeti </w:t>
      </w:r>
      <w:r w:rsidR="006F525B" w:rsidRPr="00951A85">
        <w:rPr>
          <w:color w:val="000000"/>
          <w:sz w:val="22"/>
          <w:szCs w:val="22"/>
          <w:lang w:val="sr-Latn-ME" w:eastAsia="hr-HR"/>
        </w:rPr>
        <w:t>dio</w:t>
      </w:r>
      <w:r w:rsidRPr="00951A85">
        <w:rPr>
          <w:color w:val="000000"/>
          <w:sz w:val="22"/>
          <w:szCs w:val="22"/>
          <w:lang w:val="sr-Latn-ME" w:eastAsia="hr-HR"/>
        </w:rPr>
        <w:t xml:space="preserve"> 5.3.).</w:t>
      </w:r>
    </w:p>
    <w:p w14:paraId="3B6BF3F2" w14:textId="77777777" w:rsidR="00702B61" w:rsidRPr="00951A85" w:rsidRDefault="00702B61" w:rsidP="00702B61">
      <w:pPr>
        <w:jc w:val="both"/>
        <w:rPr>
          <w:color w:val="000000"/>
          <w:sz w:val="22"/>
          <w:szCs w:val="22"/>
          <w:lang w:val="sr-Latn-ME" w:eastAsia="hr-HR"/>
        </w:rPr>
      </w:pPr>
    </w:p>
    <w:p w14:paraId="377A5C70" w14:textId="77777777" w:rsidR="00702B61" w:rsidRPr="00951A85" w:rsidRDefault="00702B61" w:rsidP="00702B61">
      <w:pPr>
        <w:tabs>
          <w:tab w:val="left" w:pos="540"/>
          <w:tab w:val="left" w:pos="569"/>
        </w:tabs>
        <w:rPr>
          <w:sz w:val="22"/>
          <w:szCs w:val="22"/>
          <w:u w:val="single"/>
          <w:lang w:val="sr-Latn-ME"/>
        </w:rPr>
      </w:pPr>
      <w:r w:rsidRPr="00951A85">
        <w:rPr>
          <w:sz w:val="22"/>
          <w:szCs w:val="22"/>
          <w:u w:val="single"/>
          <w:lang w:val="sr-Latn-ME"/>
        </w:rPr>
        <w:t xml:space="preserve">Dojenje </w:t>
      </w:r>
    </w:p>
    <w:p w14:paraId="6C390B9A" w14:textId="77777777" w:rsidR="00702B61" w:rsidRPr="00951A85" w:rsidRDefault="00702B61" w:rsidP="00702B61">
      <w:pPr>
        <w:jc w:val="both"/>
        <w:rPr>
          <w:color w:val="000000"/>
          <w:sz w:val="22"/>
          <w:szCs w:val="22"/>
          <w:lang w:val="sr-Latn-ME" w:eastAsia="hr-HR"/>
        </w:rPr>
      </w:pPr>
      <w:r w:rsidRPr="00951A85">
        <w:rPr>
          <w:color w:val="000000"/>
          <w:sz w:val="22"/>
          <w:szCs w:val="22"/>
          <w:lang w:val="sr-Latn-ME"/>
        </w:rPr>
        <w:t>Nakon izlaganja koje uslijedi tokom trudnoće, izlučivanje aluminijuma u majčino mlijeko je privremeno povećano. Jedinjenja aluminijuma dospijevaju u majčino mlijeko, ali rizik nakupljanja aluminijuma u ovom uzrastu je zanemarljiv zbog neznatne resorpcije aluminijima iz lumena crijeva.</w:t>
      </w:r>
    </w:p>
    <w:p w14:paraId="637F07C2" w14:textId="77777777" w:rsidR="00227BDB" w:rsidRPr="00951A85" w:rsidRDefault="00227BDB" w:rsidP="00702B61">
      <w:pPr>
        <w:tabs>
          <w:tab w:val="left" w:pos="540"/>
          <w:tab w:val="left" w:pos="569"/>
        </w:tabs>
        <w:rPr>
          <w:b/>
          <w:bCs/>
          <w:sz w:val="22"/>
          <w:szCs w:val="22"/>
          <w:lang w:val="sr-Latn-ME"/>
        </w:rPr>
      </w:pPr>
    </w:p>
    <w:p w14:paraId="1B597E36" w14:textId="77777777" w:rsidR="0072020E" w:rsidRPr="00951A85" w:rsidRDefault="0072020E" w:rsidP="00396DFD">
      <w:pPr>
        <w:tabs>
          <w:tab w:val="left" w:pos="540"/>
          <w:tab w:val="left" w:pos="569"/>
        </w:tabs>
        <w:ind w:left="540" w:hanging="540"/>
        <w:rPr>
          <w:b/>
          <w:bCs/>
          <w:sz w:val="22"/>
          <w:szCs w:val="22"/>
          <w:lang w:val="sr-Latn-ME"/>
        </w:rPr>
      </w:pPr>
      <w:r w:rsidRPr="00951A85">
        <w:rPr>
          <w:b/>
          <w:bCs/>
          <w:sz w:val="22"/>
          <w:szCs w:val="22"/>
          <w:lang w:val="sr-Latn-ME"/>
        </w:rPr>
        <w:t xml:space="preserve">4.7. </w:t>
      </w:r>
      <w:r w:rsidR="00480FB1" w:rsidRPr="00951A85">
        <w:rPr>
          <w:b/>
          <w:bCs/>
          <w:sz w:val="22"/>
          <w:szCs w:val="22"/>
          <w:lang w:val="sr-Latn-ME"/>
        </w:rPr>
        <w:tab/>
      </w:r>
      <w:r w:rsidRPr="00951A85">
        <w:rPr>
          <w:b/>
          <w:bCs/>
          <w:sz w:val="22"/>
          <w:szCs w:val="22"/>
          <w:lang w:val="sr-Latn-ME"/>
        </w:rPr>
        <w:t xml:space="preserve">Uticaj na </w:t>
      </w:r>
      <w:r w:rsidR="002031B3" w:rsidRPr="00951A85">
        <w:rPr>
          <w:b/>
          <w:bCs/>
          <w:sz w:val="22"/>
          <w:szCs w:val="22"/>
          <w:lang w:val="sr-Latn-ME"/>
        </w:rPr>
        <w:t xml:space="preserve">sposobnost </w:t>
      </w:r>
      <w:r w:rsidR="00F34554" w:rsidRPr="00951A85">
        <w:rPr>
          <w:b/>
          <w:bCs/>
          <w:sz w:val="22"/>
          <w:szCs w:val="22"/>
          <w:lang w:val="sr-Latn-ME"/>
        </w:rPr>
        <w:t>upravljanja vozili</w:t>
      </w:r>
      <w:r w:rsidRPr="00951A85">
        <w:rPr>
          <w:b/>
          <w:bCs/>
          <w:sz w:val="22"/>
          <w:szCs w:val="22"/>
          <w:lang w:val="sr-Latn-ME"/>
        </w:rPr>
        <w:t>m</w:t>
      </w:r>
      <w:r w:rsidR="00F34554" w:rsidRPr="00951A85">
        <w:rPr>
          <w:b/>
          <w:bCs/>
          <w:sz w:val="22"/>
          <w:szCs w:val="22"/>
          <w:lang w:val="sr-Latn-ME"/>
        </w:rPr>
        <w:t>a</w:t>
      </w:r>
      <w:r w:rsidRPr="00951A85">
        <w:rPr>
          <w:b/>
          <w:bCs/>
          <w:sz w:val="22"/>
          <w:szCs w:val="22"/>
          <w:lang w:val="sr-Latn-ME"/>
        </w:rPr>
        <w:t xml:space="preserve"> i </w:t>
      </w:r>
      <w:r w:rsidR="000D3449" w:rsidRPr="00951A85">
        <w:rPr>
          <w:b/>
          <w:bCs/>
          <w:sz w:val="22"/>
          <w:szCs w:val="22"/>
          <w:lang w:val="sr-Latn-ME"/>
        </w:rPr>
        <w:t xml:space="preserve">rukovanje </w:t>
      </w:r>
      <w:r w:rsidRPr="00951A85">
        <w:rPr>
          <w:b/>
          <w:bCs/>
          <w:sz w:val="22"/>
          <w:szCs w:val="22"/>
          <w:lang w:val="sr-Latn-ME"/>
        </w:rPr>
        <w:t>mašinama</w:t>
      </w:r>
    </w:p>
    <w:p w14:paraId="534BA433" w14:textId="77777777" w:rsidR="00E36DAA" w:rsidRPr="00951A85" w:rsidRDefault="00E36DAA" w:rsidP="00396DFD">
      <w:pPr>
        <w:tabs>
          <w:tab w:val="left" w:pos="540"/>
          <w:tab w:val="left" w:pos="569"/>
        </w:tabs>
        <w:ind w:left="540" w:hanging="540"/>
        <w:rPr>
          <w:b/>
          <w:bCs/>
          <w:sz w:val="22"/>
          <w:szCs w:val="22"/>
          <w:lang w:val="sr-Latn-ME"/>
        </w:rPr>
      </w:pPr>
    </w:p>
    <w:p w14:paraId="17E7166A"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Uticaj lijeka Rutacid na upravljanje motornim vozilima i rukovanje mašinama nije primijećen.</w:t>
      </w:r>
    </w:p>
    <w:p w14:paraId="1753AAD7" w14:textId="77777777" w:rsidR="0072020E" w:rsidRPr="00951A85" w:rsidRDefault="0072020E" w:rsidP="00480FB1">
      <w:pPr>
        <w:tabs>
          <w:tab w:val="left" w:pos="540"/>
          <w:tab w:val="left" w:pos="569"/>
        </w:tabs>
        <w:rPr>
          <w:b/>
          <w:bCs/>
          <w:sz w:val="22"/>
          <w:szCs w:val="22"/>
          <w:lang w:val="sr-Latn-ME"/>
        </w:rPr>
      </w:pPr>
    </w:p>
    <w:p w14:paraId="7FCDB4C5"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4.8. </w:t>
      </w:r>
      <w:r w:rsidR="00480FB1" w:rsidRPr="00951A85">
        <w:rPr>
          <w:b/>
          <w:bCs/>
          <w:sz w:val="22"/>
          <w:szCs w:val="22"/>
          <w:lang w:val="sr-Latn-ME"/>
        </w:rPr>
        <w:tab/>
      </w:r>
      <w:r w:rsidRPr="00951A85">
        <w:rPr>
          <w:b/>
          <w:bCs/>
          <w:sz w:val="22"/>
          <w:szCs w:val="22"/>
          <w:lang w:val="sr-Latn-ME"/>
        </w:rPr>
        <w:t>Neželjena dejstva</w:t>
      </w:r>
    </w:p>
    <w:p w14:paraId="119CF263" w14:textId="77777777" w:rsidR="004E70AD" w:rsidRPr="00951A85" w:rsidRDefault="004E70AD" w:rsidP="00480FB1">
      <w:pPr>
        <w:tabs>
          <w:tab w:val="left" w:pos="540"/>
          <w:tab w:val="left" w:pos="569"/>
        </w:tabs>
        <w:rPr>
          <w:b/>
          <w:bCs/>
          <w:sz w:val="22"/>
          <w:szCs w:val="22"/>
          <w:lang w:val="sr-Latn-ME"/>
        </w:rPr>
      </w:pPr>
    </w:p>
    <w:p w14:paraId="4D0B8D84"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Nakon stavljanja lijeka u promet, prijavljena su sljedeća neželjena dejstva:</w:t>
      </w:r>
    </w:p>
    <w:p w14:paraId="4F40DAB7" w14:textId="77777777" w:rsidR="00E36DAA" w:rsidRPr="00951A85" w:rsidRDefault="00E36DAA" w:rsidP="00E36DAA">
      <w:pPr>
        <w:jc w:val="both"/>
        <w:rPr>
          <w:b/>
          <w:color w:val="000000"/>
          <w:sz w:val="22"/>
          <w:szCs w:val="22"/>
          <w:lang w:val="sr-Latn-ME" w:eastAsia="hr-HR"/>
        </w:rPr>
      </w:pPr>
    </w:p>
    <w:p w14:paraId="06138F8D" w14:textId="77777777" w:rsidR="00E36DAA" w:rsidRPr="00951A85" w:rsidRDefault="00E36DAA" w:rsidP="00E36DAA">
      <w:pPr>
        <w:jc w:val="both"/>
        <w:rPr>
          <w:b/>
          <w:color w:val="000000"/>
          <w:sz w:val="22"/>
          <w:szCs w:val="22"/>
          <w:lang w:val="sr-Latn-ME" w:eastAsia="hr-HR"/>
        </w:rPr>
      </w:pPr>
      <w:r w:rsidRPr="00951A85">
        <w:rPr>
          <w:b/>
          <w:color w:val="000000"/>
          <w:sz w:val="22"/>
          <w:szCs w:val="22"/>
          <w:lang w:val="sr-Latn-ME" w:eastAsia="hr-HR"/>
        </w:rPr>
        <w:t>Poremećaji gastrointestinalnog trakta</w:t>
      </w:r>
    </w:p>
    <w:p w14:paraId="3776CB5F"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U visokim dozama može uzrokovati mekanu stolicu, povećan broj stolica, povraćanje, proliv.</w:t>
      </w:r>
    </w:p>
    <w:p w14:paraId="6364C95C" w14:textId="77777777" w:rsidR="00E36DAA" w:rsidRPr="00951A85" w:rsidRDefault="00E36DAA" w:rsidP="00E36DAA">
      <w:pPr>
        <w:jc w:val="both"/>
        <w:rPr>
          <w:sz w:val="22"/>
          <w:szCs w:val="22"/>
          <w:lang w:val="sr-Latn-ME" w:eastAsia="hr-HR"/>
        </w:rPr>
      </w:pPr>
      <w:r w:rsidRPr="00951A85">
        <w:rPr>
          <w:sz w:val="22"/>
          <w:szCs w:val="22"/>
          <w:lang w:val="sr-Latn-ME" w:eastAsia="hr-HR"/>
        </w:rPr>
        <w:t>Konstipacija.</w:t>
      </w:r>
    </w:p>
    <w:p w14:paraId="2C8DC410" w14:textId="77777777" w:rsidR="00E36DAA" w:rsidRPr="00951A85" w:rsidRDefault="00E36DAA" w:rsidP="00E36DAA">
      <w:pPr>
        <w:jc w:val="both"/>
        <w:rPr>
          <w:color w:val="000000"/>
          <w:sz w:val="22"/>
          <w:szCs w:val="22"/>
          <w:lang w:val="sr-Latn-ME" w:eastAsia="hr-HR"/>
        </w:rPr>
      </w:pPr>
    </w:p>
    <w:p w14:paraId="55A75408" w14:textId="77777777" w:rsidR="00E36DAA" w:rsidRPr="00951A85" w:rsidRDefault="00E36DAA" w:rsidP="00E36DAA">
      <w:pPr>
        <w:jc w:val="both"/>
        <w:rPr>
          <w:b/>
          <w:color w:val="000000"/>
          <w:sz w:val="22"/>
          <w:szCs w:val="22"/>
          <w:lang w:val="sr-Latn-ME" w:eastAsia="hr-HR"/>
        </w:rPr>
      </w:pPr>
      <w:r w:rsidRPr="00951A85">
        <w:rPr>
          <w:b/>
          <w:color w:val="000000"/>
          <w:sz w:val="22"/>
          <w:szCs w:val="22"/>
          <w:lang w:val="sr-Latn-ME" w:eastAsia="hr-HR"/>
        </w:rPr>
        <w:t>Poremećaji imunog sistema</w:t>
      </w:r>
    </w:p>
    <w:p w14:paraId="0F4F95EB"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Alergijske reakcije.</w:t>
      </w:r>
    </w:p>
    <w:p w14:paraId="7B371822" w14:textId="77777777" w:rsidR="00E36DAA" w:rsidRPr="00951A85" w:rsidRDefault="00E36DAA" w:rsidP="00E36DAA">
      <w:pPr>
        <w:jc w:val="both"/>
        <w:rPr>
          <w:color w:val="000000"/>
          <w:sz w:val="22"/>
          <w:szCs w:val="22"/>
          <w:lang w:val="sr-Latn-ME" w:eastAsia="hr-HR"/>
        </w:rPr>
      </w:pPr>
    </w:p>
    <w:p w14:paraId="0BA5C04C"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Učestalost navedenih neželjenih dejstava nije moguće procijeniti na osnovu dostupnih podataka.</w:t>
      </w:r>
    </w:p>
    <w:p w14:paraId="70CEE578" w14:textId="77777777" w:rsidR="00E36DAA" w:rsidRPr="00951A85" w:rsidRDefault="00E36DAA" w:rsidP="00E36DAA">
      <w:pPr>
        <w:jc w:val="both"/>
        <w:rPr>
          <w:color w:val="000000"/>
          <w:sz w:val="22"/>
          <w:szCs w:val="22"/>
          <w:lang w:val="sr-Latn-ME" w:eastAsia="hr-HR"/>
        </w:rPr>
      </w:pPr>
    </w:p>
    <w:p w14:paraId="4C461FD5"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Teorijskim razmatranjem, može doći do sljedećih neželjenih dejstava (koja nijesu zabilježena):</w:t>
      </w:r>
    </w:p>
    <w:p w14:paraId="3940164E" w14:textId="77777777" w:rsidR="00E36DAA" w:rsidRPr="00951A85" w:rsidRDefault="00E36DAA" w:rsidP="00E36DAA">
      <w:pPr>
        <w:jc w:val="both"/>
        <w:rPr>
          <w:color w:val="000000"/>
          <w:sz w:val="22"/>
          <w:szCs w:val="22"/>
          <w:lang w:val="sr-Latn-ME" w:eastAsia="hr-HR"/>
        </w:rPr>
      </w:pPr>
    </w:p>
    <w:p w14:paraId="6AA485B3" w14:textId="77777777" w:rsidR="00E36DAA" w:rsidRPr="00951A85" w:rsidRDefault="00E36DAA" w:rsidP="00E36DAA">
      <w:pPr>
        <w:jc w:val="both"/>
        <w:rPr>
          <w:b/>
          <w:color w:val="000000"/>
          <w:sz w:val="22"/>
          <w:szCs w:val="22"/>
          <w:lang w:val="sr-Latn-ME" w:eastAsia="hr-HR"/>
        </w:rPr>
      </w:pPr>
      <w:r w:rsidRPr="00951A85">
        <w:rPr>
          <w:b/>
          <w:color w:val="000000"/>
          <w:sz w:val="22"/>
          <w:szCs w:val="22"/>
          <w:lang w:val="sr-Latn-ME" w:eastAsia="hr-HR"/>
        </w:rPr>
        <w:t>Poremećaji metabolizma i ishrane</w:t>
      </w:r>
    </w:p>
    <w:p w14:paraId="44AA1C4A"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Smanjen nivo fosfora u serumu.</w:t>
      </w:r>
    </w:p>
    <w:p w14:paraId="4D0C0AD0"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Produženo liječenje visokim dozama, kod pacijenata sa oštećenjem funkcije bubrega može dovesti do hipermagneziemije i intoksikacije aluminijumom, sa pojavom osteomalacije i encefalopatije.</w:t>
      </w:r>
    </w:p>
    <w:p w14:paraId="6207B5C9" w14:textId="77777777" w:rsidR="00E36DAA" w:rsidRPr="00951A85" w:rsidRDefault="00E36DAA" w:rsidP="00480FB1">
      <w:pPr>
        <w:tabs>
          <w:tab w:val="left" w:pos="540"/>
          <w:tab w:val="left" w:pos="569"/>
        </w:tabs>
        <w:rPr>
          <w:b/>
          <w:bCs/>
          <w:sz w:val="22"/>
          <w:szCs w:val="22"/>
          <w:lang w:val="sr-Latn-ME"/>
        </w:rPr>
      </w:pPr>
    </w:p>
    <w:p w14:paraId="5CD5D342" w14:textId="77777777" w:rsidR="005A23D2" w:rsidRPr="00951A85" w:rsidRDefault="005A23D2" w:rsidP="00A46C9A">
      <w:pPr>
        <w:spacing w:after="200" w:line="276" w:lineRule="auto"/>
        <w:rPr>
          <w:rFonts w:eastAsia="Calibri"/>
          <w:sz w:val="22"/>
          <w:szCs w:val="22"/>
          <w:u w:val="single"/>
          <w:lang w:val="sr-Latn-ME"/>
        </w:rPr>
      </w:pPr>
      <w:r w:rsidRPr="00951A85">
        <w:rPr>
          <w:rFonts w:eastAsia="Calibri"/>
          <w:sz w:val="22"/>
          <w:szCs w:val="22"/>
          <w:u w:val="single"/>
          <w:lang w:val="sr-Latn-ME"/>
        </w:rPr>
        <w:t>Prijavljivanje sumnji na neželjena dejstva</w:t>
      </w:r>
    </w:p>
    <w:p w14:paraId="121672C1" w14:textId="77777777" w:rsidR="005A23D2" w:rsidRPr="00951A85" w:rsidRDefault="005A23D2" w:rsidP="00A46C9A">
      <w:pPr>
        <w:spacing w:after="200"/>
        <w:jc w:val="both"/>
        <w:rPr>
          <w:rFonts w:eastAsia="Calibri"/>
          <w:sz w:val="22"/>
          <w:szCs w:val="22"/>
          <w:lang w:val="sr-Latn-ME"/>
        </w:rPr>
      </w:pPr>
      <w:r w:rsidRPr="00951A85">
        <w:rPr>
          <w:rFonts w:eastAsia="Calibri"/>
          <w:sz w:val="22"/>
          <w:szCs w:val="22"/>
          <w:lang w:val="sr-Latn-ME"/>
        </w:rPr>
        <w:t>Prijavljivanje neželjenih dejstava nakon dobijanja dozvole je od velikog značaja jer obezbjeđuje kont</w:t>
      </w:r>
      <w:r w:rsidR="00EA5765" w:rsidRPr="00951A85">
        <w:rPr>
          <w:rFonts w:eastAsia="Calibri"/>
          <w:sz w:val="22"/>
          <w:szCs w:val="22"/>
          <w:lang w:val="sr-Latn-ME"/>
        </w:rPr>
        <w:t>inuirano praćenje odnosa korist</w:t>
      </w:r>
      <w:r w:rsidRPr="00951A85">
        <w:rPr>
          <w:rFonts w:eastAsia="Calibri"/>
          <w:sz w:val="22"/>
          <w:szCs w:val="22"/>
          <w:lang w:val="sr-Latn-ME"/>
        </w:rPr>
        <w:t>/rizik primjene lijeka. Zdravstveni radnici treba da prijave svaku sumnju na neželjeno</w:t>
      </w:r>
      <w:r w:rsidR="009B062A" w:rsidRPr="00951A85">
        <w:rPr>
          <w:rFonts w:eastAsia="Calibri"/>
          <w:sz w:val="22"/>
          <w:szCs w:val="22"/>
          <w:lang w:val="sr-Latn-ME"/>
        </w:rPr>
        <w:t xml:space="preserve"> </w:t>
      </w:r>
      <w:r w:rsidRPr="00951A85">
        <w:rPr>
          <w:rFonts w:eastAsia="Calibri"/>
          <w:sz w:val="22"/>
          <w:szCs w:val="22"/>
          <w:lang w:val="sr-Latn-ME"/>
        </w:rPr>
        <w:t xml:space="preserve">dejstvo ovog lijeka </w:t>
      </w:r>
      <w:r w:rsidR="004E70AD" w:rsidRPr="00951A85">
        <w:rPr>
          <w:rFonts w:eastAsia="Calibri"/>
          <w:sz w:val="22"/>
          <w:szCs w:val="22"/>
          <w:lang w:val="sr-Latn-ME"/>
        </w:rPr>
        <w:t>Institutu</w:t>
      </w:r>
      <w:r w:rsidRPr="00951A85">
        <w:rPr>
          <w:rFonts w:eastAsia="Calibri"/>
          <w:sz w:val="22"/>
          <w:szCs w:val="22"/>
          <w:lang w:val="sr-Latn-ME"/>
        </w:rPr>
        <w:t xml:space="preserve"> za ljekove i medicinska sredstva</w:t>
      </w:r>
      <w:r w:rsidR="004E70AD" w:rsidRPr="00951A85">
        <w:rPr>
          <w:rFonts w:eastAsia="Calibri"/>
          <w:sz w:val="22"/>
          <w:szCs w:val="22"/>
          <w:lang w:val="sr-Latn-ME"/>
        </w:rPr>
        <w:t xml:space="preserve"> </w:t>
      </w:r>
      <w:r w:rsidRPr="00951A85">
        <w:rPr>
          <w:rFonts w:eastAsia="Calibri"/>
          <w:sz w:val="22"/>
          <w:szCs w:val="22"/>
          <w:lang w:val="sr-Latn-ME"/>
        </w:rPr>
        <w:t>(</w:t>
      </w:r>
      <w:r w:rsidR="004E70AD" w:rsidRPr="00951A85">
        <w:rPr>
          <w:rFonts w:eastAsia="Calibri"/>
          <w:sz w:val="22"/>
          <w:szCs w:val="22"/>
          <w:lang w:val="sr-Latn-ME"/>
        </w:rPr>
        <w:t>CInMED</w:t>
      </w:r>
      <w:r w:rsidRPr="00951A85">
        <w:rPr>
          <w:rFonts w:eastAsia="Calibri"/>
          <w:sz w:val="22"/>
          <w:szCs w:val="22"/>
          <w:lang w:val="sr-Latn-ME"/>
        </w:rPr>
        <w:t>):</w:t>
      </w:r>
    </w:p>
    <w:p w14:paraId="023D1F8C" w14:textId="77777777" w:rsidR="005A23D2" w:rsidRPr="00951A85" w:rsidRDefault="004E70AD" w:rsidP="00A46C9A">
      <w:pPr>
        <w:pStyle w:val="NoSpacing"/>
        <w:jc w:val="both"/>
        <w:rPr>
          <w:rFonts w:eastAsia="Calibri"/>
          <w:sz w:val="22"/>
          <w:szCs w:val="22"/>
          <w:lang w:val="sr-Latn-ME"/>
        </w:rPr>
      </w:pPr>
      <w:r w:rsidRPr="00951A85">
        <w:rPr>
          <w:rFonts w:eastAsia="Calibri"/>
          <w:sz w:val="22"/>
          <w:szCs w:val="22"/>
          <w:lang w:val="sr-Latn-ME"/>
        </w:rPr>
        <w:t xml:space="preserve">Institut </w:t>
      </w:r>
      <w:r w:rsidR="005A23D2" w:rsidRPr="00951A85">
        <w:rPr>
          <w:rFonts w:eastAsia="Calibri"/>
          <w:sz w:val="22"/>
          <w:szCs w:val="22"/>
          <w:lang w:val="sr-Latn-ME"/>
        </w:rPr>
        <w:t xml:space="preserve">za ljekove i medicinska sredstva </w:t>
      </w:r>
    </w:p>
    <w:p w14:paraId="7DEFF1A2" w14:textId="77777777" w:rsidR="005A23D2" w:rsidRPr="00951A85" w:rsidRDefault="005A23D2" w:rsidP="00A46C9A">
      <w:pPr>
        <w:pStyle w:val="NoSpacing"/>
        <w:jc w:val="both"/>
        <w:rPr>
          <w:rFonts w:eastAsia="Calibri"/>
          <w:sz w:val="22"/>
          <w:szCs w:val="22"/>
          <w:lang w:val="sr-Latn-ME"/>
        </w:rPr>
      </w:pPr>
      <w:r w:rsidRPr="00951A85">
        <w:rPr>
          <w:rFonts w:eastAsia="Calibri"/>
          <w:sz w:val="22"/>
          <w:szCs w:val="22"/>
          <w:lang w:val="sr-Latn-ME"/>
        </w:rPr>
        <w:t>Odjeljenje za farmakovigilancu</w:t>
      </w:r>
    </w:p>
    <w:p w14:paraId="7915C165" w14:textId="77777777" w:rsidR="00EA5765" w:rsidRPr="00951A85" w:rsidRDefault="005A23D2" w:rsidP="00A46C9A">
      <w:pPr>
        <w:pStyle w:val="NoSpacing"/>
        <w:jc w:val="both"/>
        <w:rPr>
          <w:rFonts w:eastAsia="Calibri"/>
          <w:sz w:val="22"/>
          <w:szCs w:val="22"/>
          <w:lang w:val="sr-Latn-ME"/>
        </w:rPr>
      </w:pPr>
      <w:r w:rsidRPr="00951A85">
        <w:rPr>
          <w:rFonts w:eastAsia="Calibri"/>
          <w:sz w:val="22"/>
          <w:szCs w:val="22"/>
          <w:lang w:val="sr-Latn-ME"/>
        </w:rPr>
        <w:t>Bulevar Ivana Crnojevića 64a, 81000 Podgorica</w:t>
      </w:r>
    </w:p>
    <w:p w14:paraId="52A94609" w14:textId="77777777" w:rsidR="00EA5765" w:rsidRPr="00951A85" w:rsidRDefault="00EA5765" w:rsidP="00A46C9A">
      <w:pPr>
        <w:pStyle w:val="NoSpacing"/>
        <w:rPr>
          <w:rFonts w:eastAsia="Calibri"/>
          <w:sz w:val="22"/>
          <w:szCs w:val="22"/>
          <w:lang w:val="sr-Latn-ME"/>
        </w:rPr>
      </w:pPr>
    </w:p>
    <w:p w14:paraId="42F0BB55" w14:textId="77777777" w:rsidR="005A23D2" w:rsidRPr="00951A85" w:rsidRDefault="005A23D2" w:rsidP="00A46C9A">
      <w:pPr>
        <w:pStyle w:val="NoSpacing"/>
        <w:jc w:val="both"/>
        <w:rPr>
          <w:rFonts w:eastAsia="Calibri"/>
          <w:sz w:val="22"/>
          <w:szCs w:val="22"/>
          <w:lang w:val="sr-Latn-ME"/>
        </w:rPr>
      </w:pPr>
      <w:r w:rsidRPr="00951A85">
        <w:rPr>
          <w:rFonts w:eastAsia="Calibri"/>
          <w:sz w:val="22"/>
          <w:szCs w:val="22"/>
          <w:lang w:val="sr-Latn-ME"/>
        </w:rPr>
        <w:t>tel: +382 (0) 20 310 280</w:t>
      </w:r>
    </w:p>
    <w:p w14:paraId="284F9395" w14:textId="77777777" w:rsidR="00EA5765" w:rsidRPr="00951A85" w:rsidRDefault="005A23D2" w:rsidP="00A46C9A">
      <w:pPr>
        <w:pStyle w:val="NoSpacing"/>
        <w:jc w:val="both"/>
        <w:rPr>
          <w:rFonts w:eastAsia="Calibri"/>
          <w:sz w:val="22"/>
          <w:szCs w:val="22"/>
          <w:lang w:val="sr-Latn-ME"/>
        </w:rPr>
      </w:pPr>
      <w:r w:rsidRPr="00951A85">
        <w:rPr>
          <w:rFonts w:eastAsia="Calibri"/>
          <w:sz w:val="22"/>
          <w:szCs w:val="22"/>
          <w:lang w:val="sr-Latn-ME"/>
        </w:rPr>
        <w:t>fax:</w:t>
      </w:r>
      <w:r w:rsidR="00EA5765" w:rsidRPr="00951A85">
        <w:rPr>
          <w:rFonts w:eastAsia="Calibri"/>
          <w:sz w:val="22"/>
          <w:szCs w:val="22"/>
          <w:lang w:val="sr-Latn-ME"/>
        </w:rPr>
        <w:t xml:space="preserve"> </w:t>
      </w:r>
      <w:r w:rsidRPr="00951A85">
        <w:rPr>
          <w:rFonts w:eastAsia="Calibri"/>
          <w:sz w:val="22"/>
          <w:szCs w:val="22"/>
          <w:lang w:val="sr-Latn-ME"/>
        </w:rPr>
        <w:t>+382 (0) 20 310 581</w:t>
      </w:r>
    </w:p>
    <w:p w14:paraId="0FDD7D98" w14:textId="77777777" w:rsidR="005A23D2" w:rsidRPr="00951A85" w:rsidRDefault="00B53A03" w:rsidP="00A46C9A">
      <w:pPr>
        <w:pStyle w:val="NoSpacing"/>
        <w:jc w:val="both"/>
        <w:rPr>
          <w:rFonts w:eastAsia="Calibri"/>
          <w:sz w:val="22"/>
          <w:szCs w:val="22"/>
          <w:lang w:val="sr-Latn-ME"/>
        </w:rPr>
      </w:pPr>
      <w:hyperlink r:id="rId8" w:history="1">
        <w:r w:rsidR="004E70AD" w:rsidRPr="00951A85">
          <w:rPr>
            <w:rStyle w:val="Hyperlink"/>
            <w:rFonts w:eastAsia="Calibri"/>
            <w:sz w:val="22"/>
            <w:szCs w:val="22"/>
            <w:lang w:val="sr-Latn-ME"/>
          </w:rPr>
          <w:t>www.cinmed.me</w:t>
        </w:r>
      </w:hyperlink>
    </w:p>
    <w:p w14:paraId="3F27E81E" w14:textId="77777777" w:rsidR="00EA5765" w:rsidRPr="00951A85" w:rsidRDefault="00B53A03" w:rsidP="00A46C9A">
      <w:pPr>
        <w:pStyle w:val="NoSpacing"/>
        <w:jc w:val="both"/>
        <w:rPr>
          <w:rFonts w:eastAsia="Calibri"/>
          <w:color w:val="0000FF"/>
          <w:sz w:val="22"/>
          <w:szCs w:val="22"/>
          <w:u w:val="single"/>
          <w:lang w:val="sr-Latn-ME"/>
        </w:rPr>
      </w:pPr>
      <w:hyperlink r:id="rId9" w:history="1">
        <w:r w:rsidR="004E70AD" w:rsidRPr="00951A85">
          <w:rPr>
            <w:rStyle w:val="Hyperlink"/>
            <w:rFonts w:eastAsia="Calibri"/>
            <w:sz w:val="22"/>
            <w:szCs w:val="22"/>
            <w:lang w:val="sr-Latn-ME"/>
          </w:rPr>
          <w:t>nezeljenadejstva@cinmed.me</w:t>
        </w:r>
      </w:hyperlink>
    </w:p>
    <w:p w14:paraId="79008DB4" w14:textId="77777777" w:rsidR="005A23D2" w:rsidRPr="00951A85" w:rsidRDefault="005A23D2" w:rsidP="00A46C9A">
      <w:pPr>
        <w:pStyle w:val="NoSpacing"/>
        <w:jc w:val="both"/>
        <w:rPr>
          <w:rFonts w:eastAsia="Calibri"/>
          <w:sz w:val="22"/>
          <w:szCs w:val="22"/>
          <w:lang w:val="sr-Latn-ME"/>
        </w:rPr>
      </w:pPr>
      <w:r w:rsidRPr="00951A85">
        <w:rPr>
          <w:rFonts w:eastAsia="Calibri"/>
          <w:sz w:val="22"/>
          <w:szCs w:val="22"/>
          <w:lang w:val="sr-Latn-ME"/>
        </w:rPr>
        <w:t>putem IS zdravstvene zaštite</w:t>
      </w:r>
    </w:p>
    <w:p w14:paraId="2D218C3A" w14:textId="77777777" w:rsidR="006B7A0C" w:rsidRDefault="006B7A0C" w:rsidP="00794DBD">
      <w:pPr>
        <w:pStyle w:val="NoSpacing"/>
        <w:jc w:val="both"/>
        <w:rPr>
          <w:rFonts w:eastAsia="Calibri"/>
          <w:sz w:val="22"/>
          <w:szCs w:val="22"/>
          <w:lang w:val="sr-Latn-ME"/>
        </w:rPr>
      </w:pPr>
    </w:p>
    <w:p w14:paraId="449AF4B0" w14:textId="77777777" w:rsidR="006B7A0C" w:rsidRDefault="006B7A0C" w:rsidP="00794DBD">
      <w:pPr>
        <w:pStyle w:val="NoSpacing"/>
        <w:jc w:val="both"/>
        <w:rPr>
          <w:rFonts w:eastAsia="Calibri"/>
          <w:sz w:val="22"/>
          <w:szCs w:val="22"/>
          <w:lang w:val="sr-Latn-ME"/>
        </w:rPr>
      </w:pPr>
    </w:p>
    <w:p w14:paraId="2A520618" w14:textId="77777777" w:rsidR="006B7A0C" w:rsidRDefault="006B7A0C" w:rsidP="00794DBD">
      <w:pPr>
        <w:pStyle w:val="NoSpacing"/>
        <w:jc w:val="both"/>
        <w:rPr>
          <w:rFonts w:eastAsia="Calibri"/>
          <w:sz w:val="22"/>
          <w:szCs w:val="22"/>
          <w:lang w:val="sr-Latn-ME"/>
        </w:rPr>
      </w:pPr>
    </w:p>
    <w:p w14:paraId="486C8CAC" w14:textId="77777777" w:rsidR="006B7A0C" w:rsidRDefault="006B7A0C" w:rsidP="00794DBD">
      <w:pPr>
        <w:pStyle w:val="NoSpacing"/>
        <w:jc w:val="both"/>
        <w:rPr>
          <w:rFonts w:eastAsia="Calibri"/>
          <w:sz w:val="22"/>
          <w:szCs w:val="22"/>
          <w:lang w:val="sr-Latn-ME"/>
        </w:rPr>
      </w:pPr>
    </w:p>
    <w:p w14:paraId="12137FD7" w14:textId="77777777" w:rsidR="006B7A0C" w:rsidRDefault="006B7A0C" w:rsidP="00794DBD">
      <w:pPr>
        <w:pStyle w:val="NoSpacing"/>
        <w:jc w:val="both"/>
        <w:rPr>
          <w:rFonts w:eastAsia="Calibri"/>
          <w:sz w:val="22"/>
          <w:szCs w:val="22"/>
          <w:lang w:val="sr-Latn-ME"/>
        </w:rPr>
      </w:pPr>
    </w:p>
    <w:p w14:paraId="2549252F" w14:textId="5FD539B3" w:rsidR="00794DBD" w:rsidRPr="00951A85" w:rsidRDefault="00794DBD" w:rsidP="00794DBD">
      <w:pPr>
        <w:pStyle w:val="NoSpacing"/>
        <w:jc w:val="both"/>
        <w:rPr>
          <w:rFonts w:eastAsia="Calibri"/>
          <w:sz w:val="22"/>
          <w:szCs w:val="22"/>
          <w:lang w:val="sr-Latn-ME"/>
        </w:rPr>
      </w:pPr>
      <w:r w:rsidRPr="00951A85">
        <w:rPr>
          <w:rFonts w:eastAsia="Calibri"/>
          <w:sz w:val="22"/>
          <w:szCs w:val="22"/>
          <w:lang w:val="sr-Latn-ME"/>
        </w:rPr>
        <w:lastRenderedPageBreak/>
        <w:t>QR kod za online prijavu sumnje na neželjeno dejstvo lijeka:</w:t>
      </w:r>
    </w:p>
    <w:p w14:paraId="02243A0B" w14:textId="77777777" w:rsidR="00794DBD" w:rsidRPr="00951A85" w:rsidRDefault="00794DBD" w:rsidP="00794DBD">
      <w:pPr>
        <w:pStyle w:val="NoSpacing"/>
        <w:rPr>
          <w:rFonts w:eastAsia="Calibri"/>
          <w:sz w:val="22"/>
          <w:szCs w:val="22"/>
          <w:lang w:val="sr-Latn-ME"/>
        </w:rPr>
      </w:pPr>
    </w:p>
    <w:p w14:paraId="40FB44BF" w14:textId="3CE29984" w:rsidR="00794DBD" w:rsidRPr="00951A85" w:rsidRDefault="00794DBD" w:rsidP="00951A85">
      <w:pPr>
        <w:tabs>
          <w:tab w:val="left" w:pos="540"/>
          <w:tab w:val="left" w:pos="569"/>
        </w:tabs>
        <w:rPr>
          <w:b/>
          <w:bCs/>
          <w:sz w:val="22"/>
          <w:szCs w:val="22"/>
          <w:lang w:val="sr-Latn-ME"/>
        </w:rPr>
      </w:pPr>
      <w:r w:rsidRPr="00951A85">
        <w:rPr>
          <w:b/>
          <w:bCs/>
          <w:noProof/>
          <w:sz w:val="22"/>
          <w:szCs w:val="22"/>
        </w:rPr>
        <w:drawing>
          <wp:inline distT="0" distB="0" distL="0" distR="0" wp14:anchorId="5927B7D4" wp14:editId="63C42A0A">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2891BC6" w14:textId="77777777" w:rsidR="00836B35" w:rsidRPr="00951A85" w:rsidRDefault="00836B35" w:rsidP="00480FB1">
      <w:pPr>
        <w:tabs>
          <w:tab w:val="left" w:pos="540"/>
          <w:tab w:val="left" w:pos="569"/>
        </w:tabs>
        <w:rPr>
          <w:b/>
          <w:bCs/>
          <w:sz w:val="22"/>
          <w:szCs w:val="22"/>
          <w:lang w:val="sr-Latn-ME"/>
        </w:rPr>
      </w:pPr>
    </w:p>
    <w:p w14:paraId="60FB19E0" w14:textId="77777777" w:rsidR="00CD6F02"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4.9. </w:t>
      </w:r>
      <w:r w:rsidR="00480FB1" w:rsidRPr="00951A85">
        <w:rPr>
          <w:b/>
          <w:bCs/>
          <w:sz w:val="22"/>
          <w:szCs w:val="22"/>
          <w:lang w:val="sr-Latn-ME"/>
        </w:rPr>
        <w:tab/>
      </w:r>
      <w:r w:rsidRPr="00951A85">
        <w:rPr>
          <w:b/>
          <w:bCs/>
          <w:sz w:val="22"/>
          <w:szCs w:val="22"/>
          <w:lang w:val="sr-Latn-ME"/>
        </w:rPr>
        <w:t>Predoziranje</w:t>
      </w:r>
      <w:r w:rsidR="002846DB" w:rsidRPr="00951A85">
        <w:rPr>
          <w:b/>
          <w:bCs/>
          <w:sz w:val="22"/>
          <w:szCs w:val="22"/>
          <w:lang w:val="sr-Latn-ME"/>
        </w:rPr>
        <w:t xml:space="preserve"> </w:t>
      </w:r>
    </w:p>
    <w:p w14:paraId="1C1C80E5" w14:textId="77777777" w:rsidR="00CD6F02" w:rsidRPr="00951A85" w:rsidRDefault="00CD6F02" w:rsidP="00480FB1">
      <w:pPr>
        <w:tabs>
          <w:tab w:val="left" w:pos="540"/>
          <w:tab w:val="left" w:pos="569"/>
        </w:tabs>
        <w:rPr>
          <w:b/>
          <w:bCs/>
          <w:sz w:val="22"/>
          <w:szCs w:val="22"/>
          <w:lang w:val="sr-Latn-ME"/>
        </w:rPr>
      </w:pPr>
    </w:p>
    <w:p w14:paraId="0C89857F"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Nijesu zabilježeni slučajevi predoziranja hidrotalcitom.</w:t>
      </w:r>
    </w:p>
    <w:p w14:paraId="12D30460" w14:textId="77777777" w:rsidR="00E36DAA" w:rsidRPr="00951A85" w:rsidRDefault="00E36DAA" w:rsidP="00480FB1">
      <w:pPr>
        <w:tabs>
          <w:tab w:val="left" w:pos="540"/>
          <w:tab w:val="left" w:pos="569"/>
        </w:tabs>
        <w:rPr>
          <w:b/>
          <w:bCs/>
          <w:sz w:val="22"/>
          <w:szCs w:val="22"/>
          <w:lang w:val="sr-Latn-ME"/>
        </w:rPr>
      </w:pPr>
    </w:p>
    <w:p w14:paraId="445B82EF" w14:textId="77777777" w:rsidR="00227BDB" w:rsidRPr="00951A85" w:rsidRDefault="00227BDB" w:rsidP="00480FB1">
      <w:pPr>
        <w:tabs>
          <w:tab w:val="left" w:pos="540"/>
          <w:tab w:val="left" w:pos="569"/>
        </w:tabs>
        <w:rPr>
          <w:b/>
          <w:bCs/>
          <w:sz w:val="22"/>
          <w:szCs w:val="22"/>
          <w:lang w:val="sr-Latn-ME"/>
        </w:rPr>
      </w:pPr>
    </w:p>
    <w:p w14:paraId="05BADD2D"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5. </w:t>
      </w:r>
      <w:r w:rsidR="00480FB1" w:rsidRPr="00951A85">
        <w:rPr>
          <w:b/>
          <w:bCs/>
          <w:sz w:val="22"/>
          <w:szCs w:val="22"/>
          <w:lang w:val="sr-Latn-ME"/>
        </w:rPr>
        <w:tab/>
      </w:r>
      <w:r w:rsidRPr="00951A85">
        <w:rPr>
          <w:b/>
          <w:bCs/>
          <w:sz w:val="22"/>
          <w:szCs w:val="22"/>
          <w:lang w:val="sr-Latn-ME"/>
        </w:rPr>
        <w:t>FARMAKOLOŠK</w:t>
      </w:r>
      <w:r w:rsidR="000D425A" w:rsidRPr="00951A85">
        <w:rPr>
          <w:b/>
          <w:bCs/>
          <w:sz w:val="22"/>
          <w:szCs w:val="22"/>
          <w:lang w:val="sr-Latn-ME"/>
        </w:rPr>
        <w:t>I</w:t>
      </w:r>
      <w:r w:rsidRPr="00951A85">
        <w:rPr>
          <w:b/>
          <w:bCs/>
          <w:sz w:val="22"/>
          <w:szCs w:val="22"/>
          <w:lang w:val="sr-Latn-ME"/>
        </w:rPr>
        <w:t xml:space="preserve"> PODACI</w:t>
      </w:r>
    </w:p>
    <w:p w14:paraId="6CC3AC5C" w14:textId="77777777" w:rsidR="0072020E" w:rsidRPr="00951A85" w:rsidRDefault="0072020E" w:rsidP="00480FB1">
      <w:pPr>
        <w:tabs>
          <w:tab w:val="left" w:pos="540"/>
          <w:tab w:val="left" w:pos="569"/>
        </w:tabs>
        <w:rPr>
          <w:b/>
          <w:bCs/>
          <w:sz w:val="22"/>
          <w:szCs w:val="22"/>
          <w:lang w:val="sr-Latn-ME"/>
        </w:rPr>
      </w:pPr>
    </w:p>
    <w:p w14:paraId="29B83B49"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5.1. </w:t>
      </w:r>
      <w:r w:rsidR="00480FB1" w:rsidRPr="00951A85">
        <w:rPr>
          <w:b/>
          <w:bCs/>
          <w:sz w:val="22"/>
          <w:szCs w:val="22"/>
          <w:lang w:val="sr-Latn-ME"/>
        </w:rPr>
        <w:tab/>
      </w:r>
      <w:r w:rsidRPr="00951A85">
        <w:rPr>
          <w:b/>
          <w:bCs/>
          <w:sz w:val="22"/>
          <w:szCs w:val="22"/>
          <w:lang w:val="sr-Latn-ME"/>
        </w:rPr>
        <w:t>Farmakodinamski podaci</w:t>
      </w:r>
      <w:r w:rsidR="003A7059" w:rsidRPr="00951A85">
        <w:rPr>
          <w:b/>
          <w:bCs/>
          <w:sz w:val="22"/>
          <w:szCs w:val="22"/>
          <w:lang w:val="sr-Latn-ME"/>
        </w:rPr>
        <w:t xml:space="preserve"> </w:t>
      </w:r>
    </w:p>
    <w:p w14:paraId="1BC72EB9" w14:textId="77777777" w:rsidR="00F45F77" w:rsidRPr="00951A85" w:rsidRDefault="00F45F77" w:rsidP="00480FB1">
      <w:pPr>
        <w:tabs>
          <w:tab w:val="left" w:pos="540"/>
          <w:tab w:val="left" w:pos="569"/>
        </w:tabs>
        <w:rPr>
          <w:b/>
          <w:bCs/>
          <w:sz w:val="22"/>
          <w:szCs w:val="22"/>
          <w:lang w:val="sr-Latn-ME"/>
        </w:rPr>
      </w:pPr>
    </w:p>
    <w:p w14:paraId="43582275"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Farmakoterapijska grupa: antacidi; kombinacije i kompleksi sa jedinjenjima aluminijuma, kalcijuma i magnezijuma</w:t>
      </w:r>
    </w:p>
    <w:p w14:paraId="272EC5A3" w14:textId="77777777" w:rsidR="00E36DAA" w:rsidRPr="00951A85" w:rsidRDefault="00E36DAA" w:rsidP="00E36DAA">
      <w:pPr>
        <w:jc w:val="both"/>
        <w:rPr>
          <w:color w:val="000000"/>
          <w:sz w:val="22"/>
          <w:szCs w:val="22"/>
          <w:lang w:val="sr-Latn-ME" w:eastAsia="hr-HR"/>
        </w:rPr>
      </w:pPr>
    </w:p>
    <w:p w14:paraId="4860BD9B"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ATC kod: A02AD04</w:t>
      </w:r>
    </w:p>
    <w:p w14:paraId="4256B069" w14:textId="77777777" w:rsidR="00E36DAA" w:rsidRPr="00951A85" w:rsidRDefault="00E36DAA" w:rsidP="00E36DAA">
      <w:pPr>
        <w:jc w:val="both"/>
        <w:rPr>
          <w:color w:val="000000"/>
          <w:sz w:val="22"/>
          <w:szCs w:val="22"/>
          <w:lang w:val="sr-Latn-ME" w:eastAsia="hr-HR"/>
        </w:rPr>
      </w:pPr>
    </w:p>
    <w:p w14:paraId="12BA8277" w14:textId="77777777" w:rsidR="00E36DAA" w:rsidRPr="00951A85" w:rsidRDefault="00E36DAA" w:rsidP="00E36DAA">
      <w:pPr>
        <w:autoSpaceDE w:val="0"/>
        <w:autoSpaceDN w:val="0"/>
        <w:adjustRightInd w:val="0"/>
        <w:jc w:val="both"/>
        <w:rPr>
          <w:color w:val="000000"/>
          <w:sz w:val="22"/>
          <w:szCs w:val="22"/>
          <w:u w:val="single"/>
          <w:lang w:val="sr-Latn-ME"/>
        </w:rPr>
      </w:pPr>
      <w:r w:rsidRPr="00951A85">
        <w:rPr>
          <w:color w:val="000000"/>
          <w:sz w:val="22"/>
          <w:szCs w:val="22"/>
          <w:u w:val="single"/>
          <w:lang w:val="sr-Latn-ME"/>
        </w:rPr>
        <w:t xml:space="preserve">Mehanizam djelovanja </w:t>
      </w:r>
    </w:p>
    <w:p w14:paraId="182BCC4D" w14:textId="77777777" w:rsidR="00E36DAA" w:rsidRPr="00951A85" w:rsidRDefault="00E36DAA" w:rsidP="00E36DAA">
      <w:pPr>
        <w:jc w:val="both"/>
        <w:rPr>
          <w:color w:val="000000"/>
          <w:sz w:val="22"/>
          <w:szCs w:val="22"/>
          <w:lang w:val="sr-Latn-ME"/>
        </w:rPr>
      </w:pPr>
      <w:r w:rsidRPr="00951A85">
        <w:rPr>
          <w:color w:val="000000"/>
          <w:sz w:val="22"/>
          <w:szCs w:val="22"/>
          <w:lang w:val="sr-Latn-ME"/>
        </w:rPr>
        <w:t xml:space="preserve">Djelovanje hidrotalcita je lokalno, ograničeno na želudac, i uglavnom se svodi na neutralizaciju želudačnog hiperaciditeta. </w:t>
      </w:r>
    </w:p>
    <w:p w14:paraId="63495ADF" w14:textId="77777777" w:rsidR="00E36DAA" w:rsidRPr="00951A85" w:rsidRDefault="00E36DAA" w:rsidP="00E36DAA">
      <w:pPr>
        <w:jc w:val="both"/>
        <w:rPr>
          <w:color w:val="000000"/>
          <w:sz w:val="22"/>
          <w:szCs w:val="22"/>
          <w:lang w:val="sr-Latn-ME"/>
        </w:rPr>
      </w:pPr>
      <w:r w:rsidRPr="00951A85">
        <w:rPr>
          <w:color w:val="000000"/>
          <w:sz w:val="22"/>
          <w:szCs w:val="22"/>
          <w:lang w:val="sr-Latn-ME"/>
        </w:rPr>
        <w:t xml:space="preserve">Takođe, hidrotalcit ispoljava dozno-zavisno i pH-zavisno vezivanje za pepsin, žučne kiseline i lizolecitin, i ima mukoprotektivne i citoprotektivne osobine. </w:t>
      </w:r>
    </w:p>
    <w:p w14:paraId="102FFFFF" w14:textId="77777777" w:rsidR="00E36DAA" w:rsidRPr="00951A85" w:rsidRDefault="00E36DAA" w:rsidP="00E36DAA">
      <w:pPr>
        <w:jc w:val="both"/>
        <w:rPr>
          <w:color w:val="000000"/>
          <w:sz w:val="22"/>
          <w:szCs w:val="22"/>
          <w:lang w:val="sr-Latn-ME"/>
        </w:rPr>
      </w:pPr>
      <w:r w:rsidRPr="00951A85">
        <w:rPr>
          <w:color w:val="000000"/>
          <w:sz w:val="22"/>
          <w:szCs w:val="22"/>
          <w:lang w:val="sr-Latn-ME"/>
        </w:rPr>
        <w:t>Intragastrična vrijednost pH se podiže nakon aproksimativno 2 sata do idealnog opsega od pH 3-5.</w:t>
      </w:r>
    </w:p>
    <w:p w14:paraId="1C7C8B18" w14:textId="77777777" w:rsidR="002E37A5" w:rsidRPr="00951A85" w:rsidRDefault="002E37A5" w:rsidP="00480FB1">
      <w:pPr>
        <w:tabs>
          <w:tab w:val="left" w:pos="540"/>
          <w:tab w:val="left" w:pos="569"/>
        </w:tabs>
        <w:rPr>
          <w:b/>
          <w:bCs/>
          <w:sz w:val="22"/>
          <w:szCs w:val="22"/>
          <w:lang w:val="sr-Latn-ME"/>
        </w:rPr>
      </w:pPr>
    </w:p>
    <w:p w14:paraId="70F0C6B2"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5.2. </w:t>
      </w:r>
      <w:r w:rsidR="00480FB1" w:rsidRPr="00951A85">
        <w:rPr>
          <w:b/>
          <w:bCs/>
          <w:sz w:val="22"/>
          <w:szCs w:val="22"/>
          <w:lang w:val="sr-Latn-ME"/>
        </w:rPr>
        <w:tab/>
      </w:r>
      <w:r w:rsidRPr="00951A85">
        <w:rPr>
          <w:b/>
          <w:bCs/>
          <w:sz w:val="22"/>
          <w:szCs w:val="22"/>
          <w:lang w:val="sr-Latn-ME"/>
        </w:rPr>
        <w:t>Farmakokinetički podaci</w:t>
      </w:r>
      <w:r w:rsidR="003A7059" w:rsidRPr="00951A85">
        <w:rPr>
          <w:b/>
          <w:bCs/>
          <w:sz w:val="22"/>
          <w:szCs w:val="22"/>
          <w:lang w:val="sr-Latn-ME"/>
        </w:rPr>
        <w:t xml:space="preserve"> </w:t>
      </w:r>
    </w:p>
    <w:p w14:paraId="60039698" w14:textId="77777777" w:rsidR="0072020E" w:rsidRPr="00951A85" w:rsidRDefault="0072020E" w:rsidP="00480FB1">
      <w:pPr>
        <w:tabs>
          <w:tab w:val="left" w:pos="540"/>
          <w:tab w:val="left" w:pos="569"/>
        </w:tabs>
        <w:rPr>
          <w:bCs/>
          <w:sz w:val="22"/>
          <w:szCs w:val="22"/>
          <w:lang w:val="sr-Latn-ME"/>
        </w:rPr>
      </w:pPr>
    </w:p>
    <w:p w14:paraId="04B52FD8"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Mrežasto-slojevita struktura hidrotalcita se rastvara nezavisno od pH, i joni magnezijuma i aluminijuma se oslobađaju intragastrično. Ovi joni, potom, precipitiraju kao karbonati i fosfati u tankom crijevu. U prisustvu hrane, proces precipitacije se može odigrati u želucu.</w:t>
      </w:r>
    </w:p>
    <w:p w14:paraId="35F93727"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Resorbuju se male količine aluminijuma iz hidrotalcita, dovodeći do prolaznog povećanja koncentracije aluminijuma u serumu, kao i povećane renalne ekskrecije aluminijuma. Nivo aluminijuma u serumu ostaje ispod toksičnog, i normalizuje se 3-4 dana nakon prestanka terapije.</w:t>
      </w:r>
    </w:p>
    <w:p w14:paraId="34C5AA29"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Resorbuju se male količine magnezijuma, ali koncentracija magnezijuma u serumu ostaje konstantna usljed renalne eliminacije.</w:t>
      </w:r>
    </w:p>
    <w:p w14:paraId="1E1DBC51" w14:textId="77777777" w:rsidR="00E36DAA" w:rsidRPr="00951A85" w:rsidRDefault="00E36DAA" w:rsidP="00E36DAA">
      <w:pPr>
        <w:jc w:val="both"/>
        <w:rPr>
          <w:color w:val="000000"/>
          <w:sz w:val="22"/>
          <w:szCs w:val="22"/>
          <w:lang w:val="sr-Latn-ME" w:eastAsia="hr-HR"/>
        </w:rPr>
      </w:pPr>
    </w:p>
    <w:p w14:paraId="75CE2599"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Pacijenti sa oštećenom renalnom funkcijom koji uzimaju velike doze lijeka tokom produženog perioda, mogu razviti hipermagnezijemiju sve do stepena intoksikacije magnezijumom, i mogu patiti od postepene akumulacije aluminijuma, posebno u nervnom i kostnom tkivu.</w:t>
      </w:r>
    </w:p>
    <w:p w14:paraId="008544F0" w14:textId="77777777" w:rsidR="00E36DAA" w:rsidRPr="00951A85" w:rsidRDefault="00E36DAA" w:rsidP="00480FB1">
      <w:pPr>
        <w:tabs>
          <w:tab w:val="left" w:pos="540"/>
          <w:tab w:val="left" w:pos="569"/>
        </w:tabs>
        <w:rPr>
          <w:bCs/>
          <w:sz w:val="22"/>
          <w:szCs w:val="22"/>
          <w:lang w:val="sr-Latn-ME"/>
        </w:rPr>
      </w:pPr>
    </w:p>
    <w:p w14:paraId="13B26376"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5.3. </w:t>
      </w:r>
      <w:r w:rsidR="00480FB1" w:rsidRPr="00951A85">
        <w:rPr>
          <w:b/>
          <w:bCs/>
          <w:sz w:val="22"/>
          <w:szCs w:val="22"/>
          <w:lang w:val="sr-Latn-ME"/>
        </w:rPr>
        <w:tab/>
      </w:r>
      <w:r w:rsidRPr="00951A85">
        <w:rPr>
          <w:b/>
          <w:bCs/>
          <w:sz w:val="22"/>
          <w:szCs w:val="22"/>
          <w:lang w:val="sr-Latn-ME"/>
        </w:rPr>
        <w:t xml:space="preserve">Pretklinički podaci o bezbjednosti </w:t>
      </w:r>
    </w:p>
    <w:p w14:paraId="3D9E6928" w14:textId="77777777" w:rsidR="00836B35" w:rsidRPr="00951A85" w:rsidRDefault="00836B35" w:rsidP="00480FB1">
      <w:pPr>
        <w:tabs>
          <w:tab w:val="left" w:pos="540"/>
          <w:tab w:val="left" w:pos="569"/>
        </w:tabs>
        <w:rPr>
          <w:bCs/>
          <w:sz w:val="22"/>
          <w:szCs w:val="22"/>
          <w:lang w:val="sr-Latn-ME"/>
        </w:rPr>
      </w:pPr>
    </w:p>
    <w:p w14:paraId="0134E6DC"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a) Akutna toksičnost</w:t>
      </w:r>
    </w:p>
    <w:p w14:paraId="65892E15"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Akutnu toksičnost nije bilo moguće odrediti do sada, usljed niskog stepena resorpcije (10% za magnezijum i 1% za aluminijum porijeklom iz antacida) i relativno brze renalne eliminacije.</w:t>
      </w:r>
    </w:p>
    <w:p w14:paraId="5AB9C341" w14:textId="77777777" w:rsidR="00E36DAA" w:rsidRPr="00951A85" w:rsidRDefault="00E36DAA" w:rsidP="00E36DAA">
      <w:pPr>
        <w:jc w:val="both"/>
        <w:rPr>
          <w:color w:val="000000"/>
          <w:sz w:val="22"/>
          <w:szCs w:val="22"/>
          <w:lang w:val="sr-Latn-ME" w:eastAsia="hr-HR"/>
        </w:rPr>
      </w:pPr>
    </w:p>
    <w:p w14:paraId="238481F0"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b) Hronična toksičnost</w:t>
      </w:r>
    </w:p>
    <w:p w14:paraId="2D798830"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Pacijenti sa oštećenom renalnom funkcijom mogu imati povišene koncentracije u plazmi i tkivima (posebno depozite aluminijuma u nervnom i kostnom tkivu) i mogu pokazivati znake predoziranja. Uprkos niskom stepenu resorpcije, dugotrajna primjena antacida koji sadrže aluminijum i magnezijum može izazvati poremećaj u ravnoteži tjelesnih fosfata i kalcijuma.</w:t>
      </w:r>
    </w:p>
    <w:p w14:paraId="2A6A7587" w14:textId="77777777" w:rsidR="00E36DAA" w:rsidRPr="00951A85" w:rsidRDefault="00E36DAA" w:rsidP="00E36DAA">
      <w:pPr>
        <w:jc w:val="both"/>
        <w:rPr>
          <w:color w:val="000000"/>
          <w:sz w:val="22"/>
          <w:szCs w:val="22"/>
          <w:lang w:val="sr-Latn-ME" w:eastAsia="hr-HR"/>
        </w:rPr>
      </w:pPr>
    </w:p>
    <w:p w14:paraId="512B7896"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lastRenderedPageBreak/>
        <w:t>c) Mutageni i karcinogeni potencijal</w:t>
      </w:r>
    </w:p>
    <w:p w14:paraId="0BBDE358"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Mutageni potencijal hidrotalcita još uvijek nije adekvatno ispitan. Nema relevantnih osnova koji ukazuju na postojanje mutagenog potencijala jedinjenja aluminijuma.</w:t>
      </w:r>
    </w:p>
    <w:p w14:paraId="0EC75A13"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Ni</w:t>
      </w:r>
      <w:r w:rsidR="000D40C4" w:rsidRPr="00951A85">
        <w:rPr>
          <w:color w:val="000000"/>
          <w:sz w:val="22"/>
          <w:szCs w:val="22"/>
          <w:lang w:val="sr-Latn-ME" w:eastAsia="hr-HR"/>
        </w:rPr>
        <w:t>je</w:t>
      </w:r>
      <w:r w:rsidRPr="00951A85">
        <w:rPr>
          <w:color w:val="000000"/>
          <w:sz w:val="22"/>
          <w:szCs w:val="22"/>
          <w:lang w:val="sr-Latn-ME" w:eastAsia="hr-HR"/>
        </w:rPr>
        <w:t>su izvedene studije karcinogenog potencijala aluminijuma i aluminijum/magnezijum hidroksida.</w:t>
      </w:r>
    </w:p>
    <w:p w14:paraId="10D739BC" w14:textId="77777777" w:rsidR="00E36DAA" w:rsidRPr="00951A85" w:rsidRDefault="00E36DAA" w:rsidP="00E36DAA">
      <w:pPr>
        <w:jc w:val="both"/>
        <w:rPr>
          <w:color w:val="000000"/>
          <w:sz w:val="22"/>
          <w:szCs w:val="22"/>
          <w:lang w:val="sr-Latn-ME" w:eastAsia="hr-HR"/>
        </w:rPr>
      </w:pPr>
    </w:p>
    <w:p w14:paraId="2BCEA8EE"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d) Reproduktivna toksičnost</w:t>
      </w:r>
    </w:p>
    <w:p w14:paraId="32337ED0"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Hidrotalcit nije adekvatno ispitivan što se tiče njegove reproduktivne toksičnosti. Studije embrionalne toksičnosti kod pacova ni</w:t>
      </w:r>
      <w:r w:rsidR="000D40C4" w:rsidRPr="00951A85">
        <w:rPr>
          <w:color w:val="000000"/>
          <w:sz w:val="22"/>
          <w:szCs w:val="22"/>
          <w:lang w:val="sr-Latn-ME" w:eastAsia="hr-HR"/>
        </w:rPr>
        <w:t>je</w:t>
      </w:r>
      <w:r w:rsidRPr="00951A85">
        <w:rPr>
          <w:color w:val="000000"/>
          <w:sz w:val="22"/>
          <w:szCs w:val="22"/>
          <w:lang w:val="sr-Latn-ME" w:eastAsia="hr-HR"/>
        </w:rPr>
        <w:t>su iznijele dokaze o oštećenju embriona/fetusa pri oralnim dozama od 1000 mg/kg/dan. Međutim, ni</w:t>
      </w:r>
      <w:r w:rsidR="000D40C4" w:rsidRPr="00951A85">
        <w:rPr>
          <w:color w:val="000000"/>
          <w:sz w:val="22"/>
          <w:szCs w:val="22"/>
          <w:lang w:val="sr-Latn-ME" w:eastAsia="hr-HR"/>
        </w:rPr>
        <w:t>je</w:t>
      </w:r>
      <w:r w:rsidRPr="00951A85">
        <w:rPr>
          <w:color w:val="000000"/>
          <w:sz w:val="22"/>
          <w:szCs w:val="22"/>
          <w:lang w:val="sr-Latn-ME" w:eastAsia="hr-HR"/>
        </w:rPr>
        <w:t xml:space="preserve">su ispitivani efekti ekspozicije tokom fetalne faze i funkcionalni aspekti. </w:t>
      </w:r>
    </w:p>
    <w:p w14:paraId="7C94CEEB" w14:textId="77777777" w:rsidR="00E36DAA" w:rsidRPr="00951A85" w:rsidRDefault="00E36DAA" w:rsidP="00E36DAA">
      <w:pPr>
        <w:jc w:val="both"/>
        <w:rPr>
          <w:color w:val="000000"/>
          <w:sz w:val="22"/>
          <w:szCs w:val="22"/>
          <w:lang w:val="sr-Latn-ME" w:eastAsia="hr-HR"/>
        </w:rPr>
      </w:pPr>
    </w:p>
    <w:p w14:paraId="73D31A02"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Postnatalni efekti ekspozicije aluminijumu uključuju povišen stepen mrtvorođenosti, povišen peri-/post- natalni mortalitet, učestaliji usporen rast, promjene u ponašanju i biohemijske promjene u mozgu (efekti dugotrajne primjene).</w:t>
      </w:r>
    </w:p>
    <w:p w14:paraId="0499BCAF" w14:textId="77777777" w:rsidR="00E36DAA" w:rsidRPr="00951A85" w:rsidRDefault="00E36DAA" w:rsidP="00E36DAA">
      <w:pPr>
        <w:jc w:val="both"/>
        <w:rPr>
          <w:color w:val="000000"/>
          <w:sz w:val="22"/>
          <w:szCs w:val="22"/>
          <w:lang w:val="sr-Latn-ME" w:eastAsia="hr-HR"/>
        </w:rPr>
      </w:pPr>
    </w:p>
    <w:p w14:paraId="18E84617"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 xml:space="preserve">Studije na različitim vrstama životinja (kunići, miševi) su pokazale da aluminijum prolazi placentu i akumulira se u tkivu fetusa, primarno u kostima. U studijama na životinjama, depoziti u kostima fetusa bili su značajno veći nego kod odraslih. </w:t>
      </w:r>
    </w:p>
    <w:p w14:paraId="21D5A2E5" w14:textId="77777777" w:rsidR="00E36DAA" w:rsidRPr="00951A85" w:rsidRDefault="00E36DAA" w:rsidP="00E36DAA">
      <w:pPr>
        <w:jc w:val="both"/>
        <w:rPr>
          <w:color w:val="000000"/>
          <w:sz w:val="22"/>
          <w:szCs w:val="22"/>
          <w:lang w:val="sr-Latn-ME" w:eastAsia="hr-HR"/>
        </w:rPr>
      </w:pPr>
    </w:p>
    <w:p w14:paraId="1BD6EA0F"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Studije kod ljudi su sprovedene na pr</w:t>
      </w:r>
      <w:r w:rsidR="000D40C4" w:rsidRPr="00951A85">
        <w:rPr>
          <w:color w:val="000000"/>
          <w:sz w:val="22"/>
          <w:szCs w:val="22"/>
          <w:lang w:val="sr-Latn-ME" w:eastAsia="hr-HR"/>
        </w:rPr>
        <w:t>ij</w:t>
      </w:r>
      <w:r w:rsidRPr="00951A85">
        <w:rPr>
          <w:color w:val="000000"/>
          <w:sz w:val="22"/>
          <w:szCs w:val="22"/>
          <w:lang w:val="sr-Latn-ME" w:eastAsia="hr-HR"/>
        </w:rPr>
        <w:t xml:space="preserve">evremeno rođenim bebama, kod kojih je prijavljena akumulacija aluminijuma u kostima. Slične okolnosti su vrlo vjerovatne kod fetusa </w:t>
      </w:r>
      <w:r w:rsidRPr="00951A85">
        <w:rPr>
          <w:i/>
          <w:color w:val="000000"/>
          <w:sz w:val="22"/>
          <w:szCs w:val="22"/>
          <w:lang w:val="sr-Latn-ME" w:eastAsia="hr-HR"/>
        </w:rPr>
        <w:t>in utero</w:t>
      </w:r>
      <w:r w:rsidRPr="00951A85">
        <w:rPr>
          <w:color w:val="000000"/>
          <w:sz w:val="22"/>
          <w:szCs w:val="22"/>
          <w:lang w:val="sr-Latn-ME" w:eastAsia="hr-HR"/>
        </w:rPr>
        <w:t>.</w:t>
      </w:r>
    </w:p>
    <w:p w14:paraId="1EDE0423"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Nakon ekspozicije tokom perioda trudnoće, ekskrecija aluminijuma u majčino mlijeko je privremeno povišena.</w:t>
      </w:r>
    </w:p>
    <w:p w14:paraId="46517F84" w14:textId="77777777" w:rsidR="00794DBD" w:rsidRPr="00951A85" w:rsidRDefault="00794DBD" w:rsidP="00E36DAA">
      <w:pPr>
        <w:jc w:val="both"/>
        <w:rPr>
          <w:color w:val="000000"/>
          <w:sz w:val="22"/>
          <w:szCs w:val="22"/>
          <w:lang w:val="sr-Latn-ME" w:eastAsia="hr-HR"/>
        </w:rPr>
      </w:pPr>
    </w:p>
    <w:p w14:paraId="3F95CBC3" w14:textId="77777777" w:rsidR="00396DFD" w:rsidRPr="00951A85" w:rsidRDefault="00396DFD" w:rsidP="00480FB1">
      <w:pPr>
        <w:tabs>
          <w:tab w:val="left" w:pos="540"/>
          <w:tab w:val="left" w:pos="569"/>
        </w:tabs>
        <w:rPr>
          <w:b/>
          <w:bCs/>
          <w:sz w:val="22"/>
          <w:szCs w:val="22"/>
          <w:lang w:val="sr-Latn-ME"/>
        </w:rPr>
      </w:pPr>
    </w:p>
    <w:p w14:paraId="70B6C563"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6. </w:t>
      </w:r>
      <w:r w:rsidR="00480FB1" w:rsidRPr="00951A85">
        <w:rPr>
          <w:b/>
          <w:bCs/>
          <w:sz w:val="22"/>
          <w:szCs w:val="22"/>
          <w:lang w:val="sr-Latn-ME"/>
        </w:rPr>
        <w:tab/>
      </w:r>
      <w:r w:rsidRPr="00951A85">
        <w:rPr>
          <w:b/>
          <w:bCs/>
          <w:sz w:val="22"/>
          <w:szCs w:val="22"/>
          <w:lang w:val="sr-Latn-ME"/>
        </w:rPr>
        <w:t>FARMACEUTSKI PODACI</w:t>
      </w:r>
    </w:p>
    <w:p w14:paraId="2EBF6718" w14:textId="77777777" w:rsidR="00836B35" w:rsidRPr="00951A85" w:rsidRDefault="00836B35" w:rsidP="00480FB1">
      <w:pPr>
        <w:tabs>
          <w:tab w:val="left" w:pos="540"/>
          <w:tab w:val="left" w:pos="569"/>
        </w:tabs>
        <w:rPr>
          <w:bCs/>
          <w:sz w:val="22"/>
          <w:szCs w:val="22"/>
          <w:lang w:val="sr-Latn-ME"/>
        </w:rPr>
      </w:pPr>
    </w:p>
    <w:p w14:paraId="7FE2CE92"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6.1. </w:t>
      </w:r>
      <w:r w:rsidR="00480FB1" w:rsidRPr="00951A85">
        <w:rPr>
          <w:b/>
          <w:bCs/>
          <w:sz w:val="22"/>
          <w:szCs w:val="22"/>
          <w:lang w:val="sr-Latn-ME"/>
        </w:rPr>
        <w:tab/>
      </w:r>
      <w:r w:rsidRPr="00951A85">
        <w:rPr>
          <w:b/>
          <w:bCs/>
          <w:sz w:val="22"/>
          <w:szCs w:val="22"/>
          <w:lang w:val="sr-Latn-ME"/>
        </w:rPr>
        <w:t>Lista pomoćnih supstanci</w:t>
      </w:r>
      <w:r w:rsidR="002E0135" w:rsidRPr="00951A85">
        <w:rPr>
          <w:b/>
          <w:bCs/>
          <w:sz w:val="22"/>
          <w:szCs w:val="22"/>
          <w:lang w:val="sr-Latn-ME"/>
        </w:rPr>
        <w:t xml:space="preserve"> (ekscipijenasa)</w:t>
      </w:r>
    </w:p>
    <w:p w14:paraId="3B1BA27D" w14:textId="77777777" w:rsidR="0072020E" w:rsidRPr="00951A85" w:rsidRDefault="0072020E" w:rsidP="00480FB1">
      <w:pPr>
        <w:tabs>
          <w:tab w:val="left" w:pos="540"/>
          <w:tab w:val="left" w:pos="569"/>
        </w:tabs>
        <w:rPr>
          <w:bCs/>
          <w:sz w:val="22"/>
          <w:szCs w:val="22"/>
          <w:lang w:val="sr-Latn-ME"/>
        </w:rPr>
      </w:pPr>
    </w:p>
    <w:p w14:paraId="2E355B2B"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Manitol</w:t>
      </w:r>
    </w:p>
    <w:p w14:paraId="4FF75E95"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Saharin natrijum</w:t>
      </w:r>
    </w:p>
    <w:p w14:paraId="5FF44B6D" w14:textId="16143CD6"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Natrijum skrob</w:t>
      </w:r>
      <w:r w:rsidR="00F96799" w:rsidRPr="00951A85">
        <w:rPr>
          <w:color w:val="000000"/>
          <w:sz w:val="22"/>
          <w:szCs w:val="22"/>
          <w:lang w:val="sr-Latn-ME" w:eastAsia="hr-HR"/>
        </w:rPr>
        <w:t xml:space="preserve"> </w:t>
      </w:r>
      <w:r w:rsidRPr="00951A85">
        <w:rPr>
          <w:color w:val="000000"/>
          <w:sz w:val="22"/>
          <w:szCs w:val="22"/>
          <w:lang w:val="sr-Latn-ME" w:eastAsia="hr-HR"/>
        </w:rPr>
        <w:t>glikolat (tip A)</w:t>
      </w:r>
    </w:p>
    <w:p w14:paraId="39FE7182"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Talk</w:t>
      </w:r>
    </w:p>
    <w:p w14:paraId="71556B0E"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Magnezijum stearat</w:t>
      </w:r>
    </w:p>
    <w:p w14:paraId="74F8E853"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Aroma peperminta</w:t>
      </w:r>
    </w:p>
    <w:p w14:paraId="0BF5BC41" w14:textId="77777777" w:rsidR="00E36DAA" w:rsidRPr="00951A85" w:rsidRDefault="00E36DAA" w:rsidP="00480FB1">
      <w:pPr>
        <w:tabs>
          <w:tab w:val="left" w:pos="540"/>
          <w:tab w:val="left" w:pos="569"/>
        </w:tabs>
        <w:rPr>
          <w:bCs/>
          <w:sz w:val="22"/>
          <w:szCs w:val="22"/>
          <w:lang w:val="sr-Latn-ME"/>
        </w:rPr>
      </w:pPr>
    </w:p>
    <w:p w14:paraId="6D43C614"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6.2. </w:t>
      </w:r>
      <w:r w:rsidR="00480FB1" w:rsidRPr="00951A85">
        <w:rPr>
          <w:b/>
          <w:bCs/>
          <w:sz w:val="22"/>
          <w:szCs w:val="22"/>
          <w:lang w:val="sr-Latn-ME"/>
        </w:rPr>
        <w:tab/>
      </w:r>
      <w:r w:rsidRPr="00951A85">
        <w:rPr>
          <w:b/>
          <w:bCs/>
          <w:sz w:val="22"/>
          <w:szCs w:val="22"/>
          <w:lang w:val="sr-Latn-ME"/>
        </w:rPr>
        <w:t>Inkompatibilnost</w:t>
      </w:r>
      <w:r w:rsidR="002846DB" w:rsidRPr="00951A85">
        <w:rPr>
          <w:b/>
          <w:bCs/>
          <w:sz w:val="22"/>
          <w:szCs w:val="22"/>
          <w:lang w:val="sr-Latn-ME"/>
        </w:rPr>
        <w:t>i</w:t>
      </w:r>
    </w:p>
    <w:p w14:paraId="5C12DD82" w14:textId="77777777" w:rsidR="0072020E" w:rsidRPr="00951A85" w:rsidRDefault="0072020E" w:rsidP="00480FB1">
      <w:pPr>
        <w:tabs>
          <w:tab w:val="left" w:pos="540"/>
          <w:tab w:val="left" w:pos="569"/>
        </w:tabs>
        <w:rPr>
          <w:bCs/>
          <w:sz w:val="22"/>
          <w:szCs w:val="22"/>
          <w:lang w:val="sr-Latn-ME"/>
        </w:rPr>
      </w:pPr>
    </w:p>
    <w:p w14:paraId="5AC8A1F6"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Nije primjenjivo.</w:t>
      </w:r>
    </w:p>
    <w:p w14:paraId="5DFA3D1F" w14:textId="77777777" w:rsidR="00E36DAA" w:rsidRPr="00951A85" w:rsidRDefault="00E36DAA" w:rsidP="00480FB1">
      <w:pPr>
        <w:tabs>
          <w:tab w:val="left" w:pos="540"/>
          <w:tab w:val="left" w:pos="569"/>
        </w:tabs>
        <w:rPr>
          <w:bCs/>
          <w:sz w:val="22"/>
          <w:szCs w:val="22"/>
          <w:lang w:val="sr-Latn-ME"/>
        </w:rPr>
      </w:pPr>
    </w:p>
    <w:p w14:paraId="6407B789"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6.3.</w:t>
      </w:r>
      <w:r w:rsidR="00C05DF8" w:rsidRPr="00951A85">
        <w:rPr>
          <w:b/>
          <w:bCs/>
          <w:sz w:val="22"/>
          <w:szCs w:val="22"/>
          <w:lang w:val="sr-Latn-ME"/>
        </w:rPr>
        <w:t xml:space="preserve"> </w:t>
      </w:r>
      <w:r w:rsidR="00480FB1" w:rsidRPr="00951A85">
        <w:rPr>
          <w:b/>
          <w:bCs/>
          <w:sz w:val="22"/>
          <w:szCs w:val="22"/>
          <w:lang w:val="sr-Latn-ME"/>
        </w:rPr>
        <w:tab/>
      </w:r>
      <w:r w:rsidRPr="00951A85">
        <w:rPr>
          <w:b/>
          <w:bCs/>
          <w:sz w:val="22"/>
          <w:szCs w:val="22"/>
          <w:lang w:val="sr-Latn-ME"/>
        </w:rPr>
        <w:t>Rok upotrebe</w:t>
      </w:r>
    </w:p>
    <w:p w14:paraId="1718E47B" w14:textId="77777777" w:rsidR="00E36DAA" w:rsidRPr="00951A85" w:rsidRDefault="00E36DAA" w:rsidP="00480FB1">
      <w:pPr>
        <w:tabs>
          <w:tab w:val="left" w:pos="540"/>
          <w:tab w:val="left" w:pos="569"/>
        </w:tabs>
        <w:rPr>
          <w:b/>
          <w:bCs/>
          <w:sz w:val="22"/>
          <w:szCs w:val="22"/>
          <w:lang w:val="sr-Latn-ME"/>
        </w:rPr>
      </w:pPr>
    </w:p>
    <w:p w14:paraId="3101F0C4" w14:textId="77777777" w:rsidR="00E36DAA" w:rsidRPr="00951A85" w:rsidRDefault="00E36DAA" w:rsidP="00E36DAA">
      <w:pPr>
        <w:jc w:val="both"/>
        <w:rPr>
          <w:color w:val="000000"/>
          <w:sz w:val="22"/>
          <w:szCs w:val="22"/>
          <w:lang w:val="sr-Latn-ME" w:eastAsia="hr-HR"/>
        </w:rPr>
      </w:pPr>
      <w:r w:rsidRPr="00951A85">
        <w:rPr>
          <w:color w:val="000000"/>
          <w:sz w:val="22"/>
          <w:szCs w:val="22"/>
          <w:lang w:val="sr-Latn-ME" w:eastAsia="hr-HR"/>
        </w:rPr>
        <w:t>5 godina</w:t>
      </w:r>
    </w:p>
    <w:p w14:paraId="327E5DE1" w14:textId="77777777" w:rsidR="0072020E" w:rsidRPr="00951A85" w:rsidRDefault="0072020E" w:rsidP="00480FB1">
      <w:pPr>
        <w:tabs>
          <w:tab w:val="left" w:pos="540"/>
          <w:tab w:val="left" w:pos="569"/>
        </w:tabs>
        <w:rPr>
          <w:bCs/>
          <w:sz w:val="22"/>
          <w:szCs w:val="22"/>
          <w:lang w:val="sr-Latn-ME"/>
        </w:rPr>
      </w:pPr>
    </w:p>
    <w:p w14:paraId="34E44FF0"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6.4. </w:t>
      </w:r>
      <w:r w:rsidR="00480FB1" w:rsidRPr="00951A85">
        <w:rPr>
          <w:b/>
          <w:bCs/>
          <w:sz w:val="22"/>
          <w:szCs w:val="22"/>
          <w:lang w:val="sr-Latn-ME"/>
        </w:rPr>
        <w:tab/>
      </w:r>
      <w:r w:rsidRPr="00951A85">
        <w:rPr>
          <w:b/>
          <w:bCs/>
          <w:sz w:val="22"/>
          <w:szCs w:val="22"/>
          <w:lang w:val="sr-Latn-ME"/>
        </w:rPr>
        <w:t>Posebne mjere upozorenja pri čuvanju</w:t>
      </w:r>
      <w:r w:rsidR="00F8570A" w:rsidRPr="00951A85">
        <w:rPr>
          <w:b/>
          <w:bCs/>
          <w:sz w:val="22"/>
          <w:szCs w:val="22"/>
          <w:lang w:val="sr-Latn-ME"/>
        </w:rPr>
        <w:t xml:space="preserve"> lijeka</w:t>
      </w:r>
    </w:p>
    <w:p w14:paraId="35DB83CD" w14:textId="77777777" w:rsidR="00EC2532" w:rsidRPr="00951A85" w:rsidRDefault="00EC2532" w:rsidP="00480FB1">
      <w:pPr>
        <w:tabs>
          <w:tab w:val="left" w:pos="540"/>
          <w:tab w:val="left" w:pos="569"/>
        </w:tabs>
        <w:rPr>
          <w:bCs/>
          <w:sz w:val="22"/>
          <w:szCs w:val="22"/>
          <w:lang w:val="sr-Latn-ME"/>
        </w:rPr>
      </w:pPr>
    </w:p>
    <w:p w14:paraId="415C329A" w14:textId="5968B2E4" w:rsidR="004260BD" w:rsidRPr="00951A85" w:rsidRDefault="004260BD" w:rsidP="004260BD">
      <w:pPr>
        <w:jc w:val="both"/>
        <w:rPr>
          <w:color w:val="000000"/>
          <w:sz w:val="22"/>
          <w:szCs w:val="22"/>
          <w:lang w:val="sr-Latn-ME"/>
        </w:rPr>
      </w:pPr>
      <w:r w:rsidRPr="00951A85">
        <w:rPr>
          <w:color w:val="000000"/>
          <w:sz w:val="22"/>
          <w:szCs w:val="22"/>
          <w:lang w:val="sr-Latn-ME"/>
        </w:rPr>
        <w:t>Lijek čuvat</w:t>
      </w:r>
      <w:r w:rsidR="003D525B" w:rsidRPr="00951A85">
        <w:rPr>
          <w:color w:val="000000"/>
          <w:sz w:val="22"/>
          <w:szCs w:val="22"/>
          <w:lang w:val="sr-Latn-ME"/>
        </w:rPr>
        <w:t>i</w:t>
      </w:r>
      <w:r w:rsidRPr="00951A85">
        <w:rPr>
          <w:color w:val="000000"/>
          <w:sz w:val="22"/>
          <w:szCs w:val="22"/>
          <w:lang w:val="sr-Latn-ME"/>
        </w:rPr>
        <w:t xml:space="preserve"> na temperaturi do 30°C.</w:t>
      </w:r>
    </w:p>
    <w:p w14:paraId="090E23B4" w14:textId="77777777" w:rsidR="004260BD" w:rsidRPr="00951A85" w:rsidRDefault="004260BD" w:rsidP="00480FB1">
      <w:pPr>
        <w:tabs>
          <w:tab w:val="left" w:pos="540"/>
          <w:tab w:val="left" w:pos="569"/>
        </w:tabs>
        <w:rPr>
          <w:bCs/>
          <w:sz w:val="22"/>
          <w:szCs w:val="22"/>
          <w:lang w:val="sr-Latn-ME"/>
        </w:rPr>
      </w:pPr>
    </w:p>
    <w:p w14:paraId="7E7C5720"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6.5. </w:t>
      </w:r>
      <w:r w:rsidR="00480FB1" w:rsidRPr="00951A85">
        <w:rPr>
          <w:b/>
          <w:bCs/>
          <w:sz w:val="22"/>
          <w:szCs w:val="22"/>
          <w:lang w:val="sr-Latn-ME"/>
        </w:rPr>
        <w:tab/>
      </w:r>
      <w:r w:rsidR="002846DB" w:rsidRPr="00951A85">
        <w:rPr>
          <w:b/>
          <w:bCs/>
          <w:sz w:val="22"/>
          <w:szCs w:val="22"/>
          <w:lang w:val="sr-Latn-ME"/>
        </w:rPr>
        <w:t xml:space="preserve">Vrsta i sadržaj </w:t>
      </w:r>
      <w:r w:rsidR="00F8570A" w:rsidRPr="00951A85">
        <w:rPr>
          <w:b/>
          <w:bCs/>
          <w:sz w:val="22"/>
          <w:szCs w:val="22"/>
          <w:lang w:val="sr-Latn-ME"/>
        </w:rPr>
        <w:t>pakovanja</w:t>
      </w:r>
      <w:r w:rsidR="00C06864" w:rsidRPr="00951A85">
        <w:rPr>
          <w:b/>
          <w:bCs/>
          <w:sz w:val="22"/>
          <w:szCs w:val="22"/>
          <w:lang w:val="sr-Latn-ME"/>
        </w:rPr>
        <w:t xml:space="preserve"> </w:t>
      </w:r>
    </w:p>
    <w:p w14:paraId="0327634F" w14:textId="77777777" w:rsidR="0072020E" w:rsidRPr="00951A85" w:rsidRDefault="0072020E" w:rsidP="00480FB1">
      <w:pPr>
        <w:tabs>
          <w:tab w:val="left" w:pos="540"/>
          <w:tab w:val="left" w:pos="569"/>
        </w:tabs>
        <w:rPr>
          <w:bCs/>
          <w:sz w:val="22"/>
          <w:szCs w:val="22"/>
          <w:lang w:val="sr-Latn-ME"/>
        </w:rPr>
      </w:pPr>
    </w:p>
    <w:p w14:paraId="19198AC5" w14:textId="458FC3D7" w:rsidR="00C43759" w:rsidRPr="00951A85" w:rsidRDefault="00C43759" w:rsidP="004260BD">
      <w:pPr>
        <w:jc w:val="both"/>
        <w:rPr>
          <w:color w:val="000000"/>
          <w:sz w:val="22"/>
          <w:szCs w:val="22"/>
          <w:lang w:val="sr-Latn-ME" w:eastAsia="hr-HR"/>
        </w:rPr>
      </w:pPr>
      <w:r w:rsidRPr="00951A85">
        <w:rPr>
          <w:color w:val="000000"/>
          <w:sz w:val="22"/>
          <w:szCs w:val="22"/>
          <w:lang w:val="sr-Latn-ME" w:eastAsia="hr-HR"/>
        </w:rPr>
        <w:t>Unutrašnje pakovanje je b</w:t>
      </w:r>
      <w:r w:rsidR="004260BD" w:rsidRPr="00951A85">
        <w:rPr>
          <w:color w:val="000000"/>
          <w:sz w:val="22"/>
          <w:szCs w:val="22"/>
          <w:lang w:val="sr-Latn-ME" w:eastAsia="hr-HR"/>
        </w:rPr>
        <w:t>lister (Al-folija, PVC/PVDC-folija)</w:t>
      </w:r>
      <w:r w:rsidRPr="00951A85">
        <w:rPr>
          <w:color w:val="000000"/>
          <w:sz w:val="22"/>
          <w:szCs w:val="22"/>
          <w:lang w:val="sr-Latn-ME" w:eastAsia="hr-HR"/>
        </w:rPr>
        <w:t xml:space="preserve"> sa</w:t>
      </w:r>
      <w:r w:rsidR="004260BD" w:rsidRPr="00951A85">
        <w:rPr>
          <w:color w:val="000000"/>
          <w:sz w:val="22"/>
          <w:szCs w:val="22"/>
          <w:lang w:val="sr-Latn-ME" w:eastAsia="hr-HR"/>
        </w:rPr>
        <w:t>10 tableta za žvakanje</w:t>
      </w:r>
      <w:r w:rsidRPr="00951A85">
        <w:rPr>
          <w:color w:val="000000"/>
          <w:sz w:val="22"/>
          <w:szCs w:val="22"/>
          <w:lang w:val="sr-Latn-ME" w:eastAsia="hr-HR"/>
        </w:rPr>
        <w:t xml:space="preserve">. </w:t>
      </w:r>
    </w:p>
    <w:p w14:paraId="03ED5C79" w14:textId="3758EDBE" w:rsidR="004260BD" w:rsidRPr="00951A85" w:rsidRDefault="00C43759" w:rsidP="004260BD">
      <w:pPr>
        <w:jc w:val="both"/>
        <w:rPr>
          <w:color w:val="000000"/>
          <w:sz w:val="22"/>
          <w:szCs w:val="22"/>
          <w:lang w:val="sr-Latn-ME" w:eastAsia="hr-HR"/>
        </w:rPr>
      </w:pPr>
      <w:r w:rsidRPr="00951A85">
        <w:rPr>
          <w:color w:val="000000"/>
          <w:sz w:val="22"/>
          <w:szCs w:val="22"/>
          <w:lang w:val="sr-Latn-ME" w:eastAsia="hr-HR"/>
        </w:rPr>
        <w:t>Spoljašnje pakovanje je složiva kartonska kutija u kojoj se nalaze 2 blistera sa po 10 tableta za žvakanje (ukupno 20 tableta za žvakanje) i Uputstvo za lijek.</w:t>
      </w:r>
    </w:p>
    <w:p w14:paraId="44013B37" w14:textId="77777777" w:rsidR="004260BD" w:rsidRPr="00951A85" w:rsidRDefault="004260BD" w:rsidP="00480FB1">
      <w:pPr>
        <w:tabs>
          <w:tab w:val="left" w:pos="540"/>
          <w:tab w:val="left" w:pos="569"/>
        </w:tabs>
        <w:rPr>
          <w:bCs/>
          <w:sz w:val="22"/>
          <w:szCs w:val="22"/>
          <w:lang w:val="sr-Latn-ME"/>
        </w:rPr>
      </w:pPr>
    </w:p>
    <w:p w14:paraId="7E497BBA" w14:textId="77777777" w:rsidR="002846DB"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6.6. </w:t>
      </w:r>
      <w:r w:rsidR="00480FB1" w:rsidRPr="00951A85">
        <w:rPr>
          <w:b/>
          <w:bCs/>
          <w:sz w:val="22"/>
          <w:szCs w:val="22"/>
          <w:lang w:val="sr-Latn-ME"/>
        </w:rPr>
        <w:tab/>
      </w:r>
      <w:r w:rsidRPr="00951A85">
        <w:rPr>
          <w:b/>
          <w:bCs/>
          <w:color w:val="000000"/>
          <w:sz w:val="22"/>
          <w:szCs w:val="22"/>
          <w:lang w:val="sr-Latn-ME"/>
        </w:rPr>
        <w:t>Posebne mjere opreza pri odlaganju materijala koji treba odbaciti nakon primjene lijeka</w:t>
      </w:r>
      <w:r w:rsidRPr="00951A85">
        <w:rPr>
          <w:b/>
          <w:bCs/>
          <w:sz w:val="22"/>
          <w:szCs w:val="22"/>
          <w:lang w:val="sr-Latn-ME"/>
        </w:rPr>
        <w:t xml:space="preserve"> </w:t>
      </w:r>
      <w:r w:rsidR="00310F03" w:rsidRPr="00951A85">
        <w:rPr>
          <w:b/>
          <w:bCs/>
          <w:sz w:val="22"/>
          <w:szCs w:val="22"/>
          <w:lang w:val="sr-Latn-ME"/>
        </w:rPr>
        <w:t>(i druga uputs</w:t>
      </w:r>
      <w:r w:rsidR="004109FA" w:rsidRPr="00951A85">
        <w:rPr>
          <w:b/>
          <w:bCs/>
          <w:sz w:val="22"/>
          <w:szCs w:val="22"/>
          <w:lang w:val="sr-Latn-ME"/>
        </w:rPr>
        <w:t>t</w:t>
      </w:r>
      <w:r w:rsidR="00310F03" w:rsidRPr="00951A85">
        <w:rPr>
          <w:b/>
          <w:bCs/>
          <w:sz w:val="22"/>
          <w:szCs w:val="22"/>
          <w:lang w:val="sr-Latn-ME"/>
        </w:rPr>
        <w:t xml:space="preserve">va za rukovanje lijekom) </w:t>
      </w:r>
    </w:p>
    <w:p w14:paraId="641C8B19" w14:textId="77777777" w:rsidR="00B66A70" w:rsidRPr="00951A85" w:rsidRDefault="00B66A70" w:rsidP="00480FB1">
      <w:pPr>
        <w:tabs>
          <w:tab w:val="left" w:pos="540"/>
          <w:tab w:val="left" w:pos="569"/>
        </w:tabs>
        <w:rPr>
          <w:b/>
          <w:bCs/>
          <w:sz w:val="22"/>
          <w:szCs w:val="22"/>
          <w:lang w:val="sr-Latn-ME"/>
        </w:rPr>
      </w:pPr>
    </w:p>
    <w:p w14:paraId="36113A17" w14:textId="77777777" w:rsidR="004260BD" w:rsidRPr="00951A85" w:rsidRDefault="004260BD" w:rsidP="004260BD">
      <w:pPr>
        <w:jc w:val="both"/>
        <w:rPr>
          <w:color w:val="000000"/>
          <w:sz w:val="22"/>
          <w:szCs w:val="22"/>
          <w:lang w:val="sr-Latn-ME" w:eastAsia="hr-HR"/>
        </w:rPr>
      </w:pPr>
      <w:r w:rsidRPr="00951A85">
        <w:rPr>
          <w:color w:val="000000"/>
          <w:sz w:val="22"/>
          <w:szCs w:val="22"/>
          <w:lang w:val="sr-Latn-ME" w:eastAsia="hr-HR"/>
        </w:rPr>
        <w:t>Neupotrijebljeni lijek se uništava u skladu sa važećim propisima.</w:t>
      </w:r>
    </w:p>
    <w:p w14:paraId="4DEE4F6F" w14:textId="77777777" w:rsidR="0072020E" w:rsidRPr="00951A85" w:rsidRDefault="0072020E" w:rsidP="00480FB1">
      <w:pPr>
        <w:tabs>
          <w:tab w:val="left" w:pos="540"/>
          <w:tab w:val="left" w:pos="569"/>
        </w:tabs>
        <w:rPr>
          <w:bCs/>
          <w:sz w:val="22"/>
          <w:szCs w:val="22"/>
          <w:lang w:val="sr-Latn-ME"/>
        </w:rPr>
      </w:pPr>
    </w:p>
    <w:p w14:paraId="66A5EFAB" w14:textId="77777777" w:rsidR="00F8570A"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7. </w:t>
      </w:r>
      <w:r w:rsidR="00480FB1" w:rsidRPr="00951A85">
        <w:rPr>
          <w:b/>
          <w:bCs/>
          <w:sz w:val="22"/>
          <w:szCs w:val="22"/>
          <w:lang w:val="sr-Latn-ME"/>
        </w:rPr>
        <w:tab/>
      </w:r>
      <w:r w:rsidRPr="00951A85">
        <w:rPr>
          <w:b/>
          <w:bCs/>
          <w:sz w:val="22"/>
          <w:szCs w:val="22"/>
          <w:lang w:val="sr-Latn-ME"/>
        </w:rPr>
        <w:t>NOSILAC DOZVOLE</w:t>
      </w:r>
      <w:r w:rsidR="00483928" w:rsidRPr="00951A85">
        <w:rPr>
          <w:b/>
          <w:bCs/>
          <w:sz w:val="22"/>
          <w:szCs w:val="22"/>
          <w:lang w:val="sr-Latn-ME"/>
        </w:rPr>
        <w:t xml:space="preserve"> </w:t>
      </w:r>
    </w:p>
    <w:p w14:paraId="06E86AA3" w14:textId="77777777" w:rsidR="00C61BE0" w:rsidRPr="00951A85" w:rsidRDefault="00C61BE0" w:rsidP="00480FB1">
      <w:pPr>
        <w:tabs>
          <w:tab w:val="left" w:pos="540"/>
          <w:tab w:val="left" w:pos="569"/>
        </w:tabs>
        <w:rPr>
          <w:bCs/>
          <w:sz w:val="22"/>
          <w:szCs w:val="22"/>
          <w:lang w:val="sr-Latn-ME"/>
        </w:rPr>
      </w:pPr>
    </w:p>
    <w:p w14:paraId="1D4F97D4" w14:textId="77777777" w:rsidR="004260BD" w:rsidRPr="00951A85" w:rsidRDefault="004260BD" w:rsidP="004260BD">
      <w:pPr>
        <w:jc w:val="both"/>
        <w:rPr>
          <w:color w:val="000000"/>
          <w:sz w:val="22"/>
          <w:szCs w:val="22"/>
          <w:lang w:val="sr-Latn-ME"/>
        </w:rPr>
      </w:pPr>
      <w:r w:rsidRPr="00951A85">
        <w:rPr>
          <w:color w:val="000000"/>
          <w:sz w:val="22"/>
          <w:szCs w:val="22"/>
          <w:lang w:val="sr-Latn-ME"/>
        </w:rPr>
        <w:t>DSD „KRKA, d.d., Novo mesto“ - predstavništvo Podgorica</w:t>
      </w:r>
    </w:p>
    <w:p w14:paraId="118064BA" w14:textId="77777777" w:rsidR="004260BD" w:rsidRPr="00951A85" w:rsidRDefault="004260BD" w:rsidP="004260BD">
      <w:pPr>
        <w:jc w:val="both"/>
        <w:rPr>
          <w:b/>
          <w:bCs/>
          <w:color w:val="000000"/>
          <w:sz w:val="22"/>
          <w:szCs w:val="22"/>
          <w:lang w:val="sr-Latn-ME"/>
        </w:rPr>
      </w:pPr>
      <w:r w:rsidRPr="00951A85">
        <w:rPr>
          <w:color w:val="000000"/>
          <w:sz w:val="22"/>
          <w:szCs w:val="22"/>
          <w:lang w:val="sr-Latn-ME"/>
        </w:rPr>
        <w:t>Svetlane Kane Radević br. 3, 81000 Podgorica, Crna Gora</w:t>
      </w:r>
    </w:p>
    <w:p w14:paraId="05A4FCB4" w14:textId="77777777" w:rsidR="00C37FD7" w:rsidRPr="00951A85" w:rsidRDefault="00C37FD7" w:rsidP="00480FB1">
      <w:pPr>
        <w:tabs>
          <w:tab w:val="left" w:pos="540"/>
          <w:tab w:val="left" w:pos="569"/>
        </w:tabs>
        <w:rPr>
          <w:bCs/>
          <w:sz w:val="22"/>
          <w:szCs w:val="22"/>
          <w:lang w:val="sr-Latn-ME"/>
        </w:rPr>
      </w:pPr>
    </w:p>
    <w:p w14:paraId="257F43A8" w14:textId="77777777" w:rsidR="003D525B" w:rsidRPr="00951A85" w:rsidRDefault="003D525B" w:rsidP="00480FB1">
      <w:pPr>
        <w:tabs>
          <w:tab w:val="left" w:pos="540"/>
          <w:tab w:val="left" w:pos="569"/>
        </w:tabs>
        <w:rPr>
          <w:bCs/>
          <w:sz w:val="22"/>
          <w:szCs w:val="22"/>
          <w:lang w:val="sr-Latn-ME"/>
        </w:rPr>
      </w:pPr>
    </w:p>
    <w:p w14:paraId="1E535BB3"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8. </w:t>
      </w:r>
      <w:r w:rsidR="00480FB1" w:rsidRPr="00951A85">
        <w:rPr>
          <w:b/>
          <w:bCs/>
          <w:sz w:val="22"/>
          <w:szCs w:val="22"/>
          <w:lang w:val="sr-Latn-ME"/>
        </w:rPr>
        <w:tab/>
      </w:r>
      <w:r w:rsidRPr="00951A85">
        <w:rPr>
          <w:b/>
          <w:bCs/>
          <w:sz w:val="22"/>
          <w:szCs w:val="22"/>
          <w:lang w:val="sr-Latn-ME"/>
        </w:rPr>
        <w:t>BROJ DOZVOLE</w:t>
      </w:r>
      <w:r w:rsidR="008A6D43" w:rsidRPr="00951A85">
        <w:rPr>
          <w:b/>
          <w:bCs/>
          <w:sz w:val="22"/>
          <w:szCs w:val="22"/>
          <w:lang w:val="sr-Latn-ME"/>
        </w:rPr>
        <w:t xml:space="preserve"> ZA STAVLJANJE LIJEKA U PROMET</w:t>
      </w:r>
    </w:p>
    <w:p w14:paraId="024C3314" w14:textId="64F63A1B" w:rsidR="004260BD" w:rsidRDefault="004260BD">
      <w:pPr>
        <w:tabs>
          <w:tab w:val="left" w:pos="540"/>
          <w:tab w:val="left" w:pos="569"/>
        </w:tabs>
        <w:rPr>
          <w:bCs/>
          <w:sz w:val="22"/>
          <w:szCs w:val="22"/>
          <w:lang w:val="sr-Latn-ME"/>
        </w:rPr>
      </w:pPr>
    </w:p>
    <w:p w14:paraId="55201D43" w14:textId="208B8870" w:rsidR="00951A85" w:rsidRPr="00B644CC" w:rsidRDefault="00951A85">
      <w:pPr>
        <w:tabs>
          <w:tab w:val="left" w:pos="540"/>
          <w:tab w:val="left" w:pos="569"/>
        </w:tabs>
        <w:rPr>
          <w:sz w:val="22"/>
          <w:szCs w:val="22"/>
          <w:lang w:eastAsia="sr-Latn-ME"/>
        </w:rPr>
      </w:pPr>
      <w:r w:rsidRPr="00B644CC">
        <w:rPr>
          <w:sz w:val="22"/>
          <w:szCs w:val="22"/>
          <w:lang w:eastAsia="sr-Latn-ME"/>
        </w:rPr>
        <w:t>2030/25/1435 – 1437</w:t>
      </w:r>
    </w:p>
    <w:p w14:paraId="06461C27" w14:textId="77777777" w:rsidR="00951A85" w:rsidRPr="00951A85" w:rsidRDefault="00951A85">
      <w:pPr>
        <w:tabs>
          <w:tab w:val="left" w:pos="540"/>
          <w:tab w:val="left" w:pos="569"/>
        </w:tabs>
        <w:rPr>
          <w:bCs/>
          <w:sz w:val="22"/>
          <w:szCs w:val="22"/>
          <w:lang w:val="sr-Latn-ME"/>
        </w:rPr>
      </w:pPr>
    </w:p>
    <w:p w14:paraId="4050450E" w14:textId="77777777" w:rsidR="003D525B" w:rsidRPr="00951A85" w:rsidRDefault="003D525B">
      <w:pPr>
        <w:tabs>
          <w:tab w:val="left" w:pos="540"/>
          <w:tab w:val="left" w:pos="569"/>
        </w:tabs>
        <w:rPr>
          <w:bCs/>
          <w:sz w:val="22"/>
          <w:szCs w:val="22"/>
          <w:lang w:val="sr-Latn-ME"/>
        </w:rPr>
      </w:pPr>
    </w:p>
    <w:p w14:paraId="62760C2B" w14:textId="77777777" w:rsidR="0072020E" w:rsidRPr="00951A85" w:rsidRDefault="0072020E" w:rsidP="00480FB1">
      <w:pPr>
        <w:tabs>
          <w:tab w:val="left" w:pos="540"/>
          <w:tab w:val="left" w:pos="569"/>
        </w:tabs>
        <w:rPr>
          <w:b/>
          <w:bCs/>
          <w:sz w:val="22"/>
          <w:szCs w:val="22"/>
          <w:lang w:val="sr-Latn-ME"/>
        </w:rPr>
      </w:pPr>
      <w:r w:rsidRPr="00951A85">
        <w:rPr>
          <w:b/>
          <w:bCs/>
          <w:sz w:val="22"/>
          <w:szCs w:val="22"/>
          <w:lang w:val="sr-Latn-ME"/>
        </w:rPr>
        <w:t xml:space="preserve">9. </w:t>
      </w:r>
      <w:r w:rsidR="00480FB1" w:rsidRPr="00951A85">
        <w:rPr>
          <w:b/>
          <w:bCs/>
          <w:sz w:val="22"/>
          <w:szCs w:val="22"/>
          <w:lang w:val="sr-Latn-ME"/>
        </w:rPr>
        <w:tab/>
      </w:r>
      <w:r w:rsidRPr="00951A85">
        <w:rPr>
          <w:b/>
          <w:bCs/>
          <w:sz w:val="22"/>
          <w:szCs w:val="22"/>
          <w:lang w:val="sr-Latn-ME"/>
        </w:rPr>
        <w:t xml:space="preserve">DATUM </w:t>
      </w:r>
      <w:r w:rsidR="00C05DF8" w:rsidRPr="00951A85">
        <w:rPr>
          <w:b/>
          <w:bCs/>
          <w:sz w:val="22"/>
          <w:szCs w:val="22"/>
          <w:lang w:val="sr-Latn-ME"/>
        </w:rPr>
        <w:t xml:space="preserve">PRVE </w:t>
      </w:r>
      <w:r w:rsidR="008A6D43" w:rsidRPr="00951A85">
        <w:rPr>
          <w:b/>
          <w:bCs/>
          <w:sz w:val="22"/>
          <w:szCs w:val="22"/>
          <w:lang w:val="sr-Latn-ME"/>
        </w:rPr>
        <w:t>DOZVOLE</w:t>
      </w:r>
      <w:r w:rsidR="00C05DF8" w:rsidRPr="00951A85">
        <w:rPr>
          <w:b/>
          <w:bCs/>
          <w:sz w:val="22"/>
          <w:szCs w:val="22"/>
          <w:lang w:val="sr-Latn-ME"/>
        </w:rPr>
        <w:t>/OBNOVE DOZVOLE</w:t>
      </w:r>
      <w:r w:rsidR="008A6D43" w:rsidRPr="00951A85">
        <w:rPr>
          <w:b/>
          <w:bCs/>
          <w:sz w:val="22"/>
          <w:szCs w:val="22"/>
          <w:lang w:val="sr-Latn-ME"/>
        </w:rPr>
        <w:t xml:space="preserve"> ZA STAVLJANJE LIJEKA U PROMET</w:t>
      </w:r>
    </w:p>
    <w:p w14:paraId="65BDB58B" w14:textId="77777777" w:rsidR="0072020E" w:rsidRPr="00951A85" w:rsidRDefault="0072020E" w:rsidP="00480FB1">
      <w:pPr>
        <w:tabs>
          <w:tab w:val="left" w:pos="540"/>
          <w:tab w:val="left" w:pos="569"/>
        </w:tabs>
        <w:rPr>
          <w:bCs/>
          <w:sz w:val="22"/>
          <w:szCs w:val="22"/>
          <w:lang w:val="sr-Latn-ME"/>
        </w:rPr>
      </w:pPr>
    </w:p>
    <w:p w14:paraId="39EA933A" w14:textId="53093256" w:rsidR="00BE70B7" w:rsidRPr="00951A85" w:rsidRDefault="003D525B" w:rsidP="00480FB1">
      <w:pPr>
        <w:tabs>
          <w:tab w:val="left" w:pos="540"/>
          <w:tab w:val="left" w:pos="569"/>
        </w:tabs>
        <w:rPr>
          <w:bCs/>
          <w:color w:val="000000"/>
          <w:sz w:val="22"/>
          <w:szCs w:val="22"/>
          <w:lang w:val="sr-Latn-ME" w:eastAsia="hr-HR"/>
        </w:rPr>
      </w:pPr>
      <w:r w:rsidRPr="00951A85">
        <w:rPr>
          <w:bCs/>
          <w:color w:val="000000"/>
          <w:sz w:val="22"/>
          <w:szCs w:val="22"/>
          <w:lang w:val="sr-Latn-ME" w:eastAsia="hr-HR"/>
        </w:rPr>
        <w:t>Datum prve dozvole: 20.12.2016. godine</w:t>
      </w:r>
    </w:p>
    <w:p w14:paraId="771EE9F7" w14:textId="565006DD" w:rsidR="003D525B" w:rsidRPr="00951A85" w:rsidRDefault="003D525B" w:rsidP="00480FB1">
      <w:pPr>
        <w:tabs>
          <w:tab w:val="left" w:pos="540"/>
          <w:tab w:val="left" w:pos="569"/>
        </w:tabs>
        <w:rPr>
          <w:bCs/>
          <w:color w:val="000000"/>
          <w:sz w:val="22"/>
          <w:szCs w:val="22"/>
          <w:lang w:val="sr-Latn-ME" w:eastAsia="hr-HR"/>
        </w:rPr>
      </w:pPr>
      <w:r w:rsidRPr="00951A85">
        <w:rPr>
          <w:bCs/>
          <w:color w:val="000000"/>
          <w:sz w:val="22"/>
          <w:szCs w:val="22"/>
          <w:lang w:val="sr-Latn-ME" w:eastAsia="hr-HR"/>
        </w:rPr>
        <w:t>Datum posl</w:t>
      </w:r>
      <w:r w:rsidR="000F73D1" w:rsidRPr="00951A85">
        <w:rPr>
          <w:bCs/>
          <w:color w:val="000000"/>
          <w:sz w:val="22"/>
          <w:szCs w:val="22"/>
          <w:lang w:val="sr-Latn-ME" w:eastAsia="hr-HR"/>
        </w:rPr>
        <w:t>j</w:t>
      </w:r>
      <w:r w:rsidRPr="00951A85">
        <w:rPr>
          <w:bCs/>
          <w:color w:val="000000"/>
          <w:sz w:val="22"/>
          <w:szCs w:val="22"/>
          <w:lang w:val="sr-Latn-ME" w:eastAsia="hr-HR"/>
        </w:rPr>
        <w:t>ednje obnove dozvole:</w:t>
      </w:r>
      <w:r w:rsidR="00951A85" w:rsidRPr="00951A85">
        <w:rPr>
          <w:bCs/>
          <w:color w:val="000000"/>
          <w:sz w:val="22"/>
          <w:szCs w:val="22"/>
          <w:lang w:val="sr-Latn-ME" w:eastAsia="hr-HR"/>
        </w:rPr>
        <w:t xml:space="preserve"> 24.03.2025. godine</w:t>
      </w:r>
    </w:p>
    <w:p w14:paraId="78029706" w14:textId="77777777" w:rsidR="003D525B" w:rsidRPr="00951A85" w:rsidRDefault="003D525B" w:rsidP="00480FB1">
      <w:pPr>
        <w:tabs>
          <w:tab w:val="left" w:pos="540"/>
          <w:tab w:val="left" w:pos="569"/>
        </w:tabs>
        <w:rPr>
          <w:bCs/>
          <w:color w:val="000000"/>
          <w:sz w:val="22"/>
          <w:szCs w:val="22"/>
          <w:lang w:val="sr-Latn-ME" w:eastAsia="hr-HR"/>
        </w:rPr>
      </w:pPr>
    </w:p>
    <w:p w14:paraId="1668A968" w14:textId="77777777" w:rsidR="00836B35" w:rsidRPr="00951A85" w:rsidRDefault="00836B35" w:rsidP="00480FB1">
      <w:pPr>
        <w:tabs>
          <w:tab w:val="left" w:pos="540"/>
          <w:tab w:val="left" w:pos="569"/>
        </w:tabs>
        <w:rPr>
          <w:bCs/>
          <w:sz w:val="22"/>
          <w:szCs w:val="22"/>
          <w:lang w:val="sr-Latn-ME"/>
        </w:rPr>
      </w:pPr>
    </w:p>
    <w:p w14:paraId="4837C7BC" w14:textId="77777777" w:rsidR="003D525B" w:rsidRPr="00951A85" w:rsidRDefault="0072020E" w:rsidP="00BE70B7">
      <w:pPr>
        <w:tabs>
          <w:tab w:val="left" w:pos="540"/>
          <w:tab w:val="left" w:pos="569"/>
        </w:tabs>
        <w:ind w:left="540" w:hanging="540"/>
        <w:rPr>
          <w:b/>
          <w:bCs/>
          <w:sz w:val="22"/>
          <w:szCs w:val="22"/>
          <w:lang w:val="sr-Latn-ME"/>
        </w:rPr>
      </w:pPr>
      <w:r w:rsidRPr="00951A85">
        <w:rPr>
          <w:b/>
          <w:bCs/>
          <w:sz w:val="22"/>
          <w:szCs w:val="22"/>
          <w:lang w:val="sr-Latn-ME"/>
        </w:rPr>
        <w:t xml:space="preserve">10. </w:t>
      </w:r>
      <w:r w:rsidR="00480FB1" w:rsidRPr="00951A85">
        <w:rPr>
          <w:b/>
          <w:bCs/>
          <w:sz w:val="22"/>
          <w:szCs w:val="22"/>
          <w:lang w:val="sr-Latn-ME"/>
        </w:rPr>
        <w:tab/>
      </w:r>
      <w:r w:rsidR="002846DB" w:rsidRPr="00951A85">
        <w:rPr>
          <w:b/>
          <w:bCs/>
          <w:sz w:val="22"/>
          <w:szCs w:val="22"/>
          <w:lang w:val="sr-Latn-ME"/>
        </w:rPr>
        <w:t>D</w:t>
      </w:r>
      <w:r w:rsidR="00EC2532" w:rsidRPr="00951A85">
        <w:rPr>
          <w:b/>
          <w:bCs/>
          <w:sz w:val="22"/>
          <w:szCs w:val="22"/>
          <w:lang w:val="sr-Latn-ME"/>
        </w:rPr>
        <w:t>ATUM REVIZIJE TEKSTA</w:t>
      </w:r>
    </w:p>
    <w:p w14:paraId="1EF63FAE" w14:textId="77777777" w:rsidR="003D525B" w:rsidRPr="00951A85" w:rsidRDefault="003D525B" w:rsidP="00BE70B7">
      <w:pPr>
        <w:tabs>
          <w:tab w:val="left" w:pos="540"/>
          <w:tab w:val="left" w:pos="569"/>
        </w:tabs>
        <w:ind w:left="540" w:hanging="540"/>
        <w:rPr>
          <w:b/>
          <w:bCs/>
          <w:sz w:val="22"/>
          <w:szCs w:val="22"/>
          <w:lang w:val="sr-Latn-ME"/>
        </w:rPr>
      </w:pPr>
    </w:p>
    <w:p w14:paraId="67F5BB84" w14:textId="4EF32DB3" w:rsidR="003F6A59" w:rsidRPr="00951A85" w:rsidRDefault="00951A85" w:rsidP="000F73D1">
      <w:pPr>
        <w:tabs>
          <w:tab w:val="left" w:pos="540"/>
          <w:tab w:val="left" w:pos="569"/>
        </w:tabs>
        <w:ind w:left="540" w:hanging="540"/>
        <w:rPr>
          <w:bCs/>
          <w:sz w:val="22"/>
          <w:szCs w:val="22"/>
          <w:lang w:val="sr-Latn-ME"/>
        </w:rPr>
      </w:pPr>
      <w:r w:rsidRPr="00951A85">
        <w:rPr>
          <w:bCs/>
          <w:sz w:val="22"/>
          <w:szCs w:val="22"/>
          <w:lang w:val="sr-Latn-ME"/>
        </w:rPr>
        <w:t>Mart, 2025. godine</w:t>
      </w:r>
    </w:p>
    <w:sectPr w:rsidR="003F6A59" w:rsidRPr="00951A85"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B78C2" w14:textId="77777777" w:rsidR="00B53A03" w:rsidRDefault="00B53A03">
      <w:r>
        <w:separator/>
      </w:r>
    </w:p>
  </w:endnote>
  <w:endnote w:type="continuationSeparator" w:id="0">
    <w:p w14:paraId="026737CA" w14:textId="77777777" w:rsidR="00B53A03" w:rsidRDefault="00B5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E260" w14:textId="4388E339"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01284">
      <w:rPr>
        <w:noProof/>
        <w:sz w:val="22"/>
        <w:szCs w:val="22"/>
      </w:rPr>
      <w:t>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01284">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1A7F6" w14:textId="77777777" w:rsidR="00B53A03" w:rsidRDefault="00B53A03">
      <w:r>
        <w:separator/>
      </w:r>
    </w:p>
  </w:footnote>
  <w:footnote w:type="continuationSeparator" w:id="0">
    <w:p w14:paraId="0BC200AE" w14:textId="77777777" w:rsidR="00B53A03" w:rsidRDefault="00B5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7502468"/>
    <w:multiLevelType w:val="hybridMultilevel"/>
    <w:tmpl w:val="A57ACFC2"/>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473B686F"/>
    <w:multiLevelType w:val="hybridMultilevel"/>
    <w:tmpl w:val="8FB49012"/>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9"/>
  </w:num>
  <w:num w:numId="8">
    <w:abstractNumId w:val="3"/>
  </w:num>
  <w:num w:numId="9">
    <w:abstractNumId w:val="6"/>
  </w:num>
  <w:num w:numId="10">
    <w:abstractNumId w:val="12"/>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F58"/>
    <w:rsid w:val="000D2343"/>
    <w:rsid w:val="000D3449"/>
    <w:rsid w:val="000D40C4"/>
    <w:rsid w:val="000D425A"/>
    <w:rsid w:val="000D60CC"/>
    <w:rsid w:val="000E2084"/>
    <w:rsid w:val="000E6F55"/>
    <w:rsid w:val="000F73D1"/>
    <w:rsid w:val="000F77FA"/>
    <w:rsid w:val="00103C1C"/>
    <w:rsid w:val="00107BF7"/>
    <w:rsid w:val="00126F53"/>
    <w:rsid w:val="0014766D"/>
    <w:rsid w:val="001536CC"/>
    <w:rsid w:val="00164AB8"/>
    <w:rsid w:val="001900D8"/>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B5ED0"/>
    <w:rsid w:val="002C6637"/>
    <w:rsid w:val="002E0135"/>
    <w:rsid w:val="002E37A5"/>
    <w:rsid w:val="00310F03"/>
    <w:rsid w:val="003247D2"/>
    <w:rsid w:val="003445C1"/>
    <w:rsid w:val="00355B61"/>
    <w:rsid w:val="00362686"/>
    <w:rsid w:val="00371510"/>
    <w:rsid w:val="00396DFD"/>
    <w:rsid w:val="003A7059"/>
    <w:rsid w:val="003B7A36"/>
    <w:rsid w:val="003C17AB"/>
    <w:rsid w:val="003C31F6"/>
    <w:rsid w:val="003C7823"/>
    <w:rsid w:val="003D525B"/>
    <w:rsid w:val="003E1DCC"/>
    <w:rsid w:val="003E253D"/>
    <w:rsid w:val="003E2B61"/>
    <w:rsid w:val="003E44F3"/>
    <w:rsid w:val="003F11A1"/>
    <w:rsid w:val="003F6A59"/>
    <w:rsid w:val="00401284"/>
    <w:rsid w:val="004065C8"/>
    <w:rsid w:val="0041072D"/>
    <w:rsid w:val="004109FA"/>
    <w:rsid w:val="00411B4B"/>
    <w:rsid w:val="00415BEE"/>
    <w:rsid w:val="00416BC5"/>
    <w:rsid w:val="00424484"/>
    <w:rsid w:val="004260BD"/>
    <w:rsid w:val="00427F85"/>
    <w:rsid w:val="00436F42"/>
    <w:rsid w:val="004378B4"/>
    <w:rsid w:val="00451314"/>
    <w:rsid w:val="00452E9D"/>
    <w:rsid w:val="004534C7"/>
    <w:rsid w:val="004671AA"/>
    <w:rsid w:val="00480FB1"/>
    <w:rsid w:val="00483928"/>
    <w:rsid w:val="004A65E3"/>
    <w:rsid w:val="004C331F"/>
    <w:rsid w:val="004D6103"/>
    <w:rsid w:val="004E3BCE"/>
    <w:rsid w:val="004E70AD"/>
    <w:rsid w:val="004F0E97"/>
    <w:rsid w:val="005015A9"/>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7A7D"/>
    <w:rsid w:val="005F20EE"/>
    <w:rsid w:val="00602457"/>
    <w:rsid w:val="00644FC3"/>
    <w:rsid w:val="00646BD1"/>
    <w:rsid w:val="006561C2"/>
    <w:rsid w:val="00656406"/>
    <w:rsid w:val="00671CB3"/>
    <w:rsid w:val="00674BAF"/>
    <w:rsid w:val="00682200"/>
    <w:rsid w:val="00692BF6"/>
    <w:rsid w:val="006A1497"/>
    <w:rsid w:val="006B0BD1"/>
    <w:rsid w:val="006B5404"/>
    <w:rsid w:val="006B7A0C"/>
    <w:rsid w:val="006D20A5"/>
    <w:rsid w:val="006D37BF"/>
    <w:rsid w:val="006F525B"/>
    <w:rsid w:val="00702B61"/>
    <w:rsid w:val="00702E22"/>
    <w:rsid w:val="0072020E"/>
    <w:rsid w:val="00786071"/>
    <w:rsid w:val="00794DBD"/>
    <w:rsid w:val="007A3ECB"/>
    <w:rsid w:val="007D6A0C"/>
    <w:rsid w:val="007D7BB3"/>
    <w:rsid w:val="00824AB9"/>
    <w:rsid w:val="00836B35"/>
    <w:rsid w:val="00843BDE"/>
    <w:rsid w:val="0087588C"/>
    <w:rsid w:val="0089705C"/>
    <w:rsid w:val="008A6D43"/>
    <w:rsid w:val="008B491E"/>
    <w:rsid w:val="008C1A28"/>
    <w:rsid w:val="008C2E98"/>
    <w:rsid w:val="008D6C25"/>
    <w:rsid w:val="008E49BD"/>
    <w:rsid w:val="008E53E9"/>
    <w:rsid w:val="008E5771"/>
    <w:rsid w:val="008F4ACF"/>
    <w:rsid w:val="00924166"/>
    <w:rsid w:val="00940B9B"/>
    <w:rsid w:val="00951A85"/>
    <w:rsid w:val="0095676E"/>
    <w:rsid w:val="00956983"/>
    <w:rsid w:val="00963CF0"/>
    <w:rsid w:val="00964BB1"/>
    <w:rsid w:val="009775D9"/>
    <w:rsid w:val="00997175"/>
    <w:rsid w:val="009A1847"/>
    <w:rsid w:val="009B062A"/>
    <w:rsid w:val="009B6F7C"/>
    <w:rsid w:val="009E7C6F"/>
    <w:rsid w:val="009F1793"/>
    <w:rsid w:val="009F2D23"/>
    <w:rsid w:val="00A01D69"/>
    <w:rsid w:val="00A02335"/>
    <w:rsid w:val="00A46C9A"/>
    <w:rsid w:val="00A619F3"/>
    <w:rsid w:val="00A62A73"/>
    <w:rsid w:val="00A87FF6"/>
    <w:rsid w:val="00A911A3"/>
    <w:rsid w:val="00AA0A3B"/>
    <w:rsid w:val="00AA2763"/>
    <w:rsid w:val="00AA33B6"/>
    <w:rsid w:val="00AB50CA"/>
    <w:rsid w:val="00AB6D64"/>
    <w:rsid w:val="00AC53CE"/>
    <w:rsid w:val="00AD2193"/>
    <w:rsid w:val="00AF2AC7"/>
    <w:rsid w:val="00AF74CE"/>
    <w:rsid w:val="00B208DB"/>
    <w:rsid w:val="00B23F69"/>
    <w:rsid w:val="00B53A03"/>
    <w:rsid w:val="00B60619"/>
    <w:rsid w:val="00B644CC"/>
    <w:rsid w:val="00B66A70"/>
    <w:rsid w:val="00B67366"/>
    <w:rsid w:val="00B80EE1"/>
    <w:rsid w:val="00B84135"/>
    <w:rsid w:val="00BE70B7"/>
    <w:rsid w:val="00C04D34"/>
    <w:rsid w:val="00C05DF8"/>
    <w:rsid w:val="00C06864"/>
    <w:rsid w:val="00C10F54"/>
    <w:rsid w:val="00C23D8D"/>
    <w:rsid w:val="00C37AA3"/>
    <w:rsid w:val="00C37FD7"/>
    <w:rsid w:val="00C43419"/>
    <w:rsid w:val="00C43759"/>
    <w:rsid w:val="00C44CF3"/>
    <w:rsid w:val="00C61BE0"/>
    <w:rsid w:val="00C6707E"/>
    <w:rsid w:val="00C70B0E"/>
    <w:rsid w:val="00C773CA"/>
    <w:rsid w:val="00C83785"/>
    <w:rsid w:val="00C93A06"/>
    <w:rsid w:val="00C94C0D"/>
    <w:rsid w:val="00CA1E26"/>
    <w:rsid w:val="00CA1FEB"/>
    <w:rsid w:val="00CD4F85"/>
    <w:rsid w:val="00CD6F02"/>
    <w:rsid w:val="00CE246D"/>
    <w:rsid w:val="00CF07A0"/>
    <w:rsid w:val="00CF3E03"/>
    <w:rsid w:val="00D0082A"/>
    <w:rsid w:val="00D21455"/>
    <w:rsid w:val="00D30D20"/>
    <w:rsid w:val="00D47634"/>
    <w:rsid w:val="00D709B3"/>
    <w:rsid w:val="00DA2ED6"/>
    <w:rsid w:val="00DB76B8"/>
    <w:rsid w:val="00DC2EA1"/>
    <w:rsid w:val="00DD6AAF"/>
    <w:rsid w:val="00DE3F5C"/>
    <w:rsid w:val="00DF1D20"/>
    <w:rsid w:val="00E21324"/>
    <w:rsid w:val="00E246B9"/>
    <w:rsid w:val="00E31FEA"/>
    <w:rsid w:val="00E36DAA"/>
    <w:rsid w:val="00E45169"/>
    <w:rsid w:val="00E47787"/>
    <w:rsid w:val="00E51C30"/>
    <w:rsid w:val="00E64180"/>
    <w:rsid w:val="00E74AEE"/>
    <w:rsid w:val="00E868E5"/>
    <w:rsid w:val="00E9237A"/>
    <w:rsid w:val="00E939FA"/>
    <w:rsid w:val="00EA5765"/>
    <w:rsid w:val="00EC017E"/>
    <w:rsid w:val="00EC2532"/>
    <w:rsid w:val="00ED7812"/>
    <w:rsid w:val="00EF3B86"/>
    <w:rsid w:val="00F317E9"/>
    <w:rsid w:val="00F34554"/>
    <w:rsid w:val="00F45F77"/>
    <w:rsid w:val="00F5167F"/>
    <w:rsid w:val="00F52258"/>
    <w:rsid w:val="00F8570A"/>
    <w:rsid w:val="00F91C7B"/>
    <w:rsid w:val="00F9679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8602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0372F-2FD2-4BD4-892B-0DD0B19C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11969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dcterms:created xsi:type="dcterms:W3CDTF">2025-03-21T13:54:00Z</dcterms:created>
  <dcterms:modified xsi:type="dcterms:W3CDTF">2025-03-21T13:54:00Z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