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AD77B" w14:textId="77777777" w:rsidR="002510A5" w:rsidRPr="00D759D0" w:rsidRDefault="002510A5" w:rsidP="002510A5">
      <w:pPr>
        <w:jc w:val="center"/>
        <w:rPr>
          <w:b/>
          <w:bCs/>
          <w:iCs/>
          <w:sz w:val="22"/>
          <w:szCs w:val="22"/>
          <w:u w:val="single"/>
          <w:lang w:val="sr-Latn-ME"/>
        </w:rPr>
      </w:pPr>
      <w:r w:rsidRPr="00D759D0">
        <w:rPr>
          <w:b/>
          <w:bCs/>
          <w:iCs/>
          <w:sz w:val="22"/>
          <w:szCs w:val="22"/>
          <w:u w:val="single"/>
          <w:lang w:val="sr-Latn-ME"/>
        </w:rPr>
        <w:t>SAŽETAK KARAKTERISTIKA LIJEKA</w:t>
      </w:r>
    </w:p>
    <w:p w14:paraId="739AD77C" w14:textId="77777777" w:rsidR="002510A5" w:rsidRPr="00D759D0" w:rsidRDefault="002510A5" w:rsidP="002510A5">
      <w:pPr>
        <w:rPr>
          <w:b/>
          <w:bCs/>
          <w:i/>
          <w:iCs/>
          <w:sz w:val="22"/>
          <w:szCs w:val="22"/>
          <w:u w:val="single"/>
          <w:lang w:val="sr-Latn-ME"/>
        </w:rPr>
      </w:pPr>
    </w:p>
    <w:p w14:paraId="739AD77D" w14:textId="77777777" w:rsidR="003C17AB" w:rsidRPr="00D759D0" w:rsidRDefault="003C17AB" w:rsidP="00CA1FEB">
      <w:pPr>
        <w:rPr>
          <w:sz w:val="22"/>
          <w:szCs w:val="22"/>
          <w:lang w:val="sr-Latn-ME"/>
        </w:rPr>
      </w:pPr>
    </w:p>
    <w:p w14:paraId="739AD77F" w14:textId="77777777" w:rsidR="003C17AB" w:rsidRPr="00D759D0" w:rsidRDefault="003C17AB" w:rsidP="00F5167F">
      <w:pPr>
        <w:tabs>
          <w:tab w:val="left" w:pos="540"/>
          <w:tab w:val="left" w:pos="569"/>
        </w:tabs>
        <w:rPr>
          <w:sz w:val="22"/>
          <w:szCs w:val="22"/>
          <w:lang w:val="sr-Latn-ME"/>
        </w:rPr>
      </w:pPr>
    </w:p>
    <w:p w14:paraId="739AD780" w14:textId="77777777" w:rsidR="00C37FD7" w:rsidRPr="00D759D0" w:rsidRDefault="00C37FD7" w:rsidP="00F5167F">
      <w:pPr>
        <w:tabs>
          <w:tab w:val="left" w:pos="540"/>
          <w:tab w:val="left" w:pos="569"/>
        </w:tabs>
        <w:rPr>
          <w:bCs/>
          <w:sz w:val="22"/>
          <w:szCs w:val="22"/>
          <w:lang w:val="sr-Latn-ME"/>
        </w:rPr>
      </w:pPr>
    </w:p>
    <w:p w14:paraId="739AD781" w14:textId="77777777" w:rsidR="00411B4B" w:rsidRPr="00D759D0" w:rsidRDefault="00411B4B" w:rsidP="00F5167F">
      <w:pPr>
        <w:tabs>
          <w:tab w:val="left" w:pos="540"/>
          <w:tab w:val="left" w:pos="569"/>
        </w:tabs>
        <w:rPr>
          <w:b/>
          <w:bCs/>
          <w:sz w:val="22"/>
          <w:szCs w:val="22"/>
          <w:lang w:val="sr-Latn-ME"/>
        </w:rPr>
      </w:pPr>
      <w:r w:rsidRPr="00D759D0">
        <w:rPr>
          <w:b/>
          <w:bCs/>
          <w:sz w:val="22"/>
          <w:szCs w:val="22"/>
          <w:lang w:val="sr-Latn-ME"/>
        </w:rPr>
        <w:t>1.</w:t>
      </w:r>
      <w:r w:rsidR="00F5167F" w:rsidRPr="00D759D0">
        <w:rPr>
          <w:b/>
          <w:bCs/>
          <w:sz w:val="22"/>
          <w:szCs w:val="22"/>
          <w:lang w:val="sr-Latn-ME"/>
        </w:rPr>
        <w:tab/>
      </w:r>
      <w:r w:rsidR="002846DB" w:rsidRPr="00D759D0">
        <w:rPr>
          <w:b/>
          <w:bCs/>
          <w:sz w:val="22"/>
          <w:szCs w:val="22"/>
          <w:lang w:val="sr-Latn-ME"/>
        </w:rPr>
        <w:t xml:space="preserve">NAZIV </w:t>
      </w:r>
      <w:r w:rsidRPr="00D759D0">
        <w:rPr>
          <w:b/>
          <w:bCs/>
          <w:sz w:val="22"/>
          <w:szCs w:val="22"/>
          <w:lang w:val="sr-Latn-ME"/>
        </w:rPr>
        <w:t>LIJEKA</w:t>
      </w:r>
    </w:p>
    <w:p w14:paraId="739AD782" w14:textId="77777777" w:rsidR="00EC2532" w:rsidRPr="00D759D0" w:rsidRDefault="00EC2532">
      <w:pPr>
        <w:rPr>
          <w:sz w:val="22"/>
          <w:szCs w:val="22"/>
          <w:lang w:val="sr-Latn-ME"/>
        </w:rPr>
      </w:pPr>
    </w:p>
    <w:p w14:paraId="18ED7187" w14:textId="77777777" w:rsidR="00063330" w:rsidRPr="00D759D0" w:rsidRDefault="00063330" w:rsidP="00063330">
      <w:pPr>
        <w:jc w:val="both"/>
        <w:rPr>
          <w:sz w:val="22"/>
          <w:szCs w:val="22"/>
          <w:lang w:val="sr-Latn-ME"/>
        </w:rPr>
      </w:pPr>
      <w:proofErr w:type="spellStart"/>
      <w:r w:rsidRPr="00D759D0">
        <w:rPr>
          <w:sz w:val="22"/>
          <w:szCs w:val="22"/>
          <w:lang w:val="sr-Latn-ME"/>
        </w:rPr>
        <w:t>Travatan</w:t>
      </w:r>
      <w:proofErr w:type="spellEnd"/>
      <w:r w:rsidRPr="00D759D0">
        <w:rPr>
          <w:sz w:val="22"/>
          <w:szCs w:val="22"/>
          <w:lang w:val="sr-Latn-ME"/>
        </w:rPr>
        <w:t xml:space="preserve">, 40 </w:t>
      </w:r>
      <w:proofErr w:type="spellStart"/>
      <w:r w:rsidRPr="00D759D0">
        <w:rPr>
          <w:sz w:val="22"/>
          <w:szCs w:val="22"/>
          <w:lang w:val="sr-Latn-ME"/>
        </w:rPr>
        <w:t>mikrograma</w:t>
      </w:r>
      <w:proofErr w:type="spellEnd"/>
      <w:r w:rsidRPr="00D759D0">
        <w:rPr>
          <w:sz w:val="22"/>
          <w:szCs w:val="22"/>
          <w:lang w:val="sr-Latn-ME"/>
        </w:rPr>
        <w:t>/ml, kapi za oči, rastvor</w:t>
      </w:r>
    </w:p>
    <w:p w14:paraId="739AD784" w14:textId="77777777" w:rsidR="000D425A" w:rsidRPr="00D759D0" w:rsidRDefault="000D425A">
      <w:pPr>
        <w:rPr>
          <w:bCs/>
          <w:sz w:val="22"/>
          <w:szCs w:val="22"/>
          <w:lang w:val="sr-Latn-ME"/>
        </w:rPr>
      </w:pPr>
    </w:p>
    <w:p w14:paraId="739AD785" w14:textId="2C6AC4A3" w:rsidR="006D20A5" w:rsidRPr="00D759D0" w:rsidRDefault="006D20A5" w:rsidP="006D20A5">
      <w:pPr>
        <w:rPr>
          <w:sz w:val="22"/>
          <w:szCs w:val="22"/>
          <w:lang w:val="sr-Latn-ME"/>
        </w:rPr>
      </w:pPr>
      <w:r w:rsidRPr="00D759D0">
        <w:rPr>
          <w:sz w:val="22"/>
          <w:szCs w:val="22"/>
          <w:lang w:val="sr-Latn-ME"/>
        </w:rPr>
        <w:t>INN:</w:t>
      </w:r>
      <w:r w:rsidR="00063330" w:rsidRPr="00D759D0">
        <w:rPr>
          <w:sz w:val="22"/>
          <w:szCs w:val="22"/>
          <w:lang w:val="sr-Latn-ME"/>
        </w:rPr>
        <w:t xml:space="preserve"> </w:t>
      </w:r>
      <w:proofErr w:type="spellStart"/>
      <w:r w:rsidR="00063330" w:rsidRPr="00D759D0">
        <w:rPr>
          <w:sz w:val="22"/>
          <w:szCs w:val="22"/>
          <w:lang w:val="sr-Latn-ME"/>
        </w:rPr>
        <w:t>travoprost</w:t>
      </w:r>
      <w:proofErr w:type="spellEnd"/>
    </w:p>
    <w:p w14:paraId="739AD786" w14:textId="77777777" w:rsidR="006D20A5" w:rsidRPr="00D759D0" w:rsidRDefault="006D20A5">
      <w:pPr>
        <w:rPr>
          <w:bCs/>
          <w:sz w:val="22"/>
          <w:szCs w:val="22"/>
          <w:lang w:val="sr-Latn-ME"/>
        </w:rPr>
      </w:pPr>
    </w:p>
    <w:p w14:paraId="739AD787" w14:textId="77777777" w:rsidR="00530BD7" w:rsidRPr="00D759D0" w:rsidRDefault="00530BD7">
      <w:pPr>
        <w:rPr>
          <w:bCs/>
          <w:sz w:val="22"/>
          <w:szCs w:val="22"/>
          <w:lang w:val="sr-Latn-ME"/>
        </w:rPr>
      </w:pPr>
    </w:p>
    <w:p w14:paraId="739AD788" w14:textId="77777777" w:rsidR="00411B4B" w:rsidRPr="00D759D0" w:rsidRDefault="00411B4B" w:rsidP="00F5167F">
      <w:pPr>
        <w:tabs>
          <w:tab w:val="left" w:pos="540"/>
          <w:tab w:val="left" w:pos="569"/>
        </w:tabs>
        <w:rPr>
          <w:b/>
          <w:bCs/>
          <w:sz w:val="22"/>
          <w:szCs w:val="22"/>
          <w:lang w:val="sr-Latn-ME"/>
        </w:rPr>
      </w:pPr>
      <w:r w:rsidRPr="00D759D0">
        <w:rPr>
          <w:b/>
          <w:bCs/>
          <w:sz w:val="22"/>
          <w:szCs w:val="22"/>
          <w:lang w:val="sr-Latn-ME"/>
        </w:rPr>
        <w:t xml:space="preserve">2. </w:t>
      </w:r>
      <w:r w:rsidR="00F5167F" w:rsidRPr="00D759D0">
        <w:rPr>
          <w:b/>
          <w:bCs/>
          <w:sz w:val="22"/>
          <w:szCs w:val="22"/>
          <w:lang w:val="sr-Latn-ME"/>
        </w:rPr>
        <w:tab/>
      </w:r>
      <w:r w:rsidRPr="00D759D0">
        <w:rPr>
          <w:b/>
          <w:bCs/>
          <w:sz w:val="22"/>
          <w:szCs w:val="22"/>
          <w:lang w:val="sr-Latn-ME"/>
        </w:rPr>
        <w:t>KVALITATIVNI I KVANTITATIVNI SASTAV</w:t>
      </w:r>
    </w:p>
    <w:p w14:paraId="739AD789" w14:textId="77777777" w:rsidR="005A0B2E" w:rsidRPr="00D759D0" w:rsidRDefault="005A0B2E">
      <w:pPr>
        <w:rPr>
          <w:sz w:val="22"/>
          <w:szCs w:val="22"/>
          <w:lang w:val="sr-Latn-ME"/>
        </w:rPr>
      </w:pPr>
    </w:p>
    <w:p w14:paraId="2A7F1AF8" w14:textId="77777777" w:rsidR="00063330" w:rsidRPr="00D759D0" w:rsidRDefault="00063330" w:rsidP="00063330">
      <w:pPr>
        <w:jc w:val="both"/>
        <w:rPr>
          <w:sz w:val="22"/>
          <w:szCs w:val="22"/>
          <w:lang w:val="sr-Latn-ME"/>
        </w:rPr>
      </w:pPr>
      <w:r w:rsidRPr="00D759D0">
        <w:rPr>
          <w:sz w:val="22"/>
          <w:szCs w:val="22"/>
          <w:lang w:val="sr-Latn-ME"/>
        </w:rPr>
        <w:t xml:space="preserve">1 ml rastvora sadrži 40 </w:t>
      </w:r>
      <w:proofErr w:type="spellStart"/>
      <w:r w:rsidRPr="00D759D0">
        <w:rPr>
          <w:sz w:val="22"/>
          <w:szCs w:val="22"/>
          <w:lang w:val="sr-Latn-ME"/>
        </w:rPr>
        <w:t>mikrograma</w:t>
      </w:r>
      <w:proofErr w:type="spellEnd"/>
      <w:r w:rsidRPr="00D759D0">
        <w:rPr>
          <w:sz w:val="22"/>
          <w:szCs w:val="22"/>
          <w:lang w:val="sr-Latn-ME"/>
        </w:rPr>
        <w:t xml:space="preserve"> </w:t>
      </w:r>
      <w:proofErr w:type="spellStart"/>
      <w:r w:rsidRPr="00D759D0">
        <w:rPr>
          <w:sz w:val="22"/>
          <w:szCs w:val="22"/>
          <w:lang w:val="sr-Latn-ME"/>
        </w:rPr>
        <w:t>travoprosta</w:t>
      </w:r>
      <w:proofErr w:type="spellEnd"/>
      <w:r w:rsidRPr="00D759D0">
        <w:rPr>
          <w:sz w:val="22"/>
          <w:szCs w:val="22"/>
          <w:lang w:val="sr-Latn-ME"/>
        </w:rPr>
        <w:t>.</w:t>
      </w:r>
    </w:p>
    <w:p w14:paraId="693A6AEB" w14:textId="77777777" w:rsidR="00063330" w:rsidRPr="00D759D0" w:rsidRDefault="00063330" w:rsidP="00063330">
      <w:pPr>
        <w:jc w:val="both"/>
        <w:rPr>
          <w:sz w:val="22"/>
          <w:szCs w:val="22"/>
          <w:lang w:val="sr-Latn-ME"/>
        </w:rPr>
      </w:pPr>
    </w:p>
    <w:p w14:paraId="01249683" w14:textId="77777777" w:rsidR="00063330" w:rsidRPr="00D759D0" w:rsidRDefault="00063330" w:rsidP="00063330">
      <w:pPr>
        <w:jc w:val="both"/>
        <w:rPr>
          <w:sz w:val="22"/>
          <w:szCs w:val="22"/>
          <w:u w:val="single"/>
          <w:lang w:val="sr-Latn-ME"/>
        </w:rPr>
      </w:pPr>
      <w:r w:rsidRPr="00D759D0">
        <w:rPr>
          <w:sz w:val="22"/>
          <w:szCs w:val="22"/>
          <w:u w:val="single"/>
          <w:lang w:val="sr-Latn-ME"/>
        </w:rPr>
        <w:t xml:space="preserve">Pomoćne supstance sa potvrđenim dejstvom: </w:t>
      </w:r>
    </w:p>
    <w:p w14:paraId="6DEDE24A" w14:textId="1C6CA293" w:rsidR="00063330" w:rsidRPr="00D759D0" w:rsidRDefault="00063330" w:rsidP="00063330">
      <w:pPr>
        <w:rPr>
          <w:sz w:val="22"/>
          <w:szCs w:val="22"/>
          <w:lang w:val="sr-Latn-ME"/>
        </w:rPr>
      </w:pPr>
      <w:r w:rsidRPr="00D759D0">
        <w:rPr>
          <w:sz w:val="22"/>
          <w:szCs w:val="22"/>
          <w:lang w:val="sr-Latn-ME"/>
        </w:rPr>
        <w:t xml:space="preserve">1 ml rastvora sadrži 10 </w:t>
      </w:r>
      <w:proofErr w:type="spellStart"/>
      <w:r w:rsidRPr="00D759D0">
        <w:rPr>
          <w:sz w:val="22"/>
          <w:szCs w:val="22"/>
          <w:lang w:val="sr-Latn-ME"/>
        </w:rPr>
        <w:t>mikrograma</w:t>
      </w:r>
      <w:proofErr w:type="spellEnd"/>
      <w:r w:rsidRPr="00D759D0">
        <w:rPr>
          <w:sz w:val="22"/>
          <w:szCs w:val="22"/>
          <w:lang w:val="sr-Latn-ME"/>
        </w:rPr>
        <w:t xml:space="preserve"> polikvaternijum-1 (POLYQUAD), 7,5 mg </w:t>
      </w:r>
      <w:proofErr w:type="spellStart"/>
      <w:r w:rsidRPr="00D759D0">
        <w:rPr>
          <w:sz w:val="22"/>
          <w:szCs w:val="22"/>
          <w:lang w:val="sr-Latn-ME"/>
        </w:rPr>
        <w:t>propilen</w:t>
      </w:r>
      <w:proofErr w:type="spellEnd"/>
      <w:r w:rsidRPr="00D759D0">
        <w:rPr>
          <w:sz w:val="22"/>
          <w:szCs w:val="22"/>
          <w:lang w:val="sr-Latn-ME"/>
        </w:rPr>
        <w:t xml:space="preserve"> </w:t>
      </w:r>
      <w:proofErr w:type="spellStart"/>
      <w:r w:rsidRPr="00D759D0">
        <w:rPr>
          <w:sz w:val="22"/>
          <w:szCs w:val="22"/>
          <w:lang w:val="sr-Latn-ME"/>
        </w:rPr>
        <w:t>glikola</w:t>
      </w:r>
      <w:proofErr w:type="spellEnd"/>
      <w:r w:rsidRPr="00D759D0">
        <w:rPr>
          <w:sz w:val="22"/>
          <w:szCs w:val="22"/>
          <w:lang w:val="sr-Latn-ME"/>
        </w:rPr>
        <w:t xml:space="preserve"> i 2 mg </w:t>
      </w:r>
      <w:proofErr w:type="spellStart"/>
      <w:r w:rsidRPr="00D759D0">
        <w:rPr>
          <w:sz w:val="22"/>
          <w:szCs w:val="22"/>
          <w:lang w:val="sr-Latn-ME"/>
        </w:rPr>
        <w:t>polioksietilen</w:t>
      </w:r>
      <w:proofErr w:type="spellEnd"/>
      <w:r w:rsidRPr="00D759D0">
        <w:rPr>
          <w:sz w:val="22"/>
          <w:szCs w:val="22"/>
          <w:lang w:val="sr-Latn-ME"/>
        </w:rPr>
        <w:t xml:space="preserve"> </w:t>
      </w:r>
      <w:proofErr w:type="spellStart"/>
      <w:r w:rsidRPr="00D759D0">
        <w:rPr>
          <w:sz w:val="22"/>
          <w:szCs w:val="22"/>
          <w:lang w:val="sr-Latn-ME"/>
        </w:rPr>
        <w:t>hidrogenizovanog</w:t>
      </w:r>
      <w:proofErr w:type="spellEnd"/>
      <w:r w:rsidRPr="00D759D0">
        <w:rPr>
          <w:sz w:val="22"/>
          <w:szCs w:val="22"/>
          <w:lang w:val="sr-Latn-ME"/>
        </w:rPr>
        <w:t xml:space="preserve"> ricinusovog ulja 40 (HCO-40)</w:t>
      </w:r>
      <w:r w:rsidR="00BD382F" w:rsidRPr="00D759D0">
        <w:rPr>
          <w:sz w:val="22"/>
          <w:szCs w:val="22"/>
          <w:lang w:val="sr-Latn-ME"/>
        </w:rPr>
        <w:t xml:space="preserve"> (vidjeti dio 4.4)</w:t>
      </w:r>
      <w:r w:rsidRPr="00D759D0">
        <w:rPr>
          <w:sz w:val="22"/>
          <w:szCs w:val="22"/>
          <w:lang w:val="sr-Latn-ME"/>
        </w:rPr>
        <w:t>.</w:t>
      </w:r>
    </w:p>
    <w:p w14:paraId="49D0185F" w14:textId="77777777" w:rsidR="00063330" w:rsidRPr="00D759D0" w:rsidRDefault="00063330" w:rsidP="00063330">
      <w:pPr>
        <w:rPr>
          <w:sz w:val="22"/>
          <w:szCs w:val="22"/>
          <w:lang w:val="sr-Latn-ME"/>
        </w:rPr>
      </w:pPr>
    </w:p>
    <w:p w14:paraId="739AD78A" w14:textId="77777777" w:rsidR="0003793F" w:rsidRPr="00D759D0" w:rsidRDefault="0003793F">
      <w:pPr>
        <w:rPr>
          <w:sz w:val="22"/>
          <w:szCs w:val="22"/>
          <w:lang w:val="sr-Latn-ME"/>
        </w:rPr>
      </w:pPr>
      <w:r w:rsidRPr="00D759D0">
        <w:rPr>
          <w:sz w:val="22"/>
          <w:szCs w:val="22"/>
          <w:lang w:val="sr-Latn-ME"/>
        </w:rPr>
        <w:t xml:space="preserve">Za spisak svih </w:t>
      </w:r>
      <w:proofErr w:type="spellStart"/>
      <w:r w:rsidRPr="00D759D0">
        <w:rPr>
          <w:sz w:val="22"/>
          <w:szCs w:val="22"/>
          <w:lang w:val="sr-Latn-ME"/>
        </w:rPr>
        <w:t>ekscipijenasa</w:t>
      </w:r>
      <w:proofErr w:type="spellEnd"/>
      <w:r w:rsidRPr="00D759D0">
        <w:rPr>
          <w:sz w:val="22"/>
          <w:szCs w:val="22"/>
          <w:lang w:val="sr-Latn-ME"/>
        </w:rPr>
        <w:t>, pogledati dio 6.1.</w:t>
      </w:r>
    </w:p>
    <w:p w14:paraId="739AD78B" w14:textId="77777777" w:rsidR="0003793F" w:rsidRPr="00D759D0" w:rsidRDefault="0003793F">
      <w:pPr>
        <w:rPr>
          <w:sz w:val="22"/>
          <w:szCs w:val="22"/>
          <w:lang w:val="sr-Latn-ME"/>
        </w:rPr>
      </w:pPr>
    </w:p>
    <w:p w14:paraId="739AD78C" w14:textId="77777777" w:rsidR="00C37FD7" w:rsidRPr="00D759D0" w:rsidRDefault="00C37FD7">
      <w:pPr>
        <w:rPr>
          <w:sz w:val="22"/>
          <w:szCs w:val="22"/>
          <w:lang w:val="sr-Latn-ME"/>
        </w:rPr>
      </w:pPr>
    </w:p>
    <w:p w14:paraId="739AD78D" w14:textId="77777777" w:rsidR="00411B4B" w:rsidRPr="00D759D0" w:rsidRDefault="00411B4B" w:rsidP="00F5167F">
      <w:pPr>
        <w:tabs>
          <w:tab w:val="left" w:pos="540"/>
          <w:tab w:val="left" w:pos="569"/>
        </w:tabs>
        <w:rPr>
          <w:b/>
          <w:bCs/>
          <w:sz w:val="22"/>
          <w:szCs w:val="22"/>
          <w:lang w:val="sr-Latn-ME"/>
        </w:rPr>
      </w:pPr>
      <w:r w:rsidRPr="00D759D0">
        <w:rPr>
          <w:b/>
          <w:bCs/>
          <w:sz w:val="22"/>
          <w:szCs w:val="22"/>
          <w:lang w:val="sr-Latn-ME"/>
        </w:rPr>
        <w:t xml:space="preserve">3. </w:t>
      </w:r>
      <w:r w:rsidR="00F5167F" w:rsidRPr="00D759D0">
        <w:rPr>
          <w:b/>
          <w:bCs/>
          <w:sz w:val="22"/>
          <w:szCs w:val="22"/>
          <w:lang w:val="sr-Latn-ME"/>
        </w:rPr>
        <w:tab/>
      </w:r>
      <w:r w:rsidRPr="00D759D0">
        <w:rPr>
          <w:b/>
          <w:bCs/>
          <w:sz w:val="22"/>
          <w:szCs w:val="22"/>
          <w:lang w:val="sr-Latn-ME"/>
        </w:rPr>
        <w:t>FARMACEUTSKI OBLIK</w:t>
      </w:r>
      <w:r w:rsidR="009F2D23" w:rsidRPr="00D759D0">
        <w:rPr>
          <w:b/>
          <w:bCs/>
          <w:sz w:val="22"/>
          <w:szCs w:val="22"/>
          <w:lang w:val="sr-Latn-ME"/>
        </w:rPr>
        <w:t xml:space="preserve"> </w:t>
      </w:r>
    </w:p>
    <w:p w14:paraId="39C3B230" w14:textId="77777777" w:rsidR="00063330" w:rsidRPr="00D759D0" w:rsidRDefault="00063330" w:rsidP="00F5167F">
      <w:pPr>
        <w:tabs>
          <w:tab w:val="left" w:pos="540"/>
          <w:tab w:val="left" w:pos="569"/>
        </w:tabs>
        <w:rPr>
          <w:b/>
          <w:bCs/>
          <w:sz w:val="22"/>
          <w:szCs w:val="22"/>
          <w:lang w:val="sr-Latn-ME"/>
        </w:rPr>
      </w:pPr>
    </w:p>
    <w:p w14:paraId="5E81A04B" w14:textId="77777777" w:rsidR="00063330" w:rsidRPr="00D759D0" w:rsidRDefault="00063330" w:rsidP="00063330">
      <w:pPr>
        <w:jc w:val="both"/>
        <w:rPr>
          <w:bCs/>
          <w:sz w:val="22"/>
          <w:szCs w:val="22"/>
          <w:lang w:val="sr-Latn-ME"/>
        </w:rPr>
      </w:pPr>
      <w:r w:rsidRPr="00D759D0">
        <w:rPr>
          <w:bCs/>
          <w:sz w:val="22"/>
          <w:szCs w:val="22"/>
          <w:lang w:val="sr-Latn-ME"/>
        </w:rPr>
        <w:t xml:space="preserve">Kapi za oči, rastvor. </w:t>
      </w:r>
    </w:p>
    <w:p w14:paraId="2DEF41CE" w14:textId="77777777" w:rsidR="00063330" w:rsidRPr="00D759D0" w:rsidRDefault="00063330" w:rsidP="00063330">
      <w:pPr>
        <w:jc w:val="both"/>
        <w:rPr>
          <w:bCs/>
          <w:sz w:val="22"/>
          <w:szCs w:val="22"/>
          <w:lang w:val="sr-Latn-ME"/>
        </w:rPr>
      </w:pPr>
    </w:p>
    <w:p w14:paraId="739AD78E" w14:textId="62E3D3EE" w:rsidR="00411B4B" w:rsidRPr="00D759D0" w:rsidRDefault="00063330" w:rsidP="00063330">
      <w:pPr>
        <w:jc w:val="both"/>
        <w:rPr>
          <w:bCs/>
          <w:sz w:val="22"/>
          <w:szCs w:val="22"/>
          <w:lang w:val="sr-Latn-ME"/>
        </w:rPr>
      </w:pPr>
      <w:r w:rsidRPr="00D759D0">
        <w:rPr>
          <w:bCs/>
          <w:sz w:val="22"/>
          <w:szCs w:val="22"/>
          <w:lang w:val="sr-Latn-ME"/>
        </w:rPr>
        <w:t>Bistar, bezbojan rastvor</w:t>
      </w:r>
      <w:r w:rsidR="00104FA0" w:rsidRPr="00D759D0">
        <w:rPr>
          <w:bCs/>
          <w:sz w:val="22"/>
          <w:szCs w:val="22"/>
          <w:lang w:val="sr-Latn-ME"/>
        </w:rPr>
        <w:t>.</w:t>
      </w:r>
    </w:p>
    <w:p w14:paraId="59464992" w14:textId="77777777" w:rsidR="007E0F06" w:rsidRPr="00D759D0" w:rsidRDefault="007E0F06" w:rsidP="00063330">
      <w:pPr>
        <w:jc w:val="both"/>
        <w:rPr>
          <w:bCs/>
          <w:sz w:val="22"/>
          <w:szCs w:val="22"/>
          <w:lang w:val="sr-Latn-ME"/>
        </w:rPr>
      </w:pPr>
    </w:p>
    <w:p w14:paraId="739AD78F" w14:textId="77777777" w:rsidR="00EC2532" w:rsidRPr="00D759D0" w:rsidRDefault="00EC2532">
      <w:pPr>
        <w:rPr>
          <w:bCs/>
          <w:sz w:val="22"/>
          <w:szCs w:val="22"/>
          <w:lang w:val="sr-Latn-ME"/>
        </w:rPr>
      </w:pPr>
    </w:p>
    <w:p w14:paraId="739AD790" w14:textId="77777777" w:rsidR="00411B4B" w:rsidRPr="00D759D0" w:rsidRDefault="00411B4B" w:rsidP="00F5167F">
      <w:pPr>
        <w:tabs>
          <w:tab w:val="left" w:pos="540"/>
          <w:tab w:val="left" w:pos="569"/>
        </w:tabs>
        <w:rPr>
          <w:b/>
          <w:bCs/>
          <w:sz w:val="22"/>
          <w:szCs w:val="22"/>
          <w:lang w:val="sr-Latn-ME"/>
        </w:rPr>
      </w:pPr>
      <w:r w:rsidRPr="00D759D0">
        <w:rPr>
          <w:b/>
          <w:bCs/>
          <w:sz w:val="22"/>
          <w:szCs w:val="22"/>
          <w:lang w:val="sr-Latn-ME"/>
        </w:rPr>
        <w:t xml:space="preserve">4. </w:t>
      </w:r>
      <w:r w:rsidR="00480FB1" w:rsidRPr="00D759D0">
        <w:rPr>
          <w:b/>
          <w:bCs/>
          <w:sz w:val="22"/>
          <w:szCs w:val="22"/>
          <w:lang w:val="sr-Latn-ME"/>
        </w:rPr>
        <w:tab/>
      </w:r>
      <w:r w:rsidRPr="00D759D0">
        <w:rPr>
          <w:b/>
          <w:bCs/>
          <w:sz w:val="22"/>
          <w:szCs w:val="22"/>
          <w:lang w:val="sr-Latn-ME"/>
        </w:rPr>
        <w:t>KLINIČKI PODACI</w:t>
      </w:r>
    </w:p>
    <w:p w14:paraId="739AD791" w14:textId="77777777" w:rsidR="00CD6F02" w:rsidRPr="00D759D0" w:rsidRDefault="00CD6F02" w:rsidP="00480FB1">
      <w:pPr>
        <w:tabs>
          <w:tab w:val="left" w:pos="540"/>
          <w:tab w:val="left" w:pos="569"/>
        </w:tabs>
        <w:rPr>
          <w:bCs/>
          <w:sz w:val="22"/>
          <w:szCs w:val="22"/>
          <w:lang w:val="sr-Latn-ME"/>
        </w:rPr>
      </w:pPr>
    </w:p>
    <w:p w14:paraId="739AD792" w14:textId="77777777" w:rsidR="00411B4B" w:rsidRPr="00D759D0" w:rsidRDefault="00411B4B" w:rsidP="00480FB1">
      <w:pPr>
        <w:tabs>
          <w:tab w:val="left" w:pos="540"/>
          <w:tab w:val="left" w:pos="569"/>
        </w:tabs>
        <w:rPr>
          <w:b/>
          <w:bCs/>
          <w:sz w:val="22"/>
          <w:szCs w:val="22"/>
          <w:lang w:val="sr-Latn-ME"/>
        </w:rPr>
      </w:pPr>
      <w:r w:rsidRPr="00D759D0">
        <w:rPr>
          <w:b/>
          <w:bCs/>
          <w:sz w:val="22"/>
          <w:szCs w:val="22"/>
          <w:lang w:val="sr-Latn-ME"/>
        </w:rPr>
        <w:t xml:space="preserve">4.1. </w:t>
      </w:r>
      <w:r w:rsidR="00480FB1" w:rsidRPr="00D759D0">
        <w:rPr>
          <w:b/>
          <w:bCs/>
          <w:sz w:val="22"/>
          <w:szCs w:val="22"/>
          <w:lang w:val="sr-Latn-ME"/>
        </w:rPr>
        <w:tab/>
      </w:r>
      <w:r w:rsidRPr="00D759D0">
        <w:rPr>
          <w:b/>
          <w:bCs/>
          <w:sz w:val="22"/>
          <w:szCs w:val="22"/>
          <w:lang w:val="sr-Latn-ME"/>
        </w:rPr>
        <w:t>Terapijske indikacije</w:t>
      </w:r>
    </w:p>
    <w:p w14:paraId="65456E69" w14:textId="77777777" w:rsidR="00EC51C1" w:rsidRPr="00D759D0" w:rsidRDefault="00EC51C1" w:rsidP="00480FB1">
      <w:pPr>
        <w:tabs>
          <w:tab w:val="left" w:pos="540"/>
          <w:tab w:val="left" w:pos="569"/>
        </w:tabs>
        <w:rPr>
          <w:b/>
          <w:bCs/>
          <w:sz w:val="22"/>
          <w:szCs w:val="22"/>
          <w:lang w:val="sr-Latn-ME"/>
        </w:rPr>
      </w:pPr>
    </w:p>
    <w:p w14:paraId="1862B37B" w14:textId="23D79A95"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Smanjenje povišenog </w:t>
      </w:r>
      <w:proofErr w:type="spellStart"/>
      <w:r w:rsidRPr="00D759D0">
        <w:rPr>
          <w:bCs/>
          <w:sz w:val="22"/>
          <w:szCs w:val="22"/>
          <w:lang w:val="sr-Latn-ME"/>
        </w:rPr>
        <w:t>intraokularnog</w:t>
      </w:r>
      <w:proofErr w:type="spellEnd"/>
      <w:r w:rsidRPr="00D759D0">
        <w:rPr>
          <w:bCs/>
          <w:sz w:val="22"/>
          <w:szCs w:val="22"/>
          <w:lang w:val="sr-Latn-ME"/>
        </w:rPr>
        <w:t xml:space="preserve"> pritiska kod odraslih pacijenata koji imaju </w:t>
      </w:r>
      <w:proofErr w:type="spellStart"/>
      <w:r w:rsidRPr="00D759D0">
        <w:rPr>
          <w:bCs/>
          <w:sz w:val="22"/>
          <w:szCs w:val="22"/>
          <w:lang w:val="sr-Latn-ME"/>
        </w:rPr>
        <w:t>okularnu</w:t>
      </w:r>
      <w:proofErr w:type="spellEnd"/>
      <w:r w:rsidRPr="00D759D0">
        <w:rPr>
          <w:bCs/>
          <w:sz w:val="22"/>
          <w:szCs w:val="22"/>
          <w:lang w:val="sr-Latn-ME"/>
        </w:rPr>
        <w:t xml:space="preserve"> hipertenziju ili glaukom otvorenog ugla (vidjeti dio 5.1).</w:t>
      </w:r>
    </w:p>
    <w:p w14:paraId="1D8C30E1" w14:textId="77777777" w:rsidR="00063330" w:rsidRPr="00D759D0" w:rsidRDefault="00063330" w:rsidP="00063330">
      <w:pPr>
        <w:tabs>
          <w:tab w:val="left" w:pos="540"/>
          <w:tab w:val="left" w:pos="569"/>
        </w:tabs>
        <w:jc w:val="both"/>
        <w:rPr>
          <w:bCs/>
          <w:sz w:val="22"/>
          <w:szCs w:val="22"/>
          <w:lang w:val="sr-Latn-ME"/>
        </w:rPr>
      </w:pPr>
    </w:p>
    <w:p w14:paraId="642FBDCD" w14:textId="2A33D083"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Smanjenje povišenog </w:t>
      </w:r>
      <w:proofErr w:type="spellStart"/>
      <w:r w:rsidRPr="00D759D0">
        <w:rPr>
          <w:bCs/>
          <w:sz w:val="22"/>
          <w:szCs w:val="22"/>
          <w:lang w:val="sr-Latn-ME"/>
        </w:rPr>
        <w:t>intraokularnog</w:t>
      </w:r>
      <w:proofErr w:type="spellEnd"/>
      <w:r w:rsidRPr="00D759D0">
        <w:rPr>
          <w:bCs/>
          <w:sz w:val="22"/>
          <w:szCs w:val="22"/>
          <w:lang w:val="sr-Latn-ME"/>
        </w:rPr>
        <w:t xml:space="preserve"> pritiska (IOP) kod pedijatrijskih pacijenata </w:t>
      </w:r>
      <w:r w:rsidR="00093539" w:rsidRPr="00D759D0">
        <w:rPr>
          <w:bCs/>
          <w:sz w:val="22"/>
          <w:szCs w:val="22"/>
          <w:lang w:val="sr-Latn-ME"/>
        </w:rPr>
        <w:t xml:space="preserve">uzrasta od 2 mjeseca do &lt; 18 godina, </w:t>
      </w:r>
      <w:r w:rsidRPr="00D759D0">
        <w:rPr>
          <w:bCs/>
          <w:sz w:val="22"/>
          <w:szCs w:val="22"/>
          <w:lang w:val="sr-Latn-ME"/>
        </w:rPr>
        <w:t xml:space="preserve">koji imaju </w:t>
      </w:r>
      <w:proofErr w:type="spellStart"/>
      <w:r w:rsidRPr="00D759D0">
        <w:rPr>
          <w:bCs/>
          <w:sz w:val="22"/>
          <w:szCs w:val="22"/>
          <w:lang w:val="sr-Latn-ME"/>
        </w:rPr>
        <w:t>okularnu</w:t>
      </w:r>
      <w:proofErr w:type="spellEnd"/>
      <w:r w:rsidRPr="00D759D0">
        <w:rPr>
          <w:bCs/>
          <w:sz w:val="22"/>
          <w:szCs w:val="22"/>
          <w:lang w:val="sr-Latn-ME"/>
        </w:rPr>
        <w:t xml:space="preserve"> hipertenziju ili pedijatrijski glaukom (vidjeti dio 5.1).</w:t>
      </w:r>
    </w:p>
    <w:p w14:paraId="739AD793" w14:textId="77777777" w:rsidR="00411B4B" w:rsidRPr="00D759D0" w:rsidRDefault="00411B4B" w:rsidP="00480FB1">
      <w:pPr>
        <w:tabs>
          <w:tab w:val="left" w:pos="540"/>
          <w:tab w:val="left" w:pos="569"/>
        </w:tabs>
        <w:rPr>
          <w:bCs/>
          <w:sz w:val="22"/>
          <w:szCs w:val="22"/>
          <w:lang w:val="sr-Latn-ME"/>
        </w:rPr>
      </w:pPr>
    </w:p>
    <w:p w14:paraId="739AD794" w14:textId="77777777" w:rsidR="00411B4B" w:rsidRPr="00D759D0" w:rsidRDefault="00411B4B" w:rsidP="00480FB1">
      <w:pPr>
        <w:tabs>
          <w:tab w:val="left" w:pos="540"/>
          <w:tab w:val="left" w:pos="569"/>
        </w:tabs>
        <w:rPr>
          <w:b/>
          <w:bCs/>
          <w:sz w:val="22"/>
          <w:szCs w:val="22"/>
          <w:lang w:val="sr-Latn-ME"/>
        </w:rPr>
      </w:pPr>
      <w:r w:rsidRPr="00D759D0">
        <w:rPr>
          <w:b/>
          <w:bCs/>
          <w:sz w:val="22"/>
          <w:szCs w:val="22"/>
          <w:lang w:val="sr-Latn-ME"/>
        </w:rPr>
        <w:t xml:space="preserve">4.2. </w:t>
      </w:r>
      <w:r w:rsidR="00480FB1" w:rsidRPr="00D759D0">
        <w:rPr>
          <w:b/>
          <w:bCs/>
          <w:sz w:val="22"/>
          <w:szCs w:val="22"/>
          <w:lang w:val="sr-Latn-ME"/>
        </w:rPr>
        <w:tab/>
      </w:r>
      <w:r w:rsidRPr="00D759D0">
        <w:rPr>
          <w:b/>
          <w:bCs/>
          <w:sz w:val="22"/>
          <w:szCs w:val="22"/>
          <w:lang w:val="sr-Latn-ME"/>
        </w:rPr>
        <w:t>Doziranje i način primjene</w:t>
      </w:r>
    </w:p>
    <w:p w14:paraId="739AD795" w14:textId="77777777" w:rsidR="0072020E" w:rsidRPr="00D759D0" w:rsidRDefault="0072020E" w:rsidP="00480FB1">
      <w:pPr>
        <w:tabs>
          <w:tab w:val="left" w:pos="540"/>
          <w:tab w:val="left" w:pos="569"/>
        </w:tabs>
        <w:rPr>
          <w:bCs/>
          <w:sz w:val="22"/>
          <w:szCs w:val="22"/>
          <w:lang w:val="sr-Latn-ME"/>
        </w:rPr>
      </w:pPr>
    </w:p>
    <w:p w14:paraId="1CBD1A43" w14:textId="3636CE51" w:rsidR="002620B6" w:rsidRPr="00D759D0" w:rsidRDefault="002620B6" w:rsidP="00480FB1">
      <w:pPr>
        <w:tabs>
          <w:tab w:val="left" w:pos="540"/>
          <w:tab w:val="left" w:pos="569"/>
        </w:tabs>
        <w:rPr>
          <w:bCs/>
          <w:sz w:val="22"/>
          <w:szCs w:val="22"/>
          <w:u w:val="single"/>
          <w:lang w:val="sr-Latn-ME"/>
        </w:rPr>
      </w:pPr>
      <w:r w:rsidRPr="00D759D0">
        <w:rPr>
          <w:bCs/>
          <w:sz w:val="22"/>
          <w:szCs w:val="22"/>
          <w:u w:val="single"/>
          <w:lang w:val="sr-Latn-ME"/>
        </w:rPr>
        <w:t>Doziranje</w:t>
      </w:r>
    </w:p>
    <w:p w14:paraId="6F95CE51" w14:textId="77777777" w:rsidR="007E0F06" w:rsidRPr="00D759D0" w:rsidRDefault="007E0F06" w:rsidP="00480FB1">
      <w:pPr>
        <w:tabs>
          <w:tab w:val="left" w:pos="540"/>
          <w:tab w:val="left" w:pos="569"/>
        </w:tabs>
        <w:rPr>
          <w:bCs/>
          <w:sz w:val="22"/>
          <w:szCs w:val="22"/>
          <w:u w:val="single"/>
          <w:lang w:val="sr-Latn-ME"/>
        </w:rPr>
      </w:pPr>
    </w:p>
    <w:p w14:paraId="4AA69DA4" w14:textId="77777777" w:rsidR="00063330" w:rsidRPr="00D759D0" w:rsidRDefault="00063330" w:rsidP="00063330">
      <w:pPr>
        <w:tabs>
          <w:tab w:val="left" w:pos="540"/>
          <w:tab w:val="left" w:pos="569"/>
        </w:tabs>
        <w:jc w:val="both"/>
        <w:rPr>
          <w:bCs/>
          <w:i/>
          <w:sz w:val="22"/>
          <w:szCs w:val="22"/>
          <w:u w:val="single"/>
          <w:lang w:val="sr-Latn-ME"/>
        </w:rPr>
      </w:pPr>
      <w:r w:rsidRPr="00D759D0">
        <w:rPr>
          <w:bCs/>
          <w:i/>
          <w:sz w:val="22"/>
          <w:szCs w:val="22"/>
          <w:u w:val="single"/>
          <w:lang w:val="sr-Latn-ME"/>
        </w:rPr>
        <w:t xml:space="preserve">Upotreba kod odraslih, uključujući i starije osobe </w:t>
      </w:r>
    </w:p>
    <w:p w14:paraId="74FA7058"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Ukapati po jednu kap lijeka TRAVATAN u </w:t>
      </w:r>
      <w:proofErr w:type="spellStart"/>
      <w:r w:rsidRPr="00D759D0">
        <w:rPr>
          <w:bCs/>
          <w:sz w:val="22"/>
          <w:szCs w:val="22"/>
          <w:lang w:val="sr-Latn-ME"/>
        </w:rPr>
        <w:t>konjunktivalnu</w:t>
      </w:r>
      <w:proofErr w:type="spellEnd"/>
      <w:r w:rsidRPr="00D759D0">
        <w:rPr>
          <w:bCs/>
          <w:sz w:val="22"/>
          <w:szCs w:val="22"/>
          <w:lang w:val="sr-Latn-ME"/>
        </w:rPr>
        <w:t xml:space="preserve"> kesicu </w:t>
      </w:r>
      <w:proofErr w:type="spellStart"/>
      <w:r w:rsidRPr="00D759D0">
        <w:rPr>
          <w:bCs/>
          <w:sz w:val="22"/>
          <w:szCs w:val="22"/>
          <w:lang w:val="sr-Latn-ME"/>
        </w:rPr>
        <w:t>oboljelog</w:t>
      </w:r>
      <w:proofErr w:type="spellEnd"/>
      <w:r w:rsidRPr="00D759D0">
        <w:rPr>
          <w:bCs/>
          <w:sz w:val="22"/>
          <w:szCs w:val="22"/>
          <w:lang w:val="sr-Latn-ME"/>
        </w:rPr>
        <w:t xml:space="preserve"> oka (očiju) jednom dnevno. Optimalni efekat se postiže ako se lijek </w:t>
      </w:r>
      <w:proofErr w:type="spellStart"/>
      <w:r w:rsidRPr="00D759D0">
        <w:rPr>
          <w:bCs/>
          <w:sz w:val="22"/>
          <w:szCs w:val="22"/>
          <w:lang w:val="sr-Latn-ME"/>
        </w:rPr>
        <w:t>ukapava</w:t>
      </w:r>
      <w:proofErr w:type="spellEnd"/>
      <w:r w:rsidRPr="00D759D0">
        <w:rPr>
          <w:bCs/>
          <w:sz w:val="22"/>
          <w:szCs w:val="22"/>
          <w:lang w:val="sr-Latn-ME"/>
        </w:rPr>
        <w:t xml:space="preserve"> uveče. </w:t>
      </w:r>
    </w:p>
    <w:p w14:paraId="46B4E305" w14:textId="77777777" w:rsidR="00063330" w:rsidRPr="00D759D0" w:rsidRDefault="00063330" w:rsidP="00063330">
      <w:pPr>
        <w:tabs>
          <w:tab w:val="left" w:pos="540"/>
          <w:tab w:val="left" w:pos="569"/>
        </w:tabs>
        <w:jc w:val="both"/>
        <w:rPr>
          <w:bCs/>
          <w:sz w:val="22"/>
          <w:szCs w:val="22"/>
          <w:lang w:val="sr-Latn-ME"/>
        </w:rPr>
      </w:pPr>
    </w:p>
    <w:p w14:paraId="247604D2"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Preporučuje se </w:t>
      </w:r>
      <w:proofErr w:type="spellStart"/>
      <w:r w:rsidRPr="00D759D0">
        <w:rPr>
          <w:bCs/>
          <w:sz w:val="22"/>
          <w:szCs w:val="22"/>
          <w:lang w:val="sr-Latn-ME"/>
        </w:rPr>
        <w:t>nazolakrimalna</w:t>
      </w:r>
      <w:proofErr w:type="spellEnd"/>
      <w:r w:rsidRPr="00D759D0">
        <w:rPr>
          <w:bCs/>
          <w:sz w:val="22"/>
          <w:szCs w:val="22"/>
          <w:lang w:val="sr-Latn-ME"/>
        </w:rPr>
        <w:t xml:space="preserve"> </w:t>
      </w:r>
      <w:proofErr w:type="spellStart"/>
      <w:r w:rsidRPr="00D759D0">
        <w:rPr>
          <w:bCs/>
          <w:sz w:val="22"/>
          <w:szCs w:val="22"/>
          <w:lang w:val="sr-Latn-ME"/>
        </w:rPr>
        <w:t>okluzija</w:t>
      </w:r>
      <w:proofErr w:type="spellEnd"/>
      <w:r w:rsidRPr="00D759D0">
        <w:rPr>
          <w:bCs/>
          <w:sz w:val="22"/>
          <w:szCs w:val="22"/>
          <w:lang w:val="sr-Latn-ME"/>
        </w:rPr>
        <w:t xml:space="preserve"> ili </w:t>
      </w:r>
      <w:proofErr w:type="spellStart"/>
      <w:r w:rsidRPr="00D759D0">
        <w:rPr>
          <w:bCs/>
          <w:sz w:val="22"/>
          <w:szCs w:val="22"/>
          <w:lang w:val="sr-Latn-ME"/>
        </w:rPr>
        <w:t>nježno</w:t>
      </w:r>
      <w:proofErr w:type="spellEnd"/>
      <w:r w:rsidRPr="00D759D0">
        <w:rPr>
          <w:bCs/>
          <w:sz w:val="22"/>
          <w:szCs w:val="22"/>
          <w:lang w:val="sr-Latn-ME"/>
        </w:rPr>
        <w:t xml:space="preserve"> zatvaranje kapka poslije </w:t>
      </w:r>
      <w:proofErr w:type="spellStart"/>
      <w:r w:rsidRPr="00D759D0">
        <w:rPr>
          <w:bCs/>
          <w:sz w:val="22"/>
          <w:szCs w:val="22"/>
          <w:lang w:val="sr-Latn-ME"/>
        </w:rPr>
        <w:t>ukapavanja</w:t>
      </w:r>
      <w:proofErr w:type="spellEnd"/>
      <w:r w:rsidRPr="00D759D0">
        <w:rPr>
          <w:bCs/>
          <w:sz w:val="22"/>
          <w:szCs w:val="22"/>
          <w:lang w:val="sr-Latn-ME"/>
        </w:rPr>
        <w:t xml:space="preserve"> lijeka. Ovo može da smanji sistemsku resorpciju lokalno </w:t>
      </w:r>
      <w:proofErr w:type="spellStart"/>
      <w:r w:rsidRPr="00D759D0">
        <w:rPr>
          <w:bCs/>
          <w:sz w:val="22"/>
          <w:szCs w:val="22"/>
          <w:lang w:val="sr-Latn-ME"/>
        </w:rPr>
        <w:t>aplikovanog</w:t>
      </w:r>
      <w:proofErr w:type="spellEnd"/>
      <w:r w:rsidRPr="00D759D0">
        <w:rPr>
          <w:bCs/>
          <w:sz w:val="22"/>
          <w:szCs w:val="22"/>
          <w:lang w:val="sr-Latn-ME"/>
        </w:rPr>
        <w:t xml:space="preserve"> lijeka i tako smanji mogućnost ispoljavanja sistemskih neželjenih reakcija.  </w:t>
      </w:r>
    </w:p>
    <w:p w14:paraId="5EA3A323" w14:textId="77777777" w:rsidR="00063330" w:rsidRPr="00D759D0" w:rsidRDefault="00063330" w:rsidP="00063330">
      <w:pPr>
        <w:tabs>
          <w:tab w:val="left" w:pos="540"/>
          <w:tab w:val="left" w:pos="569"/>
        </w:tabs>
        <w:jc w:val="both"/>
        <w:rPr>
          <w:bCs/>
          <w:sz w:val="22"/>
          <w:szCs w:val="22"/>
          <w:lang w:val="sr-Latn-ME"/>
        </w:rPr>
      </w:pPr>
    </w:p>
    <w:p w14:paraId="46B64E0E"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Ukoliko je potrebno istovremeno primijeniti više </w:t>
      </w:r>
      <w:proofErr w:type="spellStart"/>
      <w:r w:rsidRPr="00D759D0">
        <w:rPr>
          <w:bCs/>
          <w:sz w:val="22"/>
          <w:szCs w:val="22"/>
          <w:lang w:val="sr-Latn-ME"/>
        </w:rPr>
        <w:t>topikalnih</w:t>
      </w:r>
      <w:proofErr w:type="spellEnd"/>
      <w:r w:rsidRPr="00D759D0">
        <w:rPr>
          <w:bCs/>
          <w:sz w:val="22"/>
          <w:szCs w:val="22"/>
          <w:lang w:val="sr-Latn-ME"/>
        </w:rPr>
        <w:t xml:space="preserve"> </w:t>
      </w:r>
      <w:proofErr w:type="spellStart"/>
      <w:r w:rsidRPr="00D759D0">
        <w:rPr>
          <w:bCs/>
          <w:sz w:val="22"/>
          <w:szCs w:val="22"/>
          <w:lang w:val="sr-Latn-ME"/>
        </w:rPr>
        <w:t>oftalmoloških</w:t>
      </w:r>
      <w:proofErr w:type="spellEnd"/>
      <w:r w:rsidRPr="00D759D0">
        <w:rPr>
          <w:bCs/>
          <w:sz w:val="22"/>
          <w:szCs w:val="22"/>
          <w:lang w:val="sr-Latn-ME"/>
        </w:rPr>
        <w:t xml:space="preserve"> ljekova, mora se sačekati najmanje 5 minuta između dvije aplikacije lijeka (vidjeti dio 4.5). </w:t>
      </w:r>
    </w:p>
    <w:p w14:paraId="5ADD4ED8" w14:textId="77777777" w:rsidR="00063330" w:rsidRPr="00D759D0" w:rsidRDefault="00063330" w:rsidP="00063330">
      <w:pPr>
        <w:tabs>
          <w:tab w:val="left" w:pos="540"/>
          <w:tab w:val="left" w:pos="569"/>
        </w:tabs>
        <w:jc w:val="both"/>
        <w:rPr>
          <w:bCs/>
          <w:sz w:val="22"/>
          <w:szCs w:val="22"/>
          <w:lang w:val="sr-Latn-ME"/>
        </w:rPr>
      </w:pPr>
    </w:p>
    <w:p w14:paraId="7726938D"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Ukoliko se propusti </w:t>
      </w:r>
      <w:proofErr w:type="spellStart"/>
      <w:r w:rsidRPr="00D759D0">
        <w:rPr>
          <w:bCs/>
          <w:sz w:val="22"/>
          <w:szCs w:val="22"/>
          <w:lang w:val="sr-Latn-ME"/>
        </w:rPr>
        <w:t>ukapavanje</w:t>
      </w:r>
      <w:proofErr w:type="spellEnd"/>
      <w:r w:rsidRPr="00D759D0">
        <w:rPr>
          <w:bCs/>
          <w:sz w:val="22"/>
          <w:szCs w:val="22"/>
          <w:lang w:val="sr-Latn-ME"/>
        </w:rPr>
        <w:t xml:space="preserve"> lijeka, liječenje treba nastaviti sljedećom dozom kako je planirano.   </w:t>
      </w:r>
    </w:p>
    <w:p w14:paraId="1DF77552"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Pojedinačna doza lijeka ne smije da bude veća od jedne kapi ukapane u oboljelo oko (oči) na dan. </w:t>
      </w:r>
    </w:p>
    <w:p w14:paraId="739AD797" w14:textId="77777777" w:rsidR="00452E9D" w:rsidRPr="00D759D0" w:rsidRDefault="00452E9D" w:rsidP="00480FB1">
      <w:pPr>
        <w:tabs>
          <w:tab w:val="left" w:pos="540"/>
          <w:tab w:val="left" w:pos="569"/>
        </w:tabs>
        <w:rPr>
          <w:bCs/>
          <w:sz w:val="22"/>
          <w:szCs w:val="22"/>
          <w:u w:val="single"/>
          <w:lang w:val="sr-Latn-ME"/>
        </w:rPr>
      </w:pPr>
    </w:p>
    <w:p w14:paraId="4CA94D4A" w14:textId="08CA4AD0"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Kada se prelazi sa nekog drugog preparata za liječenje glaukoma na</w:t>
      </w:r>
      <w:r w:rsidR="00DA5C04" w:rsidRPr="00D759D0">
        <w:rPr>
          <w:bCs/>
          <w:sz w:val="22"/>
          <w:szCs w:val="22"/>
          <w:lang w:val="sr-Latn-ME"/>
        </w:rPr>
        <w:t xml:space="preserve"> lijek</w:t>
      </w:r>
      <w:r w:rsidRPr="00D759D0">
        <w:rPr>
          <w:bCs/>
          <w:sz w:val="22"/>
          <w:szCs w:val="22"/>
          <w:lang w:val="sr-Latn-ME"/>
        </w:rPr>
        <w:t xml:space="preserve"> TRAVATAN, najprije prestati sa uzimanjem tog lijeka, a sutradan započeti liječenje lijekom TRAVATAN.</w:t>
      </w:r>
    </w:p>
    <w:p w14:paraId="1606E7DA" w14:textId="77777777" w:rsidR="00063330" w:rsidRPr="00D759D0" w:rsidRDefault="00063330" w:rsidP="00063330">
      <w:pPr>
        <w:tabs>
          <w:tab w:val="left" w:pos="540"/>
          <w:tab w:val="left" w:pos="569"/>
        </w:tabs>
        <w:jc w:val="both"/>
        <w:rPr>
          <w:bCs/>
          <w:sz w:val="22"/>
          <w:szCs w:val="22"/>
          <w:lang w:val="sr-Latn-ME"/>
        </w:rPr>
      </w:pPr>
    </w:p>
    <w:p w14:paraId="21F9531D" w14:textId="77777777" w:rsidR="00063330" w:rsidRPr="00D759D0" w:rsidRDefault="00063330" w:rsidP="00063330">
      <w:pPr>
        <w:tabs>
          <w:tab w:val="left" w:pos="540"/>
          <w:tab w:val="left" w:pos="569"/>
        </w:tabs>
        <w:jc w:val="both"/>
        <w:rPr>
          <w:bCs/>
          <w:i/>
          <w:sz w:val="22"/>
          <w:szCs w:val="22"/>
          <w:u w:val="single"/>
          <w:lang w:val="sr-Latn-ME"/>
        </w:rPr>
      </w:pPr>
      <w:r w:rsidRPr="00D759D0">
        <w:rPr>
          <w:bCs/>
          <w:i/>
          <w:sz w:val="22"/>
          <w:szCs w:val="22"/>
          <w:u w:val="single"/>
          <w:lang w:val="sr-Latn-ME"/>
        </w:rPr>
        <w:t xml:space="preserve">Osobe sa oslabljenom funkcijom jetre i bubrega </w:t>
      </w:r>
    </w:p>
    <w:p w14:paraId="74F64CDC" w14:textId="4C39741C" w:rsidR="00063330" w:rsidRPr="00D759D0" w:rsidRDefault="00093539" w:rsidP="00063330">
      <w:pPr>
        <w:tabs>
          <w:tab w:val="left" w:pos="540"/>
          <w:tab w:val="left" w:pos="569"/>
        </w:tabs>
        <w:jc w:val="both"/>
        <w:rPr>
          <w:bCs/>
          <w:sz w:val="22"/>
          <w:szCs w:val="22"/>
          <w:lang w:val="sr-Latn-ME"/>
        </w:rPr>
      </w:pPr>
      <w:r w:rsidRPr="00D759D0">
        <w:rPr>
          <w:bCs/>
          <w:sz w:val="22"/>
          <w:szCs w:val="22"/>
          <w:lang w:val="sr-Latn-ME"/>
        </w:rPr>
        <w:t xml:space="preserve">Lijek </w:t>
      </w:r>
      <w:r w:rsidR="00063330" w:rsidRPr="00D759D0">
        <w:rPr>
          <w:bCs/>
          <w:sz w:val="22"/>
          <w:szCs w:val="22"/>
          <w:lang w:val="sr-Latn-ME"/>
        </w:rPr>
        <w:t>TRAVATAN je ispitivan kod pacijenata koji su imali blago do teško oštećenje funkcija jetre, kao i kod pacijenata sa blagim do teškim oštećenjem funkcije bubrega (</w:t>
      </w:r>
      <w:proofErr w:type="spellStart"/>
      <w:r w:rsidR="00063330" w:rsidRPr="00D759D0">
        <w:rPr>
          <w:bCs/>
          <w:sz w:val="22"/>
          <w:szCs w:val="22"/>
          <w:lang w:val="sr-Latn-ME"/>
        </w:rPr>
        <w:t>klirens</w:t>
      </w:r>
      <w:proofErr w:type="spellEnd"/>
      <w:r w:rsidR="00063330" w:rsidRPr="00D759D0">
        <w:rPr>
          <w:bCs/>
          <w:sz w:val="22"/>
          <w:szCs w:val="22"/>
          <w:lang w:val="sr-Latn-ME"/>
        </w:rPr>
        <w:t xml:space="preserve"> </w:t>
      </w:r>
      <w:proofErr w:type="spellStart"/>
      <w:r w:rsidR="00063330" w:rsidRPr="00D759D0">
        <w:rPr>
          <w:bCs/>
          <w:sz w:val="22"/>
          <w:szCs w:val="22"/>
          <w:lang w:val="sr-Latn-ME"/>
        </w:rPr>
        <w:t>kreatinina</w:t>
      </w:r>
      <w:proofErr w:type="spellEnd"/>
      <w:r w:rsidR="00063330" w:rsidRPr="00D759D0">
        <w:rPr>
          <w:bCs/>
          <w:sz w:val="22"/>
          <w:szCs w:val="22"/>
          <w:lang w:val="sr-Latn-ME"/>
        </w:rPr>
        <w:t xml:space="preserve"> oko 14 ml/min). Nije bilo potrebno korigovati dozu lijeka kod ovih pacijenata (vidjeti dio 5.2).  </w:t>
      </w:r>
    </w:p>
    <w:p w14:paraId="27EF7F25" w14:textId="77777777" w:rsidR="00063330" w:rsidRPr="00D759D0" w:rsidRDefault="00063330" w:rsidP="00063330">
      <w:pPr>
        <w:tabs>
          <w:tab w:val="left" w:pos="540"/>
          <w:tab w:val="left" w:pos="569"/>
        </w:tabs>
        <w:jc w:val="both"/>
        <w:rPr>
          <w:bCs/>
          <w:sz w:val="22"/>
          <w:szCs w:val="22"/>
          <w:lang w:val="sr-Latn-ME"/>
        </w:rPr>
      </w:pPr>
    </w:p>
    <w:p w14:paraId="29ED8596" w14:textId="77777777" w:rsidR="00063330" w:rsidRPr="00D759D0" w:rsidRDefault="00063330" w:rsidP="00063330">
      <w:pPr>
        <w:tabs>
          <w:tab w:val="left" w:pos="540"/>
          <w:tab w:val="left" w:pos="569"/>
        </w:tabs>
        <w:jc w:val="both"/>
        <w:rPr>
          <w:bCs/>
          <w:i/>
          <w:sz w:val="22"/>
          <w:szCs w:val="22"/>
          <w:u w:val="single"/>
          <w:lang w:val="sr-Latn-ME"/>
        </w:rPr>
      </w:pPr>
      <w:r w:rsidRPr="00D759D0">
        <w:rPr>
          <w:bCs/>
          <w:i/>
          <w:sz w:val="22"/>
          <w:szCs w:val="22"/>
          <w:u w:val="single"/>
          <w:lang w:val="sr-Latn-ME"/>
        </w:rPr>
        <w:t xml:space="preserve">Pedijatrijska populacija </w:t>
      </w:r>
    </w:p>
    <w:p w14:paraId="182A887D"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Lijek TRAVATAN može da se primjenjuje kod pedijatrijskih pacijenata </w:t>
      </w:r>
      <w:bookmarkStart w:id="0" w:name="_Hlk191371501"/>
      <w:r w:rsidRPr="00D759D0">
        <w:rPr>
          <w:bCs/>
          <w:sz w:val="22"/>
          <w:szCs w:val="22"/>
          <w:lang w:val="sr-Latn-ME"/>
        </w:rPr>
        <w:t xml:space="preserve">uzrasta od </w:t>
      </w:r>
      <w:bookmarkStart w:id="1" w:name="_Hlk191371473"/>
      <w:r w:rsidRPr="00D759D0">
        <w:rPr>
          <w:bCs/>
          <w:sz w:val="22"/>
          <w:szCs w:val="22"/>
          <w:lang w:val="sr-Latn-ME"/>
        </w:rPr>
        <w:t>2 mjeseca do &lt; 18 godina</w:t>
      </w:r>
      <w:bookmarkEnd w:id="1"/>
      <w:r w:rsidRPr="00D759D0">
        <w:rPr>
          <w:bCs/>
          <w:sz w:val="22"/>
          <w:szCs w:val="22"/>
          <w:lang w:val="sr-Latn-ME"/>
        </w:rPr>
        <w:t xml:space="preserve">, </w:t>
      </w:r>
      <w:bookmarkEnd w:id="0"/>
      <w:r w:rsidRPr="00D759D0">
        <w:rPr>
          <w:bCs/>
          <w:sz w:val="22"/>
          <w:szCs w:val="22"/>
          <w:lang w:val="sr-Latn-ME"/>
        </w:rPr>
        <w:t xml:space="preserve">sa istim režimom doziranja kao kod odraslih. Međutim, podaci u </w:t>
      </w:r>
      <w:proofErr w:type="spellStart"/>
      <w:r w:rsidRPr="00D759D0">
        <w:rPr>
          <w:bCs/>
          <w:sz w:val="22"/>
          <w:szCs w:val="22"/>
          <w:lang w:val="sr-Latn-ME"/>
        </w:rPr>
        <w:t>uzrasnoj</w:t>
      </w:r>
      <w:proofErr w:type="spellEnd"/>
      <w:r w:rsidRPr="00D759D0">
        <w:rPr>
          <w:bCs/>
          <w:sz w:val="22"/>
          <w:szCs w:val="22"/>
          <w:lang w:val="sr-Latn-ME"/>
        </w:rPr>
        <w:t xml:space="preserve"> grupi od 2 mjeseca do &lt; 3 godine (9 pacijenata) su ograničeni (vidjeti dio 5.1).</w:t>
      </w:r>
    </w:p>
    <w:p w14:paraId="32C2D158" w14:textId="77777777" w:rsidR="00063330" w:rsidRPr="00D759D0" w:rsidRDefault="00063330" w:rsidP="00063330">
      <w:pPr>
        <w:tabs>
          <w:tab w:val="left" w:pos="540"/>
          <w:tab w:val="left" w:pos="569"/>
        </w:tabs>
        <w:jc w:val="both"/>
        <w:rPr>
          <w:bCs/>
          <w:sz w:val="22"/>
          <w:szCs w:val="22"/>
          <w:lang w:val="sr-Latn-ME"/>
        </w:rPr>
      </w:pPr>
    </w:p>
    <w:p w14:paraId="76E5DDB4"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Bezbjednost i efikasnost lijeka TRAVATAN kod </w:t>
      </w:r>
      <w:r w:rsidRPr="00D759D0">
        <w:rPr>
          <w:sz w:val="22"/>
          <w:szCs w:val="22"/>
          <w:lang w:val="sr-Latn-ME"/>
        </w:rPr>
        <w:t>djece uzrasta ispod 2 mjeseca</w:t>
      </w:r>
      <w:r w:rsidRPr="00D759D0">
        <w:rPr>
          <w:bCs/>
          <w:sz w:val="22"/>
          <w:szCs w:val="22"/>
          <w:lang w:val="sr-Latn-ME"/>
        </w:rPr>
        <w:t xml:space="preserve"> još uvijek nije utvrđena.</w:t>
      </w:r>
      <w:r w:rsidRPr="00D759D0">
        <w:rPr>
          <w:sz w:val="22"/>
          <w:szCs w:val="22"/>
          <w:lang w:val="sr-Latn-ME"/>
        </w:rPr>
        <w:t xml:space="preserve"> Nema dostupnih podataka.</w:t>
      </w:r>
    </w:p>
    <w:p w14:paraId="553AD279" w14:textId="77777777" w:rsidR="00063330" w:rsidRPr="00D759D0" w:rsidRDefault="00063330" w:rsidP="00480FB1">
      <w:pPr>
        <w:tabs>
          <w:tab w:val="left" w:pos="540"/>
          <w:tab w:val="left" w:pos="569"/>
        </w:tabs>
        <w:rPr>
          <w:bCs/>
          <w:sz w:val="22"/>
          <w:szCs w:val="22"/>
          <w:u w:val="single"/>
          <w:lang w:val="sr-Latn-ME"/>
        </w:rPr>
      </w:pPr>
    </w:p>
    <w:p w14:paraId="739AD798" w14:textId="77777777" w:rsidR="00452E9D" w:rsidRPr="00D759D0" w:rsidRDefault="00452E9D" w:rsidP="00480FB1">
      <w:pPr>
        <w:tabs>
          <w:tab w:val="left" w:pos="540"/>
          <w:tab w:val="left" w:pos="569"/>
        </w:tabs>
        <w:rPr>
          <w:bCs/>
          <w:sz w:val="22"/>
          <w:szCs w:val="22"/>
          <w:u w:val="single"/>
          <w:lang w:val="sr-Latn-ME"/>
        </w:rPr>
      </w:pPr>
      <w:r w:rsidRPr="00D759D0">
        <w:rPr>
          <w:bCs/>
          <w:sz w:val="22"/>
          <w:szCs w:val="22"/>
          <w:u w:val="single"/>
          <w:lang w:val="sr-Latn-ME"/>
        </w:rPr>
        <w:t>Način primjene</w:t>
      </w:r>
    </w:p>
    <w:p w14:paraId="004ABC13"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Za </w:t>
      </w:r>
      <w:proofErr w:type="spellStart"/>
      <w:r w:rsidRPr="00D759D0">
        <w:rPr>
          <w:bCs/>
          <w:sz w:val="22"/>
          <w:szCs w:val="22"/>
          <w:lang w:val="sr-Latn-ME"/>
        </w:rPr>
        <w:t>okularnu</w:t>
      </w:r>
      <w:proofErr w:type="spellEnd"/>
      <w:r w:rsidRPr="00D759D0">
        <w:rPr>
          <w:bCs/>
          <w:sz w:val="22"/>
          <w:szCs w:val="22"/>
          <w:lang w:val="sr-Latn-ME"/>
        </w:rPr>
        <w:t xml:space="preserve"> upotrebu.</w:t>
      </w:r>
    </w:p>
    <w:p w14:paraId="4E1DE018" w14:textId="77777777" w:rsidR="00063330" w:rsidRPr="00D759D0" w:rsidRDefault="00063330" w:rsidP="00063330">
      <w:pPr>
        <w:tabs>
          <w:tab w:val="left" w:pos="540"/>
          <w:tab w:val="left" w:pos="569"/>
        </w:tabs>
        <w:jc w:val="both"/>
        <w:rPr>
          <w:bCs/>
          <w:sz w:val="22"/>
          <w:szCs w:val="22"/>
          <w:lang w:val="sr-Latn-ME"/>
        </w:rPr>
      </w:pPr>
    </w:p>
    <w:p w14:paraId="6B2AE597"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Za primjenu kod pacijenata koji nose kontaktna sočiva, pogledati dio 4.4.</w:t>
      </w:r>
    </w:p>
    <w:p w14:paraId="67B6B728" w14:textId="77777777" w:rsidR="00063330" w:rsidRPr="00D759D0" w:rsidRDefault="00063330" w:rsidP="00063330">
      <w:pPr>
        <w:tabs>
          <w:tab w:val="left" w:pos="540"/>
          <w:tab w:val="left" w:pos="569"/>
        </w:tabs>
        <w:jc w:val="both"/>
        <w:rPr>
          <w:bCs/>
          <w:sz w:val="22"/>
          <w:szCs w:val="22"/>
          <w:lang w:val="sr-Latn-ME"/>
        </w:rPr>
      </w:pPr>
    </w:p>
    <w:p w14:paraId="679D698C"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Pacijent treba da skine zaštitnu kapicu neposredno prije prvog </w:t>
      </w:r>
      <w:proofErr w:type="spellStart"/>
      <w:r w:rsidRPr="00D759D0">
        <w:rPr>
          <w:bCs/>
          <w:sz w:val="22"/>
          <w:szCs w:val="22"/>
          <w:lang w:val="sr-Latn-ME"/>
        </w:rPr>
        <w:t>ukapavanja</w:t>
      </w:r>
      <w:proofErr w:type="spellEnd"/>
      <w:r w:rsidRPr="00D759D0">
        <w:rPr>
          <w:bCs/>
          <w:sz w:val="22"/>
          <w:szCs w:val="22"/>
          <w:lang w:val="sr-Latn-ME"/>
        </w:rPr>
        <w:t xml:space="preserve">. Da bi se spriječila kontaminacija vrha bočice i rastvora, voditi računa da pri </w:t>
      </w:r>
      <w:proofErr w:type="spellStart"/>
      <w:r w:rsidRPr="00D759D0">
        <w:rPr>
          <w:bCs/>
          <w:sz w:val="22"/>
          <w:szCs w:val="22"/>
          <w:lang w:val="sr-Latn-ME"/>
        </w:rPr>
        <w:t>ukapavanju</w:t>
      </w:r>
      <w:proofErr w:type="spellEnd"/>
      <w:r w:rsidRPr="00D759D0">
        <w:rPr>
          <w:bCs/>
          <w:sz w:val="22"/>
          <w:szCs w:val="22"/>
          <w:lang w:val="sr-Latn-ME"/>
        </w:rPr>
        <w:t xml:space="preserve"> vrh bočice ne dotakne očne kapke, okolna područja ili druge površine.</w:t>
      </w:r>
    </w:p>
    <w:p w14:paraId="739AD799" w14:textId="77777777" w:rsidR="00452E9D" w:rsidRPr="00D759D0" w:rsidRDefault="00452E9D" w:rsidP="00480FB1">
      <w:pPr>
        <w:tabs>
          <w:tab w:val="left" w:pos="540"/>
          <w:tab w:val="left" w:pos="569"/>
        </w:tabs>
        <w:rPr>
          <w:bCs/>
          <w:sz w:val="22"/>
          <w:szCs w:val="22"/>
          <w:lang w:val="sr-Latn-ME"/>
        </w:rPr>
      </w:pPr>
    </w:p>
    <w:p w14:paraId="739AD79A" w14:textId="77777777" w:rsidR="00411B4B" w:rsidRPr="00D759D0" w:rsidRDefault="00411B4B" w:rsidP="00480FB1">
      <w:pPr>
        <w:tabs>
          <w:tab w:val="left" w:pos="540"/>
          <w:tab w:val="left" w:pos="569"/>
        </w:tabs>
        <w:rPr>
          <w:b/>
          <w:bCs/>
          <w:sz w:val="22"/>
          <w:szCs w:val="22"/>
          <w:lang w:val="sr-Latn-ME"/>
        </w:rPr>
      </w:pPr>
      <w:r w:rsidRPr="00D759D0">
        <w:rPr>
          <w:b/>
          <w:bCs/>
          <w:sz w:val="22"/>
          <w:szCs w:val="22"/>
          <w:lang w:val="sr-Latn-ME"/>
        </w:rPr>
        <w:t xml:space="preserve">4.3. </w:t>
      </w:r>
      <w:r w:rsidR="00480FB1" w:rsidRPr="00D759D0">
        <w:rPr>
          <w:b/>
          <w:bCs/>
          <w:sz w:val="22"/>
          <w:szCs w:val="22"/>
          <w:lang w:val="sr-Latn-ME"/>
        </w:rPr>
        <w:tab/>
      </w:r>
      <w:proofErr w:type="spellStart"/>
      <w:r w:rsidRPr="00D759D0">
        <w:rPr>
          <w:b/>
          <w:bCs/>
          <w:sz w:val="22"/>
          <w:szCs w:val="22"/>
          <w:lang w:val="sr-Latn-ME"/>
        </w:rPr>
        <w:t>Kontraindikacije</w:t>
      </w:r>
      <w:proofErr w:type="spellEnd"/>
    </w:p>
    <w:p w14:paraId="12BFB024" w14:textId="77777777" w:rsidR="00063330" w:rsidRPr="00D759D0" w:rsidRDefault="00063330" w:rsidP="00480FB1">
      <w:pPr>
        <w:tabs>
          <w:tab w:val="left" w:pos="540"/>
          <w:tab w:val="left" w:pos="569"/>
        </w:tabs>
        <w:rPr>
          <w:b/>
          <w:bCs/>
          <w:sz w:val="22"/>
          <w:szCs w:val="22"/>
          <w:lang w:val="sr-Latn-ME"/>
        </w:rPr>
      </w:pPr>
    </w:p>
    <w:p w14:paraId="0B2D6BFF" w14:textId="0E41B97C"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Preosjetljivost na aktivnu supstancu ili na neku od pomoćnih supstanci navedenih u dijelu 6.1</w:t>
      </w:r>
      <w:r w:rsidR="007A20EC" w:rsidRPr="00D759D0">
        <w:rPr>
          <w:bCs/>
          <w:sz w:val="22"/>
          <w:szCs w:val="22"/>
          <w:lang w:val="sr-Latn-ME"/>
        </w:rPr>
        <w:t>.</w:t>
      </w:r>
    </w:p>
    <w:p w14:paraId="739AD79B" w14:textId="77777777" w:rsidR="0072020E" w:rsidRPr="00D759D0" w:rsidRDefault="0072020E" w:rsidP="00480FB1">
      <w:pPr>
        <w:tabs>
          <w:tab w:val="left" w:pos="540"/>
          <w:tab w:val="left" w:pos="569"/>
        </w:tabs>
        <w:rPr>
          <w:bCs/>
          <w:sz w:val="22"/>
          <w:szCs w:val="22"/>
          <w:lang w:val="sr-Latn-ME"/>
        </w:rPr>
      </w:pPr>
    </w:p>
    <w:p w14:paraId="739AD79C" w14:textId="77777777" w:rsidR="00411B4B" w:rsidRPr="00D759D0" w:rsidRDefault="00411B4B" w:rsidP="00480FB1">
      <w:pPr>
        <w:tabs>
          <w:tab w:val="left" w:pos="540"/>
          <w:tab w:val="left" w:pos="569"/>
        </w:tabs>
        <w:rPr>
          <w:b/>
          <w:bCs/>
          <w:sz w:val="22"/>
          <w:szCs w:val="22"/>
          <w:lang w:val="sr-Latn-ME"/>
        </w:rPr>
      </w:pPr>
      <w:r w:rsidRPr="00D759D0">
        <w:rPr>
          <w:b/>
          <w:bCs/>
          <w:sz w:val="22"/>
          <w:szCs w:val="22"/>
          <w:lang w:val="sr-Latn-ME"/>
        </w:rPr>
        <w:t xml:space="preserve">4.4. </w:t>
      </w:r>
      <w:r w:rsidR="00480FB1" w:rsidRPr="00D759D0">
        <w:rPr>
          <w:b/>
          <w:bCs/>
          <w:sz w:val="22"/>
          <w:szCs w:val="22"/>
          <w:lang w:val="sr-Latn-ME"/>
        </w:rPr>
        <w:tab/>
      </w:r>
      <w:r w:rsidRPr="00D759D0">
        <w:rPr>
          <w:b/>
          <w:bCs/>
          <w:sz w:val="22"/>
          <w:szCs w:val="22"/>
          <w:lang w:val="sr-Latn-ME"/>
        </w:rPr>
        <w:t>Posebna upozorenja i mjere opreza pri upotrebi lijeka</w:t>
      </w:r>
    </w:p>
    <w:p w14:paraId="0951A7EE" w14:textId="77777777" w:rsidR="00063330" w:rsidRPr="00D759D0" w:rsidRDefault="00063330" w:rsidP="00480FB1">
      <w:pPr>
        <w:tabs>
          <w:tab w:val="left" w:pos="540"/>
          <w:tab w:val="left" w:pos="569"/>
        </w:tabs>
        <w:rPr>
          <w:b/>
          <w:bCs/>
          <w:sz w:val="22"/>
          <w:szCs w:val="22"/>
          <w:lang w:val="sr-Latn-ME"/>
        </w:rPr>
      </w:pPr>
    </w:p>
    <w:p w14:paraId="03637E2D" w14:textId="77777777" w:rsidR="00063330" w:rsidRPr="00D759D0" w:rsidRDefault="00063330" w:rsidP="00063330">
      <w:pPr>
        <w:tabs>
          <w:tab w:val="left" w:pos="540"/>
          <w:tab w:val="left" w:pos="569"/>
        </w:tabs>
        <w:jc w:val="both"/>
        <w:rPr>
          <w:bCs/>
          <w:sz w:val="22"/>
          <w:szCs w:val="22"/>
          <w:u w:val="single"/>
          <w:lang w:val="sr-Latn-ME"/>
        </w:rPr>
      </w:pPr>
      <w:r w:rsidRPr="00D759D0">
        <w:rPr>
          <w:bCs/>
          <w:sz w:val="22"/>
          <w:szCs w:val="22"/>
          <w:u w:val="single"/>
          <w:lang w:val="sr-Latn-ME"/>
        </w:rPr>
        <w:t xml:space="preserve">Promjena boje očiju </w:t>
      </w:r>
    </w:p>
    <w:p w14:paraId="1AEC3787" w14:textId="09546D09" w:rsidR="00063330" w:rsidRPr="00D759D0" w:rsidRDefault="00093539" w:rsidP="00063330">
      <w:pPr>
        <w:tabs>
          <w:tab w:val="left" w:pos="540"/>
          <w:tab w:val="left" w:pos="569"/>
        </w:tabs>
        <w:jc w:val="both"/>
        <w:rPr>
          <w:bCs/>
          <w:sz w:val="22"/>
          <w:szCs w:val="22"/>
          <w:lang w:val="sr-Latn-ME"/>
        </w:rPr>
      </w:pPr>
      <w:r w:rsidRPr="00D759D0">
        <w:rPr>
          <w:bCs/>
          <w:sz w:val="22"/>
          <w:szCs w:val="22"/>
          <w:lang w:val="sr-Latn-ME"/>
        </w:rPr>
        <w:t xml:space="preserve">Lijek </w:t>
      </w:r>
      <w:proofErr w:type="spellStart"/>
      <w:r w:rsidR="00063330" w:rsidRPr="00D759D0">
        <w:rPr>
          <w:bCs/>
          <w:sz w:val="22"/>
          <w:szCs w:val="22"/>
          <w:lang w:val="sr-Latn-ME"/>
        </w:rPr>
        <w:t>Travatan</w:t>
      </w:r>
      <w:proofErr w:type="spellEnd"/>
      <w:r w:rsidR="00063330" w:rsidRPr="00D759D0">
        <w:rPr>
          <w:bCs/>
          <w:sz w:val="22"/>
          <w:szCs w:val="22"/>
          <w:lang w:val="sr-Latn-ME"/>
        </w:rPr>
        <w:t xml:space="preserve"> može </w:t>
      </w:r>
      <w:proofErr w:type="spellStart"/>
      <w:r w:rsidR="00063330" w:rsidRPr="00D759D0">
        <w:rPr>
          <w:bCs/>
          <w:sz w:val="22"/>
          <w:szCs w:val="22"/>
          <w:lang w:val="sr-Latn-ME"/>
        </w:rPr>
        <w:t>postepeno</w:t>
      </w:r>
      <w:proofErr w:type="spellEnd"/>
      <w:r w:rsidR="00063330" w:rsidRPr="00D759D0">
        <w:rPr>
          <w:bCs/>
          <w:sz w:val="22"/>
          <w:szCs w:val="22"/>
          <w:lang w:val="sr-Latn-ME"/>
        </w:rPr>
        <w:t xml:space="preserve"> da dovede do promjene boje dužice </w:t>
      </w:r>
      <w:proofErr w:type="spellStart"/>
      <w:r w:rsidR="00063330" w:rsidRPr="00D759D0">
        <w:rPr>
          <w:bCs/>
          <w:sz w:val="22"/>
          <w:szCs w:val="22"/>
          <w:lang w:val="sr-Latn-ME"/>
        </w:rPr>
        <w:t>postepenim</w:t>
      </w:r>
      <w:proofErr w:type="spellEnd"/>
      <w:r w:rsidR="00063330" w:rsidRPr="00D759D0">
        <w:rPr>
          <w:bCs/>
          <w:sz w:val="22"/>
          <w:szCs w:val="22"/>
          <w:lang w:val="sr-Latn-ME"/>
        </w:rPr>
        <w:t xml:space="preserve"> povećanjem broja </w:t>
      </w:r>
      <w:proofErr w:type="spellStart"/>
      <w:r w:rsidR="00063330" w:rsidRPr="00D759D0">
        <w:rPr>
          <w:bCs/>
          <w:sz w:val="22"/>
          <w:szCs w:val="22"/>
          <w:lang w:val="sr-Latn-ME"/>
        </w:rPr>
        <w:t>melanozoma</w:t>
      </w:r>
      <w:proofErr w:type="spellEnd"/>
      <w:r w:rsidR="00063330" w:rsidRPr="00D759D0">
        <w:rPr>
          <w:bCs/>
          <w:sz w:val="22"/>
          <w:szCs w:val="22"/>
          <w:lang w:val="sr-Latn-ME"/>
        </w:rPr>
        <w:t xml:space="preserve"> (pigmentnih granula) u </w:t>
      </w:r>
      <w:proofErr w:type="spellStart"/>
      <w:r w:rsidR="00063330" w:rsidRPr="00D759D0">
        <w:rPr>
          <w:bCs/>
          <w:sz w:val="22"/>
          <w:szCs w:val="22"/>
          <w:lang w:val="sr-Latn-ME"/>
        </w:rPr>
        <w:t>melanocitima</w:t>
      </w:r>
      <w:proofErr w:type="spellEnd"/>
      <w:r w:rsidR="00063330" w:rsidRPr="00D759D0">
        <w:rPr>
          <w:bCs/>
          <w:sz w:val="22"/>
          <w:szCs w:val="22"/>
          <w:lang w:val="sr-Latn-ME"/>
        </w:rPr>
        <w:t xml:space="preserve">. Prije početka terapije, pacijent se mora upozoriti na mogućnost trajne promjene boje dužice. Liječenje samo jednog oka može da dovede do trajne razlike u boji očiju. Dugotrajni efekti na </w:t>
      </w:r>
      <w:proofErr w:type="spellStart"/>
      <w:r w:rsidR="00063330" w:rsidRPr="00D759D0">
        <w:rPr>
          <w:bCs/>
          <w:sz w:val="22"/>
          <w:szCs w:val="22"/>
          <w:lang w:val="sr-Latn-ME"/>
        </w:rPr>
        <w:t>melanocite</w:t>
      </w:r>
      <w:proofErr w:type="spellEnd"/>
      <w:r w:rsidR="00063330" w:rsidRPr="00D759D0">
        <w:rPr>
          <w:bCs/>
          <w:sz w:val="22"/>
          <w:szCs w:val="22"/>
          <w:lang w:val="sr-Latn-ME"/>
        </w:rPr>
        <w:t xml:space="preserve"> kao i posljedice tog djelovanja još uvijek nijesu poznate. Promjena boje dužice nastaje sporo i </w:t>
      </w:r>
      <w:proofErr w:type="spellStart"/>
      <w:r w:rsidR="00063330" w:rsidRPr="00D759D0">
        <w:rPr>
          <w:bCs/>
          <w:sz w:val="22"/>
          <w:szCs w:val="22"/>
          <w:lang w:val="sr-Latn-ME"/>
        </w:rPr>
        <w:t>postepeno</w:t>
      </w:r>
      <w:proofErr w:type="spellEnd"/>
      <w:r w:rsidR="00063330" w:rsidRPr="00D759D0">
        <w:rPr>
          <w:bCs/>
          <w:sz w:val="22"/>
          <w:szCs w:val="22"/>
          <w:lang w:val="sr-Latn-ME"/>
        </w:rPr>
        <w:t xml:space="preserve">, pa mogu proći mjeseci i godine dok se ne uoči. Promjena boje dužice se uglavnom viđa kod pacijenata koji imaju neodređenu boju očiju (npr. plavo-smeđe, sivo-smeđe, žuto-smeđe i zeleno-smeđe), ali takođe i kod pacijenata sa smeđom bojom očiju. Najčešće, smeđa pigmentacija oko </w:t>
      </w:r>
      <w:proofErr w:type="spellStart"/>
      <w:r w:rsidR="00063330" w:rsidRPr="00D759D0">
        <w:rPr>
          <w:bCs/>
          <w:sz w:val="22"/>
          <w:szCs w:val="22"/>
          <w:lang w:val="sr-Latn-ME"/>
        </w:rPr>
        <w:t>zenice</w:t>
      </w:r>
      <w:proofErr w:type="spellEnd"/>
      <w:r w:rsidR="00063330" w:rsidRPr="00D759D0">
        <w:rPr>
          <w:bCs/>
          <w:sz w:val="22"/>
          <w:szCs w:val="22"/>
          <w:lang w:val="sr-Latn-ME"/>
        </w:rPr>
        <w:t xml:space="preserve"> se širi koncentrično prema periferiji zahvaćenog oka, pa cijela dužica ili njeni djelovi mogu postati još tamnije smeđi. Po obustavljanju terapije ne dolazi do daljeg povećanja smeđeg pigmenta u dužici. </w:t>
      </w:r>
    </w:p>
    <w:p w14:paraId="731AEBD7" w14:textId="77777777" w:rsidR="00063330" w:rsidRPr="00D759D0" w:rsidRDefault="00063330" w:rsidP="00063330">
      <w:pPr>
        <w:tabs>
          <w:tab w:val="left" w:pos="540"/>
          <w:tab w:val="left" w:pos="569"/>
        </w:tabs>
        <w:jc w:val="both"/>
        <w:rPr>
          <w:bCs/>
          <w:sz w:val="22"/>
          <w:szCs w:val="22"/>
          <w:lang w:val="sr-Latn-ME"/>
        </w:rPr>
      </w:pPr>
    </w:p>
    <w:p w14:paraId="6AD680FA" w14:textId="77777777" w:rsidR="00063330" w:rsidRPr="00D759D0" w:rsidRDefault="00063330" w:rsidP="00063330">
      <w:pPr>
        <w:tabs>
          <w:tab w:val="left" w:pos="540"/>
          <w:tab w:val="left" w:pos="569"/>
        </w:tabs>
        <w:jc w:val="both"/>
        <w:rPr>
          <w:bCs/>
          <w:sz w:val="22"/>
          <w:szCs w:val="22"/>
          <w:u w:val="single"/>
          <w:lang w:val="sr-Latn-ME"/>
        </w:rPr>
      </w:pPr>
      <w:proofErr w:type="spellStart"/>
      <w:r w:rsidRPr="00D759D0">
        <w:rPr>
          <w:bCs/>
          <w:sz w:val="22"/>
          <w:szCs w:val="22"/>
          <w:u w:val="single"/>
          <w:lang w:val="sr-Latn-ME"/>
        </w:rPr>
        <w:t>Periorbitalne</w:t>
      </w:r>
      <w:proofErr w:type="spellEnd"/>
      <w:r w:rsidRPr="00D759D0">
        <w:rPr>
          <w:bCs/>
          <w:sz w:val="22"/>
          <w:szCs w:val="22"/>
          <w:u w:val="single"/>
          <w:lang w:val="sr-Latn-ME"/>
        </w:rPr>
        <w:t xml:space="preserve"> promjene i promjene očnog kapka </w:t>
      </w:r>
    </w:p>
    <w:p w14:paraId="421EE9FC"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U kontrolisanim kliničkim studijama je nađena i tamna </w:t>
      </w:r>
      <w:proofErr w:type="spellStart"/>
      <w:r w:rsidRPr="00D759D0">
        <w:rPr>
          <w:bCs/>
          <w:sz w:val="22"/>
          <w:szCs w:val="22"/>
          <w:lang w:val="sr-Latn-ME"/>
        </w:rPr>
        <w:t>prebojenost</w:t>
      </w:r>
      <w:proofErr w:type="spellEnd"/>
      <w:r w:rsidRPr="00D759D0">
        <w:rPr>
          <w:bCs/>
          <w:sz w:val="22"/>
          <w:szCs w:val="22"/>
          <w:lang w:val="sr-Latn-ME"/>
        </w:rPr>
        <w:t xml:space="preserve"> kože oko očiju i/ili kože očnih kapaka uslovljena upotrebom lijeka </w:t>
      </w:r>
      <w:proofErr w:type="spellStart"/>
      <w:r w:rsidRPr="00D759D0">
        <w:rPr>
          <w:bCs/>
          <w:sz w:val="22"/>
          <w:szCs w:val="22"/>
          <w:lang w:val="sr-Latn-ME"/>
        </w:rPr>
        <w:t>Travatan</w:t>
      </w:r>
      <w:proofErr w:type="spellEnd"/>
      <w:r w:rsidRPr="00D759D0">
        <w:rPr>
          <w:bCs/>
          <w:sz w:val="22"/>
          <w:szCs w:val="22"/>
          <w:lang w:val="sr-Latn-ME"/>
        </w:rPr>
        <w:t xml:space="preserve"> kod 0,4% pacijenata. </w:t>
      </w:r>
      <w:proofErr w:type="spellStart"/>
      <w:r w:rsidRPr="00D759D0">
        <w:rPr>
          <w:bCs/>
          <w:sz w:val="22"/>
          <w:szCs w:val="22"/>
          <w:lang w:val="sr-Latn-ME"/>
        </w:rPr>
        <w:t>Periorbitalne</w:t>
      </w:r>
      <w:proofErr w:type="spellEnd"/>
      <w:r w:rsidRPr="00D759D0">
        <w:rPr>
          <w:bCs/>
          <w:sz w:val="22"/>
          <w:szCs w:val="22"/>
          <w:lang w:val="sr-Latn-ME"/>
        </w:rPr>
        <w:t xml:space="preserve"> promjene i promjene očnog kapka, uključujući produbljivanje žljeba očnog kapka, takođe su primijećeni kod </w:t>
      </w:r>
      <w:proofErr w:type="spellStart"/>
      <w:r w:rsidRPr="00D759D0">
        <w:rPr>
          <w:bCs/>
          <w:sz w:val="22"/>
          <w:szCs w:val="22"/>
          <w:lang w:val="sr-Latn-ME"/>
        </w:rPr>
        <w:t>analoga</w:t>
      </w:r>
      <w:proofErr w:type="spellEnd"/>
      <w:r w:rsidRPr="00D759D0">
        <w:rPr>
          <w:bCs/>
          <w:sz w:val="22"/>
          <w:szCs w:val="22"/>
          <w:lang w:val="sr-Latn-ME"/>
        </w:rPr>
        <w:t xml:space="preserve"> </w:t>
      </w:r>
      <w:proofErr w:type="spellStart"/>
      <w:r w:rsidRPr="00D759D0">
        <w:rPr>
          <w:bCs/>
          <w:sz w:val="22"/>
          <w:szCs w:val="22"/>
          <w:lang w:val="sr-Latn-ME"/>
        </w:rPr>
        <w:t>prostaglandina</w:t>
      </w:r>
      <w:proofErr w:type="spellEnd"/>
      <w:r w:rsidRPr="00D759D0">
        <w:rPr>
          <w:bCs/>
          <w:sz w:val="22"/>
          <w:szCs w:val="22"/>
          <w:lang w:val="sr-Latn-ME"/>
        </w:rPr>
        <w:t xml:space="preserve">.    </w:t>
      </w:r>
    </w:p>
    <w:p w14:paraId="3703496E" w14:textId="77777777" w:rsidR="00063330" w:rsidRPr="00D759D0" w:rsidRDefault="00063330" w:rsidP="00063330">
      <w:pPr>
        <w:tabs>
          <w:tab w:val="left" w:pos="540"/>
          <w:tab w:val="left" w:pos="569"/>
        </w:tabs>
        <w:jc w:val="both"/>
        <w:rPr>
          <w:bCs/>
          <w:sz w:val="22"/>
          <w:szCs w:val="22"/>
          <w:lang w:val="sr-Latn-ME"/>
        </w:rPr>
      </w:pPr>
    </w:p>
    <w:p w14:paraId="5A6EF583" w14:textId="7E33A0E0" w:rsidR="00063330" w:rsidRPr="00D759D0" w:rsidRDefault="00093539" w:rsidP="00063330">
      <w:pPr>
        <w:tabs>
          <w:tab w:val="left" w:pos="540"/>
          <w:tab w:val="left" w:pos="569"/>
        </w:tabs>
        <w:jc w:val="both"/>
        <w:rPr>
          <w:bCs/>
          <w:sz w:val="22"/>
          <w:szCs w:val="22"/>
          <w:lang w:val="sr-Latn-ME"/>
        </w:rPr>
      </w:pPr>
      <w:r w:rsidRPr="00D759D0">
        <w:rPr>
          <w:bCs/>
          <w:sz w:val="22"/>
          <w:szCs w:val="22"/>
          <w:lang w:val="sr-Latn-ME"/>
        </w:rPr>
        <w:t xml:space="preserve">Lijek </w:t>
      </w:r>
      <w:proofErr w:type="spellStart"/>
      <w:r w:rsidR="00063330" w:rsidRPr="00D759D0">
        <w:rPr>
          <w:bCs/>
          <w:sz w:val="22"/>
          <w:szCs w:val="22"/>
          <w:lang w:val="sr-Latn-ME"/>
        </w:rPr>
        <w:t>Travatan</w:t>
      </w:r>
      <w:proofErr w:type="spellEnd"/>
      <w:r w:rsidR="00063330" w:rsidRPr="00D759D0">
        <w:rPr>
          <w:bCs/>
          <w:sz w:val="22"/>
          <w:szCs w:val="22"/>
          <w:lang w:val="sr-Latn-ME"/>
        </w:rPr>
        <w:t xml:space="preserve"> može </w:t>
      </w:r>
      <w:proofErr w:type="spellStart"/>
      <w:r w:rsidR="00063330" w:rsidRPr="00D759D0">
        <w:rPr>
          <w:bCs/>
          <w:sz w:val="22"/>
          <w:szCs w:val="22"/>
          <w:lang w:val="sr-Latn-ME"/>
        </w:rPr>
        <w:t>postepeno</w:t>
      </w:r>
      <w:proofErr w:type="spellEnd"/>
      <w:r w:rsidR="00063330" w:rsidRPr="00D759D0">
        <w:rPr>
          <w:bCs/>
          <w:sz w:val="22"/>
          <w:szCs w:val="22"/>
          <w:lang w:val="sr-Latn-ME"/>
        </w:rPr>
        <w:t xml:space="preserve"> da dovede i do promjena na trepavicama liječenog oka; ove promjene su nađene kod otprilike polovine pacijenata u kliničkim studijama i obuhvataju: povećanje dužine, debljine, pigmentacije i/ili broja trepavica. Još uvijek nije poznat mehanizam koji dovodi do dugotrajnih promjena, kao ni dugoročne posljedice promjena na trepavicama. </w:t>
      </w:r>
    </w:p>
    <w:p w14:paraId="6DCD84AB" w14:textId="77777777" w:rsidR="00063330" w:rsidRPr="00D759D0" w:rsidRDefault="00063330" w:rsidP="00063330">
      <w:pPr>
        <w:tabs>
          <w:tab w:val="left" w:pos="540"/>
          <w:tab w:val="left" w:pos="569"/>
        </w:tabs>
        <w:jc w:val="both"/>
        <w:rPr>
          <w:bCs/>
          <w:sz w:val="22"/>
          <w:szCs w:val="22"/>
          <w:lang w:val="sr-Latn-ME"/>
        </w:rPr>
      </w:pPr>
    </w:p>
    <w:p w14:paraId="00678B69" w14:textId="316E571B"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U studijama na majmunima, nađeno je da </w:t>
      </w:r>
      <w:r w:rsidR="00093539" w:rsidRPr="00D759D0">
        <w:rPr>
          <w:bCs/>
          <w:sz w:val="22"/>
          <w:szCs w:val="22"/>
          <w:lang w:val="sr-Latn-ME"/>
        </w:rPr>
        <w:t xml:space="preserve">lijek </w:t>
      </w:r>
      <w:proofErr w:type="spellStart"/>
      <w:r w:rsidRPr="00D759D0">
        <w:rPr>
          <w:bCs/>
          <w:sz w:val="22"/>
          <w:szCs w:val="22"/>
          <w:lang w:val="sr-Latn-ME"/>
        </w:rPr>
        <w:t>Travatan</w:t>
      </w:r>
      <w:proofErr w:type="spellEnd"/>
      <w:r w:rsidRPr="00D759D0">
        <w:rPr>
          <w:bCs/>
          <w:sz w:val="22"/>
          <w:szCs w:val="22"/>
          <w:lang w:val="sr-Latn-ME"/>
        </w:rPr>
        <w:t xml:space="preserve"> dovodi do malog povećanja </w:t>
      </w:r>
      <w:proofErr w:type="spellStart"/>
      <w:r w:rsidRPr="00D759D0">
        <w:rPr>
          <w:bCs/>
          <w:sz w:val="22"/>
          <w:szCs w:val="22"/>
          <w:lang w:val="sr-Latn-ME"/>
        </w:rPr>
        <w:t>palpebralne</w:t>
      </w:r>
      <w:proofErr w:type="spellEnd"/>
      <w:r w:rsidRPr="00D759D0">
        <w:rPr>
          <w:bCs/>
          <w:sz w:val="22"/>
          <w:szCs w:val="22"/>
          <w:lang w:val="sr-Latn-ME"/>
        </w:rPr>
        <w:t xml:space="preserve"> </w:t>
      </w:r>
      <w:proofErr w:type="spellStart"/>
      <w:r w:rsidRPr="00D759D0">
        <w:rPr>
          <w:bCs/>
          <w:sz w:val="22"/>
          <w:szCs w:val="22"/>
          <w:lang w:val="sr-Latn-ME"/>
        </w:rPr>
        <w:t>fisure</w:t>
      </w:r>
      <w:proofErr w:type="spellEnd"/>
      <w:r w:rsidRPr="00D759D0">
        <w:rPr>
          <w:bCs/>
          <w:sz w:val="22"/>
          <w:szCs w:val="22"/>
          <w:lang w:val="sr-Latn-ME"/>
        </w:rPr>
        <w:t xml:space="preserve">. Međutim, ovaj efekat nije uočen tokom kliničkih studija i smatra se specifičnim za vrstu.  </w:t>
      </w:r>
    </w:p>
    <w:p w14:paraId="1F5BF537" w14:textId="77777777" w:rsidR="00063330" w:rsidRPr="00D759D0" w:rsidRDefault="00063330" w:rsidP="00063330">
      <w:pPr>
        <w:tabs>
          <w:tab w:val="left" w:pos="540"/>
          <w:tab w:val="left" w:pos="569"/>
        </w:tabs>
        <w:jc w:val="both"/>
        <w:rPr>
          <w:bCs/>
          <w:sz w:val="22"/>
          <w:szCs w:val="22"/>
          <w:lang w:val="sr-Latn-ME"/>
        </w:rPr>
      </w:pPr>
    </w:p>
    <w:p w14:paraId="25DB100E" w14:textId="1EA7BDDB"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Nema iskustava sa lijekom </w:t>
      </w:r>
      <w:proofErr w:type="spellStart"/>
      <w:r w:rsidRPr="00D759D0">
        <w:rPr>
          <w:bCs/>
          <w:sz w:val="22"/>
          <w:szCs w:val="22"/>
          <w:lang w:val="sr-Latn-ME"/>
        </w:rPr>
        <w:t>Travatan</w:t>
      </w:r>
      <w:proofErr w:type="spellEnd"/>
      <w:r w:rsidRPr="00D759D0">
        <w:rPr>
          <w:bCs/>
          <w:sz w:val="22"/>
          <w:szCs w:val="22"/>
          <w:lang w:val="sr-Latn-ME"/>
        </w:rPr>
        <w:t xml:space="preserve"> kod </w:t>
      </w:r>
      <w:proofErr w:type="spellStart"/>
      <w:r w:rsidRPr="00D759D0">
        <w:rPr>
          <w:bCs/>
          <w:sz w:val="22"/>
          <w:szCs w:val="22"/>
          <w:lang w:val="sr-Latn-ME"/>
        </w:rPr>
        <w:t>zapaljenskih</w:t>
      </w:r>
      <w:proofErr w:type="spellEnd"/>
      <w:r w:rsidRPr="00D759D0">
        <w:rPr>
          <w:bCs/>
          <w:sz w:val="22"/>
          <w:szCs w:val="22"/>
          <w:lang w:val="sr-Latn-ME"/>
        </w:rPr>
        <w:t xml:space="preserve"> procesa oka; kao ni kod </w:t>
      </w:r>
      <w:proofErr w:type="spellStart"/>
      <w:r w:rsidRPr="00D759D0">
        <w:rPr>
          <w:bCs/>
          <w:sz w:val="22"/>
          <w:szCs w:val="22"/>
          <w:lang w:val="sr-Latn-ME"/>
        </w:rPr>
        <w:t>neovaskularnog</w:t>
      </w:r>
      <w:proofErr w:type="spellEnd"/>
      <w:r w:rsidRPr="00D759D0">
        <w:rPr>
          <w:bCs/>
          <w:sz w:val="22"/>
          <w:szCs w:val="22"/>
          <w:lang w:val="sr-Latn-ME"/>
        </w:rPr>
        <w:t xml:space="preserve"> glaukoma, glaukoma zatvorenog ugla, uskog ugla ili </w:t>
      </w:r>
      <w:proofErr w:type="spellStart"/>
      <w:r w:rsidRPr="00D759D0">
        <w:rPr>
          <w:bCs/>
          <w:sz w:val="22"/>
          <w:szCs w:val="22"/>
          <w:lang w:val="sr-Latn-ME"/>
        </w:rPr>
        <w:t>kongenitalnog</w:t>
      </w:r>
      <w:proofErr w:type="spellEnd"/>
      <w:r w:rsidRPr="00D759D0">
        <w:rPr>
          <w:bCs/>
          <w:sz w:val="22"/>
          <w:szCs w:val="22"/>
          <w:lang w:val="sr-Latn-ME"/>
        </w:rPr>
        <w:t xml:space="preserve"> glaukoma, i samo ograničenih iskustava kod poremećaja oka zbog oboljenja </w:t>
      </w:r>
      <w:proofErr w:type="spellStart"/>
      <w:r w:rsidRPr="00D759D0">
        <w:rPr>
          <w:bCs/>
          <w:sz w:val="22"/>
          <w:szCs w:val="22"/>
          <w:lang w:val="sr-Latn-ME"/>
        </w:rPr>
        <w:t>tireoidee</w:t>
      </w:r>
      <w:proofErr w:type="spellEnd"/>
      <w:r w:rsidRPr="00D759D0">
        <w:rPr>
          <w:bCs/>
          <w:sz w:val="22"/>
          <w:szCs w:val="22"/>
          <w:lang w:val="sr-Latn-ME"/>
        </w:rPr>
        <w:t xml:space="preserve">, kod glaukoma otvorenog ugla kod pacijenata sa </w:t>
      </w:r>
      <w:proofErr w:type="spellStart"/>
      <w:r w:rsidRPr="00D759D0">
        <w:rPr>
          <w:bCs/>
          <w:sz w:val="22"/>
          <w:szCs w:val="22"/>
          <w:lang w:val="sr-Latn-ME"/>
        </w:rPr>
        <w:t>pseudofakijom</w:t>
      </w:r>
      <w:proofErr w:type="spellEnd"/>
      <w:r w:rsidRPr="00D759D0">
        <w:rPr>
          <w:bCs/>
          <w:sz w:val="22"/>
          <w:szCs w:val="22"/>
          <w:lang w:val="sr-Latn-ME"/>
        </w:rPr>
        <w:t xml:space="preserve"> i kod pacijenata sa pigmentnim ili </w:t>
      </w:r>
      <w:proofErr w:type="spellStart"/>
      <w:r w:rsidRPr="00D759D0">
        <w:rPr>
          <w:bCs/>
          <w:sz w:val="22"/>
          <w:szCs w:val="22"/>
          <w:lang w:val="sr-Latn-ME"/>
        </w:rPr>
        <w:t>pseudoeksfolijativnim</w:t>
      </w:r>
      <w:proofErr w:type="spellEnd"/>
      <w:r w:rsidRPr="00D759D0">
        <w:rPr>
          <w:bCs/>
          <w:sz w:val="22"/>
          <w:szCs w:val="22"/>
          <w:lang w:val="sr-Latn-ME"/>
        </w:rPr>
        <w:t xml:space="preserve"> glaukomom. Iz tog razloga, treba primjenjivati mjere opreza kada se </w:t>
      </w:r>
      <w:r w:rsidR="00093539" w:rsidRPr="00D759D0">
        <w:rPr>
          <w:bCs/>
          <w:sz w:val="22"/>
          <w:szCs w:val="22"/>
          <w:lang w:val="sr-Latn-ME"/>
        </w:rPr>
        <w:t xml:space="preserve">lijek </w:t>
      </w:r>
      <w:proofErr w:type="spellStart"/>
      <w:r w:rsidRPr="00D759D0">
        <w:rPr>
          <w:bCs/>
          <w:sz w:val="22"/>
          <w:szCs w:val="22"/>
          <w:lang w:val="sr-Latn-ME"/>
        </w:rPr>
        <w:t>Travatan</w:t>
      </w:r>
      <w:proofErr w:type="spellEnd"/>
      <w:r w:rsidRPr="00D759D0">
        <w:rPr>
          <w:bCs/>
          <w:sz w:val="22"/>
          <w:szCs w:val="22"/>
          <w:lang w:val="sr-Latn-ME"/>
        </w:rPr>
        <w:t xml:space="preserve"> koristi kod pacijenata sa aktivnim </w:t>
      </w:r>
      <w:proofErr w:type="spellStart"/>
      <w:r w:rsidRPr="00D759D0">
        <w:rPr>
          <w:bCs/>
          <w:sz w:val="22"/>
          <w:szCs w:val="22"/>
          <w:lang w:val="sr-Latn-ME"/>
        </w:rPr>
        <w:t>intraokularnim</w:t>
      </w:r>
      <w:proofErr w:type="spellEnd"/>
      <w:r w:rsidRPr="00D759D0">
        <w:rPr>
          <w:bCs/>
          <w:sz w:val="22"/>
          <w:szCs w:val="22"/>
          <w:lang w:val="sr-Latn-ME"/>
        </w:rPr>
        <w:t xml:space="preserve"> zapaljenjem.</w:t>
      </w:r>
    </w:p>
    <w:p w14:paraId="6003BF7A" w14:textId="77777777" w:rsidR="00063330" w:rsidRPr="00D759D0" w:rsidRDefault="00063330" w:rsidP="00063330">
      <w:pPr>
        <w:tabs>
          <w:tab w:val="left" w:pos="540"/>
          <w:tab w:val="left" w:pos="569"/>
        </w:tabs>
        <w:jc w:val="both"/>
        <w:rPr>
          <w:bCs/>
          <w:sz w:val="22"/>
          <w:szCs w:val="22"/>
          <w:lang w:val="sr-Latn-ME"/>
        </w:rPr>
      </w:pPr>
    </w:p>
    <w:p w14:paraId="0AD595B9" w14:textId="77777777" w:rsidR="00063330" w:rsidRPr="00D759D0" w:rsidRDefault="00063330" w:rsidP="00063330">
      <w:pPr>
        <w:tabs>
          <w:tab w:val="left" w:pos="540"/>
          <w:tab w:val="left" w:pos="569"/>
        </w:tabs>
        <w:jc w:val="both"/>
        <w:rPr>
          <w:bCs/>
          <w:sz w:val="22"/>
          <w:szCs w:val="22"/>
          <w:u w:val="single"/>
          <w:lang w:val="sr-Latn-ME"/>
        </w:rPr>
      </w:pPr>
      <w:r w:rsidRPr="00D759D0">
        <w:rPr>
          <w:bCs/>
          <w:sz w:val="22"/>
          <w:szCs w:val="22"/>
          <w:u w:val="single"/>
          <w:lang w:val="sr-Latn-ME"/>
        </w:rPr>
        <w:t xml:space="preserve">Pacijenti sa </w:t>
      </w:r>
      <w:proofErr w:type="spellStart"/>
      <w:r w:rsidRPr="00D759D0">
        <w:rPr>
          <w:bCs/>
          <w:sz w:val="22"/>
          <w:szCs w:val="22"/>
          <w:u w:val="single"/>
          <w:lang w:val="sr-Latn-ME"/>
        </w:rPr>
        <w:t>afakijom</w:t>
      </w:r>
      <w:proofErr w:type="spellEnd"/>
      <w:r w:rsidRPr="00D759D0">
        <w:rPr>
          <w:bCs/>
          <w:sz w:val="22"/>
          <w:szCs w:val="22"/>
          <w:u w:val="single"/>
          <w:lang w:val="sr-Latn-ME"/>
        </w:rPr>
        <w:t xml:space="preserve"> </w:t>
      </w:r>
    </w:p>
    <w:p w14:paraId="3EDD8AFC"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U toku terapije sa </w:t>
      </w:r>
      <w:proofErr w:type="spellStart"/>
      <w:r w:rsidRPr="00D759D0">
        <w:rPr>
          <w:bCs/>
          <w:sz w:val="22"/>
          <w:szCs w:val="22"/>
          <w:lang w:val="sr-Latn-ME"/>
        </w:rPr>
        <w:t>analozima</w:t>
      </w:r>
      <w:proofErr w:type="spellEnd"/>
      <w:r w:rsidRPr="00D759D0">
        <w:rPr>
          <w:bCs/>
          <w:sz w:val="22"/>
          <w:szCs w:val="22"/>
          <w:lang w:val="sr-Latn-ME"/>
        </w:rPr>
        <w:t xml:space="preserve"> </w:t>
      </w:r>
      <w:proofErr w:type="spellStart"/>
      <w:r w:rsidRPr="00D759D0">
        <w:rPr>
          <w:bCs/>
          <w:sz w:val="22"/>
          <w:szCs w:val="22"/>
          <w:lang w:val="sr-Latn-ME"/>
        </w:rPr>
        <w:t>prostaglandina</w:t>
      </w:r>
      <w:proofErr w:type="spellEnd"/>
      <w:r w:rsidRPr="00D759D0">
        <w:rPr>
          <w:bCs/>
          <w:sz w:val="22"/>
          <w:szCs w:val="22"/>
          <w:lang w:val="sr-Latn-ME"/>
        </w:rPr>
        <w:t xml:space="preserve"> F</w:t>
      </w:r>
      <w:r w:rsidRPr="00D759D0">
        <w:rPr>
          <w:bCs/>
          <w:sz w:val="22"/>
          <w:szCs w:val="22"/>
          <w:vertAlign w:val="subscript"/>
          <w:lang w:val="sr-Latn-ME"/>
        </w:rPr>
        <w:t>2</w:t>
      </w:r>
      <w:r w:rsidRPr="00D759D0">
        <w:rPr>
          <w:rFonts w:eastAsia="SymbolMT"/>
          <w:sz w:val="22"/>
          <w:szCs w:val="22"/>
          <w:lang w:val="sr-Latn-ME" w:eastAsia="sr-Latn-CS"/>
        </w:rPr>
        <w:t>α</w:t>
      </w:r>
      <w:r w:rsidRPr="00D759D0">
        <w:rPr>
          <w:bCs/>
          <w:sz w:val="22"/>
          <w:szCs w:val="22"/>
          <w:lang w:val="sr-Latn-ME"/>
        </w:rPr>
        <w:t xml:space="preserve"> primijećen je </w:t>
      </w:r>
      <w:proofErr w:type="spellStart"/>
      <w:r w:rsidRPr="00D759D0">
        <w:rPr>
          <w:bCs/>
          <w:sz w:val="22"/>
          <w:szCs w:val="22"/>
          <w:lang w:val="sr-Latn-ME"/>
        </w:rPr>
        <w:t>makularni</w:t>
      </w:r>
      <w:proofErr w:type="spellEnd"/>
      <w:r w:rsidRPr="00D759D0">
        <w:rPr>
          <w:bCs/>
          <w:sz w:val="22"/>
          <w:szCs w:val="22"/>
          <w:lang w:val="sr-Latn-ME"/>
        </w:rPr>
        <w:t xml:space="preserve"> </w:t>
      </w:r>
      <w:proofErr w:type="spellStart"/>
      <w:r w:rsidRPr="00D759D0">
        <w:rPr>
          <w:bCs/>
          <w:sz w:val="22"/>
          <w:szCs w:val="22"/>
          <w:lang w:val="sr-Latn-ME"/>
        </w:rPr>
        <w:t>edem</w:t>
      </w:r>
      <w:proofErr w:type="spellEnd"/>
      <w:r w:rsidRPr="00D759D0">
        <w:rPr>
          <w:bCs/>
          <w:sz w:val="22"/>
          <w:szCs w:val="22"/>
          <w:lang w:val="sr-Latn-ME"/>
        </w:rPr>
        <w:t xml:space="preserve">. Oprez se preporučuje pri upotrebi lijeka TRAVATAN kod pacijenata sa </w:t>
      </w:r>
      <w:proofErr w:type="spellStart"/>
      <w:r w:rsidRPr="00D759D0">
        <w:rPr>
          <w:bCs/>
          <w:sz w:val="22"/>
          <w:szCs w:val="22"/>
          <w:lang w:val="sr-Latn-ME"/>
        </w:rPr>
        <w:t>afakijom</w:t>
      </w:r>
      <w:proofErr w:type="spellEnd"/>
      <w:r w:rsidRPr="00D759D0">
        <w:rPr>
          <w:bCs/>
          <w:sz w:val="22"/>
          <w:szCs w:val="22"/>
          <w:lang w:val="sr-Latn-ME"/>
        </w:rPr>
        <w:t xml:space="preserve">, </w:t>
      </w:r>
      <w:proofErr w:type="spellStart"/>
      <w:r w:rsidRPr="00D759D0">
        <w:rPr>
          <w:bCs/>
          <w:sz w:val="22"/>
          <w:szCs w:val="22"/>
          <w:lang w:val="sr-Latn-ME"/>
        </w:rPr>
        <w:t>pseudofakijom</w:t>
      </w:r>
      <w:proofErr w:type="spellEnd"/>
      <w:r w:rsidRPr="00D759D0">
        <w:rPr>
          <w:bCs/>
          <w:sz w:val="22"/>
          <w:szCs w:val="22"/>
          <w:lang w:val="sr-Latn-ME"/>
        </w:rPr>
        <w:t xml:space="preserve"> sa pokidanom zadnjom kapsulom sočiva ili prednjom komorom sočiva, kao i kod pacijenata sa poznatim faktorima rizika za </w:t>
      </w:r>
      <w:proofErr w:type="spellStart"/>
      <w:r w:rsidRPr="00D759D0">
        <w:rPr>
          <w:bCs/>
          <w:sz w:val="22"/>
          <w:szCs w:val="22"/>
          <w:lang w:val="sr-Latn-ME"/>
        </w:rPr>
        <w:t>cistoidni</w:t>
      </w:r>
      <w:proofErr w:type="spellEnd"/>
      <w:r w:rsidRPr="00D759D0">
        <w:rPr>
          <w:bCs/>
          <w:sz w:val="22"/>
          <w:szCs w:val="22"/>
          <w:lang w:val="sr-Latn-ME"/>
        </w:rPr>
        <w:t xml:space="preserve"> </w:t>
      </w:r>
      <w:proofErr w:type="spellStart"/>
      <w:r w:rsidRPr="00D759D0">
        <w:rPr>
          <w:bCs/>
          <w:sz w:val="22"/>
          <w:szCs w:val="22"/>
          <w:lang w:val="sr-Latn-ME"/>
        </w:rPr>
        <w:t>makularni</w:t>
      </w:r>
      <w:proofErr w:type="spellEnd"/>
      <w:r w:rsidRPr="00D759D0">
        <w:rPr>
          <w:bCs/>
          <w:sz w:val="22"/>
          <w:szCs w:val="22"/>
          <w:lang w:val="sr-Latn-ME"/>
        </w:rPr>
        <w:t xml:space="preserve"> </w:t>
      </w:r>
      <w:proofErr w:type="spellStart"/>
      <w:r w:rsidRPr="00D759D0">
        <w:rPr>
          <w:bCs/>
          <w:sz w:val="22"/>
          <w:szCs w:val="22"/>
          <w:lang w:val="sr-Latn-ME"/>
        </w:rPr>
        <w:t>edem</w:t>
      </w:r>
      <w:proofErr w:type="spellEnd"/>
      <w:r w:rsidRPr="00D759D0">
        <w:rPr>
          <w:bCs/>
          <w:sz w:val="22"/>
          <w:szCs w:val="22"/>
          <w:lang w:val="sr-Latn-ME"/>
        </w:rPr>
        <w:t xml:space="preserve">. </w:t>
      </w:r>
    </w:p>
    <w:p w14:paraId="5429C8E7" w14:textId="77777777" w:rsidR="00063330" w:rsidRPr="00D759D0" w:rsidRDefault="00063330" w:rsidP="00063330">
      <w:pPr>
        <w:tabs>
          <w:tab w:val="left" w:pos="540"/>
          <w:tab w:val="left" w:pos="569"/>
        </w:tabs>
        <w:jc w:val="both"/>
        <w:rPr>
          <w:bCs/>
          <w:sz w:val="22"/>
          <w:szCs w:val="22"/>
          <w:lang w:val="sr-Latn-ME"/>
        </w:rPr>
      </w:pPr>
    </w:p>
    <w:p w14:paraId="620D1A36" w14:textId="77777777" w:rsidR="00063330" w:rsidRPr="00D759D0" w:rsidRDefault="00063330" w:rsidP="00063330">
      <w:pPr>
        <w:tabs>
          <w:tab w:val="left" w:pos="540"/>
          <w:tab w:val="left" w:pos="569"/>
        </w:tabs>
        <w:jc w:val="both"/>
        <w:rPr>
          <w:bCs/>
          <w:sz w:val="22"/>
          <w:szCs w:val="22"/>
          <w:u w:val="single"/>
          <w:lang w:val="sr-Latn-ME"/>
        </w:rPr>
      </w:pPr>
      <w:proofErr w:type="spellStart"/>
      <w:r w:rsidRPr="00D759D0">
        <w:rPr>
          <w:bCs/>
          <w:sz w:val="22"/>
          <w:szCs w:val="22"/>
          <w:u w:val="single"/>
          <w:lang w:val="sr-Latn-ME"/>
        </w:rPr>
        <w:t>Iritis</w:t>
      </w:r>
      <w:proofErr w:type="spellEnd"/>
      <w:r w:rsidRPr="00D759D0">
        <w:rPr>
          <w:bCs/>
          <w:sz w:val="22"/>
          <w:szCs w:val="22"/>
          <w:u w:val="single"/>
          <w:lang w:val="sr-Latn-ME"/>
        </w:rPr>
        <w:t>/</w:t>
      </w:r>
      <w:proofErr w:type="spellStart"/>
      <w:r w:rsidRPr="00D759D0">
        <w:rPr>
          <w:bCs/>
          <w:sz w:val="22"/>
          <w:szCs w:val="22"/>
          <w:u w:val="single"/>
          <w:lang w:val="sr-Latn-ME"/>
        </w:rPr>
        <w:t>uveitis</w:t>
      </w:r>
      <w:proofErr w:type="spellEnd"/>
    </w:p>
    <w:p w14:paraId="2BB370B8" w14:textId="17C94701"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Kod pacijenata sa poznatim </w:t>
      </w:r>
      <w:proofErr w:type="spellStart"/>
      <w:r w:rsidRPr="00D759D0">
        <w:rPr>
          <w:bCs/>
          <w:sz w:val="22"/>
          <w:szCs w:val="22"/>
          <w:lang w:val="sr-Latn-ME"/>
        </w:rPr>
        <w:t>predisponirajućim</w:t>
      </w:r>
      <w:proofErr w:type="spellEnd"/>
      <w:r w:rsidRPr="00D759D0">
        <w:rPr>
          <w:bCs/>
          <w:sz w:val="22"/>
          <w:szCs w:val="22"/>
          <w:lang w:val="sr-Latn-ME"/>
        </w:rPr>
        <w:t xml:space="preserve"> faktorima za </w:t>
      </w:r>
      <w:proofErr w:type="spellStart"/>
      <w:r w:rsidRPr="00D759D0">
        <w:rPr>
          <w:bCs/>
          <w:sz w:val="22"/>
          <w:szCs w:val="22"/>
          <w:lang w:val="sr-Latn-ME"/>
        </w:rPr>
        <w:t>iritis</w:t>
      </w:r>
      <w:proofErr w:type="spellEnd"/>
      <w:r w:rsidRPr="00D759D0">
        <w:rPr>
          <w:bCs/>
          <w:sz w:val="22"/>
          <w:szCs w:val="22"/>
          <w:lang w:val="sr-Latn-ME"/>
        </w:rPr>
        <w:t>/</w:t>
      </w:r>
      <w:proofErr w:type="spellStart"/>
      <w:r w:rsidRPr="00D759D0">
        <w:rPr>
          <w:bCs/>
          <w:sz w:val="22"/>
          <w:szCs w:val="22"/>
          <w:lang w:val="sr-Latn-ME"/>
        </w:rPr>
        <w:t>uveitis</w:t>
      </w:r>
      <w:proofErr w:type="spellEnd"/>
      <w:r w:rsidRPr="00D759D0">
        <w:rPr>
          <w:bCs/>
          <w:sz w:val="22"/>
          <w:szCs w:val="22"/>
          <w:lang w:val="sr-Latn-ME"/>
        </w:rPr>
        <w:t xml:space="preserve">, </w:t>
      </w:r>
      <w:r w:rsidR="00093539" w:rsidRPr="00D759D0">
        <w:rPr>
          <w:bCs/>
          <w:sz w:val="22"/>
          <w:szCs w:val="22"/>
          <w:lang w:val="sr-Latn-ME"/>
        </w:rPr>
        <w:t xml:space="preserve">lijek </w:t>
      </w:r>
      <w:r w:rsidRPr="00D759D0">
        <w:rPr>
          <w:bCs/>
          <w:sz w:val="22"/>
          <w:szCs w:val="22"/>
          <w:lang w:val="sr-Latn-ME"/>
        </w:rPr>
        <w:t xml:space="preserve">TRAVATAN treba oprezno primjenjivati. </w:t>
      </w:r>
    </w:p>
    <w:p w14:paraId="1DF81A4A" w14:textId="77777777" w:rsidR="00063330" w:rsidRPr="00D759D0" w:rsidRDefault="00063330" w:rsidP="00063330">
      <w:pPr>
        <w:tabs>
          <w:tab w:val="left" w:pos="540"/>
          <w:tab w:val="left" w:pos="569"/>
        </w:tabs>
        <w:jc w:val="both"/>
        <w:rPr>
          <w:bCs/>
          <w:sz w:val="22"/>
          <w:szCs w:val="22"/>
          <w:lang w:val="sr-Latn-ME"/>
        </w:rPr>
      </w:pPr>
    </w:p>
    <w:p w14:paraId="52153B62" w14:textId="77777777" w:rsidR="00063330" w:rsidRPr="00D759D0" w:rsidRDefault="00063330" w:rsidP="00063330">
      <w:pPr>
        <w:tabs>
          <w:tab w:val="left" w:pos="540"/>
          <w:tab w:val="left" w:pos="569"/>
        </w:tabs>
        <w:jc w:val="both"/>
        <w:rPr>
          <w:bCs/>
          <w:sz w:val="22"/>
          <w:szCs w:val="22"/>
          <w:u w:val="single"/>
          <w:lang w:val="sr-Latn-ME"/>
        </w:rPr>
      </w:pPr>
      <w:r w:rsidRPr="00D759D0">
        <w:rPr>
          <w:bCs/>
          <w:sz w:val="22"/>
          <w:szCs w:val="22"/>
          <w:u w:val="single"/>
          <w:lang w:val="sr-Latn-ME"/>
        </w:rPr>
        <w:t xml:space="preserve">Kontakt sa kožom </w:t>
      </w:r>
    </w:p>
    <w:p w14:paraId="139408C7"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Treba izbjegavati kontakt lijeka TRAVATAN sa kožom jer je dokazana </w:t>
      </w:r>
      <w:proofErr w:type="spellStart"/>
      <w:r w:rsidRPr="00D759D0">
        <w:rPr>
          <w:bCs/>
          <w:sz w:val="22"/>
          <w:szCs w:val="22"/>
          <w:lang w:val="sr-Latn-ME"/>
        </w:rPr>
        <w:t>transdermalna</w:t>
      </w:r>
      <w:proofErr w:type="spellEnd"/>
      <w:r w:rsidRPr="00D759D0">
        <w:rPr>
          <w:bCs/>
          <w:sz w:val="22"/>
          <w:szCs w:val="22"/>
          <w:lang w:val="sr-Latn-ME"/>
        </w:rPr>
        <w:t xml:space="preserve"> resorpcija kod zečeva. </w:t>
      </w:r>
    </w:p>
    <w:p w14:paraId="31217C88" w14:textId="77777777" w:rsidR="00063330" w:rsidRPr="00D759D0" w:rsidRDefault="00063330" w:rsidP="00063330">
      <w:pPr>
        <w:tabs>
          <w:tab w:val="left" w:pos="540"/>
          <w:tab w:val="left" w:pos="569"/>
        </w:tabs>
        <w:jc w:val="both"/>
        <w:rPr>
          <w:bCs/>
          <w:sz w:val="22"/>
          <w:szCs w:val="22"/>
          <w:lang w:val="sr-Latn-ME"/>
        </w:rPr>
      </w:pPr>
    </w:p>
    <w:p w14:paraId="6CB336C2" w14:textId="77777777" w:rsidR="00063330" w:rsidRPr="00D759D0" w:rsidRDefault="00063330" w:rsidP="00063330">
      <w:pPr>
        <w:tabs>
          <w:tab w:val="left" w:pos="540"/>
          <w:tab w:val="left" w:pos="569"/>
        </w:tabs>
        <w:jc w:val="both"/>
        <w:rPr>
          <w:bCs/>
          <w:sz w:val="22"/>
          <w:szCs w:val="22"/>
          <w:lang w:val="sr-Latn-ME"/>
        </w:rPr>
      </w:pPr>
      <w:proofErr w:type="spellStart"/>
      <w:r w:rsidRPr="00D759D0">
        <w:rPr>
          <w:bCs/>
          <w:sz w:val="22"/>
          <w:szCs w:val="22"/>
          <w:lang w:val="sr-Latn-ME"/>
        </w:rPr>
        <w:t>Prostaglandini</w:t>
      </w:r>
      <w:proofErr w:type="spellEnd"/>
      <w:r w:rsidRPr="00D759D0">
        <w:rPr>
          <w:bCs/>
          <w:sz w:val="22"/>
          <w:szCs w:val="22"/>
          <w:lang w:val="sr-Latn-ME"/>
        </w:rPr>
        <w:t xml:space="preserve"> i </w:t>
      </w:r>
      <w:proofErr w:type="spellStart"/>
      <w:r w:rsidRPr="00D759D0">
        <w:rPr>
          <w:bCs/>
          <w:sz w:val="22"/>
          <w:szCs w:val="22"/>
          <w:lang w:val="sr-Latn-ME"/>
        </w:rPr>
        <w:t>analozi</w:t>
      </w:r>
      <w:proofErr w:type="spellEnd"/>
      <w:r w:rsidRPr="00D759D0">
        <w:rPr>
          <w:bCs/>
          <w:sz w:val="22"/>
          <w:szCs w:val="22"/>
          <w:lang w:val="sr-Latn-ME"/>
        </w:rPr>
        <w:t xml:space="preserve"> </w:t>
      </w:r>
      <w:proofErr w:type="spellStart"/>
      <w:r w:rsidRPr="00D759D0">
        <w:rPr>
          <w:bCs/>
          <w:sz w:val="22"/>
          <w:szCs w:val="22"/>
          <w:lang w:val="sr-Latn-ME"/>
        </w:rPr>
        <w:t>prostaglandina</w:t>
      </w:r>
      <w:proofErr w:type="spellEnd"/>
      <w:r w:rsidRPr="00D759D0">
        <w:rPr>
          <w:bCs/>
          <w:sz w:val="22"/>
          <w:szCs w:val="22"/>
          <w:lang w:val="sr-Latn-ME"/>
        </w:rPr>
        <w:t xml:space="preserve"> su biološki aktivne materije koje se mogu resorbovati </w:t>
      </w:r>
      <w:proofErr w:type="spellStart"/>
      <w:r w:rsidRPr="00D759D0">
        <w:rPr>
          <w:bCs/>
          <w:sz w:val="22"/>
          <w:szCs w:val="22"/>
          <w:lang w:val="sr-Latn-ME"/>
        </w:rPr>
        <w:t>preko</w:t>
      </w:r>
      <w:proofErr w:type="spellEnd"/>
      <w:r w:rsidRPr="00D759D0">
        <w:rPr>
          <w:bCs/>
          <w:sz w:val="22"/>
          <w:szCs w:val="22"/>
          <w:lang w:val="sr-Latn-ME"/>
        </w:rPr>
        <w:t xml:space="preserve"> kože. Trudnice ili žene koje pokušavaju da zatrudne treba da izbjegavaju direktni kontakt sa sadržajem bočice. Ako slučajno dođe do kontakta sa većom količinom sadržaja bočice, odmah potpuno očistiti površinu koja je bila u kontaktu. </w:t>
      </w:r>
    </w:p>
    <w:p w14:paraId="3248AA03" w14:textId="77777777" w:rsidR="00063330" w:rsidRPr="00D759D0" w:rsidRDefault="00063330" w:rsidP="00063330">
      <w:pPr>
        <w:tabs>
          <w:tab w:val="left" w:pos="540"/>
          <w:tab w:val="left" w:pos="569"/>
        </w:tabs>
        <w:jc w:val="both"/>
        <w:rPr>
          <w:bCs/>
          <w:sz w:val="22"/>
          <w:szCs w:val="22"/>
          <w:lang w:val="sr-Latn-ME"/>
        </w:rPr>
      </w:pPr>
    </w:p>
    <w:p w14:paraId="28AF008B" w14:textId="77777777" w:rsidR="00063330" w:rsidRPr="00D759D0" w:rsidRDefault="00063330" w:rsidP="00063330">
      <w:pPr>
        <w:tabs>
          <w:tab w:val="left" w:pos="540"/>
          <w:tab w:val="left" w:pos="569"/>
        </w:tabs>
        <w:jc w:val="both"/>
        <w:rPr>
          <w:bCs/>
          <w:sz w:val="22"/>
          <w:szCs w:val="22"/>
          <w:u w:val="single"/>
          <w:lang w:val="sr-Latn-ME"/>
        </w:rPr>
      </w:pPr>
      <w:r w:rsidRPr="00D759D0">
        <w:rPr>
          <w:bCs/>
          <w:sz w:val="22"/>
          <w:szCs w:val="22"/>
          <w:u w:val="single"/>
          <w:lang w:val="sr-Latn-ME"/>
        </w:rPr>
        <w:t xml:space="preserve">Kontaktna sočiva </w:t>
      </w:r>
    </w:p>
    <w:p w14:paraId="5CB4AAF6"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Pacijentima treba objasniti da prije </w:t>
      </w:r>
      <w:proofErr w:type="spellStart"/>
      <w:r w:rsidRPr="00D759D0">
        <w:rPr>
          <w:bCs/>
          <w:sz w:val="22"/>
          <w:szCs w:val="22"/>
          <w:lang w:val="sr-Latn-ME"/>
        </w:rPr>
        <w:t>ukapavanja</w:t>
      </w:r>
      <w:proofErr w:type="spellEnd"/>
      <w:r w:rsidRPr="00D759D0">
        <w:rPr>
          <w:bCs/>
          <w:sz w:val="22"/>
          <w:szCs w:val="22"/>
          <w:lang w:val="sr-Latn-ME"/>
        </w:rPr>
        <w:t xml:space="preserve"> lijeka TRAVATAN moraju da skinu kontaktna sočiva, kao i da sačekaju sa ponovnim stavljanjem sočiva bar 15 minuta posle primjene lijeka. </w:t>
      </w:r>
    </w:p>
    <w:p w14:paraId="1A0F90BD" w14:textId="77777777" w:rsidR="00063330" w:rsidRPr="00D759D0" w:rsidRDefault="00063330" w:rsidP="00063330">
      <w:pPr>
        <w:tabs>
          <w:tab w:val="left" w:pos="540"/>
          <w:tab w:val="left" w:pos="569"/>
        </w:tabs>
        <w:jc w:val="both"/>
        <w:rPr>
          <w:bCs/>
          <w:sz w:val="22"/>
          <w:szCs w:val="22"/>
          <w:lang w:val="sr-Latn-ME"/>
        </w:rPr>
      </w:pPr>
    </w:p>
    <w:p w14:paraId="62304F51" w14:textId="77777777" w:rsidR="00063330" w:rsidRPr="00D759D0" w:rsidRDefault="00063330" w:rsidP="00063330">
      <w:pPr>
        <w:tabs>
          <w:tab w:val="left" w:pos="284"/>
        </w:tabs>
        <w:jc w:val="both"/>
        <w:rPr>
          <w:sz w:val="22"/>
          <w:szCs w:val="22"/>
          <w:u w:val="single"/>
          <w:lang w:val="sr-Latn-ME"/>
        </w:rPr>
      </w:pPr>
      <w:r w:rsidRPr="00D759D0">
        <w:rPr>
          <w:sz w:val="22"/>
          <w:szCs w:val="22"/>
          <w:u w:val="single"/>
          <w:lang w:val="sr-Latn-ME"/>
        </w:rPr>
        <w:t>Pomoćne supstance</w:t>
      </w:r>
    </w:p>
    <w:p w14:paraId="725FBA27" w14:textId="77777777" w:rsidR="00063330" w:rsidRPr="00D759D0" w:rsidRDefault="00063330" w:rsidP="00063330">
      <w:pPr>
        <w:tabs>
          <w:tab w:val="left" w:pos="284"/>
        </w:tabs>
        <w:jc w:val="both"/>
        <w:rPr>
          <w:sz w:val="22"/>
          <w:szCs w:val="22"/>
          <w:lang w:val="sr-Latn-ME"/>
        </w:rPr>
      </w:pPr>
      <w:r w:rsidRPr="00D759D0">
        <w:rPr>
          <w:sz w:val="22"/>
          <w:szCs w:val="22"/>
          <w:lang w:val="sr-Latn-ME"/>
        </w:rPr>
        <w:t xml:space="preserve">Lijek TRAVATAN sadrži </w:t>
      </w:r>
      <w:proofErr w:type="spellStart"/>
      <w:r w:rsidRPr="00D759D0">
        <w:rPr>
          <w:sz w:val="22"/>
          <w:szCs w:val="22"/>
          <w:lang w:val="sr-Latn-ME"/>
        </w:rPr>
        <w:t>propilen</w:t>
      </w:r>
      <w:proofErr w:type="spellEnd"/>
      <w:r w:rsidRPr="00D759D0">
        <w:rPr>
          <w:sz w:val="22"/>
          <w:szCs w:val="22"/>
          <w:lang w:val="sr-Latn-ME"/>
        </w:rPr>
        <w:t xml:space="preserve"> </w:t>
      </w:r>
      <w:proofErr w:type="spellStart"/>
      <w:r w:rsidRPr="00D759D0">
        <w:rPr>
          <w:sz w:val="22"/>
          <w:szCs w:val="22"/>
          <w:lang w:val="sr-Latn-ME"/>
        </w:rPr>
        <w:t>glikol</w:t>
      </w:r>
      <w:proofErr w:type="spellEnd"/>
      <w:r w:rsidRPr="00D759D0">
        <w:rPr>
          <w:sz w:val="22"/>
          <w:szCs w:val="22"/>
          <w:lang w:val="sr-Latn-ME"/>
        </w:rPr>
        <w:t xml:space="preserve"> koji može da dovede do iritacije kože.</w:t>
      </w:r>
    </w:p>
    <w:p w14:paraId="739AD79D" w14:textId="5D75614D" w:rsidR="0072020E" w:rsidRPr="00D759D0" w:rsidRDefault="00063330" w:rsidP="007E0F06">
      <w:pPr>
        <w:tabs>
          <w:tab w:val="left" w:pos="540"/>
          <w:tab w:val="left" w:pos="569"/>
        </w:tabs>
        <w:jc w:val="both"/>
        <w:rPr>
          <w:sz w:val="22"/>
          <w:szCs w:val="22"/>
          <w:lang w:val="sr-Latn-ME"/>
        </w:rPr>
      </w:pPr>
      <w:r w:rsidRPr="00D759D0">
        <w:rPr>
          <w:sz w:val="22"/>
          <w:szCs w:val="22"/>
          <w:lang w:val="sr-Latn-ME"/>
        </w:rPr>
        <w:t xml:space="preserve">Lijek TRAVATAN sadrži </w:t>
      </w:r>
      <w:proofErr w:type="spellStart"/>
      <w:r w:rsidRPr="00D759D0">
        <w:rPr>
          <w:sz w:val="22"/>
          <w:szCs w:val="22"/>
          <w:lang w:val="sr-Latn-ME"/>
        </w:rPr>
        <w:t>polioksietilen</w:t>
      </w:r>
      <w:proofErr w:type="spellEnd"/>
      <w:r w:rsidRPr="00D759D0">
        <w:rPr>
          <w:sz w:val="22"/>
          <w:szCs w:val="22"/>
          <w:lang w:val="sr-Latn-ME"/>
        </w:rPr>
        <w:t xml:space="preserve"> </w:t>
      </w:r>
      <w:proofErr w:type="spellStart"/>
      <w:r w:rsidRPr="00D759D0">
        <w:rPr>
          <w:sz w:val="22"/>
          <w:szCs w:val="22"/>
          <w:lang w:val="sr-Latn-ME"/>
        </w:rPr>
        <w:t>hidrogenizovano</w:t>
      </w:r>
      <w:proofErr w:type="spellEnd"/>
      <w:r w:rsidRPr="00D759D0">
        <w:rPr>
          <w:sz w:val="22"/>
          <w:szCs w:val="22"/>
          <w:lang w:val="sr-Latn-ME"/>
        </w:rPr>
        <w:t xml:space="preserve"> ricinusovo ulje 40 koje može dovesti do reakcija na koži.</w:t>
      </w:r>
    </w:p>
    <w:p w14:paraId="38399DF0" w14:textId="77777777" w:rsidR="00063330" w:rsidRPr="00D759D0" w:rsidRDefault="00063330" w:rsidP="00063330">
      <w:pPr>
        <w:tabs>
          <w:tab w:val="left" w:pos="540"/>
          <w:tab w:val="left" w:pos="569"/>
        </w:tabs>
        <w:rPr>
          <w:bCs/>
          <w:sz w:val="22"/>
          <w:szCs w:val="22"/>
          <w:lang w:val="sr-Latn-ME"/>
        </w:rPr>
      </w:pPr>
    </w:p>
    <w:p w14:paraId="739AD79E" w14:textId="77777777" w:rsidR="00057E35" w:rsidRPr="00D759D0" w:rsidRDefault="00057E35" w:rsidP="00480FB1">
      <w:pPr>
        <w:tabs>
          <w:tab w:val="left" w:pos="540"/>
          <w:tab w:val="left" w:pos="569"/>
        </w:tabs>
        <w:rPr>
          <w:sz w:val="22"/>
          <w:szCs w:val="22"/>
          <w:u w:val="single"/>
          <w:lang w:val="sr-Latn-ME"/>
        </w:rPr>
      </w:pPr>
      <w:r w:rsidRPr="00D759D0">
        <w:rPr>
          <w:sz w:val="22"/>
          <w:szCs w:val="22"/>
          <w:u w:val="single"/>
          <w:lang w:val="sr-Latn-ME"/>
        </w:rPr>
        <w:t>Pedijatrijska populacija</w:t>
      </w:r>
    </w:p>
    <w:p w14:paraId="4DBBB795" w14:textId="3714E7B2" w:rsidR="00063330" w:rsidRPr="00D759D0" w:rsidRDefault="00063330" w:rsidP="00063330">
      <w:pPr>
        <w:tabs>
          <w:tab w:val="left" w:pos="284"/>
        </w:tabs>
        <w:jc w:val="both"/>
        <w:rPr>
          <w:sz w:val="22"/>
          <w:szCs w:val="22"/>
          <w:lang w:val="sr-Latn-ME"/>
        </w:rPr>
      </w:pPr>
      <w:r w:rsidRPr="00D759D0">
        <w:rPr>
          <w:sz w:val="22"/>
          <w:szCs w:val="22"/>
          <w:lang w:val="sr-Latn-ME"/>
        </w:rPr>
        <w:t xml:space="preserve">Podaci o efikasnosti i bezbjednosti u </w:t>
      </w:r>
      <w:proofErr w:type="spellStart"/>
      <w:r w:rsidRPr="00D759D0">
        <w:rPr>
          <w:sz w:val="22"/>
          <w:szCs w:val="22"/>
          <w:lang w:val="sr-Latn-ME"/>
        </w:rPr>
        <w:t>uzrasnoj</w:t>
      </w:r>
      <w:proofErr w:type="spellEnd"/>
      <w:r w:rsidRPr="00D759D0">
        <w:rPr>
          <w:sz w:val="22"/>
          <w:szCs w:val="22"/>
          <w:lang w:val="sr-Latn-ME"/>
        </w:rPr>
        <w:t xml:space="preserve"> grupi između 2 mjeseca i do &lt;</w:t>
      </w:r>
      <w:r w:rsidR="007A20EC" w:rsidRPr="00D759D0">
        <w:rPr>
          <w:sz w:val="22"/>
          <w:szCs w:val="22"/>
          <w:lang w:val="sr-Latn-ME"/>
        </w:rPr>
        <w:t xml:space="preserve"> </w:t>
      </w:r>
      <w:r w:rsidRPr="00D759D0">
        <w:rPr>
          <w:sz w:val="22"/>
          <w:szCs w:val="22"/>
          <w:lang w:val="sr-Latn-ME"/>
        </w:rPr>
        <w:t>3 godine (9 pacijenata) su ograničeni (vidjeti dio 5.1).</w:t>
      </w:r>
    </w:p>
    <w:p w14:paraId="357EA17A" w14:textId="77777777" w:rsidR="00063330" w:rsidRPr="00D759D0" w:rsidRDefault="00063330" w:rsidP="00063330">
      <w:pPr>
        <w:tabs>
          <w:tab w:val="left" w:pos="284"/>
        </w:tabs>
        <w:jc w:val="both"/>
        <w:rPr>
          <w:sz w:val="22"/>
          <w:szCs w:val="22"/>
          <w:lang w:val="sr-Latn-ME"/>
        </w:rPr>
      </w:pPr>
      <w:r w:rsidRPr="00D759D0">
        <w:rPr>
          <w:sz w:val="22"/>
          <w:szCs w:val="22"/>
          <w:lang w:val="sr-Latn-ME"/>
        </w:rPr>
        <w:t>Nema raspoloživih podataka za djecu uzrasta ispod 2 mjeseca.</w:t>
      </w:r>
    </w:p>
    <w:p w14:paraId="560590B2" w14:textId="77777777" w:rsidR="00063330" w:rsidRPr="00D759D0" w:rsidRDefault="00063330" w:rsidP="00063330">
      <w:pPr>
        <w:tabs>
          <w:tab w:val="left" w:pos="284"/>
        </w:tabs>
        <w:jc w:val="both"/>
        <w:rPr>
          <w:sz w:val="22"/>
          <w:szCs w:val="22"/>
          <w:lang w:val="sr-Latn-ME"/>
        </w:rPr>
      </w:pPr>
    </w:p>
    <w:p w14:paraId="2E8CF287" w14:textId="77777777" w:rsidR="00063330" w:rsidRPr="00D759D0" w:rsidRDefault="00063330" w:rsidP="00063330">
      <w:pPr>
        <w:tabs>
          <w:tab w:val="left" w:pos="284"/>
        </w:tabs>
        <w:jc w:val="both"/>
        <w:rPr>
          <w:sz w:val="22"/>
          <w:szCs w:val="22"/>
          <w:lang w:val="sr-Latn-ME"/>
        </w:rPr>
      </w:pPr>
      <w:r w:rsidRPr="00D759D0">
        <w:rPr>
          <w:sz w:val="22"/>
          <w:szCs w:val="22"/>
          <w:lang w:val="sr-Latn-ME"/>
        </w:rPr>
        <w:t xml:space="preserve">Kod djece uzrasta &lt; 3 godine, koja </w:t>
      </w:r>
      <w:proofErr w:type="spellStart"/>
      <w:r w:rsidRPr="00D759D0">
        <w:rPr>
          <w:sz w:val="22"/>
          <w:szCs w:val="22"/>
          <w:lang w:val="sr-Latn-ME"/>
        </w:rPr>
        <w:t>pretežno</w:t>
      </w:r>
      <w:proofErr w:type="spellEnd"/>
      <w:r w:rsidRPr="00D759D0">
        <w:rPr>
          <w:sz w:val="22"/>
          <w:szCs w:val="22"/>
          <w:lang w:val="sr-Latn-ME"/>
        </w:rPr>
        <w:t xml:space="preserve"> boluju od PCG (primarni </w:t>
      </w:r>
      <w:proofErr w:type="spellStart"/>
      <w:r w:rsidRPr="00D759D0">
        <w:rPr>
          <w:sz w:val="22"/>
          <w:szCs w:val="22"/>
          <w:lang w:val="sr-Latn-ME"/>
        </w:rPr>
        <w:t>kongenitalni</w:t>
      </w:r>
      <w:proofErr w:type="spellEnd"/>
      <w:r w:rsidRPr="00D759D0">
        <w:rPr>
          <w:sz w:val="22"/>
          <w:szCs w:val="22"/>
          <w:lang w:val="sr-Latn-ME"/>
        </w:rPr>
        <w:t xml:space="preserve"> glaukom), operacija (npr. </w:t>
      </w:r>
      <w:proofErr w:type="spellStart"/>
      <w:r w:rsidRPr="00D759D0">
        <w:rPr>
          <w:sz w:val="22"/>
          <w:szCs w:val="22"/>
          <w:lang w:val="sr-Latn-ME"/>
        </w:rPr>
        <w:t>trabekulotomija</w:t>
      </w:r>
      <w:proofErr w:type="spellEnd"/>
      <w:r w:rsidRPr="00D759D0">
        <w:rPr>
          <w:sz w:val="22"/>
          <w:szCs w:val="22"/>
          <w:lang w:val="sr-Latn-ME"/>
        </w:rPr>
        <w:t>/</w:t>
      </w:r>
      <w:proofErr w:type="spellStart"/>
      <w:r w:rsidRPr="00D759D0">
        <w:rPr>
          <w:sz w:val="22"/>
          <w:szCs w:val="22"/>
          <w:lang w:val="sr-Latn-ME"/>
        </w:rPr>
        <w:t>goniotomija</w:t>
      </w:r>
      <w:proofErr w:type="spellEnd"/>
      <w:r w:rsidRPr="00D759D0">
        <w:rPr>
          <w:sz w:val="22"/>
          <w:szCs w:val="22"/>
          <w:lang w:val="sr-Latn-ME"/>
        </w:rPr>
        <w:t>) ostaje prva terapijska linija.</w:t>
      </w:r>
    </w:p>
    <w:p w14:paraId="7040F42A" w14:textId="77777777" w:rsidR="00063330" w:rsidRPr="00D759D0" w:rsidRDefault="00063330" w:rsidP="00063330">
      <w:pPr>
        <w:tabs>
          <w:tab w:val="left" w:pos="284"/>
        </w:tabs>
        <w:jc w:val="both"/>
        <w:rPr>
          <w:sz w:val="22"/>
          <w:szCs w:val="22"/>
          <w:lang w:val="sr-Latn-ME"/>
        </w:rPr>
      </w:pPr>
    </w:p>
    <w:p w14:paraId="739AD79F" w14:textId="06E3E845" w:rsidR="00057E35" w:rsidRPr="00D759D0" w:rsidRDefault="00063330" w:rsidP="00063330">
      <w:pPr>
        <w:tabs>
          <w:tab w:val="left" w:pos="540"/>
          <w:tab w:val="left" w:pos="569"/>
        </w:tabs>
        <w:rPr>
          <w:sz w:val="22"/>
          <w:szCs w:val="22"/>
          <w:lang w:val="sr-Latn-ME"/>
        </w:rPr>
      </w:pPr>
      <w:r w:rsidRPr="00D759D0">
        <w:rPr>
          <w:sz w:val="22"/>
          <w:szCs w:val="22"/>
          <w:lang w:val="sr-Latn-ME"/>
        </w:rPr>
        <w:t xml:space="preserve">Nijesu dostupni dugoročni </w:t>
      </w:r>
      <w:proofErr w:type="spellStart"/>
      <w:r w:rsidRPr="00D759D0">
        <w:rPr>
          <w:sz w:val="22"/>
          <w:szCs w:val="22"/>
          <w:lang w:val="sr-Latn-ME"/>
        </w:rPr>
        <w:t>bezbjednosni</w:t>
      </w:r>
      <w:proofErr w:type="spellEnd"/>
      <w:r w:rsidRPr="00D759D0">
        <w:rPr>
          <w:sz w:val="22"/>
          <w:szCs w:val="22"/>
          <w:lang w:val="sr-Latn-ME"/>
        </w:rPr>
        <w:t xml:space="preserve"> podaci za pedijatrijsku populaciju.</w:t>
      </w:r>
    </w:p>
    <w:p w14:paraId="147CBB1A" w14:textId="77777777" w:rsidR="00063330" w:rsidRPr="00D759D0" w:rsidRDefault="00063330" w:rsidP="00063330">
      <w:pPr>
        <w:tabs>
          <w:tab w:val="left" w:pos="540"/>
          <w:tab w:val="left" w:pos="569"/>
        </w:tabs>
        <w:rPr>
          <w:bCs/>
          <w:sz w:val="22"/>
          <w:szCs w:val="22"/>
          <w:lang w:val="sr-Latn-ME"/>
        </w:rPr>
      </w:pPr>
    </w:p>
    <w:p w14:paraId="739AD7A0" w14:textId="77777777" w:rsidR="00411B4B" w:rsidRPr="00D759D0" w:rsidRDefault="00411B4B" w:rsidP="00480FB1">
      <w:pPr>
        <w:tabs>
          <w:tab w:val="left" w:pos="540"/>
          <w:tab w:val="left" w:pos="569"/>
        </w:tabs>
        <w:rPr>
          <w:b/>
          <w:bCs/>
          <w:sz w:val="22"/>
          <w:szCs w:val="22"/>
          <w:lang w:val="sr-Latn-ME"/>
        </w:rPr>
      </w:pPr>
      <w:r w:rsidRPr="00D759D0">
        <w:rPr>
          <w:b/>
          <w:bCs/>
          <w:sz w:val="22"/>
          <w:szCs w:val="22"/>
          <w:lang w:val="sr-Latn-ME"/>
        </w:rPr>
        <w:t>4.5.</w:t>
      </w:r>
      <w:r w:rsidR="000D60CC" w:rsidRPr="00D759D0">
        <w:rPr>
          <w:b/>
          <w:bCs/>
          <w:sz w:val="22"/>
          <w:szCs w:val="22"/>
          <w:lang w:val="sr-Latn-ME"/>
        </w:rPr>
        <w:tab/>
      </w:r>
      <w:r w:rsidRPr="00D759D0">
        <w:rPr>
          <w:b/>
          <w:bCs/>
          <w:sz w:val="22"/>
          <w:szCs w:val="22"/>
          <w:lang w:val="sr-Latn-ME"/>
        </w:rPr>
        <w:t>Interakcije sa drugim ljekovima i druge vrste interakcija</w:t>
      </w:r>
    </w:p>
    <w:p w14:paraId="18777264" w14:textId="77777777" w:rsidR="00063330" w:rsidRPr="00D759D0" w:rsidRDefault="00063330" w:rsidP="00480FB1">
      <w:pPr>
        <w:tabs>
          <w:tab w:val="left" w:pos="540"/>
          <w:tab w:val="left" w:pos="569"/>
        </w:tabs>
        <w:rPr>
          <w:b/>
          <w:bCs/>
          <w:sz w:val="22"/>
          <w:szCs w:val="22"/>
          <w:lang w:val="sr-Latn-ME"/>
        </w:rPr>
      </w:pPr>
    </w:p>
    <w:p w14:paraId="76A0C9D5" w14:textId="77777777" w:rsidR="00063330" w:rsidRPr="00D759D0" w:rsidRDefault="00063330" w:rsidP="00063330">
      <w:pPr>
        <w:jc w:val="both"/>
        <w:rPr>
          <w:bCs/>
          <w:sz w:val="22"/>
          <w:szCs w:val="22"/>
          <w:lang w:val="sr-Latn-ME"/>
        </w:rPr>
      </w:pPr>
      <w:r w:rsidRPr="00D759D0">
        <w:rPr>
          <w:bCs/>
          <w:sz w:val="22"/>
          <w:szCs w:val="22"/>
          <w:lang w:val="sr-Latn-ME"/>
        </w:rPr>
        <w:t xml:space="preserve">Nijesu rađena ispitivanja o interakcijama.  </w:t>
      </w:r>
    </w:p>
    <w:p w14:paraId="739AD7A1" w14:textId="77777777" w:rsidR="0072020E" w:rsidRPr="00D759D0" w:rsidRDefault="0072020E" w:rsidP="00480FB1">
      <w:pPr>
        <w:tabs>
          <w:tab w:val="left" w:pos="540"/>
          <w:tab w:val="left" w:pos="569"/>
        </w:tabs>
        <w:rPr>
          <w:bCs/>
          <w:sz w:val="22"/>
          <w:szCs w:val="22"/>
          <w:lang w:val="sr-Latn-ME"/>
        </w:rPr>
      </w:pPr>
    </w:p>
    <w:p w14:paraId="739AD7A2" w14:textId="77777777" w:rsidR="0072020E" w:rsidRPr="00D759D0" w:rsidRDefault="0072020E" w:rsidP="00480FB1">
      <w:pPr>
        <w:tabs>
          <w:tab w:val="left" w:pos="540"/>
          <w:tab w:val="left" w:pos="569"/>
        </w:tabs>
        <w:rPr>
          <w:b/>
          <w:sz w:val="22"/>
          <w:szCs w:val="22"/>
          <w:lang w:val="sr-Latn-ME"/>
        </w:rPr>
      </w:pPr>
      <w:r w:rsidRPr="00D759D0">
        <w:rPr>
          <w:b/>
          <w:bCs/>
          <w:sz w:val="22"/>
          <w:szCs w:val="22"/>
          <w:lang w:val="sr-Latn-ME"/>
        </w:rPr>
        <w:t xml:space="preserve">4.6. </w:t>
      </w:r>
      <w:r w:rsidR="00480FB1" w:rsidRPr="00D759D0">
        <w:rPr>
          <w:b/>
          <w:bCs/>
          <w:sz w:val="22"/>
          <w:szCs w:val="22"/>
          <w:lang w:val="sr-Latn-ME"/>
        </w:rPr>
        <w:tab/>
      </w:r>
      <w:r w:rsidR="006D20A5" w:rsidRPr="00D759D0">
        <w:rPr>
          <w:b/>
          <w:sz w:val="22"/>
          <w:szCs w:val="22"/>
          <w:lang w:val="sr-Latn-ME"/>
        </w:rPr>
        <w:t>Plodnost, trudnoća i dojenje</w:t>
      </w:r>
    </w:p>
    <w:p w14:paraId="739AD7A3" w14:textId="77777777" w:rsidR="002031B3" w:rsidRPr="00D759D0" w:rsidRDefault="002031B3" w:rsidP="00480FB1">
      <w:pPr>
        <w:tabs>
          <w:tab w:val="left" w:pos="540"/>
          <w:tab w:val="left" w:pos="569"/>
        </w:tabs>
        <w:rPr>
          <w:sz w:val="22"/>
          <w:szCs w:val="22"/>
          <w:u w:val="single"/>
          <w:lang w:val="sr-Latn-ME"/>
        </w:rPr>
      </w:pPr>
    </w:p>
    <w:p w14:paraId="6B3EF389" w14:textId="77777777" w:rsidR="00063330" w:rsidRPr="00D759D0" w:rsidRDefault="00063330" w:rsidP="00063330">
      <w:pPr>
        <w:jc w:val="both"/>
        <w:rPr>
          <w:sz w:val="22"/>
          <w:szCs w:val="22"/>
          <w:lang w:val="sr-Latn-ME"/>
        </w:rPr>
      </w:pPr>
      <w:r w:rsidRPr="00D759D0">
        <w:rPr>
          <w:sz w:val="22"/>
          <w:szCs w:val="22"/>
          <w:u w:val="single"/>
          <w:lang w:val="sr-Latn-ME"/>
        </w:rPr>
        <w:t>Žene u reproduktivnom periodu/kontracepcija</w:t>
      </w:r>
    </w:p>
    <w:p w14:paraId="6911BB0A" w14:textId="7714D356" w:rsidR="00063330" w:rsidRPr="00D759D0" w:rsidRDefault="00063330" w:rsidP="00063330">
      <w:pPr>
        <w:tabs>
          <w:tab w:val="left" w:pos="284"/>
        </w:tabs>
        <w:jc w:val="both"/>
        <w:rPr>
          <w:sz w:val="22"/>
          <w:szCs w:val="22"/>
          <w:lang w:val="sr-Latn-ME"/>
        </w:rPr>
      </w:pPr>
      <w:r w:rsidRPr="00D759D0">
        <w:rPr>
          <w:sz w:val="22"/>
          <w:szCs w:val="22"/>
          <w:lang w:val="sr-Latn-ME"/>
        </w:rPr>
        <w:t xml:space="preserve">Bez primjene adekvatnih kontraceptivnih mjera, </w:t>
      </w:r>
      <w:r w:rsidR="008F073B" w:rsidRPr="00D759D0">
        <w:rPr>
          <w:sz w:val="22"/>
          <w:szCs w:val="22"/>
          <w:lang w:val="sr-Latn-ME"/>
        </w:rPr>
        <w:t xml:space="preserve">lijek </w:t>
      </w:r>
      <w:r w:rsidRPr="00D759D0">
        <w:rPr>
          <w:caps/>
          <w:sz w:val="22"/>
          <w:szCs w:val="22"/>
          <w:lang w:val="sr-Latn-ME"/>
        </w:rPr>
        <w:t>Travatan</w:t>
      </w:r>
      <w:r w:rsidRPr="00D759D0">
        <w:rPr>
          <w:sz w:val="22"/>
          <w:szCs w:val="22"/>
          <w:lang w:val="sr-Latn-ME"/>
        </w:rPr>
        <w:t xml:space="preserve"> ne smiju koristiti žene koje mogu da zatrudne (vidjeti dio 5.3). </w:t>
      </w:r>
    </w:p>
    <w:p w14:paraId="68415A9A" w14:textId="77777777" w:rsidR="00063330" w:rsidRPr="00D759D0" w:rsidRDefault="00063330" w:rsidP="00063330">
      <w:pPr>
        <w:tabs>
          <w:tab w:val="left" w:pos="284"/>
        </w:tabs>
        <w:jc w:val="both"/>
        <w:rPr>
          <w:sz w:val="22"/>
          <w:szCs w:val="22"/>
          <w:lang w:val="sr-Latn-ME"/>
        </w:rPr>
      </w:pPr>
    </w:p>
    <w:p w14:paraId="2E3DBC55" w14:textId="77777777" w:rsidR="00063330" w:rsidRPr="00D759D0" w:rsidRDefault="00063330" w:rsidP="00063330">
      <w:pPr>
        <w:jc w:val="both"/>
        <w:rPr>
          <w:sz w:val="22"/>
          <w:szCs w:val="22"/>
          <w:u w:val="single"/>
          <w:lang w:val="sr-Latn-ME"/>
        </w:rPr>
      </w:pPr>
      <w:r w:rsidRPr="00D759D0">
        <w:rPr>
          <w:sz w:val="22"/>
          <w:szCs w:val="22"/>
          <w:u w:val="single"/>
          <w:lang w:val="sr-Latn-ME"/>
        </w:rPr>
        <w:t>Trudnoća</w:t>
      </w:r>
    </w:p>
    <w:p w14:paraId="116EE26C" w14:textId="5A4C8F66" w:rsidR="00063330" w:rsidRPr="00D759D0" w:rsidRDefault="008F073B" w:rsidP="00063330">
      <w:pPr>
        <w:jc w:val="both"/>
        <w:rPr>
          <w:sz w:val="22"/>
          <w:szCs w:val="22"/>
          <w:lang w:val="sr-Latn-ME"/>
        </w:rPr>
      </w:pPr>
      <w:proofErr w:type="spellStart"/>
      <w:r w:rsidRPr="00D759D0">
        <w:rPr>
          <w:sz w:val="22"/>
          <w:szCs w:val="22"/>
          <w:lang w:val="sr-Latn-ME"/>
        </w:rPr>
        <w:lastRenderedPageBreak/>
        <w:t>Travoprost</w:t>
      </w:r>
      <w:proofErr w:type="spellEnd"/>
      <w:r w:rsidRPr="00D759D0">
        <w:rPr>
          <w:sz w:val="22"/>
          <w:szCs w:val="22"/>
          <w:lang w:val="sr-Latn-ME"/>
        </w:rPr>
        <w:t xml:space="preserve"> </w:t>
      </w:r>
      <w:r w:rsidR="00063330" w:rsidRPr="00D759D0">
        <w:rPr>
          <w:sz w:val="22"/>
          <w:szCs w:val="22"/>
          <w:lang w:val="sr-Latn-ME"/>
        </w:rPr>
        <w:t>ima štetno farmakološko dejstvo na trudnoću i/ili fetus/novorođenče.</w:t>
      </w:r>
    </w:p>
    <w:p w14:paraId="65F0FF08" w14:textId="7B4A882C" w:rsidR="00063330" w:rsidRPr="00D759D0" w:rsidRDefault="00981E9A" w:rsidP="00981E9A">
      <w:pPr>
        <w:jc w:val="both"/>
        <w:rPr>
          <w:sz w:val="22"/>
          <w:szCs w:val="22"/>
          <w:lang w:val="sr-Latn-ME"/>
        </w:rPr>
      </w:pPr>
      <w:r w:rsidRPr="00D759D0">
        <w:rPr>
          <w:sz w:val="22"/>
          <w:szCs w:val="22"/>
          <w:lang w:val="sr-Latn-ME"/>
        </w:rPr>
        <w:t xml:space="preserve">Lijek </w:t>
      </w:r>
      <w:r w:rsidR="00063330" w:rsidRPr="00D759D0">
        <w:rPr>
          <w:caps/>
          <w:sz w:val="22"/>
          <w:szCs w:val="22"/>
          <w:lang w:val="sr-Latn-ME"/>
        </w:rPr>
        <w:t>Travatan</w:t>
      </w:r>
      <w:r w:rsidR="00063330" w:rsidRPr="00D759D0">
        <w:rPr>
          <w:sz w:val="22"/>
          <w:szCs w:val="22"/>
          <w:lang w:val="sr-Latn-ME"/>
        </w:rPr>
        <w:t xml:space="preserve"> se ne smije koristiti tokom trudnoće osim ako to nije neophodno.  </w:t>
      </w:r>
    </w:p>
    <w:p w14:paraId="6974BFC7" w14:textId="77777777" w:rsidR="00063330" w:rsidRPr="00D759D0" w:rsidRDefault="00063330" w:rsidP="00063330">
      <w:pPr>
        <w:tabs>
          <w:tab w:val="left" w:pos="284"/>
        </w:tabs>
        <w:jc w:val="both"/>
        <w:rPr>
          <w:sz w:val="22"/>
          <w:szCs w:val="22"/>
          <w:lang w:val="sr-Latn-ME"/>
        </w:rPr>
      </w:pPr>
    </w:p>
    <w:p w14:paraId="3EEE2862" w14:textId="794F3A45" w:rsidR="00063330" w:rsidRPr="00D759D0" w:rsidRDefault="00063330" w:rsidP="00063330">
      <w:pPr>
        <w:jc w:val="both"/>
        <w:rPr>
          <w:sz w:val="22"/>
          <w:szCs w:val="22"/>
          <w:u w:val="single"/>
          <w:lang w:val="sr-Latn-ME"/>
        </w:rPr>
      </w:pPr>
      <w:r w:rsidRPr="00D759D0">
        <w:rPr>
          <w:sz w:val="22"/>
          <w:szCs w:val="22"/>
          <w:u w:val="single"/>
          <w:lang w:val="sr-Latn-ME"/>
        </w:rPr>
        <w:t>Dojenje</w:t>
      </w:r>
      <w:r w:rsidR="00981E9A" w:rsidRPr="00D759D0">
        <w:rPr>
          <w:sz w:val="22"/>
          <w:szCs w:val="22"/>
          <w:u w:val="single"/>
          <w:lang w:val="sr-Latn-ME"/>
        </w:rPr>
        <w:t xml:space="preserve"> </w:t>
      </w:r>
    </w:p>
    <w:p w14:paraId="51901171" w14:textId="77777777" w:rsidR="00063330" w:rsidRPr="00D759D0" w:rsidRDefault="00063330" w:rsidP="00063330">
      <w:pPr>
        <w:tabs>
          <w:tab w:val="left" w:pos="284"/>
        </w:tabs>
        <w:jc w:val="both"/>
        <w:rPr>
          <w:sz w:val="22"/>
          <w:szCs w:val="22"/>
          <w:lang w:val="sr-Latn-ME"/>
        </w:rPr>
      </w:pPr>
      <w:r w:rsidRPr="00D759D0">
        <w:rPr>
          <w:sz w:val="22"/>
          <w:szCs w:val="22"/>
          <w:lang w:val="sr-Latn-ME"/>
        </w:rPr>
        <w:t xml:space="preserve">Nije poznato da li se </w:t>
      </w:r>
      <w:proofErr w:type="spellStart"/>
      <w:r w:rsidRPr="00D759D0">
        <w:rPr>
          <w:sz w:val="22"/>
          <w:szCs w:val="22"/>
          <w:lang w:val="sr-Latn-ME"/>
        </w:rPr>
        <w:t>travoprost</w:t>
      </w:r>
      <w:proofErr w:type="spellEnd"/>
      <w:r w:rsidRPr="00D759D0">
        <w:rPr>
          <w:sz w:val="22"/>
          <w:szCs w:val="22"/>
          <w:lang w:val="sr-Latn-ME"/>
        </w:rPr>
        <w:t xml:space="preserve"> </w:t>
      </w:r>
      <w:proofErr w:type="spellStart"/>
      <w:r w:rsidRPr="00D759D0">
        <w:rPr>
          <w:sz w:val="22"/>
          <w:szCs w:val="22"/>
          <w:lang w:val="sr-Latn-ME"/>
        </w:rPr>
        <w:t>aplikovan</w:t>
      </w:r>
      <w:proofErr w:type="spellEnd"/>
      <w:r w:rsidRPr="00D759D0">
        <w:rPr>
          <w:sz w:val="22"/>
          <w:szCs w:val="22"/>
          <w:lang w:val="sr-Latn-ME"/>
        </w:rPr>
        <w:t xml:space="preserve"> u oko izlučuje u majčino mlijeko. Studije na životinjama su pokazale da se </w:t>
      </w:r>
      <w:proofErr w:type="spellStart"/>
      <w:r w:rsidRPr="00D759D0">
        <w:rPr>
          <w:sz w:val="22"/>
          <w:szCs w:val="22"/>
          <w:lang w:val="sr-Latn-ME"/>
        </w:rPr>
        <w:t>travoprost</w:t>
      </w:r>
      <w:proofErr w:type="spellEnd"/>
      <w:r w:rsidRPr="00D759D0">
        <w:rPr>
          <w:sz w:val="22"/>
          <w:szCs w:val="22"/>
          <w:lang w:val="sr-Latn-ME"/>
        </w:rPr>
        <w:t xml:space="preserve"> i njegovi </w:t>
      </w:r>
      <w:proofErr w:type="spellStart"/>
      <w:r w:rsidRPr="00D759D0">
        <w:rPr>
          <w:sz w:val="22"/>
          <w:szCs w:val="22"/>
          <w:lang w:val="sr-Latn-ME"/>
        </w:rPr>
        <w:t>metaboliti</w:t>
      </w:r>
      <w:proofErr w:type="spellEnd"/>
      <w:r w:rsidRPr="00D759D0">
        <w:rPr>
          <w:sz w:val="22"/>
          <w:szCs w:val="22"/>
          <w:lang w:val="sr-Latn-ME"/>
        </w:rPr>
        <w:t xml:space="preserve"> izlučuju u majčino mlijeko. Upotreba lijeka </w:t>
      </w:r>
      <w:r w:rsidRPr="00D759D0">
        <w:rPr>
          <w:caps/>
          <w:sz w:val="22"/>
          <w:szCs w:val="22"/>
          <w:lang w:val="sr-Latn-ME"/>
        </w:rPr>
        <w:t>Travatan</w:t>
      </w:r>
      <w:r w:rsidRPr="00D759D0">
        <w:rPr>
          <w:sz w:val="22"/>
          <w:szCs w:val="22"/>
          <w:lang w:val="sr-Latn-ME"/>
        </w:rPr>
        <w:t xml:space="preserve"> kod žena koje doje se ne preporučuje. </w:t>
      </w:r>
    </w:p>
    <w:p w14:paraId="1EF9EDBA" w14:textId="77777777" w:rsidR="00063330" w:rsidRPr="00D759D0" w:rsidRDefault="00063330" w:rsidP="00063330">
      <w:pPr>
        <w:tabs>
          <w:tab w:val="left" w:pos="284"/>
        </w:tabs>
        <w:ind w:left="180"/>
        <w:jc w:val="both"/>
        <w:rPr>
          <w:sz w:val="22"/>
          <w:szCs w:val="22"/>
          <w:lang w:val="sr-Latn-ME"/>
        </w:rPr>
      </w:pPr>
    </w:p>
    <w:p w14:paraId="7521AB98" w14:textId="77777777" w:rsidR="00063330" w:rsidRPr="00D759D0" w:rsidRDefault="00063330" w:rsidP="00063330">
      <w:pPr>
        <w:autoSpaceDE w:val="0"/>
        <w:autoSpaceDN w:val="0"/>
        <w:adjustRightInd w:val="0"/>
        <w:jc w:val="both"/>
        <w:rPr>
          <w:sz w:val="22"/>
          <w:szCs w:val="22"/>
          <w:u w:val="single"/>
          <w:lang w:val="sr-Latn-ME"/>
        </w:rPr>
      </w:pPr>
      <w:r w:rsidRPr="00D759D0">
        <w:rPr>
          <w:sz w:val="22"/>
          <w:szCs w:val="22"/>
          <w:u w:val="single"/>
          <w:lang w:val="sr-Latn-ME"/>
        </w:rPr>
        <w:t>Plodnost</w:t>
      </w:r>
    </w:p>
    <w:p w14:paraId="27C0DACF" w14:textId="73B1211B" w:rsidR="00063330" w:rsidRPr="00D759D0" w:rsidRDefault="00063330" w:rsidP="00063330">
      <w:pPr>
        <w:autoSpaceDE w:val="0"/>
        <w:autoSpaceDN w:val="0"/>
        <w:adjustRightInd w:val="0"/>
        <w:jc w:val="both"/>
        <w:rPr>
          <w:sz w:val="22"/>
          <w:szCs w:val="22"/>
          <w:lang w:val="sr-Latn-ME"/>
        </w:rPr>
      </w:pPr>
      <w:r w:rsidRPr="00D759D0">
        <w:rPr>
          <w:sz w:val="22"/>
          <w:szCs w:val="22"/>
          <w:lang w:val="sr-Latn-ME"/>
        </w:rPr>
        <w:t>Ne postoje podaci o dejstvu</w:t>
      </w:r>
      <w:r w:rsidR="00981E9A" w:rsidRPr="00D759D0">
        <w:rPr>
          <w:sz w:val="22"/>
          <w:szCs w:val="22"/>
          <w:lang w:val="sr-Latn-ME"/>
        </w:rPr>
        <w:t xml:space="preserve"> lijeka</w:t>
      </w:r>
      <w:r w:rsidRPr="00D759D0">
        <w:rPr>
          <w:sz w:val="22"/>
          <w:szCs w:val="22"/>
          <w:lang w:val="sr-Latn-ME"/>
        </w:rPr>
        <w:t xml:space="preserve"> TRAVATAN na plodnost kod </w:t>
      </w:r>
      <w:proofErr w:type="spellStart"/>
      <w:r w:rsidRPr="00D759D0">
        <w:rPr>
          <w:sz w:val="22"/>
          <w:szCs w:val="22"/>
          <w:lang w:val="sr-Latn-ME"/>
        </w:rPr>
        <w:t>ljudi</w:t>
      </w:r>
      <w:proofErr w:type="spellEnd"/>
      <w:r w:rsidRPr="00D759D0">
        <w:rPr>
          <w:sz w:val="22"/>
          <w:szCs w:val="22"/>
          <w:lang w:val="sr-Latn-ME"/>
        </w:rPr>
        <w:t xml:space="preserve">. U studijama na životinjama nije primijećeno nikakvo dejstvo </w:t>
      </w:r>
      <w:proofErr w:type="spellStart"/>
      <w:r w:rsidRPr="00D759D0">
        <w:rPr>
          <w:sz w:val="22"/>
          <w:szCs w:val="22"/>
          <w:lang w:val="sr-Latn-ME"/>
        </w:rPr>
        <w:t>travoprosta</w:t>
      </w:r>
      <w:proofErr w:type="spellEnd"/>
      <w:r w:rsidRPr="00D759D0">
        <w:rPr>
          <w:sz w:val="22"/>
          <w:szCs w:val="22"/>
          <w:lang w:val="sr-Latn-ME"/>
        </w:rPr>
        <w:t xml:space="preserve"> na plodnost </w:t>
      </w:r>
      <w:r w:rsidR="005C4FB9" w:rsidRPr="00D759D0">
        <w:rPr>
          <w:sz w:val="22"/>
          <w:szCs w:val="22"/>
          <w:lang w:val="sr-Latn-ME"/>
        </w:rPr>
        <w:t>pri</w:t>
      </w:r>
      <w:r w:rsidRPr="00D759D0">
        <w:rPr>
          <w:sz w:val="22"/>
          <w:szCs w:val="22"/>
          <w:lang w:val="sr-Latn-ME"/>
        </w:rPr>
        <w:t xml:space="preserve"> dozama većim od 250 puta maksimalno preporučene </w:t>
      </w:r>
      <w:proofErr w:type="spellStart"/>
      <w:r w:rsidRPr="00D759D0">
        <w:rPr>
          <w:sz w:val="22"/>
          <w:szCs w:val="22"/>
          <w:lang w:val="sr-Latn-ME"/>
        </w:rPr>
        <w:t>okularne</w:t>
      </w:r>
      <w:proofErr w:type="spellEnd"/>
      <w:r w:rsidRPr="00D759D0">
        <w:rPr>
          <w:sz w:val="22"/>
          <w:szCs w:val="22"/>
          <w:lang w:val="sr-Latn-ME"/>
        </w:rPr>
        <w:t xml:space="preserve"> doze kod </w:t>
      </w:r>
      <w:proofErr w:type="spellStart"/>
      <w:r w:rsidRPr="00D759D0">
        <w:rPr>
          <w:sz w:val="22"/>
          <w:szCs w:val="22"/>
          <w:lang w:val="sr-Latn-ME"/>
        </w:rPr>
        <w:t>ljudi</w:t>
      </w:r>
      <w:proofErr w:type="spellEnd"/>
      <w:r w:rsidRPr="00D759D0">
        <w:rPr>
          <w:sz w:val="22"/>
          <w:szCs w:val="22"/>
          <w:lang w:val="sr-Latn-ME"/>
        </w:rPr>
        <w:t>.</w:t>
      </w:r>
    </w:p>
    <w:p w14:paraId="739AD7A9" w14:textId="77777777" w:rsidR="00227BDB" w:rsidRPr="00D759D0" w:rsidRDefault="00227BDB" w:rsidP="00396DFD">
      <w:pPr>
        <w:tabs>
          <w:tab w:val="left" w:pos="540"/>
          <w:tab w:val="left" w:pos="569"/>
        </w:tabs>
        <w:ind w:left="540" w:hanging="540"/>
        <w:rPr>
          <w:b/>
          <w:bCs/>
          <w:sz w:val="22"/>
          <w:szCs w:val="22"/>
          <w:lang w:val="sr-Latn-ME"/>
        </w:rPr>
      </w:pPr>
    </w:p>
    <w:p w14:paraId="739AD7AA" w14:textId="77777777" w:rsidR="0072020E" w:rsidRPr="00D759D0" w:rsidRDefault="0072020E" w:rsidP="00396DFD">
      <w:pPr>
        <w:tabs>
          <w:tab w:val="left" w:pos="540"/>
          <w:tab w:val="left" w:pos="569"/>
        </w:tabs>
        <w:ind w:left="540" w:hanging="540"/>
        <w:rPr>
          <w:b/>
          <w:bCs/>
          <w:sz w:val="22"/>
          <w:szCs w:val="22"/>
          <w:lang w:val="sr-Latn-ME"/>
        </w:rPr>
      </w:pPr>
      <w:r w:rsidRPr="00D759D0">
        <w:rPr>
          <w:b/>
          <w:bCs/>
          <w:sz w:val="22"/>
          <w:szCs w:val="22"/>
          <w:lang w:val="sr-Latn-ME"/>
        </w:rPr>
        <w:t xml:space="preserve">4.7. </w:t>
      </w:r>
      <w:r w:rsidR="00480FB1" w:rsidRPr="00D759D0">
        <w:rPr>
          <w:b/>
          <w:bCs/>
          <w:sz w:val="22"/>
          <w:szCs w:val="22"/>
          <w:lang w:val="sr-Latn-ME"/>
        </w:rPr>
        <w:tab/>
      </w:r>
      <w:r w:rsidRPr="00D759D0">
        <w:rPr>
          <w:b/>
          <w:bCs/>
          <w:sz w:val="22"/>
          <w:szCs w:val="22"/>
          <w:lang w:val="sr-Latn-ME"/>
        </w:rPr>
        <w:t xml:space="preserve">Uticaj na </w:t>
      </w:r>
      <w:r w:rsidR="002031B3" w:rsidRPr="00D759D0">
        <w:rPr>
          <w:b/>
          <w:bCs/>
          <w:sz w:val="22"/>
          <w:szCs w:val="22"/>
          <w:lang w:val="sr-Latn-ME"/>
        </w:rPr>
        <w:t xml:space="preserve">sposobnost </w:t>
      </w:r>
      <w:r w:rsidR="00F34554" w:rsidRPr="00D759D0">
        <w:rPr>
          <w:b/>
          <w:bCs/>
          <w:sz w:val="22"/>
          <w:szCs w:val="22"/>
          <w:lang w:val="sr-Latn-ME"/>
        </w:rPr>
        <w:t>upravljanja vozili</w:t>
      </w:r>
      <w:r w:rsidRPr="00D759D0">
        <w:rPr>
          <w:b/>
          <w:bCs/>
          <w:sz w:val="22"/>
          <w:szCs w:val="22"/>
          <w:lang w:val="sr-Latn-ME"/>
        </w:rPr>
        <w:t>m</w:t>
      </w:r>
      <w:r w:rsidR="00F34554" w:rsidRPr="00D759D0">
        <w:rPr>
          <w:b/>
          <w:bCs/>
          <w:sz w:val="22"/>
          <w:szCs w:val="22"/>
          <w:lang w:val="sr-Latn-ME"/>
        </w:rPr>
        <w:t>a</w:t>
      </w:r>
      <w:r w:rsidRPr="00D759D0">
        <w:rPr>
          <w:b/>
          <w:bCs/>
          <w:sz w:val="22"/>
          <w:szCs w:val="22"/>
          <w:lang w:val="sr-Latn-ME"/>
        </w:rPr>
        <w:t xml:space="preserve"> i </w:t>
      </w:r>
      <w:r w:rsidR="000D3449" w:rsidRPr="00D759D0">
        <w:rPr>
          <w:b/>
          <w:bCs/>
          <w:sz w:val="22"/>
          <w:szCs w:val="22"/>
          <w:lang w:val="sr-Latn-ME"/>
        </w:rPr>
        <w:t xml:space="preserve">rukovanje </w:t>
      </w:r>
      <w:r w:rsidRPr="00D759D0">
        <w:rPr>
          <w:b/>
          <w:bCs/>
          <w:sz w:val="22"/>
          <w:szCs w:val="22"/>
          <w:lang w:val="sr-Latn-ME"/>
        </w:rPr>
        <w:t>mašinama</w:t>
      </w:r>
    </w:p>
    <w:p w14:paraId="5478FEF6" w14:textId="77777777" w:rsidR="00063330" w:rsidRPr="00D759D0" w:rsidRDefault="00063330" w:rsidP="00396DFD">
      <w:pPr>
        <w:tabs>
          <w:tab w:val="left" w:pos="540"/>
          <w:tab w:val="left" w:pos="569"/>
        </w:tabs>
        <w:ind w:left="540" w:hanging="540"/>
        <w:rPr>
          <w:b/>
          <w:bCs/>
          <w:sz w:val="22"/>
          <w:szCs w:val="22"/>
          <w:lang w:val="sr-Latn-ME"/>
        </w:rPr>
      </w:pPr>
    </w:p>
    <w:p w14:paraId="2AB05814" w14:textId="6BE4A896" w:rsidR="00063330" w:rsidRPr="00D759D0" w:rsidRDefault="00981E9A" w:rsidP="00063330">
      <w:pPr>
        <w:tabs>
          <w:tab w:val="left" w:pos="540"/>
          <w:tab w:val="left" w:pos="569"/>
        </w:tabs>
        <w:jc w:val="both"/>
        <w:rPr>
          <w:bCs/>
          <w:sz w:val="22"/>
          <w:szCs w:val="22"/>
          <w:lang w:val="sr-Latn-ME"/>
        </w:rPr>
      </w:pPr>
      <w:r w:rsidRPr="00D759D0">
        <w:rPr>
          <w:bCs/>
          <w:sz w:val="22"/>
          <w:szCs w:val="22"/>
          <w:lang w:val="sr-Latn-ME"/>
        </w:rPr>
        <w:t xml:space="preserve">Lijek </w:t>
      </w:r>
      <w:r w:rsidR="00063330" w:rsidRPr="00D759D0">
        <w:rPr>
          <w:bCs/>
          <w:sz w:val="22"/>
          <w:szCs w:val="22"/>
          <w:lang w:val="sr-Latn-ME"/>
        </w:rPr>
        <w:t>TRAVATAN nema ili ima zanemarljivi uticaj na sposobnost upravljanja motornim vozilima i rukovanja mašinama, međutim, kao i kod drugih kapi za oči, privremeno zamućenje vida ili neki drugi poremećaj</w:t>
      </w:r>
      <w:r w:rsidR="005C4FB9" w:rsidRPr="00D759D0">
        <w:rPr>
          <w:bCs/>
          <w:sz w:val="22"/>
          <w:szCs w:val="22"/>
          <w:lang w:val="sr-Latn-ME"/>
        </w:rPr>
        <w:t>i</w:t>
      </w:r>
      <w:r w:rsidR="00063330" w:rsidRPr="00D759D0">
        <w:rPr>
          <w:bCs/>
          <w:sz w:val="22"/>
          <w:szCs w:val="22"/>
          <w:lang w:val="sr-Latn-ME"/>
        </w:rPr>
        <w:t xml:space="preserve"> vida mogu uticati na sposobnost upravljanja motornim vozilom ili rukovanje mašinama. Ukoliko se zamućenje vida desi pri </w:t>
      </w:r>
      <w:proofErr w:type="spellStart"/>
      <w:r w:rsidR="00063330" w:rsidRPr="00D759D0">
        <w:rPr>
          <w:bCs/>
          <w:sz w:val="22"/>
          <w:szCs w:val="22"/>
          <w:lang w:val="sr-Latn-ME"/>
        </w:rPr>
        <w:t>ukapavanju</w:t>
      </w:r>
      <w:proofErr w:type="spellEnd"/>
      <w:r w:rsidR="00063330" w:rsidRPr="00D759D0">
        <w:rPr>
          <w:bCs/>
          <w:sz w:val="22"/>
          <w:szCs w:val="22"/>
          <w:lang w:val="sr-Latn-ME"/>
        </w:rPr>
        <w:t xml:space="preserve"> u oko, pacijent mora da sačeka dok se vid ne popravi prije nego što počne da upravlja motornim vozilom ili rukuje mašinama.</w:t>
      </w:r>
    </w:p>
    <w:p w14:paraId="739AD7AB" w14:textId="77777777" w:rsidR="0072020E" w:rsidRPr="00D759D0" w:rsidRDefault="0072020E" w:rsidP="00480FB1">
      <w:pPr>
        <w:tabs>
          <w:tab w:val="left" w:pos="540"/>
          <w:tab w:val="left" w:pos="569"/>
        </w:tabs>
        <w:rPr>
          <w:b/>
          <w:bCs/>
          <w:sz w:val="22"/>
          <w:szCs w:val="22"/>
          <w:lang w:val="sr-Latn-ME"/>
        </w:rPr>
      </w:pPr>
    </w:p>
    <w:p w14:paraId="739AD7AC" w14:textId="77777777" w:rsidR="0072020E" w:rsidRPr="00D759D0" w:rsidRDefault="0072020E" w:rsidP="00480FB1">
      <w:pPr>
        <w:tabs>
          <w:tab w:val="left" w:pos="540"/>
          <w:tab w:val="left" w:pos="569"/>
        </w:tabs>
        <w:rPr>
          <w:b/>
          <w:bCs/>
          <w:sz w:val="22"/>
          <w:szCs w:val="22"/>
          <w:lang w:val="sr-Latn-ME"/>
        </w:rPr>
      </w:pPr>
      <w:r w:rsidRPr="00D759D0">
        <w:rPr>
          <w:b/>
          <w:bCs/>
          <w:sz w:val="22"/>
          <w:szCs w:val="22"/>
          <w:lang w:val="sr-Latn-ME"/>
        </w:rPr>
        <w:t xml:space="preserve">4.8. </w:t>
      </w:r>
      <w:r w:rsidR="00480FB1" w:rsidRPr="00D759D0">
        <w:rPr>
          <w:b/>
          <w:bCs/>
          <w:sz w:val="22"/>
          <w:szCs w:val="22"/>
          <w:lang w:val="sr-Latn-ME"/>
        </w:rPr>
        <w:tab/>
      </w:r>
      <w:r w:rsidRPr="00D759D0">
        <w:rPr>
          <w:b/>
          <w:bCs/>
          <w:sz w:val="22"/>
          <w:szCs w:val="22"/>
          <w:lang w:val="sr-Latn-ME"/>
        </w:rPr>
        <w:t>Neželjena dejstva</w:t>
      </w:r>
    </w:p>
    <w:p w14:paraId="0FBB40A5" w14:textId="77777777" w:rsidR="00063330" w:rsidRPr="00D759D0" w:rsidRDefault="00063330" w:rsidP="00480FB1">
      <w:pPr>
        <w:tabs>
          <w:tab w:val="left" w:pos="540"/>
          <w:tab w:val="left" w:pos="569"/>
        </w:tabs>
        <w:rPr>
          <w:b/>
          <w:bCs/>
          <w:sz w:val="22"/>
          <w:szCs w:val="22"/>
          <w:lang w:val="sr-Latn-ME"/>
        </w:rPr>
      </w:pPr>
    </w:p>
    <w:p w14:paraId="78CC3035" w14:textId="77777777" w:rsidR="00063330" w:rsidRPr="00D759D0" w:rsidRDefault="00063330" w:rsidP="00063330">
      <w:pPr>
        <w:tabs>
          <w:tab w:val="left" w:pos="540"/>
          <w:tab w:val="left" w:pos="569"/>
        </w:tabs>
        <w:jc w:val="both"/>
        <w:rPr>
          <w:bCs/>
          <w:sz w:val="22"/>
          <w:szCs w:val="22"/>
          <w:u w:val="single"/>
          <w:lang w:val="sr-Latn-ME"/>
        </w:rPr>
      </w:pPr>
      <w:r w:rsidRPr="00D759D0">
        <w:rPr>
          <w:bCs/>
          <w:sz w:val="22"/>
          <w:szCs w:val="22"/>
          <w:u w:val="single"/>
          <w:lang w:val="sr-Latn-ME"/>
        </w:rPr>
        <w:t xml:space="preserve">Sažetak </w:t>
      </w:r>
      <w:proofErr w:type="spellStart"/>
      <w:r w:rsidRPr="00D759D0">
        <w:rPr>
          <w:bCs/>
          <w:sz w:val="22"/>
          <w:szCs w:val="22"/>
          <w:u w:val="single"/>
          <w:lang w:val="sr-Latn-ME"/>
        </w:rPr>
        <w:t>bezbjednosnog</w:t>
      </w:r>
      <w:proofErr w:type="spellEnd"/>
      <w:r w:rsidRPr="00D759D0">
        <w:rPr>
          <w:bCs/>
          <w:sz w:val="22"/>
          <w:szCs w:val="22"/>
          <w:u w:val="single"/>
          <w:lang w:val="sr-Latn-ME"/>
        </w:rPr>
        <w:t xml:space="preserve"> profila </w:t>
      </w:r>
    </w:p>
    <w:p w14:paraId="4C624A14"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U kliničkim studijama sa lijekom TRAVATAN, najčešće neželjene reakcije bile su </w:t>
      </w:r>
      <w:proofErr w:type="spellStart"/>
      <w:r w:rsidRPr="00D759D0">
        <w:rPr>
          <w:bCs/>
          <w:sz w:val="22"/>
          <w:szCs w:val="22"/>
          <w:lang w:val="sr-Latn-ME"/>
        </w:rPr>
        <w:t>okularna</w:t>
      </w:r>
      <w:proofErr w:type="spellEnd"/>
      <w:r w:rsidRPr="00D759D0">
        <w:rPr>
          <w:bCs/>
          <w:sz w:val="22"/>
          <w:szCs w:val="22"/>
          <w:lang w:val="sr-Latn-ME"/>
        </w:rPr>
        <w:t xml:space="preserve"> </w:t>
      </w:r>
      <w:proofErr w:type="spellStart"/>
      <w:r w:rsidRPr="00D759D0">
        <w:rPr>
          <w:bCs/>
          <w:sz w:val="22"/>
          <w:szCs w:val="22"/>
          <w:lang w:val="sr-Latn-ME"/>
        </w:rPr>
        <w:t>hiperemija</w:t>
      </w:r>
      <w:proofErr w:type="spellEnd"/>
      <w:r w:rsidRPr="00D759D0">
        <w:rPr>
          <w:bCs/>
          <w:sz w:val="22"/>
          <w:szCs w:val="22"/>
          <w:lang w:val="sr-Latn-ME"/>
        </w:rPr>
        <w:t xml:space="preserve"> i </w:t>
      </w:r>
      <w:proofErr w:type="spellStart"/>
      <w:r w:rsidRPr="00D759D0">
        <w:rPr>
          <w:bCs/>
          <w:sz w:val="22"/>
          <w:szCs w:val="22"/>
          <w:lang w:val="sr-Latn-ME"/>
        </w:rPr>
        <w:t>hiperpigmentacija</w:t>
      </w:r>
      <w:proofErr w:type="spellEnd"/>
      <w:r w:rsidRPr="00D759D0">
        <w:rPr>
          <w:bCs/>
          <w:sz w:val="22"/>
          <w:szCs w:val="22"/>
          <w:lang w:val="sr-Latn-ME"/>
        </w:rPr>
        <w:t xml:space="preserve"> irisa, koje se javljaju kod oko 20%, odnosno 6% pacijenata.</w:t>
      </w:r>
      <w:r w:rsidRPr="00D759D0">
        <w:rPr>
          <w:bCs/>
          <w:sz w:val="22"/>
          <w:szCs w:val="22"/>
          <w:lang w:val="sr-Latn-ME"/>
        </w:rPr>
        <w:tab/>
      </w:r>
    </w:p>
    <w:p w14:paraId="71C0BF99" w14:textId="77777777" w:rsidR="00063330" w:rsidRPr="00D759D0" w:rsidRDefault="00063330" w:rsidP="00063330">
      <w:pPr>
        <w:tabs>
          <w:tab w:val="left" w:pos="540"/>
          <w:tab w:val="left" w:pos="569"/>
        </w:tabs>
        <w:jc w:val="both"/>
        <w:rPr>
          <w:bCs/>
          <w:sz w:val="22"/>
          <w:szCs w:val="22"/>
          <w:lang w:val="sr-Latn-ME"/>
        </w:rPr>
      </w:pPr>
    </w:p>
    <w:p w14:paraId="0A8344B9" w14:textId="77777777" w:rsidR="00063330" w:rsidRPr="00D759D0" w:rsidRDefault="00063330" w:rsidP="00063330">
      <w:pPr>
        <w:tabs>
          <w:tab w:val="left" w:pos="540"/>
          <w:tab w:val="left" w:pos="569"/>
        </w:tabs>
        <w:jc w:val="both"/>
        <w:rPr>
          <w:bCs/>
          <w:sz w:val="22"/>
          <w:szCs w:val="22"/>
          <w:u w:val="single"/>
          <w:lang w:val="sr-Latn-ME"/>
        </w:rPr>
      </w:pPr>
      <w:r w:rsidRPr="00D759D0">
        <w:rPr>
          <w:bCs/>
          <w:sz w:val="22"/>
          <w:szCs w:val="22"/>
          <w:u w:val="single"/>
          <w:lang w:val="sr-Latn-ME"/>
        </w:rPr>
        <w:t xml:space="preserve">Tabelarni prikaz neželjenih reakcija </w:t>
      </w:r>
    </w:p>
    <w:p w14:paraId="68F035A9"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Sljedeća neželjena dejstva klasifikovana su u skladu sa sljedećom konvencijom: veoma česta (≥1/10), česta (≥1/100 do &lt;1/10), povremena (≥1/1.000 do &lt;1/100), rijetka (≥1/10.000 do &lt;1/1.000), veoma rijetka (&lt;1/10.000) ili nepoznata (učestalost nije moguće procijeniti na osnovu raspoloživih podataka). U okviru svake grupe učestalosti, neželjena dejstva su poređana prema </w:t>
      </w:r>
      <w:proofErr w:type="spellStart"/>
      <w:r w:rsidRPr="00D759D0">
        <w:rPr>
          <w:bCs/>
          <w:sz w:val="22"/>
          <w:szCs w:val="22"/>
          <w:lang w:val="sr-Latn-ME"/>
        </w:rPr>
        <w:t>opadajućoj</w:t>
      </w:r>
      <w:proofErr w:type="spellEnd"/>
      <w:r w:rsidRPr="00D759D0">
        <w:rPr>
          <w:bCs/>
          <w:sz w:val="22"/>
          <w:szCs w:val="22"/>
          <w:lang w:val="sr-Latn-ME"/>
        </w:rPr>
        <w:t xml:space="preserve"> ozbiljnosti. Neželjene reakcije su dobijene iz kliničkih studija i podataka nakon stavljanja lijeka TRAVATAN na tržište.</w:t>
      </w:r>
    </w:p>
    <w:p w14:paraId="739AD7AD" w14:textId="77777777" w:rsidR="004E70AD" w:rsidRPr="00D759D0" w:rsidRDefault="004E70AD" w:rsidP="00480FB1">
      <w:pPr>
        <w:tabs>
          <w:tab w:val="left" w:pos="540"/>
          <w:tab w:val="left" w:pos="569"/>
        </w:tabs>
        <w:rPr>
          <w:b/>
          <w:bCs/>
          <w:sz w:val="22"/>
          <w:szCs w:val="22"/>
          <w:lang w:val="sr-Latn-ME"/>
        </w:rPr>
      </w:pPr>
    </w:p>
    <w:tbl>
      <w:tblPr>
        <w:tblW w:w="4757" w:type="pct"/>
        <w:jc w:val="center"/>
        <w:tblCellSpacing w:w="0"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60" w:type="dxa"/>
          <w:left w:w="60" w:type="dxa"/>
          <w:bottom w:w="60" w:type="dxa"/>
          <w:right w:w="60" w:type="dxa"/>
        </w:tblCellMar>
        <w:tblLook w:val="0000" w:firstRow="0" w:lastRow="0" w:firstColumn="0" w:lastColumn="0" w:noHBand="0" w:noVBand="0"/>
      </w:tblPr>
      <w:tblGrid>
        <w:gridCol w:w="2875"/>
        <w:gridCol w:w="1539"/>
        <w:gridCol w:w="4210"/>
      </w:tblGrid>
      <w:tr w:rsidR="00063330" w:rsidRPr="00D759D0" w14:paraId="41E9858E" w14:textId="77777777" w:rsidTr="005B463B">
        <w:trPr>
          <w:trHeight w:val="4"/>
          <w:tblCellSpacing w:w="0" w:type="dxa"/>
          <w:jc w:val="center"/>
        </w:trPr>
        <w:tc>
          <w:tcPr>
            <w:tcW w:w="2923" w:type="dxa"/>
            <w:tcBorders>
              <w:top w:val="single" w:sz="4" w:space="0" w:color="auto"/>
              <w:left w:val="single" w:sz="4" w:space="0" w:color="auto"/>
              <w:bottom w:val="single" w:sz="4" w:space="0" w:color="auto"/>
              <w:right w:val="single" w:sz="4" w:space="0" w:color="auto"/>
            </w:tcBorders>
            <w:shd w:val="clear" w:color="auto" w:fill="auto"/>
          </w:tcPr>
          <w:p w14:paraId="0369FF9F" w14:textId="77777777" w:rsidR="00063330" w:rsidRPr="00D759D0" w:rsidRDefault="00063330" w:rsidP="00063330">
            <w:pPr>
              <w:pBdr>
                <w:between w:val="single" w:sz="2" w:space="1" w:color="auto"/>
              </w:pBdr>
              <w:jc w:val="both"/>
              <w:rPr>
                <w:sz w:val="22"/>
                <w:szCs w:val="22"/>
                <w:lang w:val="sr-Latn-ME" w:eastAsia="sr-Latn-CS"/>
              </w:rPr>
            </w:pPr>
            <w:r w:rsidRPr="00D759D0">
              <w:rPr>
                <w:b/>
                <w:bCs/>
                <w:sz w:val="22"/>
                <w:szCs w:val="22"/>
                <w:lang w:val="sr-Latn-ME" w:eastAsia="sr-Latn-CS"/>
              </w:rPr>
              <w:t>Klasa sistema organa</w:t>
            </w:r>
          </w:p>
        </w:tc>
        <w:tc>
          <w:tcPr>
            <w:tcW w:w="1563" w:type="dxa"/>
            <w:shd w:val="clear" w:color="auto" w:fill="auto"/>
          </w:tcPr>
          <w:p w14:paraId="148033FB" w14:textId="77777777" w:rsidR="00063330" w:rsidRPr="00D759D0" w:rsidRDefault="00063330" w:rsidP="00063330">
            <w:pPr>
              <w:pBdr>
                <w:between w:val="single" w:sz="2" w:space="1" w:color="auto"/>
              </w:pBdr>
              <w:jc w:val="both"/>
              <w:rPr>
                <w:b/>
                <w:sz w:val="22"/>
                <w:szCs w:val="22"/>
                <w:lang w:val="sr-Latn-ME" w:eastAsia="sr-Latn-CS"/>
              </w:rPr>
            </w:pPr>
            <w:r w:rsidRPr="00D759D0">
              <w:rPr>
                <w:b/>
                <w:bCs/>
                <w:sz w:val="22"/>
                <w:szCs w:val="22"/>
                <w:lang w:val="sr-Latn-ME" w:eastAsia="sr-Latn-CS"/>
              </w:rPr>
              <w:t>Učestalost</w:t>
            </w:r>
          </w:p>
        </w:tc>
        <w:tc>
          <w:tcPr>
            <w:tcW w:w="4281" w:type="dxa"/>
            <w:shd w:val="clear" w:color="auto" w:fill="auto"/>
          </w:tcPr>
          <w:p w14:paraId="1556E706" w14:textId="77777777" w:rsidR="00063330" w:rsidRPr="00D759D0" w:rsidRDefault="00063330" w:rsidP="00063330">
            <w:pPr>
              <w:pBdr>
                <w:between w:val="single" w:sz="2" w:space="1" w:color="auto"/>
              </w:pBdr>
              <w:jc w:val="both"/>
              <w:rPr>
                <w:b/>
                <w:sz w:val="22"/>
                <w:szCs w:val="22"/>
                <w:lang w:val="sr-Latn-ME" w:eastAsia="sr-Latn-CS"/>
              </w:rPr>
            </w:pPr>
            <w:r w:rsidRPr="00D759D0">
              <w:rPr>
                <w:b/>
                <w:sz w:val="22"/>
                <w:szCs w:val="22"/>
                <w:lang w:val="sr-Latn-ME" w:eastAsia="sr-Latn-CS"/>
              </w:rPr>
              <w:t xml:space="preserve">Neželjene reakcije  </w:t>
            </w:r>
          </w:p>
        </w:tc>
      </w:tr>
      <w:tr w:rsidR="00063330" w:rsidRPr="00D759D0" w14:paraId="5CE34C48" w14:textId="77777777" w:rsidTr="005B463B">
        <w:trPr>
          <w:trHeight w:val="4"/>
          <w:tblCellSpacing w:w="0" w:type="dxa"/>
          <w:jc w:val="center"/>
        </w:trPr>
        <w:tc>
          <w:tcPr>
            <w:tcW w:w="2923" w:type="dxa"/>
            <w:tcBorders>
              <w:top w:val="single" w:sz="4" w:space="0" w:color="auto"/>
              <w:left w:val="single" w:sz="4" w:space="0" w:color="auto"/>
              <w:bottom w:val="single" w:sz="4" w:space="0" w:color="auto"/>
              <w:right w:val="single" w:sz="4" w:space="0" w:color="auto"/>
            </w:tcBorders>
            <w:shd w:val="clear" w:color="auto" w:fill="auto"/>
          </w:tcPr>
          <w:p w14:paraId="36B57127" w14:textId="77777777" w:rsidR="00063330" w:rsidRPr="00D759D0" w:rsidRDefault="00063330" w:rsidP="00063330">
            <w:pPr>
              <w:tabs>
                <w:tab w:val="left" w:pos="284"/>
              </w:tabs>
              <w:jc w:val="both"/>
              <w:rPr>
                <w:sz w:val="22"/>
                <w:szCs w:val="22"/>
                <w:lang w:val="sr-Latn-ME"/>
              </w:rPr>
            </w:pPr>
            <w:r w:rsidRPr="00D759D0">
              <w:rPr>
                <w:sz w:val="22"/>
                <w:szCs w:val="22"/>
                <w:lang w:val="sr-Latn-ME"/>
              </w:rPr>
              <w:t>Imunološki poremećaji</w:t>
            </w:r>
          </w:p>
        </w:tc>
        <w:tc>
          <w:tcPr>
            <w:tcW w:w="1563" w:type="dxa"/>
            <w:shd w:val="clear" w:color="auto" w:fill="auto"/>
          </w:tcPr>
          <w:p w14:paraId="69C2B377"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 xml:space="preserve">Povremeno </w:t>
            </w:r>
          </w:p>
        </w:tc>
        <w:tc>
          <w:tcPr>
            <w:tcW w:w="4281" w:type="dxa"/>
            <w:shd w:val="clear" w:color="auto" w:fill="auto"/>
          </w:tcPr>
          <w:p w14:paraId="6D6BD550"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proofErr w:type="spellStart"/>
            <w:r w:rsidRPr="00D759D0">
              <w:rPr>
                <w:sz w:val="22"/>
                <w:szCs w:val="22"/>
                <w:lang w:val="sr-Latn-ME"/>
              </w:rPr>
              <w:t>hipersenzitivnost</w:t>
            </w:r>
            <w:proofErr w:type="spellEnd"/>
            <w:r w:rsidRPr="00D759D0">
              <w:rPr>
                <w:sz w:val="22"/>
                <w:szCs w:val="22"/>
                <w:lang w:val="sr-Latn-ME"/>
              </w:rPr>
              <w:t>, sezonska alergija</w:t>
            </w:r>
          </w:p>
        </w:tc>
      </w:tr>
      <w:tr w:rsidR="00063330" w:rsidRPr="00D759D0" w14:paraId="07E407DC" w14:textId="77777777" w:rsidTr="005B463B">
        <w:trPr>
          <w:trHeight w:val="20"/>
          <w:tblCellSpacing w:w="0" w:type="dxa"/>
          <w:jc w:val="center"/>
        </w:trPr>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16F2477E" w14:textId="77777777" w:rsidR="00063330" w:rsidRPr="00D759D0" w:rsidRDefault="00063330" w:rsidP="00063330">
            <w:pPr>
              <w:jc w:val="both"/>
              <w:rPr>
                <w:sz w:val="22"/>
                <w:szCs w:val="22"/>
                <w:lang w:val="sr-Latn-ME" w:eastAsia="sr-Latn-CS"/>
              </w:rPr>
            </w:pPr>
            <w:r w:rsidRPr="00D759D0">
              <w:rPr>
                <w:sz w:val="22"/>
                <w:szCs w:val="22"/>
                <w:lang w:val="sr-Latn-ME" w:eastAsia="sr-Latn-CS"/>
              </w:rPr>
              <w:t xml:space="preserve">Psihijatrijski </w:t>
            </w:r>
            <w:r w:rsidRPr="00D759D0">
              <w:rPr>
                <w:sz w:val="22"/>
                <w:szCs w:val="22"/>
                <w:lang w:val="sr-Latn-ME"/>
              </w:rPr>
              <w:t>poremećaji</w:t>
            </w:r>
          </w:p>
        </w:tc>
        <w:tc>
          <w:tcPr>
            <w:tcW w:w="1563" w:type="dxa"/>
            <w:shd w:val="clear" w:color="auto" w:fill="auto"/>
          </w:tcPr>
          <w:p w14:paraId="67AD5E60" w14:textId="77777777" w:rsidR="00063330" w:rsidRPr="00D759D0" w:rsidRDefault="00063330" w:rsidP="00063330">
            <w:pPr>
              <w:spacing w:after="120"/>
              <w:rPr>
                <w:sz w:val="22"/>
                <w:szCs w:val="22"/>
                <w:lang w:val="sr-Latn-ME" w:eastAsia="sr-Latn-CS"/>
              </w:rPr>
            </w:pPr>
            <w:r w:rsidRPr="00D759D0">
              <w:rPr>
                <w:sz w:val="22"/>
                <w:szCs w:val="22"/>
                <w:lang w:val="sr-Latn-ME" w:eastAsia="sr-Latn-CS"/>
              </w:rPr>
              <w:t xml:space="preserve">Nepoznato </w:t>
            </w:r>
          </w:p>
        </w:tc>
        <w:tc>
          <w:tcPr>
            <w:tcW w:w="4281" w:type="dxa"/>
            <w:shd w:val="clear" w:color="auto" w:fill="auto"/>
          </w:tcPr>
          <w:p w14:paraId="010A6C29" w14:textId="77777777" w:rsidR="00063330" w:rsidRPr="00D759D0" w:rsidRDefault="00063330" w:rsidP="00063330">
            <w:pPr>
              <w:tabs>
                <w:tab w:val="left" w:pos="284"/>
              </w:tabs>
              <w:spacing w:after="120"/>
              <w:jc w:val="both"/>
              <w:rPr>
                <w:sz w:val="22"/>
                <w:szCs w:val="22"/>
                <w:lang w:val="sr-Latn-ME"/>
              </w:rPr>
            </w:pPr>
            <w:r w:rsidRPr="00D759D0">
              <w:rPr>
                <w:sz w:val="22"/>
                <w:szCs w:val="22"/>
                <w:lang w:val="sr-Latn-ME"/>
              </w:rPr>
              <w:t>depresija, anksioznost, nesanica</w:t>
            </w:r>
          </w:p>
        </w:tc>
      </w:tr>
      <w:tr w:rsidR="00063330" w:rsidRPr="00D759D0" w14:paraId="4565B8EA" w14:textId="77777777" w:rsidTr="005B463B">
        <w:trPr>
          <w:trHeight w:val="526"/>
          <w:tblCellSpacing w:w="0" w:type="dxa"/>
          <w:jc w:val="center"/>
        </w:trPr>
        <w:tc>
          <w:tcPr>
            <w:tcW w:w="29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0E47C8" w14:textId="77777777" w:rsidR="00063330" w:rsidRPr="00D759D0" w:rsidRDefault="00063330" w:rsidP="00063330">
            <w:pPr>
              <w:jc w:val="both"/>
              <w:rPr>
                <w:sz w:val="22"/>
                <w:szCs w:val="22"/>
                <w:lang w:val="sr-Latn-ME" w:eastAsia="sr-Latn-CS"/>
              </w:rPr>
            </w:pPr>
            <w:r w:rsidRPr="00D759D0">
              <w:rPr>
                <w:sz w:val="22"/>
                <w:szCs w:val="22"/>
                <w:lang w:val="sr-Latn-ME" w:eastAsia="sr-Latn-CS"/>
              </w:rPr>
              <w:t>Poremećaji nervnog sistema</w:t>
            </w:r>
          </w:p>
        </w:tc>
        <w:tc>
          <w:tcPr>
            <w:tcW w:w="1563" w:type="dxa"/>
            <w:tcBorders>
              <w:bottom w:val="nil"/>
            </w:tcBorders>
            <w:shd w:val="clear" w:color="auto" w:fill="auto"/>
          </w:tcPr>
          <w:p w14:paraId="08E4A63A" w14:textId="77777777" w:rsidR="00063330" w:rsidRPr="00D759D0" w:rsidRDefault="00063330" w:rsidP="00063330">
            <w:pPr>
              <w:spacing w:before="120" w:after="120"/>
              <w:rPr>
                <w:sz w:val="22"/>
                <w:szCs w:val="22"/>
                <w:lang w:val="sr-Latn-ME" w:eastAsia="sr-Latn-CS"/>
              </w:rPr>
            </w:pPr>
            <w:r w:rsidRPr="00D759D0">
              <w:rPr>
                <w:sz w:val="22"/>
                <w:szCs w:val="22"/>
                <w:lang w:val="sr-Latn-ME" w:eastAsia="sr-Latn-CS"/>
              </w:rPr>
              <w:t>Povremeno</w:t>
            </w:r>
          </w:p>
        </w:tc>
        <w:tc>
          <w:tcPr>
            <w:tcW w:w="4281" w:type="dxa"/>
            <w:tcBorders>
              <w:bottom w:val="nil"/>
            </w:tcBorders>
            <w:shd w:val="clear" w:color="auto" w:fill="auto"/>
          </w:tcPr>
          <w:p w14:paraId="46C9C3B4" w14:textId="77777777" w:rsidR="00063330" w:rsidRPr="00D759D0" w:rsidRDefault="00063330" w:rsidP="00063330">
            <w:pPr>
              <w:tabs>
                <w:tab w:val="left" w:pos="284"/>
              </w:tabs>
              <w:jc w:val="both"/>
              <w:rPr>
                <w:sz w:val="22"/>
                <w:szCs w:val="22"/>
                <w:lang w:val="sr-Latn-ME"/>
              </w:rPr>
            </w:pPr>
            <w:r w:rsidRPr="00D759D0">
              <w:rPr>
                <w:sz w:val="22"/>
                <w:szCs w:val="22"/>
                <w:lang w:val="sr-Latn-ME"/>
              </w:rPr>
              <w:t>glavobolja</w:t>
            </w:r>
          </w:p>
        </w:tc>
      </w:tr>
      <w:tr w:rsidR="00063330" w:rsidRPr="00D759D0" w14:paraId="2FD6EA31" w14:textId="77777777" w:rsidTr="005B463B">
        <w:trPr>
          <w:trHeight w:val="323"/>
          <w:tblCellSpacing w:w="0" w:type="dxa"/>
          <w:jc w:val="center"/>
        </w:trPr>
        <w:tc>
          <w:tcPr>
            <w:tcW w:w="29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73D1C1" w14:textId="77777777" w:rsidR="00063330" w:rsidRPr="00D759D0" w:rsidRDefault="00063330" w:rsidP="00063330">
            <w:pPr>
              <w:jc w:val="both"/>
              <w:rPr>
                <w:sz w:val="22"/>
                <w:szCs w:val="22"/>
                <w:lang w:val="sr-Latn-ME" w:eastAsia="sr-Latn-CS"/>
              </w:rPr>
            </w:pPr>
          </w:p>
        </w:tc>
        <w:tc>
          <w:tcPr>
            <w:tcW w:w="1563" w:type="dxa"/>
            <w:tcBorders>
              <w:top w:val="single" w:sz="8" w:space="0" w:color="auto"/>
            </w:tcBorders>
            <w:shd w:val="clear" w:color="auto" w:fill="auto"/>
          </w:tcPr>
          <w:p w14:paraId="7842D6C4" w14:textId="77777777" w:rsidR="00063330" w:rsidRPr="00D759D0" w:rsidRDefault="00063330" w:rsidP="00063330">
            <w:pPr>
              <w:spacing w:before="120" w:after="120"/>
              <w:rPr>
                <w:sz w:val="22"/>
                <w:szCs w:val="22"/>
                <w:lang w:val="sr-Latn-ME" w:eastAsia="sr-Latn-CS"/>
              </w:rPr>
            </w:pPr>
            <w:r w:rsidRPr="00D759D0">
              <w:rPr>
                <w:sz w:val="22"/>
                <w:szCs w:val="22"/>
                <w:lang w:val="sr-Latn-ME" w:eastAsia="sr-Latn-CS"/>
              </w:rPr>
              <w:t>Rijetko</w:t>
            </w:r>
          </w:p>
        </w:tc>
        <w:tc>
          <w:tcPr>
            <w:tcW w:w="4281" w:type="dxa"/>
            <w:tcBorders>
              <w:top w:val="single" w:sz="8" w:space="0" w:color="auto"/>
            </w:tcBorders>
            <w:shd w:val="clear" w:color="auto" w:fill="auto"/>
          </w:tcPr>
          <w:p w14:paraId="37360E7F" w14:textId="77777777" w:rsidR="00063330" w:rsidRPr="00D759D0" w:rsidRDefault="00063330" w:rsidP="00063330">
            <w:pPr>
              <w:tabs>
                <w:tab w:val="left" w:pos="284"/>
              </w:tabs>
              <w:spacing w:before="120" w:after="120"/>
              <w:jc w:val="both"/>
              <w:rPr>
                <w:sz w:val="22"/>
                <w:szCs w:val="22"/>
                <w:lang w:val="sr-Latn-ME"/>
              </w:rPr>
            </w:pPr>
            <w:r w:rsidRPr="00D759D0">
              <w:rPr>
                <w:sz w:val="22"/>
                <w:szCs w:val="22"/>
                <w:lang w:val="sr-Latn-ME"/>
              </w:rPr>
              <w:t xml:space="preserve">vrtoglavica, poremećaji vidnog polja, poremećaj ukusa </w:t>
            </w:r>
          </w:p>
        </w:tc>
      </w:tr>
      <w:tr w:rsidR="00063330" w:rsidRPr="00D759D0" w14:paraId="553F8BE7" w14:textId="77777777" w:rsidTr="005B463B">
        <w:trPr>
          <w:trHeight w:val="330"/>
          <w:tblCellSpacing w:w="0" w:type="dxa"/>
          <w:jc w:val="center"/>
        </w:trPr>
        <w:tc>
          <w:tcPr>
            <w:tcW w:w="29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E31B49" w14:textId="77777777" w:rsidR="00063330" w:rsidRPr="00D759D0" w:rsidRDefault="00063330" w:rsidP="00063330">
            <w:pPr>
              <w:pBdr>
                <w:between w:val="single" w:sz="2" w:space="1" w:color="auto"/>
              </w:pBdr>
              <w:spacing w:before="100" w:beforeAutospacing="1" w:after="100" w:afterAutospacing="1"/>
              <w:rPr>
                <w:sz w:val="22"/>
                <w:szCs w:val="22"/>
                <w:lang w:val="sr-Latn-ME" w:eastAsia="sr-Latn-CS"/>
              </w:rPr>
            </w:pPr>
            <w:r w:rsidRPr="00D759D0">
              <w:rPr>
                <w:sz w:val="22"/>
                <w:szCs w:val="22"/>
                <w:lang w:val="sr-Latn-ME"/>
              </w:rPr>
              <w:t>Poremećaji na nivou oka</w:t>
            </w:r>
          </w:p>
        </w:tc>
        <w:tc>
          <w:tcPr>
            <w:tcW w:w="1563" w:type="dxa"/>
            <w:tcBorders>
              <w:bottom w:val="single" w:sz="2" w:space="0" w:color="auto"/>
            </w:tcBorders>
            <w:shd w:val="clear" w:color="auto" w:fill="auto"/>
          </w:tcPr>
          <w:p w14:paraId="3D9AB648"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 xml:space="preserve">Veoma često  </w:t>
            </w:r>
          </w:p>
        </w:tc>
        <w:tc>
          <w:tcPr>
            <w:tcW w:w="4281" w:type="dxa"/>
            <w:tcBorders>
              <w:bottom w:val="single" w:sz="2" w:space="0" w:color="auto"/>
            </w:tcBorders>
            <w:shd w:val="clear" w:color="auto" w:fill="auto"/>
          </w:tcPr>
          <w:p w14:paraId="734FBE2C"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proofErr w:type="spellStart"/>
            <w:r w:rsidRPr="00D759D0">
              <w:rPr>
                <w:sz w:val="22"/>
                <w:szCs w:val="22"/>
                <w:lang w:val="sr-Latn-ME"/>
              </w:rPr>
              <w:t>okularna</w:t>
            </w:r>
            <w:proofErr w:type="spellEnd"/>
            <w:r w:rsidRPr="00D759D0">
              <w:rPr>
                <w:sz w:val="22"/>
                <w:szCs w:val="22"/>
                <w:lang w:val="sr-Latn-ME"/>
              </w:rPr>
              <w:t xml:space="preserve"> </w:t>
            </w:r>
            <w:proofErr w:type="spellStart"/>
            <w:r w:rsidRPr="00D759D0">
              <w:rPr>
                <w:sz w:val="22"/>
                <w:szCs w:val="22"/>
                <w:lang w:val="sr-Latn-ME"/>
              </w:rPr>
              <w:t>hiperemija</w:t>
            </w:r>
            <w:proofErr w:type="spellEnd"/>
          </w:p>
        </w:tc>
      </w:tr>
      <w:tr w:rsidR="00063330" w:rsidRPr="00D759D0" w14:paraId="61E8E50E" w14:textId="77777777" w:rsidTr="005B463B">
        <w:trPr>
          <w:trHeight w:val="652"/>
          <w:tblCellSpacing w:w="0" w:type="dxa"/>
          <w:jc w:val="center"/>
        </w:trPr>
        <w:tc>
          <w:tcPr>
            <w:tcW w:w="29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E708BE" w14:textId="77777777" w:rsidR="00063330" w:rsidRPr="00D759D0" w:rsidRDefault="00063330" w:rsidP="00063330">
            <w:pPr>
              <w:pBdr>
                <w:between w:val="single" w:sz="2" w:space="1" w:color="auto"/>
              </w:pBdr>
              <w:jc w:val="both"/>
              <w:rPr>
                <w:sz w:val="22"/>
                <w:szCs w:val="22"/>
                <w:lang w:val="sr-Latn-ME" w:eastAsia="sr-Latn-CS"/>
              </w:rPr>
            </w:pPr>
          </w:p>
        </w:tc>
        <w:tc>
          <w:tcPr>
            <w:tcW w:w="1563" w:type="dxa"/>
            <w:tcBorders>
              <w:top w:val="single" w:sz="2" w:space="0" w:color="auto"/>
              <w:bottom w:val="single" w:sz="2" w:space="0" w:color="auto"/>
            </w:tcBorders>
            <w:shd w:val="clear" w:color="auto" w:fill="auto"/>
            <w:vAlign w:val="center"/>
          </w:tcPr>
          <w:p w14:paraId="1747231D" w14:textId="77777777" w:rsidR="00063330" w:rsidRPr="00D759D0" w:rsidRDefault="00063330" w:rsidP="00063330">
            <w:pPr>
              <w:pBdr>
                <w:between w:val="single" w:sz="2" w:space="1" w:color="auto"/>
              </w:pBdr>
              <w:spacing w:before="100" w:beforeAutospacing="1" w:after="100" w:afterAutospacing="1"/>
              <w:rPr>
                <w:sz w:val="22"/>
                <w:szCs w:val="22"/>
                <w:lang w:val="sr-Latn-ME" w:eastAsia="sr-Latn-CS"/>
              </w:rPr>
            </w:pPr>
            <w:r w:rsidRPr="00D759D0">
              <w:rPr>
                <w:sz w:val="22"/>
                <w:szCs w:val="22"/>
                <w:lang w:val="sr-Latn-ME" w:eastAsia="sr-Latn-CS"/>
              </w:rPr>
              <w:t>Često</w:t>
            </w:r>
          </w:p>
        </w:tc>
        <w:tc>
          <w:tcPr>
            <w:tcW w:w="4281" w:type="dxa"/>
            <w:tcBorders>
              <w:top w:val="single" w:sz="2" w:space="0" w:color="auto"/>
              <w:bottom w:val="single" w:sz="2" w:space="0" w:color="auto"/>
            </w:tcBorders>
            <w:shd w:val="clear" w:color="auto" w:fill="auto"/>
          </w:tcPr>
          <w:p w14:paraId="1F1ACAF5"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proofErr w:type="spellStart"/>
            <w:r w:rsidRPr="00D759D0">
              <w:rPr>
                <w:sz w:val="22"/>
                <w:szCs w:val="22"/>
                <w:lang w:val="sr-Latn-ME"/>
              </w:rPr>
              <w:t>hiperpigmentacija</w:t>
            </w:r>
            <w:proofErr w:type="spellEnd"/>
            <w:r w:rsidRPr="00D759D0">
              <w:rPr>
                <w:sz w:val="22"/>
                <w:szCs w:val="22"/>
                <w:lang w:val="sr-Latn-ME"/>
              </w:rPr>
              <w:t xml:space="preserve"> irisa, bol u oku, osjećaj nelagodnosti u oku, suvo oko, očni svrab, iritacija oka</w:t>
            </w:r>
          </w:p>
        </w:tc>
      </w:tr>
      <w:tr w:rsidR="00063330" w:rsidRPr="00D759D0" w14:paraId="55B87759" w14:textId="77777777" w:rsidTr="005B463B">
        <w:trPr>
          <w:trHeight w:val="2321"/>
          <w:tblCellSpacing w:w="0" w:type="dxa"/>
          <w:jc w:val="center"/>
        </w:trPr>
        <w:tc>
          <w:tcPr>
            <w:tcW w:w="29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A831F0" w14:textId="77777777" w:rsidR="00063330" w:rsidRPr="00D759D0" w:rsidRDefault="00063330" w:rsidP="00063330">
            <w:pPr>
              <w:pBdr>
                <w:between w:val="single" w:sz="2" w:space="1" w:color="auto"/>
              </w:pBdr>
              <w:jc w:val="both"/>
              <w:rPr>
                <w:sz w:val="22"/>
                <w:szCs w:val="22"/>
                <w:lang w:val="sr-Latn-ME" w:eastAsia="sr-Latn-CS"/>
              </w:rPr>
            </w:pPr>
          </w:p>
        </w:tc>
        <w:tc>
          <w:tcPr>
            <w:tcW w:w="1563" w:type="dxa"/>
            <w:tcBorders>
              <w:bottom w:val="nil"/>
            </w:tcBorders>
            <w:shd w:val="clear" w:color="auto" w:fill="auto"/>
            <w:vAlign w:val="bottom"/>
          </w:tcPr>
          <w:p w14:paraId="55909496" w14:textId="77777777" w:rsidR="00063330" w:rsidRPr="00D759D0" w:rsidRDefault="00063330" w:rsidP="00063330">
            <w:pPr>
              <w:spacing w:before="100" w:beforeAutospacing="1" w:after="100" w:afterAutospacing="1"/>
              <w:rPr>
                <w:sz w:val="22"/>
                <w:szCs w:val="22"/>
                <w:lang w:val="sr-Latn-ME" w:eastAsia="sr-Latn-CS"/>
              </w:rPr>
            </w:pPr>
            <w:r w:rsidRPr="00D759D0">
              <w:rPr>
                <w:sz w:val="22"/>
                <w:szCs w:val="22"/>
                <w:lang w:val="sr-Latn-ME" w:eastAsia="sr-Latn-CS"/>
              </w:rPr>
              <w:t>Povremeno</w:t>
            </w:r>
          </w:p>
          <w:p w14:paraId="26A11483" w14:textId="77777777" w:rsidR="00063330" w:rsidRPr="00D759D0" w:rsidRDefault="00063330" w:rsidP="00063330">
            <w:pPr>
              <w:spacing w:before="100" w:beforeAutospacing="1" w:after="100" w:afterAutospacing="1"/>
              <w:rPr>
                <w:sz w:val="22"/>
                <w:szCs w:val="22"/>
                <w:lang w:val="sr-Latn-ME" w:eastAsia="sr-Latn-CS"/>
              </w:rPr>
            </w:pPr>
          </w:p>
          <w:p w14:paraId="0C9CAD26" w14:textId="77777777" w:rsidR="00063330" w:rsidRPr="00D759D0" w:rsidRDefault="00063330" w:rsidP="00063330">
            <w:pPr>
              <w:spacing w:before="100" w:beforeAutospacing="1" w:after="100" w:afterAutospacing="1"/>
              <w:rPr>
                <w:sz w:val="22"/>
                <w:szCs w:val="22"/>
                <w:lang w:val="sr-Latn-ME" w:eastAsia="sr-Latn-CS"/>
              </w:rPr>
            </w:pPr>
          </w:p>
        </w:tc>
        <w:tc>
          <w:tcPr>
            <w:tcW w:w="4281" w:type="dxa"/>
            <w:tcBorders>
              <w:bottom w:val="nil"/>
            </w:tcBorders>
            <w:shd w:val="clear" w:color="auto" w:fill="auto"/>
          </w:tcPr>
          <w:p w14:paraId="71AB5030" w14:textId="77777777" w:rsidR="00063330" w:rsidRPr="00D759D0" w:rsidRDefault="00063330" w:rsidP="00063330">
            <w:pPr>
              <w:jc w:val="both"/>
              <w:rPr>
                <w:sz w:val="22"/>
                <w:szCs w:val="22"/>
                <w:lang w:val="sr-Latn-ME"/>
              </w:rPr>
            </w:pPr>
            <w:r w:rsidRPr="00D759D0">
              <w:rPr>
                <w:sz w:val="22"/>
                <w:szCs w:val="22"/>
                <w:lang w:val="sr-Latn-ME" w:eastAsia="sr-Latn-CS"/>
              </w:rPr>
              <w:t xml:space="preserve">erozija </w:t>
            </w:r>
            <w:proofErr w:type="spellStart"/>
            <w:r w:rsidRPr="00D759D0">
              <w:rPr>
                <w:sz w:val="22"/>
                <w:szCs w:val="22"/>
                <w:lang w:val="sr-Latn-ME" w:eastAsia="sr-Latn-CS"/>
              </w:rPr>
              <w:t>kornee</w:t>
            </w:r>
            <w:proofErr w:type="spellEnd"/>
            <w:r w:rsidRPr="00D759D0">
              <w:rPr>
                <w:sz w:val="22"/>
                <w:szCs w:val="22"/>
                <w:lang w:val="sr-Latn-ME" w:eastAsia="sr-Latn-CS"/>
              </w:rPr>
              <w:t xml:space="preserve">, </w:t>
            </w:r>
            <w:proofErr w:type="spellStart"/>
            <w:r w:rsidRPr="00D759D0">
              <w:rPr>
                <w:sz w:val="22"/>
                <w:szCs w:val="22"/>
                <w:lang w:val="sr-Latn-ME"/>
              </w:rPr>
              <w:t>iritis</w:t>
            </w:r>
            <w:proofErr w:type="spellEnd"/>
            <w:r w:rsidRPr="00D759D0">
              <w:rPr>
                <w:sz w:val="22"/>
                <w:szCs w:val="22"/>
                <w:lang w:val="sr-Latn-ME"/>
              </w:rPr>
              <w:t xml:space="preserve">, </w:t>
            </w:r>
            <w:proofErr w:type="spellStart"/>
            <w:r w:rsidRPr="00D759D0">
              <w:rPr>
                <w:sz w:val="22"/>
                <w:szCs w:val="22"/>
                <w:lang w:val="sr-Latn-ME" w:eastAsia="sr-Latn-CS"/>
              </w:rPr>
              <w:t>uveitis</w:t>
            </w:r>
            <w:proofErr w:type="spellEnd"/>
            <w:r w:rsidRPr="00D759D0">
              <w:rPr>
                <w:sz w:val="22"/>
                <w:szCs w:val="22"/>
                <w:lang w:val="sr-Latn-ME" w:eastAsia="sr-Latn-CS"/>
              </w:rPr>
              <w:t xml:space="preserve">, </w:t>
            </w:r>
            <w:r w:rsidRPr="00D759D0">
              <w:rPr>
                <w:sz w:val="22"/>
                <w:szCs w:val="22"/>
                <w:lang w:val="sr-Latn-ME"/>
              </w:rPr>
              <w:t xml:space="preserve">zapaljenje prednje komore, </w:t>
            </w:r>
            <w:proofErr w:type="spellStart"/>
            <w:r w:rsidRPr="00D759D0">
              <w:rPr>
                <w:sz w:val="22"/>
                <w:szCs w:val="22"/>
                <w:lang w:val="sr-Latn-ME"/>
              </w:rPr>
              <w:t>keratitis</w:t>
            </w:r>
            <w:proofErr w:type="spellEnd"/>
            <w:r w:rsidRPr="00D759D0">
              <w:rPr>
                <w:sz w:val="22"/>
                <w:szCs w:val="22"/>
                <w:lang w:val="sr-Latn-ME"/>
              </w:rPr>
              <w:t xml:space="preserve">, </w:t>
            </w:r>
            <w:proofErr w:type="spellStart"/>
            <w:r w:rsidRPr="00D759D0">
              <w:rPr>
                <w:sz w:val="22"/>
                <w:szCs w:val="22"/>
                <w:lang w:val="sr-Latn-ME"/>
              </w:rPr>
              <w:t>punktatni</w:t>
            </w:r>
            <w:proofErr w:type="spellEnd"/>
            <w:r w:rsidRPr="00D759D0">
              <w:rPr>
                <w:sz w:val="22"/>
                <w:szCs w:val="22"/>
                <w:lang w:val="sr-Latn-ME"/>
              </w:rPr>
              <w:t xml:space="preserve"> </w:t>
            </w:r>
            <w:proofErr w:type="spellStart"/>
            <w:r w:rsidRPr="00D759D0">
              <w:rPr>
                <w:sz w:val="22"/>
                <w:szCs w:val="22"/>
                <w:lang w:val="sr-Latn-ME"/>
              </w:rPr>
              <w:t>keratitis</w:t>
            </w:r>
            <w:proofErr w:type="spellEnd"/>
            <w:r w:rsidRPr="00D759D0">
              <w:rPr>
                <w:sz w:val="22"/>
                <w:szCs w:val="22"/>
                <w:lang w:val="sr-Latn-ME"/>
              </w:rPr>
              <w:t>,</w:t>
            </w:r>
          </w:p>
          <w:p w14:paraId="543022EB" w14:textId="77777777" w:rsidR="00063330" w:rsidRPr="00D759D0" w:rsidRDefault="00063330" w:rsidP="00063330">
            <w:pPr>
              <w:jc w:val="both"/>
              <w:rPr>
                <w:sz w:val="22"/>
                <w:szCs w:val="22"/>
                <w:lang w:val="sr-Latn-ME" w:eastAsia="sr-Latn-CS"/>
              </w:rPr>
            </w:pPr>
            <w:r w:rsidRPr="00D759D0">
              <w:rPr>
                <w:sz w:val="22"/>
                <w:szCs w:val="22"/>
                <w:lang w:val="sr-Latn-ME"/>
              </w:rPr>
              <w:t xml:space="preserve">fotofobija, sekrecija iz oka, </w:t>
            </w:r>
            <w:proofErr w:type="spellStart"/>
            <w:r w:rsidRPr="00D759D0">
              <w:rPr>
                <w:sz w:val="22"/>
                <w:szCs w:val="22"/>
                <w:lang w:val="sr-Latn-ME"/>
              </w:rPr>
              <w:t>blefaritis</w:t>
            </w:r>
            <w:proofErr w:type="spellEnd"/>
            <w:r w:rsidRPr="00D759D0">
              <w:rPr>
                <w:sz w:val="22"/>
                <w:szCs w:val="22"/>
                <w:lang w:val="sr-Latn-ME"/>
              </w:rPr>
              <w:t xml:space="preserve">, </w:t>
            </w:r>
            <w:proofErr w:type="spellStart"/>
            <w:r w:rsidRPr="00D759D0">
              <w:rPr>
                <w:sz w:val="22"/>
                <w:szCs w:val="22"/>
                <w:lang w:val="sr-Latn-ME"/>
              </w:rPr>
              <w:t>eritem</w:t>
            </w:r>
            <w:proofErr w:type="spellEnd"/>
            <w:r w:rsidRPr="00D759D0">
              <w:rPr>
                <w:sz w:val="22"/>
                <w:szCs w:val="22"/>
                <w:lang w:val="sr-Latn-ME"/>
              </w:rPr>
              <w:t xml:space="preserve"> očnog kapka, </w:t>
            </w:r>
            <w:proofErr w:type="spellStart"/>
            <w:r w:rsidRPr="00D759D0">
              <w:rPr>
                <w:sz w:val="22"/>
                <w:szCs w:val="22"/>
                <w:lang w:val="sr-Latn-ME"/>
              </w:rPr>
              <w:t>periorbitalni</w:t>
            </w:r>
            <w:proofErr w:type="spellEnd"/>
            <w:r w:rsidRPr="00D759D0">
              <w:rPr>
                <w:sz w:val="22"/>
                <w:szCs w:val="22"/>
                <w:lang w:val="sr-Latn-ME"/>
              </w:rPr>
              <w:t xml:space="preserve"> </w:t>
            </w:r>
            <w:proofErr w:type="spellStart"/>
            <w:r w:rsidRPr="00D759D0">
              <w:rPr>
                <w:sz w:val="22"/>
                <w:szCs w:val="22"/>
                <w:lang w:val="sr-Latn-ME"/>
              </w:rPr>
              <w:t>edem</w:t>
            </w:r>
            <w:proofErr w:type="spellEnd"/>
            <w:r w:rsidRPr="00D759D0">
              <w:rPr>
                <w:sz w:val="22"/>
                <w:szCs w:val="22"/>
                <w:lang w:val="sr-Latn-ME"/>
              </w:rPr>
              <w:t xml:space="preserve">, </w:t>
            </w:r>
            <w:proofErr w:type="spellStart"/>
            <w:r w:rsidRPr="00D759D0">
              <w:rPr>
                <w:sz w:val="22"/>
                <w:szCs w:val="22"/>
                <w:lang w:val="sr-Latn-ME"/>
              </w:rPr>
              <w:t>pruritus</w:t>
            </w:r>
            <w:proofErr w:type="spellEnd"/>
            <w:r w:rsidRPr="00D759D0">
              <w:rPr>
                <w:sz w:val="22"/>
                <w:szCs w:val="22"/>
                <w:lang w:val="sr-Latn-ME"/>
              </w:rPr>
              <w:t xml:space="preserve"> očnog kapka, smanjena oštrina vida, zamućen vid, povećano lučenje suza, konjunktivitis,   </w:t>
            </w:r>
            <w:proofErr w:type="spellStart"/>
            <w:r w:rsidRPr="00D759D0">
              <w:rPr>
                <w:sz w:val="22"/>
                <w:szCs w:val="22"/>
                <w:lang w:val="sr-Latn-ME"/>
              </w:rPr>
              <w:t>ektropion</w:t>
            </w:r>
            <w:proofErr w:type="spellEnd"/>
            <w:r w:rsidRPr="00D759D0">
              <w:rPr>
                <w:sz w:val="22"/>
                <w:szCs w:val="22"/>
                <w:lang w:val="sr-Latn-ME"/>
              </w:rPr>
              <w:t xml:space="preserve">, katarakta, </w:t>
            </w:r>
            <w:proofErr w:type="spellStart"/>
            <w:r w:rsidRPr="00D759D0">
              <w:rPr>
                <w:sz w:val="22"/>
                <w:szCs w:val="22"/>
                <w:lang w:val="sr-Latn-ME"/>
              </w:rPr>
              <w:t>zakoravanje</w:t>
            </w:r>
            <w:proofErr w:type="spellEnd"/>
            <w:r w:rsidRPr="00D759D0">
              <w:rPr>
                <w:sz w:val="22"/>
                <w:szCs w:val="22"/>
                <w:lang w:val="sr-Latn-ME"/>
              </w:rPr>
              <w:t xml:space="preserve"> ivice očnih kapaka, rast trepavica</w:t>
            </w:r>
          </w:p>
        </w:tc>
      </w:tr>
      <w:tr w:rsidR="00063330" w:rsidRPr="00D759D0" w14:paraId="0020F98C" w14:textId="77777777" w:rsidTr="005B463B">
        <w:trPr>
          <w:trHeight w:val="1266"/>
          <w:tblCellSpacing w:w="0" w:type="dxa"/>
          <w:jc w:val="center"/>
        </w:trPr>
        <w:tc>
          <w:tcPr>
            <w:tcW w:w="29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C77357"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p>
        </w:tc>
        <w:tc>
          <w:tcPr>
            <w:tcW w:w="1563" w:type="dxa"/>
            <w:tcBorders>
              <w:top w:val="single" w:sz="8" w:space="0" w:color="auto"/>
              <w:bottom w:val="nil"/>
            </w:tcBorders>
            <w:shd w:val="clear" w:color="auto" w:fill="auto"/>
            <w:vAlign w:val="center"/>
          </w:tcPr>
          <w:p w14:paraId="1EA09A90" w14:textId="77777777" w:rsidR="00063330" w:rsidRPr="00D759D0" w:rsidRDefault="00063330" w:rsidP="00063330">
            <w:pPr>
              <w:spacing w:before="100" w:beforeAutospacing="1" w:after="100" w:afterAutospacing="1"/>
              <w:rPr>
                <w:sz w:val="22"/>
                <w:szCs w:val="22"/>
                <w:lang w:val="sr-Latn-ME" w:eastAsia="sr-Latn-CS"/>
              </w:rPr>
            </w:pPr>
          </w:p>
          <w:p w14:paraId="12564482" w14:textId="77777777" w:rsidR="00063330" w:rsidRPr="00D759D0" w:rsidRDefault="00063330" w:rsidP="00063330">
            <w:pPr>
              <w:spacing w:before="100" w:beforeAutospacing="1" w:after="100" w:afterAutospacing="1"/>
              <w:rPr>
                <w:sz w:val="22"/>
                <w:szCs w:val="22"/>
                <w:lang w:val="sr-Latn-ME" w:eastAsia="sr-Latn-CS"/>
              </w:rPr>
            </w:pPr>
            <w:r w:rsidRPr="00D759D0">
              <w:rPr>
                <w:sz w:val="22"/>
                <w:szCs w:val="22"/>
                <w:lang w:val="sr-Latn-ME" w:eastAsia="sr-Latn-CS"/>
              </w:rPr>
              <w:t>Rijetko</w:t>
            </w:r>
          </w:p>
          <w:p w14:paraId="128ED990" w14:textId="77777777" w:rsidR="00063330" w:rsidRPr="00D759D0" w:rsidRDefault="00063330" w:rsidP="00063330">
            <w:pPr>
              <w:pBdr>
                <w:between w:val="single" w:sz="2" w:space="1" w:color="auto"/>
              </w:pBdr>
              <w:rPr>
                <w:sz w:val="22"/>
                <w:szCs w:val="22"/>
                <w:lang w:val="sr-Latn-ME" w:eastAsia="sr-Latn-CS"/>
              </w:rPr>
            </w:pPr>
          </w:p>
        </w:tc>
        <w:tc>
          <w:tcPr>
            <w:tcW w:w="4281" w:type="dxa"/>
            <w:tcBorders>
              <w:top w:val="single" w:sz="8" w:space="0" w:color="auto"/>
              <w:bottom w:val="nil"/>
            </w:tcBorders>
            <w:shd w:val="clear" w:color="auto" w:fill="auto"/>
          </w:tcPr>
          <w:p w14:paraId="0D3D34D8" w14:textId="5E1B03DC" w:rsidR="00063330" w:rsidRPr="00D759D0" w:rsidRDefault="00063330" w:rsidP="00063330">
            <w:pPr>
              <w:jc w:val="both"/>
              <w:rPr>
                <w:sz w:val="22"/>
                <w:szCs w:val="22"/>
                <w:lang w:val="sr-Latn-ME" w:eastAsia="sr-Latn-CS"/>
              </w:rPr>
            </w:pPr>
            <w:proofErr w:type="spellStart"/>
            <w:r w:rsidRPr="00D759D0">
              <w:rPr>
                <w:sz w:val="22"/>
                <w:szCs w:val="22"/>
                <w:lang w:val="sr-Latn-ME"/>
              </w:rPr>
              <w:t>iridociklitis</w:t>
            </w:r>
            <w:proofErr w:type="spellEnd"/>
            <w:r w:rsidRPr="00D759D0">
              <w:rPr>
                <w:sz w:val="22"/>
                <w:szCs w:val="22"/>
                <w:lang w:val="sr-Latn-ME"/>
              </w:rPr>
              <w:t xml:space="preserve">, </w:t>
            </w:r>
            <w:r w:rsidRPr="00D759D0">
              <w:rPr>
                <w:i/>
                <w:sz w:val="22"/>
                <w:szCs w:val="22"/>
                <w:lang w:val="sr-Latn-ME" w:eastAsia="sr-Latn-CS"/>
              </w:rPr>
              <w:t xml:space="preserve">herpes </w:t>
            </w:r>
            <w:proofErr w:type="spellStart"/>
            <w:r w:rsidRPr="00D759D0">
              <w:rPr>
                <w:i/>
                <w:sz w:val="22"/>
                <w:szCs w:val="22"/>
                <w:lang w:val="sr-Latn-ME" w:eastAsia="sr-Latn-CS"/>
              </w:rPr>
              <w:t>simplex</w:t>
            </w:r>
            <w:proofErr w:type="spellEnd"/>
            <w:r w:rsidRPr="00D759D0">
              <w:rPr>
                <w:sz w:val="22"/>
                <w:szCs w:val="22"/>
                <w:lang w:val="sr-Latn-ME" w:eastAsia="sr-Latn-CS"/>
              </w:rPr>
              <w:t xml:space="preserve"> oka, </w:t>
            </w:r>
            <w:r w:rsidRPr="00D759D0">
              <w:rPr>
                <w:sz w:val="22"/>
                <w:szCs w:val="22"/>
                <w:lang w:val="sr-Latn-ME"/>
              </w:rPr>
              <w:t>inflamacij</w:t>
            </w:r>
            <w:r w:rsidR="005C4FB9" w:rsidRPr="00D759D0">
              <w:rPr>
                <w:sz w:val="22"/>
                <w:szCs w:val="22"/>
                <w:lang w:val="sr-Latn-ME"/>
              </w:rPr>
              <w:t>a</w:t>
            </w:r>
            <w:r w:rsidRPr="00D759D0">
              <w:rPr>
                <w:sz w:val="22"/>
                <w:szCs w:val="22"/>
                <w:lang w:val="sr-Latn-ME"/>
              </w:rPr>
              <w:t xml:space="preserve"> oka, </w:t>
            </w:r>
            <w:proofErr w:type="spellStart"/>
            <w:r w:rsidRPr="00D759D0">
              <w:rPr>
                <w:sz w:val="22"/>
                <w:szCs w:val="22"/>
                <w:lang w:val="sr-Latn-ME"/>
              </w:rPr>
              <w:t>fotopsija</w:t>
            </w:r>
            <w:proofErr w:type="spellEnd"/>
            <w:r w:rsidRPr="00D759D0">
              <w:rPr>
                <w:sz w:val="22"/>
                <w:szCs w:val="22"/>
                <w:lang w:val="sr-Latn-ME"/>
              </w:rPr>
              <w:t xml:space="preserve">, ekcem očnog kapka, </w:t>
            </w:r>
            <w:proofErr w:type="spellStart"/>
            <w:r w:rsidRPr="00D759D0">
              <w:rPr>
                <w:sz w:val="22"/>
                <w:szCs w:val="22"/>
                <w:lang w:val="sr-Latn-ME"/>
              </w:rPr>
              <w:t>edem</w:t>
            </w:r>
            <w:proofErr w:type="spellEnd"/>
            <w:r w:rsidRPr="00D759D0">
              <w:rPr>
                <w:sz w:val="22"/>
                <w:szCs w:val="22"/>
                <w:lang w:val="sr-Latn-ME"/>
              </w:rPr>
              <w:t xml:space="preserve"> konjunktiva, </w:t>
            </w:r>
            <w:proofErr w:type="spellStart"/>
            <w:r w:rsidRPr="00D759D0">
              <w:rPr>
                <w:sz w:val="22"/>
                <w:szCs w:val="22"/>
                <w:lang w:val="sr-Latn-ME"/>
              </w:rPr>
              <w:t>haloi</w:t>
            </w:r>
            <w:proofErr w:type="spellEnd"/>
            <w:r w:rsidRPr="00D759D0">
              <w:rPr>
                <w:sz w:val="22"/>
                <w:szCs w:val="22"/>
                <w:lang w:val="sr-Latn-ME"/>
              </w:rPr>
              <w:t xml:space="preserve">, </w:t>
            </w:r>
            <w:proofErr w:type="spellStart"/>
            <w:r w:rsidRPr="00D759D0">
              <w:rPr>
                <w:sz w:val="22"/>
                <w:szCs w:val="22"/>
                <w:lang w:val="sr-Latn-ME"/>
              </w:rPr>
              <w:t>konjunktivalni</w:t>
            </w:r>
            <w:proofErr w:type="spellEnd"/>
            <w:r w:rsidRPr="00D759D0">
              <w:rPr>
                <w:sz w:val="22"/>
                <w:szCs w:val="22"/>
                <w:lang w:val="sr-Latn-ME"/>
              </w:rPr>
              <w:t xml:space="preserve"> </w:t>
            </w:r>
            <w:proofErr w:type="spellStart"/>
            <w:r w:rsidRPr="00D759D0">
              <w:rPr>
                <w:sz w:val="22"/>
                <w:szCs w:val="22"/>
                <w:lang w:val="sr-Latn-ME"/>
              </w:rPr>
              <w:t>folikuli</w:t>
            </w:r>
            <w:proofErr w:type="spellEnd"/>
            <w:r w:rsidRPr="00D759D0">
              <w:rPr>
                <w:sz w:val="22"/>
                <w:szCs w:val="22"/>
                <w:lang w:val="sr-Latn-ME"/>
              </w:rPr>
              <w:t xml:space="preserve">, smanjena osjetljivost oka, </w:t>
            </w:r>
            <w:proofErr w:type="spellStart"/>
            <w:r w:rsidRPr="00D759D0">
              <w:rPr>
                <w:sz w:val="22"/>
                <w:szCs w:val="22"/>
                <w:lang w:val="sr-Latn-ME" w:eastAsia="sr-Latn-CS"/>
              </w:rPr>
              <w:t>trihijaza</w:t>
            </w:r>
            <w:proofErr w:type="spellEnd"/>
            <w:r w:rsidRPr="00D759D0">
              <w:rPr>
                <w:sz w:val="22"/>
                <w:szCs w:val="22"/>
                <w:lang w:val="sr-Latn-ME" w:eastAsia="sr-Latn-CS"/>
              </w:rPr>
              <w:t xml:space="preserve">, </w:t>
            </w:r>
            <w:proofErr w:type="spellStart"/>
            <w:r w:rsidRPr="00D759D0">
              <w:rPr>
                <w:sz w:val="22"/>
                <w:szCs w:val="22"/>
                <w:lang w:val="sr-Latn-ME"/>
              </w:rPr>
              <w:t>meibomianitis</w:t>
            </w:r>
            <w:proofErr w:type="spellEnd"/>
            <w:r w:rsidRPr="00D759D0">
              <w:rPr>
                <w:sz w:val="22"/>
                <w:szCs w:val="22"/>
                <w:lang w:val="sr-Latn-ME"/>
              </w:rPr>
              <w:t xml:space="preserve">, pigmentacija prednje komore, </w:t>
            </w:r>
            <w:proofErr w:type="spellStart"/>
            <w:r w:rsidRPr="00D759D0">
              <w:rPr>
                <w:sz w:val="22"/>
                <w:szCs w:val="22"/>
                <w:lang w:val="sr-Latn-ME"/>
              </w:rPr>
              <w:t>midrijaza</w:t>
            </w:r>
            <w:proofErr w:type="spellEnd"/>
            <w:r w:rsidRPr="00D759D0">
              <w:rPr>
                <w:sz w:val="22"/>
                <w:szCs w:val="22"/>
                <w:lang w:val="sr-Latn-ME"/>
              </w:rPr>
              <w:t>,</w:t>
            </w:r>
            <w:r w:rsidRPr="00D759D0">
              <w:rPr>
                <w:sz w:val="22"/>
                <w:szCs w:val="22"/>
                <w:lang w:val="sr-Latn-ME" w:eastAsia="sr-Latn-CS"/>
              </w:rPr>
              <w:t xml:space="preserve"> </w:t>
            </w:r>
            <w:proofErr w:type="spellStart"/>
            <w:r w:rsidRPr="00D759D0">
              <w:rPr>
                <w:sz w:val="22"/>
                <w:szCs w:val="22"/>
                <w:lang w:val="sr-Latn-ME" w:eastAsia="sr-Latn-CS"/>
              </w:rPr>
              <w:t>astenopija</w:t>
            </w:r>
            <w:proofErr w:type="spellEnd"/>
            <w:r w:rsidRPr="00D759D0">
              <w:rPr>
                <w:sz w:val="22"/>
                <w:szCs w:val="22"/>
                <w:lang w:val="sr-Latn-ME" w:eastAsia="sr-Latn-CS"/>
              </w:rPr>
              <w:t xml:space="preserve">, </w:t>
            </w:r>
            <w:proofErr w:type="spellStart"/>
            <w:r w:rsidRPr="00D759D0">
              <w:rPr>
                <w:sz w:val="22"/>
                <w:szCs w:val="22"/>
                <w:lang w:val="sr-Latn-ME" w:eastAsia="sr-Latn-CS"/>
              </w:rPr>
              <w:t>hiperpigmentacija</w:t>
            </w:r>
            <w:proofErr w:type="spellEnd"/>
            <w:r w:rsidRPr="00D759D0">
              <w:rPr>
                <w:sz w:val="22"/>
                <w:szCs w:val="22"/>
                <w:lang w:val="sr-Latn-ME" w:eastAsia="sr-Latn-CS"/>
              </w:rPr>
              <w:t xml:space="preserve"> trepavica,</w:t>
            </w:r>
            <w:r w:rsidRPr="00D759D0">
              <w:rPr>
                <w:sz w:val="22"/>
                <w:szCs w:val="22"/>
                <w:lang w:val="sr-Latn-ME"/>
              </w:rPr>
              <w:t xml:space="preserve"> zadebljanje trepavica </w:t>
            </w:r>
          </w:p>
        </w:tc>
      </w:tr>
      <w:tr w:rsidR="00063330" w:rsidRPr="00D759D0" w14:paraId="25C1642D" w14:textId="77777777" w:rsidTr="005B463B">
        <w:trPr>
          <w:trHeight w:val="365"/>
          <w:tblCellSpacing w:w="0" w:type="dxa"/>
          <w:jc w:val="center"/>
        </w:trPr>
        <w:tc>
          <w:tcPr>
            <w:tcW w:w="29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121062"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p>
        </w:tc>
        <w:tc>
          <w:tcPr>
            <w:tcW w:w="1563" w:type="dxa"/>
            <w:tcBorders>
              <w:top w:val="single" w:sz="8" w:space="0" w:color="auto"/>
            </w:tcBorders>
            <w:shd w:val="clear" w:color="auto" w:fill="auto"/>
            <w:vAlign w:val="center"/>
          </w:tcPr>
          <w:p w14:paraId="2C0B2CA3" w14:textId="77777777" w:rsidR="00063330" w:rsidRPr="00D759D0" w:rsidRDefault="00063330" w:rsidP="00063330">
            <w:pPr>
              <w:pBdr>
                <w:between w:val="single" w:sz="2" w:space="1" w:color="auto"/>
              </w:pBdr>
              <w:rPr>
                <w:sz w:val="22"/>
                <w:szCs w:val="22"/>
                <w:lang w:val="sr-Latn-ME" w:eastAsia="sr-Latn-CS"/>
              </w:rPr>
            </w:pPr>
            <w:r w:rsidRPr="00D759D0">
              <w:rPr>
                <w:sz w:val="22"/>
                <w:szCs w:val="22"/>
                <w:lang w:val="sr-Latn-ME" w:eastAsia="sr-Latn-CS"/>
              </w:rPr>
              <w:t>Nepoznato</w:t>
            </w:r>
          </w:p>
        </w:tc>
        <w:tc>
          <w:tcPr>
            <w:tcW w:w="4281" w:type="dxa"/>
            <w:tcBorders>
              <w:top w:val="single" w:sz="8" w:space="0" w:color="auto"/>
            </w:tcBorders>
            <w:shd w:val="clear" w:color="auto" w:fill="auto"/>
            <w:vAlign w:val="center"/>
          </w:tcPr>
          <w:p w14:paraId="43BC3170" w14:textId="77777777" w:rsidR="00063330" w:rsidRPr="00D759D0" w:rsidRDefault="00063330" w:rsidP="00063330">
            <w:pPr>
              <w:rPr>
                <w:sz w:val="22"/>
                <w:szCs w:val="22"/>
                <w:lang w:val="sr-Latn-ME"/>
              </w:rPr>
            </w:pPr>
            <w:proofErr w:type="spellStart"/>
            <w:r w:rsidRPr="00D759D0">
              <w:rPr>
                <w:sz w:val="22"/>
                <w:szCs w:val="22"/>
                <w:lang w:val="sr-Latn-ME" w:eastAsia="sr-Latn-CS"/>
              </w:rPr>
              <w:t>makularni</w:t>
            </w:r>
            <w:proofErr w:type="spellEnd"/>
            <w:r w:rsidRPr="00D759D0">
              <w:rPr>
                <w:sz w:val="22"/>
                <w:szCs w:val="22"/>
                <w:lang w:val="sr-Latn-ME" w:eastAsia="sr-Latn-CS"/>
              </w:rPr>
              <w:t xml:space="preserve"> </w:t>
            </w:r>
            <w:proofErr w:type="spellStart"/>
            <w:r w:rsidRPr="00D759D0">
              <w:rPr>
                <w:sz w:val="22"/>
                <w:szCs w:val="22"/>
                <w:lang w:val="sr-Latn-ME" w:eastAsia="sr-Latn-CS"/>
              </w:rPr>
              <w:t>edem</w:t>
            </w:r>
            <w:proofErr w:type="spellEnd"/>
            <w:r w:rsidRPr="00D759D0">
              <w:rPr>
                <w:sz w:val="22"/>
                <w:szCs w:val="22"/>
                <w:lang w:val="sr-Latn-ME" w:eastAsia="sr-Latn-CS"/>
              </w:rPr>
              <w:t xml:space="preserve">, </w:t>
            </w:r>
            <w:r w:rsidRPr="00D759D0">
              <w:rPr>
                <w:sz w:val="22"/>
                <w:szCs w:val="22"/>
                <w:lang w:val="sr-Latn-ME"/>
              </w:rPr>
              <w:t>utonule oči</w:t>
            </w:r>
          </w:p>
        </w:tc>
      </w:tr>
      <w:tr w:rsidR="00063330" w:rsidRPr="00D759D0" w14:paraId="75AA1068" w14:textId="77777777" w:rsidTr="005B463B">
        <w:trPr>
          <w:trHeight w:val="357"/>
          <w:tblCellSpacing w:w="0" w:type="dxa"/>
          <w:jc w:val="center"/>
        </w:trPr>
        <w:tc>
          <w:tcPr>
            <w:tcW w:w="2923" w:type="dxa"/>
            <w:tcBorders>
              <w:top w:val="single" w:sz="4" w:space="0" w:color="auto"/>
              <w:left w:val="single" w:sz="4" w:space="0" w:color="auto"/>
              <w:bottom w:val="single" w:sz="4" w:space="0" w:color="auto"/>
              <w:right w:val="single" w:sz="4" w:space="0" w:color="auto"/>
            </w:tcBorders>
            <w:shd w:val="clear" w:color="auto" w:fill="auto"/>
          </w:tcPr>
          <w:p w14:paraId="072CE346" w14:textId="77777777" w:rsidR="00063330" w:rsidRPr="00D759D0" w:rsidRDefault="00063330" w:rsidP="00063330">
            <w:pPr>
              <w:spacing w:before="100" w:beforeAutospacing="1" w:after="100" w:afterAutospacing="1"/>
              <w:jc w:val="both"/>
              <w:rPr>
                <w:sz w:val="22"/>
                <w:szCs w:val="22"/>
                <w:lang w:val="sr-Latn-ME" w:eastAsia="sr-Latn-CS"/>
              </w:rPr>
            </w:pPr>
            <w:r w:rsidRPr="00D759D0">
              <w:rPr>
                <w:sz w:val="22"/>
                <w:szCs w:val="22"/>
                <w:lang w:val="sr-Latn-ME"/>
              </w:rPr>
              <w:t>Poremećaji uha i labirinta</w:t>
            </w:r>
          </w:p>
        </w:tc>
        <w:tc>
          <w:tcPr>
            <w:tcW w:w="1563" w:type="dxa"/>
            <w:shd w:val="clear" w:color="auto" w:fill="auto"/>
          </w:tcPr>
          <w:p w14:paraId="6017AE7F"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Nepoznato</w:t>
            </w:r>
          </w:p>
        </w:tc>
        <w:tc>
          <w:tcPr>
            <w:tcW w:w="4281" w:type="dxa"/>
            <w:shd w:val="clear" w:color="auto" w:fill="auto"/>
          </w:tcPr>
          <w:p w14:paraId="078E3594"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 xml:space="preserve">vrtoglavica, zujanje u ušima </w:t>
            </w:r>
          </w:p>
        </w:tc>
      </w:tr>
      <w:tr w:rsidR="00063330" w:rsidRPr="00D759D0" w14:paraId="3138FB7F" w14:textId="77777777" w:rsidTr="005B463B">
        <w:trPr>
          <w:trHeight w:val="294"/>
          <w:tblCellSpacing w:w="0" w:type="dxa"/>
          <w:jc w:val="center"/>
        </w:trPr>
        <w:tc>
          <w:tcPr>
            <w:tcW w:w="29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4454FA" w14:textId="77777777" w:rsidR="00063330" w:rsidRPr="00D759D0" w:rsidRDefault="00063330" w:rsidP="00063330">
            <w:pPr>
              <w:pBdr>
                <w:between w:val="single" w:sz="2" w:space="1" w:color="auto"/>
              </w:pBdr>
              <w:spacing w:before="100" w:beforeAutospacing="1" w:after="100" w:afterAutospacing="1"/>
              <w:rPr>
                <w:sz w:val="22"/>
                <w:szCs w:val="22"/>
                <w:lang w:val="sr-Latn-ME" w:eastAsia="sr-Latn-CS"/>
              </w:rPr>
            </w:pPr>
            <w:r w:rsidRPr="00D759D0">
              <w:rPr>
                <w:sz w:val="22"/>
                <w:szCs w:val="22"/>
                <w:lang w:val="sr-Latn-ME" w:eastAsia="sr-Latn-CS"/>
              </w:rPr>
              <w:t>Kardiološki poremećaji</w:t>
            </w:r>
          </w:p>
        </w:tc>
        <w:tc>
          <w:tcPr>
            <w:tcW w:w="1563" w:type="dxa"/>
            <w:tcBorders>
              <w:bottom w:val="nil"/>
            </w:tcBorders>
            <w:shd w:val="clear" w:color="auto" w:fill="auto"/>
          </w:tcPr>
          <w:p w14:paraId="107CC394"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Povremeno</w:t>
            </w:r>
          </w:p>
        </w:tc>
        <w:tc>
          <w:tcPr>
            <w:tcW w:w="4281" w:type="dxa"/>
            <w:tcBorders>
              <w:bottom w:val="nil"/>
            </w:tcBorders>
            <w:shd w:val="clear" w:color="auto" w:fill="auto"/>
          </w:tcPr>
          <w:p w14:paraId="1D67C68E"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proofErr w:type="spellStart"/>
            <w:r w:rsidRPr="00D759D0">
              <w:rPr>
                <w:sz w:val="22"/>
                <w:szCs w:val="22"/>
                <w:lang w:val="sr-Latn-ME" w:eastAsia="sr-Latn-CS"/>
              </w:rPr>
              <w:t>palpitacije</w:t>
            </w:r>
            <w:proofErr w:type="spellEnd"/>
          </w:p>
        </w:tc>
      </w:tr>
      <w:tr w:rsidR="00063330" w:rsidRPr="00D759D0" w14:paraId="3E21D968" w14:textId="77777777" w:rsidTr="005B463B">
        <w:trPr>
          <w:trHeight w:val="284"/>
          <w:tblCellSpacing w:w="0" w:type="dxa"/>
          <w:jc w:val="center"/>
        </w:trPr>
        <w:tc>
          <w:tcPr>
            <w:tcW w:w="2923" w:type="dxa"/>
            <w:vMerge/>
            <w:tcBorders>
              <w:top w:val="single" w:sz="4" w:space="0" w:color="auto"/>
              <w:left w:val="single" w:sz="4" w:space="0" w:color="auto"/>
              <w:bottom w:val="single" w:sz="4" w:space="0" w:color="auto"/>
              <w:right w:val="single" w:sz="4" w:space="0" w:color="auto"/>
            </w:tcBorders>
            <w:shd w:val="clear" w:color="auto" w:fill="auto"/>
          </w:tcPr>
          <w:p w14:paraId="7214FCAB"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p>
        </w:tc>
        <w:tc>
          <w:tcPr>
            <w:tcW w:w="1563" w:type="dxa"/>
            <w:tcBorders>
              <w:top w:val="single" w:sz="8" w:space="0" w:color="auto"/>
              <w:bottom w:val="nil"/>
            </w:tcBorders>
            <w:shd w:val="clear" w:color="auto" w:fill="auto"/>
          </w:tcPr>
          <w:p w14:paraId="2A2E1B8B"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 xml:space="preserve">Rijetko </w:t>
            </w:r>
          </w:p>
        </w:tc>
        <w:tc>
          <w:tcPr>
            <w:tcW w:w="4281" w:type="dxa"/>
            <w:tcBorders>
              <w:top w:val="single" w:sz="8" w:space="0" w:color="auto"/>
              <w:bottom w:val="nil"/>
            </w:tcBorders>
            <w:shd w:val="clear" w:color="auto" w:fill="auto"/>
          </w:tcPr>
          <w:p w14:paraId="45E35ADE"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nepravilan puls, snižen puls</w:t>
            </w:r>
          </w:p>
        </w:tc>
      </w:tr>
      <w:tr w:rsidR="00063330" w:rsidRPr="00D759D0" w14:paraId="0FB5ECAA" w14:textId="77777777" w:rsidTr="005B463B">
        <w:trPr>
          <w:trHeight w:val="275"/>
          <w:tblCellSpacing w:w="0" w:type="dxa"/>
          <w:jc w:val="center"/>
        </w:trPr>
        <w:tc>
          <w:tcPr>
            <w:tcW w:w="2923" w:type="dxa"/>
            <w:vMerge/>
            <w:tcBorders>
              <w:top w:val="single" w:sz="4" w:space="0" w:color="auto"/>
              <w:left w:val="single" w:sz="4" w:space="0" w:color="auto"/>
              <w:bottom w:val="single" w:sz="4" w:space="0" w:color="auto"/>
              <w:right w:val="single" w:sz="4" w:space="0" w:color="auto"/>
            </w:tcBorders>
            <w:shd w:val="clear" w:color="auto" w:fill="auto"/>
          </w:tcPr>
          <w:p w14:paraId="339E2DB1"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p>
        </w:tc>
        <w:tc>
          <w:tcPr>
            <w:tcW w:w="1563" w:type="dxa"/>
            <w:tcBorders>
              <w:top w:val="single" w:sz="8" w:space="0" w:color="auto"/>
            </w:tcBorders>
            <w:shd w:val="clear" w:color="auto" w:fill="auto"/>
          </w:tcPr>
          <w:p w14:paraId="564BC102"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Nepoznato</w:t>
            </w:r>
          </w:p>
        </w:tc>
        <w:tc>
          <w:tcPr>
            <w:tcW w:w="4281" w:type="dxa"/>
            <w:tcBorders>
              <w:top w:val="single" w:sz="8" w:space="0" w:color="auto"/>
            </w:tcBorders>
            <w:shd w:val="clear" w:color="auto" w:fill="auto"/>
          </w:tcPr>
          <w:p w14:paraId="33383E2C"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 xml:space="preserve">bol u grudima, </w:t>
            </w:r>
            <w:proofErr w:type="spellStart"/>
            <w:r w:rsidRPr="00D759D0">
              <w:rPr>
                <w:sz w:val="22"/>
                <w:szCs w:val="22"/>
                <w:lang w:val="sr-Latn-ME" w:eastAsia="sr-Latn-CS"/>
              </w:rPr>
              <w:t>bradikardija</w:t>
            </w:r>
            <w:proofErr w:type="spellEnd"/>
            <w:r w:rsidRPr="00D759D0">
              <w:rPr>
                <w:sz w:val="22"/>
                <w:szCs w:val="22"/>
                <w:lang w:val="sr-Latn-ME" w:eastAsia="sr-Latn-CS"/>
              </w:rPr>
              <w:t>, tahikardija, aritmija</w:t>
            </w:r>
          </w:p>
        </w:tc>
      </w:tr>
      <w:tr w:rsidR="00063330" w:rsidRPr="00D759D0" w14:paraId="7ADC2CFA" w14:textId="77777777" w:rsidTr="005B463B">
        <w:trPr>
          <w:trHeight w:val="726"/>
          <w:tblCellSpacing w:w="0" w:type="dxa"/>
          <w:jc w:val="center"/>
        </w:trPr>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5144DE98" w14:textId="77777777" w:rsidR="00063330" w:rsidRPr="00D759D0" w:rsidRDefault="00063330" w:rsidP="00063330">
            <w:pPr>
              <w:pBdr>
                <w:between w:val="single" w:sz="2" w:space="1" w:color="auto"/>
              </w:pBdr>
              <w:spacing w:before="100" w:beforeAutospacing="1" w:after="100" w:afterAutospacing="1"/>
              <w:rPr>
                <w:sz w:val="22"/>
                <w:szCs w:val="22"/>
                <w:lang w:val="sr-Latn-ME" w:eastAsia="sr-Latn-CS"/>
              </w:rPr>
            </w:pPr>
            <w:r w:rsidRPr="00D759D0">
              <w:rPr>
                <w:sz w:val="22"/>
                <w:szCs w:val="22"/>
                <w:lang w:val="sr-Latn-ME"/>
              </w:rPr>
              <w:t>Vaskularni poremećaji</w:t>
            </w:r>
          </w:p>
        </w:tc>
        <w:tc>
          <w:tcPr>
            <w:tcW w:w="1563" w:type="dxa"/>
            <w:shd w:val="clear" w:color="auto" w:fill="auto"/>
            <w:vAlign w:val="center"/>
          </w:tcPr>
          <w:p w14:paraId="5A1C46D5" w14:textId="77777777" w:rsidR="00063330" w:rsidRPr="00D759D0" w:rsidRDefault="00063330" w:rsidP="00063330">
            <w:pPr>
              <w:pBdr>
                <w:between w:val="single" w:sz="2" w:space="1" w:color="auto"/>
              </w:pBdr>
              <w:spacing w:before="100" w:beforeAutospacing="1" w:after="100" w:afterAutospacing="1"/>
              <w:rPr>
                <w:sz w:val="22"/>
                <w:szCs w:val="22"/>
                <w:lang w:val="sr-Latn-ME" w:eastAsia="sr-Latn-CS"/>
              </w:rPr>
            </w:pPr>
            <w:r w:rsidRPr="00D759D0">
              <w:rPr>
                <w:sz w:val="22"/>
                <w:szCs w:val="22"/>
                <w:lang w:val="sr-Latn-ME" w:eastAsia="sr-Latn-CS"/>
              </w:rPr>
              <w:t xml:space="preserve">Rijetko </w:t>
            </w:r>
          </w:p>
        </w:tc>
        <w:tc>
          <w:tcPr>
            <w:tcW w:w="4281" w:type="dxa"/>
            <w:shd w:val="clear" w:color="auto" w:fill="auto"/>
          </w:tcPr>
          <w:p w14:paraId="09D63C83"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rPr>
              <w:t xml:space="preserve">sniženje </w:t>
            </w:r>
            <w:proofErr w:type="spellStart"/>
            <w:r w:rsidRPr="00D759D0">
              <w:rPr>
                <w:sz w:val="22"/>
                <w:szCs w:val="22"/>
                <w:lang w:val="sr-Latn-ME"/>
              </w:rPr>
              <w:t>dijastolnog</w:t>
            </w:r>
            <w:proofErr w:type="spellEnd"/>
            <w:r w:rsidRPr="00D759D0">
              <w:rPr>
                <w:sz w:val="22"/>
                <w:szCs w:val="22"/>
                <w:lang w:val="sr-Latn-ME"/>
              </w:rPr>
              <w:t xml:space="preserve"> krvnog pritiska, </w:t>
            </w:r>
            <w:r w:rsidRPr="00D759D0">
              <w:rPr>
                <w:sz w:val="22"/>
                <w:szCs w:val="22"/>
                <w:lang w:val="sr-Latn-ME" w:eastAsia="sr-Latn-CS"/>
              </w:rPr>
              <w:t xml:space="preserve">povećanje </w:t>
            </w:r>
            <w:proofErr w:type="spellStart"/>
            <w:r w:rsidRPr="00D759D0">
              <w:rPr>
                <w:sz w:val="22"/>
                <w:szCs w:val="22"/>
                <w:lang w:val="sr-Latn-ME" w:eastAsia="sr-Latn-CS"/>
              </w:rPr>
              <w:t>sistolnog</w:t>
            </w:r>
            <w:proofErr w:type="spellEnd"/>
            <w:r w:rsidRPr="00D759D0">
              <w:rPr>
                <w:sz w:val="22"/>
                <w:szCs w:val="22"/>
                <w:lang w:val="sr-Latn-ME" w:eastAsia="sr-Latn-CS"/>
              </w:rPr>
              <w:t xml:space="preserve"> </w:t>
            </w:r>
            <w:r w:rsidRPr="00D759D0">
              <w:rPr>
                <w:sz w:val="22"/>
                <w:szCs w:val="22"/>
                <w:lang w:val="sr-Latn-ME"/>
              </w:rPr>
              <w:t xml:space="preserve">krvnog pritiska, </w:t>
            </w:r>
            <w:proofErr w:type="spellStart"/>
            <w:r w:rsidRPr="00D759D0">
              <w:rPr>
                <w:sz w:val="22"/>
                <w:szCs w:val="22"/>
                <w:lang w:val="sr-Latn-ME"/>
              </w:rPr>
              <w:t>hipotenzija</w:t>
            </w:r>
            <w:proofErr w:type="spellEnd"/>
            <w:r w:rsidRPr="00D759D0">
              <w:rPr>
                <w:sz w:val="22"/>
                <w:szCs w:val="22"/>
                <w:lang w:val="sr-Latn-ME"/>
              </w:rPr>
              <w:t>, hipertenzija</w:t>
            </w:r>
          </w:p>
        </w:tc>
      </w:tr>
      <w:tr w:rsidR="00063330" w:rsidRPr="00D759D0" w14:paraId="4E283202" w14:textId="77777777" w:rsidTr="005B463B">
        <w:trPr>
          <w:trHeight w:val="253"/>
          <w:tblCellSpacing w:w="0" w:type="dxa"/>
          <w:jc w:val="center"/>
        </w:trPr>
        <w:tc>
          <w:tcPr>
            <w:tcW w:w="29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B66648" w14:textId="77777777" w:rsidR="00063330" w:rsidRPr="00D759D0" w:rsidRDefault="00063330" w:rsidP="00063330">
            <w:pPr>
              <w:pBdr>
                <w:between w:val="single" w:sz="2" w:space="1" w:color="auto"/>
              </w:pBdr>
              <w:tabs>
                <w:tab w:val="left" w:pos="284"/>
              </w:tabs>
              <w:spacing w:before="100" w:beforeAutospacing="1" w:after="100" w:afterAutospacing="1"/>
              <w:rPr>
                <w:sz w:val="22"/>
                <w:szCs w:val="22"/>
                <w:lang w:val="sr-Latn-ME" w:eastAsia="sr-Latn-CS"/>
              </w:rPr>
            </w:pPr>
            <w:r w:rsidRPr="00D759D0">
              <w:rPr>
                <w:sz w:val="22"/>
                <w:szCs w:val="22"/>
                <w:lang w:val="sr-Latn-ME"/>
              </w:rPr>
              <w:t xml:space="preserve">Respiratorni, torakalni i  </w:t>
            </w:r>
            <w:proofErr w:type="spellStart"/>
            <w:r w:rsidRPr="00D759D0">
              <w:rPr>
                <w:sz w:val="22"/>
                <w:szCs w:val="22"/>
                <w:lang w:val="sr-Latn-ME"/>
              </w:rPr>
              <w:t>medijastinalni</w:t>
            </w:r>
            <w:proofErr w:type="spellEnd"/>
            <w:r w:rsidRPr="00D759D0">
              <w:rPr>
                <w:sz w:val="22"/>
                <w:szCs w:val="22"/>
                <w:lang w:val="sr-Latn-ME"/>
              </w:rPr>
              <w:t xml:space="preserve"> poremećaji</w:t>
            </w:r>
          </w:p>
        </w:tc>
        <w:tc>
          <w:tcPr>
            <w:tcW w:w="1563" w:type="dxa"/>
            <w:tcBorders>
              <w:bottom w:val="nil"/>
            </w:tcBorders>
            <w:shd w:val="clear" w:color="auto" w:fill="auto"/>
          </w:tcPr>
          <w:p w14:paraId="4F7ED4E9"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 xml:space="preserve">Povremeno </w:t>
            </w:r>
          </w:p>
        </w:tc>
        <w:tc>
          <w:tcPr>
            <w:tcW w:w="4281" w:type="dxa"/>
            <w:tcBorders>
              <w:bottom w:val="nil"/>
            </w:tcBorders>
            <w:shd w:val="clear" w:color="auto" w:fill="auto"/>
          </w:tcPr>
          <w:p w14:paraId="4FBAD91E"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kašalj, zapušen nos, iritacija grla</w:t>
            </w:r>
          </w:p>
        </w:tc>
      </w:tr>
      <w:tr w:rsidR="00063330" w:rsidRPr="00D759D0" w14:paraId="617E64C5" w14:textId="77777777" w:rsidTr="005B463B">
        <w:trPr>
          <w:trHeight w:val="529"/>
          <w:tblCellSpacing w:w="0" w:type="dxa"/>
          <w:jc w:val="center"/>
        </w:trPr>
        <w:tc>
          <w:tcPr>
            <w:tcW w:w="2923" w:type="dxa"/>
            <w:vMerge/>
            <w:tcBorders>
              <w:top w:val="single" w:sz="4" w:space="0" w:color="auto"/>
              <w:left w:val="single" w:sz="4" w:space="0" w:color="auto"/>
              <w:bottom w:val="single" w:sz="4" w:space="0" w:color="auto"/>
              <w:right w:val="single" w:sz="4" w:space="0" w:color="auto"/>
            </w:tcBorders>
            <w:shd w:val="clear" w:color="auto" w:fill="auto"/>
          </w:tcPr>
          <w:p w14:paraId="771355F5" w14:textId="77777777" w:rsidR="00063330" w:rsidRPr="00D759D0" w:rsidRDefault="00063330" w:rsidP="00063330">
            <w:pPr>
              <w:pBdr>
                <w:between w:val="single" w:sz="2" w:space="1" w:color="auto"/>
              </w:pBdr>
              <w:tabs>
                <w:tab w:val="left" w:pos="284"/>
              </w:tabs>
              <w:spacing w:before="100" w:beforeAutospacing="1" w:after="100" w:afterAutospacing="1"/>
              <w:jc w:val="both"/>
              <w:rPr>
                <w:sz w:val="22"/>
                <w:szCs w:val="22"/>
                <w:lang w:val="sr-Latn-ME"/>
              </w:rPr>
            </w:pPr>
          </w:p>
        </w:tc>
        <w:tc>
          <w:tcPr>
            <w:tcW w:w="1563" w:type="dxa"/>
            <w:tcBorders>
              <w:top w:val="single" w:sz="8" w:space="0" w:color="auto"/>
              <w:bottom w:val="nil"/>
            </w:tcBorders>
            <w:shd w:val="clear" w:color="auto" w:fill="auto"/>
          </w:tcPr>
          <w:p w14:paraId="3BD59309"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 xml:space="preserve">Rijetko </w:t>
            </w:r>
          </w:p>
        </w:tc>
        <w:tc>
          <w:tcPr>
            <w:tcW w:w="4281" w:type="dxa"/>
            <w:tcBorders>
              <w:top w:val="single" w:sz="8" w:space="0" w:color="auto"/>
              <w:bottom w:val="nil"/>
            </w:tcBorders>
            <w:shd w:val="clear" w:color="auto" w:fill="auto"/>
          </w:tcPr>
          <w:p w14:paraId="0B76A401" w14:textId="77777777" w:rsidR="00063330" w:rsidRPr="00D759D0" w:rsidRDefault="00063330" w:rsidP="00063330">
            <w:pPr>
              <w:pBdr>
                <w:between w:val="single" w:sz="2" w:space="1" w:color="auto"/>
              </w:pBdr>
              <w:tabs>
                <w:tab w:val="left" w:pos="720"/>
              </w:tabs>
              <w:spacing w:before="100" w:beforeAutospacing="1" w:after="100" w:afterAutospacing="1"/>
              <w:rPr>
                <w:sz w:val="22"/>
                <w:szCs w:val="22"/>
                <w:lang w:val="sr-Latn-ME" w:eastAsia="sr-Latn-CS"/>
              </w:rPr>
            </w:pPr>
            <w:proofErr w:type="spellStart"/>
            <w:r w:rsidRPr="00D759D0">
              <w:rPr>
                <w:sz w:val="22"/>
                <w:szCs w:val="22"/>
                <w:lang w:val="sr-Latn-ME" w:eastAsia="sr-Latn-CS"/>
              </w:rPr>
              <w:t>dispneja</w:t>
            </w:r>
            <w:proofErr w:type="spellEnd"/>
            <w:r w:rsidRPr="00D759D0">
              <w:rPr>
                <w:sz w:val="22"/>
                <w:szCs w:val="22"/>
                <w:lang w:val="sr-Latn-ME" w:eastAsia="sr-Latn-CS"/>
              </w:rPr>
              <w:t xml:space="preserve">, astma, respiratorni poremećaj, </w:t>
            </w:r>
            <w:proofErr w:type="spellStart"/>
            <w:r w:rsidRPr="00D759D0">
              <w:rPr>
                <w:sz w:val="22"/>
                <w:szCs w:val="22"/>
                <w:lang w:val="sr-Latn-ME" w:eastAsia="sr-Latn-CS"/>
              </w:rPr>
              <w:t>orofaringealni</w:t>
            </w:r>
            <w:proofErr w:type="spellEnd"/>
            <w:r w:rsidRPr="00D759D0">
              <w:rPr>
                <w:sz w:val="22"/>
                <w:szCs w:val="22"/>
                <w:lang w:val="sr-Latn-ME" w:eastAsia="sr-Latn-CS"/>
              </w:rPr>
              <w:t xml:space="preserve"> bol, </w:t>
            </w:r>
            <w:proofErr w:type="spellStart"/>
            <w:r w:rsidRPr="00D759D0">
              <w:rPr>
                <w:sz w:val="22"/>
                <w:szCs w:val="22"/>
                <w:lang w:val="sr-Latn-ME" w:eastAsia="sr-Latn-CS"/>
              </w:rPr>
              <w:t>disfonija</w:t>
            </w:r>
            <w:proofErr w:type="spellEnd"/>
            <w:r w:rsidRPr="00D759D0">
              <w:rPr>
                <w:sz w:val="22"/>
                <w:szCs w:val="22"/>
                <w:lang w:val="sr-Latn-ME" w:eastAsia="sr-Latn-CS"/>
              </w:rPr>
              <w:t xml:space="preserve">, alergijski </w:t>
            </w:r>
            <w:proofErr w:type="spellStart"/>
            <w:r w:rsidRPr="00D759D0">
              <w:rPr>
                <w:sz w:val="22"/>
                <w:szCs w:val="22"/>
                <w:lang w:val="sr-Latn-ME" w:eastAsia="sr-Latn-CS"/>
              </w:rPr>
              <w:t>rinitis</w:t>
            </w:r>
            <w:proofErr w:type="spellEnd"/>
            <w:r w:rsidRPr="00D759D0">
              <w:rPr>
                <w:sz w:val="22"/>
                <w:szCs w:val="22"/>
                <w:lang w:val="sr-Latn-ME" w:eastAsia="sr-Latn-CS"/>
              </w:rPr>
              <w:t>, nazalna suvoća</w:t>
            </w:r>
          </w:p>
        </w:tc>
      </w:tr>
      <w:tr w:rsidR="00063330" w:rsidRPr="00D759D0" w14:paraId="4317B094" w14:textId="77777777" w:rsidTr="005B463B">
        <w:trPr>
          <w:trHeight w:val="313"/>
          <w:tblCellSpacing w:w="0" w:type="dxa"/>
          <w:jc w:val="center"/>
        </w:trPr>
        <w:tc>
          <w:tcPr>
            <w:tcW w:w="2923" w:type="dxa"/>
            <w:vMerge/>
            <w:tcBorders>
              <w:top w:val="single" w:sz="4" w:space="0" w:color="auto"/>
              <w:left w:val="single" w:sz="4" w:space="0" w:color="auto"/>
              <w:bottom w:val="single" w:sz="4" w:space="0" w:color="auto"/>
              <w:right w:val="single" w:sz="4" w:space="0" w:color="auto"/>
            </w:tcBorders>
            <w:shd w:val="clear" w:color="auto" w:fill="auto"/>
          </w:tcPr>
          <w:p w14:paraId="48ECD26D" w14:textId="77777777" w:rsidR="00063330" w:rsidRPr="00D759D0" w:rsidRDefault="00063330" w:rsidP="00063330">
            <w:pPr>
              <w:pBdr>
                <w:between w:val="single" w:sz="2" w:space="1" w:color="auto"/>
              </w:pBdr>
              <w:tabs>
                <w:tab w:val="left" w:pos="284"/>
              </w:tabs>
              <w:spacing w:before="100" w:beforeAutospacing="1" w:after="100" w:afterAutospacing="1"/>
              <w:jc w:val="both"/>
              <w:rPr>
                <w:sz w:val="22"/>
                <w:szCs w:val="22"/>
                <w:lang w:val="sr-Latn-ME"/>
              </w:rPr>
            </w:pPr>
          </w:p>
        </w:tc>
        <w:tc>
          <w:tcPr>
            <w:tcW w:w="1563" w:type="dxa"/>
            <w:tcBorders>
              <w:top w:val="single" w:sz="8" w:space="0" w:color="auto"/>
              <w:bottom w:val="nil"/>
            </w:tcBorders>
            <w:shd w:val="clear" w:color="auto" w:fill="auto"/>
          </w:tcPr>
          <w:p w14:paraId="405178EA"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 xml:space="preserve">Nepoznato </w:t>
            </w:r>
          </w:p>
        </w:tc>
        <w:tc>
          <w:tcPr>
            <w:tcW w:w="4281" w:type="dxa"/>
            <w:tcBorders>
              <w:top w:val="single" w:sz="8" w:space="0" w:color="auto"/>
              <w:bottom w:val="nil"/>
            </w:tcBorders>
            <w:shd w:val="clear" w:color="auto" w:fill="auto"/>
          </w:tcPr>
          <w:p w14:paraId="10987045"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 xml:space="preserve">pogoršano stanje astme, </w:t>
            </w:r>
            <w:proofErr w:type="spellStart"/>
            <w:r w:rsidRPr="00D759D0">
              <w:rPr>
                <w:sz w:val="22"/>
                <w:szCs w:val="22"/>
                <w:lang w:val="sr-Latn-ME" w:eastAsia="sr-Latn-CS"/>
              </w:rPr>
              <w:t>epistaksa</w:t>
            </w:r>
            <w:proofErr w:type="spellEnd"/>
          </w:p>
        </w:tc>
      </w:tr>
      <w:tr w:rsidR="00063330" w:rsidRPr="00D759D0" w14:paraId="2011A31B" w14:textId="77777777" w:rsidTr="005B463B">
        <w:trPr>
          <w:trHeight w:val="419"/>
          <w:tblCellSpacing w:w="0" w:type="dxa"/>
          <w:jc w:val="center"/>
        </w:trPr>
        <w:tc>
          <w:tcPr>
            <w:tcW w:w="29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DDE95D" w14:textId="77777777" w:rsidR="00063330" w:rsidRPr="00D759D0" w:rsidRDefault="00063330" w:rsidP="00063330">
            <w:pPr>
              <w:pBdr>
                <w:between w:val="single" w:sz="2" w:space="1" w:color="auto"/>
              </w:pBdr>
              <w:spacing w:before="100" w:beforeAutospacing="1" w:after="100" w:afterAutospacing="1"/>
              <w:rPr>
                <w:sz w:val="22"/>
                <w:szCs w:val="22"/>
                <w:lang w:val="sr-Latn-ME" w:eastAsia="sr-Latn-CS"/>
              </w:rPr>
            </w:pPr>
            <w:r w:rsidRPr="00D759D0">
              <w:rPr>
                <w:sz w:val="22"/>
                <w:szCs w:val="22"/>
                <w:lang w:val="sr-Latn-ME" w:eastAsia="sr-Latn-CS"/>
              </w:rPr>
              <w:t>Gastrointestinalni poremećaji</w:t>
            </w:r>
          </w:p>
        </w:tc>
        <w:tc>
          <w:tcPr>
            <w:tcW w:w="1563" w:type="dxa"/>
            <w:tcBorders>
              <w:top w:val="single" w:sz="8" w:space="0" w:color="auto"/>
              <w:bottom w:val="nil"/>
            </w:tcBorders>
            <w:shd w:val="clear" w:color="auto" w:fill="auto"/>
          </w:tcPr>
          <w:p w14:paraId="224E9F8E"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 xml:space="preserve">Rijetko </w:t>
            </w:r>
          </w:p>
        </w:tc>
        <w:tc>
          <w:tcPr>
            <w:tcW w:w="4281" w:type="dxa"/>
            <w:tcBorders>
              <w:top w:val="single" w:sz="8" w:space="0" w:color="auto"/>
              <w:bottom w:val="nil"/>
            </w:tcBorders>
            <w:shd w:val="clear" w:color="auto" w:fill="auto"/>
          </w:tcPr>
          <w:p w14:paraId="3D4BCD59" w14:textId="77777777" w:rsidR="00063330" w:rsidRPr="00D759D0" w:rsidRDefault="00063330" w:rsidP="00063330">
            <w:pPr>
              <w:tabs>
                <w:tab w:val="left" w:pos="284"/>
              </w:tabs>
              <w:jc w:val="both"/>
              <w:rPr>
                <w:sz w:val="22"/>
                <w:szCs w:val="22"/>
                <w:lang w:val="sr-Latn-ME" w:eastAsia="sr-Latn-CS"/>
              </w:rPr>
            </w:pPr>
            <w:r w:rsidRPr="00D759D0">
              <w:rPr>
                <w:sz w:val="22"/>
                <w:szCs w:val="22"/>
                <w:lang w:val="sr-Latn-ME" w:eastAsia="sr-Latn-CS"/>
              </w:rPr>
              <w:t xml:space="preserve">reaktivirani </w:t>
            </w:r>
            <w:proofErr w:type="spellStart"/>
            <w:r w:rsidRPr="00D759D0">
              <w:rPr>
                <w:sz w:val="22"/>
                <w:szCs w:val="22"/>
                <w:lang w:val="sr-Latn-ME" w:eastAsia="sr-Latn-CS"/>
              </w:rPr>
              <w:t>peptički</w:t>
            </w:r>
            <w:proofErr w:type="spellEnd"/>
            <w:r w:rsidRPr="00D759D0">
              <w:rPr>
                <w:sz w:val="22"/>
                <w:szCs w:val="22"/>
                <w:lang w:val="sr-Latn-ME" w:eastAsia="sr-Latn-CS"/>
              </w:rPr>
              <w:t xml:space="preserve"> </w:t>
            </w:r>
            <w:proofErr w:type="spellStart"/>
            <w:r w:rsidRPr="00D759D0">
              <w:rPr>
                <w:sz w:val="22"/>
                <w:szCs w:val="22"/>
                <w:lang w:val="sr-Latn-ME" w:eastAsia="sr-Latn-CS"/>
              </w:rPr>
              <w:t>ulkus</w:t>
            </w:r>
            <w:proofErr w:type="spellEnd"/>
            <w:r w:rsidRPr="00D759D0">
              <w:rPr>
                <w:sz w:val="22"/>
                <w:szCs w:val="22"/>
                <w:lang w:val="sr-Latn-ME" w:eastAsia="sr-Latn-CS"/>
              </w:rPr>
              <w:t>, gastrointestinalni poremećaj, konstipacija, suva usta</w:t>
            </w:r>
          </w:p>
        </w:tc>
      </w:tr>
      <w:tr w:rsidR="00063330" w:rsidRPr="00D759D0" w14:paraId="2C6BFABC" w14:textId="77777777" w:rsidTr="005B463B">
        <w:trPr>
          <w:trHeight w:val="284"/>
          <w:tblCellSpacing w:w="0" w:type="dxa"/>
          <w:jc w:val="center"/>
        </w:trPr>
        <w:tc>
          <w:tcPr>
            <w:tcW w:w="29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AAF921" w14:textId="77777777" w:rsidR="00063330" w:rsidRPr="00D759D0" w:rsidRDefault="00063330" w:rsidP="00063330">
            <w:pPr>
              <w:pBdr>
                <w:between w:val="single" w:sz="2" w:space="1" w:color="auto"/>
              </w:pBdr>
              <w:spacing w:before="100" w:beforeAutospacing="1" w:after="100" w:afterAutospacing="1"/>
              <w:rPr>
                <w:sz w:val="22"/>
                <w:szCs w:val="22"/>
                <w:lang w:val="sr-Latn-ME" w:eastAsia="sr-Latn-CS"/>
              </w:rPr>
            </w:pPr>
          </w:p>
        </w:tc>
        <w:tc>
          <w:tcPr>
            <w:tcW w:w="1563" w:type="dxa"/>
            <w:tcBorders>
              <w:top w:val="single" w:sz="8" w:space="0" w:color="auto"/>
            </w:tcBorders>
            <w:shd w:val="clear" w:color="auto" w:fill="auto"/>
          </w:tcPr>
          <w:p w14:paraId="3D245B47"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Nepoznato</w:t>
            </w:r>
          </w:p>
        </w:tc>
        <w:tc>
          <w:tcPr>
            <w:tcW w:w="4281" w:type="dxa"/>
            <w:tcBorders>
              <w:top w:val="single" w:sz="8" w:space="0" w:color="auto"/>
            </w:tcBorders>
            <w:shd w:val="clear" w:color="auto" w:fill="auto"/>
          </w:tcPr>
          <w:p w14:paraId="36CE8909" w14:textId="77777777" w:rsidR="00063330" w:rsidRPr="00D759D0" w:rsidRDefault="00063330" w:rsidP="00063330">
            <w:pPr>
              <w:tabs>
                <w:tab w:val="left" w:pos="284"/>
              </w:tabs>
              <w:jc w:val="both"/>
              <w:rPr>
                <w:sz w:val="22"/>
                <w:szCs w:val="22"/>
                <w:lang w:val="sr-Latn-ME" w:eastAsia="sr-Latn-CS"/>
              </w:rPr>
            </w:pPr>
            <w:r w:rsidRPr="00D759D0">
              <w:rPr>
                <w:sz w:val="22"/>
                <w:szCs w:val="22"/>
                <w:lang w:val="sr-Latn-ME" w:eastAsia="sr-Latn-CS"/>
              </w:rPr>
              <w:t>dijareja, bol u stomaku, mučnina, povraćanje</w:t>
            </w:r>
          </w:p>
        </w:tc>
      </w:tr>
      <w:tr w:rsidR="00063330" w:rsidRPr="00D759D0" w14:paraId="6ECA9378" w14:textId="77777777" w:rsidTr="005B463B">
        <w:trPr>
          <w:trHeight w:val="4"/>
          <w:tblCellSpacing w:w="0" w:type="dxa"/>
          <w:jc w:val="center"/>
        </w:trPr>
        <w:tc>
          <w:tcPr>
            <w:tcW w:w="29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7EB751" w14:textId="77777777" w:rsidR="00063330" w:rsidRPr="00D759D0" w:rsidRDefault="00063330" w:rsidP="00063330">
            <w:pPr>
              <w:pBdr>
                <w:between w:val="single" w:sz="2" w:space="1" w:color="auto"/>
              </w:pBdr>
              <w:spacing w:before="100" w:beforeAutospacing="1" w:after="100" w:afterAutospacing="1"/>
              <w:rPr>
                <w:sz w:val="22"/>
                <w:szCs w:val="22"/>
                <w:lang w:val="sr-Latn-ME" w:eastAsia="sr-Latn-CS"/>
              </w:rPr>
            </w:pPr>
            <w:r w:rsidRPr="00D759D0">
              <w:rPr>
                <w:sz w:val="22"/>
                <w:szCs w:val="22"/>
                <w:lang w:val="sr-Latn-ME"/>
              </w:rPr>
              <w:t>Poremećaji na nivou kože i potkožnog tkiva</w:t>
            </w:r>
          </w:p>
        </w:tc>
        <w:tc>
          <w:tcPr>
            <w:tcW w:w="1563" w:type="dxa"/>
            <w:shd w:val="clear" w:color="auto" w:fill="auto"/>
          </w:tcPr>
          <w:p w14:paraId="294B8108"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 xml:space="preserve">Povremeno </w:t>
            </w:r>
          </w:p>
        </w:tc>
        <w:tc>
          <w:tcPr>
            <w:tcW w:w="4281" w:type="dxa"/>
            <w:shd w:val="clear" w:color="auto" w:fill="auto"/>
          </w:tcPr>
          <w:p w14:paraId="50A1EB3E" w14:textId="77777777" w:rsidR="00063330" w:rsidRPr="00D759D0" w:rsidRDefault="00063330" w:rsidP="00063330">
            <w:pPr>
              <w:tabs>
                <w:tab w:val="left" w:pos="284"/>
              </w:tabs>
              <w:jc w:val="both"/>
              <w:rPr>
                <w:sz w:val="22"/>
                <w:szCs w:val="22"/>
                <w:lang w:val="sr-Latn-ME" w:eastAsia="sr-Latn-CS"/>
              </w:rPr>
            </w:pPr>
            <w:proofErr w:type="spellStart"/>
            <w:r w:rsidRPr="00D759D0">
              <w:rPr>
                <w:sz w:val="22"/>
                <w:szCs w:val="22"/>
                <w:lang w:val="sr-Latn-ME" w:eastAsia="sr-Latn-CS"/>
              </w:rPr>
              <w:t>hiperpigmentacija</w:t>
            </w:r>
            <w:proofErr w:type="spellEnd"/>
            <w:r w:rsidRPr="00D759D0">
              <w:rPr>
                <w:sz w:val="22"/>
                <w:szCs w:val="22"/>
                <w:lang w:val="sr-Latn-ME" w:eastAsia="sr-Latn-CS"/>
              </w:rPr>
              <w:t xml:space="preserve"> kože (</w:t>
            </w:r>
            <w:proofErr w:type="spellStart"/>
            <w:r w:rsidRPr="00D759D0">
              <w:rPr>
                <w:sz w:val="22"/>
                <w:szCs w:val="22"/>
                <w:lang w:val="sr-Latn-ME" w:eastAsia="sr-Latn-CS"/>
              </w:rPr>
              <w:t>periokularno</w:t>
            </w:r>
            <w:proofErr w:type="spellEnd"/>
            <w:r w:rsidRPr="00D759D0">
              <w:rPr>
                <w:sz w:val="22"/>
                <w:szCs w:val="22"/>
                <w:lang w:val="sr-Latn-ME" w:eastAsia="sr-Latn-CS"/>
              </w:rPr>
              <w:t xml:space="preserve">), </w:t>
            </w:r>
            <w:proofErr w:type="spellStart"/>
            <w:r w:rsidRPr="00D759D0">
              <w:rPr>
                <w:sz w:val="22"/>
                <w:szCs w:val="22"/>
                <w:lang w:val="sr-Latn-ME" w:eastAsia="sr-Latn-CS"/>
              </w:rPr>
              <w:t>diskoloracija</w:t>
            </w:r>
            <w:proofErr w:type="spellEnd"/>
            <w:r w:rsidRPr="00D759D0">
              <w:rPr>
                <w:sz w:val="22"/>
                <w:szCs w:val="22"/>
                <w:lang w:val="sr-Latn-ME" w:eastAsia="sr-Latn-CS"/>
              </w:rPr>
              <w:t xml:space="preserve"> kože, poremećaj teksture dlake, </w:t>
            </w:r>
            <w:proofErr w:type="spellStart"/>
            <w:r w:rsidRPr="00D759D0">
              <w:rPr>
                <w:sz w:val="22"/>
                <w:szCs w:val="22"/>
                <w:lang w:val="sr-Latn-ME" w:eastAsia="sr-Latn-CS"/>
              </w:rPr>
              <w:t>hipertrihoza</w:t>
            </w:r>
            <w:proofErr w:type="spellEnd"/>
          </w:p>
        </w:tc>
      </w:tr>
      <w:tr w:rsidR="00063330" w:rsidRPr="00D759D0" w14:paraId="600222B8" w14:textId="77777777" w:rsidTr="005B463B">
        <w:trPr>
          <w:trHeight w:val="530"/>
          <w:tblCellSpacing w:w="0" w:type="dxa"/>
          <w:jc w:val="center"/>
        </w:trPr>
        <w:tc>
          <w:tcPr>
            <w:tcW w:w="29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885CA6" w14:textId="77777777" w:rsidR="00063330" w:rsidRPr="00D759D0" w:rsidRDefault="00063330" w:rsidP="00063330">
            <w:pPr>
              <w:pBdr>
                <w:between w:val="single" w:sz="2" w:space="1" w:color="auto"/>
              </w:pBdr>
              <w:jc w:val="both"/>
              <w:rPr>
                <w:sz w:val="22"/>
                <w:szCs w:val="22"/>
                <w:lang w:val="sr-Latn-ME" w:eastAsia="sr-Latn-CS"/>
              </w:rPr>
            </w:pPr>
          </w:p>
        </w:tc>
        <w:tc>
          <w:tcPr>
            <w:tcW w:w="1563" w:type="dxa"/>
            <w:tcBorders>
              <w:bottom w:val="nil"/>
            </w:tcBorders>
            <w:shd w:val="clear" w:color="auto" w:fill="auto"/>
          </w:tcPr>
          <w:p w14:paraId="46574876"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 xml:space="preserve">Rijetko </w:t>
            </w:r>
          </w:p>
        </w:tc>
        <w:tc>
          <w:tcPr>
            <w:tcW w:w="4281" w:type="dxa"/>
            <w:tcBorders>
              <w:bottom w:val="nil"/>
            </w:tcBorders>
            <w:shd w:val="clear" w:color="auto" w:fill="auto"/>
          </w:tcPr>
          <w:p w14:paraId="1D83AFF6" w14:textId="309C7DA3"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 xml:space="preserve">alergijski dermatitis, kontaktni dermatitis, </w:t>
            </w:r>
            <w:proofErr w:type="spellStart"/>
            <w:r w:rsidRPr="00D759D0">
              <w:rPr>
                <w:sz w:val="22"/>
                <w:szCs w:val="22"/>
                <w:lang w:val="sr-Latn-ME" w:eastAsia="sr-Latn-CS"/>
              </w:rPr>
              <w:t>eritem</w:t>
            </w:r>
            <w:proofErr w:type="spellEnd"/>
            <w:r w:rsidRPr="00D759D0">
              <w:rPr>
                <w:sz w:val="22"/>
                <w:szCs w:val="22"/>
                <w:lang w:val="sr-Latn-ME" w:eastAsia="sr-Latn-CS"/>
              </w:rPr>
              <w:t xml:space="preserve">, osip, promjene boje kose, </w:t>
            </w:r>
            <w:proofErr w:type="spellStart"/>
            <w:r w:rsidRPr="00D759D0">
              <w:rPr>
                <w:sz w:val="22"/>
                <w:szCs w:val="22"/>
                <w:lang w:val="sr-Latn-ME" w:eastAsia="sr-Latn-CS"/>
              </w:rPr>
              <w:t>madaroza</w:t>
            </w:r>
            <w:proofErr w:type="spellEnd"/>
          </w:p>
        </w:tc>
      </w:tr>
      <w:tr w:rsidR="00063330" w:rsidRPr="00D759D0" w14:paraId="2212DB82" w14:textId="77777777" w:rsidTr="005B463B">
        <w:trPr>
          <w:trHeight w:val="283"/>
          <w:tblCellSpacing w:w="0" w:type="dxa"/>
          <w:jc w:val="center"/>
        </w:trPr>
        <w:tc>
          <w:tcPr>
            <w:tcW w:w="29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AC914" w14:textId="77777777" w:rsidR="00063330" w:rsidRPr="00D759D0" w:rsidRDefault="00063330" w:rsidP="00063330">
            <w:pPr>
              <w:pBdr>
                <w:between w:val="single" w:sz="2" w:space="1" w:color="auto"/>
              </w:pBdr>
              <w:jc w:val="both"/>
              <w:rPr>
                <w:sz w:val="22"/>
                <w:szCs w:val="22"/>
                <w:lang w:val="sr-Latn-ME" w:eastAsia="sr-Latn-CS"/>
              </w:rPr>
            </w:pPr>
          </w:p>
        </w:tc>
        <w:tc>
          <w:tcPr>
            <w:tcW w:w="1563" w:type="dxa"/>
            <w:tcBorders>
              <w:top w:val="single" w:sz="8" w:space="0" w:color="auto"/>
            </w:tcBorders>
            <w:shd w:val="clear" w:color="auto" w:fill="auto"/>
          </w:tcPr>
          <w:p w14:paraId="4C00F51B"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 xml:space="preserve">Nepoznato </w:t>
            </w:r>
          </w:p>
        </w:tc>
        <w:tc>
          <w:tcPr>
            <w:tcW w:w="4281" w:type="dxa"/>
            <w:tcBorders>
              <w:top w:val="single" w:sz="8" w:space="0" w:color="auto"/>
            </w:tcBorders>
            <w:shd w:val="clear" w:color="auto" w:fill="auto"/>
          </w:tcPr>
          <w:p w14:paraId="5BC7FBC7"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proofErr w:type="spellStart"/>
            <w:r w:rsidRPr="00D759D0">
              <w:rPr>
                <w:sz w:val="22"/>
                <w:szCs w:val="22"/>
                <w:lang w:val="sr-Latn-ME" w:eastAsia="sr-Latn-CS"/>
              </w:rPr>
              <w:t>pruritus</w:t>
            </w:r>
            <w:proofErr w:type="spellEnd"/>
            <w:r w:rsidRPr="00D759D0">
              <w:rPr>
                <w:sz w:val="22"/>
                <w:szCs w:val="22"/>
                <w:lang w:val="sr-Latn-ME" w:eastAsia="sr-Latn-CS"/>
              </w:rPr>
              <w:t xml:space="preserve">, abnormalan rast kose </w:t>
            </w:r>
          </w:p>
        </w:tc>
      </w:tr>
      <w:tr w:rsidR="00063330" w:rsidRPr="00D759D0" w14:paraId="4E48184D" w14:textId="77777777" w:rsidTr="005B463B">
        <w:trPr>
          <w:trHeight w:val="291"/>
          <w:tblCellSpacing w:w="0" w:type="dxa"/>
          <w:jc w:val="center"/>
        </w:trPr>
        <w:tc>
          <w:tcPr>
            <w:tcW w:w="29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7BD860" w14:textId="72F9A133" w:rsidR="00063330" w:rsidRPr="00D759D0" w:rsidRDefault="00063330" w:rsidP="00063330">
            <w:pPr>
              <w:pBdr>
                <w:between w:val="single" w:sz="2" w:space="1" w:color="auto"/>
              </w:pBdr>
              <w:spacing w:before="100" w:beforeAutospacing="1" w:after="100" w:afterAutospacing="1"/>
              <w:rPr>
                <w:sz w:val="22"/>
                <w:szCs w:val="22"/>
                <w:lang w:val="sr-Latn-ME" w:eastAsia="sr-Latn-CS"/>
              </w:rPr>
            </w:pPr>
            <w:r w:rsidRPr="00D759D0">
              <w:rPr>
                <w:sz w:val="22"/>
                <w:szCs w:val="22"/>
                <w:lang w:val="sr-Latn-ME"/>
              </w:rPr>
              <w:t>Poremećaji mišićno-skeletnog, vezivnog i koštanog tkiva</w:t>
            </w:r>
          </w:p>
        </w:tc>
        <w:tc>
          <w:tcPr>
            <w:tcW w:w="1563" w:type="dxa"/>
            <w:tcBorders>
              <w:top w:val="nil"/>
              <w:bottom w:val="nil"/>
            </w:tcBorders>
            <w:shd w:val="clear" w:color="auto" w:fill="auto"/>
          </w:tcPr>
          <w:p w14:paraId="5228C606"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 xml:space="preserve">Rijetko </w:t>
            </w:r>
          </w:p>
        </w:tc>
        <w:tc>
          <w:tcPr>
            <w:tcW w:w="4281" w:type="dxa"/>
            <w:tcBorders>
              <w:top w:val="nil"/>
              <w:bottom w:val="nil"/>
              <w:right w:val="nil"/>
            </w:tcBorders>
            <w:shd w:val="clear" w:color="auto" w:fill="auto"/>
          </w:tcPr>
          <w:p w14:paraId="0141A448"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 xml:space="preserve">mišićno-skeletni bol, </w:t>
            </w:r>
            <w:proofErr w:type="spellStart"/>
            <w:r w:rsidRPr="00D759D0">
              <w:rPr>
                <w:sz w:val="22"/>
                <w:szCs w:val="22"/>
                <w:lang w:val="sr-Latn-ME" w:eastAsia="sr-Latn-CS"/>
              </w:rPr>
              <w:t>artralgija</w:t>
            </w:r>
            <w:proofErr w:type="spellEnd"/>
          </w:p>
        </w:tc>
      </w:tr>
      <w:tr w:rsidR="00063330" w:rsidRPr="00D759D0" w14:paraId="73830B11" w14:textId="77777777" w:rsidTr="005B463B">
        <w:trPr>
          <w:trHeight w:val="282"/>
          <w:tblCellSpacing w:w="0" w:type="dxa"/>
          <w:jc w:val="center"/>
        </w:trPr>
        <w:tc>
          <w:tcPr>
            <w:tcW w:w="2923" w:type="dxa"/>
            <w:vMerge/>
            <w:tcBorders>
              <w:top w:val="single" w:sz="4" w:space="0" w:color="auto"/>
              <w:left w:val="single" w:sz="4" w:space="0" w:color="auto"/>
              <w:bottom w:val="single" w:sz="4" w:space="0" w:color="auto"/>
              <w:right w:val="single" w:sz="4" w:space="0" w:color="auto"/>
            </w:tcBorders>
            <w:shd w:val="clear" w:color="auto" w:fill="auto"/>
          </w:tcPr>
          <w:p w14:paraId="3ED91A04"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rPr>
            </w:pPr>
          </w:p>
        </w:tc>
        <w:tc>
          <w:tcPr>
            <w:tcW w:w="1563" w:type="dxa"/>
            <w:tcBorders>
              <w:top w:val="nil"/>
              <w:bottom w:val="nil"/>
            </w:tcBorders>
            <w:shd w:val="clear" w:color="auto" w:fill="auto"/>
          </w:tcPr>
          <w:p w14:paraId="29C7DACE"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p>
        </w:tc>
        <w:tc>
          <w:tcPr>
            <w:tcW w:w="4281" w:type="dxa"/>
            <w:tcBorders>
              <w:top w:val="nil"/>
              <w:bottom w:val="nil"/>
              <w:right w:val="nil"/>
            </w:tcBorders>
            <w:shd w:val="clear" w:color="auto" w:fill="auto"/>
          </w:tcPr>
          <w:p w14:paraId="7321D205"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p>
        </w:tc>
      </w:tr>
      <w:tr w:rsidR="00063330" w:rsidRPr="00D759D0" w14:paraId="30D6010A" w14:textId="77777777" w:rsidTr="005B463B">
        <w:trPr>
          <w:trHeight w:val="444"/>
          <w:tblCellSpacing w:w="0" w:type="dxa"/>
          <w:jc w:val="center"/>
        </w:trPr>
        <w:tc>
          <w:tcPr>
            <w:tcW w:w="2923" w:type="dxa"/>
            <w:tcBorders>
              <w:top w:val="single" w:sz="4" w:space="0" w:color="auto"/>
              <w:left w:val="single" w:sz="4" w:space="0" w:color="auto"/>
              <w:bottom w:val="single" w:sz="4" w:space="0" w:color="auto"/>
              <w:right w:val="single" w:sz="4" w:space="0" w:color="auto"/>
            </w:tcBorders>
            <w:shd w:val="clear" w:color="auto" w:fill="auto"/>
          </w:tcPr>
          <w:p w14:paraId="054C71C2" w14:textId="77777777" w:rsidR="00063330" w:rsidRPr="00D759D0" w:rsidRDefault="00063330" w:rsidP="00063330">
            <w:pPr>
              <w:pBdr>
                <w:between w:val="single" w:sz="2" w:space="1" w:color="auto"/>
              </w:pBdr>
              <w:spacing w:before="100" w:beforeAutospacing="1" w:after="100" w:afterAutospacing="1"/>
              <w:rPr>
                <w:sz w:val="22"/>
                <w:szCs w:val="22"/>
                <w:lang w:val="sr-Latn-ME"/>
              </w:rPr>
            </w:pPr>
            <w:r w:rsidRPr="00D759D0">
              <w:rPr>
                <w:sz w:val="22"/>
                <w:szCs w:val="22"/>
                <w:lang w:val="sr-Latn-ME"/>
              </w:rPr>
              <w:t xml:space="preserve">Poremećaji na nivou bubrega i </w:t>
            </w:r>
            <w:proofErr w:type="spellStart"/>
            <w:r w:rsidRPr="00D759D0">
              <w:rPr>
                <w:sz w:val="22"/>
                <w:szCs w:val="22"/>
                <w:lang w:val="sr-Latn-ME"/>
              </w:rPr>
              <w:t>urinarnog</w:t>
            </w:r>
            <w:proofErr w:type="spellEnd"/>
            <w:r w:rsidRPr="00D759D0">
              <w:rPr>
                <w:sz w:val="22"/>
                <w:szCs w:val="22"/>
                <w:lang w:val="sr-Latn-ME"/>
              </w:rPr>
              <w:t xml:space="preserve"> sistema </w:t>
            </w:r>
          </w:p>
        </w:tc>
        <w:tc>
          <w:tcPr>
            <w:tcW w:w="1563" w:type="dxa"/>
            <w:shd w:val="clear" w:color="auto" w:fill="auto"/>
          </w:tcPr>
          <w:p w14:paraId="60B4C636" w14:textId="77777777" w:rsidR="00063330" w:rsidRPr="00D759D0" w:rsidRDefault="00063330" w:rsidP="00063330">
            <w:pPr>
              <w:pBdr>
                <w:between w:val="single" w:sz="2" w:space="1" w:color="auto"/>
              </w:pBdr>
              <w:spacing w:before="100" w:beforeAutospacing="1" w:after="100" w:afterAutospacing="1"/>
              <w:rPr>
                <w:sz w:val="22"/>
                <w:szCs w:val="22"/>
                <w:lang w:val="sr-Latn-ME" w:eastAsia="sr-Latn-CS"/>
              </w:rPr>
            </w:pPr>
            <w:r w:rsidRPr="00D759D0">
              <w:rPr>
                <w:sz w:val="22"/>
                <w:szCs w:val="22"/>
                <w:lang w:val="sr-Latn-ME" w:eastAsia="sr-Latn-CS"/>
              </w:rPr>
              <w:t>Nepoznato</w:t>
            </w:r>
          </w:p>
        </w:tc>
        <w:tc>
          <w:tcPr>
            <w:tcW w:w="4281" w:type="dxa"/>
            <w:shd w:val="clear" w:color="auto" w:fill="auto"/>
          </w:tcPr>
          <w:p w14:paraId="1225024D" w14:textId="77777777" w:rsidR="00063330" w:rsidRPr="00D759D0" w:rsidRDefault="00063330" w:rsidP="00063330">
            <w:pPr>
              <w:pBdr>
                <w:between w:val="single" w:sz="2" w:space="1" w:color="auto"/>
              </w:pBdr>
              <w:spacing w:before="100" w:beforeAutospacing="1" w:after="100" w:afterAutospacing="1"/>
              <w:rPr>
                <w:sz w:val="22"/>
                <w:szCs w:val="22"/>
                <w:lang w:val="sr-Latn-ME" w:eastAsia="sr-Latn-CS"/>
              </w:rPr>
            </w:pPr>
            <w:proofErr w:type="spellStart"/>
            <w:r w:rsidRPr="00D759D0">
              <w:rPr>
                <w:sz w:val="22"/>
                <w:szCs w:val="22"/>
                <w:lang w:val="sr-Latn-ME" w:eastAsia="sr-Latn-CS"/>
              </w:rPr>
              <w:t>disurija</w:t>
            </w:r>
            <w:proofErr w:type="spellEnd"/>
            <w:r w:rsidRPr="00D759D0">
              <w:rPr>
                <w:sz w:val="22"/>
                <w:szCs w:val="22"/>
                <w:lang w:val="sr-Latn-ME" w:eastAsia="sr-Latn-CS"/>
              </w:rPr>
              <w:t xml:space="preserve">, </w:t>
            </w:r>
            <w:proofErr w:type="spellStart"/>
            <w:r w:rsidRPr="00D759D0">
              <w:rPr>
                <w:sz w:val="22"/>
                <w:szCs w:val="22"/>
                <w:lang w:val="sr-Latn-ME" w:eastAsia="sr-Latn-CS"/>
              </w:rPr>
              <w:t>urinarna</w:t>
            </w:r>
            <w:proofErr w:type="spellEnd"/>
            <w:r w:rsidRPr="00D759D0">
              <w:rPr>
                <w:sz w:val="22"/>
                <w:szCs w:val="22"/>
                <w:lang w:val="sr-Latn-ME" w:eastAsia="sr-Latn-CS"/>
              </w:rPr>
              <w:t xml:space="preserve"> inkontinencija</w:t>
            </w:r>
          </w:p>
        </w:tc>
      </w:tr>
      <w:tr w:rsidR="00063330" w:rsidRPr="00D759D0" w14:paraId="55DE47D1" w14:textId="77777777" w:rsidTr="005B463B">
        <w:trPr>
          <w:trHeight w:val="640"/>
          <w:tblCellSpacing w:w="0" w:type="dxa"/>
          <w:jc w:val="center"/>
        </w:trPr>
        <w:tc>
          <w:tcPr>
            <w:tcW w:w="2923" w:type="dxa"/>
            <w:tcBorders>
              <w:top w:val="single" w:sz="4" w:space="0" w:color="auto"/>
              <w:left w:val="single" w:sz="4" w:space="0" w:color="auto"/>
              <w:bottom w:val="single" w:sz="4" w:space="0" w:color="auto"/>
              <w:right w:val="single" w:sz="4" w:space="0" w:color="auto"/>
            </w:tcBorders>
            <w:shd w:val="clear" w:color="auto" w:fill="auto"/>
          </w:tcPr>
          <w:p w14:paraId="1CF2B7E6" w14:textId="77777777" w:rsidR="00063330" w:rsidRPr="00D759D0" w:rsidRDefault="00063330" w:rsidP="00063330">
            <w:pPr>
              <w:pBdr>
                <w:between w:val="single" w:sz="2" w:space="1" w:color="auto"/>
              </w:pBdr>
              <w:spacing w:before="100" w:beforeAutospacing="1" w:after="100" w:afterAutospacing="1"/>
              <w:rPr>
                <w:sz w:val="22"/>
                <w:szCs w:val="22"/>
                <w:lang w:val="sr-Latn-ME" w:eastAsia="sr-Latn-CS"/>
              </w:rPr>
            </w:pPr>
            <w:r w:rsidRPr="00D759D0">
              <w:rPr>
                <w:sz w:val="22"/>
                <w:szCs w:val="22"/>
                <w:lang w:val="sr-Latn-ME"/>
              </w:rPr>
              <w:lastRenderedPageBreak/>
              <w:t>Opšti poremećaji i reakcije na mjestu primjene lijeka</w:t>
            </w:r>
          </w:p>
        </w:tc>
        <w:tc>
          <w:tcPr>
            <w:tcW w:w="1563" w:type="dxa"/>
            <w:shd w:val="clear" w:color="auto" w:fill="auto"/>
          </w:tcPr>
          <w:p w14:paraId="2685AF2C"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 xml:space="preserve">Rijetko </w:t>
            </w:r>
          </w:p>
        </w:tc>
        <w:tc>
          <w:tcPr>
            <w:tcW w:w="4281" w:type="dxa"/>
            <w:shd w:val="clear" w:color="auto" w:fill="auto"/>
          </w:tcPr>
          <w:p w14:paraId="719E02CC"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 xml:space="preserve">astenija </w:t>
            </w:r>
          </w:p>
        </w:tc>
      </w:tr>
      <w:tr w:rsidR="00063330" w:rsidRPr="00D759D0" w14:paraId="531EA213" w14:textId="77777777" w:rsidTr="005B463B">
        <w:trPr>
          <w:trHeight w:val="366"/>
          <w:tblCellSpacing w:w="0" w:type="dxa"/>
          <w:jc w:val="center"/>
        </w:trPr>
        <w:tc>
          <w:tcPr>
            <w:tcW w:w="2923" w:type="dxa"/>
            <w:tcBorders>
              <w:top w:val="single" w:sz="4" w:space="0" w:color="auto"/>
              <w:left w:val="single" w:sz="4" w:space="0" w:color="auto"/>
              <w:bottom w:val="single" w:sz="4" w:space="0" w:color="auto"/>
              <w:right w:val="single" w:sz="4" w:space="0" w:color="auto"/>
            </w:tcBorders>
            <w:shd w:val="clear" w:color="auto" w:fill="auto"/>
          </w:tcPr>
          <w:p w14:paraId="4B75F292"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rPr>
            </w:pPr>
            <w:r w:rsidRPr="00D759D0">
              <w:rPr>
                <w:sz w:val="22"/>
                <w:szCs w:val="22"/>
                <w:lang w:val="sr-Latn-ME"/>
              </w:rPr>
              <w:t xml:space="preserve">Ispitivanja </w:t>
            </w:r>
          </w:p>
        </w:tc>
        <w:tc>
          <w:tcPr>
            <w:tcW w:w="1563" w:type="dxa"/>
            <w:shd w:val="clear" w:color="auto" w:fill="auto"/>
          </w:tcPr>
          <w:p w14:paraId="06E7961F"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Nepoznato</w:t>
            </w:r>
          </w:p>
        </w:tc>
        <w:tc>
          <w:tcPr>
            <w:tcW w:w="4281" w:type="dxa"/>
            <w:shd w:val="clear" w:color="auto" w:fill="auto"/>
          </w:tcPr>
          <w:p w14:paraId="7D76D6E2" w14:textId="77777777" w:rsidR="00063330" w:rsidRPr="00D759D0" w:rsidRDefault="00063330" w:rsidP="00063330">
            <w:pPr>
              <w:pBdr>
                <w:between w:val="single" w:sz="2" w:space="1" w:color="auto"/>
              </w:pBdr>
              <w:spacing w:before="100" w:beforeAutospacing="1" w:after="100" w:afterAutospacing="1"/>
              <w:jc w:val="both"/>
              <w:rPr>
                <w:sz w:val="22"/>
                <w:szCs w:val="22"/>
                <w:lang w:val="sr-Latn-ME" w:eastAsia="sr-Latn-CS"/>
              </w:rPr>
            </w:pPr>
            <w:r w:rsidRPr="00D759D0">
              <w:rPr>
                <w:sz w:val="22"/>
                <w:szCs w:val="22"/>
                <w:lang w:val="sr-Latn-ME" w:eastAsia="sr-Latn-CS"/>
              </w:rPr>
              <w:t xml:space="preserve">povećan specifični </w:t>
            </w:r>
            <w:proofErr w:type="spellStart"/>
            <w:r w:rsidRPr="00D759D0">
              <w:rPr>
                <w:sz w:val="22"/>
                <w:szCs w:val="22"/>
                <w:lang w:val="sr-Latn-ME" w:eastAsia="sr-Latn-CS"/>
              </w:rPr>
              <w:t>antigen</w:t>
            </w:r>
            <w:proofErr w:type="spellEnd"/>
            <w:r w:rsidRPr="00D759D0">
              <w:rPr>
                <w:sz w:val="22"/>
                <w:szCs w:val="22"/>
                <w:lang w:val="sr-Latn-ME" w:eastAsia="sr-Latn-CS"/>
              </w:rPr>
              <w:t xml:space="preserve"> prostate </w:t>
            </w:r>
          </w:p>
        </w:tc>
      </w:tr>
    </w:tbl>
    <w:p w14:paraId="3539213D" w14:textId="77777777" w:rsidR="00063330" w:rsidRPr="00D759D0" w:rsidRDefault="00063330" w:rsidP="00480FB1">
      <w:pPr>
        <w:tabs>
          <w:tab w:val="left" w:pos="540"/>
          <w:tab w:val="left" w:pos="569"/>
        </w:tabs>
        <w:rPr>
          <w:b/>
          <w:bCs/>
          <w:sz w:val="22"/>
          <w:szCs w:val="22"/>
          <w:lang w:val="sr-Latn-ME"/>
        </w:rPr>
      </w:pPr>
    </w:p>
    <w:p w14:paraId="6FA799F5" w14:textId="77777777" w:rsidR="00063330" w:rsidRPr="00D759D0" w:rsidRDefault="00063330" w:rsidP="00063330">
      <w:pPr>
        <w:tabs>
          <w:tab w:val="left" w:pos="284"/>
        </w:tabs>
        <w:jc w:val="both"/>
        <w:rPr>
          <w:sz w:val="22"/>
          <w:szCs w:val="22"/>
          <w:u w:val="single"/>
          <w:lang w:val="sr-Latn-ME"/>
        </w:rPr>
      </w:pPr>
      <w:r w:rsidRPr="00D759D0">
        <w:rPr>
          <w:sz w:val="22"/>
          <w:szCs w:val="22"/>
          <w:u w:val="single"/>
          <w:lang w:val="sr-Latn-ME"/>
        </w:rPr>
        <w:t>Pedijatrijska populacija</w:t>
      </w:r>
    </w:p>
    <w:p w14:paraId="0BCA2E77" w14:textId="34AC8E06" w:rsidR="00063330" w:rsidRPr="00D759D0" w:rsidRDefault="00063330" w:rsidP="00063330">
      <w:pPr>
        <w:tabs>
          <w:tab w:val="left" w:pos="284"/>
        </w:tabs>
        <w:jc w:val="both"/>
        <w:rPr>
          <w:sz w:val="22"/>
          <w:szCs w:val="22"/>
          <w:lang w:val="sr-Latn-ME"/>
        </w:rPr>
      </w:pPr>
      <w:r w:rsidRPr="00D759D0">
        <w:rPr>
          <w:sz w:val="22"/>
          <w:szCs w:val="22"/>
          <w:lang w:val="sr-Latn-ME"/>
        </w:rPr>
        <w:t xml:space="preserve">U studiji faze 3, u trajanju od 3 mjeseca i 7 dana ispitivanja </w:t>
      </w:r>
      <w:proofErr w:type="spellStart"/>
      <w:r w:rsidRPr="00D759D0">
        <w:rPr>
          <w:sz w:val="22"/>
          <w:szCs w:val="22"/>
          <w:lang w:val="sr-Latn-ME"/>
        </w:rPr>
        <w:t>farmakokinetike</w:t>
      </w:r>
      <w:proofErr w:type="spellEnd"/>
      <w:r w:rsidRPr="00D759D0">
        <w:rPr>
          <w:sz w:val="22"/>
          <w:szCs w:val="22"/>
          <w:lang w:val="sr-Latn-ME"/>
        </w:rPr>
        <w:t xml:space="preserve">, sprovedene na 102 pedijatrijska pacijenta izložena lijeku TRAVATAN, vrste i karakteristike prijavljenih neželjenih reakcija su bile slične onim koje su opisane kod odraslih pacijenata. Kratkoročni </w:t>
      </w:r>
      <w:proofErr w:type="spellStart"/>
      <w:r w:rsidRPr="00D759D0">
        <w:rPr>
          <w:sz w:val="22"/>
          <w:szCs w:val="22"/>
          <w:lang w:val="sr-Latn-ME"/>
        </w:rPr>
        <w:t>bezbjednosni</w:t>
      </w:r>
      <w:proofErr w:type="spellEnd"/>
      <w:r w:rsidRPr="00D759D0">
        <w:rPr>
          <w:sz w:val="22"/>
          <w:szCs w:val="22"/>
          <w:lang w:val="sr-Latn-ME"/>
        </w:rPr>
        <w:t xml:space="preserve"> profili u različitim pedijatrijskim podgrupama su takođe bili slični (vid</w:t>
      </w:r>
      <w:r w:rsidR="00F065E3" w:rsidRPr="00D759D0">
        <w:rPr>
          <w:sz w:val="22"/>
          <w:szCs w:val="22"/>
          <w:lang w:val="sr-Latn-ME"/>
        </w:rPr>
        <w:t>jet</w:t>
      </w:r>
      <w:r w:rsidRPr="00D759D0">
        <w:rPr>
          <w:sz w:val="22"/>
          <w:szCs w:val="22"/>
          <w:lang w:val="sr-Latn-ME"/>
        </w:rPr>
        <w:t xml:space="preserve">i dio 5.1). Najčešće neželjene reakcije prijavljene u pedijatrijskoj populaciji su bile </w:t>
      </w:r>
      <w:proofErr w:type="spellStart"/>
      <w:r w:rsidRPr="00D759D0">
        <w:rPr>
          <w:sz w:val="22"/>
          <w:szCs w:val="22"/>
          <w:lang w:val="sr-Latn-ME"/>
        </w:rPr>
        <w:t>okularna</w:t>
      </w:r>
      <w:proofErr w:type="spellEnd"/>
      <w:r w:rsidRPr="00D759D0">
        <w:rPr>
          <w:sz w:val="22"/>
          <w:szCs w:val="22"/>
          <w:lang w:val="sr-Latn-ME"/>
        </w:rPr>
        <w:t xml:space="preserve"> </w:t>
      </w:r>
      <w:proofErr w:type="spellStart"/>
      <w:r w:rsidRPr="00D759D0">
        <w:rPr>
          <w:sz w:val="22"/>
          <w:szCs w:val="22"/>
          <w:lang w:val="sr-Latn-ME"/>
        </w:rPr>
        <w:t>hiperemija</w:t>
      </w:r>
      <w:proofErr w:type="spellEnd"/>
      <w:r w:rsidRPr="00D759D0">
        <w:rPr>
          <w:sz w:val="22"/>
          <w:szCs w:val="22"/>
          <w:lang w:val="sr-Latn-ME"/>
        </w:rPr>
        <w:t xml:space="preserve"> (16,9%) i rast trepavica (6,5</w:t>
      </w:r>
      <w:r w:rsidR="00981E9A" w:rsidRPr="00D759D0">
        <w:rPr>
          <w:sz w:val="22"/>
          <w:szCs w:val="22"/>
          <w:lang w:val="sr-Latn-ME"/>
        </w:rPr>
        <w:t>%</w:t>
      </w:r>
      <w:r w:rsidRPr="00D759D0">
        <w:rPr>
          <w:sz w:val="22"/>
          <w:szCs w:val="22"/>
          <w:lang w:val="sr-Latn-ME"/>
        </w:rPr>
        <w:t xml:space="preserve">). U sličnom tromjesečnom ispitivanju, sprovedenom na odraslim pacijentima, ova neželjena dejstva su se pojavljivala sa </w:t>
      </w:r>
      <w:proofErr w:type="spellStart"/>
      <w:r w:rsidRPr="00D759D0">
        <w:rPr>
          <w:sz w:val="22"/>
          <w:szCs w:val="22"/>
          <w:lang w:val="sr-Latn-ME"/>
        </w:rPr>
        <w:t>incidencom</w:t>
      </w:r>
      <w:proofErr w:type="spellEnd"/>
      <w:r w:rsidRPr="00D759D0">
        <w:rPr>
          <w:sz w:val="22"/>
          <w:szCs w:val="22"/>
          <w:lang w:val="sr-Latn-ME"/>
        </w:rPr>
        <w:t xml:space="preserve"> od 11,4</w:t>
      </w:r>
      <w:r w:rsidR="00981E9A" w:rsidRPr="00D759D0">
        <w:rPr>
          <w:sz w:val="22"/>
          <w:szCs w:val="22"/>
          <w:lang w:val="sr-Latn-ME"/>
        </w:rPr>
        <w:t>%</w:t>
      </w:r>
      <w:r w:rsidRPr="00D759D0">
        <w:rPr>
          <w:sz w:val="22"/>
          <w:szCs w:val="22"/>
          <w:lang w:val="sr-Latn-ME"/>
        </w:rPr>
        <w:t xml:space="preserve"> odnosno 0,0%.</w:t>
      </w:r>
    </w:p>
    <w:p w14:paraId="6665326A" w14:textId="77777777" w:rsidR="00063330" w:rsidRPr="00D759D0" w:rsidRDefault="00063330" w:rsidP="00063330">
      <w:pPr>
        <w:tabs>
          <w:tab w:val="left" w:pos="284"/>
        </w:tabs>
        <w:jc w:val="both"/>
        <w:rPr>
          <w:sz w:val="22"/>
          <w:szCs w:val="22"/>
          <w:lang w:val="sr-Latn-ME"/>
        </w:rPr>
      </w:pPr>
    </w:p>
    <w:p w14:paraId="534C0CA2" w14:textId="77777777" w:rsidR="00063330" w:rsidRPr="00D759D0" w:rsidRDefault="00063330" w:rsidP="00063330">
      <w:pPr>
        <w:tabs>
          <w:tab w:val="left" w:pos="284"/>
        </w:tabs>
        <w:jc w:val="both"/>
        <w:rPr>
          <w:sz w:val="22"/>
          <w:szCs w:val="22"/>
          <w:lang w:val="sr-Latn-ME"/>
        </w:rPr>
      </w:pPr>
      <w:r w:rsidRPr="00D759D0">
        <w:rPr>
          <w:sz w:val="22"/>
          <w:szCs w:val="22"/>
          <w:lang w:val="sr-Latn-ME"/>
        </w:rPr>
        <w:t xml:space="preserve">Dodatna neželjena dejstva prijavljena kod pedijatrijskih pacijenata tokom tromjesečne studije sprovedene na pedijatrijskim pacijentima (n=77) poređeno sa sličnom studijom na odraslim pacijentima (n=185) uključivala su </w:t>
      </w:r>
      <w:proofErr w:type="spellStart"/>
      <w:r w:rsidRPr="00D759D0">
        <w:rPr>
          <w:sz w:val="22"/>
          <w:szCs w:val="22"/>
          <w:lang w:val="sr-Latn-ME"/>
        </w:rPr>
        <w:t>eritem</w:t>
      </w:r>
      <w:proofErr w:type="spellEnd"/>
      <w:r w:rsidRPr="00D759D0">
        <w:rPr>
          <w:sz w:val="22"/>
          <w:szCs w:val="22"/>
          <w:lang w:val="sr-Latn-ME"/>
        </w:rPr>
        <w:t xml:space="preserve"> očnih kapaka, </w:t>
      </w:r>
      <w:proofErr w:type="spellStart"/>
      <w:r w:rsidRPr="00D759D0">
        <w:rPr>
          <w:sz w:val="22"/>
          <w:szCs w:val="22"/>
          <w:lang w:val="sr-Latn-ME"/>
        </w:rPr>
        <w:t>keratitis</w:t>
      </w:r>
      <w:proofErr w:type="spellEnd"/>
      <w:r w:rsidRPr="00D759D0">
        <w:rPr>
          <w:sz w:val="22"/>
          <w:szCs w:val="22"/>
          <w:lang w:val="sr-Latn-ME"/>
        </w:rPr>
        <w:t xml:space="preserve">, pojačano </w:t>
      </w:r>
      <w:proofErr w:type="spellStart"/>
      <w:r w:rsidRPr="00D759D0">
        <w:rPr>
          <w:sz w:val="22"/>
          <w:szCs w:val="22"/>
          <w:lang w:val="sr-Latn-ME"/>
        </w:rPr>
        <w:t>suzenje</w:t>
      </w:r>
      <w:proofErr w:type="spellEnd"/>
      <w:r w:rsidRPr="00D759D0">
        <w:rPr>
          <w:sz w:val="22"/>
          <w:szCs w:val="22"/>
          <w:lang w:val="sr-Latn-ME"/>
        </w:rPr>
        <w:t xml:space="preserve"> i fotofobiju, prijavljene kao pojedinačna neželjena dejstva sa </w:t>
      </w:r>
      <w:proofErr w:type="spellStart"/>
      <w:r w:rsidRPr="00D759D0">
        <w:rPr>
          <w:sz w:val="22"/>
          <w:szCs w:val="22"/>
          <w:lang w:val="sr-Latn-ME"/>
        </w:rPr>
        <w:t>incidencom</w:t>
      </w:r>
      <w:proofErr w:type="spellEnd"/>
      <w:r w:rsidRPr="00D759D0">
        <w:rPr>
          <w:sz w:val="22"/>
          <w:szCs w:val="22"/>
          <w:lang w:val="sr-Latn-ME"/>
        </w:rPr>
        <w:t xml:space="preserve"> od 1,3% naspram 0,0% kod odraslih pacijenata.</w:t>
      </w:r>
    </w:p>
    <w:p w14:paraId="690493D1" w14:textId="77777777" w:rsidR="00063330" w:rsidRPr="00D759D0" w:rsidRDefault="00063330" w:rsidP="00480FB1">
      <w:pPr>
        <w:tabs>
          <w:tab w:val="left" w:pos="540"/>
          <w:tab w:val="left" w:pos="569"/>
        </w:tabs>
        <w:rPr>
          <w:b/>
          <w:bCs/>
          <w:sz w:val="22"/>
          <w:szCs w:val="22"/>
          <w:lang w:val="sr-Latn-ME"/>
        </w:rPr>
      </w:pPr>
    </w:p>
    <w:p w14:paraId="739AD7AE" w14:textId="77777777" w:rsidR="005A23D2" w:rsidRPr="00D759D0" w:rsidRDefault="005A23D2" w:rsidP="00A46C9A">
      <w:pPr>
        <w:spacing w:after="200" w:line="276" w:lineRule="auto"/>
        <w:rPr>
          <w:rFonts w:eastAsia="Calibri"/>
          <w:sz w:val="22"/>
          <w:szCs w:val="22"/>
          <w:u w:val="single"/>
          <w:lang w:val="sr-Latn-ME"/>
        </w:rPr>
      </w:pPr>
      <w:r w:rsidRPr="00D759D0">
        <w:rPr>
          <w:rFonts w:eastAsia="Calibri"/>
          <w:sz w:val="22"/>
          <w:szCs w:val="22"/>
          <w:u w:val="single"/>
          <w:lang w:val="sr-Latn-ME"/>
        </w:rPr>
        <w:t>Prijavljivanje sumnji na neželjena dejstva</w:t>
      </w:r>
    </w:p>
    <w:p w14:paraId="739AD7AF" w14:textId="77777777" w:rsidR="005A23D2" w:rsidRPr="00D759D0" w:rsidRDefault="005A23D2" w:rsidP="00A46C9A">
      <w:pPr>
        <w:spacing w:after="200"/>
        <w:jc w:val="both"/>
        <w:rPr>
          <w:rFonts w:eastAsia="Calibri"/>
          <w:sz w:val="22"/>
          <w:szCs w:val="22"/>
          <w:lang w:val="sr-Latn-ME"/>
        </w:rPr>
      </w:pPr>
      <w:r w:rsidRPr="00D759D0">
        <w:rPr>
          <w:rFonts w:eastAsia="Calibri"/>
          <w:sz w:val="22"/>
          <w:szCs w:val="22"/>
          <w:lang w:val="sr-Latn-ME"/>
        </w:rPr>
        <w:t>Prijavljivanje neželjenih dejstava nakon dobijanja dozvole je od velikog značaja jer obezbjeđuje kont</w:t>
      </w:r>
      <w:r w:rsidR="00EA5765" w:rsidRPr="00D759D0">
        <w:rPr>
          <w:rFonts w:eastAsia="Calibri"/>
          <w:sz w:val="22"/>
          <w:szCs w:val="22"/>
          <w:lang w:val="sr-Latn-ME"/>
        </w:rPr>
        <w:t>inuirano praćenje odnosa korist</w:t>
      </w:r>
      <w:r w:rsidRPr="00D759D0">
        <w:rPr>
          <w:rFonts w:eastAsia="Calibri"/>
          <w:sz w:val="22"/>
          <w:szCs w:val="22"/>
          <w:lang w:val="sr-Latn-ME"/>
        </w:rPr>
        <w:t>/rizik primjene lijeka. Zdravstveni radnici treba da prijave svaku sumnju na neželjeno</w:t>
      </w:r>
      <w:r w:rsidR="009B062A" w:rsidRPr="00D759D0">
        <w:rPr>
          <w:rFonts w:eastAsia="Calibri"/>
          <w:sz w:val="22"/>
          <w:szCs w:val="22"/>
          <w:lang w:val="sr-Latn-ME"/>
        </w:rPr>
        <w:t xml:space="preserve"> </w:t>
      </w:r>
      <w:r w:rsidRPr="00D759D0">
        <w:rPr>
          <w:rFonts w:eastAsia="Calibri"/>
          <w:sz w:val="22"/>
          <w:szCs w:val="22"/>
          <w:lang w:val="sr-Latn-ME"/>
        </w:rPr>
        <w:t xml:space="preserve">dejstvo ovog lijeka </w:t>
      </w:r>
      <w:r w:rsidR="004E70AD" w:rsidRPr="00D759D0">
        <w:rPr>
          <w:rFonts w:eastAsia="Calibri"/>
          <w:sz w:val="22"/>
          <w:szCs w:val="22"/>
          <w:lang w:val="sr-Latn-ME"/>
        </w:rPr>
        <w:t>Institutu</w:t>
      </w:r>
      <w:r w:rsidRPr="00D759D0">
        <w:rPr>
          <w:rFonts w:eastAsia="Calibri"/>
          <w:sz w:val="22"/>
          <w:szCs w:val="22"/>
          <w:lang w:val="sr-Latn-ME"/>
        </w:rPr>
        <w:t xml:space="preserve"> za ljekove i medicinska sredstva</w:t>
      </w:r>
      <w:r w:rsidR="004E70AD" w:rsidRPr="00D759D0">
        <w:rPr>
          <w:rFonts w:eastAsia="Calibri"/>
          <w:sz w:val="22"/>
          <w:szCs w:val="22"/>
          <w:lang w:val="sr-Latn-ME"/>
        </w:rPr>
        <w:t xml:space="preserve"> </w:t>
      </w:r>
      <w:r w:rsidRPr="00D759D0">
        <w:rPr>
          <w:rFonts w:eastAsia="Calibri"/>
          <w:sz w:val="22"/>
          <w:szCs w:val="22"/>
          <w:lang w:val="sr-Latn-ME"/>
        </w:rPr>
        <w:t>(</w:t>
      </w:r>
      <w:proofErr w:type="spellStart"/>
      <w:r w:rsidR="004E70AD" w:rsidRPr="00D759D0">
        <w:rPr>
          <w:rFonts w:eastAsia="Calibri"/>
          <w:sz w:val="22"/>
          <w:szCs w:val="22"/>
          <w:lang w:val="sr-Latn-ME"/>
        </w:rPr>
        <w:t>CInMED</w:t>
      </w:r>
      <w:proofErr w:type="spellEnd"/>
      <w:r w:rsidRPr="00D759D0">
        <w:rPr>
          <w:rFonts w:eastAsia="Calibri"/>
          <w:sz w:val="22"/>
          <w:szCs w:val="22"/>
          <w:lang w:val="sr-Latn-ME"/>
        </w:rPr>
        <w:t>):</w:t>
      </w:r>
    </w:p>
    <w:p w14:paraId="739AD7B0" w14:textId="77777777" w:rsidR="005A23D2" w:rsidRPr="00D759D0" w:rsidRDefault="004E70AD" w:rsidP="00A46C9A">
      <w:pPr>
        <w:pStyle w:val="NoSpacing"/>
        <w:jc w:val="both"/>
        <w:rPr>
          <w:rFonts w:eastAsia="Calibri"/>
          <w:sz w:val="22"/>
          <w:szCs w:val="22"/>
          <w:lang w:val="sr-Latn-ME"/>
        </w:rPr>
      </w:pPr>
      <w:r w:rsidRPr="00D759D0">
        <w:rPr>
          <w:rFonts w:eastAsia="Calibri"/>
          <w:sz w:val="22"/>
          <w:szCs w:val="22"/>
          <w:lang w:val="sr-Latn-ME"/>
        </w:rPr>
        <w:t xml:space="preserve">Institut </w:t>
      </w:r>
      <w:r w:rsidR="005A23D2" w:rsidRPr="00D759D0">
        <w:rPr>
          <w:rFonts w:eastAsia="Calibri"/>
          <w:sz w:val="22"/>
          <w:szCs w:val="22"/>
          <w:lang w:val="sr-Latn-ME"/>
        </w:rPr>
        <w:t xml:space="preserve">za ljekove i medicinska sredstva </w:t>
      </w:r>
    </w:p>
    <w:p w14:paraId="739AD7B1" w14:textId="77777777" w:rsidR="005A23D2" w:rsidRPr="00D759D0" w:rsidRDefault="005A23D2" w:rsidP="00A46C9A">
      <w:pPr>
        <w:pStyle w:val="NoSpacing"/>
        <w:jc w:val="both"/>
        <w:rPr>
          <w:rFonts w:eastAsia="Calibri"/>
          <w:sz w:val="22"/>
          <w:szCs w:val="22"/>
          <w:lang w:val="sr-Latn-ME"/>
        </w:rPr>
      </w:pPr>
      <w:r w:rsidRPr="00D759D0">
        <w:rPr>
          <w:rFonts w:eastAsia="Calibri"/>
          <w:sz w:val="22"/>
          <w:szCs w:val="22"/>
          <w:lang w:val="sr-Latn-ME"/>
        </w:rPr>
        <w:t xml:space="preserve">Odjeljenje za </w:t>
      </w:r>
      <w:proofErr w:type="spellStart"/>
      <w:r w:rsidRPr="00D759D0">
        <w:rPr>
          <w:rFonts w:eastAsia="Calibri"/>
          <w:sz w:val="22"/>
          <w:szCs w:val="22"/>
          <w:lang w:val="sr-Latn-ME"/>
        </w:rPr>
        <w:t>farmakovigilancu</w:t>
      </w:r>
      <w:proofErr w:type="spellEnd"/>
    </w:p>
    <w:p w14:paraId="739AD7B2" w14:textId="77777777" w:rsidR="00EA5765" w:rsidRPr="00D759D0" w:rsidRDefault="005A23D2" w:rsidP="00A46C9A">
      <w:pPr>
        <w:pStyle w:val="NoSpacing"/>
        <w:jc w:val="both"/>
        <w:rPr>
          <w:rFonts w:eastAsia="Calibri"/>
          <w:sz w:val="22"/>
          <w:szCs w:val="22"/>
          <w:lang w:val="sr-Latn-ME"/>
        </w:rPr>
      </w:pPr>
      <w:r w:rsidRPr="00D759D0">
        <w:rPr>
          <w:rFonts w:eastAsia="Calibri"/>
          <w:sz w:val="22"/>
          <w:szCs w:val="22"/>
          <w:lang w:val="sr-Latn-ME"/>
        </w:rPr>
        <w:t>Bulevar Ivana Crnojevića 64a, 81000 Podgorica</w:t>
      </w:r>
    </w:p>
    <w:p w14:paraId="739AD7B3" w14:textId="77777777" w:rsidR="00EA5765" w:rsidRPr="00D759D0" w:rsidRDefault="00EA5765" w:rsidP="00A46C9A">
      <w:pPr>
        <w:pStyle w:val="NoSpacing"/>
        <w:rPr>
          <w:rFonts w:eastAsia="Calibri"/>
          <w:sz w:val="22"/>
          <w:szCs w:val="22"/>
          <w:lang w:val="sr-Latn-ME"/>
        </w:rPr>
      </w:pPr>
    </w:p>
    <w:p w14:paraId="739AD7B4" w14:textId="77777777" w:rsidR="005A23D2" w:rsidRPr="00D759D0" w:rsidRDefault="005A23D2" w:rsidP="00A46C9A">
      <w:pPr>
        <w:pStyle w:val="NoSpacing"/>
        <w:jc w:val="both"/>
        <w:rPr>
          <w:rFonts w:eastAsia="Calibri"/>
          <w:sz w:val="22"/>
          <w:szCs w:val="22"/>
          <w:lang w:val="sr-Latn-ME"/>
        </w:rPr>
      </w:pPr>
      <w:r w:rsidRPr="00D759D0">
        <w:rPr>
          <w:rFonts w:eastAsia="Calibri"/>
          <w:sz w:val="22"/>
          <w:szCs w:val="22"/>
          <w:lang w:val="sr-Latn-ME"/>
        </w:rPr>
        <w:t>tel: +382 (0) 20 310 280</w:t>
      </w:r>
    </w:p>
    <w:p w14:paraId="739AD7B5" w14:textId="77777777" w:rsidR="00EA5765" w:rsidRPr="00D759D0" w:rsidRDefault="005A23D2" w:rsidP="00FF3EDF">
      <w:pPr>
        <w:pStyle w:val="NoSpacing"/>
        <w:tabs>
          <w:tab w:val="left" w:pos="6720"/>
        </w:tabs>
        <w:jc w:val="both"/>
        <w:rPr>
          <w:rFonts w:eastAsia="Calibri"/>
          <w:sz w:val="22"/>
          <w:szCs w:val="22"/>
          <w:lang w:val="sr-Latn-ME"/>
        </w:rPr>
      </w:pPr>
      <w:proofErr w:type="spellStart"/>
      <w:r w:rsidRPr="00D759D0">
        <w:rPr>
          <w:rFonts w:eastAsia="Calibri"/>
          <w:sz w:val="22"/>
          <w:szCs w:val="22"/>
          <w:lang w:val="sr-Latn-ME"/>
        </w:rPr>
        <w:t>fax</w:t>
      </w:r>
      <w:proofErr w:type="spellEnd"/>
      <w:r w:rsidRPr="00D759D0">
        <w:rPr>
          <w:rFonts w:eastAsia="Calibri"/>
          <w:sz w:val="22"/>
          <w:szCs w:val="22"/>
          <w:lang w:val="sr-Latn-ME"/>
        </w:rPr>
        <w:t>:</w:t>
      </w:r>
      <w:r w:rsidR="00EA5765" w:rsidRPr="00D759D0">
        <w:rPr>
          <w:rFonts w:eastAsia="Calibri"/>
          <w:sz w:val="22"/>
          <w:szCs w:val="22"/>
          <w:lang w:val="sr-Latn-ME"/>
        </w:rPr>
        <w:t xml:space="preserve"> </w:t>
      </w:r>
      <w:r w:rsidRPr="00D759D0">
        <w:rPr>
          <w:rFonts w:eastAsia="Calibri"/>
          <w:sz w:val="22"/>
          <w:szCs w:val="22"/>
          <w:lang w:val="sr-Latn-ME"/>
        </w:rPr>
        <w:t>+382 (0) 20 310 581</w:t>
      </w:r>
      <w:r w:rsidR="00FF3EDF" w:rsidRPr="00D759D0">
        <w:rPr>
          <w:rFonts w:eastAsia="Calibri"/>
          <w:sz w:val="22"/>
          <w:szCs w:val="22"/>
          <w:lang w:val="sr-Latn-ME"/>
        </w:rPr>
        <w:tab/>
      </w:r>
    </w:p>
    <w:p w14:paraId="739AD7B6" w14:textId="77777777" w:rsidR="005A23D2" w:rsidRPr="00D759D0" w:rsidRDefault="00B25A11" w:rsidP="00A46C9A">
      <w:pPr>
        <w:pStyle w:val="NoSpacing"/>
        <w:jc w:val="both"/>
        <w:rPr>
          <w:rFonts w:eastAsia="Calibri"/>
          <w:sz w:val="22"/>
          <w:szCs w:val="22"/>
          <w:lang w:val="sr-Latn-ME"/>
        </w:rPr>
      </w:pPr>
      <w:hyperlink r:id="rId8" w:history="1">
        <w:r w:rsidR="004E70AD" w:rsidRPr="00D759D0">
          <w:rPr>
            <w:rStyle w:val="Hyperlink"/>
            <w:rFonts w:eastAsia="Calibri"/>
            <w:sz w:val="22"/>
            <w:szCs w:val="22"/>
            <w:lang w:val="sr-Latn-ME"/>
          </w:rPr>
          <w:t>www.cinmed.me</w:t>
        </w:r>
      </w:hyperlink>
    </w:p>
    <w:p w14:paraId="739AD7B7" w14:textId="77777777" w:rsidR="00EA5765" w:rsidRPr="00D759D0" w:rsidRDefault="00B25A11" w:rsidP="00A46C9A">
      <w:pPr>
        <w:pStyle w:val="NoSpacing"/>
        <w:jc w:val="both"/>
        <w:rPr>
          <w:rFonts w:eastAsia="Calibri"/>
          <w:color w:val="0000FF"/>
          <w:sz w:val="22"/>
          <w:szCs w:val="22"/>
          <w:u w:val="single"/>
          <w:lang w:val="sr-Latn-ME"/>
        </w:rPr>
      </w:pPr>
      <w:hyperlink r:id="rId9" w:history="1">
        <w:r w:rsidR="004E70AD" w:rsidRPr="00D759D0">
          <w:rPr>
            <w:rStyle w:val="Hyperlink"/>
            <w:rFonts w:eastAsia="Calibri"/>
            <w:sz w:val="22"/>
            <w:szCs w:val="22"/>
            <w:lang w:val="sr-Latn-ME"/>
          </w:rPr>
          <w:t>nezeljenadejstva@cinmed.me</w:t>
        </w:r>
      </w:hyperlink>
    </w:p>
    <w:p w14:paraId="739AD7B8" w14:textId="77777777" w:rsidR="005A23D2" w:rsidRPr="00D759D0" w:rsidRDefault="005A23D2" w:rsidP="00A46C9A">
      <w:pPr>
        <w:pStyle w:val="NoSpacing"/>
        <w:jc w:val="both"/>
        <w:rPr>
          <w:rFonts w:eastAsia="Calibri"/>
          <w:sz w:val="22"/>
          <w:szCs w:val="22"/>
          <w:lang w:val="sr-Latn-ME"/>
        </w:rPr>
      </w:pPr>
      <w:r w:rsidRPr="00D759D0">
        <w:rPr>
          <w:rFonts w:eastAsia="Calibri"/>
          <w:sz w:val="22"/>
          <w:szCs w:val="22"/>
          <w:lang w:val="sr-Latn-ME"/>
        </w:rPr>
        <w:t>putem IS zdravstvene zaštite</w:t>
      </w:r>
    </w:p>
    <w:p w14:paraId="739AD7B9" w14:textId="77777777" w:rsidR="007E31E9" w:rsidRPr="00D759D0" w:rsidRDefault="007E31E9" w:rsidP="00A46C9A">
      <w:pPr>
        <w:pStyle w:val="NoSpacing"/>
        <w:jc w:val="both"/>
        <w:rPr>
          <w:rFonts w:eastAsia="Calibri"/>
          <w:sz w:val="22"/>
          <w:szCs w:val="22"/>
          <w:lang w:val="sr-Latn-ME"/>
        </w:rPr>
      </w:pPr>
      <w:r w:rsidRPr="00D759D0">
        <w:rPr>
          <w:rFonts w:eastAsia="Calibri"/>
          <w:sz w:val="22"/>
          <w:szCs w:val="22"/>
          <w:lang w:val="sr-Latn-ME"/>
        </w:rPr>
        <w:t xml:space="preserve">QR kod za </w:t>
      </w:r>
      <w:proofErr w:type="spellStart"/>
      <w:r w:rsidRPr="00D759D0">
        <w:rPr>
          <w:rFonts w:eastAsia="Calibri"/>
          <w:sz w:val="22"/>
          <w:szCs w:val="22"/>
          <w:lang w:val="sr-Latn-ME"/>
        </w:rPr>
        <w:t>online</w:t>
      </w:r>
      <w:proofErr w:type="spellEnd"/>
      <w:r w:rsidRPr="00D759D0">
        <w:rPr>
          <w:rFonts w:eastAsia="Calibri"/>
          <w:sz w:val="22"/>
          <w:szCs w:val="22"/>
          <w:lang w:val="sr-Latn-ME"/>
        </w:rPr>
        <w:t xml:space="preserve"> prijavu</w:t>
      </w:r>
      <w:r w:rsidR="00D74CD2" w:rsidRPr="00D759D0">
        <w:rPr>
          <w:rFonts w:eastAsia="Calibri"/>
          <w:sz w:val="22"/>
          <w:szCs w:val="22"/>
          <w:lang w:val="sr-Latn-ME"/>
        </w:rPr>
        <w:t xml:space="preserve"> sumnje na neželjeno dejstvo lijeka</w:t>
      </w:r>
      <w:r w:rsidRPr="00D759D0">
        <w:rPr>
          <w:rFonts w:eastAsia="Calibri"/>
          <w:sz w:val="22"/>
          <w:szCs w:val="22"/>
          <w:lang w:val="sr-Latn-ME"/>
        </w:rPr>
        <w:t>:</w:t>
      </w:r>
    </w:p>
    <w:p w14:paraId="739AD7BA" w14:textId="77777777" w:rsidR="004F17E2" w:rsidRPr="00D759D0" w:rsidRDefault="004F17E2" w:rsidP="007E31E9">
      <w:pPr>
        <w:pStyle w:val="NoSpacing"/>
        <w:rPr>
          <w:rFonts w:eastAsia="Calibri"/>
          <w:sz w:val="22"/>
          <w:szCs w:val="22"/>
          <w:lang w:val="sr-Latn-ME"/>
        </w:rPr>
      </w:pPr>
    </w:p>
    <w:p w14:paraId="739AD7BB" w14:textId="77777777" w:rsidR="00836B35" w:rsidRPr="00D759D0" w:rsidRDefault="007F661E" w:rsidP="00480FB1">
      <w:pPr>
        <w:tabs>
          <w:tab w:val="left" w:pos="540"/>
          <w:tab w:val="left" w:pos="569"/>
        </w:tabs>
        <w:rPr>
          <w:b/>
          <w:bCs/>
          <w:sz w:val="22"/>
          <w:szCs w:val="22"/>
          <w:lang w:val="sr-Latn-ME"/>
        </w:rPr>
      </w:pPr>
      <w:r w:rsidRPr="00D759D0">
        <w:rPr>
          <w:b/>
          <w:bCs/>
          <w:sz w:val="22"/>
          <w:szCs w:val="22"/>
          <w:lang w:val="sr-Latn-ME"/>
        </w:rPr>
        <w:drawing>
          <wp:inline distT="0" distB="0" distL="0" distR="0" wp14:anchorId="739AD7F1" wp14:editId="5034389C">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39AD7BC" w14:textId="77777777" w:rsidR="007F661E" w:rsidRPr="00D759D0" w:rsidRDefault="007F661E" w:rsidP="00480FB1">
      <w:pPr>
        <w:tabs>
          <w:tab w:val="left" w:pos="540"/>
          <w:tab w:val="left" w:pos="569"/>
        </w:tabs>
        <w:rPr>
          <w:b/>
          <w:bCs/>
          <w:sz w:val="22"/>
          <w:szCs w:val="22"/>
          <w:lang w:val="sr-Latn-ME"/>
        </w:rPr>
      </w:pPr>
    </w:p>
    <w:p w14:paraId="739AD7BD" w14:textId="77777777" w:rsidR="00CD6F02" w:rsidRPr="00D759D0" w:rsidRDefault="0072020E" w:rsidP="00480FB1">
      <w:pPr>
        <w:tabs>
          <w:tab w:val="left" w:pos="540"/>
          <w:tab w:val="left" w:pos="569"/>
        </w:tabs>
        <w:rPr>
          <w:b/>
          <w:bCs/>
          <w:sz w:val="22"/>
          <w:szCs w:val="22"/>
          <w:lang w:val="sr-Latn-ME"/>
        </w:rPr>
      </w:pPr>
      <w:r w:rsidRPr="00D759D0">
        <w:rPr>
          <w:b/>
          <w:bCs/>
          <w:sz w:val="22"/>
          <w:szCs w:val="22"/>
          <w:lang w:val="sr-Latn-ME"/>
        </w:rPr>
        <w:t xml:space="preserve">4.9. </w:t>
      </w:r>
      <w:r w:rsidR="00480FB1" w:rsidRPr="00D759D0">
        <w:rPr>
          <w:b/>
          <w:bCs/>
          <w:sz w:val="22"/>
          <w:szCs w:val="22"/>
          <w:lang w:val="sr-Latn-ME"/>
        </w:rPr>
        <w:tab/>
      </w:r>
      <w:proofErr w:type="spellStart"/>
      <w:r w:rsidRPr="00D759D0">
        <w:rPr>
          <w:b/>
          <w:bCs/>
          <w:sz w:val="22"/>
          <w:szCs w:val="22"/>
          <w:lang w:val="sr-Latn-ME"/>
        </w:rPr>
        <w:t>Predoziranje</w:t>
      </w:r>
      <w:proofErr w:type="spellEnd"/>
      <w:r w:rsidR="002846DB" w:rsidRPr="00D759D0">
        <w:rPr>
          <w:b/>
          <w:bCs/>
          <w:sz w:val="22"/>
          <w:szCs w:val="22"/>
          <w:lang w:val="sr-Latn-ME"/>
        </w:rPr>
        <w:t xml:space="preserve"> </w:t>
      </w:r>
    </w:p>
    <w:p w14:paraId="739AD7BE" w14:textId="77777777" w:rsidR="00CD6F02" w:rsidRPr="00D759D0" w:rsidRDefault="00CD6F02" w:rsidP="00480FB1">
      <w:pPr>
        <w:tabs>
          <w:tab w:val="left" w:pos="540"/>
          <w:tab w:val="left" w:pos="569"/>
        </w:tabs>
        <w:rPr>
          <w:b/>
          <w:bCs/>
          <w:sz w:val="22"/>
          <w:szCs w:val="22"/>
          <w:lang w:val="sr-Latn-ME"/>
        </w:rPr>
      </w:pPr>
    </w:p>
    <w:p w14:paraId="63AFD3F8"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Nije prijavljen ni jedan slučaj </w:t>
      </w:r>
      <w:proofErr w:type="spellStart"/>
      <w:r w:rsidRPr="00D759D0">
        <w:rPr>
          <w:bCs/>
          <w:sz w:val="22"/>
          <w:szCs w:val="22"/>
          <w:lang w:val="sr-Latn-ME"/>
        </w:rPr>
        <w:t>predoziranja</w:t>
      </w:r>
      <w:proofErr w:type="spellEnd"/>
      <w:r w:rsidRPr="00D759D0">
        <w:rPr>
          <w:bCs/>
          <w:sz w:val="22"/>
          <w:szCs w:val="22"/>
          <w:lang w:val="sr-Latn-ME"/>
        </w:rPr>
        <w:t xml:space="preserve">. Uz lokalnu primjenu lijeka je malo vjerovatno da dođe do </w:t>
      </w:r>
      <w:proofErr w:type="spellStart"/>
      <w:r w:rsidRPr="00D759D0">
        <w:rPr>
          <w:bCs/>
          <w:sz w:val="22"/>
          <w:szCs w:val="22"/>
          <w:lang w:val="sr-Latn-ME"/>
        </w:rPr>
        <w:t>predoziranja</w:t>
      </w:r>
      <w:proofErr w:type="spellEnd"/>
      <w:r w:rsidRPr="00D759D0">
        <w:rPr>
          <w:bCs/>
          <w:sz w:val="22"/>
          <w:szCs w:val="22"/>
          <w:lang w:val="sr-Latn-ME"/>
        </w:rPr>
        <w:t xml:space="preserve"> ili toksičnog efekta lijeka. </w:t>
      </w:r>
    </w:p>
    <w:p w14:paraId="6B63AB28" w14:textId="2C5394DB"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Lokalno </w:t>
      </w:r>
      <w:proofErr w:type="spellStart"/>
      <w:r w:rsidRPr="00D759D0">
        <w:rPr>
          <w:bCs/>
          <w:sz w:val="22"/>
          <w:szCs w:val="22"/>
          <w:lang w:val="sr-Latn-ME"/>
        </w:rPr>
        <w:t>predoziran</w:t>
      </w:r>
      <w:proofErr w:type="spellEnd"/>
      <w:r w:rsidRPr="00D759D0">
        <w:rPr>
          <w:bCs/>
          <w:sz w:val="22"/>
          <w:szCs w:val="22"/>
          <w:lang w:val="sr-Latn-ME"/>
        </w:rPr>
        <w:t xml:space="preserve"> </w:t>
      </w:r>
      <w:r w:rsidR="00981E9A" w:rsidRPr="00D759D0">
        <w:rPr>
          <w:bCs/>
          <w:sz w:val="22"/>
          <w:szCs w:val="22"/>
          <w:lang w:val="sr-Latn-ME"/>
        </w:rPr>
        <w:t xml:space="preserve">lijek </w:t>
      </w:r>
      <w:r w:rsidRPr="00D759D0">
        <w:rPr>
          <w:bCs/>
          <w:sz w:val="22"/>
          <w:szCs w:val="22"/>
          <w:lang w:val="sr-Latn-ME"/>
        </w:rPr>
        <w:t xml:space="preserve">TRAVATAN može se isprati iz oka (očiju) mlakom vodom. Liječenje </w:t>
      </w:r>
      <w:proofErr w:type="spellStart"/>
      <w:r w:rsidRPr="00D759D0">
        <w:rPr>
          <w:bCs/>
          <w:sz w:val="22"/>
          <w:szCs w:val="22"/>
          <w:lang w:val="sr-Latn-ME"/>
        </w:rPr>
        <w:t>suspektne</w:t>
      </w:r>
      <w:proofErr w:type="spellEnd"/>
      <w:r w:rsidRPr="00D759D0">
        <w:rPr>
          <w:bCs/>
          <w:sz w:val="22"/>
          <w:szCs w:val="22"/>
          <w:lang w:val="sr-Latn-ME"/>
        </w:rPr>
        <w:t xml:space="preserve"> oralne </w:t>
      </w:r>
      <w:proofErr w:type="spellStart"/>
      <w:r w:rsidRPr="00D759D0">
        <w:rPr>
          <w:bCs/>
          <w:sz w:val="22"/>
          <w:szCs w:val="22"/>
          <w:lang w:val="sr-Latn-ME"/>
        </w:rPr>
        <w:t>ingestije</w:t>
      </w:r>
      <w:proofErr w:type="spellEnd"/>
      <w:r w:rsidRPr="00D759D0">
        <w:rPr>
          <w:bCs/>
          <w:sz w:val="22"/>
          <w:szCs w:val="22"/>
          <w:lang w:val="sr-Latn-ME"/>
        </w:rPr>
        <w:t xml:space="preserve"> je </w:t>
      </w:r>
      <w:proofErr w:type="spellStart"/>
      <w:r w:rsidRPr="00D759D0">
        <w:rPr>
          <w:bCs/>
          <w:sz w:val="22"/>
          <w:szCs w:val="22"/>
          <w:lang w:val="sr-Latn-ME"/>
        </w:rPr>
        <w:t>simptomatsko</w:t>
      </w:r>
      <w:proofErr w:type="spellEnd"/>
      <w:r w:rsidRPr="00D759D0">
        <w:rPr>
          <w:bCs/>
          <w:sz w:val="22"/>
          <w:szCs w:val="22"/>
          <w:lang w:val="sr-Latn-ME"/>
        </w:rPr>
        <w:t xml:space="preserve"> i </w:t>
      </w:r>
      <w:proofErr w:type="spellStart"/>
      <w:r w:rsidRPr="00D759D0">
        <w:rPr>
          <w:bCs/>
          <w:sz w:val="22"/>
          <w:szCs w:val="22"/>
          <w:lang w:val="sr-Latn-ME"/>
        </w:rPr>
        <w:t>suportivno</w:t>
      </w:r>
      <w:proofErr w:type="spellEnd"/>
      <w:r w:rsidRPr="00D759D0">
        <w:rPr>
          <w:bCs/>
          <w:sz w:val="22"/>
          <w:szCs w:val="22"/>
          <w:lang w:val="sr-Latn-ME"/>
        </w:rPr>
        <w:t>.</w:t>
      </w:r>
    </w:p>
    <w:p w14:paraId="739AD7BF" w14:textId="3343BBEB" w:rsidR="00227BDB" w:rsidRPr="00D759D0" w:rsidRDefault="00227BDB" w:rsidP="00480FB1">
      <w:pPr>
        <w:tabs>
          <w:tab w:val="left" w:pos="540"/>
          <w:tab w:val="left" w:pos="569"/>
        </w:tabs>
        <w:rPr>
          <w:b/>
          <w:bCs/>
          <w:sz w:val="22"/>
          <w:szCs w:val="22"/>
          <w:lang w:val="sr-Latn-ME"/>
        </w:rPr>
      </w:pPr>
    </w:p>
    <w:p w14:paraId="488CEB28" w14:textId="77777777" w:rsidR="007E0F06" w:rsidRPr="00D759D0" w:rsidRDefault="007E0F06" w:rsidP="00480FB1">
      <w:pPr>
        <w:tabs>
          <w:tab w:val="left" w:pos="540"/>
          <w:tab w:val="left" w:pos="569"/>
        </w:tabs>
        <w:rPr>
          <w:b/>
          <w:bCs/>
          <w:sz w:val="22"/>
          <w:szCs w:val="22"/>
          <w:lang w:val="sr-Latn-ME"/>
        </w:rPr>
      </w:pPr>
    </w:p>
    <w:p w14:paraId="739AD7C0" w14:textId="77777777" w:rsidR="0072020E" w:rsidRPr="00D759D0" w:rsidRDefault="0072020E" w:rsidP="00480FB1">
      <w:pPr>
        <w:tabs>
          <w:tab w:val="left" w:pos="540"/>
          <w:tab w:val="left" w:pos="569"/>
        </w:tabs>
        <w:rPr>
          <w:b/>
          <w:bCs/>
          <w:sz w:val="22"/>
          <w:szCs w:val="22"/>
          <w:lang w:val="sr-Latn-ME"/>
        </w:rPr>
      </w:pPr>
      <w:r w:rsidRPr="00D759D0">
        <w:rPr>
          <w:b/>
          <w:bCs/>
          <w:sz w:val="22"/>
          <w:szCs w:val="22"/>
          <w:lang w:val="sr-Latn-ME"/>
        </w:rPr>
        <w:t xml:space="preserve">5. </w:t>
      </w:r>
      <w:r w:rsidR="00480FB1" w:rsidRPr="00D759D0">
        <w:rPr>
          <w:b/>
          <w:bCs/>
          <w:sz w:val="22"/>
          <w:szCs w:val="22"/>
          <w:lang w:val="sr-Latn-ME"/>
        </w:rPr>
        <w:tab/>
      </w:r>
      <w:r w:rsidRPr="00D759D0">
        <w:rPr>
          <w:b/>
          <w:bCs/>
          <w:sz w:val="22"/>
          <w:szCs w:val="22"/>
          <w:lang w:val="sr-Latn-ME"/>
        </w:rPr>
        <w:t>FARMAKOLOŠK</w:t>
      </w:r>
      <w:r w:rsidR="000D425A" w:rsidRPr="00D759D0">
        <w:rPr>
          <w:b/>
          <w:bCs/>
          <w:sz w:val="22"/>
          <w:szCs w:val="22"/>
          <w:lang w:val="sr-Latn-ME"/>
        </w:rPr>
        <w:t>I</w:t>
      </w:r>
      <w:r w:rsidRPr="00D759D0">
        <w:rPr>
          <w:b/>
          <w:bCs/>
          <w:sz w:val="22"/>
          <w:szCs w:val="22"/>
          <w:lang w:val="sr-Latn-ME"/>
        </w:rPr>
        <w:t xml:space="preserve"> PODACI</w:t>
      </w:r>
    </w:p>
    <w:p w14:paraId="739AD7C1" w14:textId="77777777" w:rsidR="0072020E" w:rsidRPr="00D759D0" w:rsidRDefault="0072020E" w:rsidP="00480FB1">
      <w:pPr>
        <w:tabs>
          <w:tab w:val="left" w:pos="540"/>
          <w:tab w:val="left" w:pos="569"/>
        </w:tabs>
        <w:rPr>
          <w:b/>
          <w:bCs/>
          <w:sz w:val="22"/>
          <w:szCs w:val="22"/>
          <w:lang w:val="sr-Latn-ME"/>
        </w:rPr>
      </w:pPr>
    </w:p>
    <w:p w14:paraId="739AD7C2" w14:textId="77777777" w:rsidR="0072020E" w:rsidRPr="00D759D0" w:rsidRDefault="0072020E" w:rsidP="00480FB1">
      <w:pPr>
        <w:tabs>
          <w:tab w:val="left" w:pos="540"/>
          <w:tab w:val="left" w:pos="569"/>
        </w:tabs>
        <w:rPr>
          <w:b/>
          <w:bCs/>
          <w:sz w:val="22"/>
          <w:szCs w:val="22"/>
          <w:lang w:val="sr-Latn-ME"/>
        </w:rPr>
      </w:pPr>
      <w:r w:rsidRPr="00D759D0">
        <w:rPr>
          <w:b/>
          <w:bCs/>
          <w:sz w:val="22"/>
          <w:szCs w:val="22"/>
          <w:lang w:val="sr-Latn-ME"/>
        </w:rPr>
        <w:t xml:space="preserve">5.1. </w:t>
      </w:r>
      <w:r w:rsidR="00480FB1" w:rsidRPr="00D759D0">
        <w:rPr>
          <w:b/>
          <w:bCs/>
          <w:sz w:val="22"/>
          <w:szCs w:val="22"/>
          <w:lang w:val="sr-Latn-ME"/>
        </w:rPr>
        <w:tab/>
      </w:r>
      <w:proofErr w:type="spellStart"/>
      <w:r w:rsidRPr="00D759D0">
        <w:rPr>
          <w:b/>
          <w:bCs/>
          <w:sz w:val="22"/>
          <w:szCs w:val="22"/>
          <w:lang w:val="sr-Latn-ME"/>
        </w:rPr>
        <w:t>Farmakodinamski</w:t>
      </w:r>
      <w:proofErr w:type="spellEnd"/>
      <w:r w:rsidRPr="00D759D0">
        <w:rPr>
          <w:b/>
          <w:bCs/>
          <w:sz w:val="22"/>
          <w:szCs w:val="22"/>
          <w:lang w:val="sr-Latn-ME"/>
        </w:rPr>
        <w:t xml:space="preserve"> podaci</w:t>
      </w:r>
      <w:r w:rsidR="003A7059" w:rsidRPr="00D759D0">
        <w:rPr>
          <w:b/>
          <w:bCs/>
          <w:sz w:val="22"/>
          <w:szCs w:val="22"/>
          <w:lang w:val="sr-Latn-ME"/>
        </w:rPr>
        <w:t xml:space="preserve"> </w:t>
      </w:r>
    </w:p>
    <w:p w14:paraId="739AD7C3" w14:textId="77777777" w:rsidR="00F45F77" w:rsidRPr="00D759D0" w:rsidRDefault="00F45F77" w:rsidP="00480FB1">
      <w:pPr>
        <w:tabs>
          <w:tab w:val="left" w:pos="540"/>
          <w:tab w:val="left" w:pos="569"/>
        </w:tabs>
        <w:rPr>
          <w:b/>
          <w:bCs/>
          <w:sz w:val="22"/>
          <w:szCs w:val="22"/>
          <w:lang w:val="sr-Latn-ME"/>
        </w:rPr>
      </w:pPr>
    </w:p>
    <w:p w14:paraId="739AD7C4" w14:textId="232B31CD" w:rsidR="0072020E" w:rsidRPr="00D759D0" w:rsidRDefault="0072020E" w:rsidP="00480FB1">
      <w:pPr>
        <w:tabs>
          <w:tab w:val="left" w:pos="540"/>
          <w:tab w:val="left" w:pos="569"/>
        </w:tabs>
        <w:rPr>
          <w:bCs/>
          <w:sz w:val="22"/>
          <w:szCs w:val="22"/>
          <w:lang w:val="sr-Latn-ME"/>
        </w:rPr>
      </w:pPr>
      <w:proofErr w:type="spellStart"/>
      <w:r w:rsidRPr="00D759D0">
        <w:rPr>
          <w:bCs/>
          <w:sz w:val="22"/>
          <w:szCs w:val="22"/>
          <w:lang w:val="sr-Latn-ME"/>
        </w:rPr>
        <w:lastRenderedPageBreak/>
        <w:t>Farmakoterapijska</w:t>
      </w:r>
      <w:proofErr w:type="spellEnd"/>
      <w:r w:rsidRPr="00D759D0">
        <w:rPr>
          <w:bCs/>
          <w:sz w:val="22"/>
          <w:szCs w:val="22"/>
          <w:lang w:val="sr-Latn-ME"/>
        </w:rPr>
        <w:t xml:space="preserve"> grupa:</w:t>
      </w:r>
      <w:r w:rsidR="00063330" w:rsidRPr="00D759D0">
        <w:rPr>
          <w:bCs/>
          <w:sz w:val="22"/>
          <w:szCs w:val="22"/>
          <w:lang w:val="sr-Latn-ME"/>
        </w:rPr>
        <w:t xml:space="preserve"> Ljekovi za primjenu u </w:t>
      </w:r>
      <w:proofErr w:type="spellStart"/>
      <w:r w:rsidR="00063330" w:rsidRPr="00D759D0">
        <w:rPr>
          <w:bCs/>
          <w:sz w:val="22"/>
          <w:szCs w:val="22"/>
          <w:lang w:val="sr-Latn-ME"/>
        </w:rPr>
        <w:t>oftalmologiji</w:t>
      </w:r>
      <w:proofErr w:type="spellEnd"/>
      <w:r w:rsidR="00063330" w:rsidRPr="00D759D0">
        <w:rPr>
          <w:bCs/>
          <w:sz w:val="22"/>
          <w:szCs w:val="22"/>
          <w:lang w:val="sr-Latn-ME"/>
        </w:rPr>
        <w:t xml:space="preserve"> – ljekovi protiv glaukoma i </w:t>
      </w:r>
      <w:proofErr w:type="spellStart"/>
      <w:r w:rsidR="00063330" w:rsidRPr="00D759D0">
        <w:rPr>
          <w:bCs/>
          <w:sz w:val="22"/>
          <w:szCs w:val="22"/>
          <w:lang w:val="sr-Latn-ME"/>
        </w:rPr>
        <w:t>miotici</w:t>
      </w:r>
      <w:proofErr w:type="spellEnd"/>
      <w:r w:rsidR="00063330" w:rsidRPr="00D759D0">
        <w:rPr>
          <w:bCs/>
          <w:sz w:val="22"/>
          <w:szCs w:val="22"/>
          <w:lang w:val="sr-Latn-ME"/>
        </w:rPr>
        <w:t xml:space="preserve"> – </w:t>
      </w:r>
      <w:proofErr w:type="spellStart"/>
      <w:r w:rsidR="00063330" w:rsidRPr="00D759D0">
        <w:rPr>
          <w:bCs/>
          <w:sz w:val="22"/>
          <w:szCs w:val="22"/>
          <w:lang w:val="sr-Latn-ME"/>
        </w:rPr>
        <w:t>analozi</w:t>
      </w:r>
      <w:proofErr w:type="spellEnd"/>
      <w:r w:rsidR="00063330" w:rsidRPr="00D759D0">
        <w:rPr>
          <w:bCs/>
          <w:sz w:val="22"/>
          <w:szCs w:val="22"/>
          <w:lang w:val="sr-Latn-ME"/>
        </w:rPr>
        <w:t xml:space="preserve"> </w:t>
      </w:r>
      <w:proofErr w:type="spellStart"/>
      <w:r w:rsidR="00063330" w:rsidRPr="00D759D0">
        <w:rPr>
          <w:bCs/>
          <w:sz w:val="22"/>
          <w:szCs w:val="22"/>
          <w:lang w:val="sr-Latn-ME"/>
        </w:rPr>
        <w:t>prostaglandina</w:t>
      </w:r>
      <w:proofErr w:type="spellEnd"/>
    </w:p>
    <w:p w14:paraId="739AD7C5" w14:textId="77777777" w:rsidR="0072020E" w:rsidRPr="00D759D0" w:rsidRDefault="0072020E" w:rsidP="00480FB1">
      <w:pPr>
        <w:tabs>
          <w:tab w:val="left" w:pos="540"/>
          <w:tab w:val="left" w:pos="569"/>
        </w:tabs>
        <w:rPr>
          <w:bCs/>
          <w:sz w:val="22"/>
          <w:szCs w:val="22"/>
          <w:lang w:val="sr-Latn-ME"/>
        </w:rPr>
      </w:pPr>
    </w:p>
    <w:p w14:paraId="739AD7C6" w14:textId="28F38A74" w:rsidR="0072020E" w:rsidRPr="00D759D0" w:rsidRDefault="0072020E" w:rsidP="00480FB1">
      <w:pPr>
        <w:tabs>
          <w:tab w:val="left" w:pos="540"/>
          <w:tab w:val="left" w:pos="569"/>
        </w:tabs>
        <w:rPr>
          <w:bCs/>
          <w:sz w:val="22"/>
          <w:szCs w:val="22"/>
          <w:lang w:val="sr-Latn-ME"/>
        </w:rPr>
      </w:pPr>
      <w:r w:rsidRPr="00D759D0">
        <w:rPr>
          <w:bCs/>
          <w:sz w:val="22"/>
          <w:szCs w:val="22"/>
          <w:lang w:val="sr-Latn-ME"/>
        </w:rPr>
        <w:t>ATC kod:</w:t>
      </w:r>
      <w:r w:rsidR="00063330" w:rsidRPr="00D759D0">
        <w:rPr>
          <w:sz w:val="22"/>
          <w:szCs w:val="22"/>
          <w:lang w:val="sr-Latn-ME"/>
        </w:rPr>
        <w:t xml:space="preserve"> </w:t>
      </w:r>
      <w:r w:rsidR="00063330" w:rsidRPr="00D759D0">
        <w:rPr>
          <w:bCs/>
          <w:sz w:val="22"/>
          <w:szCs w:val="22"/>
          <w:lang w:val="sr-Latn-ME"/>
        </w:rPr>
        <w:t>S01EE04</w:t>
      </w:r>
    </w:p>
    <w:p w14:paraId="32A4B5CF" w14:textId="77777777" w:rsidR="00063330" w:rsidRPr="00D759D0" w:rsidRDefault="00063330" w:rsidP="00480FB1">
      <w:pPr>
        <w:tabs>
          <w:tab w:val="left" w:pos="540"/>
          <w:tab w:val="left" w:pos="569"/>
        </w:tabs>
        <w:rPr>
          <w:bCs/>
          <w:sz w:val="22"/>
          <w:szCs w:val="22"/>
          <w:lang w:val="sr-Latn-ME"/>
        </w:rPr>
      </w:pPr>
    </w:p>
    <w:p w14:paraId="48060B40" w14:textId="77777777" w:rsidR="00063330" w:rsidRPr="00D759D0" w:rsidRDefault="00063330" w:rsidP="00063330">
      <w:pPr>
        <w:tabs>
          <w:tab w:val="left" w:pos="284"/>
        </w:tabs>
        <w:jc w:val="both"/>
        <w:rPr>
          <w:sz w:val="22"/>
          <w:szCs w:val="22"/>
          <w:lang w:val="sr-Latn-ME"/>
        </w:rPr>
      </w:pPr>
      <w:r w:rsidRPr="00D759D0">
        <w:rPr>
          <w:sz w:val="22"/>
          <w:szCs w:val="22"/>
          <w:u w:val="single"/>
          <w:lang w:val="sr-Latn-ME"/>
        </w:rPr>
        <w:t>Mehanizam dejstva</w:t>
      </w:r>
    </w:p>
    <w:p w14:paraId="2AEA636E" w14:textId="77777777" w:rsidR="00063330" w:rsidRPr="00D759D0" w:rsidRDefault="00063330" w:rsidP="00063330">
      <w:pPr>
        <w:tabs>
          <w:tab w:val="left" w:pos="284"/>
        </w:tabs>
        <w:jc w:val="both"/>
        <w:rPr>
          <w:sz w:val="22"/>
          <w:szCs w:val="22"/>
          <w:lang w:val="sr-Latn-ME"/>
        </w:rPr>
      </w:pPr>
      <w:proofErr w:type="spellStart"/>
      <w:r w:rsidRPr="00D759D0">
        <w:rPr>
          <w:sz w:val="22"/>
          <w:szCs w:val="22"/>
          <w:lang w:val="sr-Latn-ME"/>
        </w:rPr>
        <w:t>Travoprost</w:t>
      </w:r>
      <w:proofErr w:type="spellEnd"/>
      <w:r w:rsidRPr="00D759D0">
        <w:rPr>
          <w:sz w:val="22"/>
          <w:szCs w:val="22"/>
          <w:lang w:val="sr-Latn-ME"/>
        </w:rPr>
        <w:t xml:space="preserve">, </w:t>
      </w:r>
      <w:proofErr w:type="spellStart"/>
      <w:r w:rsidRPr="00D759D0">
        <w:rPr>
          <w:sz w:val="22"/>
          <w:szCs w:val="22"/>
          <w:lang w:val="sr-Latn-ME"/>
        </w:rPr>
        <w:t>analog</w:t>
      </w:r>
      <w:proofErr w:type="spellEnd"/>
      <w:r w:rsidRPr="00D759D0">
        <w:rPr>
          <w:sz w:val="22"/>
          <w:szCs w:val="22"/>
          <w:lang w:val="sr-Latn-ME"/>
        </w:rPr>
        <w:t xml:space="preserve"> </w:t>
      </w:r>
      <w:proofErr w:type="spellStart"/>
      <w:r w:rsidRPr="00D759D0">
        <w:rPr>
          <w:sz w:val="22"/>
          <w:szCs w:val="22"/>
          <w:lang w:val="sr-Latn-ME"/>
        </w:rPr>
        <w:t>prostaglandina</w:t>
      </w:r>
      <w:proofErr w:type="spellEnd"/>
      <w:r w:rsidRPr="00D759D0">
        <w:rPr>
          <w:sz w:val="22"/>
          <w:szCs w:val="22"/>
          <w:lang w:val="sr-Latn-ME"/>
        </w:rPr>
        <w:t xml:space="preserve"> F</w:t>
      </w:r>
      <w:r w:rsidRPr="00D759D0">
        <w:rPr>
          <w:sz w:val="22"/>
          <w:szCs w:val="22"/>
          <w:vertAlign w:val="subscript"/>
          <w:lang w:val="sr-Latn-ME"/>
        </w:rPr>
        <w:t>2α</w:t>
      </w:r>
      <w:r w:rsidRPr="00D759D0">
        <w:rPr>
          <w:sz w:val="22"/>
          <w:szCs w:val="22"/>
          <w:lang w:val="sr-Latn-ME"/>
        </w:rPr>
        <w:t xml:space="preserve">, je potpuni visoko selektivni </w:t>
      </w:r>
      <w:proofErr w:type="spellStart"/>
      <w:r w:rsidRPr="00D759D0">
        <w:rPr>
          <w:sz w:val="22"/>
          <w:szCs w:val="22"/>
          <w:lang w:val="sr-Latn-ME"/>
        </w:rPr>
        <w:t>agonista</w:t>
      </w:r>
      <w:proofErr w:type="spellEnd"/>
      <w:r w:rsidRPr="00D759D0">
        <w:rPr>
          <w:sz w:val="22"/>
          <w:szCs w:val="22"/>
          <w:lang w:val="sr-Latn-ME"/>
        </w:rPr>
        <w:t xml:space="preserve"> i ima veliki afinitet za FP receptor </w:t>
      </w:r>
      <w:proofErr w:type="spellStart"/>
      <w:r w:rsidRPr="00D759D0">
        <w:rPr>
          <w:sz w:val="22"/>
          <w:szCs w:val="22"/>
          <w:lang w:val="sr-Latn-ME"/>
        </w:rPr>
        <w:t>prostaglandina</w:t>
      </w:r>
      <w:proofErr w:type="spellEnd"/>
      <w:r w:rsidRPr="00D759D0">
        <w:rPr>
          <w:sz w:val="22"/>
          <w:szCs w:val="22"/>
          <w:lang w:val="sr-Latn-ME"/>
        </w:rPr>
        <w:t xml:space="preserve">. Smanjuje </w:t>
      </w:r>
      <w:proofErr w:type="spellStart"/>
      <w:r w:rsidRPr="00D759D0">
        <w:rPr>
          <w:sz w:val="22"/>
          <w:szCs w:val="22"/>
          <w:lang w:val="sr-Latn-ME"/>
        </w:rPr>
        <w:t>intraokularni</w:t>
      </w:r>
      <w:proofErr w:type="spellEnd"/>
      <w:r w:rsidRPr="00D759D0">
        <w:rPr>
          <w:sz w:val="22"/>
          <w:szCs w:val="22"/>
          <w:lang w:val="sr-Latn-ME"/>
        </w:rPr>
        <w:t xml:space="preserve"> pritisak (IOP) povećanjem oticanja očne vodice </w:t>
      </w:r>
      <w:proofErr w:type="spellStart"/>
      <w:r w:rsidRPr="00D759D0">
        <w:rPr>
          <w:sz w:val="22"/>
          <w:szCs w:val="22"/>
          <w:lang w:val="sr-Latn-ME"/>
        </w:rPr>
        <w:t>preko</w:t>
      </w:r>
      <w:proofErr w:type="spellEnd"/>
      <w:r w:rsidRPr="00D759D0">
        <w:rPr>
          <w:sz w:val="22"/>
          <w:szCs w:val="22"/>
          <w:lang w:val="sr-Latn-ME"/>
        </w:rPr>
        <w:t xml:space="preserve"> </w:t>
      </w:r>
      <w:proofErr w:type="spellStart"/>
      <w:r w:rsidRPr="00D759D0">
        <w:rPr>
          <w:sz w:val="22"/>
          <w:szCs w:val="22"/>
          <w:lang w:val="sr-Latn-ME"/>
        </w:rPr>
        <w:t>trabekuluma</w:t>
      </w:r>
      <w:proofErr w:type="spellEnd"/>
      <w:r w:rsidRPr="00D759D0">
        <w:rPr>
          <w:sz w:val="22"/>
          <w:szCs w:val="22"/>
          <w:lang w:val="sr-Latn-ME"/>
        </w:rPr>
        <w:t xml:space="preserve"> i </w:t>
      </w:r>
      <w:proofErr w:type="spellStart"/>
      <w:r w:rsidRPr="00D759D0">
        <w:rPr>
          <w:sz w:val="22"/>
          <w:szCs w:val="22"/>
          <w:lang w:val="sr-Latn-ME"/>
        </w:rPr>
        <w:t>uveoskleralnim</w:t>
      </w:r>
      <w:proofErr w:type="spellEnd"/>
      <w:r w:rsidRPr="00D759D0">
        <w:rPr>
          <w:sz w:val="22"/>
          <w:szCs w:val="22"/>
          <w:lang w:val="sr-Latn-ME"/>
        </w:rPr>
        <w:t xml:space="preserve"> putevima. Smanjenje IOP kod </w:t>
      </w:r>
      <w:proofErr w:type="spellStart"/>
      <w:r w:rsidRPr="00D759D0">
        <w:rPr>
          <w:sz w:val="22"/>
          <w:szCs w:val="22"/>
          <w:lang w:val="sr-Latn-ME"/>
        </w:rPr>
        <w:t>ljudi</w:t>
      </w:r>
      <w:proofErr w:type="spellEnd"/>
      <w:r w:rsidRPr="00D759D0">
        <w:rPr>
          <w:sz w:val="22"/>
          <w:szCs w:val="22"/>
          <w:lang w:val="sr-Latn-ME"/>
        </w:rPr>
        <w:t xml:space="preserve"> počinje oko 2 sata po </w:t>
      </w:r>
      <w:proofErr w:type="spellStart"/>
      <w:r w:rsidRPr="00D759D0">
        <w:rPr>
          <w:sz w:val="22"/>
          <w:szCs w:val="22"/>
          <w:lang w:val="sr-Latn-ME"/>
        </w:rPr>
        <w:t>ukapavanju</w:t>
      </w:r>
      <w:proofErr w:type="spellEnd"/>
      <w:r w:rsidRPr="00D759D0">
        <w:rPr>
          <w:sz w:val="22"/>
          <w:szCs w:val="22"/>
          <w:lang w:val="sr-Latn-ME"/>
        </w:rPr>
        <w:t xml:space="preserve"> i maksimalno dejstvo dostiže poslije 12 sati. Jednom dozom se može održati značajno sniženje IOP tokom naredna 24 časa.</w:t>
      </w:r>
    </w:p>
    <w:p w14:paraId="7CF529E1" w14:textId="77777777" w:rsidR="00063330" w:rsidRPr="00D759D0" w:rsidRDefault="00063330" w:rsidP="00063330">
      <w:pPr>
        <w:tabs>
          <w:tab w:val="left" w:pos="284"/>
        </w:tabs>
        <w:jc w:val="both"/>
        <w:rPr>
          <w:sz w:val="22"/>
          <w:szCs w:val="22"/>
          <w:lang w:val="sr-Latn-ME"/>
        </w:rPr>
      </w:pPr>
    </w:p>
    <w:p w14:paraId="6454A269" w14:textId="77777777" w:rsidR="00063330" w:rsidRPr="00D759D0" w:rsidRDefault="00063330" w:rsidP="00063330">
      <w:pPr>
        <w:tabs>
          <w:tab w:val="left" w:pos="284"/>
        </w:tabs>
        <w:jc w:val="both"/>
        <w:rPr>
          <w:sz w:val="22"/>
          <w:szCs w:val="22"/>
          <w:lang w:val="sr-Latn-ME"/>
        </w:rPr>
      </w:pPr>
      <w:r w:rsidRPr="00D759D0">
        <w:rPr>
          <w:sz w:val="22"/>
          <w:szCs w:val="22"/>
          <w:u w:val="single"/>
          <w:lang w:val="sr-Latn-ME"/>
        </w:rPr>
        <w:t>Klinička efikasnost i bezbjednost</w:t>
      </w:r>
      <w:r w:rsidRPr="00D759D0">
        <w:rPr>
          <w:sz w:val="22"/>
          <w:szCs w:val="22"/>
          <w:lang w:val="sr-Latn-ME"/>
        </w:rPr>
        <w:t xml:space="preserve"> </w:t>
      </w:r>
    </w:p>
    <w:p w14:paraId="1DE771C9" w14:textId="77777777" w:rsidR="00063330" w:rsidRPr="00D759D0" w:rsidRDefault="00063330" w:rsidP="00063330">
      <w:pPr>
        <w:tabs>
          <w:tab w:val="left" w:pos="540"/>
          <w:tab w:val="left" w:pos="569"/>
        </w:tabs>
        <w:jc w:val="both"/>
        <w:rPr>
          <w:bCs/>
          <w:sz w:val="22"/>
          <w:szCs w:val="22"/>
          <w:lang w:val="sr-Latn-ME"/>
        </w:rPr>
      </w:pPr>
      <w:r w:rsidRPr="00D759D0">
        <w:rPr>
          <w:sz w:val="22"/>
          <w:szCs w:val="22"/>
          <w:lang w:val="sr-Latn-ME"/>
        </w:rPr>
        <w:t xml:space="preserve">U kliničkoj studiji, pacijenti sa glaukomom otvorenog ugla ili </w:t>
      </w:r>
      <w:proofErr w:type="spellStart"/>
      <w:r w:rsidRPr="00D759D0">
        <w:rPr>
          <w:sz w:val="22"/>
          <w:szCs w:val="22"/>
          <w:lang w:val="sr-Latn-ME"/>
        </w:rPr>
        <w:t>okularnom</w:t>
      </w:r>
      <w:proofErr w:type="spellEnd"/>
      <w:r w:rsidRPr="00D759D0">
        <w:rPr>
          <w:sz w:val="22"/>
          <w:szCs w:val="22"/>
          <w:lang w:val="sr-Latn-ME"/>
        </w:rPr>
        <w:t xml:space="preserve"> hipertenzijom koji su liječeni lijekom TRAVATAN (sa </w:t>
      </w:r>
      <w:proofErr w:type="spellStart"/>
      <w:r w:rsidRPr="00D759D0">
        <w:rPr>
          <w:sz w:val="22"/>
          <w:szCs w:val="22"/>
          <w:lang w:val="sr-Latn-ME"/>
        </w:rPr>
        <w:t>konzervansom</w:t>
      </w:r>
      <w:proofErr w:type="spellEnd"/>
      <w:r w:rsidRPr="00D759D0">
        <w:rPr>
          <w:sz w:val="22"/>
          <w:szCs w:val="22"/>
          <w:lang w:val="sr-Latn-ME"/>
        </w:rPr>
        <w:t xml:space="preserve"> </w:t>
      </w:r>
      <w:proofErr w:type="spellStart"/>
      <w:r w:rsidRPr="00D759D0">
        <w:rPr>
          <w:sz w:val="22"/>
          <w:szCs w:val="22"/>
          <w:lang w:val="sr-Latn-ME"/>
        </w:rPr>
        <w:t>polikvaternijum</w:t>
      </w:r>
      <w:proofErr w:type="spellEnd"/>
      <w:r w:rsidRPr="00D759D0">
        <w:rPr>
          <w:sz w:val="22"/>
          <w:szCs w:val="22"/>
          <w:lang w:val="sr-Latn-ME"/>
        </w:rPr>
        <w:t xml:space="preserve">), koji je </w:t>
      </w:r>
      <w:proofErr w:type="spellStart"/>
      <w:r w:rsidRPr="00D759D0">
        <w:rPr>
          <w:sz w:val="22"/>
          <w:szCs w:val="22"/>
          <w:lang w:val="sr-Latn-ME"/>
        </w:rPr>
        <w:t>ukapavan</w:t>
      </w:r>
      <w:proofErr w:type="spellEnd"/>
      <w:r w:rsidRPr="00D759D0">
        <w:rPr>
          <w:sz w:val="22"/>
          <w:szCs w:val="22"/>
          <w:lang w:val="sr-Latn-ME"/>
        </w:rPr>
        <w:t xml:space="preserve"> u oko jednom dnevno, uveče su imali sniženje </w:t>
      </w:r>
      <w:proofErr w:type="spellStart"/>
      <w:r w:rsidRPr="00D759D0">
        <w:rPr>
          <w:sz w:val="22"/>
          <w:szCs w:val="22"/>
          <w:lang w:val="sr-Latn-ME"/>
        </w:rPr>
        <w:t>intraokularnog</w:t>
      </w:r>
      <w:proofErr w:type="spellEnd"/>
      <w:r w:rsidRPr="00D759D0">
        <w:rPr>
          <w:sz w:val="22"/>
          <w:szCs w:val="22"/>
          <w:lang w:val="sr-Latn-ME"/>
        </w:rPr>
        <w:t xml:space="preserve"> pritiska 8 do 9 </w:t>
      </w:r>
      <w:proofErr w:type="spellStart"/>
      <w:r w:rsidRPr="00D759D0">
        <w:rPr>
          <w:sz w:val="22"/>
          <w:szCs w:val="22"/>
          <w:lang w:val="sr-Latn-ME"/>
        </w:rPr>
        <w:t>mmHg</w:t>
      </w:r>
      <w:proofErr w:type="spellEnd"/>
      <w:r w:rsidRPr="00D759D0">
        <w:rPr>
          <w:sz w:val="22"/>
          <w:szCs w:val="22"/>
          <w:lang w:val="sr-Latn-ME"/>
        </w:rPr>
        <w:t xml:space="preserve"> (približno 33%) od polaznog 24 do 26 </w:t>
      </w:r>
      <w:proofErr w:type="spellStart"/>
      <w:r w:rsidRPr="00D759D0">
        <w:rPr>
          <w:sz w:val="22"/>
          <w:szCs w:val="22"/>
          <w:lang w:val="sr-Latn-ME"/>
        </w:rPr>
        <w:t>mmHg</w:t>
      </w:r>
      <w:proofErr w:type="spellEnd"/>
      <w:r w:rsidRPr="00D759D0">
        <w:rPr>
          <w:sz w:val="22"/>
          <w:szCs w:val="22"/>
          <w:lang w:val="sr-Latn-ME"/>
        </w:rPr>
        <w:t xml:space="preserve">. Tokom kliničkih ispitivanja prikupljeni su podaci o dodatnoj primjeni lijeka TRAVATAN sa </w:t>
      </w:r>
      <w:proofErr w:type="spellStart"/>
      <w:r w:rsidRPr="00D759D0">
        <w:rPr>
          <w:sz w:val="22"/>
          <w:szCs w:val="22"/>
          <w:lang w:val="sr-Latn-ME"/>
        </w:rPr>
        <w:t>timololom</w:t>
      </w:r>
      <w:proofErr w:type="spellEnd"/>
      <w:r w:rsidRPr="00D759D0">
        <w:rPr>
          <w:sz w:val="22"/>
          <w:szCs w:val="22"/>
          <w:lang w:val="sr-Latn-ME"/>
        </w:rPr>
        <w:t xml:space="preserve"> 0,5% i ograničeni (limitirani) podaci sa </w:t>
      </w:r>
      <w:proofErr w:type="spellStart"/>
      <w:r w:rsidRPr="00D759D0">
        <w:rPr>
          <w:sz w:val="22"/>
          <w:szCs w:val="22"/>
          <w:lang w:val="sr-Latn-ME"/>
        </w:rPr>
        <w:t>brimonidinom</w:t>
      </w:r>
      <w:proofErr w:type="spellEnd"/>
      <w:r w:rsidRPr="00D759D0">
        <w:rPr>
          <w:sz w:val="22"/>
          <w:szCs w:val="22"/>
          <w:lang w:val="sr-Latn-ME"/>
        </w:rPr>
        <w:t xml:space="preserve"> 0,2% koji pokazuju dodatni efekat lijeka TRAVATAN</w:t>
      </w:r>
      <w:r w:rsidRPr="00D759D0">
        <w:rPr>
          <w:sz w:val="22"/>
          <w:szCs w:val="22"/>
          <w:vertAlign w:val="superscript"/>
          <w:lang w:val="sr-Latn-ME"/>
        </w:rPr>
        <w:t xml:space="preserve"> </w:t>
      </w:r>
      <w:r w:rsidRPr="00D759D0">
        <w:rPr>
          <w:sz w:val="22"/>
          <w:szCs w:val="22"/>
          <w:lang w:val="sr-Latn-ME"/>
        </w:rPr>
        <w:t xml:space="preserve">sa ovim ljekovima protiv glaukoma. Nema kliničkih podataka o dodatnoj upotrebi sa drugim </w:t>
      </w:r>
      <w:proofErr w:type="spellStart"/>
      <w:r w:rsidRPr="00D759D0">
        <w:rPr>
          <w:sz w:val="22"/>
          <w:szCs w:val="22"/>
          <w:lang w:val="sr-Latn-ME"/>
        </w:rPr>
        <w:t>okularnim</w:t>
      </w:r>
      <w:proofErr w:type="spellEnd"/>
      <w:r w:rsidRPr="00D759D0">
        <w:rPr>
          <w:sz w:val="22"/>
          <w:szCs w:val="22"/>
          <w:lang w:val="sr-Latn-ME"/>
        </w:rPr>
        <w:t xml:space="preserve"> </w:t>
      </w:r>
      <w:proofErr w:type="spellStart"/>
      <w:r w:rsidRPr="00D759D0">
        <w:rPr>
          <w:sz w:val="22"/>
          <w:szCs w:val="22"/>
          <w:lang w:val="sr-Latn-ME"/>
        </w:rPr>
        <w:t>hipotenzivnim</w:t>
      </w:r>
      <w:proofErr w:type="spellEnd"/>
      <w:r w:rsidRPr="00D759D0">
        <w:rPr>
          <w:sz w:val="22"/>
          <w:szCs w:val="22"/>
          <w:lang w:val="sr-Latn-ME"/>
        </w:rPr>
        <w:t xml:space="preserve"> ljekovima.</w:t>
      </w:r>
    </w:p>
    <w:p w14:paraId="5304E51D" w14:textId="77777777" w:rsidR="00063330" w:rsidRPr="00D759D0" w:rsidRDefault="00063330" w:rsidP="00063330">
      <w:pPr>
        <w:tabs>
          <w:tab w:val="left" w:pos="540"/>
          <w:tab w:val="left" w:pos="569"/>
        </w:tabs>
        <w:jc w:val="both"/>
        <w:rPr>
          <w:bCs/>
          <w:sz w:val="22"/>
          <w:szCs w:val="22"/>
          <w:lang w:val="sr-Latn-ME"/>
        </w:rPr>
      </w:pPr>
    </w:p>
    <w:p w14:paraId="7DD6731B" w14:textId="77777777" w:rsidR="00063330" w:rsidRPr="00D759D0" w:rsidRDefault="00063330" w:rsidP="00063330">
      <w:pPr>
        <w:tabs>
          <w:tab w:val="left" w:pos="284"/>
        </w:tabs>
        <w:jc w:val="both"/>
        <w:rPr>
          <w:sz w:val="22"/>
          <w:szCs w:val="22"/>
          <w:lang w:val="sr-Latn-ME"/>
        </w:rPr>
      </w:pPr>
      <w:r w:rsidRPr="00D759D0">
        <w:rPr>
          <w:sz w:val="22"/>
          <w:szCs w:val="22"/>
          <w:u w:val="single"/>
          <w:lang w:val="sr-Latn-ME"/>
        </w:rPr>
        <w:t>Sekundarna farmakologija</w:t>
      </w:r>
    </w:p>
    <w:p w14:paraId="270AD064" w14:textId="77777777" w:rsidR="00063330" w:rsidRPr="00D759D0" w:rsidRDefault="00063330" w:rsidP="00063330">
      <w:pPr>
        <w:tabs>
          <w:tab w:val="left" w:pos="284"/>
        </w:tabs>
        <w:jc w:val="both"/>
        <w:rPr>
          <w:sz w:val="22"/>
          <w:szCs w:val="22"/>
          <w:lang w:val="sr-Latn-ME"/>
        </w:rPr>
      </w:pPr>
      <w:proofErr w:type="spellStart"/>
      <w:r w:rsidRPr="00D759D0">
        <w:rPr>
          <w:sz w:val="22"/>
          <w:szCs w:val="22"/>
          <w:lang w:val="sr-Latn-ME"/>
        </w:rPr>
        <w:t>Travoprost</w:t>
      </w:r>
      <w:proofErr w:type="spellEnd"/>
      <w:r w:rsidRPr="00D759D0">
        <w:rPr>
          <w:sz w:val="22"/>
          <w:szCs w:val="22"/>
          <w:lang w:val="sr-Latn-ME"/>
        </w:rPr>
        <w:t xml:space="preserve"> značajno povećava protok krvi kroz glavu optičkog nerva kod zečeva tokom 7 dana </w:t>
      </w:r>
      <w:proofErr w:type="spellStart"/>
      <w:r w:rsidRPr="00D759D0">
        <w:rPr>
          <w:sz w:val="22"/>
          <w:szCs w:val="22"/>
          <w:lang w:val="sr-Latn-ME"/>
        </w:rPr>
        <w:t>ukapavanja</w:t>
      </w:r>
      <w:proofErr w:type="spellEnd"/>
      <w:r w:rsidRPr="00D759D0">
        <w:rPr>
          <w:sz w:val="22"/>
          <w:szCs w:val="22"/>
          <w:lang w:val="sr-Latn-ME"/>
        </w:rPr>
        <w:t xml:space="preserve"> u oko (1,4 </w:t>
      </w:r>
      <w:proofErr w:type="spellStart"/>
      <w:r w:rsidRPr="00D759D0">
        <w:rPr>
          <w:sz w:val="22"/>
          <w:szCs w:val="22"/>
          <w:lang w:val="sr-Latn-ME"/>
        </w:rPr>
        <w:t>mikrograma</w:t>
      </w:r>
      <w:proofErr w:type="spellEnd"/>
      <w:r w:rsidRPr="00D759D0">
        <w:rPr>
          <w:sz w:val="22"/>
          <w:szCs w:val="22"/>
          <w:lang w:val="sr-Latn-ME"/>
        </w:rPr>
        <w:t xml:space="preserve">, jednom dnevno). </w:t>
      </w:r>
    </w:p>
    <w:p w14:paraId="64E95049" w14:textId="77777777" w:rsidR="00063330" w:rsidRPr="00D759D0" w:rsidRDefault="00063330" w:rsidP="00063330">
      <w:pPr>
        <w:tabs>
          <w:tab w:val="left" w:pos="284"/>
        </w:tabs>
        <w:ind w:left="180"/>
        <w:jc w:val="both"/>
        <w:rPr>
          <w:sz w:val="22"/>
          <w:szCs w:val="22"/>
          <w:lang w:val="sr-Latn-ME"/>
        </w:rPr>
      </w:pPr>
    </w:p>
    <w:p w14:paraId="65B9F70E" w14:textId="132A8E51" w:rsidR="00063330" w:rsidRPr="00D759D0" w:rsidRDefault="00AF45AF" w:rsidP="00063330">
      <w:pPr>
        <w:tabs>
          <w:tab w:val="left" w:pos="540"/>
          <w:tab w:val="left" w:pos="569"/>
        </w:tabs>
        <w:jc w:val="both"/>
        <w:rPr>
          <w:bCs/>
          <w:sz w:val="22"/>
          <w:szCs w:val="22"/>
          <w:lang w:val="sr-Latn-ME"/>
        </w:rPr>
      </w:pPr>
      <w:r w:rsidRPr="00D759D0">
        <w:rPr>
          <w:sz w:val="22"/>
          <w:szCs w:val="22"/>
          <w:lang w:val="sr-Latn-ME"/>
        </w:rPr>
        <w:t xml:space="preserve">Lijek </w:t>
      </w:r>
      <w:r w:rsidR="00063330" w:rsidRPr="00D759D0">
        <w:rPr>
          <w:sz w:val="22"/>
          <w:szCs w:val="22"/>
          <w:lang w:val="sr-Latn-ME"/>
        </w:rPr>
        <w:t xml:space="preserve">TRAVATAN koji sadrži polikvaternijum-1 kao </w:t>
      </w:r>
      <w:proofErr w:type="spellStart"/>
      <w:r w:rsidR="00063330" w:rsidRPr="00D759D0">
        <w:rPr>
          <w:sz w:val="22"/>
          <w:szCs w:val="22"/>
          <w:lang w:val="sr-Latn-ME"/>
        </w:rPr>
        <w:t>konzervans</w:t>
      </w:r>
      <w:proofErr w:type="spellEnd"/>
      <w:r w:rsidR="00063330" w:rsidRPr="00D759D0">
        <w:rPr>
          <w:sz w:val="22"/>
          <w:szCs w:val="22"/>
          <w:lang w:val="sr-Latn-ME"/>
        </w:rPr>
        <w:t xml:space="preserve">, uzrokuje minimalnu površinsku </w:t>
      </w:r>
      <w:proofErr w:type="spellStart"/>
      <w:r w:rsidR="00063330" w:rsidRPr="00D759D0">
        <w:rPr>
          <w:sz w:val="22"/>
          <w:szCs w:val="22"/>
          <w:lang w:val="sr-Latn-ME"/>
        </w:rPr>
        <w:t>okularnu</w:t>
      </w:r>
      <w:proofErr w:type="spellEnd"/>
      <w:r w:rsidR="00063330" w:rsidRPr="00D759D0">
        <w:rPr>
          <w:sz w:val="22"/>
          <w:szCs w:val="22"/>
          <w:lang w:val="sr-Latn-ME"/>
        </w:rPr>
        <w:t xml:space="preserve"> toksičnost, u poređenju sa kapima za oči koje sadrže </w:t>
      </w:r>
      <w:proofErr w:type="spellStart"/>
      <w:r w:rsidR="00063330" w:rsidRPr="00D759D0">
        <w:rPr>
          <w:sz w:val="22"/>
          <w:szCs w:val="22"/>
          <w:lang w:val="sr-Latn-ME"/>
        </w:rPr>
        <w:t>benzalkonijum</w:t>
      </w:r>
      <w:proofErr w:type="spellEnd"/>
      <w:r w:rsidR="00063330" w:rsidRPr="00D759D0">
        <w:rPr>
          <w:sz w:val="22"/>
          <w:szCs w:val="22"/>
          <w:lang w:val="sr-Latn-ME"/>
        </w:rPr>
        <w:t xml:space="preserve"> hlorid, na kultivisanim humanim </w:t>
      </w:r>
      <w:proofErr w:type="spellStart"/>
      <w:r w:rsidR="00063330" w:rsidRPr="00D759D0">
        <w:rPr>
          <w:sz w:val="22"/>
          <w:szCs w:val="22"/>
          <w:lang w:val="sr-Latn-ME"/>
        </w:rPr>
        <w:t>kornealnim</w:t>
      </w:r>
      <w:proofErr w:type="spellEnd"/>
      <w:r w:rsidR="00063330" w:rsidRPr="00D759D0">
        <w:rPr>
          <w:sz w:val="22"/>
          <w:szCs w:val="22"/>
          <w:lang w:val="sr-Latn-ME"/>
        </w:rPr>
        <w:t xml:space="preserve"> ćelijama i poslije loka</w:t>
      </w:r>
      <w:r w:rsidR="00EB7CA1" w:rsidRPr="00D759D0">
        <w:rPr>
          <w:sz w:val="22"/>
          <w:szCs w:val="22"/>
          <w:lang w:val="sr-Latn-ME"/>
        </w:rPr>
        <w:t>l</w:t>
      </w:r>
      <w:r w:rsidR="00063330" w:rsidRPr="00D759D0">
        <w:rPr>
          <w:sz w:val="22"/>
          <w:szCs w:val="22"/>
          <w:lang w:val="sr-Latn-ME"/>
        </w:rPr>
        <w:t xml:space="preserve">ne </w:t>
      </w:r>
      <w:proofErr w:type="spellStart"/>
      <w:r w:rsidR="00063330" w:rsidRPr="00D759D0">
        <w:rPr>
          <w:sz w:val="22"/>
          <w:szCs w:val="22"/>
          <w:lang w:val="sr-Latn-ME"/>
        </w:rPr>
        <w:t>okularne</w:t>
      </w:r>
      <w:proofErr w:type="spellEnd"/>
      <w:r w:rsidR="00063330" w:rsidRPr="00D759D0">
        <w:rPr>
          <w:sz w:val="22"/>
          <w:szCs w:val="22"/>
          <w:lang w:val="sr-Latn-ME"/>
        </w:rPr>
        <w:t xml:space="preserve"> upotrebe kod kunića.</w:t>
      </w:r>
    </w:p>
    <w:p w14:paraId="2A47BB90" w14:textId="77777777" w:rsidR="00063330" w:rsidRPr="00D759D0" w:rsidRDefault="00063330" w:rsidP="00063330">
      <w:pPr>
        <w:tabs>
          <w:tab w:val="left" w:pos="540"/>
          <w:tab w:val="left" w:pos="569"/>
        </w:tabs>
        <w:jc w:val="both"/>
        <w:rPr>
          <w:b/>
          <w:bCs/>
          <w:sz w:val="22"/>
          <w:szCs w:val="22"/>
          <w:lang w:val="sr-Latn-ME"/>
        </w:rPr>
      </w:pPr>
    </w:p>
    <w:p w14:paraId="1CF3573C" w14:textId="77777777" w:rsidR="00063330" w:rsidRPr="00D759D0" w:rsidRDefault="00063330" w:rsidP="00063330">
      <w:pPr>
        <w:tabs>
          <w:tab w:val="left" w:pos="284"/>
        </w:tabs>
        <w:jc w:val="both"/>
        <w:rPr>
          <w:sz w:val="22"/>
          <w:szCs w:val="22"/>
          <w:u w:val="single"/>
          <w:lang w:val="sr-Latn-ME"/>
        </w:rPr>
      </w:pPr>
      <w:r w:rsidRPr="00D759D0">
        <w:rPr>
          <w:sz w:val="22"/>
          <w:szCs w:val="22"/>
          <w:u w:val="single"/>
          <w:lang w:val="sr-Latn-ME"/>
        </w:rPr>
        <w:t>Pedijatrijska populacija</w:t>
      </w:r>
    </w:p>
    <w:p w14:paraId="61FC172F" w14:textId="5D0D743E" w:rsidR="002023E2" w:rsidRPr="00D759D0" w:rsidRDefault="00063330" w:rsidP="00063330">
      <w:pPr>
        <w:tabs>
          <w:tab w:val="left" w:pos="284"/>
        </w:tabs>
        <w:jc w:val="both"/>
        <w:rPr>
          <w:sz w:val="22"/>
          <w:szCs w:val="22"/>
          <w:lang w:val="sr-Latn-ME"/>
        </w:rPr>
      </w:pPr>
      <w:r w:rsidRPr="00D759D0">
        <w:rPr>
          <w:sz w:val="22"/>
          <w:szCs w:val="22"/>
          <w:lang w:val="sr-Latn-ME"/>
        </w:rPr>
        <w:t xml:space="preserve">Efikasnost lijeka TRAVATAN u pedijatrijskoj populaciji uzrasta od 2 mjeseca do ispod 18 godina, je pokazana u 12-nedeljnom, dvostruko slijepom kliničkom ispitivanju upotrebe </w:t>
      </w:r>
      <w:proofErr w:type="spellStart"/>
      <w:r w:rsidRPr="00D759D0">
        <w:rPr>
          <w:sz w:val="22"/>
          <w:szCs w:val="22"/>
          <w:lang w:val="sr-Latn-ME"/>
        </w:rPr>
        <w:t>travoprosta</w:t>
      </w:r>
      <w:proofErr w:type="spellEnd"/>
      <w:r w:rsidRPr="00D759D0">
        <w:rPr>
          <w:sz w:val="22"/>
          <w:szCs w:val="22"/>
          <w:lang w:val="sr-Latn-ME"/>
        </w:rPr>
        <w:t xml:space="preserve">, u odnosu na </w:t>
      </w:r>
      <w:proofErr w:type="spellStart"/>
      <w:r w:rsidRPr="00D759D0">
        <w:rPr>
          <w:sz w:val="22"/>
          <w:szCs w:val="22"/>
          <w:lang w:val="sr-Latn-ME"/>
        </w:rPr>
        <w:t>timolol</w:t>
      </w:r>
      <w:proofErr w:type="spellEnd"/>
      <w:r w:rsidRPr="00D759D0">
        <w:rPr>
          <w:sz w:val="22"/>
          <w:szCs w:val="22"/>
          <w:lang w:val="sr-Latn-ME"/>
        </w:rPr>
        <w:t xml:space="preserve"> sprovedenoj na 152 pacijenta sa dijagnozom </w:t>
      </w:r>
      <w:proofErr w:type="spellStart"/>
      <w:r w:rsidRPr="00D759D0">
        <w:rPr>
          <w:sz w:val="22"/>
          <w:szCs w:val="22"/>
          <w:lang w:val="sr-Latn-ME"/>
        </w:rPr>
        <w:t>okularne</w:t>
      </w:r>
      <w:proofErr w:type="spellEnd"/>
      <w:r w:rsidRPr="00D759D0">
        <w:rPr>
          <w:sz w:val="22"/>
          <w:szCs w:val="22"/>
          <w:lang w:val="sr-Latn-ME"/>
        </w:rPr>
        <w:t xml:space="preserve"> hipertenzije ili pedijatrijskog glaukoma. Pacijenti su dobijali ili </w:t>
      </w:r>
      <w:proofErr w:type="spellStart"/>
      <w:r w:rsidRPr="00D759D0">
        <w:rPr>
          <w:sz w:val="22"/>
          <w:szCs w:val="22"/>
          <w:lang w:val="sr-Latn-ME"/>
        </w:rPr>
        <w:t>travoprost</w:t>
      </w:r>
      <w:proofErr w:type="spellEnd"/>
      <w:r w:rsidRPr="00D759D0">
        <w:rPr>
          <w:sz w:val="22"/>
          <w:szCs w:val="22"/>
          <w:lang w:val="sr-Latn-ME"/>
        </w:rPr>
        <w:t xml:space="preserve"> 0,004% jednom dnevno ili </w:t>
      </w:r>
      <w:proofErr w:type="spellStart"/>
      <w:r w:rsidRPr="00D759D0">
        <w:rPr>
          <w:sz w:val="22"/>
          <w:szCs w:val="22"/>
          <w:lang w:val="sr-Latn-ME"/>
        </w:rPr>
        <w:t>timolol</w:t>
      </w:r>
      <w:proofErr w:type="spellEnd"/>
      <w:r w:rsidRPr="00D759D0">
        <w:rPr>
          <w:sz w:val="22"/>
          <w:szCs w:val="22"/>
          <w:lang w:val="sr-Latn-ME"/>
        </w:rPr>
        <w:t xml:space="preserve"> 0,5% (ili 0,25% kod ispitanika uzrasta ispod 3 godine) dva puta na dan. Primarni ishod efikasnosti je bila promjena </w:t>
      </w:r>
      <w:proofErr w:type="spellStart"/>
      <w:r w:rsidRPr="00D759D0">
        <w:rPr>
          <w:sz w:val="22"/>
          <w:szCs w:val="22"/>
          <w:lang w:val="sr-Latn-ME"/>
        </w:rPr>
        <w:t>intraokularnog</w:t>
      </w:r>
      <w:proofErr w:type="spellEnd"/>
      <w:r w:rsidRPr="00D759D0">
        <w:rPr>
          <w:sz w:val="22"/>
          <w:szCs w:val="22"/>
          <w:lang w:val="sr-Latn-ME"/>
        </w:rPr>
        <w:t xml:space="preserve"> pritiska (IOP) u 12. nedjelji ispitivanja, u odnosu na početnu vrijednost. Srednje vrijednosti sniženja IOP u grupama koje su primale </w:t>
      </w:r>
      <w:proofErr w:type="spellStart"/>
      <w:r w:rsidRPr="00D759D0">
        <w:rPr>
          <w:sz w:val="22"/>
          <w:szCs w:val="22"/>
          <w:lang w:val="sr-Latn-ME"/>
        </w:rPr>
        <w:t>travoprost</w:t>
      </w:r>
      <w:proofErr w:type="spellEnd"/>
      <w:r w:rsidRPr="00D759D0">
        <w:rPr>
          <w:sz w:val="22"/>
          <w:szCs w:val="22"/>
          <w:lang w:val="sr-Latn-ME"/>
        </w:rPr>
        <w:t xml:space="preserve"> i </w:t>
      </w:r>
      <w:proofErr w:type="spellStart"/>
      <w:r w:rsidRPr="00D759D0">
        <w:rPr>
          <w:sz w:val="22"/>
          <w:szCs w:val="22"/>
          <w:lang w:val="sr-Latn-ME"/>
        </w:rPr>
        <w:t>timolol</w:t>
      </w:r>
      <w:proofErr w:type="spellEnd"/>
      <w:r w:rsidRPr="00D759D0">
        <w:rPr>
          <w:sz w:val="22"/>
          <w:szCs w:val="22"/>
          <w:lang w:val="sr-Latn-ME"/>
        </w:rPr>
        <w:t xml:space="preserve"> su bile slične</w:t>
      </w:r>
      <w:r w:rsidR="00C05609" w:rsidRPr="00D759D0">
        <w:rPr>
          <w:sz w:val="22"/>
          <w:szCs w:val="22"/>
          <w:lang w:val="sr-Latn-ME"/>
        </w:rPr>
        <w:t xml:space="preserve"> </w:t>
      </w:r>
      <w:r w:rsidR="002023E2" w:rsidRPr="00D759D0">
        <w:rPr>
          <w:sz w:val="22"/>
          <w:szCs w:val="22"/>
          <w:lang w:val="sr-Latn-ME"/>
        </w:rPr>
        <w:t>(vidjeti Tabelu 1)</w:t>
      </w:r>
      <w:r w:rsidR="00EB7CA1" w:rsidRPr="00D759D0">
        <w:rPr>
          <w:sz w:val="22"/>
          <w:szCs w:val="22"/>
          <w:lang w:val="sr-Latn-ME"/>
        </w:rPr>
        <w:t>.</w:t>
      </w:r>
    </w:p>
    <w:p w14:paraId="03438D2A" w14:textId="77777777" w:rsidR="002023E2" w:rsidRPr="00D759D0" w:rsidRDefault="002023E2" w:rsidP="00063330">
      <w:pPr>
        <w:tabs>
          <w:tab w:val="left" w:pos="284"/>
        </w:tabs>
        <w:jc w:val="both"/>
        <w:rPr>
          <w:sz w:val="22"/>
          <w:szCs w:val="22"/>
          <w:lang w:val="sr-Latn-ME"/>
        </w:rPr>
      </w:pPr>
    </w:p>
    <w:p w14:paraId="29BD2191" w14:textId="1AF57159" w:rsidR="00063330" w:rsidRPr="00D759D0" w:rsidRDefault="002023E2" w:rsidP="00063330">
      <w:pPr>
        <w:tabs>
          <w:tab w:val="left" w:pos="284"/>
        </w:tabs>
        <w:jc w:val="both"/>
        <w:rPr>
          <w:sz w:val="22"/>
          <w:szCs w:val="22"/>
          <w:lang w:val="sr-Latn-ME"/>
        </w:rPr>
      </w:pPr>
      <w:r w:rsidRPr="00D759D0">
        <w:rPr>
          <w:sz w:val="22"/>
          <w:szCs w:val="22"/>
          <w:lang w:val="sr-Latn-ME"/>
        </w:rPr>
        <w:t xml:space="preserve">U </w:t>
      </w:r>
      <w:proofErr w:type="spellStart"/>
      <w:r w:rsidRPr="00D759D0">
        <w:rPr>
          <w:sz w:val="22"/>
          <w:szCs w:val="22"/>
          <w:lang w:val="sr-Latn-ME"/>
        </w:rPr>
        <w:t>uzrasnim</w:t>
      </w:r>
      <w:proofErr w:type="spellEnd"/>
      <w:r w:rsidRPr="00D759D0">
        <w:rPr>
          <w:sz w:val="22"/>
          <w:szCs w:val="22"/>
          <w:lang w:val="sr-Latn-ME"/>
        </w:rPr>
        <w:t xml:space="preserve"> grupama od 3 do &lt;</w:t>
      </w:r>
      <w:r w:rsidR="00856AA7" w:rsidRPr="00D759D0">
        <w:rPr>
          <w:sz w:val="22"/>
          <w:szCs w:val="22"/>
          <w:lang w:val="sr-Latn-ME"/>
        </w:rPr>
        <w:t xml:space="preserve"> </w:t>
      </w:r>
      <w:r w:rsidRPr="00D759D0">
        <w:rPr>
          <w:sz w:val="22"/>
          <w:szCs w:val="22"/>
          <w:lang w:val="sr-Latn-ME"/>
        </w:rPr>
        <w:t xml:space="preserve">12 godina (n=36) i od 12 do &lt; 18 godina (n=26), srednja vrijednost sniženja IOP u 12-oj </w:t>
      </w:r>
      <w:proofErr w:type="spellStart"/>
      <w:r w:rsidRPr="00D759D0">
        <w:rPr>
          <w:sz w:val="22"/>
          <w:szCs w:val="22"/>
          <w:lang w:val="sr-Latn-ME"/>
        </w:rPr>
        <w:t>nedelji</w:t>
      </w:r>
      <w:proofErr w:type="spellEnd"/>
      <w:r w:rsidRPr="00D759D0">
        <w:rPr>
          <w:sz w:val="22"/>
          <w:szCs w:val="22"/>
          <w:lang w:val="sr-Latn-ME"/>
        </w:rPr>
        <w:t xml:space="preserve"> u grupi koja je primala </w:t>
      </w:r>
      <w:proofErr w:type="spellStart"/>
      <w:r w:rsidRPr="00D759D0">
        <w:rPr>
          <w:sz w:val="22"/>
          <w:szCs w:val="22"/>
          <w:lang w:val="sr-Latn-ME"/>
        </w:rPr>
        <w:t>travoprost</w:t>
      </w:r>
      <w:proofErr w:type="spellEnd"/>
      <w:r w:rsidRPr="00D759D0">
        <w:rPr>
          <w:sz w:val="22"/>
          <w:szCs w:val="22"/>
          <w:lang w:val="sr-Latn-ME"/>
        </w:rPr>
        <w:t xml:space="preserve"> je bila slična onoj kod grupe koja je primala </w:t>
      </w:r>
      <w:proofErr w:type="spellStart"/>
      <w:r w:rsidRPr="00D759D0">
        <w:rPr>
          <w:sz w:val="22"/>
          <w:szCs w:val="22"/>
          <w:lang w:val="sr-Latn-ME"/>
        </w:rPr>
        <w:t>timolol</w:t>
      </w:r>
      <w:proofErr w:type="spellEnd"/>
      <w:r w:rsidRPr="00D759D0">
        <w:rPr>
          <w:sz w:val="22"/>
          <w:szCs w:val="22"/>
          <w:lang w:val="sr-Latn-ME"/>
        </w:rPr>
        <w:t xml:space="preserve">. Srednja vrijednost sniženja IOP-a u 12. </w:t>
      </w:r>
      <w:proofErr w:type="spellStart"/>
      <w:r w:rsidRPr="00D759D0">
        <w:rPr>
          <w:sz w:val="22"/>
          <w:szCs w:val="22"/>
          <w:lang w:val="sr-Latn-ME"/>
        </w:rPr>
        <w:t>nedelji</w:t>
      </w:r>
      <w:proofErr w:type="spellEnd"/>
      <w:r w:rsidRPr="00D759D0">
        <w:rPr>
          <w:sz w:val="22"/>
          <w:szCs w:val="22"/>
          <w:lang w:val="sr-Latn-ME"/>
        </w:rPr>
        <w:t xml:space="preserve"> u </w:t>
      </w:r>
      <w:proofErr w:type="spellStart"/>
      <w:r w:rsidRPr="00D759D0">
        <w:rPr>
          <w:sz w:val="22"/>
          <w:szCs w:val="22"/>
          <w:lang w:val="sr-Latn-ME"/>
        </w:rPr>
        <w:t>uzrasnoj</w:t>
      </w:r>
      <w:proofErr w:type="spellEnd"/>
      <w:r w:rsidRPr="00D759D0">
        <w:rPr>
          <w:sz w:val="22"/>
          <w:szCs w:val="22"/>
          <w:lang w:val="sr-Latn-ME"/>
        </w:rPr>
        <w:t xml:space="preserve"> grupi od 2 mjeseca do ˂</w:t>
      </w:r>
      <w:r w:rsidR="00856AA7" w:rsidRPr="00D759D0">
        <w:rPr>
          <w:sz w:val="22"/>
          <w:szCs w:val="22"/>
          <w:lang w:val="sr-Latn-ME"/>
        </w:rPr>
        <w:t xml:space="preserve"> </w:t>
      </w:r>
      <w:r w:rsidRPr="00D759D0">
        <w:rPr>
          <w:sz w:val="22"/>
          <w:szCs w:val="22"/>
          <w:lang w:val="sr-Latn-ME"/>
        </w:rPr>
        <w:t xml:space="preserve">3 godine bila je 1,8 </w:t>
      </w:r>
      <w:proofErr w:type="spellStart"/>
      <w:r w:rsidRPr="00D759D0">
        <w:rPr>
          <w:sz w:val="22"/>
          <w:szCs w:val="22"/>
          <w:lang w:val="sr-Latn-ME"/>
        </w:rPr>
        <w:t>mmHg</w:t>
      </w:r>
      <w:proofErr w:type="spellEnd"/>
      <w:r w:rsidRPr="00D759D0">
        <w:rPr>
          <w:sz w:val="22"/>
          <w:szCs w:val="22"/>
          <w:lang w:val="sr-Latn-ME"/>
        </w:rPr>
        <w:t xml:space="preserve"> u grupi koja je primala </w:t>
      </w:r>
      <w:proofErr w:type="spellStart"/>
      <w:r w:rsidRPr="00D759D0">
        <w:rPr>
          <w:sz w:val="22"/>
          <w:szCs w:val="22"/>
          <w:lang w:val="sr-Latn-ME"/>
        </w:rPr>
        <w:t>travoprost</w:t>
      </w:r>
      <w:proofErr w:type="spellEnd"/>
      <w:r w:rsidRPr="00D759D0">
        <w:rPr>
          <w:sz w:val="22"/>
          <w:szCs w:val="22"/>
          <w:lang w:val="sr-Latn-ME"/>
        </w:rPr>
        <w:t xml:space="preserve"> i 7,3 </w:t>
      </w:r>
      <w:proofErr w:type="spellStart"/>
      <w:r w:rsidRPr="00D759D0">
        <w:rPr>
          <w:sz w:val="22"/>
          <w:szCs w:val="22"/>
          <w:lang w:val="sr-Latn-ME"/>
        </w:rPr>
        <w:t>mmHg</w:t>
      </w:r>
      <w:proofErr w:type="spellEnd"/>
      <w:r w:rsidRPr="00D759D0">
        <w:rPr>
          <w:sz w:val="22"/>
          <w:szCs w:val="22"/>
          <w:lang w:val="sr-Latn-ME"/>
        </w:rPr>
        <w:t xml:space="preserve"> u grupi koja je primala </w:t>
      </w:r>
      <w:proofErr w:type="spellStart"/>
      <w:r w:rsidRPr="00D759D0">
        <w:rPr>
          <w:sz w:val="22"/>
          <w:szCs w:val="22"/>
          <w:lang w:val="sr-Latn-ME"/>
        </w:rPr>
        <w:t>timolol</w:t>
      </w:r>
      <w:proofErr w:type="spellEnd"/>
      <w:r w:rsidRPr="00D759D0">
        <w:rPr>
          <w:sz w:val="22"/>
          <w:szCs w:val="22"/>
          <w:lang w:val="sr-Latn-ME"/>
        </w:rPr>
        <w:t xml:space="preserve">. Sniženje IOP-a za ovu grupu bazira se na samo 6 pacijenata u grupi koja je primala </w:t>
      </w:r>
      <w:proofErr w:type="spellStart"/>
      <w:r w:rsidRPr="00D759D0">
        <w:rPr>
          <w:sz w:val="22"/>
          <w:szCs w:val="22"/>
          <w:lang w:val="sr-Latn-ME"/>
        </w:rPr>
        <w:t>timolol</w:t>
      </w:r>
      <w:proofErr w:type="spellEnd"/>
      <w:r w:rsidRPr="00D759D0">
        <w:rPr>
          <w:sz w:val="22"/>
          <w:szCs w:val="22"/>
          <w:lang w:val="sr-Latn-ME"/>
        </w:rPr>
        <w:t xml:space="preserve"> i 9 pacijenata u grupi koja je primala </w:t>
      </w:r>
      <w:proofErr w:type="spellStart"/>
      <w:r w:rsidRPr="00D759D0">
        <w:rPr>
          <w:sz w:val="22"/>
          <w:szCs w:val="22"/>
          <w:lang w:val="sr-Latn-ME"/>
        </w:rPr>
        <w:t>travoprost</w:t>
      </w:r>
      <w:proofErr w:type="spellEnd"/>
      <w:r w:rsidRPr="00D759D0">
        <w:rPr>
          <w:sz w:val="22"/>
          <w:szCs w:val="22"/>
          <w:lang w:val="sr-Latn-ME"/>
        </w:rPr>
        <w:t xml:space="preserve"> gd</w:t>
      </w:r>
      <w:r w:rsidR="00EB7CA1" w:rsidRPr="00D759D0">
        <w:rPr>
          <w:sz w:val="22"/>
          <w:szCs w:val="22"/>
          <w:lang w:val="sr-Latn-ME"/>
        </w:rPr>
        <w:t>j</w:t>
      </w:r>
      <w:r w:rsidRPr="00D759D0">
        <w:rPr>
          <w:sz w:val="22"/>
          <w:szCs w:val="22"/>
          <w:lang w:val="sr-Latn-ME"/>
        </w:rPr>
        <w:t xml:space="preserve">e su 4 pacijenta u grupi koja je primala </w:t>
      </w:r>
      <w:proofErr w:type="spellStart"/>
      <w:r w:rsidRPr="00D759D0">
        <w:rPr>
          <w:sz w:val="22"/>
          <w:szCs w:val="22"/>
          <w:lang w:val="sr-Latn-ME"/>
        </w:rPr>
        <w:t>travoprost</w:t>
      </w:r>
      <w:proofErr w:type="spellEnd"/>
      <w:r w:rsidRPr="00D759D0">
        <w:rPr>
          <w:sz w:val="22"/>
          <w:szCs w:val="22"/>
          <w:lang w:val="sr-Latn-ME"/>
        </w:rPr>
        <w:t xml:space="preserve"> u odnosu na 0 pacijenata u grupi koja je primala </w:t>
      </w:r>
      <w:proofErr w:type="spellStart"/>
      <w:r w:rsidRPr="00D759D0">
        <w:rPr>
          <w:sz w:val="22"/>
          <w:szCs w:val="22"/>
          <w:lang w:val="sr-Latn-ME"/>
        </w:rPr>
        <w:t>timolol</w:t>
      </w:r>
      <w:proofErr w:type="spellEnd"/>
      <w:r w:rsidRPr="00D759D0">
        <w:rPr>
          <w:sz w:val="22"/>
          <w:szCs w:val="22"/>
          <w:lang w:val="sr-Latn-ME"/>
        </w:rPr>
        <w:t xml:space="preserve"> nije imalo relevantne srednje vrijednosti sniženja IOP-a u 12. nedjelji</w:t>
      </w:r>
      <w:r w:rsidR="00EB7CA1" w:rsidRPr="00D759D0">
        <w:rPr>
          <w:sz w:val="22"/>
          <w:szCs w:val="22"/>
          <w:lang w:val="sr-Latn-ME"/>
        </w:rPr>
        <w:t xml:space="preserve">. </w:t>
      </w:r>
      <w:r w:rsidR="00063330" w:rsidRPr="00D759D0">
        <w:rPr>
          <w:sz w:val="22"/>
          <w:szCs w:val="22"/>
          <w:lang w:val="sr-Latn-ME"/>
        </w:rPr>
        <w:t>Nema raspoloživih podataka za djecu uzrasta ispod 2 mjeseca.</w:t>
      </w:r>
    </w:p>
    <w:p w14:paraId="57BD7DF5" w14:textId="77777777" w:rsidR="00063330" w:rsidRPr="00D759D0" w:rsidRDefault="00063330" w:rsidP="00063330">
      <w:pPr>
        <w:tabs>
          <w:tab w:val="left" w:pos="284"/>
        </w:tabs>
        <w:jc w:val="both"/>
        <w:rPr>
          <w:sz w:val="22"/>
          <w:szCs w:val="22"/>
          <w:lang w:val="sr-Latn-ME"/>
        </w:rPr>
      </w:pPr>
    </w:p>
    <w:p w14:paraId="222C83D7" w14:textId="1F3484DE" w:rsidR="002E28ED" w:rsidRPr="00D759D0" w:rsidRDefault="00063330" w:rsidP="00063330">
      <w:pPr>
        <w:tabs>
          <w:tab w:val="left" w:pos="284"/>
        </w:tabs>
        <w:jc w:val="both"/>
        <w:rPr>
          <w:sz w:val="22"/>
          <w:szCs w:val="22"/>
          <w:lang w:val="sr-Latn-ME"/>
        </w:rPr>
      </w:pPr>
      <w:r w:rsidRPr="00D759D0">
        <w:rPr>
          <w:sz w:val="22"/>
          <w:szCs w:val="22"/>
          <w:lang w:val="sr-Latn-ME"/>
        </w:rPr>
        <w:t xml:space="preserve">Efekat na IOP je primijećen nakon druge nedjelje terapije i konzistentno se održavao tokom 12 nedjelja ispitivanja, u svim </w:t>
      </w:r>
      <w:proofErr w:type="spellStart"/>
      <w:r w:rsidRPr="00D759D0">
        <w:rPr>
          <w:sz w:val="22"/>
          <w:szCs w:val="22"/>
          <w:lang w:val="sr-Latn-ME"/>
        </w:rPr>
        <w:t>uzrasnim</w:t>
      </w:r>
      <w:proofErr w:type="spellEnd"/>
      <w:r w:rsidRPr="00D759D0">
        <w:rPr>
          <w:sz w:val="22"/>
          <w:szCs w:val="22"/>
          <w:lang w:val="sr-Latn-ME"/>
        </w:rPr>
        <w:t xml:space="preserve"> grupama.</w:t>
      </w:r>
    </w:p>
    <w:p w14:paraId="5FEFA7A2" w14:textId="77777777" w:rsidR="002E28ED" w:rsidRPr="00D759D0" w:rsidRDefault="002E28ED" w:rsidP="00063330">
      <w:pPr>
        <w:tabs>
          <w:tab w:val="left" w:pos="284"/>
        </w:tabs>
        <w:jc w:val="both"/>
        <w:rPr>
          <w:sz w:val="22"/>
          <w:szCs w:val="22"/>
          <w:lang w:val="sr-Latn-ME"/>
        </w:rPr>
      </w:pPr>
    </w:p>
    <w:p w14:paraId="698E6E41" w14:textId="77777777" w:rsidR="00063330" w:rsidRPr="00D759D0" w:rsidRDefault="00063330" w:rsidP="00063330">
      <w:pPr>
        <w:tabs>
          <w:tab w:val="left" w:pos="284"/>
        </w:tabs>
        <w:jc w:val="both"/>
        <w:rPr>
          <w:b/>
          <w:sz w:val="22"/>
          <w:szCs w:val="22"/>
          <w:lang w:val="sr-Latn-ME"/>
        </w:rPr>
      </w:pPr>
      <w:r w:rsidRPr="00D759D0">
        <w:rPr>
          <w:b/>
          <w:sz w:val="22"/>
          <w:szCs w:val="22"/>
          <w:lang w:val="sr-Latn-ME"/>
        </w:rPr>
        <w:t>Tabela 1- Poređenje srednje vrijednosti promjene IOP u odnosu na početnu vrijednost (</w:t>
      </w:r>
      <w:proofErr w:type="spellStart"/>
      <w:r w:rsidRPr="00D759D0">
        <w:rPr>
          <w:b/>
          <w:sz w:val="22"/>
          <w:szCs w:val="22"/>
          <w:lang w:val="sr-Latn-ME"/>
        </w:rPr>
        <w:t>mmHg</w:t>
      </w:r>
      <w:proofErr w:type="spellEnd"/>
      <w:r w:rsidRPr="00D759D0">
        <w:rPr>
          <w:b/>
          <w:sz w:val="22"/>
          <w:szCs w:val="22"/>
          <w:lang w:val="sr-Latn-ME"/>
        </w:rPr>
        <w:t xml:space="preserve">) u 12. nedjelji  </w:t>
      </w:r>
    </w:p>
    <w:tbl>
      <w:tblPr>
        <w:tblW w:w="0" w:type="auto"/>
        <w:jc w:val="center"/>
        <w:tblCellMar>
          <w:left w:w="0" w:type="dxa"/>
          <w:right w:w="0" w:type="dxa"/>
        </w:tblCellMar>
        <w:tblLook w:val="04A0" w:firstRow="1" w:lastRow="0" w:firstColumn="1" w:lastColumn="0" w:noHBand="0" w:noVBand="1"/>
      </w:tblPr>
      <w:tblGrid>
        <w:gridCol w:w="20"/>
        <w:gridCol w:w="765"/>
        <w:gridCol w:w="1350"/>
        <w:gridCol w:w="577"/>
        <w:gridCol w:w="873"/>
        <w:gridCol w:w="1009"/>
        <w:gridCol w:w="2278"/>
        <w:gridCol w:w="1458"/>
      </w:tblGrid>
      <w:tr w:rsidR="00063330" w:rsidRPr="00D759D0" w14:paraId="6B698C4D" w14:textId="77777777" w:rsidTr="00920BBC">
        <w:trPr>
          <w:cantSplit/>
          <w:tblHeader/>
          <w:jc w:val="center"/>
        </w:trPr>
        <w:tc>
          <w:tcPr>
            <w:tcW w:w="2712" w:type="dxa"/>
            <w:gridSpan w:val="4"/>
            <w:vAlign w:val="bottom"/>
          </w:tcPr>
          <w:p w14:paraId="1828A429" w14:textId="77777777" w:rsidR="00063330" w:rsidRPr="00D759D0" w:rsidRDefault="00063330" w:rsidP="00063330">
            <w:pPr>
              <w:tabs>
                <w:tab w:val="left" w:pos="284"/>
              </w:tabs>
              <w:autoSpaceDE w:val="0"/>
              <w:autoSpaceDN w:val="0"/>
              <w:jc w:val="both"/>
              <w:rPr>
                <w:rFonts w:eastAsia="Calibri"/>
                <w:b/>
                <w:bCs/>
                <w:sz w:val="22"/>
                <w:szCs w:val="22"/>
                <w:lang w:val="sr-Latn-ME"/>
              </w:rPr>
            </w:pPr>
            <w:r w:rsidRPr="00D759D0">
              <w:rPr>
                <w:b/>
                <w:bCs/>
                <w:sz w:val="22"/>
                <w:szCs w:val="22"/>
                <w:lang w:val="sr-Latn-ME"/>
              </w:rPr>
              <w:lastRenderedPageBreak/>
              <w:t xml:space="preserve">                </w:t>
            </w:r>
            <w:proofErr w:type="spellStart"/>
            <w:r w:rsidRPr="00D759D0">
              <w:rPr>
                <w:b/>
                <w:bCs/>
                <w:sz w:val="22"/>
                <w:szCs w:val="22"/>
                <w:lang w:val="sr-Latn-ME"/>
              </w:rPr>
              <w:t>Travoprost</w:t>
            </w:r>
            <w:proofErr w:type="spellEnd"/>
          </w:p>
        </w:tc>
        <w:tc>
          <w:tcPr>
            <w:tcW w:w="1747" w:type="dxa"/>
            <w:gridSpan w:val="2"/>
            <w:vAlign w:val="bottom"/>
            <w:hideMark/>
          </w:tcPr>
          <w:p w14:paraId="6A2E65A0" w14:textId="77777777" w:rsidR="00063330" w:rsidRPr="00D759D0" w:rsidRDefault="00063330" w:rsidP="00063330">
            <w:pPr>
              <w:tabs>
                <w:tab w:val="left" w:pos="284"/>
              </w:tabs>
              <w:autoSpaceDE w:val="0"/>
              <w:autoSpaceDN w:val="0"/>
              <w:jc w:val="center"/>
              <w:rPr>
                <w:rFonts w:eastAsia="Calibri"/>
                <w:b/>
                <w:bCs/>
                <w:sz w:val="22"/>
                <w:szCs w:val="22"/>
                <w:lang w:val="sr-Latn-ME"/>
              </w:rPr>
            </w:pPr>
            <w:r w:rsidRPr="00D759D0">
              <w:rPr>
                <w:b/>
                <w:bCs/>
                <w:sz w:val="22"/>
                <w:szCs w:val="22"/>
                <w:lang w:val="sr-Latn-ME"/>
              </w:rPr>
              <w:t xml:space="preserve">               </w:t>
            </w:r>
            <w:proofErr w:type="spellStart"/>
            <w:r w:rsidRPr="00D759D0">
              <w:rPr>
                <w:b/>
                <w:bCs/>
                <w:sz w:val="22"/>
                <w:szCs w:val="22"/>
                <w:lang w:val="sr-Latn-ME"/>
              </w:rPr>
              <w:t>Timolol</w:t>
            </w:r>
            <w:proofErr w:type="spellEnd"/>
            <w:r w:rsidRPr="00D759D0">
              <w:rPr>
                <w:b/>
                <w:bCs/>
                <w:sz w:val="22"/>
                <w:szCs w:val="22"/>
                <w:lang w:val="sr-Latn-ME"/>
              </w:rPr>
              <w:t> </w:t>
            </w:r>
          </w:p>
        </w:tc>
        <w:tc>
          <w:tcPr>
            <w:tcW w:w="3736" w:type="dxa"/>
            <w:gridSpan w:val="2"/>
            <w:vAlign w:val="bottom"/>
          </w:tcPr>
          <w:p w14:paraId="10FD95D3" w14:textId="77777777" w:rsidR="00063330" w:rsidRPr="00D759D0" w:rsidRDefault="00063330" w:rsidP="00063330">
            <w:pPr>
              <w:tabs>
                <w:tab w:val="left" w:pos="284"/>
              </w:tabs>
              <w:autoSpaceDE w:val="0"/>
              <w:autoSpaceDN w:val="0"/>
              <w:jc w:val="center"/>
              <w:rPr>
                <w:rFonts w:eastAsia="Calibri"/>
                <w:b/>
                <w:bCs/>
                <w:sz w:val="22"/>
                <w:szCs w:val="22"/>
                <w:lang w:val="sr-Latn-ME"/>
              </w:rPr>
            </w:pPr>
          </w:p>
        </w:tc>
      </w:tr>
      <w:tr w:rsidR="00063330" w:rsidRPr="00D759D0" w14:paraId="6A13006D" w14:textId="77777777" w:rsidTr="00920BBC">
        <w:trPr>
          <w:cantSplit/>
          <w:tblHeader/>
          <w:jc w:val="center"/>
        </w:trPr>
        <w:tc>
          <w:tcPr>
            <w:tcW w:w="20" w:type="dxa"/>
            <w:tcBorders>
              <w:top w:val="nil"/>
              <w:left w:val="nil"/>
              <w:bottom w:val="single" w:sz="8" w:space="0" w:color="000000"/>
              <w:right w:val="nil"/>
            </w:tcBorders>
            <w:vAlign w:val="bottom"/>
          </w:tcPr>
          <w:p w14:paraId="4B385F35" w14:textId="77777777" w:rsidR="00063330" w:rsidRPr="00D759D0" w:rsidRDefault="00063330" w:rsidP="00063330">
            <w:pPr>
              <w:tabs>
                <w:tab w:val="left" w:pos="284"/>
              </w:tabs>
              <w:autoSpaceDE w:val="0"/>
              <w:autoSpaceDN w:val="0"/>
              <w:jc w:val="both"/>
              <w:rPr>
                <w:rFonts w:eastAsia="Calibri"/>
                <w:b/>
                <w:bCs/>
                <w:sz w:val="22"/>
                <w:szCs w:val="22"/>
                <w:lang w:val="sr-Latn-ME"/>
              </w:rPr>
            </w:pPr>
          </w:p>
        </w:tc>
        <w:tc>
          <w:tcPr>
            <w:tcW w:w="765" w:type="dxa"/>
            <w:tcBorders>
              <w:top w:val="nil"/>
              <w:left w:val="nil"/>
              <w:bottom w:val="single" w:sz="8" w:space="0" w:color="000000"/>
              <w:right w:val="nil"/>
            </w:tcBorders>
            <w:vAlign w:val="bottom"/>
            <w:hideMark/>
          </w:tcPr>
          <w:p w14:paraId="4CA94A32" w14:textId="77777777" w:rsidR="00063330" w:rsidRPr="00D759D0" w:rsidRDefault="00063330" w:rsidP="00063330">
            <w:pPr>
              <w:tabs>
                <w:tab w:val="left" w:pos="284"/>
              </w:tabs>
              <w:autoSpaceDE w:val="0"/>
              <w:autoSpaceDN w:val="0"/>
              <w:jc w:val="center"/>
              <w:rPr>
                <w:rFonts w:eastAsia="Calibri"/>
                <w:b/>
                <w:bCs/>
                <w:sz w:val="22"/>
                <w:szCs w:val="22"/>
                <w:lang w:val="sr-Latn-ME"/>
              </w:rPr>
            </w:pPr>
            <w:r w:rsidRPr="00D759D0">
              <w:rPr>
                <w:b/>
                <w:bCs/>
                <w:sz w:val="22"/>
                <w:szCs w:val="22"/>
                <w:lang w:val="sr-Latn-ME"/>
              </w:rPr>
              <w:t>N</w:t>
            </w:r>
          </w:p>
        </w:tc>
        <w:tc>
          <w:tcPr>
            <w:tcW w:w="1350" w:type="dxa"/>
            <w:tcBorders>
              <w:top w:val="nil"/>
              <w:left w:val="nil"/>
              <w:bottom w:val="single" w:sz="8" w:space="0" w:color="000000"/>
              <w:right w:val="nil"/>
            </w:tcBorders>
            <w:vAlign w:val="bottom"/>
            <w:hideMark/>
          </w:tcPr>
          <w:p w14:paraId="1590471E" w14:textId="77777777" w:rsidR="00063330" w:rsidRPr="00D759D0" w:rsidRDefault="00063330" w:rsidP="00063330">
            <w:pPr>
              <w:tabs>
                <w:tab w:val="left" w:pos="284"/>
              </w:tabs>
              <w:autoSpaceDE w:val="0"/>
              <w:autoSpaceDN w:val="0"/>
              <w:jc w:val="center"/>
              <w:rPr>
                <w:rFonts w:eastAsia="Calibri"/>
                <w:b/>
                <w:bCs/>
                <w:sz w:val="22"/>
                <w:szCs w:val="22"/>
                <w:lang w:val="sr-Latn-ME"/>
              </w:rPr>
            </w:pPr>
            <w:r w:rsidRPr="00D759D0">
              <w:rPr>
                <w:b/>
                <w:bCs/>
                <w:sz w:val="22"/>
                <w:szCs w:val="22"/>
                <w:lang w:val="sr-Latn-ME"/>
              </w:rPr>
              <w:t>Srednja vrijednost </w:t>
            </w:r>
            <w:r w:rsidRPr="00D759D0">
              <w:rPr>
                <w:b/>
                <w:bCs/>
                <w:sz w:val="22"/>
                <w:szCs w:val="22"/>
                <w:lang w:val="sr-Latn-ME"/>
              </w:rPr>
              <w:br/>
              <w:t>(SD)</w:t>
            </w:r>
          </w:p>
        </w:tc>
        <w:tc>
          <w:tcPr>
            <w:tcW w:w="1450" w:type="dxa"/>
            <w:gridSpan w:val="2"/>
            <w:tcBorders>
              <w:top w:val="nil"/>
              <w:left w:val="nil"/>
              <w:bottom w:val="single" w:sz="8" w:space="0" w:color="000000"/>
              <w:right w:val="nil"/>
            </w:tcBorders>
            <w:vAlign w:val="bottom"/>
            <w:hideMark/>
          </w:tcPr>
          <w:p w14:paraId="5B051367" w14:textId="77777777" w:rsidR="00063330" w:rsidRPr="00D759D0" w:rsidRDefault="00063330" w:rsidP="00063330">
            <w:pPr>
              <w:tabs>
                <w:tab w:val="left" w:pos="284"/>
              </w:tabs>
              <w:autoSpaceDE w:val="0"/>
              <w:autoSpaceDN w:val="0"/>
              <w:jc w:val="center"/>
              <w:rPr>
                <w:rFonts w:eastAsia="Calibri"/>
                <w:b/>
                <w:bCs/>
                <w:sz w:val="22"/>
                <w:szCs w:val="22"/>
                <w:lang w:val="sr-Latn-ME"/>
              </w:rPr>
            </w:pPr>
            <w:r w:rsidRPr="00D759D0">
              <w:rPr>
                <w:b/>
                <w:bCs/>
                <w:sz w:val="22"/>
                <w:szCs w:val="22"/>
                <w:lang w:val="sr-Latn-ME"/>
              </w:rPr>
              <w:t>N</w:t>
            </w:r>
          </w:p>
        </w:tc>
        <w:tc>
          <w:tcPr>
            <w:tcW w:w="874" w:type="dxa"/>
            <w:tcBorders>
              <w:top w:val="nil"/>
              <w:left w:val="nil"/>
              <w:bottom w:val="single" w:sz="8" w:space="0" w:color="000000"/>
              <w:right w:val="nil"/>
            </w:tcBorders>
            <w:vAlign w:val="bottom"/>
            <w:hideMark/>
          </w:tcPr>
          <w:p w14:paraId="6CC63786" w14:textId="77777777" w:rsidR="00063330" w:rsidRPr="00D759D0" w:rsidRDefault="00063330" w:rsidP="00063330">
            <w:pPr>
              <w:tabs>
                <w:tab w:val="left" w:pos="284"/>
              </w:tabs>
              <w:autoSpaceDE w:val="0"/>
              <w:autoSpaceDN w:val="0"/>
              <w:jc w:val="center"/>
              <w:rPr>
                <w:rFonts w:eastAsia="Calibri"/>
                <w:b/>
                <w:bCs/>
                <w:sz w:val="22"/>
                <w:szCs w:val="22"/>
                <w:lang w:val="sr-Latn-ME"/>
              </w:rPr>
            </w:pPr>
            <w:r w:rsidRPr="00D759D0">
              <w:rPr>
                <w:b/>
                <w:bCs/>
                <w:sz w:val="22"/>
                <w:szCs w:val="22"/>
                <w:lang w:val="sr-Latn-ME"/>
              </w:rPr>
              <w:t>Srednja vrijednost </w:t>
            </w:r>
            <w:r w:rsidRPr="00D759D0">
              <w:rPr>
                <w:b/>
                <w:bCs/>
                <w:sz w:val="22"/>
                <w:szCs w:val="22"/>
                <w:lang w:val="sr-Latn-ME"/>
              </w:rPr>
              <w:br/>
              <w:t>(SD)</w:t>
            </w:r>
          </w:p>
        </w:tc>
        <w:tc>
          <w:tcPr>
            <w:tcW w:w="2278" w:type="dxa"/>
            <w:tcBorders>
              <w:top w:val="nil"/>
              <w:left w:val="nil"/>
              <w:bottom w:val="single" w:sz="8" w:space="0" w:color="000000"/>
              <w:right w:val="nil"/>
            </w:tcBorders>
            <w:vAlign w:val="bottom"/>
            <w:hideMark/>
          </w:tcPr>
          <w:p w14:paraId="0B4CF91B" w14:textId="77777777" w:rsidR="00063330" w:rsidRPr="00D759D0" w:rsidRDefault="00063330" w:rsidP="00063330">
            <w:pPr>
              <w:tabs>
                <w:tab w:val="left" w:pos="284"/>
              </w:tabs>
              <w:autoSpaceDE w:val="0"/>
              <w:autoSpaceDN w:val="0"/>
              <w:jc w:val="center"/>
              <w:rPr>
                <w:rFonts w:eastAsia="Calibri"/>
                <w:b/>
                <w:bCs/>
                <w:sz w:val="22"/>
                <w:szCs w:val="22"/>
                <w:lang w:val="sr-Latn-ME"/>
              </w:rPr>
            </w:pPr>
            <w:r w:rsidRPr="00D759D0">
              <w:rPr>
                <w:b/>
                <w:bCs/>
                <w:sz w:val="22"/>
                <w:szCs w:val="22"/>
                <w:lang w:val="sr-Latn-ME"/>
              </w:rPr>
              <w:t xml:space="preserve">Srednja vrijednost </w:t>
            </w:r>
            <w:proofErr w:type="spellStart"/>
            <w:r w:rsidRPr="00D759D0">
              <w:rPr>
                <w:b/>
                <w:bCs/>
                <w:sz w:val="22"/>
                <w:szCs w:val="22"/>
                <w:lang w:val="sr-Latn-ME"/>
              </w:rPr>
              <w:t>razlike</w:t>
            </w:r>
            <w:r w:rsidRPr="00D759D0">
              <w:rPr>
                <w:b/>
                <w:bCs/>
                <w:sz w:val="22"/>
                <w:szCs w:val="22"/>
                <w:vertAlign w:val="superscript"/>
                <w:lang w:val="sr-Latn-ME"/>
              </w:rPr>
              <w:t>a</w:t>
            </w:r>
            <w:proofErr w:type="spellEnd"/>
          </w:p>
        </w:tc>
        <w:tc>
          <w:tcPr>
            <w:tcW w:w="1458" w:type="dxa"/>
            <w:tcBorders>
              <w:top w:val="nil"/>
              <w:left w:val="nil"/>
              <w:bottom w:val="single" w:sz="8" w:space="0" w:color="000000"/>
              <w:right w:val="nil"/>
            </w:tcBorders>
            <w:vAlign w:val="bottom"/>
            <w:hideMark/>
          </w:tcPr>
          <w:p w14:paraId="22FD4A2A" w14:textId="77777777" w:rsidR="00063330" w:rsidRPr="00D759D0" w:rsidRDefault="00063330" w:rsidP="00063330">
            <w:pPr>
              <w:tabs>
                <w:tab w:val="left" w:pos="284"/>
              </w:tabs>
              <w:autoSpaceDE w:val="0"/>
              <w:autoSpaceDN w:val="0"/>
              <w:jc w:val="center"/>
              <w:rPr>
                <w:rFonts w:eastAsia="Calibri"/>
                <w:b/>
                <w:bCs/>
                <w:sz w:val="22"/>
                <w:szCs w:val="22"/>
                <w:lang w:val="sr-Latn-ME"/>
              </w:rPr>
            </w:pPr>
            <w:r w:rsidRPr="00D759D0">
              <w:rPr>
                <w:b/>
                <w:bCs/>
                <w:sz w:val="22"/>
                <w:szCs w:val="22"/>
                <w:lang w:val="sr-Latn-ME"/>
              </w:rPr>
              <w:t>(95% CI)</w:t>
            </w:r>
          </w:p>
        </w:tc>
      </w:tr>
      <w:tr w:rsidR="00063330" w:rsidRPr="00D759D0" w14:paraId="38646F24" w14:textId="77777777" w:rsidTr="00920BBC">
        <w:trPr>
          <w:cantSplit/>
          <w:jc w:val="center"/>
        </w:trPr>
        <w:tc>
          <w:tcPr>
            <w:tcW w:w="20" w:type="dxa"/>
            <w:tcBorders>
              <w:top w:val="nil"/>
              <w:left w:val="nil"/>
              <w:bottom w:val="double" w:sz="4" w:space="0" w:color="auto"/>
              <w:right w:val="nil"/>
            </w:tcBorders>
          </w:tcPr>
          <w:p w14:paraId="76044743" w14:textId="77777777" w:rsidR="00063330" w:rsidRPr="00D759D0" w:rsidRDefault="00063330" w:rsidP="00063330">
            <w:pPr>
              <w:tabs>
                <w:tab w:val="left" w:pos="284"/>
              </w:tabs>
              <w:autoSpaceDE w:val="0"/>
              <w:autoSpaceDN w:val="0"/>
              <w:jc w:val="both"/>
              <w:rPr>
                <w:rFonts w:eastAsia="Calibri"/>
                <w:b/>
                <w:bCs/>
                <w:sz w:val="22"/>
                <w:szCs w:val="22"/>
                <w:lang w:val="sr-Latn-ME"/>
              </w:rPr>
            </w:pPr>
          </w:p>
        </w:tc>
        <w:tc>
          <w:tcPr>
            <w:tcW w:w="765" w:type="dxa"/>
            <w:tcBorders>
              <w:top w:val="nil"/>
              <w:left w:val="nil"/>
              <w:bottom w:val="double" w:sz="4" w:space="0" w:color="auto"/>
              <w:right w:val="nil"/>
            </w:tcBorders>
            <w:hideMark/>
          </w:tcPr>
          <w:p w14:paraId="1D2EC43C" w14:textId="77777777" w:rsidR="00063330" w:rsidRPr="00D759D0" w:rsidRDefault="00063330" w:rsidP="00063330">
            <w:pPr>
              <w:tabs>
                <w:tab w:val="left" w:pos="284"/>
              </w:tabs>
              <w:autoSpaceDE w:val="0"/>
              <w:autoSpaceDN w:val="0"/>
              <w:jc w:val="center"/>
              <w:rPr>
                <w:rFonts w:eastAsia="Calibri"/>
                <w:sz w:val="22"/>
                <w:szCs w:val="22"/>
                <w:lang w:val="sr-Latn-ME"/>
              </w:rPr>
            </w:pPr>
            <w:r w:rsidRPr="00D759D0">
              <w:rPr>
                <w:sz w:val="22"/>
                <w:szCs w:val="22"/>
                <w:lang w:val="sr-Latn-ME"/>
              </w:rPr>
              <w:t>53</w:t>
            </w:r>
          </w:p>
        </w:tc>
        <w:tc>
          <w:tcPr>
            <w:tcW w:w="1350" w:type="dxa"/>
            <w:tcBorders>
              <w:top w:val="nil"/>
              <w:left w:val="nil"/>
              <w:bottom w:val="double" w:sz="4" w:space="0" w:color="auto"/>
              <w:right w:val="nil"/>
            </w:tcBorders>
            <w:hideMark/>
          </w:tcPr>
          <w:p w14:paraId="262B050B" w14:textId="77777777" w:rsidR="00063330" w:rsidRPr="00D759D0" w:rsidRDefault="00063330" w:rsidP="00063330">
            <w:pPr>
              <w:tabs>
                <w:tab w:val="left" w:pos="284"/>
              </w:tabs>
              <w:autoSpaceDE w:val="0"/>
              <w:autoSpaceDN w:val="0"/>
              <w:jc w:val="center"/>
              <w:rPr>
                <w:rFonts w:eastAsia="Calibri"/>
                <w:sz w:val="22"/>
                <w:szCs w:val="22"/>
                <w:lang w:val="sr-Latn-ME"/>
              </w:rPr>
            </w:pPr>
            <w:r w:rsidRPr="00D759D0">
              <w:rPr>
                <w:sz w:val="22"/>
                <w:szCs w:val="22"/>
                <w:lang w:val="sr-Latn-ME"/>
              </w:rPr>
              <w:t xml:space="preserve">-6.4  </w:t>
            </w:r>
            <w:r w:rsidRPr="00D759D0">
              <w:rPr>
                <w:sz w:val="22"/>
                <w:szCs w:val="22"/>
                <w:lang w:val="sr-Latn-ME"/>
              </w:rPr>
              <w:br/>
              <w:t>(1.05)</w:t>
            </w:r>
          </w:p>
        </w:tc>
        <w:tc>
          <w:tcPr>
            <w:tcW w:w="1450" w:type="dxa"/>
            <w:gridSpan w:val="2"/>
            <w:tcBorders>
              <w:top w:val="nil"/>
              <w:left w:val="nil"/>
              <w:bottom w:val="double" w:sz="4" w:space="0" w:color="auto"/>
              <w:right w:val="nil"/>
            </w:tcBorders>
            <w:hideMark/>
          </w:tcPr>
          <w:p w14:paraId="5B6D4944" w14:textId="77777777" w:rsidR="00063330" w:rsidRPr="00D759D0" w:rsidRDefault="00063330" w:rsidP="00063330">
            <w:pPr>
              <w:tabs>
                <w:tab w:val="left" w:pos="284"/>
              </w:tabs>
              <w:autoSpaceDE w:val="0"/>
              <w:autoSpaceDN w:val="0"/>
              <w:jc w:val="center"/>
              <w:rPr>
                <w:rFonts w:eastAsia="Calibri"/>
                <w:sz w:val="22"/>
                <w:szCs w:val="22"/>
                <w:lang w:val="sr-Latn-ME"/>
              </w:rPr>
            </w:pPr>
            <w:r w:rsidRPr="00D759D0">
              <w:rPr>
                <w:sz w:val="22"/>
                <w:szCs w:val="22"/>
                <w:lang w:val="sr-Latn-ME"/>
              </w:rPr>
              <w:t>60</w:t>
            </w:r>
          </w:p>
        </w:tc>
        <w:tc>
          <w:tcPr>
            <w:tcW w:w="874" w:type="dxa"/>
            <w:tcBorders>
              <w:top w:val="nil"/>
              <w:left w:val="nil"/>
              <w:bottom w:val="double" w:sz="4" w:space="0" w:color="auto"/>
              <w:right w:val="nil"/>
            </w:tcBorders>
            <w:hideMark/>
          </w:tcPr>
          <w:p w14:paraId="0AA0A07B" w14:textId="77777777" w:rsidR="00063330" w:rsidRPr="00D759D0" w:rsidRDefault="00063330" w:rsidP="00063330">
            <w:pPr>
              <w:tabs>
                <w:tab w:val="left" w:pos="284"/>
              </w:tabs>
              <w:autoSpaceDE w:val="0"/>
              <w:autoSpaceDN w:val="0"/>
              <w:jc w:val="center"/>
              <w:rPr>
                <w:rFonts w:eastAsia="Calibri"/>
                <w:sz w:val="22"/>
                <w:szCs w:val="22"/>
                <w:lang w:val="sr-Latn-ME"/>
              </w:rPr>
            </w:pPr>
            <w:r w:rsidRPr="00D759D0">
              <w:rPr>
                <w:sz w:val="22"/>
                <w:szCs w:val="22"/>
                <w:lang w:val="sr-Latn-ME"/>
              </w:rPr>
              <w:t xml:space="preserve">-5.8  </w:t>
            </w:r>
            <w:r w:rsidRPr="00D759D0">
              <w:rPr>
                <w:sz w:val="22"/>
                <w:szCs w:val="22"/>
                <w:lang w:val="sr-Latn-ME"/>
              </w:rPr>
              <w:br/>
              <w:t>(0.96)</w:t>
            </w:r>
          </w:p>
        </w:tc>
        <w:tc>
          <w:tcPr>
            <w:tcW w:w="2278" w:type="dxa"/>
            <w:tcBorders>
              <w:top w:val="nil"/>
              <w:left w:val="nil"/>
              <w:bottom w:val="double" w:sz="4" w:space="0" w:color="auto"/>
              <w:right w:val="nil"/>
            </w:tcBorders>
            <w:hideMark/>
          </w:tcPr>
          <w:p w14:paraId="4F393BF1" w14:textId="77777777" w:rsidR="00063330" w:rsidRPr="00D759D0" w:rsidRDefault="00063330" w:rsidP="00063330">
            <w:pPr>
              <w:tabs>
                <w:tab w:val="left" w:pos="284"/>
              </w:tabs>
              <w:autoSpaceDE w:val="0"/>
              <w:autoSpaceDN w:val="0"/>
              <w:jc w:val="center"/>
              <w:rPr>
                <w:rFonts w:eastAsia="Calibri"/>
                <w:sz w:val="22"/>
                <w:szCs w:val="22"/>
                <w:lang w:val="sr-Latn-ME"/>
              </w:rPr>
            </w:pPr>
            <w:r w:rsidRPr="00D759D0">
              <w:rPr>
                <w:sz w:val="22"/>
                <w:szCs w:val="22"/>
                <w:lang w:val="sr-Latn-ME"/>
              </w:rPr>
              <w:t>-0.5</w:t>
            </w:r>
          </w:p>
        </w:tc>
        <w:tc>
          <w:tcPr>
            <w:tcW w:w="1458" w:type="dxa"/>
            <w:tcBorders>
              <w:top w:val="nil"/>
              <w:left w:val="nil"/>
              <w:bottom w:val="double" w:sz="4" w:space="0" w:color="auto"/>
              <w:right w:val="nil"/>
            </w:tcBorders>
            <w:hideMark/>
          </w:tcPr>
          <w:p w14:paraId="61BD5B4C" w14:textId="77777777" w:rsidR="00063330" w:rsidRPr="00D759D0" w:rsidRDefault="00063330" w:rsidP="00063330">
            <w:pPr>
              <w:tabs>
                <w:tab w:val="left" w:pos="284"/>
              </w:tabs>
              <w:autoSpaceDE w:val="0"/>
              <w:autoSpaceDN w:val="0"/>
              <w:jc w:val="center"/>
              <w:rPr>
                <w:rFonts w:eastAsia="Calibri"/>
                <w:sz w:val="22"/>
                <w:szCs w:val="22"/>
                <w:lang w:val="sr-Latn-ME"/>
              </w:rPr>
            </w:pPr>
            <w:r w:rsidRPr="00D759D0">
              <w:rPr>
                <w:sz w:val="22"/>
                <w:szCs w:val="22"/>
                <w:lang w:val="sr-Latn-ME"/>
              </w:rPr>
              <w:t>(-2.1, 1.0)</w:t>
            </w:r>
          </w:p>
        </w:tc>
      </w:tr>
      <w:tr w:rsidR="00063330" w:rsidRPr="00D759D0" w14:paraId="29AA9FBB" w14:textId="77777777" w:rsidTr="00920BBC">
        <w:trPr>
          <w:cantSplit/>
          <w:jc w:val="center"/>
        </w:trPr>
        <w:tc>
          <w:tcPr>
            <w:tcW w:w="8195" w:type="dxa"/>
            <w:gridSpan w:val="8"/>
            <w:hideMark/>
          </w:tcPr>
          <w:p w14:paraId="00088D93" w14:textId="77777777" w:rsidR="00063330" w:rsidRPr="00D759D0" w:rsidRDefault="00063330" w:rsidP="00063330">
            <w:pPr>
              <w:tabs>
                <w:tab w:val="left" w:pos="284"/>
              </w:tabs>
              <w:autoSpaceDE w:val="0"/>
              <w:autoSpaceDN w:val="0"/>
              <w:jc w:val="both"/>
              <w:rPr>
                <w:rFonts w:eastAsia="Calibri"/>
                <w:sz w:val="22"/>
                <w:szCs w:val="22"/>
                <w:lang w:val="sr-Latn-ME"/>
              </w:rPr>
            </w:pPr>
            <w:r w:rsidRPr="00D759D0">
              <w:rPr>
                <w:sz w:val="22"/>
                <w:szCs w:val="22"/>
                <w:lang w:val="sr-Latn-ME"/>
              </w:rPr>
              <w:t>SD = Standardna devijacija; CI = interval pouzdanosti; </w:t>
            </w:r>
          </w:p>
          <w:p w14:paraId="632BFD8B" w14:textId="77777777" w:rsidR="00063330" w:rsidRPr="00D759D0" w:rsidRDefault="00063330" w:rsidP="00063330">
            <w:pPr>
              <w:tabs>
                <w:tab w:val="left" w:pos="284"/>
              </w:tabs>
              <w:autoSpaceDE w:val="0"/>
              <w:autoSpaceDN w:val="0"/>
              <w:jc w:val="both"/>
              <w:rPr>
                <w:rFonts w:eastAsia="Calibri"/>
                <w:sz w:val="22"/>
                <w:szCs w:val="22"/>
                <w:lang w:val="sr-Latn-ME"/>
              </w:rPr>
            </w:pPr>
            <w:proofErr w:type="spellStart"/>
            <w:r w:rsidRPr="00D759D0">
              <w:rPr>
                <w:sz w:val="22"/>
                <w:szCs w:val="22"/>
                <w:vertAlign w:val="superscript"/>
                <w:lang w:val="sr-Latn-ME"/>
              </w:rPr>
              <w:t>a</w:t>
            </w:r>
            <w:r w:rsidRPr="00D759D0">
              <w:rPr>
                <w:sz w:val="22"/>
                <w:szCs w:val="22"/>
                <w:lang w:val="sr-Latn-ME"/>
              </w:rPr>
              <w:t>Srednja</w:t>
            </w:r>
            <w:proofErr w:type="spellEnd"/>
            <w:r w:rsidRPr="00D759D0">
              <w:rPr>
                <w:sz w:val="22"/>
                <w:szCs w:val="22"/>
                <w:lang w:val="sr-Latn-ME"/>
              </w:rPr>
              <w:t xml:space="preserve"> vrijednost razlike je </w:t>
            </w:r>
            <w:proofErr w:type="spellStart"/>
            <w:r w:rsidRPr="00D759D0">
              <w:rPr>
                <w:sz w:val="22"/>
                <w:szCs w:val="22"/>
                <w:lang w:val="sr-Latn-ME"/>
              </w:rPr>
              <w:t>travoprost</w:t>
            </w:r>
            <w:proofErr w:type="spellEnd"/>
            <w:r w:rsidRPr="00D759D0">
              <w:rPr>
                <w:sz w:val="22"/>
                <w:szCs w:val="22"/>
                <w:lang w:val="sr-Latn-ME"/>
              </w:rPr>
              <w:t xml:space="preserve"> – </w:t>
            </w:r>
            <w:proofErr w:type="spellStart"/>
            <w:r w:rsidRPr="00D759D0">
              <w:rPr>
                <w:sz w:val="22"/>
                <w:szCs w:val="22"/>
                <w:lang w:val="sr-Latn-ME"/>
              </w:rPr>
              <w:t>timolol</w:t>
            </w:r>
            <w:proofErr w:type="spellEnd"/>
            <w:r w:rsidRPr="00D759D0">
              <w:rPr>
                <w:sz w:val="22"/>
                <w:szCs w:val="22"/>
                <w:lang w:val="sr-Latn-ME"/>
              </w:rPr>
              <w:t xml:space="preserve">. Procjene su zasnovane na srednjim vrijednostima po metodi najmanjih kvadrata, izvedene iz statističkog modela koji uzima u obzir korelaciju mjerenja IOP za pojedinačnog pacijenta, pri čemu su u model unesene primarna dijagnoza i početna vrijednost IOP. </w:t>
            </w:r>
          </w:p>
        </w:tc>
      </w:tr>
    </w:tbl>
    <w:p w14:paraId="739AD7C7" w14:textId="77777777" w:rsidR="002E37A5" w:rsidRPr="00D759D0" w:rsidRDefault="002E37A5" w:rsidP="00480FB1">
      <w:pPr>
        <w:tabs>
          <w:tab w:val="left" w:pos="540"/>
          <w:tab w:val="left" w:pos="569"/>
        </w:tabs>
        <w:rPr>
          <w:b/>
          <w:bCs/>
          <w:sz w:val="22"/>
          <w:szCs w:val="22"/>
          <w:lang w:val="sr-Latn-ME"/>
        </w:rPr>
      </w:pPr>
    </w:p>
    <w:p w14:paraId="739AD7C8" w14:textId="77777777" w:rsidR="0072020E" w:rsidRPr="00D759D0" w:rsidRDefault="0072020E" w:rsidP="00480FB1">
      <w:pPr>
        <w:tabs>
          <w:tab w:val="left" w:pos="540"/>
          <w:tab w:val="left" w:pos="569"/>
        </w:tabs>
        <w:rPr>
          <w:b/>
          <w:bCs/>
          <w:sz w:val="22"/>
          <w:szCs w:val="22"/>
          <w:lang w:val="sr-Latn-ME"/>
        </w:rPr>
      </w:pPr>
      <w:r w:rsidRPr="00D759D0">
        <w:rPr>
          <w:b/>
          <w:bCs/>
          <w:sz w:val="22"/>
          <w:szCs w:val="22"/>
          <w:lang w:val="sr-Latn-ME"/>
        </w:rPr>
        <w:t xml:space="preserve">5.2. </w:t>
      </w:r>
      <w:r w:rsidR="00480FB1" w:rsidRPr="00D759D0">
        <w:rPr>
          <w:b/>
          <w:bCs/>
          <w:sz w:val="22"/>
          <w:szCs w:val="22"/>
          <w:lang w:val="sr-Latn-ME"/>
        </w:rPr>
        <w:tab/>
      </w:r>
      <w:proofErr w:type="spellStart"/>
      <w:r w:rsidRPr="00D759D0">
        <w:rPr>
          <w:b/>
          <w:bCs/>
          <w:sz w:val="22"/>
          <w:szCs w:val="22"/>
          <w:lang w:val="sr-Latn-ME"/>
        </w:rPr>
        <w:t>Farmakokinetički</w:t>
      </w:r>
      <w:proofErr w:type="spellEnd"/>
      <w:r w:rsidRPr="00D759D0">
        <w:rPr>
          <w:b/>
          <w:bCs/>
          <w:sz w:val="22"/>
          <w:szCs w:val="22"/>
          <w:lang w:val="sr-Latn-ME"/>
        </w:rPr>
        <w:t xml:space="preserve"> podaci</w:t>
      </w:r>
      <w:r w:rsidR="003A7059" w:rsidRPr="00D759D0">
        <w:rPr>
          <w:b/>
          <w:bCs/>
          <w:sz w:val="22"/>
          <w:szCs w:val="22"/>
          <w:lang w:val="sr-Latn-ME"/>
        </w:rPr>
        <w:t xml:space="preserve"> </w:t>
      </w:r>
    </w:p>
    <w:p w14:paraId="51F22962" w14:textId="77777777" w:rsidR="00063330" w:rsidRPr="00D759D0" w:rsidRDefault="00063330" w:rsidP="00480FB1">
      <w:pPr>
        <w:tabs>
          <w:tab w:val="left" w:pos="540"/>
          <w:tab w:val="left" w:pos="569"/>
        </w:tabs>
        <w:rPr>
          <w:b/>
          <w:bCs/>
          <w:sz w:val="22"/>
          <w:szCs w:val="22"/>
          <w:lang w:val="sr-Latn-ME"/>
        </w:rPr>
      </w:pPr>
    </w:p>
    <w:p w14:paraId="43BFA886" w14:textId="77777777" w:rsidR="00063330" w:rsidRPr="00D759D0" w:rsidRDefault="00063330" w:rsidP="00063330">
      <w:pPr>
        <w:tabs>
          <w:tab w:val="left" w:pos="284"/>
        </w:tabs>
        <w:jc w:val="both"/>
        <w:rPr>
          <w:b/>
          <w:sz w:val="22"/>
          <w:szCs w:val="22"/>
          <w:lang w:val="sr-Latn-ME"/>
        </w:rPr>
      </w:pPr>
      <w:r w:rsidRPr="00D759D0">
        <w:rPr>
          <w:sz w:val="22"/>
          <w:szCs w:val="22"/>
          <w:u w:val="single"/>
          <w:lang w:val="sr-Latn-ME"/>
        </w:rPr>
        <w:t>Resorpcija:</w:t>
      </w:r>
    </w:p>
    <w:p w14:paraId="2AB0EA88" w14:textId="15137D69" w:rsidR="00063330" w:rsidRPr="00D759D0" w:rsidRDefault="00063330" w:rsidP="00063330">
      <w:pPr>
        <w:tabs>
          <w:tab w:val="left" w:pos="284"/>
        </w:tabs>
        <w:jc w:val="both"/>
        <w:rPr>
          <w:sz w:val="22"/>
          <w:szCs w:val="22"/>
          <w:lang w:val="sr-Latn-ME"/>
        </w:rPr>
      </w:pPr>
      <w:proofErr w:type="spellStart"/>
      <w:r w:rsidRPr="00D759D0">
        <w:rPr>
          <w:sz w:val="22"/>
          <w:szCs w:val="22"/>
          <w:lang w:val="sr-Latn-ME"/>
        </w:rPr>
        <w:t>Travoprost</w:t>
      </w:r>
      <w:proofErr w:type="spellEnd"/>
      <w:r w:rsidRPr="00D759D0">
        <w:rPr>
          <w:sz w:val="22"/>
          <w:szCs w:val="22"/>
          <w:lang w:val="sr-Latn-ME"/>
        </w:rPr>
        <w:t xml:space="preserve"> je </w:t>
      </w:r>
      <w:proofErr w:type="spellStart"/>
      <w:r w:rsidRPr="00D759D0">
        <w:rPr>
          <w:sz w:val="22"/>
          <w:szCs w:val="22"/>
          <w:lang w:val="sr-Latn-ME"/>
        </w:rPr>
        <w:t>estarski</w:t>
      </w:r>
      <w:proofErr w:type="spellEnd"/>
      <w:r w:rsidRPr="00D759D0">
        <w:rPr>
          <w:sz w:val="22"/>
          <w:szCs w:val="22"/>
          <w:lang w:val="sr-Latn-ME"/>
        </w:rPr>
        <w:t xml:space="preserve"> </w:t>
      </w:r>
      <w:proofErr w:type="spellStart"/>
      <w:r w:rsidRPr="00D759D0">
        <w:rPr>
          <w:sz w:val="22"/>
          <w:szCs w:val="22"/>
          <w:lang w:val="sr-Latn-ME"/>
        </w:rPr>
        <w:t>prolijek</w:t>
      </w:r>
      <w:proofErr w:type="spellEnd"/>
      <w:r w:rsidRPr="00D759D0">
        <w:rPr>
          <w:sz w:val="22"/>
          <w:szCs w:val="22"/>
          <w:lang w:val="sr-Latn-ME"/>
        </w:rPr>
        <w:t xml:space="preserve">. Resorbuje se </w:t>
      </w:r>
      <w:proofErr w:type="spellStart"/>
      <w:r w:rsidRPr="00D759D0">
        <w:rPr>
          <w:sz w:val="22"/>
          <w:szCs w:val="22"/>
          <w:lang w:val="sr-Latn-ME"/>
        </w:rPr>
        <w:t>preko</w:t>
      </w:r>
      <w:proofErr w:type="spellEnd"/>
      <w:r w:rsidRPr="00D759D0">
        <w:rPr>
          <w:sz w:val="22"/>
          <w:szCs w:val="22"/>
          <w:lang w:val="sr-Latn-ME"/>
        </w:rPr>
        <w:t xml:space="preserve"> </w:t>
      </w:r>
      <w:proofErr w:type="spellStart"/>
      <w:r w:rsidRPr="00D759D0">
        <w:rPr>
          <w:sz w:val="22"/>
          <w:szCs w:val="22"/>
          <w:lang w:val="sr-Latn-ME"/>
        </w:rPr>
        <w:t>kornee</w:t>
      </w:r>
      <w:proofErr w:type="spellEnd"/>
      <w:r w:rsidRPr="00D759D0">
        <w:rPr>
          <w:sz w:val="22"/>
          <w:szCs w:val="22"/>
          <w:lang w:val="sr-Latn-ME"/>
        </w:rPr>
        <w:t xml:space="preserve"> gdje se </w:t>
      </w:r>
      <w:proofErr w:type="spellStart"/>
      <w:r w:rsidRPr="00D759D0">
        <w:rPr>
          <w:sz w:val="22"/>
          <w:szCs w:val="22"/>
          <w:lang w:val="sr-Latn-ME"/>
        </w:rPr>
        <w:t>izopropilski</w:t>
      </w:r>
      <w:proofErr w:type="spellEnd"/>
      <w:r w:rsidRPr="00D759D0">
        <w:rPr>
          <w:sz w:val="22"/>
          <w:szCs w:val="22"/>
          <w:lang w:val="sr-Latn-ME"/>
        </w:rPr>
        <w:t xml:space="preserve"> </w:t>
      </w:r>
      <w:proofErr w:type="spellStart"/>
      <w:r w:rsidRPr="00D759D0">
        <w:rPr>
          <w:sz w:val="22"/>
          <w:szCs w:val="22"/>
          <w:lang w:val="sr-Latn-ME"/>
        </w:rPr>
        <w:t>estar</w:t>
      </w:r>
      <w:proofErr w:type="spellEnd"/>
      <w:r w:rsidRPr="00D759D0">
        <w:rPr>
          <w:sz w:val="22"/>
          <w:szCs w:val="22"/>
          <w:lang w:val="sr-Latn-ME"/>
        </w:rPr>
        <w:t xml:space="preserve"> </w:t>
      </w:r>
      <w:proofErr w:type="spellStart"/>
      <w:r w:rsidRPr="00D759D0">
        <w:rPr>
          <w:sz w:val="22"/>
          <w:szCs w:val="22"/>
          <w:lang w:val="sr-Latn-ME"/>
        </w:rPr>
        <w:t>hidrolizuje</w:t>
      </w:r>
      <w:proofErr w:type="spellEnd"/>
      <w:r w:rsidRPr="00D759D0">
        <w:rPr>
          <w:sz w:val="22"/>
          <w:szCs w:val="22"/>
          <w:lang w:val="sr-Latn-ME"/>
        </w:rPr>
        <w:t xml:space="preserve"> do aktivne slobodne kiseline. Studije na kunićima su pokazale maksimalnu koncentraciju od 20 </w:t>
      </w:r>
      <w:proofErr w:type="spellStart"/>
      <w:r w:rsidRPr="00D759D0">
        <w:rPr>
          <w:sz w:val="22"/>
          <w:szCs w:val="22"/>
          <w:lang w:val="sr-Latn-ME"/>
        </w:rPr>
        <w:t>nanograma</w:t>
      </w:r>
      <w:proofErr w:type="spellEnd"/>
      <w:r w:rsidRPr="00D759D0">
        <w:rPr>
          <w:sz w:val="22"/>
          <w:szCs w:val="22"/>
          <w:lang w:val="sr-Latn-ME"/>
        </w:rPr>
        <w:t>/</w:t>
      </w:r>
      <w:r w:rsidR="002E28ED" w:rsidRPr="00D759D0">
        <w:rPr>
          <w:sz w:val="22"/>
          <w:szCs w:val="22"/>
          <w:lang w:val="sr-Latn-ME"/>
        </w:rPr>
        <w:t>ml</w:t>
      </w:r>
      <w:r w:rsidRPr="00D759D0">
        <w:rPr>
          <w:sz w:val="22"/>
          <w:szCs w:val="22"/>
          <w:lang w:val="sr-Latn-ME"/>
        </w:rPr>
        <w:t xml:space="preserve"> slobodne kiseline u očnoj vodici 1 do 2 sata poslije lokalne primjene lijeka TRAVATAN. Koncentracije u očnoj vodici se smanjuju i poluvrijeme eliminacije približno iznosi 1,5 sati. </w:t>
      </w:r>
    </w:p>
    <w:p w14:paraId="602232AE" w14:textId="77777777" w:rsidR="00063330" w:rsidRPr="00D759D0" w:rsidRDefault="00063330" w:rsidP="00063330">
      <w:pPr>
        <w:tabs>
          <w:tab w:val="left" w:pos="284"/>
        </w:tabs>
        <w:ind w:left="180"/>
        <w:jc w:val="both"/>
        <w:rPr>
          <w:sz w:val="22"/>
          <w:szCs w:val="22"/>
          <w:u w:val="single"/>
          <w:lang w:val="sr-Latn-ME"/>
        </w:rPr>
      </w:pPr>
    </w:p>
    <w:p w14:paraId="1AFF1DCC" w14:textId="77777777" w:rsidR="00063330" w:rsidRPr="00D759D0" w:rsidRDefault="00063330" w:rsidP="00063330">
      <w:pPr>
        <w:tabs>
          <w:tab w:val="left" w:pos="284"/>
        </w:tabs>
        <w:jc w:val="both"/>
        <w:rPr>
          <w:sz w:val="22"/>
          <w:szCs w:val="22"/>
          <w:lang w:val="sr-Latn-ME"/>
        </w:rPr>
      </w:pPr>
      <w:r w:rsidRPr="00D759D0">
        <w:rPr>
          <w:sz w:val="22"/>
          <w:szCs w:val="22"/>
          <w:u w:val="single"/>
          <w:lang w:val="sr-Latn-ME"/>
        </w:rPr>
        <w:t>Distribucija:</w:t>
      </w:r>
    </w:p>
    <w:p w14:paraId="4826D3C1" w14:textId="296E22D7" w:rsidR="00063330" w:rsidRPr="00D759D0" w:rsidRDefault="00063330" w:rsidP="00063330">
      <w:pPr>
        <w:tabs>
          <w:tab w:val="left" w:pos="284"/>
        </w:tabs>
        <w:jc w:val="both"/>
        <w:rPr>
          <w:sz w:val="22"/>
          <w:szCs w:val="22"/>
          <w:lang w:val="sr-Latn-ME"/>
        </w:rPr>
      </w:pPr>
      <w:r w:rsidRPr="00D759D0">
        <w:rPr>
          <w:sz w:val="22"/>
          <w:szCs w:val="22"/>
          <w:lang w:val="sr-Latn-ME"/>
        </w:rPr>
        <w:t xml:space="preserve">Sistemska izloženost aktivnoj slobodnoj kiselini je niska nakon </w:t>
      </w:r>
      <w:proofErr w:type="spellStart"/>
      <w:r w:rsidRPr="00D759D0">
        <w:rPr>
          <w:sz w:val="22"/>
          <w:szCs w:val="22"/>
          <w:lang w:val="sr-Latn-ME"/>
        </w:rPr>
        <w:t>okularne</w:t>
      </w:r>
      <w:proofErr w:type="spellEnd"/>
      <w:r w:rsidRPr="00D759D0">
        <w:rPr>
          <w:sz w:val="22"/>
          <w:szCs w:val="22"/>
          <w:lang w:val="sr-Latn-ME"/>
        </w:rPr>
        <w:t xml:space="preserve"> primjene lijeka TRAVATAN kod zdravih dobrovoljaca. Maksimalne koncentracije aktivne slobodne kiseline u plazmi od 25 </w:t>
      </w:r>
      <w:proofErr w:type="spellStart"/>
      <w:r w:rsidRPr="00D759D0">
        <w:rPr>
          <w:sz w:val="22"/>
          <w:szCs w:val="22"/>
          <w:lang w:val="sr-Latn-ME"/>
        </w:rPr>
        <w:t>pikograma</w:t>
      </w:r>
      <w:proofErr w:type="spellEnd"/>
      <w:r w:rsidRPr="00D759D0">
        <w:rPr>
          <w:sz w:val="22"/>
          <w:szCs w:val="22"/>
          <w:lang w:val="sr-Latn-ME"/>
        </w:rPr>
        <w:t xml:space="preserve">/ml ili manje nađene su između 10 i 30 minuta poslije primjene. Poslije toga, nivoi u plazmi se brzo smanjuju ispod limita </w:t>
      </w:r>
      <w:proofErr w:type="spellStart"/>
      <w:r w:rsidRPr="00D759D0">
        <w:rPr>
          <w:sz w:val="22"/>
          <w:szCs w:val="22"/>
          <w:lang w:val="sr-Latn-ME"/>
        </w:rPr>
        <w:t>kvantifikacije</w:t>
      </w:r>
      <w:proofErr w:type="spellEnd"/>
      <w:r w:rsidRPr="00D759D0">
        <w:rPr>
          <w:sz w:val="22"/>
          <w:szCs w:val="22"/>
          <w:lang w:val="sr-Latn-ME"/>
        </w:rPr>
        <w:t xml:space="preserve"> (kvantitativnog određivanja) od 10 </w:t>
      </w:r>
      <w:proofErr w:type="spellStart"/>
      <w:r w:rsidRPr="00D759D0">
        <w:rPr>
          <w:sz w:val="22"/>
          <w:szCs w:val="22"/>
          <w:lang w:val="sr-Latn-ME"/>
        </w:rPr>
        <w:t>pikograma</w:t>
      </w:r>
      <w:proofErr w:type="spellEnd"/>
      <w:r w:rsidRPr="00D759D0">
        <w:rPr>
          <w:sz w:val="22"/>
          <w:szCs w:val="22"/>
          <w:lang w:val="sr-Latn-ME"/>
        </w:rPr>
        <w:t xml:space="preserve">/ml i prije isteka prvog sata poslije primjene. Poluvrijeme eliminacije aktivne slobodne kiseline kod </w:t>
      </w:r>
      <w:proofErr w:type="spellStart"/>
      <w:r w:rsidRPr="00D759D0">
        <w:rPr>
          <w:sz w:val="22"/>
          <w:szCs w:val="22"/>
          <w:lang w:val="sr-Latn-ME"/>
        </w:rPr>
        <w:t>ljudi</w:t>
      </w:r>
      <w:proofErr w:type="spellEnd"/>
      <w:r w:rsidRPr="00D759D0">
        <w:rPr>
          <w:sz w:val="22"/>
          <w:szCs w:val="22"/>
          <w:lang w:val="sr-Latn-ME"/>
        </w:rPr>
        <w:t xml:space="preserve"> nije mogao da se odredi zbog niskih koncentracija u plazmi i brze eliminacije poslije </w:t>
      </w:r>
      <w:proofErr w:type="spellStart"/>
      <w:r w:rsidRPr="00D759D0">
        <w:rPr>
          <w:sz w:val="22"/>
          <w:szCs w:val="22"/>
          <w:lang w:val="sr-Latn-ME"/>
        </w:rPr>
        <w:t>okularne</w:t>
      </w:r>
      <w:proofErr w:type="spellEnd"/>
      <w:r w:rsidRPr="00D759D0">
        <w:rPr>
          <w:sz w:val="22"/>
          <w:szCs w:val="22"/>
          <w:lang w:val="sr-Latn-ME"/>
        </w:rPr>
        <w:t xml:space="preserve"> primjene.</w:t>
      </w:r>
    </w:p>
    <w:p w14:paraId="1496793E" w14:textId="77777777" w:rsidR="00063330" w:rsidRPr="00D759D0" w:rsidRDefault="00063330" w:rsidP="00063330">
      <w:pPr>
        <w:tabs>
          <w:tab w:val="left" w:pos="284"/>
        </w:tabs>
        <w:ind w:left="180"/>
        <w:jc w:val="both"/>
        <w:rPr>
          <w:sz w:val="22"/>
          <w:szCs w:val="22"/>
          <w:lang w:val="sr-Latn-ME"/>
        </w:rPr>
      </w:pPr>
    </w:p>
    <w:p w14:paraId="6BB6091A" w14:textId="77777777" w:rsidR="00063330" w:rsidRPr="00D759D0" w:rsidRDefault="00063330" w:rsidP="00063330">
      <w:pPr>
        <w:tabs>
          <w:tab w:val="left" w:pos="284"/>
        </w:tabs>
        <w:jc w:val="both"/>
        <w:rPr>
          <w:sz w:val="22"/>
          <w:szCs w:val="22"/>
          <w:u w:val="single"/>
          <w:lang w:val="sr-Latn-ME"/>
        </w:rPr>
      </w:pPr>
      <w:proofErr w:type="spellStart"/>
      <w:r w:rsidRPr="00D759D0">
        <w:rPr>
          <w:sz w:val="22"/>
          <w:szCs w:val="22"/>
          <w:u w:val="single"/>
          <w:lang w:val="sr-Latn-ME"/>
        </w:rPr>
        <w:t>Biotransformacija</w:t>
      </w:r>
      <w:proofErr w:type="spellEnd"/>
      <w:r w:rsidRPr="00D759D0">
        <w:rPr>
          <w:sz w:val="22"/>
          <w:szCs w:val="22"/>
          <w:u w:val="single"/>
          <w:lang w:val="sr-Latn-ME"/>
        </w:rPr>
        <w:t xml:space="preserve"> </w:t>
      </w:r>
    </w:p>
    <w:p w14:paraId="41881285" w14:textId="77777777" w:rsidR="00063330" w:rsidRPr="00D759D0" w:rsidRDefault="00063330" w:rsidP="00063330">
      <w:pPr>
        <w:tabs>
          <w:tab w:val="left" w:pos="284"/>
        </w:tabs>
        <w:jc w:val="both"/>
        <w:rPr>
          <w:sz w:val="22"/>
          <w:szCs w:val="22"/>
          <w:lang w:val="sr-Latn-ME"/>
        </w:rPr>
      </w:pPr>
      <w:r w:rsidRPr="00D759D0">
        <w:rPr>
          <w:sz w:val="22"/>
          <w:szCs w:val="22"/>
          <w:lang w:val="sr-Latn-ME"/>
        </w:rPr>
        <w:t xml:space="preserve">Metabolizam je glavni put eliminacije i </w:t>
      </w:r>
      <w:proofErr w:type="spellStart"/>
      <w:r w:rsidRPr="00D759D0">
        <w:rPr>
          <w:sz w:val="22"/>
          <w:szCs w:val="22"/>
          <w:lang w:val="sr-Latn-ME"/>
        </w:rPr>
        <w:t>travoprosta</w:t>
      </w:r>
      <w:proofErr w:type="spellEnd"/>
      <w:r w:rsidRPr="00D759D0">
        <w:rPr>
          <w:sz w:val="22"/>
          <w:szCs w:val="22"/>
          <w:lang w:val="sr-Latn-ME"/>
        </w:rPr>
        <w:t xml:space="preserve"> i aktivne slobodne kiseline. Sistemski </w:t>
      </w:r>
      <w:proofErr w:type="spellStart"/>
      <w:r w:rsidRPr="00D759D0">
        <w:rPr>
          <w:sz w:val="22"/>
          <w:szCs w:val="22"/>
          <w:lang w:val="sr-Latn-ME"/>
        </w:rPr>
        <w:t>metabolički</w:t>
      </w:r>
      <w:proofErr w:type="spellEnd"/>
      <w:r w:rsidRPr="00D759D0">
        <w:rPr>
          <w:sz w:val="22"/>
          <w:szCs w:val="22"/>
          <w:lang w:val="sr-Latn-ME"/>
        </w:rPr>
        <w:t xml:space="preserve"> putevi oponašaju </w:t>
      </w:r>
      <w:proofErr w:type="spellStart"/>
      <w:r w:rsidRPr="00D759D0">
        <w:rPr>
          <w:sz w:val="22"/>
          <w:szCs w:val="22"/>
          <w:lang w:val="sr-Latn-ME"/>
        </w:rPr>
        <w:t>metaboličke</w:t>
      </w:r>
      <w:proofErr w:type="spellEnd"/>
      <w:r w:rsidRPr="00D759D0">
        <w:rPr>
          <w:sz w:val="22"/>
          <w:szCs w:val="22"/>
          <w:lang w:val="sr-Latn-ME"/>
        </w:rPr>
        <w:t xml:space="preserve"> puteve endogenog </w:t>
      </w:r>
      <w:proofErr w:type="spellStart"/>
      <w:r w:rsidRPr="00D759D0">
        <w:rPr>
          <w:sz w:val="22"/>
          <w:szCs w:val="22"/>
          <w:lang w:val="sr-Latn-ME"/>
        </w:rPr>
        <w:t>prostaglandina</w:t>
      </w:r>
      <w:proofErr w:type="spellEnd"/>
      <w:r w:rsidRPr="00D759D0">
        <w:rPr>
          <w:sz w:val="22"/>
          <w:szCs w:val="22"/>
          <w:lang w:val="sr-Latn-ME"/>
        </w:rPr>
        <w:t xml:space="preserve"> F</w:t>
      </w:r>
      <w:r w:rsidRPr="00D759D0">
        <w:rPr>
          <w:sz w:val="22"/>
          <w:szCs w:val="22"/>
          <w:vertAlign w:val="subscript"/>
          <w:lang w:val="sr-Latn-ME"/>
        </w:rPr>
        <w:t>2α</w:t>
      </w:r>
      <w:r w:rsidRPr="00D759D0">
        <w:rPr>
          <w:sz w:val="22"/>
          <w:szCs w:val="22"/>
          <w:lang w:val="sr-Latn-ME"/>
        </w:rPr>
        <w:t xml:space="preserve"> koji se karakterišu redukcijom 13-14 dvostruke veze, oksidacijom 15-hidroksilne i β-</w:t>
      </w:r>
      <w:proofErr w:type="spellStart"/>
      <w:r w:rsidRPr="00D759D0">
        <w:rPr>
          <w:sz w:val="22"/>
          <w:szCs w:val="22"/>
          <w:lang w:val="sr-Latn-ME"/>
        </w:rPr>
        <w:t>oksidativne</w:t>
      </w:r>
      <w:proofErr w:type="spellEnd"/>
      <w:r w:rsidRPr="00D759D0">
        <w:rPr>
          <w:sz w:val="22"/>
          <w:szCs w:val="22"/>
          <w:lang w:val="sr-Latn-ME"/>
        </w:rPr>
        <w:t xml:space="preserve"> grupe gornje strane lanca. </w:t>
      </w:r>
    </w:p>
    <w:p w14:paraId="1C3B5DB2" w14:textId="77777777" w:rsidR="00063330" w:rsidRPr="00D759D0" w:rsidRDefault="00063330" w:rsidP="00063330">
      <w:pPr>
        <w:tabs>
          <w:tab w:val="left" w:pos="284"/>
        </w:tabs>
        <w:ind w:left="180"/>
        <w:jc w:val="both"/>
        <w:rPr>
          <w:sz w:val="22"/>
          <w:szCs w:val="22"/>
          <w:lang w:val="sr-Latn-ME"/>
        </w:rPr>
      </w:pPr>
    </w:p>
    <w:p w14:paraId="2C86464A" w14:textId="77777777" w:rsidR="00063330" w:rsidRPr="00D759D0" w:rsidRDefault="00063330" w:rsidP="00063330">
      <w:pPr>
        <w:tabs>
          <w:tab w:val="left" w:pos="284"/>
        </w:tabs>
        <w:jc w:val="both"/>
        <w:rPr>
          <w:sz w:val="22"/>
          <w:szCs w:val="22"/>
          <w:u w:val="single"/>
          <w:lang w:val="sr-Latn-ME"/>
        </w:rPr>
      </w:pPr>
      <w:r w:rsidRPr="00D759D0">
        <w:rPr>
          <w:sz w:val="22"/>
          <w:szCs w:val="22"/>
          <w:u w:val="single"/>
          <w:lang w:val="sr-Latn-ME"/>
        </w:rPr>
        <w:t>Eliminacija</w:t>
      </w:r>
    </w:p>
    <w:p w14:paraId="265F45EF" w14:textId="709EFD47" w:rsidR="00063330" w:rsidRPr="00D759D0" w:rsidRDefault="00063330" w:rsidP="00063330">
      <w:pPr>
        <w:tabs>
          <w:tab w:val="left" w:pos="284"/>
        </w:tabs>
        <w:jc w:val="both"/>
        <w:rPr>
          <w:sz w:val="22"/>
          <w:szCs w:val="22"/>
          <w:lang w:val="sr-Latn-ME"/>
        </w:rPr>
      </w:pPr>
      <w:proofErr w:type="spellStart"/>
      <w:r w:rsidRPr="00D759D0">
        <w:rPr>
          <w:sz w:val="22"/>
          <w:szCs w:val="22"/>
          <w:lang w:val="sr-Latn-ME"/>
        </w:rPr>
        <w:t>Travoprost</w:t>
      </w:r>
      <w:proofErr w:type="spellEnd"/>
      <w:r w:rsidRPr="00D759D0">
        <w:rPr>
          <w:sz w:val="22"/>
          <w:szCs w:val="22"/>
          <w:lang w:val="sr-Latn-ME"/>
        </w:rPr>
        <w:t xml:space="preserve"> slobodna kiselina i njeni </w:t>
      </w:r>
      <w:proofErr w:type="spellStart"/>
      <w:r w:rsidRPr="00D759D0">
        <w:rPr>
          <w:sz w:val="22"/>
          <w:szCs w:val="22"/>
          <w:lang w:val="sr-Latn-ME"/>
        </w:rPr>
        <w:t>metaboliti</w:t>
      </w:r>
      <w:proofErr w:type="spellEnd"/>
      <w:r w:rsidRPr="00D759D0">
        <w:rPr>
          <w:sz w:val="22"/>
          <w:szCs w:val="22"/>
          <w:lang w:val="sr-Latn-ME"/>
        </w:rPr>
        <w:t xml:space="preserve"> uglavnom se izlučuju </w:t>
      </w:r>
      <w:proofErr w:type="spellStart"/>
      <w:r w:rsidRPr="00D759D0">
        <w:rPr>
          <w:sz w:val="22"/>
          <w:szCs w:val="22"/>
          <w:lang w:val="sr-Latn-ME"/>
        </w:rPr>
        <w:t>preko</w:t>
      </w:r>
      <w:proofErr w:type="spellEnd"/>
      <w:r w:rsidRPr="00D759D0">
        <w:rPr>
          <w:sz w:val="22"/>
          <w:szCs w:val="22"/>
          <w:lang w:val="sr-Latn-ME"/>
        </w:rPr>
        <w:t xml:space="preserve"> bubrega. </w:t>
      </w:r>
      <w:r w:rsidR="002E28ED" w:rsidRPr="00D759D0">
        <w:rPr>
          <w:sz w:val="22"/>
          <w:szCs w:val="22"/>
          <w:lang w:val="sr-Latn-ME"/>
        </w:rPr>
        <w:t xml:space="preserve">Lijek </w:t>
      </w:r>
      <w:r w:rsidRPr="00D759D0">
        <w:rPr>
          <w:caps/>
          <w:sz w:val="22"/>
          <w:szCs w:val="22"/>
          <w:lang w:val="sr-Latn-ME"/>
        </w:rPr>
        <w:t>Travatan</w:t>
      </w:r>
      <w:r w:rsidRPr="00D759D0">
        <w:rPr>
          <w:sz w:val="22"/>
          <w:szCs w:val="22"/>
          <w:lang w:val="sr-Latn-ME"/>
        </w:rPr>
        <w:t xml:space="preserve"> je ispitivan kod pacijenata koji su imali blago do teško oštećenje funkcija jetre, kao i kod pacijenata sa blagim do teškim oštećenjem funkcije bubrega (</w:t>
      </w:r>
      <w:proofErr w:type="spellStart"/>
      <w:r w:rsidRPr="00D759D0">
        <w:rPr>
          <w:sz w:val="22"/>
          <w:szCs w:val="22"/>
          <w:lang w:val="sr-Latn-ME"/>
        </w:rPr>
        <w:t>klirens</w:t>
      </w:r>
      <w:proofErr w:type="spellEnd"/>
      <w:r w:rsidRPr="00D759D0">
        <w:rPr>
          <w:sz w:val="22"/>
          <w:szCs w:val="22"/>
          <w:lang w:val="sr-Latn-ME"/>
        </w:rPr>
        <w:t xml:space="preserve"> </w:t>
      </w:r>
      <w:proofErr w:type="spellStart"/>
      <w:r w:rsidRPr="00D759D0">
        <w:rPr>
          <w:sz w:val="22"/>
          <w:szCs w:val="22"/>
          <w:lang w:val="sr-Latn-ME"/>
        </w:rPr>
        <w:t>kreatinina</w:t>
      </w:r>
      <w:proofErr w:type="spellEnd"/>
      <w:r w:rsidRPr="00D759D0">
        <w:rPr>
          <w:sz w:val="22"/>
          <w:szCs w:val="22"/>
          <w:lang w:val="sr-Latn-ME"/>
        </w:rPr>
        <w:t xml:space="preserve"> oko 14 ml/min). Nije bilo potrebno korigovati dozu lijeka kod ovih pacijenata. </w:t>
      </w:r>
    </w:p>
    <w:p w14:paraId="300A9C43" w14:textId="77777777" w:rsidR="00063330" w:rsidRPr="00D759D0" w:rsidRDefault="00063330" w:rsidP="00063330">
      <w:pPr>
        <w:tabs>
          <w:tab w:val="left" w:pos="284"/>
        </w:tabs>
        <w:jc w:val="both"/>
        <w:rPr>
          <w:sz w:val="22"/>
          <w:szCs w:val="22"/>
          <w:lang w:val="sr-Latn-ME"/>
        </w:rPr>
      </w:pPr>
    </w:p>
    <w:p w14:paraId="221974A5" w14:textId="77777777" w:rsidR="00063330" w:rsidRPr="00D759D0" w:rsidRDefault="00063330" w:rsidP="00063330">
      <w:pPr>
        <w:tabs>
          <w:tab w:val="left" w:pos="284"/>
        </w:tabs>
        <w:jc w:val="both"/>
        <w:rPr>
          <w:bCs/>
          <w:sz w:val="22"/>
          <w:szCs w:val="22"/>
          <w:u w:val="single"/>
          <w:lang w:val="sr-Latn-ME"/>
        </w:rPr>
      </w:pPr>
      <w:r w:rsidRPr="00D759D0">
        <w:rPr>
          <w:bCs/>
          <w:sz w:val="22"/>
          <w:szCs w:val="22"/>
          <w:u w:val="single"/>
          <w:lang w:val="sr-Latn-ME"/>
        </w:rPr>
        <w:t>Pedijatrijska populacija</w:t>
      </w:r>
    </w:p>
    <w:p w14:paraId="459CA5E9" w14:textId="79E390F5" w:rsidR="00063330" w:rsidRPr="00D759D0" w:rsidRDefault="00063330" w:rsidP="00063330">
      <w:pPr>
        <w:autoSpaceDE w:val="0"/>
        <w:autoSpaceDN w:val="0"/>
        <w:adjustRightInd w:val="0"/>
        <w:jc w:val="both"/>
        <w:rPr>
          <w:sz w:val="22"/>
          <w:szCs w:val="22"/>
          <w:lang w:val="sr-Latn-ME"/>
        </w:rPr>
      </w:pPr>
      <w:r w:rsidRPr="00D759D0">
        <w:rPr>
          <w:sz w:val="22"/>
          <w:szCs w:val="22"/>
          <w:lang w:val="sr-Latn-ME"/>
        </w:rPr>
        <w:t xml:space="preserve">Ispitivanje </w:t>
      </w:r>
      <w:proofErr w:type="spellStart"/>
      <w:r w:rsidRPr="00D759D0">
        <w:rPr>
          <w:sz w:val="22"/>
          <w:szCs w:val="22"/>
          <w:lang w:val="sr-Latn-ME"/>
        </w:rPr>
        <w:t>farmakokinetike</w:t>
      </w:r>
      <w:proofErr w:type="spellEnd"/>
      <w:r w:rsidRPr="00D759D0">
        <w:rPr>
          <w:sz w:val="22"/>
          <w:szCs w:val="22"/>
          <w:lang w:val="sr-Latn-ME"/>
        </w:rPr>
        <w:t xml:space="preserve"> kod pedijatrijskih pacijenata uzrasta od 2 mjeseca do &lt; 18 godina pokazalo je vrlo nisku izloženost </w:t>
      </w:r>
      <w:proofErr w:type="spellStart"/>
      <w:r w:rsidRPr="00D759D0">
        <w:rPr>
          <w:sz w:val="22"/>
          <w:szCs w:val="22"/>
          <w:lang w:val="sr-Latn-ME"/>
        </w:rPr>
        <w:t>travoprosta</w:t>
      </w:r>
      <w:proofErr w:type="spellEnd"/>
      <w:r w:rsidRPr="00D759D0">
        <w:rPr>
          <w:sz w:val="22"/>
          <w:szCs w:val="22"/>
          <w:lang w:val="sr-Latn-ME"/>
        </w:rPr>
        <w:t xml:space="preserve"> slobodnoj kiselini u plazmi, s koncentracijama u rasponu od ispod 10 </w:t>
      </w:r>
      <w:proofErr w:type="spellStart"/>
      <w:r w:rsidRPr="00D759D0">
        <w:rPr>
          <w:sz w:val="22"/>
          <w:szCs w:val="22"/>
          <w:lang w:val="sr-Latn-ME"/>
        </w:rPr>
        <w:t>pikograma</w:t>
      </w:r>
      <w:proofErr w:type="spellEnd"/>
      <w:r w:rsidRPr="00D759D0">
        <w:rPr>
          <w:sz w:val="22"/>
          <w:szCs w:val="22"/>
          <w:lang w:val="sr-Latn-ME"/>
        </w:rPr>
        <w:t xml:space="preserve">/ml limita </w:t>
      </w:r>
      <w:proofErr w:type="spellStart"/>
      <w:r w:rsidRPr="00D759D0">
        <w:rPr>
          <w:sz w:val="22"/>
          <w:szCs w:val="22"/>
          <w:lang w:val="sr-Latn-ME"/>
        </w:rPr>
        <w:t>kvantifikacije</w:t>
      </w:r>
      <w:proofErr w:type="spellEnd"/>
      <w:r w:rsidRPr="00D759D0">
        <w:rPr>
          <w:sz w:val="22"/>
          <w:szCs w:val="22"/>
          <w:lang w:val="sr-Latn-ME"/>
        </w:rPr>
        <w:t xml:space="preserve"> testa (BLQ) do 54,5 </w:t>
      </w:r>
      <w:proofErr w:type="spellStart"/>
      <w:r w:rsidRPr="00D759D0">
        <w:rPr>
          <w:sz w:val="22"/>
          <w:szCs w:val="22"/>
          <w:lang w:val="sr-Latn-ME"/>
        </w:rPr>
        <w:t>pikograma</w:t>
      </w:r>
      <w:proofErr w:type="spellEnd"/>
      <w:r w:rsidRPr="00D759D0">
        <w:rPr>
          <w:sz w:val="22"/>
          <w:szCs w:val="22"/>
          <w:lang w:val="sr-Latn-ME"/>
        </w:rPr>
        <w:t>/ml</w:t>
      </w:r>
      <w:r w:rsidR="00EB7CA1" w:rsidRPr="00D759D0">
        <w:rPr>
          <w:sz w:val="22"/>
          <w:szCs w:val="22"/>
          <w:lang w:val="sr-Latn-ME"/>
        </w:rPr>
        <w:t>.</w:t>
      </w:r>
      <w:r w:rsidRPr="00D759D0">
        <w:rPr>
          <w:sz w:val="22"/>
          <w:szCs w:val="22"/>
          <w:lang w:val="sr-Latn-ME"/>
        </w:rPr>
        <w:t xml:space="preserve"> U 4 prethodna ispitivanja sistemske </w:t>
      </w:r>
      <w:proofErr w:type="spellStart"/>
      <w:r w:rsidRPr="00D759D0">
        <w:rPr>
          <w:sz w:val="22"/>
          <w:szCs w:val="22"/>
          <w:lang w:val="sr-Latn-ME"/>
        </w:rPr>
        <w:t>farmakokinetike</w:t>
      </w:r>
      <w:proofErr w:type="spellEnd"/>
      <w:r w:rsidRPr="00D759D0">
        <w:rPr>
          <w:sz w:val="22"/>
          <w:szCs w:val="22"/>
          <w:lang w:val="sr-Latn-ME"/>
        </w:rPr>
        <w:t xml:space="preserve"> u odrasloj populaciji, koncentracija </w:t>
      </w:r>
      <w:proofErr w:type="spellStart"/>
      <w:r w:rsidRPr="00D759D0">
        <w:rPr>
          <w:sz w:val="22"/>
          <w:szCs w:val="22"/>
          <w:lang w:val="sr-Latn-ME"/>
        </w:rPr>
        <w:t>travoprost</w:t>
      </w:r>
      <w:proofErr w:type="spellEnd"/>
      <w:r w:rsidRPr="00D759D0">
        <w:rPr>
          <w:sz w:val="22"/>
          <w:szCs w:val="22"/>
          <w:lang w:val="sr-Latn-ME"/>
        </w:rPr>
        <w:t xml:space="preserve"> slobodne kiseline u plazmi bila je u rasponu od BLQ do 52,0 </w:t>
      </w:r>
      <w:proofErr w:type="spellStart"/>
      <w:r w:rsidRPr="00D759D0">
        <w:rPr>
          <w:sz w:val="22"/>
          <w:szCs w:val="22"/>
          <w:lang w:val="sr-Latn-ME"/>
        </w:rPr>
        <w:t>pikograma</w:t>
      </w:r>
      <w:proofErr w:type="spellEnd"/>
      <w:r w:rsidRPr="00D759D0">
        <w:rPr>
          <w:sz w:val="22"/>
          <w:szCs w:val="22"/>
          <w:lang w:val="sr-Latn-ME"/>
        </w:rPr>
        <w:t xml:space="preserve">/ml. Dok je u svim ispitivanjima većina podataka o plazmi bila nemjerljiva, onemogućujući statističko poređenje sistemske izloženosti kroz </w:t>
      </w:r>
      <w:proofErr w:type="spellStart"/>
      <w:r w:rsidRPr="00D759D0">
        <w:rPr>
          <w:sz w:val="22"/>
          <w:szCs w:val="22"/>
          <w:lang w:val="sr-Latn-ME"/>
        </w:rPr>
        <w:t>uzrasne</w:t>
      </w:r>
      <w:proofErr w:type="spellEnd"/>
      <w:r w:rsidRPr="00D759D0">
        <w:rPr>
          <w:sz w:val="22"/>
          <w:szCs w:val="22"/>
          <w:lang w:val="sr-Latn-ME"/>
        </w:rPr>
        <w:t xml:space="preserve"> grupe, ukupni trend pokazuje da je izloženost </w:t>
      </w:r>
      <w:proofErr w:type="spellStart"/>
      <w:r w:rsidRPr="00D759D0">
        <w:rPr>
          <w:sz w:val="22"/>
          <w:szCs w:val="22"/>
          <w:lang w:val="sr-Latn-ME"/>
        </w:rPr>
        <w:t>travoprost</w:t>
      </w:r>
      <w:proofErr w:type="spellEnd"/>
      <w:r w:rsidRPr="00D759D0">
        <w:rPr>
          <w:sz w:val="22"/>
          <w:szCs w:val="22"/>
          <w:lang w:val="sr-Latn-ME"/>
        </w:rPr>
        <w:t xml:space="preserve"> slobodnoj kiselini u plazmi nakon </w:t>
      </w:r>
      <w:proofErr w:type="spellStart"/>
      <w:r w:rsidRPr="00D759D0">
        <w:rPr>
          <w:sz w:val="22"/>
          <w:szCs w:val="22"/>
          <w:lang w:val="sr-Latn-ME"/>
        </w:rPr>
        <w:t>topikalne</w:t>
      </w:r>
      <w:proofErr w:type="spellEnd"/>
      <w:r w:rsidRPr="00D759D0">
        <w:rPr>
          <w:sz w:val="22"/>
          <w:szCs w:val="22"/>
          <w:lang w:val="sr-Latn-ME"/>
        </w:rPr>
        <w:t xml:space="preserve"> primjene lijeka TRAVATAN vrlo niska kroz sve </w:t>
      </w:r>
      <w:proofErr w:type="spellStart"/>
      <w:r w:rsidRPr="00D759D0">
        <w:rPr>
          <w:sz w:val="22"/>
          <w:szCs w:val="22"/>
          <w:lang w:val="sr-Latn-ME"/>
        </w:rPr>
        <w:t>uzrasne</w:t>
      </w:r>
      <w:proofErr w:type="spellEnd"/>
      <w:r w:rsidRPr="00D759D0">
        <w:rPr>
          <w:sz w:val="22"/>
          <w:szCs w:val="22"/>
          <w:lang w:val="sr-Latn-ME"/>
        </w:rPr>
        <w:t xml:space="preserve"> grupe koje su praćene.</w:t>
      </w:r>
    </w:p>
    <w:p w14:paraId="739AD7C9" w14:textId="77777777" w:rsidR="0072020E" w:rsidRPr="00D759D0" w:rsidRDefault="0072020E" w:rsidP="00480FB1">
      <w:pPr>
        <w:tabs>
          <w:tab w:val="left" w:pos="540"/>
          <w:tab w:val="left" w:pos="569"/>
        </w:tabs>
        <w:rPr>
          <w:bCs/>
          <w:sz w:val="22"/>
          <w:szCs w:val="22"/>
          <w:lang w:val="sr-Latn-ME"/>
        </w:rPr>
      </w:pPr>
    </w:p>
    <w:p w14:paraId="739AD7CA" w14:textId="77777777" w:rsidR="0072020E" w:rsidRPr="00D759D0" w:rsidRDefault="0072020E" w:rsidP="00480FB1">
      <w:pPr>
        <w:tabs>
          <w:tab w:val="left" w:pos="540"/>
          <w:tab w:val="left" w:pos="569"/>
        </w:tabs>
        <w:rPr>
          <w:b/>
          <w:bCs/>
          <w:sz w:val="22"/>
          <w:szCs w:val="22"/>
          <w:lang w:val="sr-Latn-ME"/>
        </w:rPr>
      </w:pPr>
      <w:r w:rsidRPr="00D759D0">
        <w:rPr>
          <w:b/>
          <w:bCs/>
          <w:sz w:val="22"/>
          <w:szCs w:val="22"/>
          <w:lang w:val="sr-Latn-ME"/>
        </w:rPr>
        <w:t xml:space="preserve">5.3. </w:t>
      </w:r>
      <w:r w:rsidR="00480FB1" w:rsidRPr="00D759D0">
        <w:rPr>
          <w:b/>
          <w:bCs/>
          <w:sz w:val="22"/>
          <w:szCs w:val="22"/>
          <w:lang w:val="sr-Latn-ME"/>
        </w:rPr>
        <w:tab/>
      </w:r>
      <w:proofErr w:type="spellStart"/>
      <w:r w:rsidRPr="00D759D0">
        <w:rPr>
          <w:b/>
          <w:bCs/>
          <w:sz w:val="22"/>
          <w:szCs w:val="22"/>
          <w:lang w:val="sr-Latn-ME"/>
        </w:rPr>
        <w:t>Pretklinički</w:t>
      </w:r>
      <w:proofErr w:type="spellEnd"/>
      <w:r w:rsidRPr="00D759D0">
        <w:rPr>
          <w:b/>
          <w:bCs/>
          <w:sz w:val="22"/>
          <w:szCs w:val="22"/>
          <w:lang w:val="sr-Latn-ME"/>
        </w:rPr>
        <w:t xml:space="preserve"> podaci o bezbjednosti </w:t>
      </w:r>
    </w:p>
    <w:p w14:paraId="56E9B22C" w14:textId="77777777" w:rsidR="00063330" w:rsidRPr="00D759D0" w:rsidRDefault="00063330" w:rsidP="00480FB1">
      <w:pPr>
        <w:tabs>
          <w:tab w:val="left" w:pos="540"/>
          <w:tab w:val="left" w:pos="569"/>
        </w:tabs>
        <w:rPr>
          <w:b/>
          <w:bCs/>
          <w:sz w:val="22"/>
          <w:szCs w:val="22"/>
          <w:lang w:val="sr-Latn-ME"/>
        </w:rPr>
      </w:pPr>
    </w:p>
    <w:p w14:paraId="2900AD1B"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U studijama </w:t>
      </w:r>
      <w:proofErr w:type="spellStart"/>
      <w:r w:rsidRPr="00D759D0">
        <w:rPr>
          <w:bCs/>
          <w:sz w:val="22"/>
          <w:szCs w:val="22"/>
          <w:lang w:val="sr-Latn-ME"/>
        </w:rPr>
        <w:t>okularne</w:t>
      </w:r>
      <w:proofErr w:type="spellEnd"/>
      <w:r w:rsidRPr="00D759D0">
        <w:rPr>
          <w:bCs/>
          <w:sz w:val="22"/>
          <w:szCs w:val="22"/>
          <w:lang w:val="sr-Latn-ME"/>
        </w:rPr>
        <w:t xml:space="preserve"> toksičnosti na majmunima nađeno je da </w:t>
      </w:r>
      <w:proofErr w:type="spellStart"/>
      <w:r w:rsidRPr="00D759D0">
        <w:rPr>
          <w:bCs/>
          <w:sz w:val="22"/>
          <w:szCs w:val="22"/>
          <w:lang w:val="sr-Latn-ME"/>
        </w:rPr>
        <w:t>ukapavanje</w:t>
      </w:r>
      <w:proofErr w:type="spellEnd"/>
      <w:r w:rsidRPr="00D759D0">
        <w:rPr>
          <w:bCs/>
          <w:sz w:val="22"/>
          <w:szCs w:val="22"/>
          <w:lang w:val="sr-Latn-ME"/>
        </w:rPr>
        <w:t xml:space="preserve"> </w:t>
      </w:r>
      <w:proofErr w:type="spellStart"/>
      <w:r w:rsidRPr="00D759D0">
        <w:rPr>
          <w:bCs/>
          <w:sz w:val="22"/>
          <w:szCs w:val="22"/>
          <w:lang w:val="sr-Latn-ME"/>
        </w:rPr>
        <w:t>travoprosta</w:t>
      </w:r>
      <w:proofErr w:type="spellEnd"/>
      <w:r w:rsidRPr="00D759D0">
        <w:rPr>
          <w:bCs/>
          <w:sz w:val="22"/>
          <w:szCs w:val="22"/>
          <w:lang w:val="sr-Latn-ME"/>
        </w:rPr>
        <w:t xml:space="preserve"> u dozi od 0,45 </w:t>
      </w:r>
      <w:proofErr w:type="spellStart"/>
      <w:r w:rsidRPr="00D759D0">
        <w:rPr>
          <w:bCs/>
          <w:sz w:val="22"/>
          <w:szCs w:val="22"/>
          <w:lang w:val="sr-Latn-ME"/>
        </w:rPr>
        <w:t>mikrograma</w:t>
      </w:r>
      <w:proofErr w:type="spellEnd"/>
      <w:r w:rsidRPr="00D759D0">
        <w:rPr>
          <w:bCs/>
          <w:sz w:val="22"/>
          <w:szCs w:val="22"/>
          <w:lang w:val="sr-Latn-ME"/>
        </w:rPr>
        <w:t xml:space="preserve"> dva puta dnevno dovodi do povećanja </w:t>
      </w:r>
      <w:proofErr w:type="spellStart"/>
      <w:r w:rsidRPr="00D759D0">
        <w:rPr>
          <w:bCs/>
          <w:sz w:val="22"/>
          <w:szCs w:val="22"/>
          <w:lang w:val="sr-Latn-ME"/>
        </w:rPr>
        <w:t>palpebralne</w:t>
      </w:r>
      <w:proofErr w:type="spellEnd"/>
      <w:r w:rsidRPr="00D759D0">
        <w:rPr>
          <w:bCs/>
          <w:sz w:val="22"/>
          <w:szCs w:val="22"/>
          <w:lang w:val="sr-Latn-ME"/>
        </w:rPr>
        <w:t xml:space="preserve"> </w:t>
      </w:r>
      <w:proofErr w:type="spellStart"/>
      <w:r w:rsidRPr="00D759D0">
        <w:rPr>
          <w:bCs/>
          <w:sz w:val="22"/>
          <w:szCs w:val="22"/>
          <w:lang w:val="sr-Latn-ME"/>
        </w:rPr>
        <w:t>fisure</w:t>
      </w:r>
      <w:proofErr w:type="spellEnd"/>
      <w:r w:rsidRPr="00D759D0">
        <w:rPr>
          <w:bCs/>
          <w:sz w:val="22"/>
          <w:szCs w:val="22"/>
          <w:lang w:val="sr-Latn-ME"/>
        </w:rPr>
        <w:t xml:space="preserve">. </w:t>
      </w:r>
      <w:proofErr w:type="spellStart"/>
      <w:r w:rsidRPr="00D759D0">
        <w:rPr>
          <w:bCs/>
          <w:sz w:val="22"/>
          <w:szCs w:val="22"/>
          <w:lang w:val="sr-Latn-ME"/>
        </w:rPr>
        <w:t>Topikalna</w:t>
      </w:r>
      <w:proofErr w:type="spellEnd"/>
      <w:r w:rsidRPr="00D759D0">
        <w:rPr>
          <w:bCs/>
          <w:sz w:val="22"/>
          <w:szCs w:val="22"/>
          <w:lang w:val="sr-Latn-ME"/>
        </w:rPr>
        <w:t xml:space="preserve"> </w:t>
      </w:r>
      <w:proofErr w:type="spellStart"/>
      <w:r w:rsidRPr="00D759D0">
        <w:rPr>
          <w:bCs/>
          <w:sz w:val="22"/>
          <w:szCs w:val="22"/>
          <w:lang w:val="sr-Latn-ME"/>
        </w:rPr>
        <w:t>okularna</w:t>
      </w:r>
      <w:proofErr w:type="spellEnd"/>
      <w:r w:rsidRPr="00D759D0">
        <w:rPr>
          <w:bCs/>
          <w:sz w:val="22"/>
          <w:szCs w:val="22"/>
          <w:lang w:val="sr-Latn-ME"/>
        </w:rPr>
        <w:t xml:space="preserve"> primjena </w:t>
      </w:r>
      <w:proofErr w:type="spellStart"/>
      <w:r w:rsidRPr="00D759D0">
        <w:rPr>
          <w:bCs/>
          <w:sz w:val="22"/>
          <w:szCs w:val="22"/>
          <w:lang w:val="sr-Latn-ME"/>
        </w:rPr>
        <w:t>travoprosta</w:t>
      </w:r>
      <w:proofErr w:type="spellEnd"/>
      <w:r w:rsidRPr="00D759D0">
        <w:rPr>
          <w:bCs/>
          <w:sz w:val="22"/>
          <w:szCs w:val="22"/>
          <w:lang w:val="sr-Latn-ME"/>
        </w:rPr>
        <w:t xml:space="preserve"> kod majmuna, u koncentracijama do 0,012% u desno oko dva puta dnevno tokom godinu dana, nije dovela do sistemske toksičnosti.  </w:t>
      </w:r>
    </w:p>
    <w:p w14:paraId="19FDA374" w14:textId="77777777" w:rsidR="00063330" w:rsidRPr="00D759D0" w:rsidRDefault="00063330" w:rsidP="00063330">
      <w:pPr>
        <w:tabs>
          <w:tab w:val="left" w:pos="540"/>
          <w:tab w:val="left" w:pos="569"/>
        </w:tabs>
        <w:jc w:val="both"/>
        <w:rPr>
          <w:bCs/>
          <w:sz w:val="22"/>
          <w:szCs w:val="22"/>
          <w:lang w:val="sr-Latn-ME"/>
        </w:rPr>
      </w:pPr>
    </w:p>
    <w:p w14:paraId="327446EC" w14:textId="0C37366F"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lastRenderedPageBreak/>
        <w:t xml:space="preserve">Ispitivanja reproduktivne toksičnosti sistemski datog </w:t>
      </w:r>
      <w:proofErr w:type="spellStart"/>
      <w:r w:rsidRPr="00D759D0">
        <w:rPr>
          <w:bCs/>
          <w:sz w:val="22"/>
          <w:szCs w:val="22"/>
          <w:lang w:val="sr-Latn-ME"/>
        </w:rPr>
        <w:t>travoprosta</w:t>
      </w:r>
      <w:proofErr w:type="spellEnd"/>
      <w:r w:rsidRPr="00D759D0">
        <w:rPr>
          <w:bCs/>
          <w:sz w:val="22"/>
          <w:szCs w:val="22"/>
          <w:lang w:val="sr-Latn-ME"/>
        </w:rPr>
        <w:t xml:space="preserve"> rađena su na pacovima, miševima i kunićima. Nalazi se odnose na </w:t>
      </w:r>
      <w:proofErr w:type="spellStart"/>
      <w:r w:rsidRPr="00D759D0">
        <w:rPr>
          <w:bCs/>
          <w:sz w:val="22"/>
          <w:szCs w:val="22"/>
          <w:lang w:val="sr-Latn-ME"/>
        </w:rPr>
        <w:t>aktivaciju</w:t>
      </w:r>
      <w:proofErr w:type="spellEnd"/>
      <w:r w:rsidRPr="00D759D0">
        <w:rPr>
          <w:bCs/>
          <w:sz w:val="22"/>
          <w:szCs w:val="22"/>
          <w:lang w:val="sr-Latn-ME"/>
        </w:rPr>
        <w:t xml:space="preserve"> </w:t>
      </w:r>
      <w:proofErr w:type="spellStart"/>
      <w:r w:rsidRPr="00D759D0">
        <w:rPr>
          <w:bCs/>
          <w:sz w:val="22"/>
          <w:szCs w:val="22"/>
          <w:lang w:val="sr-Latn-ME"/>
        </w:rPr>
        <w:t>agonista</w:t>
      </w:r>
      <w:proofErr w:type="spellEnd"/>
      <w:r w:rsidRPr="00D759D0">
        <w:rPr>
          <w:bCs/>
          <w:sz w:val="22"/>
          <w:szCs w:val="22"/>
          <w:lang w:val="sr-Latn-ME"/>
        </w:rPr>
        <w:t xml:space="preserve"> FP receptora u </w:t>
      </w:r>
      <w:proofErr w:type="spellStart"/>
      <w:r w:rsidRPr="00D759D0">
        <w:rPr>
          <w:bCs/>
          <w:sz w:val="22"/>
          <w:szCs w:val="22"/>
          <w:lang w:val="sr-Latn-ME"/>
        </w:rPr>
        <w:t>uterusu</w:t>
      </w:r>
      <w:proofErr w:type="spellEnd"/>
      <w:r w:rsidRPr="00D759D0">
        <w:rPr>
          <w:bCs/>
          <w:sz w:val="22"/>
          <w:szCs w:val="22"/>
          <w:lang w:val="sr-Latn-ME"/>
        </w:rPr>
        <w:t xml:space="preserve">, što dovodi do rane smrti embriona, pobačaja, </w:t>
      </w:r>
      <w:proofErr w:type="spellStart"/>
      <w:r w:rsidRPr="00D759D0">
        <w:rPr>
          <w:bCs/>
          <w:sz w:val="22"/>
          <w:szCs w:val="22"/>
          <w:lang w:val="sr-Latn-ME"/>
        </w:rPr>
        <w:t>fetotoksičnosti</w:t>
      </w:r>
      <w:proofErr w:type="spellEnd"/>
      <w:r w:rsidRPr="00D759D0">
        <w:rPr>
          <w:bCs/>
          <w:sz w:val="22"/>
          <w:szCs w:val="22"/>
          <w:lang w:val="sr-Latn-ME"/>
        </w:rPr>
        <w:t xml:space="preserve">. Kod skotnih ženki pacova, sistemsko davanje </w:t>
      </w:r>
      <w:proofErr w:type="spellStart"/>
      <w:r w:rsidRPr="00D759D0">
        <w:rPr>
          <w:bCs/>
          <w:sz w:val="22"/>
          <w:szCs w:val="22"/>
          <w:lang w:val="sr-Latn-ME"/>
        </w:rPr>
        <w:t>travoprosta</w:t>
      </w:r>
      <w:proofErr w:type="spellEnd"/>
      <w:r w:rsidRPr="00D759D0">
        <w:rPr>
          <w:bCs/>
          <w:sz w:val="22"/>
          <w:szCs w:val="22"/>
          <w:lang w:val="sr-Latn-ME"/>
        </w:rPr>
        <w:t xml:space="preserve"> u dozama </w:t>
      </w:r>
      <w:proofErr w:type="spellStart"/>
      <w:r w:rsidRPr="00D759D0">
        <w:rPr>
          <w:bCs/>
          <w:sz w:val="22"/>
          <w:szCs w:val="22"/>
          <w:lang w:val="sr-Latn-ME"/>
        </w:rPr>
        <w:t>preko</w:t>
      </w:r>
      <w:proofErr w:type="spellEnd"/>
      <w:r w:rsidRPr="00D759D0">
        <w:rPr>
          <w:bCs/>
          <w:sz w:val="22"/>
          <w:szCs w:val="22"/>
          <w:lang w:val="sr-Latn-ME"/>
        </w:rPr>
        <w:t xml:space="preserve"> 200 puta većim od kliničke doze tokom </w:t>
      </w:r>
      <w:proofErr w:type="spellStart"/>
      <w:r w:rsidRPr="00D759D0">
        <w:rPr>
          <w:bCs/>
          <w:sz w:val="22"/>
          <w:szCs w:val="22"/>
          <w:lang w:val="sr-Latn-ME"/>
        </w:rPr>
        <w:t>organogeneze</w:t>
      </w:r>
      <w:proofErr w:type="spellEnd"/>
      <w:r w:rsidRPr="00D759D0">
        <w:rPr>
          <w:bCs/>
          <w:sz w:val="22"/>
          <w:szCs w:val="22"/>
          <w:lang w:val="sr-Latn-ME"/>
        </w:rPr>
        <w:t xml:space="preserve"> dovodilo je do povećane </w:t>
      </w:r>
      <w:proofErr w:type="spellStart"/>
      <w:r w:rsidRPr="00D759D0">
        <w:rPr>
          <w:bCs/>
          <w:sz w:val="22"/>
          <w:szCs w:val="22"/>
          <w:lang w:val="sr-Latn-ME"/>
        </w:rPr>
        <w:t>incidence</w:t>
      </w:r>
      <w:proofErr w:type="spellEnd"/>
      <w:r w:rsidRPr="00D759D0">
        <w:rPr>
          <w:bCs/>
          <w:sz w:val="22"/>
          <w:szCs w:val="22"/>
          <w:lang w:val="sr-Latn-ME"/>
        </w:rPr>
        <w:t xml:space="preserve"> </w:t>
      </w:r>
      <w:proofErr w:type="spellStart"/>
      <w:r w:rsidRPr="00D759D0">
        <w:rPr>
          <w:bCs/>
          <w:sz w:val="22"/>
          <w:szCs w:val="22"/>
          <w:lang w:val="sr-Latn-ME"/>
        </w:rPr>
        <w:t>malformacija</w:t>
      </w:r>
      <w:proofErr w:type="spellEnd"/>
      <w:r w:rsidRPr="00D759D0">
        <w:rPr>
          <w:bCs/>
          <w:sz w:val="22"/>
          <w:szCs w:val="22"/>
          <w:lang w:val="sr-Latn-ME"/>
        </w:rPr>
        <w:t xml:space="preserve"> ploda. Nizak nivo radioaktivnosti je izmjeren u </w:t>
      </w:r>
      <w:proofErr w:type="spellStart"/>
      <w:r w:rsidRPr="00D759D0">
        <w:rPr>
          <w:bCs/>
          <w:sz w:val="22"/>
          <w:szCs w:val="22"/>
          <w:lang w:val="sr-Latn-ME"/>
        </w:rPr>
        <w:t>amnionskoj</w:t>
      </w:r>
      <w:proofErr w:type="spellEnd"/>
      <w:r w:rsidRPr="00D759D0">
        <w:rPr>
          <w:bCs/>
          <w:sz w:val="22"/>
          <w:szCs w:val="22"/>
          <w:lang w:val="sr-Latn-ME"/>
        </w:rPr>
        <w:t xml:space="preserve"> tečnosti i tkivima fetusa skotnih ženki pacova kojima je davan </w:t>
      </w:r>
      <w:r w:rsidRPr="00D759D0">
        <w:rPr>
          <w:bCs/>
          <w:sz w:val="22"/>
          <w:szCs w:val="22"/>
          <w:vertAlign w:val="superscript"/>
          <w:lang w:val="sr-Latn-ME"/>
        </w:rPr>
        <w:t>3</w:t>
      </w:r>
      <w:r w:rsidRPr="00D759D0">
        <w:rPr>
          <w:bCs/>
          <w:sz w:val="22"/>
          <w:szCs w:val="22"/>
          <w:lang w:val="sr-Latn-ME"/>
        </w:rPr>
        <w:t xml:space="preserve">H-travoprost. Ispitivanje dejstva na reprodukciju i razvoj ploda je pokazalo da postoji snažan uticaj na gubitak ploda u visokom procentu kod pacova i miševa (180 </w:t>
      </w:r>
      <w:proofErr w:type="spellStart"/>
      <w:r w:rsidRPr="00D759D0">
        <w:rPr>
          <w:bCs/>
          <w:sz w:val="22"/>
          <w:szCs w:val="22"/>
          <w:lang w:val="sr-Latn-ME"/>
        </w:rPr>
        <w:t>pikograma</w:t>
      </w:r>
      <w:proofErr w:type="spellEnd"/>
      <w:r w:rsidRPr="00D759D0">
        <w:rPr>
          <w:bCs/>
          <w:sz w:val="22"/>
          <w:szCs w:val="22"/>
          <w:lang w:val="sr-Latn-ME"/>
        </w:rPr>
        <w:t xml:space="preserve">/ml odnosno 30 </w:t>
      </w:r>
      <w:proofErr w:type="spellStart"/>
      <w:r w:rsidRPr="00D759D0">
        <w:rPr>
          <w:bCs/>
          <w:sz w:val="22"/>
          <w:szCs w:val="22"/>
          <w:lang w:val="sr-Latn-ME"/>
        </w:rPr>
        <w:t>pikograma</w:t>
      </w:r>
      <w:proofErr w:type="spellEnd"/>
      <w:r w:rsidRPr="00D759D0">
        <w:rPr>
          <w:bCs/>
          <w:sz w:val="22"/>
          <w:szCs w:val="22"/>
          <w:lang w:val="sr-Latn-ME"/>
        </w:rPr>
        <w:t xml:space="preserve">/ml u plazmi) pri davanju 1,2 do 6 puta veće doze od kliničkih (do 25 </w:t>
      </w:r>
      <w:proofErr w:type="spellStart"/>
      <w:r w:rsidRPr="00D759D0">
        <w:rPr>
          <w:bCs/>
          <w:sz w:val="22"/>
          <w:szCs w:val="22"/>
          <w:lang w:val="sr-Latn-ME"/>
        </w:rPr>
        <w:t>pikograma</w:t>
      </w:r>
      <w:proofErr w:type="spellEnd"/>
      <w:r w:rsidRPr="00D759D0">
        <w:rPr>
          <w:bCs/>
          <w:sz w:val="22"/>
          <w:szCs w:val="22"/>
          <w:lang w:val="sr-Latn-ME"/>
        </w:rPr>
        <w:t>/ml).</w:t>
      </w:r>
    </w:p>
    <w:p w14:paraId="31D1A4E6" w14:textId="77777777" w:rsidR="00063330" w:rsidRPr="00D759D0" w:rsidRDefault="00063330" w:rsidP="00063330">
      <w:pPr>
        <w:tabs>
          <w:tab w:val="left" w:pos="540"/>
          <w:tab w:val="left" w:pos="569"/>
        </w:tabs>
        <w:jc w:val="both"/>
        <w:rPr>
          <w:bCs/>
          <w:sz w:val="22"/>
          <w:szCs w:val="22"/>
          <w:lang w:val="sr-Latn-ME"/>
        </w:rPr>
      </w:pPr>
    </w:p>
    <w:p w14:paraId="52AFEB3D" w14:textId="77777777" w:rsidR="00063330" w:rsidRPr="00D759D0" w:rsidRDefault="00063330" w:rsidP="00063330">
      <w:pPr>
        <w:tabs>
          <w:tab w:val="left" w:pos="284"/>
        </w:tabs>
        <w:rPr>
          <w:sz w:val="22"/>
          <w:szCs w:val="22"/>
          <w:lang w:val="sr-Latn-ME"/>
        </w:rPr>
      </w:pPr>
      <w:r w:rsidRPr="00D759D0">
        <w:rPr>
          <w:sz w:val="22"/>
          <w:szCs w:val="22"/>
          <w:lang w:val="sr-Latn-ME"/>
        </w:rPr>
        <w:t>Procjena rizika po okolinu (</w:t>
      </w:r>
      <w:proofErr w:type="spellStart"/>
      <w:r w:rsidRPr="00D759D0">
        <w:rPr>
          <w:i/>
          <w:sz w:val="22"/>
          <w:szCs w:val="22"/>
          <w:u w:val="single"/>
          <w:lang w:val="sr-Latn-ME"/>
        </w:rPr>
        <w:t>Environmental</w:t>
      </w:r>
      <w:proofErr w:type="spellEnd"/>
      <w:r w:rsidRPr="00D759D0">
        <w:rPr>
          <w:i/>
          <w:sz w:val="22"/>
          <w:szCs w:val="22"/>
          <w:u w:val="single"/>
          <w:lang w:val="sr-Latn-ME"/>
        </w:rPr>
        <w:t xml:space="preserve"> </w:t>
      </w:r>
      <w:proofErr w:type="spellStart"/>
      <w:r w:rsidRPr="00D759D0">
        <w:rPr>
          <w:i/>
          <w:sz w:val="22"/>
          <w:szCs w:val="22"/>
          <w:u w:val="single"/>
          <w:lang w:val="sr-Latn-ME"/>
        </w:rPr>
        <w:t>Risk</w:t>
      </w:r>
      <w:proofErr w:type="spellEnd"/>
      <w:r w:rsidRPr="00D759D0">
        <w:rPr>
          <w:i/>
          <w:sz w:val="22"/>
          <w:szCs w:val="22"/>
          <w:u w:val="single"/>
          <w:lang w:val="sr-Latn-ME"/>
        </w:rPr>
        <w:t xml:space="preserve"> </w:t>
      </w:r>
      <w:proofErr w:type="spellStart"/>
      <w:r w:rsidRPr="00D759D0">
        <w:rPr>
          <w:i/>
          <w:sz w:val="22"/>
          <w:szCs w:val="22"/>
          <w:u w:val="single"/>
          <w:lang w:val="sr-Latn-ME"/>
        </w:rPr>
        <w:t>Assessment</w:t>
      </w:r>
      <w:proofErr w:type="spellEnd"/>
      <w:r w:rsidRPr="00D759D0">
        <w:rPr>
          <w:sz w:val="22"/>
          <w:szCs w:val="22"/>
          <w:lang w:val="sr-Latn-ME"/>
        </w:rPr>
        <w:t xml:space="preserve"> (ERA))</w:t>
      </w:r>
    </w:p>
    <w:p w14:paraId="41E05B47" w14:textId="77777777" w:rsidR="00063330" w:rsidRPr="00D759D0" w:rsidRDefault="00063330" w:rsidP="00063330">
      <w:pPr>
        <w:tabs>
          <w:tab w:val="left" w:pos="284"/>
        </w:tabs>
        <w:rPr>
          <w:sz w:val="22"/>
          <w:szCs w:val="22"/>
          <w:lang w:val="sr-Latn-ME"/>
        </w:rPr>
      </w:pPr>
    </w:p>
    <w:p w14:paraId="6ACEDDF5" w14:textId="2A7C26DF" w:rsidR="00063330" w:rsidRPr="00D759D0" w:rsidRDefault="00063330" w:rsidP="00063330">
      <w:pPr>
        <w:tabs>
          <w:tab w:val="left" w:pos="284"/>
        </w:tabs>
        <w:rPr>
          <w:sz w:val="22"/>
          <w:szCs w:val="22"/>
          <w:lang w:val="sr-Latn-ME"/>
        </w:rPr>
      </w:pPr>
      <w:proofErr w:type="spellStart"/>
      <w:r w:rsidRPr="00D759D0">
        <w:rPr>
          <w:sz w:val="22"/>
          <w:szCs w:val="22"/>
          <w:lang w:val="sr-Latn-ME"/>
        </w:rPr>
        <w:t>Travoprost</w:t>
      </w:r>
      <w:proofErr w:type="spellEnd"/>
      <w:r w:rsidRPr="00D759D0">
        <w:rPr>
          <w:sz w:val="22"/>
          <w:szCs w:val="22"/>
          <w:lang w:val="sr-Latn-ME"/>
        </w:rPr>
        <w:t xml:space="preserve"> se smatra </w:t>
      </w:r>
      <w:proofErr w:type="spellStart"/>
      <w:r w:rsidRPr="00D759D0">
        <w:rPr>
          <w:sz w:val="22"/>
          <w:szCs w:val="22"/>
          <w:lang w:val="sr-Latn-ME"/>
        </w:rPr>
        <w:t>perzistentnom</w:t>
      </w:r>
      <w:proofErr w:type="spellEnd"/>
      <w:r w:rsidRPr="00D759D0">
        <w:rPr>
          <w:sz w:val="22"/>
          <w:szCs w:val="22"/>
          <w:lang w:val="sr-Latn-ME"/>
        </w:rPr>
        <w:t xml:space="preserve">, </w:t>
      </w:r>
      <w:proofErr w:type="spellStart"/>
      <w:r w:rsidRPr="00D759D0">
        <w:rPr>
          <w:sz w:val="22"/>
          <w:szCs w:val="22"/>
          <w:lang w:val="sr-Latn-ME"/>
        </w:rPr>
        <w:t>bioakumulirajućom</w:t>
      </w:r>
      <w:proofErr w:type="spellEnd"/>
      <w:r w:rsidRPr="00D759D0">
        <w:rPr>
          <w:sz w:val="22"/>
          <w:szCs w:val="22"/>
          <w:lang w:val="sr-Latn-ME"/>
        </w:rPr>
        <w:t xml:space="preserve"> i toksičnom (PBT) supstancom. Zbog toga, uprkos veoma malim količinama </w:t>
      </w:r>
      <w:proofErr w:type="spellStart"/>
      <w:r w:rsidRPr="00D759D0">
        <w:rPr>
          <w:sz w:val="22"/>
          <w:szCs w:val="22"/>
          <w:lang w:val="sr-Latn-ME"/>
        </w:rPr>
        <w:t>travoprosta</w:t>
      </w:r>
      <w:proofErr w:type="spellEnd"/>
      <w:r w:rsidRPr="00D759D0">
        <w:rPr>
          <w:sz w:val="22"/>
          <w:szCs w:val="22"/>
          <w:lang w:val="sr-Latn-ME"/>
        </w:rPr>
        <w:t xml:space="preserve"> koje pacijenti koriste u kapima za oči, rizik po okolinu ne može biti isključen.</w:t>
      </w:r>
    </w:p>
    <w:p w14:paraId="349C5DE3" w14:textId="2E5CA9C1" w:rsidR="00063330" w:rsidRPr="00D759D0" w:rsidRDefault="00063330" w:rsidP="00063330">
      <w:pPr>
        <w:tabs>
          <w:tab w:val="left" w:pos="284"/>
        </w:tabs>
        <w:rPr>
          <w:sz w:val="22"/>
          <w:szCs w:val="22"/>
          <w:lang w:val="sr-Latn-ME"/>
        </w:rPr>
      </w:pPr>
    </w:p>
    <w:p w14:paraId="33E9106E" w14:textId="77777777" w:rsidR="007E0F06" w:rsidRPr="00D759D0" w:rsidRDefault="007E0F06" w:rsidP="00063330">
      <w:pPr>
        <w:tabs>
          <w:tab w:val="left" w:pos="284"/>
        </w:tabs>
        <w:rPr>
          <w:sz w:val="22"/>
          <w:szCs w:val="22"/>
          <w:lang w:val="sr-Latn-ME"/>
        </w:rPr>
      </w:pPr>
    </w:p>
    <w:p w14:paraId="739AD7CD" w14:textId="77777777" w:rsidR="0072020E" w:rsidRPr="00D759D0" w:rsidRDefault="0072020E" w:rsidP="00480FB1">
      <w:pPr>
        <w:tabs>
          <w:tab w:val="left" w:pos="540"/>
          <w:tab w:val="left" w:pos="569"/>
        </w:tabs>
        <w:rPr>
          <w:b/>
          <w:bCs/>
          <w:sz w:val="22"/>
          <w:szCs w:val="22"/>
          <w:lang w:val="sr-Latn-ME"/>
        </w:rPr>
      </w:pPr>
      <w:r w:rsidRPr="00D759D0">
        <w:rPr>
          <w:b/>
          <w:bCs/>
          <w:sz w:val="22"/>
          <w:szCs w:val="22"/>
          <w:lang w:val="sr-Latn-ME"/>
        </w:rPr>
        <w:t xml:space="preserve">6. </w:t>
      </w:r>
      <w:r w:rsidR="00480FB1" w:rsidRPr="00D759D0">
        <w:rPr>
          <w:b/>
          <w:bCs/>
          <w:sz w:val="22"/>
          <w:szCs w:val="22"/>
          <w:lang w:val="sr-Latn-ME"/>
        </w:rPr>
        <w:tab/>
      </w:r>
      <w:r w:rsidRPr="00D759D0">
        <w:rPr>
          <w:b/>
          <w:bCs/>
          <w:sz w:val="22"/>
          <w:szCs w:val="22"/>
          <w:lang w:val="sr-Latn-ME"/>
        </w:rPr>
        <w:t>FARMACEUTSKI PODACI</w:t>
      </w:r>
    </w:p>
    <w:p w14:paraId="739AD7CE" w14:textId="77777777" w:rsidR="00836B35" w:rsidRPr="00D759D0" w:rsidRDefault="00836B35" w:rsidP="00480FB1">
      <w:pPr>
        <w:tabs>
          <w:tab w:val="left" w:pos="540"/>
          <w:tab w:val="left" w:pos="569"/>
        </w:tabs>
        <w:rPr>
          <w:bCs/>
          <w:sz w:val="22"/>
          <w:szCs w:val="22"/>
          <w:lang w:val="sr-Latn-ME"/>
        </w:rPr>
      </w:pPr>
    </w:p>
    <w:p w14:paraId="739AD7CF" w14:textId="77777777" w:rsidR="0072020E" w:rsidRPr="00D759D0" w:rsidRDefault="0072020E" w:rsidP="00480FB1">
      <w:pPr>
        <w:tabs>
          <w:tab w:val="left" w:pos="540"/>
          <w:tab w:val="left" w:pos="569"/>
        </w:tabs>
        <w:rPr>
          <w:b/>
          <w:bCs/>
          <w:sz w:val="22"/>
          <w:szCs w:val="22"/>
          <w:lang w:val="sr-Latn-ME"/>
        </w:rPr>
      </w:pPr>
      <w:r w:rsidRPr="00D759D0">
        <w:rPr>
          <w:b/>
          <w:bCs/>
          <w:sz w:val="22"/>
          <w:szCs w:val="22"/>
          <w:lang w:val="sr-Latn-ME"/>
        </w:rPr>
        <w:t xml:space="preserve">6.1. </w:t>
      </w:r>
      <w:r w:rsidR="00480FB1" w:rsidRPr="00D759D0">
        <w:rPr>
          <w:b/>
          <w:bCs/>
          <w:sz w:val="22"/>
          <w:szCs w:val="22"/>
          <w:lang w:val="sr-Latn-ME"/>
        </w:rPr>
        <w:tab/>
      </w:r>
      <w:r w:rsidRPr="00D759D0">
        <w:rPr>
          <w:b/>
          <w:bCs/>
          <w:sz w:val="22"/>
          <w:szCs w:val="22"/>
          <w:lang w:val="sr-Latn-ME"/>
        </w:rPr>
        <w:t>Lista pomoćnih supstanci</w:t>
      </w:r>
      <w:r w:rsidR="002E0135" w:rsidRPr="00D759D0">
        <w:rPr>
          <w:b/>
          <w:bCs/>
          <w:sz w:val="22"/>
          <w:szCs w:val="22"/>
          <w:lang w:val="sr-Latn-ME"/>
        </w:rPr>
        <w:t xml:space="preserve"> (</w:t>
      </w:r>
      <w:proofErr w:type="spellStart"/>
      <w:r w:rsidR="002E0135" w:rsidRPr="00D759D0">
        <w:rPr>
          <w:b/>
          <w:bCs/>
          <w:sz w:val="22"/>
          <w:szCs w:val="22"/>
          <w:lang w:val="sr-Latn-ME"/>
        </w:rPr>
        <w:t>ekscipijenasa</w:t>
      </w:r>
      <w:proofErr w:type="spellEnd"/>
      <w:r w:rsidR="002E0135" w:rsidRPr="00D759D0">
        <w:rPr>
          <w:b/>
          <w:bCs/>
          <w:sz w:val="22"/>
          <w:szCs w:val="22"/>
          <w:lang w:val="sr-Latn-ME"/>
        </w:rPr>
        <w:t>)</w:t>
      </w:r>
    </w:p>
    <w:p w14:paraId="7AE3BEE0" w14:textId="77777777" w:rsidR="00063330" w:rsidRPr="00D759D0" w:rsidRDefault="00063330" w:rsidP="00480FB1">
      <w:pPr>
        <w:tabs>
          <w:tab w:val="left" w:pos="540"/>
          <w:tab w:val="left" w:pos="569"/>
        </w:tabs>
        <w:rPr>
          <w:b/>
          <w:bCs/>
          <w:sz w:val="22"/>
          <w:szCs w:val="22"/>
          <w:lang w:val="sr-Latn-ME"/>
        </w:rPr>
      </w:pPr>
    </w:p>
    <w:p w14:paraId="6349951D" w14:textId="77777777" w:rsidR="00063330" w:rsidRPr="00D759D0" w:rsidRDefault="00063330" w:rsidP="004F7A28">
      <w:pPr>
        <w:tabs>
          <w:tab w:val="left" w:pos="284"/>
        </w:tabs>
        <w:jc w:val="both"/>
        <w:rPr>
          <w:sz w:val="22"/>
          <w:szCs w:val="22"/>
          <w:lang w:val="sr-Latn-ME"/>
        </w:rPr>
      </w:pPr>
      <w:r w:rsidRPr="00D759D0">
        <w:rPr>
          <w:sz w:val="22"/>
          <w:szCs w:val="22"/>
          <w:lang w:val="sr-Latn-ME"/>
        </w:rPr>
        <w:t>Polikvaternijum-1</w:t>
      </w:r>
    </w:p>
    <w:p w14:paraId="18EA77F1" w14:textId="77777777" w:rsidR="00063330" w:rsidRPr="00D759D0" w:rsidRDefault="00063330" w:rsidP="004F7A28">
      <w:pPr>
        <w:tabs>
          <w:tab w:val="left" w:pos="284"/>
        </w:tabs>
        <w:jc w:val="both"/>
        <w:rPr>
          <w:sz w:val="22"/>
          <w:szCs w:val="22"/>
          <w:lang w:val="sr-Latn-ME"/>
        </w:rPr>
      </w:pPr>
      <w:proofErr w:type="spellStart"/>
      <w:r w:rsidRPr="00D759D0">
        <w:rPr>
          <w:sz w:val="22"/>
          <w:szCs w:val="22"/>
          <w:lang w:val="sr-Latn-ME"/>
        </w:rPr>
        <w:t>Polioksietilen</w:t>
      </w:r>
      <w:proofErr w:type="spellEnd"/>
      <w:r w:rsidRPr="00D759D0">
        <w:rPr>
          <w:sz w:val="22"/>
          <w:szCs w:val="22"/>
          <w:lang w:val="sr-Latn-ME"/>
        </w:rPr>
        <w:t xml:space="preserve"> </w:t>
      </w:r>
      <w:proofErr w:type="spellStart"/>
      <w:r w:rsidRPr="00D759D0">
        <w:rPr>
          <w:sz w:val="22"/>
          <w:szCs w:val="22"/>
          <w:lang w:val="sr-Latn-ME"/>
        </w:rPr>
        <w:t>hidrogenizovano</w:t>
      </w:r>
      <w:proofErr w:type="spellEnd"/>
      <w:r w:rsidRPr="00D759D0">
        <w:rPr>
          <w:sz w:val="22"/>
          <w:szCs w:val="22"/>
          <w:lang w:val="sr-Latn-ME"/>
        </w:rPr>
        <w:t xml:space="preserve"> ricinusovo ulje 40 (</w:t>
      </w:r>
      <w:smartTag w:uri="urn:schemas-microsoft-com:office:smarttags" w:element="stockticker">
        <w:r w:rsidRPr="00D759D0">
          <w:rPr>
            <w:sz w:val="22"/>
            <w:szCs w:val="22"/>
            <w:lang w:val="sr-Latn-ME"/>
          </w:rPr>
          <w:t>HCO</w:t>
        </w:r>
      </w:smartTag>
      <w:r w:rsidRPr="00D759D0">
        <w:rPr>
          <w:sz w:val="22"/>
          <w:szCs w:val="22"/>
          <w:lang w:val="sr-Latn-ME"/>
        </w:rPr>
        <w:t>-40)</w:t>
      </w:r>
    </w:p>
    <w:p w14:paraId="76081C6F" w14:textId="77777777" w:rsidR="00063330" w:rsidRPr="00D759D0" w:rsidRDefault="00063330" w:rsidP="004F7A28">
      <w:pPr>
        <w:tabs>
          <w:tab w:val="left" w:pos="284"/>
        </w:tabs>
        <w:jc w:val="both"/>
        <w:rPr>
          <w:sz w:val="22"/>
          <w:szCs w:val="22"/>
          <w:lang w:val="sr-Latn-ME"/>
        </w:rPr>
      </w:pPr>
      <w:r w:rsidRPr="00D759D0">
        <w:rPr>
          <w:sz w:val="22"/>
          <w:szCs w:val="22"/>
          <w:lang w:val="sr-Latn-ME"/>
        </w:rPr>
        <w:t>Borna kiselina (E284)</w:t>
      </w:r>
    </w:p>
    <w:p w14:paraId="3037BDE5" w14:textId="77777777" w:rsidR="00063330" w:rsidRPr="00D759D0" w:rsidRDefault="00063330" w:rsidP="004F7A28">
      <w:pPr>
        <w:tabs>
          <w:tab w:val="left" w:pos="284"/>
        </w:tabs>
        <w:jc w:val="both"/>
        <w:rPr>
          <w:sz w:val="22"/>
          <w:szCs w:val="22"/>
          <w:lang w:val="sr-Latn-ME"/>
        </w:rPr>
      </w:pPr>
      <w:proofErr w:type="spellStart"/>
      <w:r w:rsidRPr="00D759D0">
        <w:rPr>
          <w:sz w:val="22"/>
          <w:szCs w:val="22"/>
          <w:lang w:val="sr-Latn-ME"/>
        </w:rPr>
        <w:t>Manitol</w:t>
      </w:r>
      <w:proofErr w:type="spellEnd"/>
      <w:r w:rsidRPr="00D759D0">
        <w:rPr>
          <w:sz w:val="22"/>
          <w:szCs w:val="22"/>
          <w:lang w:val="sr-Latn-ME"/>
        </w:rPr>
        <w:t xml:space="preserve"> (E421)</w:t>
      </w:r>
    </w:p>
    <w:p w14:paraId="657CBF80" w14:textId="77777777" w:rsidR="00063330" w:rsidRPr="00D759D0" w:rsidRDefault="00063330" w:rsidP="004F7A28">
      <w:pPr>
        <w:tabs>
          <w:tab w:val="left" w:pos="284"/>
        </w:tabs>
        <w:jc w:val="both"/>
        <w:rPr>
          <w:sz w:val="22"/>
          <w:szCs w:val="22"/>
          <w:lang w:val="sr-Latn-ME"/>
        </w:rPr>
      </w:pPr>
      <w:r w:rsidRPr="00D759D0">
        <w:rPr>
          <w:sz w:val="22"/>
          <w:szCs w:val="22"/>
          <w:lang w:val="sr-Latn-ME"/>
        </w:rPr>
        <w:t>Natrijum hlorid</w:t>
      </w:r>
    </w:p>
    <w:p w14:paraId="7DCB6C03" w14:textId="77777777" w:rsidR="00063330" w:rsidRPr="00D759D0" w:rsidRDefault="00063330" w:rsidP="004F7A28">
      <w:pPr>
        <w:tabs>
          <w:tab w:val="left" w:pos="284"/>
        </w:tabs>
        <w:jc w:val="both"/>
        <w:rPr>
          <w:sz w:val="22"/>
          <w:szCs w:val="22"/>
          <w:lang w:val="sr-Latn-ME"/>
        </w:rPr>
      </w:pPr>
      <w:proofErr w:type="spellStart"/>
      <w:r w:rsidRPr="00D759D0">
        <w:rPr>
          <w:sz w:val="22"/>
          <w:szCs w:val="22"/>
          <w:lang w:val="sr-Latn-ME"/>
        </w:rPr>
        <w:t>Propilen</w:t>
      </w:r>
      <w:proofErr w:type="spellEnd"/>
      <w:r w:rsidRPr="00D759D0">
        <w:rPr>
          <w:sz w:val="22"/>
          <w:szCs w:val="22"/>
          <w:lang w:val="sr-Latn-ME"/>
        </w:rPr>
        <w:t xml:space="preserve"> </w:t>
      </w:r>
      <w:proofErr w:type="spellStart"/>
      <w:r w:rsidRPr="00D759D0">
        <w:rPr>
          <w:sz w:val="22"/>
          <w:szCs w:val="22"/>
          <w:lang w:val="sr-Latn-ME"/>
        </w:rPr>
        <w:t>glikol</w:t>
      </w:r>
      <w:proofErr w:type="spellEnd"/>
      <w:r w:rsidRPr="00D759D0">
        <w:rPr>
          <w:sz w:val="22"/>
          <w:szCs w:val="22"/>
          <w:lang w:val="sr-Latn-ME"/>
        </w:rPr>
        <w:t xml:space="preserve"> (E1520)</w:t>
      </w:r>
    </w:p>
    <w:p w14:paraId="7FFB991C" w14:textId="77777777" w:rsidR="00063330" w:rsidRPr="00D759D0" w:rsidRDefault="00063330" w:rsidP="004F7A28">
      <w:pPr>
        <w:tabs>
          <w:tab w:val="left" w:pos="284"/>
        </w:tabs>
        <w:jc w:val="both"/>
        <w:rPr>
          <w:sz w:val="22"/>
          <w:szCs w:val="22"/>
          <w:lang w:val="sr-Latn-ME"/>
        </w:rPr>
      </w:pPr>
      <w:r w:rsidRPr="00D759D0">
        <w:rPr>
          <w:sz w:val="22"/>
          <w:szCs w:val="22"/>
          <w:lang w:val="sr-Latn-ME"/>
        </w:rPr>
        <w:t xml:space="preserve">Natrijum hidroksid i/ili hlorovodonična kiselina (za podešavanje </w:t>
      </w:r>
      <w:proofErr w:type="spellStart"/>
      <w:r w:rsidRPr="00D759D0">
        <w:rPr>
          <w:sz w:val="22"/>
          <w:szCs w:val="22"/>
          <w:lang w:val="sr-Latn-ME"/>
        </w:rPr>
        <w:t>pH</w:t>
      </w:r>
      <w:proofErr w:type="spellEnd"/>
      <w:r w:rsidRPr="00D759D0">
        <w:rPr>
          <w:sz w:val="22"/>
          <w:szCs w:val="22"/>
          <w:lang w:val="sr-Latn-ME"/>
        </w:rPr>
        <w:t xml:space="preserve">) </w:t>
      </w:r>
    </w:p>
    <w:p w14:paraId="3D177D6C" w14:textId="6ED47E51" w:rsidR="00063330" w:rsidRPr="00D759D0" w:rsidRDefault="00063330" w:rsidP="004F7A28">
      <w:pPr>
        <w:jc w:val="both"/>
        <w:rPr>
          <w:sz w:val="22"/>
          <w:szCs w:val="22"/>
          <w:lang w:val="sr-Latn-ME"/>
        </w:rPr>
      </w:pPr>
      <w:r w:rsidRPr="00D759D0">
        <w:rPr>
          <w:sz w:val="22"/>
          <w:szCs w:val="22"/>
          <w:lang w:val="sr-Latn-ME"/>
        </w:rPr>
        <w:t>Voda, prečišćena</w:t>
      </w:r>
    </w:p>
    <w:p w14:paraId="739AD7D0" w14:textId="77777777" w:rsidR="0072020E" w:rsidRPr="00D759D0" w:rsidRDefault="0072020E" w:rsidP="00480FB1">
      <w:pPr>
        <w:tabs>
          <w:tab w:val="left" w:pos="540"/>
          <w:tab w:val="left" w:pos="569"/>
        </w:tabs>
        <w:rPr>
          <w:bCs/>
          <w:sz w:val="22"/>
          <w:szCs w:val="22"/>
          <w:lang w:val="sr-Latn-ME"/>
        </w:rPr>
      </w:pPr>
    </w:p>
    <w:p w14:paraId="739AD7D1" w14:textId="77777777" w:rsidR="0072020E" w:rsidRPr="00D759D0" w:rsidRDefault="0072020E" w:rsidP="00480FB1">
      <w:pPr>
        <w:tabs>
          <w:tab w:val="left" w:pos="540"/>
          <w:tab w:val="left" w:pos="569"/>
        </w:tabs>
        <w:rPr>
          <w:b/>
          <w:bCs/>
          <w:sz w:val="22"/>
          <w:szCs w:val="22"/>
          <w:lang w:val="sr-Latn-ME"/>
        </w:rPr>
      </w:pPr>
      <w:r w:rsidRPr="00D759D0">
        <w:rPr>
          <w:b/>
          <w:bCs/>
          <w:sz w:val="22"/>
          <w:szCs w:val="22"/>
          <w:lang w:val="sr-Latn-ME"/>
        </w:rPr>
        <w:t xml:space="preserve">6.2. </w:t>
      </w:r>
      <w:r w:rsidR="00480FB1" w:rsidRPr="00D759D0">
        <w:rPr>
          <w:b/>
          <w:bCs/>
          <w:sz w:val="22"/>
          <w:szCs w:val="22"/>
          <w:lang w:val="sr-Latn-ME"/>
        </w:rPr>
        <w:tab/>
      </w:r>
      <w:r w:rsidRPr="00D759D0">
        <w:rPr>
          <w:b/>
          <w:bCs/>
          <w:sz w:val="22"/>
          <w:szCs w:val="22"/>
          <w:lang w:val="sr-Latn-ME"/>
        </w:rPr>
        <w:t>Inkompatibilnost</w:t>
      </w:r>
      <w:r w:rsidR="002846DB" w:rsidRPr="00D759D0">
        <w:rPr>
          <w:b/>
          <w:bCs/>
          <w:sz w:val="22"/>
          <w:szCs w:val="22"/>
          <w:lang w:val="sr-Latn-ME"/>
        </w:rPr>
        <w:t>i</w:t>
      </w:r>
    </w:p>
    <w:p w14:paraId="739AD7D2" w14:textId="77777777" w:rsidR="0072020E" w:rsidRPr="00D759D0" w:rsidRDefault="0072020E" w:rsidP="00480FB1">
      <w:pPr>
        <w:tabs>
          <w:tab w:val="left" w:pos="540"/>
          <w:tab w:val="left" w:pos="569"/>
        </w:tabs>
        <w:rPr>
          <w:bCs/>
          <w:sz w:val="22"/>
          <w:szCs w:val="22"/>
          <w:lang w:val="sr-Latn-ME"/>
        </w:rPr>
      </w:pPr>
    </w:p>
    <w:p w14:paraId="2B45D209"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Nije poznata.</w:t>
      </w:r>
    </w:p>
    <w:p w14:paraId="30976A14" w14:textId="77777777" w:rsidR="00063330" w:rsidRPr="00D759D0" w:rsidRDefault="00063330" w:rsidP="00063330">
      <w:pPr>
        <w:tabs>
          <w:tab w:val="left" w:pos="540"/>
          <w:tab w:val="left" w:pos="569"/>
        </w:tabs>
        <w:jc w:val="both"/>
        <w:rPr>
          <w:bCs/>
          <w:sz w:val="22"/>
          <w:szCs w:val="22"/>
          <w:lang w:val="sr-Latn-ME"/>
        </w:rPr>
      </w:pPr>
    </w:p>
    <w:p w14:paraId="3BCD4DB1"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 xml:space="preserve">Specifične in </w:t>
      </w:r>
      <w:proofErr w:type="spellStart"/>
      <w:r w:rsidRPr="00D759D0">
        <w:rPr>
          <w:bCs/>
          <w:sz w:val="22"/>
          <w:szCs w:val="22"/>
          <w:lang w:val="sr-Latn-ME"/>
        </w:rPr>
        <w:t>vitro</w:t>
      </w:r>
      <w:proofErr w:type="spellEnd"/>
      <w:r w:rsidRPr="00D759D0">
        <w:rPr>
          <w:bCs/>
          <w:sz w:val="22"/>
          <w:szCs w:val="22"/>
          <w:lang w:val="sr-Latn-ME"/>
        </w:rPr>
        <w:t xml:space="preserve"> studije interakcija su sprovedene sa lijekom TRAVATAN i ljekovima koji sadrže </w:t>
      </w:r>
      <w:proofErr w:type="spellStart"/>
      <w:r w:rsidRPr="00D759D0">
        <w:rPr>
          <w:bCs/>
          <w:sz w:val="22"/>
          <w:szCs w:val="22"/>
          <w:lang w:val="sr-Latn-ME"/>
        </w:rPr>
        <w:t>tiomersal</w:t>
      </w:r>
      <w:proofErr w:type="spellEnd"/>
      <w:r w:rsidRPr="00D759D0">
        <w:rPr>
          <w:bCs/>
          <w:sz w:val="22"/>
          <w:szCs w:val="22"/>
          <w:lang w:val="sr-Latn-ME"/>
        </w:rPr>
        <w:t xml:space="preserve">. Nije uočena </w:t>
      </w:r>
      <w:proofErr w:type="spellStart"/>
      <w:r w:rsidRPr="00D759D0">
        <w:rPr>
          <w:bCs/>
          <w:sz w:val="22"/>
          <w:szCs w:val="22"/>
          <w:lang w:val="sr-Latn-ME"/>
        </w:rPr>
        <w:t>precipitacija</w:t>
      </w:r>
      <w:proofErr w:type="spellEnd"/>
      <w:r w:rsidRPr="00D759D0">
        <w:rPr>
          <w:bCs/>
          <w:sz w:val="22"/>
          <w:szCs w:val="22"/>
          <w:lang w:val="sr-Latn-ME"/>
        </w:rPr>
        <w:t>.</w:t>
      </w:r>
    </w:p>
    <w:p w14:paraId="23F93A7F" w14:textId="77777777" w:rsidR="00063330" w:rsidRPr="00D759D0" w:rsidRDefault="00063330" w:rsidP="00480FB1">
      <w:pPr>
        <w:tabs>
          <w:tab w:val="left" w:pos="540"/>
          <w:tab w:val="left" w:pos="569"/>
        </w:tabs>
        <w:rPr>
          <w:bCs/>
          <w:sz w:val="22"/>
          <w:szCs w:val="22"/>
          <w:lang w:val="sr-Latn-ME"/>
        </w:rPr>
      </w:pPr>
    </w:p>
    <w:p w14:paraId="739AD7D3" w14:textId="77777777" w:rsidR="0072020E" w:rsidRPr="00D759D0" w:rsidRDefault="0072020E" w:rsidP="00480FB1">
      <w:pPr>
        <w:tabs>
          <w:tab w:val="left" w:pos="540"/>
          <w:tab w:val="left" w:pos="569"/>
        </w:tabs>
        <w:rPr>
          <w:b/>
          <w:bCs/>
          <w:sz w:val="22"/>
          <w:szCs w:val="22"/>
          <w:lang w:val="sr-Latn-ME"/>
        </w:rPr>
      </w:pPr>
      <w:r w:rsidRPr="00D759D0">
        <w:rPr>
          <w:b/>
          <w:bCs/>
          <w:sz w:val="22"/>
          <w:szCs w:val="22"/>
          <w:lang w:val="sr-Latn-ME"/>
        </w:rPr>
        <w:t>6.3.</w:t>
      </w:r>
      <w:r w:rsidR="00C05DF8" w:rsidRPr="00D759D0">
        <w:rPr>
          <w:b/>
          <w:bCs/>
          <w:sz w:val="22"/>
          <w:szCs w:val="22"/>
          <w:lang w:val="sr-Latn-ME"/>
        </w:rPr>
        <w:t xml:space="preserve"> </w:t>
      </w:r>
      <w:r w:rsidR="00480FB1" w:rsidRPr="00D759D0">
        <w:rPr>
          <w:b/>
          <w:bCs/>
          <w:sz w:val="22"/>
          <w:szCs w:val="22"/>
          <w:lang w:val="sr-Latn-ME"/>
        </w:rPr>
        <w:tab/>
      </w:r>
      <w:r w:rsidRPr="00D759D0">
        <w:rPr>
          <w:b/>
          <w:bCs/>
          <w:sz w:val="22"/>
          <w:szCs w:val="22"/>
          <w:lang w:val="sr-Latn-ME"/>
        </w:rPr>
        <w:t>Rok upotrebe</w:t>
      </w:r>
    </w:p>
    <w:p w14:paraId="0EAB5695" w14:textId="77777777" w:rsidR="00063330" w:rsidRPr="00D759D0" w:rsidRDefault="00063330" w:rsidP="00480FB1">
      <w:pPr>
        <w:tabs>
          <w:tab w:val="left" w:pos="540"/>
          <w:tab w:val="left" w:pos="569"/>
        </w:tabs>
        <w:rPr>
          <w:b/>
          <w:bCs/>
          <w:sz w:val="22"/>
          <w:szCs w:val="22"/>
          <w:lang w:val="sr-Latn-ME"/>
        </w:rPr>
      </w:pPr>
    </w:p>
    <w:p w14:paraId="238C054B"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2 godine.</w:t>
      </w:r>
    </w:p>
    <w:p w14:paraId="739AD7D4" w14:textId="5E255BA2" w:rsidR="0072020E" w:rsidRPr="00D759D0" w:rsidRDefault="00063330" w:rsidP="00063330">
      <w:pPr>
        <w:tabs>
          <w:tab w:val="left" w:pos="540"/>
          <w:tab w:val="left" w:pos="569"/>
        </w:tabs>
        <w:rPr>
          <w:bCs/>
          <w:sz w:val="22"/>
          <w:szCs w:val="22"/>
          <w:lang w:val="sr-Latn-ME"/>
        </w:rPr>
      </w:pPr>
      <w:r w:rsidRPr="00D759D0">
        <w:rPr>
          <w:bCs/>
          <w:sz w:val="22"/>
          <w:szCs w:val="22"/>
          <w:lang w:val="sr-Latn-ME"/>
        </w:rPr>
        <w:t>Rok upotrebe lijeka nakon prvog otvaranja: 4 nedjelje.</w:t>
      </w:r>
    </w:p>
    <w:p w14:paraId="5FFE3E6D" w14:textId="77777777" w:rsidR="00063330" w:rsidRPr="00D759D0" w:rsidRDefault="00063330" w:rsidP="00063330">
      <w:pPr>
        <w:tabs>
          <w:tab w:val="left" w:pos="540"/>
          <w:tab w:val="left" w:pos="569"/>
        </w:tabs>
        <w:rPr>
          <w:bCs/>
          <w:sz w:val="22"/>
          <w:szCs w:val="22"/>
          <w:lang w:val="sr-Latn-ME"/>
        </w:rPr>
      </w:pPr>
    </w:p>
    <w:p w14:paraId="739AD7D5" w14:textId="77777777" w:rsidR="0072020E" w:rsidRPr="00D759D0" w:rsidRDefault="0072020E" w:rsidP="00480FB1">
      <w:pPr>
        <w:tabs>
          <w:tab w:val="left" w:pos="540"/>
          <w:tab w:val="left" w:pos="569"/>
        </w:tabs>
        <w:rPr>
          <w:b/>
          <w:bCs/>
          <w:sz w:val="22"/>
          <w:szCs w:val="22"/>
          <w:lang w:val="sr-Latn-ME"/>
        </w:rPr>
      </w:pPr>
      <w:r w:rsidRPr="00D759D0">
        <w:rPr>
          <w:b/>
          <w:bCs/>
          <w:sz w:val="22"/>
          <w:szCs w:val="22"/>
          <w:lang w:val="sr-Latn-ME"/>
        </w:rPr>
        <w:t xml:space="preserve">6.4. </w:t>
      </w:r>
      <w:r w:rsidR="00480FB1" w:rsidRPr="00D759D0">
        <w:rPr>
          <w:b/>
          <w:bCs/>
          <w:sz w:val="22"/>
          <w:szCs w:val="22"/>
          <w:lang w:val="sr-Latn-ME"/>
        </w:rPr>
        <w:tab/>
      </w:r>
      <w:r w:rsidRPr="00D759D0">
        <w:rPr>
          <w:b/>
          <w:bCs/>
          <w:sz w:val="22"/>
          <w:szCs w:val="22"/>
          <w:lang w:val="sr-Latn-ME"/>
        </w:rPr>
        <w:t>Posebne mjere upozorenja pri čuvanju</w:t>
      </w:r>
      <w:r w:rsidR="00F8570A" w:rsidRPr="00D759D0">
        <w:rPr>
          <w:b/>
          <w:bCs/>
          <w:sz w:val="22"/>
          <w:szCs w:val="22"/>
          <w:lang w:val="sr-Latn-ME"/>
        </w:rPr>
        <w:t xml:space="preserve"> lijeka</w:t>
      </w:r>
    </w:p>
    <w:p w14:paraId="6AD69858" w14:textId="77777777" w:rsidR="00063330" w:rsidRPr="00D759D0" w:rsidRDefault="00063330" w:rsidP="00480FB1">
      <w:pPr>
        <w:tabs>
          <w:tab w:val="left" w:pos="540"/>
          <w:tab w:val="left" w:pos="569"/>
        </w:tabs>
        <w:rPr>
          <w:b/>
          <w:bCs/>
          <w:sz w:val="22"/>
          <w:szCs w:val="22"/>
          <w:lang w:val="sr-Latn-ME"/>
        </w:rPr>
      </w:pPr>
    </w:p>
    <w:p w14:paraId="2B74FD65"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Lijek ne zahtijeva posebne uslove čuvanja.</w:t>
      </w:r>
    </w:p>
    <w:p w14:paraId="739AD7D6" w14:textId="77777777" w:rsidR="00EC2532" w:rsidRPr="00D759D0" w:rsidRDefault="00EC2532" w:rsidP="00480FB1">
      <w:pPr>
        <w:tabs>
          <w:tab w:val="left" w:pos="540"/>
          <w:tab w:val="left" w:pos="569"/>
        </w:tabs>
        <w:rPr>
          <w:bCs/>
          <w:sz w:val="22"/>
          <w:szCs w:val="22"/>
          <w:lang w:val="sr-Latn-ME"/>
        </w:rPr>
      </w:pPr>
    </w:p>
    <w:p w14:paraId="739AD7D7" w14:textId="77777777" w:rsidR="0072020E" w:rsidRPr="00D759D0" w:rsidRDefault="0072020E" w:rsidP="00480FB1">
      <w:pPr>
        <w:tabs>
          <w:tab w:val="left" w:pos="540"/>
          <w:tab w:val="left" w:pos="569"/>
        </w:tabs>
        <w:rPr>
          <w:b/>
          <w:bCs/>
          <w:sz w:val="22"/>
          <w:szCs w:val="22"/>
          <w:lang w:val="sr-Latn-ME"/>
        </w:rPr>
      </w:pPr>
      <w:r w:rsidRPr="00D759D0">
        <w:rPr>
          <w:b/>
          <w:bCs/>
          <w:sz w:val="22"/>
          <w:szCs w:val="22"/>
          <w:lang w:val="sr-Latn-ME"/>
        </w:rPr>
        <w:t xml:space="preserve">6.5. </w:t>
      </w:r>
      <w:r w:rsidR="00480FB1" w:rsidRPr="00D759D0">
        <w:rPr>
          <w:b/>
          <w:bCs/>
          <w:sz w:val="22"/>
          <w:szCs w:val="22"/>
          <w:lang w:val="sr-Latn-ME"/>
        </w:rPr>
        <w:tab/>
      </w:r>
      <w:r w:rsidR="002846DB" w:rsidRPr="00D759D0">
        <w:rPr>
          <w:b/>
          <w:bCs/>
          <w:sz w:val="22"/>
          <w:szCs w:val="22"/>
          <w:lang w:val="sr-Latn-ME"/>
        </w:rPr>
        <w:t xml:space="preserve">Vrsta i sadržaj </w:t>
      </w:r>
      <w:r w:rsidR="00F8570A" w:rsidRPr="00D759D0">
        <w:rPr>
          <w:b/>
          <w:bCs/>
          <w:sz w:val="22"/>
          <w:szCs w:val="22"/>
          <w:lang w:val="sr-Latn-ME"/>
        </w:rPr>
        <w:t>pakovanja</w:t>
      </w:r>
      <w:r w:rsidR="00C06864" w:rsidRPr="00D759D0">
        <w:rPr>
          <w:b/>
          <w:bCs/>
          <w:sz w:val="22"/>
          <w:szCs w:val="22"/>
          <w:lang w:val="sr-Latn-ME"/>
        </w:rPr>
        <w:t xml:space="preserve"> </w:t>
      </w:r>
    </w:p>
    <w:p w14:paraId="2C49C0D4" w14:textId="77777777" w:rsidR="001251DD" w:rsidRPr="00D759D0" w:rsidRDefault="001251DD" w:rsidP="001251DD">
      <w:pPr>
        <w:tabs>
          <w:tab w:val="left" w:pos="540"/>
          <w:tab w:val="left" w:pos="569"/>
        </w:tabs>
        <w:rPr>
          <w:bCs/>
          <w:sz w:val="22"/>
          <w:szCs w:val="22"/>
          <w:lang w:val="sr-Latn-ME"/>
        </w:rPr>
      </w:pPr>
    </w:p>
    <w:p w14:paraId="41001807" w14:textId="77777777" w:rsidR="001251DD" w:rsidRPr="00D759D0" w:rsidRDefault="001251DD" w:rsidP="0061432B">
      <w:pPr>
        <w:tabs>
          <w:tab w:val="left" w:pos="540"/>
          <w:tab w:val="left" w:pos="569"/>
        </w:tabs>
        <w:jc w:val="both"/>
        <w:rPr>
          <w:bCs/>
          <w:sz w:val="22"/>
          <w:szCs w:val="22"/>
          <w:lang w:val="sr-Latn-ME"/>
        </w:rPr>
      </w:pPr>
      <w:r w:rsidRPr="00D759D0">
        <w:rPr>
          <w:bCs/>
          <w:sz w:val="22"/>
          <w:szCs w:val="22"/>
          <w:lang w:val="sr-Latn-ME"/>
        </w:rPr>
        <w:t xml:space="preserve">Unutrašnje pakovanje lijeka je ovalna bočica od </w:t>
      </w:r>
      <w:proofErr w:type="spellStart"/>
      <w:r w:rsidRPr="00D759D0">
        <w:rPr>
          <w:bCs/>
          <w:sz w:val="22"/>
          <w:szCs w:val="22"/>
          <w:lang w:val="sr-Latn-ME"/>
        </w:rPr>
        <w:t>polipropilena</w:t>
      </w:r>
      <w:proofErr w:type="spellEnd"/>
      <w:r w:rsidRPr="00D759D0">
        <w:rPr>
          <w:bCs/>
          <w:sz w:val="22"/>
          <w:szCs w:val="22"/>
          <w:lang w:val="sr-Latn-ME"/>
        </w:rPr>
        <w:t xml:space="preserve"> (PP) ili </w:t>
      </w:r>
      <w:proofErr w:type="spellStart"/>
      <w:r w:rsidRPr="00D759D0">
        <w:rPr>
          <w:bCs/>
          <w:sz w:val="22"/>
          <w:szCs w:val="22"/>
          <w:lang w:val="sr-Latn-ME"/>
        </w:rPr>
        <w:t>polietilena</w:t>
      </w:r>
      <w:proofErr w:type="spellEnd"/>
      <w:r w:rsidRPr="00D759D0">
        <w:rPr>
          <w:bCs/>
          <w:sz w:val="22"/>
          <w:szCs w:val="22"/>
          <w:lang w:val="sr-Latn-ME"/>
        </w:rPr>
        <w:t xml:space="preserve"> niske gustine (LDPE) sa PP ili LDPE </w:t>
      </w:r>
      <w:proofErr w:type="spellStart"/>
      <w:r w:rsidRPr="00D759D0">
        <w:rPr>
          <w:bCs/>
          <w:sz w:val="22"/>
          <w:szCs w:val="22"/>
          <w:lang w:val="sr-Latn-ME"/>
        </w:rPr>
        <w:t>kapaljkom</w:t>
      </w:r>
      <w:proofErr w:type="spellEnd"/>
      <w:r w:rsidRPr="00D759D0">
        <w:rPr>
          <w:bCs/>
          <w:sz w:val="22"/>
          <w:szCs w:val="22"/>
          <w:lang w:val="sr-Latn-ME"/>
        </w:rPr>
        <w:t xml:space="preserve"> i </w:t>
      </w:r>
      <w:proofErr w:type="spellStart"/>
      <w:r w:rsidRPr="00D759D0">
        <w:rPr>
          <w:bCs/>
          <w:sz w:val="22"/>
          <w:szCs w:val="22"/>
          <w:lang w:val="sr-Latn-ME"/>
        </w:rPr>
        <w:t>polipropilenskim</w:t>
      </w:r>
      <w:proofErr w:type="spellEnd"/>
      <w:r w:rsidRPr="00D759D0">
        <w:rPr>
          <w:bCs/>
          <w:sz w:val="22"/>
          <w:szCs w:val="22"/>
          <w:lang w:val="sr-Latn-ME"/>
        </w:rPr>
        <w:t xml:space="preserve"> zatvaračem sa navojem, spakovana u kesicu, koja sadrži 2.5 ml kapi za oči, rastvor. </w:t>
      </w:r>
    </w:p>
    <w:p w14:paraId="08F6AF23" w14:textId="77777777" w:rsidR="005B463B" w:rsidRPr="00D759D0" w:rsidRDefault="005B463B" w:rsidP="001251DD">
      <w:pPr>
        <w:tabs>
          <w:tab w:val="left" w:pos="540"/>
          <w:tab w:val="left" w:pos="569"/>
        </w:tabs>
        <w:rPr>
          <w:bCs/>
          <w:sz w:val="22"/>
          <w:szCs w:val="22"/>
          <w:lang w:val="sr-Latn-ME"/>
        </w:rPr>
      </w:pPr>
    </w:p>
    <w:p w14:paraId="4059CB72" w14:textId="78DBE94A" w:rsidR="001251DD" w:rsidRPr="00D759D0" w:rsidRDefault="001251DD" w:rsidP="007E0F06">
      <w:pPr>
        <w:tabs>
          <w:tab w:val="left" w:pos="540"/>
          <w:tab w:val="left" w:pos="569"/>
        </w:tabs>
        <w:jc w:val="both"/>
        <w:rPr>
          <w:b/>
          <w:bCs/>
          <w:sz w:val="22"/>
          <w:szCs w:val="22"/>
          <w:lang w:val="sr-Latn-ME"/>
        </w:rPr>
      </w:pPr>
      <w:r w:rsidRPr="00D759D0">
        <w:rPr>
          <w:bCs/>
          <w:sz w:val="22"/>
          <w:szCs w:val="22"/>
          <w:lang w:val="sr-Latn-ME"/>
        </w:rPr>
        <w:t xml:space="preserve">Spoljašnje pakovanje lijeka je </w:t>
      </w:r>
      <w:proofErr w:type="spellStart"/>
      <w:r w:rsidRPr="00D759D0">
        <w:rPr>
          <w:bCs/>
          <w:sz w:val="22"/>
          <w:szCs w:val="22"/>
          <w:lang w:val="sr-Latn-ME"/>
        </w:rPr>
        <w:t>složiva</w:t>
      </w:r>
      <w:proofErr w:type="spellEnd"/>
      <w:r w:rsidRPr="00D759D0">
        <w:rPr>
          <w:bCs/>
          <w:sz w:val="22"/>
          <w:szCs w:val="22"/>
          <w:lang w:val="sr-Latn-ME"/>
        </w:rPr>
        <w:t xml:space="preserve"> kartonska kutija u kojoj se nalazi </w:t>
      </w:r>
      <w:proofErr w:type="spellStart"/>
      <w:r w:rsidRPr="00D759D0">
        <w:rPr>
          <w:bCs/>
          <w:sz w:val="22"/>
          <w:szCs w:val="22"/>
          <w:lang w:val="sr-Latn-ME"/>
        </w:rPr>
        <w:t>intermedijerno</w:t>
      </w:r>
      <w:proofErr w:type="spellEnd"/>
      <w:r w:rsidRPr="00D759D0">
        <w:rPr>
          <w:bCs/>
          <w:sz w:val="22"/>
          <w:szCs w:val="22"/>
          <w:lang w:val="sr-Latn-ME"/>
        </w:rPr>
        <w:t xml:space="preserve"> pakovanje (kesica sa 1 bočicom) i Uputstvo za lijek.  </w:t>
      </w:r>
    </w:p>
    <w:p w14:paraId="739AD7D8" w14:textId="77777777" w:rsidR="0072020E" w:rsidRPr="00D759D0" w:rsidRDefault="0072020E" w:rsidP="00480FB1">
      <w:pPr>
        <w:tabs>
          <w:tab w:val="left" w:pos="540"/>
          <w:tab w:val="left" w:pos="569"/>
        </w:tabs>
        <w:rPr>
          <w:bCs/>
          <w:sz w:val="22"/>
          <w:szCs w:val="22"/>
          <w:lang w:val="sr-Latn-ME"/>
        </w:rPr>
      </w:pPr>
    </w:p>
    <w:p w14:paraId="739AD7D9" w14:textId="77777777" w:rsidR="002846DB" w:rsidRPr="00D759D0" w:rsidRDefault="0072020E" w:rsidP="00480FB1">
      <w:pPr>
        <w:tabs>
          <w:tab w:val="left" w:pos="540"/>
          <w:tab w:val="left" w:pos="569"/>
        </w:tabs>
        <w:rPr>
          <w:b/>
          <w:bCs/>
          <w:sz w:val="22"/>
          <w:szCs w:val="22"/>
          <w:lang w:val="sr-Latn-ME"/>
        </w:rPr>
      </w:pPr>
      <w:r w:rsidRPr="00D759D0">
        <w:rPr>
          <w:b/>
          <w:bCs/>
          <w:sz w:val="22"/>
          <w:szCs w:val="22"/>
          <w:lang w:val="sr-Latn-ME"/>
        </w:rPr>
        <w:t xml:space="preserve">6.6. </w:t>
      </w:r>
      <w:r w:rsidR="00480FB1" w:rsidRPr="00D759D0">
        <w:rPr>
          <w:b/>
          <w:bCs/>
          <w:sz w:val="22"/>
          <w:szCs w:val="22"/>
          <w:lang w:val="sr-Latn-ME"/>
        </w:rPr>
        <w:tab/>
      </w:r>
      <w:r w:rsidRPr="00D759D0">
        <w:rPr>
          <w:b/>
          <w:bCs/>
          <w:color w:val="000000"/>
          <w:sz w:val="22"/>
          <w:szCs w:val="22"/>
          <w:lang w:val="sr-Latn-ME"/>
        </w:rPr>
        <w:t>Posebne mjere opreza pri odlaganju materijala koji treba odbaciti nakon primjene lijeka</w:t>
      </w:r>
      <w:r w:rsidRPr="00D759D0">
        <w:rPr>
          <w:b/>
          <w:bCs/>
          <w:sz w:val="22"/>
          <w:szCs w:val="22"/>
          <w:lang w:val="sr-Latn-ME"/>
        </w:rPr>
        <w:t xml:space="preserve"> </w:t>
      </w:r>
      <w:r w:rsidR="00310F03" w:rsidRPr="00D759D0">
        <w:rPr>
          <w:b/>
          <w:bCs/>
          <w:sz w:val="22"/>
          <w:szCs w:val="22"/>
          <w:lang w:val="sr-Latn-ME"/>
        </w:rPr>
        <w:t>(i druga uputs</w:t>
      </w:r>
      <w:r w:rsidR="004109FA" w:rsidRPr="00D759D0">
        <w:rPr>
          <w:b/>
          <w:bCs/>
          <w:sz w:val="22"/>
          <w:szCs w:val="22"/>
          <w:lang w:val="sr-Latn-ME"/>
        </w:rPr>
        <w:t>t</w:t>
      </w:r>
      <w:r w:rsidR="00310F03" w:rsidRPr="00D759D0">
        <w:rPr>
          <w:b/>
          <w:bCs/>
          <w:sz w:val="22"/>
          <w:szCs w:val="22"/>
          <w:lang w:val="sr-Latn-ME"/>
        </w:rPr>
        <w:t xml:space="preserve">va za rukovanje lijekom) </w:t>
      </w:r>
    </w:p>
    <w:p w14:paraId="739AD7DA" w14:textId="77777777" w:rsidR="00B66A70" w:rsidRPr="00D759D0" w:rsidRDefault="00B66A70" w:rsidP="00480FB1">
      <w:pPr>
        <w:tabs>
          <w:tab w:val="left" w:pos="540"/>
          <w:tab w:val="left" w:pos="569"/>
        </w:tabs>
        <w:rPr>
          <w:b/>
          <w:bCs/>
          <w:sz w:val="22"/>
          <w:szCs w:val="22"/>
          <w:lang w:val="sr-Latn-ME"/>
        </w:rPr>
      </w:pPr>
    </w:p>
    <w:p w14:paraId="3D9D72C7" w14:textId="6AF3960B" w:rsidR="00063330" w:rsidRPr="00D759D0" w:rsidRDefault="00063330" w:rsidP="00063330">
      <w:pPr>
        <w:tabs>
          <w:tab w:val="left" w:pos="540"/>
          <w:tab w:val="left" w:pos="569"/>
        </w:tabs>
        <w:jc w:val="both"/>
        <w:rPr>
          <w:sz w:val="22"/>
          <w:szCs w:val="22"/>
          <w:lang w:val="sr-Latn-ME"/>
        </w:rPr>
      </w:pPr>
      <w:r w:rsidRPr="00D759D0">
        <w:rPr>
          <w:sz w:val="22"/>
          <w:szCs w:val="22"/>
          <w:lang w:val="sr-Latn-ME"/>
        </w:rPr>
        <w:t xml:space="preserve">Svu neiskorišćenu količinu lijeka ili otpadnog materijala nakon </w:t>
      </w:r>
      <w:r w:rsidR="00763470">
        <w:rPr>
          <w:sz w:val="22"/>
          <w:szCs w:val="22"/>
          <w:lang w:val="sr-Latn-ME"/>
        </w:rPr>
        <w:t>njegove upotrebe treba ukloniti</w:t>
      </w:r>
      <w:r w:rsidRPr="00D759D0">
        <w:rPr>
          <w:sz w:val="22"/>
          <w:szCs w:val="22"/>
          <w:lang w:val="sr-Latn-ME"/>
        </w:rPr>
        <w:t xml:space="preserve"> u skladu sa važećim propisima. Treba uzeti u obzir da se </w:t>
      </w:r>
      <w:proofErr w:type="spellStart"/>
      <w:r w:rsidRPr="00D759D0">
        <w:rPr>
          <w:sz w:val="22"/>
          <w:szCs w:val="22"/>
          <w:lang w:val="sr-Latn-ME"/>
        </w:rPr>
        <w:t>travoprost</w:t>
      </w:r>
      <w:proofErr w:type="spellEnd"/>
      <w:r w:rsidRPr="00D759D0">
        <w:rPr>
          <w:sz w:val="22"/>
          <w:szCs w:val="22"/>
          <w:lang w:val="sr-Latn-ME"/>
        </w:rPr>
        <w:t xml:space="preserve"> smatra PBT supstancom (vidjeti dio 5.3).</w:t>
      </w:r>
    </w:p>
    <w:p w14:paraId="21E03C87" w14:textId="77777777" w:rsidR="0061432B" w:rsidRPr="00D759D0" w:rsidRDefault="0061432B" w:rsidP="00063330">
      <w:pPr>
        <w:tabs>
          <w:tab w:val="left" w:pos="540"/>
          <w:tab w:val="left" w:pos="569"/>
        </w:tabs>
        <w:jc w:val="both"/>
        <w:rPr>
          <w:sz w:val="22"/>
          <w:szCs w:val="22"/>
          <w:lang w:val="sr-Latn-ME"/>
        </w:rPr>
      </w:pPr>
    </w:p>
    <w:p w14:paraId="739AD7DB" w14:textId="77777777" w:rsidR="0072020E" w:rsidRPr="00D759D0" w:rsidRDefault="0072020E" w:rsidP="00480FB1">
      <w:pPr>
        <w:tabs>
          <w:tab w:val="left" w:pos="540"/>
          <w:tab w:val="left" w:pos="569"/>
        </w:tabs>
        <w:rPr>
          <w:bCs/>
          <w:sz w:val="22"/>
          <w:szCs w:val="22"/>
          <w:lang w:val="sr-Latn-ME"/>
        </w:rPr>
      </w:pPr>
    </w:p>
    <w:p w14:paraId="739AD7DC" w14:textId="77777777" w:rsidR="00F8570A" w:rsidRPr="00D759D0" w:rsidRDefault="0072020E" w:rsidP="00480FB1">
      <w:pPr>
        <w:tabs>
          <w:tab w:val="left" w:pos="540"/>
          <w:tab w:val="left" w:pos="569"/>
        </w:tabs>
        <w:rPr>
          <w:b/>
          <w:bCs/>
          <w:sz w:val="22"/>
          <w:szCs w:val="22"/>
          <w:lang w:val="sr-Latn-ME"/>
        </w:rPr>
      </w:pPr>
      <w:r w:rsidRPr="00D759D0">
        <w:rPr>
          <w:b/>
          <w:bCs/>
          <w:sz w:val="22"/>
          <w:szCs w:val="22"/>
          <w:lang w:val="sr-Latn-ME"/>
        </w:rPr>
        <w:t xml:space="preserve">7. </w:t>
      </w:r>
      <w:r w:rsidR="00480FB1" w:rsidRPr="00D759D0">
        <w:rPr>
          <w:b/>
          <w:bCs/>
          <w:sz w:val="22"/>
          <w:szCs w:val="22"/>
          <w:lang w:val="sr-Latn-ME"/>
        </w:rPr>
        <w:tab/>
      </w:r>
      <w:r w:rsidRPr="00D759D0">
        <w:rPr>
          <w:b/>
          <w:bCs/>
          <w:sz w:val="22"/>
          <w:szCs w:val="22"/>
          <w:lang w:val="sr-Latn-ME"/>
        </w:rPr>
        <w:t>NOSILAC DOZVOLE</w:t>
      </w:r>
      <w:r w:rsidR="00483928" w:rsidRPr="00D759D0">
        <w:rPr>
          <w:b/>
          <w:bCs/>
          <w:sz w:val="22"/>
          <w:szCs w:val="22"/>
          <w:lang w:val="sr-Latn-ME"/>
        </w:rPr>
        <w:t xml:space="preserve"> </w:t>
      </w:r>
    </w:p>
    <w:p w14:paraId="739AD7DD" w14:textId="77777777" w:rsidR="00C61BE0" w:rsidRPr="00D759D0" w:rsidRDefault="00C61BE0" w:rsidP="00480FB1">
      <w:pPr>
        <w:tabs>
          <w:tab w:val="left" w:pos="540"/>
          <w:tab w:val="left" w:pos="569"/>
        </w:tabs>
        <w:rPr>
          <w:bCs/>
          <w:sz w:val="22"/>
          <w:szCs w:val="22"/>
          <w:lang w:val="sr-Latn-ME"/>
        </w:rPr>
      </w:pPr>
    </w:p>
    <w:p w14:paraId="1B0058DD" w14:textId="77777777" w:rsidR="00063330" w:rsidRPr="00D759D0" w:rsidRDefault="00063330" w:rsidP="00063330">
      <w:pPr>
        <w:autoSpaceDE w:val="0"/>
        <w:autoSpaceDN w:val="0"/>
        <w:adjustRightInd w:val="0"/>
        <w:rPr>
          <w:color w:val="000000"/>
          <w:sz w:val="22"/>
          <w:szCs w:val="22"/>
          <w:lang w:val="sr-Latn-ME"/>
        </w:rPr>
      </w:pPr>
      <w:r w:rsidRPr="00D759D0">
        <w:rPr>
          <w:color w:val="000000"/>
          <w:sz w:val="22"/>
          <w:szCs w:val="22"/>
          <w:lang w:val="sr-Latn-ME"/>
        </w:rPr>
        <w:t>“</w:t>
      </w:r>
      <w:proofErr w:type="spellStart"/>
      <w:r w:rsidRPr="00D759D0">
        <w:rPr>
          <w:color w:val="000000"/>
          <w:sz w:val="22"/>
          <w:szCs w:val="22"/>
          <w:lang w:val="sr-Latn-ME"/>
        </w:rPr>
        <w:t>Novartis</w:t>
      </w:r>
      <w:proofErr w:type="spellEnd"/>
      <w:r w:rsidRPr="00D759D0">
        <w:rPr>
          <w:color w:val="000000"/>
          <w:sz w:val="22"/>
          <w:szCs w:val="22"/>
          <w:lang w:val="sr-Latn-ME"/>
        </w:rPr>
        <w:t xml:space="preserve"> Pharma </w:t>
      </w:r>
      <w:proofErr w:type="spellStart"/>
      <w:r w:rsidRPr="00D759D0">
        <w:rPr>
          <w:color w:val="000000"/>
          <w:sz w:val="22"/>
          <w:szCs w:val="22"/>
          <w:lang w:val="sr-Latn-ME"/>
        </w:rPr>
        <w:t>Services</w:t>
      </w:r>
      <w:proofErr w:type="spellEnd"/>
      <w:r w:rsidRPr="00D759D0">
        <w:rPr>
          <w:color w:val="000000"/>
          <w:sz w:val="22"/>
          <w:szCs w:val="22"/>
          <w:lang w:val="sr-Latn-ME"/>
        </w:rPr>
        <w:t xml:space="preserve"> AG” dio stranog društva Podgorica, </w:t>
      </w:r>
    </w:p>
    <w:p w14:paraId="775DD8E5" w14:textId="65D729F4" w:rsidR="00063330" w:rsidRPr="00D759D0" w:rsidRDefault="00063330" w:rsidP="00063330">
      <w:pPr>
        <w:tabs>
          <w:tab w:val="left" w:pos="540"/>
          <w:tab w:val="left" w:pos="569"/>
        </w:tabs>
        <w:jc w:val="both"/>
        <w:rPr>
          <w:sz w:val="22"/>
          <w:szCs w:val="22"/>
          <w:lang w:val="sr-Latn-ME"/>
        </w:rPr>
      </w:pPr>
      <w:proofErr w:type="spellStart"/>
      <w:r w:rsidRPr="00D759D0">
        <w:rPr>
          <w:sz w:val="22"/>
          <w:szCs w:val="22"/>
          <w:lang w:val="sr-Latn-ME"/>
        </w:rPr>
        <w:t>Svetlane</w:t>
      </w:r>
      <w:proofErr w:type="spellEnd"/>
      <w:r w:rsidRPr="00D759D0">
        <w:rPr>
          <w:sz w:val="22"/>
          <w:szCs w:val="22"/>
          <w:lang w:val="sr-Latn-ME"/>
        </w:rPr>
        <w:t xml:space="preserve"> Kane </w:t>
      </w:r>
      <w:proofErr w:type="spellStart"/>
      <w:r w:rsidRPr="00D759D0">
        <w:rPr>
          <w:sz w:val="22"/>
          <w:szCs w:val="22"/>
          <w:lang w:val="sr-Latn-ME"/>
        </w:rPr>
        <w:t>Radević</w:t>
      </w:r>
      <w:proofErr w:type="spellEnd"/>
      <w:r w:rsidRPr="00D759D0">
        <w:rPr>
          <w:sz w:val="22"/>
          <w:szCs w:val="22"/>
          <w:lang w:val="sr-Latn-ME"/>
        </w:rPr>
        <w:t xml:space="preserve"> 3, 81000 Podgorica, Crna Gora </w:t>
      </w:r>
    </w:p>
    <w:p w14:paraId="0A715627" w14:textId="77777777" w:rsidR="007E0F06" w:rsidRPr="00D759D0" w:rsidRDefault="007E0F06" w:rsidP="00063330">
      <w:pPr>
        <w:tabs>
          <w:tab w:val="left" w:pos="540"/>
          <w:tab w:val="left" w:pos="569"/>
        </w:tabs>
        <w:jc w:val="both"/>
        <w:rPr>
          <w:sz w:val="22"/>
          <w:szCs w:val="22"/>
          <w:lang w:val="sr-Latn-ME"/>
        </w:rPr>
      </w:pPr>
    </w:p>
    <w:p w14:paraId="739AD7DE" w14:textId="77777777" w:rsidR="00C37FD7" w:rsidRPr="00D759D0" w:rsidRDefault="00C37FD7" w:rsidP="00480FB1">
      <w:pPr>
        <w:tabs>
          <w:tab w:val="left" w:pos="540"/>
          <w:tab w:val="left" w:pos="569"/>
        </w:tabs>
        <w:rPr>
          <w:bCs/>
          <w:sz w:val="22"/>
          <w:szCs w:val="22"/>
          <w:lang w:val="sr-Latn-ME"/>
        </w:rPr>
      </w:pPr>
    </w:p>
    <w:p w14:paraId="739AD7DF" w14:textId="77777777" w:rsidR="0072020E" w:rsidRPr="00D759D0" w:rsidRDefault="0072020E" w:rsidP="00480FB1">
      <w:pPr>
        <w:tabs>
          <w:tab w:val="left" w:pos="540"/>
          <w:tab w:val="left" w:pos="569"/>
        </w:tabs>
        <w:rPr>
          <w:b/>
          <w:bCs/>
          <w:sz w:val="22"/>
          <w:szCs w:val="22"/>
          <w:lang w:val="sr-Latn-ME"/>
        </w:rPr>
      </w:pPr>
      <w:r w:rsidRPr="00D759D0">
        <w:rPr>
          <w:b/>
          <w:bCs/>
          <w:sz w:val="22"/>
          <w:szCs w:val="22"/>
          <w:lang w:val="sr-Latn-ME"/>
        </w:rPr>
        <w:t xml:space="preserve">8. </w:t>
      </w:r>
      <w:r w:rsidR="00480FB1" w:rsidRPr="00D759D0">
        <w:rPr>
          <w:b/>
          <w:bCs/>
          <w:sz w:val="22"/>
          <w:szCs w:val="22"/>
          <w:lang w:val="sr-Latn-ME"/>
        </w:rPr>
        <w:tab/>
      </w:r>
      <w:r w:rsidRPr="00D759D0">
        <w:rPr>
          <w:b/>
          <w:bCs/>
          <w:sz w:val="22"/>
          <w:szCs w:val="22"/>
          <w:lang w:val="sr-Latn-ME"/>
        </w:rPr>
        <w:t>BROJ DOZVOLE</w:t>
      </w:r>
      <w:r w:rsidR="008A6D43" w:rsidRPr="00D759D0">
        <w:rPr>
          <w:b/>
          <w:bCs/>
          <w:sz w:val="22"/>
          <w:szCs w:val="22"/>
          <w:lang w:val="sr-Latn-ME"/>
        </w:rPr>
        <w:t xml:space="preserve"> ZA STAVLJANJE LIJEKA U PROMET</w:t>
      </w:r>
    </w:p>
    <w:p w14:paraId="739AD7E0" w14:textId="37EDB799" w:rsidR="0072020E" w:rsidRPr="00D759D0" w:rsidRDefault="0072020E" w:rsidP="00480FB1">
      <w:pPr>
        <w:tabs>
          <w:tab w:val="left" w:pos="540"/>
          <w:tab w:val="left" w:pos="569"/>
        </w:tabs>
        <w:rPr>
          <w:bCs/>
          <w:sz w:val="22"/>
          <w:szCs w:val="22"/>
          <w:lang w:val="sr-Latn-ME"/>
        </w:rPr>
      </w:pPr>
    </w:p>
    <w:p w14:paraId="4E954D0B" w14:textId="79367378" w:rsidR="00D759D0" w:rsidRPr="00D759D0" w:rsidRDefault="00D759D0" w:rsidP="00D759D0">
      <w:pPr>
        <w:rPr>
          <w:b/>
          <w:sz w:val="22"/>
          <w:szCs w:val="22"/>
          <w:lang w:val="sr-Latn-ME"/>
        </w:rPr>
      </w:pPr>
      <w:r w:rsidRPr="00D759D0">
        <w:rPr>
          <w:sz w:val="22"/>
          <w:szCs w:val="22"/>
          <w:lang w:val="sr-Latn-ME"/>
        </w:rPr>
        <w:t xml:space="preserve">2030/25/1470 – 3615 </w:t>
      </w:r>
    </w:p>
    <w:p w14:paraId="35A94B43" w14:textId="77777777" w:rsidR="0061432B" w:rsidRPr="00D759D0" w:rsidRDefault="0061432B" w:rsidP="00480FB1">
      <w:pPr>
        <w:tabs>
          <w:tab w:val="left" w:pos="540"/>
          <w:tab w:val="left" w:pos="569"/>
        </w:tabs>
        <w:rPr>
          <w:bCs/>
          <w:sz w:val="22"/>
          <w:szCs w:val="22"/>
          <w:lang w:val="sr-Latn-ME"/>
        </w:rPr>
      </w:pPr>
    </w:p>
    <w:p w14:paraId="739AD7E1" w14:textId="77777777" w:rsidR="00F45F77" w:rsidRPr="00D759D0" w:rsidRDefault="00F45F77" w:rsidP="00480FB1">
      <w:pPr>
        <w:tabs>
          <w:tab w:val="left" w:pos="540"/>
          <w:tab w:val="left" w:pos="569"/>
        </w:tabs>
        <w:rPr>
          <w:bCs/>
          <w:sz w:val="22"/>
          <w:szCs w:val="22"/>
          <w:lang w:val="sr-Latn-ME"/>
        </w:rPr>
      </w:pPr>
    </w:p>
    <w:p w14:paraId="739AD7E2" w14:textId="77777777" w:rsidR="0072020E" w:rsidRPr="00D759D0" w:rsidRDefault="0072020E" w:rsidP="00480FB1">
      <w:pPr>
        <w:tabs>
          <w:tab w:val="left" w:pos="540"/>
          <w:tab w:val="left" w:pos="569"/>
        </w:tabs>
        <w:rPr>
          <w:b/>
          <w:bCs/>
          <w:sz w:val="22"/>
          <w:szCs w:val="22"/>
          <w:lang w:val="sr-Latn-ME"/>
        </w:rPr>
      </w:pPr>
      <w:r w:rsidRPr="00D759D0">
        <w:rPr>
          <w:b/>
          <w:bCs/>
          <w:sz w:val="22"/>
          <w:szCs w:val="22"/>
          <w:lang w:val="sr-Latn-ME"/>
        </w:rPr>
        <w:t xml:space="preserve">9. </w:t>
      </w:r>
      <w:r w:rsidR="00480FB1" w:rsidRPr="00D759D0">
        <w:rPr>
          <w:b/>
          <w:bCs/>
          <w:sz w:val="22"/>
          <w:szCs w:val="22"/>
          <w:lang w:val="sr-Latn-ME"/>
        </w:rPr>
        <w:tab/>
      </w:r>
      <w:r w:rsidRPr="00D759D0">
        <w:rPr>
          <w:b/>
          <w:bCs/>
          <w:sz w:val="22"/>
          <w:szCs w:val="22"/>
          <w:lang w:val="sr-Latn-ME"/>
        </w:rPr>
        <w:t xml:space="preserve">DATUM </w:t>
      </w:r>
      <w:r w:rsidR="00C05DF8" w:rsidRPr="00D759D0">
        <w:rPr>
          <w:b/>
          <w:bCs/>
          <w:sz w:val="22"/>
          <w:szCs w:val="22"/>
          <w:lang w:val="sr-Latn-ME"/>
        </w:rPr>
        <w:t xml:space="preserve">PRVE </w:t>
      </w:r>
      <w:r w:rsidR="008A6D43" w:rsidRPr="00D759D0">
        <w:rPr>
          <w:b/>
          <w:bCs/>
          <w:sz w:val="22"/>
          <w:szCs w:val="22"/>
          <w:lang w:val="sr-Latn-ME"/>
        </w:rPr>
        <w:t>DOZVOLE</w:t>
      </w:r>
      <w:r w:rsidR="00C05DF8" w:rsidRPr="00D759D0">
        <w:rPr>
          <w:b/>
          <w:bCs/>
          <w:sz w:val="22"/>
          <w:szCs w:val="22"/>
          <w:lang w:val="sr-Latn-ME"/>
        </w:rPr>
        <w:t>/OBNOVE DOZVOLE</w:t>
      </w:r>
      <w:r w:rsidR="008A6D43" w:rsidRPr="00D759D0">
        <w:rPr>
          <w:b/>
          <w:bCs/>
          <w:sz w:val="22"/>
          <w:szCs w:val="22"/>
          <w:lang w:val="sr-Latn-ME"/>
        </w:rPr>
        <w:t xml:space="preserve"> ZA STAVLJANJE LIJEKA U PROMET</w:t>
      </w:r>
    </w:p>
    <w:p w14:paraId="739AD7E3" w14:textId="77777777" w:rsidR="0072020E" w:rsidRPr="00D759D0" w:rsidRDefault="0072020E" w:rsidP="00480FB1">
      <w:pPr>
        <w:tabs>
          <w:tab w:val="left" w:pos="540"/>
          <w:tab w:val="left" w:pos="569"/>
        </w:tabs>
        <w:rPr>
          <w:bCs/>
          <w:sz w:val="22"/>
          <w:szCs w:val="22"/>
          <w:lang w:val="sr-Latn-ME"/>
        </w:rPr>
      </w:pPr>
    </w:p>
    <w:p w14:paraId="327D8804" w14:textId="77777777" w:rsidR="00063330" w:rsidRPr="00D759D0" w:rsidRDefault="00063330" w:rsidP="00063330">
      <w:pPr>
        <w:tabs>
          <w:tab w:val="left" w:pos="540"/>
          <w:tab w:val="left" w:pos="569"/>
        </w:tabs>
        <w:jc w:val="both"/>
        <w:rPr>
          <w:bCs/>
          <w:sz w:val="22"/>
          <w:szCs w:val="22"/>
          <w:lang w:val="sr-Latn-ME"/>
        </w:rPr>
      </w:pPr>
      <w:r w:rsidRPr="00D759D0">
        <w:rPr>
          <w:bCs/>
          <w:sz w:val="22"/>
          <w:szCs w:val="22"/>
          <w:lang w:val="sr-Latn-ME"/>
        </w:rPr>
        <w:t>Datum prve dozvole: 17.12.2014. godine</w:t>
      </w:r>
    </w:p>
    <w:p w14:paraId="1D0C7C53" w14:textId="6C64145D" w:rsidR="0061432B" w:rsidRPr="00D759D0" w:rsidRDefault="00063330" w:rsidP="00063330">
      <w:pPr>
        <w:tabs>
          <w:tab w:val="left" w:pos="540"/>
          <w:tab w:val="left" w:pos="569"/>
        </w:tabs>
        <w:jc w:val="both"/>
        <w:rPr>
          <w:bCs/>
          <w:sz w:val="22"/>
          <w:szCs w:val="22"/>
          <w:lang w:val="sr-Latn-ME"/>
        </w:rPr>
      </w:pPr>
      <w:r w:rsidRPr="00D759D0">
        <w:rPr>
          <w:bCs/>
          <w:sz w:val="22"/>
          <w:szCs w:val="22"/>
          <w:lang w:val="sr-Latn-ME"/>
        </w:rPr>
        <w:t>Datum posljednje obnove dozvole:</w:t>
      </w:r>
      <w:r w:rsidR="00D759D0" w:rsidRPr="00D759D0">
        <w:rPr>
          <w:sz w:val="22"/>
          <w:szCs w:val="22"/>
          <w:lang w:val="sr-Latn-ME"/>
        </w:rPr>
        <w:t xml:space="preserve"> </w:t>
      </w:r>
      <w:r w:rsidR="00D759D0" w:rsidRPr="00D759D0">
        <w:rPr>
          <w:sz w:val="22"/>
          <w:szCs w:val="22"/>
          <w:lang w:val="sr-Latn-ME"/>
        </w:rPr>
        <w:t>24.03.2025. godine</w:t>
      </w:r>
    </w:p>
    <w:p w14:paraId="739AD7E4" w14:textId="313A5CDA" w:rsidR="00836B35" w:rsidRPr="00D759D0" w:rsidRDefault="00836B35" w:rsidP="00480FB1">
      <w:pPr>
        <w:tabs>
          <w:tab w:val="left" w:pos="540"/>
          <w:tab w:val="left" w:pos="569"/>
        </w:tabs>
        <w:rPr>
          <w:bCs/>
          <w:sz w:val="22"/>
          <w:szCs w:val="22"/>
          <w:lang w:val="sr-Latn-ME"/>
        </w:rPr>
      </w:pPr>
      <w:bookmarkStart w:id="2" w:name="_GoBack"/>
      <w:bookmarkEnd w:id="2"/>
    </w:p>
    <w:p w14:paraId="2708E3B3" w14:textId="77777777" w:rsidR="00D759D0" w:rsidRPr="00D759D0" w:rsidRDefault="00D759D0" w:rsidP="00480FB1">
      <w:pPr>
        <w:tabs>
          <w:tab w:val="left" w:pos="540"/>
          <w:tab w:val="left" w:pos="569"/>
        </w:tabs>
        <w:rPr>
          <w:bCs/>
          <w:sz w:val="22"/>
          <w:szCs w:val="22"/>
          <w:lang w:val="sr-Latn-ME"/>
        </w:rPr>
      </w:pPr>
    </w:p>
    <w:p w14:paraId="739AD7E5" w14:textId="77777777" w:rsidR="003F6A59" w:rsidRPr="00D759D0" w:rsidRDefault="0072020E" w:rsidP="00C05DF8">
      <w:pPr>
        <w:tabs>
          <w:tab w:val="left" w:pos="540"/>
          <w:tab w:val="left" w:pos="569"/>
        </w:tabs>
        <w:ind w:left="540" w:hanging="540"/>
        <w:rPr>
          <w:bCs/>
          <w:sz w:val="22"/>
          <w:szCs w:val="22"/>
          <w:lang w:val="sr-Latn-ME"/>
        </w:rPr>
      </w:pPr>
      <w:r w:rsidRPr="00D759D0">
        <w:rPr>
          <w:b/>
          <w:bCs/>
          <w:sz w:val="22"/>
          <w:szCs w:val="22"/>
          <w:lang w:val="sr-Latn-ME"/>
        </w:rPr>
        <w:t xml:space="preserve">10. </w:t>
      </w:r>
      <w:r w:rsidR="00480FB1" w:rsidRPr="00D759D0">
        <w:rPr>
          <w:b/>
          <w:bCs/>
          <w:sz w:val="22"/>
          <w:szCs w:val="22"/>
          <w:lang w:val="sr-Latn-ME"/>
        </w:rPr>
        <w:tab/>
      </w:r>
      <w:r w:rsidR="002846DB" w:rsidRPr="00D759D0">
        <w:rPr>
          <w:b/>
          <w:bCs/>
          <w:sz w:val="22"/>
          <w:szCs w:val="22"/>
          <w:lang w:val="sr-Latn-ME"/>
        </w:rPr>
        <w:t>D</w:t>
      </w:r>
      <w:r w:rsidR="00EC2532" w:rsidRPr="00D759D0">
        <w:rPr>
          <w:b/>
          <w:bCs/>
          <w:sz w:val="22"/>
          <w:szCs w:val="22"/>
          <w:lang w:val="sr-Latn-ME"/>
        </w:rPr>
        <w:t xml:space="preserve">ATUM REVIZIJE TEKSTA </w:t>
      </w:r>
    </w:p>
    <w:p w14:paraId="739AD7E6" w14:textId="77777777" w:rsidR="003F6A59" w:rsidRPr="00D759D0" w:rsidRDefault="003F6A59" w:rsidP="00480FB1">
      <w:pPr>
        <w:tabs>
          <w:tab w:val="left" w:pos="540"/>
          <w:tab w:val="left" w:pos="569"/>
        </w:tabs>
        <w:rPr>
          <w:bCs/>
          <w:sz w:val="22"/>
          <w:szCs w:val="22"/>
          <w:lang w:val="sr-Latn-ME"/>
        </w:rPr>
      </w:pPr>
    </w:p>
    <w:p w14:paraId="739AD7E7" w14:textId="325D6409" w:rsidR="008A6D43" w:rsidRPr="00D759D0" w:rsidRDefault="00D759D0" w:rsidP="00480FB1">
      <w:pPr>
        <w:tabs>
          <w:tab w:val="left" w:pos="540"/>
          <w:tab w:val="left" w:pos="569"/>
        </w:tabs>
        <w:rPr>
          <w:bCs/>
          <w:sz w:val="22"/>
          <w:szCs w:val="22"/>
          <w:lang w:val="sr-Latn-ME"/>
        </w:rPr>
      </w:pPr>
      <w:r w:rsidRPr="00D759D0">
        <w:rPr>
          <w:bCs/>
          <w:sz w:val="22"/>
          <w:szCs w:val="22"/>
          <w:lang w:val="sr-Latn-ME"/>
        </w:rPr>
        <w:t>Mart, 2025. godine</w:t>
      </w:r>
    </w:p>
    <w:p w14:paraId="739AD7EE" w14:textId="77777777" w:rsidR="003F6A59" w:rsidRPr="00D759D0" w:rsidRDefault="003F6A59" w:rsidP="00DE3F5C">
      <w:pPr>
        <w:rPr>
          <w:sz w:val="22"/>
          <w:szCs w:val="22"/>
          <w:lang w:val="sr-Latn-ME"/>
        </w:rPr>
      </w:pPr>
    </w:p>
    <w:sectPr w:rsidR="003F6A59" w:rsidRPr="00D759D0"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45595" w14:textId="77777777" w:rsidR="00B25A11" w:rsidRDefault="00B25A11">
      <w:r>
        <w:separator/>
      </w:r>
    </w:p>
  </w:endnote>
  <w:endnote w:type="continuationSeparator" w:id="0">
    <w:p w14:paraId="080981CA" w14:textId="77777777" w:rsidR="00B25A11" w:rsidRDefault="00B2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AD7F7" w14:textId="6BB91999"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63470">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63470">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E6D6E" w14:textId="77777777" w:rsidR="00B25A11" w:rsidRDefault="00B25A11">
      <w:r>
        <w:separator/>
      </w:r>
    </w:p>
  </w:footnote>
  <w:footnote w:type="continuationSeparator" w:id="0">
    <w:p w14:paraId="059B627E" w14:textId="77777777" w:rsidR="00B25A11" w:rsidRDefault="00B25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5.5pt;height:15.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63330"/>
    <w:rsid w:val="00075E28"/>
    <w:rsid w:val="00076726"/>
    <w:rsid w:val="00080303"/>
    <w:rsid w:val="00083D02"/>
    <w:rsid w:val="00093539"/>
    <w:rsid w:val="000A3F58"/>
    <w:rsid w:val="000D2343"/>
    <w:rsid w:val="000D3449"/>
    <w:rsid w:val="000D425A"/>
    <w:rsid w:val="000D60CC"/>
    <w:rsid w:val="000E2084"/>
    <w:rsid w:val="000E6F55"/>
    <w:rsid w:val="000F707F"/>
    <w:rsid w:val="000F77FA"/>
    <w:rsid w:val="00104FA0"/>
    <w:rsid w:val="00107BF7"/>
    <w:rsid w:val="001251DD"/>
    <w:rsid w:val="00126F53"/>
    <w:rsid w:val="0014766D"/>
    <w:rsid w:val="001536CC"/>
    <w:rsid w:val="001A3FBA"/>
    <w:rsid w:val="001A5518"/>
    <w:rsid w:val="001B1C6A"/>
    <w:rsid w:val="001C1263"/>
    <w:rsid w:val="001C1417"/>
    <w:rsid w:val="001E390B"/>
    <w:rsid w:val="001F40B0"/>
    <w:rsid w:val="001F42FB"/>
    <w:rsid w:val="001F719A"/>
    <w:rsid w:val="002023E2"/>
    <w:rsid w:val="002031B3"/>
    <w:rsid w:val="00215931"/>
    <w:rsid w:val="00224C91"/>
    <w:rsid w:val="00227BDB"/>
    <w:rsid w:val="00234CB1"/>
    <w:rsid w:val="002352F8"/>
    <w:rsid w:val="002510A5"/>
    <w:rsid w:val="00254A0A"/>
    <w:rsid w:val="002620B6"/>
    <w:rsid w:val="00266046"/>
    <w:rsid w:val="002846DB"/>
    <w:rsid w:val="00284CCD"/>
    <w:rsid w:val="002C6637"/>
    <w:rsid w:val="002E0135"/>
    <w:rsid w:val="002E28ED"/>
    <w:rsid w:val="002E37A5"/>
    <w:rsid w:val="00310F03"/>
    <w:rsid w:val="003247D2"/>
    <w:rsid w:val="003445C1"/>
    <w:rsid w:val="00355B61"/>
    <w:rsid w:val="00362686"/>
    <w:rsid w:val="00371510"/>
    <w:rsid w:val="0038009A"/>
    <w:rsid w:val="00396DFD"/>
    <w:rsid w:val="003A7059"/>
    <w:rsid w:val="003B7A36"/>
    <w:rsid w:val="003C17AB"/>
    <w:rsid w:val="003C7823"/>
    <w:rsid w:val="003E1DCC"/>
    <w:rsid w:val="003E3494"/>
    <w:rsid w:val="003F11A1"/>
    <w:rsid w:val="003F4FAB"/>
    <w:rsid w:val="003F6A59"/>
    <w:rsid w:val="004065C8"/>
    <w:rsid w:val="004109FA"/>
    <w:rsid w:val="00411B4B"/>
    <w:rsid w:val="00415BEE"/>
    <w:rsid w:val="004254E9"/>
    <w:rsid w:val="00427F85"/>
    <w:rsid w:val="00436D43"/>
    <w:rsid w:val="00436F42"/>
    <w:rsid w:val="004378B4"/>
    <w:rsid w:val="00451314"/>
    <w:rsid w:val="00452E9D"/>
    <w:rsid w:val="004534C7"/>
    <w:rsid w:val="004671AA"/>
    <w:rsid w:val="00471DF8"/>
    <w:rsid w:val="00480FB1"/>
    <w:rsid w:val="00483928"/>
    <w:rsid w:val="004C331F"/>
    <w:rsid w:val="004C45E5"/>
    <w:rsid w:val="004D6103"/>
    <w:rsid w:val="004E3BCE"/>
    <w:rsid w:val="004E70AD"/>
    <w:rsid w:val="004F0E97"/>
    <w:rsid w:val="004F17E2"/>
    <w:rsid w:val="004F3065"/>
    <w:rsid w:val="004F7A28"/>
    <w:rsid w:val="00501DD1"/>
    <w:rsid w:val="00515C21"/>
    <w:rsid w:val="00517F9D"/>
    <w:rsid w:val="00530BD7"/>
    <w:rsid w:val="00545CD2"/>
    <w:rsid w:val="005476F3"/>
    <w:rsid w:val="00572527"/>
    <w:rsid w:val="00573E40"/>
    <w:rsid w:val="00576348"/>
    <w:rsid w:val="005A0B2E"/>
    <w:rsid w:val="005A23D2"/>
    <w:rsid w:val="005A36CB"/>
    <w:rsid w:val="005B463B"/>
    <w:rsid w:val="005B49B8"/>
    <w:rsid w:val="005C0741"/>
    <w:rsid w:val="005C4FB9"/>
    <w:rsid w:val="005C5EF4"/>
    <w:rsid w:val="005E2E0B"/>
    <w:rsid w:val="005E67AD"/>
    <w:rsid w:val="005E7A7D"/>
    <w:rsid w:val="00602457"/>
    <w:rsid w:val="0061432B"/>
    <w:rsid w:val="00644FC3"/>
    <w:rsid w:val="00646BD1"/>
    <w:rsid w:val="006561C2"/>
    <w:rsid w:val="00671CB3"/>
    <w:rsid w:val="00674BAF"/>
    <w:rsid w:val="00682200"/>
    <w:rsid w:val="00692BF6"/>
    <w:rsid w:val="006A1351"/>
    <w:rsid w:val="006A1497"/>
    <w:rsid w:val="006B0BD1"/>
    <w:rsid w:val="006B5404"/>
    <w:rsid w:val="006B6503"/>
    <w:rsid w:val="006D20A5"/>
    <w:rsid w:val="006D37BF"/>
    <w:rsid w:val="00702E22"/>
    <w:rsid w:val="0072020E"/>
    <w:rsid w:val="00754902"/>
    <w:rsid w:val="00763470"/>
    <w:rsid w:val="00786071"/>
    <w:rsid w:val="007A20EC"/>
    <w:rsid w:val="007A3ECB"/>
    <w:rsid w:val="007D7BB3"/>
    <w:rsid w:val="007E0F06"/>
    <w:rsid w:val="007E31E9"/>
    <w:rsid w:val="007F05E3"/>
    <w:rsid w:val="007F661E"/>
    <w:rsid w:val="00824AB9"/>
    <w:rsid w:val="00836B35"/>
    <w:rsid w:val="00843BDE"/>
    <w:rsid w:val="00856AA7"/>
    <w:rsid w:val="0087588C"/>
    <w:rsid w:val="0089705C"/>
    <w:rsid w:val="008A6D43"/>
    <w:rsid w:val="008B2817"/>
    <w:rsid w:val="008B491E"/>
    <w:rsid w:val="008C1A28"/>
    <w:rsid w:val="008C2E98"/>
    <w:rsid w:val="008E49BD"/>
    <w:rsid w:val="008E53E9"/>
    <w:rsid w:val="008E5771"/>
    <w:rsid w:val="008F073B"/>
    <w:rsid w:val="008F4ACF"/>
    <w:rsid w:val="00921D15"/>
    <w:rsid w:val="00924166"/>
    <w:rsid w:val="00940B9B"/>
    <w:rsid w:val="00950F03"/>
    <w:rsid w:val="00953573"/>
    <w:rsid w:val="0095676E"/>
    <w:rsid w:val="00956983"/>
    <w:rsid w:val="00957966"/>
    <w:rsid w:val="00963CF0"/>
    <w:rsid w:val="00964BB1"/>
    <w:rsid w:val="009775D9"/>
    <w:rsid w:val="00981E9A"/>
    <w:rsid w:val="00997175"/>
    <w:rsid w:val="009A1847"/>
    <w:rsid w:val="009B062A"/>
    <w:rsid w:val="009B2360"/>
    <w:rsid w:val="009E36DA"/>
    <w:rsid w:val="009E7C6F"/>
    <w:rsid w:val="009F1793"/>
    <w:rsid w:val="009F2D23"/>
    <w:rsid w:val="00A01D69"/>
    <w:rsid w:val="00A02335"/>
    <w:rsid w:val="00A46C9A"/>
    <w:rsid w:val="00A619F3"/>
    <w:rsid w:val="00A62A73"/>
    <w:rsid w:val="00A87FF6"/>
    <w:rsid w:val="00AA0A3B"/>
    <w:rsid w:val="00AA2763"/>
    <w:rsid w:val="00AA33B6"/>
    <w:rsid w:val="00AB50CA"/>
    <w:rsid w:val="00AB6D64"/>
    <w:rsid w:val="00AC53CE"/>
    <w:rsid w:val="00AD2193"/>
    <w:rsid w:val="00AF19F4"/>
    <w:rsid w:val="00AF2AC7"/>
    <w:rsid w:val="00AF45AF"/>
    <w:rsid w:val="00AF74CE"/>
    <w:rsid w:val="00B208DB"/>
    <w:rsid w:val="00B23F69"/>
    <w:rsid w:val="00B25A11"/>
    <w:rsid w:val="00B60619"/>
    <w:rsid w:val="00B66A70"/>
    <w:rsid w:val="00B67366"/>
    <w:rsid w:val="00B80EE1"/>
    <w:rsid w:val="00B84135"/>
    <w:rsid w:val="00BD382F"/>
    <w:rsid w:val="00C04D34"/>
    <w:rsid w:val="00C05609"/>
    <w:rsid w:val="00C05DF8"/>
    <w:rsid w:val="00C06864"/>
    <w:rsid w:val="00C10F54"/>
    <w:rsid w:val="00C23D8D"/>
    <w:rsid w:val="00C37AA3"/>
    <w:rsid w:val="00C37FD7"/>
    <w:rsid w:val="00C43419"/>
    <w:rsid w:val="00C44CF3"/>
    <w:rsid w:val="00C61BE0"/>
    <w:rsid w:val="00C6707E"/>
    <w:rsid w:val="00C70B0E"/>
    <w:rsid w:val="00C773CA"/>
    <w:rsid w:val="00C83785"/>
    <w:rsid w:val="00C87FA8"/>
    <w:rsid w:val="00C90852"/>
    <w:rsid w:val="00C93727"/>
    <w:rsid w:val="00C94C0D"/>
    <w:rsid w:val="00CA1FEB"/>
    <w:rsid w:val="00CD4F85"/>
    <w:rsid w:val="00CD6F02"/>
    <w:rsid w:val="00CE246D"/>
    <w:rsid w:val="00CF07A0"/>
    <w:rsid w:val="00CF3E03"/>
    <w:rsid w:val="00D000A8"/>
    <w:rsid w:val="00D0082A"/>
    <w:rsid w:val="00D21455"/>
    <w:rsid w:val="00D47634"/>
    <w:rsid w:val="00D709B3"/>
    <w:rsid w:val="00D74CD2"/>
    <w:rsid w:val="00D759D0"/>
    <w:rsid w:val="00DA2ED6"/>
    <w:rsid w:val="00DA5C04"/>
    <w:rsid w:val="00DB1D55"/>
    <w:rsid w:val="00DB76B8"/>
    <w:rsid w:val="00DC2EA1"/>
    <w:rsid w:val="00DD6AAF"/>
    <w:rsid w:val="00DE3F5C"/>
    <w:rsid w:val="00DF1D20"/>
    <w:rsid w:val="00E032DC"/>
    <w:rsid w:val="00E21324"/>
    <w:rsid w:val="00E246B9"/>
    <w:rsid w:val="00E31FEA"/>
    <w:rsid w:val="00E45169"/>
    <w:rsid w:val="00E47787"/>
    <w:rsid w:val="00E51C30"/>
    <w:rsid w:val="00E64180"/>
    <w:rsid w:val="00E7235D"/>
    <w:rsid w:val="00E74AEE"/>
    <w:rsid w:val="00E868E5"/>
    <w:rsid w:val="00E91805"/>
    <w:rsid w:val="00E9237A"/>
    <w:rsid w:val="00E939FA"/>
    <w:rsid w:val="00EA5765"/>
    <w:rsid w:val="00EB4A2A"/>
    <w:rsid w:val="00EB7CA1"/>
    <w:rsid w:val="00EC2532"/>
    <w:rsid w:val="00EC51C1"/>
    <w:rsid w:val="00ED7812"/>
    <w:rsid w:val="00EE43C1"/>
    <w:rsid w:val="00EF3B86"/>
    <w:rsid w:val="00F0071F"/>
    <w:rsid w:val="00F065E3"/>
    <w:rsid w:val="00F20AB5"/>
    <w:rsid w:val="00F317E9"/>
    <w:rsid w:val="00F34554"/>
    <w:rsid w:val="00F35B68"/>
    <w:rsid w:val="00F45F77"/>
    <w:rsid w:val="00F5167F"/>
    <w:rsid w:val="00F52258"/>
    <w:rsid w:val="00F8570A"/>
    <w:rsid w:val="00F91C7B"/>
    <w:rsid w:val="00FC5165"/>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39AD77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06333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A6F08-C279-4203-A672-0A1A005F0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3633</Words>
  <Characters>20713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24298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Ninoslava Lalatović</cp:lastModifiedBy>
  <cp:revision>7</cp:revision>
  <cp:lastPrinted>2023-02-09T08:16:00Z</cp:lastPrinted>
  <dcterms:created xsi:type="dcterms:W3CDTF">2025-03-04T06:57:00Z</dcterms:created>
  <dcterms:modified xsi:type="dcterms:W3CDTF">2025-03-24T12:34:00Z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c9bec58-8084-492e-8360-0e1cfe36408c_Enabled">
    <vt:lpwstr>true</vt:lpwstr>
  </property>
  <property fmtid="{D5CDD505-2E9C-101B-9397-08002B2CF9AE}" pid="4" name="MSIP_Label_3c9bec58-8084-492e-8360-0e1cfe36408c_SetDate">
    <vt:lpwstr>2025-02-24T16:30:03Z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a936f7f5-3d85-4a8b-bbee-32277c1609be</vt:lpwstr>
  </property>
  <property fmtid="{D5CDD505-2E9C-101B-9397-08002B2CF9AE}" pid="9" name="MSIP_Label_3c9bec58-8084-492e-8360-0e1cfe36408c_ContentBits">
    <vt:lpwstr>0</vt:lpwstr>
  </property>
  <property fmtid="{D5CDD505-2E9C-101B-9397-08002B2CF9AE}" pid="10" name="MSIP_Label_3c9bec58-8084-492e-8360-0e1cfe36408c_Tag">
    <vt:lpwstr>10, 3, 0, 1</vt:lpwstr>
  </property>
</Properties>
</file>