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09C65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45CCCDF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72C5C5B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3BDFE4A1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1752B89A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71149C88" w14:textId="77777777" w:rsidR="003C17AB" w:rsidRPr="00E41F3C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CS"/>
        </w:rPr>
      </w:pPr>
    </w:p>
    <w:p w14:paraId="3EC60870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4E3E946B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51D09DA5" w14:textId="77777777" w:rsidR="00EC2532" w:rsidRPr="00E41F3C" w:rsidRDefault="00EC2532">
      <w:pPr>
        <w:rPr>
          <w:sz w:val="22"/>
          <w:szCs w:val="22"/>
        </w:rPr>
      </w:pPr>
    </w:p>
    <w:p w14:paraId="4B3C9570" w14:textId="7C340124" w:rsidR="00107BF7" w:rsidRPr="00E41F3C" w:rsidRDefault="00E41F3C">
      <w:pPr>
        <w:rPr>
          <w:sz w:val="22"/>
          <w:szCs w:val="22"/>
          <w:lang w:val="sr-Latn-ME"/>
        </w:rPr>
      </w:pPr>
      <w:r w:rsidRPr="00E41F3C">
        <w:rPr>
          <w:sz w:val="22"/>
          <w:szCs w:val="22"/>
          <w:lang w:val="sr-Latn-ME"/>
        </w:rPr>
        <w:t>Synopen</w:t>
      </w:r>
      <w:r w:rsidR="00C37FD7" w:rsidRPr="00E41F3C">
        <w:rPr>
          <w:sz w:val="22"/>
          <w:szCs w:val="22"/>
          <w:lang w:val="sr-Latn-ME"/>
        </w:rPr>
        <w:t xml:space="preserve">, </w:t>
      </w:r>
      <w:r w:rsidRPr="00E41F3C">
        <w:rPr>
          <w:sz w:val="22"/>
          <w:szCs w:val="22"/>
        </w:rPr>
        <w:t>20 mg/2 m</w:t>
      </w:r>
      <w:r w:rsidR="00CA4B32">
        <w:rPr>
          <w:sz w:val="22"/>
          <w:szCs w:val="22"/>
        </w:rPr>
        <w:t>l</w:t>
      </w:r>
      <w:r w:rsidRPr="00E41F3C">
        <w:rPr>
          <w:sz w:val="22"/>
          <w:szCs w:val="22"/>
        </w:rPr>
        <w:t>, rastvor za injekciju</w:t>
      </w:r>
    </w:p>
    <w:p w14:paraId="6E3DC300" w14:textId="77777777" w:rsidR="000D425A" w:rsidRPr="00E41F3C" w:rsidRDefault="000D425A">
      <w:pPr>
        <w:rPr>
          <w:bCs/>
          <w:sz w:val="22"/>
          <w:szCs w:val="22"/>
        </w:rPr>
      </w:pPr>
    </w:p>
    <w:p w14:paraId="526EC49F" w14:textId="148A250F" w:rsidR="006D20A5" w:rsidRPr="00786071" w:rsidRDefault="006D20A5" w:rsidP="006D20A5">
      <w:pPr>
        <w:rPr>
          <w:sz w:val="22"/>
          <w:szCs w:val="22"/>
          <w:lang w:val="sr-Latn-CS"/>
        </w:rPr>
      </w:pPr>
      <w:r w:rsidRPr="00E41F3C">
        <w:rPr>
          <w:sz w:val="22"/>
          <w:szCs w:val="22"/>
        </w:rPr>
        <w:t>INN:</w:t>
      </w:r>
      <w:r w:rsidR="00E41F3C">
        <w:rPr>
          <w:sz w:val="22"/>
          <w:szCs w:val="22"/>
        </w:rPr>
        <w:t xml:space="preserve"> </w:t>
      </w:r>
      <w:r w:rsidR="00E41F3C" w:rsidRPr="00E41F3C">
        <w:rPr>
          <w:sz w:val="22"/>
          <w:szCs w:val="22"/>
        </w:rPr>
        <w:t>hloropiramin</w:t>
      </w:r>
    </w:p>
    <w:p w14:paraId="235533B1" w14:textId="7BCF674A" w:rsidR="00530BD7" w:rsidRDefault="00530BD7">
      <w:pPr>
        <w:rPr>
          <w:bCs/>
          <w:sz w:val="22"/>
          <w:szCs w:val="22"/>
        </w:rPr>
      </w:pPr>
    </w:p>
    <w:p w14:paraId="5EBA8B00" w14:textId="77777777" w:rsidR="00921EA9" w:rsidRPr="00E41F3C" w:rsidRDefault="00921EA9">
      <w:pPr>
        <w:rPr>
          <w:bCs/>
          <w:sz w:val="22"/>
          <w:szCs w:val="22"/>
        </w:rPr>
      </w:pPr>
    </w:p>
    <w:p w14:paraId="16ACC760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7D695895" w14:textId="77777777" w:rsidR="005A0B2E" w:rsidRDefault="005A0B2E">
      <w:pPr>
        <w:rPr>
          <w:sz w:val="22"/>
          <w:szCs w:val="22"/>
          <w:lang w:val="sr-Latn-CS"/>
        </w:rPr>
      </w:pPr>
    </w:p>
    <w:p w14:paraId="4DBEBC7A" w14:textId="15FD81F9" w:rsidR="00E41F3C" w:rsidRDefault="00E41F3C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 ampula (</w:t>
      </w:r>
      <w:r w:rsidRPr="00E41F3C">
        <w:rPr>
          <w:sz w:val="22"/>
          <w:szCs w:val="22"/>
          <w:lang w:val="sr-Latn-CS"/>
        </w:rPr>
        <w:t xml:space="preserve">2 </w:t>
      </w:r>
      <w:r w:rsidRPr="00E41F3C">
        <w:rPr>
          <w:sz w:val="22"/>
          <w:szCs w:val="22"/>
        </w:rPr>
        <w:t>m</w:t>
      </w:r>
      <w:r>
        <w:rPr>
          <w:sz w:val="22"/>
          <w:szCs w:val="22"/>
        </w:rPr>
        <w:t>l</w:t>
      </w:r>
      <w:r w:rsidRPr="00E41F3C">
        <w:rPr>
          <w:sz w:val="22"/>
          <w:szCs w:val="22"/>
          <w:lang w:val="sr-Latn-CS"/>
        </w:rPr>
        <w:t>)</w:t>
      </w:r>
      <w:r>
        <w:rPr>
          <w:sz w:val="22"/>
          <w:szCs w:val="22"/>
          <w:lang w:val="sr-Latn-CS"/>
        </w:rPr>
        <w:t xml:space="preserve"> s</w:t>
      </w:r>
      <w:r w:rsidRPr="00E41F3C">
        <w:rPr>
          <w:sz w:val="22"/>
          <w:szCs w:val="22"/>
        </w:rPr>
        <w:t>adr</w:t>
      </w:r>
      <w:r w:rsidRPr="00E41F3C">
        <w:rPr>
          <w:sz w:val="22"/>
          <w:szCs w:val="22"/>
          <w:lang w:val="sr-Latn-CS"/>
        </w:rPr>
        <w:t>ž</w:t>
      </w:r>
      <w:r w:rsidRPr="00E41F3C">
        <w:rPr>
          <w:sz w:val="22"/>
          <w:szCs w:val="22"/>
        </w:rPr>
        <w:t>i</w:t>
      </w:r>
      <w:r w:rsidRPr="00E41F3C">
        <w:rPr>
          <w:sz w:val="22"/>
          <w:szCs w:val="22"/>
          <w:lang w:val="sr-Latn-CS"/>
        </w:rPr>
        <w:t xml:space="preserve"> 20 </w:t>
      </w:r>
      <w:r w:rsidRPr="00E41F3C">
        <w:rPr>
          <w:sz w:val="22"/>
          <w:szCs w:val="22"/>
        </w:rPr>
        <w:t>mg</w:t>
      </w:r>
      <w:r w:rsidRPr="00E41F3C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</w:rPr>
        <w:t>hloropiramin</w:t>
      </w:r>
      <w:r w:rsidR="00CA4B32" w:rsidRPr="00ED5262">
        <w:rPr>
          <w:sz w:val="22"/>
          <w:szCs w:val="22"/>
          <w:lang w:val="sr-Latn-CS"/>
        </w:rPr>
        <w:t xml:space="preserve"> </w:t>
      </w:r>
      <w:r w:rsidR="008E7FEF">
        <w:rPr>
          <w:sz w:val="22"/>
          <w:szCs w:val="22"/>
          <w:lang w:val="sr-Latn-CS"/>
        </w:rPr>
        <w:t>hidro</w:t>
      </w:r>
      <w:r w:rsidRPr="00E41F3C">
        <w:rPr>
          <w:sz w:val="22"/>
          <w:szCs w:val="22"/>
        </w:rPr>
        <w:t>hlorida</w:t>
      </w:r>
      <w:r w:rsidRPr="00E41F3C">
        <w:rPr>
          <w:sz w:val="22"/>
          <w:szCs w:val="22"/>
          <w:lang w:val="sr-Latn-CS"/>
        </w:rPr>
        <w:t>.</w:t>
      </w:r>
    </w:p>
    <w:p w14:paraId="26CBABC8" w14:textId="77777777" w:rsidR="00E41F3C" w:rsidRPr="00E41F3C" w:rsidRDefault="00E41F3C">
      <w:pPr>
        <w:rPr>
          <w:sz w:val="22"/>
          <w:szCs w:val="22"/>
          <w:lang w:val="sr-Latn-CS"/>
        </w:rPr>
      </w:pPr>
    </w:p>
    <w:p w14:paraId="18690968" w14:textId="6E89D851" w:rsidR="0003793F" w:rsidRDefault="0003793F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109AAA82" w14:textId="7087E4F0" w:rsidR="00C37FD7" w:rsidRDefault="00C37FD7">
      <w:pPr>
        <w:rPr>
          <w:sz w:val="22"/>
          <w:szCs w:val="22"/>
          <w:lang w:val="sr-Latn-CS"/>
        </w:rPr>
      </w:pPr>
    </w:p>
    <w:p w14:paraId="2866BD28" w14:textId="77777777" w:rsidR="00921EA9" w:rsidRPr="00786071" w:rsidRDefault="00921EA9">
      <w:pPr>
        <w:rPr>
          <w:sz w:val="22"/>
          <w:szCs w:val="22"/>
          <w:lang w:val="sr-Latn-CS"/>
        </w:rPr>
      </w:pPr>
    </w:p>
    <w:p w14:paraId="188BFAE5" w14:textId="77777777" w:rsidR="00411B4B" w:rsidRPr="00E41F3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41F3C">
        <w:rPr>
          <w:b/>
          <w:bCs/>
          <w:sz w:val="22"/>
          <w:szCs w:val="22"/>
          <w:lang w:val="pl-PL"/>
        </w:rPr>
        <w:t xml:space="preserve">3. </w:t>
      </w:r>
      <w:r w:rsidR="00F5167F" w:rsidRPr="00E41F3C">
        <w:rPr>
          <w:b/>
          <w:bCs/>
          <w:sz w:val="22"/>
          <w:szCs w:val="22"/>
          <w:lang w:val="pl-PL"/>
        </w:rPr>
        <w:tab/>
      </w:r>
      <w:r w:rsidRPr="00E41F3C">
        <w:rPr>
          <w:b/>
          <w:bCs/>
          <w:sz w:val="22"/>
          <w:szCs w:val="22"/>
          <w:lang w:val="pl-PL"/>
        </w:rPr>
        <w:t>FARMACEUTSKI OBLIK</w:t>
      </w:r>
      <w:r w:rsidR="009F2D23" w:rsidRPr="00E41F3C">
        <w:rPr>
          <w:b/>
          <w:bCs/>
          <w:sz w:val="22"/>
          <w:szCs w:val="22"/>
          <w:lang w:val="pl-PL"/>
        </w:rPr>
        <w:t xml:space="preserve"> </w:t>
      </w:r>
    </w:p>
    <w:p w14:paraId="4D24E979" w14:textId="77777777" w:rsidR="00411B4B" w:rsidRDefault="00411B4B">
      <w:pPr>
        <w:rPr>
          <w:bCs/>
          <w:sz w:val="22"/>
          <w:szCs w:val="22"/>
          <w:lang w:val="sr-Latn-CS"/>
        </w:rPr>
      </w:pPr>
    </w:p>
    <w:p w14:paraId="469B320B" w14:textId="77777777" w:rsidR="00E41F3C" w:rsidRPr="00E41F3C" w:rsidRDefault="00E41F3C" w:rsidP="00E41F3C">
      <w:pPr>
        <w:rPr>
          <w:bCs/>
          <w:sz w:val="22"/>
          <w:szCs w:val="22"/>
          <w:lang w:val="sr-Latn-CS"/>
        </w:rPr>
      </w:pPr>
      <w:r w:rsidRPr="00ED5262">
        <w:rPr>
          <w:bCs/>
          <w:sz w:val="22"/>
          <w:szCs w:val="22"/>
          <w:lang w:val="pl-PL"/>
        </w:rPr>
        <w:t>Rastvor</w:t>
      </w:r>
      <w:r w:rsidRPr="00E41F3C">
        <w:rPr>
          <w:bCs/>
          <w:sz w:val="22"/>
          <w:szCs w:val="22"/>
          <w:lang w:val="sr-Latn-CS"/>
        </w:rPr>
        <w:t xml:space="preserve"> </w:t>
      </w:r>
      <w:r w:rsidRPr="00ED5262">
        <w:rPr>
          <w:bCs/>
          <w:sz w:val="22"/>
          <w:szCs w:val="22"/>
          <w:lang w:val="pl-PL"/>
        </w:rPr>
        <w:t>za</w:t>
      </w:r>
      <w:r w:rsidRPr="00E41F3C">
        <w:rPr>
          <w:bCs/>
          <w:sz w:val="22"/>
          <w:szCs w:val="22"/>
          <w:lang w:val="sr-Latn-CS"/>
        </w:rPr>
        <w:t xml:space="preserve"> </w:t>
      </w:r>
      <w:r w:rsidRPr="00ED5262">
        <w:rPr>
          <w:bCs/>
          <w:sz w:val="22"/>
          <w:szCs w:val="22"/>
          <w:lang w:val="pl-PL"/>
        </w:rPr>
        <w:t>injekciju</w:t>
      </w:r>
      <w:r w:rsidRPr="00E41F3C">
        <w:rPr>
          <w:bCs/>
          <w:sz w:val="22"/>
          <w:szCs w:val="22"/>
          <w:lang w:val="sr-Latn-CS"/>
        </w:rPr>
        <w:t>.</w:t>
      </w:r>
    </w:p>
    <w:p w14:paraId="0DC7275E" w14:textId="27DCDD36" w:rsidR="00E41F3C" w:rsidRPr="00786071" w:rsidRDefault="00E41F3C">
      <w:pPr>
        <w:rPr>
          <w:bCs/>
          <w:sz w:val="22"/>
          <w:szCs w:val="22"/>
          <w:lang w:val="sr-Latn-CS"/>
        </w:rPr>
      </w:pPr>
      <w:r w:rsidRPr="00E41F3C">
        <w:rPr>
          <w:bCs/>
          <w:sz w:val="22"/>
          <w:szCs w:val="22"/>
          <w:lang w:val="sv-SE"/>
        </w:rPr>
        <w:t>Bistar</w:t>
      </w:r>
      <w:r w:rsidRPr="00E41F3C">
        <w:rPr>
          <w:bCs/>
          <w:sz w:val="22"/>
          <w:szCs w:val="22"/>
          <w:lang w:val="sr-Latn-CS"/>
        </w:rPr>
        <w:t xml:space="preserve">, </w:t>
      </w:r>
      <w:r w:rsidRPr="00E41F3C">
        <w:rPr>
          <w:bCs/>
          <w:sz w:val="22"/>
          <w:szCs w:val="22"/>
          <w:lang w:val="sv-SE"/>
        </w:rPr>
        <w:t>bezbojan</w:t>
      </w:r>
      <w:r w:rsidRPr="00ED5262">
        <w:rPr>
          <w:bCs/>
          <w:sz w:val="22"/>
          <w:szCs w:val="22"/>
          <w:lang w:val="sr-Latn-CS"/>
        </w:rPr>
        <w:t xml:space="preserve">, </w:t>
      </w:r>
      <w:r w:rsidRPr="00E41F3C">
        <w:rPr>
          <w:bCs/>
          <w:sz w:val="22"/>
          <w:szCs w:val="22"/>
          <w:lang w:val="sv-SE"/>
        </w:rPr>
        <w:t>sterilan</w:t>
      </w:r>
      <w:r w:rsidRPr="00E41F3C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sv-SE"/>
        </w:rPr>
        <w:t>rastvor</w:t>
      </w:r>
      <w:r w:rsidRPr="00E41F3C">
        <w:rPr>
          <w:bCs/>
          <w:sz w:val="22"/>
          <w:szCs w:val="22"/>
          <w:lang w:val="sr-Latn-CS"/>
        </w:rPr>
        <w:t>.</w:t>
      </w:r>
    </w:p>
    <w:p w14:paraId="1C1DAF56" w14:textId="6B8EFCB3" w:rsidR="00EC2532" w:rsidRDefault="00EC2532">
      <w:pPr>
        <w:rPr>
          <w:bCs/>
          <w:sz w:val="22"/>
          <w:szCs w:val="22"/>
          <w:lang w:val="sr-Latn-CS"/>
        </w:rPr>
      </w:pPr>
    </w:p>
    <w:p w14:paraId="678145E7" w14:textId="77777777" w:rsidR="00921EA9" w:rsidRPr="00786071" w:rsidRDefault="00921EA9">
      <w:pPr>
        <w:rPr>
          <w:bCs/>
          <w:sz w:val="22"/>
          <w:szCs w:val="22"/>
          <w:lang w:val="sr-Latn-CS"/>
        </w:rPr>
      </w:pPr>
    </w:p>
    <w:p w14:paraId="39DC2AB1" w14:textId="77777777" w:rsidR="00411B4B" w:rsidRPr="00ED526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D5262">
        <w:rPr>
          <w:b/>
          <w:bCs/>
          <w:sz w:val="22"/>
          <w:szCs w:val="22"/>
          <w:lang w:val="sr-Latn-CS"/>
        </w:rPr>
        <w:t xml:space="preserve">4. </w:t>
      </w:r>
      <w:r w:rsidR="00480FB1" w:rsidRPr="00ED5262">
        <w:rPr>
          <w:b/>
          <w:bCs/>
          <w:sz w:val="22"/>
          <w:szCs w:val="22"/>
          <w:lang w:val="sr-Latn-CS"/>
        </w:rPr>
        <w:tab/>
      </w:r>
      <w:r w:rsidRPr="00E41F3C">
        <w:rPr>
          <w:b/>
          <w:bCs/>
          <w:sz w:val="22"/>
          <w:szCs w:val="22"/>
          <w:lang w:val="pl-PL"/>
        </w:rPr>
        <w:t>KLINI</w:t>
      </w:r>
      <w:r w:rsidRPr="00ED5262">
        <w:rPr>
          <w:b/>
          <w:bCs/>
          <w:sz w:val="22"/>
          <w:szCs w:val="22"/>
          <w:lang w:val="sr-Latn-CS"/>
        </w:rPr>
        <w:t>Č</w:t>
      </w:r>
      <w:r w:rsidRPr="00E41F3C">
        <w:rPr>
          <w:b/>
          <w:bCs/>
          <w:sz w:val="22"/>
          <w:szCs w:val="22"/>
          <w:lang w:val="pl-PL"/>
        </w:rPr>
        <w:t>KI</w:t>
      </w:r>
      <w:r w:rsidRPr="00ED5262">
        <w:rPr>
          <w:b/>
          <w:bCs/>
          <w:sz w:val="22"/>
          <w:szCs w:val="22"/>
          <w:lang w:val="sr-Latn-CS"/>
        </w:rPr>
        <w:t xml:space="preserve"> </w:t>
      </w:r>
      <w:r w:rsidRPr="00E41F3C">
        <w:rPr>
          <w:b/>
          <w:bCs/>
          <w:sz w:val="22"/>
          <w:szCs w:val="22"/>
          <w:lang w:val="pl-PL"/>
        </w:rPr>
        <w:t>PODACI</w:t>
      </w:r>
    </w:p>
    <w:p w14:paraId="4E5EA7D5" w14:textId="77777777" w:rsidR="00CD6F02" w:rsidRPr="00ED5262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05986EC" w14:textId="77777777" w:rsidR="00411B4B" w:rsidRPr="00ED526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D5262">
        <w:rPr>
          <w:b/>
          <w:bCs/>
          <w:sz w:val="22"/>
          <w:szCs w:val="22"/>
          <w:lang w:val="sr-Latn-CS"/>
        </w:rPr>
        <w:t xml:space="preserve">4.1. </w:t>
      </w:r>
      <w:r w:rsidR="00480FB1" w:rsidRPr="00ED5262">
        <w:rPr>
          <w:b/>
          <w:bCs/>
          <w:sz w:val="22"/>
          <w:szCs w:val="22"/>
          <w:lang w:val="sr-Latn-CS"/>
        </w:rPr>
        <w:tab/>
      </w:r>
      <w:r w:rsidRPr="00E41F3C">
        <w:rPr>
          <w:b/>
          <w:bCs/>
          <w:sz w:val="22"/>
          <w:szCs w:val="22"/>
          <w:lang w:val="pl-PL"/>
        </w:rPr>
        <w:t>Terapijske</w:t>
      </w:r>
      <w:r w:rsidRPr="00ED5262">
        <w:rPr>
          <w:b/>
          <w:bCs/>
          <w:sz w:val="22"/>
          <w:szCs w:val="22"/>
          <w:lang w:val="sr-Latn-CS"/>
        </w:rPr>
        <w:t xml:space="preserve"> </w:t>
      </w:r>
      <w:r w:rsidRPr="00E41F3C">
        <w:rPr>
          <w:b/>
          <w:bCs/>
          <w:sz w:val="22"/>
          <w:szCs w:val="22"/>
          <w:lang w:val="pl-PL"/>
        </w:rPr>
        <w:t>indikacije</w:t>
      </w:r>
    </w:p>
    <w:p w14:paraId="2B2407CB" w14:textId="77777777" w:rsidR="00E41F3C" w:rsidRPr="00ED5262" w:rsidRDefault="00E41F3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61571BF0" w14:textId="4A8517BD" w:rsidR="00E41F3C" w:rsidRPr="00ED5262" w:rsidRDefault="00E41F3C" w:rsidP="00E41F3C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E41F3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E41F3C">
        <w:rPr>
          <w:sz w:val="22"/>
          <w:szCs w:val="22"/>
          <w:lang w:val="pl-PL"/>
        </w:rPr>
        <w:t>ek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Synopen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rastvor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za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injekciju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indikovan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je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u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terapiji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akutnih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alergijskih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reakcija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posebno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u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ranoj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fazi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kada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se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osloba</w:t>
      </w:r>
      <w:r w:rsidRPr="00ED5262">
        <w:rPr>
          <w:sz w:val="22"/>
          <w:szCs w:val="22"/>
          <w:lang w:val="sr-Latn-CS"/>
        </w:rPr>
        <w:t>đ</w:t>
      </w:r>
      <w:r w:rsidRPr="00E41F3C">
        <w:rPr>
          <w:sz w:val="22"/>
          <w:szCs w:val="22"/>
          <w:lang w:val="pl-PL"/>
        </w:rPr>
        <w:t>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velika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koli</w:t>
      </w:r>
      <w:r w:rsidRPr="00ED5262">
        <w:rPr>
          <w:sz w:val="22"/>
          <w:szCs w:val="22"/>
          <w:lang w:val="sr-Latn-CS"/>
        </w:rPr>
        <w:t>č</w:t>
      </w:r>
      <w:r w:rsidRPr="00E41F3C">
        <w:rPr>
          <w:sz w:val="22"/>
          <w:szCs w:val="22"/>
          <w:lang w:val="pl-PL"/>
        </w:rPr>
        <w:t>ina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histamina</w:t>
      </w:r>
      <w:r w:rsidRPr="00ED5262">
        <w:rPr>
          <w:sz w:val="22"/>
          <w:szCs w:val="22"/>
          <w:lang w:val="sr-Latn-CS"/>
        </w:rPr>
        <w:t xml:space="preserve">: </w:t>
      </w:r>
      <w:r w:rsidRPr="00E41F3C">
        <w:rPr>
          <w:sz w:val="22"/>
          <w:szCs w:val="22"/>
          <w:lang w:val="pl-PL"/>
        </w:rPr>
        <w:t>urtikarija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angioedem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preos</w:t>
      </w:r>
      <w:r>
        <w:rPr>
          <w:sz w:val="22"/>
          <w:szCs w:val="22"/>
          <w:lang w:val="pl-PL"/>
        </w:rPr>
        <w:t>j</w:t>
      </w:r>
      <w:r w:rsidRPr="00E41F3C">
        <w:rPr>
          <w:sz w:val="22"/>
          <w:szCs w:val="22"/>
          <w:lang w:val="pl-PL"/>
        </w:rPr>
        <w:t>etljivost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izazvana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j</w:t>
      </w:r>
      <w:r w:rsidRPr="00E41F3C">
        <w:rPr>
          <w:sz w:val="22"/>
          <w:szCs w:val="22"/>
          <w:lang w:val="pl-PL"/>
        </w:rPr>
        <w:t>ekovima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ujedi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insekata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serumska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bolest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i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polenska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kijavica</w:t>
      </w:r>
      <w:r w:rsidRPr="00ED5262">
        <w:rPr>
          <w:sz w:val="22"/>
          <w:szCs w:val="22"/>
          <w:lang w:val="sr-Latn-CS"/>
        </w:rPr>
        <w:t>.</w:t>
      </w:r>
    </w:p>
    <w:p w14:paraId="6EEC9A61" w14:textId="77777777" w:rsidR="00BB1EA4" w:rsidRPr="00ED5262" w:rsidRDefault="00BB1EA4" w:rsidP="00E41F3C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16EFC348" w14:textId="380A0D9A" w:rsidR="00E41F3C" w:rsidRPr="00ED5262" w:rsidRDefault="00E41F3C" w:rsidP="00E41F3C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E41F3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E41F3C">
        <w:rPr>
          <w:sz w:val="22"/>
          <w:szCs w:val="22"/>
          <w:lang w:val="pl-PL"/>
        </w:rPr>
        <w:t>ek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Synopen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rastvor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za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injekciju</w:t>
      </w:r>
      <w:r w:rsidRPr="00ED5262">
        <w:rPr>
          <w:sz w:val="22"/>
          <w:szCs w:val="22"/>
          <w:lang w:val="sr-Latn-CS"/>
        </w:rPr>
        <w:t xml:space="preserve">, </w:t>
      </w:r>
      <w:r w:rsidRPr="00E41F3C">
        <w:rPr>
          <w:sz w:val="22"/>
          <w:szCs w:val="22"/>
          <w:lang w:val="pl-PL"/>
        </w:rPr>
        <w:t>mo</w:t>
      </w:r>
      <w:r w:rsidRPr="00ED5262">
        <w:rPr>
          <w:sz w:val="22"/>
          <w:szCs w:val="22"/>
          <w:lang w:val="sr-Latn-CS"/>
        </w:rPr>
        <w:t>ž</w:t>
      </w:r>
      <w:r w:rsidRPr="00E41F3C">
        <w:rPr>
          <w:sz w:val="22"/>
          <w:szCs w:val="22"/>
          <w:lang w:val="pl-PL"/>
        </w:rPr>
        <w:t>e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se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koristiti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kao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pomo</w:t>
      </w:r>
      <w:r w:rsidRPr="00ED5262">
        <w:rPr>
          <w:sz w:val="22"/>
          <w:szCs w:val="22"/>
          <w:lang w:val="sr-Latn-CS"/>
        </w:rPr>
        <w:t>ć</w:t>
      </w:r>
      <w:r w:rsidRPr="00E41F3C">
        <w:rPr>
          <w:sz w:val="22"/>
          <w:szCs w:val="22"/>
          <w:lang w:val="pl-PL"/>
        </w:rPr>
        <w:t>na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terapija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u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E41F3C">
        <w:rPr>
          <w:sz w:val="22"/>
          <w:szCs w:val="22"/>
          <w:lang w:val="pl-PL"/>
        </w:rPr>
        <w:t>e</w:t>
      </w:r>
      <w:r w:rsidRPr="00ED5262">
        <w:rPr>
          <w:sz w:val="22"/>
          <w:szCs w:val="22"/>
          <w:lang w:val="sr-Latn-CS"/>
        </w:rPr>
        <w:t>č</w:t>
      </w:r>
      <w:r w:rsidRPr="00E41F3C">
        <w:rPr>
          <w:sz w:val="22"/>
          <w:szCs w:val="22"/>
          <w:lang w:val="pl-PL"/>
        </w:rPr>
        <w:t>enju</w:t>
      </w:r>
      <w:r w:rsidRPr="00ED5262">
        <w:rPr>
          <w:sz w:val="22"/>
          <w:szCs w:val="22"/>
          <w:lang w:val="sr-Latn-CS"/>
        </w:rPr>
        <w:t xml:space="preserve"> </w:t>
      </w:r>
      <w:r w:rsidRPr="00E41F3C">
        <w:rPr>
          <w:sz w:val="22"/>
          <w:szCs w:val="22"/>
          <w:lang w:val="pl-PL"/>
        </w:rPr>
        <w:t>anafilakti</w:t>
      </w:r>
      <w:r w:rsidRPr="00ED5262">
        <w:rPr>
          <w:sz w:val="22"/>
          <w:szCs w:val="22"/>
          <w:lang w:val="sr-Latn-CS"/>
        </w:rPr>
        <w:t>č</w:t>
      </w:r>
      <w:r w:rsidRPr="00E41F3C">
        <w:rPr>
          <w:sz w:val="22"/>
          <w:szCs w:val="22"/>
          <w:lang w:val="pl-PL"/>
        </w:rPr>
        <w:t>kog</w:t>
      </w:r>
      <w:r w:rsidRPr="00ED5262">
        <w:rPr>
          <w:sz w:val="22"/>
          <w:szCs w:val="22"/>
          <w:lang w:val="sr-Latn-CS"/>
        </w:rPr>
        <w:t xml:space="preserve"> š</w:t>
      </w:r>
      <w:r w:rsidRPr="00E41F3C">
        <w:rPr>
          <w:sz w:val="22"/>
          <w:szCs w:val="22"/>
          <w:lang w:val="pl-PL"/>
        </w:rPr>
        <w:t>oka</w:t>
      </w:r>
      <w:r w:rsidRPr="00ED5262">
        <w:rPr>
          <w:sz w:val="22"/>
          <w:szCs w:val="22"/>
          <w:lang w:val="sr-Latn-CS"/>
        </w:rPr>
        <w:t>.</w:t>
      </w:r>
    </w:p>
    <w:p w14:paraId="2599DED5" w14:textId="77777777" w:rsidR="00411B4B" w:rsidRPr="00ED5262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1B0655B7" w14:textId="77777777" w:rsidR="00411B4B" w:rsidRPr="00ED526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D5262">
        <w:rPr>
          <w:b/>
          <w:bCs/>
          <w:sz w:val="22"/>
          <w:szCs w:val="22"/>
          <w:lang w:val="sr-Latn-CS"/>
        </w:rPr>
        <w:t xml:space="preserve">4.2. </w:t>
      </w:r>
      <w:r w:rsidR="00480FB1" w:rsidRPr="00ED5262">
        <w:rPr>
          <w:b/>
          <w:bCs/>
          <w:sz w:val="22"/>
          <w:szCs w:val="22"/>
          <w:lang w:val="sr-Latn-CS"/>
        </w:rPr>
        <w:tab/>
      </w:r>
      <w:r w:rsidRPr="00E41F3C">
        <w:rPr>
          <w:b/>
          <w:bCs/>
          <w:sz w:val="22"/>
          <w:szCs w:val="22"/>
          <w:lang w:val="pl-PL"/>
        </w:rPr>
        <w:t>Doziranje</w:t>
      </w:r>
      <w:r w:rsidRPr="00ED5262">
        <w:rPr>
          <w:b/>
          <w:bCs/>
          <w:sz w:val="22"/>
          <w:szCs w:val="22"/>
          <w:lang w:val="sr-Latn-CS"/>
        </w:rPr>
        <w:t xml:space="preserve"> </w:t>
      </w:r>
      <w:r w:rsidRPr="00E41F3C">
        <w:rPr>
          <w:b/>
          <w:bCs/>
          <w:sz w:val="22"/>
          <w:szCs w:val="22"/>
          <w:lang w:val="pl-PL"/>
        </w:rPr>
        <w:t>i</w:t>
      </w:r>
      <w:r w:rsidRPr="00ED5262">
        <w:rPr>
          <w:b/>
          <w:bCs/>
          <w:sz w:val="22"/>
          <w:szCs w:val="22"/>
          <w:lang w:val="sr-Latn-CS"/>
        </w:rPr>
        <w:t xml:space="preserve"> </w:t>
      </w:r>
      <w:r w:rsidRPr="00E41F3C">
        <w:rPr>
          <w:b/>
          <w:bCs/>
          <w:sz w:val="22"/>
          <w:szCs w:val="22"/>
          <w:lang w:val="pl-PL"/>
        </w:rPr>
        <w:t>na</w:t>
      </w:r>
      <w:r w:rsidRPr="00ED5262">
        <w:rPr>
          <w:b/>
          <w:bCs/>
          <w:sz w:val="22"/>
          <w:szCs w:val="22"/>
          <w:lang w:val="sr-Latn-CS"/>
        </w:rPr>
        <w:t>č</w:t>
      </w:r>
      <w:r w:rsidRPr="00E41F3C">
        <w:rPr>
          <w:b/>
          <w:bCs/>
          <w:sz w:val="22"/>
          <w:szCs w:val="22"/>
          <w:lang w:val="pl-PL"/>
        </w:rPr>
        <w:t>in</w:t>
      </w:r>
      <w:r w:rsidRPr="00ED5262">
        <w:rPr>
          <w:b/>
          <w:bCs/>
          <w:sz w:val="22"/>
          <w:szCs w:val="22"/>
          <w:lang w:val="sr-Latn-CS"/>
        </w:rPr>
        <w:t xml:space="preserve"> </w:t>
      </w:r>
      <w:r w:rsidRPr="00E41F3C">
        <w:rPr>
          <w:b/>
          <w:bCs/>
          <w:sz w:val="22"/>
          <w:szCs w:val="22"/>
          <w:lang w:val="pl-PL"/>
        </w:rPr>
        <w:t>primjene</w:t>
      </w:r>
    </w:p>
    <w:p w14:paraId="411C5B99" w14:textId="77777777" w:rsidR="00E41F3C" w:rsidRPr="00ED5262" w:rsidRDefault="00E41F3C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0C0C4626" w14:textId="285513F8" w:rsidR="00E41F3C" w:rsidRPr="00ED5262" w:rsidRDefault="00E41F3C" w:rsidP="00E41F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E41F3C">
        <w:rPr>
          <w:bCs/>
          <w:sz w:val="22"/>
          <w:szCs w:val="22"/>
          <w:lang w:val="pl-PL"/>
        </w:rPr>
        <w:t>L</w:t>
      </w:r>
      <w:r>
        <w:rPr>
          <w:bCs/>
          <w:sz w:val="22"/>
          <w:szCs w:val="22"/>
          <w:lang w:val="pl-PL"/>
        </w:rPr>
        <w:t>ij</w:t>
      </w:r>
      <w:r w:rsidRPr="00E41F3C">
        <w:rPr>
          <w:bCs/>
          <w:sz w:val="22"/>
          <w:szCs w:val="22"/>
          <w:lang w:val="pl-PL"/>
        </w:rPr>
        <w:t>ek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Synopen</w:t>
      </w:r>
      <w:r w:rsidRPr="00ED5262">
        <w:rPr>
          <w:bCs/>
          <w:sz w:val="22"/>
          <w:szCs w:val="22"/>
          <w:lang w:val="sr-Latn-CS"/>
        </w:rPr>
        <w:t xml:space="preserve">, </w:t>
      </w:r>
      <w:r w:rsidRPr="00E41F3C">
        <w:rPr>
          <w:bCs/>
          <w:sz w:val="22"/>
          <w:szCs w:val="22"/>
          <w:lang w:val="pl-PL"/>
        </w:rPr>
        <w:t>rastvor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za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injekciju</w:t>
      </w:r>
      <w:r w:rsidRPr="00ED5262">
        <w:rPr>
          <w:bCs/>
          <w:sz w:val="22"/>
          <w:szCs w:val="22"/>
          <w:lang w:val="sr-Latn-CS"/>
        </w:rPr>
        <w:t xml:space="preserve">, </w:t>
      </w:r>
      <w:r w:rsidRPr="00E41F3C">
        <w:rPr>
          <w:bCs/>
          <w:sz w:val="22"/>
          <w:szCs w:val="22"/>
          <w:lang w:val="pl-PL"/>
        </w:rPr>
        <w:t>prim</w:t>
      </w:r>
      <w:r>
        <w:rPr>
          <w:bCs/>
          <w:sz w:val="22"/>
          <w:szCs w:val="22"/>
          <w:lang w:val="pl-PL"/>
        </w:rPr>
        <w:t>j</w:t>
      </w:r>
      <w:r w:rsidRPr="00E41F3C">
        <w:rPr>
          <w:bCs/>
          <w:sz w:val="22"/>
          <w:szCs w:val="22"/>
          <w:lang w:val="pl-PL"/>
        </w:rPr>
        <w:t>enjuje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se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putem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sporih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intravenskih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ili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dubokih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intramuskularnih</w:t>
      </w:r>
      <w:r w:rsidRPr="00ED5262">
        <w:rPr>
          <w:bCs/>
          <w:sz w:val="22"/>
          <w:szCs w:val="22"/>
          <w:lang w:val="sr-Latn-CS"/>
        </w:rPr>
        <w:t xml:space="preserve"> </w:t>
      </w:r>
      <w:r w:rsidRPr="00E41F3C">
        <w:rPr>
          <w:bCs/>
          <w:sz w:val="22"/>
          <w:szCs w:val="22"/>
          <w:lang w:val="pl-PL"/>
        </w:rPr>
        <w:t>injekcija</w:t>
      </w:r>
      <w:r w:rsidRPr="00ED5262">
        <w:rPr>
          <w:bCs/>
          <w:sz w:val="22"/>
          <w:szCs w:val="22"/>
          <w:lang w:val="sr-Latn-CS"/>
        </w:rPr>
        <w:t>.</w:t>
      </w:r>
    </w:p>
    <w:p w14:paraId="62EBCCF6" w14:textId="77777777" w:rsidR="00BB1EA4" w:rsidRPr="00ED5262" w:rsidRDefault="00BB1EA4" w:rsidP="00E41F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4DEBC532" w14:textId="77777777" w:rsidR="00E41F3C" w:rsidRPr="00E41F3C" w:rsidRDefault="00E41F3C" w:rsidP="00E41F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E41F3C">
        <w:rPr>
          <w:bCs/>
          <w:i/>
          <w:sz w:val="22"/>
          <w:szCs w:val="22"/>
          <w:lang w:val="it-IT"/>
        </w:rPr>
        <w:t xml:space="preserve">Odrasli: </w:t>
      </w:r>
      <w:r w:rsidRPr="00E41F3C">
        <w:rPr>
          <w:bCs/>
          <w:sz w:val="22"/>
          <w:szCs w:val="22"/>
          <w:lang w:val="it-IT"/>
        </w:rPr>
        <w:t>1 ampula sporo intravenski ili intramuskularno do tri puta na dan.</w:t>
      </w:r>
    </w:p>
    <w:p w14:paraId="371F012E" w14:textId="2BA65305" w:rsidR="00E41F3C" w:rsidRPr="00E41F3C" w:rsidRDefault="00E41F3C" w:rsidP="00E41F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E41F3C">
        <w:rPr>
          <w:bCs/>
          <w:i/>
          <w:sz w:val="22"/>
          <w:szCs w:val="22"/>
          <w:lang w:val="it-IT"/>
        </w:rPr>
        <w:t>D</w:t>
      </w:r>
      <w:r>
        <w:rPr>
          <w:bCs/>
          <w:i/>
          <w:sz w:val="22"/>
          <w:szCs w:val="22"/>
          <w:lang w:val="it-IT"/>
        </w:rPr>
        <w:t>j</w:t>
      </w:r>
      <w:r w:rsidRPr="00E41F3C">
        <w:rPr>
          <w:bCs/>
          <w:i/>
          <w:sz w:val="22"/>
          <w:szCs w:val="22"/>
          <w:lang w:val="it-IT"/>
        </w:rPr>
        <w:t xml:space="preserve">eca: </w:t>
      </w:r>
      <w:r>
        <w:rPr>
          <w:bCs/>
          <w:iCs/>
          <w:sz w:val="22"/>
          <w:szCs w:val="22"/>
          <w:lang w:val="it-IT"/>
        </w:rPr>
        <w:t>1/4</w:t>
      </w:r>
      <w:r w:rsidRPr="00E41F3C">
        <w:rPr>
          <w:bCs/>
          <w:iCs/>
          <w:sz w:val="22"/>
          <w:szCs w:val="22"/>
          <w:lang w:val="it-IT"/>
        </w:rPr>
        <w:t xml:space="preserve">-1 ampula </w:t>
      </w:r>
      <w:r w:rsidRPr="00E41F3C">
        <w:rPr>
          <w:bCs/>
          <w:sz w:val="22"/>
          <w:szCs w:val="22"/>
          <w:lang w:val="it-IT"/>
        </w:rPr>
        <w:t>se prim</w:t>
      </w:r>
      <w:r>
        <w:rPr>
          <w:bCs/>
          <w:sz w:val="22"/>
          <w:szCs w:val="22"/>
          <w:lang w:val="it-IT"/>
        </w:rPr>
        <w:t>j</w:t>
      </w:r>
      <w:r w:rsidRPr="00E41F3C">
        <w:rPr>
          <w:bCs/>
          <w:sz w:val="22"/>
          <w:szCs w:val="22"/>
          <w:lang w:val="it-IT"/>
        </w:rPr>
        <w:t>enjuje sporo intravenski ili intramuskularno. Doza se</w:t>
      </w:r>
      <w:r>
        <w:rPr>
          <w:bCs/>
          <w:sz w:val="22"/>
          <w:szCs w:val="22"/>
          <w:lang w:val="it-IT"/>
        </w:rPr>
        <w:t xml:space="preserve"> obično računa</w:t>
      </w:r>
      <w:r w:rsidRPr="00E41F3C">
        <w:rPr>
          <w:bCs/>
          <w:sz w:val="22"/>
          <w:szCs w:val="22"/>
          <w:lang w:val="it-IT"/>
        </w:rPr>
        <w:t xml:space="preserve"> prema t</w:t>
      </w:r>
      <w:r>
        <w:rPr>
          <w:bCs/>
          <w:sz w:val="22"/>
          <w:szCs w:val="22"/>
          <w:lang w:val="it-IT"/>
        </w:rPr>
        <w:t>j</w:t>
      </w:r>
      <w:r w:rsidRPr="00E41F3C">
        <w:rPr>
          <w:bCs/>
          <w:sz w:val="22"/>
          <w:szCs w:val="22"/>
          <w:lang w:val="it-IT"/>
        </w:rPr>
        <w:t>elesnoj masi i iznosi 0,20 mg/kg t</w:t>
      </w:r>
      <w:r>
        <w:rPr>
          <w:bCs/>
          <w:sz w:val="22"/>
          <w:szCs w:val="22"/>
          <w:lang w:val="it-IT"/>
        </w:rPr>
        <w:t>j</w:t>
      </w:r>
      <w:r w:rsidRPr="00E41F3C">
        <w:rPr>
          <w:bCs/>
          <w:sz w:val="22"/>
          <w:szCs w:val="22"/>
          <w:lang w:val="it-IT"/>
        </w:rPr>
        <w:t>elesne mase.</w:t>
      </w:r>
    </w:p>
    <w:p w14:paraId="067555B4" w14:textId="77777777" w:rsidR="00452E9D" w:rsidRPr="00E41F3C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5E659462" w14:textId="77777777" w:rsidR="00411B4B" w:rsidRPr="00ED526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ED5262">
        <w:rPr>
          <w:b/>
          <w:bCs/>
          <w:sz w:val="22"/>
          <w:szCs w:val="22"/>
          <w:lang w:val="it-IT"/>
        </w:rPr>
        <w:t xml:space="preserve">4.3. </w:t>
      </w:r>
      <w:r w:rsidR="00480FB1" w:rsidRPr="00ED5262">
        <w:rPr>
          <w:b/>
          <w:bCs/>
          <w:sz w:val="22"/>
          <w:szCs w:val="22"/>
          <w:lang w:val="it-IT"/>
        </w:rPr>
        <w:tab/>
      </w:r>
      <w:r w:rsidRPr="00ED5262">
        <w:rPr>
          <w:b/>
          <w:bCs/>
          <w:sz w:val="22"/>
          <w:szCs w:val="22"/>
          <w:lang w:val="it-IT"/>
        </w:rPr>
        <w:t>Kontraindikacije</w:t>
      </w:r>
    </w:p>
    <w:p w14:paraId="1E4BCA9B" w14:textId="4132CB1D" w:rsidR="00E41F3C" w:rsidRPr="00ED5262" w:rsidRDefault="00E41F3C" w:rsidP="00E41F3C">
      <w:pPr>
        <w:numPr>
          <w:ilvl w:val="2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it-IT"/>
        </w:rPr>
      </w:pPr>
      <w:r w:rsidRPr="00ED5262">
        <w:rPr>
          <w:sz w:val="22"/>
          <w:szCs w:val="22"/>
          <w:lang w:val="it-IT"/>
        </w:rPr>
        <w:t>preosjetljivost na aktivnu supstancu ili na bilo koju od pomoćnih supstanci navedenih u dijelu 6.1.</w:t>
      </w:r>
    </w:p>
    <w:p w14:paraId="5CA84C43" w14:textId="0EF759FC" w:rsidR="00E41F3C" w:rsidRPr="00E41F3C" w:rsidRDefault="00E41F3C" w:rsidP="00E41F3C">
      <w:pPr>
        <w:numPr>
          <w:ilvl w:val="2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41F3C">
        <w:rPr>
          <w:sz w:val="22"/>
          <w:szCs w:val="22"/>
          <w:lang w:val="pl-PL"/>
        </w:rPr>
        <w:t>novorođenčad i pr</w:t>
      </w:r>
      <w:r w:rsidR="00165F6C" w:rsidRPr="00165F6C">
        <w:rPr>
          <w:sz w:val="22"/>
          <w:szCs w:val="22"/>
          <w:lang w:val="pl-PL"/>
        </w:rPr>
        <w:t>ij</w:t>
      </w:r>
      <w:r w:rsidRPr="00E41F3C">
        <w:rPr>
          <w:sz w:val="22"/>
          <w:szCs w:val="22"/>
          <w:lang w:val="pl-PL"/>
        </w:rPr>
        <w:t>evremeno rođena d</w:t>
      </w:r>
      <w:r w:rsidRPr="00165F6C">
        <w:rPr>
          <w:sz w:val="22"/>
          <w:szCs w:val="22"/>
          <w:lang w:val="pl-PL"/>
        </w:rPr>
        <w:t>j</w:t>
      </w:r>
      <w:r w:rsidRPr="00E41F3C">
        <w:rPr>
          <w:sz w:val="22"/>
          <w:szCs w:val="22"/>
          <w:lang w:val="pl-PL"/>
        </w:rPr>
        <w:t>eca</w:t>
      </w:r>
    </w:p>
    <w:p w14:paraId="3F8289C5" w14:textId="77777777" w:rsidR="00E41F3C" w:rsidRPr="00ED5262" w:rsidRDefault="00E41F3C" w:rsidP="00E41F3C">
      <w:pPr>
        <w:numPr>
          <w:ilvl w:val="2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dojilje (zbog mogućih neželjenih dejstava na novorođenče/odojče)</w:t>
      </w:r>
    </w:p>
    <w:p w14:paraId="50560ECD" w14:textId="50E1E87E" w:rsidR="00E41F3C" w:rsidRPr="00ED5262" w:rsidRDefault="00E41F3C" w:rsidP="00E41F3C">
      <w:pPr>
        <w:numPr>
          <w:ilvl w:val="2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pacijenti koji su u prethodnih14 dana l</w:t>
      </w:r>
      <w:r w:rsidR="00165F6C" w:rsidRPr="00ED5262">
        <w:rPr>
          <w:sz w:val="22"/>
          <w:szCs w:val="22"/>
          <w:lang w:val="pl-PL"/>
        </w:rPr>
        <w:t>ij</w:t>
      </w:r>
      <w:r w:rsidRPr="00ED5262">
        <w:rPr>
          <w:sz w:val="22"/>
          <w:szCs w:val="22"/>
          <w:lang w:val="pl-PL"/>
        </w:rPr>
        <w:t>ečeni inhibitorima monoaminooksidaze (MAO)</w:t>
      </w:r>
    </w:p>
    <w:p w14:paraId="79FA6411" w14:textId="77777777" w:rsidR="0072020E" w:rsidRPr="00ED526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15DDD2AB" w14:textId="77777777" w:rsidR="00411B4B" w:rsidRPr="00E41F3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41F3C">
        <w:rPr>
          <w:b/>
          <w:bCs/>
          <w:sz w:val="22"/>
          <w:szCs w:val="22"/>
          <w:lang w:val="pl-PL"/>
        </w:rPr>
        <w:t xml:space="preserve">4.4. </w:t>
      </w:r>
      <w:r w:rsidR="00480FB1" w:rsidRPr="00E41F3C">
        <w:rPr>
          <w:b/>
          <w:bCs/>
          <w:sz w:val="22"/>
          <w:szCs w:val="22"/>
          <w:lang w:val="pl-PL"/>
        </w:rPr>
        <w:tab/>
      </w:r>
      <w:r w:rsidRPr="00E41F3C">
        <w:rPr>
          <w:b/>
          <w:bCs/>
          <w:sz w:val="22"/>
          <w:szCs w:val="22"/>
          <w:lang w:val="pl-PL"/>
        </w:rPr>
        <w:t>Posebna upozorenja i mjere opreza pri upotrebi lijeka</w:t>
      </w:r>
    </w:p>
    <w:p w14:paraId="79E7B293" w14:textId="77777777" w:rsidR="0072020E" w:rsidRPr="00E41F3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36D5C77C" w14:textId="0FA583CA" w:rsidR="00165F6C" w:rsidRPr="00165F6C" w:rsidRDefault="00165F6C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U anafilaktičkom šoku, prim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ena l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eka Synopen ne sm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 odložiti prim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enu adrenalina.</w:t>
      </w:r>
    </w:p>
    <w:p w14:paraId="4252A0B6" w14:textId="77777777" w:rsidR="00165F6C" w:rsidRPr="00165F6C" w:rsidRDefault="00165F6C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76EC3696" w14:textId="77777777" w:rsidR="00165F6C" w:rsidRPr="00165F6C" w:rsidRDefault="00165F6C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Treba obratiti pažnju na mogućnost sedacije, naročito kod starijih pacijenata.</w:t>
      </w:r>
    </w:p>
    <w:p w14:paraId="5EF71BD7" w14:textId="77777777" w:rsidR="00165F6C" w:rsidRPr="00165F6C" w:rsidRDefault="00165F6C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517099E9" w14:textId="2D2E8E74" w:rsidR="00165F6C" w:rsidRDefault="00165F6C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lastRenderedPageBreak/>
        <w:t>D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eca i stariji pacijenti su os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etljiviji na sedativne efekte antihistaminika pa kod njih l</w:t>
      </w:r>
      <w:r>
        <w:rPr>
          <w:sz w:val="22"/>
          <w:szCs w:val="22"/>
          <w:lang w:val="pl-PL"/>
        </w:rPr>
        <w:t>ij</w:t>
      </w:r>
      <w:r w:rsidR="00921EA9">
        <w:rPr>
          <w:sz w:val="22"/>
          <w:szCs w:val="22"/>
          <w:lang w:val="pl-PL"/>
        </w:rPr>
        <w:t xml:space="preserve">ek Synopen, rastvor  za </w:t>
      </w:r>
    </w:p>
    <w:p w14:paraId="0166A250" w14:textId="5703FE4C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injekciju, treba prim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enjivati sa oprezom.</w:t>
      </w:r>
    </w:p>
    <w:p w14:paraId="596D85F7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59B949B2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Potreban je oprez prilikom prim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ene l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eka Synopen, rastvor za injekciju, kod težih kardioloških pacijenata.</w:t>
      </w:r>
    </w:p>
    <w:p w14:paraId="344D055C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09D37025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ek Synopen, rastvor za injekciju, treba prim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enjivati sa oprezom kod pacijenata sa epilepsijom, kao i kod pacijenata sa glaukomom zatvorenog ugla, retencijom urina, hiperplazijom prostate, hipertenzijom, bronhitisom, bronhiektazijama, astmom, oštećenjem jetre, tireotoksikozom i piloroduodenalnom opstrukcijom.</w:t>
      </w:r>
    </w:p>
    <w:p w14:paraId="0F81E721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Usl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 xml:space="preserve">ed moguće inhibicije histaminskog odgovora u koži, hloropiramin može prouzrokovati lažno negativne rezultate kožnih </w:t>
      </w:r>
      <w:r>
        <w:rPr>
          <w:sz w:val="22"/>
          <w:szCs w:val="22"/>
          <w:lang w:val="pl-PL"/>
        </w:rPr>
        <w:t>testova</w:t>
      </w:r>
      <w:r w:rsidRPr="00165F6C">
        <w:rPr>
          <w:sz w:val="22"/>
          <w:szCs w:val="22"/>
          <w:lang w:val="pl-PL"/>
        </w:rPr>
        <w:t xml:space="preserve"> na ekstrakte alergena.</w:t>
      </w:r>
    </w:p>
    <w:p w14:paraId="058C8C7F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7BF69DC1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ek Synopen sadrži manje od 1 mmol (23 mg) natrijuma po dozi, odnosno suštinski je „bez natrijuma”.</w:t>
      </w:r>
    </w:p>
    <w:p w14:paraId="3F0EE91A" w14:textId="77777777" w:rsidR="00921EA9" w:rsidRDefault="00921EA9" w:rsidP="00921EA9">
      <w:pPr>
        <w:tabs>
          <w:tab w:val="left" w:pos="540"/>
          <w:tab w:val="left" w:pos="569"/>
        </w:tabs>
        <w:rPr>
          <w:sz w:val="22"/>
          <w:szCs w:val="22"/>
          <w:u w:val="single"/>
          <w:lang w:val="pl-PL"/>
        </w:rPr>
      </w:pPr>
    </w:p>
    <w:p w14:paraId="3A116B2E" w14:textId="77777777" w:rsidR="00921EA9" w:rsidRDefault="00921EA9" w:rsidP="00921EA9">
      <w:pPr>
        <w:tabs>
          <w:tab w:val="left" w:pos="540"/>
          <w:tab w:val="left" w:pos="569"/>
        </w:tabs>
        <w:rPr>
          <w:sz w:val="22"/>
          <w:szCs w:val="22"/>
          <w:u w:val="single"/>
          <w:lang w:val="pl-PL"/>
        </w:rPr>
      </w:pPr>
      <w:r w:rsidRPr="00E41F3C">
        <w:rPr>
          <w:sz w:val="22"/>
          <w:szCs w:val="22"/>
          <w:u w:val="single"/>
          <w:lang w:val="pl-PL"/>
        </w:rPr>
        <w:t>Pedijatrijska populacija</w:t>
      </w:r>
    </w:p>
    <w:p w14:paraId="49498A4B" w14:textId="77777777" w:rsidR="00921EA9" w:rsidRPr="00165F6C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165F6C">
        <w:rPr>
          <w:sz w:val="22"/>
          <w:szCs w:val="22"/>
          <w:lang w:val="pl-PL"/>
        </w:rPr>
        <w:t>Primena l</w:t>
      </w:r>
      <w:r>
        <w:rPr>
          <w:sz w:val="22"/>
          <w:szCs w:val="22"/>
          <w:lang w:val="pl-PL"/>
        </w:rPr>
        <w:t>ij</w:t>
      </w:r>
      <w:r w:rsidRPr="00165F6C">
        <w:rPr>
          <w:sz w:val="22"/>
          <w:szCs w:val="22"/>
          <w:lang w:val="pl-PL"/>
        </w:rPr>
        <w:t>eka Synopen kod d</w:t>
      </w:r>
      <w:r>
        <w:rPr>
          <w:sz w:val="22"/>
          <w:szCs w:val="22"/>
          <w:lang w:val="pl-PL"/>
        </w:rPr>
        <w:t>j</w:t>
      </w:r>
      <w:r w:rsidRPr="00165F6C">
        <w:rPr>
          <w:sz w:val="22"/>
          <w:szCs w:val="22"/>
          <w:lang w:val="pl-PL"/>
        </w:rPr>
        <w:t>ece se ne preporučuje, osim u slučaju po život opasnih alergijskih reakcija.</w:t>
      </w:r>
    </w:p>
    <w:p w14:paraId="254B3D22" w14:textId="77777777" w:rsidR="00921EA9" w:rsidRPr="00E41F3C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52750BAE" w14:textId="77777777" w:rsidR="00921EA9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41F3C">
        <w:rPr>
          <w:b/>
          <w:bCs/>
          <w:sz w:val="22"/>
          <w:szCs w:val="22"/>
          <w:lang w:val="pl-PL"/>
        </w:rPr>
        <w:t>4.5.</w:t>
      </w:r>
      <w:r w:rsidRPr="00E41F3C">
        <w:rPr>
          <w:b/>
          <w:bCs/>
          <w:sz w:val="22"/>
          <w:szCs w:val="22"/>
          <w:lang w:val="pl-PL"/>
        </w:rPr>
        <w:tab/>
        <w:t>Interakcije sa drugim ljekovima i druge vrste interakcija</w:t>
      </w:r>
    </w:p>
    <w:p w14:paraId="6F4DF33E" w14:textId="77777777" w:rsidR="00921EA9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1C7973FB" w14:textId="77777777" w:rsidR="00921EA9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Pri istovremenoj upotrebi a</w:t>
      </w:r>
      <w:r>
        <w:rPr>
          <w:sz w:val="22"/>
          <w:szCs w:val="22"/>
          <w:lang w:val="pl-PL"/>
        </w:rPr>
        <w:t>lkohola, barbiturata, sedativa,</w:t>
      </w:r>
      <w:r w:rsidRPr="00C278B3">
        <w:rPr>
          <w:sz w:val="22"/>
          <w:szCs w:val="22"/>
          <w:lang w:val="pl-PL"/>
        </w:rPr>
        <w:t xml:space="preserve"> ili ostalih depresora centralnog nervnog sistema sa hloropiraminom, depresivni efekat na </w:t>
      </w:r>
      <w:r>
        <w:rPr>
          <w:sz w:val="22"/>
          <w:szCs w:val="22"/>
          <w:lang w:val="pl-PL"/>
        </w:rPr>
        <w:t>centralni nervni sistem</w:t>
      </w:r>
      <w:r w:rsidRPr="00C278B3">
        <w:rPr>
          <w:sz w:val="22"/>
          <w:szCs w:val="22"/>
          <w:lang w:val="pl-PL"/>
        </w:rPr>
        <w:t xml:space="preserve"> može biti pojačan. </w:t>
      </w:r>
    </w:p>
    <w:p w14:paraId="7A6331BB" w14:textId="77777777" w:rsidR="00921EA9" w:rsidRPr="00C278B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Hloropiramin inhibira metabolizam fenitoina što može uzrokovati toksičnost fenitoina.</w:t>
      </w:r>
    </w:p>
    <w:p w14:paraId="4A77D310" w14:textId="77777777" w:rsidR="00921EA9" w:rsidRPr="00C278B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MAO inhibitori pojačavaju antiholinergički efekat hloropiramina (vid</w:t>
      </w:r>
      <w:r>
        <w:rPr>
          <w:sz w:val="22"/>
          <w:szCs w:val="22"/>
          <w:lang w:val="pl-PL"/>
        </w:rPr>
        <w:t>j</w:t>
      </w:r>
      <w:r w:rsidRPr="00C278B3">
        <w:rPr>
          <w:sz w:val="22"/>
          <w:szCs w:val="22"/>
          <w:lang w:val="pl-PL"/>
        </w:rPr>
        <w:t xml:space="preserve">eti </w:t>
      </w:r>
      <w:r>
        <w:rPr>
          <w:sz w:val="22"/>
          <w:szCs w:val="22"/>
          <w:lang w:val="pl-PL"/>
        </w:rPr>
        <w:t>dio</w:t>
      </w:r>
      <w:r w:rsidRPr="00C278B3">
        <w:rPr>
          <w:sz w:val="22"/>
          <w:szCs w:val="22"/>
          <w:lang w:val="pl-PL"/>
        </w:rPr>
        <w:t xml:space="preserve"> 4.3).</w:t>
      </w:r>
    </w:p>
    <w:p w14:paraId="62B1FD50" w14:textId="5FE357F8" w:rsidR="00921EA9" w:rsidRDefault="00921EA9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1667010" w14:textId="77777777" w:rsidR="00921EA9" w:rsidRDefault="00921EA9" w:rsidP="00921EA9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E41F3C">
        <w:rPr>
          <w:b/>
          <w:bCs/>
          <w:sz w:val="22"/>
          <w:szCs w:val="22"/>
          <w:lang w:val="pl-PL"/>
        </w:rPr>
        <w:t xml:space="preserve">4.6. </w:t>
      </w:r>
      <w:r w:rsidRPr="00E41F3C">
        <w:rPr>
          <w:b/>
          <w:bCs/>
          <w:sz w:val="22"/>
          <w:szCs w:val="22"/>
          <w:lang w:val="pl-PL"/>
        </w:rPr>
        <w:tab/>
      </w:r>
      <w:r>
        <w:rPr>
          <w:b/>
          <w:sz w:val="22"/>
          <w:szCs w:val="22"/>
          <w:lang w:val="sr-Latn-CS"/>
        </w:rPr>
        <w:t>Plodnost, trudnoća i dojenje</w:t>
      </w:r>
    </w:p>
    <w:p w14:paraId="11E5EADC" w14:textId="77777777" w:rsidR="00921EA9" w:rsidRPr="00E41F3C" w:rsidRDefault="00921EA9" w:rsidP="00921EA9">
      <w:pPr>
        <w:tabs>
          <w:tab w:val="left" w:pos="540"/>
          <w:tab w:val="left" w:pos="569"/>
        </w:tabs>
        <w:rPr>
          <w:sz w:val="22"/>
          <w:szCs w:val="22"/>
          <w:u w:val="single"/>
          <w:lang w:val="pl-PL"/>
        </w:rPr>
      </w:pPr>
    </w:p>
    <w:p w14:paraId="3C6FB39E" w14:textId="77777777" w:rsidR="00921EA9" w:rsidRDefault="00921EA9" w:rsidP="00921EA9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C278B3">
        <w:rPr>
          <w:sz w:val="22"/>
          <w:szCs w:val="22"/>
          <w:lang w:val="pl-PL"/>
        </w:rPr>
        <w:t>ek Synopen se može koristiti u toku trudnoće samo ukoliko je njegova prim</w:t>
      </w:r>
      <w:r>
        <w:rPr>
          <w:sz w:val="22"/>
          <w:szCs w:val="22"/>
          <w:lang w:val="pl-PL"/>
        </w:rPr>
        <w:t>j</w:t>
      </w:r>
      <w:r w:rsidRPr="00C278B3">
        <w:rPr>
          <w:sz w:val="22"/>
          <w:szCs w:val="22"/>
          <w:lang w:val="pl-PL"/>
        </w:rPr>
        <w:t xml:space="preserve">ena neophodna. </w:t>
      </w:r>
    </w:p>
    <w:p w14:paraId="244A88FF" w14:textId="77777777" w:rsidR="00921EA9" w:rsidRPr="00C278B3" w:rsidRDefault="00921EA9" w:rsidP="00921EA9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Prim</w:t>
      </w:r>
      <w:r>
        <w:rPr>
          <w:sz w:val="22"/>
          <w:szCs w:val="22"/>
          <w:lang w:val="pl-PL"/>
        </w:rPr>
        <w:t>j</w:t>
      </w:r>
      <w:r w:rsidRPr="00C278B3">
        <w:rPr>
          <w:sz w:val="22"/>
          <w:szCs w:val="22"/>
          <w:lang w:val="pl-PL"/>
        </w:rPr>
        <w:t>ena l</w:t>
      </w:r>
      <w:r>
        <w:rPr>
          <w:sz w:val="22"/>
          <w:szCs w:val="22"/>
          <w:lang w:val="pl-PL"/>
        </w:rPr>
        <w:t>ij</w:t>
      </w:r>
      <w:r w:rsidRPr="00C278B3">
        <w:rPr>
          <w:sz w:val="22"/>
          <w:szCs w:val="22"/>
          <w:lang w:val="pl-PL"/>
        </w:rPr>
        <w:t>eka Synopen, rastvor za injekciju, je kontraindikovana kod majki koje doje.</w:t>
      </w:r>
    </w:p>
    <w:p w14:paraId="5A7654E2" w14:textId="77777777" w:rsidR="00921EA9" w:rsidRPr="00E41F3C" w:rsidRDefault="00921EA9" w:rsidP="00921EA9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pl-PL"/>
        </w:rPr>
      </w:pPr>
    </w:p>
    <w:p w14:paraId="08A34F6D" w14:textId="77777777" w:rsidR="00921EA9" w:rsidRDefault="00921EA9" w:rsidP="00921EA9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pl-PL"/>
        </w:rPr>
      </w:pPr>
      <w:r w:rsidRPr="00E41F3C">
        <w:rPr>
          <w:b/>
          <w:bCs/>
          <w:sz w:val="22"/>
          <w:szCs w:val="22"/>
          <w:lang w:val="pl-PL"/>
        </w:rPr>
        <w:t xml:space="preserve">4.7. </w:t>
      </w:r>
      <w:r w:rsidRPr="00E41F3C">
        <w:rPr>
          <w:b/>
          <w:bCs/>
          <w:sz w:val="22"/>
          <w:szCs w:val="22"/>
          <w:lang w:val="pl-PL"/>
        </w:rPr>
        <w:tab/>
        <w:t>Uticaj na sposobnost upravljanja vozilima i rukovanje mašinama</w:t>
      </w:r>
    </w:p>
    <w:p w14:paraId="7C2ABC98" w14:textId="77777777" w:rsidR="00921EA9" w:rsidRDefault="00921EA9" w:rsidP="00921EA9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pl-PL"/>
        </w:rPr>
      </w:pPr>
    </w:p>
    <w:p w14:paraId="0E9215AC" w14:textId="77777777" w:rsidR="00921EA9" w:rsidRDefault="00921EA9" w:rsidP="00921EA9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Usl</w:t>
      </w:r>
      <w:r>
        <w:rPr>
          <w:sz w:val="22"/>
          <w:szCs w:val="22"/>
          <w:lang w:val="pl-PL"/>
        </w:rPr>
        <w:t>j</w:t>
      </w:r>
      <w:r w:rsidRPr="00C278B3">
        <w:rPr>
          <w:sz w:val="22"/>
          <w:szCs w:val="22"/>
          <w:lang w:val="pl-PL"/>
        </w:rPr>
        <w:t>ed sedativnog dejstva, l</w:t>
      </w:r>
      <w:r>
        <w:rPr>
          <w:sz w:val="22"/>
          <w:szCs w:val="22"/>
          <w:lang w:val="pl-PL"/>
        </w:rPr>
        <w:t>ij</w:t>
      </w:r>
      <w:r w:rsidRPr="00C278B3">
        <w:rPr>
          <w:sz w:val="22"/>
          <w:szCs w:val="22"/>
          <w:lang w:val="pl-PL"/>
        </w:rPr>
        <w:t xml:space="preserve">ek Synopen, rastvor za injekciju, može da smanji psihofizičke sposobnosti, </w:t>
      </w:r>
    </w:p>
    <w:p w14:paraId="1556241B" w14:textId="77777777" w:rsidR="00921EA9" w:rsidRPr="00C278B3" w:rsidRDefault="00921EA9" w:rsidP="00921EA9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pl-PL"/>
        </w:rPr>
      </w:pPr>
      <w:r w:rsidRPr="00C278B3">
        <w:rPr>
          <w:sz w:val="22"/>
          <w:szCs w:val="22"/>
          <w:lang w:val="pl-PL"/>
        </w:rPr>
        <w:t>pa osobe koje upravljaju vozilima ili rukuju mašinama na to treba upozoriti.</w:t>
      </w:r>
    </w:p>
    <w:p w14:paraId="412B26DC" w14:textId="7499A032" w:rsidR="00921EA9" w:rsidRDefault="00921EA9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794ECD5F" w14:textId="77777777" w:rsidR="00921EA9" w:rsidRPr="00E41F3C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41F3C">
        <w:rPr>
          <w:b/>
          <w:bCs/>
          <w:sz w:val="22"/>
          <w:szCs w:val="22"/>
          <w:lang w:val="pl-PL"/>
        </w:rPr>
        <w:t xml:space="preserve">4.8. </w:t>
      </w:r>
      <w:r w:rsidRPr="00E41F3C">
        <w:rPr>
          <w:b/>
          <w:bCs/>
          <w:sz w:val="22"/>
          <w:szCs w:val="22"/>
          <w:lang w:val="pl-PL"/>
        </w:rPr>
        <w:tab/>
        <w:t>Neželjena dejstva</w:t>
      </w:r>
    </w:p>
    <w:p w14:paraId="5B3EC10E" w14:textId="2580A430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11811ED7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57DE3">
        <w:rPr>
          <w:i/>
          <w:sz w:val="22"/>
          <w:szCs w:val="22"/>
          <w:lang w:val="pl-PL"/>
        </w:rPr>
        <w:t>Poremećaji krvi i limfnog sistema</w:t>
      </w:r>
    </w:p>
    <w:p w14:paraId="2188CF09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57DE3">
        <w:rPr>
          <w:sz w:val="22"/>
          <w:szCs w:val="22"/>
          <w:lang w:val="pl-PL"/>
        </w:rPr>
        <w:t>Nepoznata učestalost (ne može se proc</w:t>
      </w:r>
      <w:r>
        <w:rPr>
          <w:sz w:val="22"/>
          <w:szCs w:val="22"/>
          <w:lang w:val="pl-PL"/>
        </w:rPr>
        <w:t>ij</w:t>
      </w:r>
      <w:r w:rsidRPr="00E57DE3">
        <w:rPr>
          <w:sz w:val="22"/>
          <w:szCs w:val="22"/>
          <w:lang w:val="pl-PL"/>
        </w:rPr>
        <w:t>eniti na osnovu dostupnih podataka): agranulocitoza, leukopenija, hemolitička anemija i trombocitopenija.</w:t>
      </w:r>
    </w:p>
    <w:p w14:paraId="187B5733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ECD0B94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57DE3">
        <w:rPr>
          <w:i/>
          <w:sz w:val="22"/>
          <w:szCs w:val="22"/>
          <w:lang w:val="pl-PL"/>
        </w:rPr>
        <w:t>Poremećaji imun</w:t>
      </w:r>
      <w:r>
        <w:rPr>
          <w:i/>
          <w:sz w:val="22"/>
          <w:szCs w:val="22"/>
          <w:lang w:val="pl-PL"/>
        </w:rPr>
        <w:t>ološkog</w:t>
      </w:r>
      <w:r w:rsidRPr="00E57DE3">
        <w:rPr>
          <w:i/>
          <w:sz w:val="22"/>
          <w:szCs w:val="22"/>
          <w:lang w:val="pl-PL"/>
        </w:rPr>
        <w:t xml:space="preserve"> sistema</w:t>
      </w:r>
    </w:p>
    <w:p w14:paraId="2B42149E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57DE3">
        <w:rPr>
          <w:sz w:val="22"/>
          <w:szCs w:val="22"/>
          <w:lang w:val="pl-PL"/>
        </w:rPr>
        <w:t>Nepoznata učestalost (ne može se procijeniti na osnovu dostupnih podataka): fotoos</w:t>
      </w:r>
      <w:r>
        <w:rPr>
          <w:sz w:val="22"/>
          <w:szCs w:val="22"/>
          <w:lang w:val="pl-PL"/>
        </w:rPr>
        <w:t>j</w:t>
      </w:r>
      <w:r w:rsidRPr="00E57DE3">
        <w:rPr>
          <w:sz w:val="22"/>
          <w:szCs w:val="22"/>
          <w:lang w:val="pl-PL"/>
        </w:rPr>
        <w:t>etljivost, osip i r</w:t>
      </w:r>
      <w:r>
        <w:rPr>
          <w:sz w:val="22"/>
          <w:szCs w:val="22"/>
          <w:lang w:val="pl-PL"/>
        </w:rPr>
        <w:t>ij</w:t>
      </w:r>
      <w:r w:rsidRPr="00E57DE3">
        <w:rPr>
          <w:sz w:val="22"/>
          <w:szCs w:val="22"/>
          <w:lang w:val="pl-PL"/>
        </w:rPr>
        <w:t>etke reakcije preos</w:t>
      </w:r>
      <w:r>
        <w:rPr>
          <w:sz w:val="22"/>
          <w:szCs w:val="22"/>
          <w:lang w:val="pl-PL"/>
        </w:rPr>
        <w:t>j</w:t>
      </w:r>
      <w:r w:rsidRPr="00E57DE3">
        <w:rPr>
          <w:sz w:val="22"/>
          <w:szCs w:val="22"/>
          <w:lang w:val="pl-PL"/>
        </w:rPr>
        <w:t>etljivosti.</w:t>
      </w:r>
    </w:p>
    <w:p w14:paraId="211DC1CC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0DA08521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57DE3">
        <w:rPr>
          <w:i/>
          <w:sz w:val="22"/>
          <w:szCs w:val="22"/>
          <w:lang w:val="pl-PL"/>
        </w:rPr>
        <w:t>Poremećaji nervnog sistema</w:t>
      </w:r>
    </w:p>
    <w:p w14:paraId="62200A8B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57DE3">
        <w:rPr>
          <w:sz w:val="22"/>
          <w:szCs w:val="22"/>
          <w:lang w:val="pl-PL"/>
        </w:rPr>
        <w:t>Nepoznata učestalost (ne može se proc</w:t>
      </w:r>
      <w:r>
        <w:rPr>
          <w:sz w:val="22"/>
          <w:szCs w:val="22"/>
          <w:lang w:val="pl-PL"/>
        </w:rPr>
        <w:t>ij</w:t>
      </w:r>
      <w:r w:rsidRPr="00E57DE3">
        <w:rPr>
          <w:sz w:val="22"/>
          <w:szCs w:val="22"/>
          <w:lang w:val="pl-PL"/>
        </w:rPr>
        <w:t xml:space="preserve">eniti na osnovu dostupnih podataka): depresija </w:t>
      </w:r>
      <w:r>
        <w:rPr>
          <w:sz w:val="22"/>
          <w:szCs w:val="22"/>
          <w:lang w:val="pl-PL"/>
        </w:rPr>
        <w:t>centralnog nervnog sistema</w:t>
      </w:r>
      <w:r w:rsidRPr="00E57DE3">
        <w:rPr>
          <w:sz w:val="22"/>
          <w:szCs w:val="22"/>
          <w:lang w:val="pl-PL"/>
        </w:rPr>
        <w:t xml:space="preserve"> sa efektima poput blage pospanosti do dubokog sna, iscrpljenosti, vrtoglavice i poremećaja koordinacije.</w:t>
      </w:r>
    </w:p>
    <w:p w14:paraId="0241623F" w14:textId="77777777" w:rsidR="00921EA9" w:rsidRPr="00E57DE3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57DE3">
        <w:rPr>
          <w:sz w:val="22"/>
          <w:szCs w:val="22"/>
          <w:lang w:val="pl-PL"/>
        </w:rPr>
        <w:t xml:space="preserve">Povremeno se može javiti paradoksalna stimulacija </w:t>
      </w:r>
      <w:r>
        <w:rPr>
          <w:sz w:val="22"/>
          <w:szCs w:val="22"/>
          <w:lang w:val="pl-PL"/>
        </w:rPr>
        <w:t>centralnog nervnog sistema</w:t>
      </w:r>
      <w:r w:rsidRPr="00E57DE3">
        <w:rPr>
          <w:sz w:val="22"/>
          <w:szCs w:val="22"/>
          <w:lang w:val="pl-PL"/>
        </w:rPr>
        <w:t>, posebno kod djece.</w:t>
      </w:r>
    </w:p>
    <w:p w14:paraId="1AB1EE79" w14:textId="77777777" w:rsidR="00921EA9" w:rsidRPr="00165F6C" w:rsidRDefault="00921EA9" w:rsidP="00165F6C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  <w:sectPr w:rsidR="00921EA9" w:rsidRPr="00165F6C" w:rsidSect="00921EA9">
          <w:footerReference w:type="default" r:id="rId8"/>
          <w:pgSz w:w="11910" w:h="16840"/>
          <w:pgMar w:top="820" w:right="1000" w:bottom="1180" w:left="920" w:header="737" w:footer="737" w:gutter="0"/>
          <w:pgNumType w:start="1"/>
          <w:cols w:space="720"/>
          <w:docGrid w:linePitch="326"/>
        </w:sectPr>
      </w:pPr>
    </w:p>
    <w:p w14:paraId="10BAD93E" w14:textId="3E5B47E5" w:rsidR="00921EA9" w:rsidRPr="00921EA9" w:rsidRDefault="00921EA9" w:rsidP="00921EA9">
      <w:pPr>
        <w:rPr>
          <w:sz w:val="22"/>
          <w:szCs w:val="22"/>
          <w:lang w:val="pl-PL"/>
        </w:rPr>
      </w:pPr>
    </w:p>
    <w:p w14:paraId="48663B1A" w14:textId="05A7B638" w:rsidR="00921EA9" w:rsidRDefault="00921EA9" w:rsidP="00921EA9">
      <w:pPr>
        <w:rPr>
          <w:sz w:val="22"/>
          <w:szCs w:val="22"/>
          <w:lang w:val="pl-PL"/>
        </w:rPr>
      </w:pPr>
    </w:p>
    <w:p w14:paraId="737A3351" w14:textId="77777777" w:rsidR="00921EA9" w:rsidRPr="00921EA9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Pr="00921EA9">
        <w:rPr>
          <w:i/>
          <w:sz w:val="22"/>
          <w:szCs w:val="22"/>
          <w:lang w:val="pl-PL"/>
        </w:rPr>
        <w:t>Poremećaji oka</w:t>
      </w:r>
    </w:p>
    <w:p w14:paraId="320F9B0B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Nepoznata učestalost (ne može se procijeniti na osnovu dostupnih podataka): zamućen vid.</w:t>
      </w:r>
    </w:p>
    <w:p w14:paraId="1BBBCF23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0F0638E6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D5262">
        <w:rPr>
          <w:i/>
          <w:sz w:val="22"/>
          <w:szCs w:val="22"/>
          <w:lang w:val="pl-PL"/>
        </w:rPr>
        <w:t>Kardiološki poremećaji</w:t>
      </w:r>
    </w:p>
    <w:p w14:paraId="7CC19875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Nepoznata učestalost (ne može se procijeniti na osnovu dostupnih podataka): hipotenzija.</w:t>
      </w:r>
    </w:p>
    <w:p w14:paraId="2A02B698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523A2E2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D5262">
        <w:rPr>
          <w:i/>
          <w:sz w:val="22"/>
          <w:szCs w:val="22"/>
          <w:lang w:val="pl-PL"/>
        </w:rPr>
        <w:t>Gastrointestinalni poremećaji</w:t>
      </w:r>
    </w:p>
    <w:p w14:paraId="032CA4C0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Nepoznata učestalost (ne može se procijeniti na osnovu dostupnih podataka): mučnina, povraćanje, dijareja, konstipacija, suva usta.</w:t>
      </w:r>
    </w:p>
    <w:p w14:paraId="62B91BC3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726AE2A7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pl-PL"/>
        </w:rPr>
      </w:pPr>
      <w:r w:rsidRPr="00ED5262">
        <w:rPr>
          <w:i/>
          <w:sz w:val="22"/>
          <w:szCs w:val="22"/>
          <w:lang w:val="pl-PL"/>
        </w:rPr>
        <w:t>Poremećaji mišićno-koštanog sistema i vezivnog tkiva</w:t>
      </w:r>
    </w:p>
    <w:p w14:paraId="09861735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Nepoznata učestalost (ne može se procijeniti na osnovu dostupnih podataka): mišićna slabost.</w:t>
      </w:r>
    </w:p>
    <w:p w14:paraId="78350D83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265462D0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0E5F81BC" w14:textId="77777777" w:rsidR="00921EA9" w:rsidRPr="00786071" w:rsidRDefault="00921EA9" w:rsidP="00921EA9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100B74F" w14:textId="77777777" w:rsidR="00921EA9" w:rsidRPr="00786071" w:rsidRDefault="00921EA9" w:rsidP="00921EA9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(C</w:t>
      </w:r>
      <w:r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1384F30C" w14:textId="77777777" w:rsidR="00921EA9" w:rsidRPr="00786071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6E6CC051" w14:textId="77777777" w:rsidR="00921EA9" w:rsidRPr="00786071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5D1AC82A" w14:textId="77777777" w:rsidR="00921EA9" w:rsidRPr="00786071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77DE8AB" w14:textId="77777777" w:rsidR="00921EA9" w:rsidRPr="00786071" w:rsidRDefault="00921EA9" w:rsidP="00921EA9">
      <w:pPr>
        <w:pStyle w:val="NoSpacing"/>
        <w:rPr>
          <w:rFonts w:eastAsia="Calibri"/>
          <w:sz w:val="22"/>
          <w:szCs w:val="22"/>
          <w:lang w:val="sr-Latn-RS"/>
        </w:rPr>
      </w:pPr>
    </w:p>
    <w:p w14:paraId="6453DA29" w14:textId="77777777" w:rsidR="00921EA9" w:rsidRPr="00786071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7FE54243" w14:textId="77777777" w:rsidR="00921EA9" w:rsidRPr="00786071" w:rsidRDefault="00921EA9" w:rsidP="00921EA9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192C0FB6" w14:textId="77777777" w:rsidR="00921EA9" w:rsidRPr="00786071" w:rsidRDefault="00296887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921EA9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A6366E6" w14:textId="77777777" w:rsidR="00921EA9" w:rsidRPr="00786071" w:rsidRDefault="00296887" w:rsidP="00921EA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921EA9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626F5EB8" w14:textId="77777777" w:rsidR="00921EA9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65919886" w14:textId="77777777" w:rsidR="00921EA9" w:rsidRDefault="00921EA9" w:rsidP="00921E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D954B29" w14:textId="77777777" w:rsidR="00921EA9" w:rsidRDefault="00921EA9" w:rsidP="00921EA9">
      <w:pPr>
        <w:pStyle w:val="NoSpacing"/>
        <w:rPr>
          <w:rFonts w:eastAsia="Calibri"/>
          <w:sz w:val="22"/>
          <w:szCs w:val="22"/>
          <w:lang w:val="sr-Latn-RS"/>
        </w:rPr>
      </w:pPr>
    </w:p>
    <w:p w14:paraId="03712EC0" w14:textId="77777777" w:rsidR="00921EA9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A71B205" wp14:editId="16C72C95">
            <wp:extent cx="980796" cy="972000"/>
            <wp:effectExtent l="0" t="0" r="0" b="0"/>
            <wp:docPr id="1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B40D6" w14:textId="77777777" w:rsidR="00921EA9" w:rsidRPr="00786071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893175A" w14:textId="77777777" w:rsidR="00921EA9" w:rsidRPr="00786071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Pr="00786071">
        <w:rPr>
          <w:b/>
          <w:bCs/>
          <w:sz w:val="22"/>
          <w:szCs w:val="22"/>
        </w:rPr>
        <w:tab/>
        <w:t xml:space="preserve">Predoziranje </w:t>
      </w:r>
    </w:p>
    <w:p w14:paraId="7DF3A7B7" w14:textId="77777777" w:rsidR="00921EA9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7761763" w14:textId="77777777" w:rsidR="00921EA9" w:rsidRPr="0045545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55452">
        <w:rPr>
          <w:sz w:val="22"/>
          <w:szCs w:val="22"/>
        </w:rPr>
        <w:t>Simptomi predoziranja nakon sistemske prim</w:t>
      </w:r>
      <w:r>
        <w:rPr>
          <w:sz w:val="22"/>
          <w:szCs w:val="22"/>
        </w:rPr>
        <w:t>j</w:t>
      </w:r>
      <w:r w:rsidRPr="00455452">
        <w:rPr>
          <w:sz w:val="22"/>
          <w:szCs w:val="22"/>
        </w:rPr>
        <w:t>ene hloropiramina kod odraslih su posl</w:t>
      </w:r>
      <w:r>
        <w:rPr>
          <w:sz w:val="22"/>
          <w:szCs w:val="22"/>
        </w:rPr>
        <w:t>j</w:t>
      </w:r>
      <w:r w:rsidRPr="00455452">
        <w:rPr>
          <w:sz w:val="22"/>
          <w:szCs w:val="22"/>
        </w:rPr>
        <w:t xml:space="preserve">edica depresije centralnog nervnog sistema (pospanost, koma, konvulzije, respiratorni arest </w:t>
      </w:r>
      <w:proofErr w:type="gramStart"/>
      <w:r w:rsidRPr="00455452">
        <w:rPr>
          <w:sz w:val="22"/>
          <w:szCs w:val="22"/>
        </w:rPr>
        <w:t>ili</w:t>
      </w:r>
      <w:proofErr w:type="gramEnd"/>
      <w:r w:rsidRPr="00455452">
        <w:rPr>
          <w:sz w:val="22"/>
          <w:szCs w:val="22"/>
        </w:rPr>
        <w:t xml:space="preserve"> kardiovaskularni kolaps) dok su kod d</w:t>
      </w:r>
      <w:r>
        <w:rPr>
          <w:sz w:val="22"/>
          <w:szCs w:val="22"/>
        </w:rPr>
        <w:t>j</w:t>
      </w:r>
      <w:r w:rsidRPr="00455452">
        <w:rPr>
          <w:sz w:val="22"/>
          <w:szCs w:val="22"/>
        </w:rPr>
        <w:t>ece pretežno posl</w:t>
      </w:r>
      <w:r>
        <w:rPr>
          <w:sz w:val="22"/>
          <w:szCs w:val="22"/>
        </w:rPr>
        <w:t>j</w:t>
      </w:r>
      <w:r w:rsidRPr="00455452">
        <w:rPr>
          <w:sz w:val="22"/>
          <w:szCs w:val="22"/>
        </w:rPr>
        <w:t>edica stimulacije centralnog nervnog sistema (uzbuđenost, ataksija, tremor, konvulzije, psihoze, halucinacije, hiperpireksija).</w:t>
      </w:r>
    </w:p>
    <w:p w14:paraId="586BE6D6" w14:textId="77777777" w:rsidR="00921EA9" w:rsidRPr="0045545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455452">
        <w:rPr>
          <w:sz w:val="22"/>
          <w:szCs w:val="22"/>
          <w:lang w:val="pl-PL"/>
        </w:rPr>
        <w:t>Terapija je simptomatska i suportivna. Konvulzije se suzbijaju diazepamom i u slučaju hipotenzije primjenjuju se vazopresori, a po potrebi kiseonik i infuzije-</w:t>
      </w:r>
      <w:r>
        <w:rPr>
          <w:sz w:val="22"/>
          <w:szCs w:val="22"/>
          <w:lang w:val="pl-PL"/>
        </w:rPr>
        <w:t>intravenski</w:t>
      </w:r>
      <w:r w:rsidRPr="00455452">
        <w:rPr>
          <w:sz w:val="22"/>
          <w:szCs w:val="22"/>
          <w:lang w:val="pl-PL"/>
        </w:rPr>
        <w:t>.</w:t>
      </w:r>
    </w:p>
    <w:p w14:paraId="3E839096" w14:textId="343FB915" w:rsidR="00921EA9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0BAC27E2" w14:textId="77777777" w:rsidR="00E43F88" w:rsidRPr="00455452" w:rsidRDefault="00E43F88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584E9319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5. </w:t>
      </w:r>
      <w:r w:rsidRPr="00ED5262">
        <w:rPr>
          <w:b/>
          <w:bCs/>
          <w:sz w:val="22"/>
          <w:szCs w:val="22"/>
          <w:lang w:val="pl-PL"/>
        </w:rPr>
        <w:tab/>
        <w:t>FARMAKOLOŠKI PODACI</w:t>
      </w:r>
    </w:p>
    <w:p w14:paraId="596E004B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6C0E31C2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5.1. </w:t>
      </w:r>
      <w:r w:rsidRPr="00ED5262">
        <w:rPr>
          <w:b/>
          <w:bCs/>
          <w:sz w:val="22"/>
          <w:szCs w:val="22"/>
          <w:lang w:val="pl-PL"/>
        </w:rPr>
        <w:tab/>
        <w:t xml:space="preserve">Farmakodinamski podaci </w:t>
      </w:r>
    </w:p>
    <w:p w14:paraId="7797CA9F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15452C60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  <w:r w:rsidRPr="00ED5262">
        <w:rPr>
          <w:bCs/>
          <w:sz w:val="22"/>
          <w:szCs w:val="22"/>
          <w:lang w:val="pl-PL"/>
        </w:rPr>
        <w:t>Farmakoterapijska grupa: Antihistaminici za sistemsku primjenu; supstituisani etilendiamini</w:t>
      </w:r>
    </w:p>
    <w:p w14:paraId="19C42709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151A34AD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  <w:r w:rsidRPr="00ED5262">
        <w:rPr>
          <w:bCs/>
          <w:sz w:val="22"/>
          <w:szCs w:val="22"/>
          <w:lang w:val="pl-PL"/>
        </w:rPr>
        <w:t>ATC kod: R06AC03</w:t>
      </w:r>
    </w:p>
    <w:p w14:paraId="2963915D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DE8D388" w14:textId="77777777" w:rsidR="00E43F88" w:rsidRDefault="00E43F88" w:rsidP="00921E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0D61D4E0" w14:textId="77777777" w:rsidR="00E43F88" w:rsidRDefault="00E43F88" w:rsidP="00921E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493D964F" w14:textId="77777777" w:rsidR="00E43F88" w:rsidRDefault="00E43F88" w:rsidP="00921E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6BCC5F52" w14:textId="0A53BB1A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bookmarkStart w:id="0" w:name="_GoBack"/>
      <w:bookmarkEnd w:id="0"/>
      <w:r w:rsidRPr="00ED5262">
        <w:rPr>
          <w:bCs/>
          <w:sz w:val="22"/>
          <w:szCs w:val="22"/>
          <w:lang w:val="pl-PL"/>
        </w:rPr>
        <w:t xml:space="preserve">Lijek Synopen, rastvor za injekciju, sadrži hloropiramin, antihistaminik jakog dejstva. </w:t>
      </w:r>
    </w:p>
    <w:p w14:paraId="0E063CB7" w14:textId="597BD6B2" w:rsidR="00921EA9" w:rsidRDefault="00921EA9" w:rsidP="00921EA9">
      <w:pPr>
        <w:tabs>
          <w:tab w:val="left" w:pos="1020"/>
        </w:tabs>
        <w:rPr>
          <w:sz w:val="22"/>
          <w:szCs w:val="22"/>
          <w:lang w:val="pl-PL"/>
        </w:rPr>
      </w:pPr>
    </w:p>
    <w:p w14:paraId="480C91E1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ED5262">
        <w:rPr>
          <w:bCs/>
          <w:sz w:val="22"/>
          <w:szCs w:val="22"/>
          <w:lang w:val="pl-PL"/>
        </w:rPr>
        <w:t>Hloropiramin ispoljava svoje antihistaminsko djelovanje kompeticijom sa histaminom za H</w:t>
      </w:r>
      <w:r w:rsidRPr="00ED5262">
        <w:rPr>
          <w:bCs/>
          <w:sz w:val="22"/>
          <w:szCs w:val="22"/>
          <w:vertAlign w:val="subscript"/>
          <w:lang w:val="pl-PL"/>
        </w:rPr>
        <w:t>1</w:t>
      </w:r>
      <w:r w:rsidRPr="00ED5262">
        <w:rPr>
          <w:bCs/>
          <w:sz w:val="22"/>
          <w:szCs w:val="22"/>
          <w:lang w:val="pl-PL"/>
        </w:rPr>
        <w:t xml:space="preserve"> ćelijske receptore na nivou efektorne ćelije, čime sprečava i antagonizuje većinu farmakoloških efekata histamina. Kao kompetitivni antagonist histamina, hloropiramin smanjuje tonus glatke muskulature suzbijajući efekte histamina na kapilare kože i sluzokože. Takođe, ispoljava i antiprurginozno, lokalno anestetičko, vazokonstriktorno i centralno sedativno dejstvo.</w:t>
      </w:r>
    </w:p>
    <w:p w14:paraId="25454207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6D02BF7C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5.2. </w:t>
      </w:r>
      <w:r w:rsidRPr="00ED5262">
        <w:rPr>
          <w:b/>
          <w:bCs/>
          <w:sz w:val="22"/>
          <w:szCs w:val="22"/>
          <w:lang w:val="pl-PL"/>
        </w:rPr>
        <w:tab/>
        <w:t xml:space="preserve">Farmakokinetički podaci </w:t>
      </w:r>
    </w:p>
    <w:p w14:paraId="1D78FA0D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51D7DE5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Nakon intravenske ili intramuskularne primjene dejstvo hloropiramina započinje već nakon nekoliko minuta. Maksimalna koncentracija u krvi se poslije intramuskularne primjene postiže nakon 2 sata, a tokom naredna 4 sata postepeno opada. Lijek se raspodjeljuje po cijelom organizmu, uključujući i centralni nervni sistem. Metabolizam se odvija u jetri, a izlučuje se urinom tokom 24 sata uglavnom u obliku metabolita, manjim dijelom nepromijenjen. Hloropiramin se izlučuje u majčino mlijeko.</w:t>
      </w:r>
    </w:p>
    <w:p w14:paraId="17738460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5AA039B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5.3. </w:t>
      </w:r>
      <w:r w:rsidRPr="00ED5262">
        <w:rPr>
          <w:b/>
          <w:bCs/>
          <w:sz w:val="22"/>
          <w:szCs w:val="22"/>
          <w:lang w:val="pl-PL"/>
        </w:rPr>
        <w:tab/>
        <w:t xml:space="preserve">Pretklinički podaci o bezbjednosti </w:t>
      </w:r>
    </w:p>
    <w:p w14:paraId="26593C02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85FE561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Farmakodinamske studije su potvrdile dejstvo na glatku muskulaturu respiratornog sistema u plućima i izolovanim isječcima traheje, bronhalne i bronhiolarne sluznice zamoraca. Ustanovljeno je da zamorac može preživjeti 100 puta veću dozu histamina od letalne ako se uz histamin daje H</w:t>
      </w:r>
      <w:r w:rsidRPr="00ED5262">
        <w:rPr>
          <w:sz w:val="22"/>
          <w:szCs w:val="22"/>
          <w:vertAlign w:val="subscript"/>
          <w:lang w:val="pl-PL"/>
        </w:rPr>
        <w:t>1</w:t>
      </w:r>
      <w:r w:rsidRPr="00ED5262">
        <w:rPr>
          <w:sz w:val="22"/>
          <w:szCs w:val="22"/>
          <w:lang w:val="pl-PL"/>
        </w:rPr>
        <w:t xml:space="preserve"> blokator.</w:t>
      </w:r>
    </w:p>
    <w:p w14:paraId="21EF8D1C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 xml:space="preserve">Studije na zamorcima i pacovima nijesu pokazale teratogeni efekat hloropiramina. </w:t>
      </w:r>
    </w:p>
    <w:p w14:paraId="7E0540F6" w14:textId="24A7CA45" w:rsidR="00921EA9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Za većinu antihistaminika studije karcinogenosti i mutagenosti nijesu rađene.</w:t>
      </w:r>
    </w:p>
    <w:p w14:paraId="54076E0A" w14:textId="6597DD90" w:rsidR="00921EA9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0E1BDA5F" w14:textId="4CC75579" w:rsidR="00921EA9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1CF3E6BE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 </w:t>
      </w:r>
      <w:r w:rsidRPr="00ED5262">
        <w:rPr>
          <w:b/>
          <w:bCs/>
          <w:sz w:val="22"/>
          <w:szCs w:val="22"/>
          <w:lang w:val="pl-PL"/>
        </w:rPr>
        <w:tab/>
        <w:t>FARMACEUTSKI PODACI</w:t>
      </w:r>
    </w:p>
    <w:p w14:paraId="53E7CC7B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7E9C7321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6.1. </w:t>
      </w:r>
      <w:r w:rsidRPr="00ED5262">
        <w:rPr>
          <w:b/>
          <w:bCs/>
          <w:sz w:val="22"/>
          <w:szCs w:val="22"/>
          <w:lang w:val="pl-PL"/>
        </w:rPr>
        <w:tab/>
        <w:t>Lista pomoćnih supstanci (ekscipijenasa)</w:t>
      </w:r>
    </w:p>
    <w:p w14:paraId="52F9C122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527310D7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Voda za injekcije.</w:t>
      </w:r>
    </w:p>
    <w:p w14:paraId="2359D9A1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8FEC0F1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6.2. </w:t>
      </w:r>
      <w:r w:rsidRPr="00ED5262">
        <w:rPr>
          <w:b/>
          <w:bCs/>
          <w:sz w:val="22"/>
          <w:szCs w:val="22"/>
          <w:lang w:val="pl-PL"/>
        </w:rPr>
        <w:tab/>
        <w:t>Inkompatibilnosti</w:t>
      </w:r>
    </w:p>
    <w:p w14:paraId="703CB404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63D2EED1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Nije primjenljivo.</w:t>
      </w:r>
    </w:p>
    <w:p w14:paraId="2E20C163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39A7B74D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6.3. </w:t>
      </w:r>
      <w:r w:rsidRPr="00ED5262">
        <w:rPr>
          <w:b/>
          <w:bCs/>
          <w:sz w:val="22"/>
          <w:szCs w:val="22"/>
          <w:lang w:val="pl-PL"/>
        </w:rPr>
        <w:tab/>
        <w:t>Rok upotrebe</w:t>
      </w:r>
    </w:p>
    <w:p w14:paraId="722FD19F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2F89B9FF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5 godina.</w:t>
      </w:r>
    </w:p>
    <w:p w14:paraId="51B14194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182DB1B8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6.4. </w:t>
      </w:r>
      <w:r w:rsidRPr="00ED5262">
        <w:rPr>
          <w:b/>
          <w:bCs/>
          <w:sz w:val="22"/>
          <w:szCs w:val="22"/>
          <w:lang w:val="pl-PL"/>
        </w:rPr>
        <w:tab/>
        <w:t>Posebne mjere upozorenja pri čuvanju lijeka</w:t>
      </w:r>
    </w:p>
    <w:p w14:paraId="2C07A95A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3CF89C71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Lijek čuvati na temperaturi do 25 °C.</w:t>
      </w:r>
    </w:p>
    <w:p w14:paraId="28965E1D" w14:textId="77777777" w:rsidR="00921EA9" w:rsidRPr="00ED5262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2BA547D1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6.5. </w:t>
      </w:r>
      <w:r w:rsidRPr="00ED5262">
        <w:rPr>
          <w:b/>
          <w:bCs/>
          <w:sz w:val="22"/>
          <w:szCs w:val="22"/>
          <w:lang w:val="pl-PL"/>
        </w:rPr>
        <w:tab/>
        <w:t xml:space="preserve">Vrsta i sadržaj pakovanja </w:t>
      </w:r>
    </w:p>
    <w:p w14:paraId="7EC0E920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49BC6669" w14:textId="77777777" w:rsidR="00921EA9" w:rsidRPr="00501A78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501A78">
        <w:rPr>
          <w:sz w:val="22"/>
          <w:szCs w:val="22"/>
          <w:lang w:val="pl-PL"/>
        </w:rPr>
        <w:t>2 ml rastvora za injekciju u bezbojnoj ampuli, 10 ampula u kutiji</w:t>
      </w:r>
    </w:p>
    <w:p w14:paraId="5BB1B8AA" w14:textId="77777777" w:rsidR="00921EA9" w:rsidRPr="00501A78" w:rsidRDefault="00921EA9" w:rsidP="00921EA9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C062886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D5262">
        <w:rPr>
          <w:b/>
          <w:bCs/>
          <w:sz w:val="22"/>
          <w:szCs w:val="22"/>
          <w:lang w:val="pl-PL"/>
        </w:rPr>
        <w:t xml:space="preserve">6.6. </w:t>
      </w:r>
      <w:r w:rsidRPr="00ED5262">
        <w:rPr>
          <w:b/>
          <w:bCs/>
          <w:sz w:val="22"/>
          <w:szCs w:val="22"/>
          <w:lang w:val="pl-PL"/>
        </w:rPr>
        <w:tab/>
      </w:r>
      <w:r w:rsidRPr="00ED5262">
        <w:rPr>
          <w:b/>
          <w:bCs/>
          <w:color w:val="000000"/>
          <w:sz w:val="22"/>
          <w:szCs w:val="22"/>
          <w:lang w:val="pl-PL"/>
        </w:rPr>
        <w:t>Posebne mjere opreza pri odlaganju materijala koji treba odbaciti nakon primjene lijeka</w:t>
      </w:r>
      <w:r w:rsidRPr="00ED5262">
        <w:rPr>
          <w:b/>
          <w:bCs/>
          <w:sz w:val="22"/>
          <w:szCs w:val="22"/>
          <w:lang w:val="pl-PL"/>
        </w:rPr>
        <w:t xml:space="preserve"> (i druga uputstva za rukovanje lijekom) </w:t>
      </w:r>
    </w:p>
    <w:p w14:paraId="234D838F" w14:textId="77777777" w:rsidR="00921EA9" w:rsidRPr="00ED5262" w:rsidRDefault="00921EA9" w:rsidP="00921EA9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6FBCC77C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ED5262">
        <w:rPr>
          <w:sz w:val="22"/>
          <w:szCs w:val="22"/>
          <w:lang w:val="pl-PL"/>
        </w:rPr>
        <w:t>Nema posebnih zahtjeva.</w:t>
      </w:r>
    </w:p>
    <w:p w14:paraId="1626D981" w14:textId="77777777" w:rsidR="00921EA9" w:rsidRPr="00ED5262" w:rsidRDefault="00921EA9" w:rsidP="00921EA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5513C99" w14:textId="069565BD" w:rsidR="00E57DE3" w:rsidRPr="00921EA9" w:rsidRDefault="00921EA9" w:rsidP="00921EA9">
      <w:pPr>
        <w:tabs>
          <w:tab w:val="left" w:pos="1020"/>
        </w:tabs>
        <w:rPr>
          <w:sz w:val="22"/>
          <w:szCs w:val="22"/>
          <w:lang w:val="pl-PL"/>
        </w:rPr>
        <w:sectPr w:rsidR="00E57DE3" w:rsidRPr="00921EA9" w:rsidSect="00E57DE3">
          <w:pgSz w:w="11910" w:h="16840"/>
          <w:pgMar w:top="720" w:right="1000" w:bottom="1240" w:left="920" w:header="0" w:footer="987" w:gutter="0"/>
          <w:cols w:space="720"/>
        </w:sectPr>
      </w:pPr>
      <w:r>
        <w:rPr>
          <w:sz w:val="22"/>
          <w:szCs w:val="22"/>
          <w:lang w:val="pl-PL"/>
        </w:rPr>
        <w:tab/>
      </w:r>
    </w:p>
    <w:p w14:paraId="5A54C32D" w14:textId="77777777" w:rsidR="00396DFD" w:rsidRPr="00ED5262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3DE1FF47" w14:textId="77777777" w:rsidR="0072020E" w:rsidRPr="00273DB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20B0A75" w14:textId="77777777" w:rsidR="00F8570A" w:rsidRPr="00273DB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73DB6">
        <w:rPr>
          <w:b/>
          <w:bCs/>
          <w:sz w:val="22"/>
          <w:szCs w:val="22"/>
          <w:lang w:val="sr-Latn-RS"/>
        </w:rPr>
        <w:t xml:space="preserve">7. </w:t>
      </w:r>
      <w:r w:rsidR="00480FB1" w:rsidRPr="00273DB6">
        <w:rPr>
          <w:b/>
          <w:bCs/>
          <w:sz w:val="22"/>
          <w:szCs w:val="22"/>
          <w:lang w:val="sr-Latn-RS"/>
        </w:rPr>
        <w:tab/>
      </w:r>
      <w:r w:rsidRPr="00273DB6">
        <w:rPr>
          <w:b/>
          <w:bCs/>
          <w:sz w:val="22"/>
          <w:szCs w:val="22"/>
          <w:lang w:val="sr-Latn-RS"/>
        </w:rPr>
        <w:t>NOSILAC DOZVOLE</w:t>
      </w:r>
      <w:r w:rsidR="00483928" w:rsidRPr="00273DB6">
        <w:rPr>
          <w:b/>
          <w:bCs/>
          <w:sz w:val="22"/>
          <w:szCs w:val="22"/>
          <w:lang w:val="sr-Latn-RS"/>
        </w:rPr>
        <w:t xml:space="preserve"> </w:t>
      </w:r>
    </w:p>
    <w:p w14:paraId="1C9CDECE" w14:textId="77777777" w:rsidR="00C61BE0" w:rsidRPr="00273DB6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566668A" w14:textId="77777777" w:rsidR="00BE5471" w:rsidRPr="00273DB6" w:rsidRDefault="00BE5471" w:rsidP="00BE54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73DB6">
        <w:rPr>
          <w:bCs/>
          <w:sz w:val="22"/>
          <w:szCs w:val="22"/>
          <w:lang w:val="sr-Latn-RS"/>
        </w:rPr>
        <w:t>Evropa Lek Pharma d.o.o. Podgorica</w:t>
      </w:r>
    </w:p>
    <w:p w14:paraId="19C6B17C" w14:textId="18B33523" w:rsidR="00BE5471" w:rsidRPr="00273DB6" w:rsidRDefault="00BE5471" w:rsidP="00BE54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73DB6">
        <w:rPr>
          <w:bCs/>
          <w:sz w:val="22"/>
          <w:szCs w:val="22"/>
          <w:lang w:val="sr-Latn-RS"/>
        </w:rPr>
        <w:t>Kritskog odreda 4/1, 81000 Podgorica, Crna Gora</w:t>
      </w:r>
    </w:p>
    <w:p w14:paraId="2E0A4EB1" w14:textId="77777777" w:rsidR="00273DB6" w:rsidRPr="00273DB6" w:rsidRDefault="00273DB6" w:rsidP="00BE54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91C566F" w14:textId="77777777" w:rsidR="00C37FD7" w:rsidRPr="00273DB6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F2CB2BE" w14:textId="05B992F0" w:rsidR="0072020E" w:rsidRPr="00273DB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73DB6">
        <w:rPr>
          <w:b/>
          <w:bCs/>
          <w:sz w:val="22"/>
          <w:szCs w:val="22"/>
          <w:lang w:val="sr-Latn-RS"/>
        </w:rPr>
        <w:t xml:space="preserve">8. </w:t>
      </w:r>
      <w:r w:rsidR="00480FB1" w:rsidRPr="00273DB6">
        <w:rPr>
          <w:b/>
          <w:bCs/>
          <w:sz w:val="22"/>
          <w:szCs w:val="22"/>
          <w:lang w:val="sr-Latn-RS"/>
        </w:rPr>
        <w:tab/>
      </w:r>
      <w:r w:rsidRPr="00273DB6">
        <w:rPr>
          <w:b/>
          <w:bCs/>
          <w:sz w:val="22"/>
          <w:szCs w:val="22"/>
          <w:lang w:val="sr-Latn-RS"/>
        </w:rPr>
        <w:t>BROJ DOZVOLE</w:t>
      </w:r>
      <w:r w:rsidR="008A6D43" w:rsidRPr="00273DB6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3B46A1C8" w14:textId="2CBE0119" w:rsidR="00273DB6" w:rsidRPr="00273DB6" w:rsidRDefault="00273DB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03CED3C" w14:textId="2F56E76F" w:rsidR="00273DB6" w:rsidRPr="00273DB6" w:rsidRDefault="00273DB6" w:rsidP="00480FB1">
      <w:pPr>
        <w:tabs>
          <w:tab w:val="left" w:pos="540"/>
          <w:tab w:val="left" w:pos="569"/>
        </w:tabs>
        <w:rPr>
          <w:sz w:val="22"/>
          <w:szCs w:val="22"/>
          <w:lang w:val="sr-Latn-RS" w:eastAsia="sr-Latn-ME"/>
        </w:rPr>
      </w:pPr>
      <w:r w:rsidRPr="00273DB6">
        <w:rPr>
          <w:sz w:val="22"/>
          <w:szCs w:val="22"/>
          <w:lang w:val="sr-Latn-RS" w:eastAsia="sr-Latn-ME"/>
        </w:rPr>
        <w:t>2030/25/1572 – 3857</w:t>
      </w:r>
    </w:p>
    <w:p w14:paraId="0EA23986" w14:textId="77777777" w:rsidR="00273DB6" w:rsidRPr="00273DB6" w:rsidRDefault="00273DB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77EC6AD" w14:textId="77777777" w:rsidR="00F45F77" w:rsidRPr="00273DB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598AA59" w14:textId="7FC9A54B" w:rsidR="0072020E" w:rsidRPr="00273DB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73DB6">
        <w:rPr>
          <w:b/>
          <w:bCs/>
          <w:sz w:val="22"/>
          <w:szCs w:val="22"/>
          <w:lang w:val="sr-Latn-RS"/>
        </w:rPr>
        <w:t xml:space="preserve">9. </w:t>
      </w:r>
      <w:r w:rsidR="00480FB1" w:rsidRPr="00273DB6">
        <w:rPr>
          <w:b/>
          <w:bCs/>
          <w:sz w:val="22"/>
          <w:szCs w:val="22"/>
          <w:lang w:val="sr-Latn-RS"/>
        </w:rPr>
        <w:tab/>
      </w:r>
      <w:r w:rsidRPr="00273DB6">
        <w:rPr>
          <w:b/>
          <w:bCs/>
          <w:sz w:val="22"/>
          <w:szCs w:val="22"/>
          <w:lang w:val="sr-Latn-RS"/>
        </w:rPr>
        <w:t xml:space="preserve">DATUM </w:t>
      </w:r>
      <w:r w:rsidR="00C05DF8" w:rsidRPr="00273DB6">
        <w:rPr>
          <w:b/>
          <w:bCs/>
          <w:sz w:val="22"/>
          <w:szCs w:val="22"/>
          <w:lang w:val="sr-Latn-RS"/>
        </w:rPr>
        <w:t xml:space="preserve">PRVE </w:t>
      </w:r>
      <w:r w:rsidR="008A6D43" w:rsidRPr="00273DB6">
        <w:rPr>
          <w:b/>
          <w:bCs/>
          <w:sz w:val="22"/>
          <w:szCs w:val="22"/>
          <w:lang w:val="sr-Latn-RS"/>
        </w:rPr>
        <w:t>DOZVOLE</w:t>
      </w:r>
      <w:r w:rsidR="00C05DF8" w:rsidRPr="00273DB6">
        <w:rPr>
          <w:b/>
          <w:bCs/>
          <w:sz w:val="22"/>
          <w:szCs w:val="22"/>
          <w:lang w:val="sr-Latn-RS"/>
        </w:rPr>
        <w:t>/OBNOVE DOZVOLE</w:t>
      </w:r>
      <w:r w:rsidR="008A6D43" w:rsidRPr="00273DB6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75D738EF" w14:textId="7C6235EB" w:rsidR="00273DB6" w:rsidRPr="00273DB6" w:rsidRDefault="00273DB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E161DB0" w14:textId="69E61F0C" w:rsidR="00273DB6" w:rsidRPr="00273DB6" w:rsidRDefault="00273DB6" w:rsidP="00273D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73DB6">
        <w:rPr>
          <w:bCs/>
          <w:sz w:val="22"/>
          <w:szCs w:val="22"/>
          <w:lang w:val="sr-Latn-RS"/>
        </w:rPr>
        <w:t xml:space="preserve">Datum prve dozvole: </w:t>
      </w:r>
      <w:r w:rsidRPr="00273DB6">
        <w:rPr>
          <w:sz w:val="22"/>
          <w:szCs w:val="22"/>
          <w:lang w:val="sr-Latn-RS" w:eastAsia="sr-Latn-ME"/>
        </w:rPr>
        <w:t>01.03.2018. godine</w:t>
      </w:r>
    </w:p>
    <w:p w14:paraId="5EBB6072" w14:textId="52213BEB" w:rsidR="00273DB6" w:rsidRPr="00273DB6" w:rsidRDefault="00273DB6" w:rsidP="00273DB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73DB6">
        <w:rPr>
          <w:bCs/>
          <w:sz w:val="22"/>
          <w:szCs w:val="22"/>
          <w:lang w:val="sr-Latn-RS"/>
        </w:rPr>
        <w:t xml:space="preserve">Datum obnove dozvole: </w:t>
      </w:r>
      <w:r w:rsidRPr="00273DB6">
        <w:rPr>
          <w:sz w:val="22"/>
          <w:szCs w:val="22"/>
          <w:lang w:val="sr-Latn-RS" w:eastAsia="sr-Latn-ME"/>
        </w:rPr>
        <w:t>28.03.2025. godine</w:t>
      </w:r>
    </w:p>
    <w:p w14:paraId="0CCBE776" w14:textId="77777777" w:rsidR="0072020E" w:rsidRPr="00273DB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57B4627" w14:textId="77777777" w:rsidR="00836B35" w:rsidRPr="00273DB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53F070E" w14:textId="77777777" w:rsidR="003F6A59" w:rsidRPr="00273DB6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273DB6">
        <w:rPr>
          <w:b/>
          <w:bCs/>
          <w:sz w:val="22"/>
          <w:szCs w:val="22"/>
          <w:lang w:val="sr-Latn-RS"/>
        </w:rPr>
        <w:t xml:space="preserve">10. </w:t>
      </w:r>
      <w:r w:rsidR="00480FB1" w:rsidRPr="00273DB6">
        <w:rPr>
          <w:b/>
          <w:bCs/>
          <w:sz w:val="22"/>
          <w:szCs w:val="22"/>
          <w:lang w:val="sr-Latn-RS"/>
        </w:rPr>
        <w:tab/>
      </w:r>
      <w:r w:rsidR="002846DB" w:rsidRPr="00273DB6">
        <w:rPr>
          <w:b/>
          <w:bCs/>
          <w:sz w:val="22"/>
          <w:szCs w:val="22"/>
          <w:lang w:val="sr-Latn-RS"/>
        </w:rPr>
        <w:t>D</w:t>
      </w:r>
      <w:r w:rsidR="00EC2532" w:rsidRPr="00273DB6">
        <w:rPr>
          <w:b/>
          <w:bCs/>
          <w:sz w:val="22"/>
          <w:szCs w:val="22"/>
          <w:lang w:val="sr-Latn-RS"/>
        </w:rPr>
        <w:t xml:space="preserve">ATUM REVIZIJE TEKSTA </w:t>
      </w:r>
    </w:p>
    <w:p w14:paraId="3DFE8977" w14:textId="77777777" w:rsidR="003F6A59" w:rsidRPr="00273DB6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7A20B36" w14:textId="536B2E98" w:rsidR="003F6A59" w:rsidRPr="00273DB6" w:rsidRDefault="00273DB6" w:rsidP="00DE3F5C">
      <w:pPr>
        <w:rPr>
          <w:sz w:val="22"/>
          <w:szCs w:val="22"/>
          <w:lang w:val="sr-Latn-RS"/>
        </w:rPr>
      </w:pPr>
      <w:r w:rsidRPr="00273DB6">
        <w:rPr>
          <w:sz w:val="22"/>
          <w:szCs w:val="22"/>
          <w:lang w:val="sr-Latn-RS"/>
        </w:rPr>
        <w:t>Mart, 2025. godine</w:t>
      </w:r>
    </w:p>
    <w:sectPr w:rsidR="003F6A59" w:rsidRPr="00273DB6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B6765" w14:textId="77777777" w:rsidR="00296887" w:rsidRDefault="00296887">
      <w:r>
        <w:separator/>
      </w:r>
    </w:p>
  </w:endnote>
  <w:endnote w:type="continuationSeparator" w:id="0">
    <w:p w14:paraId="21471899" w14:textId="77777777" w:rsidR="00296887" w:rsidRDefault="002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F93D" w14:textId="6FFD2306" w:rsidR="00921EA9" w:rsidRPr="00921EA9" w:rsidRDefault="00921EA9">
    <w:pPr>
      <w:pStyle w:val="Footer"/>
      <w:jc w:val="center"/>
      <w:rPr>
        <w:rStyle w:val="Emphasis"/>
        <w:i w:val="0"/>
        <w:sz w:val="22"/>
        <w:szCs w:val="22"/>
      </w:rPr>
    </w:pPr>
    <w:r w:rsidRPr="00921EA9">
      <w:rPr>
        <w:rStyle w:val="Emphasis"/>
        <w:i w:val="0"/>
        <w:sz w:val="22"/>
        <w:szCs w:val="22"/>
      </w:rPr>
      <w:fldChar w:fldCharType="begin"/>
    </w:r>
    <w:r w:rsidRPr="00921EA9">
      <w:rPr>
        <w:rStyle w:val="Emphasis"/>
        <w:i w:val="0"/>
        <w:sz w:val="22"/>
        <w:szCs w:val="22"/>
      </w:rPr>
      <w:instrText xml:space="preserve"> PAGE  \* Arabic  \* MERGEFORMAT </w:instrText>
    </w:r>
    <w:r w:rsidRPr="00921EA9">
      <w:rPr>
        <w:rStyle w:val="Emphasis"/>
        <w:i w:val="0"/>
        <w:sz w:val="22"/>
        <w:szCs w:val="22"/>
      </w:rPr>
      <w:fldChar w:fldCharType="separate"/>
    </w:r>
    <w:r w:rsidR="00E43F88">
      <w:rPr>
        <w:rStyle w:val="Emphasis"/>
        <w:i w:val="0"/>
        <w:noProof/>
        <w:sz w:val="22"/>
        <w:szCs w:val="22"/>
      </w:rPr>
      <w:t>4</w:t>
    </w:r>
    <w:r w:rsidRPr="00921EA9">
      <w:rPr>
        <w:rStyle w:val="Emphasis"/>
        <w:i w:val="0"/>
        <w:sz w:val="22"/>
        <w:szCs w:val="22"/>
      </w:rPr>
      <w:fldChar w:fldCharType="end"/>
    </w:r>
    <w:r w:rsidRPr="00921EA9">
      <w:rPr>
        <w:rStyle w:val="Emphasis"/>
        <w:i w:val="0"/>
        <w:sz w:val="22"/>
        <w:szCs w:val="22"/>
      </w:rPr>
      <w:t>/</w:t>
    </w:r>
    <w:r w:rsidRPr="00921EA9">
      <w:rPr>
        <w:rStyle w:val="Emphasis"/>
        <w:i w:val="0"/>
        <w:sz w:val="22"/>
        <w:szCs w:val="22"/>
      </w:rPr>
      <w:fldChar w:fldCharType="begin"/>
    </w:r>
    <w:r w:rsidRPr="00921EA9">
      <w:rPr>
        <w:rStyle w:val="Emphasis"/>
        <w:i w:val="0"/>
        <w:sz w:val="22"/>
        <w:szCs w:val="22"/>
      </w:rPr>
      <w:instrText xml:space="preserve"> NUMPAGES  \* Arabic  \* MERGEFORMAT </w:instrText>
    </w:r>
    <w:r w:rsidRPr="00921EA9">
      <w:rPr>
        <w:rStyle w:val="Emphasis"/>
        <w:i w:val="0"/>
        <w:sz w:val="22"/>
        <w:szCs w:val="22"/>
      </w:rPr>
      <w:fldChar w:fldCharType="separate"/>
    </w:r>
    <w:r w:rsidR="00E43F88">
      <w:rPr>
        <w:rStyle w:val="Emphasis"/>
        <w:i w:val="0"/>
        <w:noProof/>
        <w:sz w:val="22"/>
        <w:szCs w:val="22"/>
      </w:rPr>
      <w:t>5</w:t>
    </w:r>
    <w:r w:rsidRPr="00921EA9">
      <w:rPr>
        <w:rStyle w:val="Emphasis"/>
        <w:i w:val="0"/>
        <w:sz w:val="22"/>
        <w:szCs w:val="22"/>
      </w:rPr>
      <w:fldChar w:fldCharType="end"/>
    </w:r>
  </w:p>
  <w:p w14:paraId="216DB2B3" w14:textId="2CE79F7B" w:rsidR="00165F6C" w:rsidRDefault="00165F6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634F" w14:textId="06F18521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43F88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43F88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  <w:p w14:paraId="1FA88F46" w14:textId="77777777" w:rsidR="00382600" w:rsidRDefault="00382600"/>
  <w:p w14:paraId="75257475" w14:textId="77777777" w:rsidR="00382600" w:rsidRDefault="003826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218D" w14:textId="77777777" w:rsidR="00296887" w:rsidRDefault="00296887">
      <w:r>
        <w:separator/>
      </w:r>
    </w:p>
  </w:footnote>
  <w:footnote w:type="continuationSeparator" w:id="0">
    <w:p w14:paraId="1BA258DB" w14:textId="77777777" w:rsidR="00296887" w:rsidRDefault="0029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17208827" o:spid="_x0000_i1027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B43D6E"/>
    <w:multiLevelType w:val="multilevel"/>
    <w:tmpl w:val="91D2CD02"/>
    <w:lvl w:ilvl="0">
      <w:start w:val="1"/>
      <w:numFmt w:val="decimal"/>
      <w:lvlText w:val="%1."/>
      <w:lvlJc w:val="left"/>
      <w:pPr>
        <w:ind w:left="438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96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</w:rPr>
    </w:lvl>
    <w:lvl w:ilvl="4">
      <w:numFmt w:val="bullet"/>
      <w:lvlText w:val="•"/>
      <w:lvlJc w:val="left"/>
      <w:pPr>
        <w:ind w:left="2403" w:hanging="360"/>
      </w:pPr>
      <w:rPr>
        <w:rFonts w:hint="default"/>
      </w:rPr>
    </w:lvl>
    <w:lvl w:ilvl="5">
      <w:numFmt w:val="bullet"/>
      <w:lvlText w:val="•"/>
      <w:lvlJc w:val="left"/>
      <w:pPr>
        <w:ind w:left="3667" w:hanging="360"/>
      </w:pPr>
      <w:rPr>
        <w:rFonts w:hint="default"/>
      </w:rPr>
    </w:lvl>
    <w:lvl w:ilvl="6">
      <w:numFmt w:val="bullet"/>
      <w:lvlText w:val="•"/>
      <w:lvlJc w:val="left"/>
      <w:pPr>
        <w:ind w:left="4930" w:hanging="360"/>
      </w:pPr>
      <w:rPr>
        <w:rFonts w:hint="default"/>
      </w:rPr>
    </w:lvl>
    <w:lvl w:ilvl="7"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4C80"/>
    <w:rsid w:val="00126F53"/>
    <w:rsid w:val="0014766D"/>
    <w:rsid w:val="001536CC"/>
    <w:rsid w:val="00165F6C"/>
    <w:rsid w:val="001A3FBA"/>
    <w:rsid w:val="001A5518"/>
    <w:rsid w:val="001B1C6A"/>
    <w:rsid w:val="001C1263"/>
    <w:rsid w:val="001C1417"/>
    <w:rsid w:val="001C7983"/>
    <w:rsid w:val="001E390B"/>
    <w:rsid w:val="001F42FB"/>
    <w:rsid w:val="001F719A"/>
    <w:rsid w:val="0020273C"/>
    <w:rsid w:val="002031B3"/>
    <w:rsid w:val="00215931"/>
    <w:rsid w:val="00224C91"/>
    <w:rsid w:val="00227BDB"/>
    <w:rsid w:val="00234CB1"/>
    <w:rsid w:val="002352F8"/>
    <w:rsid w:val="002510A5"/>
    <w:rsid w:val="00254A0A"/>
    <w:rsid w:val="00264AC6"/>
    <w:rsid w:val="00266046"/>
    <w:rsid w:val="00273DB6"/>
    <w:rsid w:val="002846DB"/>
    <w:rsid w:val="00284CCD"/>
    <w:rsid w:val="00296887"/>
    <w:rsid w:val="002C6637"/>
    <w:rsid w:val="002D63ED"/>
    <w:rsid w:val="002E0135"/>
    <w:rsid w:val="002E37A5"/>
    <w:rsid w:val="00310F03"/>
    <w:rsid w:val="003247D2"/>
    <w:rsid w:val="003445C1"/>
    <w:rsid w:val="00346256"/>
    <w:rsid w:val="00355B61"/>
    <w:rsid w:val="00362686"/>
    <w:rsid w:val="00371510"/>
    <w:rsid w:val="00382600"/>
    <w:rsid w:val="00396DFD"/>
    <w:rsid w:val="003A7059"/>
    <w:rsid w:val="003B7A36"/>
    <w:rsid w:val="003C17AB"/>
    <w:rsid w:val="003C7823"/>
    <w:rsid w:val="003E1DCC"/>
    <w:rsid w:val="003F11A1"/>
    <w:rsid w:val="003F4FAB"/>
    <w:rsid w:val="003F6A59"/>
    <w:rsid w:val="004065C8"/>
    <w:rsid w:val="004109FA"/>
    <w:rsid w:val="00411B4B"/>
    <w:rsid w:val="00415BEE"/>
    <w:rsid w:val="00424276"/>
    <w:rsid w:val="004254E9"/>
    <w:rsid w:val="00427F85"/>
    <w:rsid w:val="00436D43"/>
    <w:rsid w:val="00436F42"/>
    <w:rsid w:val="004378B4"/>
    <w:rsid w:val="00451314"/>
    <w:rsid w:val="00452E9D"/>
    <w:rsid w:val="004534C7"/>
    <w:rsid w:val="00455452"/>
    <w:rsid w:val="004623EE"/>
    <w:rsid w:val="004671AA"/>
    <w:rsid w:val="00471DF8"/>
    <w:rsid w:val="00480005"/>
    <w:rsid w:val="00480FB1"/>
    <w:rsid w:val="00483928"/>
    <w:rsid w:val="004C331F"/>
    <w:rsid w:val="004C45E5"/>
    <w:rsid w:val="004D6103"/>
    <w:rsid w:val="004E3BCE"/>
    <w:rsid w:val="004E70AD"/>
    <w:rsid w:val="004F0E97"/>
    <w:rsid w:val="004F17E2"/>
    <w:rsid w:val="00501A78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5178"/>
    <w:rsid w:val="005E67AD"/>
    <w:rsid w:val="005E6E20"/>
    <w:rsid w:val="005E7A7D"/>
    <w:rsid w:val="00602457"/>
    <w:rsid w:val="00627EBB"/>
    <w:rsid w:val="00644FC3"/>
    <w:rsid w:val="00646BD1"/>
    <w:rsid w:val="006561C2"/>
    <w:rsid w:val="00671CB3"/>
    <w:rsid w:val="00674BAF"/>
    <w:rsid w:val="00682200"/>
    <w:rsid w:val="006906CC"/>
    <w:rsid w:val="00692BF6"/>
    <w:rsid w:val="006A1351"/>
    <w:rsid w:val="006A1497"/>
    <w:rsid w:val="006B0BD1"/>
    <w:rsid w:val="006B5404"/>
    <w:rsid w:val="006B6503"/>
    <w:rsid w:val="006D20A5"/>
    <w:rsid w:val="006D37BF"/>
    <w:rsid w:val="00702E22"/>
    <w:rsid w:val="00702FAD"/>
    <w:rsid w:val="0072020E"/>
    <w:rsid w:val="00754902"/>
    <w:rsid w:val="00786071"/>
    <w:rsid w:val="007A3ECB"/>
    <w:rsid w:val="007D7BB3"/>
    <w:rsid w:val="007E31E9"/>
    <w:rsid w:val="007F05E3"/>
    <w:rsid w:val="007F661E"/>
    <w:rsid w:val="00824AB9"/>
    <w:rsid w:val="00836B35"/>
    <w:rsid w:val="00843BDE"/>
    <w:rsid w:val="0087588C"/>
    <w:rsid w:val="00877F2B"/>
    <w:rsid w:val="0089705C"/>
    <w:rsid w:val="008A306F"/>
    <w:rsid w:val="008A6D43"/>
    <w:rsid w:val="008B491E"/>
    <w:rsid w:val="008C1A28"/>
    <w:rsid w:val="008C2E98"/>
    <w:rsid w:val="008E49BD"/>
    <w:rsid w:val="008E53E9"/>
    <w:rsid w:val="008E5771"/>
    <w:rsid w:val="008E7FEF"/>
    <w:rsid w:val="008F1719"/>
    <w:rsid w:val="008F4ACF"/>
    <w:rsid w:val="00921EA9"/>
    <w:rsid w:val="00924166"/>
    <w:rsid w:val="00940B9B"/>
    <w:rsid w:val="00950F03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B1EA4"/>
    <w:rsid w:val="00BE5471"/>
    <w:rsid w:val="00BF3966"/>
    <w:rsid w:val="00C04D34"/>
    <w:rsid w:val="00C05DF8"/>
    <w:rsid w:val="00C06864"/>
    <w:rsid w:val="00C10F54"/>
    <w:rsid w:val="00C23D8D"/>
    <w:rsid w:val="00C278B3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0852"/>
    <w:rsid w:val="00C94C0D"/>
    <w:rsid w:val="00CA1FEB"/>
    <w:rsid w:val="00CA4B32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74CD2"/>
    <w:rsid w:val="00D85B12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41F3C"/>
    <w:rsid w:val="00E43F88"/>
    <w:rsid w:val="00E45169"/>
    <w:rsid w:val="00E47787"/>
    <w:rsid w:val="00E51C30"/>
    <w:rsid w:val="00E57DE3"/>
    <w:rsid w:val="00E64180"/>
    <w:rsid w:val="00E7235D"/>
    <w:rsid w:val="00E74AEE"/>
    <w:rsid w:val="00E868E5"/>
    <w:rsid w:val="00E91805"/>
    <w:rsid w:val="00E9237A"/>
    <w:rsid w:val="00E939FA"/>
    <w:rsid w:val="00EA5765"/>
    <w:rsid w:val="00EC1C6F"/>
    <w:rsid w:val="00EC2532"/>
    <w:rsid w:val="00ED5262"/>
    <w:rsid w:val="00ED7812"/>
    <w:rsid w:val="00EF3B86"/>
    <w:rsid w:val="00F00DBB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786C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165F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5F6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D526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1EA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921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C99F-8A72-4C3C-81FE-6BDBD906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8733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11</cp:revision>
  <cp:lastPrinted>2023-02-09T08:16:00Z</cp:lastPrinted>
  <dcterms:created xsi:type="dcterms:W3CDTF">2025-03-27T14:00:00Z</dcterms:created>
  <dcterms:modified xsi:type="dcterms:W3CDTF">2025-03-28T09:52:00Z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