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A876" w14:textId="77777777" w:rsidR="00F91C7B" w:rsidRPr="00463723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02FA877" w14:textId="77777777" w:rsidR="002510A5" w:rsidRPr="0046372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6372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02FA878" w14:textId="77777777" w:rsidR="002510A5" w:rsidRPr="0046372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02FA879" w14:textId="77777777" w:rsidR="003C17AB" w:rsidRPr="00463723" w:rsidRDefault="003C17AB" w:rsidP="00CA1FEB">
      <w:pPr>
        <w:rPr>
          <w:sz w:val="22"/>
          <w:szCs w:val="22"/>
          <w:lang w:val="sr-Latn-ME"/>
        </w:rPr>
      </w:pPr>
    </w:p>
    <w:p w14:paraId="502FA87D" w14:textId="77777777" w:rsidR="00411B4B" w:rsidRPr="0046372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>1.</w:t>
      </w:r>
      <w:r w:rsidR="00F5167F" w:rsidRPr="00463723">
        <w:rPr>
          <w:b/>
          <w:bCs/>
          <w:sz w:val="22"/>
          <w:szCs w:val="22"/>
          <w:lang w:val="sr-Latn-ME"/>
        </w:rPr>
        <w:tab/>
      </w:r>
      <w:r w:rsidR="002846DB" w:rsidRPr="00463723">
        <w:rPr>
          <w:b/>
          <w:bCs/>
          <w:sz w:val="22"/>
          <w:szCs w:val="22"/>
          <w:lang w:val="sr-Latn-ME"/>
        </w:rPr>
        <w:t xml:space="preserve">NAZIV </w:t>
      </w:r>
      <w:r w:rsidRPr="00463723">
        <w:rPr>
          <w:b/>
          <w:bCs/>
          <w:sz w:val="22"/>
          <w:szCs w:val="22"/>
          <w:lang w:val="sr-Latn-ME"/>
        </w:rPr>
        <w:t>LIJEKA</w:t>
      </w:r>
    </w:p>
    <w:p w14:paraId="502FA87E" w14:textId="77777777" w:rsidR="00EC2532" w:rsidRPr="00463723" w:rsidRDefault="00EC2532">
      <w:pPr>
        <w:rPr>
          <w:sz w:val="22"/>
          <w:szCs w:val="22"/>
          <w:lang w:val="sr-Latn-ME"/>
        </w:rPr>
      </w:pPr>
    </w:p>
    <w:p w14:paraId="57BFC6D6" w14:textId="37B8D6A2" w:rsidR="007468F9" w:rsidRPr="00463723" w:rsidRDefault="007468F9" w:rsidP="007468F9">
      <w:pPr>
        <w:tabs>
          <w:tab w:val="left" w:pos="1350"/>
        </w:tabs>
        <w:rPr>
          <w:bCs/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 xml:space="preserve">Bisolvon, </w:t>
      </w:r>
      <w:r w:rsidR="00946878" w:rsidRPr="00463723">
        <w:rPr>
          <w:bCs/>
          <w:sz w:val="22"/>
          <w:szCs w:val="22"/>
          <w:lang w:val="sr-Latn-ME"/>
        </w:rPr>
        <w:t xml:space="preserve">8 mg, </w:t>
      </w:r>
      <w:r w:rsidRPr="00463723">
        <w:rPr>
          <w:bCs/>
          <w:sz w:val="22"/>
          <w:szCs w:val="22"/>
          <w:lang w:val="sr-Latn-ME"/>
        </w:rPr>
        <w:t>tablet</w:t>
      </w:r>
      <w:r w:rsidR="00946878" w:rsidRPr="00463723">
        <w:rPr>
          <w:bCs/>
          <w:sz w:val="22"/>
          <w:szCs w:val="22"/>
          <w:lang w:val="sr-Latn-ME"/>
        </w:rPr>
        <w:t>a</w:t>
      </w:r>
    </w:p>
    <w:p w14:paraId="502FA880" w14:textId="77777777" w:rsidR="000D425A" w:rsidRPr="00463723" w:rsidRDefault="000D425A">
      <w:pPr>
        <w:rPr>
          <w:bCs/>
          <w:sz w:val="22"/>
          <w:szCs w:val="22"/>
          <w:lang w:val="sr-Latn-ME"/>
        </w:rPr>
      </w:pPr>
    </w:p>
    <w:p w14:paraId="502FA881" w14:textId="747AC69E" w:rsidR="006D20A5" w:rsidRPr="00463723" w:rsidRDefault="006D20A5" w:rsidP="006D20A5">
      <w:pPr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INN:</w:t>
      </w:r>
      <w:r w:rsidR="005B0666" w:rsidRPr="00463723">
        <w:rPr>
          <w:sz w:val="22"/>
          <w:szCs w:val="22"/>
          <w:lang w:val="sr-Latn-ME"/>
        </w:rPr>
        <w:t xml:space="preserve"> b</w:t>
      </w:r>
      <w:r w:rsidR="005B0666" w:rsidRPr="00463723">
        <w:rPr>
          <w:bCs/>
          <w:sz w:val="22"/>
          <w:szCs w:val="22"/>
          <w:lang w:val="sr-Latn-ME"/>
        </w:rPr>
        <w:t>romheksin</w:t>
      </w:r>
    </w:p>
    <w:p w14:paraId="502FA882" w14:textId="77777777" w:rsidR="006D20A5" w:rsidRPr="00463723" w:rsidRDefault="006D20A5">
      <w:pPr>
        <w:rPr>
          <w:bCs/>
          <w:sz w:val="22"/>
          <w:szCs w:val="22"/>
          <w:lang w:val="sr-Latn-ME"/>
        </w:rPr>
      </w:pPr>
    </w:p>
    <w:p w14:paraId="502FA883" w14:textId="77777777" w:rsidR="00530BD7" w:rsidRPr="00463723" w:rsidRDefault="00530BD7">
      <w:pPr>
        <w:rPr>
          <w:bCs/>
          <w:sz w:val="22"/>
          <w:szCs w:val="22"/>
          <w:lang w:val="sr-Latn-ME"/>
        </w:rPr>
      </w:pPr>
    </w:p>
    <w:p w14:paraId="502FA884" w14:textId="77777777" w:rsidR="00411B4B" w:rsidRPr="0046372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2. </w:t>
      </w:r>
      <w:r w:rsidR="00F5167F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KVALITATIVNI I KVANTITATIVNI SASTAV</w:t>
      </w:r>
    </w:p>
    <w:p w14:paraId="714F8D45" w14:textId="77777777" w:rsidR="00091DDF" w:rsidRPr="00463723" w:rsidRDefault="00091DDF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3E9B39" w14:textId="19B3C06A" w:rsidR="003D21F5" w:rsidRPr="00463723" w:rsidRDefault="003D21F5" w:rsidP="00091DD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  <w:lang w:val="sr-Latn-ME" w:bidi="ne-NP"/>
        </w:rPr>
      </w:pPr>
      <w:r w:rsidRPr="00463723">
        <w:rPr>
          <w:color w:val="000000"/>
          <w:sz w:val="22"/>
          <w:szCs w:val="22"/>
          <w:lang w:val="sr-Latn-ME" w:bidi="ne-NP"/>
        </w:rPr>
        <w:t>1 tableta sadrži 8</w:t>
      </w:r>
      <w:r w:rsidR="00991976" w:rsidRPr="00463723">
        <w:rPr>
          <w:color w:val="000000"/>
          <w:sz w:val="22"/>
          <w:szCs w:val="22"/>
          <w:lang w:val="sr-Latn-ME" w:bidi="ne-NP"/>
        </w:rPr>
        <w:t xml:space="preserve"> </w:t>
      </w:r>
      <w:r w:rsidRPr="00463723">
        <w:rPr>
          <w:color w:val="000000"/>
          <w:sz w:val="22"/>
          <w:szCs w:val="22"/>
          <w:lang w:val="sr-Latn-ME" w:bidi="ne-NP"/>
        </w:rPr>
        <w:t>mg bromheksin hidrohlorida</w:t>
      </w:r>
      <w:r w:rsidR="00091DDF" w:rsidRPr="00463723">
        <w:rPr>
          <w:color w:val="000000"/>
          <w:sz w:val="22"/>
          <w:szCs w:val="22"/>
          <w:lang w:val="sr-Latn-ME" w:bidi="ne-NP"/>
        </w:rPr>
        <w:t>.</w:t>
      </w:r>
    </w:p>
    <w:p w14:paraId="5CD5BE09" w14:textId="237D0D46" w:rsidR="003D21F5" w:rsidRPr="00463723" w:rsidRDefault="003D21F5" w:rsidP="00091DDF">
      <w:pPr>
        <w:widowControl w:val="0"/>
        <w:tabs>
          <w:tab w:val="left" w:pos="284"/>
        </w:tabs>
        <w:autoSpaceDE w:val="0"/>
        <w:autoSpaceDN w:val="0"/>
        <w:spacing w:before="120"/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Pomoćne supstance sa potvrđenim dejstvom: 1 tableta sadrži 74 mg laktoz</w:t>
      </w:r>
      <w:r w:rsidR="00946878" w:rsidRPr="00463723">
        <w:rPr>
          <w:sz w:val="22"/>
          <w:szCs w:val="22"/>
          <w:lang w:val="sr-Latn-ME"/>
        </w:rPr>
        <w:t>e</w:t>
      </w:r>
      <w:r w:rsidRPr="00463723">
        <w:rPr>
          <w:sz w:val="22"/>
          <w:szCs w:val="22"/>
          <w:lang w:val="sr-Latn-ME"/>
        </w:rPr>
        <w:t>, monohidrata.</w:t>
      </w:r>
    </w:p>
    <w:p w14:paraId="502FA886" w14:textId="77777777" w:rsidR="0003793F" w:rsidRPr="00463723" w:rsidRDefault="0003793F" w:rsidP="00091DDF">
      <w:pPr>
        <w:spacing w:before="120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Za spisak svih ekscipijenasa, pogledati dio 6.1.</w:t>
      </w:r>
    </w:p>
    <w:p w14:paraId="502FA887" w14:textId="77777777" w:rsidR="0003793F" w:rsidRPr="00463723" w:rsidRDefault="0003793F">
      <w:pPr>
        <w:rPr>
          <w:sz w:val="22"/>
          <w:szCs w:val="22"/>
          <w:lang w:val="sr-Latn-ME"/>
        </w:rPr>
      </w:pPr>
    </w:p>
    <w:p w14:paraId="502FA888" w14:textId="77777777" w:rsidR="00C37FD7" w:rsidRPr="00463723" w:rsidRDefault="00C37FD7">
      <w:pPr>
        <w:rPr>
          <w:sz w:val="22"/>
          <w:szCs w:val="22"/>
          <w:lang w:val="sr-Latn-ME"/>
        </w:rPr>
      </w:pPr>
    </w:p>
    <w:p w14:paraId="502FA889" w14:textId="77777777" w:rsidR="00411B4B" w:rsidRPr="0046372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3. </w:t>
      </w:r>
      <w:r w:rsidR="00F5167F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FARMACEUTSKI OBLIK</w:t>
      </w:r>
      <w:r w:rsidR="009F2D23" w:rsidRPr="00463723">
        <w:rPr>
          <w:b/>
          <w:bCs/>
          <w:sz w:val="22"/>
          <w:szCs w:val="22"/>
          <w:lang w:val="sr-Latn-ME"/>
        </w:rPr>
        <w:t xml:space="preserve"> </w:t>
      </w:r>
    </w:p>
    <w:p w14:paraId="17C7B61B" w14:textId="77777777" w:rsidR="00CC340B" w:rsidRPr="00463723" w:rsidRDefault="00CC340B" w:rsidP="00CC340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 w:bidi="ne-NP"/>
        </w:rPr>
      </w:pPr>
    </w:p>
    <w:p w14:paraId="7BD7E1C2" w14:textId="1B26F038" w:rsidR="001C1CAE" w:rsidRPr="00463723" w:rsidRDefault="001C1CAE" w:rsidP="001C1CA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Tableta.</w:t>
      </w:r>
    </w:p>
    <w:p w14:paraId="076B2641" w14:textId="23365D29" w:rsidR="001C1CAE" w:rsidRPr="00463723" w:rsidRDefault="001C1CAE" w:rsidP="001C1CA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Okrugle tablete b</w:t>
      </w:r>
      <w:r w:rsidR="00A7604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ele boje, fasetiranih ivica, sa urezom na jednoj strani i utisnutom oznakom "51B" na ob</w:t>
      </w:r>
      <w:r w:rsidR="00946878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strane</w:t>
      </w:r>
      <w:r w:rsidR="00946878" w:rsidRPr="00463723">
        <w:rPr>
          <w:sz w:val="22"/>
          <w:szCs w:val="22"/>
          <w:lang w:val="sr-Latn-ME"/>
        </w:rPr>
        <w:t xml:space="preserve"> ureza</w:t>
      </w:r>
      <w:r w:rsidRPr="00463723">
        <w:rPr>
          <w:sz w:val="22"/>
          <w:szCs w:val="22"/>
          <w:lang w:val="sr-Latn-ME"/>
        </w:rPr>
        <w:t>.</w:t>
      </w:r>
    </w:p>
    <w:p w14:paraId="34A75199" w14:textId="77777777" w:rsidR="001C1CAE" w:rsidRPr="00463723" w:rsidRDefault="001C1CAE" w:rsidP="001C1CA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Tableta je prečnika 7,0-7,2 mm.</w:t>
      </w:r>
    </w:p>
    <w:p w14:paraId="11F22716" w14:textId="09016EA6" w:rsidR="001C1CAE" w:rsidRPr="00463723" w:rsidRDefault="001C1CAE" w:rsidP="001C1CA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Tableta se može pod</w:t>
      </w:r>
      <w:r w:rsidR="007861D3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 xml:space="preserve">eliti na jednake doze. </w:t>
      </w:r>
    </w:p>
    <w:p w14:paraId="502FA88A" w14:textId="77777777" w:rsidR="00411B4B" w:rsidRPr="00463723" w:rsidRDefault="00411B4B">
      <w:pPr>
        <w:rPr>
          <w:bCs/>
          <w:sz w:val="22"/>
          <w:szCs w:val="22"/>
          <w:lang w:val="sr-Latn-ME"/>
        </w:rPr>
      </w:pPr>
    </w:p>
    <w:p w14:paraId="502FA88B" w14:textId="77777777" w:rsidR="00EC2532" w:rsidRPr="00463723" w:rsidRDefault="00EC2532" w:rsidP="00DC72DE">
      <w:pPr>
        <w:jc w:val="both"/>
        <w:rPr>
          <w:bCs/>
          <w:sz w:val="22"/>
          <w:szCs w:val="22"/>
          <w:lang w:val="sr-Latn-ME"/>
        </w:rPr>
      </w:pPr>
    </w:p>
    <w:p w14:paraId="502FA88C" w14:textId="77777777" w:rsidR="00411B4B" w:rsidRPr="00463723" w:rsidRDefault="00411B4B" w:rsidP="00DC7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KLINIČKI PODACI</w:t>
      </w:r>
    </w:p>
    <w:p w14:paraId="502FA88D" w14:textId="77777777" w:rsidR="00CD6F02" w:rsidRPr="00463723" w:rsidRDefault="00CD6F02" w:rsidP="00DC7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2FA88E" w14:textId="77777777" w:rsidR="00411B4B" w:rsidRPr="00463723" w:rsidRDefault="00411B4B" w:rsidP="00DC7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4.1.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Terapijske indikacije</w:t>
      </w:r>
    </w:p>
    <w:p w14:paraId="502FA88F" w14:textId="63A1ECDE" w:rsidR="00411B4B" w:rsidRPr="00463723" w:rsidRDefault="00411B4B" w:rsidP="00DC7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2D61E8" w14:textId="77777777" w:rsidR="00D91026" w:rsidRPr="00463723" w:rsidRDefault="00D91026" w:rsidP="0073789E">
      <w:pPr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Sekretolitička terapija kod akutnih i hroničnih bronhopulmonalnih bolesti povezanih sa prekomjernom sekrecijom i oslabljenim transportom sluzi.</w:t>
      </w:r>
    </w:p>
    <w:p w14:paraId="5608F04A" w14:textId="77777777" w:rsidR="00CC340B" w:rsidRPr="00463723" w:rsidRDefault="00CC340B" w:rsidP="00DC7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2FA890" w14:textId="77777777" w:rsidR="00411B4B" w:rsidRPr="00463723" w:rsidRDefault="00411B4B" w:rsidP="00DC72D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4.2.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Doziranje i način primjene</w:t>
      </w:r>
    </w:p>
    <w:p w14:paraId="502FA891" w14:textId="77777777" w:rsidR="0072020E" w:rsidRPr="00463723" w:rsidRDefault="0072020E" w:rsidP="00DC72D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B65FBF" w14:textId="3CE12F5F" w:rsidR="00CC2AAD" w:rsidRPr="00DC72DE" w:rsidRDefault="00CC2AAD" w:rsidP="0073789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C72DE">
        <w:rPr>
          <w:sz w:val="22"/>
          <w:szCs w:val="22"/>
          <w:u w:val="single"/>
          <w:lang w:val="sr-Latn-ME"/>
        </w:rPr>
        <w:t>Doziranje</w:t>
      </w:r>
    </w:p>
    <w:p w14:paraId="2C84090A" w14:textId="77777777" w:rsidR="00CC2AAD" w:rsidRPr="00463723" w:rsidRDefault="00CC2A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3051"/>
        <w:gridCol w:w="3016"/>
      </w:tblGrid>
      <w:tr w:rsidR="00CC2AAD" w:rsidRPr="00463723" w14:paraId="14406C27" w14:textId="77777777" w:rsidTr="00DE4FBB">
        <w:tc>
          <w:tcPr>
            <w:tcW w:w="3285" w:type="dxa"/>
          </w:tcPr>
          <w:p w14:paraId="605B98A0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34FB23B8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Preporučeno doziranje</w:t>
            </w:r>
          </w:p>
        </w:tc>
        <w:tc>
          <w:tcPr>
            <w:tcW w:w="3285" w:type="dxa"/>
          </w:tcPr>
          <w:p w14:paraId="21960B68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Najveća dnevna doza</w:t>
            </w:r>
          </w:p>
        </w:tc>
      </w:tr>
      <w:tr w:rsidR="00CC2AAD" w:rsidRPr="00463723" w14:paraId="4614D454" w14:textId="77777777" w:rsidTr="00DE4FBB">
        <w:tc>
          <w:tcPr>
            <w:tcW w:w="3285" w:type="dxa"/>
          </w:tcPr>
          <w:p w14:paraId="0681BFB5" w14:textId="625A516E" w:rsidR="00CC2AAD" w:rsidRPr="00463723" w:rsidRDefault="00CC2AAD" w:rsidP="0073789E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Odrasli i d</w:t>
            </w:r>
            <w:r w:rsidR="00A7604C" w:rsidRPr="00463723">
              <w:rPr>
                <w:sz w:val="22"/>
                <w:szCs w:val="22"/>
                <w:lang w:val="sr-Latn-ME"/>
              </w:rPr>
              <w:t>j</w:t>
            </w:r>
            <w:r w:rsidRPr="00463723">
              <w:rPr>
                <w:sz w:val="22"/>
                <w:szCs w:val="22"/>
                <w:lang w:val="sr-Latn-ME"/>
              </w:rPr>
              <w:t>eca starija od 12 godina</w:t>
            </w:r>
          </w:p>
        </w:tc>
        <w:tc>
          <w:tcPr>
            <w:tcW w:w="3285" w:type="dxa"/>
          </w:tcPr>
          <w:p w14:paraId="3AA42453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8 mg (1 tableta) 3 puta na dan</w:t>
            </w:r>
          </w:p>
        </w:tc>
        <w:tc>
          <w:tcPr>
            <w:tcW w:w="3285" w:type="dxa"/>
          </w:tcPr>
          <w:p w14:paraId="46124604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odgovara 24* mg dnevno</w:t>
            </w:r>
          </w:p>
        </w:tc>
      </w:tr>
      <w:tr w:rsidR="00CC2AAD" w:rsidRPr="00463723" w14:paraId="1A33DF18" w14:textId="77777777" w:rsidTr="00DE4FBB">
        <w:tc>
          <w:tcPr>
            <w:tcW w:w="3285" w:type="dxa"/>
          </w:tcPr>
          <w:p w14:paraId="2822824B" w14:textId="3DF2D96E" w:rsidR="00CC2AAD" w:rsidRPr="00463723" w:rsidRDefault="00CC2AAD" w:rsidP="0073789E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D</w:t>
            </w:r>
            <w:r w:rsidR="00A7604C" w:rsidRPr="00463723">
              <w:rPr>
                <w:sz w:val="22"/>
                <w:szCs w:val="22"/>
                <w:lang w:val="sr-Latn-ME"/>
              </w:rPr>
              <w:t>j</w:t>
            </w:r>
            <w:r w:rsidRPr="00463723">
              <w:rPr>
                <w:sz w:val="22"/>
                <w:szCs w:val="22"/>
                <w:lang w:val="sr-Latn-ME"/>
              </w:rPr>
              <w:t>eca od 6 do 12 godina</w:t>
            </w:r>
          </w:p>
        </w:tc>
        <w:tc>
          <w:tcPr>
            <w:tcW w:w="3285" w:type="dxa"/>
          </w:tcPr>
          <w:p w14:paraId="4EED40AD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4 mg (1/2 tablete) 3 puta na dan</w:t>
            </w:r>
          </w:p>
        </w:tc>
        <w:tc>
          <w:tcPr>
            <w:tcW w:w="3285" w:type="dxa"/>
          </w:tcPr>
          <w:p w14:paraId="7ED706FC" w14:textId="77777777" w:rsidR="00CC2AAD" w:rsidRPr="00463723" w:rsidRDefault="00CC2AA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63723">
              <w:rPr>
                <w:sz w:val="22"/>
                <w:szCs w:val="22"/>
                <w:lang w:val="sr-Latn-ME"/>
              </w:rPr>
              <w:t>odgovara 12 mg dnevno</w:t>
            </w:r>
          </w:p>
        </w:tc>
      </w:tr>
    </w:tbl>
    <w:p w14:paraId="530264C6" w14:textId="7C2B6258" w:rsidR="00CC2AAD" w:rsidRPr="00463723" w:rsidRDefault="00CC2AAD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lang w:val="sr-Latn-ME"/>
        </w:rPr>
        <w:t>*U teškim slučajevima moguće je nakon konsultacije s l</w:t>
      </w:r>
      <w:r w:rsidR="00A7604C" w:rsidRPr="00463723">
        <w:rPr>
          <w:sz w:val="22"/>
          <w:lang w:val="sr-Latn-ME"/>
        </w:rPr>
        <w:t>j</w:t>
      </w:r>
      <w:r w:rsidRPr="00463723">
        <w:rPr>
          <w:sz w:val="22"/>
          <w:lang w:val="sr-Latn-ME"/>
        </w:rPr>
        <w:t>ekarem, na početku l</w:t>
      </w:r>
      <w:r w:rsidR="00A7604C" w:rsidRPr="00463723">
        <w:rPr>
          <w:sz w:val="22"/>
          <w:lang w:val="sr-Latn-ME"/>
        </w:rPr>
        <w:t>ije</w:t>
      </w:r>
      <w:r w:rsidRPr="00463723">
        <w:rPr>
          <w:sz w:val="22"/>
          <w:lang w:val="sr-Latn-ME"/>
        </w:rPr>
        <w:t>čenja kod odraslih povećati najveću dnevnu dozu na 48 mg.</w:t>
      </w:r>
    </w:p>
    <w:p w14:paraId="1DE0DD98" w14:textId="77777777" w:rsidR="00CC2AAD" w:rsidRPr="00463723" w:rsidRDefault="00CC2A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A1C5A4" w14:textId="11D70138" w:rsidR="00CC2AAD" w:rsidRPr="00463723" w:rsidRDefault="00CC2AAD" w:rsidP="00630A3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Za d</w:t>
      </w:r>
      <w:r w:rsidR="00A7604C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ecu ispod 6 godina stoje na raspolaganju podesniji oblici l</w:t>
      </w:r>
      <w:r w:rsidR="00A7604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eka sa manjim sadržajem aktivnog sastojka.</w:t>
      </w:r>
    </w:p>
    <w:p w14:paraId="172811FA" w14:textId="77777777" w:rsidR="00CC2AAD" w:rsidRPr="00463723" w:rsidRDefault="00CC2AAD" w:rsidP="0073789E">
      <w:pPr>
        <w:tabs>
          <w:tab w:val="left" w:pos="284"/>
        </w:tabs>
        <w:jc w:val="both"/>
        <w:rPr>
          <w:sz w:val="22"/>
          <w:lang w:val="sr-Latn-ME"/>
        </w:rPr>
      </w:pPr>
    </w:p>
    <w:p w14:paraId="77465EC9" w14:textId="3238CC3F" w:rsidR="00CC2AAD" w:rsidRPr="00463723" w:rsidRDefault="00CC2AAD">
      <w:pPr>
        <w:tabs>
          <w:tab w:val="left" w:pos="284"/>
        </w:tabs>
        <w:jc w:val="both"/>
        <w:rPr>
          <w:sz w:val="22"/>
          <w:lang w:val="sr-Latn-ME"/>
        </w:rPr>
      </w:pPr>
      <w:r w:rsidRPr="00463723">
        <w:rPr>
          <w:sz w:val="22"/>
          <w:lang w:val="sr-Latn-ME"/>
        </w:rPr>
        <w:t>Pacijente na terapiji l</w:t>
      </w:r>
      <w:r w:rsidR="00A7604C" w:rsidRPr="00463723">
        <w:rPr>
          <w:sz w:val="22"/>
          <w:lang w:val="sr-Latn-ME"/>
        </w:rPr>
        <w:t>ij</w:t>
      </w:r>
      <w:r w:rsidRPr="00463723">
        <w:rPr>
          <w:sz w:val="22"/>
          <w:lang w:val="sr-Latn-ME"/>
        </w:rPr>
        <w:t xml:space="preserve">ekom Bisolvon je potrebno upozoriti na očekivano povećanje izlučivanja sluzi. </w:t>
      </w:r>
    </w:p>
    <w:p w14:paraId="61AF4359" w14:textId="77777777" w:rsidR="00CC2AAD" w:rsidRPr="00463723" w:rsidRDefault="00CC2AAD">
      <w:pPr>
        <w:tabs>
          <w:tab w:val="left" w:pos="284"/>
        </w:tabs>
        <w:jc w:val="both"/>
        <w:rPr>
          <w:sz w:val="22"/>
          <w:lang w:val="sr-Latn-ME"/>
        </w:rPr>
      </w:pPr>
    </w:p>
    <w:p w14:paraId="1BB790C4" w14:textId="77DDF8CD" w:rsidR="00CC2AAD" w:rsidRPr="00463723" w:rsidRDefault="00361042" w:rsidP="009E7DF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E7DFC">
        <w:rPr>
          <w:sz w:val="22"/>
          <w:u w:val="single"/>
          <w:lang w:val="sr-Latn-ME"/>
        </w:rPr>
        <w:t>Trajanje terapije</w:t>
      </w:r>
    </w:p>
    <w:p w14:paraId="6C39641A" w14:textId="16FE921A" w:rsidR="00CC2AAD" w:rsidRPr="00463723" w:rsidRDefault="00CC2AAD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Potražiti sav</w:t>
      </w:r>
      <w:r w:rsidR="007861D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et l</w:t>
      </w:r>
      <w:r w:rsidR="00A7604C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ekara ukoliko Vam se simptomi ne poboljšaju ili se pogoršaju nakon 4 do 5 dana.</w:t>
      </w:r>
    </w:p>
    <w:p w14:paraId="70C21C6C" w14:textId="44F08CD2" w:rsidR="00CC2AAD" w:rsidRPr="00463723" w:rsidRDefault="00CC2AAD" w:rsidP="009E7DF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573EE9" w14:textId="203F8E5D" w:rsidR="00361042" w:rsidRPr="00056B1B" w:rsidRDefault="00361042" w:rsidP="009E7DF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056B1B">
        <w:rPr>
          <w:sz w:val="22"/>
          <w:szCs w:val="22"/>
          <w:u w:val="single"/>
          <w:lang w:val="sr-Latn-ME"/>
        </w:rPr>
        <w:t>Način primjene</w:t>
      </w:r>
    </w:p>
    <w:p w14:paraId="61C9597D" w14:textId="711FDE3B" w:rsidR="00CC2AAD" w:rsidRPr="00463723" w:rsidRDefault="00CC2AAD" w:rsidP="009E7DF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Samo za oralnu prim</w:t>
      </w:r>
      <w:r w:rsidR="00A7604C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enu.</w:t>
      </w:r>
    </w:p>
    <w:p w14:paraId="55868595" w14:textId="77777777" w:rsidR="00CC2AAD" w:rsidRPr="00463723" w:rsidRDefault="00CC2AAD" w:rsidP="00CC2AAD">
      <w:pPr>
        <w:tabs>
          <w:tab w:val="left" w:pos="284"/>
        </w:tabs>
        <w:rPr>
          <w:sz w:val="22"/>
          <w:szCs w:val="22"/>
          <w:lang w:val="sr-Latn-ME"/>
        </w:rPr>
      </w:pPr>
    </w:p>
    <w:p w14:paraId="502FA896" w14:textId="1D182C78" w:rsidR="00411B4B" w:rsidRPr="00463723" w:rsidRDefault="00411B4B" w:rsidP="00056B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4.3.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Kontraindikacije</w:t>
      </w:r>
    </w:p>
    <w:p w14:paraId="436EC30C" w14:textId="0B3D79D5" w:rsidR="003A34E7" w:rsidRPr="00463723" w:rsidRDefault="003A34E7" w:rsidP="00056B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1352A0A" w14:textId="07D6EA04" w:rsidR="003A34E7" w:rsidRPr="00463723" w:rsidRDefault="003A34E7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Preosjetljivost na bromheksin-hidrohlorid ili na bilo koju od pomoćnih supstanci navedenih u </w:t>
      </w:r>
      <w:r w:rsidR="007861D3" w:rsidRPr="00463723">
        <w:rPr>
          <w:sz w:val="22"/>
          <w:szCs w:val="22"/>
          <w:lang w:val="sr-Latn-ME"/>
        </w:rPr>
        <w:t xml:space="preserve">dijelu </w:t>
      </w:r>
      <w:r w:rsidRPr="00463723">
        <w:rPr>
          <w:sz w:val="22"/>
          <w:szCs w:val="22"/>
          <w:lang w:val="sr-Latn-ME"/>
        </w:rPr>
        <w:t>6.1.</w:t>
      </w:r>
    </w:p>
    <w:p w14:paraId="49154CEE" w14:textId="77777777" w:rsidR="003A34E7" w:rsidRPr="00463723" w:rsidRDefault="003A34E7" w:rsidP="00056B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2FA898" w14:textId="77777777" w:rsidR="00411B4B" w:rsidRPr="00463723" w:rsidRDefault="00411B4B" w:rsidP="00056B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4.4.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02FA899" w14:textId="77777777" w:rsidR="0072020E" w:rsidRPr="00463723" w:rsidRDefault="0072020E" w:rsidP="00056B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F09DAF" w14:textId="77777777" w:rsidR="003C380B" w:rsidRPr="00463723" w:rsidRDefault="003C380B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Potreban je oprez kod pacijenata sa aktivnim peptičkim ulkusom ili ulkusom u anamnezi. </w:t>
      </w:r>
    </w:p>
    <w:p w14:paraId="68DE2E2B" w14:textId="26ED156B" w:rsidR="003C380B" w:rsidRPr="00463723" w:rsidRDefault="003C38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Pacijenti moraju biti sv</w:t>
      </w:r>
      <w:r w:rsidR="00A42424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 xml:space="preserve">esni povećanja sekrecije sluzi u disajnim putevima. </w:t>
      </w:r>
    </w:p>
    <w:p w14:paraId="2E9E2188" w14:textId="5ADC409E" w:rsidR="003C380B" w:rsidRPr="00463723" w:rsidRDefault="003C38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Potražiti sav</w:t>
      </w:r>
      <w:r w:rsidR="007861D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et l</w:t>
      </w:r>
      <w:r w:rsidR="00A42424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ekara ukoliko Vam se simptomi ne poboljšaju ili se pogoršaju nakon 4 do 5 dana.</w:t>
      </w:r>
    </w:p>
    <w:p w14:paraId="03792631" w14:textId="77777777" w:rsidR="003C380B" w:rsidRPr="00463723" w:rsidRDefault="003C38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BAD9BA" w14:textId="0D0A1D6D" w:rsidR="003C380B" w:rsidRPr="00463723" w:rsidRDefault="003C38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Bilo je slučajeva teških reakcija na koži kao što su </w:t>
      </w:r>
      <w:r w:rsidRPr="00463723">
        <w:rPr>
          <w:i/>
          <w:iCs/>
          <w:sz w:val="22"/>
          <w:szCs w:val="22"/>
          <w:lang w:val="sr-Latn-ME"/>
        </w:rPr>
        <w:t>erythema multiforme,</w:t>
      </w:r>
      <w:r w:rsidRPr="00463723">
        <w:rPr>
          <w:sz w:val="22"/>
          <w:szCs w:val="22"/>
          <w:lang w:val="sr-Latn-ME"/>
        </w:rPr>
        <w:t xml:space="preserve"> </w:t>
      </w:r>
      <w:r w:rsidR="00361042" w:rsidRPr="00056B1B">
        <w:rPr>
          <w:iCs/>
          <w:sz w:val="22"/>
          <w:szCs w:val="22"/>
          <w:lang w:val="sr-Latn-ME"/>
        </w:rPr>
        <w:t>Stevens-Johnsonovog</w:t>
      </w:r>
      <w:r w:rsidRPr="00463723">
        <w:rPr>
          <w:sz w:val="22"/>
          <w:szCs w:val="22"/>
          <w:lang w:val="sr-Latn-ME"/>
        </w:rPr>
        <w:t xml:space="preserve"> sindrom</w:t>
      </w:r>
      <w:r w:rsidR="00361042" w:rsidRPr="00463723">
        <w:rPr>
          <w:sz w:val="22"/>
          <w:szCs w:val="22"/>
          <w:lang w:val="sr-Latn-ME"/>
        </w:rPr>
        <w:t>a</w:t>
      </w:r>
      <w:r w:rsidRPr="00463723">
        <w:rPr>
          <w:sz w:val="22"/>
          <w:szCs w:val="22"/>
          <w:lang w:val="sr-Latn-ME"/>
        </w:rPr>
        <w:t xml:space="preserve"> (SJS), toksična epidermalna nekroliza (TEN) i akutna generalizovana egzantematozna pustuloza (AGEP), povezanih sa prim</w:t>
      </w:r>
      <w:r w:rsidR="00A42424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enom bromheksina. Ukoliko se pojave simptomi ili znaci progresivnog osipa na koži (ponekad povezan sa plikovima ili mukoznim lezijama), treba odmah potražiti sav</w:t>
      </w:r>
      <w:r w:rsidR="00A42424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et l</w:t>
      </w:r>
      <w:r w:rsidR="00A42424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ekara i obustaviti l</w:t>
      </w:r>
      <w:r w:rsidR="00A42424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 xml:space="preserve">ečenje bromheksinom. </w:t>
      </w:r>
    </w:p>
    <w:p w14:paraId="703F89B0" w14:textId="77777777" w:rsidR="003C380B" w:rsidRPr="00463723" w:rsidRDefault="003C38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920BF7" w14:textId="034C7521" w:rsidR="003C380B" w:rsidRPr="00463723" w:rsidRDefault="003C380B">
      <w:pPr>
        <w:tabs>
          <w:tab w:val="left" w:pos="7920"/>
        </w:tabs>
        <w:jc w:val="both"/>
        <w:rPr>
          <w:sz w:val="22"/>
          <w:szCs w:val="22"/>
          <w:lang w:val="sr-Latn-ME" w:eastAsia="de-DE"/>
        </w:rPr>
      </w:pPr>
      <w:r w:rsidRPr="00463723">
        <w:rPr>
          <w:sz w:val="22"/>
          <w:szCs w:val="22"/>
          <w:lang w:val="sr-Latn-ME" w:eastAsia="de-DE"/>
        </w:rPr>
        <w:t>Jedna tableta l</w:t>
      </w:r>
      <w:r w:rsidR="00A42424" w:rsidRPr="00463723">
        <w:rPr>
          <w:sz w:val="22"/>
          <w:szCs w:val="22"/>
          <w:lang w:val="sr-Latn-ME" w:eastAsia="de-DE"/>
        </w:rPr>
        <w:t>ij</w:t>
      </w:r>
      <w:r w:rsidRPr="00463723">
        <w:rPr>
          <w:sz w:val="22"/>
          <w:szCs w:val="22"/>
          <w:lang w:val="sr-Latn-ME" w:eastAsia="de-DE"/>
        </w:rPr>
        <w:t>eka Bisolvon sadrži 74 mg laktoze, što odgovara 222 mg laktoze u preporučenoj dnevnoj dozi (odnosno 444 mg laktoze u slučaju dvostruke doze kod odraslih pacijenata na početku l</w:t>
      </w:r>
      <w:r w:rsidR="00A42424" w:rsidRPr="00463723">
        <w:rPr>
          <w:sz w:val="22"/>
          <w:szCs w:val="22"/>
          <w:lang w:val="sr-Latn-ME" w:eastAsia="de-DE"/>
        </w:rPr>
        <w:t>ij</w:t>
      </w:r>
      <w:r w:rsidRPr="00463723">
        <w:rPr>
          <w:sz w:val="22"/>
          <w:szCs w:val="22"/>
          <w:lang w:val="sr-Latn-ME" w:eastAsia="de-DE"/>
        </w:rPr>
        <w:t>ečenja)</w:t>
      </w:r>
      <w:r w:rsidR="00A42424" w:rsidRPr="00463723">
        <w:rPr>
          <w:sz w:val="22"/>
          <w:szCs w:val="22"/>
          <w:lang w:val="sr-Latn-ME" w:eastAsia="de-DE"/>
        </w:rPr>
        <w:t>.</w:t>
      </w:r>
      <w:r w:rsidRPr="00463723">
        <w:rPr>
          <w:sz w:val="22"/>
          <w:szCs w:val="22"/>
          <w:lang w:val="sr-Latn-ME" w:eastAsia="de-DE"/>
        </w:rPr>
        <w:t xml:space="preserve"> O tome treba voditi računa kod pacijenata sa dijabetesom.</w:t>
      </w:r>
    </w:p>
    <w:p w14:paraId="0DE1D348" w14:textId="11A2EA9B" w:rsidR="003C380B" w:rsidRPr="00463723" w:rsidRDefault="003C380B">
      <w:pPr>
        <w:tabs>
          <w:tab w:val="left" w:pos="7920"/>
        </w:tabs>
        <w:jc w:val="both"/>
        <w:rPr>
          <w:b/>
          <w:caps/>
          <w:sz w:val="22"/>
          <w:szCs w:val="22"/>
          <w:u w:val="single"/>
          <w:lang w:val="sr-Latn-ME" w:eastAsia="de-DE"/>
        </w:rPr>
      </w:pPr>
      <w:r w:rsidRPr="00463723">
        <w:rPr>
          <w:sz w:val="22"/>
          <w:szCs w:val="22"/>
          <w:lang w:val="sr-Latn-ME" w:eastAsia="de-DE"/>
        </w:rPr>
        <w:t>Pacijenti sa r</w:t>
      </w:r>
      <w:r w:rsidR="00A42424" w:rsidRPr="00463723">
        <w:rPr>
          <w:sz w:val="22"/>
          <w:szCs w:val="22"/>
          <w:lang w:val="sr-Latn-ME" w:eastAsia="de-DE"/>
        </w:rPr>
        <w:t>ij</w:t>
      </w:r>
      <w:r w:rsidRPr="00463723">
        <w:rPr>
          <w:sz w:val="22"/>
          <w:szCs w:val="22"/>
          <w:lang w:val="sr-Latn-ME" w:eastAsia="de-DE"/>
        </w:rPr>
        <w:t>etkim nasl</w:t>
      </w:r>
      <w:r w:rsidR="009A19EF">
        <w:rPr>
          <w:sz w:val="22"/>
          <w:szCs w:val="22"/>
          <w:lang w:val="sr-Latn-ME" w:eastAsia="de-DE"/>
        </w:rPr>
        <w:t>j</w:t>
      </w:r>
      <w:r w:rsidRPr="00463723">
        <w:rPr>
          <w:sz w:val="22"/>
          <w:szCs w:val="22"/>
          <w:lang w:val="sr-Latn-ME" w:eastAsia="de-DE"/>
        </w:rPr>
        <w:t>ednim poremećajem netolerancije na galaktozu, sa nedostatkom laktaze ili sa lošom glukozno-galaktoznom apsorpcijom, ne sm</w:t>
      </w:r>
      <w:r w:rsidR="00A42424" w:rsidRPr="00463723">
        <w:rPr>
          <w:sz w:val="22"/>
          <w:szCs w:val="22"/>
          <w:lang w:val="sr-Latn-ME" w:eastAsia="de-DE"/>
        </w:rPr>
        <w:t>i</w:t>
      </w:r>
      <w:r w:rsidRPr="00463723">
        <w:rPr>
          <w:sz w:val="22"/>
          <w:szCs w:val="22"/>
          <w:lang w:val="sr-Latn-ME" w:eastAsia="de-DE"/>
        </w:rPr>
        <w:t>ju koristiti Bisolvon tablete.</w:t>
      </w:r>
    </w:p>
    <w:p w14:paraId="619C290A" w14:textId="77777777" w:rsidR="00E81B81" w:rsidRPr="00463723" w:rsidRDefault="00E81B8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2FA89C" w14:textId="6A24A883" w:rsidR="00411B4B" w:rsidRPr="00463723" w:rsidRDefault="00411B4B" w:rsidP="009A19E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>4.5.</w:t>
      </w:r>
      <w:r w:rsidR="000D60CC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B61A500" w14:textId="0C03AAB3" w:rsidR="00913AA9" w:rsidRPr="00463723" w:rsidRDefault="00913AA9" w:rsidP="009A19E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8E8362" w14:textId="4705A03D" w:rsidR="00A348DA" w:rsidRPr="00463723" w:rsidRDefault="00A348DA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Istovremena prim</w:t>
      </w:r>
      <w:r w:rsidR="00800C58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ena l</w:t>
      </w:r>
      <w:r w:rsidR="00A42424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 xml:space="preserve">eka Bisolvon i antibiotika (amoksicilin, eritromicin, doksiciklin, cefuroksim) dovodi do povećane koncentracije antibiotika u plućnom tkivu. </w:t>
      </w:r>
    </w:p>
    <w:p w14:paraId="67531F17" w14:textId="1EE5F3E3" w:rsidR="00A348DA" w:rsidRPr="00463723" w:rsidRDefault="00A348D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Nema podataka o klinički značajnim nepovoljnim interakcijama sa drugim l</w:t>
      </w:r>
      <w:r w:rsidR="00E24F8D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ekovima.</w:t>
      </w:r>
    </w:p>
    <w:p w14:paraId="502FA89D" w14:textId="77777777" w:rsidR="0072020E" w:rsidRPr="00463723" w:rsidRDefault="0072020E" w:rsidP="007109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2FA89E" w14:textId="77777777" w:rsidR="0072020E" w:rsidRPr="00463723" w:rsidRDefault="0072020E" w:rsidP="007109B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4.6.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="006D20A5" w:rsidRPr="00463723">
        <w:rPr>
          <w:b/>
          <w:sz w:val="22"/>
          <w:szCs w:val="22"/>
          <w:lang w:val="sr-Latn-ME"/>
        </w:rPr>
        <w:t>Plodnost, trudnoća i dojenje</w:t>
      </w:r>
    </w:p>
    <w:p w14:paraId="502FA89F" w14:textId="77777777" w:rsidR="002031B3" w:rsidRPr="00463723" w:rsidRDefault="002031B3" w:rsidP="007109B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8332B8" w14:textId="77777777" w:rsidR="008766FE" w:rsidRPr="00463723" w:rsidRDefault="008766FE" w:rsidP="007109B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63723">
        <w:rPr>
          <w:sz w:val="22"/>
          <w:szCs w:val="22"/>
          <w:u w:val="single"/>
          <w:lang w:val="sr-Latn-ME"/>
        </w:rPr>
        <w:t>Trudnoća</w:t>
      </w:r>
    </w:p>
    <w:p w14:paraId="553D9B41" w14:textId="77777777" w:rsidR="008766FE" w:rsidRPr="00463723" w:rsidRDefault="008766FE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Nema trenutno dostupnih podataka o upotrebi bromheksina kod trudnica. </w:t>
      </w:r>
    </w:p>
    <w:p w14:paraId="3779E15C" w14:textId="77777777" w:rsidR="008766FE" w:rsidRPr="00463723" w:rsidRDefault="008766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Studije na životinjama ne pokazuju neposredna ili posredna štetna dejstva u pogledu reproduktivne toksičnosti.</w:t>
      </w:r>
    </w:p>
    <w:p w14:paraId="59C74A9B" w14:textId="72FAB113" w:rsidR="008766FE" w:rsidRPr="00463723" w:rsidRDefault="008766FE" w:rsidP="007109B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109BF">
        <w:rPr>
          <w:bCs/>
          <w:sz w:val="22"/>
          <w:szCs w:val="22"/>
          <w:lang w:val="sr-Latn-ME"/>
        </w:rPr>
        <w:t>Iz predostrožnosti,</w:t>
      </w:r>
      <w:r w:rsidRPr="00463723">
        <w:rPr>
          <w:b/>
          <w:bCs/>
          <w:sz w:val="22"/>
          <w:szCs w:val="22"/>
          <w:lang w:val="sr-Latn-ME"/>
        </w:rPr>
        <w:t xml:space="preserve"> bromheksin treba izb</w:t>
      </w:r>
      <w:r w:rsidR="009329CA" w:rsidRPr="00463723">
        <w:rPr>
          <w:b/>
          <w:bCs/>
          <w:sz w:val="22"/>
          <w:szCs w:val="22"/>
          <w:lang w:val="sr-Latn-ME"/>
        </w:rPr>
        <w:t>j</w:t>
      </w:r>
      <w:r w:rsidRPr="00463723">
        <w:rPr>
          <w:b/>
          <w:bCs/>
          <w:sz w:val="22"/>
          <w:szCs w:val="22"/>
          <w:lang w:val="sr-Latn-ME"/>
        </w:rPr>
        <w:t>egavati tokom trudnoće</w:t>
      </w:r>
      <w:r w:rsidRPr="00463723">
        <w:rPr>
          <w:sz w:val="22"/>
          <w:szCs w:val="22"/>
          <w:lang w:val="sr-Latn-ME"/>
        </w:rPr>
        <w:t>.</w:t>
      </w:r>
    </w:p>
    <w:p w14:paraId="4D860163" w14:textId="77777777" w:rsidR="008766FE" w:rsidRPr="00463723" w:rsidRDefault="008766FE" w:rsidP="007109B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8F00E14" w14:textId="77777777" w:rsidR="008766FE" w:rsidRPr="00463723" w:rsidRDefault="008766FE" w:rsidP="007109B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63723">
        <w:rPr>
          <w:sz w:val="22"/>
          <w:szCs w:val="22"/>
          <w:u w:val="single"/>
          <w:lang w:val="sr-Latn-ME"/>
        </w:rPr>
        <w:t>Dojenje</w:t>
      </w:r>
    </w:p>
    <w:p w14:paraId="1C58EA50" w14:textId="1D998E4A" w:rsidR="008766FE" w:rsidRPr="00463723" w:rsidRDefault="008766FE" w:rsidP="0073789E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Nije poznato da li se bromheksin i njegovi metaboliti izlučuju u ml</w:t>
      </w:r>
      <w:r w:rsidR="00E24F8D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eko. Dostupni farmakodinamički i toksikološki podaci iz nekliničkih studija pokazuju da se izlučuju u ml</w:t>
      </w:r>
      <w:r w:rsidR="00E24F8D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eko. Rizik za novorođenče ili odojčad ne mo</w:t>
      </w:r>
      <w:r w:rsidR="00E24F8D" w:rsidRPr="00463723">
        <w:rPr>
          <w:sz w:val="22"/>
          <w:szCs w:val="22"/>
          <w:lang w:val="sr-Latn-ME"/>
        </w:rPr>
        <w:t>ž</w:t>
      </w:r>
      <w:r w:rsidRPr="00463723">
        <w:rPr>
          <w:sz w:val="22"/>
          <w:szCs w:val="22"/>
          <w:lang w:val="sr-Latn-ME"/>
        </w:rPr>
        <w:t xml:space="preserve">e biti isključen. </w:t>
      </w:r>
      <w:r w:rsidRPr="00463723">
        <w:rPr>
          <w:b/>
          <w:bCs/>
          <w:sz w:val="22"/>
          <w:szCs w:val="22"/>
          <w:lang w:val="sr-Latn-ME"/>
        </w:rPr>
        <w:t>Bisolvon sirup ne treba koristiti tokom dojenja.</w:t>
      </w:r>
    </w:p>
    <w:p w14:paraId="1A21B8C3" w14:textId="77777777" w:rsidR="008766FE" w:rsidRPr="00463723" w:rsidRDefault="008766FE" w:rsidP="007109B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AB9BF13" w14:textId="77777777" w:rsidR="008766FE" w:rsidRPr="00463723" w:rsidRDefault="008766FE" w:rsidP="007109B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463723">
        <w:rPr>
          <w:sz w:val="22"/>
          <w:szCs w:val="22"/>
          <w:u w:val="single"/>
          <w:lang w:val="sr-Latn-ME"/>
        </w:rPr>
        <w:t>Plodnost</w:t>
      </w:r>
    </w:p>
    <w:p w14:paraId="62E3F226" w14:textId="0957ED21" w:rsidR="008766FE" w:rsidRPr="00463723" w:rsidRDefault="008766FE" w:rsidP="007109B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63723">
        <w:rPr>
          <w:sz w:val="22"/>
          <w:szCs w:val="22"/>
          <w:lang w:val="sr-Latn-ME"/>
        </w:rPr>
        <w:t>Ni</w:t>
      </w:r>
      <w:r w:rsidR="00E24F8D" w:rsidRPr="00463723">
        <w:rPr>
          <w:sz w:val="22"/>
          <w:szCs w:val="22"/>
          <w:lang w:val="sr-Latn-ME"/>
        </w:rPr>
        <w:t>je</w:t>
      </w:r>
      <w:r w:rsidRPr="00463723">
        <w:rPr>
          <w:sz w:val="22"/>
          <w:szCs w:val="22"/>
          <w:lang w:val="sr-Latn-ME"/>
        </w:rPr>
        <w:t xml:space="preserve">su vršene studije uticaja bromheksina na plodnost. Podaci iz dostupnih pretkliničkih ispitivanja ne ukazuju da bromheksin ima bilo kakav uticaj na plodnost. </w:t>
      </w:r>
    </w:p>
    <w:p w14:paraId="0E8FF883" w14:textId="77777777" w:rsidR="00851B1A" w:rsidRPr="00463723" w:rsidRDefault="00851B1A" w:rsidP="0073789E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02FA8A6" w14:textId="77777777" w:rsidR="0072020E" w:rsidRPr="00463723" w:rsidRDefault="0072020E" w:rsidP="006C022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4.7.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 xml:space="preserve">Uticaj na </w:t>
      </w:r>
      <w:r w:rsidR="002031B3" w:rsidRPr="0046372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63723">
        <w:rPr>
          <w:b/>
          <w:bCs/>
          <w:sz w:val="22"/>
          <w:szCs w:val="22"/>
          <w:lang w:val="sr-Latn-ME"/>
        </w:rPr>
        <w:t>upravljanja vozili</w:t>
      </w:r>
      <w:r w:rsidRPr="00463723">
        <w:rPr>
          <w:b/>
          <w:bCs/>
          <w:sz w:val="22"/>
          <w:szCs w:val="22"/>
          <w:lang w:val="sr-Latn-ME"/>
        </w:rPr>
        <w:t>m</w:t>
      </w:r>
      <w:r w:rsidR="00F34554" w:rsidRPr="00463723">
        <w:rPr>
          <w:b/>
          <w:bCs/>
          <w:sz w:val="22"/>
          <w:szCs w:val="22"/>
          <w:lang w:val="sr-Latn-ME"/>
        </w:rPr>
        <w:t>a</w:t>
      </w:r>
      <w:r w:rsidRPr="00463723">
        <w:rPr>
          <w:b/>
          <w:bCs/>
          <w:sz w:val="22"/>
          <w:szCs w:val="22"/>
          <w:lang w:val="sr-Latn-ME"/>
        </w:rPr>
        <w:t xml:space="preserve"> i </w:t>
      </w:r>
      <w:r w:rsidR="000D3449" w:rsidRPr="00463723">
        <w:rPr>
          <w:b/>
          <w:bCs/>
          <w:sz w:val="22"/>
          <w:szCs w:val="22"/>
          <w:lang w:val="sr-Latn-ME"/>
        </w:rPr>
        <w:t xml:space="preserve">rukovanje </w:t>
      </w:r>
      <w:r w:rsidRPr="00463723">
        <w:rPr>
          <w:b/>
          <w:bCs/>
          <w:sz w:val="22"/>
          <w:szCs w:val="22"/>
          <w:lang w:val="sr-Latn-ME"/>
        </w:rPr>
        <w:t>mašinama</w:t>
      </w:r>
    </w:p>
    <w:p w14:paraId="502FA8A7" w14:textId="29B8DF82" w:rsidR="0072020E" w:rsidRPr="00463723" w:rsidRDefault="0072020E" w:rsidP="006C02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9E53B8" w14:textId="77777777" w:rsidR="00FD35D3" w:rsidRPr="00463723" w:rsidRDefault="00FD35D3" w:rsidP="007378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Uticaj ovog lijeka na psihofizičke sposobnosti prilikom upravljanja motornim vozilima i rukovanja mašinama nije ispitivan.</w:t>
      </w:r>
    </w:p>
    <w:p w14:paraId="346346C2" w14:textId="77777777" w:rsidR="00FD35D3" w:rsidRPr="00463723" w:rsidRDefault="00FD35D3" w:rsidP="00FA15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2FA8A8" w14:textId="77777777" w:rsidR="0072020E" w:rsidRPr="00463723" w:rsidRDefault="0072020E" w:rsidP="00FA15E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4.8.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Neželjena dejstva</w:t>
      </w:r>
    </w:p>
    <w:p w14:paraId="502FA8A9" w14:textId="3FF4B9AC" w:rsidR="004E70AD" w:rsidRPr="00463723" w:rsidRDefault="00625065" w:rsidP="00FA15E2">
      <w:pPr>
        <w:tabs>
          <w:tab w:val="left" w:pos="2517"/>
        </w:tabs>
        <w:jc w:val="both"/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ab/>
      </w:r>
    </w:p>
    <w:p w14:paraId="20C389FF" w14:textId="326D4CC2" w:rsidR="00625065" w:rsidRPr="00463723" w:rsidRDefault="00625065" w:rsidP="00FA15E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>Učestalost ispoljavanja neželjenih dejstava je klasifikovana</w:t>
      </w:r>
      <w:r w:rsidR="00361042" w:rsidRPr="00463723">
        <w:rPr>
          <w:bCs/>
          <w:sz w:val="22"/>
          <w:szCs w:val="22"/>
          <w:lang w:val="sr-Latn-ME"/>
        </w:rPr>
        <w:t xml:space="preserve"> prema </w:t>
      </w:r>
      <w:r w:rsidR="00361042" w:rsidRPr="00463723">
        <w:rPr>
          <w:sz w:val="22"/>
          <w:szCs w:val="22"/>
          <w:lang w:val="sr-Latn-ME"/>
        </w:rPr>
        <w:t>MedDRA</w:t>
      </w:r>
      <w:r w:rsidRPr="00463723">
        <w:rPr>
          <w:bCs/>
          <w:sz w:val="22"/>
          <w:szCs w:val="22"/>
          <w:lang w:val="sr-Latn-ME"/>
        </w:rPr>
        <w:t>:</w:t>
      </w:r>
    </w:p>
    <w:p w14:paraId="0891BD0E" w14:textId="45E6ECBA" w:rsidR="00625065" w:rsidRPr="00463723" w:rsidRDefault="00625065" w:rsidP="0073789E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veoma često (≥1/10); često (≥1/100 do &lt; 1/10);</w:t>
      </w:r>
      <w:r w:rsidR="000E05E8" w:rsidRPr="00463723">
        <w:rPr>
          <w:sz w:val="22"/>
          <w:szCs w:val="22"/>
          <w:lang w:val="sr-Latn-ME"/>
        </w:rPr>
        <w:t xml:space="preserve"> povremeno (≥1/1000 do &lt; 1/100);</w:t>
      </w:r>
      <w:r w:rsidRPr="00463723">
        <w:rPr>
          <w:sz w:val="22"/>
          <w:szCs w:val="22"/>
          <w:lang w:val="sr-Latn-ME"/>
        </w:rPr>
        <w:t xml:space="preserve"> rijetko (≥1/10000 do &lt;1/1000); veoma rijetko (&lt;1/10000) i nepoznato (ne može se procijeniti na osnovu dostupnih podataka).</w:t>
      </w:r>
    </w:p>
    <w:p w14:paraId="5A0E6527" w14:textId="77777777" w:rsidR="00625065" w:rsidRPr="00463723" w:rsidRDefault="0062506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4B634E" w14:textId="77777777" w:rsidR="00625065" w:rsidRPr="00463723" w:rsidRDefault="00625065" w:rsidP="00F62792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bookmarkStart w:id="0" w:name="OLE_LINK7"/>
      <w:r w:rsidRPr="00463723">
        <w:rPr>
          <w:b/>
          <w:i/>
          <w:sz w:val="22"/>
          <w:szCs w:val="22"/>
          <w:lang w:val="sr-Latn-ME"/>
        </w:rPr>
        <w:lastRenderedPageBreak/>
        <w:t>Poremećaji imunskog sistema</w:t>
      </w:r>
    </w:p>
    <w:p w14:paraId="682D94E1" w14:textId="1DD1EDF3" w:rsidR="00625065" w:rsidRPr="00463723" w:rsidRDefault="0073789E" w:rsidP="00625065">
      <w:pPr>
        <w:tabs>
          <w:tab w:val="left" w:pos="1985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Rijetko</w:t>
      </w:r>
      <w:r w:rsidRPr="00463723">
        <w:rPr>
          <w:sz w:val="22"/>
          <w:szCs w:val="22"/>
          <w:lang w:val="sr-Latn-ME"/>
        </w:rPr>
        <w:softHyphen/>
        <w:t>:</w:t>
      </w:r>
      <w:r w:rsidR="00625065" w:rsidRPr="00463723">
        <w:rPr>
          <w:sz w:val="22"/>
          <w:szCs w:val="22"/>
          <w:lang w:val="sr-Latn-ME"/>
        </w:rPr>
        <w:t xml:space="preserve"> </w:t>
      </w:r>
      <w:r w:rsidR="00625065" w:rsidRPr="00463723">
        <w:rPr>
          <w:sz w:val="22"/>
          <w:szCs w:val="22"/>
          <w:lang w:val="sr-Latn-ME"/>
        </w:rPr>
        <w:tab/>
        <w:t>reakcije preosjetljivosti</w:t>
      </w:r>
    </w:p>
    <w:p w14:paraId="37B56B28" w14:textId="77777777" w:rsidR="00625065" w:rsidRPr="00463723" w:rsidRDefault="00625065" w:rsidP="00625065">
      <w:pPr>
        <w:tabs>
          <w:tab w:val="left" w:pos="1985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Nepoznato:</w:t>
      </w:r>
      <w:r w:rsidRPr="00463723">
        <w:rPr>
          <w:sz w:val="22"/>
          <w:szCs w:val="22"/>
          <w:lang w:val="sr-Latn-ME"/>
        </w:rPr>
        <w:tab/>
        <w:t>anafilaktičke reakcije, uključujući anafilaktički šok, angioedem i pruritus</w:t>
      </w:r>
    </w:p>
    <w:bookmarkEnd w:id="0"/>
    <w:p w14:paraId="45DCBB31" w14:textId="77777777" w:rsidR="00625065" w:rsidRPr="00463723" w:rsidRDefault="00625065" w:rsidP="00625065">
      <w:pPr>
        <w:tabs>
          <w:tab w:val="left" w:pos="1985"/>
        </w:tabs>
        <w:rPr>
          <w:b/>
          <w:i/>
          <w:sz w:val="22"/>
          <w:szCs w:val="22"/>
          <w:lang w:val="sr-Latn-ME"/>
        </w:rPr>
      </w:pPr>
    </w:p>
    <w:p w14:paraId="4F4CD02F" w14:textId="77777777" w:rsidR="00625065" w:rsidRPr="00463723" w:rsidRDefault="00625065" w:rsidP="00625065">
      <w:pPr>
        <w:tabs>
          <w:tab w:val="left" w:pos="1985"/>
        </w:tabs>
        <w:rPr>
          <w:b/>
          <w:i/>
          <w:sz w:val="22"/>
          <w:szCs w:val="22"/>
          <w:lang w:val="sr-Latn-ME"/>
        </w:rPr>
      </w:pPr>
      <w:r w:rsidRPr="00463723">
        <w:rPr>
          <w:b/>
          <w:i/>
          <w:iCs/>
          <w:sz w:val="22"/>
          <w:szCs w:val="22"/>
          <w:lang w:val="sr-Latn-ME"/>
        </w:rPr>
        <w:t>Respiratorni, torakalni i medijastinalni poremećaji</w:t>
      </w:r>
    </w:p>
    <w:p w14:paraId="0C40FC48" w14:textId="29CC986F" w:rsidR="00625065" w:rsidRPr="00463723" w:rsidRDefault="0064023B" w:rsidP="00950668">
      <w:pPr>
        <w:tabs>
          <w:tab w:val="left" w:pos="1985"/>
        </w:tabs>
        <w:rPr>
          <w:iCs/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Nepoznato</w:t>
      </w:r>
      <w:r w:rsidR="00625065" w:rsidRPr="00463723">
        <w:rPr>
          <w:sz w:val="22"/>
          <w:szCs w:val="22"/>
          <w:lang w:val="sr-Latn-ME"/>
        </w:rPr>
        <w:t xml:space="preserve">: </w:t>
      </w:r>
      <w:r w:rsidR="00625065" w:rsidRPr="00463723">
        <w:rPr>
          <w:sz w:val="22"/>
          <w:szCs w:val="22"/>
          <w:lang w:val="sr-Latn-ME"/>
        </w:rPr>
        <w:tab/>
        <w:t>bronhospazam</w:t>
      </w:r>
    </w:p>
    <w:p w14:paraId="341B06DC" w14:textId="77777777" w:rsidR="00625065" w:rsidRPr="00463723" w:rsidRDefault="00625065" w:rsidP="00625065">
      <w:pPr>
        <w:tabs>
          <w:tab w:val="left" w:pos="1985"/>
        </w:tabs>
        <w:rPr>
          <w:b/>
          <w:i/>
          <w:sz w:val="22"/>
          <w:szCs w:val="22"/>
          <w:lang w:val="sr-Latn-ME"/>
        </w:rPr>
      </w:pPr>
    </w:p>
    <w:p w14:paraId="0BE30250" w14:textId="77777777" w:rsidR="00625065" w:rsidRPr="00463723" w:rsidRDefault="00625065" w:rsidP="00625065">
      <w:pPr>
        <w:tabs>
          <w:tab w:val="left" w:pos="1985"/>
        </w:tabs>
        <w:ind w:left="1985" w:hanging="1985"/>
        <w:rPr>
          <w:b/>
          <w:i/>
          <w:sz w:val="22"/>
          <w:szCs w:val="22"/>
          <w:lang w:val="sr-Latn-ME"/>
        </w:rPr>
      </w:pPr>
      <w:r w:rsidRPr="00463723">
        <w:rPr>
          <w:b/>
          <w:i/>
          <w:sz w:val="22"/>
          <w:szCs w:val="22"/>
          <w:lang w:val="sr-Latn-ME"/>
        </w:rPr>
        <w:t>Gastrointestinalni poremećaji</w:t>
      </w:r>
    </w:p>
    <w:p w14:paraId="1EDC691E" w14:textId="033550D1" w:rsidR="00625065" w:rsidRPr="00463723" w:rsidRDefault="00625065" w:rsidP="00EA441E">
      <w:pPr>
        <w:tabs>
          <w:tab w:val="left" w:pos="1985"/>
        </w:tabs>
        <w:ind w:left="1985" w:hanging="1985"/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Povremeno: </w:t>
      </w:r>
      <w:r w:rsidRPr="00463723">
        <w:rPr>
          <w:sz w:val="22"/>
          <w:szCs w:val="22"/>
          <w:lang w:val="sr-Latn-ME"/>
        </w:rPr>
        <w:tab/>
        <w:t>mučnina,</w:t>
      </w:r>
      <w:r w:rsidR="00F549E4" w:rsidRPr="00463723">
        <w:rPr>
          <w:sz w:val="22"/>
          <w:szCs w:val="22"/>
          <w:lang w:val="sr-Latn-ME"/>
        </w:rPr>
        <w:t xml:space="preserve"> povraćanje,</w:t>
      </w:r>
      <w:r w:rsidR="00AE44B1" w:rsidRPr="00463723">
        <w:rPr>
          <w:sz w:val="22"/>
          <w:szCs w:val="22"/>
          <w:lang w:val="sr-Latn-ME"/>
        </w:rPr>
        <w:t xml:space="preserve"> dijareja,</w:t>
      </w:r>
      <w:r w:rsidRPr="00463723">
        <w:rPr>
          <w:sz w:val="22"/>
          <w:szCs w:val="22"/>
          <w:lang w:val="sr-Latn-ME"/>
        </w:rPr>
        <w:t xml:space="preserve"> bolovi </w:t>
      </w:r>
      <w:r w:rsidR="00AE44B1" w:rsidRPr="00463723">
        <w:rPr>
          <w:sz w:val="22"/>
          <w:szCs w:val="22"/>
          <w:lang w:val="sr-Latn-ME"/>
        </w:rPr>
        <w:t xml:space="preserve">u </w:t>
      </w:r>
      <w:r w:rsidRPr="00463723">
        <w:rPr>
          <w:sz w:val="22"/>
          <w:szCs w:val="22"/>
          <w:lang w:val="sr-Latn-ME"/>
        </w:rPr>
        <w:t>gornjem dijelu abdomena</w:t>
      </w:r>
    </w:p>
    <w:p w14:paraId="08B96444" w14:textId="77777777" w:rsidR="00625065" w:rsidRPr="00463723" w:rsidRDefault="00625065" w:rsidP="00625065">
      <w:pPr>
        <w:tabs>
          <w:tab w:val="left" w:pos="284"/>
        </w:tabs>
        <w:rPr>
          <w:sz w:val="22"/>
          <w:szCs w:val="22"/>
          <w:lang w:val="sr-Latn-ME"/>
        </w:rPr>
      </w:pPr>
    </w:p>
    <w:p w14:paraId="366A31BA" w14:textId="77777777" w:rsidR="00100291" w:rsidRPr="00463723" w:rsidRDefault="00100291" w:rsidP="00100291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b/>
          <w:i/>
          <w:sz w:val="22"/>
          <w:szCs w:val="22"/>
          <w:lang w:val="sr-Latn-ME"/>
        </w:rPr>
        <w:t>Poremećaji kože i potkožnog tkiva</w:t>
      </w:r>
    </w:p>
    <w:p w14:paraId="230273C1" w14:textId="77777777" w:rsidR="00100291" w:rsidRPr="00463723" w:rsidRDefault="00100291" w:rsidP="00100291">
      <w:pPr>
        <w:tabs>
          <w:tab w:val="left" w:pos="1985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Rijetko: </w:t>
      </w:r>
      <w:r w:rsidRPr="00463723">
        <w:rPr>
          <w:sz w:val="22"/>
          <w:szCs w:val="22"/>
          <w:lang w:val="sr-Latn-ME"/>
        </w:rPr>
        <w:tab/>
        <w:t>osip, urtikarija</w:t>
      </w:r>
    </w:p>
    <w:p w14:paraId="7AE967C0" w14:textId="7B736D2D" w:rsidR="00C43A8A" w:rsidRPr="003D7E66" w:rsidRDefault="00100291" w:rsidP="00C43A8A">
      <w:pPr>
        <w:tabs>
          <w:tab w:val="left" w:pos="1985"/>
        </w:tabs>
        <w:jc w:val="both"/>
        <w:rPr>
          <w:iCs/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Nepoznato: </w:t>
      </w:r>
      <w:r w:rsidRPr="00463723">
        <w:rPr>
          <w:sz w:val="22"/>
          <w:szCs w:val="22"/>
          <w:lang w:val="sr-Latn-ME"/>
        </w:rPr>
        <w:tab/>
      </w:r>
      <w:r w:rsidR="00E86BD0" w:rsidRPr="00463723">
        <w:rPr>
          <w:sz w:val="22"/>
          <w:szCs w:val="22"/>
          <w:lang w:val="sr-Latn-ME"/>
        </w:rPr>
        <w:t xml:space="preserve">ozbiljne </w:t>
      </w:r>
      <w:r w:rsidRPr="00463723">
        <w:rPr>
          <w:sz w:val="22"/>
          <w:szCs w:val="22"/>
          <w:lang w:val="sr-Latn-ME"/>
        </w:rPr>
        <w:t xml:space="preserve">kožne </w:t>
      </w:r>
      <w:r w:rsidR="00E86BD0" w:rsidRPr="00463723">
        <w:rPr>
          <w:sz w:val="22"/>
          <w:szCs w:val="22"/>
          <w:lang w:val="sr-Latn-ME"/>
        </w:rPr>
        <w:t xml:space="preserve">neželjene </w:t>
      </w:r>
      <w:r w:rsidRPr="00463723">
        <w:rPr>
          <w:sz w:val="22"/>
          <w:szCs w:val="22"/>
          <w:lang w:val="sr-Latn-ME"/>
        </w:rPr>
        <w:t>reakcije (</w:t>
      </w:r>
      <w:r w:rsidR="00E86BD0" w:rsidRPr="00463723">
        <w:rPr>
          <w:sz w:val="22"/>
          <w:szCs w:val="22"/>
          <w:lang w:val="sr-Latn-ME"/>
        </w:rPr>
        <w:t xml:space="preserve">uključujući </w:t>
      </w:r>
      <w:r w:rsidRPr="00463723">
        <w:rPr>
          <w:sz w:val="22"/>
          <w:szCs w:val="22"/>
          <w:lang w:val="sr-Latn-ME"/>
        </w:rPr>
        <w:t xml:space="preserve">multiformni eritem, </w:t>
      </w:r>
      <w:r w:rsidR="00C43A8A" w:rsidRPr="003D7E66">
        <w:rPr>
          <w:iCs/>
          <w:sz w:val="22"/>
          <w:szCs w:val="22"/>
          <w:lang w:val="sr-Latn-ME"/>
        </w:rPr>
        <w:t xml:space="preserve">Stevens-          </w:t>
      </w:r>
    </w:p>
    <w:p w14:paraId="54D6A9E9" w14:textId="4A2B32BF" w:rsidR="0073789E" w:rsidRPr="00463723" w:rsidRDefault="00C43A8A" w:rsidP="00C43A8A">
      <w:pPr>
        <w:tabs>
          <w:tab w:val="left" w:pos="1985"/>
        </w:tabs>
        <w:jc w:val="both"/>
        <w:rPr>
          <w:iCs/>
          <w:sz w:val="22"/>
          <w:szCs w:val="22"/>
          <w:lang w:val="sr-Latn-ME"/>
        </w:rPr>
      </w:pPr>
      <w:r w:rsidRPr="003D7E66">
        <w:rPr>
          <w:iCs/>
          <w:sz w:val="22"/>
          <w:szCs w:val="22"/>
          <w:lang w:val="sr-Latn-ME"/>
        </w:rPr>
        <w:t xml:space="preserve">                                    Johnsonov</w:t>
      </w:r>
      <w:r w:rsidR="00100291" w:rsidRPr="00463723">
        <w:rPr>
          <w:sz w:val="22"/>
          <w:szCs w:val="22"/>
          <w:lang w:val="sr-Latn-ME"/>
        </w:rPr>
        <w:t xml:space="preserve"> </w:t>
      </w:r>
      <w:r w:rsidR="00100291" w:rsidRPr="00463723">
        <w:rPr>
          <w:iCs/>
          <w:sz w:val="22"/>
          <w:szCs w:val="22"/>
          <w:lang w:val="sr-Latn-ME"/>
        </w:rPr>
        <w:t>sindrom</w:t>
      </w:r>
      <w:r w:rsidR="00E86BD0" w:rsidRPr="00463723">
        <w:rPr>
          <w:iCs/>
          <w:sz w:val="22"/>
          <w:szCs w:val="22"/>
          <w:lang w:val="sr-Latn-ME"/>
        </w:rPr>
        <w:t xml:space="preserve">, </w:t>
      </w:r>
      <w:r w:rsidR="00100291" w:rsidRPr="00463723">
        <w:rPr>
          <w:iCs/>
          <w:sz w:val="22"/>
          <w:szCs w:val="22"/>
          <w:lang w:val="sr-Latn-ME"/>
        </w:rPr>
        <w:t>toksičn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epidermaln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nekroliz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i akutn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generalizovan</w:t>
      </w:r>
      <w:r w:rsidR="00E86BD0" w:rsidRPr="001C7E30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</w:t>
      </w:r>
    </w:p>
    <w:p w14:paraId="301F7C05" w14:textId="707BF927" w:rsidR="00100291" w:rsidRPr="003D7E66" w:rsidRDefault="0073789E" w:rsidP="0073789E">
      <w:pPr>
        <w:tabs>
          <w:tab w:val="left" w:pos="1985"/>
        </w:tabs>
        <w:jc w:val="both"/>
        <w:rPr>
          <w:i/>
          <w:iCs/>
          <w:sz w:val="22"/>
          <w:szCs w:val="22"/>
          <w:lang w:val="sr-Latn-ME"/>
        </w:rPr>
      </w:pPr>
      <w:r w:rsidRPr="00463723">
        <w:rPr>
          <w:iCs/>
          <w:sz w:val="22"/>
          <w:szCs w:val="22"/>
          <w:lang w:val="sr-Latn-ME"/>
        </w:rPr>
        <w:t xml:space="preserve">                                    </w:t>
      </w:r>
      <w:r w:rsidR="00100291" w:rsidRPr="00463723">
        <w:rPr>
          <w:iCs/>
          <w:sz w:val="22"/>
          <w:szCs w:val="22"/>
          <w:lang w:val="sr-Latn-ME"/>
        </w:rPr>
        <w:t>egzantematozn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 pustuloz</w:t>
      </w:r>
      <w:r w:rsidR="00E86BD0" w:rsidRPr="00463723">
        <w:rPr>
          <w:iCs/>
          <w:sz w:val="22"/>
          <w:szCs w:val="22"/>
          <w:lang w:val="sr-Latn-ME"/>
        </w:rPr>
        <w:t>u</w:t>
      </w:r>
      <w:r w:rsidR="00100291" w:rsidRPr="00463723">
        <w:rPr>
          <w:iCs/>
          <w:sz w:val="22"/>
          <w:szCs w:val="22"/>
          <w:lang w:val="sr-Latn-ME"/>
        </w:rPr>
        <w:t xml:space="preserve">). </w:t>
      </w:r>
    </w:p>
    <w:p w14:paraId="2A83E3B6" w14:textId="77777777" w:rsidR="00625065" w:rsidRPr="00463723" w:rsidRDefault="00625065" w:rsidP="00625065">
      <w:pPr>
        <w:tabs>
          <w:tab w:val="left" w:pos="2517"/>
        </w:tabs>
        <w:rPr>
          <w:b/>
          <w:bCs/>
          <w:sz w:val="22"/>
          <w:szCs w:val="22"/>
          <w:lang w:val="sr-Latn-ME"/>
        </w:rPr>
      </w:pPr>
    </w:p>
    <w:p w14:paraId="502FA8AA" w14:textId="77777777" w:rsidR="005A23D2" w:rsidRPr="00463723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46372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02FA8AB" w14:textId="77777777" w:rsidR="005A23D2" w:rsidRPr="00463723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63723">
        <w:rPr>
          <w:rFonts w:eastAsia="Calibri"/>
          <w:sz w:val="22"/>
          <w:szCs w:val="22"/>
          <w:lang w:val="sr-Latn-ME"/>
        </w:rPr>
        <w:t>inuirano praćenje odnosa korist</w:t>
      </w:r>
      <w:r w:rsidRPr="0046372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63723">
        <w:rPr>
          <w:rFonts w:eastAsia="Calibri"/>
          <w:sz w:val="22"/>
          <w:szCs w:val="22"/>
          <w:lang w:val="sr-Latn-ME"/>
        </w:rPr>
        <w:t xml:space="preserve"> </w:t>
      </w:r>
      <w:r w:rsidRPr="0046372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63723">
        <w:rPr>
          <w:rFonts w:eastAsia="Calibri"/>
          <w:sz w:val="22"/>
          <w:szCs w:val="22"/>
          <w:lang w:val="sr-Latn-ME"/>
        </w:rPr>
        <w:t>Institutu</w:t>
      </w:r>
      <w:r w:rsidRPr="0046372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63723">
        <w:rPr>
          <w:rFonts w:eastAsia="Calibri"/>
          <w:sz w:val="22"/>
          <w:szCs w:val="22"/>
          <w:lang w:val="sr-Latn-ME"/>
        </w:rPr>
        <w:t xml:space="preserve"> </w:t>
      </w:r>
      <w:r w:rsidRPr="00463723">
        <w:rPr>
          <w:rFonts w:eastAsia="Calibri"/>
          <w:sz w:val="22"/>
          <w:szCs w:val="22"/>
          <w:lang w:val="sr-Latn-ME"/>
        </w:rPr>
        <w:t>(</w:t>
      </w:r>
      <w:r w:rsidR="004E70AD" w:rsidRPr="00463723">
        <w:rPr>
          <w:rFonts w:eastAsia="Calibri"/>
          <w:sz w:val="22"/>
          <w:szCs w:val="22"/>
          <w:lang w:val="sr-Latn-ME"/>
        </w:rPr>
        <w:t>CInMED</w:t>
      </w:r>
      <w:r w:rsidRPr="00463723">
        <w:rPr>
          <w:rFonts w:eastAsia="Calibri"/>
          <w:sz w:val="22"/>
          <w:szCs w:val="22"/>
          <w:lang w:val="sr-Latn-ME"/>
        </w:rPr>
        <w:t>):</w:t>
      </w:r>
    </w:p>
    <w:p w14:paraId="502FA8AC" w14:textId="77777777" w:rsidR="005A23D2" w:rsidRPr="00463723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6372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02FA8AD" w14:textId="77777777" w:rsidR="005A23D2" w:rsidRPr="00463723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Odjeljenje za farmakovigilancu</w:t>
      </w:r>
    </w:p>
    <w:p w14:paraId="502FA8AE" w14:textId="77777777" w:rsidR="00EA5765" w:rsidRPr="00463723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02FA8AF" w14:textId="77777777" w:rsidR="00EA5765" w:rsidRPr="00463723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502FA8B0" w14:textId="77777777" w:rsidR="005A23D2" w:rsidRPr="00463723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tel: +382 (0) 20 310 280</w:t>
      </w:r>
    </w:p>
    <w:p w14:paraId="502FA8B1" w14:textId="77777777" w:rsidR="00EA5765" w:rsidRPr="00463723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fax:</w:t>
      </w:r>
      <w:r w:rsidR="00EA5765" w:rsidRPr="00463723">
        <w:rPr>
          <w:rFonts w:eastAsia="Calibri"/>
          <w:sz w:val="22"/>
          <w:szCs w:val="22"/>
          <w:lang w:val="sr-Latn-ME"/>
        </w:rPr>
        <w:t xml:space="preserve"> </w:t>
      </w:r>
      <w:r w:rsidRPr="00463723">
        <w:rPr>
          <w:rFonts w:eastAsia="Calibri"/>
          <w:sz w:val="22"/>
          <w:szCs w:val="22"/>
          <w:lang w:val="sr-Latn-ME"/>
        </w:rPr>
        <w:t>+382 (0) 20 310 581</w:t>
      </w:r>
      <w:r w:rsidR="00FF3EDF" w:rsidRPr="00463723">
        <w:rPr>
          <w:rFonts w:eastAsia="Calibri"/>
          <w:sz w:val="22"/>
          <w:szCs w:val="22"/>
          <w:lang w:val="sr-Latn-ME"/>
        </w:rPr>
        <w:tab/>
      </w:r>
    </w:p>
    <w:p w14:paraId="502FA8B2" w14:textId="77777777" w:rsidR="005A23D2" w:rsidRPr="00463723" w:rsidRDefault="00E456A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6372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02FA8B3" w14:textId="77777777" w:rsidR="00EA5765" w:rsidRPr="00463723" w:rsidRDefault="00E456A9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6372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02FA8B4" w14:textId="77777777" w:rsidR="005A23D2" w:rsidRPr="00463723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putem IS zdravstvene zaštite</w:t>
      </w:r>
    </w:p>
    <w:p w14:paraId="502FA8B5" w14:textId="77777777" w:rsidR="007E31E9" w:rsidRPr="00463723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63723">
        <w:rPr>
          <w:rFonts w:eastAsia="Calibri"/>
          <w:sz w:val="22"/>
          <w:szCs w:val="22"/>
          <w:lang w:val="sr-Latn-ME"/>
        </w:rPr>
        <w:t>QR kod za online prijavu</w:t>
      </w:r>
      <w:r w:rsidR="00D74CD2" w:rsidRPr="00463723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463723">
        <w:rPr>
          <w:rFonts w:eastAsia="Calibri"/>
          <w:sz w:val="22"/>
          <w:szCs w:val="22"/>
          <w:lang w:val="sr-Latn-ME"/>
        </w:rPr>
        <w:t>:</w:t>
      </w:r>
    </w:p>
    <w:p w14:paraId="502FA8B6" w14:textId="77777777" w:rsidR="007E31E9" w:rsidRPr="00463723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02FA8B7" w14:textId="3CC2124C" w:rsidR="004F17E2" w:rsidRPr="00463723" w:rsidRDefault="0073789E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463723">
        <w:rPr>
          <w:b/>
          <w:bCs/>
          <w:noProof/>
          <w:sz w:val="22"/>
          <w:szCs w:val="22"/>
        </w:rPr>
        <w:drawing>
          <wp:inline distT="0" distB="0" distL="0" distR="0" wp14:anchorId="01CBDD9B" wp14:editId="0C7681E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FA8B8" w14:textId="443D753C" w:rsidR="00836B35" w:rsidRPr="00463723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C748C1" w14:textId="6C3ED24D" w:rsidR="00851B1A" w:rsidRPr="00463723" w:rsidRDefault="00851B1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16CB09" w14:textId="77777777" w:rsidR="00851B1A" w:rsidRPr="00463723" w:rsidRDefault="00851B1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B9" w14:textId="77777777" w:rsidR="00CD6F02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4.9.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Predoziranje</w:t>
      </w:r>
      <w:r w:rsidR="002846DB" w:rsidRPr="00463723">
        <w:rPr>
          <w:b/>
          <w:bCs/>
          <w:sz w:val="22"/>
          <w:szCs w:val="22"/>
          <w:lang w:val="sr-Latn-ME"/>
        </w:rPr>
        <w:t xml:space="preserve"> </w:t>
      </w:r>
    </w:p>
    <w:p w14:paraId="502FA8BA" w14:textId="77777777" w:rsidR="00CD6F02" w:rsidRPr="00463723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324E0F" w14:textId="7F09A606" w:rsidR="009E7487" w:rsidRPr="00463723" w:rsidRDefault="009E7487" w:rsidP="009E748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Do danas, kod ljudi ni</w:t>
      </w:r>
      <w:r w:rsidR="00800C58" w:rsidRPr="00463723">
        <w:rPr>
          <w:sz w:val="22"/>
          <w:szCs w:val="22"/>
          <w:lang w:val="sr-Latn-ME"/>
        </w:rPr>
        <w:t>je</w:t>
      </w:r>
      <w:r w:rsidRPr="00463723">
        <w:rPr>
          <w:sz w:val="22"/>
          <w:szCs w:val="22"/>
          <w:lang w:val="sr-Latn-ME"/>
        </w:rPr>
        <w:t>su zab</w:t>
      </w:r>
      <w:r w:rsidR="00B468D1" w:rsidRPr="00463723">
        <w:rPr>
          <w:sz w:val="22"/>
          <w:szCs w:val="22"/>
          <w:lang w:val="sr-Latn-ME"/>
        </w:rPr>
        <w:t>i</w:t>
      </w:r>
      <w:r w:rsidRPr="00463723">
        <w:rPr>
          <w:sz w:val="22"/>
          <w:szCs w:val="22"/>
          <w:lang w:val="sr-Latn-ME"/>
        </w:rPr>
        <w:t>l</w:t>
      </w:r>
      <w:r w:rsidR="00B468D1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eženi ozbiljni simptomi predoziranja. Do sada poznati simptomi kod slučajnog ili nam</w:t>
      </w:r>
      <w:r w:rsidR="00B2237A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ernog predoziranja su identični sa poznatim neželjenim dejstvima l</w:t>
      </w:r>
      <w:r w:rsidR="00B468D1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 xml:space="preserve">eka kod preporučene doze i može biti potrebna simptomatska terapija. </w:t>
      </w:r>
    </w:p>
    <w:p w14:paraId="7F8520DD" w14:textId="77777777" w:rsidR="00D72EFE" w:rsidRPr="00463723" w:rsidRDefault="00D72EFE" w:rsidP="00C42D4E">
      <w:pPr>
        <w:tabs>
          <w:tab w:val="left" w:pos="284"/>
        </w:tabs>
        <w:rPr>
          <w:sz w:val="22"/>
          <w:szCs w:val="22"/>
          <w:lang w:val="sr-Latn-ME"/>
        </w:rPr>
      </w:pPr>
    </w:p>
    <w:p w14:paraId="502FA8BC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5.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FARMAKOLOŠK</w:t>
      </w:r>
      <w:r w:rsidR="000D425A" w:rsidRPr="00463723">
        <w:rPr>
          <w:b/>
          <w:bCs/>
          <w:sz w:val="22"/>
          <w:szCs w:val="22"/>
          <w:lang w:val="sr-Latn-ME"/>
        </w:rPr>
        <w:t>I</w:t>
      </w:r>
      <w:r w:rsidRPr="00463723">
        <w:rPr>
          <w:b/>
          <w:bCs/>
          <w:sz w:val="22"/>
          <w:szCs w:val="22"/>
          <w:lang w:val="sr-Latn-ME"/>
        </w:rPr>
        <w:t xml:space="preserve"> PODACI</w:t>
      </w:r>
    </w:p>
    <w:p w14:paraId="502FA8BD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BE" w14:textId="77777777" w:rsidR="0072020E" w:rsidRPr="00463723" w:rsidRDefault="0072020E" w:rsidP="00851B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5.1.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Farmakodinamski podaci</w:t>
      </w:r>
      <w:r w:rsidR="003A7059" w:rsidRPr="00463723">
        <w:rPr>
          <w:b/>
          <w:bCs/>
          <w:sz w:val="22"/>
          <w:szCs w:val="22"/>
          <w:lang w:val="sr-Latn-ME"/>
        </w:rPr>
        <w:t xml:space="preserve"> </w:t>
      </w:r>
    </w:p>
    <w:p w14:paraId="502FA8BF" w14:textId="77777777" w:rsidR="00F45F77" w:rsidRPr="00463723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C0" w14:textId="317AA7CA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>Farmakoterapijska grupa:</w:t>
      </w:r>
      <w:r w:rsidR="00245822" w:rsidRPr="00463723">
        <w:rPr>
          <w:bCs/>
          <w:sz w:val="22"/>
          <w:szCs w:val="22"/>
          <w:lang w:val="sr-Latn-ME"/>
        </w:rPr>
        <w:t xml:space="preserve"> </w:t>
      </w:r>
      <w:r w:rsidR="00245822" w:rsidRPr="00463723">
        <w:rPr>
          <w:sz w:val="22"/>
          <w:szCs w:val="22"/>
          <w:lang w:val="sr-Latn-ME"/>
        </w:rPr>
        <w:t>Mukolitici</w:t>
      </w:r>
    </w:p>
    <w:p w14:paraId="502FA8C1" w14:textId="77777777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C2" w14:textId="21C26066" w:rsidR="0072020E" w:rsidRPr="00463723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>ATC kod:</w:t>
      </w:r>
      <w:r w:rsidR="00BF27C5" w:rsidRPr="00463723">
        <w:rPr>
          <w:bCs/>
          <w:sz w:val="22"/>
          <w:szCs w:val="22"/>
          <w:lang w:val="sr-Latn-ME"/>
        </w:rPr>
        <w:t xml:space="preserve"> </w:t>
      </w:r>
      <w:r w:rsidR="00BF27C5" w:rsidRPr="00463723">
        <w:rPr>
          <w:sz w:val="22"/>
          <w:szCs w:val="22"/>
          <w:lang w:val="sr-Latn-ME"/>
        </w:rPr>
        <w:t>R05CB02</w:t>
      </w:r>
    </w:p>
    <w:p w14:paraId="38F8DF3B" w14:textId="3E989A6C" w:rsidR="002F5871" w:rsidRPr="00463723" w:rsidRDefault="002F587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02FA8C3" w14:textId="77777777" w:rsidR="002E37A5" w:rsidRPr="00463723" w:rsidRDefault="002E37A5" w:rsidP="00851B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FD386F" w14:textId="2454D83C" w:rsidR="003D6973" w:rsidRPr="00463723" w:rsidRDefault="003D6973" w:rsidP="003D697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lastRenderedPageBreak/>
        <w:t>Bromheksin je sintetski derivat aktivnog biljnog sastojka vasicina. U ispitivanjima na životinjama je pokazano da povećava ud</w:t>
      </w:r>
      <w:r w:rsidR="00FF618F" w:rsidRPr="00463723">
        <w:rPr>
          <w:sz w:val="22"/>
          <w:szCs w:val="22"/>
          <w:lang w:val="sr-Latn-ME"/>
        </w:rPr>
        <w:t>i</w:t>
      </w:r>
      <w:r w:rsidRPr="00463723">
        <w:rPr>
          <w:sz w:val="22"/>
          <w:szCs w:val="22"/>
          <w:lang w:val="sr-Latn-ME"/>
        </w:rPr>
        <w:t xml:space="preserve">o serozne bronhijalne sekrecije. Pojačava transport sluzi smanjujući viskoznost mukusa </w:t>
      </w:r>
      <w:r w:rsidR="00440566" w:rsidRPr="00463723">
        <w:rPr>
          <w:sz w:val="22"/>
          <w:szCs w:val="22"/>
          <w:lang w:val="sr-Latn-ME"/>
        </w:rPr>
        <w:t xml:space="preserve">i </w:t>
      </w:r>
      <w:r w:rsidRPr="00463723">
        <w:rPr>
          <w:sz w:val="22"/>
          <w:szCs w:val="22"/>
          <w:lang w:val="sr-Latn-ME"/>
        </w:rPr>
        <w:t>aktiviranjem cilijarnog epitela (mukocilijarni klirens).</w:t>
      </w:r>
    </w:p>
    <w:p w14:paraId="6D6AE53F" w14:textId="77777777" w:rsidR="003D6973" w:rsidRPr="00463723" w:rsidRDefault="003D6973" w:rsidP="003D6973">
      <w:pPr>
        <w:tabs>
          <w:tab w:val="left" w:pos="284"/>
        </w:tabs>
        <w:rPr>
          <w:sz w:val="22"/>
          <w:szCs w:val="22"/>
          <w:lang w:val="sr-Latn-ME"/>
        </w:rPr>
      </w:pPr>
    </w:p>
    <w:p w14:paraId="38E98372" w14:textId="3DF0DAD7" w:rsidR="003D6973" w:rsidRPr="00463723" w:rsidRDefault="003D6973" w:rsidP="00B468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Kliničke studije su pokazale da ima sekretolitičko i sekretomotorno dejstvo u području bron</w:t>
      </w:r>
      <w:r w:rsidR="00E111CF">
        <w:rPr>
          <w:sz w:val="22"/>
          <w:szCs w:val="22"/>
          <w:lang w:val="sr-Latn-ME"/>
        </w:rPr>
        <w:t>h</w:t>
      </w:r>
      <w:r w:rsidRPr="00463723">
        <w:rPr>
          <w:sz w:val="22"/>
          <w:szCs w:val="22"/>
          <w:lang w:val="sr-Latn-ME"/>
        </w:rPr>
        <w:t>ijalnog trakta, što ublažava kašalj i olakšava ekspektoraciju.</w:t>
      </w:r>
    </w:p>
    <w:p w14:paraId="71647312" w14:textId="77777777" w:rsidR="003D6973" w:rsidRPr="00463723" w:rsidRDefault="003D6973" w:rsidP="003D6973">
      <w:pPr>
        <w:tabs>
          <w:tab w:val="left" w:pos="284"/>
        </w:tabs>
        <w:rPr>
          <w:sz w:val="22"/>
          <w:szCs w:val="22"/>
          <w:lang w:val="sr-Latn-ME"/>
        </w:rPr>
      </w:pPr>
    </w:p>
    <w:p w14:paraId="359F5E65" w14:textId="1F95A24C" w:rsidR="003D6973" w:rsidRPr="00463723" w:rsidRDefault="003D6973" w:rsidP="003D697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Posl</w:t>
      </w:r>
      <w:r w:rsidR="007C09E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prim</w:t>
      </w:r>
      <w:r w:rsidR="00B468D1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 xml:space="preserve">ene bromheksina povećavaju se koncentracije antibiotika amoksicilina, eritromicina i oksitetraciklina u sputumu i u bronhijalnom sekretu. </w:t>
      </w:r>
    </w:p>
    <w:p w14:paraId="2681EA10" w14:textId="77777777" w:rsidR="003D6973" w:rsidRPr="00463723" w:rsidRDefault="003D6973" w:rsidP="00851B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C4" w14:textId="359A6140" w:rsidR="0072020E" w:rsidRPr="00463723" w:rsidRDefault="0072020E" w:rsidP="00851B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5.2.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Farmakokinetički podaci</w:t>
      </w:r>
      <w:r w:rsidR="003A7059" w:rsidRPr="00463723">
        <w:rPr>
          <w:b/>
          <w:bCs/>
          <w:sz w:val="22"/>
          <w:szCs w:val="22"/>
          <w:lang w:val="sr-Latn-ME"/>
        </w:rPr>
        <w:t xml:space="preserve"> </w:t>
      </w:r>
    </w:p>
    <w:p w14:paraId="41D59FF9" w14:textId="77777777" w:rsidR="00506846" w:rsidRPr="00463723" w:rsidRDefault="00506846" w:rsidP="00851B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24AB47" w14:textId="77777777" w:rsidR="002F5675" w:rsidRPr="00463723" w:rsidRDefault="002F5675" w:rsidP="002F5675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463723">
        <w:rPr>
          <w:b/>
          <w:sz w:val="22"/>
          <w:szCs w:val="22"/>
          <w:lang w:val="sr-Latn-ME"/>
        </w:rPr>
        <w:t>Resorpcija</w:t>
      </w:r>
    </w:p>
    <w:p w14:paraId="1FCBAA1F" w14:textId="2E63F036" w:rsidR="002F5675" w:rsidRPr="00463723" w:rsidRDefault="002F5675" w:rsidP="002F5675">
      <w:pPr>
        <w:jc w:val="both"/>
        <w:rPr>
          <w:sz w:val="22"/>
          <w:szCs w:val="22"/>
          <w:lang w:val="sr-Latn-ME" w:eastAsia="de-DE"/>
        </w:rPr>
      </w:pPr>
      <w:r w:rsidRPr="00463723">
        <w:rPr>
          <w:sz w:val="22"/>
          <w:szCs w:val="22"/>
          <w:lang w:val="sr-Latn-ME" w:eastAsia="de-DE"/>
        </w:rPr>
        <w:t>Bromheksin se po oralnoj prim</w:t>
      </w:r>
      <w:r w:rsidR="00B468D1" w:rsidRPr="00463723">
        <w:rPr>
          <w:sz w:val="22"/>
          <w:szCs w:val="22"/>
          <w:lang w:val="sr-Latn-ME" w:eastAsia="de-DE"/>
        </w:rPr>
        <w:t>j</w:t>
      </w:r>
      <w:r w:rsidRPr="00463723">
        <w:rPr>
          <w:sz w:val="22"/>
          <w:szCs w:val="22"/>
          <w:lang w:val="sr-Latn-ME" w:eastAsia="de-DE"/>
        </w:rPr>
        <w:t>eni brzo i potpuno resorbuje iz gastrointestinalnog trakta. Posl</w:t>
      </w:r>
      <w:r w:rsidR="007C09EC" w:rsidRPr="00463723">
        <w:rPr>
          <w:sz w:val="22"/>
          <w:szCs w:val="22"/>
          <w:lang w:val="sr-Latn-ME" w:eastAsia="de-DE"/>
        </w:rPr>
        <w:t>ij</w:t>
      </w:r>
      <w:r w:rsidRPr="00463723">
        <w:rPr>
          <w:sz w:val="22"/>
          <w:szCs w:val="22"/>
          <w:lang w:val="sr-Latn-ME" w:eastAsia="de-DE"/>
        </w:rPr>
        <w:t>e oralne prim</w:t>
      </w:r>
      <w:r w:rsidR="00B468D1" w:rsidRPr="00463723">
        <w:rPr>
          <w:sz w:val="22"/>
          <w:szCs w:val="22"/>
          <w:lang w:val="sr-Latn-ME" w:eastAsia="de-DE"/>
        </w:rPr>
        <w:t>j</w:t>
      </w:r>
      <w:r w:rsidRPr="00463723">
        <w:rPr>
          <w:sz w:val="22"/>
          <w:szCs w:val="22"/>
          <w:lang w:val="sr-Latn-ME" w:eastAsia="de-DE"/>
        </w:rPr>
        <w:t>ene, čvrste i tečne formulacije pokazuju sličnu bioraspoloživost. Apsolutna bioraspoloživost bromheksin-hidrohlorida iznosi 22,2 ± 8,5% za tablete i 26,8 ± 13,1% za rastvor. Metabolizam prvog prolaza iznosi 75-80%. Istovremeno uzimanje hrane dovodi do porasta koncentracije bromheksina u plazmi.</w:t>
      </w:r>
    </w:p>
    <w:p w14:paraId="634A2D3E" w14:textId="55B7BA34" w:rsidR="002F5675" w:rsidRPr="00463723" w:rsidRDefault="002F5675" w:rsidP="002F5675">
      <w:pPr>
        <w:jc w:val="both"/>
        <w:rPr>
          <w:sz w:val="22"/>
          <w:szCs w:val="22"/>
          <w:lang w:val="sr-Latn-ME" w:eastAsia="de-DE"/>
        </w:rPr>
      </w:pPr>
      <w:r w:rsidRPr="00463723">
        <w:rPr>
          <w:sz w:val="22"/>
          <w:szCs w:val="22"/>
          <w:lang w:val="sr-Latn-ME" w:eastAsia="de-DE"/>
        </w:rPr>
        <w:t>Ukoliko se bromheksin uzima nakon jela, bioraspoloživost se povećava. Nakon oralne prim</w:t>
      </w:r>
      <w:r w:rsidR="00B468D1" w:rsidRPr="00463723">
        <w:rPr>
          <w:sz w:val="22"/>
          <w:szCs w:val="22"/>
          <w:lang w:val="sr-Latn-ME" w:eastAsia="de-DE"/>
        </w:rPr>
        <w:t>j</w:t>
      </w:r>
      <w:r w:rsidRPr="00463723">
        <w:rPr>
          <w:sz w:val="22"/>
          <w:szCs w:val="22"/>
          <w:lang w:val="sr-Latn-ME" w:eastAsia="de-DE"/>
        </w:rPr>
        <w:t>ene, v</w:t>
      </w:r>
      <w:r w:rsidRPr="00463723">
        <w:rPr>
          <w:sz w:val="22"/>
          <w:lang w:val="sr-Latn-ME"/>
        </w:rPr>
        <w:t>r</w:t>
      </w:r>
      <w:r w:rsidR="007C09EC" w:rsidRPr="00463723">
        <w:rPr>
          <w:sz w:val="22"/>
          <w:lang w:val="sr-Latn-ME"/>
        </w:rPr>
        <w:t>ij</w:t>
      </w:r>
      <w:r w:rsidRPr="00463723">
        <w:rPr>
          <w:sz w:val="22"/>
          <w:lang w:val="sr-Latn-ME"/>
        </w:rPr>
        <w:t>ednosti C</w:t>
      </w:r>
      <w:r w:rsidRPr="00463723">
        <w:rPr>
          <w:sz w:val="22"/>
          <w:vertAlign w:val="subscript"/>
          <w:lang w:val="sr-Latn-ME"/>
        </w:rPr>
        <w:t>max</w:t>
      </w:r>
      <w:r w:rsidRPr="00463723">
        <w:rPr>
          <w:sz w:val="22"/>
          <w:lang w:val="sr-Latn-ME"/>
        </w:rPr>
        <w:t xml:space="preserve"> i AUC se povećavaju proporcionalno s dozom, u rasponu doziranja od 8</w:t>
      </w:r>
      <w:r w:rsidR="00C43A8A" w:rsidRPr="00463723">
        <w:rPr>
          <w:sz w:val="22"/>
          <w:lang w:val="sr-Latn-ME"/>
        </w:rPr>
        <w:t xml:space="preserve"> do </w:t>
      </w:r>
      <w:r w:rsidRPr="00463723">
        <w:rPr>
          <w:sz w:val="22"/>
          <w:lang w:val="sr-Latn-ME"/>
        </w:rPr>
        <w:t>32 mg. Vr</w:t>
      </w:r>
      <w:r w:rsidR="007C09EC" w:rsidRPr="00463723">
        <w:rPr>
          <w:sz w:val="22"/>
          <w:lang w:val="sr-Latn-ME"/>
        </w:rPr>
        <w:t>ij</w:t>
      </w:r>
      <w:r w:rsidRPr="00463723">
        <w:rPr>
          <w:sz w:val="22"/>
          <w:lang w:val="sr-Latn-ME"/>
        </w:rPr>
        <w:t>ednosti u plazmi pri stanju ravnoteže se postižu maksimalno nakon 3 dana.</w:t>
      </w:r>
    </w:p>
    <w:p w14:paraId="2FB69664" w14:textId="77777777" w:rsidR="002F5675" w:rsidRPr="00463723" w:rsidRDefault="002F5675" w:rsidP="002F5675">
      <w:pPr>
        <w:rPr>
          <w:b/>
          <w:sz w:val="22"/>
          <w:szCs w:val="22"/>
          <w:lang w:val="sr-Latn-ME" w:eastAsia="de-DE"/>
        </w:rPr>
      </w:pPr>
    </w:p>
    <w:p w14:paraId="0AB43F44" w14:textId="77777777" w:rsidR="002F5675" w:rsidRPr="00463723" w:rsidRDefault="002F5675" w:rsidP="002F5675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463723">
        <w:rPr>
          <w:b/>
          <w:sz w:val="22"/>
          <w:szCs w:val="22"/>
          <w:lang w:val="sr-Latn-ME"/>
        </w:rPr>
        <w:t>Metabolizam</w:t>
      </w:r>
    </w:p>
    <w:p w14:paraId="3FEBCB60" w14:textId="7F44B934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Bromheksin se skoro potpuno metabolizuje u niz hidroksiliranih metabolita i dibromantraniličnu kiselinu. Svi metaboliti i sam bromheksin su konjugati oblika N-glukuronida i O</w:t>
      </w:r>
      <w:r w:rsidRPr="00463723">
        <w:rPr>
          <w:sz w:val="22"/>
          <w:szCs w:val="22"/>
          <w:lang w:val="sr-Latn-ME"/>
        </w:rPr>
        <w:noBreakHyphen/>
        <w:t>glukuronida. Nema značajnijih nagov</w:t>
      </w:r>
      <w:r w:rsidR="00B468D1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eštaja da bi model metabolita bio prom</w:t>
      </w:r>
      <w:r w:rsidR="00B468D1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enjen pod uticajem sulfonamida, oksitetraciklina ili eritromicina. Zbog toga su relevantne interakcije sa supstratima CYP 450 2C9 ili 3A4 malo v</w:t>
      </w:r>
      <w:r w:rsidR="007C09EC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erovatne.</w:t>
      </w:r>
    </w:p>
    <w:p w14:paraId="53E5FA24" w14:textId="77777777" w:rsidR="002F5675" w:rsidRPr="00463723" w:rsidRDefault="002F5675" w:rsidP="002F5675">
      <w:pPr>
        <w:rPr>
          <w:b/>
          <w:sz w:val="22"/>
          <w:szCs w:val="22"/>
          <w:lang w:val="sr-Latn-ME" w:eastAsia="de-DE"/>
        </w:rPr>
      </w:pPr>
    </w:p>
    <w:p w14:paraId="38BA0FDE" w14:textId="77777777" w:rsidR="002F5675" w:rsidRPr="00463723" w:rsidRDefault="002F5675" w:rsidP="002F5675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63723">
        <w:rPr>
          <w:b/>
          <w:sz w:val="22"/>
          <w:szCs w:val="22"/>
          <w:lang w:val="sr-Latn-ME"/>
        </w:rPr>
        <w:t xml:space="preserve">Distribucija </w:t>
      </w:r>
    </w:p>
    <w:p w14:paraId="54FF9ADA" w14:textId="3B07188D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Posl</w:t>
      </w:r>
      <w:r w:rsidR="007C09E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intravenske prim</w:t>
      </w:r>
      <w:r w:rsidR="00B468D1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ene, bromheksin se brzo i u velikoj m</w:t>
      </w:r>
      <w:r w:rsidR="00B2237A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eri distribuira u čitavom organizmu. Srednji volumen distribucije (V</w:t>
      </w:r>
      <w:r w:rsidRPr="00463723">
        <w:rPr>
          <w:sz w:val="22"/>
          <w:szCs w:val="22"/>
          <w:vertAlign w:val="subscript"/>
          <w:lang w:val="sr-Latn-ME"/>
        </w:rPr>
        <w:t>ss</w:t>
      </w:r>
      <w:r w:rsidRPr="00463723">
        <w:rPr>
          <w:sz w:val="22"/>
          <w:szCs w:val="22"/>
          <w:lang w:val="sr-Latn-ME"/>
        </w:rPr>
        <w:t xml:space="preserve">) iznosi 1209 ± 206 </w:t>
      </w:r>
      <w:r w:rsidR="00C43A8A" w:rsidRPr="00463723">
        <w:rPr>
          <w:sz w:val="22"/>
          <w:szCs w:val="22"/>
          <w:lang w:val="sr-Latn-ME"/>
        </w:rPr>
        <w:t>l</w:t>
      </w:r>
      <w:r w:rsidRPr="00463723">
        <w:rPr>
          <w:sz w:val="22"/>
          <w:szCs w:val="22"/>
          <w:lang w:val="sr-Latn-ME"/>
        </w:rPr>
        <w:t xml:space="preserve"> (19 </w:t>
      </w:r>
      <w:r w:rsidR="00C43A8A" w:rsidRPr="00463723">
        <w:rPr>
          <w:sz w:val="22"/>
          <w:szCs w:val="22"/>
          <w:lang w:val="sr-Latn-ME"/>
        </w:rPr>
        <w:t>l</w:t>
      </w:r>
      <w:r w:rsidRPr="00463723">
        <w:rPr>
          <w:sz w:val="22"/>
          <w:szCs w:val="22"/>
          <w:lang w:val="sr-Latn-ME"/>
        </w:rPr>
        <w:t>/kg). Raspod</w:t>
      </w:r>
      <w:r w:rsidR="007C09EC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ela u plućnom tkivu (bronhijalnom i parenhimalnom) ispitana je posl</w:t>
      </w:r>
      <w:r w:rsidR="007C09E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oralne prim</w:t>
      </w:r>
      <w:r w:rsidR="00346D6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ene 32 mg i 64 mg bromheksina. U poređenju sa koncentracijama u plazmi, koncentracija u plućnom tkivu dva sata posl</w:t>
      </w:r>
      <w:r w:rsidR="007C09E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unošenja doze veća je 1,5 – 3,2 puta u bronhiolo-bronhijalnom tkivu, a 2,4 – 5,9 puta u plućnom parenhimu. Bromheksin prelazi u likvor.</w:t>
      </w:r>
    </w:p>
    <w:p w14:paraId="6CE489EA" w14:textId="2C9D1813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Neizm</w:t>
      </w:r>
      <w:r w:rsidR="007C09EC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enjeni bromheksin se vezuje za proteine plazme 95%, pri tome bromheksin pokazuje nerestriktivno vezivanje.</w:t>
      </w:r>
    </w:p>
    <w:p w14:paraId="168BC55B" w14:textId="77777777" w:rsidR="002F5675" w:rsidRPr="00463723" w:rsidRDefault="002F5675" w:rsidP="002F5675">
      <w:pPr>
        <w:tabs>
          <w:tab w:val="left" w:pos="284"/>
        </w:tabs>
        <w:rPr>
          <w:i/>
          <w:sz w:val="22"/>
          <w:szCs w:val="22"/>
          <w:lang w:val="sr-Latn-ME"/>
        </w:rPr>
      </w:pPr>
    </w:p>
    <w:p w14:paraId="0B1EE48A" w14:textId="77777777" w:rsidR="002F5675" w:rsidRPr="00463723" w:rsidRDefault="002F5675" w:rsidP="002F5675">
      <w:pPr>
        <w:tabs>
          <w:tab w:val="left" w:pos="284"/>
        </w:tabs>
        <w:rPr>
          <w:b/>
          <w:sz w:val="22"/>
          <w:szCs w:val="22"/>
          <w:lang w:val="sr-Latn-ME"/>
        </w:rPr>
      </w:pPr>
      <w:r w:rsidRPr="00463723">
        <w:rPr>
          <w:b/>
          <w:sz w:val="22"/>
          <w:szCs w:val="22"/>
          <w:lang w:val="sr-Latn-ME"/>
        </w:rPr>
        <w:t>Eliminacija</w:t>
      </w:r>
    </w:p>
    <w:p w14:paraId="3B32499D" w14:textId="7DC248CA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Bromheksin ima visok stepen ekstrakcije u hepatičnom protoku krvi (nakon intravenske prim</w:t>
      </w:r>
      <w:r w:rsidR="00346D6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ene kapacitet hepatičnog protoka krvi je 843-1073 m</w:t>
      </w:r>
      <w:r w:rsidR="001D0FC2" w:rsidRPr="00463723">
        <w:rPr>
          <w:sz w:val="22"/>
          <w:szCs w:val="22"/>
          <w:lang w:val="sr-Latn-ME"/>
        </w:rPr>
        <w:t>l</w:t>
      </w:r>
      <w:r w:rsidRPr="00463723">
        <w:rPr>
          <w:sz w:val="22"/>
          <w:szCs w:val="22"/>
          <w:lang w:val="sr-Latn-ME"/>
        </w:rPr>
        <w:t>/min, što dovodi do velikih razlika između pojedinih pacijenata (CV</w:t>
      </w:r>
      <w:r w:rsidR="006721A0" w:rsidRPr="00463723">
        <w:rPr>
          <w:sz w:val="22"/>
          <w:szCs w:val="22"/>
          <w:lang w:val="sr-Latn-ME"/>
        </w:rPr>
        <w:t xml:space="preserve"> </w:t>
      </w:r>
      <w:r w:rsidRPr="00463723">
        <w:rPr>
          <w:sz w:val="22"/>
          <w:szCs w:val="22"/>
          <w:lang w:val="sr-Latn-ME"/>
        </w:rPr>
        <w:t>&gt;</w:t>
      </w:r>
      <w:r w:rsidR="006721A0" w:rsidRPr="00463723">
        <w:rPr>
          <w:sz w:val="22"/>
          <w:szCs w:val="22"/>
          <w:lang w:val="sr-Latn-ME"/>
        </w:rPr>
        <w:t xml:space="preserve"> </w:t>
      </w:r>
      <w:r w:rsidRPr="00463723">
        <w:rPr>
          <w:sz w:val="22"/>
          <w:szCs w:val="22"/>
          <w:lang w:val="sr-Latn-ME"/>
        </w:rPr>
        <w:t>30%)</w:t>
      </w:r>
      <w:r w:rsidR="001D0FC2" w:rsidRPr="00463723">
        <w:rPr>
          <w:sz w:val="22"/>
          <w:szCs w:val="22"/>
          <w:lang w:val="sr-Latn-ME"/>
        </w:rPr>
        <w:t>)</w:t>
      </w:r>
      <w:r w:rsidRPr="00463723">
        <w:rPr>
          <w:sz w:val="22"/>
          <w:szCs w:val="22"/>
          <w:lang w:val="sr-Latn-ME"/>
        </w:rPr>
        <w:t>. Po oralnom davanju radioaktivno ob</w:t>
      </w:r>
      <w:r w:rsidR="004639D1" w:rsidRPr="00463723">
        <w:rPr>
          <w:sz w:val="22"/>
          <w:szCs w:val="22"/>
          <w:lang w:val="sr-Latn-ME"/>
        </w:rPr>
        <w:t>i</w:t>
      </w:r>
      <w:r w:rsidRPr="00463723">
        <w:rPr>
          <w:sz w:val="22"/>
          <w:szCs w:val="22"/>
          <w:lang w:val="sr-Latn-ME"/>
        </w:rPr>
        <w:t>l</w:t>
      </w:r>
      <w:r w:rsidR="004639D1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eženog bromheksina oko 97,4 ± 1,9% date doze je u vidu radioaktiviteta izlučeno urinom, a manje od 1% u vidu osnovnog jedinjenja. Koncentracije bromheksina u plazmi pokazuju multieksponencijalno opadanje. Nakon prim</w:t>
      </w:r>
      <w:r w:rsidR="00346D6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 xml:space="preserve">ene pojedinačnih oralnih doza između 8 i 32 mg, terminalni poluživot eliminacije bilo je u rasponu između 6,6 i 31,4 časa. </w:t>
      </w:r>
    </w:p>
    <w:p w14:paraId="133EF0D1" w14:textId="5D7FC8B5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Relevantni poluživot kojim se predviđa farmakokinetika ponavljanih doza iznosi oko 1 sat. Zbog toga nije zab</w:t>
      </w:r>
      <w:r w:rsidR="00346D63" w:rsidRPr="00463723">
        <w:rPr>
          <w:sz w:val="22"/>
          <w:szCs w:val="22"/>
          <w:lang w:val="sr-Latn-ME"/>
        </w:rPr>
        <w:t>i</w:t>
      </w:r>
      <w:r w:rsidRPr="00463723">
        <w:rPr>
          <w:sz w:val="22"/>
          <w:szCs w:val="22"/>
          <w:lang w:val="sr-Latn-ME"/>
        </w:rPr>
        <w:t>l</w:t>
      </w:r>
      <w:r w:rsidR="00346D63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eženo nikakvo nagomilavanje posl</w:t>
      </w:r>
      <w:r w:rsidR="006968A9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 višestrukih doza (faktor akumulacije 1,1).</w:t>
      </w:r>
    </w:p>
    <w:p w14:paraId="70A9412A" w14:textId="77777777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35CDCA" w14:textId="77777777" w:rsidR="002F5675" w:rsidRPr="00463723" w:rsidRDefault="002F5675" w:rsidP="002F5675">
      <w:pPr>
        <w:tabs>
          <w:tab w:val="left" w:pos="284"/>
        </w:tabs>
        <w:rPr>
          <w:b/>
          <w:bCs/>
          <w:i/>
          <w:iCs/>
          <w:sz w:val="22"/>
          <w:szCs w:val="22"/>
          <w:lang w:val="sr-Latn-ME"/>
        </w:rPr>
      </w:pPr>
      <w:r w:rsidRPr="00463723">
        <w:rPr>
          <w:b/>
          <w:bCs/>
          <w:i/>
          <w:iCs/>
          <w:sz w:val="22"/>
          <w:szCs w:val="22"/>
          <w:lang w:val="sr-Latn-ME"/>
        </w:rPr>
        <w:t>Linearnost</w:t>
      </w:r>
    </w:p>
    <w:p w14:paraId="332476A8" w14:textId="7878DDCC" w:rsidR="002F5675" w:rsidRPr="00463723" w:rsidRDefault="002F5675" w:rsidP="00346D6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Farmakoki</w:t>
      </w:r>
      <w:r w:rsidR="00346D63" w:rsidRPr="00463723">
        <w:rPr>
          <w:sz w:val="22"/>
          <w:szCs w:val="22"/>
          <w:lang w:val="sr-Latn-ME"/>
        </w:rPr>
        <w:t>n</w:t>
      </w:r>
      <w:r w:rsidRPr="00463723">
        <w:rPr>
          <w:sz w:val="22"/>
          <w:szCs w:val="22"/>
          <w:lang w:val="sr-Latn-ME"/>
        </w:rPr>
        <w:t>etika bromheksina je proporcionalna prim</w:t>
      </w:r>
      <w:r w:rsidR="004639D1" w:rsidRPr="00463723">
        <w:rPr>
          <w:sz w:val="22"/>
          <w:szCs w:val="22"/>
          <w:lang w:val="sr-Latn-ME"/>
        </w:rPr>
        <w:t>i</w:t>
      </w:r>
      <w:r w:rsidR="00800C58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 xml:space="preserve">enjenoj dozi u rangu oralnih doza, od 8 mg do 32 mg. </w:t>
      </w:r>
    </w:p>
    <w:p w14:paraId="18E8CE52" w14:textId="77777777" w:rsidR="002F5675" w:rsidRPr="00463723" w:rsidRDefault="002F5675" w:rsidP="002F5675">
      <w:pPr>
        <w:tabs>
          <w:tab w:val="left" w:pos="284"/>
        </w:tabs>
        <w:rPr>
          <w:sz w:val="22"/>
          <w:szCs w:val="22"/>
          <w:lang w:val="sr-Latn-ME"/>
        </w:rPr>
      </w:pPr>
    </w:p>
    <w:p w14:paraId="363FD79D" w14:textId="77777777" w:rsidR="002F5675" w:rsidRPr="00463723" w:rsidRDefault="002F5675" w:rsidP="002F5675">
      <w:pPr>
        <w:tabs>
          <w:tab w:val="left" w:pos="284"/>
        </w:tabs>
        <w:rPr>
          <w:i/>
          <w:sz w:val="22"/>
          <w:szCs w:val="22"/>
          <w:lang w:val="sr-Latn-ME"/>
        </w:rPr>
      </w:pPr>
      <w:r w:rsidRPr="00463723">
        <w:rPr>
          <w:b/>
          <w:i/>
          <w:sz w:val="22"/>
          <w:szCs w:val="22"/>
          <w:lang w:val="sr-Latn-ME"/>
        </w:rPr>
        <w:t>Posebne populacije pacijenata</w:t>
      </w:r>
    </w:p>
    <w:p w14:paraId="4A3F61E0" w14:textId="0A43BAC6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lastRenderedPageBreak/>
        <w:t>Nema podataka o farmakokinetici bromheksina kod pacijenata starijeg životnog doba ili kod onih koji pate od insuficijencije jetre ili bubrega. Obimno kliničko iskustvo nije dovelo do razloga za zabrinutost kada se radi o bezb</w:t>
      </w:r>
      <w:r w:rsidR="006968A9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ednosti prim</w:t>
      </w:r>
      <w:r w:rsidR="00800C58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ene l</w:t>
      </w:r>
      <w:r w:rsidR="00B2237A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 xml:space="preserve">eka u ovim populacijama. </w:t>
      </w:r>
    </w:p>
    <w:p w14:paraId="7C9A9EEB" w14:textId="77777777" w:rsidR="002F5675" w:rsidRPr="00463723" w:rsidRDefault="002F5675" w:rsidP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CFA7B0" w14:textId="180EA07C" w:rsidR="002F5675" w:rsidRPr="00463723" w:rsidRDefault="002F5675" w:rsidP="00251D89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463723">
        <w:rPr>
          <w:bCs/>
          <w:iCs/>
          <w:sz w:val="22"/>
          <w:szCs w:val="22"/>
          <w:lang w:val="sr-Latn-ME"/>
        </w:rPr>
        <w:t>Vr</w:t>
      </w:r>
      <w:r w:rsidR="006968A9" w:rsidRPr="00463723">
        <w:rPr>
          <w:bCs/>
          <w:iCs/>
          <w:sz w:val="22"/>
          <w:szCs w:val="22"/>
          <w:lang w:val="sr-Latn-ME"/>
        </w:rPr>
        <w:t>ij</w:t>
      </w:r>
      <w:r w:rsidRPr="00463723">
        <w:rPr>
          <w:bCs/>
          <w:iCs/>
          <w:sz w:val="22"/>
          <w:szCs w:val="22"/>
          <w:lang w:val="sr-Latn-ME"/>
        </w:rPr>
        <w:t xml:space="preserve">ednosti bromheksina u plazmi se povećavaju sa istovremenim unosom hrane. </w:t>
      </w:r>
    </w:p>
    <w:p w14:paraId="0360F0C5" w14:textId="22003A8D" w:rsidR="002F5675" w:rsidRPr="00463723" w:rsidRDefault="002F567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Ispitivanja interakcije sa oralnim antikoagulansima ili digoksinom ni</w:t>
      </w:r>
      <w:r w:rsidR="00B2237A" w:rsidRPr="00463723">
        <w:rPr>
          <w:sz w:val="22"/>
          <w:szCs w:val="22"/>
          <w:lang w:val="sr-Latn-ME"/>
        </w:rPr>
        <w:t>je</w:t>
      </w:r>
      <w:r w:rsidRPr="00463723">
        <w:rPr>
          <w:sz w:val="22"/>
          <w:szCs w:val="22"/>
          <w:lang w:val="sr-Latn-ME"/>
        </w:rPr>
        <w:t xml:space="preserve">su rađena. Farmakokinetika bromheksina nije pod relevantnim uticajem istovremenog davanja ampicilina ili oksitetraciklina. Nije bilo relevantnih interakcija između bromheksina i eritromicina, na osnovu istorijskih poređenja. </w:t>
      </w:r>
    </w:p>
    <w:p w14:paraId="39016346" w14:textId="44D39453" w:rsidR="002F5675" w:rsidRPr="00463723" w:rsidRDefault="002F5675" w:rsidP="00543B5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Odsustvo ikakvih relevantnih nalaza o interakcijama tokom dugotrajnog prisustva ovog l</w:t>
      </w:r>
      <w:r w:rsidR="00B2237A" w:rsidRPr="00463723">
        <w:rPr>
          <w:sz w:val="22"/>
          <w:szCs w:val="22"/>
          <w:lang w:val="sr-Latn-ME"/>
        </w:rPr>
        <w:t>ij</w:t>
      </w:r>
      <w:r w:rsidRPr="00463723">
        <w:rPr>
          <w:sz w:val="22"/>
          <w:szCs w:val="22"/>
          <w:lang w:val="sr-Latn-ME"/>
        </w:rPr>
        <w:t>eka na tržištu govori da on i nema znatniji potencijal za interakciju sa ovim l</w:t>
      </w:r>
      <w:r w:rsidR="00B2237A" w:rsidRPr="00463723">
        <w:rPr>
          <w:sz w:val="22"/>
          <w:szCs w:val="22"/>
          <w:lang w:val="sr-Latn-ME"/>
        </w:rPr>
        <w:t>j</w:t>
      </w:r>
      <w:r w:rsidRPr="00463723">
        <w:rPr>
          <w:sz w:val="22"/>
          <w:szCs w:val="22"/>
          <w:lang w:val="sr-Latn-ME"/>
        </w:rPr>
        <w:t>ekovima.</w:t>
      </w:r>
    </w:p>
    <w:p w14:paraId="502FA8C5" w14:textId="77777777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433BB5" w14:textId="77777777" w:rsidR="002F5675" w:rsidRPr="00463723" w:rsidRDefault="002F567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C6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5.3.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02FA8C7" w14:textId="77777777" w:rsidR="00836B35" w:rsidRPr="0046372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EB5069" w14:textId="77777777" w:rsidR="00D5026D" w:rsidRPr="00463723" w:rsidRDefault="00D5026D" w:rsidP="00D5026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Nema informacija od značaja.</w:t>
      </w:r>
    </w:p>
    <w:p w14:paraId="502FA8C8" w14:textId="2336314D" w:rsidR="00396DFD" w:rsidRPr="00463723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0E1C34" w14:textId="77777777" w:rsidR="00463D58" w:rsidRPr="00463723" w:rsidRDefault="00463D5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C9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FARMACEUTSKI PODACI</w:t>
      </w:r>
    </w:p>
    <w:p w14:paraId="502FA8CA" w14:textId="77777777" w:rsidR="00836B35" w:rsidRPr="0046372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CB" w14:textId="5439E6F9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6.1.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Lista pomoćnih supstanci</w:t>
      </w:r>
      <w:r w:rsidR="002E0135" w:rsidRPr="00463723">
        <w:rPr>
          <w:b/>
          <w:bCs/>
          <w:sz w:val="22"/>
          <w:szCs w:val="22"/>
          <w:lang w:val="sr-Latn-ME"/>
        </w:rPr>
        <w:t xml:space="preserve"> (ekscipijenasa)</w:t>
      </w:r>
    </w:p>
    <w:p w14:paraId="2A4D29CB" w14:textId="03EDFA84" w:rsidR="007A0641" w:rsidRPr="00463723" w:rsidRDefault="007A0641" w:rsidP="007A0641">
      <w:pPr>
        <w:tabs>
          <w:tab w:val="left" w:pos="284"/>
        </w:tabs>
        <w:spacing w:before="120"/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laktoza, monohidrat </w:t>
      </w:r>
    </w:p>
    <w:p w14:paraId="6D49136E" w14:textId="5BB03C92" w:rsidR="007A0641" w:rsidRPr="00463723" w:rsidRDefault="007A0641" w:rsidP="007A0641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skrob, kukuruzni, osušen </w:t>
      </w:r>
    </w:p>
    <w:p w14:paraId="277B5621" w14:textId="131083BC" w:rsidR="007A0641" w:rsidRPr="00463723" w:rsidRDefault="007A0641" w:rsidP="007A0641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magnezijum stearat</w:t>
      </w:r>
    </w:p>
    <w:p w14:paraId="502FA8CC" w14:textId="77777777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CD" w14:textId="05AA9852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6.2.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Inkompatibilnost</w:t>
      </w:r>
      <w:r w:rsidR="002846DB" w:rsidRPr="00463723">
        <w:rPr>
          <w:b/>
          <w:bCs/>
          <w:sz w:val="22"/>
          <w:szCs w:val="22"/>
          <w:lang w:val="sr-Latn-ME"/>
        </w:rPr>
        <w:t>i</w:t>
      </w:r>
    </w:p>
    <w:p w14:paraId="7CA23290" w14:textId="757AC807" w:rsidR="007A0641" w:rsidRPr="00463723" w:rsidRDefault="007A064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258AF5B" w14:textId="39305C32" w:rsidR="007A0641" w:rsidRPr="00463723" w:rsidRDefault="007A064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Nema poznatih.</w:t>
      </w:r>
    </w:p>
    <w:p w14:paraId="502FA8CE" w14:textId="77777777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CF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>6.3.</w:t>
      </w:r>
      <w:r w:rsidR="00C05DF8" w:rsidRPr="00463723">
        <w:rPr>
          <w:b/>
          <w:bCs/>
          <w:sz w:val="22"/>
          <w:szCs w:val="22"/>
          <w:lang w:val="sr-Latn-ME"/>
        </w:rPr>
        <w:t xml:space="preserve">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Rok upotrebe</w:t>
      </w:r>
    </w:p>
    <w:p w14:paraId="502FA8D0" w14:textId="12774FED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41F285" w14:textId="0A37B12B" w:rsidR="00745080" w:rsidRPr="00463723" w:rsidRDefault="0074508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>3 godine.</w:t>
      </w:r>
    </w:p>
    <w:p w14:paraId="1594630A" w14:textId="77777777" w:rsidR="00745080" w:rsidRPr="00463723" w:rsidRDefault="0074508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D1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6.4.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63723">
        <w:rPr>
          <w:b/>
          <w:bCs/>
          <w:sz w:val="22"/>
          <w:szCs w:val="22"/>
          <w:lang w:val="sr-Latn-ME"/>
        </w:rPr>
        <w:t xml:space="preserve"> lijeka</w:t>
      </w:r>
    </w:p>
    <w:p w14:paraId="502FA8D2" w14:textId="78A834BF" w:rsidR="00EC2532" w:rsidRPr="00463723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04E6C0" w14:textId="18A34DD8" w:rsidR="003547AE" w:rsidRPr="00463723" w:rsidRDefault="00463D58" w:rsidP="003547AE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 w:eastAsia="de-AT"/>
        </w:rPr>
        <w:t>Čuvati na temperaturi do 30°C.</w:t>
      </w:r>
    </w:p>
    <w:p w14:paraId="67FC737A" w14:textId="39AED453" w:rsidR="00745080" w:rsidRPr="00463723" w:rsidRDefault="0074508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D3" w14:textId="11425265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6.5.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="002846DB" w:rsidRPr="0046372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63723">
        <w:rPr>
          <w:b/>
          <w:bCs/>
          <w:sz w:val="22"/>
          <w:szCs w:val="22"/>
          <w:lang w:val="sr-Latn-ME"/>
        </w:rPr>
        <w:t>pakovanja</w:t>
      </w:r>
      <w:r w:rsidR="00C06864" w:rsidRPr="00463723">
        <w:rPr>
          <w:b/>
          <w:bCs/>
          <w:sz w:val="22"/>
          <w:szCs w:val="22"/>
          <w:lang w:val="sr-Latn-ME"/>
        </w:rPr>
        <w:t xml:space="preserve"> </w:t>
      </w:r>
    </w:p>
    <w:p w14:paraId="4A61436A" w14:textId="77777777" w:rsidR="00122851" w:rsidRPr="00463723" w:rsidRDefault="00122851" w:rsidP="00122851">
      <w:pPr>
        <w:tabs>
          <w:tab w:val="left" w:pos="284"/>
        </w:tabs>
        <w:rPr>
          <w:sz w:val="22"/>
          <w:szCs w:val="22"/>
          <w:lang w:val="sr-Latn-ME"/>
        </w:rPr>
      </w:pPr>
    </w:p>
    <w:p w14:paraId="4FD40F2B" w14:textId="7E88B6E4" w:rsidR="00463D58" w:rsidRPr="00463723" w:rsidRDefault="00463D58" w:rsidP="00463D58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Unutrašnje pakovanje je bijeli PVC/PVDC/Al blister koji sadrži 10 tableta.</w:t>
      </w:r>
    </w:p>
    <w:p w14:paraId="7A1A082A" w14:textId="21D80203" w:rsidR="00463D58" w:rsidRPr="00463723" w:rsidRDefault="00463D58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Spoljašnje pakovanje je složiva kartonska kutija u kojoj se nalaze dva blistera i Uputstvo za lijek.</w:t>
      </w:r>
    </w:p>
    <w:p w14:paraId="71F10456" w14:textId="77777777" w:rsidR="00FF43C3" w:rsidRPr="00463723" w:rsidRDefault="00FF43C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D5" w14:textId="77777777" w:rsidR="002846DB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6.6.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63723">
        <w:rPr>
          <w:b/>
          <w:bCs/>
          <w:sz w:val="22"/>
          <w:szCs w:val="22"/>
          <w:lang w:val="sr-Latn-ME"/>
        </w:rPr>
        <w:t xml:space="preserve"> </w:t>
      </w:r>
      <w:r w:rsidR="00310F03" w:rsidRPr="00463723">
        <w:rPr>
          <w:b/>
          <w:bCs/>
          <w:sz w:val="22"/>
          <w:szCs w:val="22"/>
          <w:lang w:val="sr-Latn-ME"/>
        </w:rPr>
        <w:t>(i druga uputs</w:t>
      </w:r>
      <w:r w:rsidR="004109FA" w:rsidRPr="00463723">
        <w:rPr>
          <w:b/>
          <w:bCs/>
          <w:sz w:val="22"/>
          <w:szCs w:val="22"/>
          <w:lang w:val="sr-Latn-ME"/>
        </w:rPr>
        <w:t>t</w:t>
      </w:r>
      <w:r w:rsidR="00310F03" w:rsidRPr="0046372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02FA8D6" w14:textId="77777777" w:rsidR="00B66A70" w:rsidRPr="0046372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D7" w14:textId="2048D70F" w:rsidR="0072020E" w:rsidRPr="00463723" w:rsidRDefault="00857F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63723">
        <w:rPr>
          <w:bCs/>
          <w:sz w:val="22"/>
          <w:szCs w:val="22"/>
          <w:lang w:val="sr-Latn-ME"/>
        </w:rPr>
        <w:t>Neupotrebljeni lijek se uništava u skladu sa važećim propisima.</w:t>
      </w:r>
    </w:p>
    <w:p w14:paraId="256F2B86" w14:textId="6BE7BAD3" w:rsidR="00857F1D" w:rsidRPr="00463723" w:rsidRDefault="00857F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11F90D" w14:textId="77777777" w:rsidR="00157EEB" w:rsidRPr="00463723" w:rsidRDefault="00157EE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2FA8D8" w14:textId="6CAEAC39" w:rsidR="00F8570A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7.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NOSILAC DOZVOLE</w:t>
      </w:r>
      <w:r w:rsidR="00483928" w:rsidRPr="00463723">
        <w:rPr>
          <w:b/>
          <w:bCs/>
          <w:sz w:val="22"/>
          <w:szCs w:val="22"/>
          <w:lang w:val="sr-Latn-ME"/>
        </w:rPr>
        <w:t xml:space="preserve"> </w:t>
      </w:r>
    </w:p>
    <w:p w14:paraId="502FA8D9" w14:textId="77777777" w:rsidR="00C61BE0" w:rsidRPr="00463723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A6830B" w14:textId="77777777" w:rsidR="00D13059" w:rsidRPr="00463723" w:rsidRDefault="00D13059" w:rsidP="00D13059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 xml:space="preserve">Hemofarm AD Vršac PJ Podgorica, </w:t>
      </w:r>
    </w:p>
    <w:p w14:paraId="24FE054E" w14:textId="3D3669DD" w:rsidR="00D13059" w:rsidRPr="00463723" w:rsidRDefault="00D13059" w:rsidP="00D13059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8 marta 55A,</w:t>
      </w:r>
      <w:r w:rsidR="00B2237A" w:rsidRPr="00463723">
        <w:rPr>
          <w:sz w:val="22"/>
          <w:szCs w:val="22"/>
          <w:lang w:val="sr-Latn-ME"/>
        </w:rPr>
        <w:t xml:space="preserve"> </w:t>
      </w:r>
      <w:r w:rsidRPr="00463723">
        <w:rPr>
          <w:sz w:val="22"/>
          <w:szCs w:val="22"/>
          <w:lang w:val="sr-Latn-ME"/>
        </w:rPr>
        <w:t xml:space="preserve">Podgorica, </w:t>
      </w:r>
    </w:p>
    <w:p w14:paraId="401E3FAD" w14:textId="22F761EF" w:rsidR="00D13059" w:rsidRPr="00463723" w:rsidRDefault="00D13059" w:rsidP="00D13059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sz w:val="22"/>
          <w:szCs w:val="22"/>
          <w:lang w:val="sr-Latn-ME"/>
        </w:rPr>
        <w:t>Crna Gora</w:t>
      </w:r>
    </w:p>
    <w:p w14:paraId="5EC8D2C9" w14:textId="77777777" w:rsidR="00851B1A" w:rsidRPr="00463723" w:rsidRDefault="00851B1A" w:rsidP="00D13059">
      <w:pPr>
        <w:tabs>
          <w:tab w:val="left" w:pos="284"/>
        </w:tabs>
        <w:rPr>
          <w:sz w:val="22"/>
          <w:szCs w:val="22"/>
          <w:lang w:val="sr-Latn-ME"/>
        </w:rPr>
      </w:pPr>
    </w:p>
    <w:p w14:paraId="502FA8DA" w14:textId="77777777" w:rsidR="00C37FD7" w:rsidRPr="00463723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DB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8.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>BROJ DOZVOLE</w:t>
      </w:r>
      <w:r w:rsidR="008A6D43" w:rsidRPr="0046372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02FA8DC" w14:textId="77777777" w:rsidR="0072020E" w:rsidRPr="0046372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ED4687" w14:textId="77777777" w:rsidR="00463D58" w:rsidRPr="00463723" w:rsidRDefault="00463D58" w:rsidP="00463D58">
      <w:pPr>
        <w:tabs>
          <w:tab w:val="left" w:pos="284"/>
        </w:tabs>
        <w:rPr>
          <w:sz w:val="22"/>
          <w:szCs w:val="22"/>
          <w:lang w:val="sr-Latn-ME"/>
        </w:rPr>
      </w:pPr>
      <w:r w:rsidRPr="00463723">
        <w:rPr>
          <w:rFonts w:ascii="TimesNewRomanBold" w:hAnsi="TimesNewRomanBold" w:cs="TimesNewRomanBold"/>
          <w:bCs/>
          <w:sz w:val="22"/>
          <w:szCs w:val="22"/>
          <w:lang w:val="sr-Latn-ME" w:eastAsia="sr-Latn-ME"/>
        </w:rPr>
        <w:t>2030/14/277 - 983</w:t>
      </w:r>
    </w:p>
    <w:p w14:paraId="3C075A9C" w14:textId="5BD0A993" w:rsidR="00DF2B99" w:rsidRPr="00463723" w:rsidRDefault="00DF2B99" w:rsidP="00DF2B99">
      <w:pPr>
        <w:tabs>
          <w:tab w:val="left" w:pos="284"/>
        </w:tabs>
        <w:rPr>
          <w:sz w:val="22"/>
          <w:szCs w:val="22"/>
          <w:lang w:val="sr-Latn-ME"/>
        </w:rPr>
      </w:pPr>
    </w:p>
    <w:p w14:paraId="502FA8DD" w14:textId="4059A5CF" w:rsidR="00F45F77" w:rsidRPr="00463723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3AD715" w14:textId="77777777" w:rsidR="00463D58" w:rsidRPr="00463723" w:rsidRDefault="00463D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DE" w14:textId="77777777" w:rsidR="0072020E" w:rsidRPr="0046372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9.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Pr="00463723">
        <w:rPr>
          <w:b/>
          <w:bCs/>
          <w:sz w:val="22"/>
          <w:szCs w:val="22"/>
          <w:lang w:val="sr-Latn-ME"/>
        </w:rPr>
        <w:t xml:space="preserve">DATUM </w:t>
      </w:r>
      <w:r w:rsidR="00C05DF8" w:rsidRPr="00463723">
        <w:rPr>
          <w:b/>
          <w:bCs/>
          <w:sz w:val="22"/>
          <w:szCs w:val="22"/>
          <w:lang w:val="sr-Latn-ME"/>
        </w:rPr>
        <w:t xml:space="preserve">PRVE </w:t>
      </w:r>
      <w:r w:rsidR="008A6D43" w:rsidRPr="00463723">
        <w:rPr>
          <w:b/>
          <w:bCs/>
          <w:sz w:val="22"/>
          <w:szCs w:val="22"/>
          <w:lang w:val="sr-Latn-ME"/>
        </w:rPr>
        <w:t>DOZVOLE</w:t>
      </w:r>
      <w:r w:rsidR="00C05DF8" w:rsidRPr="00463723">
        <w:rPr>
          <w:b/>
          <w:bCs/>
          <w:sz w:val="22"/>
          <w:szCs w:val="22"/>
          <w:lang w:val="sr-Latn-ME"/>
        </w:rPr>
        <w:t>/OBNOVE DOZVOLE</w:t>
      </w:r>
      <w:r w:rsidR="008A6D43" w:rsidRPr="0046372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E77B69" w14:textId="77777777" w:rsidR="00463D58" w:rsidRPr="00463723" w:rsidRDefault="00463D58" w:rsidP="00480FB1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</w:p>
    <w:p w14:paraId="30DAF42F" w14:textId="61F24FAD" w:rsidR="00463D58" w:rsidRPr="00463723" w:rsidRDefault="00463D58" w:rsidP="00480FB1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  <w:r w:rsidRPr="00463723">
        <w:rPr>
          <w:sz w:val="22"/>
          <w:szCs w:val="22"/>
          <w:lang w:val="sr-Latn-ME" w:eastAsia="sr-Latn-ME"/>
        </w:rPr>
        <w:t>15.08.2014. godina</w:t>
      </w:r>
    </w:p>
    <w:p w14:paraId="2A82FAF6" w14:textId="77777777" w:rsidR="00463D58" w:rsidRPr="00463723" w:rsidRDefault="00463D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E0" w14:textId="77777777" w:rsidR="00836B35" w:rsidRPr="0046372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FA8E1" w14:textId="77777777" w:rsidR="003F6A59" w:rsidRPr="00463723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463723">
        <w:rPr>
          <w:b/>
          <w:bCs/>
          <w:sz w:val="22"/>
          <w:szCs w:val="22"/>
          <w:lang w:val="sr-Latn-ME"/>
        </w:rPr>
        <w:t xml:space="preserve">10. </w:t>
      </w:r>
      <w:r w:rsidR="00480FB1" w:rsidRPr="00463723">
        <w:rPr>
          <w:b/>
          <w:bCs/>
          <w:sz w:val="22"/>
          <w:szCs w:val="22"/>
          <w:lang w:val="sr-Latn-ME"/>
        </w:rPr>
        <w:tab/>
      </w:r>
      <w:r w:rsidR="002846DB" w:rsidRPr="00463723">
        <w:rPr>
          <w:b/>
          <w:bCs/>
          <w:sz w:val="22"/>
          <w:szCs w:val="22"/>
          <w:lang w:val="sr-Latn-ME"/>
        </w:rPr>
        <w:t>D</w:t>
      </w:r>
      <w:r w:rsidR="00EC2532" w:rsidRPr="00463723">
        <w:rPr>
          <w:b/>
          <w:bCs/>
          <w:sz w:val="22"/>
          <w:szCs w:val="22"/>
          <w:lang w:val="sr-Latn-ME"/>
        </w:rPr>
        <w:t xml:space="preserve">ATUM REVIZIJE TEKSTA </w:t>
      </w:r>
    </w:p>
    <w:p w14:paraId="502FA8E2" w14:textId="29F73A99" w:rsidR="003F6A59" w:rsidRPr="00463723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8FC4BF" w14:textId="6C17F186" w:rsidR="00463D58" w:rsidRPr="00463723" w:rsidRDefault="00E3625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Mart</w:t>
      </w:r>
      <w:r w:rsidR="00463D58" w:rsidRPr="00463723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5</w:t>
      </w:r>
      <w:bookmarkStart w:id="1" w:name="_GoBack"/>
      <w:bookmarkEnd w:id="1"/>
      <w:r w:rsidR="00463D58" w:rsidRPr="00463723">
        <w:rPr>
          <w:bCs/>
          <w:sz w:val="22"/>
          <w:szCs w:val="22"/>
          <w:lang w:val="sr-Latn-ME"/>
        </w:rPr>
        <w:t>. godine</w:t>
      </w:r>
    </w:p>
    <w:sectPr w:rsidR="00463D58" w:rsidRPr="00463723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2800" w14:textId="77777777" w:rsidR="00E456A9" w:rsidRDefault="00E456A9">
      <w:r>
        <w:separator/>
      </w:r>
    </w:p>
  </w:endnote>
  <w:endnote w:type="continuationSeparator" w:id="0">
    <w:p w14:paraId="495594AC" w14:textId="77777777" w:rsidR="00E456A9" w:rsidRDefault="00E4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FA8F3" w14:textId="78AFEF3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3625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3625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C2B1A" w14:textId="77777777" w:rsidR="00E456A9" w:rsidRDefault="00E456A9">
      <w:r>
        <w:separator/>
      </w:r>
    </w:p>
  </w:footnote>
  <w:footnote w:type="continuationSeparator" w:id="0">
    <w:p w14:paraId="583BDFEA" w14:textId="77777777" w:rsidR="00E456A9" w:rsidRDefault="00E4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2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DD8"/>
    <w:rsid w:val="000176CA"/>
    <w:rsid w:val="00033469"/>
    <w:rsid w:val="0003377B"/>
    <w:rsid w:val="00036FA0"/>
    <w:rsid w:val="0003793F"/>
    <w:rsid w:val="00041FC0"/>
    <w:rsid w:val="00045130"/>
    <w:rsid w:val="00056B1B"/>
    <w:rsid w:val="00057E35"/>
    <w:rsid w:val="00075E28"/>
    <w:rsid w:val="00076726"/>
    <w:rsid w:val="00080303"/>
    <w:rsid w:val="00080FB3"/>
    <w:rsid w:val="00083D02"/>
    <w:rsid w:val="00091DDF"/>
    <w:rsid w:val="000A3F58"/>
    <w:rsid w:val="000B19D5"/>
    <w:rsid w:val="000D2343"/>
    <w:rsid w:val="000D3449"/>
    <w:rsid w:val="000D425A"/>
    <w:rsid w:val="000D60CC"/>
    <w:rsid w:val="000D60DC"/>
    <w:rsid w:val="000E05E8"/>
    <w:rsid w:val="000E2084"/>
    <w:rsid w:val="000E6F55"/>
    <w:rsid w:val="000F77FA"/>
    <w:rsid w:val="00100291"/>
    <w:rsid w:val="00103706"/>
    <w:rsid w:val="00103A49"/>
    <w:rsid w:val="00107BF7"/>
    <w:rsid w:val="0011658C"/>
    <w:rsid w:val="00122851"/>
    <w:rsid w:val="00126F53"/>
    <w:rsid w:val="00132BD0"/>
    <w:rsid w:val="00147654"/>
    <w:rsid w:val="0014766D"/>
    <w:rsid w:val="001536CC"/>
    <w:rsid w:val="00157EEB"/>
    <w:rsid w:val="00181A25"/>
    <w:rsid w:val="001A3FBA"/>
    <w:rsid w:val="001A5518"/>
    <w:rsid w:val="001A5D37"/>
    <w:rsid w:val="001B1C6A"/>
    <w:rsid w:val="001C1263"/>
    <w:rsid w:val="001C1417"/>
    <w:rsid w:val="001C1CAE"/>
    <w:rsid w:val="001C7E30"/>
    <w:rsid w:val="001D0FC2"/>
    <w:rsid w:val="001E390B"/>
    <w:rsid w:val="001F42FB"/>
    <w:rsid w:val="001F719A"/>
    <w:rsid w:val="002031B3"/>
    <w:rsid w:val="00204E8D"/>
    <w:rsid w:val="00215931"/>
    <w:rsid w:val="00224C91"/>
    <w:rsid w:val="00227BDB"/>
    <w:rsid w:val="00234CB1"/>
    <w:rsid w:val="002352F8"/>
    <w:rsid w:val="00245822"/>
    <w:rsid w:val="002510A5"/>
    <w:rsid w:val="00251D89"/>
    <w:rsid w:val="00254A0A"/>
    <w:rsid w:val="0026055A"/>
    <w:rsid w:val="00266046"/>
    <w:rsid w:val="00283C3A"/>
    <w:rsid w:val="002846DB"/>
    <w:rsid w:val="00284CCD"/>
    <w:rsid w:val="002B41E8"/>
    <w:rsid w:val="002C6637"/>
    <w:rsid w:val="002E0135"/>
    <w:rsid w:val="002E37A5"/>
    <w:rsid w:val="002F5675"/>
    <w:rsid w:val="002F5871"/>
    <w:rsid w:val="00310F03"/>
    <w:rsid w:val="003247D2"/>
    <w:rsid w:val="003445C1"/>
    <w:rsid w:val="00346D63"/>
    <w:rsid w:val="00347787"/>
    <w:rsid w:val="003547AE"/>
    <w:rsid w:val="00355B61"/>
    <w:rsid w:val="00361042"/>
    <w:rsid w:val="00362686"/>
    <w:rsid w:val="00371510"/>
    <w:rsid w:val="00374B8F"/>
    <w:rsid w:val="00396DFD"/>
    <w:rsid w:val="003A34E7"/>
    <w:rsid w:val="003A7059"/>
    <w:rsid w:val="003B7A36"/>
    <w:rsid w:val="003C17AB"/>
    <w:rsid w:val="003C380B"/>
    <w:rsid w:val="003C6AB1"/>
    <w:rsid w:val="003C7823"/>
    <w:rsid w:val="003D21F5"/>
    <w:rsid w:val="003D6973"/>
    <w:rsid w:val="003D6BED"/>
    <w:rsid w:val="003D7E66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0566"/>
    <w:rsid w:val="00443066"/>
    <w:rsid w:val="00451314"/>
    <w:rsid w:val="00452E9D"/>
    <w:rsid w:val="004534C7"/>
    <w:rsid w:val="00463723"/>
    <w:rsid w:val="004639D1"/>
    <w:rsid w:val="00463D58"/>
    <w:rsid w:val="004671AA"/>
    <w:rsid w:val="00471DF8"/>
    <w:rsid w:val="00480FB1"/>
    <w:rsid w:val="00483928"/>
    <w:rsid w:val="004920AC"/>
    <w:rsid w:val="004B1B2E"/>
    <w:rsid w:val="004C331F"/>
    <w:rsid w:val="004D6103"/>
    <w:rsid w:val="004E3BCE"/>
    <w:rsid w:val="004E70AD"/>
    <w:rsid w:val="004F0E97"/>
    <w:rsid w:val="004F17E2"/>
    <w:rsid w:val="00501DD1"/>
    <w:rsid w:val="00506846"/>
    <w:rsid w:val="00515C21"/>
    <w:rsid w:val="00516A58"/>
    <w:rsid w:val="00530BD7"/>
    <w:rsid w:val="00543B50"/>
    <w:rsid w:val="00545CD2"/>
    <w:rsid w:val="005476F3"/>
    <w:rsid w:val="00572527"/>
    <w:rsid w:val="00573B35"/>
    <w:rsid w:val="00573E40"/>
    <w:rsid w:val="00576348"/>
    <w:rsid w:val="005A0B2E"/>
    <w:rsid w:val="005A23D2"/>
    <w:rsid w:val="005A36CB"/>
    <w:rsid w:val="005B0666"/>
    <w:rsid w:val="005B49B8"/>
    <w:rsid w:val="005C0741"/>
    <w:rsid w:val="005C5EF4"/>
    <w:rsid w:val="005D633A"/>
    <w:rsid w:val="005E2E0B"/>
    <w:rsid w:val="005E67AD"/>
    <w:rsid w:val="005E7308"/>
    <w:rsid w:val="005E7A7D"/>
    <w:rsid w:val="00602457"/>
    <w:rsid w:val="00625065"/>
    <w:rsid w:val="00630A3E"/>
    <w:rsid w:val="00631AB7"/>
    <w:rsid w:val="0064023B"/>
    <w:rsid w:val="00644FC3"/>
    <w:rsid w:val="00646BD1"/>
    <w:rsid w:val="006561C2"/>
    <w:rsid w:val="00671CB3"/>
    <w:rsid w:val="006721A0"/>
    <w:rsid w:val="00674BAF"/>
    <w:rsid w:val="00682200"/>
    <w:rsid w:val="0068409B"/>
    <w:rsid w:val="00692BF6"/>
    <w:rsid w:val="006968A9"/>
    <w:rsid w:val="006A1351"/>
    <w:rsid w:val="006A1497"/>
    <w:rsid w:val="006B0BD1"/>
    <w:rsid w:val="006B0BF0"/>
    <w:rsid w:val="006B5404"/>
    <w:rsid w:val="006B72BA"/>
    <w:rsid w:val="006C022A"/>
    <w:rsid w:val="006C7300"/>
    <w:rsid w:val="006D20A5"/>
    <w:rsid w:val="006D37BF"/>
    <w:rsid w:val="006D448B"/>
    <w:rsid w:val="00702E22"/>
    <w:rsid w:val="007109BF"/>
    <w:rsid w:val="00713EEA"/>
    <w:rsid w:val="0072020E"/>
    <w:rsid w:val="0073789E"/>
    <w:rsid w:val="00745080"/>
    <w:rsid w:val="007468F9"/>
    <w:rsid w:val="00754902"/>
    <w:rsid w:val="00786071"/>
    <w:rsid w:val="007861D3"/>
    <w:rsid w:val="007909D7"/>
    <w:rsid w:val="007A0641"/>
    <w:rsid w:val="007A3ECB"/>
    <w:rsid w:val="007C09EC"/>
    <w:rsid w:val="007D7BB3"/>
    <w:rsid w:val="007E31E9"/>
    <w:rsid w:val="007F0161"/>
    <w:rsid w:val="00800C58"/>
    <w:rsid w:val="008126E2"/>
    <w:rsid w:val="00824AB9"/>
    <w:rsid w:val="00836B35"/>
    <w:rsid w:val="00843BDE"/>
    <w:rsid w:val="00851B1A"/>
    <w:rsid w:val="00857F1D"/>
    <w:rsid w:val="00873829"/>
    <w:rsid w:val="0087588C"/>
    <w:rsid w:val="008766FE"/>
    <w:rsid w:val="0089705C"/>
    <w:rsid w:val="008A639B"/>
    <w:rsid w:val="008A6D43"/>
    <w:rsid w:val="008B491E"/>
    <w:rsid w:val="008C1A28"/>
    <w:rsid w:val="008C2E98"/>
    <w:rsid w:val="008D38A5"/>
    <w:rsid w:val="008E49BD"/>
    <w:rsid w:val="008E53E9"/>
    <w:rsid w:val="008E5771"/>
    <w:rsid w:val="008F4ACF"/>
    <w:rsid w:val="00905455"/>
    <w:rsid w:val="00913AA9"/>
    <w:rsid w:val="00924166"/>
    <w:rsid w:val="009329CA"/>
    <w:rsid w:val="00940B9B"/>
    <w:rsid w:val="00946878"/>
    <w:rsid w:val="00950668"/>
    <w:rsid w:val="00953573"/>
    <w:rsid w:val="0095676E"/>
    <w:rsid w:val="00956983"/>
    <w:rsid w:val="00963CF0"/>
    <w:rsid w:val="00964BB1"/>
    <w:rsid w:val="009775D9"/>
    <w:rsid w:val="00991976"/>
    <w:rsid w:val="00997175"/>
    <w:rsid w:val="009A1847"/>
    <w:rsid w:val="009A19EF"/>
    <w:rsid w:val="009A2052"/>
    <w:rsid w:val="009A3BF0"/>
    <w:rsid w:val="009B062A"/>
    <w:rsid w:val="009C1FC6"/>
    <w:rsid w:val="009D4C8A"/>
    <w:rsid w:val="009E7487"/>
    <w:rsid w:val="009E7C6F"/>
    <w:rsid w:val="009E7DFC"/>
    <w:rsid w:val="009F1793"/>
    <w:rsid w:val="009F2D23"/>
    <w:rsid w:val="009F4E76"/>
    <w:rsid w:val="00A01D69"/>
    <w:rsid w:val="00A02335"/>
    <w:rsid w:val="00A348DA"/>
    <w:rsid w:val="00A42424"/>
    <w:rsid w:val="00A46C9A"/>
    <w:rsid w:val="00A619F3"/>
    <w:rsid w:val="00A62A73"/>
    <w:rsid w:val="00A7604C"/>
    <w:rsid w:val="00A76E3A"/>
    <w:rsid w:val="00A80673"/>
    <w:rsid w:val="00A87FF6"/>
    <w:rsid w:val="00AA0A3B"/>
    <w:rsid w:val="00AA2763"/>
    <w:rsid w:val="00AA33B6"/>
    <w:rsid w:val="00AB50CA"/>
    <w:rsid w:val="00AB6D64"/>
    <w:rsid w:val="00AC53CE"/>
    <w:rsid w:val="00AD2193"/>
    <w:rsid w:val="00AE44B1"/>
    <w:rsid w:val="00AF19F4"/>
    <w:rsid w:val="00AF2AC7"/>
    <w:rsid w:val="00AF74CE"/>
    <w:rsid w:val="00B031C6"/>
    <w:rsid w:val="00B208DB"/>
    <w:rsid w:val="00B2237A"/>
    <w:rsid w:val="00B23F69"/>
    <w:rsid w:val="00B468D1"/>
    <w:rsid w:val="00B60619"/>
    <w:rsid w:val="00B66A70"/>
    <w:rsid w:val="00B67366"/>
    <w:rsid w:val="00B80EE1"/>
    <w:rsid w:val="00B84135"/>
    <w:rsid w:val="00B97503"/>
    <w:rsid w:val="00BF27C5"/>
    <w:rsid w:val="00BF509D"/>
    <w:rsid w:val="00C04D34"/>
    <w:rsid w:val="00C05DF8"/>
    <w:rsid w:val="00C06864"/>
    <w:rsid w:val="00C10F54"/>
    <w:rsid w:val="00C23D8D"/>
    <w:rsid w:val="00C37AA3"/>
    <w:rsid w:val="00C37FD7"/>
    <w:rsid w:val="00C42D4E"/>
    <w:rsid w:val="00C43419"/>
    <w:rsid w:val="00C43A8A"/>
    <w:rsid w:val="00C44CF3"/>
    <w:rsid w:val="00C61BE0"/>
    <w:rsid w:val="00C6707E"/>
    <w:rsid w:val="00C70B0E"/>
    <w:rsid w:val="00C773CA"/>
    <w:rsid w:val="00C80B9A"/>
    <w:rsid w:val="00C83785"/>
    <w:rsid w:val="00C94C0D"/>
    <w:rsid w:val="00CA1FEB"/>
    <w:rsid w:val="00CC2AAD"/>
    <w:rsid w:val="00CC340B"/>
    <w:rsid w:val="00CD4F85"/>
    <w:rsid w:val="00CD6F02"/>
    <w:rsid w:val="00CE246D"/>
    <w:rsid w:val="00CF07A0"/>
    <w:rsid w:val="00CF3E03"/>
    <w:rsid w:val="00D0082A"/>
    <w:rsid w:val="00D02B38"/>
    <w:rsid w:val="00D06618"/>
    <w:rsid w:val="00D13059"/>
    <w:rsid w:val="00D14116"/>
    <w:rsid w:val="00D21455"/>
    <w:rsid w:val="00D47634"/>
    <w:rsid w:val="00D5026D"/>
    <w:rsid w:val="00D53A9B"/>
    <w:rsid w:val="00D709B3"/>
    <w:rsid w:val="00D72EFE"/>
    <w:rsid w:val="00D74CD2"/>
    <w:rsid w:val="00D91026"/>
    <w:rsid w:val="00DA2ED6"/>
    <w:rsid w:val="00DA6463"/>
    <w:rsid w:val="00DB1D55"/>
    <w:rsid w:val="00DB76B8"/>
    <w:rsid w:val="00DC2EA1"/>
    <w:rsid w:val="00DC72DE"/>
    <w:rsid w:val="00DD2A1F"/>
    <w:rsid w:val="00DD6AAF"/>
    <w:rsid w:val="00DE3F5C"/>
    <w:rsid w:val="00DF1D20"/>
    <w:rsid w:val="00DF2B99"/>
    <w:rsid w:val="00E111CF"/>
    <w:rsid w:val="00E21324"/>
    <w:rsid w:val="00E246B9"/>
    <w:rsid w:val="00E24F8D"/>
    <w:rsid w:val="00E31FEA"/>
    <w:rsid w:val="00E3625B"/>
    <w:rsid w:val="00E45169"/>
    <w:rsid w:val="00E456A9"/>
    <w:rsid w:val="00E47787"/>
    <w:rsid w:val="00E51C30"/>
    <w:rsid w:val="00E540FF"/>
    <w:rsid w:val="00E64180"/>
    <w:rsid w:val="00E65662"/>
    <w:rsid w:val="00E7235D"/>
    <w:rsid w:val="00E74AEE"/>
    <w:rsid w:val="00E81B81"/>
    <w:rsid w:val="00E84FC1"/>
    <w:rsid w:val="00E868E5"/>
    <w:rsid w:val="00E86BD0"/>
    <w:rsid w:val="00E9237A"/>
    <w:rsid w:val="00E939FA"/>
    <w:rsid w:val="00EA441E"/>
    <w:rsid w:val="00EA5765"/>
    <w:rsid w:val="00EC2532"/>
    <w:rsid w:val="00ED58CB"/>
    <w:rsid w:val="00ED7812"/>
    <w:rsid w:val="00EF3B86"/>
    <w:rsid w:val="00F03353"/>
    <w:rsid w:val="00F143DE"/>
    <w:rsid w:val="00F317E9"/>
    <w:rsid w:val="00F34554"/>
    <w:rsid w:val="00F35B68"/>
    <w:rsid w:val="00F40349"/>
    <w:rsid w:val="00F45F77"/>
    <w:rsid w:val="00F5167F"/>
    <w:rsid w:val="00F52258"/>
    <w:rsid w:val="00F549E4"/>
    <w:rsid w:val="00F62792"/>
    <w:rsid w:val="00F8570A"/>
    <w:rsid w:val="00F90F43"/>
    <w:rsid w:val="00F91C7B"/>
    <w:rsid w:val="00FA15E2"/>
    <w:rsid w:val="00FD35D3"/>
    <w:rsid w:val="00FD603D"/>
    <w:rsid w:val="00FF3EDF"/>
    <w:rsid w:val="00FF43C3"/>
    <w:rsid w:val="00FF5F82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FA87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CC2AA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30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F8B3-6781-415A-9E5C-663BF167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11412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2</cp:revision>
  <cp:lastPrinted>2023-02-09T08:16:00Z</cp:lastPrinted>
  <dcterms:created xsi:type="dcterms:W3CDTF">2025-03-28T18:44:00Z</dcterms:created>
  <dcterms:modified xsi:type="dcterms:W3CDTF">2025-03-28T18:44:00Z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